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628709639"/>
        <w:docPartObj>
          <w:docPartGallery w:val="Table of Contents"/>
          <w:docPartUnique/>
        </w:docPartObj>
      </w:sdtPr>
      <w:sdtEndPr>
        <w:rPr>
          <w:b/>
          <w:bCs/>
        </w:rPr>
      </w:sdtEndPr>
      <w:sdtContent>
        <w:p w14:paraId="324EC468" w14:textId="3B19F11C" w:rsidR="00DD1F38" w:rsidRPr="00561338" w:rsidRDefault="00DD1F38" w:rsidP="00561338">
          <w:pPr>
            <w:pStyle w:val="TtulodeTDC"/>
            <w:rPr>
              <w:color w:val="auto"/>
              <w:sz w:val="22"/>
              <w:szCs w:val="22"/>
            </w:rPr>
          </w:pPr>
          <w:r w:rsidRPr="00561338">
            <w:rPr>
              <w:color w:val="auto"/>
              <w:sz w:val="22"/>
              <w:szCs w:val="22"/>
              <w:lang w:val="es-ES"/>
            </w:rPr>
            <w:t>Contenido</w:t>
          </w:r>
        </w:p>
        <w:p w14:paraId="049D7BCD" w14:textId="77777777" w:rsidR="00561338" w:rsidRDefault="00DD1F38">
          <w:pPr>
            <w:pStyle w:val="TDC1"/>
            <w:tabs>
              <w:tab w:val="right" w:leader="dot" w:pos="9034"/>
            </w:tabs>
            <w:rPr>
              <w:rFonts w:asciiTheme="minorHAnsi" w:eastAsiaTheme="minorEastAsia" w:hAnsiTheme="minorHAnsi" w:cstheme="minorBidi"/>
              <w:noProof/>
              <w:szCs w:val="22"/>
              <w:lang w:eastAsia="es-MX"/>
            </w:rPr>
          </w:pPr>
          <w:r w:rsidRPr="00561338">
            <w:rPr>
              <w:szCs w:val="22"/>
            </w:rPr>
            <w:fldChar w:fldCharType="begin"/>
          </w:r>
          <w:r w:rsidRPr="00561338">
            <w:rPr>
              <w:szCs w:val="22"/>
            </w:rPr>
            <w:instrText xml:space="preserve"> TOC \o "1-3" \h \z \u </w:instrText>
          </w:r>
          <w:r w:rsidRPr="00561338">
            <w:rPr>
              <w:szCs w:val="22"/>
            </w:rPr>
            <w:fldChar w:fldCharType="separate"/>
          </w:r>
          <w:hyperlink w:anchor="_Toc184230144" w:history="1">
            <w:r w:rsidR="00561338" w:rsidRPr="006C5980">
              <w:rPr>
                <w:rStyle w:val="Hipervnculo"/>
                <w:rFonts w:eastAsiaTheme="majorEastAsia"/>
                <w:noProof/>
              </w:rPr>
              <w:t>ANTECEDENTES</w:t>
            </w:r>
            <w:r w:rsidR="00561338">
              <w:rPr>
                <w:noProof/>
                <w:webHidden/>
              </w:rPr>
              <w:tab/>
            </w:r>
            <w:r w:rsidR="00561338">
              <w:rPr>
                <w:noProof/>
                <w:webHidden/>
              </w:rPr>
              <w:fldChar w:fldCharType="begin"/>
            </w:r>
            <w:r w:rsidR="00561338">
              <w:rPr>
                <w:noProof/>
                <w:webHidden/>
              </w:rPr>
              <w:instrText xml:space="preserve"> PAGEREF _Toc184230144 \h </w:instrText>
            </w:r>
            <w:r w:rsidR="00561338">
              <w:rPr>
                <w:noProof/>
                <w:webHidden/>
              </w:rPr>
            </w:r>
            <w:r w:rsidR="00561338">
              <w:rPr>
                <w:noProof/>
                <w:webHidden/>
              </w:rPr>
              <w:fldChar w:fldCharType="separate"/>
            </w:r>
            <w:r w:rsidR="0065760A">
              <w:rPr>
                <w:noProof/>
                <w:webHidden/>
              </w:rPr>
              <w:t>1</w:t>
            </w:r>
            <w:r w:rsidR="00561338">
              <w:rPr>
                <w:noProof/>
                <w:webHidden/>
              </w:rPr>
              <w:fldChar w:fldCharType="end"/>
            </w:r>
          </w:hyperlink>
        </w:p>
        <w:p w14:paraId="28A321FE" w14:textId="77777777" w:rsidR="00561338" w:rsidRDefault="00482385">
          <w:pPr>
            <w:pStyle w:val="TDC2"/>
            <w:rPr>
              <w:rFonts w:asciiTheme="minorHAnsi" w:eastAsiaTheme="minorEastAsia" w:hAnsiTheme="minorHAnsi" w:cstheme="minorBidi"/>
              <w:noProof/>
              <w:szCs w:val="22"/>
              <w:lang w:eastAsia="es-MX"/>
            </w:rPr>
          </w:pPr>
          <w:hyperlink w:anchor="_Toc184230145" w:history="1">
            <w:r w:rsidR="00561338" w:rsidRPr="006C5980">
              <w:rPr>
                <w:rStyle w:val="Hipervnculo"/>
                <w:rFonts w:eastAsiaTheme="majorEastAsia"/>
                <w:noProof/>
              </w:rPr>
              <w:t>DE LAS SOLICITUDES DE INFORMACIÓN</w:t>
            </w:r>
            <w:r w:rsidR="00561338">
              <w:rPr>
                <w:noProof/>
                <w:webHidden/>
              </w:rPr>
              <w:tab/>
            </w:r>
            <w:r w:rsidR="00561338">
              <w:rPr>
                <w:noProof/>
                <w:webHidden/>
              </w:rPr>
              <w:fldChar w:fldCharType="begin"/>
            </w:r>
            <w:r w:rsidR="00561338">
              <w:rPr>
                <w:noProof/>
                <w:webHidden/>
              </w:rPr>
              <w:instrText xml:space="preserve"> PAGEREF _Toc184230145 \h </w:instrText>
            </w:r>
            <w:r w:rsidR="00561338">
              <w:rPr>
                <w:noProof/>
                <w:webHidden/>
              </w:rPr>
            </w:r>
            <w:r w:rsidR="00561338">
              <w:rPr>
                <w:noProof/>
                <w:webHidden/>
              </w:rPr>
              <w:fldChar w:fldCharType="separate"/>
            </w:r>
            <w:r w:rsidR="0065760A">
              <w:rPr>
                <w:noProof/>
                <w:webHidden/>
              </w:rPr>
              <w:t>1</w:t>
            </w:r>
            <w:r w:rsidR="00561338">
              <w:rPr>
                <w:noProof/>
                <w:webHidden/>
              </w:rPr>
              <w:fldChar w:fldCharType="end"/>
            </w:r>
          </w:hyperlink>
        </w:p>
        <w:p w14:paraId="155BE1CC" w14:textId="77777777" w:rsidR="00561338" w:rsidRDefault="00482385">
          <w:pPr>
            <w:pStyle w:val="TDC3"/>
            <w:rPr>
              <w:rFonts w:asciiTheme="minorHAnsi" w:eastAsiaTheme="minorEastAsia" w:hAnsiTheme="minorHAnsi" w:cstheme="minorBidi"/>
              <w:noProof/>
              <w:szCs w:val="22"/>
              <w:lang w:eastAsia="es-MX"/>
            </w:rPr>
          </w:pPr>
          <w:hyperlink w:anchor="_Toc184230146" w:history="1">
            <w:r w:rsidR="00561338" w:rsidRPr="006C5980">
              <w:rPr>
                <w:rStyle w:val="Hipervnculo"/>
                <w:rFonts w:eastAsiaTheme="majorEastAsia"/>
                <w:noProof/>
              </w:rPr>
              <w:t>a) Solicitudes de información.</w:t>
            </w:r>
            <w:r w:rsidR="00561338">
              <w:rPr>
                <w:noProof/>
                <w:webHidden/>
              </w:rPr>
              <w:tab/>
            </w:r>
            <w:r w:rsidR="00561338">
              <w:rPr>
                <w:noProof/>
                <w:webHidden/>
              </w:rPr>
              <w:fldChar w:fldCharType="begin"/>
            </w:r>
            <w:r w:rsidR="00561338">
              <w:rPr>
                <w:noProof/>
                <w:webHidden/>
              </w:rPr>
              <w:instrText xml:space="preserve"> PAGEREF _Toc184230146 \h </w:instrText>
            </w:r>
            <w:r w:rsidR="00561338">
              <w:rPr>
                <w:noProof/>
                <w:webHidden/>
              </w:rPr>
            </w:r>
            <w:r w:rsidR="00561338">
              <w:rPr>
                <w:noProof/>
                <w:webHidden/>
              </w:rPr>
              <w:fldChar w:fldCharType="separate"/>
            </w:r>
            <w:r w:rsidR="0065760A">
              <w:rPr>
                <w:noProof/>
                <w:webHidden/>
              </w:rPr>
              <w:t>1</w:t>
            </w:r>
            <w:r w:rsidR="00561338">
              <w:rPr>
                <w:noProof/>
                <w:webHidden/>
              </w:rPr>
              <w:fldChar w:fldCharType="end"/>
            </w:r>
          </w:hyperlink>
        </w:p>
        <w:p w14:paraId="00F1FE65" w14:textId="77777777" w:rsidR="00561338" w:rsidRDefault="00482385">
          <w:pPr>
            <w:pStyle w:val="TDC3"/>
            <w:rPr>
              <w:rFonts w:asciiTheme="minorHAnsi" w:eastAsiaTheme="minorEastAsia" w:hAnsiTheme="minorHAnsi" w:cstheme="minorBidi"/>
              <w:noProof/>
              <w:szCs w:val="22"/>
              <w:lang w:eastAsia="es-MX"/>
            </w:rPr>
          </w:pPr>
          <w:hyperlink w:anchor="_Toc184230147" w:history="1">
            <w:r w:rsidR="00561338" w:rsidRPr="006C5980">
              <w:rPr>
                <w:rStyle w:val="Hipervnculo"/>
                <w:rFonts w:eastAsiaTheme="majorEastAsia"/>
                <w:noProof/>
              </w:rPr>
              <w:t>b) Respuestas del Sujeto Obligado.</w:t>
            </w:r>
            <w:r w:rsidR="00561338">
              <w:rPr>
                <w:noProof/>
                <w:webHidden/>
              </w:rPr>
              <w:tab/>
            </w:r>
            <w:r w:rsidR="00561338">
              <w:rPr>
                <w:noProof/>
                <w:webHidden/>
              </w:rPr>
              <w:fldChar w:fldCharType="begin"/>
            </w:r>
            <w:r w:rsidR="00561338">
              <w:rPr>
                <w:noProof/>
                <w:webHidden/>
              </w:rPr>
              <w:instrText xml:space="preserve"> PAGEREF _Toc184230147 \h </w:instrText>
            </w:r>
            <w:r w:rsidR="00561338">
              <w:rPr>
                <w:noProof/>
                <w:webHidden/>
              </w:rPr>
            </w:r>
            <w:r w:rsidR="00561338">
              <w:rPr>
                <w:noProof/>
                <w:webHidden/>
              </w:rPr>
              <w:fldChar w:fldCharType="separate"/>
            </w:r>
            <w:r w:rsidR="0065760A">
              <w:rPr>
                <w:noProof/>
                <w:webHidden/>
              </w:rPr>
              <w:t>2</w:t>
            </w:r>
            <w:r w:rsidR="00561338">
              <w:rPr>
                <w:noProof/>
                <w:webHidden/>
              </w:rPr>
              <w:fldChar w:fldCharType="end"/>
            </w:r>
          </w:hyperlink>
        </w:p>
        <w:p w14:paraId="5EB90D68" w14:textId="77777777" w:rsidR="00561338" w:rsidRDefault="00482385">
          <w:pPr>
            <w:pStyle w:val="TDC2"/>
            <w:rPr>
              <w:rFonts w:asciiTheme="minorHAnsi" w:eastAsiaTheme="minorEastAsia" w:hAnsiTheme="minorHAnsi" w:cstheme="minorBidi"/>
              <w:noProof/>
              <w:szCs w:val="22"/>
              <w:lang w:eastAsia="es-MX"/>
            </w:rPr>
          </w:pPr>
          <w:hyperlink w:anchor="_Toc184230148" w:history="1">
            <w:r w:rsidR="00561338" w:rsidRPr="006C5980">
              <w:rPr>
                <w:rStyle w:val="Hipervnculo"/>
                <w:rFonts w:eastAsiaTheme="majorEastAsia"/>
                <w:noProof/>
              </w:rPr>
              <w:t>DEL RECURSO DE REVISIÓN</w:t>
            </w:r>
            <w:r w:rsidR="00561338">
              <w:rPr>
                <w:noProof/>
                <w:webHidden/>
              </w:rPr>
              <w:tab/>
            </w:r>
            <w:r w:rsidR="00561338">
              <w:rPr>
                <w:noProof/>
                <w:webHidden/>
              </w:rPr>
              <w:fldChar w:fldCharType="begin"/>
            </w:r>
            <w:r w:rsidR="00561338">
              <w:rPr>
                <w:noProof/>
                <w:webHidden/>
              </w:rPr>
              <w:instrText xml:space="preserve"> PAGEREF _Toc184230148 \h </w:instrText>
            </w:r>
            <w:r w:rsidR="00561338">
              <w:rPr>
                <w:noProof/>
                <w:webHidden/>
              </w:rPr>
            </w:r>
            <w:r w:rsidR="00561338">
              <w:rPr>
                <w:noProof/>
                <w:webHidden/>
              </w:rPr>
              <w:fldChar w:fldCharType="separate"/>
            </w:r>
            <w:r w:rsidR="0065760A">
              <w:rPr>
                <w:noProof/>
                <w:webHidden/>
              </w:rPr>
              <w:t>4</w:t>
            </w:r>
            <w:r w:rsidR="00561338">
              <w:rPr>
                <w:noProof/>
                <w:webHidden/>
              </w:rPr>
              <w:fldChar w:fldCharType="end"/>
            </w:r>
          </w:hyperlink>
        </w:p>
        <w:p w14:paraId="7C4428C5" w14:textId="77777777" w:rsidR="00561338" w:rsidRDefault="00482385">
          <w:pPr>
            <w:pStyle w:val="TDC3"/>
            <w:rPr>
              <w:rFonts w:asciiTheme="minorHAnsi" w:eastAsiaTheme="minorEastAsia" w:hAnsiTheme="minorHAnsi" w:cstheme="minorBidi"/>
              <w:noProof/>
              <w:szCs w:val="22"/>
              <w:lang w:eastAsia="es-MX"/>
            </w:rPr>
          </w:pPr>
          <w:hyperlink w:anchor="_Toc184230149" w:history="1">
            <w:r w:rsidR="00561338" w:rsidRPr="006C5980">
              <w:rPr>
                <w:rStyle w:val="Hipervnculo"/>
                <w:rFonts w:eastAsiaTheme="majorEastAsia"/>
                <w:noProof/>
              </w:rPr>
              <w:t>a) Interposición de los Recursos de Revisión.</w:t>
            </w:r>
            <w:r w:rsidR="00561338">
              <w:rPr>
                <w:noProof/>
                <w:webHidden/>
              </w:rPr>
              <w:tab/>
            </w:r>
            <w:r w:rsidR="00561338">
              <w:rPr>
                <w:noProof/>
                <w:webHidden/>
              </w:rPr>
              <w:fldChar w:fldCharType="begin"/>
            </w:r>
            <w:r w:rsidR="00561338">
              <w:rPr>
                <w:noProof/>
                <w:webHidden/>
              </w:rPr>
              <w:instrText xml:space="preserve"> PAGEREF _Toc184230149 \h </w:instrText>
            </w:r>
            <w:r w:rsidR="00561338">
              <w:rPr>
                <w:noProof/>
                <w:webHidden/>
              </w:rPr>
            </w:r>
            <w:r w:rsidR="00561338">
              <w:rPr>
                <w:noProof/>
                <w:webHidden/>
              </w:rPr>
              <w:fldChar w:fldCharType="separate"/>
            </w:r>
            <w:r w:rsidR="0065760A">
              <w:rPr>
                <w:noProof/>
                <w:webHidden/>
              </w:rPr>
              <w:t>4</w:t>
            </w:r>
            <w:r w:rsidR="00561338">
              <w:rPr>
                <w:noProof/>
                <w:webHidden/>
              </w:rPr>
              <w:fldChar w:fldCharType="end"/>
            </w:r>
          </w:hyperlink>
        </w:p>
        <w:p w14:paraId="5DDCF8A3" w14:textId="77777777" w:rsidR="00561338" w:rsidRDefault="00482385">
          <w:pPr>
            <w:pStyle w:val="TDC3"/>
            <w:rPr>
              <w:rFonts w:asciiTheme="minorHAnsi" w:eastAsiaTheme="minorEastAsia" w:hAnsiTheme="minorHAnsi" w:cstheme="minorBidi"/>
              <w:noProof/>
              <w:szCs w:val="22"/>
              <w:lang w:eastAsia="es-MX"/>
            </w:rPr>
          </w:pPr>
          <w:hyperlink w:anchor="_Toc184230150" w:history="1">
            <w:r w:rsidR="00561338" w:rsidRPr="006C5980">
              <w:rPr>
                <w:rStyle w:val="Hipervnculo"/>
                <w:rFonts w:eastAsiaTheme="majorEastAsia"/>
                <w:noProof/>
              </w:rPr>
              <w:t>b) Turno de los Recursos de Revisión.</w:t>
            </w:r>
            <w:r w:rsidR="00561338">
              <w:rPr>
                <w:noProof/>
                <w:webHidden/>
              </w:rPr>
              <w:tab/>
            </w:r>
            <w:r w:rsidR="00561338">
              <w:rPr>
                <w:noProof/>
                <w:webHidden/>
              </w:rPr>
              <w:fldChar w:fldCharType="begin"/>
            </w:r>
            <w:r w:rsidR="00561338">
              <w:rPr>
                <w:noProof/>
                <w:webHidden/>
              </w:rPr>
              <w:instrText xml:space="preserve"> PAGEREF _Toc184230150 \h </w:instrText>
            </w:r>
            <w:r w:rsidR="00561338">
              <w:rPr>
                <w:noProof/>
                <w:webHidden/>
              </w:rPr>
            </w:r>
            <w:r w:rsidR="00561338">
              <w:rPr>
                <w:noProof/>
                <w:webHidden/>
              </w:rPr>
              <w:fldChar w:fldCharType="separate"/>
            </w:r>
            <w:r w:rsidR="0065760A">
              <w:rPr>
                <w:noProof/>
                <w:webHidden/>
              </w:rPr>
              <w:t>5</w:t>
            </w:r>
            <w:r w:rsidR="00561338">
              <w:rPr>
                <w:noProof/>
                <w:webHidden/>
              </w:rPr>
              <w:fldChar w:fldCharType="end"/>
            </w:r>
          </w:hyperlink>
        </w:p>
        <w:p w14:paraId="013B74CA" w14:textId="77777777" w:rsidR="00561338" w:rsidRDefault="00482385">
          <w:pPr>
            <w:pStyle w:val="TDC3"/>
            <w:rPr>
              <w:rFonts w:asciiTheme="minorHAnsi" w:eastAsiaTheme="minorEastAsia" w:hAnsiTheme="minorHAnsi" w:cstheme="minorBidi"/>
              <w:noProof/>
              <w:szCs w:val="22"/>
              <w:lang w:eastAsia="es-MX"/>
            </w:rPr>
          </w:pPr>
          <w:hyperlink w:anchor="_Toc184230151" w:history="1">
            <w:r w:rsidR="00561338" w:rsidRPr="006C5980">
              <w:rPr>
                <w:rStyle w:val="Hipervnculo"/>
                <w:rFonts w:eastAsiaTheme="majorEastAsia"/>
                <w:noProof/>
              </w:rPr>
              <w:t>c) Admisiones de los Recursos de Revisión.</w:t>
            </w:r>
            <w:r w:rsidR="00561338">
              <w:rPr>
                <w:noProof/>
                <w:webHidden/>
              </w:rPr>
              <w:tab/>
            </w:r>
            <w:r w:rsidR="00561338">
              <w:rPr>
                <w:noProof/>
                <w:webHidden/>
              </w:rPr>
              <w:fldChar w:fldCharType="begin"/>
            </w:r>
            <w:r w:rsidR="00561338">
              <w:rPr>
                <w:noProof/>
                <w:webHidden/>
              </w:rPr>
              <w:instrText xml:space="preserve"> PAGEREF _Toc184230151 \h </w:instrText>
            </w:r>
            <w:r w:rsidR="00561338">
              <w:rPr>
                <w:noProof/>
                <w:webHidden/>
              </w:rPr>
            </w:r>
            <w:r w:rsidR="00561338">
              <w:rPr>
                <w:noProof/>
                <w:webHidden/>
              </w:rPr>
              <w:fldChar w:fldCharType="separate"/>
            </w:r>
            <w:r w:rsidR="0065760A">
              <w:rPr>
                <w:noProof/>
                <w:webHidden/>
              </w:rPr>
              <w:t>6</w:t>
            </w:r>
            <w:r w:rsidR="00561338">
              <w:rPr>
                <w:noProof/>
                <w:webHidden/>
              </w:rPr>
              <w:fldChar w:fldCharType="end"/>
            </w:r>
          </w:hyperlink>
        </w:p>
        <w:p w14:paraId="60FC0840" w14:textId="77777777" w:rsidR="00561338" w:rsidRDefault="00482385">
          <w:pPr>
            <w:pStyle w:val="TDC3"/>
            <w:rPr>
              <w:rFonts w:asciiTheme="minorHAnsi" w:eastAsiaTheme="minorEastAsia" w:hAnsiTheme="minorHAnsi" w:cstheme="minorBidi"/>
              <w:noProof/>
              <w:szCs w:val="22"/>
              <w:lang w:eastAsia="es-MX"/>
            </w:rPr>
          </w:pPr>
          <w:hyperlink w:anchor="_Toc184230152" w:history="1">
            <w:r w:rsidR="00561338" w:rsidRPr="006C5980">
              <w:rPr>
                <w:rStyle w:val="Hipervnculo"/>
                <w:rFonts w:eastAsiaTheme="majorEastAsia"/>
                <w:noProof/>
              </w:rPr>
              <w:t>d) Acumulación de los Recursos de Revisión</w:t>
            </w:r>
            <w:r w:rsidR="00561338">
              <w:rPr>
                <w:noProof/>
                <w:webHidden/>
              </w:rPr>
              <w:tab/>
            </w:r>
            <w:r w:rsidR="00561338">
              <w:rPr>
                <w:noProof/>
                <w:webHidden/>
              </w:rPr>
              <w:fldChar w:fldCharType="begin"/>
            </w:r>
            <w:r w:rsidR="00561338">
              <w:rPr>
                <w:noProof/>
                <w:webHidden/>
              </w:rPr>
              <w:instrText xml:space="preserve"> PAGEREF _Toc184230152 \h </w:instrText>
            </w:r>
            <w:r w:rsidR="00561338">
              <w:rPr>
                <w:noProof/>
                <w:webHidden/>
              </w:rPr>
            </w:r>
            <w:r w:rsidR="00561338">
              <w:rPr>
                <w:noProof/>
                <w:webHidden/>
              </w:rPr>
              <w:fldChar w:fldCharType="separate"/>
            </w:r>
            <w:r w:rsidR="0065760A">
              <w:rPr>
                <w:noProof/>
                <w:webHidden/>
              </w:rPr>
              <w:t>6</w:t>
            </w:r>
            <w:r w:rsidR="00561338">
              <w:rPr>
                <w:noProof/>
                <w:webHidden/>
              </w:rPr>
              <w:fldChar w:fldCharType="end"/>
            </w:r>
          </w:hyperlink>
        </w:p>
        <w:p w14:paraId="3FD57929" w14:textId="77777777" w:rsidR="00561338" w:rsidRDefault="00482385">
          <w:pPr>
            <w:pStyle w:val="TDC3"/>
            <w:rPr>
              <w:rFonts w:asciiTheme="minorHAnsi" w:eastAsiaTheme="minorEastAsia" w:hAnsiTheme="minorHAnsi" w:cstheme="minorBidi"/>
              <w:noProof/>
              <w:szCs w:val="22"/>
              <w:lang w:eastAsia="es-MX"/>
            </w:rPr>
          </w:pPr>
          <w:hyperlink w:anchor="_Toc184230153" w:history="1">
            <w:r w:rsidR="00561338" w:rsidRPr="006C5980">
              <w:rPr>
                <w:rStyle w:val="Hipervnculo"/>
                <w:rFonts w:eastAsiaTheme="majorEastAsia"/>
                <w:noProof/>
              </w:rPr>
              <w:t>e) Informes Justificados del Sujeto Obligado.</w:t>
            </w:r>
            <w:r w:rsidR="00561338">
              <w:rPr>
                <w:noProof/>
                <w:webHidden/>
              </w:rPr>
              <w:tab/>
            </w:r>
            <w:r w:rsidR="00561338">
              <w:rPr>
                <w:noProof/>
                <w:webHidden/>
              </w:rPr>
              <w:fldChar w:fldCharType="begin"/>
            </w:r>
            <w:r w:rsidR="00561338">
              <w:rPr>
                <w:noProof/>
                <w:webHidden/>
              </w:rPr>
              <w:instrText xml:space="preserve"> PAGEREF _Toc184230153 \h </w:instrText>
            </w:r>
            <w:r w:rsidR="00561338">
              <w:rPr>
                <w:noProof/>
                <w:webHidden/>
              </w:rPr>
            </w:r>
            <w:r w:rsidR="00561338">
              <w:rPr>
                <w:noProof/>
                <w:webHidden/>
              </w:rPr>
              <w:fldChar w:fldCharType="separate"/>
            </w:r>
            <w:r w:rsidR="0065760A">
              <w:rPr>
                <w:noProof/>
                <w:webHidden/>
              </w:rPr>
              <w:t>6</w:t>
            </w:r>
            <w:r w:rsidR="00561338">
              <w:rPr>
                <w:noProof/>
                <w:webHidden/>
              </w:rPr>
              <w:fldChar w:fldCharType="end"/>
            </w:r>
          </w:hyperlink>
        </w:p>
        <w:p w14:paraId="7B95ED23" w14:textId="77777777" w:rsidR="00561338" w:rsidRDefault="00482385">
          <w:pPr>
            <w:pStyle w:val="TDC3"/>
            <w:rPr>
              <w:rFonts w:asciiTheme="minorHAnsi" w:eastAsiaTheme="minorEastAsia" w:hAnsiTheme="minorHAnsi" w:cstheme="minorBidi"/>
              <w:noProof/>
              <w:szCs w:val="22"/>
              <w:lang w:eastAsia="es-MX"/>
            </w:rPr>
          </w:pPr>
          <w:hyperlink w:anchor="_Toc184230154" w:history="1">
            <w:r w:rsidR="00561338" w:rsidRPr="006C5980">
              <w:rPr>
                <w:rStyle w:val="Hipervnculo"/>
                <w:rFonts w:eastAsiaTheme="majorEastAsia"/>
                <w:noProof/>
              </w:rPr>
              <w:t>f) Manifestaciones de la Parte Recurrente.</w:t>
            </w:r>
            <w:r w:rsidR="00561338">
              <w:rPr>
                <w:noProof/>
                <w:webHidden/>
              </w:rPr>
              <w:tab/>
            </w:r>
            <w:r w:rsidR="00561338">
              <w:rPr>
                <w:noProof/>
                <w:webHidden/>
              </w:rPr>
              <w:fldChar w:fldCharType="begin"/>
            </w:r>
            <w:r w:rsidR="00561338">
              <w:rPr>
                <w:noProof/>
                <w:webHidden/>
              </w:rPr>
              <w:instrText xml:space="preserve"> PAGEREF _Toc184230154 \h </w:instrText>
            </w:r>
            <w:r w:rsidR="00561338">
              <w:rPr>
                <w:noProof/>
                <w:webHidden/>
              </w:rPr>
            </w:r>
            <w:r w:rsidR="00561338">
              <w:rPr>
                <w:noProof/>
                <w:webHidden/>
              </w:rPr>
              <w:fldChar w:fldCharType="separate"/>
            </w:r>
            <w:r w:rsidR="0065760A">
              <w:rPr>
                <w:noProof/>
                <w:webHidden/>
              </w:rPr>
              <w:t>6</w:t>
            </w:r>
            <w:r w:rsidR="00561338">
              <w:rPr>
                <w:noProof/>
                <w:webHidden/>
              </w:rPr>
              <w:fldChar w:fldCharType="end"/>
            </w:r>
          </w:hyperlink>
        </w:p>
        <w:p w14:paraId="41B7505A" w14:textId="77777777" w:rsidR="00561338" w:rsidRDefault="00482385">
          <w:pPr>
            <w:pStyle w:val="TDC3"/>
            <w:rPr>
              <w:rFonts w:asciiTheme="minorHAnsi" w:eastAsiaTheme="minorEastAsia" w:hAnsiTheme="minorHAnsi" w:cstheme="minorBidi"/>
              <w:noProof/>
              <w:szCs w:val="22"/>
              <w:lang w:eastAsia="es-MX"/>
            </w:rPr>
          </w:pPr>
          <w:hyperlink w:anchor="_Toc184230155" w:history="1">
            <w:r w:rsidR="00561338" w:rsidRPr="006C5980">
              <w:rPr>
                <w:rStyle w:val="Hipervnculo"/>
                <w:rFonts w:eastAsiaTheme="majorEastAsia"/>
                <w:noProof/>
              </w:rPr>
              <w:t>g) Cierres de instrucción.</w:t>
            </w:r>
            <w:r w:rsidR="00561338">
              <w:rPr>
                <w:noProof/>
                <w:webHidden/>
              </w:rPr>
              <w:tab/>
            </w:r>
            <w:r w:rsidR="00561338">
              <w:rPr>
                <w:noProof/>
                <w:webHidden/>
              </w:rPr>
              <w:fldChar w:fldCharType="begin"/>
            </w:r>
            <w:r w:rsidR="00561338">
              <w:rPr>
                <w:noProof/>
                <w:webHidden/>
              </w:rPr>
              <w:instrText xml:space="preserve"> PAGEREF _Toc184230155 \h </w:instrText>
            </w:r>
            <w:r w:rsidR="00561338">
              <w:rPr>
                <w:noProof/>
                <w:webHidden/>
              </w:rPr>
            </w:r>
            <w:r w:rsidR="00561338">
              <w:rPr>
                <w:noProof/>
                <w:webHidden/>
              </w:rPr>
              <w:fldChar w:fldCharType="separate"/>
            </w:r>
            <w:r w:rsidR="0065760A">
              <w:rPr>
                <w:noProof/>
                <w:webHidden/>
              </w:rPr>
              <w:t>6</w:t>
            </w:r>
            <w:r w:rsidR="00561338">
              <w:rPr>
                <w:noProof/>
                <w:webHidden/>
              </w:rPr>
              <w:fldChar w:fldCharType="end"/>
            </w:r>
          </w:hyperlink>
        </w:p>
        <w:p w14:paraId="30925142" w14:textId="77777777" w:rsidR="00561338" w:rsidRDefault="00482385">
          <w:pPr>
            <w:pStyle w:val="TDC1"/>
            <w:tabs>
              <w:tab w:val="right" w:leader="dot" w:pos="9034"/>
            </w:tabs>
            <w:rPr>
              <w:rFonts w:asciiTheme="minorHAnsi" w:eastAsiaTheme="minorEastAsia" w:hAnsiTheme="minorHAnsi" w:cstheme="minorBidi"/>
              <w:noProof/>
              <w:szCs w:val="22"/>
              <w:lang w:eastAsia="es-MX"/>
            </w:rPr>
          </w:pPr>
          <w:hyperlink w:anchor="_Toc184230156" w:history="1">
            <w:r w:rsidR="00561338" w:rsidRPr="006C5980">
              <w:rPr>
                <w:rStyle w:val="Hipervnculo"/>
                <w:rFonts w:eastAsiaTheme="majorEastAsia"/>
                <w:noProof/>
              </w:rPr>
              <w:t>CONSIDERANDOS</w:t>
            </w:r>
            <w:r w:rsidR="00561338">
              <w:rPr>
                <w:noProof/>
                <w:webHidden/>
              </w:rPr>
              <w:tab/>
            </w:r>
            <w:r w:rsidR="00561338">
              <w:rPr>
                <w:noProof/>
                <w:webHidden/>
              </w:rPr>
              <w:fldChar w:fldCharType="begin"/>
            </w:r>
            <w:r w:rsidR="00561338">
              <w:rPr>
                <w:noProof/>
                <w:webHidden/>
              </w:rPr>
              <w:instrText xml:space="preserve"> PAGEREF _Toc184230156 \h </w:instrText>
            </w:r>
            <w:r w:rsidR="00561338">
              <w:rPr>
                <w:noProof/>
                <w:webHidden/>
              </w:rPr>
            </w:r>
            <w:r w:rsidR="00561338">
              <w:rPr>
                <w:noProof/>
                <w:webHidden/>
              </w:rPr>
              <w:fldChar w:fldCharType="separate"/>
            </w:r>
            <w:r w:rsidR="0065760A">
              <w:rPr>
                <w:noProof/>
                <w:webHidden/>
              </w:rPr>
              <w:t>7</w:t>
            </w:r>
            <w:r w:rsidR="00561338">
              <w:rPr>
                <w:noProof/>
                <w:webHidden/>
              </w:rPr>
              <w:fldChar w:fldCharType="end"/>
            </w:r>
          </w:hyperlink>
        </w:p>
        <w:p w14:paraId="78440C2B" w14:textId="77777777" w:rsidR="00561338" w:rsidRDefault="00482385">
          <w:pPr>
            <w:pStyle w:val="TDC2"/>
            <w:rPr>
              <w:rFonts w:asciiTheme="minorHAnsi" w:eastAsiaTheme="minorEastAsia" w:hAnsiTheme="minorHAnsi" w:cstheme="minorBidi"/>
              <w:noProof/>
              <w:szCs w:val="22"/>
              <w:lang w:eastAsia="es-MX"/>
            </w:rPr>
          </w:pPr>
          <w:hyperlink w:anchor="_Toc184230157" w:history="1">
            <w:r w:rsidR="00561338" w:rsidRPr="006C5980">
              <w:rPr>
                <w:rStyle w:val="Hipervnculo"/>
                <w:rFonts w:eastAsiaTheme="majorEastAsia"/>
                <w:noProof/>
              </w:rPr>
              <w:t>PRIMERO. Procedibilidad</w:t>
            </w:r>
            <w:r w:rsidR="00561338">
              <w:rPr>
                <w:noProof/>
                <w:webHidden/>
              </w:rPr>
              <w:tab/>
            </w:r>
            <w:r w:rsidR="00561338">
              <w:rPr>
                <w:noProof/>
                <w:webHidden/>
              </w:rPr>
              <w:fldChar w:fldCharType="begin"/>
            </w:r>
            <w:r w:rsidR="00561338">
              <w:rPr>
                <w:noProof/>
                <w:webHidden/>
              </w:rPr>
              <w:instrText xml:space="preserve"> PAGEREF _Toc184230157 \h </w:instrText>
            </w:r>
            <w:r w:rsidR="00561338">
              <w:rPr>
                <w:noProof/>
                <w:webHidden/>
              </w:rPr>
            </w:r>
            <w:r w:rsidR="00561338">
              <w:rPr>
                <w:noProof/>
                <w:webHidden/>
              </w:rPr>
              <w:fldChar w:fldCharType="separate"/>
            </w:r>
            <w:r w:rsidR="0065760A">
              <w:rPr>
                <w:noProof/>
                <w:webHidden/>
              </w:rPr>
              <w:t>7</w:t>
            </w:r>
            <w:r w:rsidR="00561338">
              <w:rPr>
                <w:noProof/>
                <w:webHidden/>
              </w:rPr>
              <w:fldChar w:fldCharType="end"/>
            </w:r>
          </w:hyperlink>
        </w:p>
        <w:p w14:paraId="6593BA7D" w14:textId="77777777" w:rsidR="00561338" w:rsidRDefault="00482385">
          <w:pPr>
            <w:pStyle w:val="TDC3"/>
            <w:rPr>
              <w:rFonts w:asciiTheme="minorHAnsi" w:eastAsiaTheme="minorEastAsia" w:hAnsiTheme="minorHAnsi" w:cstheme="minorBidi"/>
              <w:noProof/>
              <w:szCs w:val="22"/>
              <w:lang w:eastAsia="es-MX"/>
            </w:rPr>
          </w:pPr>
          <w:hyperlink w:anchor="_Toc184230158" w:history="1">
            <w:r w:rsidR="00561338" w:rsidRPr="006C5980">
              <w:rPr>
                <w:rStyle w:val="Hipervnculo"/>
                <w:rFonts w:eastAsiaTheme="majorEastAsia"/>
                <w:noProof/>
              </w:rPr>
              <w:t>a) Competencia del Instituto.</w:t>
            </w:r>
            <w:r w:rsidR="00561338">
              <w:rPr>
                <w:noProof/>
                <w:webHidden/>
              </w:rPr>
              <w:tab/>
            </w:r>
            <w:r w:rsidR="00561338">
              <w:rPr>
                <w:noProof/>
                <w:webHidden/>
              </w:rPr>
              <w:fldChar w:fldCharType="begin"/>
            </w:r>
            <w:r w:rsidR="00561338">
              <w:rPr>
                <w:noProof/>
                <w:webHidden/>
              </w:rPr>
              <w:instrText xml:space="preserve"> PAGEREF _Toc184230158 \h </w:instrText>
            </w:r>
            <w:r w:rsidR="00561338">
              <w:rPr>
                <w:noProof/>
                <w:webHidden/>
              </w:rPr>
            </w:r>
            <w:r w:rsidR="00561338">
              <w:rPr>
                <w:noProof/>
                <w:webHidden/>
              </w:rPr>
              <w:fldChar w:fldCharType="separate"/>
            </w:r>
            <w:r w:rsidR="0065760A">
              <w:rPr>
                <w:noProof/>
                <w:webHidden/>
              </w:rPr>
              <w:t>7</w:t>
            </w:r>
            <w:r w:rsidR="00561338">
              <w:rPr>
                <w:noProof/>
                <w:webHidden/>
              </w:rPr>
              <w:fldChar w:fldCharType="end"/>
            </w:r>
          </w:hyperlink>
        </w:p>
        <w:p w14:paraId="6F664AC3" w14:textId="77777777" w:rsidR="00561338" w:rsidRDefault="00482385">
          <w:pPr>
            <w:pStyle w:val="TDC3"/>
            <w:rPr>
              <w:rFonts w:asciiTheme="minorHAnsi" w:eastAsiaTheme="minorEastAsia" w:hAnsiTheme="minorHAnsi" w:cstheme="minorBidi"/>
              <w:noProof/>
              <w:szCs w:val="22"/>
              <w:lang w:eastAsia="es-MX"/>
            </w:rPr>
          </w:pPr>
          <w:hyperlink w:anchor="_Toc184230159" w:history="1">
            <w:r w:rsidR="00561338" w:rsidRPr="006C5980">
              <w:rPr>
                <w:rStyle w:val="Hipervnculo"/>
                <w:rFonts w:eastAsiaTheme="majorEastAsia"/>
                <w:noProof/>
              </w:rPr>
              <w:t>b) Legitimidad de la parte recurrente.</w:t>
            </w:r>
            <w:r w:rsidR="00561338">
              <w:rPr>
                <w:noProof/>
                <w:webHidden/>
              </w:rPr>
              <w:tab/>
            </w:r>
            <w:r w:rsidR="00561338">
              <w:rPr>
                <w:noProof/>
                <w:webHidden/>
              </w:rPr>
              <w:fldChar w:fldCharType="begin"/>
            </w:r>
            <w:r w:rsidR="00561338">
              <w:rPr>
                <w:noProof/>
                <w:webHidden/>
              </w:rPr>
              <w:instrText xml:space="preserve"> PAGEREF _Toc184230159 \h </w:instrText>
            </w:r>
            <w:r w:rsidR="00561338">
              <w:rPr>
                <w:noProof/>
                <w:webHidden/>
              </w:rPr>
            </w:r>
            <w:r w:rsidR="00561338">
              <w:rPr>
                <w:noProof/>
                <w:webHidden/>
              </w:rPr>
              <w:fldChar w:fldCharType="separate"/>
            </w:r>
            <w:r w:rsidR="0065760A">
              <w:rPr>
                <w:noProof/>
                <w:webHidden/>
              </w:rPr>
              <w:t>7</w:t>
            </w:r>
            <w:r w:rsidR="00561338">
              <w:rPr>
                <w:noProof/>
                <w:webHidden/>
              </w:rPr>
              <w:fldChar w:fldCharType="end"/>
            </w:r>
          </w:hyperlink>
        </w:p>
        <w:p w14:paraId="424F169F" w14:textId="77777777" w:rsidR="00561338" w:rsidRDefault="00482385">
          <w:pPr>
            <w:pStyle w:val="TDC3"/>
            <w:rPr>
              <w:rFonts w:asciiTheme="minorHAnsi" w:eastAsiaTheme="minorEastAsia" w:hAnsiTheme="minorHAnsi" w:cstheme="minorBidi"/>
              <w:noProof/>
              <w:szCs w:val="22"/>
              <w:lang w:eastAsia="es-MX"/>
            </w:rPr>
          </w:pPr>
          <w:hyperlink w:anchor="_Toc184230160" w:history="1">
            <w:r w:rsidR="00561338" w:rsidRPr="006C5980">
              <w:rPr>
                <w:rStyle w:val="Hipervnculo"/>
                <w:rFonts w:eastAsiaTheme="majorEastAsia"/>
                <w:noProof/>
              </w:rPr>
              <w:t>c) Plazo para interponer el recurso</w:t>
            </w:r>
            <w:r w:rsidR="00561338">
              <w:rPr>
                <w:noProof/>
                <w:webHidden/>
              </w:rPr>
              <w:tab/>
            </w:r>
            <w:r w:rsidR="00561338">
              <w:rPr>
                <w:noProof/>
                <w:webHidden/>
              </w:rPr>
              <w:fldChar w:fldCharType="begin"/>
            </w:r>
            <w:r w:rsidR="00561338">
              <w:rPr>
                <w:noProof/>
                <w:webHidden/>
              </w:rPr>
              <w:instrText xml:space="preserve"> PAGEREF _Toc184230160 \h </w:instrText>
            </w:r>
            <w:r w:rsidR="00561338">
              <w:rPr>
                <w:noProof/>
                <w:webHidden/>
              </w:rPr>
            </w:r>
            <w:r w:rsidR="00561338">
              <w:rPr>
                <w:noProof/>
                <w:webHidden/>
              </w:rPr>
              <w:fldChar w:fldCharType="separate"/>
            </w:r>
            <w:r w:rsidR="0065760A">
              <w:rPr>
                <w:noProof/>
                <w:webHidden/>
              </w:rPr>
              <w:t>8</w:t>
            </w:r>
            <w:r w:rsidR="00561338">
              <w:rPr>
                <w:noProof/>
                <w:webHidden/>
              </w:rPr>
              <w:fldChar w:fldCharType="end"/>
            </w:r>
          </w:hyperlink>
        </w:p>
        <w:p w14:paraId="6F23AE4C" w14:textId="77777777" w:rsidR="00561338" w:rsidRDefault="00482385">
          <w:pPr>
            <w:pStyle w:val="TDC3"/>
            <w:rPr>
              <w:rFonts w:asciiTheme="minorHAnsi" w:eastAsiaTheme="minorEastAsia" w:hAnsiTheme="minorHAnsi" w:cstheme="minorBidi"/>
              <w:noProof/>
              <w:szCs w:val="22"/>
              <w:lang w:eastAsia="es-MX"/>
            </w:rPr>
          </w:pPr>
          <w:hyperlink w:anchor="_Toc184230161" w:history="1">
            <w:r w:rsidR="00561338" w:rsidRPr="006C5980">
              <w:rPr>
                <w:rStyle w:val="Hipervnculo"/>
                <w:rFonts w:eastAsiaTheme="majorEastAsia"/>
                <w:noProof/>
              </w:rPr>
              <w:t>d) Causal de procedencia</w:t>
            </w:r>
            <w:r w:rsidR="00561338">
              <w:rPr>
                <w:noProof/>
                <w:webHidden/>
              </w:rPr>
              <w:tab/>
            </w:r>
            <w:r w:rsidR="00561338">
              <w:rPr>
                <w:noProof/>
                <w:webHidden/>
              </w:rPr>
              <w:fldChar w:fldCharType="begin"/>
            </w:r>
            <w:r w:rsidR="00561338">
              <w:rPr>
                <w:noProof/>
                <w:webHidden/>
              </w:rPr>
              <w:instrText xml:space="preserve"> PAGEREF _Toc184230161 \h </w:instrText>
            </w:r>
            <w:r w:rsidR="00561338">
              <w:rPr>
                <w:noProof/>
                <w:webHidden/>
              </w:rPr>
            </w:r>
            <w:r w:rsidR="00561338">
              <w:rPr>
                <w:noProof/>
                <w:webHidden/>
              </w:rPr>
              <w:fldChar w:fldCharType="separate"/>
            </w:r>
            <w:r w:rsidR="0065760A">
              <w:rPr>
                <w:noProof/>
                <w:webHidden/>
              </w:rPr>
              <w:t>8</w:t>
            </w:r>
            <w:r w:rsidR="00561338">
              <w:rPr>
                <w:noProof/>
                <w:webHidden/>
              </w:rPr>
              <w:fldChar w:fldCharType="end"/>
            </w:r>
          </w:hyperlink>
        </w:p>
        <w:p w14:paraId="46E27FF6" w14:textId="77777777" w:rsidR="00561338" w:rsidRDefault="00482385">
          <w:pPr>
            <w:pStyle w:val="TDC3"/>
            <w:rPr>
              <w:rFonts w:asciiTheme="minorHAnsi" w:eastAsiaTheme="minorEastAsia" w:hAnsiTheme="minorHAnsi" w:cstheme="minorBidi"/>
              <w:noProof/>
              <w:szCs w:val="22"/>
              <w:lang w:eastAsia="es-MX"/>
            </w:rPr>
          </w:pPr>
          <w:hyperlink w:anchor="_Toc184230162" w:history="1">
            <w:r w:rsidR="00561338" w:rsidRPr="006C5980">
              <w:rPr>
                <w:rStyle w:val="Hipervnculo"/>
                <w:rFonts w:eastAsiaTheme="majorEastAsia"/>
                <w:noProof/>
              </w:rPr>
              <w:t>e) Requisitos formales para la interposición del recurso.</w:t>
            </w:r>
            <w:r w:rsidR="00561338">
              <w:rPr>
                <w:noProof/>
                <w:webHidden/>
              </w:rPr>
              <w:tab/>
            </w:r>
            <w:r w:rsidR="00561338">
              <w:rPr>
                <w:noProof/>
                <w:webHidden/>
              </w:rPr>
              <w:fldChar w:fldCharType="begin"/>
            </w:r>
            <w:r w:rsidR="00561338">
              <w:rPr>
                <w:noProof/>
                <w:webHidden/>
              </w:rPr>
              <w:instrText xml:space="preserve"> PAGEREF _Toc184230162 \h </w:instrText>
            </w:r>
            <w:r w:rsidR="00561338">
              <w:rPr>
                <w:noProof/>
                <w:webHidden/>
              </w:rPr>
            </w:r>
            <w:r w:rsidR="00561338">
              <w:rPr>
                <w:noProof/>
                <w:webHidden/>
              </w:rPr>
              <w:fldChar w:fldCharType="separate"/>
            </w:r>
            <w:r w:rsidR="0065760A">
              <w:rPr>
                <w:noProof/>
                <w:webHidden/>
              </w:rPr>
              <w:t>8</w:t>
            </w:r>
            <w:r w:rsidR="00561338">
              <w:rPr>
                <w:noProof/>
                <w:webHidden/>
              </w:rPr>
              <w:fldChar w:fldCharType="end"/>
            </w:r>
          </w:hyperlink>
        </w:p>
        <w:p w14:paraId="7A53DF00" w14:textId="77777777" w:rsidR="00561338" w:rsidRDefault="00482385">
          <w:pPr>
            <w:pStyle w:val="TDC3"/>
            <w:rPr>
              <w:rFonts w:asciiTheme="minorHAnsi" w:eastAsiaTheme="minorEastAsia" w:hAnsiTheme="minorHAnsi" w:cstheme="minorBidi"/>
              <w:noProof/>
              <w:szCs w:val="22"/>
              <w:lang w:eastAsia="es-MX"/>
            </w:rPr>
          </w:pPr>
          <w:hyperlink w:anchor="_Toc184230163" w:history="1">
            <w:r w:rsidR="00561338" w:rsidRPr="006C5980">
              <w:rPr>
                <w:rStyle w:val="Hipervnculo"/>
                <w:rFonts w:eastAsiaTheme="majorEastAsia"/>
                <w:noProof/>
              </w:rPr>
              <w:t>f) Acumulación de los Recursos de Revisión</w:t>
            </w:r>
            <w:r w:rsidR="00561338">
              <w:rPr>
                <w:noProof/>
                <w:webHidden/>
              </w:rPr>
              <w:tab/>
            </w:r>
            <w:r w:rsidR="00561338">
              <w:rPr>
                <w:noProof/>
                <w:webHidden/>
              </w:rPr>
              <w:fldChar w:fldCharType="begin"/>
            </w:r>
            <w:r w:rsidR="00561338">
              <w:rPr>
                <w:noProof/>
                <w:webHidden/>
              </w:rPr>
              <w:instrText xml:space="preserve"> PAGEREF _Toc184230163 \h </w:instrText>
            </w:r>
            <w:r w:rsidR="00561338">
              <w:rPr>
                <w:noProof/>
                <w:webHidden/>
              </w:rPr>
            </w:r>
            <w:r w:rsidR="00561338">
              <w:rPr>
                <w:noProof/>
                <w:webHidden/>
              </w:rPr>
              <w:fldChar w:fldCharType="separate"/>
            </w:r>
            <w:r w:rsidR="0065760A">
              <w:rPr>
                <w:noProof/>
                <w:webHidden/>
              </w:rPr>
              <w:t>8</w:t>
            </w:r>
            <w:r w:rsidR="00561338">
              <w:rPr>
                <w:noProof/>
                <w:webHidden/>
              </w:rPr>
              <w:fldChar w:fldCharType="end"/>
            </w:r>
          </w:hyperlink>
        </w:p>
        <w:p w14:paraId="7E9EECA5" w14:textId="77777777" w:rsidR="00561338" w:rsidRDefault="00482385">
          <w:pPr>
            <w:pStyle w:val="TDC2"/>
            <w:rPr>
              <w:rFonts w:asciiTheme="minorHAnsi" w:eastAsiaTheme="minorEastAsia" w:hAnsiTheme="minorHAnsi" w:cstheme="minorBidi"/>
              <w:noProof/>
              <w:szCs w:val="22"/>
              <w:lang w:eastAsia="es-MX"/>
            </w:rPr>
          </w:pPr>
          <w:hyperlink w:anchor="_Toc184230164" w:history="1">
            <w:r w:rsidR="00561338" w:rsidRPr="006C5980">
              <w:rPr>
                <w:rStyle w:val="Hipervnculo"/>
                <w:rFonts w:eastAsiaTheme="majorEastAsia"/>
                <w:noProof/>
              </w:rPr>
              <w:t>SEGUNDO. Estudio de Fondo.</w:t>
            </w:r>
            <w:r w:rsidR="00561338">
              <w:rPr>
                <w:noProof/>
                <w:webHidden/>
              </w:rPr>
              <w:tab/>
            </w:r>
            <w:r w:rsidR="00561338">
              <w:rPr>
                <w:noProof/>
                <w:webHidden/>
              </w:rPr>
              <w:fldChar w:fldCharType="begin"/>
            </w:r>
            <w:r w:rsidR="00561338">
              <w:rPr>
                <w:noProof/>
                <w:webHidden/>
              </w:rPr>
              <w:instrText xml:space="preserve"> PAGEREF _Toc184230164 \h </w:instrText>
            </w:r>
            <w:r w:rsidR="00561338">
              <w:rPr>
                <w:noProof/>
                <w:webHidden/>
              </w:rPr>
            </w:r>
            <w:r w:rsidR="00561338">
              <w:rPr>
                <w:noProof/>
                <w:webHidden/>
              </w:rPr>
              <w:fldChar w:fldCharType="separate"/>
            </w:r>
            <w:r w:rsidR="0065760A">
              <w:rPr>
                <w:noProof/>
                <w:webHidden/>
              </w:rPr>
              <w:t>9</w:t>
            </w:r>
            <w:r w:rsidR="00561338">
              <w:rPr>
                <w:noProof/>
                <w:webHidden/>
              </w:rPr>
              <w:fldChar w:fldCharType="end"/>
            </w:r>
          </w:hyperlink>
        </w:p>
        <w:p w14:paraId="31E97AA4" w14:textId="77777777" w:rsidR="00561338" w:rsidRDefault="00482385">
          <w:pPr>
            <w:pStyle w:val="TDC3"/>
            <w:rPr>
              <w:rFonts w:asciiTheme="minorHAnsi" w:eastAsiaTheme="minorEastAsia" w:hAnsiTheme="minorHAnsi" w:cstheme="minorBidi"/>
              <w:noProof/>
              <w:szCs w:val="22"/>
              <w:lang w:eastAsia="es-MX"/>
            </w:rPr>
          </w:pPr>
          <w:hyperlink w:anchor="_Toc184230165" w:history="1">
            <w:r w:rsidR="00561338" w:rsidRPr="006C5980">
              <w:rPr>
                <w:rStyle w:val="Hipervnculo"/>
                <w:rFonts w:eastAsiaTheme="majorEastAsia"/>
                <w:noProof/>
              </w:rPr>
              <w:t>a) Mandato de transparencia y responsabilidad del Sujeto Obligado</w:t>
            </w:r>
            <w:r w:rsidR="00561338">
              <w:rPr>
                <w:noProof/>
                <w:webHidden/>
              </w:rPr>
              <w:tab/>
            </w:r>
            <w:r w:rsidR="00561338">
              <w:rPr>
                <w:noProof/>
                <w:webHidden/>
              </w:rPr>
              <w:fldChar w:fldCharType="begin"/>
            </w:r>
            <w:r w:rsidR="00561338">
              <w:rPr>
                <w:noProof/>
                <w:webHidden/>
              </w:rPr>
              <w:instrText xml:space="preserve"> PAGEREF _Toc184230165 \h </w:instrText>
            </w:r>
            <w:r w:rsidR="00561338">
              <w:rPr>
                <w:noProof/>
                <w:webHidden/>
              </w:rPr>
            </w:r>
            <w:r w:rsidR="00561338">
              <w:rPr>
                <w:noProof/>
                <w:webHidden/>
              </w:rPr>
              <w:fldChar w:fldCharType="separate"/>
            </w:r>
            <w:r w:rsidR="0065760A">
              <w:rPr>
                <w:noProof/>
                <w:webHidden/>
              </w:rPr>
              <w:t>9</w:t>
            </w:r>
            <w:r w:rsidR="00561338">
              <w:rPr>
                <w:noProof/>
                <w:webHidden/>
              </w:rPr>
              <w:fldChar w:fldCharType="end"/>
            </w:r>
          </w:hyperlink>
        </w:p>
        <w:p w14:paraId="6512B36D" w14:textId="77777777" w:rsidR="00561338" w:rsidRDefault="00482385">
          <w:pPr>
            <w:pStyle w:val="TDC3"/>
            <w:rPr>
              <w:rFonts w:asciiTheme="minorHAnsi" w:eastAsiaTheme="minorEastAsia" w:hAnsiTheme="minorHAnsi" w:cstheme="minorBidi"/>
              <w:noProof/>
              <w:szCs w:val="22"/>
              <w:lang w:eastAsia="es-MX"/>
            </w:rPr>
          </w:pPr>
          <w:hyperlink w:anchor="_Toc184230166" w:history="1">
            <w:r w:rsidR="00561338" w:rsidRPr="006C5980">
              <w:rPr>
                <w:rStyle w:val="Hipervnculo"/>
                <w:rFonts w:eastAsiaTheme="majorEastAsia"/>
                <w:noProof/>
              </w:rPr>
              <w:t>b) Controversia a resolver.</w:t>
            </w:r>
            <w:r w:rsidR="00561338">
              <w:rPr>
                <w:noProof/>
                <w:webHidden/>
              </w:rPr>
              <w:tab/>
            </w:r>
            <w:r w:rsidR="00561338">
              <w:rPr>
                <w:noProof/>
                <w:webHidden/>
              </w:rPr>
              <w:fldChar w:fldCharType="begin"/>
            </w:r>
            <w:r w:rsidR="00561338">
              <w:rPr>
                <w:noProof/>
                <w:webHidden/>
              </w:rPr>
              <w:instrText xml:space="preserve"> PAGEREF _Toc184230166 \h </w:instrText>
            </w:r>
            <w:r w:rsidR="00561338">
              <w:rPr>
                <w:noProof/>
                <w:webHidden/>
              </w:rPr>
            </w:r>
            <w:r w:rsidR="00561338">
              <w:rPr>
                <w:noProof/>
                <w:webHidden/>
              </w:rPr>
              <w:fldChar w:fldCharType="separate"/>
            </w:r>
            <w:r w:rsidR="0065760A">
              <w:rPr>
                <w:noProof/>
                <w:webHidden/>
              </w:rPr>
              <w:t>11</w:t>
            </w:r>
            <w:r w:rsidR="00561338">
              <w:rPr>
                <w:noProof/>
                <w:webHidden/>
              </w:rPr>
              <w:fldChar w:fldCharType="end"/>
            </w:r>
          </w:hyperlink>
        </w:p>
        <w:p w14:paraId="197A523D" w14:textId="77777777" w:rsidR="00561338" w:rsidRDefault="00482385">
          <w:pPr>
            <w:pStyle w:val="TDC3"/>
            <w:rPr>
              <w:rFonts w:asciiTheme="minorHAnsi" w:eastAsiaTheme="minorEastAsia" w:hAnsiTheme="minorHAnsi" w:cstheme="minorBidi"/>
              <w:noProof/>
              <w:szCs w:val="22"/>
              <w:lang w:eastAsia="es-MX"/>
            </w:rPr>
          </w:pPr>
          <w:hyperlink w:anchor="_Toc184230167" w:history="1">
            <w:r w:rsidR="00561338" w:rsidRPr="006C5980">
              <w:rPr>
                <w:rStyle w:val="Hipervnculo"/>
                <w:rFonts w:eastAsiaTheme="majorEastAsia"/>
                <w:noProof/>
              </w:rPr>
              <w:t>c) Estudio de la controversia</w:t>
            </w:r>
            <w:r w:rsidR="00561338">
              <w:rPr>
                <w:noProof/>
                <w:webHidden/>
              </w:rPr>
              <w:tab/>
            </w:r>
            <w:r w:rsidR="00561338">
              <w:rPr>
                <w:noProof/>
                <w:webHidden/>
              </w:rPr>
              <w:fldChar w:fldCharType="begin"/>
            </w:r>
            <w:r w:rsidR="00561338">
              <w:rPr>
                <w:noProof/>
                <w:webHidden/>
              </w:rPr>
              <w:instrText xml:space="preserve"> PAGEREF _Toc184230167 \h </w:instrText>
            </w:r>
            <w:r w:rsidR="00561338">
              <w:rPr>
                <w:noProof/>
                <w:webHidden/>
              </w:rPr>
            </w:r>
            <w:r w:rsidR="00561338">
              <w:rPr>
                <w:noProof/>
                <w:webHidden/>
              </w:rPr>
              <w:fldChar w:fldCharType="separate"/>
            </w:r>
            <w:r w:rsidR="0065760A">
              <w:rPr>
                <w:noProof/>
                <w:webHidden/>
              </w:rPr>
              <w:t>13</w:t>
            </w:r>
            <w:r w:rsidR="00561338">
              <w:rPr>
                <w:noProof/>
                <w:webHidden/>
              </w:rPr>
              <w:fldChar w:fldCharType="end"/>
            </w:r>
          </w:hyperlink>
        </w:p>
        <w:p w14:paraId="04B1A862" w14:textId="77777777" w:rsidR="00561338" w:rsidRDefault="00482385">
          <w:pPr>
            <w:pStyle w:val="TDC3"/>
            <w:rPr>
              <w:rFonts w:asciiTheme="minorHAnsi" w:eastAsiaTheme="minorEastAsia" w:hAnsiTheme="minorHAnsi" w:cstheme="minorBidi"/>
              <w:noProof/>
              <w:szCs w:val="22"/>
              <w:lang w:eastAsia="es-MX"/>
            </w:rPr>
          </w:pPr>
          <w:hyperlink w:anchor="_Toc184230168" w:history="1">
            <w:r w:rsidR="00561338" w:rsidRPr="006C5980">
              <w:rPr>
                <w:rStyle w:val="Hipervnculo"/>
                <w:rFonts w:eastAsiaTheme="majorEastAsia"/>
                <w:noProof/>
              </w:rPr>
              <w:t>d) Versión pública</w:t>
            </w:r>
            <w:r w:rsidR="00561338">
              <w:rPr>
                <w:noProof/>
                <w:webHidden/>
              </w:rPr>
              <w:tab/>
            </w:r>
            <w:r w:rsidR="00561338">
              <w:rPr>
                <w:noProof/>
                <w:webHidden/>
              </w:rPr>
              <w:fldChar w:fldCharType="begin"/>
            </w:r>
            <w:r w:rsidR="00561338">
              <w:rPr>
                <w:noProof/>
                <w:webHidden/>
              </w:rPr>
              <w:instrText xml:space="preserve"> PAGEREF _Toc184230168 \h </w:instrText>
            </w:r>
            <w:r w:rsidR="00561338">
              <w:rPr>
                <w:noProof/>
                <w:webHidden/>
              </w:rPr>
            </w:r>
            <w:r w:rsidR="00561338">
              <w:rPr>
                <w:noProof/>
                <w:webHidden/>
              </w:rPr>
              <w:fldChar w:fldCharType="separate"/>
            </w:r>
            <w:r w:rsidR="0065760A">
              <w:rPr>
                <w:noProof/>
                <w:webHidden/>
              </w:rPr>
              <w:t>26</w:t>
            </w:r>
            <w:r w:rsidR="00561338">
              <w:rPr>
                <w:noProof/>
                <w:webHidden/>
              </w:rPr>
              <w:fldChar w:fldCharType="end"/>
            </w:r>
          </w:hyperlink>
        </w:p>
        <w:p w14:paraId="2E957040" w14:textId="77777777" w:rsidR="00561338" w:rsidRDefault="00482385">
          <w:pPr>
            <w:pStyle w:val="TDC3"/>
            <w:rPr>
              <w:rFonts w:asciiTheme="minorHAnsi" w:eastAsiaTheme="minorEastAsia" w:hAnsiTheme="minorHAnsi" w:cstheme="minorBidi"/>
              <w:noProof/>
              <w:szCs w:val="22"/>
              <w:lang w:eastAsia="es-MX"/>
            </w:rPr>
          </w:pPr>
          <w:hyperlink w:anchor="_Toc184230169" w:history="1">
            <w:r w:rsidR="00561338" w:rsidRPr="006C5980">
              <w:rPr>
                <w:rStyle w:val="Hipervnculo"/>
                <w:rFonts w:eastAsiaTheme="majorEastAsia"/>
                <w:noProof/>
              </w:rPr>
              <w:t>e) Conclusión</w:t>
            </w:r>
            <w:r w:rsidR="00561338">
              <w:rPr>
                <w:noProof/>
                <w:webHidden/>
              </w:rPr>
              <w:tab/>
            </w:r>
            <w:r w:rsidR="00561338">
              <w:rPr>
                <w:noProof/>
                <w:webHidden/>
              </w:rPr>
              <w:fldChar w:fldCharType="begin"/>
            </w:r>
            <w:r w:rsidR="00561338">
              <w:rPr>
                <w:noProof/>
                <w:webHidden/>
              </w:rPr>
              <w:instrText xml:space="preserve"> PAGEREF _Toc184230169 \h </w:instrText>
            </w:r>
            <w:r w:rsidR="00561338">
              <w:rPr>
                <w:noProof/>
                <w:webHidden/>
              </w:rPr>
            </w:r>
            <w:r w:rsidR="00561338">
              <w:rPr>
                <w:noProof/>
                <w:webHidden/>
              </w:rPr>
              <w:fldChar w:fldCharType="separate"/>
            </w:r>
            <w:r w:rsidR="0065760A">
              <w:rPr>
                <w:noProof/>
                <w:webHidden/>
              </w:rPr>
              <w:t>39</w:t>
            </w:r>
            <w:r w:rsidR="00561338">
              <w:rPr>
                <w:noProof/>
                <w:webHidden/>
              </w:rPr>
              <w:fldChar w:fldCharType="end"/>
            </w:r>
          </w:hyperlink>
        </w:p>
        <w:p w14:paraId="36000704" w14:textId="77777777" w:rsidR="00561338" w:rsidRDefault="00482385">
          <w:pPr>
            <w:pStyle w:val="TDC1"/>
            <w:tabs>
              <w:tab w:val="right" w:leader="dot" w:pos="9034"/>
            </w:tabs>
            <w:rPr>
              <w:rFonts w:asciiTheme="minorHAnsi" w:eastAsiaTheme="minorEastAsia" w:hAnsiTheme="minorHAnsi" w:cstheme="minorBidi"/>
              <w:noProof/>
              <w:szCs w:val="22"/>
              <w:lang w:eastAsia="es-MX"/>
            </w:rPr>
          </w:pPr>
          <w:hyperlink w:anchor="_Toc184230170" w:history="1">
            <w:r w:rsidR="00561338" w:rsidRPr="006C5980">
              <w:rPr>
                <w:rStyle w:val="Hipervnculo"/>
                <w:rFonts w:eastAsiaTheme="majorEastAsia"/>
                <w:noProof/>
              </w:rPr>
              <w:t>RESUELVE</w:t>
            </w:r>
            <w:r w:rsidR="00561338">
              <w:rPr>
                <w:noProof/>
                <w:webHidden/>
              </w:rPr>
              <w:tab/>
            </w:r>
            <w:r w:rsidR="00561338">
              <w:rPr>
                <w:noProof/>
                <w:webHidden/>
              </w:rPr>
              <w:fldChar w:fldCharType="begin"/>
            </w:r>
            <w:r w:rsidR="00561338">
              <w:rPr>
                <w:noProof/>
                <w:webHidden/>
              </w:rPr>
              <w:instrText xml:space="preserve"> PAGEREF _Toc184230170 \h </w:instrText>
            </w:r>
            <w:r w:rsidR="00561338">
              <w:rPr>
                <w:noProof/>
                <w:webHidden/>
              </w:rPr>
            </w:r>
            <w:r w:rsidR="00561338">
              <w:rPr>
                <w:noProof/>
                <w:webHidden/>
              </w:rPr>
              <w:fldChar w:fldCharType="separate"/>
            </w:r>
            <w:r w:rsidR="0065760A">
              <w:rPr>
                <w:noProof/>
                <w:webHidden/>
              </w:rPr>
              <w:t>40</w:t>
            </w:r>
            <w:r w:rsidR="00561338">
              <w:rPr>
                <w:noProof/>
                <w:webHidden/>
              </w:rPr>
              <w:fldChar w:fldCharType="end"/>
            </w:r>
          </w:hyperlink>
        </w:p>
        <w:p w14:paraId="12D18C8C" w14:textId="4BDFB5B0" w:rsidR="00DD1F38" w:rsidRPr="00561338" w:rsidRDefault="00DD1F38" w:rsidP="00561338">
          <w:pPr>
            <w:rPr>
              <w:szCs w:val="22"/>
            </w:rPr>
          </w:pPr>
          <w:r w:rsidRPr="00561338">
            <w:rPr>
              <w:b/>
              <w:bCs/>
              <w:szCs w:val="22"/>
              <w:lang w:val="es-ES"/>
            </w:rPr>
            <w:fldChar w:fldCharType="end"/>
          </w:r>
        </w:p>
      </w:sdtContent>
    </w:sdt>
    <w:p w14:paraId="266E5FEE" w14:textId="1291CD27" w:rsidR="00F660AE" w:rsidRPr="00561338" w:rsidRDefault="00F660AE" w:rsidP="00561338">
      <w:pPr>
        <w:spacing w:line="240" w:lineRule="auto"/>
        <w:rPr>
          <w:b/>
          <w:szCs w:val="22"/>
        </w:rPr>
      </w:pPr>
    </w:p>
    <w:p w14:paraId="7362E2E2" w14:textId="77777777" w:rsidR="00F660AE" w:rsidRPr="00561338" w:rsidRDefault="00F660AE" w:rsidP="00561338">
      <w:pPr>
        <w:rPr>
          <w:szCs w:val="22"/>
        </w:rPr>
        <w:sectPr w:rsidR="00F660AE" w:rsidRPr="00561338">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3FDDA57D" w:rsidR="00F660AE" w:rsidRPr="00561338" w:rsidRDefault="00054F72" w:rsidP="00561338">
      <w:pPr>
        <w:rPr>
          <w:b/>
          <w:bCs/>
          <w:szCs w:val="22"/>
        </w:rPr>
      </w:pPr>
      <w:r w:rsidRPr="00561338">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005E48F5" w:rsidRPr="00561338">
        <w:rPr>
          <w:bCs/>
          <w:szCs w:val="22"/>
        </w:rPr>
        <w:t>el</w:t>
      </w:r>
      <w:r w:rsidRPr="00561338">
        <w:rPr>
          <w:b/>
          <w:bCs/>
          <w:szCs w:val="22"/>
        </w:rPr>
        <w:t xml:space="preserve"> </w:t>
      </w:r>
      <w:r w:rsidR="00CF4133" w:rsidRPr="00561338">
        <w:rPr>
          <w:b/>
          <w:bCs/>
          <w:szCs w:val="22"/>
        </w:rPr>
        <w:t>cuatro de diciembre</w:t>
      </w:r>
      <w:r w:rsidRPr="00561338">
        <w:rPr>
          <w:b/>
          <w:bCs/>
          <w:szCs w:val="22"/>
        </w:rPr>
        <w:t xml:space="preserve"> de dos mil veinticuatro.</w:t>
      </w:r>
    </w:p>
    <w:p w14:paraId="24BF1A78" w14:textId="77777777" w:rsidR="00F660AE" w:rsidRPr="00561338" w:rsidRDefault="00F660AE" w:rsidP="00561338">
      <w:pPr>
        <w:rPr>
          <w:szCs w:val="22"/>
        </w:rPr>
      </w:pPr>
    </w:p>
    <w:p w14:paraId="5267458F" w14:textId="257055BF" w:rsidR="00F660AE" w:rsidRPr="00561338" w:rsidRDefault="00054F72" w:rsidP="00561338">
      <w:pPr>
        <w:rPr>
          <w:b/>
          <w:szCs w:val="22"/>
        </w:rPr>
      </w:pPr>
      <w:r w:rsidRPr="00561338">
        <w:rPr>
          <w:b/>
          <w:szCs w:val="22"/>
        </w:rPr>
        <w:t>VISTOS</w:t>
      </w:r>
      <w:r w:rsidRPr="00561338">
        <w:rPr>
          <w:szCs w:val="22"/>
        </w:rPr>
        <w:t xml:space="preserve"> los expedientes formados con motivo de los Recursos Revisión </w:t>
      </w:r>
      <w:bookmarkStart w:id="3" w:name="_Hlk177736212"/>
      <w:bookmarkStart w:id="4" w:name="_GoBack"/>
      <w:r w:rsidR="00CF4133" w:rsidRPr="00561338">
        <w:rPr>
          <w:b/>
          <w:szCs w:val="22"/>
        </w:rPr>
        <w:t>07092/INFOEM/IP/RR/2024</w:t>
      </w:r>
      <w:r w:rsidR="008D3EFB" w:rsidRPr="00561338">
        <w:rPr>
          <w:b/>
          <w:szCs w:val="22"/>
        </w:rPr>
        <w:t xml:space="preserve"> </w:t>
      </w:r>
      <w:r w:rsidR="00F60FF7" w:rsidRPr="00561338">
        <w:rPr>
          <w:szCs w:val="22"/>
        </w:rPr>
        <w:t>y</w:t>
      </w:r>
      <w:r w:rsidR="00F60FF7" w:rsidRPr="00561338">
        <w:rPr>
          <w:b/>
          <w:szCs w:val="22"/>
        </w:rPr>
        <w:t xml:space="preserve"> </w:t>
      </w:r>
      <w:r w:rsidR="00E31383" w:rsidRPr="00561338">
        <w:rPr>
          <w:b/>
          <w:szCs w:val="22"/>
        </w:rPr>
        <w:t>07133/INFOEM/IP/RR/2024</w:t>
      </w:r>
      <w:bookmarkEnd w:id="3"/>
      <w:bookmarkEnd w:id="4"/>
      <w:r w:rsidR="00B6415C" w:rsidRPr="00561338">
        <w:rPr>
          <w:b/>
          <w:szCs w:val="22"/>
        </w:rPr>
        <w:t xml:space="preserve"> acumulados</w:t>
      </w:r>
      <w:r w:rsidRPr="00561338">
        <w:rPr>
          <w:b/>
          <w:szCs w:val="22"/>
        </w:rPr>
        <w:t xml:space="preserve">, </w:t>
      </w:r>
      <w:r w:rsidRPr="00561338">
        <w:rPr>
          <w:szCs w:val="22"/>
        </w:rPr>
        <w:t>promovidos</w:t>
      </w:r>
      <w:r w:rsidR="008B6431" w:rsidRPr="00561338">
        <w:rPr>
          <w:szCs w:val="22"/>
        </w:rPr>
        <w:t xml:space="preserve"> por</w:t>
      </w:r>
      <w:r w:rsidRPr="00561338">
        <w:rPr>
          <w:szCs w:val="22"/>
        </w:rPr>
        <w:t xml:space="preserve"> </w:t>
      </w:r>
      <w:r w:rsidR="0052464B">
        <w:rPr>
          <w:b/>
          <w:szCs w:val="22"/>
        </w:rPr>
        <w:t>XXXXXXXXXXX XXXXX XXXXX</w:t>
      </w:r>
      <w:r w:rsidRPr="00561338">
        <w:rPr>
          <w:szCs w:val="22"/>
        </w:rPr>
        <w:t>,</w:t>
      </w:r>
      <w:r w:rsidRPr="00561338">
        <w:rPr>
          <w:b/>
          <w:szCs w:val="22"/>
        </w:rPr>
        <w:t xml:space="preserve"> </w:t>
      </w:r>
      <w:r w:rsidRPr="00561338">
        <w:rPr>
          <w:szCs w:val="22"/>
        </w:rPr>
        <w:t>a quien</w:t>
      </w:r>
      <w:r w:rsidRPr="00561338">
        <w:rPr>
          <w:b/>
          <w:szCs w:val="22"/>
        </w:rPr>
        <w:t xml:space="preserve"> </w:t>
      </w:r>
      <w:r w:rsidRPr="00561338">
        <w:rPr>
          <w:szCs w:val="22"/>
        </w:rPr>
        <w:t xml:space="preserve">en lo subsecuente se le denominará </w:t>
      </w:r>
      <w:r w:rsidRPr="00561338">
        <w:rPr>
          <w:b/>
          <w:szCs w:val="22"/>
        </w:rPr>
        <w:t>LA PARTE RECURRENTE</w:t>
      </w:r>
      <w:r w:rsidRPr="00561338">
        <w:rPr>
          <w:szCs w:val="22"/>
        </w:rPr>
        <w:t xml:space="preserve">, en contra </w:t>
      </w:r>
      <w:r w:rsidR="00D84C24" w:rsidRPr="00561338">
        <w:rPr>
          <w:szCs w:val="22"/>
        </w:rPr>
        <w:t>de</w:t>
      </w:r>
      <w:r w:rsidR="00B47845" w:rsidRPr="00561338">
        <w:rPr>
          <w:szCs w:val="22"/>
        </w:rPr>
        <w:t xml:space="preserve"> las</w:t>
      </w:r>
      <w:r w:rsidR="00D84C24" w:rsidRPr="00561338">
        <w:rPr>
          <w:szCs w:val="22"/>
        </w:rPr>
        <w:t xml:space="preserve"> </w:t>
      </w:r>
      <w:r w:rsidRPr="00561338">
        <w:rPr>
          <w:szCs w:val="22"/>
        </w:rPr>
        <w:t>respuestas de</w:t>
      </w:r>
      <w:r w:rsidR="008D3EFB" w:rsidRPr="00561338">
        <w:rPr>
          <w:szCs w:val="22"/>
        </w:rPr>
        <w:t xml:space="preserve">l </w:t>
      </w:r>
      <w:r w:rsidR="008B6431" w:rsidRPr="00561338">
        <w:rPr>
          <w:b/>
          <w:szCs w:val="22"/>
        </w:rPr>
        <w:t>Ayuntamiento de Acambay de Ruíz Castañeda</w:t>
      </w:r>
      <w:r w:rsidRPr="00561338">
        <w:rPr>
          <w:b/>
          <w:szCs w:val="22"/>
        </w:rPr>
        <w:t xml:space="preserve">, </w:t>
      </w:r>
      <w:r w:rsidRPr="00561338">
        <w:rPr>
          <w:szCs w:val="22"/>
        </w:rPr>
        <w:t xml:space="preserve">que en lo sucesivo se denominará </w:t>
      </w:r>
      <w:r w:rsidRPr="00561338">
        <w:rPr>
          <w:b/>
          <w:szCs w:val="22"/>
        </w:rPr>
        <w:t>EL SUJETO OBLIGADO</w:t>
      </w:r>
      <w:r w:rsidRPr="00561338">
        <w:rPr>
          <w:szCs w:val="22"/>
        </w:rPr>
        <w:t>, se emite la presente Resolución con base en los Antecedentes y Considerandos que se exponen a continuación:</w:t>
      </w:r>
    </w:p>
    <w:p w14:paraId="5EE4623A" w14:textId="77777777" w:rsidR="00F660AE" w:rsidRPr="00561338" w:rsidRDefault="00F660AE" w:rsidP="00561338">
      <w:pPr>
        <w:rPr>
          <w:szCs w:val="22"/>
        </w:rPr>
      </w:pPr>
    </w:p>
    <w:p w14:paraId="7A993EC2" w14:textId="77777777" w:rsidR="00F660AE" w:rsidRPr="00561338" w:rsidRDefault="00054F72" w:rsidP="00561338">
      <w:pPr>
        <w:pStyle w:val="Ttulo1"/>
        <w:rPr>
          <w:szCs w:val="22"/>
        </w:rPr>
      </w:pPr>
      <w:bookmarkStart w:id="5" w:name="_Toc184230144"/>
      <w:r w:rsidRPr="00561338">
        <w:rPr>
          <w:szCs w:val="22"/>
        </w:rPr>
        <w:t>ANTECEDENTES</w:t>
      </w:r>
      <w:bookmarkEnd w:id="5"/>
    </w:p>
    <w:p w14:paraId="640983B2" w14:textId="77777777" w:rsidR="00F660AE" w:rsidRPr="00561338" w:rsidRDefault="00F660AE" w:rsidP="00561338">
      <w:pPr>
        <w:rPr>
          <w:szCs w:val="22"/>
        </w:rPr>
      </w:pPr>
    </w:p>
    <w:p w14:paraId="5C0E412B" w14:textId="77777777" w:rsidR="00F660AE" w:rsidRPr="00561338" w:rsidRDefault="00054F72" w:rsidP="00561338">
      <w:pPr>
        <w:pStyle w:val="Ttulo2"/>
        <w:rPr>
          <w:szCs w:val="22"/>
        </w:rPr>
      </w:pPr>
      <w:bookmarkStart w:id="6" w:name="_Toc184230145"/>
      <w:r w:rsidRPr="00561338">
        <w:rPr>
          <w:szCs w:val="22"/>
        </w:rPr>
        <w:t>DE LAS SOLICITUDES DE INFORMACIÓN</w:t>
      </w:r>
      <w:bookmarkEnd w:id="6"/>
    </w:p>
    <w:p w14:paraId="1BDDD81E" w14:textId="77777777" w:rsidR="00F660AE" w:rsidRPr="00561338" w:rsidRDefault="00054F72" w:rsidP="00561338">
      <w:pPr>
        <w:pStyle w:val="Ttulo3"/>
        <w:rPr>
          <w:szCs w:val="22"/>
        </w:rPr>
      </w:pPr>
      <w:bookmarkStart w:id="7" w:name="_Toc184230146"/>
      <w:r w:rsidRPr="00561338">
        <w:rPr>
          <w:szCs w:val="22"/>
        </w:rPr>
        <w:t>a) Solicitudes de información.</w:t>
      </w:r>
      <w:bookmarkEnd w:id="7"/>
    </w:p>
    <w:p w14:paraId="28B8B7A3" w14:textId="2F66404E" w:rsidR="00F660AE" w:rsidRPr="00561338" w:rsidRDefault="00054F72" w:rsidP="00561338">
      <w:pPr>
        <w:pBdr>
          <w:top w:val="nil"/>
          <w:left w:val="nil"/>
          <w:bottom w:val="nil"/>
          <w:right w:val="nil"/>
          <w:between w:val="nil"/>
        </w:pBdr>
        <w:tabs>
          <w:tab w:val="left" w:pos="0"/>
        </w:tabs>
        <w:rPr>
          <w:rFonts w:eastAsia="Palatino Linotype" w:cs="Palatino Linotype"/>
          <w:szCs w:val="22"/>
        </w:rPr>
      </w:pPr>
      <w:r w:rsidRPr="00561338">
        <w:rPr>
          <w:rFonts w:eastAsia="Palatino Linotype" w:cs="Palatino Linotype"/>
          <w:szCs w:val="22"/>
        </w:rPr>
        <w:t xml:space="preserve">El </w:t>
      </w:r>
      <w:r w:rsidR="006149FB" w:rsidRPr="00561338">
        <w:rPr>
          <w:rFonts w:eastAsia="Palatino Linotype" w:cs="Palatino Linotype"/>
          <w:b/>
          <w:szCs w:val="22"/>
        </w:rPr>
        <w:t>nueve</w:t>
      </w:r>
      <w:r w:rsidR="008D3EFB" w:rsidRPr="00561338">
        <w:rPr>
          <w:rFonts w:eastAsia="Palatino Linotype" w:cs="Palatino Linotype"/>
          <w:b/>
          <w:szCs w:val="22"/>
        </w:rPr>
        <w:t xml:space="preserve"> de octubre</w:t>
      </w:r>
      <w:r w:rsidRPr="00561338">
        <w:rPr>
          <w:rFonts w:eastAsia="Palatino Linotype" w:cs="Palatino Linotype"/>
          <w:b/>
          <w:szCs w:val="22"/>
        </w:rPr>
        <w:t xml:space="preserve"> de dos mil v</w:t>
      </w:r>
      <w:r w:rsidR="00D84C24" w:rsidRPr="00561338">
        <w:rPr>
          <w:rFonts w:eastAsia="Palatino Linotype" w:cs="Palatino Linotype"/>
          <w:b/>
          <w:szCs w:val="22"/>
        </w:rPr>
        <w:t>einticuatro</w:t>
      </w:r>
      <w:r w:rsidR="006D5CF6" w:rsidRPr="00561338">
        <w:rPr>
          <w:rFonts w:eastAsia="Palatino Linotype" w:cs="Palatino Linotype"/>
          <w:b/>
          <w:szCs w:val="22"/>
        </w:rPr>
        <w:t>,</w:t>
      </w:r>
      <w:r w:rsidRPr="00561338">
        <w:rPr>
          <w:rFonts w:eastAsia="Palatino Linotype" w:cs="Palatino Linotype"/>
          <w:szCs w:val="22"/>
        </w:rPr>
        <w:t xml:space="preserve"> </w:t>
      </w:r>
      <w:r w:rsidRPr="00561338">
        <w:rPr>
          <w:rFonts w:eastAsia="Palatino Linotype" w:cs="Palatino Linotype"/>
          <w:b/>
          <w:szCs w:val="22"/>
        </w:rPr>
        <w:t>LA PARTE RECURRENTE</w:t>
      </w:r>
      <w:r w:rsidRPr="00561338">
        <w:rPr>
          <w:rFonts w:eastAsia="Palatino Linotype" w:cs="Palatino Linotype"/>
          <w:szCs w:val="22"/>
        </w:rPr>
        <w:t xml:space="preserve"> presentó </w:t>
      </w:r>
      <w:r w:rsidR="00D84C24" w:rsidRPr="00561338">
        <w:rPr>
          <w:rFonts w:eastAsia="Palatino Linotype" w:cs="Palatino Linotype"/>
          <w:szCs w:val="22"/>
        </w:rPr>
        <w:t>las</w:t>
      </w:r>
      <w:r w:rsidRPr="00561338">
        <w:rPr>
          <w:rFonts w:eastAsia="Palatino Linotype" w:cs="Palatino Linotype"/>
          <w:szCs w:val="22"/>
        </w:rPr>
        <w:t xml:space="preserve"> solicitudes de acceso a la información pública ante el </w:t>
      </w:r>
      <w:r w:rsidRPr="00561338">
        <w:rPr>
          <w:rFonts w:eastAsia="Palatino Linotype" w:cs="Palatino Linotype"/>
          <w:b/>
          <w:szCs w:val="22"/>
        </w:rPr>
        <w:t>SUJETO OBLIGADO</w:t>
      </w:r>
      <w:r w:rsidRPr="00561338">
        <w:rPr>
          <w:rFonts w:eastAsia="Palatino Linotype" w:cs="Palatino Linotype"/>
          <w:szCs w:val="22"/>
        </w:rPr>
        <w:t>, a través del Sistema de Acceso a la Información Mexiquense (SAIMEX). Dichas solicitudes quedaron registradas con los números de folio</w:t>
      </w:r>
      <w:r w:rsidRPr="00561338">
        <w:rPr>
          <w:rFonts w:eastAsia="Palatino Linotype" w:cs="Palatino Linotype"/>
          <w:b/>
          <w:szCs w:val="22"/>
        </w:rPr>
        <w:t xml:space="preserve"> </w:t>
      </w:r>
      <w:r w:rsidR="00794CE3" w:rsidRPr="00561338">
        <w:rPr>
          <w:rFonts w:eastAsia="Palatino Linotype" w:cs="Palatino Linotype"/>
          <w:b/>
          <w:szCs w:val="22"/>
        </w:rPr>
        <w:t xml:space="preserve">00162/ACAMBAY/IP/2024 </w:t>
      </w:r>
      <w:r w:rsidR="00794CE3" w:rsidRPr="00561338">
        <w:rPr>
          <w:rFonts w:eastAsia="Palatino Linotype" w:cs="Palatino Linotype"/>
          <w:szCs w:val="22"/>
        </w:rPr>
        <w:t xml:space="preserve">y </w:t>
      </w:r>
      <w:r w:rsidR="00794CE3" w:rsidRPr="00561338">
        <w:rPr>
          <w:rFonts w:eastAsia="Palatino Linotype" w:cs="Palatino Linotype"/>
          <w:b/>
          <w:szCs w:val="22"/>
        </w:rPr>
        <w:t xml:space="preserve"> </w:t>
      </w:r>
      <w:r w:rsidR="00E31383" w:rsidRPr="00561338">
        <w:rPr>
          <w:rFonts w:eastAsia="Palatino Linotype" w:cs="Palatino Linotype"/>
          <w:b/>
          <w:szCs w:val="22"/>
        </w:rPr>
        <w:t>0016</w:t>
      </w:r>
      <w:r w:rsidR="00794CE3" w:rsidRPr="00561338">
        <w:rPr>
          <w:rFonts w:eastAsia="Palatino Linotype" w:cs="Palatino Linotype"/>
          <w:b/>
          <w:szCs w:val="22"/>
        </w:rPr>
        <w:t>3</w:t>
      </w:r>
      <w:r w:rsidR="00E31383" w:rsidRPr="00561338">
        <w:rPr>
          <w:rFonts w:eastAsia="Palatino Linotype" w:cs="Palatino Linotype"/>
          <w:b/>
          <w:szCs w:val="22"/>
        </w:rPr>
        <w:t>/ACAMBAY/IP/2024</w:t>
      </w:r>
      <w:r w:rsidR="00534EF0" w:rsidRPr="00561338">
        <w:rPr>
          <w:rFonts w:eastAsia="Palatino Linotype" w:cs="Palatino Linotype"/>
          <w:b/>
          <w:szCs w:val="22"/>
        </w:rPr>
        <w:t xml:space="preserve">, </w:t>
      </w:r>
      <w:r w:rsidR="00534EF0" w:rsidRPr="00561338">
        <w:rPr>
          <w:rFonts w:eastAsia="Palatino Linotype" w:cs="Palatino Linotype"/>
          <w:szCs w:val="22"/>
        </w:rPr>
        <w:t>requiriendo</w:t>
      </w:r>
      <w:r w:rsidRPr="00561338">
        <w:rPr>
          <w:rFonts w:eastAsia="Palatino Linotype" w:cs="Palatino Linotype"/>
          <w:szCs w:val="22"/>
        </w:rPr>
        <w:t xml:space="preserve"> la siguiente información:</w:t>
      </w:r>
    </w:p>
    <w:p w14:paraId="60EA68E5" w14:textId="5E28DBCD" w:rsidR="00F660AE" w:rsidRPr="00561338" w:rsidRDefault="00F660AE" w:rsidP="00561338">
      <w:pPr>
        <w:widowControl w:val="0"/>
        <w:rPr>
          <w:b/>
          <w:szCs w:val="22"/>
        </w:rPr>
      </w:pPr>
    </w:p>
    <w:tbl>
      <w:tblPr>
        <w:tblStyle w:val="Tablaconcuadrcula"/>
        <w:tblW w:w="0" w:type="auto"/>
        <w:jc w:val="center"/>
        <w:tblLook w:val="04A0" w:firstRow="1" w:lastRow="0" w:firstColumn="1" w:lastColumn="0" w:noHBand="0" w:noVBand="1"/>
      </w:tblPr>
      <w:tblGrid>
        <w:gridCol w:w="3015"/>
        <w:gridCol w:w="5812"/>
      </w:tblGrid>
      <w:tr w:rsidR="00561338" w:rsidRPr="00561338" w14:paraId="717A3596" w14:textId="77777777" w:rsidTr="00794CE3">
        <w:trPr>
          <w:tblHeader/>
          <w:jc w:val="center"/>
        </w:trPr>
        <w:tc>
          <w:tcPr>
            <w:tcW w:w="3015" w:type="dxa"/>
            <w:shd w:val="clear" w:color="auto" w:fill="D9D9D9" w:themeFill="background1" w:themeFillShade="D9"/>
          </w:tcPr>
          <w:p w14:paraId="4F02D1A8" w14:textId="0AC786C9" w:rsidR="00E80B01" w:rsidRPr="00561338" w:rsidRDefault="00E80B01" w:rsidP="00561338">
            <w:pPr>
              <w:widowControl w:val="0"/>
              <w:jc w:val="center"/>
              <w:rPr>
                <w:b/>
                <w:szCs w:val="22"/>
              </w:rPr>
            </w:pPr>
            <w:bookmarkStart w:id="8" w:name="_Hlk177633680"/>
            <w:r w:rsidRPr="00561338">
              <w:rPr>
                <w:b/>
                <w:szCs w:val="22"/>
              </w:rPr>
              <w:t>Folio de la Solicitud</w:t>
            </w:r>
          </w:p>
        </w:tc>
        <w:tc>
          <w:tcPr>
            <w:tcW w:w="5812" w:type="dxa"/>
            <w:shd w:val="clear" w:color="auto" w:fill="D9D9D9" w:themeFill="background1" w:themeFillShade="D9"/>
          </w:tcPr>
          <w:p w14:paraId="3A31F6DE" w14:textId="3A8F4B07" w:rsidR="00E80B01" w:rsidRPr="00561338" w:rsidRDefault="00E80B01" w:rsidP="00561338">
            <w:pPr>
              <w:widowControl w:val="0"/>
              <w:jc w:val="center"/>
              <w:rPr>
                <w:b/>
                <w:szCs w:val="22"/>
              </w:rPr>
            </w:pPr>
            <w:r w:rsidRPr="00561338">
              <w:rPr>
                <w:b/>
                <w:szCs w:val="22"/>
              </w:rPr>
              <w:t>Solicitud</w:t>
            </w:r>
          </w:p>
        </w:tc>
      </w:tr>
      <w:tr w:rsidR="00561338" w:rsidRPr="00561338" w14:paraId="12F4EF13" w14:textId="77777777" w:rsidTr="000B6E2F">
        <w:trPr>
          <w:jc w:val="center"/>
        </w:trPr>
        <w:tc>
          <w:tcPr>
            <w:tcW w:w="3015" w:type="dxa"/>
          </w:tcPr>
          <w:p w14:paraId="7866BF10" w14:textId="7052A356" w:rsidR="00794CE3" w:rsidRPr="00561338" w:rsidRDefault="00794CE3" w:rsidP="00561338">
            <w:pPr>
              <w:widowControl w:val="0"/>
              <w:jc w:val="center"/>
              <w:rPr>
                <w:b/>
                <w:szCs w:val="22"/>
              </w:rPr>
            </w:pPr>
            <w:r w:rsidRPr="00561338">
              <w:rPr>
                <w:b/>
                <w:szCs w:val="22"/>
              </w:rPr>
              <w:t>00162/ACAMBAY/IP/2024</w:t>
            </w:r>
          </w:p>
        </w:tc>
        <w:tc>
          <w:tcPr>
            <w:tcW w:w="5812" w:type="dxa"/>
          </w:tcPr>
          <w:p w14:paraId="18BCC785" w14:textId="2D5109E3" w:rsidR="00794CE3" w:rsidRPr="00561338" w:rsidRDefault="00794CE3" w:rsidP="00561338">
            <w:pPr>
              <w:widowControl w:val="0"/>
              <w:rPr>
                <w:bCs/>
                <w:i/>
                <w:iCs/>
                <w:szCs w:val="22"/>
              </w:rPr>
            </w:pPr>
            <w:r w:rsidRPr="00561338">
              <w:rPr>
                <w:bCs/>
                <w:i/>
                <w:iCs/>
                <w:szCs w:val="22"/>
              </w:rPr>
              <w:t>Solicito los recibos de nomina correspondientes a la segunda quincena de septiembre de 2024 del Instituto Municipal de Cultura Física y Deporte</w:t>
            </w:r>
          </w:p>
        </w:tc>
      </w:tr>
      <w:tr w:rsidR="00794CE3" w:rsidRPr="00561338" w14:paraId="5A098B19" w14:textId="77777777" w:rsidTr="000B6E2F">
        <w:trPr>
          <w:jc w:val="center"/>
        </w:trPr>
        <w:tc>
          <w:tcPr>
            <w:tcW w:w="3015" w:type="dxa"/>
          </w:tcPr>
          <w:p w14:paraId="5D6A362B" w14:textId="7B4EECB1" w:rsidR="00794CE3" w:rsidRPr="00561338" w:rsidRDefault="00794CE3" w:rsidP="00561338">
            <w:pPr>
              <w:widowControl w:val="0"/>
              <w:jc w:val="center"/>
              <w:rPr>
                <w:b/>
                <w:szCs w:val="22"/>
              </w:rPr>
            </w:pPr>
            <w:r w:rsidRPr="00561338">
              <w:rPr>
                <w:b/>
                <w:szCs w:val="22"/>
              </w:rPr>
              <w:t>00163/ACAMBAY/IP/2024</w:t>
            </w:r>
          </w:p>
        </w:tc>
        <w:tc>
          <w:tcPr>
            <w:tcW w:w="5812" w:type="dxa"/>
          </w:tcPr>
          <w:p w14:paraId="4EACE63D" w14:textId="1DDB3039" w:rsidR="00794CE3" w:rsidRPr="00561338" w:rsidRDefault="00794CE3" w:rsidP="00561338">
            <w:pPr>
              <w:widowControl w:val="0"/>
              <w:rPr>
                <w:bCs/>
                <w:i/>
                <w:iCs/>
                <w:szCs w:val="22"/>
              </w:rPr>
            </w:pPr>
            <w:r w:rsidRPr="00561338">
              <w:rPr>
                <w:bCs/>
                <w:i/>
                <w:iCs/>
                <w:szCs w:val="22"/>
              </w:rPr>
              <w:t>Solicito los recibos de nomina correspondientes a la segunda quincena de septiembre de 2024 del Sistema Municipal DIF</w:t>
            </w:r>
          </w:p>
        </w:tc>
      </w:tr>
    </w:tbl>
    <w:bookmarkEnd w:id="8"/>
    <w:p w14:paraId="084A4D6A" w14:textId="77777777" w:rsidR="00F660AE" w:rsidRPr="00561338" w:rsidRDefault="00054F72" w:rsidP="00561338">
      <w:pPr>
        <w:tabs>
          <w:tab w:val="left" w:pos="4667"/>
        </w:tabs>
        <w:ind w:right="567"/>
        <w:rPr>
          <w:szCs w:val="22"/>
        </w:rPr>
      </w:pPr>
      <w:r w:rsidRPr="00561338">
        <w:rPr>
          <w:b/>
          <w:szCs w:val="22"/>
        </w:rPr>
        <w:lastRenderedPageBreak/>
        <w:t>Modalidad de entrega</w:t>
      </w:r>
      <w:r w:rsidRPr="00561338">
        <w:rPr>
          <w:szCs w:val="22"/>
        </w:rPr>
        <w:t xml:space="preserve">: a través del </w:t>
      </w:r>
      <w:r w:rsidRPr="00561338">
        <w:rPr>
          <w:b/>
          <w:szCs w:val="22"/>
        </w:rPr>
        <w:t>SAIMEX</w:t>
      </w:r>
      <w:r w:rsidRPr="00561338">
        <w:rPr>
          <w:szCs w:val="22"/>
        </w:rPr>
        <w:t>.</w:t>
      </w:r>
    </w:p>
    <w:p w14:paraId="20BB6654" w14:textId="77777777" w:rsidR="00F60FF7" w:rsidRPr="00561338" w:rsidRDefault="00F60FF7" w:rsidP="00561338">
      <w:pPr>
        <w:tabs>
          <w:tab w:val="left" w:pos="4667"/>
        </w:tabs>
        <w:ind w:right="567"/>
        <w:rPr>
          <w:szCs w:val="22"/>
        </w:rPr>
      </w:pPr>
    </w:p>
    <w:p w14:paraId="4FC0283D" w14:textId="40B3C494" w:rsidR="004A7AB2" w:rsidRPr="00561338" w:rsidRDefault="00F60FF7" w:rsidP="00561338">
      <w:pPr>
        <w:pStyle w:val="Ttulo3"/>
        <w:rPr>
          <w:szCs w:val="22"/>
        </w:rPr>
      </w:pPr>
      <w:bookmarkStart w:id="9" w:name="_Toc171416556"/>
      <w:bookmarkStart w:id="10" w:name="_Toc184230147"/>
      <w:r w:rsidRPr="00561338">
        <w:rPr>
          <w:szCs w:val="22"/>
        </w:rPr>
        <w:t xml:space="preserve">b) </w:t>
      </w:r>
      <w:bookmarkEnd w:id="9"/>
      <w:r w:rsidR="004A7AB2" w:rsidRPr="00561338">
        <w:rPr>
          <w:szCs w:val="22"/>
        </w:rPr>
        <w:t>Respuestas del Sujeto Obligado.</w:t>
      </w:r>
      <w:bookmarkEnd w:id="10"/>
    </w:p>
    <w:p w14:paraId="6DEB6478" w14:textId="39510113" w:rsidR="004946A2" w:rsidRPr="00561338" w:rsidRDefault="004946A2" w:rsidP="00561338">
      <w:pPr>
        <w:rPr>
          <w:rFonts w:eastAsia="Palatino Linotype"/>
        </w:rPr>
      </w:pPr>
      <w:r w:rsidRPr="00561338">
        <w:rPr>
          <w:rFonts w:eastAsia="Palatino Linotype"/>
        </w:rPr>
        <w:t xml:space="preserve">De las constancias que obran en los expedientes electrónicos del </w:t>
      </w:r>
      <w:r w:rsidRPr="00561338">
        <w:rPr>
          <w:rFonts w:eastAsia="Palatino Linotype"/>
          <w:b/>
        </w:rPr>
        <w:t xml:space="preserve">SAIMEX </w:t>
      </w:r>
      <w:r w:rsidRPr="00561338">
        <w:rPr>
          <w:rFonts w:eastAsia="Palatino Linotype"/>
        </w:rPr>
        <w:t xml:space="preserve">relacionados con el presente estudio, se aprecia que el </w:t>
      </w:r>
      <w:r w:rsidR="006149FB" w:rsidRPr="00561338">
        <w:rPr>
          <w:rFonts w:eastAsia="Palatino Linotype"/>
          <w:b/>
        </w:rPr>
        <w:t>treinta</w:t>
      </w:r>
      <w:r w:rsidR="008D3EFB" w:rsidRPr="00561338">
        <w:rPr>
          <w:rFonts w:eastAsia="Palatino Linotype"/>
          <w:b/>
        </w:rPr>
        <w:t xml:space="preserve"> de octubre</w:t>
      </w:r>
      <w:r w:rsidRPr="00561338">
        <w:rPr>
          <w:rFonts w:eastAsia="Palatino Linotype"/>
          <w:b/>
        </w:rPr>
        <w:t xml:space="preserve"> de dos mil veinticuatro</w:t>
      </w:r>
      <w:r w:rsidRPr="00561338">
        <w:rPr>
          <w:rFonts w:eastAsia="Palatino Linotype"/>
        </w:rPr>
        <w:t xml:space="preserve">, </w:t>
      </w:r>
      <w:r w:rsidRPr="00561338">
        <w:rPr>
          <w:rFonts w:eastAsia="Palatino Linotype"/>
          <w:b/>
        </w:rPr>
        <w:t>EL SUJETO OBLIGADO</w:t>
      </w:r>
      <w:r w:rsidRPr="00561338">
        <w:rPr>
          <w:rFonts w:eastAsia="Palatino Linotype"/>
        </w:rPr>
        <w:t xml:space="preserve"> dio respuesta a las solicitudes de información en el tenor siguiente: </w:t>
      </w:r>
    </w:p>
    <w:p w14:paraId="0A598617" w14:textId="77777777" w:rsidR="00926954" w:rsidRPr="00561338" w:rsidRDefault="00926954" w:rsidP="00561338">
      <w:pPr>
        <w:widowControl w:val="0"/>
        <w:rPr>
          <w:rFonts w:eastAsia="Palatino Linotype" w:cs="Palatino Linotype"/>
          <w:szCs w:val="22"/>
        </w:rPr>
      </w:pPr>
    </w:p>
    <w:p w14:paraId="772A993D" w14:textId="5D58477F" w:rsidR="00C821EF" w:rsidRPr="00561338" w:rsidRDefault="00C821EF" w:rsidP="00561338">
      <w:pPr>
        <w:widowControl w:val="0"/>
        <w:rPr>
          <w:rFonts w:eastAsia="Palatino Linotype" w:cs="Palatino Linotype"/>
          <w:szCs w:val="22"/>
        </w:rPr>
      </w:pPr>
      <w:r w:rsidRPr="00561338">
        <w:rPr>
          <w:rFonts w:eastAsia="Palatino Linotype" w:cs="Palatino Linotype"/>
          <w:szCs w:val="22"/>
        </w:rPr>
        <w:t xml:space="preserve">Folio de la Solicitud: </w:t>
      </w:r>
      <w:r w:rsidR="008B6431" w:rsidRPr="00561338">
        <w:rPr>
          <w:rFonts w:eastAsia="Palatino Linotype" w:cs="Palatino Linotype"/>
          <w:b/>
          <w:szCs w:val="22"/>
        </w:rPr>
        <w:t>00163/ACAMBAY/IP/2024</w:t>
      </w:r>
    </w:p>
    <w:p w14:paraId="4992C9DF" w14:textId="19F8150B" w:rsidR="00C821EF" w:rsidRPr="00561338" w:rsidRDefault="00C821EF" w:rsidP="00561338">
      <w:pPr>
        <w:widowControl w:val="0"/>
        <w:rPr>
          <w:rFonts w:eastAsia="Palatino Linotype" w:cs="Palatino Linotype"/>
          <w:szCs w:val="22"/>
        </w:rPr>
      </w:pPr>
      <w:r w:rsidRPr="00561338">
        <w:rPr>
          <w:rFonts w:eastAsia="Palatino Linotype" w:cs="Palatino Linotype"/>
          <w:szCs w:val="22"/>
        </w:rPr>
        <w:t xml:space="preserve">Recurso de Revisión: </w:t>
      </w:r>
      <w:r w:rsidR="006149FB" w:rsidRPr="00561338">
        <w:rPr>
          <w:rFonts w:eastAsia="Palatino Linotype" w:cs="Palatino Linotype"/>
          <w:b/>
          <w:szCs w:val="22"/>
        </w:rPr>
        <w:t>07092/INFOEM/IP/RR/2024</w:t>
      </w:r>
    </w:p>
    <w:p w14:paraId="784AD03A" w14:textId="77777777" w:rsidR="00C821EF" w:rsidRPr="00561338" w:rsidRDefault="00C821EF" w:rsidP="00561338">
      <w:pPr>
        <w:pStyle w:val="Puesto"/>
        <w:jc w:val="right"/>
        <w:rPr>
          <w:rFonts w:eastAsia="Palatino Linotype"/>
          <w:szCs w:val="22"/>
        </w:rPr>
      </w:pPr>
    </w:p>
    <w:p w14:paraId="52486440" w14:textId="77777777" w:rsidR="004B4666" w:rsidRPr="00561338" w:rsidRDefault="004B4666" w:rsidP="00561338">
      <w:pPr>
        <w:pStyle w:val="Puesto"/>
        <w:jc w:val="right"/>
        <w:rPr>
          <w:rFonts w:eastAsia="Palatino Linotype"/>
          <w:szCs w:val="22"/>
        </w:rPr>
      </w:pPr>
      <w:r w:rsidRPr="00561338">
        <w:rPr>
          <w:rFonts w:eastAsia="Palatino Linotype"/>
          <w:szCs w:val="22"/>
        </w:rPr>
        <w:t>Folio de la solicitud: 00163/ACAMBAY/IP/2024</w:t>
      </w:r>
    </w:p>
    <w:p w14:paraId="4DBC459B" w14:textId="77777777" w:rsidR="004B4666" w:rsidRPr="00561338" w:rsidRDefault="004B4666" w:rsidP="00561338">
      <w:pPr>
        <w:pStyle w:val="Puesto"/>
        <w:rPr>
          <w:rFonts w:eastAsia="Palatino Linotype"/>
          <w:szCs w:val="22"/>
        </w:rPr>
      </w:pPr>
    </w:p>
    <w:p w14:paraId="3E3AD9BB" w14:textId="77777777" w:rsidR="004B4666" w:rsidRPr="00561338" w:rsidRDefault="004B4666" w:rsidP="00561338">
      <w:pPr>
        <w:pStyle w:val="Puesto"/>
        <w:rPr>
          <w:rFonts w:eastAsia="Palatino Linotype"/>
          <w:szCs w:val="22"/>
        </w:rPr>
      </w:pPr>
      <w:r w:rsidRPr="00561338">
        <w:rPr>
          <w:rFonts w:eastAsia="Palatino Linotype"/>
          <w:szCs w:val="22"/>
        </w:rPr>
        <w:t xml:space="preserve">En atención a su solicitud de información No.00163/ACAMBAY/IP/2024 recibida por esta dependencia vía Sistema Electrónico Denominado Sistema de Acceso a la Información Mexiquense (SAIMEX) de fecha 09 de octubre de 2024, dirigida al Ayuntamiento de Acambay de Ruiz Castañeda, Estado de México, como sujeto Obligado de la Ley de Transparencia y Acceso a la Información Pública del Estado de México y Municipios. Se entrega lo siguiente referente a su petición: </w:t>
      </w:r>
      <w:r w:rsidRPr="00561338">
        <w:rPr>
          <w:rFonts w:eastAsia="Palatino Linotype"/>
          <w:b/>
          <w:szCs w:val="22"/>
          <w:u w:val="single"/>
        </w:rPr>
        <w:t>archivo PDF con la respuesta emitida por el Sujeto Habilitado de TESORERIA DEL DIF de Acambay Estado de México</w:t>
      </w:r>
      <w:r w:rsidRPr="00561338">
        <w:rPr>
          <w:rFonts w:eastAsia="Palatino Linotype"/>
          <w:szCs w:val="22"/>
        </w:rPr>
        <w:t>,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010591F0" w14:textId="77777777" w:rsidR="004B4666" w:rsidRPr="00561338" w:rsidRDefault="004B4666" w:rsidP="00561338">
      <w:pPr>
        <w:pStyle w:val="Puesto"/>
        <w:rPr>
          <w:rFonts w:eastAsia="Palatino Linotype"/>
          <w:szCs w:val="22"/>
        </w:rPr>
      </w:pPr>
    </w:p>
    <w:p w14:paraId="72BFC16F" w14:textId="77777777" w:rsidR="004B4666" w:rsidRPr="00561338" w:rsidRDefault="004B4666" w:rsidP="00561338">
      <w:pPr>
        <w:pStyle w:val="Puesto"/>
        <w:rPr>
          <w:rFonts w:eastAsia="Palatino Linotype"/>
          <w:szCs w:val="22"/>
        </w:rPr>
      </w:pPr>
      <w:r w:rsidRPr="00561338">
        <w:rPr>
          <w:rFonts w:eastAsia="Palatino Linotype"/>
          <w:szCs w:val="22"/>
        </w:rPr>
        <w:t>ATENTAMENTE</w:t>
      </w:r>
    </w:p>
    <w:p w14:paraId="4B226E25" w14:textId="416CABBF" w:rsidR="00D85C8D" w:rsidRPr="00561338" w:rsidRDefault="004B4666" w:rsidP="00561338">
      <w:pPr>
        <w:pStyle w:val="Puesto"/>
        <w:rPr>
          <w:rFonts w:eastAsia="Palatino Linotype" w:cs="Palatino Linotype"/>
          <w:szCs w:val="22"/>
        </w:rPr>
      </w:pPr>
      <w:r w:rsidRPr="00561338">
        <w:rPr>
          <w:rFonts w:eastAsia="Palatino Linotype"/>
          <w:szCs w:val="22"/>
        </w:rPr>
        <w:t>Lic. LEILY ARELY CHAVEZ RUIZ</w:t>
      </w:r>
    </w:p>
    <w:p w14:paraId="4B28D409" w14:textId="77777777" w:rsidR="00195925" w:rsidRPr="00561338" w:rsidRDefault="00195925" w:rsidP="00561338">
      <w:pPr>
        <w:widowControl w:val="0"/>
        <w:rPr>
          <w:rFonts w:eastAsia="Palatino Linotype" w:cs="Palatino Linotype"/>
          <w:szCs w:val="22"/>
        </w:rPr>
      </w:pPr>
    </w:p>
    <w:p w14:paraId="63808D00" w14:textId="080FF842" w:rsidR="008E6BCA" w:rsidRPr="00561338" w:rsidRDefault="008E6BCA" w:rsidP="00561338">
      <w:pPr>
        <w:widowControl w:val="0"/>
        <w:rPr>
          <w:rFonts w:eastAsia="Palatino Linotype" w:cs="Palatino Linotype"/>
          <w:szCs w:val="22"/>
        </w:rPr>
      </w:pPr>
      <w:r w:rsidRPr="00561338">
        <w:rPr>
          <w:rFonts w:eastAsia="Palatino Linotype" w:cs="Palatino Linotype"/>
          <w:szCs w:val="22"/>
        </w:rPr>
        <w:t xml:space="preserve">Cabe señalar que </w:t>
      </w:r>
      <w:r w:rsidRPr="00561338">
        <w:rPr>
          <w:rFonts w:eastAsia="Palatino Linotype" w:cs="Palatino Linotype"/>
          <w:b/>
          <w:szCs w:val="22"/>
        </w:rPr>
        <w:t xml:space="preserve">EL SUJETO OBLIGADO </w:t>
      </w:r>
      <w:r w:rsidRPr="00561338">
        <w:rPr>
          <w:rFonts w:eastAsia="Palatino Linotype" w:cs="Palatino Linotype"/>
          <w:szCs w:val="22"/>
        </w:rPr>
        <w:t xml:space="preserve">adjuntó </w:t>
      </w:r>
      <w:r w:rsidR="00195925" w:rsidRPr="00561338">
        <w:rPr>
          <w:rFonts w:eastAsia="Palatino Linotype" w:cs="Palatino Linotype"/>
          <w:szCs w:val="22"/>
        </w:rPr>
        <w:t>el</w:t>
      </w:r>
      <w:r w:rsidR="002C6653" w:rsidRPr="00561338">
        <w:rPr>
          <w:rFonts w:eastAsia="Palatino Linotype" w:cs="Palatino Linotype"/>
          <w:szCs w:val="22"/>
        </w:rPr>
        <w:t xml:space="preserve"> </w:t>
      </w:r>
      <w:r w:rsidRPr="00561338">
        <w:rPr>
          <w:rFonts w:eastAsia="Palatino Linotype" w:cs="Palatino Linotype"/>
          <w:szCs w:val="22"/>
        </w:rPr>
        <w:t>archivo electrónico que se describe a continuación:</w:t>
      </w:r>
    </w:p>
    <w:p w14:paraId="684F6C41" w14:textId="77777777" w:rsidR="007C61D8" w:rsidRDefault="007C61D8" w:rsidP="00561338">
      <w:pPr>
        <w:widowControl w:val="0"/>
        <w:rPr>
          <w:rFonts w:eastAsia="Palatino Linotype" w:cs="Palatino Linotype"/>
          <w:szCs w:val="22"/>
        </w:rPr>
      </w:pPr>
    </w:p>
    <w:p w14:paraId="1FF6D03D" w14:textId="77777777" w:rsidR="00561338" w:rsidRDefault="00561338" w:rsidP="00561338">
      <w:pPr>
        <w:widowControl w:val="0"/>
        <w:rPr>
          <w:rFonts w:eastAsia="Palatino Linotype" w:cs="Palatino Linotype"/>
          <w:szCs w:val="22"/>
        </w:rPr>
      </w:pPr>
    </w:p>
    <w:p w14:paraId="65D3810E" w14:textId="77777777" w:rsidR="004B4666" w:rsidRPr="00561338" w:rsidRDefault="004B4666" w:rsidP="00561338">
      <w:pPr>
        <w:pStyle w:val="Prrafodelista"/>
        <w:numPr>
          <w:ilvl w:val="0"/>
          <w:numId w:val="35"/>
        </w:numPr>
        <w:ind w:right="680"/>
        <w:rPr>
          <w:rFonts w:eastAsia="Palatino Linotype" w:cs="Palatino Linotype"/>
          <w:b/>
          <w:i/>
          <w:szCs w:val="22"/>
        </w:rPr>
      </w:pPr>
      <w:r w:rsidRPr="00561338">
        <w:rPr>
          <w:rFonts w:eastAsia="Palatino Linotype" w:cs="Palatino Linotype"/>
          <w:b/>
          <w:i/>
          <w:szCs w:val="22"/>
        </w:rPr>
        <w:lastRenderedPageBreak/>
        <w:t>CONTESTACION 163.pdf</w:t>
      </w:r>
    </w:p>
    <w:p w14:paraId="0C042C96" w14:textId="2096A0B1" w:rsidR="00611C33" w:rsidRPr="00561338" w:rsidRDefault="00611C33" w:rsidP="00561338">
      <w:pPr>
        <w:pStyle w:val="Prrafodelista"/>
        <w:ind w:left="142" w:right="-28"/>
        <w:rPr>
          <w:szCs w:val="22"/>
          <w:lang w:val="es-ES"/>
        </w:rPr>
      </w:pPr>
      <w:r w:rsidRPr="00561338">
        <w:rPr>
          <w:szCs w:val="22"/>
          <w:lang w:val="es-ES"/>
        </w:rPr>
        <w:t xml:space="preserve">Archivo constante de </w:t>
      </w:r>
      <w:r w:rsidR="00195925" w:rsidRPr="00561338">
        <w:rPr>
          <w:szCs w:val="22"/>
          <w:lang w:val="es-ES"/>
        </w:rPr>
        <w:t>una</w:t>
      </w:r>
      <w:r w:rsidRPr="00561338">
        <w:rPr>
          <w:szCs w:val="22"/>
          <w:lang w:val="es-ES"/>
        </w:rPr>
        <w:t xml:space="preserve"> página, en la que se aprecia el oficio número </w:t>
      </w:r>
      <w:r w:rsidR="004B4666" w:rsidRPr="00561338">
        <w:rPr>
          <w:szCs w:val="22"/>
          <w:lang w:val="es-ES"/>
        </w:rPr>
        <w:t>SMDIF/T/163/2024</w:t>
      </w:r>
      <w:r w:rsidRPr="00561338">
        <w:rPr>
          <w:szCs w:val="22"/>
          <w:lang w:val="es-ES"/>
        </w:rPr>
        <w:t xml:space="preserve"> de fecha </w:t>
      </w:r>
      <w:r w:rsidR="004B4666" w:rsidRPr="00561338">
        <w:rPr>
          <w:szCs w:val="22"/>
          <w:lang w:val="es-ES"/>
        </w:rPr>
        <w:t>29</w:t>
      </w:r>
      <w:r w:rsidRPr="00561338">
        <w:rPr>
          <w:szCs w:val="22"/>
          <w:lang w:val="es-ES"/>
        </w:rPr>
        <w:t xml:space="preserve"> de octubre de 2024, suscrito por el </w:t>
      </w:r>
      <w:r w:rsidR="004B4666" w:rsidRPr="00561338">
        <w:rPr>
          <w:szCs w:val="22"/>
          <w:lang w:val="es-ES"/>
        </w:rPr>
        <w:t>Tesorero</w:t>
      </w:r>
      <w:r w:rsidRPr="00561338">
        <w:rPr>
          <w:szCs w:val="22"/>
          <w:lang w:val="es-ES"/>
        </w:rPr>
        <w:t xml:space="preserve">, dirigido </w:t>
      </w:r>
      <w:r w:rsidR="004B4666" w:rsidRPr="00561338">
        <w:rPr>
          <w:szCs w:val="22"/>
          <w:lang w:val="es-ES"/>
        </w:rPr>
        <w:t>al Titular</w:t>
      </w:r>
      <w:r w:rsidR="00195925" w:rsidRPr="00561338">
        <w:rPr>
          <w:szCs w:val="22"/>
          <w:lang w:val="es-ES"/>
        </w:rPr>
        <w:t xml:space="preserve"> de la Unidad de </w:t>
      </w:r>
      <w:r w:rsidRPr="00561338">
        <w:rPr>
          <w:szCs w:val="22"/>
          <w:lang w:val="es-ES"/>
        </w:rPr>
        <w:t>Transparencia, en el que le indicó:</w:t>
      </w:r>
    </w:p>
    <w:p w14:paraId="172F1F42" w14:textId="77777777" w:rsidR="00611C33" w:rsidRPr="00561338" w:rsidRDefault="00611C33" w:rsidP="00561338">
      <w:pPr>
        <w:pStyle w:val="Prrafodelista"/>
        <w:ind w:right="680"/>
        <w:rPr>
          <w:szCs w:val="22"/>
          <w:lang w:val="es-ES"/>
        </w:rPr>
      </w:pPr>
    </w:p>
    <w:p w14:paraId="05CED343" w14:textId="7BCF3651" w:rsidR="00611C33" w:rsidRPr="00561338" w:rsidRDefault="00611C33" w:rsidP="00561338">
      <w:pPr>
        <w:pStyle w:val="Puesto"/>
        <w:rPr>
          <w:szCs w:val="22"/>
          <w:lang w:val="es-ES"/>
        </w:rPr>
      </w:pPr>
      <w:r w:rsidRPr="00561338">
        <w:rPr>
          <w:szCs w:val="22"/>
          <w:lang w:val="es-ES"/>
        </w:rPr>
        <w:t>“</w:t>
      </w:r>
      <w:r w:rsidR="004B4666" w:rsidRPr="00561338">
        <w:rPr>
          <w:szCs w:val="22"/>
          <w:lang w:val="es-ES"/>
        </w:rPr>
        <w:t>Que la información solicitada contiene nombres de trabajadores de este Organismo Descentralizado, claves de RFC, CURP, número de seguridad social, al igual que datos sensibles como cantidades pagadas y números de cuentas bancarias, motivo por el cual se considera que la información contenida en las nóminas de todo el personal que labora en esta institución debe ser considerada como confidencial…Por lo que ésta no puede ser proporcionada sin el consentimiento de cada uno de los servidores públicos que laboran en esta dependencia.</w:t>
      </w:r>
      <w:r w:rsidR="00195925" w:rsidRPr="00561338">
        <w:rPr>
          <w:szCs w:val="22"/>
          <w:lang w:val="es-ES"/>
        </w:rPr>
        <w:t>”</w:t>
      </w:r>
      <w:r w:rsidRPr="00561338">
        <w:rPr>
          <w:szCs w:val="22"/>
          <w:lang w:val="es-ES"/>
        </w:rPr>
        <w:t xml:space="preserve"> Sic.</w:t>
      </w:r>
    </w:p>
    <w:p w14:paraId="58680ACE" w14:textId="77777777" w:rsidR="0001668A" w:rsidRPr="00561338" w:rsidRDefault="0001668A" w:rsidP="00561338">
      <w:pPr>
        <w:rPr>
          <w:rFonts w:eastAsia="Palatino Linotype" w:cs="Palatino Linotype"/>
          <w:b/>
          <w:i/>
          <w:szCs w:val="22"/>
        </w:rPr>
      </w:pPr>
    </w:p>
    <w:p w14:paraId="13561172" w14:textId="5772DDFA" w:rsidR="006D6EAC" w:rsidRPr="00561338" w:rsidRDefault="006D6EAC" w:rsidP="00561338">
      <w:pPr>
        <w:widowControl w:val="0"/>
        <w:rPr>
          <w:rFonts w:eastAsia="Palatino Linotype" w:cs="Palatino Linotype"/>
          <w:szCs w:val="22"/>
        </w:rPr>
      </w:pPr>
      <w:r w:rsidRPr="00561338">
        <w:rPr>
          <w:rFonts w:eastAsia="Palatino Linotype" w:cs="Palatino Linotype"/>
          <w:szCs w:val="22"/>
        </w:rPr>
        <w:t xml:space="preserve">Folio de la Solicitud: </w:t>
      </w:r>
      <w:r w:rsidR="00E31383" w:rsidRPr="00561338">
        <w:rPr>
          <w:rFonts w:eastAsia="Palatino Linotype" w:cs="Palatino Linotype"/>
          <w:b/>
          <w:szCs w:val="22"/>
        </w:rPr>
        <w:t>00162/ACAMBAY/IP/2024</w:t>
      </w:r>
    </w:p>
    <w:p w14:paraId="67E7F297" w14:textId="2E5771BD" w:rsidR="006D6EAC" w:rsidRPr="00561338" w:rsidRDefault="006D6EAC" w:rsidP="00561338">
      <w:pPr>
        <w:widowControl w:val="0"/>
        <w:rPr>
          <w:rFonts w:eastAsia="Palatino Linotype" w:cs="Palatino Linotype"/>
          <w:szCs w:val="22"/>
        </w:rPr>
      </w:pPr>
      <w:r w:rsidRPr="00561338">
        <w:rPr>
          <w:rFonts w:eastAsia="Palatino Linotype" w:cs="Palatino Linotype"/>
          <w:szCs w:val="22"/>
        </w:rPr>
        <w:t xml:space="preserve">Recurso de Revisión: </w:t>
      </w:r>
      <w:r w:rsidR="00E31383" w:rsidRPr="00561338">
        <w:rPr>
          <w:rFonts w:eastAsia="Palatino Linotype" w:cs="Palatino Linotype"/>
          <w:b/>
          <w:szCs w:val="22"/>
        </w:rPr>
        <w:t>07133/INFOEM/IP/RR/2024</w:t>
      </w:r>
    </w:p>
    <w:p w14:paraId="48528331" w14:textId="77777777" w:rsidR="006D6EAC" w:rsidRPr="00561338" w:rsidRDefault="006D6EAC" w:rsidP="00561338">
      <w:pPr>
        <w:pStyle w:val="Puesto"/>
        <w:jc w:val="right"/>
        <w:rPr>
          <w:rFonts w:eastAsia="Palatino Linotype"/>
          <w:szCs w:val="22"/>
        </w:rPr>
      </w:pPr>
    </w:p>
    <w:p w14:paraId="5389EDB9" w14:textId="77777777" w:rsidR="00F851B2" w:rsidRPr="00561338" w:rsidRDefault="00F851B2" w:rsidP="00561338">
      <w:pPr>
        <w:pStyle w:val="Puesto"/>
        <w:rPr>
          <w:rFonts w:eastAsia="Palatino Linotype"/>
          <w:szCs w:val="22"/>
        </w:rPr>
      </w:pPr>
      <w:r w:rsidRPr="00561338">
        <w:rPr>
          <w:rFonts w:eastAsia="Palatino Linotype"/>
          <w:szCs w:val="22"/>
        </w:rPr>
        <w:t>Folio de la solicitud: 00162/ACAMBAY/IP/2024</w:t>
      </w:r>
    </w:p>
    <w:p w14:paraId="5C544BEA" w14:textId="77777777" w:rsidR="00F851B2" w:rsidRPr="00561338" w:rsidRDefault="00F851B2" w:rsidP="00561338">
      <w:pPr>
        <w:pStyle w:val="Puesto"/>
        <w:rPr>
          <w:szCs w:val="22"/>
        </w:rPr>
      </w:pPr>
    </w:p>
    <w:p w14:paraId="6D71B376" w14:textId="77777777" w:rsidR="00F851B2" w:rsidRPr="00561338" w:rsidRDefault="00F851B2" w:rsidP="00561338">
      <w:pPr>
        <w:pStyle w:val="Puesto"/>
        <w:rPr>
          <w:rFonts w:eastAsia="Palatino Linotype"/>
          <w:szCs w:val="22"/>
        </w:rPr>
      </w:pPr>
      <w:r w:rsidRPr="00561338">
        <w:rPr>
          <w:rFonts w:eastAsia="Palatino Linotype"/>
          <w:szCs w:val="22"/>
        </w:rPr>
        <w:t>En atención a su solicitud de información No.00162/ACAMBAY/IP/2024 recibida por esta dependencia vía Sistema Electrónico Denominado Sistema de Acceso a la Información Mexiquense (SAIMEX) de fecha 09 de octubre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IMCUFIDEA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6C38DBC7" w14:textId="77777777" w:rsidR="00F851B2" w:rsidRPr="00561338" w:rsidRDefault="00F851B2" w:rsidP="00561338">
      <w:pPr>
        <w:pStyle w:val="Puesto"/>
        <w:rPr>
          <w:szCs w:val="22"/>
        </w:rPr>
      </w:pPr>
    </w:p>
    <w:p w14:paraId="3DFEAD3A" w14:textId="77777777" w:rsidR="00F851B2" w:rsidRPr="00561338" w:rsidRDefault="00F851B2" w:rsidP="00561338">
      <w:pPr>
        <w:pStyle w:val="Puesto"/>
        <w:rPr>
          <w:rFonts w:eastAsia="Palatino Linotype"/>
          <w:szCs w:val="22"/>
        </w:rPr>
      </w:pPr>
      <w:r w:rsidRPr="00561338">
        <w:rPr>
          <w:rFonts w:eastAsia="Palatino Linotype"/>
          <w:szCs w:val="22"/>
        </w:rPr>
        <w:t>ATENTAMENTE</w:t>
      </w:r>
    </w:p>
    <w:p w14:paraId="28AC09FA" w14:textId="6E48718B" w:rsidR="006D6EAC" w:rsidRPr="00561338" w:rsidRDefault="00F851B2" w:rsidP="00561338">
      <w:pPr>
        <w:pStyle w:val="Puesto"/>
        <w:rPr>
          <w:rFonts w:eastAsia="Palatino Linotype"/>
          <w:szCs w:val="22"/>
        </w:rPr>
      </w:pPr>
      <w:r w:rsidRPr="00561338">
        <w:rPr>
          <w:rFonts w:eastAsia="Palatino Linotype"/>
          <w:szCs w:val="22"/>
        </w:rPr>
        <w:t>Lic. LEILY ARELY CHAVEZ RUIZ</w:t>
      </w:r>
    </w:p>
    <w:p w14:paraId="6B079548" w14:textId="77777777" w:rsidR="006D6EAC" w:rsidRPr="00561338" w:rsidRDefault="006D6EAC" w:rsidP="00561338">
      <w:pPr>
        <w:widowControl w:val="0"/>
        <w:rPr>
          <w:rFonts w:eastAsia="Palatino Linotype" w:cs="Palatino Linotype"/>
          <w:szCs w:val="22"/>
        </w:rPr>
      </w:pPr>
    </w:p>
    <w:p w14:paraId="51122574" w14:textId="1889B4F5" w:rsidR="006D6EAC" w:rsidRPr="00561338" w:rsidRDefault="006D6EAC" w:rsidP="00561338">
      <w:pPr>
        <w:widowControl w:val="0"/>
        <w:rPr>
          <w:rFonts w:eastAsia="Palatino Linotype" w:cs="Palatino Linotype"/>
          <w:szCs w:val="22"/>
        </w:rPr>
      </w:pPr>
      <w:r w:rsidRPr="00561338">
        <w:rPr>
          <w:rFonts w:eastAsia="Palatino Linotype" w:cs="Palatino Linotype"/>
          <w:szCs w:val="22"/>
        </w:rPr>
        <w:lastRenderedPageBreak/>
        <w:t xml:space="preserve">Cabe resaltar que </w:t>
      </w:r>
      <w:r w:rsidRPr="00561338">
        <w:rPr>
          <w:rFonts w:eastAsia="Palatino Linotype" w:cs="Palatino Linotype"/>
          <w:b/>
          <w:bCs/>
          <w:szCs w:val="22"/>
        </w:rPr>
        <w:t>EL SUJETO OBLIGADO</w:t>
      </w:r>
      <w:r w:rsidRPr="00561338">
        <w:rPr>
          <w:rFonts w:eastAsia="Palatino Linotype" w:cs="Palatino Linotype"/>
          <w:szCs w:val="22"/>
        </w:rPr>
        <w:t xml:space="preserve"> adjuntó </w:t>
      </w:r>
      <w:r w:rsidR="0073787C" w:rsidRPr="00561338">
        <w:rPr>
          <w:rFonts w:eastAsia="Palatino Linotype" w:cs="Palatino Linotype"/>
          <w:szCs w:val="22"/>
        </w:rPr>
        <w:t>el</w:t>
      </w:r>
      <w:r w:rsidRPr="00561338">
        <w:rPr>
          <w:rFonts w:eastAsia="Palatino Linotype" w:cs="Palatino Linotype"/>
          <w:szCs w:val="22"/>
        </w:rPr>
        <w:t xml:space="preserve"> archivo electrónico</w:t>
      </w:r>
      <w:r w:rsidR="0073787C" w:rsidRPr="00561338">
        <w:rPr>
          <w:rFonts w:eastAsia="Palatino Linotype" w:cs="Palatino Linotype"/>
          <w:szCs w:val="22"/>
        </w:rPr>
        <w:t xml:space="preserve"> que se describe</w:t>
      </w:r>
      <w:r w:rsidRPr="00561338">
        <w:rPr>
          <w:rFonts w:eastAsia="Palatino Linotype" w:cs="Palatino Linotype"/>
          <w:szCs w:val="22"/>
        </w:rPr>
        <w:t xml:space="preserve"> a continuación: </w:t>
      </w:r>
    </w:p>
    <w:p w14:paraId="75EFE2C8" w14:textId="77777777" w:rsidR="0073787C" w:rsidRPr="00561338" w:rsidRDefault="0073787C" w:rsidP="00561338">
      <w:pPr>
        <w:widowControl w:val="0"/>
        <w:rPr>
          <w:rFonts w:eastAsia="Palatino Linotype" w:cs="Palatino Linotype"/>
          <w:szCs w:val="22"/>
        </w:rPr>
      </w:pPr>
    </w:p>
    <w:p w14:paraId="7321C738" w14:textId="77777777" w:rsidR="00F851B2" w:rsidRPr="00561338" w:rsidRDefault="00F851B2" w:rsidP="00561338">
      <w:pPr>
        <w:pStyle w:val="Prrafodelista"/>
        <w:numPr>
          <w:ilvl w:val="0"/>
          <w:numId w:val="35"/>
        </w:numPr>
        <w:ind w:right="680"/>
        <w:rPr>
          <w:rFonts w:eastAsia="Palatino Linotype" w:cs="Palatino Linotype"/>
          <w:b/>
          <w:szCs w:val="22"/>
        </w:rPr>
      </w:pPr>
      <w:r w:rsidRPr="00561338">
        <w:rPr>
          <w:rFonts w:eastAsia="Palatino Linotype" w:cs="Palatino Linotype"/>
          <w:b/>
          <w:szCs w:val="22"/>
        </w:rPr>
        <w:t>CONTESTACION 162.pdf</w:t>
      </w:r>
    </w:p>
    <w:p w14:paraId="57E87948" w14:textId="40A39583" w:rsidR="00F851B2" w:rsidRPr="00561338" w:rsidRDefault="00F851B2" w:rsidP="00561338">
      <w:pPr>
        <w:ind w:right="-28"/>
        <w:rPr>
          <w:szCs w:val="22"/>
          <w:lang w:val="es-ES"/>
        </w:rPr>
      </w:pPr>
      <w:r w:rsidRPr="00561338">
        <w:rPr>
          <w:szCs w:val="22"/>
          <w:lang w:val="es-ES"/>
        </w:rPr>
        <w:t>Archivo constante de una página, en la que se aprecia el escrito sin número de oficio de fecha 21 de octubre de 2024, suscrito por el Director del Instituto Municipal de Cultura Física y Deporte de Acambay, dirigido al Titular de la Unidad de Transparencia, en el que le indicó:</w:t>
      </w:r>
    </w:p>
    <w:p w14:paraId="0C819DCB" w14:textId="77777777" w:rsidR="00F851B2" w:rsidRPr="00561338" w:rsidRDefault="00F851B2" w:rsidP="00561338">
      <w:pPr>
        <w:pStyle w:val="Prrafodelista"/>
        <w:ind w:left="1440" w:right="680"/>
        <w:rPr>
          <w:szCs w:val="22"/>
          <w:lang w:val="es-ES"/>
        </w:rPr>
      </w:pPr>
    </w:p>
    <w:p w14:paraId="638F3808" w14:textId="2EA83FF2" w:rsidR="00F851B2" w:rsidRPr="00561338" w:rsidRDefault="00F851B2" w:rsidP="00561338">
      <w:pPr>
        <w:pStyle w:val="Puesto"/>
        <w:rPr>
          <w:szCs w:val="22"/>
          <w:lang w:val="es-ES"/>
        </w:rPr>
      </w:pPr>
      <w:r w:rsidRPr="00561338">
        <w:rPr>
          <w:szCs w:val="22"/>
          <w:lang w:val="es-ES"/>
        </w:rPr>
        <w:t xml:space="preserve">“…que la información solicitada contiene nombres de trabajadores del municipio, así como su clave RFC, y número de clave de seguridad social, además de contener datos sensibles como cantidades pagadas y números de cuentas bancarias, razón por la cual se considera que la información contenida en las nóminas de todo el personal que labora en el ayuntamiento así como en el Instituto Municipal de Cultura Física y Deporte, debe ser considerada como confidencial…Por lo que ésta no puede ser proporcionada sin el consentimiento de cada uno de los servidores públicos que laboran en </w:t>
      </w:r>
      <w:r w:rsidR="008E39B9" w:rsidRPr="00561338">
        <w:rPr>
          <w:szCs w:val="22"/>
          <w:lang w:val="es-ES"/>
        </w:rPr>
        <w:t>el municipio</w:t>
      </w:r>
      <w:r w:rsidRPr="00561338">
        <w:rPr>
          <w:szCs w:val="22"/>
          <w:lang w:val="es-ES"/>
        </w:rPr>
        <w:t>.” Sic.</w:t>
      </w:r>
    </w:p>
    <w:p w14:paraId="01F10EEA" w14:textId="77777777" w:rsidR="006D6EAC" w:rsidRPr="00561338" w:rsidRDefault="006D6EAC" w:rsidP="00561338">
      <w:pPr>
        <w:widowControl w:val="0"/>
        <w:rPr>
          <w:rFonts w:eastAsia="Palatino Linotype" w:cs="Palatino Linotype"/>
          <w:szCs w:val="22"/>
        </w:rPr>
      </w:pPr>
    </w:p>
    <w:p w14:paraId="2205F37D" w14:textId="77777777" w:rsidR="00F660AE" w:rsidRPr="00561338" w:rsidRDefault="00054F72" w:rsidP="00561338">
      <w:pPr>
        <w:pStyle w:val="Ttulo2"/>
        <w:jc w:val="left"/>
        <w:rPr>
          <w:szCs w:val="22"/>
        </w:rPr>
      </w:pPr>
      <w:bookmarkStart w:id="11" w:name="_Toc184230148"/>
      <w:r w:rsidRPr="00561338">
        <w:rPr>
          <w:szCs w:val="22"/>
        </w:rPr>
        <w:t>DEL RECURSO DE REVISIÓN</w:t>
      </w:r>
      <w:bookmarkEnd w:id="11"/>
    </w:p>
    <w:p w14:paraId="555803C4" w14:textId="77777777" w:rsidR="002C21EC" w:rsidRPr="00561338" w:rsidRDefault="002C21EC" w:rsidP="00561338"/>
    <w:p w14:paraId="0CDD3F24" w14:textId="77777777" w:rsidR="00F660AE" w:rsidRPr="00561338" w:rsidRDefault="00054F72" w:rsidP="00561338">
      <w:pPr>
        <w:pStyle w:val="Ttulo3"/>
        <w:rPr>
          <w:szCs w:val="22"/>
        </w:rPr>
      </w:pPr>
      <w:bookmarkStart w:id="12" w:name="_Toc184230149"/>
      <w:r w:rsidRPr="00561338">
        <w:rPr>
          <w:szCs w:val="22"/>
        </w:rPr>
        <w:t>a) Interposición de los Recursos de Revisión.</w:t>
      </w:r>
      <w:bookmarkEnd w:id="12"/>
    </w:p>
    <w:p w14:paraId="1ECC0DC4" w14:textId="24FC7A56" w:rsidR="00F660AE" w:rsidRPr="00561338" w:rsidRDefault="00054F72" w:rsidP="00561338">
      <w:pPr>
        <w:ind w:right="-28"/>
        <w:rPr>
          <w:szCs w:val="22"/>
        </w:rPr>
      </w:pPr>
      <w:r w:rsidRPr="00561338">
        <w:rPr>
          <w:szCs w:val="22"/>
        </w:rPr>
        <w:t xml:space="preserve">El </w:t>
      </w:r>
      <w:r w:rsidR="006149FB" w:rsidRPr="00561338">
        <w:rPr>
          <w:b/>
          <w:szCs w:val="22"/>
        </w:rPr>
        <w:t xml:space="preserve">seis </w:t>
      </w:r>
      <w:r w:rsidR="00D9079F" w:rsidRPr="00561338">
        <w:rPr>
          <w:b/>
          <w:szCs w:val="22"/>
        </w:rPr>
        <w:t xml:space="preserve">y ocho </w:t>
      </w:r>
      <w:r w:rsidR="006149FB" w:rsidRPr="00561338">
        <w:rPr>
          <w:b/>
          <w:szCs w:val="22"/>
        </w:rPr>
        <w:t>de noviembre</w:t>
      </w:r>
      <w:r w:rsidRPr="00561338">
        <w:rPr>
          <w:b/>
          <w:szCs w:val="22"/>
        </w:rPr>
        <w:t xml:space="preserve"> de dos mil </w:t>
      </w:r>
      <w:r w:rsidR="00D84C24" w:rsidRPr="00561338">
        <w:rPr>
          <w:b/>
          <w:szCs w:val="22"/>
        </w:rPr>
        <w:t>veinticuatro</w:t>
      </w:r>
      <w:r w:rsidRPr="00561338">
        <w:rPr>
          <w:b/>
          <w:szCs w:val="22"/>
        </w:rPr>
        <w:t>,</w:t>
      </w:r>
      <w:r w:rsidRPr="00561338">
        <w:rPr>
          <w:szCs w:val="22"/>
        </w:rPr>
        <w:t xml:space="preserve"> </w:t>
      </w:r>
      <w:r w:rsidRPr="00561338">
        <w:rPr>
          <w:b/>
          <w:szCs w:val="22"/>
        </w:rPr>
        <w:t>LA PARTE RECURRENTE</w:t>
      </w:r>
      <w:r w:rsidRPr="00561338">
        <w:rPr>
          <w:szCs w:val="22"/>
        </w:rPr>
        <w:t xml:space="preserve"> interpuso los recursos de revisión en contra de </w:t>
      </w:r>
      <w:r w:rsidR="00E728A7" w:rsidRPr="00561338">
        <w:rPr>
          <w:szCs w:val="22"/>
        </w:rPr>
        <w:t>las</w:t>
      </w:r>
      <w:r w:rsidR="001F4EE6" w:rsidRPr="00561338">
        <w:rPr>
          <w:szCs w:val="22"/>
        </w:rPr>
        <w:t xml:space="preserve"> </w:t>
      </w:r>
      <w:r w:rsidRPr="00561338">
        <w:rPr>
          <w:szCs w:val="22"/>
        </w:rPr>
        <w:t xml:space="preserve">respuestas </w:t>
      </w:r>
      <w:r w:rsidR="001F4EE6" w:rsidRPr="00561338">
        <w:rPr>
          <w:szCs w:val="22"/>
        </w:rPr>
        <w:t>d</w:t>
      </w:r>
      <w:r w:rsidRPr="00561338">
        <w:rPr>
          <w:szCs w:val="22"/>
        </w:rPr>
        <w:t xml:space="preserve">el </w:t>
      </w:r>
      <w:r w:rsidRPr="00561338">
        <w:rPr>
          <w:b/>
          <w:szCs w:val="22"/>
        </w:rPr>
        <w:t>SUJETO OBLIGADO</w:t>
      </w:r>
      <w:r w:rsidRPr="00561338">
        <w:rPr>
          <w:szCs w:val="22"/>
        </w:rPr>
        <w:t xml:space="preserve">, mismos que fueron registrados en el SAIMEX con los números de expediente </w:t>
      </w:r>
      <w:r w:rsidR="006149FB" w:rsidRPr="00561338">
        <w:rPr>
          <w:b/>
          <w:szCs w:val="22"/>
        </w:rPr>
        <w:t>07092/INFOEM/IP/RR/2024</w:t>
      </w:r>
      <w:r w:rsidR="007C61D8" w:rsidRPr="00561338">
        <w:rPr>
          <w:b/>
          <w:szCs w:val="22"/>
        </w:rPr>
        <w:t xml:space="preserve"> </w:t>
      </w:r>
      <w:r w:rsidR="00434125" w:rsidRPr="00561338">
        <w:rPr>
          <w:szCs w:val="22"/>
        </w:rPr>
        <w:t xml:space="preserve">y </w:t>
      </w:r>
      <w:r w:rsidR="00E31383" w:rsidRPr="00561338">
        <w:rPr>
          <w:b/>
          <w:szCs w:val="22"/>
        </w:rPr>
        <w:t>07133/INFOEM/IP/RR/2024</w:t>
      </w:r>
      <w:r w:rsidR="00434125" w:rsidRPr="00561338">
        <w:rPr>
          <w:b/>
          <w:szCs w:val="22"/>
        </w:rPr>
        <w:t xml:space="preserve">; </w:t>
      </w:r>
      <w:r w:rsidRPr="00561338">
        <w:rPr>
          <w:szCs w:val="22"/>
        </w:rPr>
        <w:t xml:space="preserve">en los cuales </w:t>
      </w:r>
      <w:r w:rsidR="00E74688" w:rsidRPr="00561338">
        <w:rPr>
          <w:szCs w:val="22"/>
        </w:rPr>
        <w:t>manifestó</w:t>
      </w:r>
      <w:r w:rsidRPr="00561338">
        <w:rPr>
          <w:szCs w:val="22"/>
        </w:rPr>
        <w:t xml:space="preserve"> lo siguiente:</w:t>
      </w:r>
    </w:p>
    <w:p w14:paraId="1538C8D6" w14:textId="04A8485F" w:rsidR="00FD33ED" w:rsidRPr="00561338" w:rsidRDefault="00FD33ED" w:rsidP="00561338">
      <w:pPr>
        <w:rPr>
          <w:szCs w:val="22"/>
        </w:rPr>
      </w:pPr>
      <w:r w:rsidRPr="00561338">
        <w:rPr>
          <w:szCs w:val="22"/>
        </w:rPr>
        <w:br w:type="page"/>
      </w:r>
    </w:p>
    <w:p w14:paraId="46ED0E2C" w14:textId="77777777" w:rsidR="00F660AE" w:rsidRPr="00561338" w:rsidRDefault="00F660AE" w:rsidP="00561338">
      <w:pPr>
        <w:tabs>
          <w:tab w:val="left" w:pos="4667"/>
        </w:tabs>
        <w:ind w:right="539"/>
        <w:rPr>
          <w:szCs w:val="22"/>
        </w:rPr>
      </w:pPr>
    </w:p>
    <w:tbl>
      <w:tblPr>
        <w:tblStyle w:val="a1"/>
        <w:tblpPr w:leftFromText="141" w:rightFromText="141" w:vertAnchor="text" w:tblpXSpec="center" w:tblpY="1"/>
        <w:tblOverlap w:val="never"/>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694"/>
        <w:gridCol w:w="3260"/>
      </w:tblGrid>
      <w:tr w:rsidR="00561338" w:rsidRPr="00561338" w14:paraId="2A7F3E4C" w14:textId="28193D11" w:rsidTr="00794CE3">
        <w:trPr>
          <w:trHeight w:val="225"/>
          <w:tblHeader/>
        </w:trPr>
        <w:tc>
          <w:tcPr>
            <w:tcW w:w="2830" w:type="dxa"/>
            <w:shd w:val="clear" w:color="auto" w:fill="D9D9D9" w:themeFill="background1" w:themeFillShade="D9"/>
            <w:vAlign w:val="center"/>
          </w:tcPr>
          <w:p w14:paraId="0BDE0C13" w14:textId="4E2E9193" w:rsidR="00756AFF" w:rsidRPr="00561338" w:rsidRDefault="00756AFF" w:rsidP="00561338">
            <w:pPr>
              <w:spacing w:line="240" w:lineRule="auto"/>
              <w:jc w:val="center"/>
              <w:rPr>
                <w:b/>
                <w:szCs w:val="22"/>
              </w:rPr>
            </w:pPr>
            <w:r w:rsidRPr="00561338">
              <w:rPr>
                <w:b/>
                <w:szCs w:val="22"/>
              </w:rPr>
              <w:t>Folio Solicitudes de Información/Folio Recursos de revisión.</w:t>
            </w:r>
          </w:p>
        </w:tc>
        <w:tc>
          <w:tcPr>
            <w:tcW w:w="2694" w:type="dxa"/>
            <w:shd w:val="clear" w:color="auto" w:fill="D9D9D9" w:themeFill="background1" w:themeFillShade="D9"/>
            <w:tcMar>
              <w:top w:w="0" w:type="dxa"/>
              <w:left w:w="45" w:type="dxa"/>
              <w:bottom w:w="0" w:type="dxa"/>
              <w:right w:w="45" w:type="dxa"/>
            </w:tcMar>
          </w:tcPr>
          <w:p w14:paraId="6C2A36A5" w14:textId="0297BA41" w:rsidR="00756AFF" w:rsidRPr="00561338" w:rsidRDefault="00756AFF" w:rsidP="00561338">
            <w:pPr>
              <w:spacing w:line="240" w:lineRule="auto"/>
              <w:jc w:val="center"/>
              <w:rPr>
                <w:b/>
                <w:i/>
                <w:szCs w:val="22"/>
              </w:rPr>
            </w:pPr>
            <w:r w:rsidRPr="00561338">
              <w:rPr>
                <w:b/>
                <w:szCs w:val="22"/>
              </w:rPr>
              <w:t>Actos impugnados</w:t>
            </w:r>
          </w:p>
        </w:tc>
        <w:tc>
          <w:tcPr>
            <w:tcW w:w="3260" w:type="dxa"/>
            <w:shd w:val="clear" w:color="auto" w:fill="D9D9D9" w:themeFill="background1" w:themeFillShade="D9"/>
          </w:tcPr>
          <w:p w14:paraId="6B488173" w14:textId="6B6AFDCE" w:rsidR="00756AFF" w:rsidRPr="00561338" w:rsidRDefault="00756AFF" w:rsidP="00561338">
            <w:pPr>
              <w:spacing w:line="240" w:lineRule="auto"/>
              <w:jc w:val="center"/>
              <w:rPr>
                <w:b/>
                <w:szCs w:val="22"/>
              </w:rPr>
            </w:pPr>
            <w:r w:rsidRPr="00561338">
              <w:rPr>
                <w:b/>
                <w:szCs w:val="22"/>
              </w:rPr>
              <w:t>Razones o motivos de inconformidad</w:t>
            </w:r>
          </w:p>
        </w:tc>
      </w:tr>
      <w:tr w:rsidR="00561338" w:rsidRPr="00561338" w14:paraId="57158C1C" w14:textId="59AD51D9" w:rsidTr="00DB6F64">
        <w:trPr>
          <w:trHeight w:val="65"/>
        </w:trPr>
        <w:tc>
          <w:tcPr>
            <w:tcW w:w="2830" w:type="dxa"/>
          </w:tcPr>
          <w:p w14:paraId="54D96DF1" w14:textId="467F7B15" w:rsidR="006106F8" w:rsidRPr="00561338" w:rsidRDefault="008B6431" w:rsidP="00561338">
            <w:pPr>
              <w:spacing w:line="240" w:lineRule="auto"/>
              <w:jc w:val="center"/>
              <w:rPr>
                <w:b/>
                <w:szCs w:val="22"/>
                <w:lang w:val="en-US"/>
              </w:rPr>
            </w:pPr>
            <w:r w:rsidRPr="00561338">
              <w:rPr>
                <w:b/>
                <w:szCs w:val="22"/>
                <w:lang w:val="en-US"/>
              </w:rPr>
              <w:t>00163/ACAMBAY/IP/2024</w:t>
            </w:r>
          </w:p>
          <w:p w14:paraId="496A1CEC" w14:textId="1D949D12" w:rsidR="00756AFF" w:rsidRPr="00561338" w:rsidRDefault="006149FB" w:rsidP="00561338">
            <w:pPr>
              <w:spacing w:line="240" w:lineRule="auto"/>
              <w:jc w:val="center"/>
              <w:rPr>
                <w:b/>
                <w:szCs w:val="22"/>
                <w:lang w:val="en-US"/>
              </w:rPr>
            </w:pPr>
            <w:r w:rsidRPr="00561338">
              <w:rPr>
                <w:b/>
                <w:szCs w:val="22"/>
                <w:lang w:val="en-US"/>
              </w:rPr>
              <w:t>07092/INFOEM/IP/RR/2024</w:t>
            </w:r>
          </w:p>
        </w:tc>
        <w:tc>
          <w:tcPr>
            <w:tcW w:w="2694" w:type="dxa"/>
            <w:tcMar>
              <w:top w:w="0" w:type="dxa"/>
              <w:left w:w="45" w:type="dxa"/>
              <w:bottom w:w="0" w:type="dxa"/>
              <w:right w:w="45" w:type="dxa"/>
            </w:tcMar>
          </w:tcPr>
          <w:p w14:paraId="6E6FEE4A" w14:textId="0A9774C4" w:rsidR="00756AFF" w:rsidRPr="00561338" w:rsidRDefault="004B4666" w:rsidP="00561338">
            <w:pPr>
              <w:spacing w:line="240" w:lineRule="auto"/>
              <w:ind w:left="88" w:right="96"/>
              <w:rPr>
                <w:i/>
                <w:szCs w:val="22"/>
              </w:rPr>
            </w:pPr>
            <w:r w:rsidRPr="00561338">
              <w:rPr>
                <w:i/>
                <w:szCs w:val="22"/>
              </w:rPr>
              <w:t>Solicito los recibos de nomina correspondientes a la segunda quincena de septiembre de 2024 del Sistema Municipal DIF</w:t>
            </w:r>
          </w:p>
        </w:tc>
        <w:tc>
          <w:tcPr>
            <w:tcW w:w="3260" w:type="dxa"/>
          </w:tcPr>
          <w:p w14:paraId="6929D110" w14:textId="1C574E26" w:rsidR="00756AFF" w:rsidRPr="00561338" w:rsidRDefault="004B4666" w:rsidP="00561338">
            <w:pPr>
              <w:spacing w:line="240" w:lineRule="auto"/>
              <w:ind w:left="142" w:right="132"/>
              <w:rPr>
                <w:i/>
                <w:szCs w:val="22"/>
              </w:rPr>
            </w:pPr>
            <w:r w:rsidRPr="00561338">
              <w:rPr>
                <w:i/>
                <w:szCs w:val="22"/>
              </w:rPr>
              <w:t>No presenta los recibos de nomina en versión pública.</w:t>
            </w:r>
          </w:p>
        </w:tc>
      </w:tr>
      <w:tr w:rsidR="00561338" w:rsidRPr="00561338" w14:paraId="15B35E34" w14:textId="04464DD9" w:rsidTr="00DB6F64">
        <w:trPr>
          <w:trHeight w:val="1938"/>
        </w:trPr>
        <w:tc>
          <w:tcPr>
            <w:tcW w:w="2830" w:type="dxa"/>
          </w:tcPr>
          <w:p w14:paraId="36DDB46F" w14:textId="4CDFD392" w:rsidR="00756AFF" w:rsidRPr="00561338" w:rsidRDefault="00E31383" w:rsidP="00561338">
            <w:pPr>
              <w:spacing w:line="240" w:lineRule="auto"/>
              <w:jc w:val="center"/>
              <w:rPr>
                <w:b/>
                <w:szCs w:val="22"/>
                <w:lang w:val="en-US"/>
              </w:rPr>
            </w:pPr>
            <w:r w:rsidRPr="00561338">
              <w:rPr>
                <w:b/>
                <w:szCs w:val="22"/>
                <w:lang w:val="en-US"/>
              </w:rPr>
              <w:t>00162/ACAMBAY/IP/2024</w:t>
            </w:r>
          </w:p>
          <w:p w14:paraId="610CA9A0" w14:textId="642C643E" w:rsidR="006106F8" w:rsidRPr="00561338" w:rsidRDefault="00E31383" w:rsidP="00561338">
            <w:pPr>
              <w:spacing w:line="240" w:lineRule="auto"/>
              <w:jc w:val="center"/>
              <w:rPr>
                <w:b/>
                <w:szCs w:val="22"/>
                <w:lang w:val="en-US"/>
              </w:rPr>
            </w:pPr>
            <w:r w:rsidRPr="00561338">
              <w:rPr>
                <w:b/>
                <w:szCs w:val="22"/>
                <w:lang w:val="en-US"/>
              </w:rPr>
              <w:t>07133/INFOEM/IP/RR/2024</w:t>
            </w:r>
          </w:p>
        </w:tc>
        <w:tc>
          <w:tcPr>
            <w:tcW w:w="2694" w:type="dxa"/>
            <w:tcMar>
              <w:top w:w="0" w:type="dxa"/>
              <w:left w:w="45" w:type="dxa"/>
              <w:bottom w:w="0" w:type="dxa"/>
              <w:right w:w="45" w:type="dxa"/>
            </w:tcMar>
          </w:tcPr>
          <w:p w14:paraId="3DD45450" w14:textId="1EBD7EBA" w:rsidR="00756AFF" w:rsidRPr="00561338" w:rsidRDefault="00D9079F" w:rsidP="00561338">
            <w:pPr>
              <w:spacing w:line="240" w:lineRule="auto"/>
              <w:ind w:left="88" w:right="96"/>
              <w:rPr>
                <w:i/>
                <w:szCs w:val="22"/>
              </w:rPr>
            </w:pPr>
            <w:r w:rsidRPr="00561338">
              <w:rPr>
                <w:i/>
                <w:szCs w:val="22"/>
              </w:rPr>
              <w:t>Solicito los recibos de nomina correspondientes a la segunda quincena de septiembre de 2024 del Instituto Municipal de Cultura Física y Deporte</w:t>
            </w:r>
          </w:p>
        </w:tc>
        <w:tc>
          <w:tcPr>
            <w:tcW w:w="3260" w:type="dxa"/>
          </w:tcPr>
          <w:p w14:paraId="18253B0D" w14:textId="0A98CD1B" w:rsidR="00756AFF" w:rsidRPr="00561338" w:rsidRDefault="00D9079F" w:rsidP="00561338">
            <w:pPr>
              <w:spacing w:line="240" w:lineRule="auto"/>
              <w:ind w:left="142" w:right="132"/>
              <w:rPr>
                <w:i/>
                <w:szCs w:val="22"/>
              </w:rPr>
            </w:pPr>
            <w:r w:rsidRPr="00561338">
              <w:rPr>
                <w:i/>
                <w:szCs w:val="22"/>
              </w:rPr>
              <w:t>No presentan información, toda vez que es comsidera información publica de conformidad con el artículo 92 de la Ley de Transparencia y Acceso a la Información Pública del Estado de México y Municipios.</w:t>
            </w:r>
          </w:p>
        </w:tc>
      </w:tr>
    </w:tbl>
    <w:p w14:paraId="5140137A" w14:textId="1F3D4751" w:rsidR="00F660AE" w:rsidRPr="00561338" w:rsidRDefault="00054F72" w:rsidP="00561338">
      <w:pPr>
        <w:pStyle w:val="Ttulo3"/>
      </w:pPr>
      <w:bookmarkStart w:id="13" w:name="_Toc184230150"/>
      <w:r w:rsidRPr="00561338">
        <w:t>b) Turno de los Recursos de Revisión.</w:t>
      </w:r>
      <w:bookmarkEnd w:id="13"/>
    </w:p>
    <w:p w14:paraId="68B3B683" w14:textId="4CAB9358" w:rsidR="00664500" w:rsidRPr="00561338" w:rsidRDefault="00054F72" w:rsidP="00561338">
      <w:pPr>
        <w:rPr>
          <w:szCs w:val="22"/>
        </w:rPr>
      </w:pPr>
      <w:r w:rsidRPr="00561338">
        <w:rPr>
          <w:szCs w:val="22"/>
        </w:rPr>
        <w:t>Con fundamento en el artículo 185, fracción I de la Ley de Transparencia y Acceso a la Información Pública del Estado de México y Municipios, el</w:t>
      </w:r>
      <w:r w:rsidRPr="00561338">
        <w:rPr>
          <w:b/>
          <w:szCs w:val="22"/>
        </w:rPr>
        <w:t xml:space="preserve"> </w:t>
      </w:r>
      <w:r w:rsidR="00E31383" w:rsidRPr="00561338">
        <w:rPr>
          <w:b/>
          <w:szCs w:val="22"/>
        </w:rPr>
        <w:t xml:space="preserve">seis </w:t>
      </w:r>
      <w:r w:rsidR="00D9079F" w:rsidRPr="00561338">
        <w:rPr>
          <w:b/>
          <w:szCs w:val="22"/>
        </w:rPr>
        <w:t xml:space="preserve">y ocho </w:t>
      </w:r>
      <w:r w:rsidR="00E31383" w:rsidRPr="00561338">
        <w:rPr>
          <w:b/>
          <w:szCs w:val="22"/>
        </w:rPr>
        <w:t>de noviembre</w:t>
      </w:r>
      <w:r w:rsidRPr="00561338">
        <w:rPr>
          <w:b/>
          <w:szCs w:val="22"/>
        </w:rPr>
        <w:t xml:space="preserve"> de dos mil </w:t>
      </w:r>
      <w:r w:rsidR="00D84C24" w:rsidRPr="00561338">
        <w:rPr>
          <w:b/>
          <w:szCs w:val="22"/>
        </w:rPr>
        <w:t>veinticuatro</w:t>
      </w:r>
      <w:r w:rsidRPr="00561338">
        <w:rPr>
          <w:szCs w:val="22"/>
        </w:rPr>
        <w:t xml:space="preserve"> se turn</w:t>
      </w:r>
      <w:r w:rsidR="00664500" w:rsidRPr="00561338">
        <w:rPr>
          <w:szCs w:val="22"/>
        </w:rPr>
        <w:t xml:space="preserve">aron los </w:t>
      </w:r>
      <w:r w:rsidRPr="00561338">
        <w:rPr>
          <w:szCs w:val="22"/>
        </w:rPr>
        <w:t>recurso</w:t>
      </w:r>
      <w:r w:rsidR="00664500" w:rsidRPr="00561338">
        <w:rPr>
          <w:szCs w:val="22"/>
        </w:rPr>
        <w:t>s</w:t>
      </w:r>
      <w:r w:rsidRPr="00561338">
        <w:rPr>
          <w:szCs w:val="22"/>
        </w:rPr>
        <w:t xml:space="preserve"> de revisión a través del SAIMEX </w:t>
      </w:r>
      <w:r w:rsidRPr="00561338">
        <w:rPr>
          <w:b/>
          <w:szCs w:val="22"/>
        </w:rPr>
        <w:t>a</w:t>
      </w:r>
      <w:r w:rsidRPr="00561338">
        <w:rPr>
          <w:szCs w:val="22"/>
        </w:rPr>
        <w:t>, a efecto de decretar su admisión o desechamiento</w:t>
      </w:r>
      <w:r w:rsidR="00664500" w:rsidRPr="00561338">
        <w:rPr>
          <w:szCs w:val="22"/>
        </w:rPr>
        <w:t>, de la siguiente manera:</w:t>
      </w:r>
    </w:p>
    <w:p w14:paraId="7F6C34C4" w14:textId="6BB610F9" w:rsidR="00664500" w:rsidRPr="00561338" w:rsidRDefault="00664500" w:rsidP="00561338">
      <w:pPr>
        <w:rPr>
          <w:szCs w:val="22"/>
        </w:rPr>
      </w:pPr>
    </w:p>
    <w:tbl>
      <w:tblPr>
        <w:tblStyle w:val="a1"/>
        <w:tblpPr w:leftFromText="141" w:rightFromText="141" w:vertAnchor="text" w:tblpXSpec="center" w:tblpY="1"/>
        <w:tblOverlap w:val="never"/>
        <w:tblW w:w="8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561338" w:rsidRPr="00561338" w14:paraId="3667BF37" w14:textId="77777777" w:rsidTr="0065720E">
        <w:trPr>
          <w:trHeight w:val="225"/>
        </w:trPr>
        <w:tc>
          <w:tcPr>
            <w:tcW w:w="2972" w:type="dxa"/>
            <w:shd w:val="clear" w:color="auto" w:fill="D9D9D9" w:themeFill="background1" w:themeFillShade="D9"/>
            <w:vAlign w:val="center"/>
          </w:tcPr>
          <w:p w14:paraId="75314460" w14:textId="77777777" w:rsidR="00664500" w:rsidRPr="00561338" w:rsidRDefault="00664500" w:rsidP="00561338">
            <w:pPr>
              <w:spacing w:line="240" w:lineRule="auto"/>
              <w:jc w:val="center"/>
              <w:rPr>
                <w:b/>
                <w:szCs w:val="22"/>
              </w:rPr>
            </w:pPr>
            <w:r w:rsidRPr="00561338">
              <w:rPr>
                <w:b/>
                <w:szCs w:val="22"/>
              </w:rPr>
              <w:t>Folio Solicitudes de Información/Folio Recursos de revisión.</w:t>
            </w:r>
          </w:p>
        </w:tc>
        <w:tc>
          <w:tcPr>
            <w:tcW w:w="5245" w:type="dxa"/>
            <w:shd w:val="clear" w:color="auto" w:fill="D9D9D9" w:themeFill="background1" w:themeFillShade="D9"/>
            <w:tcMar>
              <w:top w:w="0" w:type="dxa"/>
              <w:left w:w="45" w:type="dxa"/>
              <w:bottom w:w="0" w:type="dxa"/>
              <w:right w:w="45" w:type="dxa"/>
            </w:tcMar>
          </w:tcPr>
          <w:p w14:paraId="7E191CC5" w14:textId="0876F8CC" w:rsidR="00664500" w:rsidRPr="00561338" w:rsidRDefault="00664500" w:rsidP="00561338">
            <w:pPr>
              <w:spacing w:line="240" w:lineRule="auto"/>
              <w:jc w:val="center"/>
              <w:rPr>
                <w:b/>
                <w:szCs w:val="22"/>
              </w:rPr>
            </w:pPr>
            <w:r w:rsidRPr="00561338">
              <w:rPr>
                <w:b/>
                <w:szCs w:val="22"/>
              </w:rPr>
              <w:t>Turnado</w:t>
            </w:r>
          </w:p>
        </w:tc>
      </w:tr>
      <w:tr w:rsidR="00561338" w:rsidRPr="00561338" w14:paraId="1A109E3C" w14:textId="77777777" w:rsidTr="0065720E">
        <w:trPr>
          <w:trHeight w:val="65"/>
        </w:trPr>
        <w:tc>
          <w:tcPr>
            <w:tcW w:w="2972" w:type="dxa"/>
            <w:vAlign w:val="center"/>
          </w:tcPr>
          <w:p w14:paraId="7FCEA4E0" w14:textId="0CD181B8" w:rsidR="00ED5044" w:rsidRPr="00561338" w:rsidRDefault="008B6431" w:rsidP="00561338">
            <w:pPr>
              <w:spacing w:line="240" w:lineRule="auto"/>
              <w:jc w:val="center"/>
              <w:rPr>
                <w:b/>
                <w:szCs w:val="22"/>
                <w:lang w:val="en-US"/>
              </w:rPr>
            </w:pPr>
            <w:r w:rsidRPr="00561338">
              <w:rPr>
                <w:b/>
                <w:szCs w:val="22"/>
                <w:lang w:val="en-US"/>
              </w:rPr>
              <w:t>00163/ACAMBAY/IP/2024</w:t>
            </w:r>
          </w:p>
          <w:p w14:paraId="46CAE438" w14:textId="4DA6BB05" w:rsidR="00ED5044" w:rsidRPr="00561338" w:rsidRDefault="006149FB" w:rsidP="00561338">
            <w:pPr>
              <w:spacing w:line="240" w:lineRule="auto"/>
              <w:jc w:val="center"/>
              <w:rPr>
                <w:b/>
                <w:szCs w:val="22"/>
                <w:lang w:val="en-US"/>
              </w:rPr>
            </w:pPr>
            <w:r w:rsidRPr="00561338">
              <w:rPr>
                <w:b/>
                <w:szCs w:val="22"/>
                <w:lang w:val="en-US"/>
              </w:rPr>
              <w:t>07092/INFOEM/IP/RR/2024</w:t>
            </w:r>
          </w:p>
        </w:tc>
        <w:tc>
          <w:tcPr>
            <w:tcW w:w="5245" w:type="dxa"/>
            <w:tcMar>
              <w:top w:w="0" w:type="dxa"/>
              <w:left w:w="45" w:type="dxa"/>
              <w:bottom w:w="0" w:type="dxa"/>
              <w:right w:w="45" w:type="dxa"/>
            </w:tcMar>
            <w:vAlign w:val="center"/>
          </w:tcPr>
          <w:p w14:paraId="5793B379" w14:textId="3AAAE2AC" w:rsidR="0065720E" w:rsidRPr="00561338" w:rsidRDefault="007676B1" w:rsidP="00561338">
            <w:pPr>
              <w:spacing w:line="240" w:lineRule="auto"/>
              <w:jc w:val="center"/>
              <w:rPr>
                <w:b/>
                <w:bCs/>
                <w:iCs/>
                <w:szCs w:val="22"/>
              </w:rPr>
            </w:pPr>
            <w:r w:rsidRPr="00561338">
              <w:rPr>
                <w:b/>
                <w:bCs/>
                <w:iCs/>
                <w:szCs w:val="22"/>
              </w:rPr>
              <w:t>SHARON CRISTINA MORALES MARTÍNEZ</w:t>
            </w:r>
          </w:p>
          <w:p w14:paraId="70A207B1" w14:textId="703E23A2" w:rsidR="00ED5044" w:rsidRPr="00561338" w:rsidRDefault="00ED5044" w:rsidP="00561338">
            <w:pPr>
              <w:spacing w:line="240" w:lineRule="auto"/>
              <w:jc w:val="center"/>
              <w:rPr>
                <w:b/>
                <w:szCs w:val="22"/>
              </w:rPr>
            </w:pPr>
          </w:p>
        </w:tc>
      </w:tr>
      <w:tr w:rsidR="00561338" w:rsidRPr="00561338" w14:paraId="3D9220D7" w14:textId="77777777" w:rsidTr="0065720E">
        <w:trPr>
          <w:trHeight w:val="65"/>
        </w:trPr>
        <w:tc>
          <w:tcPr>
            <w:tcW w:w="2972" w:type="dxa"/>
            <w:vAlign w:val="center"/>
          </w:tcPr>
          <w:p w14:paraId="59497E1A" w14:textId="23B85FC3" w:rsidR="00ED5044" w:rsidRPr="00561338" w:rsidRDefault="00E31383" w:rsidP="00561338">
            <w:pPr>
              <w:spacing w:line="240" w:lineRule="auto"/>
              <w:jc w:val="center"/>
              <w:rPr>
                <w:b/>
                <w:szCs w:val="22"/>
                <w:lang w:val="en-US"/>
              </w:rPr>
            </w:pPr>
            <w:r w:rsidRPr="00561338">
              <w:rPr>
                <w:b/>
                <w:szCs w:val="22"/>
                <w:lang w:val="en-US"/>
              </w:rPr>
              <w:t>00162/ACAMBAY/IP/2024</w:t>
            </w:r>
          </w:p>
          <w:p w14:paraId="4BED1C31" w14:textId="44829594" w:rsidR="00ED5044" w:rsidRPr="00561338" w:rsidRDefault="00E31383" w:rsidP="00561338">
            <w:pPr>
              <w:spacing w:line="240" w:lineRule="auto"/>
              <w:jc w:val="center"/>
              <w:rPr>
                <w:b/>
                <w:szCs w:val="22"/>
                <w:lang w:val="en-US"/>
              </w:rPr>
            </w:pPr>
            <w:r w:rsidRPr="00561338">
              <w:rPr>
                <w:b/>
                <w:szCs w:val="22"/>
                <w:lang w:val="en-US"/>
              </w:rPr>
              <w:t>07133/INFOEM/IP/RR/2024</w:t>
            </w:r>
          </w:p>
        </w:tc>
        <w:tc>
          <w:tcPr>
            <w:tcW w:w="5245" w:type="dxa"/>
            <w:tcMar>
              <w:top w:w="0" w:type="dxa"/>
              <w:left w:w="45" w:type="dxa"/>
              <w:bottom w:w="0" w:type="dxa"/>
              <w:right w:w="45" w:type="dxa"/>
            </w:tcMar>
            <w:vAlign w:val="center"/>
          </w:tcPr>
          <w:p w14:paraId="625F5805" w14:textId="4A3B382C" w:rsidR="00ED5044" w:rsidRPr="00561338" w:rsidRDefault="007C61D8" w:rsidP="00561338">
            <w:pPr>
              <w:spacing w:line="240" w:lineRule="auto"/>
              <w:jc w:val="center"/>
              <w:rPr>
                <w:b/>
                <w:szCs w:val="22"/>
              </w:rPr>
            </w:pPr>
            <w:r w:rsidRPr="00561338">
              <w:rPr>
                <w:b/>
                <w:bCs/>
                <w:iCs/>
                <w:szCs w:val="22"/>
              </w:rPr>
              <w:t>MARÍA DEL ROSARIO MEJÍA AYALA</w:t>
            </w:r>
          </w:p>
        </w:tc>
      </w:tr>
    </w:tbl>
    <w:p w14:paraId="22380591" w14:textId="37EC4DAA" w:rsidR="00F660AE" w:rsidRPr="00561338" w:rsidRDefault="00F660AE" w:rsidP="00561338">
      <w:pPr>
        <w:rPr>
          <w:szCs w:val="22"/>
        </w:rPr>
      </w:pPr>
    </w:p>
    <w:p w14:paraId="07FA2851" w14:textId="77777777" w:rsidR="00F660AE" w:rsidRPr="00561338" w:rsidRDefault="00054F72" w:rsidP="00561338">
      <w:pPr>
        <w:pStyle w:val="Ttulo3"/>
        <w:rPr>
          <w:szCs w:val="22"/>
        </w:rPr>
      </w:pPr>
      <w:bookmarkStart w:id="14" w:name="_Toc184230151"/>
      <w:r w:rsidRPr="00561338">
        <w:rPr>
          <w:szCs w:val="22"/>
        </w:rPr>
        <w:lastRenderedPageBreak/>
        <w:t>c) Admisiones de los Recursos de Revisión.</w:t>
      </w:r>
      <w:bookmarkEnd w:id="14"/>
    </w:p>
    <w:p w14:paraId="22E967AC" w14:textId="45987EB1" w:rsidR="00F660AE" w:rsidRPr="00561338" w:rsidRDefault="00054F72" w:rsidP="00561338">
      <w:pPr>
        <w:rPr>
          <w:szCs w:val="22"/>
        </w:rPr>
      </w:pPr>
      <w:r w:rsidRPr="00561338">
        <w:rPr>
          <w:szCs w:val="22"/>
        </w:rPr>
        <w:t xml:space="preserve">El </w:t>
      </w:r>
      <w:r w:rsidR="00E31383" w:rsidRPr="00561338">
        <w:rPr>
          <w:b/>
          <w:szCs w:val="22"/>
        </w:rPr>
        <w:t>ocho y el doce</w:t>
      </w:r>
      <w:r w:rsidR="007C61D8" w:rsidRPr="00561338">
        <w:rPr>
          <w:b/>
          <w:szCs w:val="22"/>
        </w:rPr>
        <w:t xml:space="preserve"> de noviembre</w:t>
      </w:r>
      <w:r w:rsidRPr="00561338">
        <w:rPr>
          <w:b/>
          <w:szCs w:val="22"/>
        </w:rPr>
        <w:t xml:space="preserve"> de dos mil </w:t>
      </w:r>
      <w:r w:rsidR="00D84C24" w:rsidRPr="00561338">
        <w:rPr>
          <w:b/>
          <w:szCs w:val="22"/>
        </w:rPr>
        <w:t>veinticuatro</w:t>
      </w:r>
      <w:r w:rsidRPr="00561338">
        <w:rPr>
          <w:szCs w:val="22"/>
        </w:rPr>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3127280" w14:textId="77777777" w:rsidR="003A6E12" w:rsidRPr="00561338" w:rsidRDefault="003A6E12" w:rsidP="00561338">
      <w:pPr>
        <w:rPr>
          <w:szCs w:val="22"/>
        </w:rPr>
      </w:pPr>
    </w:p>
    <w:p w14:paraId="41A80074" w14:textId="77777777" w:rsidR="00F660AE" w:rsidRPr="00561338" w:rsidRDefault="00054F72" w:rsidP="00561338">
      <w:pPr>
        <w:pStyle w:val="Ttulo3"/>
        <w:rPr>
          <w:szCs w:val="22"/>
        </w:rPr>
      </w:pPr>
      <w:bookmarkStart w:id="15" w:name="_Toc184230152"/>
      <w:r w:rsidRPr="00561338">
        <w:rPr>
          <w:szCs w:val="22"/>
        </w:rPr>
        <w:t>d) Acumulación de los Recursos de Revisión</w:t>
      </w:r>
      <w:bookmarkEnd w:id="15"/>
    </w:p>
    <w:p w14:paraId="652635FC" w14:textId="0CE5A401" w:rsidR="00F660AE" w:rsidRPr="00561338" w:rsidRDefault="00054F72" w:rsidP="00561338">
      <w:pPr>
        <w:ind w:left="-57"/>
        <w:rPr>
          <w:b/>
          <w:szCs w:val="22"/>
        </w:rPr>
      </w:pPr>
      <w:bookmarkStart w:id="16" w:name="_heading=h.3rdcrjn" w:colFirst="0" w:colLast="0"/>
      <w:bookmarkEnd w:id="16"/>
      <w:r w:rsidRPr="00561338">
        <w:rPr>
          <w:szCs w:val="22"/>
        </w:rPr>
        <w:t xml:space="preserve">Por economía procesal y con la finalidad de evitar resoluciones contradictorias, en la </w:t>
      </w:r>
      <w:r w:rsidR="00E31383" w:rsidRPr="00561338">
        <w:rPr>
          <w:b/>
          <w:szCs w:val="22"/>
        </w:rPr>
        <w:t>Cuadragésima</w:t>
      </w:r>
      <w:r w:rsidR="00CA102B" w:rsidRPr="00561338">
        <w:rPr>
          <w:b/>
          <w:szCs w:val="22"/>
        </w:rPr>
        <w:t xml:space="preserve"> </w:t>
      </w:r>
      <w:r w:rsidR="00EA09DB" w:rsidRPr="00561338">
        <w:rPr>
          <w:b/>
          <w:szCs w:val="22"/>
        </w:rPr>
        <w:t>S</w:t>
      </w:r>
      <w:r w:rsidR="00A659F1" w:rsidRPr="00561338">
        <w:rPr>
          <w:b/>
          <w:szCs w:val="22"/>
        </w:rPr>
        <w:t>esión O</w:t>
      </w:r>
      <w:r w:rsidRPr="00561338">
        <w:rPr>
          <w:b/>
          <w:szCs w:val="22"/>
        </w:rPr>
        <w:t>rdinaria</w:t>
      </w:r>
      <w:r w:rsidRPr="00561338">
        <w:rPr>
          <w:szCs w:val="22"/>
        </w:rPr>
        <w:t xml:space="preserve"> celebrada el</w:t>
      </w:r>
      <w:r w:rsidRPr="00561338">
        <w:rPr>
          <w:b/>
          <w:szCs w:val="22"/>
        </w:rPr>
        <w:t xml:space="preserve"> </w:t>
      </w:r>
      <w:r w:rsidR="00E31383" w:rsidRPr="00561338">
        <w:rPr>
          <w:b/>
          <w:szCs w:val="22"/>
        </w:rPr>
        <w:t>veintiuno</w:t>
      </w:r>
      <w:r w:rsidR="007C61D8" w:rsidRPr="00561338">
        <w:rPr>
          <w:b/>
          <w:szCs w:val="22"/>
        </w:rPr>
        <w:t xml:space="preserve"> de noviembre</w:t>
      </w:r>
      <w:r w:rsidRPr="00561338">
        <w:rPr>
          <w:b/>
          <w:szCs w:val="22"/>
        </w:rPr>
        <w:t xml:space="preserve"> de dos mil </w:t>
      </w:r>
      <w:r w:rsidR="00D84C24" w:rsidRPr="00561338">
        <w:rPr>
          <w:b/>
          <w:szCs w:val="22"/>
        </w:rPr>
        <w:t>veinticuatro</w:t>
      </w:r>
      <w:r w:rsidRPr="00561338">
        <w:rPr>
          <w:szCs w:val="22"/>
        </w:rPr>
        <w:t xml:space="preserve"> el Pleno de este Instituto determinó acumular los Recursos de Revisión</w:t>
      </w:r>
      <w:r w:rsidRPr="00561338">
        <w:rPr>
          <w:b/>
          <w:szCs w:val="22"/>
        </w:rPr>
        <w:t xml:space="preserve"> </w:t>
      </w:r>
      <w:r w:rsidR="00E31383" w:rsidRPr="00561338">
        <w:rPr>
          <w:rFonts w:eastAsia="Palatino Linotype" w:cs="Palatino Linotype"/>
          <w:b/>
          <w:szCs w:val="22"/>
        </w:rPr>
        <w:t>07133/INFOEM/IP/RR/2024</w:t>
      </w:r>
      <w:r w:rsidR="007E5A68" w:rsidRPr="00561338">
        <w:rPr>
          <w:rFonts w:eastAsia="Palatino Linotype" w:cs="Palatino Linotype"/>
          <w:b/>
          <w:szCs w:val="22"/>
        </w:rPr>
        <w:t xml:space="preserve"> </w:t>
      </w:r>
      <w:r w:rsidR="00EA09DB" w:rsidRPr="00561338">
        <w:rPr>
          <w:bCs/>
          <w:szCs w:val="22"/>
        </w:rPr>
        <w:t xml:space="preserve">al </w:t>
      </w:r>
      <w:r w:rsidR="006149FB" w:rsidRPr="00561338">
        <w:rPr>
          <w:b/>
          <w:szCs w:val="22"/>
        </w:rPr>
        <w:t>07092/INFOEM/IP/RR/2024</w:t>
      </w:r>
      <w:r w:rsidRPr="00561338">
        <w:rPr>
          <w:b/>
          <w:szCs w:val="22"/>
        </w:rPr>
        <w:t>.</w:t>
      </w:r>
    </w:p>
    <w:p w14:paraId="530AF69B" w14:textId="77777777" w:rsidR="007C61D8" w:rsidRPr="00561338" w:rsidRDefault="007C61D8" w:rsidP="00561338">
      <w:pPr>
        <w:ind w:left="-57"/>
        <w:rPr>
          <w:b/>
          <w:szCs w:val="22"/>
        </w:rPr>
      </w:pPr>
    </w:p>
    <w:p w14:paraId="2C65DCB2" w14:textId="77777777" w:rsidR="00F660AE" w:rsidRPr="00561338" w:rsidRDefault="00054F72" w:rsidP="00561338">
      <w:pPr>
        <w:pStyle w:val="Ttulo3"/>
        <w:rPr>
          <w:szCs w:val="22"/>
        </w:rPr>
      </w:pPr>
      <w:bookmarkStart w:id="17" w:name="_Toc184230153"/>
      <w:r w:rsidRPr="00561338">
        <w:rPr>
          <w:szCs w:val="22"/>
        </w:rPr>
        <w:t>e) Informes Justificados del Sujeto Obligado.</w:t>
      </w:r>
      <w:bookmarkEnd w:id="17"/>
    </w:p>
    <w:p w14:paraId="526AD416" w14:textId="60AFF080" w:rsidR="003C7069" w:rsidRPr="00561338" w:rsidRDefault="003C7069" w:rsidP="00561338">
      <w:pPr>
        <w:rPr>
          <w:szCs w:val="22"/>
        </w:rPr>
      </w:pPr>
      <w:r w:rsidRPr="00561338">
        <w:rPr>
          <w:b/>
          <w:szCs w:val="22"/>
        </w:rPr>
        <w:t xml:space="preserve">EL SUJETO OBLIGADO </w:t>
      </w:r>
      <w:r w:rsidRPr="00561338">
        <w:rPr>
          <w:szCs w:val="22"/>
        </w:rPr>
        <w:t>no rindió sus informes justificados dentro del término legalmente concedido para tal efecto.</w:t>
      </w:r>
    </w:p>
    <w:p w14:paraId="17AB2CB8" w14:textId="77777777" w:rsidR="006B6336" w:rsidRPr="00561338" w:rsidRDefault="006B6336" w:rsidP="00561338">
      <w:pPr>
        <w:rPr>
          <w:rFonts w:eastAsia="Arial Unicode MS" w:cs="Arial"/>
          <w:szCs w:val="22"/>
        </w:rPr>
      </w:pPr>
    </w:p>
    <w:p w14:paraId="675E9514" w14:textId="77777777" w:rsidR="00F660AE" w:rsidRPr="00561338" w:rsidRDefault="00054F72" w:rsidP="00561338">
      <w:pPr>
        <w:pStyle w:val="Ttulo3"/>
        <w:rPr>
          <w:szCs w:val="22"/>
        </w:rPr>
      </w:pPr>
      <w:bookmarkStart w:id="18" w:name="_Toc184230154"/>
      <w:r w:rsidRPr="00561338">
        <w:rPr>
          <w:szCs w:val="22"/>
        </w:rPr>
        <w:t>f) Manifestaciones de la Parte Recurrente.</w:t>
      </w:r>
      <w:bookmarkEnd w:id="18"/>
    </w:p>
    <w:p w14:paraId="6C636F73" w14:textId="53089614" w:rsidR="00EA1303" w:rsidRPr="00561338" w:rsidRDefault="00054F72" w:rsidP="00561338">
      <w:pPr>
        <w:rPr>
          <w:szCs w:val="22"/>
        </w:rPr>
      </w:pPr>
      <w:r w:rsidRPr="00561338">
        <w:rPr>
          <w:b/>
          <w:szCs w:val="22"/>
        </w:rPr>
        <w:t xml:space="preserve">LA PARTE RECURRENTE </w:t>
      </w:r>
      <w:r w:rsidRPr="00561338">
        <w:rPr>
          <w:szCs w:val="22"/>
        </w:rPr>
        <w:t>no realizó manifestación alguna dentro del término legalmente concedido para tal efecto, ni presentó pruebas o alegatos.</w:t>
      </w:r>
    </w:p>
    <w:p w14:paraId="74A8CC6C" w14:textId="77777777" w:rsidR="00B15483" w:rsidRPr="00561338" w:rsidRDefault="00B15483" w:rsidP="00561338">
      <w:pPr>
        <w:rPr>
          <w:szCs w:val="22"/>
        </w:rPr>
      </w:pPr>
    </w:p>
    <w:p w14:paraId="334385D1" w14:textId="2EF0D2AD" w:rsidR="00F660AE" w:rsidRPr="00561338" w:rsidRDefault="007676B1" w:rsidP="00561338">
      <w:pPr>
        <w:pStyle w:val="Ttulo3"/>
        <w:rPr>
          <w:szCs w:val="22"/>
        </w:rPr>
      </w:pPr>
      <w:bookmarkStart w:id="19" w:name="_Toc184230155"/>
      <w:r w:rsidRPr="00561338">
        <w:rPr>
          <w:szCs w:val="22"/>
        </w:rPr>
        <w:t>g</w:t>
      </w:r>
      <w:r w:rsidR="00054F72" w:rsidRPr="00561338">
        <w:rPr>
          <w:szCs w:val="22"/>
        </w:rPr>
        <w:t>) Cierres de instrucción.</w:t>
      </w:r>
      <w:bookmarkEnd w:id="19"/>
    </w:p>
    <w:p w14:paraId="407164CA" w14:textId="34791539" w:rsidR="00F660AE" w:rsidRPr="00561338" w:rsidRDefault="00054F72" w:rsidP="00561338">
      <w:pPr>
        <w:rPr>
          <w:szCs w:val="22"/>
        </w:rPr>
      </w:pPr>
      <w:bookmarkStart w:id="20" w:name="_heading=h.44sinio" w:colFirst="0" w:colLast="0"/>
      <w:bookmarkEnd w:id="20"/>
      <w:r w:rsidRPr="00561338">
        <w:rPr>
          <w:szCs w:val="22"/>
        </w:rPr>
        <w:t xml:space="preserve">Al no existir diligencias pendientes por desahogar, el </w:t>
      </w:r>
      <w:r w:rsidR="00E31383" w:rsidRPr="00561338">
        <w:rPr>
          <w:b/>
          <w:szCs w:val="22"/>
        </w:rPr>
        <w:t>veintiséis</w:t>
      </w:r>
      <w:r w:rsidR="006D21B3" w:rsidRPr="00561338">
        <w:rPr>
          <w:b/>
          <w:szCs w:val="22"/>
        </w:rPr>
        <w:t xml:space="preserve"> de noviembre</w:t>
      </w:r>
      <w:r w:rsidRPr="00561338">
        <w:rPr>
          <w:b/>
          <w:szCs w:val="22"/>
        </w:rPr>
        <w:t xml:space="preserve"> de dos mil veinticuatro</w:t>
      </w:r>
      <w:r w:rsidRPr="00561338">
        <w:rPr>
          <w:szCs w:val="22"/>
        </w:rPr>
        <w:t xml:space="preserve"> la </w:t>
      </w:r>
      <w:r w:rsidRPr="00561338">
        <w:rPr>
          <w:b/>
          <w:szCs w:val="22"/>
        </w:rPr>
        <w:t xml:space="preserve">Comisionada Sharon Cristina Morales Martínez </w:t>
      </w:r>
      <w:r w:rsidRPr="00561338">
        <w:rPr>
          <w:szCs w:val="22"/>
        </w:rPr>
        <w:t xml:space="preserve">acordó el cierre de </w:t>
      </w:r>
      <w:r w:rsidRPr="00561338">
        <w:rPr>
          <w:szCs w:val="22"/>
        </w:rPr>
        <w:lastRenderedPageBreak/>
        <w:t>instrucción y la remisión de</w:t>
      </w:r>
      <w:r w:rsidR="00053C1D" w:rsidRPr="00561338">
        <w:rPr>
          <w:szCs w:val="22"/>
        </w:rPr>
        <w:t xml:space="preserve"> </w:t>
      </w:r>
      <w:r w:rsidRPr="00561338">
        <w:rPr>
          <w:szCs w:val="22"/>
        </w:rPr>
        <w:t>l</w:t>
      </w:r>
      <w:r w:rsidR="00053C1D" w:rsidRPr="00561338">
        <w:rPr>
          <w:szCs w:val="22"/>
        </w:rPr>
        <w:t xml:space="preserve">os </w:t>
      </w:r>
      <w:r w:rsidRPr="00561338">
        <w:rPr>
          <w:szCs w:val="22"/>
        </w:rPr>
        <w:t>expediente</w:t>
      </w:r>
      <w:r w:rsidR="00053C1D" w:rsidRPr="00561338">
        <w:rPr>
          <w:szCs w:val="22"/>
        </w:rPr>
        <w:t>s</w:t>
      </w:r>
      <w:r w:rsidRPr="00561338">
        <w:rPr>
          <w:szCs w:val="22"/>
        </w:rPr>
        <w:t xml:space="preserve"> a efecto de ser resuelto</w:t>
      </w:r>
      <w:r w:rsidR="00053C1D" w:rsidRPr="00561338">
        <w:rPr>
          <w:szCs w:val="22"/>
        </w:rPr>
        <w:t>s</w:t>
      </w:r>
      <w:r w:rsidRPr="00561338">
        <w:rPr>
          <w:szCs w:val="22"/>
        </w:rPr>
        <w:t>, de conformidad con lo establecido en el artículo 185 fracciones VI y VIII de la Ley de Transparencia y Acceso a la Información Pública del Estado de México y Municipios. Dicho acuerdo fue notificado a las partes el mismo día a través del SAIMEX.</w:t>
      </w:r>
    </w:p>
    <w:p w14:paraId="59346642" w14:textId="77777777" w:rsidR="00F660AE" w:rsidRPr="00561338" w:rsidRDefault="00F660AE" w:rsidP="00561338">
      <w:pPr>
        <w:rPr>
          <w:szCs w:val="22"/>
        </w:rPr>
      </w:pPr>
    </w:p>
    <w:p w14:paraId="4A43D9C0" w14:textId="77777777" w:rsidR="00F660AE" w:rsidRPr="00561338" w:rsidRDefault="00054F72" w:rsidP="00561338">
      <w:pPr>
        <w:pStyle w:val="Ttulo1"/>
        <w:rPr>
          <w:szCs w:val="22"/>
        </w:rPr>
      </w:pPr>
      <w:bookmarkStart w:id="21" w:name="_Toc184230156"/>
      <w:r w:rsidRPr="00561338">
        <w:rPr>
          <w:szCs w:val="22"/>
        </w:rPr>
        <w:t>CONSIDERANDOS</w:t>
      </w:r>
      <w:bookmarkEnd w:id="21"/>
    </w:p>
    <w:p w14:paraId="28058A8B" w14:textId="77777777" w:rsidR="00F660AE" w:rsidRPr="00561338" w:rsidRDefault="00F660AE" w:rsidP="00561338">
      <w:pPr>
        <w:jc w:val="center"/>
        <w:rPr>
          <w:b/>
          <w:szCs w:val="22"/>
        </w:rPr>
      </w:pPr>
    </w:p>
    <w:p w14:paraId="77A0D0A2" w14:textId="77777777" w:rsidR="00F660AE" w:rsidRPr="00561338" w:rsidRDefault="00054F72" w:rsidP="00561338">
      <w:pPr>
        <w:pStyle w:val="Ttulo2"/>
        <w:rPr>
          <w:szCs w:val="22"/>
        </w:rPr>
      </w:pPr>
      <w:bookmarkStart w:id="22" w:name="_Toc184230157"/>
      <w:r w:rsidRPr="00561338">
        <w:rPr>
          <w:szCs w:val="22"/>
        </w:rPr>
        <w:t>PRIMERO. Procedibilidad</w:t>
      </w:r>
      <w:bookmarkEnd w:id="22"/>
    </w:p>
    <w:p w14:paraId="6F70C465" w14:textId="77777777" w:rsidR="00F660AE" w:rsidRPr="00561338" w:rsidRDefault="00054F72" w:rsidP="00561338">
      <w:pPr>
        <w:pStyle w:val="Ttulo3"/>
        <w:rPr>
          <w:szCs w:val="22"/>
        </w:rPr>
      </w:pPr>
      <w:bookmarkStart w:id="23" w:name="_Toc184230158"/>
      <w:r w:rsidRPr="00561338">
        <w:rPr>
          <w:szCs w:val="22"/>
        </w:rPr>
        <w:t>a) Competencia del Instituto.</w:t>
      </w:r>
      <w:bookmarkEnd w:id="23"/>
    </w:p>
    <w:p w14:paraId="542B461C" w14:textId="77777777" w:rsidR="00F660AE" w:rsidRPr="00561338" w:rsidRDefault="00054F72" w:rsidP="00561338">
      <w:pPr>
        <w:rPr>
          <w:szCs w:val="22"/>
        </w:rPr>
      </w:pPr>
      <w:r w:rsidRPr="00561338">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Pr="00561338" w:rsidRDefault="00F660AE" w:rsidP="00561338">
      <w:pPr>
        <w:rPr>
          <w:szCs w:val="22"/>
        </w:rPr>
      </w:pPr>
    </w:p>
    <w:p w14:paraId="3B44100A" w14:textId="77777777" w:rsidR="00F660AE" w:rsidRPr="00561338" w:rsidRDefault="00054F72" w:rsidP="00561338">
      <w:pPr>
        <w:pStyle w:val="Ttulo3"/>
        <w:rPr>
          <w:szCs w:val="22"/>
        </w:rPr>
      </w:pPr>
      <w:bookmarkStart w:id="24" w:name="_Toc184230159"/>
      <w:r w:rsidRPr="00561338">
        <w:rPr>
          <w:szCs w:val="22"/>
        </w:rPr>
        <w:t>b) Legitimidad de la parte recurrente.</w:t>
      </w:r>
      <w:bookmarkEnd w:id="24"/>
    </w:p>
    <w:p w14:paraId="3D28128B" w14:textId="241AD6F8" w:rsidR="00F660AE" w:rsidRPr="00561338" w:rsidRDefault="0073787C" w:rsidP="00561338">
      <w:pPr>
        <w:rPr>
          <w:szCs w:val="22"/>
        </w:rPr>
      </w:pPr>
      <w:r w:rsidRPr="00561338">
        <w:rPr>
          <w:szCs w:val="22"/>
        </w:rPr>
        <w:t>Los</w:t>
      </w:r>
      <w:r w:rsidR="00054F72" w:rsidRPr="00561338">
        <w:rPr>
          <w:szCs w:val="22"/>
        </w:rPr>
        <w:t xml:space="preserve"> recurso</w:t>
      </w:r>
      <w:r w:rsidRPr="00561338">
        <w:rPr>
          <w:szCs w:val="22"/>
        </w:rPr>
        <w:t>s</w:t>
      </w:r>
      <w:r w:rsidR="00054F72" w:rsidRPr="00561338">
        <w:rPr>
          <w:szCs w:val="22"/>
        </w:rPr>
        <w:t xml:space="preserve"> de revisión fue</w:t>
      </w:r>
      <w:r w:rsidRPr="00561338">
        <w:rPr>
          <w:szCs w:val="22"/>
        </w:rPr>
        <w:t>ron</w:t>
      </w:r>
      <w:r w:rsidR="00054F72" w:rsidRPr="00561338">
        <w:rPr>
          <w:szCs w:val="22"/>
        </w:rPr>
        <w:t xml:space="preserve"> interpuesto</w:t>
      </w:r>
      <w:r w:rsidRPr="00561338">
        <w:rPr>
          <w:szCs w:val="22"/>
        </w:rPr>
        <w:t>s</w:t>
      </w:r>
      <w:r w:rsidR="00054F72" w:rsidRPr="00561338">
        <w:rPr>
          <w:szCs w:val="22"/>
        </w:rPr>
        <w:t xml:space="preserve"> por parte legítima, ya que se presentó por la misma persona que formuló la</w:t>
      </w:r>
      <w:r w:rsidR="001825F0" w:rsidRPr="00561338">
        <w:rPr>
          <w:szCs w:val="22"/>
        </w:rPr>
        <w:t>s</w:t>
      </w:r>
      <w:r w:rsidR="00054F72" w:rsidRPr="00561338">
        <w:rPr>
          <w:szCs w:val="22"/>
        </w:rPr>
        <w:t xml:space="preserve"> solicitud</w:t>
      </w:r>
      <w:r w:rsidR="001825F0" w:rsidRPr="00561338">
        <w:rPr>
          <w:szCs w:val="22"/>
        </w:rPr>
        <w:t>es</w:t>
      </w:r>
      <w:r w:rsidR="00054F72" w:rsidRPr="00561338">
        <w:rPr>
          <w:szCs w:val="22"/>
        </w:rPr>
        <w:t xml:space="preserve"> de acceso a la Información Pública,</w:t>
      </w:r>
      <w:r w:rsidR="00054F72" w:rsidRPr="00561338">
        <w:rPr>
          <w:b/>
          <w:szCs w:val="22"/>
        </w:rPr>
        <w:t xml:space="preserve"> </w:t>
      </w:r>
      <w:r w:rsidR="00054F72" w:rsidRPr="00561338">
        <w:rPr>
          <w:szCs w:val="22"/>
        </w:rPr>
        <w:t>debido a que los datos de acceso</w:t>
      </w:r>
      <w:r w:rsidR="00054F72" w:rsidRPr="00561338">
        <w:rPr>
          <w:b/>
          <w:szCs w:val="22"/>
        </w:rPr>
        <w:t xml:space="preserve"> SAIMEX</w:t>
      </w:r>
      <w:r w:rsidR="00054F72" w:rsidRPr="00561338">
        <w:rPr>
          <w:szCs w:val="22"/>
        </w:rPr>
        <w:t xml:space="preserve"> son personales e irrepetibles.</w:t>
      </w:r>
    </w:p>
    <w:p w14:paraId="455C4034" w14:textId="77777777" w:rsidR="00F660AE" w:rsidRPr="00561338" w:rsidRDefault="00F660AE" w:rsidP="00561338">
      <w:pPr>
        <w:rPr>
          <w:szCs w:val="22"/>
        </w:rPr>
      </w:pPr>
    </w:p>
    <w:p w14:paraId="7025A294" w14:textId="77777777" w:rsidR="000E1F7F" w:rsidRPr="00561338" w:rsidRDefault="000E1F7F" w:rsidP="00561338">
      <w:pPr>
        <w:pStyle w:val="Ttulo3"/>
        <w:rPr>
          <w:szCs w:val="22"/>
        </w:rPr>
      </w:pPr>
      <w:bookmarkStart w:id="25" w:name="_Toc171960593"/>
      <w:bookmarkStart w:id="26" w:name="_Toc184230160"/>
      <w:r w:rsidRPr="00561338">
        <w:rPr>
          <w:szCs w:val="22"/>
        </w:rPr>
        <w:lastRenderedPageBreak/>
        <w:t>c) Plazo para interponer el recurso</w:t>
      </w:r>
      <w:bookmarkEnd w:id="25"/>
      <w:bookmarkEnd w:id="26"/>
    </w:p>
    <w:p w14:paraId="25F63A3C" w14:textId="2940F477" w:rsidR="00B139A3" w:rsidRPr="00561338" w:rsidRDefault="00B139A3" w:rsidP="00561338">
      <w:pPr>
        <w:rPr>
          <w:szCs w:val="22"/>
        </w:rPr>
      </w:pPr>
      <w:bookmarkStart w:id="27" w:name="_1hmsyys" w:colFirst="0" w:colLast="0"/>
      <w:bookmarkEnd w:id="27"/>
      <w:r w:rsidRPr="00561338">
        <w:rPr>
          <w:rFonts w:cs="Arial"/>
          <w:b/>
          <w:szCs w:val="22"/>
        </w:rPr>
        <w:t>EL SUJETO OBLIGADO</w:t>
      </w:r>
      <w:r w:rsidRPr="00561338">
        <w:rPr>
          <w:rFonts w:cs="Arial"/>
          <w:szCs w:val="22"/>
        </w:rPr>
        <w:t xml:space="preserve"> notificó las respuesta</w:t>
      </w:r>
      <w:r w:rsidR="00FF3494" w:rsidRPr="00561338">
        <w:rPr>
          <w:rFonts w:cs="Arial"/>
          <w:szCs w:val="22"/>
        </w:rPr>
        <w:t>s</w:t>
      </w:r>
      <w:r w:rsidRPr="00561338">
        <w:rPr>
          <w:rFonts w:cs="Arial"/>
          <w:szCs w:val="22"/>
        </w:rPr>
        <w:t xml:space="preserve"> a las solicitudes de acceso a la Información Pública el </w:t>
      </w:r>
      <w:r w:rsidR="00AA030D" w:rsidRPr="00561338">
        <w:rPr>
          <w:rFonts w:eastAsia="Palatino Linotype" w:cs="Palatino Linotype"/>
          <w:b/>
          <w:szCs w:val="22"/>
        </w:rPr>
        <w:t>treinta</w:t>
      </w:r>
      <w:r w:rsidR="0073787C" w:rsidRPr="00561338">
        <w:rPr>
          <w:rFonts w:eastAsia="Palatino Linotype" w:cs="Palatino Linotype"/>
          <w:b/>
          <w:szCs w:val="22"/>
        </w:rPr>
        <w:t xml:space="preserve"> de octubre</w:t>
      </w:r>
      <w:r w:rsidRPr="00561338">
        <w:rPr>
          <w:rFonts w:eastAsia="Palatino Linotype" w:cs="Palatino Linotype"/>
          <w:b/>
          <w:szCs w:val="22"/>
        </w:rPr>
        <w:t xml:space="preserve"> de dos mil veinticuatro, </w:t>
      </w:r>
      <w:r w:rsidRPr="00561338">
        <w:rPr>
          <w:rFonts w:cs="Arial"/>
          <w:szCs w:val="22"/>
        </w:rPr>
        <w:t xml:space="preserve">y los recursos </w:t>
      </w:r>
      <w:r w:rsidRPr="00561338">
        <w:rPr>
          <w:rFonts w:eastAsia="Palatino Linotype" w:cs="Palatino Linotype"/>
          <w:szCs w:val="22"/>
        </w:rPr>
        <w:t xml:space="preserve">que nos ocupan se </w:t>
      </w:r>
      <w:r w:rsidR="00A508A4" w:rsidRPr="00561338">
        <w:rPr>
          <w:rFonts w:eastAsia="Palatino Linotype" w:cs="Palatino Linotype"/>
          <w:szCs w:val="22"/>
        </w:rPr>
        <w:t xml:space="preserve">tuvieron por presentado el </w:t>
      </w:r>
      <w:r w:rsidR="00AA030D" w:rsidRPr="00561338">
        <w:rPr>
          <w:rFonts w:eastAsia="Palatino Linotype" w:cs="Palatino Linotype"/>
          <w:b/>
          <w:szCs w:val="22"/>
        </w:rPr>
        <w:t>seis y ocho de noviembre</w:t>
      </w:r>
      <w:r w:rsidR="001825F0" w:rsidRPr="00561338">
        <w:rPr>
          <w:rFonts w:eastAsia="Palatino Linotype" w:cs="Palatino Linotype"/>
          <w:b/>
          <w:szCs w:val="22"/>
        </w:rPr>
        <w:t xml:space="preserve"> </w:t>
      </w:r>
      <w:r w:rsidRPr="00561338">
        <w:rPr>
          <w:rFonts w:eastAsia="Palatino Linotype" w:cs="Palatino Linotype"/>
          <w:b/>
          <w:szCs w:val="22"/>
        </w:rPr>
        <w:t>de dos mil veinticuatro</w:t>
      </w:r>
      <w:r w:rsidRPr="00561338">
        <w:rPr>
          <w:rFonts w:eastAsia="Palatino Linotype" w:cs="Palatino Linotype"/>
          <w:bCs/>
          <w:szCs w:val="22"/>
        </w:rPr>
        <w:t>;</w:t>
      </w:r>
      <w:r w:rsidRPr="00561338">
        <w:rPr>
          <w:rFonts w:eastAsia="Palatino Linotype" w:cs="Palatino Linotype"/>
          <w:szCs w:val="22"/>
        </w:rPr>
        <w:t xml:space="preserve"> por lo tanto, estos se encuentra</w:t>
      </w:r>
      <w:r w:rsidR="00211C87" w:rsidRPr="00561338">
        <w:rPr>
          <w:rFonts w:eastAsia="Palatino Linotype" w:cs="Palatino Linotype"/>
          <w:szCs w:val="22"/>
        </w:rPr>
        <w:t>n</w:t>
      </w:r>
      <w:r w:rsidRPr="00561338">
        <w:rPr>
          <w:rFonts w:eastAsia="Palatino Linotype" w:cs="Palatino Linotype"/>
          <w:szCs w:val="22"/>
        </w:rPr>
        <w:t xml:space="preserve"> dentro del margen temporal previsto en el artículo 178 de la </w:t>
      </w:r>
      <w:r w:rsidRPr="00561338">
        <w:rPr>
          <w:rFonts w:cs="Arial"/>
          <w:szCs w:val="22"/>
        </w:rPr>
        <w:t>Ley de Transparencia y Acceso a la Información Pública del Estado de México y Municipios</w:t>
      </w:r>
      <w:r w:rsidRPr="00561338">
        <w:rPr>
          <w:szCs w:val="22"/>
        </w:rPr>
        <w:t>.</w:t>
      </w:r>
    </w:p>
    <w:p w14:paraId="030C1286" w14:textId="77777777" w:rsidR="000E1F7F" w:rsidRPr="00561338" w:rsidRDefault="000E1F7F" w:rsidP="00561338">
      <w:pPr>
        <w:rPr>
          <w:szCs w:val="22"/>
        </w:rPr>
      </w:pPr>
    </w:p>
    <w:p w14:paraId="012F5CF3" w14:textId="77777777" w:rsidR="000E1F7F" w:rsidRPr="00561338" w:rsidRDefault="000E1F7F" w:rsidP="00561338">
      <w:pPr>
        <w:pStyle w:val="Ttulo3"/>
        <w:rPr>
          <w:szCs w:val="22"/>
        </w:rPr>
      </w:pPr>
      <w:bookmarkStart w:id="28" w:name="_Toc171960594"/>
      <w:bookmarkStart w:id="29" w:name="_Toc184230161"/>
      <w:r w:rsidRPr="00561338">
        <w:rPr>
          <w:szCs w:val="22"/>
        </w:rPr>
        <w:t>d) Causal de procedencia</w:t>
      </w:r>
      <w:bookmarkEnd w:id="28"/>
      <w:bookmarkEnd w:id="29"/>
    </w:p>
    <w:p w14:paraId="110D8796" w14:textId="3BEF3CD1" w:rsidR="000E1F7F" w:rsidRPr="00561338" w:rsidRDefault="000E1F7F" w:rsidP="00561338">
      <w:pPr>
        <w:rPr>
          <w:szCs w:val="22"/>
        </w:rPr>
      </w:pPr>
      <w:r w:rsidRPr="00561338">
        <w:rPr>
          <w:szCs w:val="22"/>
        </w:rPr>
        <w:t>Resulta procedente la interposición de los recursos de revisión, ya que se actualiza la causal de procedencia señalada en el artículo 179, fracción I</w:t>
      </w:r>
      <w:r w:rsidR="00AA030D" w:rsidRPr="00561338">
        <w:rPr>
          <w:szCs w:val="22"/>
        </w:rPr>
        <w:t>I</w:t>
      </w:r>
      <w:r w:rsidRPr="00561338">
        <w:rPr>
          <w:szCs w:val="22"/>
        </w:rPr>
        <w:t xml:space="preserve"> de la Ley de Transparencia y Acceso a la Información Pública del Estado de México y Municipios.</w:t>
      </w:r>
    </w:p>
    <w:p w14:paraId="2E63D945" w14:textId="77777777" w:rsidR="00F660AE" w:rsidRPr="00561338" w:rsidRDefault="00F660AE" w:rsidP="00561338">
      <w:pPr>
        <w:rPr>
          <w:szCs w:val="22"/>
        </w:rPr>
      </w:pPr>
    </w:p>
    <w:p w14:paraId="4792F220" w14:textId="77777777" w:rsidR="00F660AE" w:rsidRPr="00561338" w:rsidRDefault="00054F72" w:rsidP="00561338">
      <w:pPr>
        <w:pStyle w:val="Ttulo3"/>
        <w:rPr>
          <w:szCs w:val="22"/>
        </w:rPr>
      </w:pPr>
      <w:bookmarkStart w:id="30" w:name="_Toc184230162"/>
      <w:r w:rsidRPr="00561338">
        <w:rPr>
          <w:szCs w:val="22"/>
        </w:rPr>
        <w:t>e) Requisitos formales para la interposición del recurso.</w:t>
      </w:r>
      <w:bookmarkEnd w:id="30"/>
    </w:p>
    <w:p w14:paraId="2570A09B" w14:textId="77777777" w:rsidR="00392E94" w:rsidRPr="00561338" w:rsidRDefault="00392E94" w:rsidP="00561338">
      <w:pPr>
        <w:rPr>
          <w:rFonts w:cs="Arial"/>
          <w:szCs w:val="22"/>
        </w:rPr>
      </w:pPr>
      <w:r w:rsidRPr="00561338">
        <w:rPr>
          <w:rFonts w:cs="Arial"/>
          <w:b/>
          <w:bCs/>
          <w:szCs w:val="22"/>
        </w:rPr>
        <w:t xml:space="preserve">LA PARTE RECURRENTE </w:t>
      </w:r>
      <w:r w:rsidRPr="00561338">
        <w:rPr>
          <w:rFonts w:cs="Arial"/>
          <w:szCs w:val="22"/>
        </w:rPr>
        <w:t>acreditó todos y cada uno de los elementos formales exigidos por el artículo 180 de la misma normatividad.</w:t>
      </w:r>
    </w:p>
    <w:p w14:paraId="4B1B44E5" w14:textId="77777777" w:rsidR="00F660AE" w:rsidRPr="00561338" w:rsidRDefault="00F660AE" w:rsidP="00561338">
      <w:pPr>
        <w:rPr>
          <w:szCs w:val="22"/>
        </w:rPr>
      </w:pPr>
    </w:p>
    <w:p w14:paraId="702EE3AC" w14:textId="77777777" w:rsidR="00F660AE" w:rsidRPr="00561338" w:rsidRDefault="00054F72" w:rsidP="00561338">
      <w:pPr>
        <w:pStyle w:val="Ttulo3"/>
        <w:rPr>
          <w:szCs w:val="22"/>
        </w:rPr>
      </w:pPr>
      <w:bookmarkStart w:id="31" w:name="_Toc184230163"/>
      <w:r w:rsidRPr="00561338">
        <w:rPr>
          <w:szCs w:val="22"/>
        </w:rPr>
        <w:t>f) Acumulación de los Recursos de Revisión</w:t>
      </w:r>
      <w:bookmarkEnd w:id="31"/>
    </w:p>
    <w:p w14:paraId="51E13F8F" w14:textId="5157864B" w:rsidR="00F660AE" w:rsidRPr="00561338" w:rsidRDefault="00054F72" w:rsidP="00561338">
      <w:pPr>
        <w:rPr>
          <w:szCs w:val="22"/>
        </w:rPr>
      </w:pPr>
      <w:r w:rsidRPr="00561338">
        <w:rPr>
          <w:szCs w:val="22"/>
        </w:rPr>
        <w:t xml:space="preserve">De las constancias que obran en los expedientes acumulados, se advierte que los recursos de revisión </w:t>
      </w:r>
      <w:r w:rsidR="006149FB" w:rsidRPr="00561338">
        <w:rPr>
          <w:b/>
          <w:szCs w:val="22"/>
        </w:rPr>
        <w:t>07092/INFOEM/IP/RR/2024</w:t>
      </w:r>
      <w:r w:rsidR="0073787C" w:rsidRPr="00561338">
        <w:rPr>
          <w:b/>
          <w:szCs w:val="22"/>
        </w:rPr>
        <w:t xml:space="preserve"> </w:t>
      </w:r>
      <w:r w:rsidR="0018585F" w:rsidRPr="00561338">
        <w:rPr>
          <w:szCs w:val="22"/>
        </w:rPr>
        <w:t>y</w:t>
      </w:r>
      <w:r w:rsidR="0018585F" w:rsidRPr="00561338">
        <w:rPr>
          <w:b/>
          <w:szCs w:val="22"/>
        </w:rPr>
        <w:t xml:space="preserve"> </w:t>
      </w:r>
      <w:r w:rsidR="00E31383" w:rsidRPr="00561338">
        <w:rPr>
          <w:b/>
          <w:szCs w:val="22"/>
        </w:rPr>
        <w:t>07133/INFOEM/IP/RR/2024</w:t>
      </w:r>
      <w:r w:rsidR="0018585F" w:rsidRPr="00561338">
        <w:rPr>
          <w:b/>
          <w:szCs w:val="22"/>
        </w:rPr>
        <w:t xml:space="preserve"> </w:t>
      </w:r>
      <w:r w:rsidRPr="00561338">
        <w:rPr>
          <w:szCs w:val="22"/>
        </w:rPr>
        <w:t xml:space="preserve">fueron presentados por la misma </w:t>
      </w:r>
      <w:r w:rsidRPr="00561338">
        <w:rPr>
          <w:b/>
          <w:szCs w:val="22"/>
        </w:rPr>
        <w:t>PARTE RECURRENTE</w:t>
      </w:r>
      <w:r w:rsidRPr="00561338">
        <w:rPr>
          <w:szCs w:val="22"/>
        </w:rPr>
        <w:t xml:space="preserve"> respecto de actos u omisiones similares, realizados por el mismo </w:t>
      </w:r>
      <w:r w:rsidRPr="00561338">
        <w:rPr>
          <w:b/>
          <w:szCs w:val="22"/>
        </w:rPr>
        <w:t>SUJETO OBLIGADO</w:t>
      </w:r>
      <w:r w:rsidRPr="00561338">
        <w:rPr>
          <w:szCs w:val="22"/>
        </w:rPr>
        <w:t xml:space="preserve">, razón por la cual, con la finalidad de evitar la emisión de resoluciones contradictorias, este Órgano Garante realizó la acumulación respectiva, de conformidad con lo dispuesto en el artículo 18 del Código de Procedimientos Administrativos </w:t>
      </w:r>
      <w:r w:rsidRPr="00561338">
        <w:rPr>
          <w:szCs w:val="22"/>
        </w:rPr>
        <w:lastRenderedPageBreak/>
        <w:t>del Estado de México, de aplicación supletoria en términos del artículo 195 de la Ley de Transparencia y Acceso a la Información Pública del Estado de México y Municipios en vigor.</w:t>
      </w:r>
    </w:p>
    <w:p w14:paraId="49503760" w14:textId="77777777" w:rsidR="00F660AE" w:rsidRPr="00561338" w:rsidRDefault="00F660AE" w:rsidP="00561338">
      <w:pPr>
        <w:rPr>
          <w:szCs w:val="22"/>
        </w:rPr>
      </w:pPr>
    </w:p>
    <w:p w14:paraId="25694354" w14:textId="77777777" w:rsidR="00F660AE" w:rsidRPr="00561338" w:rsidRDefault="00054F72" w:rsidP="00561338">
      <w:pPr>
        <w:pStyle w:val="Ttulo2"/>
        <w:rPr>
          <w:szCs w:val="22"/>
        </w:rPr>
      </w:pPr>
      <w:bookmarkStart w:id="32" w:name="_Toc184230164"/>
      <w:r w:rsidRPr="00561338">
        <w:rPr>
          <w:szCs w:val="22"/>
        </w:rPr>
        <w:t>SEGUNDO. Estudio de Fondo.</w:t>
      </w:r>
      <w:bookmarkEnd w:id="32"/>
    </w:p>
    <w:p w14:paraId="5248C51B" w14:textId="77777777" w:rsidR="00F660AE" w:rsidRPr="00561338" w:rsidRDefault="00054F72" w:rsidP="00561338">
      <w:pPr>
        <w:pStyle w:val="Ttulo3"/>
        <w:rPr>
          <w:szCs w:val="22"/>
        </w:rPr>
      </w:pPr>
      <w:bookmarkStart w:id="33" w:name="_Toc184230165"/>
      <w:r w:rsidRPr="00561338">
        <w:rPr>
          <w:szCs w:val="22"/>
        </w:rPr>
        <w:t>a) Mandato de transparencia y responsabilidad del Sujeto Obligado</w:t>
      </w:r>
      <w:bookmarkEnd w:id="33"/>
    </w:p>
    <w:p w14:paraId="4CBE839C" w14:textId="77777777" w:rsidR="00F660AE" w:rsidRPr="00561338" w:rsidRDefault="00054F72" w:rsidP="00561338">
      <w:pPr>
        <w:rPr>
          <w:szCs w:val="22"/>
        </w:rPr>
      </w:pPr>
      <w:r w:rsidRPr="00561338">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561338" w:rsidRDefault="00F660AE" w:rsidP="00561338">
      <w:pPr>
        <w:rPr>
          <w:szCs w:val="22"/>
        </w:rPr>
      </w:pPr>
    </w:p>
    <w:p w14:paraId="7E67D24A" w14:textId="77777777" w:rsidR="00F660AE" w:rsidRPr="00561338" w:rsidRDefault="00054F72" w:rsidP="00561338">
      <w:pPr>
        <w:spacing w:line="240" w:lineRule="auto"/>
        <w:ind w:left="567" w:right="539"/>
        <w:rPr>
          <w:b/>
          <w:i/>
          <w:szCs w:val="22"/>
        </w:rPr>
      </w:pPr>
      <w:r w:rsidRPr="00561338">
        <w:rPr>
          <w:b/>
          <w:i/>
          <w:szCs w:val="22"/>
        </w:rPr>
        <w:t>Constitución Política de los Estados Unidos Mexicanos</w:t>
      </w:r>
    </w:p>
    <w:p w14:paraId="6FFB6FEB" w14:textId="77777777" w:rsidR="00F660AE" w:rsidRPr="00561338" w:rsidRDefault="00054F72" w:rsidP="00561338">
      <w:pPr>
        <w:spacing w:line="240" w:lineRule="auto"/>
        <w:ind w:left="567" w:right="539"/>
        <w:rPr>
          <w:b/>
          <w:i/>
          <w:szCs w:val="22"/>
        </w:rPr>
      </w:pPr>
      <w:r w:rsidRPr="00561338">
        <w:rPr>
          <w:b/>
          <w:i/>
          <w:szCs w:val="22"/>
        </w:rPr>
        <w:t>“Artículo 6.</w:t>
      </w:r>
    </w:p>
    <w:p w14:paraId="1C018123" w14:textId="77777777" w:rsidR="00F660AE" w:rsidRPr="00561338" w:rsidRDefault="00054F72" w:rsidP="00561338">
      <w:pPr>
        <w:spacing w:line="240" w:lineRule="auto"/>
        <w:ind w:left="567" w:right="539"/>
        <w:rPr>
          <w:i/>
          <w:szCs w:val="22"/>
        </w:rPr>
      </w:pPr>
      <w:r w:rsidRPr="00561338">
        <w:rPr>
          <w:i/>
          <w:szCs w:val="22"/>
        </w:rPr>
        <w:t>(…)</w:t>
      </w:r>
    </w:p>
    <w:p w14:paraId="00C3CB73" w14:textId="77777777" w:rsidR="00F660AE" w:rsidRPr="00561338" w:rsidRDefault="00054F72" w:rsidP="00561338">
      <w:pPr>
        <w:spacing w:line="240" w:lineRule="auto"/>
        <w:ind w:left="567" w:right="539"/>
        <w:rPr>
          <w:i/>
          <w:szCs w:val="22"/>
        </w:rPr>
      </w:pPr>
      <w:r w:rsidRPr="00561338">
        <w:rPr>
          <w:i/>
          <w:szCs w:val="22"/>
        </w:rPr>
        <w:t>Para efectos de lo dispuesto en el presente artículo se observará lo siguiente:</w:t>
      </w:r>
    </w:p>
    <w:p w14:paraId="7260A2F0" w14:textId="77777777" w:rsidR="00F660AE" w:rsidRPr="00561338" w:rsidRDefault="00054F72" w:rsidP="00561338">
      <w:pPr>
        <w:spacing w:line="240" w:lineRule="auto"/>
        <w:ind w:left="567" w:right="539"/>
        <w:rPr>
          <w:b/>
          <w:i/>
          <w:szCs w:val="22"/>
        </w:rPr>
      </w:pPr>
      <w:r w:rsidRPr="00561338">
        <w:rPr>
          <w:b/>
          <w:i/>
          <w:szCs w:val="22"/>
        </w:rPr>
        <w:t>A</w:t>
      </w:r>
      <w:r w:rsidRPr="00561338">
        <w:rPr>
          <w:i/>
          <w:szCs w:val="22"/>
        </w:rPr>
        <w:t xml:space="preserve">. </w:t>
      </w:r>
      <w:r w:rsidRPr="00561338">
        <w:rPr>
          <w:b/>
          <w:i/>
          <w:szCs w:val="22"/>
        </w:rPr>
        <w:t>Para el ejercicio del derecho de acceso a la información</w:t>
      </w:r>
      <w:r w:rsidRPr="00561338">
        <w:rPr>
          <w:i/>
          <w:szCs w:val="22"/>
        </w:rPr>
        <w:t xml:space="preserve">, la Federación y </w:t>
      </w:r>
      <w:r w:rsidRPr="00561338">
        <w:rPr>
          <w:b/>
          <w:i/>
          <w:szCs w:val="22"/>
        </w:rPr>
        <w:t>las entidades federativas, en el ámbito de sus respectivas competencias, se regirán por los siguientes principios y bases:</w:t>
      </w:r>
    </w:p>
    <w:p w14:paraId="0057B8D2" w14:textId="77777777" w:rsidR="00F660AE" w:rsidRPr="00561338" w:rsidRDefault="00054F72" w:rsidP="00561338">
      <w:pPr>
        <w:spacing w:line="240" w:lineRule="auto"/>
        <w:ind w:left="567" w:right="539"/>
        <w:rPr>
          <w:i/>
          <w:szCs w:val="22"/>
        </w:rPr>
      </w:pPr>
      <w:r w:rsidRPr="00561338">
        <w:rPr>
          <w:b/>
          <w:i/>
          <w:szCs w:val="22"/>
        </w:rPr>
        <w:t xml:space="preserve">I. </w:t>
      </w:r>
      <w:r w:rsidRPr="00561338">
        <w:rPr>
          <w:b/>
          <w:i/>
          <w:szCs w:val="22"/>
        </w:rPr>
        <w:tab/>
        <w:t>Toda la información en posesión de cualquier</w:t>
      </w:r>
      <w:r w:rsidRPr="00561338">
        <w:rPr>
          <w:i/>
          <w:szCs w:val="22"/>
        </w:rPr>
        <w:t xml:space="preserve"> </w:t>
      </w:r>
      <w:r w:rsidRPr="00561338">
        <w:rPr>
          <w:b/>
          <w:i/>
          <w:szCs w:val="22"/>
        </w:rPr>
        <w:t>autoridad</w:t>
      </w:r>
      <w:r w:rsidRPr="00561338">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61338">
        <w:rPr>
          <w:b/>
          <w:i/>
          <w:szCs w:val="22"/>
        </w:rPr>
        <w:t>municipal</w:t>
      </w:r>
      <w:r w:rsidRPr="00561338">
        <w:rPr>
          <w:i/>
          <w:szCs w:val="22"/>
        </w:rPr>
        <w:t xml:space="preserve">, </w:t>
      </w:r>
      <w:r w:rsidRPr="00561338">
        <w:rPr>
          <w:b/>
          <w:i/>
          <w:szCs w:val="22"/>
        </w:rPr>
        <w:t>es pública</w:t>
      </w:r>
      <w:r w:rsidRPr="00561338">
        <w:rPr>
          <w:i/>
          <w:szCs w:val="22"/>
        </w:rPr>
        <w:t xml:space="preserve"> y sólo podrá ser reservada temporalmente por razones de interés público y seguridad nacional, en los términos que fijen las leyes. </w:t>
      </w:r>
      <w:r w:rsidRPr="00561338">
        <w:rPr>
          <w:b/>
          <w:i/>
          <w:szCs w:val="22"/>
        </w:rPr>
        <w:t>En la interpretación de este derecho deberá prevalecer el principio de máxima publicidad. Los sujetos obligados deberán documentar todo acto que derive del ejercicio de sus facultades, competencias o funciones</w:t>
      </w:r>
      <w:r w:rsidRPr="00561338">
        <w:rPr>
          <w:i/>
          <w:szCs w:val="22"/>
        </w:rPr>
        <w:t>, la ley determinará los supuestos específicos bajo los cuales procederá la declaración de inexistencia de la información.”</w:t>
      </w:r>
    </w:p>
    <w:p w14:paraId="4059F108" w14:textId="77777777" w:rsidR="00F660AE" w:rsidRPr="00561338" w:rsidRDefault="00F660AE" w:rsidP="00561338">
      <w:pPr>
        <w:spacing w:line="240" w:lineRule="auto"/>
        <w:ind w:left="567" w:right="539"/>
        <w:rPr>
          <w:b/>
          <w:i/>
          <w:szCs w:val="22"/>
        </w:rPr>
      </w:pPr>
    </w:p>
    <w:p w14:paraId="5580A835" w14:textId="77777777" w:rsidR="00F660AE" w:rsidRPr="00561338" w:rsidRDefault="00054F72" w:rsidP="00561338">
      <w:pPr>
        <w:spacing w:line="240" w:lineRule="auto"/>
        <w:ind w:left="567" w:right="539"/>
        <w:rPr>
          <w:b/>
          <w:i/>
          <w:szCs w:val="22"/>
        </w:rPr>
      </w:pPr>
      <w:r w:rsidRPr="00561338">
        <w:rPr>
          <w:b/>
          <w:i/>
          <w:szCs w:val="22"/>
        </w:rPr>
        <w:t>Constitución Política del Estado Libre y Soberano de México</w:t>
      </w:r>
    </w:p>
    <w:p w14:paraId="43C1DB7C" w14:textId="77777777" w:rsidR="00F660AE" w:rsidRPr="00561338" w:rsidRDefault="00054F72" w:rsidP="00561338">
      <w:pPr>
        <w:spacing w:line="240" w:lineRule="auto"/>
        <w:ind w:left="567" w:right="539"/>
        <w:rPr>
          <w:i/>
          <w:szCs w:val="22"/>
        </w:rPr>
      </w:pPr>
      <w:r w:rsidRPr="00561338">
        <w:rPr>
          <w:b/>
          <w:i/>
          <w:szCs w:val="22"/>
        </w:rPr>
        <w:t>“Artículo 5</w:t>
      </w:r>
      <w:r w:rsidRPr="00561338">
        <w:rPr>
          <w:i/>
          <w:szCs w:val="22"/>
        </w:rPr>
        <w:t xml:space="preserve">.- </w:t>
      </w:r>
    </w:p>
    <w:p w14:paraId="7F0E02E7" w14:textId="77777777" w:rsidR="00F660AE" w:rsidRPr="00561338" w:rsidRDefault="00054F72" w:rsidP="00561338">
      <w:pPr>
        <w:spacing w:line="240" w:lineRule="auto"/>
        <w:ind w:left="567" w:right="539"/>
        <w:rPr>
          <w:i/>
          <w:szCs w:val="22"/>
        </w:rPr>
      </w:pPr>
      <w:r w:rsidRPr="00561338">
        <w:rPr>
          <w:i/>
          <w:szCs w:val="22"/>
        </w:rPr>
        <w:t>(…)</w:t>
      </w:r>
    </w:p>
    <w:p w14:paraId="57925679" w14:textId="77777777" w:rsidR="00F660AE" w:rsidRPr="00561338" w:rsidRDefault="00054F72" w:rsidP="00561338">
      <w:pPr>
        <w:spacing w:line="240" w:lineRule="auto"/>
        <w:ind w:left="567" w:right="539"/>
        <w:rPr>
          <w:i/>
          <w:szCs w:val="22"/>
        </w:rPr>
      </w:pPr>
      <w:r w:rsidRPr="00561338">
        <w:rPr>
          <w:b/>
          <w:i/>
          <w:szCs w:val="22"/>
        </w:rPr>
        <w:t>El derecho a la información será garantizado por el Estado. La ley establecerá las previsiones que permitan asegurar la protección, el respeto y la difusión de este derecho</w:t>
      </w:r>
      <w:r w:rsidRPr="00561338">
        <w:rPr>
          <w:i/>
          <w:szCs w:val="22"/>
        </w:rPr>
        <w:t>.</w:t>
      </w:r>
    </w:p>
    <w:p w14:paraId="240C31DB" w14:textId="77777777" w:rsidR="00F660AE" w:rsidRPr="00561338" w:rsidRDefault="00054F72" w:rsidP="00561338">
      <w:pPr>
        <w:spacing w:line="240" w:lineRule="auto"/>
        <w:ind w:left="567" w:right="539"/>
        <w:rPr>
          <w:i/>
          <w:szCs w:val="22"/>
        </w:rPr>
      </w:pPr>
      <w:r w:rsidRPr="00561338">
        <w:rPr>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561338" w:rsidRDefault="00054F72" w:rsidP="00561338">
      <w:pPr>
        <w:spacing w:line="240" w:lineRule="auto"/>
        <w:ind w:left="567" w:right="539"/>
        <w:rPr>
          <w:i/>
          <w:szCs w:val="22"/>
        </w:rPr>
      </w:pPr>
      <w:r w:rsidRPr="00561338">
        <w:rPr>
          <w:b/>
          <w:i/>
          <w:szCs w:val="22"/>
        </w:rPr>
        <w:t>Este derecho se regirá por los principios y bases siguientes</w:t>
      </w:r>
      <w:r w:rsidRPr="00561338">
        <w:rPr>
          <w:i/>
          <w:szCs w:val="22"/>
        </w:rPr>
        <w:t>:</w:t>
      </w:r>
    </w:p>
    <w:p w14:paraId="1C25B1A3" w14:textId="77777777" w:rsidR="00F660AE" w:rsidRPr="00561338" w:rsidRDefault="00054F72" w:rsidP="00561338">
      <w:pPr>
        <w:spacing w:line="240" w:lineRule="auto"/>
        <w:ind w:left="567" w:right="539"/>
        <w:rPr>
          <w:i/>
          <w:szCs w:val="22"/>
        </w:rPr>
      </w:pPr>
      <w:r w:rsidRPr="00561338">
        <w:rPr>
          <w:b/>
          <w:i/>
          <w:szCs w:val="22"/>
        </w:rPr>
        <w:t>I. Toda la información en posesión de cualquier autoridad, entidad, órgano y organismos de los</w:t>
      </w:r>
      <w:r w:rsidRPr="00561338">
        <w:rPr>
          <w:i/>
          <w:szCs w:val="22"/>
        </w:rPr>
        <w:t xml:space="preserve"> Poderes Ejecutivo, Legislativo y Judicial, órganos autónomos, partidos políticos, fideicomisos y fondos públicos estatales y </w:t>
      </w:r>
      <w:r w:rsidRPr="00561338">
        <w:rPr>
          <w:b/>
          <w:i/>
          <w:szCs w:val="22"/>
        </w:rPr>
        <w:t>municipales</w:t>
      </w:r>
      <w:r w:rsidRPr="00561338">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61338">
        <w:rPr>
          <w:b/>
          <w:i/>
          <w:szCs w:val="22"/>
        </w:rPr>
        <w:t>es pública</w:t>
      </w:r>
      <w:r w:rsidRPr="00561338">
        <w:rPr>
          <w:i/>
          <w:szCs w:val="22"/>
        </w:rPr>
        <w:t xml:space="preserve"> y sólo podrá ser reservada temporalmente por razones previstas en la Constitución Política de los Estados Unidos Mexicanos de interés público y seguridad, en los términos que fijen las leyes. </w:t>
      </w:r>
      <w:r w:rsidRPr="00561338">
        <w:rPr>
          <w:b/>
          <w:i/>
          <w:szCs w:val="22"/>
        </w:rPr>
        <w:t>En la interpretación de este derecho deberá prevalecer el principio de máxima publicidad</w:t>
      </w:r>
      <w:r w:rsidRPr="00561338">
        <w:rPr>
          <w:i/>
          <w:szCs w:val="22"/>
        </w:rPr>
        <w:t xml:space="preserve">. </w:t>
      </w:r>
      <w:r w:rsidRPr="00561338">
        <w:rPr>
          <w:b/>
          <w:i/>
          <w:szCs w:val="22"/>
        </w:rPr>
        <w:t>Los sujetos obligados deberán documentar todo acto que derive del ejercicio de sus facultades, competencias o funciones</w:t>
      </w:r>
      <w:r w:rsidRPr="00561338">
        <w:rPr>
          <w:i/>
          <w:szCs w:val="22"/>
        </w:rPr>
        <w:t>, la ley determinará los supuestos específicos bajo los cuales procederá la declaración de inexistencia de la información.”</w:t>
      </w:r>
    </w:p>
    <w:p w14:paraId="6D1C8717" w14:textId="77777777" w:rsidR="00F660AE" w:rsidRPr="00561338" w:rsidRDefault="00F660AE" w:rsidP="00561338">
      <w:pPr>
        <w:rPr>
          <w:b/>
          <w:i/>
          <w:szCs w:val="22"/>
        </w:rPr>
      </w:pPr>
    </w:p>
    <w:p w14:paraId="7A777C22" w14:textId="77777777" w:rsidR="00F660AE" w:rsidRPr="00561338" w:rsidRDefault="00054F72" w:rsidP="00561338">
      <w:pPr>
        <w:rPr>
          <w:i/>
          <w:szCs w:val="22"/>
        </w:rPr>
      </w:pPr>
      <w:r w:rsidRPr="00561338">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61338">
        <w:rPr>
          <w:i/>
          <w:szCs w:val="22"/>
        </w:rPr>
        <w:t>por los principios de simplicidad, rapidez, gratuidad del procedimiento, auxilio y orientación a los particulares.</w:t>
      </w:r>
    </w:p>
    <w:p w14:paraId="54E20B14" w14:textId="77777777" w:rsidR="00F660AE" w:rsidRPr="00561338" w:rsidRDefault="00F660AE" w:rsidP="00561338">
      <w:pPr>
        <w:rPr>
          <w:i/>
          <w:szCs w:val="22"/>
        </w:rPr>
      </w:pPr>
    </w:p>
    <w:p w14:paraId="7ECFD94D" w14:textId="77777777" w:rsidR="00F660AE" w:rsidRPr="00561338" w:rsidRDefault="00054F72" w:rsidP="00561338">
      <w:pPr>
        <w:rPr>
          <w:i/>
          <w:szCs w:val="22"/>
        </w:rPr>
      </w:pPr>
      <w:r w:rsidRPr="00561338">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561338" w:rsidRDefault="00F660AE" w:rsidP="00561338">
      <w:pPr>
        <w:rPr>
          <w:szCs w:val="22"/>
        </w:rPr>
      </w:pPr>
    </w:p>
    <w:p w14:paraId="011CC77A" w14:textId="77777777" w:rsidR="00F660AE" w:rsidRPr="00561338" w:rsidRDefault="00054F72" w:rsidP="00561338">
      <w:pPr>
        <w:rPr>
          <w:szCs w:val="22"/>
        </w:rPr>
      </w:pPr>
      <w:r w:rsidRPr="00561338">
        <w:rPr>
          <w:szCs w:val="22"/>
        </w:rPr>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561338">
        <w:rPr>
          <w:szCs w:val="22"/>
        </w:rPr>
        <w:lastRenderedPageBreak/>
        <w:t>conforme al interés del solicitante; tal y como lo establece el artículo 12 de la Ley de Transparencia y Acceso a la Información Pública del Estado de México y Municipios.</w:t>
      </w:r>
    </w:p>
    <w:p w14:paraId="481D4F1D" w14:textId="77777777" w:rsidR="00F660AE" w:rsidRPr="00561338" w:rsidRDefault="00F660AE" w:rsidP="00561338">
      <w:pPr>
        <w:rPr>
          <w:szCs w:val="22"/>
        </w:rPr>
      </w:pPr>
    </w:p>
    <w:p w14:paraId="2770E36E" w14:textId="77777777" w:rsidR="00F660AE" w:rsidRPr="00561338" w:rsidRDefault="00054F72" w:rsidP="00561338">
      <w:pPr>
        <w:rPr>
          <w:szCs w:val="22"/>
        </w:rPr>
      </w:pPr>
      <w:r w:rsidRPr="00561338">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561338" w:rsidRDefault="00F660AE" w:rsidP="00561338">
      <w:pPr>
        <w:rPr>
          <w:szCs w:val="22"/>
        </w:rPr>
      </w:pPr>
    </w:p>
    <w:p w14:paraId="7801904D" w14:textId="77777777" w:rsidR="00F660AE" w:rsidRPr="00561338" w:rsidRDefault="00054F72" w:rsidP="00561338">
      <w:pPr>
        <w:rPr>
          <w:szCs w:val="22"/>
        </w:rPr>
      </w:pPr>
      <w:r w:rsidRPr="00561338">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561338" w:rsidRDefault="00F660AE" w:rsidP="00561338">
      <w:pPr>
        <w:rPr>
          <w:szCs w:val="22"/>
        </w:rPr>
      </w:pPr>
    </w:p>
    <w:p w14:paraId="680F4193" w14:textId="77777777" w:rsidR="00F660AE" w:rsidRPr="00561338" w:rsidRDefault="00054F72" w:rsidP="00561338">
      <w:pPr>
        <w:rPr>
          <w:szCs w:val="22"/>
        </w:rPr>
      </w:pPr>
      <w:bookmarkStart w:id="34" w:name="_heading=h.1pxezwc" w:colFirst="0" w:colLast="0"/>
      <w:bookmarkEnd w:id="34"/>
      <w:r w:rsidRPr="00561338">
        <w:rPr>
          <w:szCs w:val="22"/>
        </w:rPr>
        <w:t xml:space="preserve">Con base en lo anterior, se considera que </w:t>
      </w:r>
      <w:r w:rsidRPr="00561338">
        <w:rPr>
          <w:b/>
          <w:szCs w:val="22"/>
        </w:rPr>
        <w:t>EL</w:t>
      </w:r>
      <w:r w:rsidRPr="00561338">
        <w:rPr>
          <w:szCs w:val="22"/>
        </w:rPr>
        <w:t xml:space="preserve"> </w:t>
      </w:r>
      <w:r w:rsidRPr="00561338">
        <w:rPr>
          <w:b/>
          <w:szCs w:val="22"/>
        </w:rPr>
        <w:t>SUJETO OBLIGADO</w:t>
      </w:r>
      <w:r w:rsidRPr="00561338">
        <w:rPr>
          <w:szCs w:val="22"/>
        </w:rPr>
        <w:t xml:space="preserve"> se encontraba compelido a atender la solicitud de acceso a la información realizada por </w:t>
      </w:r>
      <w:r w:rsidRPr="00561338">
        <w:rPr>
          <w:b/>
          <w:szCs w:val="22"/>
        </w:rPr>
        <w:t>LA PARTE RECURRENTE</w:t>
      </w:r>
      <w:r w:rsidRPr="00561338">
        <w:rPr>
          <w:szCs w:val="22"/>
        </w:rPr>
        <w:t>.</w:t>
      </w:r>
    </w:p>
    <w:p w14:paraId="2C539AB7" w14:textId="77777777" w:rsidR="00F660AE" w:rsidRPr="00561338" w:rsidRDefault="00F660AE" w:rsidP="00561338">
      <w:pPr>
        <w:rPr>
          <w:szCs w:val="22"/>
        </w:rPr>
      </w:pPr>
    </w:p>
    <w:p w14:paraId="1E63310E" w14:textId="77777777" w:rsidR="00F660AE" w:rsidRPr="00561338" w:rsidRDefault="00054F72" w:rsidP="00561338">
      <w:pPr>
        <w:pStyle w:val="Ttulo3"/>
        <w:rPr>
          <w:szCs w:val="22"/>
        </w:rPr>
      </w:pPr>
      <w:bookmarkStart w:id="35" w:name="_Toc184230166"/>
      <w:r w:rsidRPr="00561338">
        <w:rPr>
          <w:szCs w:val="22"/>
        </w:rPr>
        <w:t>b) Controversia a resolver.</w:t>
      </w:r>
      <w:bookmarkEnd w:id="35"/>
    </w:p>
    <w:p w14:paraId="7C942EF2" w14:textId="396257E5" w:rsidR="003E0E53" w:rsidRPr="00561338" w:rsidRDefault="003E0E53" w:rsidP="00561338">
      <w:pPr>
        <w:rPr>
          <w:rFonts w:eastAsia="Calibri"/>
          <w:szCs w:val="22"/>
          <w:lang w:eastAsia="es-ES_tradnl"/>
        </w:rPr>
      </w:pPr>
      <w:r w:rsidRPr="00561338">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61338">
        <w:rPr>
          <w:rFonts w:eastAsia="Calibri"/>
          <w:b/>
          <w:bCs/>
          <w:szCs w:val="22"/>
          <w:lang w:eastAsia="es-ES_tradnl"/>
        </w:rPr>
        <w:t>LA PARTE RECURRENTE</w:t>
      </w:r>
      <w:r w:rsidRPr="00561338">
        <w:rPr>
          <w:rFonts w:eastAsia="Calibri"/>
          <w:szCs w:val="22"/>
          <w:lang w:eastAsia="es-ES_tradnl"/>
        </w:rPr>
        <w:t xml:space="preserve"> solicitó</w:t>
      </w:r>
      <w:r w:rsidR="00EC637B" w:rsidRPr="00561338">
        <w:rPr>
          <w:rFonts w:eastAsia="Calibri"/>
          <w:szCs w:val="22"/>
          <w:lang w:eastAsia="es-ES_tradnl"/>
        </w:rPr>
        <w:t xml:space="preserve"> </w:t>
      </w:r>
      <w:r w:rsidRPr="00561338">
        <w:rPr>
          <w:rFonts w:eastAsia="Calibri"/>
          <w:szCs w:val="22"/>
          <w:lang w:eastAsia="es-ES_tradnl"/>
        </w:rPr>
        <w:t>lo siguiente:</w:t>
      </w:r>
    </w:p>
    <w:p w14:paraId="5901E726" w14:textId="77777777" w:rsidR="00B621EE" w:rsidRPr="00561338" w:rsidRDefault="00B621EE" w:rsidP="00561338">
      <w:pPr>
        <w:rPr>
          <w:bCs/>
          <w:i/>
          <w:iCs/>
          <w:szCs w:val="22"/>
        </w:rPr>
      </w:pPr>
    </w:p>
    <w:p w14:paraId="5AFC6BF1" w14:textId="4C788B5E" w:rsidR="006D012A" w:rsidRPr="00561338" w:rsidRDefault="006D012A" w:rsidP="00561338">
      <w:pPr>
        <w:rPr>
          <w:bCs/>
          <w:i/>
          <w:iCs/>
          <w:szCs w:val="22"/>
        </w:rPr>
      </w:pPr>
      <w:r w:rsidRPr="00561338">
        <w:rPr>
          <w:bCs/>
          <w:i/>
          <w:iCs/>
          <w:szCs w:val="22"/>
        </w:rPr>
        <w:t>a) Los recibos de nómina del Sistema Municipal DIF</w:t>
      </w:r>
      <w:r w:rsidR="00FD33ED" w:rsidRPr="00561338">
        <w:rPr>
          <w:bCs/>
          <w:i/>
          <w:iCs/>
          <w:szCs w:val="22"/>
        </w:rPr>
        <w:t>, correspondientes a la segunda quincena de septiembre de 2024</w:t>
      </w:r>
      <w:r w:rsidRPr="00561338">
        <w:rPr>
          <w:bCs/>
          <w:i/>
          <w:iCs/>
          <w:szCs w:val="22"/>
        </w:rPr>
        <w:t>.</w:t>
      </w:r>
    </w:p>
    <w:p w14:paraId="01D40E72" w14:textId="17EFBBB9" w:rsidR="006D012A" w:rsidRPr="00561338" w:rsidRDefault="006D012A" w:rsidP="00561338">
      <w:pPr>
        <w:rPr>
          <w:bCs/>
          <w:i/>
          <w:iCs/>
          <w:szCs w:val="22"/>
        </w:rPr>
      </w:pPr>
      <w:r w:rsidRPr="00561338">
        <w:rPr>
          <w:bCs/>
          <w:i/>
          <w:iCs/>
          <w:szCs w:val="22"/>
        </w:rPr>
        <w:t>b) Los recibos de nómina del Instituto Municipal de Cultura Física y Deporte</w:t>
      </w:r>
      <w:r w:rsidR="00FD33ED" w:rsidRPr="00561338">
        <w:rPr>
          <w:bCs/>
          <w:i/>
          <w:iCs/>
          <w:szCs w:val="22"/>
        </w:rPr>
        <w:t>, correspondientes a la segunda quincena de septiembre de 2024.</w:t>
      </w:r>
    </w:p>
    <w:p w14:paraId="39515B5E" w14:textId="77777777" w:rsidR="00E21A3C" w:rsidRPr="00561338" w:rsidRDefault="00E21A3C" w:rsidP="00561338">
      <w:pPr>
        <w:ind w:right="-312"/>
        <w:rPr>
          <w:rFonts w:eastAsia="Palatino Linotype" w:cs="Palatino Linotype"/>
          <w:b/>
          <w:i/>
          <w:szCs w:val="22"/>
        </w:rPr>
      </w:pPr>
    </w:p>
    <w:p w14:paraId="0602795A" w14:textId="546CD915" w:rsidR="0011715A" w:rsidRPr="00561338" w:rsidRDefault="00F04468" w:rsidP="00561338">
      <w:pPr>
        <w:tabs>
          <w:tab w:val="left" w:pos="4962"/>
        </w:tabs>
        <w:ind w:right="-312"/>
        <w:contextualSpacing/>
        <w:rPr>
          <w:rFonts w:eastAsiaTheme="minorHAnsi" w:cs="Tahoma"/>
          <w:bCs/>
          <w:iCs/>
          <w:szCs w:val="22"/>
          <w:lang w:eastAsia="en-US"/>
        </w:rPr>
      </w:pPr>
      <w:r w:rsidRPr="00561338">
        <w:rPr>
          <w:rFonts w:eastAsiaTheme="minorHAnsi" w:cs="Tahoma"/>
          <w:bCs/>
          <w:iCs/>
          <w:szCs w:val="22"/>
          <w:lang w:eastAsia="en-US"/>
        </w:rPr>
        <w:t xml:space="preserve">En respuesta, </w:t>
      </w:r>
      <w:r w:rsidRPr="00561338">
        <w:rPr>
          <w:rFonts w:eastAsiaTheme="minorHAnsi" w:cs="Tahoma"/>
          <w:b/>
          <w:bCs/>
          <w:iCs/>
          <w:szCs w:val="22"/>
          <w:lang w:eastAsia="en-US"/>
        </w:rPr>
        <w:t xml:space="preserve">EL </w:t>
      </w:r>
      <w:r w:rsidRPr="00561338">
        <w:rPr>
          <w:rFonts w:eastAsiaTheme="minorHAnsi" w:cs="Tahoma"/>
          <w:b/>
          <w:iCs/>
          <w:szCs w:val="22"/>
          <w:lang w:eastAsia="en-US"/>
        </w:rPr>
        <w:t>SUJETO OBLIGADO</w:t>
      </w:r>
      <w:r w:rsidRPr="00561338">
        <w:rPr>
          <w:rFonts w:eastAsiaTheme="minorHAnsi" w:cs="Tahoma"/>
          <w:bCs/>
          <w:iCs/>
          <w:szCs w:val="22"/>
          <w:lang w:eastAsia="en-US"/>
        </w:rPr>
        <w:t xml:space="preserve"> </w:t>
      </w:r>
      <w:r w:rsidR="006D012A" w:rsidRPr="00561338">
        <w:rPr>
          <w:rFonts w:eastAsiaTheme="minorHAnsi" w:cs="Tahoma"/>
          <w:bCs/>
          <w:iCs/>
          <w:szCs w:val="22"/>
          <w:lang w:eastAsia="en-US"/>
        </w:rPr>
        <w:t xml:space="preserve">se pronunció por medio del Tesorero y del </w:t>
      </w:r>
      <w:r w:rsidR="006D012A" w:rsidRPr="00561338">
        <w:rPr>
          <w:szCs w:val="22"/>
          <w:lang w:val="es-ES"/>
        </w:rPr>
        <w:t xml:space="preserve">Director del Instituto Municipal de Cultura Física y Deporte, quiénes de manera medular fueron coincidentes en manifestar que </w:t>
      </w:r>
      <w:r w:rsidR="006D012A" w:rsidRPr="00561338">
        <w:rPr>
          <w:rFonts w:eastAsiaTheme="minorHAnsi" w:cs="Tahoma"/>
          <w:bCs/>
          <w:iCs/>
          <w:szCs w:val="22"/>
          <w:lang w:eastAsia="en-US"/>
        </w:rPr>
        <w:t xml:space="preserve">la información solicitada </w:t>
      </w:r>
      <w:r w:rsidR="00FD33ED" w:rsidRPr="00561338">
        <w:rPr>
          <w:rFonts w:eastAsiaTheme="minorHAnsi" w:cs="Tahoma"/>
          <w:bCs/>
          <w:iCs/>
          <w:szCs w:val="22"/>
          <w:lang w:eastAsia="en-US"/>
        </w:rPr>
        <w:t>es información</w:t>
      </w:r>
      <w:r w:rsidR="006D012A" w:rsidRPr="00561338">
        <w:rPr>
          <w:rFonts w:eastAsiaTheme="minorHAnsi" w:cs="Tahoma"/>
          <w:bCs/>
          <w:iCs/>
          <w:szCs w:val="22"/>
          <w:lang w:eastAsia="en-US"/>
        </w:rPr>
        <w:t xml:space="preserve"> confidencial</w:t>
      </w:r>
      <w:r w:rsidR="00FD33ED" w:rsidRPr="00561338">
        <w:rPr>
          <w:rFonts w:eastAsiaTheme="minorHAnsi" w:cs="Tahoma"/>
          <w:bCs/>
          <w:iCs/>
          <w:szCs w:val="22"/>
          <w:lang w:eastAsia="en-US"/>
        </w:rPr>
        <w:t>, al contener nombres de trabajadores, claves de RFC, CURP, número de seguridad social, al igual que datos sensibles como cantidades pagadas y números de cuentas bancarias</w:t>
      </w:r>
      <w:r w:rsidR="006D012A" w:rsidRPr="00561338">
        <w:rPr>
          <w:rFonts w:eastAsiaTheme="minorHAnsi" w:cs="Tahoma"/>
          <w:bCs/>
          <w:iCs/>
          <w:szCs w:val="22"/>
          <w:lang w:eastAsia="en-US"/>
        </w:rPr>
        <w:t>.</w:t>
      </w:r>
    </w:p>
    <w:p w14:paraId="1FA91EE4" w14:textId="77777777" w:rsidR="006D012A" w:rsidRPr="00561338" w:rsidRDefault="006D012A" w:rsidP="00561338">
      <w:pPr>
        <w:tabs>
          <w:tab w:val="left" w:pos="4962"/>
        </w:tabs>
        <w:ind w:right="-312"/>
        <w:contextualSpacing/>
        <w:rPr>
          <w:rFonts w:cs="Tahoma"/>
          <w:bCs/>
          <w:iCs/>
          <w:szCs w:val="22"/>
        </w:rPr>
      </w:pPr>
    </w:p>
    <w:p w14:paraId="7FBC7D9C" w14:textId="43956745" w:rsidR="003D0638" w:rsidRPr="00561338" w:rsidRDefault="003D0638" w:rsidP="00561338">
      <w:pPr>
        <w:tabs>
          <w:tab w:val="left" w:pos="4962"/>
        </w:tabs>
        <w:contextualSpacing/>
        <w:rPr>
          <w:rFonts w:eastAsiaTheme="minorHAnsi" w:cs="Tahoma"/>
          <w:b/>
          <w:iCs/>
          <w:szCs w:val="22"/>
          <w:lang w:eastAsia="en-US"/>
        </w:rPr>
      </w:pPr>
      <w:r w:rsidRPr="00561338">
        <w:rPr>
          <w:rFonts w:eastAsiaTheme="minorHAnsi" w:cs="Tahoma"/>
          <w:bCs/>
          <w:iCs/>
          <w:szCs w:val="22"/>
          <w:lang w:eastAsia="en-US"/>
        </w:rPr>
        <w:t xml:space="preserve">Ahora bien, en la interposición del presente recurso </w:t>
      </w:r>
      <w:r w:rsidRPr="00561338">
        <w:rPr>
          <w:rFonts w:eastAsiaTheme="minorHAnsi" w:cs="Tahoma"/>
          <w:b/>
          <w:iCs/>
          <w:szCs w:val="22"/>
          <w:lang w:eastAsia="en-US"/>
        </w:rPr>
        <w:t>LA PARTE RECURRENTE</w:t>
      </w:r>
      <w:r w:rsidRPr="00561338">
        <w:rPr>
          <w:rFonts w:eastAsiaTheme="minorHAnsi" w:cs="Tahoma"/>
          <w:bCs/>
          <w:iCs/>
          <w:szCs w:val="22"/>
          <w:lang w:eastAsia="en-US"/>
        </w:rPr>
        <w:t xml:space="preserve"> se inconformó </w:t>
      </w:r>
      <w:r w:rsidR="006D012A" w:rsidRPr="00561338">
        <w:rPr>
          <w:rFonts w:eastAsiaTheme="minorHAnsi" w:cs="Tahoma"/>
          <w:bCs/>
          <w:iCs/>
          <w:szCs w:val="22"/>
          <w:lang w:eastAsia="en-US"/>
        </w:rPr>
        <w:t xml:space="preserve">por la clasificación de la información realizada por </w:t>
      </w:r>
      <w:r w:rsidR="006D012A" w:rsidRPr="00561338">
        <w:rPr>
          <w:rFonts w:eastAsiaTheme="minorHAnsi" w:cs="Tahoma"/>
          <w:b/>
          <w:bCs/>
          <w:iCs/>
          <w:szCs w:val="22"/>
          <w:lang w:eastAsia="en-US"/>
        </w:rPr>
        <w:t>EL SUJETO OBLIGADO.</w:t>
      </w:r>
    </w:p>
    <w:p w14:paraId="4F248143" w14:textId="77777777" w:rsidR="00F04468" w:rsidRPr="00561338" w:rsidRDefault="00F04468" w:rsidP="00561338">
      <w:pPr>
        <w:tabs>
          <w:tab w:val="left" w:pos="4962"/>
        </w:tabs>
        <w:contextualSpacing/>
        <w:rPr>
          <w:rFonts w:eastAsiaTheme="minorHAnsi" w:cs="Tahoma"/>
          <w:bCs/>
          <w:iCs/>
          <w:szCs w:val="22"/>
          <w:lang w:eastAsia="en-US"/>
        </w:rPr>
      </w:pPr>
    </w:p>
    <w:p w14:paraId="467FC85F" w14:textId="3CCA38A5" w:rsidR="00F04468" w:rsidRPr="00561338" w:rsidRDefault="00F04468" w:rsidP="00561338">
      <w:pPr>
        <w:tabs>
          <w:tab w:val="left" w:pos="4962"/>
        </w:tabs>
        <w:rPr>
          <w:szCs w:val="22"/>
          <w:lang w:val="es-ES"/>
        </w:rPr>
      </w:pPr>
      <w:r w:rsidRPr="00561338">
        <w:rPr>
          <w:szCs w:val="22"/>
          <w:lang w:val="es-ES"/>
        </w:rPr>
        <w:t xml:space="preserve">Abierta la etapa de instrucción, </w:t>
      </w:r>
      <w:r w:rsidRPr="00561338">
        <w:rPr>
          <w:b/>
          <w:szCs w:val="22"/>
          <w:lang w:val="es-ES"/>
        </w:rPr>
        <w:t>EL SUJETO OBLIGADO</w:t>
      </w:r>
      <w:r w:rsidRPr="00561338">
        <w:rPr>
          <w:szCs w:val="22"/>
          <w:lang w:val="es-ES"/>
        </w:rPr>
        <w:t xml:space="preserve"> </w:t>
      </w:r>
      <w:r w:rsidR="003D0638" w:rsidRPr="00561338">
        <w:rPr>
          <w:szCs w:val="22"/>
          <w:lang w:val="es-ES"/>
        </w:rPr>
        <w:t xml:space="preserve">no </w:t>
      </w:r>
      <w:r w:rsidRPr="00561338">
        <w:rPr>
          <w:szCs w:val="22"/>
          <w:lang w:val="es-ES"/>
        </w:rPr>
        <w:t xml:space="preserve">rindió su Informe Justificado; </w:t>
      </w:r>
      <w:r w:rsidR="003D0638" w:rsidRPr="00561338">
        <w:rPr>
          <w:szCs w:val="22"/>
          <w:lang w:val="es-ES"/>
        </w:rPr>
        <w:t>de igual manera</w:t>
      </w:r>
      <w:r w:rsidRPr="00561338">
        <w:rPr>
          <w:szCs w:val="22"/>
          <w:lang w:val="es-ES"/>
        </w:rPr>
        <w:t xml:space="preserve"> </w:t>
      </w:r>
      <w:r w:rsidRPr="00561338">
        <w:rPr>
          <w:b/>
          <w:szCs w:val="22"/>
          <w:lang w:val="es-ES"/>
        </w:rPr>
        <w:t>LA PARTE</w:t>
      </w:r>
      <w:r w:rsidRPr="00561338">
        <w:rPr>
          <w:szCs w:val="22"/>
          <w:lang w:val="es-ES"/>
        </w:rPr>
        <w:t xml:space="preserve"> </w:t>
      </w:r>
      <w:r w:rsidRPr="00561338">
        <w:rPr>
          <w:b/>
          <w:szCs w:val="22"/>
          <w:lang w:val="es-ES"/>
        </w:rPr>
        <w:t xml:space="preserve">RECURRENTE </w:t>
      </w:r>
      <w:r w:rsidRPr="00561338">
        <w:rPr>
          <w:szCs w:val="22"/>
          <w:lang w:val="es-ES"/>
        </w:rPr>
        <w:t>no realizó manifestación alguna.</w:t>
      </w:r>
    </w:p>
    <w:p w14:paraId="77F3028D" w14:textId="77777777" w:rsidR="00E67A38" w:rsidRPr="00561338" w:rsidRDefault="00E67A38" w:rsidP="00561338">
      <w:pPr>
        <w:ind w:right="-312"/>
        <w:rPr>
          <w:rFonts w:eastAsia="Palatino Linotype" w:cs="Palatino Linotype"/>
          <w:b/>
          <w:i/>
          <w:szCs w:val="22"/>
        </w:rPr>
      </w:pPr>
    </w:p>
    <w:p w14:paraId="265AF845" w14:textId="6D520B43" w:rsidR="006D012A" w:rsidRPr="00561338" w:rsidRDefault="003D0638" w:rsidP="00561338">
      <w:pPr>
        <w:rPr>
          <w:rFonts w:eastAsia="Palatino Linotype" w:cs="Palatino Linotype"/>
          <w:szCs w:val="22"/>
        </w:rPr>
      </w:pPr>
      <w:r w:rsidRPr="00561338">
        <w:rPr>
          <w:rFonts w:eastAsia="Palatino Linotype" w:cs="Palatino Linotype"/>
          <w:szCs w:val="22"/>
        </w:rPr>
        <w:t xml:space="preserve">Bajo las premisas anteriores, se concluye que la controversia a dilucidar en el presente medio de impugnación será </w:t>
      </w:r>
      <w:r w:rsidR="006D012A" w:rsidRPr="00561338">
        <w:rPr>
          <w:rFonts w:eastAsia="Palatino Linotype" w:cs="Palatino Linotype"/>
          <w:szCs w:val="22"/>
        </w:rPr>
        <w:t>verificar</w:t>
      </w:r>
      <w:r w:rsidR="006D012A" w:rsidRPr="00561338">
        <w:rPr>
          <w:rFonts w:eastAsia="Palatino Linotype" w:cs="Palatino Linotype"/>
          <w:b/>
          <w:szCs w:val="22"/>
        </w:rPr>
        <w:t xml:space="preserve"> </w:t>
      </w:r>
      <w:r w:rsidR="006D012A" w:rsidRPr="00561338">
        <w:rPr>
          <w:rFonts w:eastAsia="Palatino Linotype" w:cs="Palatino Linotype"/>
          <w:szCs w:val="22"/>
        </w:rPr>
        <w:t xml:space="preserve">la procedencia de la clasificación de la información realizada por </w:t>
      </w:r>
      <w:r w:rsidR="006D012A" w:rsidRPr="00561338">
        <w:rPr>
          <w:rFonts w:eastAsia="Palatino Linotype" w:cs="Palatino Linotype"/>
          <w:b/>
          <w:szCs w:val="22"/>
        </w:rPr>
        <w:t>EL SUJETO OBLIGADO</w:t>
      </w:r>
      <w:r w:rsidR="006D012A" w:rsidRPr="00561338">
        <w:rPr>
          <w:rFonts w:eastAsia="Palatino Linotype" w:cs="Palatino Linotype"/>
          <w:bCs/>
          <w:szCs w:val="22"/>
        </w:rPr>
        <w:t>,</w:t>
      </w:r>
      <w:r w:rsidR="006D012A" w:rsidRPr="00561338">
        <w:rPr>
          <w:rFonts w:eastAsia="Palatino Linotype" w:cs="Palatino Linotype"/>
          <w:b/>
          <w:szCs w:val="22"/>
        </w:rPr>
        <w:t xml:space="preserve"> </w:t>
      </w:r>
      <w:r w:rsidR="006D012A" w:rsidRPr="00561338">
        <w:rPr>
          <w:rFonts w:eastAsia="Palatino Linotype" w:cs="Palatino Linotype"/>
          <w:szCs w:val="22"/>
        </w:rPr>
        <w:t>a fin de determinar si satisface los requisitos establecidos por la Ley de la materia, o en su defecto, en caso de ser procedente, ordenar la entrega de información requerida.</w:t>
      </w:r>
    </w:p>
    <w:p w14:paraId="57C3D313" w14:textId="26D3CC8D" w:rsidR="003D0638" w:rsidRPr="00561338" w:rsidRDefault="003D0638" w:rsidP="00561338">
      <w:pPr>
        <w:ind w:right="-312"/>
        <w:rPr>
          <w:rFonts w:eastAsia="Palatino Linotype" w:cs="Palatino Linotype"/>
          <w:b/>
          <w:i/>
          <w:szCs w:val="22"/>
        </w:rPr>
      </w:pPr>
    </w:p>
    <w:p w14:paraId="5C0800C6" w14:textId="77777777" w:rsidR="00CB0AF9" w:rsidRPr="00561338" w:rsidRDefault="00CB0AF9" w:rsidP="00561338">
      <w:pPr>
        <w:pStyle w:val="Ttulo3"/>
        <w:ind w:right="-312"/>
        <w:rPr>
          <w:szCs w:val="22"/>
        </w:rPr>
      </w:pPr>
      <w:bookmarkStart w:id="36" w:name="_Toc176949444"/>
      <w:bookmarkStart w:id="37" w:name="_Toc184230167"/>
      <w:r w:rsidRPr="00561338">
        <w:rPr>
          <w:szCs w:val="22"/>
        </w:rPr>
        <w:lastRenderedPageBreak/>
        <w:t>c) Estudio de la controversia</w:t>
      </w:r>
      <w:bookmarkEnd w:id="36"/>
      <w:bookmarkEnd w:id="37"/>
    </w:p>
    <w:p w14:paraId="5D990413" w14:textId="77777777" w:rsidR="00FD33ED" w:rsidRPr="00561338" w:rsidRDefault="00990537" w:rsidP="00561338">
      <w:pPr>
        <w:rPr>
          <w:rFonts w:eastAsia="Palatino Linotype"/>
        </w:rPr>
      </w:pPr>
      <w:r w:rsidRPr="00561338">
        <w:rPr>
          <w:rFonts w:cs="Arial"/>
        </w:rPr>
        <w:t xml:space="preserve">Expuestas las posturas de las partes, se tiene que en el presente caso, </w:t>
      </w:r>
      <w:r w:rsidRPr="00561338">
        <w:rPr>
          <w:rFonts w:cs="Arial"/>
          <w:b/>
        </w:rPr>
        <w:t xml:space="preserve">EL SUJETO </w:t>
      </w:r>
      <w:r w:rsidRPr="00561338">
        <w:rPr>
          <w:rFonts w:eastAsia="Palatino Linotype"/>
          <w:b/>
        </w:rPr>
        <w:t xml:space="preserve">OBLIGADO </w:t>
      </w:r>
      <w:r w:rsidRPr="00561338">
        <w:rPr>
          <w:rFonts w:eastAsia="Palatino Linotype"/>
        </w:rPr>
        <w:t xml:space="preserve">opuso una medida de restricción de acceso a la información que es requerida por </w:t>
      </w:r>
      <w:r w:rsidRPr="00561338">
        <w:rPr>
          <w:rFonts w:eastAsia="Palatino Linotype"/>
          <w:b/>
          <w:bCs/>
        </w:rPr>
        <w:t xml:space="preserve">LA PARTE RECURRENTE, </w:t>
      </w:r>
      <w:r w:rsidRPr="00561338">
        <w:rPr>
          <w:rFonts w:eastAsia="Palatino Linotype"/>
        </w:rPr>
        <w:t>por ello es necesario recordar tal y como se estableció en el inciso a) del presente considerando que el derecho de acceso a la información pública es un derecho humano reconocido en el artículo sexto de la Constitución Política de los Estados Unidos Mexicanos y en el artículo quinto de la Constitución Política del Estado Libre y Soberano de México, que se tienen por reproducidos en el presente apartado como si a la letra se insertaran.</w:t>
      </w:r>
    </w:p>
    <w:p w14:paraId="55A7A947" w14:textId="77777777" w:rsidR="00794CE3" w:rsidRPr="00561338" w:rsidRDefault="00794CE3" w:rsidP="00561338">
      <w:pPr>
        <w:rPr>
          <w:rFonts w:eastAsia="Palatino Linotype"/>
        </w:rPr>
      </w:pPr>
    </w:p>
    <w:p w14:paraId="105BDB0C" w14:textId="1C15FDD5" w:rsidR="00990537" w:rsidRPr="00561338" w:rsidRDefault="00990537" w:rsidP="00561338">
      <w:r w:rsidRPr="00561338">
        <w:t>En lo que respecta a los recibos de nómina solicitado</w:t>
      </w:r>
      <w:r w:rsidR="00794CE3" w:rsidRPr="00561338">
        <w:t>s</w:t>
      </w:r>
      <w:r w:rsidRPr="00561338">
        <w:t xml:space="preserve">, se insiste que </w:t>
      </w:r>
      <w:r w:rsidRPr="00561338">
        <w:rPr>
          <w:b/>
        </w:rPr>
        <w:t>EL SUJETO OBLIGADO</w:t>
      </w:r>
      <w:r w:rsidRPr="00561338">
        <w:t xml:space="preserve"> sostuvo que la información solicitada no era posible proporcionarla por contener datos personales, así que la clasificó como información confidencial.</w:t>
      </w:r>
    </w:p>
    <w:p w14:paraId="0C64F25F" w14:textId="77777777" w:rsidR="00794CE3" w:rsidRPr="00561338" w:rsidRDefault="00794CE3" w:rsidP="00561338">
      <w:pPr>
        <w:rPr>
          <w:rFonts w:eastAsia="Palatino Linotype"/>
        </w:rPr>
      </w:pPr>
    </w:p>
    <w:p w14:paraId="755DDD18" w14:textId="77777777" w:rsidR="00FD33ED" w:rsidRPr="00561338" w:rsidRDefault="00990537" w:rsidP="00561338">
      <w:pPr>
        <w:rPr>
          <w:bCs/>
        </w:rPr>
      </w:pPr>
      <w:r w:rsidRPr="00561338">
        <w:rPr>
          <w:bCs/>
        </w:rPr>
        <w:t>Sobre</w:t>
      </w:r>
      <w:r w:rsidRPr="00561338">
        <w:t xml:space="preserve"> el tema, el artículo 20 de la Ley de Transparencia y Acceso a la Información Pública del Estado de México y Municipios, establece que, </w:t>
      </w:r>
      <w:r w:rsidRPr="00561338">
        <w:rPr>
          <w:b/>
        </w:rPr>
        <w:t>ante la negativa de acceso a la información o su inexistencia, el sujeto obligado deberá demostrar que encuentra en alguna de las excepciones establecidas en la normatividad aplicable.</w:t>
      </w:r>
    </w:p>
    <w:p w14:paraId="3872BCCC" w14:textId="77777777" w:rsidR="00FD33ED" w:rsidRPr="00561338" w:rsidRDefault="00FD33ED" w:rsidP="00561338">
      <w:pPr>
        <w:rPr>
          <w:rFonts w:cs="Tahoma"/>
          <w:bCs/>
          <w:iCs/>
          <w:szCs w:val="22"/>
        </w:rPr>
      </w:pPr>
    </w:p>
    <w:p w14:paraId="3F5B71A3" w14:textId="2CF7C5F9" w:rsidR="00990537" w:rsidRPr="00561338" w:rsidRDefault="00990537" w:rsidP="00561338">
      <w:pPr>
        <w:rPr>
          <w:rFonts w:cs="Tahoma"/>
          <w:bCs/>
          <w:iCs/>
          <w:szCs w:val="22"/>
        </w:rPr>
      </w:pPr>
      <w:r w:rsidRPr="00561338">
        <w:rPr>
          <w:rFonts w:cs="Tahoma"/>
          <w:bCs/>
          <w:iCs/>
          <w:szCs w:val="22"/>
        </w:rPr>
        <w:t xml:space="preserve">En ese sentido, según Trujillo, Humberto (2019), en el “Diccionario de Transparencia y Acceso a la Información Pública” (p. 201), </w:t>
      </w:r>
      <w:r w:rsidRPr="00561338">
        <w:rPr>
          <w:rFonts w:cs="Tahoma"/>
          <w:b/>
          <w:bCs/>
          <w:iCs/>
          <w:szCs w:val="22"/>
        </w:rPr>
        <w:t xml:space="preserve">la negativa de acceso a la información </w:t>
      </w:r>
      <w:r w:rsidRPr="00561338">
        <w:rPr>
          <w:rFonts w:cs="Tahoma"/>
          <w:bCs/>
          <w:iCs/>
          <w:szCs w:val="22"/>
        </w:rPr>
        <w:t xml:space="preserve">ocurre cuanto de manera fundada y motivada, una autoridad la niega o la limita, por alguna de las siguientes razones: </w:t>
      </w:r>
    </w:p>
    <w:p w14:paraId="3223534E" w14:textId="77777777" w:rsidR="00990537" w:rsidRPr="00561338" w:rsidRDefault="00990537" w:rsidP="00561338">
      <w:pPr>
        <w:rPr>
          <w:rFonts w:cs="Tahoma"/>
          <w:bCs/>
          <w:iCs/>
          <w:szCs w:val="22"/>
        </w:rPr>
      </w:pPr>
    </w:p>
    <w:p w14:paraId="103FB00E" w14:textId="77777777" w:rsidR="00990537" w:rsidRPr="00561338" w:rsidRDefault="00990537" w:rsidP="00561338">
      <w:pPr>
        <w:numPr>
          <w:ilvl w:val="0"/>
          <w:numId w:val="36"/>
        </w:numPr>
        <w:rPr>
          <w:rFonts w:cs="Tahoma"/>
          <w:b/>
          <w:bCs/>
          <w:iCs/>
          <w:szCs w:val="22"/>
        </w:rPr>
      </w:pPr>
      <w:r w:rsidRPr="00561338">
        <w:rPr>
          <w:rFonts w:cs="Tahoma"/>
          <w:b/>
          <w:bCs/>
          <w:iCs/>
          <w:szCs w:val="22"/>
        </w:rPr>
        <w:lastRenderedPageBreak/>
        <w:t xml:space="preserve">La inexistencia de la información (p. 171): </w:t>
      </w:r>
      <w:r w:rsidRPr="00561338">
        <w:rPr>
          <w:rFonts w:cs="Tahoma"/>
          <w:bCs/>
          <w:iCs/>
          <w:szCs w:val="22"/>
        </w:rPr>
        <w:t>Sucede cuando la información solicitada no se encuentra en los archivos públicos o clasificados de los entes sujetos a las Leyes de Transparencia.</w:t>
      </w:r>
    </w:p>
    <w:p w14:paraId="7651BEF5" w14:textId="77777777" w:rsidR="00990537" w:rsidRPr="00561338" w:rsidRDefault="00990537" w:rsidP="00561338">
      <w:pPr>
        <w:numPr>
          <w:ilvl w:val="0"/>
          <w:numId w:val="36"/>
        </w:numPr>
        <w:rPr>
          <w:rFonts w:cs="Tahoma"/>
          <w:b/>
          <w:bCs/>
          <w:iCs/>
          <w:szCs w:val="22"/>
        </w:rPr>
      </w:pPr>
      <w:r w:rsidRPr="00561338">
        <w:rPr>
          <w:rFonts w:cs="Tahoma"/>
          <w:b/>
          <w:bCs/>
          <w:iCs/>
          <w:szCs w:val="22"/>
        </w:rPr>
        <w:t xml:space="preserve">La incompetencia del Sujeto Obligado (p. 171): </w:t>
      </w:r>
      <w:r w:rsidRPr="00561338">
        <w:rPr>
          <w:rFonts w:cs="Tahoma"/>
          <w:bCs/>
          <w:iCs/>
          <w:szCs w:val="22"/>
        </w:rPr>
        <w:t>Ocurre cuando el Sujeto Obligado carece de atribuciones para poseer la información peticionada.</w:t>
      </w:r>
    </w:p>
    <w:p w14:paraId="3917ADD9" w14:textId="77777777" w:rsidR="00990537" w:rsidRPr="00561338" w:rsidRDefault="00990537" w:rsidP="00561338">
      <w:pPr>
        <w:numPr>
          <w:ilvl w:val="0"/>
          <w:numId w:val="36"/>
        </w:numPr>
        <w:rPr>
          <w:rFonts w:cs="Tahoma"/>
          <w:b/>
          <w:bCs/>
          <w:iCs/>
          <w:szCs w:val="22"/>
          <w:u w:val="single"/>
        </w:rPr>
      </w:pPr>
      <w:r w:rsidRPr="00561338">
        <w:rPr>
          <w:rFonts w:cs="Tahoma"/>
          <w:b/>
          <w:bCs/>
          <w:iCs/>
          <w:szCs w:val="22"/>
          <w:u w:val="single"/>
        </w:rPr>
        <w:t>La clasificación de la información (p. 70): Es el proceso o conjunto de acciones que realizan los sujetos obligados para establecer que determinada información se encuentra en alguno de los supuestos de reserva o confidencialidad establecidos en la legislación en materia de transparencia.</w:t>
      </w:r>
    </w:p>
    <w:p w14:paraId="5C752696" w14:textId="77777777" w:rsidR="00990537" w:rsidRPr="00561338" w:rsidRDefault="00990537" w:rsidP="00561338">
      <w:pPr>
        <w:ind w:firstLine="360"/>
        <w:jc w:val="right"/>
        <w:rPr>
          <w:rFonts w:cs="Tahoma"/>
          <w:b/>
          <w:iCs/>
          <w:szCs w:val="22"/>
        </w:rPr>
      </w:pPr>
      <w:r w:rsidRPr="00561338">
        <w:rPr>
          <w:rFonts w:cs="Tahoma"/>
          <w:b/>
          <w:iCs/>
          <w:szCs w:val="22"/>
        </w:rPr>
        <w:t>Énfasis añadido.</w:t>
      </w:r>
    </w:p>
    <w:p w14:paraId="17B2E5E7" w14:textId="77777777" w:rsidR="00794CE3" w:rsidRPr="00561338" w:rsidRDefault="00794CE3" w:rsidP="00561338">
      <w:pPr>
        <w:rPr>
          <w:rFonts w:cs="Tahoma"/>
          <w:iCs/>
          <w:szCs w:val="22"/>
        </w:rPr>
      </w:pPr>
    </w:p>
    <w:p w14:paraId="155630A5" w14:textId="77777777" w:rsidR="00990537" w:rsidRPr="00561338" w:rsidRDefault="00990537" w:rsidP="00561338">
      <w:pPr>
        <w:rPr>
          <w:rFonts w:cs="Tahoma"/>
          <w:bCs/>
          <w:iCs/>
          <w:szCs w:val="22"/>
          <w:lang w:val="es-ES"/>
        </w:rPr>
      </w:pPr>
      <w:r w:rsidRPr="00561338">
        <w:rPr>
          <w:rFonts w:cs="Tahoma"/>
          <w:iCs/>
          <w:szCs w:val="22"/>
        </w:rPr>
        <w:t>Conforme a lo anterior, es de señalar que l</w:t>
      </w:r>
      <w:r w:rsidRPr="00561338">
        <w:rPr>
          <w:rFonts w:cs="Tahoma"/>
          <w:iCs/>
          <w:szCs w:val="22"/>
          <w:lang w:val="es-ES"/>
        </w:rPr>
        <w:t xml:space="preserve">as </w:t>
      </w:r>
      <w:r w:rsidRPr="00561338">
        <w:rPr>
          <w:rFonts w:cs="Tahoma"/>
          <w:bCs/>
          <w:iCs/>
          <w:szCs w:val="22"/>
          <w:lang w:val="es-ES"/>
        </w:rPr>
        <w:t xml:space="preserve">excepciones al derecho de acceso a la información, consisten en que </w:t>
      </w:r>
      <w:r w:rsidRPr="00561338">
        <w:rPr>
          <w:rFonts w:cs="Tahoma"/>
          <w:b/>
          <w:iCs/>
          <w:szCs w:val="22"/>
          <w:lang w:val="es-ES"/>
        </w:rPr>
        <w:t>la documentación sea inexistente, obre en los archivos, pero se encuentre clasificada, o bien, el Sujeto Obligado sea incompetente</w:t>
      </w:r>
      <w:r w:rsidRPr="00561338">
        <w:rPr>
          <w:rFonts w:cs="Tahoma"/>
          <w:bCs/>
          <w:iCs/>
          <w:szCs w:val="22"/>
          <w:lang w:val="es-ES"/>
        </w:rPr>
        <w:t xml:space="preserve"> para contar con esta; esto es, la negativa de acceso a la información, recae cuando la documentación no se encuentre en los archivos del sujeto obligado, o bien exista, pero no pueda proporcionarse por contener datos </w:t>
      </w:r>
      <w:r w:rsidRPr="00561338">
        <w:rPr>
          <w:rFonts w:cs="Tahoma"/>
          <w:b/>
          <w:bCs/>
          <w:iCs/>
          <w:szCs w:val="22"/>
          <w:lang w:val="es-ES"/>
        </w:rPr>
        <w:t>confidenciales o reservados.</w:t>
      </w:r>
    </w:p>
    <w:p w14:paraId="2694EFDA" w14:textId="77777777" w:rsidR="00990537" w:rsidRPr="00561338" w:rsidRDefault="00990537" w:rsidP="00561338">
      <w:pPr>
        <w:rPr>
          <w:rFonts w:cs="Tahoma"/>
          <w:bCs/>
          <w:iCs/>
          <w:szCs w:val="22"/>
          <w:lang w:val="es-ES"/>
        </w:rPr>
      </w:pPr>
    </w:p>
    <w:p w14:paraId="3AC243BB" w14:textId="77777777" w:rsidR="00990537" w:rsidRPr="00561338" w:rsidRDefault="00990537" w:rsidP="00561338">
      <w:pPr>
        <w:rPr>
          <w:rFonts w:cs="Tahoma"/>
          <w:iCs/>
          <w:szCs w:val="22"/>
          <w:lang w:val="es-ES"/>
        </w:rPr>
      </w:pPr>
      <w:r w:rsidRPr="00561338">
        <w:rPr>
          <w:rFonts w:cs="Tahoma"/>
          <w:bCs/>
          <w:iCs/>
          <w:szCs w:val="22"/>
          <w:lang w:val="es-ES"/>
        </w:rPr>
        <w:t xml:space="preserve">En ese contexto, en lo que respecta al pronunciamiento hecho valer por </w:t>
      </w:r>
      <w:r w:rsidRPr="00561338">
        <w:rPr>
          <w:rFonts w:cs="Tahoma"/>
          <w:b/>
          <w:bCs/>
          <w:iCs/>
          <w:szCs w:val="22"/>
          <w:lang w:val="es-ES"/>
        </w:rPr>
        <w:t>EL SUJETO OBLIGADO</w:t>
      </w:r>
      <w:r w:rsidRPr="00561338">
        <w:rPr>
          <w:rFonts w:cs="Tahoma"/>
          <w:bCs/>
          <w:iCs/>
          <w:szCs w:val="22"/>
          <w:lang w:val="es-ES"/>
        </w:rPr>
        <w:t xml:space="preserve"> relacionado con que la información contiene datos personales, y por ende no la podía proporcionar; es necesario mencionar que, </w:t>
      </w:r>
      <w:r w:rsidRPr="00561338">
        <w:rPr>
          <w:rFonts w:cs="Tahoma"/>
          <w:iCs/>
          <w:szCs w:val="22"/>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561338">
        <w:rPr>
          <w:rFonts w:cs="Tahoma"/>
          <w:b/>
          <w:iCs/>
          <w:szCs w:val="22"/>
        </w:rPr>
        <w:t xml:space="preserve">la clasificación </w:t>
      </w:r>
      <w:r w:rsidRPr="00561338">
        <w:rPr>
          <w:rFonts w:cs="Tahoma"/>
          <w:iCs/>
          <w:szCs w:val="22"/>
        </w:rPr>
        <w:t xml:space="preserve">es el proceso mediante el cual los sujetos obligados determinan que la información en su poder, actualiza alguno de los supuestos de reserva o </w:t>
      </w:r>
      <w:r w:rsidRPr="00561338">
        <w:rPr>
          <w:rFonts w:cs="Tahoma"/>
          <w:iCs/>
          <w:szCs w:val="22"/>
        </w:rPr>
        <w:lastRenderedPageBreak/>
        <w:t xml:space="preserve">confidencialidad. </w:t>
      </w:r>
      <w:r w:rsidRPr="00561338">
        <w:rPr>
          <w:rFonts w:cs="Tahoma"/>
          <w:iCs/>
          <w:szCs w:val="22"/>
          <w:lang w:val="es-ES"/>
        </w:rPr>
        <w:t>Además, que dichos entes deberán aplicar de manera restrictiva y limitada, las excepciones al derecho de acceso a la información, por lo que, tendrán que acreditar la procedencia.</w:t>
      </w:r>
    </w:p>
    <w:p w14:paraId="49AD25FD" w14:textId="77777777" w:rsidR="00990537" w:rsidRPr="00561338" w:rsidRDefault="00990537" w:rsidP="00561338">
      <w:pPr>
        <w:rPr>
          <w:rFonts w:cs="Tahoma"/>
          <w:iCs/>
          <w:szCs w:val="22"/>
          <w:lang w:val="es-ES"/>
        </w:rPr>
      </w:pPr>
    </w:p>
    <w:p w14:paraId="12973893" w14:textId="77777777" w:rsidR="00990537" w:rsidRPr="00561338" w:rsidRDefault="00990537" w:rsidP="00561338">
      <w:pPr>
        <w:rPr>
          <w:rFonts w:cs="Tahoma"/>
          <w:iCs/>
          <w:szCs w:val="22"/>
          <w:lang w:val="es-ES"/>
        </w:rPr>
      </w:pPr>
      <w:r w:rsidRPr="00561338">
        <w:rPr>
          <w:rFonts w:cs="Tahoma"/>
          <w:iCs/>
          <w:szCs w:val="22"/>
          <w:lang w:val="es-ES"/>
        </w:rPr>
        <w:t xml:space="preserve">Por lo cual, en los casos en que se niegue el acceso a la información, por actualizarse alguno de los supuestos de clasificación, una de las formalidades a la cuales está sujeto el procedimiento de acceso a la información pública, es que </w:t>
      </w:r>
      <w:r w:rsidRPr="00561338">
        <w:rPr>
          <w:rFonts w:cs="Tahoma"/>
          <w:b/>
          <w:iCs/>
          <w:szCs w:val="22"/>
          <w:lang w:val="es-ES"/>
        </w:rPr>
        <w:t xml:space="preserve">el Comité de Transparencia deberá confirmar, modificar o revocar la decisión; </w:t>
      </w:r>
      <w:r w:rsidRPr="00561338">
        <w:rPr>
          <w:rFonts w:cs="Tahoma"/>
          <w:iCs/>
          <w:szCs w:val="22"/>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E6214D3" w14:textId="77777777" w:rsidR="00990537" w:rsidRPr="00561338" w:rsidRDefault="00990537" w:rsidP="00561338">
      <w:pPr>
        <w:rPr>
          <w:rFonts w:cs="Tahoma"/>
          <w:iCs/>
          <w:szCs w:val="22"/>
          <w:lang w:val="es-ES"/>
        </w:rPr>
      </w:pPr>
    </w:p>
    <w:p w14:paraId="23C5D00D" w14:textId="77777777" w:rsidR="00990537" w:rsidRPr="00561338" w:rsidRDefault="00990537" w:rsidP="00561338">
      <w:pPr>
        <w:rPr>
          <w:rFonts w:cs="Tahoma"/>
          <w:iCs/>
          <w:szCs w:val="22"/>
        </w:rPr>
      </w:pPr>
      <w:r w:rsidRPr="00561338">
        <w:rPr>
          <w:rFonts w:cs="Tahoma"/>
          <w:iCs/>
          <w:szCs w:val="22"/>
          <w:lang w:val="es-ES"/>
        </w:rPr>
        <w:t xml:space="preserve">En ese contexto, </w:t>
      </w:r>
      <w:r w:rsidRPr="00561338">
        <w:rPr>
          <w:rFonts w:cs="Tahoma"/>
          <w:iCs/>
          <w:szCs w:val="22"/>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76CB3DB0" w14:textId="77777777" w:rsidR="00990537" w:rsidRPr="00561338" w:rsidRDefault="00990537" w:rsidP="00561338">
      <w:pPr>
        <w:rPr>
          <w:rFonts w:cs="Tahoma"/>
          <w:iCs/>
          <w:szCs w:val="22"/>
        </w:rPr>
      </w:pPr>
    </w:p>
    <w:p w14:paraId="6E0A8744" w14:textId="77777777" w:rsidR="00990537" w:rsidRPr="00561338" w:rsidRDefault="00990537" w:rsidP="00561338">
      <w:pPr>
        <w:rPr>
          <w:rFonts w:cs="Tahoma"/>
          <w:b/>
          <w:iCs/>
          <w:szCs w:val="22"/>
        </w:rPr>
      </w:pPr>
      <w:r w:rsidRPr="00561338">
        <w:rPr>
          <w:rFonts w:cs="Tahoma"/>
          <w:iCs/>
          <w:szCs w:val="22"/>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24F41F23" w14:textId="77777777" w:rsidR="00990537" w:rsidRPr="00561338" w:rsidRDefault="00990537" w:rsidP="00561338">
      <w:pPr>
        <w:rPr>
          <w:rFonts w:cs="Tahoma"/>
          <w:iCs/>
          <w:szCs w:val="22"/>
          <w:lang w:val="es-ES"/>
        </w:rPr>
      </w:pPr>
    </w:p>
    <w:p w14:paraId="445B36B0" w14:textId="77777777" w:rsidR="00990537" w:rsidRPr="00561338" w:rsidRDefault="00990537" w:rsidP="00561338">
      <w:pPr>
        <w:rPr>
          <w:rFonts w:cs="Tahoma"/>
          <w:b/>
          <w:bCs/>
          <w:iCs/>
          <w:szCs w:val="22"/>
        </w:rPr>
      </w:pPr>
      <w:r w:rsidRPr="00561338">
        <w:rPr>
          <w:rFonts w:cs="Tahoma"/>
          <w:iCs/>
          <w:szCs w:val="22"/>
          <w:lang w:val="es-ES"/>
        </w:rPr>
        <w:t xml:space="preserve">En ese contexto, </w:t>
      </w:r>
      <w:r w:rsidRPr="00561338">
        <w:rPr>
          <w:rFonts w:cs="Tahoma"/>
          <w:bCs/>
          <w:iCs/>
          <w:szCs w:val="22"/>
        </w:rPr>
        <w:t>según Bonifaz, Leticia (2016), en la “</w:t>
      </w:r>
      <w:r w:rsidRPr="00561338">
        <w:rPr>
          <w:rFonts w:cs="Tahoma"/>
          <w:bCs/>
          <w:i/>
          <w:iCs/>
          <w:szCs w:val="22"/>
        </w:rPr>
        <w:t>Ley General de Transparencia y Acceso a la Información Pública Comentada”</w:t>
      </w:r>
      <w:r w:rsidRPr="00561338">
        <w:rPr>
          <w:rFonts w:cs="Tahoma"/>
          <w:bCs/>
          <w:iCs/>
          <w:szCs w:val="22"/>
        </w:rPr>
        <w:t xml:space="preserve"> (p. 342), la </w:t>
      </w:r>
      <w:r w:rsidRPr="00561338">
        <w:rPr>
          <w:rFonts w:cs="Tahoma"/>
          <w:b/>
          <w:bCs/>
          <w:iCs/>
          <w:szCs w:val="22"/>
        </w:rPr>
        <w:t>clasificación de la información</w:t>
      </w:r>
      <w:r w:rsidRPr="00561338">
        <w:rPr>
          <w:rFonts w:cs="Tahoma"/>
          <w:bCs/>
          <w:iCs/>
          <w:szCs w:val="22"/>
        </w:rPr>
        <w:t xml:space="preserve">, ocurre cuando la </w:t>
      </w:r>
      <w:r w:rsidRPr="00561338">
        <w:rPr>
          <w:rFonts w:cs="Tahoma"/>
          <w:bCs/>
          <w:iCs/>
          <w:szCs w:val="22"/>
        </w:rPr>
        <w:lastRenderedPageBreak/>
        <w:t xml:space="preserve">autoridad niega el acceso a esta, por ser confidencial o reservada, para lo cual, los sujetos obligados, deberán realizar el proceso de clasificación, a la luz de los principios y disposiciones establecidas en las Leyes de Transparencia, fundando y motivando, </w:t>
      </w:r>
      <w:r w:rsidRPr="00561338">
        <w:rPr>
          <w:rFonts w:cs="Tahoma"/>
          <w:b/>
          <w:bCs/>
          <w:iCs/>
          <w:szCs w:val="22"/>
        </w:rPr>
        <w:t>de manera adecuada la negativa de acceso a la información requerida.</w:t>
      </w:r>
    </w:p>
    <w:p w14:paraId="7A4DE7E2" w14:textId="77777777" w:rsidR="00990537" w:rsidRPr="00561338" w:rsidRDefault="00990537" w:rsidP="00561338">
      <w:pPr>
        <w:rPr>
          <w:rFonts w:cs="Tahoma"/>
          <w:bCs/>
          <w:iCs/>
          <w:szCs w:val="22"/>
        </w:rPr>
      </w:pPr>
    </w:p>
    <w:p w14:paraId="19C5C32A" w14:textId="77777777" w:rsidR="00990537" w:rsidRPr="00561338" w:rsidRDefault="00990537" w:rsidP="00561338">
      <w:pPr>
        <w:rPr>
          <w:rFonts w:cs="Tahoma"/>
          <w:b/>
          <w:iCs/>
          <w:szCs w:val="22"/>
        </w:rPr>
      </w:pPr>
      <w:r w:rsidRPr="00561338">
        <w:rPr>
          <w:rFonts w:cs="Tahoma"/>
          <w:bCs/>
          <w:iCs/>
          <w:szCs w:val="22"/>
        </w:rPr>
        <w:t>Además</w:t>
      </w:r>
      <w:r w:rsidRPr="00561338">
        <w:rPr>
          <w:rFonts w:cs="Tahoma"/>
          <w:iCs/>
          <w:szCs w:val="22"/>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w:t>
      </w:r>
      <w:r w:rsidRPr="00561338">
        <w:rPr>
          <w:rFonts w:cs="Tahoma"/>
          <w:b/>
          <w:iCs/>
          <w:szCs w:val="22"/>
        </w:rPr>
        <w:t>los sujetos obligados no podrán emitir acuerdos de carácter general que clasifiquen documentos o expedientes; por lo que, la clasificación de información se llevará a cabo mediante un análisis caso por caso.</w:t>
      </w:r>
    </w:p>
    <w:p w14:paraId="52DCD1B0" w14:textId="77777777" w:rsidR="00990537" w:rsidRPr="00561338" w:rsidRDefault="00990537" w:rsidP="00561338">
      <w:pPr>
        <w:rPr>
          <w:rFonts w:cs="Tahoma"/>
          <w:b/>
          <w:iCs/>
          <w:szCs w:val="22"/>
        </w:rPr>
      </w:pPr>
    </w:p>
    <w:p w14:paraId="7C6525F3" w14:textId="77777777" w:rsidR="00990537" w:rsidRPr="00561338" w:rsidRDefault="00990537" w:rsidP="00561338">
      <w:pPr>
        <w:rPr>
          <w:rFonts w:cs="Tahoma"/>
          <w:iCs/>
          <w:szCs w:val="22"/>
        </w:rPr>
      </w:pPr>
      <w:r w:rsidRPr="00561338">
        <w:rPr>
          <w:rFonts w:cs="Tahoma"/>
          <w:iCs/>
          <w:szCs w:val="22"/>
        </w:rPr>
        <w:t xml:space="preserve">Sobre lo anterior, el artículo 131 de la Ley referida, así como el Quinto de los Lineamientos Generales, establecen que los sujetos obligados </w:t>
      </w:r>
      <w:r w:rsidRPr="00561338">
        <w:rPr>
          <w:rFonts w:cs="Tahoma"/>
          <w:b/>
          <w:iCs/>
          <w:szCs w:val="22"/>
        </w:rPr>
        <w:t>deberán fundar y motivar</w:t>
      </w:r>
      <w:r w:rsidRPr="00561338">
        <w:rPr>
          <w:rFonts w:cs="Tahoma"/>
          <w:iCs/>
          <w:szCs w:val="22"/>
        </w:rPr>
        <w:t xml:space="preserve"> debidamente la clasificación de la información.</w:t>
      </w:r>
    </w:p>
    <w:p w14:paraId="4F6DD363" w14:textId="77777777" w:rsidR="00990537" w:rsidRPr="00561338" w:rsidRDefault="00990537" w:rsidP="00561338">
      <w:pPr>
        <w:rPr>
          <w:rFonts w:cs="Tahoma"/>
          <w:b/>
          <w:iCs/>
          <w:szCs w:val="22"/>
        </w:rPr>
      </w:pPr>
    </w:p>
    <w:p w14:paraId="43535D66" w14:textId="77777777" w:rsidR="00990537" w:rsidRPr="00561338" w:rsidRDefault="00990537" w:rsidP="00561338">
      <w:pPr>
        <w:rPr>
          <w:rFonts w:cs="Tahoma"/>
          <w:bCs/>
          <w:iCs/>
          <w:szCs w:val="22"/>
        </w:rPr>
      </w:pPr>
      <w:r w:rsidRPr="00561338">
        <w:rPr>
          <w:rFonts w:cs="Tahoma"/>
          <w:iCs/>
          <w:szCs w:val="22"/>
        </w:rPr>
        <w:t>Al respecto, e</w:t>
      </w:r>
      <w:r w:rsidRPr="00561338">
        <w:rPr>
          <w:rFonts w:cs="Tahoma"/>
          <w:bCs/>
          <w:iCs/>
          <w:szCs w:val="22"/>
        </w:rPr>
        <w:t>l Octavo de los Lineamientos Generales, precisa lo siguiente:</w:t>
      </w:r>
    </w:p>
    <w:p w14:paraId="7032E320" w14:textId="77777777" w:rsidR="00990537" w:rsidRPr="00561338" w:rsidRDefault="00990537" w:rsidP="00561338">
      <w:pPr>
        <w:numPr>
          <w:ilvl w:val="0"/>
          <w:numId w:val="37"/>
        </w:numPr>
        <w:rPr>
          <w:rFonts w:cs="Tahoma"/>
          <w:bCs/>
          <w:iCs/>
          <w:szCs w:val="22"/>
          <w:u w:val="single"/>
        </w:rPr>
      </w:pPr>
      <w:r w:rsidRPr="00561338">
        <w:rPr>
          <w:rFonts w:cs="Tahoma"/>
          <w:b/>
          <w:bCs/>
          <w:iCs/>
          <w:szCs w:val="22"/>
        </w:rPr>
        <w:t>Para fundar la clasificación</w:t>
      </w:r>
      <w:r w:rsidRPr="00561338">
        <w:rPr>
          <w:rFonts w:cs="Tahoma"/>
          <w:bCs/>
          <w:iCs/>
          <w:szCs w:val="22"/>
        </w:rPr>
        <w:t xml:space="preserve"> de la información se deberán </w:t>
      </w:r>
      <w:r w:rsidRPr="00561338">
        <w:rPr>
          <w:rFonts w:cs="Tahoma"/>
          <w:bCs/>
          <w:iCs/>
          <w:szCs w:val="22"/>
          <w:u w:val="single"/>
        </w:rPr>
        <w:t xml:space="preserve">señalar el artículo, fracción, inciso, párrafo o numeral de la </w:t>
      </w:r>
      <w:r w:rsidRPr="00561338">
        <w:rPr>
          <w:szCs w:val="22"/>
        </w:rPr>
        <w:t xml:space="preserve">o tratado internacional suscrito por el Estado mexicano que expresamente le otorga el carácter de reservada </w:t>
      </w:r>
      <w:r w:rsidRPr="00561338">
        <w:rPr>
          <w:b/>
          <w:szCs w:val="22"/>
          <w:u w:val="single"/>
        </w:rPr>
        <w:t>o confidencial</w:t>
      </w:r>
      <w:r w:rsidRPr="00561338">
        <w:rPr>
          <w:rFonts w:cs="Tahoma"/>
          <w:bCs/>
          <w:iCs/>
          <w:szCs w:val="22"/>
          <w:u w:val="single"/>
        </w:rPr>
        <w:t>;</w:t>
      </w:r>
    </w:p>
    <w:p w14:paraId="6B4030FE" w14:textId="77777777" w:rsidR="00990537" w:rsidRPr="00561338" w:rsidRDefault="00990537" w:rsidP="00561338">
      <w:pPr>
        <w:numPr>
          <w:ilvl w:val="0"/>
          <w:numId w:val="37"/>
        </w:numPr>
        <w:rPr>
          <w:rFonts w:cs="Tahoma"/>
          <w:bCs/>
          <w:iCs/>
          <w:szCs w:val="22"/>
        </w:rPr>
      </w:pPr>
      <w:r w:rsidRPr="00561338">
        <w:rPr>
          <w:rFonts w:cs="Tahoma"/>
          <w:b/>
          <w:bCs/>
          <w:iCs/>
          <w:szCs w:val="22"/>
        </w:rPr>
        <w:t xml:space="preserve">Para motivar la clasificación </w:t>
      </w:r>
      <w:r w:rsidRPr="00561338">
        <w:rPr>
          <w:rFonts w:cs="Tahoma"/>
          <w:bCs/>
          <w:iCs/>
          <w:szCs w:val="22"/>
        </w:rPr>
        <w:t>se deberán señalar las razones o circunstancias especiales que lo llevaron a concluir que el caso particular se ajusta al supuesto previsto por la norma legal invocada como fundamento.</w:t>
      </w:r>
    </w:p>
    <w:p w14:paraId="18A46F8B" w14:textId="77777777" w:rsidR="00990537" w:rsidRPr="00561338" w:rsidRDefault="00990537" w:rsidP="00561338">
      <w:pPr>
        <w:rPr>
          <w:rFonts w:cs="Tahoma"/>
          <w:bCs/>
          <w:iCs/>
          <w:szCs w:val="22"/>
        </w:rPr>
      </w:pPr>
    </w:p>
    <w:p w14:paraId="7757F74B" w14:textId="77777777" w:rsidR="00990537" w:rsidRPr="00561338" w:rsidRDefault="00990537" w:rsidP="00561338">
      <w:pPr>
        <w:rPr>
          <w:rFonts w:cs="Tahoma"/>
          <w:iCs/>
          <w:szCs w:val="22"/>
        </w:rPr>
      </w:pPr>
      <w:r w:rsidRPr="00561338">
        <w:rPr>
          <w:rFonts w:cs="Tahoma"/>
          <w:iCs/>
          <w:szCs w:val="22"/>
        </w:rPr>
        <w:lastRenderedPageBreak/>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04B6E33F" w14:textId="77777777" w:rsidR="00990537" w:rsidRPr="00561338" w:rsidRDefault="00990537" w:rsidP="00561338">
      <w:pPr>
        <w:rPr>
          <w:rFonts w:cs="Tahoma"/>
          <w:iCs/>
          <w:szCs w:val="22"/>
        </w:rPr>
      </w:pPr>
    </w:p>
    <w:p w14:paraId="7738AA0C" w14:textId="77777777" w:rsidR="00990537" w:rsidRPr="00561338" w:rsidRDefault="00990537" w:rsidP="00561338">
      <w:pPr>
        <w:pStyle w:val="Puesto"/>
      </w:pPr>
      <w:r w:rsidRPr="00561338">
        <w:rPr>
          <w:b/>
        </w:rPr>
        <w:t xml:space="preserve">“FUNDAMENTACION Y MOTIVACION, CONCEPTO DE. </w:t>
      </w:r>
      <w:r w:rsidRPr="00561338">
        <w:t xml:space="preserve">La </w:t>
      </w:r>
      <w:r w:rsidRPr="00561338">
        <w:rPr>
          <w:u w:val="single"/>
        </w:rPr>
        <w:t>garantía de legalidad consagrada en el artículo 16 de nuestra Carta Magna</w:t>
      </w:r>
      <w:r w:rsidRPr="00561338">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3E0771C" w14:textId="77777777" w:rsidR="00990537" w:rsidRPr="00561338" w:rsidRDefault="00990537" w:rsidP="00561338">
      <w:pPr>
        <w:rPr>
          <w:rFonts w:cs="Tahoma"/>
          <w:iCs/>
          <w:szCs w:val="22"/>
        </w:rPr>
      </w:pPr>
    </w:p>
    <w:p w14:paraId="6546449C" w14:textId="77777777" w:rsidR="00990537" w:rsidRPr="00561338" w:rsidRDefault="00990537" w:rsidP="00561338">
      <w:pPr>
        <w:rPr>
          <w:rFonts w:cs="Tahoma"/>
          <w:iCs/>
          <w:szCs w:val="22"/>
        </w:rPr>
      </w:pPr>
      <w:r w:rsidRPr="00561338">
        <w:rPr>
          <w:rFonts w:cs="Tahoma"/>
          <w:iCs/>
          <w:szCs w:val="22"/>
        </w:rPr>
        <w:t>Conforme a lo anterior, se advierte lo siguiente:</w:t>
      </w:r>
    </w:p>
    <w:p w14:paraId="53C313E6" w14:textId="77777777" w:rsidR="00990537" w:rsidRPr="00561338" w:rsidRDefault="00990537" w:rsidP="00561338">
      <w:pPr>
        <w:rPr>
          <w:rFonts w:cs="Tahoma"/>
          <w:iCs/>
          <w:szCs w:val="22"/>
        </w:rPr>
      </w:pPr>
    </w:p>
    <w:p w14:paraId="7DDF48BA" w14:textId="77777777" w:rsidR="00990537" w:rsidRPr="00561338" w:rsidRDefault="00990537" w:rsidP="00561338">
      <w:pPr>
        <w:numPr>
          <w:ilvl w:val="0"/>
          <w:numId w:val="38"/>
        </w:numPr>
        <w:rPr>
          <w:rFonts w:cs="Tahoma"/>
          <w:b/>
          <w:iCs/>
          <w:szCs w:val="22"/>
        </w:rPr>
      </w:pPr>
      <w:r w:rsidRPr="00561338">
        <w:rPr>
          <w:rFonts w:cs="Tahoma"/>
          <w:b/>
          <w:iCs/>
          <w:szCs w:val="22"/>
        </w:rPr>
        <w:t xml:space="preserve">Fundamentación: </w:t>
      </w:r>
      <w:r w:rsidRPr="00561338">
        <w:rPr>
          <w:rFonts w:cs="Tahoma"/>
          <w:iCs/>
          <w:szCs w:val="22"/>
        </w:rPr>
        <w:t>Obligación de la autoridad que emite un acto, para citar los preceptos legales, sustantivos y adjetivos, en que se apoye para la determinación tomada.</w:t>
      </w:r>
    </w:p>
    <w:p w14:paraId="79F5F02B" w14:textId="77777777" w:rsidR="00990537" w:rsidRPr="00561338" w:rsidRDefault="00990537" w:rsidP="00561338">
      <w:pPr>
        <w:numPr>
          <w:ilvl w:val="0"/>
          <w:numId w:val="38"/>
        </w:numPr>
        <w:rPr>
          <w:rFonts w:cs="Tahoma"/>
          <w:b/>
          <w:iCs/>
          <w:szCs w:val="22"/>
        </w:rPr>
      </w:pPr>
      <w:r w:rsidRPr="00561338">
        <w:rPr>
          <w:rFonts w:cs="Tahoma"/>
          <w:b/>
          <w:iCs/>
          <w:szCs w:val="22"/>
        </w:rPr>
        <w:t xml:space="preserve">Motivación: </w:t>
      </w:r>
      <w:r w:rsidRPr="00561338">
        <w:rPr>
          <w:rFonts w:cs="Tahoma"/>
          <w:iCs/>
          <w:szCs w:val="22"/>
        </w:rPr>
        <w:t>Razonamientos lógico-jurídicos sobre porque se consideró en el caso en concreto, que se ajusta a la hipótesis normativa.</w:t>
      </w:r>
    </w:p>
    <w:p w14:paraId="6B0B9156" w14:textId="77777777" w:rsidR="00990537" w:rsidRPr="00561338" w:rsidRDefault="00990537" w:rsidP="00561338">
      <w:pPr>
        <w:rPr>
          <w:rFonts w:cs="Tahoma"/>
          <w:iCs/>
          <w:szCs w:val="22"/>
          <w:lang w:val="es-ES"/>
        </w:rPr>
      </w:pPr>
    </w:p>
    <w:p w14:paraId="35D389DA" w14:textId="77777777" w:rsidR="00990537" w:rsidRPr="00561338" w:rsidRDefault="00990537" w:rsidP="00561338">
      <w:pPr>
        <w:rPr>
          <w:rFonts w:cs="Tahoma"/>
          <w:iCs/>
          <w:szCs w:val="22"/>
          <w:lang w:val="es-ES"/>
        </w:rPr>
      </w:pPr>
      <w:r w:rsidRPr="00561338">
        <w:rPr>
          <w:rFonts w:cs="Tahoma"/>
          <w:iCs/>
          <w:szCs w:val="22"/>
          <w:lang w:val="es-ES"/>
        </w:rPr>
        <w:t>Al respecto, el máximo tribunal del país ha establecido jurisprudencia respecto a qué debe entenderse por fundamentación y motivación, en los siguientes términos:</w:t>
      </w:r>
    </w:p>
    <w:p w14:paraId="0F5C428B" w14:textId="77777777" w:rsidR="00990537" w:rsidRPr="00561338" w:rsidRDefault="00990537" w:rsidP="00561338">
      <w:pPr>
        <w:rPr>
          <w:rFonts w:cs="Arial"/>
          <w:szCs w:val="22"/>
        </w:rPr>
      </w:pPr>
    </w:p>
    <w:p w14:paraId="617199DF" w14:textId="77777777" w:rsidR="00990537" w:rsidRPr="00561338" w:rsidRDefault="00990537" w:rsidP="00561338">
      <w:pPr>
        <w:pStyle w:val="Puesto"/>
      </w:pPr>
      <w:r w:rsidRPr="00561338">
        <w:lastRenderedPageBreak/>
        <w:t>“</w:t>
      </w:r>
      <w:r w:rsidRPr="00561338">
        <w:rPr>
          <w:b/>
        </w:rPr>
        <w:t xml:space="preserve">FUNDAMENTACION Y MOTIVACION. </w:t>
      </w:r>
      <w:r w:rsidRPr="00561338">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5E28F5DF" w14:textId="77777777" w:rsidR="00990537" w:rsidRPr="00561338" w:rsidRDefault="00990537" w:rsidP="00561338">
      <w:pPr>
        <w:rPr>
          <w:rFonts w:cs="Arial"/>
          <w:i/>
          <w:szCs w:val="22"/>
        </w:rPr>
      </w:pPr>
    </w:p>
    <w:p w14:paraId="646D617F" w14:textId="77777777" w:rsidR="00990537" w:rsidRPr="00561338" w:rsidRDefault="00990537" w:rsidP="00561338">
      <w:pPr>
        <w:rPr>
          <w:rFonts w:cs="Tahoma"/>
          <w:iCs/>
          <w:szCs w:val="22"/>
          <w:lang w:val="es-ES"/>
        </w:rPr>
      </w:pPr>
      <w:r w:rsidRPr="00561338">
        <w:rPr>
          <w:rFonts w:cs="Tahoma"/>
          <w:iCs/>
          <w:szCs w:val="22"/>
          <w:lang w:val="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3423E25" w14:textId="77777777" w:rsidR="00990537" w:rsidRPr="00561338" w:rsidRDefault="00990537" w:rsidP="00561338">
      <w:pPr>
        <w:rPr>
          <w:rFonts w:cs="Tahoma"/>
          <w:iCs/>
          <w:szCs w:val="22"/>
          <w:lang w:val="es-ES"/>
        </w:rPr>
      </w:pPr>
    </w:p>
    <w:p w14:paraId="2F56F8B2" w14:textId="77777777" w:rsidR="00990537" w:rsidRPr="00561338" w:rsidRDefault="00990537" w:rsidP="00561338">
      <w:pPr>
        <w:rPr>
          <w:rFonts w:cs="Tahoma"/>
          <w:iCs/>
          <w:szCs w:val="22"/>
          <w:lang w:val="es-ES"/>
        </w:rPr>
      </w:pPr>
      <w:r w:rsidRPr="00561338">
        <w:rPr>
          <w:rFonts w:cs="Tahoma"/>
          <w:iCs/>
          <w:szCs w:val="22"/>
          <w:lang w:val="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68F83AE" w14:textId="77777777" w:rsidR="00990537" w:rsidRPr="00561338" w:rsidRDefault="00990537" w:rsidP="00561338">
      <w:pPr>
        <w:rPr>
          <w:rFonts w:cs="Arial"/>
          <w:szCs w:val="22"/>
        </w:rPr>
      </w:pPr>
    </w:p>
    <w:p w14:paraId="3ABB7AD6" w14:textId="77777777" w:rsidR="00990537" w:rsidRPr="00561338" w:rsidRDefault="00990537" w:rsidP="00561338">
      <w:pPr>
        <w:pStyle w:val="Puesto"/>
      </w:pPr>
      <w:r w:rsidRPr="00561338">
        <w:t>“</w:t>
      </w:r>
      <w:r w:rsidRPr="00561338">
        <w:rPr>
          <w:b/>
        </w:rPr>
        <w:t>FUNDAMENTACIÓN Y MOTIVACIÓN. EL ASPECTO FORMAL DE LA GARANTÍA Y SU FINALIDAD SE TRADUCEN EN EXPLICAR, JUSTIFICAR, POSIBILITAR LA DEFENSA Y COMUNICAR LA DECISIÓN</w:t>
      </w:r>
      <w:r w:rsidRPr="00561338">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4564284D" w14:textId="77777777" w:rsidR="00990537" w:rsidRPr="00561338" w:rsidRDefault="00990537" w:rsidP="00561338">
      <w:pPr>
        <w:rPr>
          <w:rFonts w:cs="Arial"/>
          <w:i/>
          <w:szCs w:val="22"/>
        </w:rPr>
      </w:pPr>
    </w:p>
    <w:p w14:paraId="2E6AF388" w14:textId="77777777" w:rsidR="00990537" w:rsidRPr="00561338" w:rsidRDefault="00990537" w:rsidP="00561338">
      <w:pPr>
        <w:rPr>
          <w:rFonts w:cs="Tahoma"/>
          <w:iCs/>
          <w:szCs w:val="22"/>
          <w:lang w:val="es-ES"/>
        </w:rPr>
      </w:pPr>
      <w:r w:rsidRPr="00561338">
        <w:rPr>
          <w:rFonts w:cs="Tahoma"/>
          <w:iCs/>
          <w:szCs w:val="22"/>
          <w:lang w:val="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80D6EEA" w14:textId="77777777" w:rsidR="00990537" w:rsidRPr="00561338" w:rsidRDefault="00990537" w:rsidP="00561338">
      <w:pPr>
        <w:rPr>
          <w:rFonts w:cs="Tahoma"/>
          <w:iCs/>
          <w:szCs w:val="22"/>
          <w:lang w:val="es-ES"/>
        </w:rPr>
      </w:pPr>
    </w:p>
    <w:p w14:paraId="1664DDED" w14:textId="77777777" w:rsidR="00990537" w:rsidRPr="00561338" w:rsidRDefault="00990537" w:rsidP="00561338">
      <w:pPr>
        <w:rPr>
          <w:rFonts w:cs="Tahoma"/>
          <w:iCs/>
          <w:szCs w:val="22"/>
          <w:lang w:val="es-ES"/>
        </w:rPr>
      </w:pPr>
      <w:r w:rsidRPr="00561338">
        <w:rPr>
          <w:rFonts w:cs="Tahoma"/>
          <w:iCs/>
          <w:szCs w:val="22"/>
          <w:lang w:val="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36A29B8C" w14:textId="77777777" w:rsidR="00990537" w:rsidRPr="00561338" w:rsidRDefault="00990537" w:rsidP="00561338">
      <w:pPr>
        <w:rPr>
          <w:rFonts w:cs="Tahoma"/>
          <w:iCs/>
          <w:szCs w:val="22"/>
          <w:lang w:val="es-ES"/>
        </w:rPr>
      </w:pPr>
    </w:p>
    <w:p w14:paraId="17362A85" w14:textId="77777777" w:rsidR="00990537" w:rsidRPr="00561338" w:rsidRDefault="00990537" w:rsidP="00561338">
      <w:pPr>
        <w:rPr>
          <w:rFonts w:cs="Tahoma"/>
          <w:iCs/>
          <w:szCs w:val="22"/>
          <w:lang w:val="es-ES"/>
        </w:rPr>
      </w:pPr>
      <w:r w:rsidRPr="00561338">
        <w:rPr>
          <w:rFonts w:cs="Tahoma"/>
          <w:iCs/>
          <w:szCs w:val="22"/>
        </w:rPr>
        <w:t>Además en</w:t>
      </w:r>
      <w:r w:rsidRPr="00561338">
        <w:rPr>
          <w:rFonts w:cs="Tahoma"/>
          <w:iCs/>
          <w:szCs w:val="22"/>
          <w:lang w:val="es-ES"/>
        </w:rPr>
        <w:t xml:space="preserve"> </w:t>
      </w:r>
      <w:r w:rsidRPr="00561338">
        <w:rPr>
          <w:rFonts w:cs="Tahoma"/>
          <w:iCs/>
          <w:szCs w:val="22"/>
        </w:rPr>
        <w:t>los artículos 3, fracción XLV, 52 y 137 de la Ley Transparencia y Acceso a la Información Pública del Estado de México y Municipios, se prevé lo relativo a las versiones públicas, como se ilustra a continuación:</w:t>
      </w:r>
    </w:p>
    <w:p w14:paraId="1409EFEF" w14:textId="77777777" w:rsidR="00990537" w:rsidRPr="00561338" w:rsidRDefault="00990537" w:rsidP="00561338">
      <w:pPr>
        <w:rPr>
          <w:rFonts w:cs="Tahoma"/>
          <w:iCs/>
          <w:szCs w:val="22"/>
        </w:rPr>
      </w:pPr>
    </w:p>
    <w:p w14:paraId="5C465F77" w14:textId="77777777" w:rsidR="00990537" w:rsidRPr="00561338" w:rsidRDefault="00990537" w:rsidP="00561338">
      <w:pPr>
        <w:pStyle w:val="Puesto"/>
      </w:pPr>
      <w:r w:rsidRPr="00561338">
        <w:rPr>
          <w:b/>
        </w:rPr>
        <w:t>Artículo 3.</w:t>
      </w:r>
      <w:r w:rsidRPr="00561338">
        <w:t xml:space="preserve"> Para los efectos de la presente Ley se entenderá por: </w:t>
      </w:r>
    </w:p>
    <w:p w14:paraId="12C9488D" w14:textId="77777777" w:rsidR="00990537" w:rsidRPr="00561338" w:rsidRDefault="00990537" w:rsidP="00561338">
      <w:pPr>
        <w:pStyle w:val="Puesto"/>
      </w:pPr>
      <w:r w:rsidRPr="00561338">
        <w:t>…</w:t>
      </w:r>
    </w:p>
    <w:p w14:paraId="4EF1076A" w14:textId="77777777" w:rsidR="00990537" w:rsidRPr="00561338" w:rsidRDefault="00990537" w:rsidP="00561338">
      <w:pPr>
        <w:pStyle w:val="Puesto"/>
      </w:pPr>
      <w:r w:rsidRPr="00561338">
        <w:t>XLV. Versión pública: Documento en el que se elimine, suprime o borra la información clasificada como reservada o confidencial para permitir su acceso.</w:t>
      </w:r>
    </w:p>
    <w:p w14:paraId="0FB63E35" w14:textId="77777777" w:rsidR="00990537" w:rsidRPr="00561338" w:rsidRDefault="00990537" w:rsidP="00561338">
      <w:pPr>
        <w:pStyle w:val="Puesto"/>
      </w:pPr>
    </w:p>
    <w:p w14:paraId="5D7D42C8" w14:textId="77777777" w:rsidR="00990537" w:rsidRPr="00561338" w:rsidRDefault="00990537" w:rsidP="00561338">
      <w:pPr>
        <w:pStyle w:val="Puesto"/>
      </w:pPr>
      <w:r w:rsidRPr="00561338">
        <w:rPr>
          <w:b/>
        </w:rPr>
        <w:t>Artículo 52.</w:t>
      </w:r>
      <w:r w:rsidRPr="00561338">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977D018" w14:textId="77777777" w:rsidR="00990537" w:rsidRPr="00561338" w:rsidRDefault="00990537" w:rsidP="00561338">
      <w:pPr>
        <w:pStyle w:val="Puesto"/>
      </w:pPr>
    </w:p>
    <w:p w14:paraId="7476EF99" w14:textId="77777777" w:rsidR="00990537" w:rsidRPr="00561338" w:rsidRDefault="00990537" w:rsidP="00561338">
      <w:pPr>
        <w:pStyle w:val="Puesto"/>
      </w:pPr>
      <w:r w:rsidRPr="00561338">
        <w:rPr>
          <w:b/>
        </w:rPr>
        <w:t>Artículo 137.</w:t>
      </w:r>
      <w:r w:rsidRPr="00561338">
        <w:t xml:space="preserve"> Cuando un mismo medio, impreso o electrónico, contenga información pública y reservada o confidencial, la Unidad de Transparencia para efectos de atender una </w:t>
      </w:r>
      <w:r w:rsidRPr="00561338">
        <w:lastRenderedPageBreak/>
        <w:t>solicitud de información, deberán elaborar una versión pública en la que se testen las partes o secciones clasificadas, indicando su contenido de manera genérica y fundando y motivando su clasificación.</w:t>
      </w:r>
    </w:p>
    <w:p w14:paraId="11D2BA58" w14:textId="77777777" w:rsidR="00990537" w:rsidRPr="00561338" w:rsidRDefault="00990537" w:rsidP="00561338">
      <w:pPr>
        <w:rPr>
          <w:rFonts w:cs="Tahoma"/>
          <w:bCs/>
          <w:iCs/>
          <w:szCs w:val="22"/>
          <w:lang w:val="es-ES"/>
        </w:rPr>
      </w:pPr>
    </w:p>
    <w:p w14:paraId="706AA9F3" w14:textId="77777777" w:rsidR="004A54A1" w:rsidRPr="00561338" w:rsidRDefault="00990537" w:rsidP="00561338">
      <w:pPr>
        <w:rPr>
          <w:rFonts w:cs="Tahoma"/>
          <w:iCs/>
          <w:szCs w:val="22"/>
          <w:lang w:val="es-ES"/>
        </w:rPr>
      </w:pPr>
      <w:r w:rsidRPr="00561338">
        <w:rPr>
          <w:rFonts w:cs="Tahoma"/>
          <w:bCs/>
          <w:iCs/>
          <w:szCs w:val="22"/>
          <w:lang w:val="es-ES"/>
        </w:rPr>
        <w:t xml:space="preserve">En ese contexto, es de señalar que, </w:t>
      </w:r>
      <w:r w:rsidRPr="00561338">
        <w:rPr>
          <w:rFonts w:cs="Tahoma"/>
          <w:b/>
          <w:bCs/>
          <w:iCs/>
          <w:szCs w:val="22"/>
          <w:lang w:val="es-ES"/>
        </w:rPr>
        <w:t>EL SUJETO OBLIGADO</w:t>
      </w:r>
      <w:r w:rsidRPr="00561338">
        <w:rPr>
          <w:rFonts w:eastAsia="Calibri" w:cs="Tahoma"/>
          <w:szCs w:val="22"/>
        </w:rPr>
        <w:t xml:space="preserve"> omitió dar cumplimiento a lo previsto en el artículo 168 de la </w:t>
      </w:r>
      <w:r w:rsidRPr="00561338">
        <w:rPr>
          <w:rFonts w:cs="Tahoma"/>
          <w:iCs/>
          <w:szCs w:val="22"/>
          <w:lang w:val="es-ES"/>
        </w:rPr>
        <w:t>Ley de Transparencia y Acceso a la Información Pública del Estado de México y Municipios, ya que el Comité de Transparencia no emitió el acuerdo por medio del cual confirmara la clasificación de la información, pues únicamente refirió que no podía entregar la información al contener datos personales, limitándose de manera general a clasificarla como confidencial y sin remitir el acuerdo correspondiente del Comité de Transparencia en el que sustentará la clasificación invocada.</w:t>
      </w:r>
    </w:p>
    <w:p w14:paraId="66A6A93A" w14:textId="77777777" w:rsidR="004A54A1" w:rsidRPr="00561338" w:rsidRDefault="004A54A1" w:rsidP="00561338">
      <w:pPr>
        <w:rPr>
          <w:rFonts w:cs="Tahoma"/>
          <w:iCs/>
          <w:szCs w:val="22"/>
          <w:lang w:val="es-ES"/>
        </w:rPr>
      </w:pPr>
    </w:p>
    <w:p w14:paraId="033237D5" w14:textId="308813F9" w:rsidR="00151D5F" w:rsidRPr="00561338" w:rsidRDefault="004A54A1" w:rsidP="00561338">
      <w:pPr>
        <w:rPr>
          <w:rFonts w:cs="Tahoma"/>
          <w:bCs/>
          <w:iCs/>
          <w:szCs w:val="22"/>
        </w:rPr>
      </w:pPr>
      <w:r w:rsidRPr="00561338">
        <w:rPr>
          <w:rFonts w:cs="Tahoma"/>
          <w:bCs/>
          <w:iCs/>
          <w:szCs w:val="22"/>
          <w:lang w:val="es-ES"/>
        </w:rPr>
        <w:t xml:space="preserve">Ahora bien, y sin menoscabo de lo anterior, es de recordar que la pretensión de </w:t>
      </w:r>
      <w:r w:rsidRPr="00561338">
        <w:rPr>
          <w:rFonts w:eastAsia="Calibri" w:cs="Tahoma"/>
          <w:b/>
          <w:bCs/>
          <w:szCs w:val="22"/>
          <w:lang w:eastAsia="en-US"/>
        </w:rPr>
        <w:t>LA PARTE RECURRENTE</w:t>
      </w:r>
      <w:r w:rsidRPr="00561338">
        <w:rPr>
          <w:rFonts w:cs="Tahoma"/>
          <w:bCs/>
          <w:iCs/>
          <w:szCs w:val="22"/>
          <w:lang w:val="es-ES"/>
        </w:rPr>
        <w:t xml:space="preserve"> es acceder a los recibos de nómina de los servidores públicos del Sistema Municipal DIF y del Instituto Municipal de Cultura Física y Deporte</w:t>
      </w:r>
      <w:r w:rsidR="00DD4891" w:rsidRPr="00561338">
        <w:rPr>
          <w:rFonts w:cs="Tahoma"/>
          <w:bCs/>
          <w:iCs/>
          <w:szCs w:val="22"/>
          <w:lang w:val="es-ES"/>
        </w:rPr>
        <w:t xml:space="preserve">, </w:t>
      </w:r>
      <w:r w:rsidR="00DD4891" w:rsidRPr="00561338">
        <w:rPr>
          <w:rFonts w:cs="Tahoma"/>
          <w:bCs/>
          <w:iCs/>
          <w:szCs w:val="22"/>
        </w:rPr>
        <w:t xml:space="preserve">por lo cual, es necesario contextualizar la naturaleza de la información peticionada, por ello, resulta toral traer a contexto </w:t>
      </w:r>
      <w:r w:rsidR="00151D5F" w:rsidRPr="00561338">
        <w:rPr>
          <w:rFonts w:eastAsia="Palatino Linotype" w:cs="Palatino Linotype"/>
          <w:szCs w:val="22"/>
        </w:rPr>
        <w:t xml:space="preserve">el </w:t>
      </w:r>
      <w:r w:rsidR="00151D5F" w:rsidRPr="00561338">
        <w:rPr>
          <w:szCs w:val="22"/>
        </w:rPr>
        <w:t xml:space="preserve">artículo 147 de la </w:t>
      </w:r>
      <w:r w:rsidR="00151D5F" w:rsidRPr="00561338">
        <w:rPr>
          <w:rFonts w:cs="Tahoma"/>
          <w:bCs/>
          <w:iCs/>
          <w:szCs w:val="22"/>
        </w:rPr>
        <w:t xml:space="preserve">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389499B5" w14:textId="77777777" w:rsidR="00151D5F" w:rsidRPr="00561338" w:rsidRDefault="00151D5F" w:rsidP="00561338">
      <w:pPr>
        <w:contextualSpacing/>
        <w:rPr>
          <w:rFonts w:cs="Tahoma"/>
          <w:bCs/>
          <w:iCs/>
          <w:szCs w:val="22"/>
        </w:rPr>
      </w:pPr>
    </w:p>
    <w:p w14:paraId="37D9787E" w14:textId="77777777" w:rsidR="00151D5F" w:rsidRPr="00561338" w:rsidRDefault="00151D5F" w:rsidP="00561338">
      <w:pPr>
        <w:contextualSpacing/>
        <w:rPr>
          <w:rFonts w:cs="Tahoma"/>
          <w:bCs/>
          <w:iCs/>
          <w:szCs w:val="22"/>
        </w:rPr>
      </w:pPr>
      <w:r w:rsidRPr="00561338">
        <w:rPr>
          <w:rFonts w:cs="Tahoma"/>
          <w:bCs/>
          <w:iCs/>
          <w:szCs w:val="22"/>
        </w:rPr>
        <w:t xml:space="preserve">En orden de ideas, el artículo 3°, fracción XXXII, del Código Financiero del Estado de México y Municipios establece que la </w:t>
      </w:r>
      <w:r w:rsidRPr="00561338">
        <w:rPr>
          <w:rFonts w:cs="Tahoma"/>
          <w:b/>
          <w:bCs/>
          <w:iCs/>
          <w:szCs w:val="22"/>
          <w:u w:val="single"/>
        </w:rPr>
        <w:t>remuneración consiste en los pagos hechos por concepto de sueldo, compensaciones, gratificaciones, habitación, primas, comisiones, prestaciones, en especie y cualquier otra percepción o prestación que se entregue al servidor por su trabajo</w:t>
      </w:r>
      <w:r w:rsidRPr="00561338">
        <w:rPr>
          <w:rFonts w:cs="Tahoma"/>
          <w:bCs/>
          <w:iCs/>
          <w:szCs w:val="22"/>
        </w:rPr>
        <w:t>.</w:t>
      </w:r>
    </w:p>
    <w:p w14:paraId="7D9C552F" w14:textId="77777777" w:rsidR="00151D5F" w:rsidRPr="00561338" w:rsidRDefault="00151D5F" w:rsidP="00561338">
      <w:pPr>
        <w:contextualSpacing/>
        <w:rPr>
          <w:szCs w:val="22"/>
        </w:rPr>
      </w:pPr>
    </w:p>
    <w:p w14:paraId="0AF4627D" w14:textId="77777777" w:rsidR="00DA3923" w:rsidRPr="00561338" w:rsidRDefault="00DA3923" w:rsidP="00561338">
      <w:pPr>
        <w:spacing w:before="240" w:after="360"/>
        <w:rPr>
          <w:rFonts w:eastAsia="Palatino Linotype" w:cs="Palatino Linotype"/>
          <w:szCs w:val="22"/>
        </w:rPr>
      </w:pPr>
      <w:r w:rsidRPr="00561338">
        <w:rPr>
          <w:rFonts w:eastAsia="Palatino Linotype" w:cs="Palatino Linotype"/>
          <w:szCs w:val="22"/>
        </w:rPr>
        <w:t>Por su parte la Ley del Trabajo de los Servidores Públicos del Estado y Municipios, en su artículo 220-K fracciones II y IV y último párrafo, establecen lo siguiente:</w:t>
      </w:r>
    </w:p>
    <w:p w14:paraId="5ED7C4AE" w14:textId="77777777" w:rsidR="00151D5F" w:rsidRPr="00561338" w:rsidRDefault="00151D5F" w:rsidP="00561338">
      <w:pPr>
        <w:pStyle w:val="Puesto"/>
        <w:rPr>
          <w:rFonts w:eastAsia="Palatino Linotype"/>
        </w:rPr>
      </w:pPr>
      <w:r w:rsidRPr="00561338">
        <w:rPr>
          <w:rFonts w:eastAsia="Palatino Linotype"/>
          <w:b/>
        </w:rPr>
        <w:t>“ARTÍCULO 220 K.-</w:t>
      </w:r>
      <w:r w:rsidRPr="00561338">
        <w:rPr>
          <w:rFonts w:eastAsia="Palatino Linotype"/>
        </w:rPr>
        <w:t xml:space="preserve"> La institución o dependencia pública tiene la obligación de conservar y exhibir en el proceso los documentos que a continuación se precisan:</w:t>
      </w:r>
    </w:p>
    <w:p w14:paraId="16A123C0" w14:textId="77777777" w:rsidR="00151D5F" w:rsidRPr="00561338" w:rsidRDefault="00151D5F" w:rsidP="00561338">
      <w:pPr>
        <w:pStyle w:val="Puesto"/>
        <w:rPr>
          <w:rFonts w:eastAsia="Palatino Linotype"/>
        </w:rPr>
      </w:pPr>
      <w:r w:rsidRPr="00561338">
        <w:rPr>
          <w:rFonts w:eastAsia="Palatino Linotype"/>
        </w:rPr>
        <w:t>…</w:t>
      </w:r>
    </w:p>
    <w:p w14:paraId="3EE53CBD" w14:textId="77777777" w:rsidR="00151D5F" w:rsidRPr="00561338" w:rsidRDefault="00151D5F" w:rsidP="00561338">
      <w:pPr>
        <w:pStyle w:val="Puesto"/>
        <w:rPr>
          <w:rFonts w:eastAsia="Palatino Linotype"/>
        </w:rPr>
      </w:pPr>
      <w:r w:rsidRPr="00561338">
        <w:rPr>
          <w:rFonts w:eastAsia="Palatino Linotype"/>
          <w:b/>
        </w:rPr>
        <w:t>II</w:t>
      </w:r>
      <w:r w:rsidRPr="00561338">
        <w:rPr>
          <w:rFonts w:eastAsia="Palatino Linotype"/>
        </w:rPr>
        <w:t>. Recibos de pagos de salarios o las constancias documentales del pago de salario cuando sea por depósito o mediante información electrónica;</w:t>
      </w:r>
    </w:p>
    <w:p w14:paraId="7B57FD24" w14:textId="77777777" w:rsidR="00151D5F" w:rsidRPr="00561338" w:rsidRDefault="00151D5F" w:rsidP="00561338">
      <w:pPr>
        <w:pStyle w:val="Puesto"/>
        <w:rPr>
          <w:rFonts w:eastAsia="Palatino Linotype"/>
        </w:rPr>
      </w:pPr>
      <w:r w:rsidRPr="00561338">
        <w:rPr>
          <w:rFonts w:eastAsia="Palatino Linotype"/>
        </w:rPr>
        <w:t>…</w:t>
      </w:r>
    </w:p>
    <w:p w14:paraId="79975027" w14:textId="77777777" w:rsidR="00151D5F" w:rsidRPr="00561338" w:rsidRDefault="00151D5F" w:rsidP="00561338">
      <w:pPr>
        <w:pStyle w:val="Puesto"/>
        <w:rPr>
          <w:rFonts w:eastAsia="Palatino Linotype"/>
        </w:rPr>
      </w:pPr>
      <w:r w:rsidRPr="00561338">
        <w:rPr>
          <w:rFonts w:eastAsia="Palatino Linotype"/>
          <w:b/>
        </w:rPr>
        <w:t>IV</w:t>
      </w:r>
      <w:r w:rsidRPr="00561338">
        <w:rPr>
          <w:rFonts w:eastAsia="Palatino Linotype"/>
        </w:rPr>
        <w:t>. Recibos o las constancias de depósito o del medio de información magnética o electrónica que sean utilizadas para el pago de salarios, prima vacacional, aguinaldo y demás prestaciones establecidas en la presente ley; y…</w:t>
      </w:r>
    </w:p>
    <w:p w14:paraId="170482C0" w14:textId="12C58981" w:rsidR="00151D5F" w:rsidRPr="00561338" w:rsidRDefault="00151D5F" w:rsidP="00561338">
      <w:pPr>
        <w:pStyle w:val="Puesto"/>
        <w:rPr>
          <w:rFonts w:eastAsia="Palatino Linotype"/>
        </w:rPr>
      </w:pPr>
      <w:r w:rsidRPr="00561338">
        <w:rPr>
          <w:rFonts w:eastAsia="Palatino Linotype"/>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r w:rsidR="002D1C1F" w:rsidRPr="00561338">
        <w:rPr>
          <w:rFonts w:eastAsia="Palatino Linotype"/>
        </w:rPr>
        <w:t xml:space="preserve">. </w:t>
      </w:r>
      <w:r w:rsidRPr="00561338">
        <w:rPr>
          <w:rFonts w:eastAsia="Palatino Linotype"/>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2318B7F3" w14:textId="77777777" w:rsidR="00151D5F" w:rsidRPr="00561338" w:rsidRDefault="00151D5F" w:rsidP="00561338">
      <w:pPr>
        <w:pStyle w:val="Puesto"/>
        <w:rPr>
          <w:rFonts w:eastAsia="Palatino Linotype"/>
        </w:rPr>
      </w:pPr>
      <w:r w:rsidRPr="00561338">
        <w:rPr>
          <w:rFonts w:eastAsia="Palatino Linotype"/>
        </w:rPr>
        <w:t>El incumplimiento por lo dispuesto por este artículo, establecerá la presunción de ser ciertos los hechos que el actor exprese en su demanda, en relación con tales documentos, salvo prueba en contrario.”</w:t>
      </w:r>
    </w:p>
    <w:p w14:paraId="0655A199" w14:textId="6FAA8038" w:rsidR="00151D5F" w:rsidRPr="00561338" w:rsidRDefault="00151D5F" w:rsidP="00561338">
      <w:pPr>
        <w:spacing w:before="240" w:after="240"/>
        <w:rPr>
          <w:rFonts w:eastAsia="Palatino Linotype" w:cs="Palatino Linotype"/>
          <w:szCs w:val="22"/>
        </w:rPr>
      </w:pPr>
      <w:r w:rsidRPr="00561338">
        <w:rPr>
          <w:rFonts w:eastAsia="Palatino Linotype" w:cs="Palatino Linotype"/>
          <w:szCs w:val="22"/>
        </w:rPr>
        <w:t xml:space="preserve">Es decir, del precepto normativo se advierte que entre los documentos que tiene la obligación de conservar </w:t>
      </w:r>
      <w:r w:rsidR="00DA3923" w:rsidRPr="00561338">
        <w:rPr>
          <w:rFonts w:eastAsia="Palatino Linotype" w:cs="Palatino Linotype"/>
          <w:b/>
          <w:szCs w:val="22"/>
        </w:rPr>
        <w:t>EL SUJETO OBLIGADO</w:t>
      </w:r>
      <w:r w:rsidRPr="00561338">
        <w:rPr>
          <w:rFonts w:eastAsia="Palatino Linotype" w:cs="Palatino Linotype"/>
          <w:szCs w:val="22"/>
        </w:rPr>
        <w:t>,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5C741301" w14:textId="77777777" w:rsidR="008A3F33" w:rsidRPr="00561338" w:rsidRDefault="008A3F33" w:rsidP="00561338">
      <w:pPr>
        <w:rPr>
          <w:rFonts w:eastAsia="Palatino Linotype" w:cs="Palatino Linotype"/>
          <w:szCs w:val="22"/>
        </w:rPr>
      </w:pPr>
      <w:r w:rsidRPr="00561338">
        <w:rPr>
          <w:rFonts w:eastAsia="Palatino Linotype" w:cs="Palatino Linotype"/>
          <w:szCs w:val="22"/>
        </w:rPr>
        <w:lastRenderedPageBreak/>
        <w:t xml:space="preserve">Por tanto, los </w:t>
      </w:r>
      <w:r w:rsidRPr="00561338">
        <w:rPr>
          <w:rFonts w:eastAsia="Palatino Linotype" w:cs="Palatino Linotype"/>
          <w:i/>
          <w:szCs w:val="22"/>
        </w:rPr>
        <w:t xml:space="preserve">recibos de nómina o comprobantes digitales por concepto de nómina </w:t>
      </w:r>
      <w:r w:rsidRPr="00561338">
        <w:rPr>
          <w:rFonts w:eastAsia="Palatino Linotype" w:cs="Palatino Linotype"/>
          <w:szCs w:val="22"/>
        </w:rPr>
        <w:t>tienen como objetivo presentar la información del pago de las remuneraciones de cada uno de los servidores públicos de la entidad fiscalizable de que se trate correspondiente a un periodo determinado.</w:t>
      </w:r>
    </w:p>
    <w:p w14:paraId="6C09F117" w14:textId="77777777" w:rsidR="008A3F33" w:rsidRPr="00561338" w:rsidRDefault="008A3F33" w:rsidP="00561338">
      <w:pPr>
        <w:rPr>
          <w:rFonts w:eastAsia="Palatino Linotype" w:cs="Palatino Linotype"/>
          <w:szCs w:val="22"/>
        </w:rPr>
      </w:pPr>
    </w:p>
    <w:p w14:paraId="5472F67E" w14:textId="77777777" w:rsidR="008A3F33" w:rsidRPr="00561338" w:rsidRDefault="008A3F33" w:rsidP="00561338">
      <w:pPr>
        <w:rPr>
          <w:szCs w:val="22"/>
        </w:rPr>
      </w:pPr>
      <w:r w:rsidRPr="00561338">
        <w:rPr>
          <w:rFonts w:eastAsia="Palatino Linotype" w:cs="Palatino Linotype"/>
          <w:szCs w:val="22"/>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5967126B" w14:textId="77777777" w:rsidR="008A3F33" w:rsidRPr="00561338" w:rsidRDefault="008A3F33" w:rsidP="00561338">
      <w:pPr>
        <w:rPr>
          <w:szCs w:val="22"/>
        </w:rPr>
      </w:pPr>
    </w:p>
    <w:p w14:paraId="623A7A1F" w14:textId="77777777" w:rsidR="008A3F33" w:rsidRPr="00561338" w:rsidRDefault="008A3F33" w:rsidP="00561338">
      <w:pPr>
        <w:pStyle w:val="Puesto"/>
      </w:pPr>
      <w:r w:rsidRPr="00561338">
        <w:rPr>
          <w:rFonts w:eastAsia="Palatino Linotype"/>
        </w:rPr>
        <w:t>“</w:t>
      </w:r>
      <w:r w:rsidRPr="00561338">
        <w:rPr>
          <w:rFonts w:eastAsia="Palatino Linotype"/>
          <w:b/>
        </w:rPr>
        <w:t>Artículo 7. El Estado de México garantizará el efectivo acceso de toda persona a la información en posesión de cualquier entidad</w:t>
      </w:r>
      <w:r w:rsidRPr="00561338">
        <w:rPr>
          <w:rFonts w:eastAsia="Palatino Linotype"/>
        </w:rPr>
        <w:t>,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786BDCA3" w14:textId="77777777" w:rsidR="008A3F33" w:rsidRPr="00561338" w:rsidRDefault="008A3F33" w:rsidP="00561338">
      <w:pPr>
        <w:pStyle w:val="Puesto"/>
      </w:pPr>
      <w:r w:rsidRPr="00561338">
        <w:rPr>
          <w:rFonts w:eastAsia="Palatino Linotype"/>
        </w:rPr>
        <w:t>Artículo 23. Son sujetos obligados a transparentar y permitir el acceso a su información y proteger los datos personales que obren en su poder:</w:t>
      </w:r>
    </w:p>
    <w:p w14:paraId="5CFC5033" w14:textId="77777777" w:rsidR="008A3F33" w:rsidRPr="00561338" w:rsidRDefault="008A3F33" w:rsidP="00561338">
      <w:pPr>
        <w:pStyle w:val="Puesto"/>
      </w:pPr>
      <w:r w:rsidRPr="00561338">
        <w:rPr>
          <w:rFonts w:eastAsia="Palatino Linotype"/>
        </w:rPr>
        <w:t>(…)</w:t>
      </w:r>
    </w:p>
    <w:p w14:paraId="569D9F73" w14:textId="77777777" w:rsidR="008A3F33" w:rsidRPr="00561338" w:rsidRDefault="008A3F33" w:rsidP="00561338">
      <w:pPr>
        <w:pStyle w:val="Puesto"/>
      </w:pPr>
      <w:r w:rsidRPr="00561338">
        <w:rPr>
          <w:rFonts w:eastAsia="Palatino Linotype"/>
          <w:b/>
          <w:u w:val="single"/>
        </w:rPr>
        <w:t>IV. Los ayuntamientos y las dependencias, organismos, órganos y entidades de la administración municipal;</w:t>
      </w:r>
    </w:p>
    <w:p w14:paraId="77FAE055" w14:textId="77777777" w:rsidR="008A3F33" w:rsidRPr="00561338" w:rsidRDefault="008A3F33" w:rsidP="00561338">
      <w:pPr>
        <w:pStyle w:val="Puesto"/>
      </w:pPr>
      <w:r w:rsidRPr="00561338">
        <w:rPr>
          <w:rFonts w:eastAsia="Palatino Linotype"/>
        </w:rPr>
        <w:t>(…)</w:t>
      </w:r>
    </w:p>
    <w:p w14:paraId="6E7D09BF" w14:textId="77777777" w:rsidR="008A3F33" w:rsidRPr="00561338" w:rsidRDefault="008A3F33" w:rsidP="00561338">
      <w:pPr>
        <w:pStyle w:val="Puesto"/>
        <w:rPr>
          <w:b/>
        </w:rPr>
      </w:pPr>
      <w:r w:rsidRPr="00561338">
        <w:rPr>
          <w:rFonts w:eastAsia="Palatino Linotype"/>
          <w:b/>
        </w:rPr>
        <w:t xml:space="preserve">Los sujetos obligados deberán hacer pública toda aquella información relativa a los montos y las personas a quienes entreguen, por cualquier motivo, recursos </w:t>
      </w:r>
      <w:r w:rsidRPr="00561338">
        <w:rPr>
          <w:rFonts w:eastAsia="Palatino Linotype"/>
          <w:b/>
        </w:rPr>
        <w:lastRenderedPageBreak/>
        <w:t>públicos, así como los informes que dichas personas les entreguen sobre el uso y destino de dichos recursos.</w:t>
      </w:r>
    </w:p>
    <w:p w14:paraId="4DEBE1BE" w14:textId="77777777" w:rsidR="008A3F33" w:rsidRPr="00561338" w:rsidRDefault="008A3F33" w:rsidP="00561338">
      <w:pPr>
        <w:pStyle w:val="Puesto"/>
      </w:pPr>
      <w:r w:rsidRPr="00561338">
        <w:rPr>
          <w:rFonts w:eastAsia="Palatino Linotype"/>
        </w:rPr>
        <w:t>Los servidores públicos deberán transparentar sus acciones así como garantizar y respetar el derecho de acceso a la información pública.”</w:t>
      </w:r>
      <w:r w:rsidRPr="00561338">
        <w:rPr>
          <w:rFonts w:eastAsia="Palatino Linotype"/>
          <w:b/>
        </w:rPr>
        <w:t xml:space="preserve"> </w:t>
      </w:r>
    </w:p>
    <w:p w14:paraId="6D400B84" w14:textId="77777777" w:rsidR="008A3F33" w:rsidRPr="00561338" w:rsidRDefault="008A3F33" w:rsidP="00561338">
      <w:pPr>
        <w:contextualSpacing/>
        <w:rPr>
          <w:rFonts w:cs="Tahoma"/>
          <w:bCs/>
          <w:iCs/>
          <w:szCs w:val="22"/>
        </w:rPr>
      </w:pPr>
    </w:p>
    <w:p w14:paraId="7950F505" w14:textId="59B3FDDB" w:rsidR="0008642D" w:rsidRPr="00561338" w:rsidRDefault="0008642D" w:rsidP="00561338">
      <w:pPr>
        <w:rPr>
          <w:szCs w:val="22"/>
        </w:rPr>
      </w:pPr>
      <w:r w:rsidRPr="00561338">
        <w:rPr>
          <w:rFonts w:eastAsia="Palatino Linotype" w:cs="Palatino Linotype"/>
          <w:szCs w:val="22"/>
        </w:rPr>
        <w:t>Ahora bien, el artículo 92, fracción VIII de la Ley de Transparencia y Acceso a la Información Pública del Estado de México y Municipios, antes invocada señala: </w:t>
      </w:r>
    </w:p>
    <w:p w14:paraId="31D4B841" w14:textId="77777777" w:rsidR="0008642D" w:rsidRPr="00561338" w:rsidRDefault="0008642D" w:rsidP="00561338">
      <w:pPr>
        <w:rPr>
          <w:szCs w:val="22"/>
        </w:rPr>
      </w:pPr>
    </w:p>
    <w:p w14:paraId="48AD5DC5" w14:textId="77777777" w:rsidR="0008642D" w:rsidRPr="00561338" w:rsidRDefault="0008642D" w:rsidP="00561338">
      <w:pPr>
        <w:pStyle w:val="Puesto"/>
      </w:pPr>
      <w:r w:rsidRPr="00561338">
        <w:rPr>
          <w:rFonts w:eastAsia="Palatino Linotype"/>
        </w:rPr>
        <w:t>“</w:t>
      </w:r>
      <w:r w:rsidRPr="00561338">
        <w:rPr>
          <w:rFonts w:eastAsia="Palatino Linotype"/>
          <w:b/>
        </w:rPr>
        <w:t>Artículo 92.</w:t>
      </w:r>
      <w:r w:rsidRPr="00561338">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DF32555" w14:textId="77777777" w:rsidR="0008642D" w:rsidRPr="00561338" w:rsidRDefault="0008642D" w:rsidP="00561338">
      <w:pPr>
        <w:pStyle w:val="Puesto"/>
      </w:pPr>
      <w:r w:rsidRPr="00561338">
        <w:rPr>
          <w:rFonts w:eastAsia="Palatino Linotype"/>
        </w:rPr>
        <w:t>(…)</w:t>
      </w:r>
    </w:p>
    <w:p w14:paraId="33EC14C2" w14:textId="77777777" w:rsidR="0008642D" w:rsidRPr="00561338" w:rsidRDefault="0008642D" w:rsidP="00561338">
      <w:pPr>
        <w:pStyle w:val="Puesto"/>
      </w:pPr>
      <w:r w:rsidRPr="00561338">
        <w:rPr>
          <w:rFonts w:eastAsia="Palatino Linotype"/>
          <w:b/>
        </w:rPr>
        <w:t>VIII.</w:t>
      </w:r>
      <w:r w:rsidRPr="00561338">
        <w:rPr>
          <w:rFonts w:eastAsia="Palatino Linotype"/>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2E51904" w14:textId="77777777" w:rsidR="0008642D" w:rsidRPr="00561338" w:rsidRDefault="0008642D" w:rsidP="00561338">
      <w:pPr>
        <w:ind w:right="49"/>
        <w:rPr>
          <w:rFonts w:eastAsia="Palatino Linotype" w:cs="Palatino Linotype"/>
          <w:szCs w:val="22"/>
        </w:rPr>
      </w:pPr>
    </w:p>
    <w:p w14:paraId="4A6125A2" w14:textId="77777777" w:rsidR="008A3F33" w:rsidRPr="00561338" w:rsidRDefault="008A3F33" w:rsidP="00561338">
      <w:pPr>
        <w:contextualSpacing/>
        <w:rPr>
          <w:rFonts w:cs="Tahoma"/>
          <w:bCs/>
          <w:iCs/>
          <w:szCs w:val="22"/>
        </w:rPr>
      </w:pPr>
      <w:r w:rsidRPr="00561338">
        <w:rPr>
          <w:rFonts w:cs="Tahoma"/>
          <w:bCs/>
          <w:iCs/>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371AF6BC" w14:textId="77777777" w:rsidR="00794CE3" w:rsidRPr="00561338" w:rsidRDefault="00794CE3" w:rsidP="00561338">
      <w:pPr>
        <w:contextualSpacing/>
        <w:rPr>
          <w:rFonts w:cs="Tahoma"/>
          <w:bCs/>
          <w:iCs/>
          <w:szCs w:val="22"/>
        </w:rPr>
      </w:pPr>
    </w:p>
    <w:p w14:paraId="008E88EC" w14:textId="67EA1C35" w:rsidR="0008642D" w:rsidRPr="00561338" w:rsidRDefault="0008642D" w:rsidP="00561338">
      <w:pPr>
        <w:ind w:right="49"/>
        <w:rPr>
          <w:rFonts w:eastAsia="Palatino Linotype" w:cs="Palatino Linotype"/>
          <w:szCs w:val="22"/>
        </w:rPr>
      </w:pPr>
      <w:r w:rsidRPr="00561338">
        <w:rPr>
          <w:rFonts w:eastAsia="Palatino Linotype" w:cs="Palatino Linotype"/>
          <w:szCs w:val="22"/>
        </w:rPr>
        <w:t xml:space="preserve">De lo que se colige que, </w:t>
      </w:r>
      <w:r w:rsidRPr="00561338">
        <w:rPr>
          <w:rFonts w:eastAsia="Palatino Linotype" w:cs="Palatino Linotype"/>
          <w:b/>
          <w:szCs w:val="22"/>
        </w:rPr>
        <w:t>EL SUJETO OBLIGADO</w:t>
      </w:r>
      <w:r w:rsidRPr="00561338">
        <w:rPr>
          <w:rFonts w:eastAsia="Palatino Linotype" w:cs="Palatino Linotype"/>
          <w:szCs w:val="22"/>
        </w:rPr>
        <w:t>, cuenta con las competencias, facultades y atribuciones para conocer, administrar y generar la información relacionada con los recibos de nómina peticionados por</w:t>
      </w:r>
      <w:r w:rsidRPr="00561338">
        <w:rPr>
          <w:rFonts w:eastAsia="Palatino Linotype" w:cs="Palatino Linotype"/>
          <w:b/>
          <w:szCs w:val="22"/>
        </w:rPr>
        <w:t xml:space="preserve"> LA PARTE RECURRENTE, </w:t>
      </w:r>
      <w:r w:rsidRPr="00561338">
        <w:rPr>
          <w:rFonts w:eastAsia="Palatino Linotype" w:cs="Palatino Linotype"/>
          <w:szCs w:val="22"/>
        </w:rPr>
        <w:t xml:space="preserve">y que contrario a la afirmación </w:t>
      </w:r>
      <w:r w:rsidRPr="00561338">
        <w:rPr>
          <w:rFonts w:eastAsia="Palatino Linotype" w:cs="Palatino Linotype"/>
          <w:szCs w:val="22"/>
        </w:rPr>
        <w:lastRenderedPageBreak/>
        <w:t xml:space="preserve">proporcionada en respuesta, en el sentido de que corresponde a información confidencial, es que la Ley de Transparencia Local, contempla su publicidad, en versión pública. </w:t>
      </w:r>
    </w:p>
    <w:p w14:paraId="1B49113F" w14:textId="77777777" w:rsidR="0008642D" w:rsidRPr="00561338" w:rsidRDefault="0008642D" w:rsidP="00561338">
      <w:pPr>
        <w:ind w:right="49"/>
        <w:rPr>
          <w:rFonts w:eastAsia="Palatino Linotype" w:cs="Palatino Linotype"/>
          <w:szCs w:val="22"/>
        </w:rPr>
      </w:pPr>
    </w:p>
    <w:p w14:paraId="6A040A6D" w14:textId="77777777" w:rsidR="000871B7" w:rsidRPr="00561338" w:rsidRDefault="000871B7" w:rsidP="00561338">
      <w:pPr>
        <w:spacing w:after="160"/>
        <w:rPr>
          <w:rFonts w:eastAsia="Palatino Linotype" w:cs="Palatino Linotype"/>
          <w:szCs w:val="22"/>
        </w:rPr>
      </w:pPr>
      <w:r w:rsidRPr="00561338">
        <w:rPr>
          <w:rFonts w:eastAsia="Palatino Linotype" w:cs="Palatino Linotype"/>
          <w:szCs w:val="22"/>
        </w:rPr>
        <w:t xml:space="preserve">Sirve de sustento por analogía, para justificar la publicidad sobre los datos relativos a los montos por concepto de pago de las remuneraciones, los criterios </w:t>
      </w:r>
      <w:r w:rsidRPr="00561338">
        <w:rPr>
          <w:rFonts w:eastAsia="Palatino Linotype" w:cs="Palatino Linotype"/>
          <w:b/>
          <w:szCs w:val="22"/>
        </w:rPr>
        <w:t>01/2003</w:t>
      </w:r>
      <w:r w:rsidRPr="00561338">
        <w:rPr>
          <w:rFonts w:eastAsia="Palatino Linotype" w:cs="Palatino Linotype"/>
          <w:szCs w:val="22"/>
        </w:rPr>
        <w:t xml:space="preserve"> y </w:t>
      </w:r>
      <w:r w:rsidRPr="00561338">
        <w:rPr>
          <w:rFonts w:eastAsia="Palatino Linotype" w:cs="Palatino Linotype"/>
          <w:b/>
          <w:szCs w:val="22"/>
        </w:rPr>
        <w:t>02/2003</w:t>
      </w:r>
      <w:r w:rsidRPr="00561338">
        <w:rPr>
          <w:rFonts w:eastAsia="Palatino Linotype" w:cs="Palatino Linotype"/>
          <w:szCs w:val="22"/>
        </w:rPr>
        <w:t xml:space="preserve"> emitidos por el Comité de Acceso a la Información Pública y Protección de Datos Personales de la Suprema Corte de Justicia de la Nación que a continuación se citan: </w:t>
      </w:r>
    </w:p>
    <w:p w14:paraId="44EB8CCB" w14:textId="77777777" w:rsidR="00794CE3" w:rsidRPr="00561338" w:rsidRDefault="00794CE3" w:rsidP="00561338">
      <w:pPr>
        <w:pStyle w:val="Puesto"/>
        <w:rPr>
          <w:rFonts w:eastAsia="Palatino Linotype"/>
        </w:rPr>
      </w:pPr>
    </w:p>
    <w:p w14:paraId="3810E42B" w14:textId="77777777" w:rsidR="000871B7" w:rsidRPr="00561338" w:rsidRDefault="000871B7" w:rsidP="00561338">
      <w:pPr>
        <w:pStyle w:val="Puesto"/>
      </w:pPr>
      <w:r w:rsidRPr="00561338">
        <w:rPr>
          <w:rFonts w:eastAsia="Palatino Linotype"/>
        </w:rPr>
        <w:t>“Criterio 01/2003.</w:t>
      </w:r>
    </w:p>
    <w:p w14:paraId="7B0E2706" w14:textId="77777777" w:rsidR="000871B7" w:rsidRPr="00561338" w:rsidRDefault="000871B7" w:rsidP="00561338">
      <w:pPr>
        <w:pStyle w:val="Puesto"/>
        <w:rPr>
          <w:b/>
        </w:rPr>
      </w:pPr>
      <w:r w:rsidRPr="00561338">
        <w:rPr>
          <w:rFonts w:eastAsia="Palatino Linotype"/>
          <w:b/>
        </w:rPr>
        <w:t>INGRESOS DE LOS SERVIDORES PÚBLICOS. CONSTITUYEN INFORMACIÓN PÚBLICA AÚN Y CUANDO SU DIFUSIÓN PUEDE AFECTAR LA VIDA O LA SEGURIDAD DE AQUELLOS. </w:t>
      </w:r>
    </w:p>
    <w:p w14:paraId="68FC167A" w14:textId="77777777" w:rsidR="000871B7" w:rsidRPr="00561338" w:rsidRDefault="000871B7" w:rsidP="00561338">
      <w:pPr>
        <w:pStyle w:val="Puesto"/>
      </w:pPr>
      <w:r w:rsidRPr="00561338">
        <w:rPr>
          <w:rFonts w:eastAsia="Palatino Linotype"/>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561338">
        <w:rPr>
          <w:rFonts w:eastAsia="Palatino Linotype"/>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29F7258E" w14:textId="77777777" w:rsidR="000871B7" w:rsidRPr="00561338" w:rsidRDefault="000871B7" w:rsidP="00561338">
      <w:pPr>
        <w:tabs>
          <w:tab w:val="left" w:pos="7513"/>
        </w:tabs>
        <w:spacing w:line="276" w:lineRule="auto"/>
        <w:ind w:right="616"/>
        <w:rPr>
          <w:szCs w:val="22"/>
        </w:rPr>
      </w:pPr>
    </w:p>
    <w:p w14:paraId="09688D42" w14:textId="77777777" w:rsidR="000871B7" w:rsidRPr="00561338" w:rsidRDefault="000871B7" w:rsidP="00561338">
      <w:pPr>
        <w:pStyle w:val="Puesto"/>
        <w:rPr>
          <w:b/>
        </w:rPr>
      </w:pPr>
      <w:r w:rsidRPr="00561338">
        <w:rPr>
          <w:rFonts w:eastAsia="Palatino Linotype"/>
        </w:rPr>
        <w:t>“</w:t>
      </w:r>
      <w:r w:rsidRPr="00561338">
        <w:rPr>
          <w:rFonts w:eastAsia="Palatino Linotype"/>
          <w:b/>
        </w:rPr>
        <w:t>Criterio 02/2003.</w:t>
      </w:r>
    </w:p>
    <w:p w14:paraId="0AFFDA32" w14:textId="77777777" w:rsidR="000871B7" w:rsidRPr="00561338" w:rsidRDefault="000871B7" w:rsidP="00561338">
      <w:pPr>
        <w:pStyle w:val="Puesto"/>
        <w:rPr>
          <w:b/>
        </w:rPr>
      </w:pPr>
      <w:r w:rsidRPr="00561338">
        <w:rPr>
          <w:rFonts w:eastAsia="Palatino Linotype"/>
          <w:b/>
        </w:rPr>
        <w:t>INGRESOS DE LOS SERVIDORES PÚBLICOS, SON INFORMACIÓN PÚBLICA AÚN Y CUANDO CONSTITUYEN DATOS PERSONALES QUE SE REFIEREN AL PATRIMONIO DE AQUÉLLOS. </w:t>
      </w:r>
    </w:p>
    <w:p w14:paraId="14627301" w14:textId="77777777" w:rsidR="000871B7" w:rsidRPr="00561338" w:rsidRDefault="000871B7" w:rsidP="00561338">
      <w:pPr>
        <w:pStyle w:val="Puesto"/>
      </w:pPr>
      <w:r w:rsidRPr="00561338">
        <w:rPr>
          <w:rFonts w:eastAsia="Palatino Linotype"/>
        </w:rPr>
        <w:t xml:space="preserve">De la interpretación sistemática de lo previsto en los artículos 3º, fracción II; 7º, 9º y 18, fracción II, de la Ley Federal de Transparencia y Acceso a la Información Pública </w:t>
      </w:r>
      <w:r w:rsidRPr="00561338">
        <w:rPr>
          <w:rFonts w:eastAsia="Palatino Linotype"/>
        </w:rPr>
        <w:lastRenderedPageBreak/>
        <w:t xml:space="preserve">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61338">
        <w:rPr>
          <w:rFonts w:eastAsia="Palatino Linotype"/>
          <w:b/>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61338">
        <w:rPr>
          <w:rFonts w:eastAsia="Palatino Linotype"/>
        </w:rPr>
        <w:t xml:space="preserve"> el sistema de compensación…”</w:t>
      </w:r>
    </w:p>
    <w:p w14:paraId="5D275841" w14:textId="77777777" w:rsidR="0008642D" w:rsidRPr="00561338" w:rsidRDefault="0008642D" w:rsidP="00561338">
      <w:pPr>
        <w:ind w:right="49"/>
        <w:rPr>
          <w:rFonts w:eastAsia="Palatino Linotype" w:cs="Palatino Linotype"/>
          <w:szCs w:val="22"/>
        </w:rPr>
      </w:pPr>
    </w:p>
    <w:p w14:paraId="0E398760" w14:textId="545C2C77" w:rsidR="000871B7" w:rsidRPr="00561338" w:rsidRDefault="000871B7" w:rsidP="00561338">
      <w:pPr>
        <w:tabs>
          <w:tab w:val="left" w:pos="7938"/>
        </w:tabs>
        <w:contextualSpacing/>
        <w:rPr>
          <w:rFonts w:cs="Arial"/>
          <w:szCs w:val="22"/>
        </w:rPr>
      </w:pPr>
      <w:r w:rsidRPr="00561338">
        <w:rPr>
          <w:rFonts w:cs="Arial"/>
          <w:szCs w:val="22"/>
        </w:rPr>
        <w:t xml:space="preserve">Por lo </w:t>
      </w:r>
      <w:r w:rsidR="001D5D96" w:rsidRPr="00561338">
        <w:rPr>
          <w:rFonts w:cs="Arial"/>
          <w:szCs w:val="22"/>
        </w:rPr>
        <w:t xml:space="preserve">anterior, se concluye </w:t>
      </w:r>
      <w:r w:rsidRPr="00561338">
        <w:rPr>
          <w:rFonts w:cs="Arial"/>
          <w:szCs w:val="22"/>
        </w:rPr>
        <w:t>que</w:t>
      </w:r>
      <w:r w:rsidR="001D5D96" w:rsidRPr="00561338">
        <w:rPr>
          <w:rFonts w:cs="Arial"/>
          <w:szCs w:val="22"/>
        </w:rPr>
        <w:t xml:space="preserve">, en el presente caso, no resulta procedente la clasificación de la información como confidencial, y </w:t>
      </w:r>
      <w:r w:rsidRPr="00561338">
        <w:rPr>
          <w:rFonts w:cs="Arial"/>
          <w:szCs w:val="22"/>
        </w:rPr>
        <w:t xml:space="preserve">se estima que </w:t>
      </w:r>
      <w:r w:rsidR="001D5D96" w:rsidRPr="00561338">
        <w:rPr>
          <w:rFonts w:cs="Arial"/>
          <w:b/>
          <w:szCs w:val="22"/>
        </w:rPr>
        <w:t xml:space="preserve">EL SUJETO OBLIGADO </w:t>
      </w:r>
      <w:r w:rsidR="001D5D96" w:rsidRPr="00561338">
        <w:rPr>
          <w:rFonts w:cs="Arial"/>
          <w:szCs w:val="22"/>
        </w:rPr>
        <w:t>no</w:t>
      </w:r>
      <w:r w:rsidRPr="00561338">
        <w:rPr>
          <w:rFonts w:cs="Arial"/>
          <w:szCs w:val="22"/>
        </w:rPr>
        <w:t xml:space="preserve"> colmó los requerimientos originales formulados por </w:t>
      </w:r>
      <w:r w:rsidRPr="00561338">
        <w:rPr>
          <w:rFonts w:cs="Arial"/>
          <w:b/>
          <w:szCs w:val="22"/>
        </w:rPr>
        <w:t>LA PARTE RECURRENTE</w:t>
      </w:r>
      <w:r w:rsidRPr="00561338">
        <w:rPr>
          <w:rFonts w:cs="Arial"/>
          <w:szCs w:val="22"/>
        </w:rPr>
        <w:t>.</w:t>
      </w:r>
    </w:p>
    <w:p w14:paraId="5463A839" w14:textId="77777777" w:rsidR="000871B7" w:rsidRPr="00561338" w:rsidRDefault="000871B7" w:rsidP="00561338">
      <w:pPr>
        <w:ind w:right="49"/>
        <w:rPr>
          <w:rFonts w:eastAsia="Palatino Linotype" w:cs="Palatino Linotype"/>
          <w:szCs w:val="22"/>
        </w:rPr>
      </w:pPr>
    </w:p>
    <w:p w14:paraId="770713C5" w14:textId="77777777" w:rsidR="001D5D96" w:rsidRPr="00561338" w:rsidRDefault="001D5D96" w:rsidP="00561338">
      <w:pPr>
        <w:rPr>
          <w:rFonts w:eastAsia="Calibri" w:cs="Arial"/>
          <w:szCs w:val="22"/>
          <w:lang w:eastAsia="en-US"/>
        </w:rPr>
      </w:pPr>
      <w:r w:rsidRPr="00561338">
        <w:rPr>
          <w:rFonts w:cs="Arial"/>
          <w:szCs w:val="22"/>
        </w:rPr>
        <w:t xml:space="preserve">Ello, en atención a que </w:t>
      </w:r>
      <w:r w:rsidRPr="00561338">
        <w:rPr>
          <w:rFonts w:eastAsia="Calibri" w:cs="Arial"/>
          <w:szCs w:val="22"/>
          <w:lang w:eastAsia="en-US"/>
        </w:rPr>
        <w:t>la obligación de acceso a la información se tendrá por cumplida cuando el solicitante tenga a su disposición la información requerida, o cuando realice su consulta en el lugar que ésta se localice, toda vez que, los Sujetos Obligados</w:t>
      </w:r>
      <w:r w:rsidRPr="00561338">
        <w:rPr>
          <w:rFonts w:eastAsia="Calibri" w:cs="Arial"/>
          <w:b/>
          <w:szCs w:val="22"/>
          <w:lang w:eastAsia="en-US"/>
        </w:rPr>
        <w:t xml:space="preserve"> </w:t>
      </w:r>
      <w:r w:rsidRPr="00561338">
        <w:rPr>
          <w:rFonts w:eastAsia="Calibri" w:cs="Arial"/>
          <w:szCs w:val="22"/>
          <w:lang w:eastAsia="en-US"/>
        </w:rPr>
        <w:t xml:space="preserve">no tienen el deber de generar, poseer o administrar la información pública con el grado de detalle solicitado; esto es, que no tienen el deber de generar un documento </w:t>
      </w:r>
      <w:r w:rsidRPr="00561338">
        <w:rPr>
          <w:rFonts w:eastAsia="Calibri" w:cs="Arial"/>
          <w:i/>
          <w:szCs w:val="22"/>
          <w:lang w:eastAsia="en-US"/>
        </w:rPr>
        <w:t>ad hoc</w:t>
      </w:r>
      <w:r w:rsidRPr="00561338">
        <w:rPr>
          <w:rFonts w:eastAsia="Calibri" w:cs="Arial"/>
          <w:szCs w:val="22"/>
          <w:lang w:eastAsia="en-US"/>
        </w:rPr>
        <w:t>, para satisfacer el derecho de acceso a la información pública, como lo establece el artículo 12 de la Ley de Transparencia y Acceso a la Información Pública del Estado de México y Municipios.</w:t>
      </w:r>
    </w:p>
    <w:p w14:paraId="658E69B2" w14:textId="77777777" w:rsidR="001D5D96" w:rsidRPr="00561338" w:rsidRDefault="001D5D96" w:rsidP="00561338">
      <w:pPr>
        <w:ind w:left="567" w:right="51"/>
        <w:rPr>
          <w:rFonts w:cs="Arial"/>
          <w:szCs w:val="22"/>
        </w:rPr>
      </w:pPr>
    </w:p>
    <w:p w14:paraId="2379B8B1" w14:textId="77777777" w:rsidR="001D5D96" w:rsidRPr="00561338" w:rsidRDefault="001D5D96" w:rsidP="00561338">
      <w:pPr>
        <w:ind w:right="51"/>
        <w:rPr>
          <w:rFonts w:eastAsia="Calibri" w:cs="Arial"/>
          <w:szCs w:val="22"/>
          <w:lang w:eastAsia="en-US"/>
        </w:rPr>
      </w:pPr>
      <w:r w:rsidRPr="00561338">
        <w:rPr>
          <w:rFonts w:eastAsia="Calibri" w:cs="Arial"/>
          <w:szCs w:val="22"/>
          <w:lang w:eastAsia="en-US"/>
        </w:rPr>
        <w:t xml:space="preserve">Como apoyo a lo anterior, es aplicable el Criterio 03-17, emitido por </w:t>
      </w:r>
      <w:r w:rsidRPr="00561338">
        <w:rPr>
          <w:rFonts w:eastAsia="Arial Unicode MS" w:cs="Arial"/>
          <w:szCs w:val="22"/>
          <w:lang w:eastAsia="en-US"/>
        </w:rPr>
        <w:t>el Instituto Nacional de Transparencia, Acceso a la Información y Protección de Datos Personales,</w:t>
      </w:r>
      <w:r w:rsidRPr="00561338">
        <w:rPr>
          <w:rFonts w:eastAsia="Calibri"/>
          <w:bCs/>
          <w:szCs w:val="22"/>
          <w:lang w:eastAsia="en-US"/>
        </w:rPr>
        <w:t xml:space="preserve"> que dice:</w:t>
      </w:r>
      <w:r w:rsidRPr="00561338">
        <w:rPr>
          <w:rFonts w:eastAsia="Calibri"/>
          <w:b/>
          <w:bCs/>
          <w:szCs w:val="22"/>
          <w:lang w:eastAsia="en-US"/>
        </w:rPr>
        <w:t xml:space="preserve"> </w:t>
      </w:r>
    </w:p>
    <w:p w14:paraId="0FAF2EC7" w14:textId="77777777" w:rsidR="001D5D96" w:rsidRPr="00561338" w:rsidRDefault="001D5D96" w:rsidP="00561338">
      <w:pPr>
        <w:ind w:left="928" w:right="850"/>
        <w:rPr>
          <w:rFonts w:cs="Arial"/>
          <w:i/>
          <w:szCs w:val="22"/>
        </w:rPr>
      </w:pPr>
    </w:p>
    <w:p w14:paraId="4EA23EEA" w14:textId="77777777" w:rsidR="001D5D96" w:rsidRPr="00561338" w:rsidRDefault="001D5D96" w:rsidP="00561338">
      <w:pPr>
        <w:pStyle w:val="Puesto"/>
      </w:pPr>
      <w:r w:rsidRPr="00561338">
        <w:t>“</w:t>
      </w:r>
      <w:r w:rsidRPr="00561338">
        <w:rPr>
          <w:b/>
        </w:rPr>
        <w:t>No existe obligación de elaborar documentos ad hoc para atender las solicitudes de acceso a la información.</w:t>
      </w:r>
      <w:r w:rsidRPr="00561338">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561338">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1DFD291" w14:textId="77777777" w:rsidR="001D5D96" w:rsidRPr="00561338" w:rsidRDefault="001D5D96" w:rsidP="00561338">
      <w:pPr>
        <w:ind w:right="49"/>
        <w:rPr>
          <w:rFonts w:eastAsia="Palatino Linotype" w:cs="Palatino Linotype"/>
          <w:szCs w:val="22"/>
        </w:rPr>
      </w:pPr>
    </w:p>
    <w:p w14:paraId="5F8CF594" w14:textId="77777777" w:rsidR="001D5D96" w:rsidRPr="00561338" w:rsidRDefault="001D5D96" w:rsidP="00561338">
      <w:pPr>
        <w:ind w:right="49"/>
        <w:rPr>
          <w:rFonts w:eastAsia="Palatino Linotype" w:cs="Palatino Linotype"/>
          <w:szCs w:val="22"/>
        </w:rPr>
      </w:pPr>
      <w:r w:rsidRPr="00561338">
        <w:rPr>
          <w:rFonts w:eastAsia="Palatino Linotype" w:cs="Palatino Linotype"/>
          <w:szCs w:val="22"/>
        </w:rPr>
        <w:t xml:space="preserve">Teniendo que en el caso concreto, no se satisfizo el derecho de acceso a la información de </w:t>
      </w:r>
      <w:r w:rsidRPr="00561338">
        <w:rPr>
          <w:rFonts w:eastAsia="Palatino Linotype" w:cs="Palatino Linotype"/>
          <w:b/>
          <w:szCs w:val="22"/>
        </w:rPr>
        <w:t xml:space="preserve">LA PARTE RECURRENTE </w:t>
      </w:r>
      <w:r w:rsidRPr="00561338">
        <w:rPr>
          <w:rFonts w:eastAsia="Palatino Linotype" w:cs="Palatino Linotype"/>
          <w:szCs w:val="22"/>
        </w:rPr>
        <w:t>pues no se proporcionó la información requerida, al considerarse que correspondía a información de carácter confidencial, y considerando que si bien es cierto, el dichas documentales, se contiene información de carácter personal, también lo es, que la información de los recibos de nómina es interés público y por disposición de la Ley es de naturaleza pública.</w:t>
      </w:r>
    </w:p>
    <w:p w14:paraId="0C6594C3" w14:textId="77777777" w:rsidR="001D5D96" w:rsidRPr="00561338" w:rsidRDefault="001D5D96" w:rsidP="00561338">
      <w:pPr>
        <w:ind w:right="49"/>
        <w:rPr>
          <w:rFonts w:eastAsia="Palatino Linotype" w:cs="Palatino Linotype"/>
          <w:szCs w:val="22"/>
        </w:rPr>
      </w:pPr>
    </w:p>
    <w:p w14:paraId="52A4AD44" w14:textId="77777777" w:rsidR="000663D0" w:rsidRPr="00561338" w:rsidRDefault="000663D0" w:rsidP="00561338">
      <w:pPr>
        <w:pStyle w:val="Ttulo3"/>
        <w:rPr>
          <w:szCs w:val="22"/>
        </w:rPr>
      </w:pPr>
      <w:bookmarkStart w:id="38" w:name="_Toc172153688"/>
      <w:bookmarkStart w:id="39" w:name="_Toc178603938"/>
      <w:bookmarkStart w:id="40" w:name="_Toc179458039"/>
      <w:bookmarkStart w:id="41" w:name="_Toc182485755"/>
      <w:bookmarkStart w:id="42" w:name="_Toc184230168"/>
      <w:r w:rsidRPr="00561338">
        <w:rPr>
          <w:szCs w:val="22"/>
        </w:rPr>
        <w:t>d) Versión pública</w:t>
      </w:r>
      <w:bookmarkEnd w:id="38"/>
      <w:bookmarkEnd w:id="39"/>
      <w:bookmarkEnd w:id="40"/>
      <w:bookmarkEnd w:id="41"/>
      <w:bookmarkEnd w:id="42"/>
    </w:p>
    <w:p w14:paraId="1297F0BC" w14:textId="77777777" w:rsidR="000663D0" w:rsidRPr="00561338" w:rsidRDefault="000663D0" w:rsidP="00561338">
      <w:pPr>
        <w:rPr>
          <w:szCs w:val="22"/>
        </w:rPr>
      </w:pPr>
      <w:r w:rsidRPr="00561338">
        <w:rPr>
          <w:szCs w:val="22"/>
        </w:rPr>
        <w:t xml:space="preserve">Para el caso de que el o los documentos de los cuales se ordena su entrega contengan datos personales susceptibles de ser testados, deberán ser entregados en </w:t>
      </w:r>
      <w:r w:rsidRPr="00561338">
        <w:rPr>
          <w:b/>
          <w:szCs w:val="22"/>
        </w:rPr>
        <w:t>versión pública</w:t>
      </w:r>
      <w:r w:rsidRPr="00561338">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FB0668" w14:textId="77777777" w:rsidR="000663D0" w:rsidRPr="00561338" w:rsidRDefault="000663D0" w:rsidP="00561338">
      <w:pPr>
        <w:rPr>
          <w:szCs w:val="22"/>
        </w:rPr>
      </w:pPr>
    </w:p>
    <w:p w14:paraId="5E31A0C4" w14:textId="77777777" w:rsidR="000663D0" w:rsidRPr="00561338" w:rsidRDefault="000663D0" w:rsidP="00561338">
      <w:pPr>
        <w:rPr>
          <w:szCs w:val="22"/>
        </w:rPr>
      </w:pPr>
      <w:r w:rsidRPr="00561338">
        <w:rPr>
          <w:szCs w:val="22"/>
        </w:rPr>
        <w:t>A este respecto, los artículos 3, fracciones IX, XX, XXI y XLV; 51 y 52 de la Ley de Transparencia y Acceso a la Información Pública del Estado de México y Municipios establecen:</w:t>
      </w:r>
    </w:p>
    <w:p w14:paraId="30F16901" w14:textId="77777777" w:rsidR="000663D0" w:rsidRPr="00561338" w:rsidRDefault="000663D0" w:rsidP="00561338">
      <w:pPr>
        <w:rPr>
          <w:szCs w:val="22"/>
        </w:rPr>
      </w:pPr>
    </w:p>
    <w:p w14:paraId="3856111F" w14:textId="77777777" w:rsidR="000663D0" w:rsidRPr="00561338" w:rsidRDefault="000663D0" w:rsidP="00561338">
      <w:pPr>
        <w:pStyle w:val="Puesto"/>
        <w:rPr>
          <w:szCs w:val="22"/>
        </w:rPr>
      </w:pPr>
      <w:r w:rsidRPr="00561338">
        <w:rPr>
          <w:b/>
          <w:szCs w:val="22"/>
        </w:rPr>
        <w:t xml:space="preserve">“Artículo 3. </w:t>
      </w:r>
      <w:r w:rsidRPr="00561338">
        <w:rPr>
          <w:szCs w:val="22"/>
        </w:rPr>
        <w:t xml:space="preserve">Para los efectos de la presente Ley se entenderá por: </w:t>
      </w:r>
    </w:p>
    <w:p w14:paraId="58DBB038" w14:textId="77777777" w:rsidR="000663D0" w:rsidRPr="00561338" w:rsidRDefault="000663D0" w:rsidP="00561338">
      <w:pPr>
        <w:pStyle w:val="Puesto"/>
        <w:rPr>
          <w:szCs w:val="22"/>
        </w:rPr>
      </w:pPr>
      <w:r w:rsidRPr="00561338">
        <w:rPr>
          <w:b/>
          <w:szCs w:val="22"/>
        </w:rPr>
        <w:t>IX.</w:t>
      </w:r>
      <w:r w:rsidRPr="00561338">
        <w:rPr>
          <w:szCs w:val="22"/>
        </w:rPr>
        <w:t xml:space="preserve"> </w:t>
      </w:r>
      <w:r w:rsidRPr="00561338">
        <w:rPr>
          <w:b/>
          <w:szCs w:val="22"/>
        </w:rPr>
        <w:t xml:space="preserve">Datos personales: </w:t>
      </w:r>
      <w:r w:rsidRPr="00561338">
        <w:rPr>
          <w:szCs w:val="22"/>
        </w:rPr>
        <w:t xml:space="preserve">La información concerniente a una persona, identificada o identificable según lo dispuesto por la Ley de Protección de Datos Personales del Estado de México; </w:t>
      </w:r>
    </w:p>
    <w:p w14:paraId="7F044C00" w14:textId="77777777" w:rsidR="000663D0" w:rsidRPr="00561338" w:rsidRDefault="000663D0" w:rsidP="00561338">
      <w:pPr>
        <w:pStyle w:val="Puesto"/>
        <w:rPr>
          <w:szCs w:val="22"/>
        </w:rPr>
      </w:pPr>
    </w:p>
    <w:p w14:paraId="62E49F46" w14:textId="77777777" w:rsidR="000663D0" w:rsidRPr="00561338" w:rsidRDefault="000663D0" w:rsidP="00561338">
      <w:pPr>
        <w:pStyle w:val="Puesto"/>
        <w:rPr>
          <w:szCs w:val="22"/>
        </w:rPr>
      </w:pPr>
      <w:r w:rsidRPr="00561338">
        <w:rPr>
          <w:b/>
          <w:szCs w:val="22"/>
        </w:rPr>
        <w:t>XX.</w:t>
      </w:r>
      <w:r w:rsidRPr="00561338">
        <w:rPr>
          <w:szCs w:val="22"/>
        </w:rPr>
        <w:t xml:space="preserve"> </w:t>
      </w:r>
      <w:r w:rsidRPr="00561338">
        <w:rPr>
          <w:b/>
          <w:szCs w:val="22"/>
        </w:rPr>
        <w:t>Información clasificada:</w:t>
      </w:r>
      <w:r w:rsidRPr="00561338">
        <w:rPr>
          <w:szCs w:val="22"/>
        </w:rPr>
        <w:t xml:space="preserve"> Aquella considerada por la presente Ley como reservada o confidencial; </w:t>
      </w:r>
    </w:p>
    <w:p w14:paraId="77BF2342" w14:textId="77777777" w:rsidR="000663D0" w:rsidRPr="00561338" w:rsidRDefault="000663D0" w:rsidP="00561338">
      <w:pPr>
        <w:pStyle w:val="Puesto"/>
        <w:rPr>
          <w:szCs w:val="22"/>
        </w:rPr>
      </w:pPr>
    </w:p>
    <w:p w14:paraId="7AB88B37" w14:textId="77777777" w:rsidR="000663D0" w:rsidRPr="00561338" w:rsidRDefault="000663D0" w:rsidP="00561338">
      <w:pPr>
        <w:pStyle w:val="Puesto"/>
        <w:rPr>
          <w:szCs w:val="22"/>
        </w:rPr>
      </w:pPr>
      <w:r w:rsidRPr="00561338">
        <w:rPr>
          <w:b/>
          <w:szCs w:val="22"/>
        </w:rPr>
        <w:t>XXI.</w:t>
      </w:r>
      <w:r w:rsidRPr="00561338">
        <w:rPr>
          <w:szCs w:val="22"/>
        </w:rPr>
        <w:t xml:space="preserve"> </w:t>
      </w:r>
      <w:r w:rsidRPr="00561338">
        <w:rPr>
          <w:b/>
          <w:szCs w:val="22"/>
        </w:rPr>
        <w:t>Información confidencial</w:t>
      </w:r>
      <w:r w:rsidRPr="00561338">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C1C115" w14:textId="77777777" w:rsidR="000663D0" w:rsidRPr="00561338" w:rsidRDefault="000663D0" w:rsidP="00561338">
      <w:pPr>
        <w:pStyle w:val="Puesto"/>
        <w:rPr>
          <w:szCs w:val="22"/>
        </w:rPr>
      </w:pPr>
    </w:p>
    <w:p w14:paraId="6818FF18" w14:textId="77777777" w:rsidR="000663D0" w:rsidRPr="00561338" w:rsidRDefault="000663D0" w:rsidP="00561338">
      <w:pPr>
        <w:pStyle w:val="Puesto"/>
        <w:rPr>
          <w:szCs w:val="22"/>
        </w:rPr>
      </w:pPr>
      <w:r w:rsidRPr="00561338">
        <w:rPr>
          <w:b/>
          <w:szCs w:val="22"/>
        </w:rPr>
        <w:t>XLV. Versión pública:</w:t>
      </w:r>
      <w:r w:rsidRPr="00561338">
        <w:rPr>
          <w:szCs w:val="22"/>
        </w:rPr>
        <w:t xml:space="preserve"> Documento en el que se elimine, suprime o borra la información clasificada como reservada o confidencial para permitir su acceso. </w:t>
      </w:r>
    </w:p>
    <w:p w14:paraId="21FF2BF7" w14:textId="77777777" w:rsidR="000663D0" w:rsidRPr="00561338" w:rsidRDefault="000663D0" w:rsidP="00561338">
      <w:pPr>
        <w:pStyle w:val="Puesto"/>
        <w:rPr>
          <w:szCs w:val="22"/>
        </w:rPr>
      </w:pPr>
    </w:p>
    <w:p w14:paraId="554659F4" w14:textId="77777777" w:rsidR="000663D0" w:rsidRPr="00561338" w:rsidRDefault="000663D0" w:rsidP="00561338">
      <w:pPr>
        <w:pStyle w:val="Puesto"/>
        <w:rPr>
          <w:szCs w:val="22"/>
        </w:rPr>
      </w:pPr>
      <w:r w:rsidRPr="00561338">
        <w:rPr>
          <w:b/>
          <w:szCs w:val="22"/>
        </w:rPr>
        <w:t>Artículo 51.</w:t>
      </w:r>
      <w:r w:rsidRPr="00561338">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61338">
        <w:rPr>
          <w:b/>
          <w:szCs w:val="22"/>
        </w:rPr>
        <w:t xml:space="preserve">y tendrá la responsabilidad de verificar en cada caso que la misma no sea confidencial o reservada. </w:t>
      </w:r>
      <w:r w:rsidRPr="00561338">
        <w:rPr>
          <w:szCs w:val="22"/>
        </w:rPr>
        <w:t>Dicha Unidad contará con las facultades internas necesarias para gestionar la atención a las solicitudes de información en los términos de la Ley General y la presente Ley.</w:t>
      </w:r>
    </w:p>
    <w:p w14:paraId="06F5BA77" w14:textId="77777777" w:rsidR="000663D0" w:rsidRPr="00561338" w:rsidRDefault="000663D0" w:rsidP="00561338">
      <w:pPr>
        <w:pStyle w:val="Puesto"/>
        <w:rPr>
          <w:szCs w:val="22"/>
        </w:rPr>
      </w:pPr>
    </w:p>
    <w:p w14:paraId="1BFF0C06" w14:textId="77777777" w:rsidR="000663D0" w:rsidRPr="00561338" w:rsidRDefault="000663D0" w:rsidP="00561338">
      <w:pPr>
        <w:pStyle w:val="Puesto"/>
        <w:rPr>
          <w:szCs w:val="22"/>
        </w:rPr>
      </w:pPr>
      <w:r w:rsidRPr="00561338">
        <w:rPr>
          <w:b/>
          <w:szCs w:val="22"/>
        </w:rPr>
        <w:t>Artículo 52.</w:t>
      </w:r>
      <w:r w:rsidRPr="00561338">
        <w:rPr>
          <w:szCs w:val="22"/>
        </w:rPr>
        <w:t xml:space="preserve"> Las solicitudes de acceso a la información y las respuestas que se les dé, incluyendo, en su caso, </w:t>
      </w:r>
      <w:r w:rsidRPr="00561338">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61338">
        <w:rPr>
          <w:szCs w:val="22"/>
        </w:rPr>
        <w:t>, siempre y cuando la resolución de referencia se someta a un proceso de disociación, es decir, no haga identificable al titular de tales datos personales.” (Énfasis añadido)</w:t>
      </w:r>
    </w:p>
    <w:p w14:paraId="227CFCC7" w14:textId="77777777" w:rsidR="000663D0" w:rsidRPr="00561338" w:rsidRDefault="000663D0" w:rsidP="00561338">
      <w:pPr>
        <w:rPr>
          <w:szCs w:val="22"/>
        </w:rPr>
      </w:pPr>
    </w:p>
    <w:p w14:paraId="2FFA136B" w14:textId="77777777" w:rsidR="000663D0" w:rsidRPr="00561338" w:rsidRDefault="000663D0" w:rsidP="00561338">
      <w:pPr>
        <w:rPr>
          <w:szCs w:val="22"/>
        </w:rPr>
      </w:pPr>
      <w:r w:rsidRPr="00561338">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561338">
        <w:rPr>
          <w:szCs w:val="22"/>
        </w:rPr>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7C7C165" w14:textId="77777777" w:rsidR="000663D0" w:rsidRPr="00561338" w:rsidRDefault="000663D0" w:rsidP="00561338">
      <w:pPr>
        <w:rPr>
          <w:szCs w:val="22"/>
        </w:rPr>
      </w:pPr>
    </w:p>
    <w:p w14:paraId="35530B25" w14:textId="77777777" w:rsidR="000663D0" w:rsidRPr="00561338" w:rsidRDefault="000663D0" w:rsidP="00561338">
      <w:pPr>
        <w:pStyle w:val="Puesto"/>
        <w:rPr>
          <w:szCs w:val="22"/>
        </w:rPr>
      </w:pPr>
      <w:r w:rsidRPr="00561338">
        <w:rPr>
          <w:b/>
          <w:szCs w:val="22"/>
        </w:rPr>
        <w:t>“Artículo 22.</w:t>
      </w:r>
      <w:r w:rsidRPr="00561338">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DDF60E8" w14:textId="77777777" w:rsidR="000663D0" w:rsidRPr="00561338" w:rsidRDefault="000663D0" w:rsidP="00561338">
      <w:pPr>
        <w:rPr>
          <w:szCs w:val="22"/>
        </w:rPr>
      </w:pPr>
    </w:p>
    <w:p w14:paraId="0D9595A7" w14:textId="77777777" w:rsidR="000663D0" w:rsidRPr="00561338" w:rsidRDefault="000663D0" w:rsidP="00561338">
      <w:pPr>
        <w:pStyle w:val="Puesto"/>
        <w:rPr>
          <w:szCs w:val="22"/>
        </w:rPr>
      </w:pPr>
      <w:r w:rsidRPr="00561338">
        <w:rPr>
          <w:b/>
          <w:szCs w:val="22"/>
        </w:rPr>
        <w:t>Artículo 38.</w:t>
      </w:r>
      <w:r w:rsidRPr="00561338">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61338">
        <w:rPr>
          <w:b/>
          <w:szCs w:val="22"/>
        </w:rPr>
        <w:t>”</w:t>
      </w:r>
      <w:r w:rsidRPr="00561338">
        <w:rPr>
          <w:szCs w:val="22"/>
        </w:rPr>
        <w:t xml:space="preserve"> </w:t>
      </w:r>
    </w:p>
    <w:p w14:paraId="3E9AD453" w14:textId="77777777" w:rsidR="000663D0" w:rsidRPr="00561338" w:rsidRDefault="000663D0" w:rsidP="00561338">
      <w:pPr>
        <w:rPr>
          <w:i/>
          <w:szCs w:val="22"/>
        </w:rPr>
      </w:pPr>
    </w:p>
    <w:p w14:paraId="54D057E2" w14:textId="77777777" w:rsidR="000663D0" w:rsidRPr="00561338" w:rsidRDefault="000663D0" w:rsidP="00561338">
      <w:pPr>
        <w:rPr>
          <w:szCs w:val="22"/>
        </w:rPr>
      </w:pPr>
      <w:r w:rsidRPr="00561338">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7C849E0" w14:textId="77777777" w:rsidR="000663D0" w:rsidRPr="00561338" w:rsidRDefault="000663D0" w:rsidP="00561338">
      <w:pPr>
        <w:rPr>
          <w:szCs w:val="22"/>
        </w:rPr>
      </w:pPr>
    </w:p>
    <w:p w14:paraId="39C6E8DF" w14:textId="77777777" w:rsidR="000663D0" w:rsidRPr="00561338" w:rsidRDefault="000663D0" w:rsidP="00561338">
      <w:pPr>
        <w:rPr>
          <w:szCs w:val="22"/>
        </w:rPr>
      </w:pPr>
      <w:r w:rsidRPr="00561338">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561338">
        <w:rPr>
          <w:szCs w:val="22"/>
        </w:rPr>
        <w:lastRenderedPageBreak/>
        <w:t xml:space="preserve">información confidencial que debe ser protegida por </w:t>
      </w:r>
      <w:r w:rsidRPr="00561338">
        <w:rPr>
          <w:b/>
          <w:szCs w:val="22"/>
        </w:rPr>
        <w:t>EL SUJETO OBLIGADO,</w:t>
      </w:r>
      <w:r w:rsidRPr="00561338">
        <w:rPr>
          <w:szCs w:val="22"/>
        </w:rPr>
        <w:t xml:space="preserve"> por lo que, todo dato personal susceptible de clasificación debe ser protegido.</w:t>
      </w:r>
    </w:p>
    <w:p w14:paraId="1EE08C54" w14:textId="77777777" w:rsidR="000663D0" w:rsidRPr="00561338" w:rsidRDefault="000663D0" w:rsidP="00561338">
      <w:pPr>
        <w:rPr>
          <w:szCs w:val="22"/>
        </w:rPr>
      </w:pPr>
    </w:p>
    <w:p w14:paraId="277439C6" w14:textId="77777777" w:rsidR="000663D0" w:rsidRPr="00561338" w:rsidRDefault="000663D0" w:rsidP="00561338">
      <w:pPr>
        <w:rPr>
          <w:szCs w:val="22"/>
        </w:rPr>
      </w:pPr>
      <w:r w:rsidRPr="00561338">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0D930CE" w14:textId="77777777" w:rsidR="000663D0" w:rsidRPr="00561338" w:rsidRDefault="000663D0" w:rsidP="00561338">
      <w:pPr>
        <w:rPr>
          <w:szCs w:val="22"/>
        </w:rPr>
      </w:pPr>
    </w:p>
    <w:p w14:paraId="17321A71" w14:textId="77777777" w:rsidR="000663D0" w:rsidRPr="00561338" w:rsidRDefault="000663D0" w:rsidP="00561338">
      <w:pPr>
        <w:rPr>
          <w:szCs w:val="22"/>
        </w:rPr>
      </w:pPr>
      <w:r w:rsidRPr="00561338">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82D1F17" w14:textId="77777777" w:rsidR="000663D0" w:rsidRPr="00561338" w:rsidRDefault="000663D0" w:rsidP="00561338">
      <w:pPr>
        <w:rPr>
          <w:szCs w:val="22"/>
        </w:rPr>
      </w:pPr>
    </w:p>
    <w:p w14:paraId="760E9E7A" w14:textId="77777777" w:rsidR="000663D0" w:rsidRPr="00561338" w:rsidRDefault="000663D0" w:rsidP="00561338">
      <w:pPr>
        <w:pStyle w:val="Puesto"/>
        <w:rPr>
          <w:b/>
          <w:szCs w:val="22"/>
        </w:rPr>
      </w:pPr>
      <w:r w:rsidRPr="00561338">
        <w:rPr>
          <w:b/>
          <w:szCs w:val="22"/>
        </w:rPr>
        <w:t>Ley de Transparencia y Acceso a la Información Pública del Estado de México y Municipios</w:t>
      </w:r>
    </w:p>
    <w:p w14:paraId="29E2A888" w14:textId="77777777" w:rsidR="000663D0" w:rsidRPr="00561338" w:rsidRDefault="000663D0" w:rsidP="00561338">
      <w:pPr>
        <w:rPr>
          <w:szCs w:val="22"/>
        </w:rPr>
      </w:pPr>
    </w:p>
    <w:p w14:paraId="776826C5" w14:textId="77777777" w:rsidR="000663D0" w:rsidRPr="00561338" w:rsidRDefault="000663D0" w:rsidP="00561338">
      <w:pPr>
        <w:pStyle w:val="Puesto"/>
        <w:rPr>
          <w:szCs w:val="22"/>
        </w:rPr>
      </w:pPr>
      <w:r w:rsidRPr="00561338">
        <w:rPr>
          <w:b/>
          <w:szCs w:val="22"/>
        </w:rPr>
        <w:t xml:space="preserve">“Artículo 49. </w:t>
      </w:r>
      <w:r w:rsidRPr="00561338">
        <w:rPr>
          <w:szCs w:val="22"/>
        </w:rPr>
        <w:t>Los Comités de Transparencia tendrán las siguientes atribuciones:</w:t>
      </w:r>
    </w:p>
    <w:p w14:paraId="71A44AB3" w14:textId="77777777" w:rsidR="000663D0" w:rsidRPr="00561338" w:rsidRDefault="000663D0" w:rsidP="00561338">
      <w:pPr>
        <w:pStyle w:val="Puesto"/>
        <w:rPr>
          <w:szCs w:val="22"/>
        </w:rPr>
      </w:pPr>
      <w:r w:rsidRPr="00561338">
        <w:rPr>
          <w:b/>
          <w:szCs w:val="22"/>
        </w:rPr>
        <w:t>VIII.</w:t>
      </w:r>
      <w:r w:rsidRPr="00561338">
        <w:rPr>
          <w:szCs w:val="22"/>
        </w:rPr>
        <w:t xml:space="preserve"> Aprobar, modificar o revocar la clasificación de la información;</w:t>
      </w:r>
    </w:p>
    <w:p w14:paraId="46D2AE09" w14:textId="77777777" w:rsidR="000663D0" w:rsidRPr="00561338" w:rsidRDefault="000663D0" w:rsidP="00561338">
      <w:pPr>
        <w:pStyle w:val="Puesto"/>
        <w:rPr>
          <w:szCs w:val="22"/>
        </w:rPr>
      </w:pPr>
    </w:p>
    <w:p w14:paraId="1B6B7699" w14:textId="77777777" w:rsidR="000663D0" w:rsidRPr="00561338" w:rsidRDefault="000663D0" w:rsidP="00561338">
      <w:pPr>
        <w:pStyle w:val="Puesto"/>
        <w:rPr>
          <w:szCs w:val="22"/>
        </w:rPr>
      </w:pPr>
      <w:r w:rsidRPr="00561338">
        <w:rPr>
          <w:b/>
          <w:szCs w:val="22"/>
        </w:rPr>
        <w:t>Artículo 132.</w:t>
      </w:r>
      <w:r w:rsidRPr="00561338">
        <w:rPr>
          <w:szCs w:val="22"/>
        </w:rPr>
        <w:t xml:space="preserve"> La clasificación de la información se llevará a cabo en el momento en que:</w:t>
      </w:r>
    </w:p>
    <w:p w14:paraId="04B19192" w14:textId="77777777" w:rsidR="000663D0" w:rsidRPr="00561338" w:rsidRDefault="000663D0" w:rsidP="00561338">
      <w:pPr>
        <w:pStyle w:val="Puesto"/>
        <w:rPr>
          <w:szCs w:val="22"/>
        </w:rPr>
      </w:pPr>
      <w:r w:rsidRPr="00561338">
        <w:rPr>
          <w:b/>
          <w:szCs w:val="22"/>
        </w:rPr>
        <w:t>I.</w:t>
      </w:r>
      <w:r w:rsidRPr="00561338">
        <w:rPr>
          <w:szCs w:val="22"/>
        </w:rPr>
        <w:t xml:space="preserve"> Se reciba una solicitud de acceso a la información;</w:t>
      </w:r>
    </w:p>
    <w:p w14:paraId="2B2A342E" w14:textId="77777777" w:rsidR="000663D0" w:rsidRPr="00561338" w:rsidRDefault="000663D0" w:rsidP="00561338">
      <w:pPr>
        <w:pStyle w:val="Puesto"/>
        <w:rPr>
          <w:szCs w:val="22"/>
        </w:rPr>
      </w:pPr>
      <w:r w:rsidRPr="00561338">
        <w:rPr>
          <w:b/>
          <w:szCs w:val="22"/>
        </w:rPr>
        <w:t>II.</w:t>
      </w:r>
      <w:r w:rsidRPr="00561338">
        <w:rPr>
          <w:szCs w:val="22"/>
        </w:rPr>
        <w:t xml:space="preserve"> Se determine mediante resolución de autoridad competente; o</w:t>
      </w:r>
    </w:p>
    <w:p w14:paraId="0D208DA6" w14:textId="77777777" w:rsidR="000663D0" w:rsidRPr="00561338" w:rsidRDefault="000663D0" w:rsidP="00561338">
      <w:pPr>
        <w:pStyle w:val="Puesto"/>
        <w:rPr>
          <w:b/>
          <w:szCs w:val="22"/>
        </w:rPr>
      </w:pPr>
      <w:r w:rsidRPr="00561338">
        <w:rPr>
          <w:b/>
          <w:szCs w:val="22"/>
        </w:rPr>
        <w:t>III.</w:t>
      </w:r>
      <w:r w:rsidRPr="00561338">
        <w:rPr>
          <w:szCs w:val="22"/>
        </w:rPr>
        <w:t xml:space="preserve"> Se generen versiones públicas para dar cumplimiento a las obligaciones de transparencia previstas en esta Ley.</w:t>
      </w:r>
      <w:r w:rsidRPr="00561338">
        <w:rPr>
          <w:b/>
          <w:szCs w:val="22"/>
        </w:rPr>
        <w:t>”</w:t>
      </w:r>
    </w:p>
    <w:p w14:paraId="34E6D0FA" w14:textId="77777777" w:rsidR="000663D0" w:rsidRPr="00561338" w:rsidRDefault="000663D0" w:rsidP="00561338">
      <w:pPr>
        <w:pStyle w:val="Puesto"/>
        <w:rPr>
          <w:szCs w:val="22"/>
        </w:rPr>
      </w:pPr>
    </w:p>
    <w:p w14:paraId="15EBDF17" w14:textId="77777777" w:rsidR="000663D0" w:rsidRPr="00561338" w:rsidRDefault="000663D0" w:rsidP="00561338">
      <w:pPr>
        <w:pStyle w:val="Puesto"/>
        <w:rPr>
          <w:szCs w:val="22"/>
        </w:rPr>
      </w:pPr>
      <w:r w:rsidRPr="00561338">
        <w:rPr>
          <w:b/>
          <w:szCs w:val="22"/>
        </w:rPr>
        <w:lastRenderedPageBreak/>
        <w:t>“Segundo. -</w:t>
      </w:r>
      <w:r w:rsidRPr="00561338">
        <w:rPr>
          <w:szCs w:val="22"/>
        </w:rPr>
        <w:t xml:space="preserve"> Para efectos de los presentes Lineamientos Generales, se entenderá por:</w:t>
      </w:r>
    </w:p>
    <w:p w14:paraId="14DA27C9" w14:textId="77777777" w:rsidR="000663D0" w:rsidRPr="00561338" w:rsidRDefault="000663D0" w:rsidP="00561338">
      <w:pPr>
        <w:pStyle w:val="Puesto"/>
        <w:rPr>
          <w:szCs w:val="22"/>
        </w:rPr>
      </w:pPr>
      <w:r w:rsidRPr="00561338">
        <w:rPr>
          <w:b/>
          <w:szCs w:val="22"/>
        </w:rPr>
        <w:t>XVIII.</w:t>
      </w:r>
      <w:r w:rsidRPr="00561338">
        <w:rPr>
          <w:szCs w:val="22"/>
        </w:rPr>
        <w:t xml:space="preserve">  </w:t>
      </w:r>
      <w:r w:rsidRPr="00561338">
        <w:rPr>
          <w:b/>
          <w:szCs w:val="22"/>
        </w:rPr>
        <w:t>Versión pública:</w:t>
      </w:r>
      <w:r w:rsidRPr="00561338">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03506DD" w14:textId="77777777" w:rsidR="000663D0" w:rsidRPr="00561338" w:rsidRDefault="000663D0" w:rsidP="00561338">
      <w:pPr>
        <w:pStyle w:val="Puesto"/>
        <w:rPr>
          <w:szCs w:val="22"/>
        </w:rPr>
      </w:pPr>
    </w:p>
    <w:p w14:paraId="5D5512A4" w14:textId="77777777" w:rsidR="000663D0" w:rsidRPr="00561338" w:rsidRDefault="000663D0" w:rsidP="00561338">
      <w:pPr>
        <w:pStyle w:val="Puesto"/>
        <w:rPr>
          <w:b/>
          <w:szCs w:val="22"/>
        </w:rPr>
      </w:pPr>
      <w:r w:rsidRPr="00561338">
        <w:rPr>
          <w:b/>
          <w:szCs w:val="22"/>
        </w:rPr>
        <w:t>Lineamientos Generales en materia de Clasificación y Desclasificación de la Información</w:t>
      </w:r>
    </w:p>
    <w:p w14:paraId="23B90CEC" w14:textId="77777777" w:rsidR="000663D0" w:rsidRPr="00561338" w:rsidRDefault="000663D0" w:rsidP="00561338">
      <w:pPr>
        <w:pStyle w:val="Puesto"/>
        <w:rPr>
          <w:szCs w:val="22"/>
        </w:rPr>
      </w:pPr>
    </w:p>
    <w:p w14:paraId="0D31906E" w14:textId="77777777" w:rsidR="000663D0" w:rsidRPr="00561338" w:rsidRDefault="000663D0" w:rsidP="00561338">
      <w:pPr>
        <w:pStyle w:val="Puesto"/>
        <w:rPr>
          <w:szCs w:val="22"/>
        </w:rPr>
      </w:pPr>
      <w:r w:rsidRPr="00561338">
        <w:rPr>
          <w:b/>
          <w:szCs w:val="22"/>
        </w:rPr>
        <w:t>Cuarto.</w:t>
      </w:r>
      <w:r w:rsidRPr="00561338">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7E8582" w14:textId="77777777" w:rsidR="000663D0" w:rsidRPr="00561338" w:rsidRDefault="000663D0" w:rsidP="00561338">
      <w:pPr>
        <w:pStyle w:val="Puesto"/>
        <w:rPr>
          <w:szCs w:val="22"/>
        </w:rPr>
      </w:pPr>
      <w:r w:rsidRPr="00561338">
        <w:rPr>
          <w:szCs w:val="22"/>
        </w:rPr>
        <w:t>Los sujetos obligados deberán aplicar, de manera estricta, las excepciones al derecho de acceso a la información y sólo podrán invocarlas cuando acrediten su procedencia.</w:t>
      </w:r>
    </w:p>
    <w:p w14:paraId="2DD492E3" w14:textId="77777777" w:rsidR="000663D0" w:rsidRPr="00561338" w:rsidRDefault="000663D0" w:rsidP="00561338">
      <w:pPr>
        <w:pStyle w:val="Puesto"/>
        <w:rPr>
          <w:szCs w:val="22"/>
        </w:rPr>
      </w:pPr>
    </w:p>
    <w:p w14:paraId="4F13CCF4" w14:textId="77777777" w:rsidR="000663D0" w:rsidRPr="00561338" w:rsidRDefault="000663D0" w:rsidP="00561338">
      <w:pPr>
        <w:pStyle w:val="Puesto"/>
        <w:rPr>
          <w:szCs w:val="22"/>
        </w:rPr>
      </w:pPr>
      <w:r w:rsidRPr="00561338">
        <w:rPr>
          <w:b/>
          <w:szCs w:val="22"/>
        </w:rPr>
        <w:t>Quinto.</w:t>
      </w:r>
      <w:r w:rsidRPr="00561338">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5AA9936" w14:textId="77777777" w:rsidR="000663D0" w:rsidRPr="00561338" w:rsidRDefault="000663D0" w:rsidP="00561338">
      <w:pPr>
        <w:pStyle w:val="Puesto"/>
        <w:rPr>
          <w:szCs w:val="22"/>
        </w:rPr>
      </w:pPr>
    </w:p>
    <w:p w14:paraId="3CC48E06" w14:textId="77777777" w:rsidR="000663D0" w:rsidRPr="00561338" w:rsidRDefault="000663D0" w:rsidP="00561338">
      <w:pPr>
        <w:pStyle w:val="Puesto"/>
        <w:rPr>
          <w:szCs w:val="22"/>
        </w:rPr>
      </w:pPr>
      <w:r w:rsidRPr="00561338">
        <w:rPr>
          <w:b/>
          <w:szCs w:val="22"/>
        </w:rPr>
        <w:t>Sexto.</w:t>
      </w:r>
      <w:r w:rsidRPr="00561338">
        <w:rPr>
          <w:szCs w:val="22"/>
        </w:rPr>
        <w:t xml:space="preserve"> Se deroga.</w:t>
      </w:r>
    </w:p>
    <w:p w14:paraId="5B895B1D" w14:textId="77777777" w:rsidR="000663D0" w:rsidRPr="00561338" w:rsidRDefault="000663D0" w:rsidP="00561338">
      <w:pPr>
        <w:pStyle w:val="Puesto"/>
        <w:rPr>
          <w:szCs w:val="22"/>
        </w:rPr>
      </w:pPr>
    </w:p>
    <w:p w14:paraId="3F7946B2" w14:textId="77777777" w:rsidR="000663D0" w:rsidRPr="00561338" w:rsidRDefault="000663D0" w:rsidP="00561338">
      <w:pPr>
        <w:pStyle w:val="Puesto"/>
        <w:rPr>
          <w:szCs w:val="22"/>
        </w:rPr>
      </w:pPr>
      <w:r w:rsidRPr="00561338">
        <w:rPr>
          <w:b/>
          <w:szCs w:val="22"/>
        </w:rPr>
        <w:t>Séptimo.</w:t>
      </w:r>
      <w:r w:rsidRPr="00561338">
        <w:rPr>
          <w:szCs w:val="22"/>
        </w:rPr>
        <w:t xml:space="preserve"> La clasificación de la información se llevará a cabo en el momento en que:</w:t>
      </w:r>
    </w:p>
    <w:p w14:paraId="2A99E85E" w14:textId="77777777" w:rsidR="000663D0" w:rsidRPr="00561338" w:rsidRDefault="000663D0" w:rsidP="00561338">
      <w:pPr>
        <w:pStyle w:val="Puesto"/>
        <w:rPr>
          <w:szCs w:val="22"/>
        </w:rPr>
      </w:pPr>
      <w:r w:rsidRPr="00561338">
        <w:rPr>
          <w:b/>
          <w:szCs w:val="22"/>
        </w:rPr>
        <w:t>I.</w:t>
      </w:r>
      <w:r w:rsidRPr="00561338">
        <w:rPr>
          <w:szCs w:val="22"/>
        </w:rPr>
        <w:t xml:space="preserve">        Se reciba una solicitud de acceso a la información;</w:t>
      </w:r>
    </w:p>
    <w:p w14:paraId="6D741F7C" w14:textId="77777777" w:rsidR="000663D0" w:rsidRPr="00561338" w:rsidRDefault="000663D0" w:rsidP="00561338">
      <w:pPr>
        <w:pStyle w:val="Puesto"/>
        <w:rPr>
          <w:szCs w:val="22"/>
        </w:rPr>
      </w:pPr>
      <w:r w:rsidRPr="00561338">
        <w:rPr>
          <w:b/>
          <w:szCs w:val="22"/>
        </w:rPr>
        <w:t>II.</w:t>
      </w:r>
      <w:r w:rsidRPr="00561338">
        <w:rPr>
          <w:szCs w:val="22"/>
        </w:rPr>
        <w:t xml:space="preserve">       Se determine mediante resolución del Comité de Transparencia, el órgano garante competente, o en cumplimiento a una sentencia del Poder Judicial; o</w:t>
      </w:r>
    </w:p>
    <w:p w14:paraId="1AE8C0E0" w14:textId="77777777" w:rsidR="000663D0" w:rsidRPr="00561338" w:rsidRDefault="000663D0" w:rsidP="00561338">
      <w:pPr>
        <w:pStyle w:val="Puesto"/>
        <w:rPr>
          <w:szCs w:val="22"/>
        </w:rPr>
      </w:pPr>
      <w:r w:rsidRPr="00561338">
        <w:rPr>
          <w:b/>
          <w:szCs w:val="22"/>
        </w:rPr>
        <w:t>III.</w:t>
      </w:r>
      <w:r w:rsidRPr="00561338">
        <w:rPr>
          <w:szCs w:val="22"/>
        </w:rPr>
        <w:t xml:space="preserve">      Se generen versiones públicas para dar cumplimiento a las obligaciones de transparencia previstas en la Ley General, la Ley Federal y las correspondientes de las entidades federativas.</w:t>
      </w:r>
    </w:p>
    <w:p w14:paraId="6E3C0958" w14:textId="77777777" w:rsidR="000663D0" w:rsidRPr="00561338" w:rsidRDefault="000663D0" w:rsidP="00561338">
      <w:pPr>
        <w:pStyle w:val="Puesto"/>
        <w:rPr>
          <w:szCs w:val="22"/>
        </w:rPr>
      </w:pPr>
      <w:r w:rsidRPr="00561338">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F691C" w14:textId="77777777" w:rsidR="000663D0" w:rsidRPr="00561338" w:rsidRDefault="000663D0" w:rsidP="00561338">
      <w:pPr>
        <w:pStyle w:val="Puesto"/>
        <w:rPr>
          <w:szCs w:val="22"/>
        </w:rPr>
      </w:pPr>
    </w:p>
    <w:p w14:paraId="6BB01FA0" w14:textId="77777777" w:rsidR="000663D0" w:rsidRPr="00561338" w:rsidRDefault="000663D0" w:rsidP="00561338">
      <w:pPr>
        <w:pStyle w:val="Puesto"/>
        <w:rPr>
          <w:szCs w:val="22"/>
        </w:rPr>
      </w:pPr>
      <w:r w:rsidRPr="00561338">
        <w:rPr>
          <w:b/>
          <w:szCs w:val="22"/>
        </w:rPr>
        <w:t>Octavo.</w:t>
      </w:r>
      <w:r w:rsidRPr="00561338">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BA2FC4" w14:textId="77777777" w:rsidR="000663D0" w:rsidRPr="00561338" w:rsidRDefault="000663D0" w:rsidP="00561338">
      <w:pPr>
        <w:pStyle w:val="Puesto"/>
        <w:rPr>
          <w:szCs w:val="22"/>
        </w:rPr>
      </w:pPr>
      <w:r w:rsidRPr="00561338">
        <w:rPr>
          <w:szCs w:val="22"/>
        </w:rPr>
        <w:t>Para motivar la clasificación se deberán señalar las razones o circunstancias especiales que lo llevaron a concluir que el caso particular se ajusta al supuesto previsto por la norma legal invocada como fundamento.</w:t>
      </w:r>
    </w:p>
    <w:p w14:paraId="27C748BF" w14:textId="77777777" w:rsidR="000663D0" w:rsidRPr="00561338" w:rsidRDefault="000663D0" w:rsidP="00561338">
      <w:pPr>
        <w:pStyle w:val="Puesto"/>
        <w:rPr>
          <w:szCs w:val="22"/>
        </w:rPr>
      </w:pPr>
      <w:r w:rsidRPr="00561338">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33E995C" w14:textId="77777777" w:rsidR="000663D0" w:rsidRPr="00561338" w:rsidRDefault="000663D0" w:rsidP="00561338">
      <w:pPr>
        <w:pStyle w:val="Puesto"/>
        <w:rPr>
          <w:szCs w:val="22"/>
        </w:rPr>
      </w:pPr>
    </w:p>
    <w:p w14:paraId="338E2D53" w14:textId="77777777" w:rsidR="000663D0" w:rsidRPr="00561338" w:rsidRDefault="000663D0" w:rsidP="00561338">
      <w:pPr>
        <w:pStyle w:val="Puesto"/>
        <w:rPr>
          <w:szCs w:val="22"/>
        </w:rPr>
      </w:pPr>
      <w:r w:rsidRPr="00561338">
        <w:rPr>
          <w:b/>
          <w:szCs w:val="22"/>
        </w:rPr>
        <w:t>Noveno.</w:t>
      </w:r>
      <w:r w:rsidRPr="00561338">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6D86E4" w14:textId="77777777" w:rsidR="000663D0" w:rsidRPr="00561338" w:rsidRDefault="000663D0" w:rsidP="00561338">
      <w:pPr>
        <w:pStyle w:val="Puesto"/>
        <w:rPr>
          <w:szCs w:val="22"/>
        </w:rPr>
      </w:pPr>
    </w:p>
    <w:p w14:paraId="34DCCC72" w14:textId="77777777" w:rsidR="000663D0" w:rsidRPr="00561338" w:rsidRDefault="000663D0" w:rsidP="00561338">
      <w:pPr>
        <w:pStyle w:val="Puesto"/>
        <w:rPr>
          <w:szCs w:val="22"/>
        </w:rPr>
      </w:pPr>
      <w:r w:rsidRPr="00561338">
        <w:rPr>
          <w:b/>
          <w:szCs w:val="22"/>
        </w:rPr>
        <w:t>Décimo.</w:t>
      </w:r>
      <w:r w:rsidRPr="00561338">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9BEF62" w14:textId="77777777" w:rsidR="000663D0" w:rsidRPr="00561338" w:rsidRDefault="000663D0" w:rsidP="00561338">
      <w:pPr>
        <w:pStyle w:val="Puesto"/>
        <w:rPr>
          <w:szCs w:val="22"/>
        </w:rPr>
      </w:pPr>
      <w:r w:rsidRPr="00561338">
        <w:rPr>
          <w:szCs w:val="22"/>
        </w:rPr>
        <w:t>En ausencia de los titulares de las áreas, la información será clasificada o desclasificada por la persona que lo supla, en términos de la normativa que rija la actuación del sujeto obligado.</w:t>
      </w:r>
    </w:p>
    <w:p w14:paraId="1A3B3E66" w14:textId="77777777" w:rsidR="000663D0" w:rsidRPr="00561338" w:rsidRDefault="000663D0" w:rsidP="00561338">
      <w:pPr>
        <w:pStyle w:val="Puesto"/>
        <w:rPr>
          <w:b/>
          <w:szCs w:val="22"/>
        </w:rPr>
      </w:pPr>
      <w:r w:rsidRPr="00561338">
        <w:rPr>
          <w:b/>
          <w:szCs w:val="22"/>
        </w:rPr>
        <w:t>Décimo primero.</w:t>
      </w:r>
      <w:r w:rsidRPr="00561338">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1338">
        <w:rPr>
          <w:b/>
          <w:szCs w:val="22"/>
        </w:rPr>
        <w:t>”</w:t>
      </w:r>
    </w:p>
    <w:p w14:paraId="6DD58094" w14:textId="77777777" w:rsidR="000663D0" w:rsidRPr="00561338" w:rsidRDefault="000663D0" w:rsidP="00561338">
      <w:pPr>
        <w:rPr>
          <w:szCs w:val="22"/>
        </w:rPr>
      </w:pPr>
    </w:p>
    <w:p w14:paraId="32B2B071" w14:textId="77777777" w:rsidR="000663D0" w:rsidRPr="00561338" w:rsidRDefault="000663D0" w:rsidP="00561338">
      <w:pPr>
        <w:rPr>
          <w:szCs w:val="22"/>
        </w:rPr>
      </w:pPr>
      <w:r w:rsidRPr="00561338">
        <w:rPr>
          <w:szCs w:val="22"/>
        </w:rPr>
        <w:t xml:space="preserve">Consecuentemente, se destaca que la versión pública que elabore </w:t>
      </w:r>
      <w:r w:rsidRPr="00561338">
        <w:rPr>
          <w:b/>
          <w:szCs w:val="22"/>
        </w:rPr>
        <w:t>EL SUJETO OBLIGADO</w:t>
      </w:r>
      <w:r w:rsidRPr="00561338">
        <w:rPr>
          <w:szCs w:val="22"/>
        </w:rPr>
        <w:t xml:space="preserve"> debe cumplir con las formalidades exigidas en la Ley, por lo que para tal efecto emitirá el </w:t>
      </w:r>
      <w:r w:rsidRPr="00561338">
        <w:rPr>
          <w:b/>
          <w:szCs w:val="22"/>
        </w:rPr>
        <w:t>Acuerdo del Comité de Transparencia</w:t>
      </w:r>
      <w:r w:rsidRPr="00561338">
        <w:rPr>
          <w:szCs w:val="22"/>
        </w:rPr>
        <w:t xml:space="preserve"> en términos de los artículos 122 y 124 de la Ley de Transparencia y Acceso a la Información Pública del Estado de México y Municipios, con el </w:t>
      </w:r>
      <w:r w:rsidRPr="00561338">
        <w:rPr>
          <w:szCs w:val="22"/>
        </w:rPr>
        <w:lastRenderedPageBreak/>
        <w:t>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36A99FE" w14:textId="77777777" w:rsidR="00AE1AD3" w:rsidRPr="00561338" w:rsidRDefault="00AE1AD3" w:rsidP="00561338">
      <w:pPr>
        <w:ind w:right="49"/>
        <w:rPr>
          <w:rFonts w:eastAsia="Palatino Linotype" w:cs="Palatino Linotype"/>
          <w:szCs w:val="22"/>
        </w:rPr>
      </w:pPr>
    </w:p>
    <w:p w14:paraId="6E827A80" w14:textId="77777777" w:rsidR="00E22435" w:rsidRPr="00561338" w:rsidRDefault="00E22435" w:rsidP="00561338">
      <w:pPr>
        <w:rPr>
          <w:szCs w:val="22"/>
        </w:rPr>
      </w:pPr>
      <w:r w:rsidRPr="00561338">
        <w:rPr>
          <w:szCs w:val="22"/>
        </w:rPr>
        <w:t>Es importante señalar que, para el caso en concreto, se deben tomar en consideración los siguientes criterios respecto a la información que debe ser, o no, clasificada como confidencial:</w:t>
      </w:r>
    </w:p>
    <w:p w14:paraId="1EA27876" w14:textId="77777777" w:rsidR="00E22435" w:rsidRPr="00561338" w:rsidRDefault="00E22435" w:rsidP="00561338">
      <w:pPr>
        <w:rPr>
          <w:szCs w:val="22"/>
        </w:rPr>
      </w:pPr>
    </w:p>
    <w:p w14:paraId="59F4195D" w14:textId="77777777" w:rsidR="00E22435" w:rsidRPr="00561338" w:rsidRDefault="00E22435" w:rsidP="00561338">
      <w:pPr>
        <w:ind w:right="51"/>
        <w:rPr>
          <w:rFonts w:cs="Arial"/>
          <w:szCs w:val="22"/>
        </w:rPr>
      </w:pPr>
      <w:r w:rsidRPr="00561338">
        <w:rPr>
          <w:rFonts w:eastAsia="Arial Unicode MS" w:cs="Arial"/>
          <w:szCs w:val="22"/>
        </w:rPr>
        <w:t xml:space="preserve">Así, previo a poner a disposición la información correspondiente debe considerarse que tiene carácter de confidencial </w:t>
      </w:r>
      <w:r w:rsidRPr="00561338">
        <w:rPr>
          <w:rFonts w:cs="Arial"/>
          <w:szCs w:val="22"/>
        </w:rPr>
        <w:t xml:space="preserve">el Registro Federal de Contribuyentes </w:t>
      </w:r>
      <w:r w:rsidRPr="00561338">
        <w:rPr>
          <w:rFonts w:cs="Arial"/>
          <w:b/>
          <w:bCs/>
          <w:szCs w:val="22"/>
          <w:u w:val="single"/>
        </w:rPr>
        <w:t>(RFC) que no sean de proveedores,</w:t>
      </w:r>
      <w:r w:rsidRPr="00561338">
        <w:rPr>
          <w:rFonts w:cs="Arial"/>
          <w:szCs w:val="22"/>
        </w:rPr>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047DDE1B" w14:textId="77777777" w:rsidR="00E22435" w:rsidRPr="00561338" w:rsidRDefault="00E22435" w:rsidP="00561338">
      <w:pPr>
        <w:ind w:right="51"/>
        <w:rPr>
          <w:rFonts w:cs="Arial"/>
          <w:szCs w:val="22"/>
        </w:rPr>
      </w:pPr>
    </w:p>
    <w:p w14:paraId="6BBE52B3" w14:textId="77777777" w:rsidR="00E22435" w:rsidRPr="00561338" w:rsidRDefault="00E22435" w:rsidP="00561338">
      <w:pPr>
        <w:spacing w:before="240" w:after="240"/>
        <w:rPr>
          <w:rFonts w:eastAsia="Palatino Linotype" w:cs="Palatino Linotype"/>
          <w:szCs w:val="22"/>
        </w:rPr>
      </w:pPr>
      <w:r w:rsidRPr="00561338">
        <w:rPr>
          <w:rFonts w:cs="Arial"/>
          <w:szCs w:val="22"/>
        </w:rPr>
        <w:t xml:space="preserve">En </w:t>
      </w:r>
      <w:r w:rsidRPr="00561338">
        <w:rPr>
          <w:rFonts w:eastAsia="Palatino Linotype" w:cs="Palatino Linotype"/>
          <w:szCs w:val="22"/>
        </w:rPr>
        <w:t xml:space="preserve">Por cuanto hace al </w:t>
      </w:r>
      <w:r w:rsidRPr="00561338">
        <w:rPr>
          <w:rFonts w:eastAsia="Palatino Linotype" w:cs="Palatino Linotype"/>
          <w:b/>
          <w:szCs w:val="22"/>
        </w:rPr>
        <w:t>Registro Federal de Contribuyentes, RFC,</w:t>
      </w:r>
      <w:r w:rsidRPr="00561338">
        <w:rPr>
          <w:rFonts w:eastAsia="Palatino Linotype" w:cs="Palatino Linotype"/>
          <w:szCs w:val="22"/>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7F779343"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9596375" w14:textId="77777777" w:rsidR="00E22435" w:rsidRPr="00561338" w:rsidRDefault="00E22435" w:rsidP="00561338">
      <w:pPr>
        <w:spacing w:before="240" w:after="240"/>
        <w:rPr>
          <w:rFonts w:eastAsia="Palatino Linotype" w:cs="Palatino Linotype"/>
          <w:szCs w:val="22"/>
        </w:rPr>
      </w:pPr>
      <w:bookmarkStart w:id="43" w:name="_heading=h.1ksv4uv" w:colFirst="0" w:colLast="0"/>
      <w:bookmarkEnd w:id="43"/>
      <w:r w:rsidRPr="00561338">
        <w:rPr>
          <w:rFonts w:eastAsia="Palatino Linotype" w:cs="Palatino Linotype"/>
          <w:szCs w:val="22"/>
        </w:rPr>
        <w:t>Lo anterior es compartido por el Instituto Nacional de Transparencia, Acceso a la Información y Protección de Datos Personales, INAI, a través del Criterio de interpretación con clave de control SO/019/2017, el cual es del tenor literal siguiente:</w:t>
      </w:r>
    </w:p>
    <w:p w14:paraId="65494B8E" w14:textId="77777777" w:rsidR="00E22435" w:rsidRPr="00561338" w:rsidRDefault="00E22435" w:rsidP="00561338">
      <w:pPr>
        <w:ind w:left="851" w:right="900"/>
        <w:rPr>
          <w:rFonts w:eastAsia="Palatino Linotype" w:cs="Palatino Linotype"/>
          <w:i/>
          <w:szCs w:val="22"/>
        </w:rPr>
      </w:pPr>
      <w:r w:rsidRPr="00561338">
        <w:rPr>
          <w:rFonts w:eastAsia="Palatino Linotype" w:cs="Palatino Linotype"/>
          <w:b/>
          <w:i/>
          <w:szCs w:val="22"/>
        </w:rPr>
        <w:t xml:space="preserve"> “Registro Federal de Contribuyentes (RFC) de personas físicas</w:t>
      </w:r>
      <w:r w:rsidRPr="00561338">
        <w:rPr>
          <w:rFonts w:eastAsia="Palatino Linotype" w:cs="Palatino Linotype"/>
          <w:i/>
          <w:szCs w:val="22"/>
        </w:rPr>
        <w:t>. El RFC es una clave de carácter fiscal, única e irrepetible, que permite identificar al titular, su edad y fecha de nacimiento, por lo que es un dato personal de carácter confidencial.”</w:t>
      </w:r>
    </w:p>
    <w:p w14:paraId="47E46E70" w14:textId="77777777" w:rsidR="00E22435" w:rsidRPr="00561338" w:rsidRDefault="00E22435" w:rsidP="00561338">
      <w:pPr>
        <w:pBdr>
          <w:top w:val="nil"/>
          <w:left w:val="nil"/>
          <w:bottom w:val="nil"/>
          <w:right w:val="nil"/>
          <w:between w:val="nil"/>
        </w:pBdr>
        <w:spacing w:before="240" w:after="240"/>
        <w:rPr>
          <w:rFonts w:eastAsia="Palatino Linotype" w:cs="Palatino Linotype"/>
          <w:szCs w:val="22"/>
        </w:rPr>
      </w:pPr>
      <w:r w:rsidRPr="00561338">
        <w:rPr>
          <w:rFonts w:eastAsia="Palatino Linotype" w:cs="Palatino Linotype"/>
          <w:szCs w:val="22"/>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16D8F16" w14:textId="77777777" w:rsidR="00E22435" w:rsidRPr="00561338" w:rsidRDefault="00E22435" w:rsidP="00561338">
      <w:pPr>
        <w:pBdr>
          <w:top w:val="nil"/>
          <w:left w:val="nil"/>
          <w:bottom w:val="nil"/>
          <w:right w:val="nil"/>
          <w:between w:val="nil"/>
        </w:pBdr>
        <w:spacing w:before="240" w:after="240"/>
        <w:rPr>
          <w:rFonts w:eastAsia="Palatino Linotype" w:cs="Palatino Linotype"/>
          <w:szCs w:val="22"/>
        </w:rPr>
      </w:pPr>
      <w:r w:rsidRPr="00561338">
        <w:rPr>
          <w:rFonts w:eastAsia="Palatino Linotype" w:cs="Palatino Linotype"/>
          <w:szCs w:val="22"/>
        </w:rPr>
        <w:t xml:space="preserve">De igual manera la </w:t>
      </w:r>
      <w:r w:rsidRPr="00561338">
        <w:rPr>
          <w:rFonts w:eastAsia="Palatino Linotype" w:cs="Palatino Linotype"/>
          <w:b/>
          <w:szCs w:val="22"/>
        </w:rPr>
        <w:t>Clave Única de Registro de Población</w:t>
      </w:r>
      <w:r w:rsidRPr="00561338">
        <w:rPr>
          <w:rFonts w:eastAsia="Palatino Linotype" w:cs="Palatino Linotype"/>
          <w:szCs w:val="22"/>
        </w:rPr>
        <w:t xml:space="preserve">, </w:t>
      </w:r>
      <w:r w:rsidRPr="00561338">
        <w:rPr>
          <w:rFonts w:eastAsia="Palatino Linotype" w:cs="Palatino Linotype"/>
          <w:b/>
          <w:szCs w:val="22"/>
        </w:rPr>
        <w:t>CURP,</w:t>
      </w:r>
      <w:r w:rsidRPr="00561338">
        <w:rPr>
          <w:rFonts w:eastAsia="Palatino Linotype" w:cs="Palatino Linotype"/>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03171504" w14:textId="77777777" w:rsidR="00E22435" w:rsidRPr="00561338" w:rsidRDefault="00E22435" w:rsidP="00561338">
      <w:pPr>
        <w:pBdr>
          <w:top w:val="nil"/>
          <w:left w:val="nil"/>
          <w:bottom w:val="nil"/>
          <w:right w:val="nil"/>
          <w:between w:val="nil"/>
        </w:pBdr>
        <w:spacing w:before="240" w:after="240"/>
        <w:rPr>
          <w:rFonts w:eastAsia="Palatino Linotype" w:cs="Palatino Linotype"/>
          <w:szCs w:val="22"/>
        </w:rPr>
      </w:pPr>
      <w:r w:rsidRPr="00561338">
        <w:rPr>
          <w:rFonts w:eastAsia="Palatino Linotype" w:cs="Palatino Linotype"/>
          <w:szCs w:val="22"/>
        </w:rPr>
        <w:lastRenderedPageBreak/>
        <w:t>Argumento que es compartido por el Instituto Nacional de Transparencia, Acceso a la Información y Protección de Datos Personales, INAI, conforme al Criterio de interpretación con Clave de control SO/018/2017, el cual refiere:</w:t>
      </w:r>
    </w:p>
    <w:p w14:paraId="278DDBA6" w14:textId="77777777" w:rsidR="00E22435" w:rsidRPr="00561338" w:rsidRDefault="00E22435" w:rsidP="00561338">
      <w:pPr>
        <w:ind w:left="851" w:right="851"/>
        <w:rPr>
          <w:rFonts w:eastAsia="Palatino Linotype" w:cs="Palatino Linotype"/>
          <w:i/>
          <w:szCs w:val="22"/>
        </w:rPr>
      </w:pPr>
      <w:r w:rsidRPr="00561338">
        <w:rPr>
          <w:rFonts w:eastAsia="Palatino Linotype" w:cs="Palatino Linotype"/>
          <w:b/>
          <w:i/>
          <w:szCs w:val="22"/>
        </w:rPr>
        <w:t xml:space="preserve"> “Clave Única de Registro de Población (CURP). </w:t>
      </w:r>
      <w:r w:rsidRPr="00561338">
        <w:rPr>
          <w:rFonts w:eastAsia="Palatino Linotype" w:cs="Palatino Linotype"/>
          <w:i/>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83034B2"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 xml:space="preserve">Por lo que respecta a la </w:t>
      </w:r>
      <w:r w:rsidRPr="00561338">
        <w:rPr>
          <w:rFonts w:eastAsia="Palatino Linotype" w:cs="Palatino Linotype"/>
          <w:b/>
          <w:szCs w:val="22"/>
        </w:rPr>
        <w:t>clave de seguridad social</w:t>
      </w:r>
      <w:r w:rsidRPr="00561338">
        <w:rPr>
          <w:rFonts w:eastAsia="Palatino Linotype" w:cs="Palatino Linotype"/>
          <w:szCs w:val="22"/>
        </w:rPr>
        <w:t>, en virtud de que su divulgación no aporta a la transparencia o a la rendición de cuentas y sí provoca una transgresión a la vida privada e intimidad de la persona, esta información también resulta ser de carácter confidencial.</w:t>
      </w:r>
    </w:p>
    <w:p w14:paraId="3C623C6C"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 xml:space="preserve">Respecto de los </w:t>
      </w:r>
      <w:r w:rsidRPr="00561338">
        <w:rPr>
          <w:rFonts w:eastAsia="Palatino Linotype" w:cs="Palatino Linotype"/>
          <w:b/>
          <w:szCs w:val="22"/>
        </w:rPr>
        <w:t>números de cuentas bancari</w:t>
      </w:r>
      <w:r w:rsidRPr="00561338">
        <w:rPr>
          <w:rFonts w:eastAsia="Palatino Linotype" w:cs="Palatino Linotype"/>
          <w:szCs w:val="22"/>
        </w:rPr>
        <w:t xml:space="preserve">as, </w:t>
      </w:r>
      <w:r w:rsidRPr="00561338">
        <w:rPr>
          <w:rFonts w:eastAsia="Palatino Linotype" w:cs="Palatino Linotype"/>
          <w:b/>
          <w:szCs w:val="22"/>
        </w:rPr>
        <w:t>claves estandarizadas –interbancarias- (CLABES) y de tarjetas</w:t>
      </w:r>
      <w:r w:rsidRPr="00561338">
        <w:rPr>
          <w:rFonts w:eastAsia="Palatino Linotype" w:cs="Palatino Linotype"/>
          <w:szCs w:val="22"/>
        </w:rPr>
        <w:t>, el Pleno de este Instituto ha determinado que esa información debe clasificarse como confidencial, y elaborarse una versión pública en la que se teste la misma.</w:t>
      </w:r>
    </w:p>
    <w:p w14:paraId="1FB4D813"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7D20666"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 xml:space="preserve">Por lo anterior, el número de cuenta bancaria debe ser clasificado como confidencial con fundamento en las fracciones I y II del artículo 143 de la Ley de la Materia vigente en la </w:t>
      </w:r>
      <w:r w:rsidRPr="00561338">
        <w:rPr>
          <w:rFonts w:eastAsia="Palatino Linotype" w:cs="Palatino Linotype"/>
          <w:szCs w:val="22"/>
        </w:rPr>
        <w:lastRenderedPageBreak/>
        <w:t>Entidad; en razón de que con su difusión se estaría poniendo en riesgo la seguridad de su titular.</w:t>
      </w:r>
    </w:p>
    <w:p w14:paraId="4F4C6B6B" w14:textId="77777777" w:rsidR="00E22435" w:rsidRPr="00561338" w:rsidRDefault="00E22435" w:rsidP="00561338">
      <w:pPr>
        <w:pBdr>
          <w:top w:val="nil"/>
          <w:left w:val="nil"/>
          <w:bottom w:val="nil"/>
          <w:right w:val="nil"/>
          <w:between w:val="nil"/>
        </w:pBdr>
        <w:spacing w:before="240" w:after="240"/>
        <w:rPr>
          <w:rFonts w:eastAsia="Palatino Linotype" w:cs="Palatino Linotype"/>
          <w:szCs w:val="22"/>
        </w:rPr>
      </w:pPr>
      <w:r w:rsidRPr="00561338">
        <w:rPr>
          <w:rFonts w:eastAsia="Palatino Linotype" w:cs="Palatino Linotype"/>
          <w:szCs w:val="22"/>
        </w:rPr>
        <w:t xml:space="preserve">En esa virtud, este Pleno determina que dicha información no puede ser del dominio público, toda vez que se podría dar un uso inadecuado a la misma o cometer algún ilícito o fraude como ya ha sido expuesto. </w:t>
      </w:r>
    </w:p>
    <w:p w14:paraId="41C1C528"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Lo anterior no es así tratándose de las cuentas bancarias o claves interbancarias de los Sujetos Obligados ya que su publicidad cede a la rendición de cuentas al transparentar la forma en que son administrados los recursos públicos.</w:t>
      </w:r>
    </w:p>
    <w:p w14:paraId="41B56ED7"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Lo argumentado encuentra sustento en los Criterios de interpretación con clave de control SO/010/2017 y SO/011/2017, emitidos por el Instituto Nacional de Transparencia, Acceso a la Información y Protección de Datos Personales, INAI, que llevan por rubro y texto los siguientes:</w:t>
      </w:r>
    </w:p>
    <w:p w14:paraId="686A09BE" w14:textId="77777777" w:rsidR="00E22435" w:rsidRPr="00561338" w:rsidRDefault="00E22435" w:rsidP="00561338">
      <w:pPr>
        <w:pStyle w:val="Puesto"/>
        <w:rPr>
          <w:rFonts w:eastAsia="Palatino Linotype"/>
        </w:rPr>
      </w:pPr>
      <w:r w:rsidRPr="00561338">
        <w:rPr>
          <w:rFonts w:eastAsia="Palatino Linotype"/>
        </w:rPr>
        <w:t>“</w:t>
      </w:r>
      <w:r w:rsidRPr="00561338">
        <w:rPr>
          <w:rFonts w:eastAsia="Palatino Linotype"/>
          <w:b/>
        </w:rPr>
        <w:t>Cuentas bancarias y/o CLABE interbancaria de personas físicas y morales privadas.</w:t>
      </w:r>
      <w:r w:rsidRPr="00561338">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B852077" w14:textId="77777777" w:rsidR="00794CE3" w:rsidRPr="00561338" w:rsidRDefault="00794CE3" w:rsidP="00561338">
      <w:pPr>
        <w:rPr>
          <w:rFonts w:eastAsia="Palatino Linotype"/>
        </w:rPr>
      </w:pPr>
    </w:p>
    <w:p w14:paraId="47049D7B" w14:textId="77777777" w:rsidR="00E22435" w:rsidRPr="00561338" w:rsidRDefault="00E22435" w:rsidP="00561338">
      <w:pPr>
        <w:pStyle w:val="Puesto"/>
        <w:rPr>
          <w:rFonts w:eastAsia="Palatino Linotype"/>
        </w:rPr>
      </w:pPr>
      <w:r w:rsidRPr="00561338">
        <w:rPr>
          <w:rFonts w:eastAsia="Palatino Linotype"/>
        </w:rPr>
        <w:t>“</w:t>
      </w:r>
      <w:r w:rsidRPr="00561338">
        <w:rPr>
          <w:rFonts w:eastAsia="Palatino Linotype"/>
          <w:b/>
        </w:rPr>
        <w:t>Cuentas bancarias y/o CLABE interbancaria de sujetos obligados que reciben y/o transfieren recursos públicos, son información pública</w:t>
      </w:r>
      <w:r w:rsidRPr="00561338">
        <w:rPr>
          <w:rFonts w:eastAsia="Palatino Linotype"/>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71A6143" w14:textId="77777777" w:rsidR="00E22435" w:rsidRPr="00561338" w:rsidRDefault="00E22435" w:rsidP="00561338">
      <w:pPr>
        <w:spacing w:before="240" w:after="240"/>
        <w:rPr>
          <w:rFonts w:eastAsia="Palatino Linotype" w:cs="Palatino Linotype"/>
          <w:szCs w:val="22"/>
        </w:rPr>
      </w:pPr>
      <w:bookmarkStart w:id="44" w:name="_heading=h.z337ya" w:colFirst="0" w:colLast="0"/>
      <w:bookmarkEnd w:id="44"/>
      <w:r w:rsidRPr="00561338">
        <w:rPr>
          <w:rFonts w:eastAsia="Palatino Linotype" w:cs="Palatino Linotype"/>
          <w:szCs w:val="22"/>
        </w:rPr>
        <w:lastRenderedPageBreak/>
        <w:t xml:space="preserve">Por cuanto hace a los </w:t>
      </w:r>
      <w:r w:rsidRPr="00561338">
        <w:rPr>
          <w:rFonts w:eastAsia="Palatino Linotype" w:cs="Palatino Linotype"/>
          <w:b/>
          <w:szCs w:val="22"/>
        </w:rPr>
        <w:t>préstamos o descuentos de carácter personal</w:t>
      </w:r>
      <w:r w:rsidRPr="00561338">
        <w:rPr>
          <w:rFonts w:eastAsia="Palatino Linotype" w:cs="Palatino Linotype"/>
          <w:szCs w:val="22"/>
        </w:rPr>
        <w:t>, en virtud de no tener relación con la prestación del servicio y al no involucrar instituciones públicas, se consideran datos confidenciales.</w:t>
      </w:r>
    </w:p>
    <w:p w14:paraId="6A11F831"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Para entender los límites y alcances de esta restricción, es oportuno recurrir al artículo 84 de la Ley del Trabajo de los Servidores Públicos del Estado y Municipios:</w:t>
      </w:r>
    </w:p>
    <w:p w14:paraId="4E6B5A20" w14:textId="77777777" w:rsidR="00E22435" w:rsidRPr="00561338" w:rsidRDefault="00E22435" w:rsidP="00561338">
      <w:pPr>
        <w:pStyle w:val="Puesto"/>
        <w:rPr>
          <w:rFonts w:eastAsia="Palatino Linotype"/>
          <w:b/>
        </w:rPr>
      </w:pPr>
      <w:bookmarkStart w:id="45" w:name="_Hlk157645255"/>
      <w:r w:rsidRPr="00561338">
        <w:rPr>
          <w:rFonts w:eastAsia="Palatino Linotype"/>
          <w:b/>
        </w:rPr>
        <w:t xml:space="preserve">“ARTÍCULO 84. </w:t>
      </w:r>
      <w:r w:rsidRPr="00561338">
        <w:rPr>
          <w:rFonts w:eastAsia="Palatino Linotype"/>
        </w:rPr>
        <w:t>Sólo podrán hacerse retenciones, descuentos o deducciones al sueldo de los servidores públicos por concepto de:</w:t>
      </w:r>
    </w:p>
    <w:p w14:paraId="076D4DCD" w14:textId="77777777" w:rsidR="00E22435" w:rsidRPr="00561338" w:rsidRDefault="00E22435" w:rsidP="00561338">
      <w:pPr>
        <w:pStyle w:val="Puesto"/>
        <w:rPr>
          <w:rFonts w:eastAsia="Palatino Linotype"/>
        </w:rPr>
      </w:pPr>
      <w:r w:rsidRPr="00561338">
        <w:rPr>
          <w:rFonts w:eastAsia="Palatino Linotype"/>
          <w:b/>
        </w:rPr>
        <w:t>I.</w:t>
      </w:r>
      <w:r w:rsidRPr="00561338">
        <w:rPr>
          <w:rFonts w:eastAsia="Palatino Linotype"/>
        </w:rPr>
        <w:t xml:space="preserve"> Gravámenes fiscales relacionados con el sueldo;</w:t>
      </w:r>
    </w:p>
    <w:p w14:paraId="074E7297" w14:textId="77777777" w:rsidR="00E22435" w:rsidRPr="00561338" w:rsidRDefault="00E22435" w:rsidP="00561338">
      <w:pPr>
        <w:pStyle w:val="Puesto"/>
        <w:rPr>
          <w:rFonts w:eastAsia="Palatino Linotype"/>
        </w:rPr>
      </w:pPr>
      <w:r w:rsidRPr="00561338">
        <w:rPr>
          <w:rFonts w:eastAsia="Palatino Linotype"/>
          <w:b/>
        </w:rPr>
        <w:t>II.</w:t>
      </w:r>
      <w:r w:rsidRPr="00561338">
        <w:rPr>
          <w:rFonts w:eastAsia="Palatino Linotype"/>
        </w:rPr>
        <w:t xml:space="preserve"> Deudas contraídas con las instituciones públicas o dependencias por concepto de anticipos de sueldo, pagos hechos con exceso, errores o pérdidas debidamente comprobados;</w:t>
      </w:r>
    </w:p>
    <w:p w14:paraId="678EB869" w14:textId="77777777" w:rsidR="00E22435" w:rsidRPr="00561338" w:rsidRDefault="00E22435" w:rsidP="00561338">
      <w:pPr>
        <w:pStyle w:val="Puesto"/>
        <w:rPr>
          <w:rFonts w:eastAsia="Palatino Linotype"/>
        </w:rPr>
      </w:pPr>
      <w:r w:rsidRPr="00561338">
        <w:rPr>
          <w:rFonts w:eastAsia="Palatino Linotype"/>
          <w:b/>
        </w:rPr>
        <w:t>III.</w:t>
      </w:r>
      <w:r w:rsidRPr="00561338">
        <w:rPr>
          <w:rFonts w:eastAsia="Palatino Linotype"/>
        </w:rPr>
        <w:t xml:space="preserve"> </w:t>
      </w:r>
      <w:r w:rsidRPr="00561338">
        <w:rPr>
          <w:rFonts w:eastAsia="Palatino Linotype"/>
          <w:b/>
        </w:rPr>
        <w:t>Cuotas sindicales</w:t>
      </w:r>
      <w:r w:rsidRPr="00561338">
        <w:rPr>
          <w:rFonts w:eastAsia="Palatino Linotype"/>
        </w:rPr>
        <w:t>;</w:t>
      </w:r>
    </w:p>
    <w:p w14:paraId="69457EC4" w14:textId="77777777" w:rsidR="00E22435" w:rsidRPr="00561338" w:rsidRDefault="00E22435" w:rsidP="00561338">
      <w:pPr>
        <w:pStyle w:val="Puesto"/>
        <w:rPr>
          <w:rFonts w:eastAsia="Palatino Linotype"/>
        </w:rPr>
      </w:pPr>
      <w:r w:rsidRPr="00561338">
        <w:rPr>
          <w:rFonts w:eastAsia="Palatino Linotype"/>
          <w:b/>
        </w:rPr>
        <w:t>IV.</w:t>
      </w:r>
      <w:r w:rsidRPr="00561338">
        <w:rPr>
          <w:rFonts w:eastAsia="Palatino Linotype"/>
        </w:rPr>
        <w:t xml:space="preserve"> Cuotas de aportación a fondos para la constitución de cooperativas y de cajas de ahorro, siempre que el servidor público hubiese manifestado previamente, de manera expresa, su conformidad;</w:t>
      </w:r>
    </w:p>
    <w:p w14:paraId="2A1D1140" w14:textId="77777777" w:rsidR="00E22435" w:rsidRPr="00561338" w:rsidRDefault="00E22435" w:rsidP="00561338">
      <w:pPr>
        <w:pStyle w:val="Puesto"/>
        <w:rPr>
          <w:rFonts w:eastAsia="Palatino Linotype"/>
        </w:rPr>
      </w:pPr>
      <w:r w:rsidRPr="00561338">
        <w:rPr>
          <w:rFonts w:eastAsia="Palatino Linotype"/>
          <w:b/>
        </w:rPr>
        <w:t>V.</w:t>
      </w:r>
      <w:r w:rsidRPr="00561338">
        <w:rPr>
          <w:rFonts w:eastAsia="Palatino Linotype"/>
        </w:rPr>
        <w:t xml:space="preserve"> Descuentos ordenados por el Instituto de Seguridad Social del Estado de México y Municipios, con motivo de cuotas y obligaciones contraídas con éste por los servidores públicos;</w:t>
      </w:r>
    </w:p>
    <w:p w14:paraId="382B9B3E" w14:textId="77777777" w:rsidR="00E22435" w:rsidRPr="00561338" w:rsidRDefault="00E22435" w:rsidP="00561338">
      <w:pPr>
        <w:pStyle w:val="Puesto"/>
        <w:rPr>
          <w:rFonts w:eastAsia="Palatino Linotype"/>
        </w:rPr>
      </w:pPr>
      <w:r w:rsidRPr="00561338">
        <w:rPr>
          <w:rFonts w:eastAsia="Palatino Linotype"/>
          <w:b/>
        </w:rPr>
        <w:t>VI.</w:t>
      </w:r>
      <w:r w:rsidRPr="00561338">
        <w:rPr>
          <w:rFonts w:eastAsia="Palatino Linotype"/>
        </w:rPr>
        <w:t xml:space="preserve"> Obligaciones a cargo del servidor público con las que haya consentido, derivadas de la adquisición o del uso de habitaciones consideradas como de interés social;</w:t>
      </w:r>
    </w:p>
    <w:p w14:paraId="7BEF6EF0" w14:textId="77777777" w:rsidR="00E22435" w:rsidRPr="00561338" w:rsidRDefault="00E22435" w:rsidP="00561338">
      <w:pPr>
        <w:pStyle w:val="Puesto"/>
        <w:rPr>
          <w:rFonts w:eastAsia="Palatino Linotype"/>
        </w:rPr>
      </w:pPr>
      <w:r w:rsidRPr="00561338">
        <w:rPr>
          <w:rFonts w:eastAsia="Palatino Linotype"/>
          <w:b/>
        </w:rPr>
        <w:t>VII.</w:t>
      </w:r>
      <w:r w:rsidRPr="00561338">
        <w:rPr>
          <w:rFonts w:eastAsia="Palatino Linotype"/>
        </w:rPr>
        <w:t xml:space="preserve"> Faltas de puntualidad o de asistencia injustificadas;</w:t>
      </w:r>
    </w:p>
    <w:p w14:paraId="2B7FF017" w14:textId="77777777" w:rsidR="00E22435" w:rsidRPr="00561338" w:rsidRDefault="00E22435" w:rsidP="00561338">
      <w:pPr>
        <w:pStyle w:val="Puesto"/>
        <w:rPr>
          <w:rFonts w:eastAsia="Palatino Linotype"/>
        </w:rPr>
      </w:pPr>
      <w:r w:rsidRPr="00561338">
        <w:rPr>
          <w:rFonts w:eastAsia="Palatino Linotype"/>
          <w:b/>
        </w:rPr>
        <w:t>VIII. Pensiones alimenticias ordenadas por la autoridad judicial;</w:t>
      </w:r>
      <w:r w:rsidRPr="00561338">
        <w:rPr>
          <w:rFonts w:eastAsia="Palatino Linotype"/>
        </w:rPr>
        <w:t xml:space="preserve"> o</w:t>
      </w:r>
    </w:p>
    <w:p w14:paraId="662A626B" w14:textId="77777777" w:rsidR="00E22435" w:rsidRPr="00561338" w:rsidRDefault="00E22435" w:rsidP="00561338">
      <w:pPr>
        <w:pStyle w:val="Puesto"/>
        <w:rPr>
          <w:rFonts w:eastAsia="Palatino Linotype"/>
          <w:b/>
        </w:rPr>
      </w:pPr>
      <w:r w:rsidRPr="00561338">
        <w:rPr>
          <w:rFonts w:eastAsia="Palatino Linotype"/>
          <w:b/>
        </w:rPr>
        <w:t>IX. Cualquier otro convenido con instituciones de servicios y aceptado por el servidor público.</w:t>
      </w:r>
    </w:p>
    <w:p w14:paraId="030E8854" w14:textId="77777777" w:rsidR="00E22435" w:rsidRPr="00561338" w:rsidRDefault="00E22435" w:rsidP="00561338">
      <w:pPr>
        <w:pStyle w:val="Puesto"/>
        <w:rPr>
          <w:rFonts w:eastAsia="Palatino Linotype"/>
        </w:rPr>
      </w:pPr>
      <w:r w:rsidRPr="00561338">
        <w:rPr>
          <w:rFonts w:eastAsia="Palatino Linotype"/>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bookmarkEnd w:id="45"/>
    <w:p w14:paraId="5F90AFBE"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4CB2F2D4" w14:textId="77777777" w:rsidR="00E22435" w:rsidRPr="00561338" w:rsidRDefault="00E22435" w:rsidP="00561338">
      <w:pPr>
        <w:spacing w:before="240" w:after="240"/>
        <w:rPr>
          <w:szCs w:val="22"/>
        </w:rPr>
      </w:pPr>
      <w:r w:rsidRPr="00561338">
        <w:rPr>
          <w:rFonts w:eastAsia="Palatino Linotype" w:cs="Palatino Linotype"/>
          <w:szCs w:val="22"/>
        </w:rPr>
        <w:lastRenderedPageBreak/>
        <w:t xml:space="preserve">De este modo, los </w:t>
      </w:r>
      <w:r w:rsidRPr="00561338">
        <w:rPr>
          <w:rFonts w:eastAsia="Palatino Linotype" w:cs="Palatino Linotype"/>
          <w:b/>
          <w:szCs w:val="22"/>
        </w:rPr>
        <w:t>descuentos o deducciones por cuotas sindicales</w:t>
      </w:r>
      <w:r w:rsidRPr="00561338">
        <w:rPr>
          <w:rFonts w:eastAsia="Palatino Linotype" w:cs="Palatino Linotype"/>
          <w:szCs w:val="22"/>
        </w:rPr>
        <w:t xml:space="preserve">, </w:t>
      </w:r>
      <w:r w:rsidRPr="00561338">
        <w:rPr>
          <w:rFonts w:eastAsia="Palatino Linotype" w:cs="Palatino Linotype"/>
          <w:b/>
          <w:szCs w:val="22"/>
        </w:rPr>
        <w:t>pensiones alimenticias</w:t>
      </w:r>
      <w:r w:rsidRPr="00561338">
        <w:rPr>
          <w:rFonts w:eastAsia="Palatino Linotype" w:cs="Palatino Linotype"/>
          <w:szCs w:val="22"/>
        </w:rPr>
        <w:t xml:space="preserve"> o </w:t>
      </w:r>
      <w:r w:rsidRPr="00561338">
        <w:rPr>
          <w:rFonts w:eastAsia="Palatino Linotype" w:cs="Palatino Linotype"/>
          <w:b/>
          <w:szCs w:val="22"/>
        </w:rPr>
        <w:t>créditos adquiridos con instituciones privadas</w:t>
      </w:r>
      <w:r w:rsidRPr="00561338">
        <w:rPr>
          <w:rFonts w:eastAsia="Palatino Linotype" w:cs="Palatino Linotype"/>
          <w:szCs w:val="22"/>
        </w:rPr>
        <w:t xml:space="preserve">, entre otros que no se relacionen con el gasto público, al </w:t>
      </w:r>
      <w:r w:rsidRPr="00561338">
        <w:rPr>
          <w:szCs w:val="22"/>
        </w:rPr>
        <w:t xml:space="preserve">revelar parte de las decisiones que adopta una persona respecto del uso y destino de su remuneración salarial, lo cual incide en la manera en que se integra su patrimonio, </w:t>
      </w:r>
      <w:r w:rsidRPr="00561338">
        <w:rPr>
          <w:b/>
          <w:szCs w:val="22"/>
        </w:rPr>
        <w:t>es</w:t>
      </w:r>
      <w:r w:rsidRPr="00561338">
        <w:rPr>
          <w:rFonts w:eastAsia="Palatino Linotype" w:cs="Palatino Linotype"/>
          <w:b/>
          <w:szCs w:val="22"/>
        </w:rPr>
        <w:t xml:space="preserve"> información que no es de carácter público, </w:t>
      </w:r>
      <w:r w:rsidRPr="00561338">
        <w:rPr>
          <w:b/>
          <w:szCs w:val="22"/>
        </w:rPr>
        <w:t>sino que constituye información confidencial</w:t>
      </w:r>
      <w:r w:rsidRPr="00561338">
        <w:rPr>
          <w:szCs w:val="22"/>
        </w:rPr>
        <w:t xml:space="preserve"> en virtud de que corresponde con decisiones personales, y por tanto, se debe clasificar.</w:t>
      </w:r>
    </w:p>
    <w:p w14:paraId="081A8197" w14:textId="77777777" w:rsidR="00E22435" w:rsidRPr="00561338" w:rsidRDefault="00E22435" w:rsidP="00561338">
      <w:pPr>
        <w:pBdr>
          <w:top w:val="nil"/>
          <w:left w:val="nil"/>
          <w:bottom w:val="nil"/>
          <w:right w:val="nil"/>
          <w:between w:val="nil"/>
        </w:pBdr>
        <w:rPr>
          <w:szCs w:val="22"/>
        </w:rPr>
      </w:pPr>
      <w:r w:rsidRPr="00561338">
        <w:rPr>
          <w:szCs w:val="22"/>
        </w:rPr>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7BEA37C6" w14:textId="77777777" w:rsidR="00E22435" w:rsidRPr="00561338" w:rsidRDefault="00E22435" w:rsidP="00561338">
      <w:pPr>
        <w:pBdr>
          <w:top w:val="nil"/>
          <w:left w:val="nil"/>
          <w:bottom w:val="nil"/>
          <w:right w:val="nil"/>
          <w:between w:val="nil"/>
        </w:pBdr>
        <w:spacing w:before="240" w:after="240"/>
        <w:rPr>
          <w:rFonts w:eastAsia="Palatino Linotype" w:cs="Palatino Linotype"/>
          <w:szCs w:val="22"/>
        </w:rPr>
      </w:pPr>
      <w:r w:rsidRPr="00561338">
        <w:rPr>
          <w:rFonts w:eastAsia="Palatino Linotype" w:cs="Palatino Linotype"/>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636A906D" w14:textId="77777777" w:rsidR="00E22435" w:rsidRPr="00561338" w:rsidRDefault="00E22435" w:rsidP="00561338">
      <w:pPr>
        <w:spacing w:before="240" w:after="240"/>
        <w:rPr>
          <w:rFonts w:eastAsia="Palatino Linotype" w:cs="Palatino Linotype"/>
          <w:szCs w:val="22"/>
        </w:rPr>
      </w:pPr>
      <w:bookmarkStart w:id="46" w:name="_heading=h.3j2qqm3" w:colFirst="0" w:colLast="0"/>
      <w:bookmarkEnd w:id="46"/>
      <w:r w:rsidRPr="00561338">
        <w:rPr>
          <w:rFonts w:eastAsia="Palatino Linotype" w:cs="Palatino Linotype"/>
          <w:szCs w:val="22"/>
        </w:rPr>
        <w:t xml:space="preserve">Con relación al </w:t>
      </w:r>
      <w:r w:rsidRPr="00561338">
        <w:rPr>
          <w:rFonts w:eastAsia="Palatino Linotype" w:cs="Palatino Linotype"/>
          <w:b/>
          <w:szCs w:val="22"/>
        </w:rPr>
        <w:t>número de empleado</w:t>
      </w:r>
      <w:r w:rsidRPr="00561338">
        <w:rPr>
          <w:rFonts w:eastAsia="Palatino Linotype" w:cs="Palatino Linotype"/>
          <w:szCs w:val="22"/>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561338">
        <w:rPr>
          <w:rFonts w:eastAsia="Palatino Linotype" w:cs="Palatino Linotype"/>
          <w:szCs w:val="22"/>
          <w:vertAlign w:val="superscript"/>
        </w:rPr>
        <w:footnoteReference w:id="1"/>
      </w:r>
      <w:r w:rsidRPr="00561338">
        <w:rPr>
          <w:rFonts w:eastAsia="Palatino Linotype" w:cs="Palatino Linotype"/>
          <w:szCs w:val="22"/>
        </w:rPr>
        <w:t>.</w:t>
      </w:r>
    </w:p>
    <w:p w14:paraId="0A339C36"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78FC8BB2" w14:textId="77777777" w:rsidR="00E22435" w:rsidRPr="00561338" w:rsidRDefault="00E22435" w:rsidP="00561338">
      <w:pPr>
        <w:pStyle w:val="Puesto"/>
        <w:rPr>
          <w:rFonts w:eastAsia="Palatino Linotype"/>
        </w:rPr>
      </w:pPr>
      <w:r w:rsidRPr="00561338">
        <w:rPr>
          <w:rFonts w:eastAsia="Palatino Linotype"/>
          <w:b/>
        </w:rPr>
        <w:t xml:space="preserve">“Número de empleado. </w:t>
      </w:r>
      <w:r w:rsidRPr="00561338">
        <w:rPr>
          <w:rFonts w:eastAsia="Palatino Linotype"/>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D3B2B1A" w14:textId="77777777" w:rsidR="00794CE3" w:rsidRPr="00561338" w:rsidRDefault="00794CE3" w:rsidP="00561338">
      <w:pPr>
        <w:rPr>
          <w:rFonts w:eastAsia="Palatino Linotype"/>
        </w:rPr>
      </w:pPr>
    </w:p>
    <w:p w14:paraId="0B8821D4" w14:textId="77777777" w:rsidR="00E22435" w:rsidRPr="00561338" w:rsidRDefault="00E22435" w:rsidP="00561338">
      <w:pPr>
        <w:rPr>
          <w:rFonts w:eastAsia="Palatino Linotype"/>
        </w:rPr>
      </w:pPr>
      <w:r w:rsidRPr="00561338">
        <w:rPr>
          <w:rFonts w:eastAsia="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561338">
        <w:rPr>
          <w:rFonts w:eastAsia="Palatino Linotype"/>
          <w:b/>
        </w:rPr>
        <w:t>Sujeto Obligado</w:t>
      </w:r>
      <w:r w:rsidRPr="00561338">
        <w:rPr>
          <w:rFonts w:eastAsia="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41F1754A" w14:textId="77777777" w:rsidR="00794CE3" w:rsidRPr="00561338" w:rsidRDefault="00794CE3" w:rsidP="00561338">
      <w:pPr>
        <w:rPr>
          <w:rFonts w:eastAsia="Palatino Linotype"/>
        </w:rPr>
      </w:pPr>
    </w:p>
    <w:p w14:paraId="43EB56B3" w14:textId="77777777" w:rsidR="00E22435" w:rsidRPr="00561338" w:rsidRDefault="00E22435" w:rsidP="00561338">
      <w:pPr>
        <w:rPr>
          <w:rFonts w:eastAsia="Palatino Linotype"/>
          <w:b/>
        </w:rPr>
      </w:pPr>
      <w:r w:rsidRPr="00561338">
        <w:rPr>
          <w:rFonts w:eastAsia="Palatino Linotype"/>
          <w:b/>
        </w:rPr>
        <w:t xml:space="preserve">De la información fiscal: </w:t>
      </w:r>
    </w:p>
    <w:p w14:paraId="672D607C" w14:textId="77777777" w:rsidR="00794CE3" w:rsidRPr="00561338" w:rsidRDefault="00794CE3" w:rsidP="00561338">
      <w:pPr>
        <w:rPr>
          <w:rFonts w:eastAsia="Palatino Linotype"/>
        </w:rPr>
      </w:pPr>
    </w:p>
    <w:p w14:paraId="3669F5A8" w14:textId="77777777" w:rsidR="00E22435" w:rsidRPr="00561338" w:rsidRDefault="00E22435" w:rsidP="00561338">
      <w:pPr>
        <w:rPr>
          <w:rFonts w:eastAsia="Palatino Linotype"/>
        </w:rPr>
      </w:pPr>
      <w:r w:rsidRPr="00561338">
        <w:rPr>
          <w:rFonts w:eastAsia="Palatino Linotype"/>
        </w:rPr>
        <w:t xml:space="preserve">La </w:t>
      </w:r>
      <w:r w:rsidRPr="00561338">
        <w:rPr>
          <w:rFonts w:eastAsia="Palatino Linotype"/>
          <w:b/>
        </w:rPr>
        <w:t>Cadena Original</w:t>
      </w:r>
      <w:r w:rsidRPr="00561338">
        <w:rPr>
          <w:rFonts w:eastAsia="Palatino Linotype"/>
        </w:rPr>
        <w:t xml:space="preserve"> es la secuencia de datos formada con la información contenida dentro de los comprobantes fiscales, entre los que podría encontrarse de manera enunciativa, más no </w:t>
      </w:r>
      <w:r w:rsidRPr="00561338">
        <w:rPr>
          <w:rFonts w:eastAsia="Palatino Linotype"/>
        </w:rPr>
        <w:lastRenderedPageBreak/>
        <w:t xml:space="preserve">limitativa, el RFC del receptor, es decir del servidor público. En dicho supuesto, la cadena original constituiría información que únicamente atañe al contribuyente, siendo tarea del </w:t>
      </w:r>
      <w:r w:rsidRPr="00561338">
        <w:rPr>
          <w:rFonts w:eastAsia="Palatino Linotype"/>
          <w:b/>
        </w:rPr>
        <w:t>Sujeto Obligado</w:t>
      </w:r>
      <w:r w:rsidRPr="00561338">
        <w:rPr>
          <w:rFonts w:eastAsia="Palatino Linotype"/>
        </w:rPr>
        <w:t xml:space="preserve"> analizar dicha circunstancia con la finalidad de proteger, de ser el caso, la información a través de su clasificación por actualizarse el supuesto de confidencialidad.</w:t>
      </w:r>
    </w:p>
    <w:p w14:paraId="1A02112A"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 xml:space="preserve">Los </w:t>
      </w:r>
      <w:r w:rsidRPr="00561338">
        <w:rPr>
          <w:rFonts w:eastAsia="Palatino Linotype" w:cs="Palatino Linotype"/>
          <w:b/>
          <w:szCs w:val="22"/>
        </w:rPr>
        <w:t>códigos bidimensionales</w:t>
      </w:r>
      <w:r w:rsidRPr="00561338">
        <w:rPr>
          <w:rFonts w:eastAsia="Palatino Linotype" w:cs="Palatino Linotype"/>
          <w:szCs w:val="22"/>
        </w:rPr>
        <w:t xml:space="preserve"> o </w:t>
      </w:r>
      <w:r w:rsidRPr="00561338">
        <w:rPr>
          <w:rFonts w:eastAsia="Palatino Linotype" w:cs="Palatino Linotype"/>
          <w:b/>
          <w:szCs w:val="22"/>
        </w:rPr>
        <w:t xml:space="preserve">códigos QR, </w:t>
      </w:r>
      <w:r w:rsidRPr="00561338">
        <w:rPr>
          <w:rFonts w:eastAsia="Palatino Linotype" w:cs="Palatino Linotype"/>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561338">
        <w:rPr>
          <w:rFonts w:eastAsia="Palatino Linotype" w:cs="Palatino Linotype"/>
          <w:b/>
          <w:szCs w:val="22"/>
        </w:rPr>
        <w:t>Sujeto Obligado</w:t>
      </w:r>
      <w:r w:rsidRPr="00561338">
        <w:rPr>
          <w:rFonts w:eastAsia="Palatino Linotype" w:cs="Palatino Linotype"/>
          <w:szCs w:val="22"/>
        </w:rPr>
        <w:t xml:space="preserve"> analizar dicha circunstancia con la finalidad de determinar si se actualiza algún supuesto de confidencialidad.</w:t>
      </w:r>
    </w:p>
    <w:p w14:paraId="5C5937A5" w14:textId="77777777" w:rsidR="00E22435" w:rsidRPr="00561338" w:rsidRDefault="00E22435" w:rsidP="00561338">
      <w:pPr>
        <w:spacing w:before="240" w:after="240"/>
        <w:rPr>
          <w:rFonts w:eastAsia="Palatino Linotype" w:cs="Palatino Linotype"/>
          <w:szCs w:val="22"/>
        </w:rPr>
      </w:pPr>
      <w:r w:rsidRPr="00561338">
        <w:rPr>
          <w:rFonts w:eastAsia="Palatino Linotype" w:cs="Palatino Linotype"/>
          <w:szCs w:val="22"/>
        </w:rPr>
        <w:t xml:space="preserve">En tal sentido, si derivado del análisis efectuado por el </w:t>
      </w:r>
      <w:r w:rsidRPr="00561338">
        <w:rPr>
          <w:rFonts w:eastAsia="Palatino Linotype" w:cs="Palatino Linotype"/>
          <w:b/>
          <w:szCs w:val="22"/>
        </w:rPr>
        <w:t>Sujeto Obligado</w:t>
      </w:r>
      <w:r w:rsidRPr="00561338">
        <w:rPr>
          <w:rFonts w:eastAsia="Palatino Linotype" w:cs="Palatino Linotype"/>
          <w:szCs w:val="22"/>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012B007D" w14:textId="77777777" w:rsidR="00E21A3C" w:rsidRPr="00561338" w:rsidRDefault="00E21A3C" w:rsidP="00561338">
      <w:pPr>
        <w:pStyle w:val="Ttulo3"/>
        <w:spacing w:line="360" w:lineRule="auto"/>
        <w:ind w:right="-312"/>
        <w:rPr>
          <w:szCs w:val="22"/>
        </w:rPr>
      </w:pPr>
      <w:bookmarkStart w:id="47" w:name="_Toc173835659"/>
      <w:bookmarkStart w:id="48" w:name="_Toc175213882"/>
      <w:bookmarkStart w:id="49" w:name="_Toc177032816"/>
      <w:bookmarkStart w:id="50" w:name="_Toc184230169"/>
      <w:r w:rsidRPr="00561338">
        <w:rPr>
          <w:szCs w:val="22"/>
        </w:rPr>
        <w:t xml:space="preserve">e) </w:t>
      </w:r>
      <w:bookmarkStart w:id="51" w:name="_Toc172203621"/>
      <w:bookmarkStart w:id="52" w:name="_Toc174614254"/>
      <w:bookmarkStart w:id="53" w:name="_Toc175213883"/>
      <w:bookmarkEnd w:id="47"/>
      <w:bookmarkEnd w:id="48"/>
      <w:r w:rsidRPr="00561338">
        <w:rPr>
          <w:szCs w:val="22"/>
        </w:rPr>
        <w:t>Conclusión</w:t>
      </w:r>
      <w:bookmarkEnd w:id="49"/>
      <w:bookmarkEnd w:id="50"/>
      <w:bookmarkEnd w:id="51"/>
      <w:bookmarkEnd w:id="52"/>
      <w:bookmarkEnd w:id="53"/>
    </w:p>
    <w:p w14:paraId="69BE7EFE" w14:textId="64976C17" w:rsidR="00E21A3C" w:rsidRPr="00561338" w:rsidRDefault="00E21A3C" w:rsidP="00561338">
      <w:pPr>
        <w:ind w:right="-312"/>
        <w:rPr>
          <w:rFonts w:eastAsia="Palatino Linotype" w:cs="Palatino Linotype"/>
          <w:szCs w:val="22"/>
        </w:rPr>
      </w:pPr>
      <w:r w:rsidRPr="00561338">
        <w:rPr>
          <w:rFonts w:eastAsia="Palatino Linotype" w:cs="Palatino Linotype"/>
          <w:szCs w:val="22"/>
        </w:rPr>
        <w:t xml:space="preserve">En razón de lo anteriormente expuesto, este Instituto estima que las </w:t>
      </w:r>
      <w:r w:rsidRPr="00561338">
        <w:rPr>
          <w:rFonts w:cs="Arial"/>
          <w:bCs/>
          <w:szCs w:val="22"/>
        </w:rPr>
        <w:t>razones</w:t>
      </w:r>
      <w:r w:rsidRPr="00561338">
        <w:rPr>
          <w:rFonts w:eastAsia="Palatino Linotype" w:cs="Palatino Linotype"/>
          <w:szCs w:val="22"/>
        </w:rPr>
        <w:t xml:space="preserve"> o motivos de inconformidad hechos valer por </w:t>
      </w:r>
      <w:r w:rsidRPr="00561338">
        <w:rPr>
          <w:rFonts w:eastAsiaTheme="minorHAnsi" w:cs="Tahoma"/>
          <w:b/>
          <w:iCs/>
          <w:szCs w:val="22"/>
          <w:lang w:eastAsia="en-US"/>
        </w:rPr>
        <w:t>LA PARTE RECURRENTE</w:t>
      </w:r>
      <w:r w:rsidRPr="00561338">
        <w:rPr>
          <w:rFonts w:eastAsiaTheme="minorHAnsi" w:cs="Tahoma"/>
          <w:bCs/>
          <w:iCs/>
          <w:szCs w:val="22"/>
          <w:lang w:eastAsia="en-US"/>
        </w:rPr>
        <w:t xml:space="preserve"> </w:t>
      </w:r>
      <w:r w:rsidRPr="00561338">
        <w:rPr>
          <w:rFonts w:eastAsia="Palatino Linotype" w:cs="Palatino Linotype"/>
          <w:szCs w:val="22"/>
        </w:rPr>
        <w:t xml:space="preserve">devienen </w:t>
      </w:r>
      <w:r w:rsidRPr="00561338">
        <w:rPr>
          <w:rFonts w:eastAsia="Palatino Linotype" w:cs="Palatino Linotype"/>
          <w:b/>
          <w:szCs w:val="22"/>
        </w:rPr>
        <w:t>fundadas</w:t>
      </w:r>
      <w:r w:rsidRPr="00561338">
        <w:rPr>
          <w:rFonts w:eastAsia="Palatino Linotype" w:cs="Palatino Linotype"/>
          <w:szCs w:val="22"/>
        </w:rPr>
        <w:t xml:space="preserve"> y suficientes para </w:t>
      </w:r>
      <w:r w:rsidR="00E22435" w:rsidRPr="00561338">
        <w:rPr>
          <w:rFonts w:eastAsia="Palatino Linotype" w:cs="Palatino Linotype"/>
          <w:b/>
          <w:szCs w:val="22"/>
        </w:rPr>
        <w:t>REVOCAR</w:t>
      </w:r>
      <w:r w:rsidRPr="00561338">
        <w:rPr>
          <w:rFonts w:eastAsia="Palatino Linotype" w:cs="Palatino Linotype"/>
          <w:szCs w:val="22"/>
        </w:rPr>
        <w:t xml:space="preserve"> la</w:t>
      </w:r>
      <w:r w:rsidR="008A2E0F" w:rsidRPr="00561338">
        <w:rPr>
          <w:rFonts w:eastAsia="Palatino Linotype" w:cs="Palatino Linotype"/>
          <w:szCs w:val="22"/>
        </w:rPr>
        <w:t>s</w:t>
      </w:r>
      <w:r w:rsidRPr="00561338">
        <w:rPr>
          <w:rFonts w:eastAsia="Palatino Linotype" w:cs="Palatino Linotype"/>
          <w:szCs w:val="22"/>
        </w:rPr>
        <w:t xml:space="preserve"> </w:t>
      </w:r>
      <w:r w:rsidR="008A2E0F" w:rsidRPr="00561338">
        <w:rPr>
          <w:rFonts w:eastAsia="Palatino Linotype" w:cs="Palatino Linotype"/>
          <w:szCs w:val="22"/>
        </w:rPr>
        <w:t>respuestas</w:t>
      </w:r>
      <w:r w:rsidRPr="00561338">
        <w:rPr>
          <w:rFonts w:eastAsia="Palatino Linotype" w:cs="Palatino Linotype"/>
          <w:szCs w:val="22"/>
        </w:rPr>
        <w:t xml:space="preserve"> del </w:t>
      </w:r>
      <w:r w:rsidRPr="00561338">
        <w:rPr>
          <w:rFonts w:eastAsia="Palatino Linotype" w:cs="Palatino Linotype"/>
          <w:b/>
          <w:szCs w:val="22"/>
        </w:rPr>
        <w:t>SUJETO OBLIGADO</w:t>
      </w:r>
      <w:r w:rsidRPr="00561338">
        <w:rPr>
          <w:rFonts w:eastAsia="Palatino Linotype" w:cs="Palatino Linotype"/>
          <w:szCs w:val="22"/>
        </w:rPr>
        <w:t xml:space="preserve"> y ordenarle haga entrega de la información </w:t>
      </w:r>
      <w:r w:rsidR="0099693A" w:rsidRPr="00561338">
        <w:rPr>
          <w:rFonts w:eastAsia="Palatino Linotype" w:cs="Palatino Linotype"/>
          <w:szCs w:val="22"/>
        </w:rPr>
        <w:t>precisada en el presente considerando</w:t>
      </w:r>
      <w:r w:rsidRPr="00561338">
        <w:rPr>
          <w:rFonts w:eastAsia="Palatino Linotype" w:cs="Palatino Linotype"/>
          <w:szCs w:val="22"/>
        </w:rPr>
        <w:t>.</w:t>
      </w:r>
    </w:p>
    <w:p w14:paraId="714B463F" w14:textId="77777777" w:rsidR="0093358E" w:rsidRPr="00561338" w:rsidRDefault="0093358E" w:rsidP="00561338">
      <w:pPr>
        <w:ind w:right="-312"/>
        <w:rPr>
          <w:rFonts w:eastAsia="Palatino Linotype" w:cs="Palatino Linotype"/>
          <w:szCs w:val="22"/>
        </w:rPr>
      </w:pPr>
    </w:p>
    <w:p w14:paraId="227454A1" w14:textId="77777777" w:rsidR="00E21A3C" w:rsidRPr="00561338" w:rsidRDefault="00E21A3C" w:rsidP="00561338">
      <w:pPr>
        <w:ind w:right="-312"/>
        <w:rPr>
          <w:rFonts w:cs="Tahoma"/>
          <w:bCs/>
          <w:szCs w:val="22"/>
        </w:rPr>
      </w:pPr>
      <w:bookmarkStart w:id="54" w:name="_Hlk165381027"/>
      <w:r w:rsidRPr="0056133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DF7123" w14:textId="77777777" w:rsidR="00E21A3C" w:rsidRPr="00561338" w:rsidRDefault="00E21A3C" w:rsidP="00561338">
      <w:pPr>
        <w:ind w:right="-312"/>
        <w:rPr>
          <w:rFonts w:cs="Tahoma"/>
          <w:bCs/>
          <w:szCs w:val="22"/>
        </w:rPr>
      </w:pPr>
    </w:p>
    <w:p w14:paraId="0E0444F4" w14:textId="77777777" w:rsidR="00E21A3C" w:rsidRPr="00561338" w:rsidRDefault="00E21A3C" w:rsidP="00561338">
      <w:pPr>
        <w:pStyle w:val="Ttulo1"/>
        <w:ind w:right="-312"/>
        <w:rPr>
          <w:szCs w:val="22"/>
        </w:rPr>
      </w:pPr>
      <w:bookmarkStart w:id="55" w:name="_Toc172203622"/>
      <w:bookmarkStart w:id="56" w:name="_Toc174614255"/>
      <w:bookmarkStart w:id="57" w:name="_Toc175213884"/>
      <w:bookmarkStart w:id="58" w:name="_Toc177032817"/>
      <w:bookmarkStart w:id="59" w:name="_Toc184230170"/>
      <w:bookmarkEnd w:id="54"/>
      <w:r w:rsidRPr="00561338">
        <w:rPr>
          <w:szCs w:val="22"/>
        </w:rPr>
        <w:t>RESUELVE</w:t>
      </w:r>
      <w:bookmarkEnd w:id="55"/>
      <w:bookmarkEnd w:id="56"/>
      <w:bookmarkEnd w:id="57"/>
      <w:bookmarkEnd w:id="58"/>
      <w:bookmarkEnd w:id="59"/>
    </w:p>
    <w:p w14:paraId="54D5F412" w14:textId="77777777" w:rsidR="00E21A3C" w:rsidRPr="00561338" w:rsidRDefault="00E21A3C" w:rsidP="00561338">
      <w:pPr>
        <w:ind w:right="-312"/>
        <w:rPr>
          <w:rFonts w:cs="Arial"/>
          <w:b/>
          <w:szCs w:val="22"/>
        </w:rPr>
      </w:pPr>
    </w:p>
    <w:p w14:paraId="2F012F8E" w14:textId="1821CFCA" w:rsidR="00E21A3C" w:rsidRPr="00561338" w:rsidRDefault="00E21A3C" w:rsidP="00561338">
      <w:pPr>
        <w:widowControl w:val="0"/>
        <w:ind w:right="-312"/>
        <w:rPr>
          <w:rFonts w:eastAsia="Calibri" w:cs="Tahoma"/>
          <w:bCs/>
          <w:szCs w:val="22"/>
          <w:lang w:eastAsia="en-US"/>
        </w:rPr>
      </w:pPr>
      <w:r w:rsidRPr="00561338">
        <w:rPr>
          <w:b/>
          <w:bCs/>
          <w:szCs w:val="22"/>
        </w:rPr>
        <w:t>PRIMERO.</w:t>
      </w:r>
      <w:r w:rsidRPr="00561338">
        <w:rPr>
          <w:szCs w:val="22"/>
        </w:rPr>
        <w:t xml:space="preserve"> </w:t>
      </w:r>
      <w:r w:rsidRPr="00561338">
        <w:rPr>
          <w:rFonts w:cs="Tahoma"/>
          <w:szCs w:val="22"/>
        </w:rPr>
        <w:t xml:space="preserve">Se </w:t>
      </w:r>
      <w:r w:rsidR="00E22435" w:rsidRPr="00561338">
        <w:rPr>
          <w:rFonts w:cs="Tahoma"/>
          <w:b/>
          <w:bCs/>
          <w:szCs w:val="22"/>
        </w:rPr>
        <w:t>REVOCAN</w:t>
      </w:r>
      <w:r w:rsidRPr="00561338">
        <w:rPr>
          <w:rFonts w:cs="Tahoma"/>
          <w:szCs w:val="22"/>
        </w:rPr>
        <w:t xml:space="preserve"> la</w:t>
      </w:r>
      <w:r w:rsidR="0095450A" w:rsidRPr="00561338">
        <w:rPr>
          <w:rFonts w:cs="Tahoma"/>
          <w:szCs w:val="22"/>
        </w:rPr>
        <w:t>s</w:t>
      </w:r>
      <w:r w:rsidRPr="00561338">
        <w:rPr>
          <w:rFonts w:cs="Tahoma"/>
          <w:szCs w:val="22"/>
        </w:rPr>
        <w:t xml:space="preserve"> respuesta</w:t>
      </w:r>
      <w:r w:rsidR="0095450A" w:rsidRPr="00561338">
        <w:rPr>
          <w:rFonts w:cs="Tahoma"/>
          <w:szCs w:val="22"/>
        </w:rPr>
        <w:t>s</w:t>
      </w:r>
      <w:r w:rsidRPr="00561338">
        <w:rPr>
          <w:rFonts w:cs="Tahoma"/>
          <w:szCs w:val="22"/>
        </w:rPr>
        <w:t xml:space="preserve"> entregada</w:t>
      </w:r>
      <w:r w:rsidR="0095450A" w:rsidRPr="00561338">
        <w:rPr>
          <w:rFonts w:cs="Tahoma"/>
          <w:szCs w:val="22"/>
        </w:rPr>
        <w:t>s</w:t>
      </w:r>
      <w:r w:rsidRPr="00561338">
        <w:rPr>
          <w:rFonts w:cs="Tahoma"/>
          <w:szCs w:val="22"/>
        </w:rPr>
        <w:t xml:space="preserve"> por </w:t>
      </w:r>
      <w:r w:rsidR="0095450A" w:rsidRPr="00561338">
        <w:rPr>
          <w:rFonts w:cs="Tahoma"/>
          <w:b/>
          <w:szCs w:val="22"/>
        </w:rPr>
        <w:t xml:space="preserve">EL </w:t>
      </w:r>
      <w:r w:rsidRPr="00561338">
        <w:rPr>
          <w:rFonts w:cs="Tahoma"/>
          <w:b/>
          <w:bCs/>
          <w:szCs w:val="22"/>
        </w:rPr>
        <w:t>SUJETO OBLIGADO</w:t>
      </w:r>
      <w:r w:rsidRPr="00561338">
        <w:rPr>
          <w:rFonts w:cs="Tahoma"/>
          <w:szCs w:val="22"/>
        </w:rPr>
        <w:t xml:space="preserve"> en la</w:t>
      </w:r>
      <w:r w:rsidR="0095450A" w:rsidRPr="00561338">
        <w:rPr>
          <w:rFonts w:cs="Tahoma"/>
          <w:szCs w:val="22"/>
        </w:rPr>
        <w:t>s</w:t>
      </w:r>
      <w:r w:rsidRPr="00561338">
        <w:rPr>
          <w:rFonts w:cs="Tahoma"/>
          <w:szCs w:val="22"/>
        </w:rPr>
        <w:t xml:space="preserve"> solicitud</w:t>
      </w:r>
      <w:r w:rsidR="0095450A" w:rsidRPr="00561338">
        <w:rPr>
          <w:rFonts w:cs="Tahoma"/>
          <w:szCs w:val="22"/>
        </w:rPr>
        <w:t>es</w:t>
      </w:r>
      <w:r w:rsidRPr="00561338">
        <w:rPr>
          <w:rFonts w:cs="Tahoma"/>
          <w:szCs w:val="22"/>
        </w:rPr>
        <w:t xml:space="preserve"> de información </w:t>
      </w:r>
      <w:r w:rsidR="008B6431" w:rsidRPr="00561338">
        <w:rPr>
          <w:rFonts w:eastAsia="Palatino Linotype" w:cs="Palatino Linotype"/>
          <w:b/>
          <w:szCs w:val="22"/>
        </w:rPr>
        <w:t>0016</w:t>
      </w:r>
      <w:r w:rsidR="00DA483B" w:rsidRPr="00561338">
        <w:rPr>
          <w:rFonts w:eastAsia="Palatino Linotype" w:cs="Palatino Linotype"/>
          <w:b/>
          <w:szCs w:val="22"/>
        </w:rPr>
        <w:t>2</w:t>
      </w:r>
      <w:r w:rsidR="008B6431" w:rsidRPr="00561338">
        <w:rPr>
          <w:rFonts w:eastAsia="Palatino Linotype" w:cs="Palatino Linotype"/>
          <w:b/>
          <w:szCs w:val="22"/>
        </w:rPr>
        <w:t>/ACAMBAY/IP/2024</w:t>
      </w:r>
      <w:r w:rsidR="0073787C" w:rsidRPr="00561338">
        <w:rPr>
          <w:rFonts w:eastAsia="Palatino Linotype" w:cs="Palatino Linotype"/>
          <w:b/>
          <w:szCs w:val="22"/>
        </w:rPr>
        <w:t xml:space="preserve"> </w:t>
      </w:r>
      <w:r w:rsidR="0095450A" w:rsidRPr="00561338">
        <w:rPr>
          <w:rFonts w:eastAsia="Palatino Linotype" w:cs="Palatino Linotype"/>
          <w:bCs/>
          <w:szCs w:val="22"/>
        </w:rPr>
        <w:t xml:space="preserve">y </w:t>
      </w:r>
      <w:r w:rsidR="00E31383" w:rsidRPr="00561338">
        <w:rPr>
          <w:rFonts w:eastAsia="Palatino Linotype" w:cs="Palatino Linotype"/>
          <w:b/>
          <w:szCs w:val="22"/>
        </w:rPr>
        <w:t>0016</w:t>
      </w:r>
      <w:r w:rsidR="00DA483B" w:rsidRPr="00561338">
        <w:rPr>
          <w:rFonts w:eastAsia="Palatino Linotype" w:cs="Palatino Linotype"/>
          <w:b/>
          <w:szCs w:val="22"/>
        </w:rPr>
        <w:t>3</w:t>
      </w:r>
      <w:r w:rsidR="00E31383" w:rsidRPr="00561338">
        <w:rPr>
          <w:rFonts w:eastAsia="Palatino Linotype" w:cs="Palatino Linotype"/>
          <w:b/>
          <w:szCs w:val="22"/>
        </w:rPr>
        <w:t>/ACAMBAY/IP/2024</w:t>
      </w:r>
      <w:r w:rsidRPr="00561338">
        <w:rPr>
          <w:rFonts w:cs="Tahoma"/>
          <w:bCs/>
          <w:szCs w:val="22"/>
        </w:rPr>
        <w:t xml:space="preserve">, </w:t>
      </w:r>
      <w:r w:rsidRPr="00561338">
        <w:rPr>
          <w:rFonts w:eastAsia="Calibri" w:cs="Tahoma"/>
          <w:bCs/>
          <w:szCs w:val="22"/>
          <w:lang w:eastAsia="en-US"/>
        </w:rPr>
        <w:t xml:space="preserve">por resultar </w:t>
      </w:r>
      <w:r w:rsidRPr="00561338">
        <w:rPr>
          <w:rFonts w:eastAsia="Calibri" w:cs="Tahoma"/>
          <w:b/>
          <w:bCs/>
          <w:szCs w:val="22"/>
          <w:lang w:eastAsia="en-US"/>
        </w:rPr>
        <w:t>FUNDADAS</w:t>
      </w:r>
      <w:r w:rsidRPr="00561338">
        <w:rPr>
          <w:rFonts w:eastAsia="Calibri" w:cs="Tahoma"/>
          <w:bCs/>
          <w:szCs w:val="22"/>
          <w:lang w:eastAsia="en-US"/>
        </w:rPr>
        <w:t xml:space="preserve"> las razones o motivos de inconformidad hechos valer por </w:t>
      </w:r>
      <w:r w:rsidRPr="00561338">
        <w:rPr>
          <w:rFonts w:eastAsia="Calibri" w:cs="Tahoma"/>
          <w:b/>
          <w:szCs w:val="22"/>
          <w:lang w:eastAsia="en-US"/>
        </w:rPr>
        <w:t>LA PARTE RECURRENTE</w:t>
      </w:r>
      <w:r w:rsidRPr="00561338">
        <w:rPr>
          <w:rFonts w:eastAsia="Calibri" w:cs="Tahoma"/>
          <w:bCs/>
          <w:szCs w:val="22"/>
          <w:lang w:eastAsia="en-US"/>
        </w:rPr>
        <w:t xml:space="preserve"> en </w:t>
      </w:r>
      <w:r w:rsidR="0095450A" w:rsidRPr="00561338">
        <w:rPr>
          <w:rFonts w:eastAsia="Calibri" w:cs="Tahoma"/>
          <w:bCs/>
          <w:szCs w:val="22"/>
          <w:lang w:eastAsia="en-US"/>
        </w:rPr>
        <w:t>los</w:t>
      </w:r>
      <w:r w:rsidRPr="00561338">
        <w:rPr>
          <w:rFonts w:eastAsia="Calibri" w:cs="Tahoma"/>
          <w:bCs/>
          <w:szCs w:val="22"/>
          <w:lang w:eastAsia="en-US"/>
        </w:rPr>
        <w:t xml:space="preserve"> Recurso</w:t>
      </w:r>
      <w:r w:rsidR="0095450A" w:rsidRPr="00561338">
        <w:rPr>
          <w:rFonts w:eastAsia="Calibri" w:cs="Tahoma"/>
          <w:bCs/>
          <w:szCs w:val="22"/>
          <w:lang w:eastAsia="en-US"/>
        </w:rPr>
        <w:t>s</w:t>
      </w:r>
      <w:r w:rsidRPr="00561338">
        <w:rPr>
          <w:rFonts w:eastAsia="Calibri" w:cs="Tahoma"/>
          <w:bCs/>
          <w:szCs w:val="22"/>
          <w:lang w:eastAsia="en-US"/>
        </w:rPr>
        <w:t xml:space="preserve"> de Revisión </w:t>
      </w:r>
      <w:r w:rsidR="006149FB" w:rsidRPr="00561338">
        <w:rPr>
          <w:rFonts w:eastAsiaTheme="minorHAnsi" w:cstheme="minorBidi"/>
          <w:b/>
          <w:bCs/>
          <w:szCs w:val="22"/>
          <w:lang w:eastAsia="en-US"/>
        </w:rPr>
        <w:t>07092/INFOEM/IP/RR/2024</w:t>
      </w:r>
      <w:r w:rsidR="008A2E0F" w:rsidRPr="00561338">
        <w:rPr>
          <w:rFonts w:eastAsiaTheme="minorHAnsi" w:cstheme="minorBidi"/>
          <w:bCs/>
          <w:szCs w:val="22"/>
          <w:lang w:eastAsia="en-US"/>
        </w:rPr>
        <w:t xml:space="preserve"> </w:t>
      </w:r>
      <w:r w:rsidR="0095450A" w:rsidRPr="00561338">
        <w:rPr>
          <w:rFonts w:eastAsiaTheme="minorHAnsi" w:cstheme="minorBidi"/>
          <w:bCs/>
          <w:szCs w:val="22"/>
          <w:lang w:eastAsia="en-US"/>
        </w:rPr>
        <w:t>y</w:t>
      </w:r>
      <w:r w:rsidR="0095450A" w:rsidRPr="00561338">
        <w:rPr>
          <w:rFonts w:eastAsiaTheme="minorHAnsi" w:cstheme="minorBidi"/>
          <w:b/>
          <w:bCs/>
          <w:szCs w:val="22"/>
          <w:lang w:eastAsia="en-US"/>
        </w:rPr>
        <w:t xml:space="preserve"> </w:t>
      </w:r>
      <w:r w:rsidR="00E31383" w:rsidRPr="00561338">
        <w:rPr>
          <w:rFonts w:eastAsiaTheme="minorHAnsi" w:cstheme="minorBidi"/>
          <w:b/>
          <w:bCs/>
          <w:szCs w:val="22"/>
          <w:lang w:eastAsia="en-US"/>
        </w:rPr>
        <w:t>07133/INFOEM/IP/RR/2024</w:t>
      </w:r>
      <w:r w:rsidR="0095450A" w:rsidRPr="00561338">
        <w:rPr>
          <w:rFonts w:eastAsiaTheme="minorHAnsi" w:cstheme="minorBidi"/>
          <w:b/>
          <w:bCs/>
          <w:szCs w:val="22"/>
          <w:lang w:eastAsia="en-US"/>
        </w:rPr>
        <w:t xml:space="preserve"> acumulados</w:t>
      </w:r>
      <w:r w:rsidRPr="00561338">
        <w:rPr>
          <w:rFonts w:eastAsiaTheme="minorHAnsi" w:cstheme="minorBidi"/>
          <w:szCs w:val="22"/>
          <w:lang w:eastAsia="en-US"/>
        </w:rPr>
        <w:t>,</w:t>
      </w:r>
      <w:r w:rsidRPr="00561338">
        <w:rPr>
          <w:rFonts w:cs="Tahoma"/>
          <w:b/>
          <w:szCs w:val="22"/>
        </w:rPr>
        <w:t xml:space="preserve"> </w:t>
      </w:r>
      <w:r w:rsidRPr="00561338">
        <w:rPr>
          <w:rFonts w:eastAsia="Calibri" w:cs="Tahoma"/>
          <w:bCs/>
          <w:szCs w:val="22"/>
          <w:lang w:eastAsia="en-US"/>
        </w:rPr>
        <w:t xml:space="preserve">en términos del considerando </w:t>
      </w:r>
      <w:r w:rsidRPr="00561338">
        <w:rPr>
          <w:rFonts w:eastAsia="Calibri" w:cs="Tahoma"/>
          <w:b/>
          <w:szCs w:val="22"/>
          <w:lang w:eastAsia="en-US"/>
        </w:rPr>
        <w:t>SEGUNDO</w:t>
      </w:r>
      <w:r w:rsidRPr="00561338">
        <w:rPr>
          <w:rFonts w:eastAsia="Calibri" w:cs="Tahoma"/>
          <w:bCs/>
          <w:szCs w:val="22"/>
          <w:lang w:eastAsia="en-US"/>
        </w:rPr>
        <w:t xml:space="preserve"> de la presente Resolución.</w:t>
      </w:r>
    </w:p>
    <w:p w14:paraId="5B8A2C55" w14:textId="77777777" w:rsidR="00E21A3C" w:rsidRPr="00561338" w:rsidRDefault="00E21A3C" w:rsidP="00561338">
      <w:pPr>
        <w:widowControl w:val="0"/>
        <w:ind w:right="-312"/>
        <w:rPr>
          <w:rFonts w:eastAsia="Calibri" w:cs="Tahoma"/>
          <w:bCs/>
          <w:szCs w:val="22"/>
          <w:lang w:eastAsia="en-US"/>
        </w:rPr>
      </w:pPr>
    </w:p>
    <w:p w14:paraId="5ED3993C" w14:textId="613BE381" w:rsidR="00E21A3C" w:rsidRPr="00561338" w:rsidRDefault="00E21A3C" w:rsidP="00561338">
      <w:pPr>
        <w:ind w:right="-312"/>
        <w:rPr>
          <w:rFonts w:eastAsia="Calibri" w:cs="Tahoma"/>
          <w:bCs/>
          <w:szCs w:val="22"/>
          <w:lang w:eastAsia="en-US"/>
        </w:rPr>
      </w:pPr>
      <w:r w:rsidRPr="00561338">
        <w:rPr>
          <w:rFonts w:eastAsia="Calibri" w:cs="Tahoma"/>
          <w:b/>
          <w:bCs/>
          <w:szCs w:val="22"/>
          <w:lang w:eastAsia="en-US"/>
        </w:rPr>
        <w:t>SEGUNDO.</w:t>
      </w:r>
      <w:r w:rsidRPr="00561338">
        <w:rPr>
          <w:rFonts w:eastAsia="Calibri" w:cs="Tahoma"/>
          <w:szCs w:val="22"/>
        </w:rPr>
        <w:t xml:space="preserve"> Se </w:t>
      </w:r>
      <w:r w:rsidRPr="00561338">
        <w:rPr>
          <w:rFonts w:eastAsia="Calibri" w:cs="Tahoma"/>
          <w:b/>
          <w:szCs w:val="22"/>
        </w:rPr>
        <w:t xml:space="preserve">ORDENA </w:t>
      </w:r>
      <w:r w:rsidRPr="00561338">
        <w:rPr>
          <w:rFonts w:eastAsia="Calibri" w:cs="Tahoma"/>
          <w:szCs w:val="22"/>
        </w:rPr>
        <w:t xml:space="preserve">al </w:t>
      </w:r>
      <w:r w:rsidRPr="00561338">
        <w:rPr>
          <w:rFonts w:eastAsia="Calibri" w:cs="Tahoma"/>
          <w:b/>
          <w:bCs/>
          <w:szCs w:val="22"/>
        </w:rPr>
        <w:t>SUJETO OBLIGADO</w:t>
      </w:r>
      <w:r w:rsidRPr="00561338">
        <w:rPr>
          <w:rFonts w:eastAsia="Calibri" w:cs="Tahoma"/>
          <w:szCs w:val="22"/>
        </w:rPr>
        <w:t xml:space="preserve">, </w:t>
      </w:r>
      <w:r w:rsidRPr="00561338">
        <w:rPr>
          <w:rFonts w:eastAsia="Calibri" w:cs="Tahoma"/>
          <w:bCs/>
          <w:szCs w:val="22"/>
          <w:lang w:eastAsia="en-US"/>
        </w:rPr>
        <w:t xml:space="preserve">a efecto de que entregue a través del </w:t>
      </w:r>
      <w:r w:rsidRPr="00561338">
        <w:rPr>
          <w:rFonts w:eastAsia="Calibri" w:cs="Tahoma"/>
          <w:b/>
          <w:bCs/>
          <w:szCs w:val="22"/>
          <w:lang w:eastAsia="en-US"/>
        </w:rPr>
        <w:t>SAIMEX</w:t>
      </w:r>
      <w:r w:rsidRPr="00561338">
        <w:rPr>
          <w:rFonts w:eastAsia="Calibri" w:cs="Tahoma"/>
          <w:bCs/>
          <w:szCs w:val="22"/>
          <w:lang w:eastAsia="en-US"/>
        </w:rPr>
        <w:t xml:space="preserve">, en </w:t>
      </w:r>
      <w:r w:rsidRPr="00561338">
        <w:rPr>
          <w:rFonts w:eastAsia="Calibri" w:cs="Tahoma"/>
          <w:b/>
          <w:bCs/>
          <w:szCs w:val="22"/>
          <w:lang w:eastAsia="en-US"/>
        </w:rPr>
        <w:t xml:space="preserve">versión pública, </w:t>
      </w:r>
      <w:r w:rsidRPr="00561338">
        <w:rPr>
          <w:rFonts w:eastAsia="Calibri" w:cs="Tahoma"/>
          <w:bCs/>
          <w:szCs w:val="22"/>
          <w:lang w:eastAsia="en-US"/>
        </w:rPr>
        <w:t>lo siguiente:</w:t>
      </w:r>
    </w:p>
    <w:p w14:paraId="76AA8343" w14:textId="77777777" w:rsidR="00E21A3C" w:rsidRPr="00561338" w:rsidRDefault="00E21A3C" w:rsidP="00561338">
      <w:pPr>
        <w:widowControl w:val="0"/>
        <w:spacing w:line="276" w:lineRule="auto"/>
        <w:ind w:right="-312"/>
        <w:rPr>
          <w:b/>
          <w:bCs/>
          <w:szCs w:val="22"/>
        </w:rPr>
      </w:pPr>
    </w:p>
    <w:p w14:paraId="08DC8813" w14:textId="77777777" w:rsidR="0099693A" w:rsidRPr="00561338" w:rsidRDefault="0099693A" w:rsidP="00561338">
      <w:pPr>
        <w:spacing w:line="240" w:lineRule="auto"/>
        <w:ind w:left="927" w:right="539"/>
        <w:rPr>
          <w:rFonts w:eastAsia="Calibri" w:cs="Tahoma"/>
          <w:bCs/>
          <w:i/>
          <w:szCs w:val="22"/>
          <w:lang w:eastAsia="en-US"/>
        </w:rPr>
      </w:pPr>
    </w:p>
    <w:p w14:paraId="775C6E20" w14:textId="4DC382D2" w:rsidR="00E22435" w:rsidRPr="00561338" w:rsidRDefault="00E22435" w:rsidP="00561338">
      <w:pPr>
        <w:spacing w:line="240" w:lineRule="auto"/>
        <w:ind w:left="851" w:right="822"/>
        <w:rPr>
          <w:rFonts w:eastAsia="Calibri" w:cs="Tahoma"/>
          <w:bCs/>
          <w:i/>
          <w:szCs w:val="22"/>
          <w:lang w:eastAsia="en-US"/>
        </w:rPr>
      </w:pPr>
      <w:r w:rsidRPr="00561338">
        <w:rPr>
          <w:rFonts w:eastAsia="Calibri" w:cs="Tahoma"/>
          <w:bCs/>
          <w:i/>
          <w:szCs w:val="22"/>
          <w:lang w:eastAsia="en-US"/>
        </w:rPr>
        <w:t>a) Los recibos de nómina del Sistema Municipal DIF</w:t>
      </w:r>
      <w:r w:rsidR="001D5D96" w:rsidRPr="00561338">
        <w:rPr>
          <w:rFonts w:eastAsia="Calibri" w:cs="Tahoma"/>
          <w:bCs/>
          <w:i/>
          <w:szCs w:val="22"/>
          <w:lang w:eastAsia="en-US"/>
        </w:rPr>
        <w:t>, correspondientes a la segunda quincena de septiembre de 2024</w:t>
      </w:r>
      <w:r w:rsidRPr="00561338">
        <w:rPr>
          <w:rFonts w:eastAsia="Calibri" w:cs="Tahoma"/>
          <w:bCs/>
          <w:i/>
          <w:szCs w:val="22"/>
          <w:lang w:eastAsia="en-US"/>
        </w:rPr>
        <w:t>.</w:t>
      </w:r>
    </w:p>
    <w:p w14:paraId="61D51D3A" w14:textId="77777777" w:rsidR="00E22435" w:rsidRPr="00561338" w:rsidRDefault="00E22435" w:rsidP="00561338">
      <w:pPr>
        <w:spacing w:line="240" w:lineRule="auto"/>
        <w:ind w:left="851" w:right="822"/>
        <w:rPr>
          <w:rFonts w:eastAsia="Calibri" w:cs="Tahoma"/>
          <w:bCs/>
          <w:i/>
          <w:szCs w:val="22"/>
          <w:lang w:eastAsia="en-US"/>
        </w:rPr>
      </w:pPr>
    </w:p>
    <w:p w14:paraId="7526BB2F" w14:textId="4381B393" w:rsidR="00AB0EBE" w:rsidRPr="00561338" w:rsidRDefault="00E22435" w:rsidP="00561338">
      <w:pPr>
        <w:spacing w:line="240" w:lineRule="auto"/>
        <w:ind w:left="851" w:right="822"/>
        <w:rPr>
          <w:rFonts w:eastAsia="Calibri" w:cs="Tahoma"/>
          <w:bCs/>
          <w:i/>
          <w:szCs w:val="22"/>
          <w:lang w:eastAsia="en-US"/>
        </w:rPr>
      </w:pPr>
      <w:r w:rsidRPr="00561338">
        <w:rPr>
          <w:rFonts w:eastAsia="Calibri" w:cs="Tahoma"/>
          <w:bCs/>
          <w:i/>
          <w:szCs w:val="22"/>
          <w:lang w:eastAsia="en-US"/>
        </w:rPr>
        <w:t>b) Los recibos de nómina del Instituto Municipal de Cultura Física y Deporte</w:t>
      </w:r>
      <w:r w:rsidR="001D5D96" w:rsidRPr="00561338">
        <w:rPr>
          <w:rFonts w:eastAsia="Calibri" w:cs="Tahoma"/>
          <w:bCs/>
          <w:i/>
          <w:szCs w:val="22"/>
          <w:lang w:eastAsia="en-US"/>
        </w:rPr>
        <w:t>, correspondientes a la segunda quincena de septiembre de 2024</w:t>
      </w:r>
      <w:r w:rsidRPr="00561338">
        <w:rPr>
          <w:rFonts w:eastAsia="Calibri" w:cs="Tahoma"/>
          <w:bCs/>
          <w:i/>
          <w:szCs w:val="22"/>
          <w:lang w:eastAsia="en-US"/>
        </w:rPr>
        <w:t>.</w:t>
      </w:r>
    </w:p>
    <w:p w14:paraId="185A78B3" w14:textId="77777777" w:rsidR="00E22435" w:rsidRPr="00561338" w:rsidRDefault="00E22435" w:rsidP="00561338">
      <w:pPr>
        <w:spacing w:line="240" w:lineRule="auto"/>
        <w:ind w:left="851" w:right="822"/>
        <w:rPr>
          <w:rFonts w:eastAsia="Calibri" w:cs="Tahoma"/>
          <w:bCs/>
          <w:i/>
          <w:szCs w:val="22"/>
          <w:lang w:eastAsia="en-US"/>
        </w:rPr>
      </w:pPr>
    </w:p>
    <w:p w14:paraId="266F628E" w14:textId="528C996C" w:rsidR="00E21A3C" w:rsidRPr="00561338" w:rsidRDefault="00DA483B" w:rsidP="00561338">
      <w:pPr>
        <w:spacing w:line="240" w:lineRule="auto"/>
        <w:ind w:left="851" w:right="822"/>
        <w:rPr>
          <w:rFonts w:eastAsia="Calibri" w:cs="Tahoma"/>
          <w:bCs/>
          <w:i/>
          <w:szCs w:val="22"/>
          <w:lang w:eastAsia="en-US"/>
        </w:rPr>
      </w:pPr>
      <w:r w:rsidRPr="00561338">
        <w:rPr>
          <w:rFonts w:eastAsia="Calibri" w:cs="Tahoma"/>
          <w:bCs/>
          <w:i/>
          <w:szCs w:val="22"/>
          <w:lang w:eastAsia="en-US"/>
        </w:rPr>
        <w:t xml:space="preserve">Para </w:t>
      </w:r>
      <w:r w:rsidR="00E21A3C" w:rsidRPr="00561338">
        <w:rPr>
          <w:rFonts w:eastAsia="Calibri" w:cs="Tahoma"/>
          <w:bCs/>
          <w:i/>
          <w:szCs w:val="22"/>
          <w:lang w:eastAsia="en-US"/>
        </w:rPr>
        <w:t>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E19DDBA" w14:textId="77777777" w:rsidR="00E21A3C" w:rsidRPr="00561338" w:rsidRDefault="00E21A3C" w:rsidP="00561338">
      <w:pPr>
        <w:ind w:right="-312"/>
        <w:rPr>
          <w:szCs w:val="22"/>
        </w:rPr>
      </w:pPr>
      <w:r w:rsidRPr="00561338">
        <w:rPr>
          <w:b/>
          <w:bCs/>
          <w:szCs w:val="22"/>
        </w:rPr>
        <w:lastRenderedPageBreak/>
        <w:t>TERCERO.</w:t>
      </w:r>
      <w:r w:rsidRPr="00561338">
        <w:rPr>
          <w:szCs w:val="22"/>
        </w:rPr>
        <w:t xml:space="preserve"> Notifíquese vía Sistema de Acceso a la Información Mexiquense (</w:t>
      </w:r>
      <w:r w:rsidRPr="00561338">
        <w:rPr>
          <w:b/>
          <w:szCs w:val="22"/>
        </w:rPr>
        <w:t>SAIMEX</w:t>
      </w:r>
      <w:r w:rsidRPr="00561338">
        <w:rPr>
          <w:szCs w:val="22"/>
        </w:rPr>
        <w:t xml:space="preserve">) la presente resolución al Titular de la Unidad de Transparencia del </w:t>
      </w:r>
      <w:r w:rsidRPr="00561338">
        <w:rPr>
          <w:b/>
          <w:bCs/>
          <w:szCs w:val="22"/>
        </w:rPr>
        <w:t>SUJETO OBLIGADO</w:t>
      </w:r>
      <w:r w:rsidRPr="00561338">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561338">
        <w:rPr>
          <w:b/>
          <w:bCs/>
          <w:szCs w:val="22"/>
        </w:rPr>
        <w:t>diez días hábiles</w:t>
      </w:r>
      <w:r w:rsidRPr="00561338">
        <w:rPr>
          <w:szCs w:val="22"/>
        </w:rPr>
        <w:t xml:space="preserve">, e informe a este Instituto en un plazo de </w:t>
      </w:r>
      <w:r w:rsidRPr="00561338">
        <w:rPr>
          <w:b/>
          <w:bCs/>
          <w:szCs w:val="22"/>
        </w:rPr>
        <w:t>tres días hábiles</w:t>
      </w:r>
      <w:r w:rsidRPr="00561338">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5BEC62" w14:textId="77777777" w:rsidR="00E21A3C" w:rsidRPr="00561338" w:rsidRDefault="00E21A3C" w:rsidP="00561338">
      <w:pPr>
        <w:ind w:right="-312"/>
        <w:rPr>
          <w:szCs w:val="22"/>
        </w:rPr>
      </w:pPr>
    </w:p>
    <w:p w14:paraId="2E882DD7" w14:textId="77777777" w:rsidR="00E21A3C" w:rsidRPr="00561338" w:rsidRDefault="00E21A3C" w:rsidP="00561338">
      <w:pPr>
        <w:ind w:right="-312"/>
        <w:rPr>
          <w:szCs w:val="22"/>
        </w:rPr>
      </w:pPr>
      <w:r w:rsidRPr="00561338">
        <w:rPr>
          <w:b/>
          <w:bCs/>
          <w:szCs w:val="22"/>
        </w:rPr>
        <w:t>CUARTO.</w:t>
      </w:r>
      <w:r w:rsidRPr="00561338">
        <w:rPr>
          <w:szCs w:val="22"/>
        </w:rPr>
        <w:t xml:space="preserve"> Notifíquese a </w:t>
      </w:r>
      <w:r w:rsidRPr="00561338">
        <w:rPr>
          <w:b/>
          <w:bCs/>
          <w:szCs w:val="22"/>
        </w:rPr>
        <w:t>LA PARTE RECURRENTE</w:t>
      </w:r>
      <w:r w:rsidRPr="00561338">
        <w:rPr>
          <w:szCs w:val="22"/>
        </w:rPr>
        <w:t xml:space="preserve"> la presente resolución vía Sistema de Acceso a la Información Mexiquense (</w:t>
      </w:r>
      <w:r w:rsidRPr="00561338">
        <w:rPr>
          <w:b/>
          <w:szCs w:val="22"/>
        </w:rPr>
        <w:t>SAIMEX</w:t>
      </w:r>
      <w:r w:rsidRPr="00561338">
        <w:rPr>
          <w:szCs w:val="22"/>
        </w:rPr>
        <w:t>).</w:t>
      </w:r>
    </w:p>
    <w:p w14:paraId="39535A76" w14:textId="77777777" w:rsidR="00E21A3C" w:rsidRPr="00561338" w:rsidRDefault="00E21A3C" w:rsidP="00561338">
      <w:pPr>
        <w:ind w:right="-312"/>
        <w:rPr>
          <w:szCs w:val="22"/>
        </w:rPr>
      </w:pPr>
    </w:p>
    <w:p w14:paraId="4DC23409" w14:textId="77777777" w:rsidR="00E21A3C" w:rsidRPr="00561338" w:rsidRDefault="00E21A3C" w:rsidP="00561338">
      <w:pPr>
        <w:ind w:right="-312"/>
        <w:rPr>
          <w:szCs w:val="22"/>
        </w:rPr>
      </w:pPr>
      <w:r w:rsidRPr="00561338">
        <w:rPr>
          <w:b/>
          <w:bCs/>
          <w:szCs w:val="22"/>
        </w:rPr>
        <w:t>QUINTO</w:t>
      </w:r>
      <w:r w:rsidRPr="00561338">
        <w:rPr>
          <w:szCs w:val="22"/>
        </w:rPr>
        <w:t xml:space="preserve">. Hágase del conocimiento a </w:t>
      </w:r>
      <w:r w:rsidRPr="00561338">
        <w:rPr>
          <w:b/>
          <w:bCs/>
          <w:szCs w:val="22"/>
        </w:rPr>
        <w:t>LA PARTE RECURRENTE</w:t>
      </w:r>
      <w:r w:rsidRPr="00561338">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E532EF0" w14:textId="77777777" w:rsidR="00E21A3C" w:rsidRPr="00561338" w:rsidRDefault="00E21A3C" w:rsidP="00561338">
      <w:pPr>
        <w:ind w:right="-312"/>
        <w:rPr>
          <w:szCs w:val="22"/>
        </w:rPr>
      </w:pPr>
    </w:p>
    <w:p w14:paraId="483C75B8" w14:textId="77777777" w:rsidR="00E21A3C" w:rsidRPr="00561338" w:rsidRDefault="00E21A3C" w:rsidP="00561338">
      <w:pPr>
        <w:ind w:right="-312"/>
        <w:rPr>
          <w:szCs w:val="22"/>
        </w:rPr>
      </w:pPr>
      <w:r w:rsidRPr="00561338">
        <w:rPr>
          <w:b/>
          <w:bCs/>
          <w:szCs w:val="22"/>
        </w:rPr>
        <w:t>SEXTO.</w:t>
      </w:r>
      <w:r w:rsidRPr="00561338">
        <w:rPr>
          <w:szCs w:val="22"/>
        </w:rPr>
        <w:t xml:space="preserve"> De conformidad con el artículo 198 de la Ley de Transparencia y Acceso a la Información Pública del Estado de México y Municipios, el </w:t>
      </w:r>
      <w:r w:rsidRPr="00561338">
        <w:rPr>
          <w:b/>
          <w:bCs/>
          <w:szCs w:val="22"/>
        </w:rPr>
        <w:t>SUJETO OBLIGADO</w:t>
      </w:r>
      <w:r w:rsidRPr="00561338">
        <w:rPr>
          <w:szCs w:val="22"/>
        </w:rPr>
        <w:t xml:space="preserve"> podrá solicitar una ampliación de plazo de manera fundada y motivada, para el cumplimiento de la presente resolución.</w:t>
      </w:r>
    </w:p>
    <w:p w14:paraId="5EB7D1B4" w14:textId="77777777" w:rsidR="00807E27" w:rsidRPr="00561338" w:rsidRDefault="00807E27" w:rsidP="00561338">
      <w:pPr>
        <w:ind w:right="-312"/>
        <w:rPr>
          <w:szCs w:val="22"/>
        </w:rPr>
      </w:pPr>
    </w:p>
    <w:p w14:paraId="5D066F73" w14:textId="231E7450" w:rsidR="00F660AE" w:rsidRPr="00561338" w:rsidRDefault="00054F72" w:rsidP="00561338">
      <w:pPr>
        <w:rPr>
          <w:szCs w:val="22"/>
        </w:rPr>
      </w:pPr>
      <w:r w:rsidRPr="00561338">
        <w:rPr>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D6A03" w:rsidRPr="00561338">
        <w:rPr>
          <w:szCs w:val="22"/>
        </w:rPr>
        <w:t xml:space="preserve">CUADRAGÉSIMA </w:t>
      </w:r>
      <w:r w:rsidR="00CF4133" w:rsidRPr="00561338">
        <w:rPr>
          <w:szCs w:val="22"/>
        </w:rPr>
        <w:t>SEGUNDA</w:t>
      </w:r>
      <w:r w:rsidR="00B56E67" w:rsidRPr="00561338">
        <w:rPr>
          <w:szCs w:val="22"/>
        </w:rPr>
        <w:t xml:space="preserve"> </w:t>
      </w:r>
      <w:r w:rsidRPr="00561338">
        <w:rPr>
          <w:szCs w:val="22"/>
        </w:rPr>
        <w:t xml:space="preserve">SESIÓN ORDINARIA, CELEBRADA EL </w:t>
      </w:r>
      <w:r w:rsidR="00CF4133" w:rsidRPr="00561338">
        <w:rPr>
          <w:szCs w:val="22"/>
        </w:rPr>
        <w:t>CUATRO DE DICIEMBRE</w:t>
      </w:r>
      <w:r w:rsidRPr="00561338">
        <w:rPr>
          <w:szCs w:val="22"/>
        </w:rPr>
        <w:t xml:space="preserve"> DE DOS MIL VEINTICUATRO ANTE EL SECRETARIO TÉCNICO DEL PLENO, ALEXIS TAPIA RAMÍREZ.</w:t>
      </w:r>
    </w:p>
    <w:p w14:paraId="5AEE82D7" w14:textId="25316B92" w:rsidR="00F660AE" w:rsidRPr="00561338" w:rsidRDefault="00054F72" w:rsidP="00561338">
      <w:pPr>
        <w:ind w:right="-93"/>
        <w:rPr>
          <w:szCs w:val="22"/>
        </w:rPr>
      </w:pPr>
      <w:r w:rsidRPr="00561338">
        <w:rPr>
          <w:szCs w:val="22"/>
        </w:rPr>
        <w:t>SCMM/AGZ/DEMF/</w:t>
      </w:r>
      <w:r w:rsidR="00C8631A" w:rsidRPr="00561338">
        <w:rPr>
          <w:szCs w:val="22"/>
        </w:rPr>
        <w:t>PAG</w:t>
      </w:r>
    </w:p>
    <w:p w14:paraId="26681CAA" w14:textId="77777777" w:rsidR="00F660AE" w:rsidRPr="00561338" w:rsidRDefault="00F660AE" w:rsidP="00561338">
      <w:pPr>
        <w:ind w:right="-93"/>
        <w:rPr>
          <w:szCs w:val="22"/>
        </w:rPr>
      </w:pPr>
    </w:p>
    <w:p w14:paraId="03205DA9" w14:textId="77777777" w:rsidR="00F660AE" w:rsidRPr="00561338" w:rsidRDefault="00F660AE" w:rsidP="00561338">
      <w:pPr>
        <w:ind w:right="-93"/>
        <w:rPr>
          <w:szCs w:val="22"/>
        </w:rPr>
      </w:pPr>
    </w:p>
    <w:p w14:paraId="0BB5BCD8" w14:textId="77777777" w:rsidR="00F660AE" w:rsidRPr="00561338" w:rsidRDefault="00F660AE" w:rsidP="00561338">
      <w:pPr>
        <w:ind w:right="-93"/>
        <w:rPr>
          <w:szCs w:val="22"/>
        </w:rPr>
      </w:pPr>
    </w:p>
    <w:p w14:paraId="561A5089" w14:textId="77777777" w:rsidR="00F660AE" w:rsidRPr="00561338" w:rsidRDefault="00F660AE" w:rsidP="00561338">
      <w:pPr>
        <w:ind w:right="-93"/>
        <w:rPr>
          <w:szCs w:val="22"/>
        </w:rPr>
      </w:pPr>
    </w:p>
    <w:p w14:paraId="4A906CBB" w14:textId="77777777" w:rsidR="00F660AE" w:rsidRPr="00561338" w:rsidRDefault="00F660AE" w:rsidP="00561338">
      <w:pPr>
        <w:ind w:right="-93"/>
        <w:rPr>
          <w:szCs w:val="22"/>
        </w:rPr>
      </w:pPr>
    </w:p>
    <w:p w14:paraId="21A80BBD" w14:textId="77777777" w:rsidR="00F660AE" w:rsidRPr="00561338" w:rsidRDefault="00F660AE" w:rsidP="00561338">
      <w:pPr>
        <w:ind w:right="-93"/>
        <w:rPr>
          <w:szCs w:val="22"/>
        </w:rPr>
      </w:pPr>
    </w:p>
    <w:p w14:paraId="46D72847" w14:textId="77777777" w:rsidR="00F660AE" w:rsidRPr="00561338" w:rsidRDefault="00F660AE" w:rsidP="00561338">
      <w:pPr>
        <w:tabs>
          <w:tab w:val="center" w:pos="4568"/>
        </w:tabs>
        <w:ind w:right="-93"/>
        <w:rPr>
          <w:szCs w:val="22"/>
        </w:rPr>
      </w:pPr>
    </w:p>
    <w:p w14:paraId="473104BC" w14:textId="77777777" w:rsidR="00F660AE" w:rsidRPr="00561338" w:rsidRDefault="00F660AE" w:rsidP="00561338">
      <w:pPr>
        <w:tabs>
          <w:tab w:val="center" w:pos="4568"/>
        </w:tabs>
        <w:ind w:right="-93"/>
        <w:rPr>
          <w:szCs w:val="22"/>
        </w:rPr>
      </w:pPr>
    </w:p>
    <w:p w14:paraId="3E8F6B13" w14:textId="77777777" w:rsidR="00F660AE" w:rsidRPr="00561338" w:rsidRDefault="00F660AE" w:rsidP="00561338">
      <w:pPr>
        <w:tabs>
          <w:tab w:val="center" w:pos="4568"/>
        </w:tabs>
        <w:ind w:right="-93"/>
        <w:rPr>
          <w:szCs w:val="22"/>
        </w:rPr>
      </w:pPr>
    </w:p>
    <w:p w14:paraId="1F0B9C62" w14:textId="77777777" w:rsidR="00F660AE" w:rsidRPr="00561338" w:rsidRDefault="00F660AE" w:rsidP="00561338">
      <w:pPr>
        <w:tabs>
          <w:tab w:val="center" w:pos="4568"/>
        </w:tabs>
        <w:ind w:right="-93"/>
        <w:rPr>
          <w:szCs w:val="22"/>
        </w:rPr>
      </w:pPr>
    </w:p>
    <w:p w14:paraId="1B7B2555" w14:textId="77777777" w:rsidR="00F660AE" w:rsidRPr="00561338" w:rsidRDefault="00F660AE" w:rsidP="00561338">
      <w:pPr>
        <w:tabs>
          <w:tab w:val="center" w:pos="4568"/>
        </w:tabs>
        <w:ind w:right="-93"/>
        <w:rPr>
          <w:szCs w:val="22"/>
        </w:rPr>
      </w:pPr>
    </w:p>
    <w:p w14:paraId="5E53FD87" w14:textId="77777777" w:rsidR="00F660AE" w:rsidRPr="00561338" w:rsidRDefault="00F660AE" w:rsidP="00561338">
      <w:pPr>
        <w:tabs>
          <w:tab w:val="center" w:pos="4568"/>
        </w:tabs>
        <w:ind w:right="-93"/>
        <w:rPr>
          <w:szCs w:val="22"/>
        </w:rPr>
      </w:pPr>
    </w:p>
    <w:p w14:paraId="5732011A" w14:textId="77777777" w:rsidR="00F660AE" w:rsidRPr="00561338" w:rsidRDefault="00F660AE" w:rsidP="00561338">
      <w:pPr>
        <w:tabs>
          <w:tab w:val="center" w:pos="4568"/>
        </w:tabs>
        <w:ind w:right="-93"/>
        <w:rPr>
          <w:szCs w:val="22"/>
        </w:rPr>
      </w:pPr>
    </w:p>
    <w:p w14:paraId="34613337" w14:textId="77777777" w:rsidR="00F660AE" w:rsidRPr="00561338" w:rsidRDefault="00F660AE" w:rsidP="00561338">
      <w:pPr>
        <w:tabs>
          <w:tab w:val="center" w:pos="4568"/>
        </w:tabs>
        <w:ind w:right="-93"/>
        <w:rPr>
          <w:szCs w:val="22"/>
        </w:rPr>
      </w:pPr>
    </w:p>
    <w:p w14:paraId="0FF6869F" w14:textId="77777777" w:rsidR="00F660AE" w:rsidRPr="00561338" w:rsidRDefault="00F660AE" w:rsidP="00561338">
      <w:pPr>
        <w:tabs>
          <w:tab w:val="center" w:pos="4568"/>
        </w:tabs>
        <w:ind w:right="-93"/>
        <w:rPr>
          <w:szCs w:val="22"/>
        </w:rPr>
      </w:pPr>
    </w:p>
    <w:p w14:paraId="7504D57F" w14:textId="77777777" w:rsidR="00F660AE" w:rsidRPr="00561338" w:rsidRDefault="00F660AE" w:rsidP="00561338">
      <w:pPr>
        <w:rPr>
          <w:szCs w:val="22"/>
        </w:rPr>
      </w:pPr>
    </w:p>
    <w:p w14:paraId="6EB8421B" w14:textId="77777777" w:rsidR="00BE16EE" w:rsidRPr="00561338" w:rsidRDefault="00BE16EE" w:rsidP="00561338">
      <w:pPr>
        <w:rPr>
          <w:szCs w:val="22"/>
        </w:rPr>
      </w:pPr>
    </w:p>
    <w:sectPr w:rsidR="00BE16EE" w:rsidRPr="00561338">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8148" w14:textId="77777777" w:rsidR="00482385" w:rsidRDefault="00482385">
      <w:pPr>
        <w:spacing w:line="240" w:lineRule="auto"/>
      </w:pPr>
      <w:r>
        <w:separator/>
      </w:r>
    </w:p>
  </w:endnote>
  <w:endnote w:type="continuationSeparator" w:id="0">
    <w:p w14:paraId="6B0DA43E" w14:textId="77777777" w:rsidR="00482385" w:rsidRDefault="00482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794CE3" w:rsidRDefault="00794CE3">
    <w:pPr>
      <w:tabs>
        <w:tab w:val="center" w:pos="4550"/>
        <w:tab w:val="left" w:pos="5818"/>
      </w:tabs>
      <w:ind w:right="260"/>
      <w:jc w:val="right"/>
      <w:rPr>
        <w:color w:val="071320"/>
        <w:sz w:val="24"/>
        <w:szCs w:val="24"/>
      </w:rPr>
    </w:pPr>
  </w:p>
  <w:p w14:paraId="35272DD7" w14:textId="77777777" w:rsidR="00794CE3" w:rsidRDefault="00794CE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794CE3" w:rsidRDefault="00794CE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2464B">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2464B">
      <w:rPr>
        <w:noProof/>
        <w:color w:val="0A1D30"/>
        <w:sz w:val="24"/>
        <w:szCs w:val="24"/>
      </w:rPr>
      <w:t>45</w:t>
    </w:r>
    <w:r>
      <w:rPr>
        <w:color w:val="0A1D30"/>
        <w:sz w:val="24"/>
        <w:szCs w:val="24"/>
      </w:rPr>
      <w:fldChar w:fldCharType="end"/>
    </w:r>
  </w:p>
  <w:p w14:paraId="7F187162" w14:textId="77777777" w:rsidR="00794CE3" w:rsidRDefault="00794CE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7A5EC" w14:textId="77777777" w:rsidR="00482385" w:rsidRDefault="00482385">
      <w:pPr>
        <w:spacing w:line="240" w:lineRule="auto"/>
      </w:pPr>
      <w:r>
        <w:separator/>
      </w:r>
    </w:p>
  </w:footnote>
  <w:footnote w:type="continuationSeparator" w:id="0">
    <w:p w14:paraId="3E73950F" w14:textId="77777777" w:rsidR="00482385" w:rsidRDefault="00482385">
      <w:pPr>
        <w:spacing w:line="240" w:lineRule="auto"/>
      </w:pPr>
      <w:r>
        <w:continuationSeparator/>
      </w:r>
    </w:p>
  </w:footnote>
  <w:footnote w:id="1">
    <w:p w14:paraId="65B8A867" w14:textId="77777777" w:rsidR="00794CE3" w:rsidRDefault="00794CE3" w:rsidP="00E22435">
      <w:pPr>
        <w:pBdr>
          <w:top w:val="nil"/>
          <w:left w:val="nil"/>
          <w:bottom w:val="nil"/>
          <w:right w:val="nil"/>
          <w:between w:val="nil"/>
        </w:pBdr>
        <w:tabs>
          <w:tab w:val="right" w:pos="0"/>
        </w:tabs>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794CE3" w:rsidRDefault="00794CE3">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94CE3" w14:paraId="2C4B9E2E" w14:textId="77777777">
      <w:trPr>
        <w:trHeight w:val="144"/>
        <w:jc w:val="right"/>
      </w:trPr>
      <w:tc>
        <w:tcPr>
          <w:tcW w:w="2727" w:type="dxa"/>
        </w:tcPr>
        <w:p w14:paraId="35995B33" w14:textId="77777777" w:rsidR="00794CE3" w:rsidRDefault="00794CE3">
          <w:pPr>
            <w:tabs>
              <w:tab w:val="right" w:pos="8838"/>
            </w:tabs>
            <w:ind w:left="-74" w:right="-105"/>
            <w:rPr>
              <w:b/>
            </w:rPr>
          </w:pPr>
          <w:r>
            <w:rPr>
              <w:b/>
            </w:rPr>
            <w:t>Recurso de Revisión:</w:t>
          </w:r>
        </w:p>
      </w:tc>
      <w:tc>
        <w:tcPr>
          <w:tcW w:w="3402" w:type="dxa"/>
        </w:tcPr>
        <w:p w14:paraId="574C7C5B" w14:textId="513171E2" w:rsidR="00794CE3" w:rsidRDefault="00794CE3">
          <w:pPr>
            <w:tabs>
              <w:tab w:val="right" w:pos="8838"/>
            </w:tabs>
            <w:ind w:left="-74" w:right="-105"/>
          </w:pPr>
          <w:r w:rsidRPr="00CF4133">
            <w:t>07092/INFOEM/IP/RR/2024</w:t>
          </w:r>
          <w:r>
            <w:t xml:space="preserve"> y acumulado.</w:t>
          </w:r>
        </w:p>
      </w:tc>
    </w:tr>
    <w:tr w:rsidR="00794CE3" w14:paraId="7CD591C0" w14:textId="77777777">
      <w:trPr>
        <w:trHeight w:val="283"/>
        <w:jc w:val="right"/>
      </w:trPr>
      <w:tc>
        <w:tcPr>
          <w:tcW w:w="2727" w:type="dxa"/>
        </w:tcPr>
        <w:p w14:paraId="6C000C7F" w14:textId="77777777" w:rsidR="00794CE3" w:rsidRDefault="00794CE3">
          <w:pPr>
            <w:tabs>
              <w:tab w:val="right" w:pos="8838"/>
            </w:tabs>
            <w:ind w:left="-74" w:right="-105"/>
            <w:rPr>
              <w:b/>
            </w:rPr>
          </w:pPr>
          <w:r>
            <w:rPr>
              <w:b/>
            </w:rPr>
            <w:t>Sujeto Obligado:</w:t>
          </w:r>
        </w:p>
      </w:tc>
      <w:tc>
        <w:tcPr>
          <w:tcW w:w="3402" w:type="dxa"/>
        </w:tcPr>
        <w:p w14:paraId="58EC5068" w14:textId="6F6B3478" w:rsidR="00794CE3" w:rsidRDefault="00794CE3" w:rsidP="004307D5">
          <w:pPr>
            <w:tabs>
              <w:tab w:val="left" w:pos="2834"/>
              <w:tab w:val="right" w:pos="8838"/>
            </w:tabs>
            <w:ind w:left="-108" w:right="-105"/>
          </w:pPr>
          <w:r w:rsidRPr="008B6431">
            <w:t>Ayuntamiento de Acambay de Ruíz Castañeda</w:t>
          </w:r>
        </w:p>
      </w:tc>
    </w:tr>
    <w:tr w:rsidR="00794CE3" w14:paraId="543DC2C6" w14:textId="77777777">
      <w:trPr>
        <w:trHeight w:val="283"/>
        <w:jc w:val="right"/>
      </w:trPr>
      <w:tc>
        <w:tcPr>
          <w:tcW w:w="2727" w:type="dxa"/>
        </w:tcPr>
        <w:p w14:paraId="28456923" w14:textId="77777777" w:rsidR="00794CE3" w:rsidRDefault="00794CE3">
          <w:pPr>
            <w:tabs>
              <w:tab w:val="right" w:pos="8838"/>
            </w:tabs>
            <w:ind w:left="-74" w:right="-105"/>
            <w:rPr>
              <w:b/>
            </w:rPr>
          </w:pPr>
          <w:r>
            <w:rPr>
              <w:b/>
            </w:rPr>
            <w:t>Comisionada Ponente:</w:t>
          </w:r>
        </w:p>
      </w:tc>
      <w:tc>
        <w:tcPr>
          <w:tcW w:w="3402" w:type="dxa"/>
        </w:tcPr>
        <w:p w14:paraId="09DF3D42" w14:textId="77777777" w:rsidR="00794CE3" w:rsidRDefault="00794CE3">
          <w:pPr>
            <w:tabs>
              <w:tab w:val="right" w:pos="8838"/>
            </w:tabs>
            <w:ind w:left="-108" w:right="-105"/>
          </w:pPr>
          <w:r>
            <w:t>Sharon Cristina Morales Martínez</w:t>
          </w:r>
        </w:p>
      </w:tc>
    </w:tr>
  </w:tbl>
  <w:p w14:paraId="60660FCD" w14:textId="77777777" w:rsidR="00794CE3" w:rsidRDefault="00794CE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3D472F77" w:rsidR="00794CE3" w:rsidRDefault="00482385">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65pt;margin-top:-172.1pt;width:663.5pt;height:12in;z-index:-251658240;mso-position-horizontal-relative:margin;mso-position-vertical-relative:margin">
          <v:imagedata r:id="rId1" o:title="image1"/>
          <w10:wrap anchorx="margin" anchory="margin"/>
        </v:shape>
      </w:pict>
    </w:r>
  </w:p>
  <w:tbl>
    <w:tblPr>
      <w:tblStyle w:val="a4"/>
      <w:tblW w:w="6661" w:type="dxa"/>
      <w:tblInd w:w="2552" w:type="dxa"/>
      <w:tblLayout w:type="fixed"/>
      <w:tblLook w:val="0400" w:firstRow="0" w:lastRow="0" w:firstColumn="0" w:lastColumn="0" w:noHBand="0" w:noVBand="1"/>
    </w:tblPr>
    <w:tblGrid>
      <w:gridCol w:w="283"/>
      <w:gridCol w:w="6378"/>
    </w:tblGrid>
    <w:tr w:rsidR="00794CE3" w14:paraId="4A2D4894" w14:textId="77777777">
      <w:trPr>
        <w:trHeight w:val="1435"/>
      </w:trPr>
      <w:tc>
        <w:tcPr>
          <w:tcW w:w="283" w:type="dxa"/>
          <w:shd w:val="clear" w:color="auto" w:fill="auto"/>
        </w:tcPr>
        <w:p w14:paraId="364AB38A" w14:textId="77777777" w:rsidR="00794CE3" w:rsidRDefault="00794CE3">
          <w:pPr>
            <w:tabs>
              <w:tab w:val="right" w:pos="4273"/>
            </w:tabs>
            <w:rPr>
              <w:rFonts w:ascii="Garamond" w:eastAsia="Garamond" w:hAnsi="Garamond" w:cs="Garamond"/>
            </w:rPr>
          </w:pPr>
        </w:p>
      </w:tc>
      <w:tc>
        <w:tcPr>
          <w:tcW w:w="6379" w:type="dxa"/>
          <w:shd w:val="clear" w:color="auto" w:fill="auto"/>
        </w:tcPr>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94CE3" w14:paraId="04AFFD9D" w14:textId="77777777">
            <w:trPr>
              <w:trHeight w:val="144"/>
            </w:trPr>
            <w:tc>
              <w:tcPr>
                <w:tcW w:w="2727" w:type="dxa"/>
              </w:tcPr>
              <w:p w14:paraId="4223F00E" w14:textId="77777777" w:rsidR="00794CE3" w:rsidRDefault="00794CE3">
                <w:pPr>
                  <w:tabs>
                    <w:tab w:val="right" w:pos="8838"/>
                  </w:tabs>
                  <w:ind w:left="-74" w:right="-105"/>
                  <w:rPr>
                    <w:b/>
                  </w:rPr>
                </w:pPr>
                <w:bookmarkStart w:id="0" w:name="_heading=h.32hioqz" w:colFirst="0" w:colLast="0"/>
                <w:bookmarkStart w:id="1" w:name="_Hlk177736152"/>
                <w:bookmarkEnd w:id="0"/>
                <w:r>
                  <w:rPr>
                    <w:b/>
                  </w:rPr>
                  <w:t>Recurso de Revisión:</w:t>
                </w:r>
              </w:p>
            </w:tc>
            <w:tc>
              <w:tcPr>
                <w:tcW w:w="3402" w:type="dxa"/>
              </w:tcPr>
              <w:p w14:paraId="77BD1DAD" w14:textId="39E59D74" w:rsidR="00794CE3" w:rsidRDefault="00794CE3">
                <w:pPr>
                  <w:tabs>
                    <w:tab w:val="right" w:pos="8838"/>
                  </w:tabs>
                  <w:ind w:left="-74" w:right="-105"/>
                </w:pPr>
                <w:r w:rsidRPr="00CF4133">
                  <w:t>07092/INFOEM/IP/RR/2024</w:t>
                </w:r>
                <w:r>
                  <w:t xml:space="preserve"> y acumulado. </w:t>
                </w:r>
              </w:p>
            </w:tc>
            <w:tc>
              <w:tcPr>
                <w:tcW w:w="3402" w:type="dxa"/>
              </w:tcPr>
              <w:p w14:paraId="2D2878D3" w14:textId="77777777" w:rsidR="00794CE3" w:rsidRDefault="00794CE3">
                <w:pPr>
                  <w:tabs>
                    <w:tab w:val="right" w:pos="8838"/>
                  </w:tabs>
                  <w:ind w:left="-74" w:right="-105"/>
                </w:pPr>
              </w:p>
            </w:tc>
          </w:tr>
          <w:tr w:rsidR="00794CE3" w14:paraId="63235672" w14:textId="77777777">
            <w:trPr>
              <w:trHeight w:val="144"/>
            </w:trPr>
            <w:tc>
              <w:tcPr>
                <w:tcW w:w="2727" w:type="dxa"/>
              </w:tcPr>
              <w:p w14:paraId="6EA12408" w14:textId="77777777" w:rsidR="00794CE3" w:rsidRDefault="00794CE3">
                <w:pPr>
                  <w:tabs>
                    <w:tab w:val="right" w:pos="8838"/>
                  </w:tabs>
                  <w:ind w:left="-74" w:right="-105"/>
                  <w:rPr>
                    <w:b/>
                  </w:rPr>
                </w:pPr>
                <w:bookmarkStart w:id="2" w:name="_heading=h.1hmsyys" w:colFirst="0" w:colLast="0"/>
                <w:bookmarkEnd w:id="2"/>
                <w:r>
                  <w:rPr>
                    <w:b/>
                  </w:rPr>
                  <w:t>Recurrente:</w:t>
                </w:r>
              </w:p>
            </w:tc>
            <w:tc>
              <w:tcPr>
                <w:tcW w:w="3402" w:type="dxa"/>
              </w:tcPr>
              <w:p w14:paraId="36F0495B" w14:textId="31601B7F" w:rsidR="00794CE3" w:rsidRDefault="0052464B" w:rsidP="001538BD">
                <w:pPr>
                  <w:tabs>
                    <w:tab w:val="left" w:pos="3122"/>
                    <w:tab w:val="right" w:pos="8838"/>
                  </w:tabs>
                  <w:ind w:left="-105" w:right="-105"/>
                </w:pPr>
                <w:r>
                  <w:t>XXXXXXXXXXX XXXXX XXXXX</w:t>
                </w:r>
              </w:p>
            </w:tc>
            <w:tc>
              <w:tcPr>
                <w:tcW w:w="3402" w:type="dxa"/>
              </w:tcPr>
              <w:p w14:paraId="3B3B0B0A" w14:textId="77777777" w:rsidR="00794CE3" w:rsidRDefault="00794CE3">
                <w:pPr>
                  <w:tabs>
                    <w:tab w:val="left" w:pos="3122"/>
                    <w:tab w:val="right" w:pos="8838"/>
                  </w:tabs>
                  <w:ind w:left="-105" w:right="-105"/>
                </w:pPr>
              </w:p>
            </w:tc>
          </w:tr>
          <w:tr w:rsidR="00794CE3" w14:paraId="39718186" w14:textId="77777777">
            <w:trPr>
              <w:trHeight w:val="283"/>
            </w:trPr>
            <w:tc>
              <w:tcPr>
                <w:tcW w:w="2727" w:type="dxa"/>
              </w:tcPr>
              <w:p w14:paraId="5DB84F1F" w14:textId="77777777" w:rsidR="00794CE3" w:rsidRDefault="00794CE3">
                <w:pPr>
                  <w:tabs>
                    <w:tab w:val="right" w:pos="8838"/>
                  </w:tabs>
                  <w:ind w:left="-74" w:right="-105"/>
                  <w:rPr>
                    <w:b/>
                  </w:rPr>
                </w:pPr>
                <w:r>
                  <w:rPr>
                    <w:b/>
                  </w:rPr>
                  <w:t>Sujeto Obligado:</w:t>
                </w:r>
              </w:p>
            </w:tc>
            <w:tc>
              <w:tcPr>
                <w:tcW w:w="3402" w:type="dxa"/>
              </w:tcPr>
              <w:p w14:paraId="02C02DD5" w14:textId="64C0ACA3" w:rsidR="00794CE3" w:rsidRDefault="00794CE3" w:rsidP="004307D5">
                <w:pPr>
                  <w:tabs>
                    <w:tab w:val="left" w:pos="2834"/>
                    <w:tab w:val="right" w:pos="8838"/>
                  </w:tabs>
                  <w:ind w:left="-108" w:right="-105"/>
                </w:pPr>
                <w:r w:rsidRPr="008B6431">
                  <w:t>Ayuntamiento de Acambay de Ruíz Castañeda</w:t>
                </w:r>
              </w:p>
            </w:tc>
            <w:tc>
              <w:tcPr>
                <w:tcW w:w="3402" w:type="dxa"/>
              </w:tcPr>
              <w:p w14:paraId="21AB087E" w14:textId="77777777" w:rsidR="00794CE3" w:rsidRDefault="00794CE3">
                <w:pPr>
                  <w:tabs>
                    <w:tab w:val="left" w:pos="2834"/>
                    <w:tab w:val="right" w:pos="8838"/>
                  </w:tabs>
                  <w:ind w:left="-108" w:right="-105"/>
                </w:pPr>
              </w:p>
            </w:tc>
          </w:tr>
          <w:tr w:rsidR="00794CE3" w14:paraId="65B4723A" w14:textId="77777777">
            <w:trPr>
              <w:trHeight w:val="283"/>
            </w:trPr>
            <w:tc>
              <w:tcPr>
                <w:tcW w:w="2727" w:type="dxa"/>
              </w:tcPr>
              <w:p w14:paraId="5282C18D" w14:textId="77777777" w:rsidR="00794CE3" w:rsidRDefault="00794CE3">
                <w:pPr>
                  <w:tabs>
                    <w:tab w:val="right" w:pos="8838"/>
                  </w:tabs>
                  <w:ind w:left="-74" w:right="-105"/>
                  <w:rPr>
                    <w:b/>
                  </w:rPr>
                </w:pPr>
                <w:r>
                  <w:rPr>
                    <w:b/>
                  </w:rPr>
                  <w:t>Comisionada Ponente:</w:t>
                </w:r>
              </w:p>
            </w:tc>
            <w:tc>
              <w:tcPr>
                <w:tcW w:w="3402" w:type="dxa"/>
              </w:tcPr>
              <w:p w14:paraId="7D48302F" w14:textId="77777777" w:rsidR="00794CE3" w:rsidRDefault="00794CE3">
                <w:pPr>
                  <w:tabs>
                    <w:tab w:val="right" w:pos="8838"/>
                  </w:tabs>
                  <w:ind w:left="-108" w:right="-105"/>
                </w:pPr>
                <w:r>
                  <w:t>Sharon Cristina Morales Martínez</w:t>
                </w:r>
              </w:p>
            </w:tc>
            <w:tc>
              <w:tcPr>
                <w:tcW w:w="3402" w:type="dxa"/>
              </w:tcPr>
              <w:p w14:paraId="556D85D7" w14:textId="77777777" w:rsidR="00794CE3" w:rsidRDefault="00794CE3">
                <w:pPr>
                  <w:tabs>
                    <w:tab w:val="right" w:pos="8838"/>
                  </w:tabs>
                  <w:ind w:left="-108" w:right="-105"/>
                </w:pPr>
              </w:p>
            </w:tc>
          </w:tr>
          <w:bookmarkEnd w:id="1"/>
        </w:tbl>
        <w:p w14:paraId="568F1534" w14:textId="77777777" w:rsidR="00794CE3" w:rsidRDefault="00794CE3">
          <w:pPr>
            <w:tabs>
              <w:tab w:val="right" w:pos="8838"/>
            </w:tabs>
            <w:ind w:left="-28"/>
            <w:rPr>
              <w:rFonts w:ascii="Arial" w:eastAsia="Arial" w:hAnsi="Arial" w:cs="Arial"/>
              <w:b/>
            </w:rPr>
          </w:pPr>
        </w:p>
      </w:tc>
    </w:tr>
  </w:tbl>
  <w:p w14:paraId="464623B1" w14:textId="2BC19A3F" w:rsidR="00794CE3" w:rsidRDefault="00794CE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250"/>
    <w:multiLevelType w:val="hybridMultilevel"/>
    <w:tmpl w:val="DB6A1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31C757A"/>
    <w:multiLevelType w:val="hybridMultilevel"/>
    <w:tmpl w:val="717407A8"/>
    <w:lvl w:ilvl="0" w:tplc="AA10B3BA">
      <w:start w:val="1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AB200F9"/>
    <w:multiLevelType w:val="hybridMultilevel"/>
    <w:tmpl w:val="047E8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4" w15:restartNumberingAfterBreak="0">
    <w:nsid w:val="16377028"/>
    <w:multiLevelType w:val="hybridMultilevel"/>
    <w:tmpl w:val="F62C8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038E8"/>
    <w:multiLevelType w:val="hybridMultilevel"/>
    <w:tmpl w:val="D06EB5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3267A"/>
    <w:multiLevelType w:val="hybridMultilevel"/>
    <w:tmpl w:val="86B2E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8560A"/>
    <w:multiLevelType w:val="hybridMultilevel"/>
    <w:tmpl w:val="07D61AC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636767"/>
    <w:multiLevelType w:val="hybridMultilevel"/>
    <w:tmpl w:val="61BAA0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4317490"/>
    <w:multiLevelType w:val="hybridMultilevel"/>
    <w:tmpl w:val="0FF20A36"/>
    <w:lvl w:ilvl="0" w:tplc="3DD21F3A">
      <w:start w:val="1"/>
      <w:numFmt w:val="decimal"/>
      <w:lvlText w:val="%1."/>
      <w:lvlJc w:val="left"/>
      <w:pPr>
        <w:ind w:left="360" w:hanging="360"/>
      </w:pPr>
      <w:rPr>
        <w:rFonts w:ascii="Palatino Linotype" w:hAnsi="Palatino Linotype" w:hint="default"/>
        <w:b/>
        <w:i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EC5306"/>
    <w:multiLevelType w:val="hybridMultilevel"/>
    <w:tmpl w:val="B838E5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A1B6F14"/>
    <w:multiLevelType w:val="hybridMultilevel"/>
    <w:tmpl w:val="3926B3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FDF7F10"/>
    <w:multiLevelType w:val="hybridMultilevel"/>
    <w:tmpl w:val="B5528B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5B59FB"/>
    <w:multiLevelType w:val="hybridMultilevel"/>
    <w:tmpl w:val="6F429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904FCD"/>
    <w:multiLevelType w:val="hybridMultilevel"/>
    <w:tmpl w:val="4500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56075"/>
    <w:multiLevelType w:val="multilevel"/>
    <w:tmpl w:val="8D6E5B9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493422B0"/>
    <w:multiLevelType w:val="hybridMultilevel"/>
    <w:tmpl w:val="D63C39D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190662"/>
    <w:multiLevelType w:val="hybridMultilevel"/>
    <w:tmpl w:val="27961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9614C5"/>
    <w:multiLevelType w:val="multilevel"/>
    <w:tmpl w:val="14DA6312"/>
    <w:lvl w:ilvl="0">
      <w:start w:val="1"/>
      <w:numFmt w:val="lowerLetter"/>
      <w:pStyle w:val="Listaconvietas3"/>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0D2234E"/>
    <w:multiLevelType w:val="hybridMultilevel"/>
    <w:tmpl w:val="5C2C626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6700DA"/>
    <w:multiLevelType w:val="hybridMultilevel"/>
    <w:tmpl w:val="C9F090FA"/>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F365AD"/>
    <w:multiLevelType w:val="hybridMultilevel"/>
    <w:tmpl w:val="55586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B801E8"/>
    <w:multiLevelType w:val="multilevel"/>
    <w:tmpl w:val="7E38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46B6C"/>
    <w:multiLevelType w:val="hybridMultilevel"/>
    <w:tmpl w:val="AAA27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0320D0"/>
    <w:multiLevelType w:val="hybridMultilevel"/>
    <w:tmpl w:val="EF60FC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1" w15:restartNumberingAfterBreak="0">
    <w:nsid w:val="7179705C"/>
    <w:multiLevelType w:val="hybridMultilevel"/>
    <w:tmpl w:val="B3541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585C3F"/>
    <w:multiLevelType w:val="hybridMultilevel"/>
    <w:tmpl w:val="2DBC1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8309CD"/>
    <w:multiLevelType w:val="hybridMultilevel"/>
    <w:tmpl w:val="7A4C5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A4CF8"/>
    <w:multiLevelType w:val="hybridMultilevel"/>
    <w:tmpl w:val="F4D094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21"/>
  </w:num>
  <w:num w:numId="4">
    <w:abstractNumId w:val="1"/>
  </w:num>
  <w:num w:numId="5">
    <w:abstractNumId w:val="13"/>
  </w:num>
  <w:num w:numId="6">
    <w:abstractNumId w:val="28"/>
  </w:num>
  <w:num w:numId="7">
    <w:abstractNumId w:val="15"/>
  </w:num>
  <w:num w:numId="8">
    <w:abstractNumId w:val="34"/>
  </w:num>
  <w:num w:numId="9">
    <w:abstractNumId w:val="20"/>
  </w:num>
  <w:num w:numId="10">
    <w:abstractNumId w:val="5"/>
  </w:num>
  <w:num w:numId="11">
    <w:abstractNumId w:val="3"/>
  </w:num>
  <w:num w:numId="12">
    <w:abstractNumId w:val="30"/>
  </w:num>
  <w:num w:numId="13">
    <w:abstractNumId w:val="14"/>
  </w:num>
  <w:num w:numId="14">
    <w:abstractNumId w:val="4"/>
  </w:num>
  <w:num w:numId="15">
    <w:abstractNumId w:val="33"/>
  </w:num>
  <w:num w:numId="16">
    <w:abstractNumId w:val="27"/>
  </w:num>
  <w:num w:numId="17">
    <w:abstractNumId w:val="16"/>
  </w:num>
  <w:num w:numId="18">
    <w:abstractNumId w:val="25"/>
  </w:num>
  <w:num w:numId="19">
    <w:abstractNumId w:val="10"/>
  </w:num>
  <w:num w:numId="20">
    <w:abstractNumId w:val="24"/>
  </w:num>
  <w:num w:numId="21">
    <w:abstractNumId w:val="23"/>
  </w:num>
  <w:num w:numId="22">
    <w:abstractNumId w:val="29"/>
  </w:num>
  <w:num w:numId="23">
    <w:abstractNumId w:val="32"/>
  </w:num>
  <w:num w:numId="24">
    <w:abstractNumId w:val="9"/>
  </w:num>
  <w:num w:numId="25">
    <w:abstractNumId w:val="8"/>
  </w:num>
  <w:num w:numId="26">
    <w:abstractNumId w:val="2"/>
  </w:num>
  <w:num w:numId="27">
    <w:abstractNumId w:val="35"/>
  </w:num>
  <w:num w:numId="28">
    <w:abstractNumId w:val="37"/>
  </w:num>
  <w:num w:numId="29">
    <w:abstractNumId w:val="18"/>
  </w:num>
  <w:num w:numId="30">
    <w:abstractNumId w:val="31"/>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 w:numId="35">
    <w:abstractNumId w:val="0"/>
  </w:num>
  <w:num w:numId="36">
    <w:abstractNumId w:val="6"/>
  </w:num>
  <w:num w:numId="37">
    <w:abstractNumId w:val="36"/>
  </w:num>
  <w:num w:numId="3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242D"/>
    <w:rsid w:val="00003A2A"/>
    <w:rsid w:val="00004D86"/>
    <w:rsid w:val="000079DC"/>
    <w:rsid w:val="00007F51"/>
    <w:rsid w:val="00010688"/>
    <w:rsid w:val="00013BF0"/>
    <w:rsid w:val="00015D5A"/>
    <w:rsid w:val="0001668A"/>
    <w:rsid w:val="00016D6A"/>
    <w:rsid w:val="00022251"/>
    <w:rsid w:val="00027653"/>
    <w:rsid w:val="00030AD7"/>
    <w:rsid w:val="0003119C"/>
    <w:rsid w:val="0003199F"/>
    <w:rsid w:val="0003360C"/>
    <w:rsid w:val="0003418D"/>
    <w:rsid w:val="00040ED8"/>
    <w:rsid w:val="000428B3"/>
    <w:rsid w:val="00043DD6"/>
    <w:rsid w:val="0004782A"/>
    <w:rsid w:val="00053B87"/>
    <w:rsid w:val="00053C1D"/>
    <w:rsid w:val="00054F72"/>
    <w:rsid w:val="00062817"/>
    <w:rsid w:val="00064A41"/>
    <w:rsid w:val="00064BD5"/>
    <w:rsid w:val="00065133"/>
    <w:rsid w:val="000654CD"/>
    <w:rsid w:val="000663D0"/>
    <w:rsid w:val="0007273A"/>
    <w:rsid w:val="00073DFF"/>
    <w:rsid w:val="00076C92"/>
    <w:rsid w:val="00084B12"/>
    <w:rsid w:val="0008642D"/>
    <w:rsid w:val="000865F1"/>
    <w:rsid w:val="000871B7"/>
    <w:rsid w:val="00092175"/>
    <w:rsid w:val="00092913"/>
    <w:rsid w:val="0009638F"/>
    <w:rsid w:val="000A37E2"/>
    <w:rsid w:val="000A4057"/>
    <w:rsid w:val="000A72D6"/>
    <w:rsid w:val="000B0A67"/>
    <w:rsid w:val="000B17D8"/>
    <w:rsid w:val="000B2D66"/>
    <w:rsid w:val="000B6093"/>
    <w:rsid w:val="000B62F7"/>
    <w:rsid w:val="000B6E2F"/>
    <w:rsid w:val="000B75F1"/>
    <w:rsid w:val="000C2935"/>
    <w:rsid w:val="000C5F89"/>
    <w:rsid w:val="000D04A5"/>
    <w:rsid w:val="000D148D"/>
    <w:rsid w:val="000D3262"/>
    <w:rsid w:val="000D7A82"/>
    <w:rsid w:val="000E1F7F"/>
    <w:rsid w:val="000E2238"/>
    <w:rsid w:val="000E3957"/>
    <w:rsid w:val="000E4052"/>
    <w:rsid w:val="000F1F8F"/>
    <w:rsid w:val="000F388E"/>
    <w:rsid w:val="000F38C7"/>
    <w:rsid w:val="000F3C76"/>
    <w:rsid w:val="000F446D"/>
    <w:rsid w:val="000F5A6A"/>
    <w:rsid w:val="00101673"/>
    <w:rsid w:val="00102458"/>
    <w:rsid w:val="00104618"/>
    <w:rsid w:val="00104963"/>
    <w:rsid w:val="00104F39"/>
    <w:rsid w:val="00105661"/>
    <w:rsid w:val="00105A06"/>
    <w:rsid w:val="00106E04"/>
    <w:rsid w:val="00107A77"/>
    <w:rsid w:val="001102DB"/>
    <w:rsid w:val="00110BC2"/>
    <w:rsid w:val="00111328"/>
    <w:rsid w:val="00111479"/>
    <w:rsid w:val="00111E0D"/>
    <w:rsid w:val="00113A6B"/>
    <w:rsid w:val="0011715A"/>
    <w:rsid w:val="00117E59"/>
    <w:rsid w:val="001213B1"/>
    <w:rsid w:val="00125DC5"/>
    <w:rsid w:val="001306C4"/>
    <w:rsid w:val="00141AD8"/>
    <w:rsid w:val="001450E3"/>
    <w:rsid w:val="00146E62"/>
    <w:rsid w:val="00151D5F"/>
    <w:rsid w:val="001530AF"/>
    <w:rsid w:val="0015387C"/>
    <w:rsid w:val="001538BD"/>
    <w:rsid w:val="00153CEB"/>
    <w:rsid w:val="001579A0"/>
    <w:rsid w:val="00157BD7"/>
    <w:rsid w:val="00160463"/>
    <w:rsid w:val="00160B89"/>
    <w:rsid w:val="0016126D"/>
    <w:rsid w:val="001617F2"/>
    <w:rsid w:val="00163FAE"/>
    <w:rsid w:val="00165220"/>
    <w:rsid w:val="00166C11"/>
    <w:rsid w:val="00170DBE"/>
    <w:rsid w:val="00171F52"/>
    <w:rsid w:val="001751A3"/>
    <w:rsid w:val="00175F93"/>
    <w:rsid w:val="00180E6D"/>
    <w:rsid w:val="0018234D"/>
    <w:rsid w:val="001825F0"/>
    <w:rsid w:val="00184D61"/>
    <w:rsid w:val="00185284"/>
    <w:rsid w:val="0018585F"/>
    <w:rsid w:val="00186565"/>
    <w:rsid w:val="00187889"/>
    <w:rsid w:val="00191296"/>
    <w:rsid w:val="00193D55"/>
    <w:rsid w:val="00194E9E"/>
    <w:rsid w:val="00195925"/>
    <w:rsid w:val="001A0840"/>
    <w:rsid w:val="001A35F3"/>
    <w:rsid w:val="001A3B2E"/>
    <w:rsid w:val="001A6A75"/>
    <w:rsid w:val="001B6786"/>
    <w:rsid w:val="001C0149"/>
    <w:rsid w:val="001C52A9"/>
    <w:rsid w:val="001D1503"/>
    <w:rsid w:val="001D3780"/>
    <w:rsid w:val="001D5D96"/>
    <w:rsid w:val="001D6C06"/>
    <w:rsid w:val="001E0BFF"/>
    <w:rsid w:val="001E0E71"/>
    <w:rsid w:val="001E25CA"/>
    <w:rsid w:val="001E57E7"/>
    <w:rsid w:val="001E754B"/>
    <w:rsid w:val="001F0E43"/>
    <w:rsid w:val="001F11F4"/>
    <w:rsid w:val="001F2F34"/>
    <w:rsid w:val="001F4EE6"/>
    <w:rsid w:val="001F52E3"/>
    <w:rsid w:val="001F5FAB"/>
    <w:rsid w:val="00202845"/>
    <w:rsid w:val="00206314"/>
    <w:rsid w:val="00207E4A"/>
    <w:rsid w:val="00207E80"/>
    <w:rsid w:val="002100F3"/>
    <w:rsid w:val="00211C7B"/>
    <w:rsid w:val="00211C87"/>
    <w:rsid w:val="00212889"/>
    <w:rsid w:val="00215DB5"/>
    <w:rsid w:val="00225FF4"/>
    <w:rsid w:val="00226042"/>
    <w:rsid w:val="00227B23"/>
    <w:rsid w:val="00227E85"/>
    <w:rsid w:val="00230AD4"/>
    <w:rsid w:val="002324ED"/>
    <w:rsid w:val="00234955"/>
    <w:rsid w:val="00236328"/>
    <w:rsid w:val="002442A6"/>
    <w:rsid w:val="0024439B"/>
    <w:rsid w:val="00244C16"/>
    <w:rsid w:val="002554ED"/>
    <w:rsid w:val="002558D1"/>
    <w:rsid w:val="00256E7A"/>
    <w:rsid w:val="002571CB"/>
    <w:rsid w:val="00260B41"/>
    <w:rsid w:val="00262A3F"/>
    <w:rsid w:val="00263DB0"/>
    <w:rsid w:val="0027022E"/>
    <w:rsid w:val="00270D3C"/>
    <w:rsid w:val="00271978"/>
    <w:rsid w:val="0027370C"/>
    <w:rsid w:val="002811A7"/>
    <w:rsid w:val="002826A2"/>
    <w:rsid w:val="002837BF"/>
    <w:rsid w:val="002855F8"/>
    <w:rsid w:val="0028703A"/>
    <w:rsid w:val="00290B60"/>
    <w:rsid w:val="002910D9"/>
    <w:rsid w:val="00291B36"/>
    <w:rsid w:val="00295977"/>
    <w:rsid w:val="00296689"/>
    <w:rsid w:val="00297339"/>
    <w:rsid w:val="002A0273"/>
    <w:rsid w:val="002A1273"/>
    <w:rsid w:val="002A5325"/>
    <w:rsid w:val="002B077A"/>
    <w:rsid w:val="002B4F83"/>
    <w:rsid w:val="002C1763"/>
    <w:rsid w:val="002C1C98"/>
    <w:rsid w:val="002C21EC"/>
    <w:rsid w:val="002C3A91"/>
    <w:rsid w:val="002C4B3A"/>
    <w:rsid w:val="002C4F89"/>
    <w:rsid w:val="002C6653"/>
    <w:rsid w:val="002C7AE9"/>
    <w:rsid w:val="002D1C1F"/>
    <w:rsid w:val="002D1F94"/>
    <w:rsid w:val="002D4279"/>
    <w:rsid w:val="002D4792"/>
    <w:rsid w:val="002D6B78"/>
    <w:rsid w:val="002E3061"/>
    <w:rsid w:val="002F4B61"/>
    <w:rsid w:val="00300C03"/>
    <w:rsid w:val="00301A7B"/>
    <w:rsid w:val="00303672"/>
    <w:rsid w:val="00303B69"/>
    <w:rsid w:val="00303F97"/>
    <w:rsid w:val="00306286"/>
    <w:rsid w:val="003104A8"/>
    <w:rsid w:val="00311023"/>
    <w:rsid w:val="00317976"/>
    <w:rsid w:val="00322A4F"/>
    <w:rsid w:val="00322B59"/>
    <w:rsid w:val="003265DC"/>
    <w:rsid w:val="00327A3F"/>
    <w:rsid w:val="00327A8E"/>
    <w:rsid w:val="00327D65"/>
    <w:rsid w:val="00330061"/>
    <w:rsid w:val="00331763"/>
    <w:rsid w:val="00332145"/>
    <w:rsid w:val="003325FB"/>
    <w:rsid w:val="00332D8D"/>
    <w:rsid w:val="00335847"/>
    <w:rsid w:val="003424FF"/>
    <w:rsid w:val="00342896"/>
    <w:rsid w:val="003433E7"/>
    <w:rsid w:val="00346E38"/>
    <w:rsid w:val="00353BC2"/>
    <w:rsid w:val="00353C9E"/>
    <w:rsid w:val="0035543D"/>
    <w:rsid w:val="00355D07"/>
    <w:rsid w:val="00360979"/>
    <w:rsid w:val="00361D3C"/>
    <w:rsid w:val="00363CE5"/>
    <w:rsid w:val="00364C97"/>
    <w:rsid w:val="00370E58"/>
    <w:rsid w:val="00371219"/>
    <w:rsid w:val="0037138B"/>
    <w:rsid w:val="00374C62"/>
    <w:rsid w:val="00374F94"/>
    <w:rsid w:val="00376245"/>
    <w:rsid w:val="00377D81"/>
    <w:rsid w:val="00380034"/>
    <w:rsid w:val="003804C9"/>
    <w:rsid w:val="0038161C"/>
    <w:rsid w:val="0038618D"/>
    <w:rsid w:val="003902BD"/>
    <w:rsid w:val="00392E94"/>
    <w:rsid w:val="00393857"/>
    <w:rsid w:val="00394C41"/>
    <w:rsid w:val="003A3931"/>
    <w:rsid w:val="003A40EB"/>
    <w:rsid w:val="003A5057"/>
    <w:rsid w:val="003A6E12"/>
    <w:rsid w:val="003B236C"/>
    <w:rsid w:val="003B50D7"/>
    <w:rsid w:val="003C2CA7"/>
    <w:rsid w:val="003C2E31"/>
    <w:rsid w:val="003C3DC0"/>
    <w:rsid w:val="003C489D"/>
    <w:rsid w:val="003C5D3F"/>
    <w:rsid w:val="003C5E1C"/>
    <w:rsid w:val="003C6FFF"/>
    <w:rsid w:val="003C7069"/>
    <w:rsid w:val="003C7DAE"/>
    <w:rsid w:val="003D01A9"/>
    <w:rsid w:val="003D0638"/>
    <w:rsid w:val="003D3123"/>
    <w:rsid w:val="003D3827"/>
    <w:rsid w:val="003D682F"/>
    <w:rsid w:val="003D7575"/>
    <w:rsid w:val="003E0E53"/>
    <w:rsid w:val="003E1820"/>
    <w:rsid w:val="003E24CB"/>
    <w:rsid w:val="003F3F4C"/>
    <w:rsid w:val="003F4B4E"/>
    <w:rsid w:val="003F6A92"/>
    <w:rsid w:val="003F6CFB"/>
    <w:rsid w:val="003F7ED5"/>
    <w:rsid w:val="0040232D"/>
    <w:rsid w:val="004066A4"/>
    <w:rsid w:val="00412698"/>
    <w:rsid w:val="0041328E"/>
    <w:rsid w:val="00417F66"/>
    <w:rsid w:val="004227A9"/>
    <w:rsid w:val="004255D8"/>
    <w:rsid w:val="004274D0"/>
    <w:rsid w:val="00430254"/>
    <w:rsid w:val="004307D5"/>
    <w:rsid w:val="00431F92"/>
    <w:rsid w:val="00433FAA"/>
    <w:rsid w:val="00434125"/>
    <w:rsid w:val="004349F5"/>
    <w:rsid w:val="0043524F"/>
    <w:rsid w:val="00436C2E"/>
    <w:rsid w:val="004378D2"/>
    <w:rsid w:val="0044008D"/>
    <w:rsid w:val="004415CD"/>
    <w:rsid w:val="0044310F"/>
    <w:rsid w:val="004437D2"/>
    <w:rsid w:val="004468EE"/>
    <w:rsid w:val="00446C15"/>
    <w:rsid w:val="004530B7"/>
    <w:rsid w:val="00456F7F"/>
    <w:rsid w:val="00465504"/>
    <w:rsid w:val="00470B35"/>
    <w:rsid w:val="00471CB6"/>
    <w:rsid w:val="00475525"/>
    <w:rsid w:val="00481232"/>
    <w:rsid w:val="00482385"/>
    <w:rsid w:val="0048400D"/>
    <w:rsid w:val="00485EC9"/>
    <w:rsid w:val="004877D9"/>
    <w:rsid w:val="00490E46"/>
    <w:rsid w:val="0049226D"/>
    <w:rsid w:val="00492412"/>
    <w:rsid w:val="00492415"/>
    <w:rsid w:val="004934B0"/>
    <w:rsid w:val="004935E8"/>
    <w:rsid w:val="004946A2"/>
    <w:rsid w:val="004960BA"/>
    <w:rsid w:val="004A0DA6"/>
    <w:rsid w:val="004A1839"/>
    <w:rsid w:val="004A46FE"/>
    <w:rsid w:val="004A54A1"/>
    <w:rsid w:val="004A7AB2"/>
    <w:rsid w:val="004B297D"/>
    <w:rsid w:val="004B4666"/>
    <w:rsid w:val="004B5E22"/>
    <w:rsid w:val="004C2E8E"/>
    <w:rsid w:val="004C67F3"/>
    <w:rsid w:val="004C723B"/>
    <w:rsid w:val="004D04FB"/>
    <w:rsid w:val="004D3D36"/>
    <w:rsid w:val="004D46EC"/>
    <w:rsid w:val="004F1D59"/>
    <w:rsid w:val="004F3802"/>
    <w:rsid w:val="004F521A"/>
    <w:rsid w:val="004F680B"/>
    <w:rsid w:val="00501246"/>
    <w:rsid w:val="00501F9F"/>
    <w:rsid w:val="005059E5"/>
    <w:rsid w:val="00507DBC"/>
    <w:rsid w:val="00510EED"/>
    <w:rsid w:val="0051152A"/>
    <w:rsid w:val="00511A09"/>
    <w:rsid w:val="005133E9"/>
    <w:rsid w:val="0052464B"/>
    <w:rsid w:val="00525B5A"/>
    <w:rsid w:val="00525D3D"/>
    <w:rsid w:val="00526F52"/>
    <w:rsid w:val="0052704F"/>
    <w:rsid w:val="005329DD"/>
    <w:rsid w:val="00532D2A"/>
    <w:rsid w:val="00534265"/>
    <w:rsid w:val="00534EF0"/>
    <w:rsid w:val="0053687C"/>
    <w:rsid w:val="00536CD2"/>
    <w:rsid w:val="005405A0"/>
    <w:rsid w:val="00541580"/>
    <w:rsid w:val="00541BFE"/>
    <w:rsid w:val="00543357"/>
    <w:rsid w:val="00544368"/>
    <w:rsid w:val="00546695"/>
    <w:rsid w:val="00551504"/>
    <w:rsid w:val="00557A56"/>
    <w:rsid w:val="0056035A"/>
    <w:rsid w:val="00561338"/>
    <w:rsid w:val="005630B6"/>
    <w:rsid w:val="005657F0"/>
    <w:rsid w:val="00571271"/>
    <w:rsid w:val="00572250"/>
    <w:rsid w:val="00575107"/>
    <w:rsid w:val="00575D6F"/>
    <w:rsid w:val="00576C60"/>
    <w:rsid w:val="00577489"/>
    <w:rsid w:val="00582F30"/>
    <w:rsid w:val="00583D8F"/>
    <w:rsid w:val="00591F6E"/>
    <w:rsid w:val="0059301B"/>
    <w:rsid w:val="005934AA"/>
    <w:rsid w:val="0059357F"/>
    <w:rsid w:val="005947E8"/>
    <w:rsid w:val="0059489A"/>
    <w:rsid w:val="00596FC1"/>
    <w:rsid w:val="005971B4"/>
    <w:rsid w:val="00597E0C"/>
    <w:rsid w:val="00597FF6"/>
    <w:rsid w:val="005A0344"/>
    <w:rsid w:val="005A2B54"/>
    <w:rsid w:val="005A35ED"/>
    <w:rsid w:val="005A4397"/>
    <w:rsid w:val="005A4FD1"/>
    <w:rsid w:val="005A69DC"/>
    <w:rsid w:val="005A7021"/>
    <w:rsid w:val="005B0D97"/>
    <w:rsid w:val="005B0F57"/>
    <w:rsid w:val="005B2480"/>
    <w:rsid w:val="005B35F6"/>
    <w:rsid w:val="005B41E8"/>
    <w:rsid w:val="005B75EE"/>
    <w:rsid w:val="005C053E"/>
    <w:rsid w:val="005C24F0"/>
    <w:rsid w:val="005C3CFF"/>
    <w:rsid w:val="005C432D"/>
    <w:rsid w:val="005C433D"/>
    <w:rsid w:val="005C6FCF"/>
    <w:rsid w:val="005C733B"/>
    <w:rsid w:val="005D3EEB"/>
    <w:rsid w:val="005D78D2"/>
    <w:rsid w:val="005E1E68"/>
    <w:rsid w:val="005E287F"/>
    <w:rsid w:val="005E2C74"/>
    <w:rsid w:val="005E3433"/>
    <w:rsid w:val="005E48F5"/>
    <w:rsid w:val="005F2F4F"/>
    <w:rsid w:val="006031DF"/>
    <w:rsid w:val="006039C2"/>
    <w:rsid w:val="0060494F"/>
    <w:rsid w:val="00604A4D"/>
    <w:rsid w:val="006051C9"/>
    <w:rsid w:val="006106F8"/>
    <w:rsid w:val="00610E81"/>
    <w:rsid w:val="0061168B"/>
    <w:rsid w:val="00611C33"/>
    <w:rsid w:val="006149FB"/>
    <w:rsid w:val="00615A5C"/>
    <w:rsid w:val="00621A77"/>
    <w:rsid w:val="006264AD"/>
    <w:rsid w:val="0063698F"/>
    <w:rsid w:val="00644147"/>
    <w:rsid w:val="006519D7"/>
    <w:rsid w:val="00655311"/>
    <w:rsid w:val="0065720E"/>
    <w:rsid w:val="0065760A"/>
    <w:rsid w:val="00657D16"/>
    <w:rsid w:val="006611BD"/>
    <w:rsid w:val="0066155B"/>
    <w:rsid w:val="00661676"/>
    <w:rsid w:val="00661711"/>
    <w:rsid w:val="00661807"/>
    <w:rsid w:val="00664500"/>
    <w:rsid w:val="006659B9"/>
    <w:rsid w:val="006661DB"/>
    <w:rsid w:val="0067406C"/>
    <w:rsid w:val="00674786"/>
    <w:rsid w:val="006760BE"/>
    <w:rsid w:val="006816C8"/>
    <w:rsid w:val="00681A88"/>
    <w:rsid w:val="00683780"/>
    <w:rsid w:val="006841E6"/>
    <w:rsid w:val="00686364"/>
    <w:rsid w:val="00690FBC"/>
    <w:rsid w:val="00693A38"/>
    <w:rsid w:val="006A1123"/>
    <w:rsid w:val="006A438C"/>
    <w:rsid w:val="006A492E"/>
    <w:rsid w:val="006A537A"/>
    <w:rsid w:val="006A682D"/>
    <w:rsid w:val="006B2A31"/>
    <w:rsid w:val="006B2D42"/>
    <w:rsid w:val="006B6336"/>
    <w:rsid w:val="006B63FD"/>
    <w:rsid w:val="006C0205"/>
    <w:rsid w:val="006C07A6"/>
    <w:rsid w:val="006C07F6"/>
    <w:rsid w:val="006C287C"/>
    <w:rsid w:val="006C6A97"/>
    <w:rsid w:val="006D012A"/>
    <w:rsid w:val="006D0B75"/>
    <w:rsid w:val="006D21B3"/>
    <w:rsid w:val="006D5CF6"/>
    <w:rsid w:val="006D6EAC"/>
    <w:rsid w:val="006D7C93"/>
    <w:rsid w:val="006E03BB"/>
    <w:rsid w:val="006E26A1"/>
    <w:rsid w:val="006E2BD6"/>
    <w:rsid w:val="006E32BC"/>
    <w:rsid w:val="006E435C"/>
    <w:rsid w:val="006F1E9B"/>
    <w:rsid w:val="006F33F2"/>
    <w:rsid w:val="006F4F28"/>
    <w:rsid w:val="006F5693"/>
    <w:rsid w:val="006F7AE8"/>
    <w:rsid w:val="00700602"/>
    <w:rsid w:val="00700F2B"/>
    <w:rsid w:val="00702B59"/>
    <w:rsid w:val="00707725"/>
    <w:rsid w:val="00707B1F"/>
    <w:rsid w:val="0071119D"/>
    <w:rsid w:val="0071120B"/>
    <w:rsid w:val="00711EF5"/>
    <w:rsid w:val="00712A39"/>
    <w:rsid w:val="00713216"/>
    <w:rsid w:val="00714C8D"/>
    <w:rsid w:val="007233BA"/>
    <w:rsid w:val="007234CF"/>
    <w:rsid w:val="007238CF"/>
    <w:rsid w:val="00727D5A"/>
    <w:rsid w:val="00730829"/>
    <w:rsid w:val="00732F89"/>
    <w:rsid w:val="0073667D"/>
    <w:rsid w:val="0073787C"/>
    <w:rsid w:val="00744D91"/>
    <w:rsid w:val="00746F14"/>
    <w:rsid w:val="00747586"/>
    <w:rsid w:val="00747E8E"/>
    <w:rsid w:val="007500AB"/>
    <w:rsid w:val="00750F79"/>
    <w:rsid w:val="007513B5"/>
    <w:rsid w:val="007525DF"/>
    <w:rsid w:val="00752604"/>
    <w:rsid w:val="00752C54"/>
    <w:rsid w:val="00753164"/>
    <w:rsid w:val="00756AFF"/>
    <w:rsid w:val="00757101"/>
    <w:rsid w:val="00757165"/>
    <w:rsid w:val="00762B3F"/>
    <w:rsid w:val="00762BC6"/>
    <w:rsid w:val="00766B29"/>
    <w:rsid w:val="007676B1"/>
    <w:rsid w:val="0076795F"/>
    <w:rsid w:val="00773FBF"/>
    <w:rsid w:val="00774B13"/>
    <w:rsid w:val="0077538C"/>
    <w:rsid w:val="007757F2"/>
    <w:rsid w:val="00776DEC"/>
    <w:rsid w:val="00781B59"/>
    <w:rsid w:val="00784DC9"/>
    <w:rsid w:val="00786AA7"/>
    <w:rsid w:val="007876C2"/>
    <w:rsid w:val="00794CE3"/>
    <w:rsid w:val="0079579B"/>
    <w:rsid w:val="00795D7E"/>
    <w:rsid w:val="007A0125"/>
    <w:rsid w:val="007A1E0E"/>
    <w:rsid w:val="007A3055"/>
    <w:rsid w:val="007B40EE"/>
    <w:rsid w:val="007C449C"/>
    <w:rsid w:val="007C5DE2"/>
    <w:rsid w:val="007C61D8"/>
    <w:rsid w:val="007C7ED8"/>
    <w:rsid w:val="007D0E20"/>
    <w:rsid w:val="007D67F6"/>
    <w:rsid w:val="007E0C37"/>
    <w:rsid w:val="007E27FB"/>
    <w:rsid w:val="007E42BB"/>
    <w:rsid w:val="007E5A68"/>
    <w:rsid w:val="007E7903"/>
    <w:rsid w:val="007E7A08"/>
    <w:rsid w:val="007F2266"/>
    <w:rsid w:val="007F45CE"/>
    <w:rsid w:val="007F4FAB"/>
    <w:rsid w:val="008007AA"/>
    <w:rsid w:val="00803090"/>
    <w:rsid w:val="00804423"/>
    <w:rsid w:val="00807E27"/>
    <w:rsid w:val="0081116D"/>
    <w:rsid w:val="00811B04"/>
    <w:rsid w:val="008137DB"/>
    <w:rsid w:val="00815C88"/>
    <w:rsid w:val="00817F2C"/>
    <w:rsid w:val="00820504"/>
    <w:rsid w:val="00820641"/>
    <w:rsid w:val="008211F9"/>
    <w:rsid w:val="008226C4"/>
    <w:rsid w:val="00830B6E"/>
    <w:rsid w:val="00836763"/>
    <w:rsid w:val="00837583"/>
    <w:rsid w:val="00840367"/>
    <w:rsid w:val="008407BF"/>
    <w:rsid w:val="0085142B"/>
    <w:rsid w:val="00852771"/>
    <w:rsid w:val="00852F14"/>
    <w:rsid w:val="00853A76"/>
    <w:rsid w:val="00853B93"/>
    <w:rsid w:val="0085510F"/>
    <w:rsid w:val="00857484"/>
    <w:rsid w:val="00857CFC"/>
    <w:rsid w:val="00863480"/>
    <w:rsid w:val="00863A42"/>
    <w:rsid w:val="00863CD9"/>
    <w:rsid w:val="00864373"/>
    <w:rsid w:val="008657D4"/>
    <w:rsid w:val="00874798"/>
    <w:rsid w:val="0087586E"/>
    <w:rsid w:val="008771FB"/>
    <w:rsid w:val="008774B1"/>
    <w:rsid w:val="00884E31"/>
    <w:rsid w:val="008852B2"/>
    <w:rsid w:val="0088716C"/>
    <w:rsid w:val="008878A7"/>
    <w:rsid w:val="008878F2"/>
    <w:rsid w:val="00892E09"/>
    <w:rsid w:val="008A1CA1"/>
    <w:rsid w:val="008A2E0F"/>
    <w:rsid w:val="008A35B0"/>
    <w:rsid w:val="008A3E70"/>
    <w:rsid w:val="008A3F33"/>
    <w:rsid w:val="008A4A0E"/>
    <w:rsid w:val="008B1B77"/>
    <w:rsid w:val="008B6431"/>
    <w:rsid w:val="008B7072"/>
    <w:rsid w:val="008C2D9A"/>
    <w:rsid w:val="008C490E"/>
    <w:rsid w:val="008C4E7C"/>
    <w:rsid w:val="008C71A1"/>
    <w:rsid w:val="008D0DF8"/>
    <w:rsid w:val="008D3954"/>
    <w:rsid w:val="008D3EFB"/>
    <w:rsid w:val="008D6449"/>
    <w:rsid w:val="008D6E26"/>
    <w:rsid w:val="008E0462"/>
    <w:rsid w:val="008E0C4B"/>
    <w:rsid w:val="008E1EB2"/>
    <w:rsid w:val="008E2AB3"/>
    <w:rsid w:val="008E39B9"/>
    <w:rsid w:val="008E4B13"/>
    <w:rsid w:val="008E6BCA"/>
    <w:rsid w:val="008E73C3"/>
    <w:rsid w:val="008F3978"/>
    <w:rsid w:val="008F4244"/>
    <w:rsid w:val="008F4ECD"/>
    <w:rsid w:val="008F5552"/>
    <w:rsid w:val="009009C8"/>
    <w:rsid w:val="0090190B"/>
    <w:rsid w:val="00904872"/>
    <w:rsid w:val="009055A3"/>
    <w:rsid w:val="00923376"/>
    <w:rsid w:val="00923725"/>
    <w:rsid w:val="00923BA2"/>
    <w:rsid w:val="00923C52"/>
    <w:rsid w:val="00924836"/>
    <w:rsid w:val="0092491B"/>
    <w:rsid w:val="0092529A"/>
    <w:rsid w:val="00925FE8"/>
    <w:rsid w:val="009266AF"/>
    <w:rsid w:val="00926954"/>
    <w:rsid w:val="00926D5F"/>
    <w:rsid w:val="00930DEE"/>
    <w:rsid w:val="00932657"/>
    <w:rsid w:val="0093358E"/>
    <w:rsid w:val="0093723E"/>
    <w:rsid w:val="00940701"/>
    <w:rsid w:val="00941A54"/>
    <w:rsid w:val="00941B5F"/>
    <w:rsid w:val="00945380"/>
    <w:rsid w:val="009453CE"/>
    <w:rsid w:val="00950786"/>
    <w:rsid w:val="0095450A"/>
    <w:rsid w:val="00954FBF"/>
    <w:rsid w:val="009569F2"/>
    <w:rsid w:val="009653FA"/>
    <w:rsid w:val="00967FBF"/>
    <w:rsid w:val="009718F0"/>
    <w:rsid w:val="00973432"/>
    <w:rsid w:val="00974EB9"/>
    <w:rsid w:val="00975A8D"/>
    <w:rsid w:val="0097691E"/>
    <w:rsid w:val="009825BE"/>
    <w:rsid w:val="009827FB"/>
    <w:rsid w:val="00983426"/>
    <w:rsid w:val="00983463"/>
    <w:rsid w:val="009841BB"/>
    <w:rsid w:val="009850B0"/>
    <w:rsid w:val="00985214"/>
    <w:rsid w:val="009871C6"/>
    <w:rsid w:val="00987F24"/>
    <w:rsid w:val="00990537"/>
    <w:rsid w:val="009905BB"/>
    <w:rsid w:val="00991C88"/>
    <w:rsid w:val="0099239F"/>
    <w:rsid w:val="00993199"/>
    <w:rsid w:val="00993CB5"/>
    <w:rsid w:val="00994AFC"/>
    <w:rsid w:val="00995E32"/>
    <w:rsid w:val="0099653B"/>
    <w:rsid w:val="0099693A"/>
    <w:rsid w:val="00996D4D"/>
    <w:rsid w:val="009A3FB4"/>
    <w:rsid w:val="009A5CF8"/>
    <w:rsid w:val="009B0335"/>
    <w:rsid w:val="009B0597"/>
    <w:rsid w:val="009B0A96"/>
    <w:rsid w:val="009B17AF"/>
    <w:rsid w:val="009B645E"/>
    <w:rsid w:val="009B7903"/>
    <w:rsid w:val="009C0F36"/>
    <w:rsid w:val="009C1E5F"/>
    <w:rsid w:val="009C3AE5"/>
    <w:rsid w:val="009C5D41"/>
    <w:rsid w:val="009C6D50"/>
    <w:rsid w:val="009C7D6F"/>
    <w:rsid w:val="009D1F61"/>
    <w:rsid w:val="009D3E83"/>
    <w:rsid w:val="009D6A03"/>
    <w:rsid w:val="009E0171"/>
    <w:rsid w:val="009E0503"/>
    <w:rsid w:val="009E0BC5"/>
    <w:rsid w:val="009E5A4C"/>
    <w:rsid w:val="009E6C1B"/>
    <w:rsid w:val="009F2A0F"/>
    <w:rsid w:val="009F4932"/>
    <w:rsid w:val="009F6F47"/>
    <w:rsid w:val="00A014C7"/>
    <w:rsid w:val="00A06F79"/>
    <w:rsid w:val="00A10AD8"/>
    <w:rsid w:val="00A14315"/>
    <w:rsid w:val="00A16E5A"/>
    <w:rsid w:val="00A23CDE"/>
    <w:rsid w:val="00A34BD8"/>
    <w:rsid w:val="00A35DFD"/>
    <w:rsid w:val="00A43243"/>
    <w:rsid w:val="00A4544E"/>
    <w:rsid w:val="00A46636"/>
    <w:rsid w:val="00A5070A"/>
    <w:rsid w:val="00A508A4"/>
    <w:rsid w:val="00A50A4D"/>
    <w:rsid w:val="00A52F77"/>
    <w:rsid w:val="00A5778B"/>
    <w:rsid w:val="00A60186"/>
    <w:rsid w:val="00A61D2C"/>
    <w:rsid w:val="00A622FE"/>
    <w:rsid w:val="00A623B4"/>
    <w:rsid w:val="00A646E2"/>
    <w:rsid w:val="00A659F1"/>
    <w:rsid w:val="00A66550"/>
    <w:rsid w:val="00A67148"/>
    <w:rsid w:val="00A70645"/>
    <w:rsid w:val="00A7158E"/>
    <w:rsid w:val="00A72915"/>
    <w:rsid w:val="00A7442D"/>
    <w:rsid w:val="00A763BC"/>
    <w:rsid w:val="00A8177B"/>
    <w:rsid w:val="00A81DEF"/>
    <w:rsid w:val="00A82D73"/>
    <w:rsid w:val="00A833F8"/>
    <w:rsid w:val="00A83CA8"/>
    <w:rsid w:val="00A84B65"/>
    <w:rsid w:val="00A94877"/>
    <w:rsid w:val="00A96881"/>
    <w:rsid w:val="00A96BE7"/>
    <w:rsid w:val="00A9710F"/>
    <w:rsid w:val="00AA030D"/>
    <w:rsid w:val="00AA62A1"/>
    <w:rsid w:val="00AA66C0"/>
    <w:rsid w:val="00AA7038"/>
    <w:rsid w:val="00AA76B8"/>
    <w:rsid w:val="00AA7F84"/>
    <w:rsid w:val="00AB0EBE"/>
    <w:rsid w:val="00AB234E"/>
    <w:rsid w:val="00AB27AC"/>
    <w:rsid w:val="00AC19FF"/>
    <w:rsid w:val="00AC4CCC"/>
    <w:rsid w:val="00AC5CF3"/>
    <w:rsid w:val="00AC7098"/>
    <w:rsid w:val="00AC758C"/>
    <w:rsid w:val="00AC7B75"/>
    <w:rsid w:val="00AC7C42"/>
    <w:rsid w:val="00AD0F4C"/>
    <w:rsid w:val="00AE1AD3"/>
    <w:rsid w:val="00AE266C"/>
    <w:rsid w:val="00AE30F5"/>
    <w:rsid w:val="00AE3EBA"/>
    <w:rsid w:val="00AE6EB3"/>
    <w:rsid w:val="00AF3299"/>
    <w:rsid w:val="00AF77D2"/>
    <w:rsid w:val="00AF7A14"/>
    <w:rsid w:val="00AF7D30"/>
    <w:rsid w:val="00B02F9E"/>
    <w:rsid w:val="00B03B59"/>
    <w:rsid w:val="00B04273"/>
    <w:rsid w:val="00B052BC"/>
    <w:rsid w:val="00B05834"/>
    <w:rsid w:val="00B061C6"/>
    <w:rsid w:val="00B06BC1"/>
    <w:rsid w:val="00B12A4C"/>
    <w:rsid w:val="00B131DF"/>
    <w:rsid w:val="00B13614"/>
    <w:rsid w:val="00B139A3"/>
    <w:rsid w:val="00B13AEA"/>
    <w:rsid w:val="00B13DFF"/>
    <w:rsid w:val="00B15483"/>
    <w:rsid w:val="00B15F1D"/>
    <w:rsid w:val="00B20699"/>
    <w:rsid w:val="00B21059"/>
    <w:rsid w:val="00B25BDA"/>
    <w:rsid w:val="00B26001"/>
    <w:rsid w:val="00B33793"/>
    <w:rsid w:val="00B34FDE"/>
    <w:rsid w:val="00B401CC"/>
    <w:rsid w:val="00B411F1"/>
    <w:rsid w:val="00B44994"/>
    <w:rsid w:val="00B4548C"/>
    <w:rsid w:val="00B45EF5"/>
    <w:rsid w:val="00B47845"/>
    <w:rsid w:val="00B53794"/>
    <w:rsid w:val="00B5436B"/>
    <w:rsid w:val="00B56E67"/>
    <w:rsid w:val="00B61EED"/>
    <w:rsid w:val="00B621EE"/>
    <w:rsid w:val="00B6405C"/>
    <w:rsid w:val="00B6415C"/>
    <w:rsid w:val="00B6488C"/>
    <w:rsid w:val="00B7031D"/>
    <w:rsid w:val="00B742D7"/>
    <w:rsid w:val="00B74DB9"/>
    <w:rsid w:val="00B76298"/>
    <w:rsid w:val="00B76C0A"/>
    <w:rsid w:val="00B8045F"/>
    <w:rsid w:val="00B81AA0"/>
    <w:rsid w:val="00B8293D"/>
    <w:rsid w:val="00B82BFB"/>
    <w:rsid w:val="00B868CE"/>
    <w:rsid w:val="00B87B86"/>
    <w:rsid w:val="00B87C15"/>
    <w:rsid w:val="00B91141"/>
    <w:rsid w:val="00B9158C"/>
    <w:rsid w:val="00B92899"/>
    <w:rsid w:val="00B95B0A"/>
    <w:rsid w:val="00BA0882"/>
    <w:rsid w:val="00BA0BDC"/>
    <w:rsid w:val="00BA1990"/>
    <w:rsid w:val="00BA7A0C"/>
    <w:rsid w:val="00BA7DCC"/>
    <w:rsid w:val="00BB4666"/>
    <w:rsid w:val="00BB6121"/>
    <w:rsid w:val="00BB744C"/>
    <w:rsid w:val="00BC3D54"/>
    <w:rsid w:val="00BC558B"/>
    <w:rsid w:val="00BC592A"/>
    <w:rsid w:val="00BD1DCE"/>
    <w:rsid w:val="00BD3AD8"/>
    <w:rsid w:val="00BD4514"/>
    <w:rsid w:val="00BD549A"/>
    <w:rsid w:val="00BD64F6"/>
    <w:rsid w:val="00BE16EE"/>
    <w:rsid w:val="00BE3357"/>
    <w:rsid w:val="00BE5E03"/>
    <w:rsid w:val="00BF49CB"/>
    <w:rsid w:val="00BF582A"/>
    <w:rsid w:val="00C00884"/>
    <w:rsid w:val="00C01767"/>
    <w:rsid w:val="00C07E9C"/>
    <w:rsid w:val="00C07F3F"/>
    <w:rsid w:val="00C15719"/>
    <w:rsid w:val="00C15B18"/>
    <w:rsid w:val="00C16EDE"/>
    <w:rsid w:val="00C221C9"/>
    <w:rsid w:val="00C23B73"/>
    <w:rsid w:val="00C25C3E"/>
    <w:rsid w:val="00C270DD"/>
    <w:rsid w:val="00C33AB6"/>
    <w:rsid w:val="00C34139"/>
    <w:rsid w:val="00C34432"/>
    <w:rsid w:val="00C35803"/>
    <w:rsid w:val="00C37655"/>
    <w:rsid w:val="00C37EF6"/>
    <w:rsid w:val="00C41539"/>
    <w:rsid w:val="00C502A5"/>
    <w:rsid w:val="00C53BE1"/>
    <w:rsid w:val="00C55753"/>
    <w:rsid w:val="00C56CA5"/>
    <w:rsid w:val="00C6269D"/>
    <w:rsid w:val="00C6519A"/>
    <w:rsid w:val="00C66212"/>
    <w:rsid w:val="00C67A10"/>
    <w:rsid w:val="00C70DDA"/>
    <w:rsid w:val="00C720C9"/>
    <w:rsid w:val="00C72ED4"/>
    <w:rsid w:val="00C7536D"/>
    <w:rsid w:val="00C8004F"/>
    <w:rsid w:val="00C821EF"/>
    <w:rsid w:val="00C83581"/>
    <w:rsid w:val="00C84A68"/>
    <w:rsid w:val="00C8631A"/>
    <w:rsid w:val="00C96587"/>
    <w:rsid w:val="00CA0A50"/>
    <w:rsid w:val="00CA102B"/>
    <w:rsid w:val="00CA1938"/>
    <w:rsid w:val="00CA4291"/>
    <w:rsid w:val="00CA708D"/>
    <w:rsid w:val="00CA7499"/>
    <w:rsid w:val="00CB04ED"/>
    <w:rsid w:val="00CB0AF9"/>
    <w:rsid w:val="00CB1F75"/>
    <w:rsid w:val="00CC10E9"/>
    <w:rsid w:val="00CC125B"/>
    <w:rsid w:val="00CC2815"/>
    <w:rsid w:val="00CC28C7"/>
    <w:rsid w:val="00CC3FDE"/>
    <w:rsid w:val="00CC4D33"/>
    <w:rsid w:val="00CC7F15"/>
    <w:rsid w:val="00CD2063"/>
    <w:rsid w:val="00CD2E2D"/>
    <w:rsid w:val="00CD3DA2"/>
    <w:rsid w:val="00CE017E"/>
    <w:rsid w:val="00CE0B16"/>
    <w:rsid w:val="00CE267C"/>
    <w:rsid w:val="00CE2D3A"/>
    <w:rsid w:val="00CE4620"/>
    <w:rsid w:val="00CE7391"/>
    <w:rsid w:val="00CF3AEC"/>
    <w:rsid w:val="00CF4133"/>
    <w:rsid w:val="00CF4C37"/>
    <w:rsid w:val="00D01790"/>
    <w:rsid w:val="00D01BBB"/>
    <w:rsid w:val="00D024D5"/>
    <w:rsid w:val="00D0276B"/>
    <w:rsid w:val="00D05689"/>
    <w:rsid w:val="00D05F50"/>
    <w:rsid w:val="00D102A8"/>
    <w:rsid w:val="00D12BF0"/>
    <w:rsid w:val="00D20BF8"/>
    <w:rsid w:val="00D20CFE"/>
    <w:rsid w:val="00D21BB8"/>
    <w:rsid w:val="00D21EF5"/>
    <w:rsid w:val="00D23F91"/>
    <w:rsid w:val="00D26AB8"/>
    <w:rsid w:val="00D30DFE"/>
    <w:rsid w:val="00D31A24"/>
    <w:rsid w:val="00D328B6"/>
    <w:rsid w:val="00D34D98"/>
    <w:rsid w:val="00D37663"/>
    <w:rsid w:val="00D41A59"/>
    <w:rsid w:val="00D44CD2"/>
    <w:rsid w:val="00D51B3E"/>
    <w:rsid w:val="00D52F4A"/>
    <w:rsid w:val="00D550BC"/>
    <w:rsid w:val="00D55BB5"/>
    <w:rsid w:val="00D6067D"/>
    <w:rsid w:val="00D62425"/>
    <w:rsid w:val="00D66C40"/>
    <w:rsid w:val="00D708CC"/>
    <w:rsid w:val="00D7604B"/>
    <w:rsid w:val="00D77E5C"/>
    <w:rsid w:val="00D80F6A"/>
    <w:rsid w:val="00D820BA"/>
    <w:rsid w:val="00D84777"/>
    <w:rsid w:val="00D84901"/>
    <w:rsid w:val="00D84C24"/>
    <w:rsid w:val="00D85C8D"/>
    <w:rsid w:val="00D871B4"/>
    <w:rsid w:val="00D903D3"/>
    <w:rsid w:val="00D9079F"/>
    <w:rsid w:val="00D915F2"/>
    <w:rsid w:val="00D95082"/>
    <w:rsid w:val="00D97B51"/>
    <w:rsid w:val="00D97C17"/>
    <w:rsid w:val="00D97EA1"/>
    <w:rsid w:val="00DA1F01"/>
    <w:rsid w:val="00DA3163"/>
    <w:rsid w:val="00DA3923"/>
    <w:rsid w:val="00DA44ED"/>
    <w:rsid w:val="00DA483B"/>
    <w:rsid w:val="00DB1297"/>
    <w:rsid w:val="00DB1E06"/>
    <w:rsid w:val="00DB2AF5"/>
    <w:rsid w:val="00DB6F64"/>
    <w:rsid w:val="00DC3EC4"/>
    <w:rsid w:val="00DD1F38"/>
    <w:rsid w:val="00DD1F6E"/>
    <w:rsid w:val="00DD36F8"/>
    <w:rsid w:val="00DD3B68"/>
    <w:rsid w:val="00DD4891"/>
    <w:rsid w:val="00DD5664"/>
    <w:rsid w:val="00DD60B1"/>
    <w:rsid w:val="00DE0C6D"/>
    <w:rsid w:val="00DE2C9C"/>
    <w:rsid w:val="00DF038D"/>
    <w:rsid w:val="00DF0410"/>
    <w:rsid w:val="00DF1B7B"/>
    <w:rsid w:val="00DF68EA"/>
    <w:rsid w:val="00E00090"/>
    <w:rsid w:val="00E01538"/>
    <w:rsid w:val="00E02822"/>
    <w:rsid w:val="00E037B0"/>
    <w:rsid w:val="00E06A63"/>
    <w:rsid w:val="00E11062"/>
    <w:rsid w:val="00E13DCD"/>
    <w:rsid w:val="00E20306"/>
    <w:rsid w:val="00E21A3C"/>
    <w:rsid w:val="00E22435"/>
    <w:rsid w:val="00E23D18"/>
    <w:rsid w:val="00E252BD"/>
    <w:rsid w:val="00E31383"/>
    <w:rsid w:val="00E34221"/>
    <w:rsid w:val="00E34294"/>
    <w:rsid w:val="00E3513D"/>
    <w:rsid w:val="00E36E33"/>
    <w:rsid w:val="00E373E6"/>
    <w:rsid w:val="00E37B56"/>
    <w:rsid w:val="00E41C6B"/>
    <w:rsid w:val="00E448C8"/>
    <w:rsid w:val="00E44F88"/>
    <w:rsid w:val="00E526EE"/>
    <w:rsid w:val="00E54BB3"/>
    <w:rsid w:val="00E57CD2"/>
    <w:rsid w:val="00E57E63"/>
    <w:rsid w:val="00E60156"/>
    <w:rsid w:val="00E608E0"/>
    <w:rsid w:val="00E62DDB"/>
    <w:rsid w:val="00E64070"/>
    <w:rsid w:val="00E645B5"/>
    <w:rsid w:val="00E66863"/>
    <w:rsid w:val="00E6734D"/>
    <w:rsid w:val="00E67A38"/>
    <w:rsid w:val="00E728A7"/>
    <w:rsid w:val="00E74688"/>
    <w:rsid w:val="00E75400"/>
    <w:rsid w:val="00E76920"/>
    <w:rsid w:val="00E80B01"/>
    <w:rsid w:val="00E85FCA"/>
    <w:rsid w:val="00E918BD"/>
    <w:rsid w:val="00E9191C"/>
    <w:rsid w:val="00E94194"/>
    <w:rsid w:val="00E94239"/>
    <w:rsid w:val="00E9454E"/>
    <w:rsid w:val="00E94A6E"/>
    <w:rsid w:val="00E952C3"/>
    <w:rsid w:val="00EA09DB"/>
    <w:rsid w:val="00EA1303"/>
    <w:rsid w:val="00EA1F91"/>
    <w:rsid w:val="00EA413E"/>
    <w:rsid w:val="00EA49A8"/>
    <w:rsid w:val="00EA763C"/>
    <w:rsid w:val="00EB2D69"/>
    <w:rsid w:val="00EB44BA"/>
    <w:rsid w:val="00EB455E"/>
    <w:rsid w:val="00EB637F"/>
    <w:rsid w:val="00EC1BE6"/>
    <w:rsid w:val="00EC1DB5"/>
    <w:rsid w:val="00EC2551"/>
    <w:rsid w:val="00EC3873"/>
    <w:rsid w:val="00EC590E"/>
    <w:rsid w:val="00EC5BD5"/>
    <w:rsid w:val="00EC637B"/>
    <w:rsid w:val="00ED1117"/>
    <w:rsid w:val="00ED5044"/>
    <w:rsid w:val="00EE0967"/>
    <w:rsid w:val="00EE2594"/>
    <w:rsid w:val="00EE2AF1"/>
    <w:rsid w:val="00EE564D"/>
    <w:rsid w:val="00EE7BC6"/>
    <w:rsid w:val="00EE7D93"/>
    <w:rsid w:val="00EF1BF7"/>
    <w:rsid w:val="00EF297D"/>
    <w:rsid w:val="00EF5213"/>
    <w:rsid w:val="00EF7CCD"/>
    <w:rsid w:val="00F0081F"/>
    <w:rsid w:val="00F0310C"/>
    <w:rsid w:val="00F043CF"/>
    <w:rsid w:val="00F04468"/>
    <w:rsid w:val="00F07EC4"/>
    <w:rsid w:val="00F12136"/>
    <w:rsid w:val="00F141B1"/>
    <w:rsid w:val="00F14922"/>
    <w:rsid w:val="00F2074E"/>
    <w:rsid w:val="00F216C6"/>
    <w:rsid w:val="00F21CDA"/>
    <w:rsid w:val="00F222F8"/>
    <w:rsid w:val="00F2299F"/>
    <w:rsid w:val="00F2733A"/>
    <w:rsid w:val="00F33AA9"/>
    <w:rsid w:val="00F375CA"/>
    <w:rsid w:val="00F4337E"/>
    <w:rsid w:val="00F505D0"/>
    <w:rsid w:val="00F52000"/>
    <w:rsid w:val="00F53BF0"/>
    <w:rsid w:val="00F54DF2"/>
    <w:rsid w:val="00F56440"/>
    <w:rsid w:val="00F56DD1"/>
    <w:rsid w:val="00F60F1D"/>
    <w:rsid w:val="00F60FF7"/>
    <w:rsid w:val="00F6113E"/>
    <w:rsid w:val="00F6194B"/>
    <w:rsid w:val="00F6443C"/>
    <w:rsid w:val="00F64955"/>
    <w:rsid w:val="00F6510F"/>
    <w:rsid w:val="00F65702"/>
    <w:rsid w:val="00F660AE"/>
    <w:rsid w:val="00F6722E"/>
    <w:rsid w:val="00F706A6"/>
    <w:rsid w:val="00F706B0"/>
    <w:rsid w:val="00F714EE"/>
    <w:rsid w:val="00F73AA4"/>
    <w:rsid w:val="00F749BA"/>
    <w:rsid w:val="00F76E92"/>
    <w:rsid w:val="00F81481"/>
    <w:rsid w:val="00F820FD"/>
    <w:rsid w:val="00F833F8"/>
    <w:rsid w:val="00F84930"/>
    <w:rsid w:val="00F84F35"/>
    <w:rsid w:val="00F851B2"/>
    <w:rsid w:val="00F91A29"/>
    <w:rsid w:val="00F92360"/>
    <w:rsid w:val="00F93630"/>
    <w:rsid w:val="00F94565"/>
    <w:rsid w:val="00FA1E17"/>
    <w:rsid w:val="00FA2C87"/>
    <w:rsid w:val="00FA2F03"/>
    <w:rsid w:val="00FA3060"/>
    <w:rsid w:val="00FA5A08"/>
    <w:rsid w:val="00FA5B9E"/>
    <w:rsid w:val="00FA775E"/>
    <w:rsid w:val="00FC1ABC"/>
    <w:rsid w:val="00FC25A0"/>
    <w:rsid w:val="00FD33ED"/>
    <w:rsid w:val="00FE6331"/>
    <w:rsid w:val="00FF03CA"/>
    <w:rsid w:val="00FF1C2A"/>
    <w:rsid w:val="00FF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 w:type="character" w:customStyle="1" w:styleId="apple-converted-space">
    <w:name w:val="apple-converted-space"/>
    <w:basedOn w:val="Fuentedeprrafopredeter"/>
    <w:rsid w:val="00C01767"/>
  </w:style>
  <w:style w:type="character" w:customStyle="1" w:styleId="il">
    <w:name w:val="il"/>
    <w:basedOn w:val="Fuentedeprrafopredeter"/>
    <w:rsid w:val="00C01767"/>
    <w:rPr>
      <w:rFonts w:cs="Times New Roman"/>
    </w:rPr>
  </w:style>
  <w:style w:type="paragraph" w:styleId="Listaconvietas3">
    <w:name w:val="List Bullet 3"/>
    <w:basedOn w:val="Normal"/>
    <w:uiPriority w:val="99"/>
    <w:unhideWhenUsed/>
    <w:rsid w:val="00853B93"/>
    <w:pPr>
      <w:numPr>
        <w:numId w:val="1"/>
      </w:numPr>
      <w:spacing w:line="240" w:lineRule="auto"/>
      <w:contextualSpacing/>
      <w:jc w:val="left"/>
    </w:pPr>
    <w:rPr>
      <w:rFonts w:ascii="Times New Roman" w:hAnsi="Times New Roman"/>
      <w:sz w:val="24"/>
      <w:szCs w:val="24"/>
      <w:lang w:val="es-ES" w:eastAsia="es-MX"/>
    </w:rPr>
  </w:style>
  <w:style w:type="character" w:customStyle="1" w:styleId="Mencinsinresolver2">
    <w:name w:val="Mención sin resolver2"/>
    <w:basedOn w:val="Fuentedeprrafopredeter"/>
    <w:uiPriority w:val="99"/>
    <w:semiHidden/>
    <w:unhideWhenUsed/>
    <w:rsid w:val="0082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40">
      <w:bodyDiv w:val="1"/>
      <w:marLeft w:val="0"/>
      <w:marRight w:val="0"/>
      <w:marTop w:val="0"/>
      <w:marBottom w:val="0"/>
      <w:divBdr>
        <w:top w:val="none" w:sz="0" w:space="0" w:color="auto"/>
        <w:left w:val="none" w:sz="0" w:space="0" w:color="auto"/>
        <w:bottom w:val="none" w:sz="0" w:space="0" w:color="auto"/>
        <w:right w:val="none" w:sz="0" w:space="0" w:color="auto"/>
      </w:divBdr>
    </w:div>
    <w:div w:id="36711692">
      <w:bodyDiv w:val="1"/>
      <w:marLeft w:val="0"/>
      <w:marRight w:val="0"/>
      <w:marTop w:val="0"/>
      <w:marBottom w:val="0"/>
      <w:divBdr>
        <w:top w:val="none" w:sz="0" w:space="0" w:color="auto"/>
        <w:left w:val="none" w:sz="0" w:space="0" w:color="auto"/>
        <w:bottom w:val="none" w:sz="0" w:space="0" w:color="auto"/>
        <w:right w:val="none" w:sz="0" w:space="0" w:color="auto"/>
      </w:divBdr>
    </w:div>
    <w:div w:id="75128164">
      <w:bodyDiv w:val="1"/>
      <w:marLeft w:val="0"/>
      <w:marRight w:val="0"/>
      <w:marTop w:val="0"/>
      <w:marBottom w:val="0"/>
      <w:divBdr>
        <w:top w:val="none" w:sz="0" w:space="0" w:color="auto"/>
        <w:left w:val="none" w:sz="0" w:space="0" w:color="auto"/>
        <w:bottom w:val="none" w:sz="0" w:space="0" w:color="auto"/>
        <w:right w:val="none" w:sz="0" w:space="0" w:color="auto"/>
      </w:divBdr>
    </w:div>
    <w:div w:id="76094173">
      <w:bodyDiv w:val="1"/>
      <w:marLeft w:val="0"/>
      <w:marRight w:val="0"/>
      <w:marTop w:val="0"/>
      <w:marBottom w:val="0"/>
      <w:divBdr>
        <w:top w:val="none" w:sz="0" w:space="0" w:color="auto"/>
        <w:left w:val="none" w:sz="0" w:space="0" w:color="auto"/>
        <w:bottom w:val="none" w:sz="0" w:space="0" w:color="auto"/>
        <w:right w:val="none" w:sz="0" w:space="0" w:color="auto"/>
      </w:divBdr>
    </w:div>
    <w:div w:id="95295853">
      <w:bodyDiv w:val="1"/>
      <w:marLeft w:val="0"/>
      <w:marRight w:val="0"/>
      <w:marTop w:val="0"/>
      <w:marBottom w:val="0"/>
      <w:divBdr>
        <w:top w:val="none" w:sz="0" w:space="0" w:color="auto"/>
        <w:left w:val="none" w:sz="0" w:space="0" w:color="auto"/>
        <w:bottom w:val="none" w:sz="0" w:space="0" w:color="auto"/>
        <w:right w:val="none" w:sz="0" w:space="0" w:color="auto"/>
      </w:divBdr>
    </w:div>
    <w:div w:id="108622834">
      <w:bodyDiv w:val="1"/>
      <w:marLeft w:val="0"/>
      <w:marRight w:val="0"/>
      <w:marTop w:val="0"/>
      <w:marBottom w:val="0"/>
      <w:divBdr>
        <w:top w:val="none" w:sz="0" w:space="0" w:color="auto"/>
        <w:left w:val="none" w:sz="0" w:space="0" w:color="auto"/>
        <w:bottom w:val="none" w:sz="0" w:space="0" w:color="auto"/>
        <w:right w:val="none" w:sz="0" w:space="0" w:color="auto"/>
      </w:divBdr>
    </w:div>
    <w:div w:id="135034521">
      <w:bodyDiv w:val="1"/>
      <w:marLeft w:val="0"/>
      <w:marRight w:val="0"/>
      <w:marTop w:val="0"/>
      <w:marBottom w:val="0"/>
      <w:divBdr>
        <w:top w:val="none" w:sz="0" w:space="0" w:color="auto"/>
        <w:left w:val="none" w:sz="0" w:space="0" w:color="auto"/>
        <w:bottom w:val="none" w:sz="0" w:space="0" w:color="auto"/>
        <w:right w:val="none" w:sz="0" w:space="0" w:color="auto"/>
      </w:divBdr>
    </w:div>
    <w:div w:id="219677730">
      <w:bodyDiv w:val="1"/>
      <w:marLeft w:val="0"/>
      <w:marRight w:val="0"/>
      <w:marTop w:val="0"/>
      <w:marBottom w:val="0"/>
      <w:divBdr>
        <w:top w:val="none" w:sz="0" w:space="0" w:color="auto"/>
        <w:left w:val="none" w:sz="0" w:space="0" w:color="auto"/>
        <w:bottom w:val="none" w:sz="0" w:space="0" w:color="auto"/>
        <w:right w:val="none" w:sz="0" w:space="0" w:color="auto"/>
      </w:divBdr>
      <w:divsChild>
        <w:div w:id="1490249079">
          <w:marLeft w:val="0"/>
          <w:marRight w:val="0"/>
          <w:marTop w:val="0"/>
          <w:marBottom w:val="0"/>
          <w:divBdr>
            <w:top w:val="none" w:sz="0" w:space="0" w:color="auto"/>
            <w:left w:val="none" w:sz="0" w:space="0" w:color="auto"/>
            <w:bottom w:val="none" w:sz="0" w:space="0" w:color="auto"/>
            <w:right w:val="none" w:sz="0" w:space="0" w:color="auto"/>
          </w:divBdr>
        </w:div>
      </w:divsChild>
    </w:div>
    <w:div w:id="231159287">
      <w:bodyDiv w:val="1"/>
      <w:marLeft w:val="0"/>
      <w:marRight w:val="0"/>
      <w:marTop w:val="0"/>
      <w:marBottom w:val="0"/>
      <w:divBdr>
        <w:top w:val="none" w:sz="0" w:space="0" w:color="auto"/>
        <w:left w:val="none" w:sz="0" w:space="0" w:color="auto"/>
        <w:bottom w:val="none" w:sz="0" w:space="0" w:color="auto"/>
        <w:right w:val="none" w:sz="0" w:space="0" w:color="auto"/>
      </w:divBdr>
    </w:div>
    <w:div w:id="245572288">
      <w:bodyDiv w:val="1"/>
      <w:marLeft w:val="0"/>
      <w:marRight w:val="0"/>
      <w:marTop w:val="0"/>
      <w:marBottom w:val="0"/>
      <w:divBdr>
        <w:top w:val="none" w:sz="0" w:space="0" w:color="auto"/>
        <w:left w:val="none" w:sz="0" w:space="0" w:color="auto"/>
        <w:bottom w:val="none" w:sz="0" w:space="0" w:color="auto"/>
        <w:right w:val="none" w:sz="0" w:space="0" w:color="auto"/>
      </w:divBdr>
    </w:div>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45248680">
      <w:bodyDiv w:val="1"/>
      <w:marLeft w:val="0"/>
      <w:marRight w:val="0"/>
      <w:marTop w:val="0"/>
      <w:marBottom w:val="0"/>
      <w:divBdr>
        <w:top w:val="none" w:sz="0" w:space="0" w:color="auto"/>
        <w:left w:val="none" w:sz="0" w:space="0" w:color="auto"/>
        <w:bottom w:val="none" w:sz="0" w:space="0" w:color="auto"/>
        <w:right w:val="none" w:sz="0" w:space="0" w:color="auto"/>
      </w:divBdr>
      <w:divsChild>
        <w:div w:id="76364872">
          <w:marLeft w:val="0"/>
          <w:marRight w:val="0"/>
          <w:marTop w:val="0"/>
          <w:marBottom w:val="0"/>
          <w:divBdr>
            <w:top w:val="none" w:sz="0" w:space="0" w:color="auto"/>
            <w:left w:val="none" w:sz="0" w:space="0" w:color="auto"/>
            <w:bottom w:val="none" w:sz="0" w:space="0" w:color="auto"/>
            <w:right w:val="none" w:sz="0" w:space="0" w:color="auto"/>
          </w:divBdr>
        </w:div>
      </w:divsChild>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8972349">
      <w:bodyDiv w:val="1"/>
      <w:marLeft w:val="0"/>
      <w:marRight w:val="0"/>
      <w:marTop w:val="0"/>
      <w:marBottom w:val="0"/>
      <w:divBdr>
        <w:top w:val="none" w:sz="0" w:space="0" w:color="auto"/>
        <w:left w:val="none" w:sz="0" w:space="0" w:color="auto"/>
        <w:bottom w:val="none" w:sz="0" w:space="0" w:color="auto"/>
        <w:right w:val="none" w:sz="0" w:space="0" w:color="auto"/>
      </w:divBdr>
    </w:div>
    <w:div w:id="364528435">
      <w:bodyDiv w:val="1"/>
      <w:marLeft w:val="0"/>
      <w:marRight w:val="0"/>
      <w:marTop w:val="0"/>
      <w:marBottom w:val="0"/>
      <w:divBdr>
        <w:top w:val="none" w:sz="0" w:space="0" w:color="auto"/>
        <w:left w:val="none" w:sz="0" w:space="0" w:color="auto"/>
        <w:bottom w:val="none" w:sz="0" w:space="0" w:color="auto"/>
        <w:right w:val="none" w:sz="0" w:space="0" w:color="auto"/>
      </w:divBdr>
    </w:div>
    <w:div w:id="416875502">
      <w:bodyDiv w:val="1"/>
      <w:marLeft w:val="0"/>
      <w:marRight w:val="0"/>
      <w:marTop w:val="0"/>
      <w:marBottom w:val="0"/>
      <w:divBdr>
        <w:top w:val="none" w:sz="0" w:space="0" w:color="auto"/>
        <w:left w:val="none" w:sz="0" w:space="0" w:color="auto"/>
        <w:bottom w:val="none" w:sz="0" w:space="0" w:color="auto"/>
        <w:right w:val="none" w:sz="0" w:space="0" w:color="auto"/>
      </w:divBdr>
      <w:divsChild>
        <w:div w:id="2071418341">
          <w:marLeft w:val="0"/>
          <w:marRight w:val="0"/>
          <w:marTop w:val="0"/>
          <w:marBottom w:val="0"/>
          <w:divBdr>
            <w:top w:val="none" w:sz="0" w:space="0" w:color="auto"/>
            <w:left w:val="none" w:sz="0" w:space="0" w:color="auto"/>
            <w:bottom w:val="none" w:sz="0" w:space="0" w:color="auto"/>
            <w:right w:val="none" w:sz="0" w:space="0" w:color="auto"/>
          </w:divBdr>
        </w:div>
      </w:divsChild>
    </w:div>
    <w:div w:id="418869995">
      <w:bodyDiv w:val="1"/>
      <w:marLeft w:val="0"/>
      <w:marRight w:val="0"/>
      <w:marTop w:val="0"/>
      <w:marBottom w:val="0"/>
      <w:divBdr>
        <w:top w:val="none" w:sz="0" w:space="0" w:color="auto"/>
        <w:left w:val="none" w:sz="0" w:space="0" w:color="auto"/>
        <w:bottom w:val="none" w:sz="0" w:space="0" w:color="auto"/>
        <w:right w:val="none" w:sz="0" w:space="0" w:color="auto"/>
      </w:divBdr>
    </w:div>
    <w:div w:id="471798972">
      <w:bodyDiv w:val="1"/>
      <w:marLeft w:val="0"/>
      <w:marRight w:val="0"/>
      <w:marTop w:val="0"/>
      <w:marBottom w:val="0"/>
      <w:divBdr>
        <w:top w:val="none" w:sz="0" w:space="0" w:color="auto"/>
        <w:left w:val="none" w:sz="0" w:space="0" w:color="auto"/>
        <w:bottom w:val="none" w:sz="0" w:space="0" w:color="auto"/>
        <w:right w:val="none" w:sz="0" w:space="0" w:color="auto"/>
      </w:divBdr>
    </w:div>
    <w:div w:id="473638722">
      <w:bodyDiv w:val="1"/>
      <w:marLeft w:val="0"/>
      <w:marRight w:val="0"/>
      <w:marTop w:val="0"/>
      <w:marBottom w:val="0"/>
      <w:divBdr>
        <w:top w:val="none" w:sz="0" w:space="0" w:color="auto"/>
        <w:left w:val="none" w:sz="0" w:space="0" w:color="auto"/>
        <w:bottom w:val="none" w:sz="0" w:space="0" w:color="auto"/>
        <w:right w:val="none" w:sz="0" w:space="0" w:color="auto"/>
      </w:divBdr>
    </w:div>
    <w:div w:id="511798434">
      <w:bodyDiv w:val="1"/>
      <w:marLeft w:val="0"/>
      <w:marRight w:val="0"/>
      <w:marTop w:val="0"/>
      <w:marBottom w:val="0"/>
      <w:divBdr>
        <w:top w:val="none" w:sz="0" w:space="0" w:color="auto"/>
        <w:left w:val="none" w:sz="0" w:space="0" w:color="auto"/>
        <w:bottom w:val="none" w:sz="0" w:space="0" w:color="auto"/>
        <w:right w:val="none" w:sz="0" w:space="0" w:color="auto"/>
      </w:divBdr>
    </w:div>
    <w:div w:id="513304786">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533277021">
      <w:bodyDiv w:val="1"/>
      <w:marLeft w:val="0"/>
      <w:marRight w:val="0"/>
      <w:marTop w:val="0"/>
      <w:marBottom w:val="0"/>
      <w:divBdr>
        <w:top w:val="none" w:sz="0" w:space="0" w:color="auto"/>
        <w:left w:val="none" w:sz="0" w:space="0" w:color="auto"/>
        <w:bottom w:val="none" w:sz="0" w:space="0" w:color="auto"/>
        <w:right w:val="none" w:sz="0" w:space="0" w:color="auto"/>
      </w:divBdr>
    </w:div>
    <w:div w:id="559635517">
      <w:bodyDiv w:val="1"/>
      <w:marLeft w:val="0"/>
      <w:marRight w:val="0"/>
      <w:marTop w:val="0"/>
      <w:marBottom w:val="0"/>
      <w:divBdr>
        <w:top w:val="none" w:sz="0" w:space="0" w:color="auto"/>
        <w:left w:val="none" w:sz="0" w:space="0" w:color="auto"/>
        <w:bottom w:val="none" w:sz="0" w:space="0" w:color="auto"/>
        <w:right w:val="none" w:sz="0" w:space="0" w:color="auto"/>
      </w:divBdr>
    </w:div>
    <w:div w:id="588589101">
      <w:bodyDiv w:val="1"/>
      <w:marLeft w:val="0"/>
      <w:marRight w:val="0"/>
      <w:marTop w:val="0"/>
      <w:marBottom w:val="0"/>
      <w:divBdr>
        <w:top w:val="none" w:sz="0" w:space="0" w:color="auto"/>
        <w:left w:val="none" w:sz="0" w:space="0" w:color="auto"/>
        <w:bottom w:val="none" w:sz="0" w:space="0" w:color="auto"/>
        <w:right w:val="none" w:sz="0" w:space="0" w:color="auto"/>
      </w:divBdr>
      <w:divsChild>
        <w:div w:id="1237087926">
          <w:marLeft w:val="0"/>
          <w:marRight w:val="0"/>
          <w:marTop w:val="0"/>
          <w:marBottom w:val="0"/>
          <w:divBdr>
            <w:top w:val="none" w:sz="0" w:space="0" w:color="auto"/>
            <w:left w:val="none" w:sz="0" w:space="0" w:color="auto"/>
            <w:bottom w:val="none" w:sz="0" w:space="0" w:color="auto"/>
            <w:right w:val="none" w:sz="0" w:space="0" w:color="auto"/>
          </w:divBdr>
        </w:div>
      </w:divsChild>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5151">
      <w:bodyDiv w:val="1"/>
      <w:marLeft w:val="0"/>
      <w:marRight w:val="0"/>
      <w:marTop w:val="0"/>
      <w:marBottom w:val="0"/>
      <w:divBdr>
        <w:top w:val="none" w:sz="0" w:space="0" w:color="auto"/>
        <w:left w:val="none" w:sz="0" w:space="0" w:color="auto"/>
        <w:bottom w:val="none" w:sz="0" w:space="0" w:color="auto"/>
        <w:right w:val="none" w:sz="0" w:space="0" w:color="auto"/>
      </w:divBdr>
    </w:div>
    <w:div w:id="636955020">
      <w:bodyDiv w:val="1"/>
      <w:marLeft w:val="0"/>
      <w:marRight w:val="0"/>
      <w:marTop w:val="0"/>
      <w:marBottom w:val="0"/>
      <w:divBdr>
        <w:top w:val="none" w:sz="0" w:space="0" w:color="auto"/>
        <w:left w:val="none" w:sz="0" w:space="0" w:color="auto"/>
        <w:bottom w:val="none" w:sz="0" w:space="0" w:color="auto"/>
        <w:right w:val="none" w:sz="0" w:space="0" w:color="auto"/>
      </w:divBdr>
    </w:div>
    <w:div w:id="645473760">
      <w:bodyDiv w:val="1"/>
      <w:marLeft w:val="0"/>
      <w:marRight w:val="0"/>
      <w:marTop w:val="0"/>
      <w:marBottom w:val="0"/>
      <w:divBdr>
        <w:top w:val="none" w:sz="0" w:space="0" w:color="auto"/>
        <w:left w:val="none" w:sz="0" w:space="0" w:color="auto"/>
        <w:bottom w:val="none" w:sz="0" w:space="0" w:color="auto"/>
        <w:right w:val="none" w:sz="0" w:space="0" w:color="auto"/>
      </w:divBdr>
    </w:div>
    <w:div w:id="752823042">
      <w:bodyDiv w:val="1"/>
      <w:marLeft w:val="0"/>
      <w:marRight w:val="0"/>
      <w:marTop w:val="0"/>
      <w:marBottom w:val="0"/>
      <w:divBdr>
        <w:top w:val="none" w:sz="0" w:space="0" w:color="auto"/>
        <w:left w:val="none" w:sz="0" w:space="0" w:color="auto"/>
        <w:bottom w:val="none" w:sz="0" w:space="0" w:color="auto"/>
        <w:right w:val="none" w:sz="0" w:space="0" w:color="auto"/>
      </w:divBdr>
    </w:div>
    <w:div w:id="776752402">
      <w:bodyDiv w:val="1"/>
      <w:marLeft w:val="0"/>
      <w:marRight w:val="0"/>
      <w:marTop w:val="0"/>
      <w:marBottom w:val="0"/>
      <w:divBdr>
        <w:top w:val="none" w:sz="0" w:space="0" w:color="auto"/>
        <w:left w:val="none" w:sz="0" w:space="0" w:color="auto"/>
        <w:bottom w:val="none" w:sz="0" w:space="0" w:color="auto"/>
        <w:right w:val="none" w:sz="0" w:space="0" w:color="auto"/>
      </w:divBdr>
    </w:div>
    <w:div w:id="849099244">
      <w:bodyDiv w:val="1"/>
      <w:marLeft w:val="0"/>
      <w:marRight w:val="0"/>
      <w:marTop w:val="0"/>
      <w:marBottom w:val="0"/>
      <w:divBdr>
        <w:top w:val="none" w:sz="0" w:space="0" w:color="auto"/>
        <w:left w:val="none" w:sz="0" w:space="0" w:color="auto"/>
        <w:bottom w:val="none" w:sz="0" w:space="0" w:color="auto"/>
        <w:right w:val="none" w:sz="0" w:space="0" w:color="auto"/>
      </w:divBdr>
    </w:div>
    <w:div w:id="863324526">
      <w:bodyDiv w:val="1"/>
      <w:marLeft w:val="0"/>
      <w:marRight w:val="0"/>
      <w:marTop w:val="0"/>
      <w:marBottom w:val="0"/>
      <w:divBdr>
        <w:top w:val="none" w:sz="0" w:space="0" w:color="auto"/>
        <w:left w:val="none" w:sz="0" w:space="0" w:color="auto"/>
        <w:bottom w:val="none" w:sz="0" w:space="0" w:color="auto"/>
        <w:right w:val="none" w:sz="0" w:space="0" w:color="auto"/>
      </w:divBdr>
    </w:div>
    <w:div w:id="894782666">
      <w:bodyDiv w:val="1"/>
      <w:marLeft w:val="0"/>
      <w:marRight w:val="0"/>
      <w:marTop w:val="0"/>
      <w:marBottom w:val="0"/>
      <w:divBdr>
        <w:top w:val="none" w:sz="0" w:space="0" w:color="auto"/>
        <w:left w:val="none" w:sz="0" w:space="0" w:color="auto"/>
        <w:bottom w:val="none" w:sz="0" w:space="0" w:color="auto"/>
        <w:right w:val="none" w:sz="0" w:space="0" w:color="auto"/>
      </w:divBdr>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51980397">
      <w:bodyDiv w:val="1"/>
      <w:marLeft w:val="0"/>
      <w:marRight w:val="0"/>
      <w:marTop w:val="0"/>
      <w:marBottom w:val="0"/>
      <w:divBdr>
        <w:top w:val="none" w:sz="0" w:space="0" w:color="auto"/>
        <w:left w:val="none" w:sz="0" w:space="0" w:color="auto"/>
        <w:bottom w:val="none" w:sz="0" w:space="0" w:color="auto"/>
        <w:right w:val="none" w:sz="0" w:space="0" w:color="auto"/>
      </w:divBdr>
    </w:div>
    <w:div w:id="999769437">
      <w:bodyDiv w:val="1"/>
      <w:marLeft w:val="0"/>
      <w:marRight w:val="0"/>
      <w:marTop w:val="0"/>
      <w:marBottom w:val="0"/>
      <w:divBdr>
        <w:top w:val="none" w:sz="0" w:space="0" w:color="auto"/>
        <w:left w:val="none" w:sz="0" w:space="0" w:color="auto"/>
        <w:bottom w:val="none" w:sz="0" w:space="0" w:color="auto"/>
        <w:right w:val="none" w:sz="0" w:space="0" w:color="auto"/>
      </w:divBdr>
    </w:div>
    <w:div w:id="1023702415">
      <w:bodyDiv w:val="1"/>
      <w:marLeft w:val="0"/>
      <w:marRight w:val="0"/>
      <w:marTop w:val="0"/>
      <w:marBottom w:val="0"/>
      <w:divBdr>
        <w:top w:val="none" w:sz="0" w:space="0" w:color="auto"/>
        <w:left w:val="none" w:sz="0" w:space="0" w:color="auto"/>
        <w:bottom w:val="none" w:sz="0" w:space="0" w:color="auto"/>
        <w:right w:val="none" w:sz="0" w:space="0" w:color="auto"/>
      </w:divBdr>
    </w:div>
    <w:div w:id="1058162478">
      <w:bodyDiv w:val="1"/>
      <w:marLeft w:val="0"/>
      <w:marRight w:val="0"/>
      <w:marTop w:val="0"/>
      <w:marBottom w:val="0"/>
      <w:divBdr>
        <w:top w:val="none" w:sz="0" w:space="0" w:color="auto"/>
        <w:left w:val="none" w:sz="0" w:space="0" w:color="auto"/>
        <w:bottom w:val="none" w:sz="0" w:space="0" w:color="auto"/>
        <w:right w:val="none" w:sz="0" w:space="0" w:color="auto"/>
      </w:divBdr>
    </w:div>
    <w:div w:id="1080523755">
      <w:bodyDiv w:val="1"/>
      <w:marLeft w:val="0"/>
      <w:marRight w:val="0"/>
      <w:marTop w:val="0"/>
      <w:marBottom w:val="0"/>
      <w:divBdr>
        <w:top w:val="none" w:sz="0" w:space="0" w:color="auto"/>
        <w:left w:val="none" w:sz="0" w:space="0" w:color="auto"/>
        <w:bottom w:val="none" w:sz="0" w:space="0" w:color="auto"/>
        <w:right w:val="none" w:sz="0" w:space="0" w:color="auto"/>
      </w:divBdr>
    </w:div>
    <w:div w:id="1086195072">
      <w:bodyDiv w:val="1"/>
      <w:marLeft w:val="0"/>
      <w:marRight w:val="0"/>
      <w:marTop w:val="0"/>
      <w:marBottom w:val="0"/>
      <w:divBdr>
        <w:top w:val="none" w:sz="0" w:space="0" w:color="auto"/>
        <w:left w:val="none" w:sz="0" w:space="0" w:color="auto"/>
        <w:bottom w:val="none" w:sz="0" w:space="0" w:color="auto"/>
        <w:right w:val="none" w:sz="0" w:space="0" w:color="auto"/>
      </w:divBdr>
    </w:div>
    <w:div w:id="1126003410">
      <w:bodyDiv w:val="1"/>
      <w:marLeft w:val="0"/>
      <w:marRight w:val="0"/>
      <w:marTop w:val="0"/>
      <w:marBottom w:val="0"/>
      <w:divBdr>
        <w:top w:val="none" w:sz="0" w:space="0" w:color="auto"/>
        <w:left w:val="none" w:sz="0" w:space="0" w:color="auto"/>
        <w:bottom w:val="none" w:sz="0" w:space="0" w:color="auto"/>
        <w:right w:val="none" w:sz="0" w:space="0" w:color="auto"/>
      </w:divBdr>
      <w:divsChild>
        <w:div w:id="1892111590">
          <w:marLeft w:val="0"/>
          <w:marRight w:val="0"/>
          <w:marTop w:val="0"/>
          <w:marBottom w:val="0"/>
          <w:divBdr>
            <w:top w:val="none" w:sz="0" w:space="0" w:color="auto"/>
            <w:left w:val="none" w:sz="0" w:space="0" w:color="auto"/>
            <w:bottom w:val="none" w:sz="0" w:space="0" w:color="auto"/>
            <w:right w:val="none" w:sz="0" w:space="0" w:color="auto"/>
          </w:divBdr>
        </w:div>
        <w:div w:id="604969653">
          <w:marLeft w:val="0"/>
          <w:marRight w:val="0"/>
          <w:marTop w:val="0"/>
          <w:marBottom w:val="0"/>
          <w:divBdr>
            <w:top w:val="none" w:sz="0" w:space="0" w:color="auto"/>
            <w:left w:val="none" w:sz="0" w:space="0" w:color="auto"/>
            <w:bottom w:val="none" w:sz="0" w:space="0" w:color="auto"/>
            <w:right w:val="none" w:sz="0" w:space="0" w:color="auto"/>
          </w:divBdr>
        </w:div>
        <w:div w:id="781341061">
          <w:marLeft w:val="0"/>
          <w:marRight w:val="0"/>
          <w:marTop w:val="0"/>
          <w:marBottom w:val="0"/>
          <w:divBdr>
            <w:top w:val="none" w:sz="0" w:space="0" w:color="auto"/>
            <w:left w:val="none" w:sz="0" w:space="0" w:color="auto"/>
            <w:bottom w:val="none" w:sz="0" w:space="0" w:color="auto"/>
            <w:right w:val="none" w:sz="0" w:space="0" w:color="auto"/>
          </w:divBdr>
        </w:div>
        <w:div w:id="191650270">
          <w:marLeft w:val="0"/>
          <w:marRight w:val="0"/>
          <w:marTop w:val="0"/>
          <w:marBottom w:val="0"/>
          <w:divBdr>
            <w:top w:val="none" w:sz="0" w:space="0" w:color="auto"/>
            <w:left w:val="none" w:sz="0" w:space="0" w:color="auto"/>
            <w:bottom w:val="none" w:sz="0" w:space="0" w:color="auto"/>
            <w:right w:val="none" w:sz="0" w:space="0" w:color="auto"/>
          </w:divBdr>
        </w:div>
        <w:div w:id="885483948">
          <w:marLeft w:val="0"/>
          <w:marRight w:val="0"/>
          <w:marTop w:val="0"/>
          <w:marBottom w:val="0"/>
          <w:divBdr>
            <w:top w:val="none" w:sz="0" w:space="0" w:color="auto"/>
            <w:left w:val="none" w:sz="0" w:space="0" w:color="auto"/>
            <w:bottom w:val="none" w:sz="0" w:space="0" w:color="auto"/>
            <w:right w:val="none" w:sz="0" w:space="0" w:color="auto"/>
          </w:divBdr>
        </w:div>
        <w:div w:id="108595063">
          <w:marLeft w:val="0"/>
          <w:marRight w:val="0"/>
          <w:marTop w:val="0"/>
          <w:marBottom w:val="0"/>
          <w:divBdr>
            <w:top w:val="none" w:sz="0" w:space="0" w:color="auto"/>
            <w:left w:val="none" w:sz="0" w:space="0" w:color="auto"/>
            <w:bottom w:val="none" w:sz="0" w:space="0" w:color="auto"/>
            <w:right w:val="none" w:sz="0" w:space="0" w:color="auto"/>
          </w:divBdr>
        </w:div>
      </w:divsChild>
    </w:div>
    <w:div w:id="1210413580">
      <w:bodyDiv w:val="1"/>
      <w:marLeft w:val="0"/>
      <w:marRight w:val="0"/>
      <w:marTop w:val="0"/>
      <w:marBottom w:val="0"/>
      <w:divBdr>
        <w:top w:val="none" w:sz="0" w:space="0" w:color="auto"/>
        <w:left w:val="none" w:sz="0" w:space="0" w:color="auto"/>
        <w:bottom w:val="none" w:sz="0" w:space="0" w:color="auto"/>
        <w:right w:val="none" w:sz="0" w:space="0" w:color="auto"/>
      </w:divBdr>
    </w:div>
    <w:div w:id="1321422785">
      <w:bodyDiv w:val="1"/>
      <w:marLeft w:val="0"/>
      <w:marRight w:val="0"/>
      <w:marTop w:val="0"/>
      <w:marBottom w:val="0"/>
      <w:divBdr>
        <w:top w:val="none" w:sz="0" w:space="0" w:color="auto"/>
        <w:left w:val="none" w:sz="0" w:space="0" w:color="auto"/>
        <w:bottom w:val="none" w:sz="0" w:space="0" w:color="auto"/>
        <w:right w:val="none" w:sz="0" w:space="0" w:color="auto"/>
      </w:divBdr>
    </w:div>
    <w:div w:id="1355766862">
      <w:bodyDiv w:val="1"/>
      <w:marLeft w:val="0"/>
      <w:marRight w:val="0"/>
      <w:marTop w:val="0"/>
      <w:marBottom w:val="0"/>
      <w:divBdr>
        <w:top w:val="none" w:sz="0" w:space="0" w:color="auto"/>
        <w:left w:val="none" w:sz="0" w:space="0" w:color="auto"/>
        <w:bottom w:val="none" w:sz="0" w:space="0" w:color="auto"/>
        <w:right w:val="none" w:sz="0" w:space="0" w:color="auto"/>
      </w:divBdr>
    </w:div>
    <w:div w:id="1374572342">
      <w:bodyDiv w:val="1"/>
      <w:marLeft w:val="0"/>
      <w:marRight w:val="0"/>
      <w:marTop w:val="0"/>
      <w:marBottom w:val="0"/>
      <w:divBdr>
        <w:top w:val="none" w:sz="0" w:space="0" w:color="auto"/>
        <w:left w:val="none" w:sz="0" w:space="0" w:color="auto"/>
        <w:bottom w:val="none" w:sz="0" w:space="0" w:color="auto"/>
        <w:right w:val="none" w:sz="0" w:space="0" w:color="auto"/>
      </w:divBdr>
    </w:div>
    <w:div w:id="1443458497">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9611">
      <w:bodyDiv w:val="1"/>
      <w:marLeft w:val="0"/>
      <w:marRight w:val="0"/>
      <w:marTop w:val="0"/>
      <w:marBottom w:val="0"/>
      <w:divBdr>
        <w:top w:val="none" w:sz="0" w:space="0" w:color="auto"/>
        <w:left w:val="none" w:sz="0" w:space="0" w:color="auto"/>
        <w:bottom w:val="none" w:sz="0" w:space="0" w:color="auto"/>
        <w:right w:val="none" w:sz="0" w:space="0" w:color="auto"/>
      </w:divBdr>
    </w:div>
    <w:div w:id="1481119266">
      <w:bodyDiv w:val="1"/>
      <w:marLeft w:val="0"/>
      <w:marRight w:val="0"/>
      <w:marTop w:val="0"/>
      <w:marBottom w:val="0"/>
      <w:divBdr>
        <w:top w:val="none" w:sz="0" w:space="0" w:color="auto"/>
        <w:left w:val="none" w:sz="0" w:space="0" w:color="auto"/>
        <w:bottom w:val="none" w:sz="0" w:space="0" w:color="auto"/>
        <w:right w:val="none" w:sz="0" w:space="0" w:color="auto"/>
      </w:divBdr>
    </w:div>
    <w:div w:id="1501965812">
      <w:bodyDiv w:val="1"/>
      <w:marLeft w:val="0"/>
      <w:marRight w:val="0"/>
      <w:marTop w:val="0"/>
      <w:marBottom w:val="0"/>
      <w:divBdr>
        <w:top w:val="none" w:sz="0" w:space="0" w:color="auto"/>
        <w:left w:val="none" w:sz="0" w:space="0" w:color="auto"/>
        <w:bottom w:val="none" w:sz="0" w:space="0" w:color="auto"/>
        <w:right w:val="none" w:sz="0" w:space="0" w:color="auto"/>
      </w:divBdr>
      <w:divsChild>
        <w:div w:id="1303659834">
          <w:marLeft w:val="0"/>
          <w:marRight w:val="0"/>
          <w:marTop w:val="0"/>
          <w:marBottom w:val="0"/>
          <w:divBdr>
            <w:top w:val="none" w:sz="0" w:space="0" w:color="auto"/>
            <w:left w:val="none" w:sz="0" w:space="0" w:color="auto"/>
            <w:bottom w:val="none" w:sz="0" w:space="0" w:color="auto"/>
            <w:right w:val="none" w:sz="0" w:space="0" w:color="auto"/>
          </w:divBdr>
        </w:div>
      </w:divsChild>
    </w:div>
    <w:div w:id="1556350313">
      <w:bodyDiv w:val="1"/>
      <w:marLeft w:val="0"/>
      <w:marRight w:val="0"/>
      <w:marTop w:val="0"/>
      <w:marBottom w:val="0"/>
      <w:divBdr>
        <w:top w:val="none" w:sz="0" w:space="0" w:color="auto"/>
        <w:left w:val="none" w:sz="0" w:space="0" w:color="auto"/>
        <w:bottom w:val="none" w:sz="0" w:space="0" w:color="auto"/>
        <w:right w:val="none" w:sz="0" w:space="0" w:color="auto"/>
      </w:divBdr>
      <w:divsChild>
        <w:div w:id="227614025">
          <w:marLeft w:val="0"/>
          <w:marRight w:val="0"/>
          <w:marTop w:val="0"/>
          <w:marBottom w:val="0"/>
          <w:divBdr>
            <w:top w:val="none" w:sz="0" w:space="0" w:color="auto"/>
            <w:left w:val="none" w:sz="0" w:space="0" w:color="auto"/>
            <w:bottom w:val="none" w:sz="0" w:space="0" w:color="auto"/>
            <w:right w:val="none" w:sz="0" w:space="0" w:color="auto"/>
          </w:divBdr>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602450253">
      <w:bodyDiv w:val="1"/>
      <w:marLeft w:val="0"/>
      <w:marRight w:val="0"/>
      <w:marTop w:val="0"/>
      <w:marBottom w:val="0"/>
      <w:divBdr>
        <w:top w:val="none" w:sz="0" w:space="0" w:color="auto"/>
        <w:left w:val="none" w:sz="0" w:space="0" w:color="auto"/>
        <w:bottom w:val="none" w:sz="0" w:space="0" w:color="auto"/>
        <w:right w:val="none" w:sz="0" w:space="0" w:color="auto"/>
      </w:divBdr>
    </w:div>
    <w:div w:id="1628730795">
      <w:bodyDiv w:val="1"/>
      <w:marLeft w:val="0"/>
      <w:marRight w:val="0"/>
      <w:marTop w:val="0"/>
      <w:marBottom w:val="0"/>
      <w:divBdr>
        <w:top w:val="none" w:sz="0" w:space="0" w:color="auto"/>
        <w:left w:val="none" w:sz="0" w:space="0" w:color="auto"/>
        <w:bottom w:val="none" w:sz="0" w:space="0" w:color="auto"/>
        <w:right w:val="none" w:sz="0" w:space="0" w:color="auto"/>
      </w:divBdr>
    </w:div>
    <w:div w:id="1642883031">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 w:id="1674264314">
      <w:bodyDiv w:val="1"/>
      <w:marLeft w:val="0"/>
      <w:marRight w:val="0"/>
      <w:marTop w:val="0"/>
      <w:marBottom w:val="0"/>
      <w:divBdr>
        <w:top w:val="none" w:sz="0" w:space="0" w:color="auto"/>
        <w:left w:val="none" w:sz="0" w:space="0" w:color="auto"/>
        <w:bottom w:val="none" w:sz="0" w:space="0" w:color="auto"/>
        <w:right w:val="none" w:sz="0" w:space="0" w:color="auto"/>
      </w:divBdr>
    </w:div>
    <w:div w:id="1701779604">
      <w:bodyDiv w:val="1"/>
      <w:marLeft w:val="0"/>
      <w:marRight w:val="0"/>
      <w:marTop w:val="0"/>
      <w:marBottom w:val="0"/>
      <w:divBdr>
        <w:top w:val="none" w:sz="0" w:space="0" w:color="auto"/>
        <w:left w:val="none" w:sz="0" w:space="0" w:color="auto"/>
        <w:bottom w:val="none" w:sz="0" w:space="0" w:color="auto"/>
        <w:right w:val="none" w:sz="0" w:space="0" w:color="auto"/>
      </w:divBdr>
    </w:div>
    <w:div w:id="1726097865">
      <w:bodyDiv w:val="1"/>
      <w:marLeft w:val="0"/>
      <w:marRight w:val="0"/>
      <w:marTop w:val="0"/>
      <w:marBottom w:val="0"/>
      <w:divBdr>
        <w:top w:val="none" w:sz="0" w:space="0" w:color="auto"/>
        <w:left w:val="none" w:sz="0" w:space="0" w:color="auto"/>
        <w:bottom w:val="none" w:sz="0" w:space="0" w:color="auto"/>
        <w:right w:val="none" w:sz="0" w:space="0" w:color="auto"/>
      </w:divBdr>
    </w:div>
    <w:div w:id="1772818392">
      <w:bodyDiv w:val="1"/>
      <w:marLeft w:val="0"/>
      <w:marRight w:val="0"/>
      <w:marTop w:val="0"/>
      <w:marBottom w:val="0"/>
      <w:divBdr>
        <w:top w:val="none" w:sz="0" w:space="0" w:color="auto"/>
        <w:left w:val="none" w:sz="0" w:space="0" w:color="auto"/>
        <w:bottom w:val="none" w:sz="0" w:space="0" w:color="auto"/>
        <w:right w:val="none" w:sz="0" w:space="0" w:color="auto"/>
      </w:divBdr>
      <w:divsChild>
        <w:div w:id="268781475">
          <w:marLeft w:val="0"/>
          <w:marRight w:val="0"/>
          <w:marTop w:val="0"/>
          <w:marBottom w:val="0"/>
          <w:divBdr>
            <w:top w:val="none" w:sz="0" w:space="0" w:color="auto"/>
            <w:left w:val="none" w:sz="0" w:space="0" w:color="auto"/>
            <w:bottom w:val="none" w:sz="0" w:space="0" w:color="auto"/>
            <w:right w:val="none" w:sz="0" w:space="0" w:color="auto"/>
          </w:divBdr>
        </w:div>
      </w:divsChild>
    </w:div>
    <w:div w:id="1793131751">
      <w:bodyDiv w:val="1"/>
      <w:marLeft w:val="0"/>
      <w:marRight w:val="0"/>
      <w:marTop w:val="0"/>
      <w:marBottom w:val="0"/>
      <w:divBdr>
        <w:top w:val="none" w:sz="0" w:space="0" w:color="auto"/>
        <w:left w:val="none" w:sz="0" w:space="0" w:color="auto"/>
        <w:bottom w:val="none" w:sz="0" w:space="0" w:color="auto"/>
        <w:right w:val="none" w:sz="0" w:space="0" w:color="auto"/>
      </w:divBdr>
      <w:divsChild>
        <w:div w:id="2024478936">
          <w:marLeft w:val="0"/>
          <w:marRight w:val="0"/>
          <w:marTop w:val="0"/>
          <w:marBottom w:val="0"/>
          <w:divBdr>
            <w:top w:val="none" w:sz="0" w:space="0" w:color="auto"/>
            <w:left w:val="none" w:sz="0" w:space="0" w:color="auto"/>
            <w:bottom w:val="none" w:sz="0" w:space="0" w:color="auto"/>
            <w:right w:val="none" w:sz="0" w:space="0" w:color="auto"/>
          </w:divBdr>
        </w:div>
      </w:divsChild>
    </w:div>
    <w:div w:id="1849758762">
      <w:bodyDiv w:val="1"/>
      <w:marLeft w:val="0"/>
      <w:marRight w:val="0"/>
      <w:marTop w:val="0"/>
      <w:marBottom w:val="0"/>
      <w:divBdr>
        <w:top w:val="none" w:sz="0" w:space="0" w:color="auto"/>
        <w:left w:val="none" w:sz="0" w:space="0" w:color="auto"/>
        <w:bottom w:val="none" w:sz="0" w:space="0" w:color="auto"/>
        <w:right w:val="none" w:sz="0" w:space="0" w:color="auto"/>
      </w:divBdr>
    </w:div>
    <w:div w:id="1872765386">
      <w:bodyDiv w:val="1"/>
      <w:marLeft w:val="0"/>
      <w:marRight w:val="0"/>
      <w:marTop w:val="0"/>
      <w:marBottom w:val="0"/>
      <w:divBdr>
        <w:top w:val="none" w:sz="0" w:space="0" w:color="auto"/>
        <w:left w:val="none" w:sz="0" w:space="0" w:color="auto"/>
        <w:bottom w:val="none" w:sz="0" w:space="0" w:color="auto"/>
        <w:right w:val="none" w:sz="0" w:space="0" w:color="auto"/>
      </w:divBdr>
    </w:div>
    <w:div w:id="1877086027">
      <w:bodyDiv w:val="1"/>
      <w:marLeft w:val="0"/>
      <w:marRight w:val="0"/>
      <w:marTop w:val="0"/>
      <w:marBottom w:val="0"/>
      <w:divBdr>
        <w:top w:val="none" w:sz="0" w:space="0" w:color="auto"/>
        <w:left w:val="none" w:sz="0" w:space="0" w:color="auto"/>
        <w:bottom w:val="none" w:sz="0" w:space="0" w:color="auto"/>
        <w:right w:val="none" w:sz="0" w:space="0" w:color="auto"/>
      </w:divBdr>
    </w:div>
    <w:div w:id="1877546090">
      <w:bodyDiv w:val="1"/>
      <w:marLeft w:val="0"/>
      <w:marRight w:val="0"/>
      <w:marTop w:val="0"/>
      <w:marBottom w:val="0"/>
      <w:divBdr>
        <w:top w:val="none" w:sz="0" w:space="0" w:color="auto"/>
        <w:left w:val="none" w:sz="0" w:space="0" w:color="auto"/>
        <w:bottom w:val="none" w:sz="0" w:space="0" w:color="auto"/>
        <w:right w:val="none" w:sz="0" w:space="0" w:color="auto"/>
      </w:divBdr>
      <w:divsChild>
        <w:div w:id="785002377">
          <w:marLeft w:val="0"/>
          <w:marRight w:val="0"/>
          <w:marTop w:val="0"/>
          <w:marBottom w:val="0"/>
          <w:divBdr>
            <w:top w:val="none" w:sz="0" w:space="0" w:color="auto"/>
            <w:left w:val="none" w:sz="0" w:space="0" w:color="auto"/>
            <w:bottom w:val="none" w:sz="0" w:space="0" w:color="auto"/>
            <w:right w:val="none" w:sz="0" w:space="0" w:color="auto"/>
          </w:divBdr>
        </w:div>
      </w:divsChild>
    </w:div>
    <w:div w:id="1897351312">
      <w:bodyDiv w:val="1"/>
      <w:marLeft w:val="0"/>
      <w:marRight w:val="0"/>
      <w:marTop w:val="0"/>
      <w:marBottom w:val="0"/>
      <w:divBdr>
        <w:top w:val="none" w:sz="0" w:space="0" w:color="auto"/>
        <w:left w:val="none" w:sz="0" w:space="0" w:color="auto"/>
        <w:bottom w:val="none" w:sz="0" w:space="0" w:color="auto"/>
        <w:right w:val="none" w:sz="0" w:space="0" w:color="auto"/>
      </w:divBdr>
    </w:div>
    <w:div w:id="1955479028">
      <w:bodyDiv w:val="1"/>
      <w:marLeft w:val="0"/>
      <w:marRight w:val="0"/>
      <w:marTop w:val="0"/>
      <w:marBottom w:val="0"/>
      <w:divBdr>
        <w:top w:val="none" w:sz="0" w:space="0" w:color="auto"/>
        <w:left w:val="none" w:sz="0" w:space="0" w:color="auto"/>
        <w:bottom w:val="none" w:sz="0" w:space="0" w:color="auto"/>
        <w:right w:val="none" w:sz="0" w:space="0" w:color="auto"/>
      </w:divBdr>
    </w:div>
    <w:div w:id="1958948755">
      <w:bodyDiv w:val="1"/>
      <w:marLeft w:val="0"/>
      <w:marRight w:val="0"/>
      <w:marTop w:val="0"/>
      <w:marBottom w:val="0"/>
      <w:divBdr>
        <w:top w:val="none" w:sz="0" w:space="0" w:color="auto"/>
        <w:left w:val="none" w:sz="0" w:space="0" w:color="auto"/>
        <w:bottom w:val="none" w:sz="0" w:space="0" w:color="auto"/>
        <w:right w:val="none" w:sz="0" w:space="0" w:color="auto"/>
      </w:divBdr>
    </w:div>
    <w:div w:id="2036298059">
      <w:bodyDiv w:val="1"/>
      <w:marLeft w:val="0"/>
      <w:marRight w:val="0"/>
      <w:marTop w:val="0"/>
      <w:marBottom w:val="0"/>
      <w:divBdr>
        <w:top w:val="none" w:sz="0" w:space="0" w:color="auto"/>
        <w:left w:val="none" w:sz="0" w:space="0" w:color="auto"/>
        <w:bottom w:val="none" w:sz="0" w:space="0" w:color="auto"/>
        <w:right w:val="none" w:sz="0" w:space="0" w:color="auto"/>
      </w:divBdr>
      <w:divsChild>
        <w:div w:id="1818256312">
          <w:marLeft w:val="0"/>
          <w:marRight w:val="0"/>
          <w:marTop w:val="0"/>
          <w:marBottom w:val="0"/>
          <w:divBdr>
            <w:top w:val="none" w:sz="0" w:space="0" w:color="auto"/>
            <w:left w:val="none" w:sz="0" w:space="0" w:color="auto"/>
            <w:bottom w:val="none" w:sz="0" w:space="0" w:color="auto"/>
            <w:right w:val="none" w:sz="0" w:space="0" w:color="auto"/>
          </w:divBdr>
        </w:div>
      </w:divsChild>
    </w:div>
    <w:div w:id="2044743159">
      <w:bodyDiv w:val="1"/>
      <w:marLeft w:val="0"/>
      <w:marRight w:val="0"/>
      <w:marTop w:val="0"/>
      <w:marBottom w:val="0"/>
      <w:divBdr>
        <w:top w:val="none" w:sz="0" w:space="0" w:color="auto"/>
        <w:left w:val="none" w:sz="0" w:space="0" w:color="auto"/>
        <w:bottom w:val="none" w:sz="0" w:space="0" w:color="auto"/>
        <w:right w:val="none" w:sz="0" w:space="0" w:color="auto"/>
      </w:divBdr>
    </w:div>
    <w:div w:id="2048794781">
      <w:bodyDiv w:val="1"/>
      <w:marLeft w:val="0"/>
      <w:marRight w:val="0"/>
      <w:marTop w:val="0"/>
      <w:marBottom w:val="0"/>
      <w:divBdr>
        <w:top w:val="none" w:sz="0" w:space="0" w:color="auto"/>
        <w:left w:val="none" w:sz="0" w:space="0" w:color="auto"/>
        <w:bottom w:val="none" w:sz="0" w:space="0" w:color="auto"/>
        <w:right w:val="none" w:sz="0" w:space="0" w:color="auto"/>
      </w:divBdr>
    </w:div>
    <w:div w:id="2056267756">
      <w:bodyDiv w:val="1"/>
      <w:marLeft w:val="0"/>
      <w:marRight w:val="0"/>
      <w:marTop w:val="0"/>
      <w:marBottom w:val="0"/>
      <w:divBdr>
        <w:top w:val="none" w:sz="0" w:space="0" w:color="auto"/>
        <w:left w:val="none" w:sz="0" w:space="0" w:color="auto"/>
        <w:bottom w:val="none" w:sz="0" w:space="0" w:color="auto"/>
        <w:right w:val="none" w:sz="0" w:space="0" w:color="auto"/>
      </w:divBdr>
    </w:div>
    <w:div w:id="2062292062">
      <w:bodyDiv w:val="1"/>
      <w:marLeft w:val="0"/>
      <w:marRight w:val="0"/>
      <w:marTop w:val="0"/>
      <w:marBottom w:val="0"/>
      <w:divBdr>
        <w:top w:val="none" w:sz="0" w:space="0" w:color="auto"/>
        <w:left w:val="none" w:sz="0" w:space="0" w:color="auto"/>
        <w:bottom w:val="none" w:sz="0" w:space="0" w:color="auto"/>
        <w:right w:val="none" w:sz="0" w:space="0" w:color="auto"/>
      </w:divBdr>
      <w:divsChild>
        <w:div w:id="2067337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C0506E-A979-41E0-92EE-59900514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12088</Words>
  <Characters>66484</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INFOEM381</cp:lastModifiedBy>
  <cp:revision>6</cp:revision>
  <cp:lastPrinted>2024-12-06T16:40:00Z</cp:lastPrinted>
  <dcterms:created xsi:type="dcterms:W3CDTF">2024-11-27T00:30:00Z</dcterms:created>
  <dcterms:modified xsi:type="dcterms:W3CDTF">2025-01-22T18:20:00Z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