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0E499" w14:textId="77777777" w:rsidR="006F1CF5" w:rsidRPr="006F1CF5" w:rsidRDefault="006F1CF5" w:rsidP="006F1CF5">
      <w:pPr>
        <w:tabs>
          <w:tab w:val="left" w:pos="8931"/>
        </w:tabs>
        <w:spacing w:after="0" w:line="360" w:lineRule="auto"/>
        <w:jc w:val="both"/>
        <w:rPr>
          <w:rFonts w:ascii="Palatino Linotype" w:eastAsia="Calibri" w:hAnsi="Palatino Linotype" w:cs="Tahoma"/>
          <w:lang w:val="es-ES"/>
        </w:rPr>
      </w:pPr>
      <w:r w:rsidRPr="006F1CF5">
        <w:rPr>
          <w:rFonts w:ascii="Palatino Linotype" w:eastAsia="Calibri" w:hAnsi="Palatino Linotype" w:cs="Tahoma"/>
          <w:bCs/>
        </w:rPr>
        <w:t xml:space="preserve">Resolución del Pleno del Instituto de Transparencia, Acceso a la Información Pública y Protección de Datos Personales del Estado de México y Municipios, con domicilio en Metepec, </w:t>
      </w:r>
      <w:r w:rsidRPr="006F1CF5">
        <w:rPr>
          <w:rFonts w:ascii="Palatino Linotype" w:eastAsia="Calibri" w:hAnsi="Palatino Linotype" w:cs="Tahoma"/>
          <w:lang w:val="es-ES"/>
        </w:rPr>
        <w:t xml:space="preserve">Estado de México, de fecha </w:t>
      </w:r>
      <w:r w:rsidR="0085159B" w:rsidRPr="00BA161F">
        <w:rPr>
          <w:rFonts w:ascii="Palatino Linotype" w:eastAsia="Calibri" w:hAnsi="Palatino Linotype" w:cs="Tahoma"/>
          <w:lang w:val="es-ES"/>
        </w:rPr>
        <w:t>once de diciembre de dos mil veinticuatro.</w:t>
      </w:r>
    </w:p>
    <w:p w14:paraId="0C4E8086" w14:textId="77777777" w:rsidR="006F1CF5" w:rsidRPr="006F1CF5" w:rsidRDefault="006F1CF5" w:rsidP="006F1CF5">
      <w:pPr>
        <w:spacing w:after="0" w:line="360" w:lineRule="auto"/>
        <w:jc w:val="both"/>
        <w:rPr>
          <w:rFonts w:ascii="Palatino Linotype" w:eastAsia="Calibri" w:hAnsi="Palatino Linotype" w:cs="Tahoma"/>
          <w:b/>
          <w:bCs/>
          <w:color w:val="FF0000"/>
          <w:lang w:val="es-ES"/>
        </w:rPr>
      </w:pPr>
    </w:p>
    <w:p w14:paraId="3AA55E56" w14:textId="4E7DB40F" w:rsidR="006F1CF5" w:rsidRPr="006F1CF5" w:rsidRDefault="006F1CF5" w:rsidP="006F1CF5">
      <w:pPr>
        <w:spacing w:after="0" w:line="360" w:lineRule="auto"/>
        <w:jc w:val="both"/>
        <w:rPr>
          <w:rFonts w:ascii="Palatino Linotype" w:eastAsia="Calibri" w:hAnsi="Palatino Linotype" w:cs="Tahoma"/>
        </w:rPr>
      </w:pPr>
      <w:r w:rsidRPr="006F1CF5">
        <w:rPr>
          <w:rFonts w:ascii="Palatino Linotype" w:eastAsia="Calibri" w:hAnsi="Palatino Linotype" w:cs="Tahoma"/>
          <w:b/>
          <w:bCs/>
          <w:lang w:val="es-ES"/>
        </w:rPr>
        <w:t xml:space="preserve">VISTO </w:t>
      </w:r>
      <w:r w:rsidRPr="006F1CF5">
        <w:rPr>
          <w:rFonts w:ascii="Palatino Linotype" w:eastAsia="Calibri" w:hAnsi="Palatino Linotype" w:cs="Tahoma"/>
          <w:lang w:val="es-ES"/>
        </w:rPr>
        <w:t xml:space="preserve">el expediente conformado con motivo del Recurso de Revisión </w:t>
      </w:r>
      <w:bookmarkStart w:id="0" w:name="_Hlk168055842"/>
      <w:r w:rsidRPr="002C2C4E">
        <w:rPr>
          <w:rFonts w:ascii="Palatino Linotype" w:eastAsia="Calibri" w:hAnsi="Palatino Linotype" w:cs="Tahoma"/>
          <w:b/>
        </w:rPr>
        <w:t>0</w:t>
      </w:r>
      <w:r w:rsidR="00BA161F" w:rsidRPr="002C2C4E">
        <w:rPr>
          <w:rFonts w:ascii="Palatino Linotype" w:eastAsia="Calibri" w:hAnsi="Palatino Linotype" w:cs="Tahoma"/>
          <w:b/>
        </w:rPr>
        <w:t>72</w:t>
      </w:r>
      <w:r w:rsidR="00120360" w:rsidRPr="002C2C4E">
        <w:rPr>
          <w:rFonts w:ascii="Palatino Linotype" w:eastAsia="Calibri" w:hAnsi="Palatino Linotype" w:cs="Tahoma"/>
          <w:b/>
        </w:rPr>
        <w:t>7</w:t>
      </w:r>
      <w:r w:rsidR="00BA161F" w:rsidRPr="002C2C4E">
        <w:rPr>
          <w:rFonts w:ascii="Palatino Linotype" w:eastAsia="Calibri" w:hAnsi="Palatino Linotype" w:cs="Tahoma"/>
          <w:b/>
        </w:rPr>
        <w:t>6</w:t>
      </w:r>
      <w:r w:rsidRPr="002C2C4E">
        <w:rPr>
          <w:rFonts w:ascii="Palatino Linotype" w:eastAsia="Calibri" w:hAnsi="Palatino Linotype" w:cs="Tahoma"/>
          <w:b/>
        </w:rPr>
        <w:t>/INFOEM/IP/RR/2024</w:t>
      </w:r>
      <w:bookmarkEnd w:id="0"/>
      <w:r w:rsidRPr="00AB5969">
        <w:rPr>
          <w:rFonts w:ascii="Palatino Linotype" w:eastAsia="Calibri" w:hAnsi="Palatino Linotype" w:cs="Tahoma"/>
          <w:bCs/>
        </w:rPr>
        <w:t xml:space="preserve">, interpuesto por </w:t>
      </w:r>
      <w:r w:rsidR="00D72779" w:rsidRPr="00D72779">
        <w:rPr>
          <w:rFonts w:ascii="Palatino Linotype" w:eastAsia="Calibri" w:hAnsi="Palatino Linotype" w:cs="Tahoma"/>
          <w:b/>
          <w:highlight w:val="black"/>
        </w:rPr>
        <w:t>XXXXXXXXXXXXXXXXXXXXX</w:t>
      </w:r>
      <w:r w:rsidRPr="00AB5969">
        <w:rPr>
          <w:rFonts w:ascii="Palatino Linotype" w:eastAsia="Calibri" w:hAnsi="Palatino Linotype" w:cs="Tahoma"/>
          <w:bCs/>
        </w:rPr>
        <w:t>, en lo sucesivo, la persona Recurrente o Particular, en contra de la respuesta del Sujeto Obligado</w:t>
      </w:r>
      <w:r w:rsidRPr="00AB5969">
        <w:rPr>
          <w:rFonts w:ascii="Palatino Linotype" w:eastAsia="Calibri" w:hAnsi="Palatino Linotype" w:cs="Times New Roman"/>
          <w:bCs/>
        </w:rPr>
        <w:t xml:space="preserve">, </w:t>
      </w:r>
      <w:r w:rsidR="00BA161F" w:rsidRPr="002C2C4E">
        <w:rPr>
          <w:rFonts w:ascii="Palatino Linotype" w:eastAsia="Calibri" w:hAnsi="Palatino Linotype" w:cs="Times New Roman"/>
          <w:b/>
        </w:rPr>
        <w:t>Ayuntamiento de</w:t>
      </w:r>
      <w:r w:rsidR="00120360" w:rsidRPr="002C2C4E">
        <w:rPr>
          <w:rFonts w:ascii="Palatino Linotype" w:eastAsia="Calibri" w:hAnsi="Palatino Linotype" w:cs="Times New Roman"/>
          <w:b/>
        </w:rPr>
        <w:t xml:space="preserve"> Texcoco</w:t>
      </w:r>
      <w:r w:rsidRPr="002C2C4E">
        <w:rPr>
          <w:rFonts w:ascii="Palatino Linotype" w:eastAsia="Calibri" w:hAnsi="Palatino Linotype" w:cs="Tahoma"/>
          <w:b/>
        </w:rPr>
        <w:t>,</w:t>
      </w:r>
      <w:r w:rsidRPr="00AB5969">
        <w:rPr>
          <w:rFonts w:ascii="Palatino Linotype" w:eastAsia="Calibri" w:hAnsi="Palatino Linotype" w:cs="Tahoma"/>
          <w:bCs/>
        </w:rPr>
        <w:t xml:space="preserve"> a</w:t>
      </w:r>
      <w:r w:rsidRPr="006F1CF5">
        <w:rPr>
          <w:rFonts w:ascii="Palatino Linotype" w:eastAsia="Calibri" w:hAnsi="Palatino Linotype" w:cs="Tahoma"/>
        </w:rPr>
        <w:t xml:space="preserve"> la solicitud de acceso a la información pública</w:t>
      </w:r>
      <w:r w:rsidR="00AB5969">
        <w:rPr>
          <w:rFonts w:ascii="Palatino Linotype" w:eastAsia="Calibri" w:hAnsi="Palatino Linotype" w:cs="Tahoma"/>
        </w:rPr>
        <w:t xml:space="preserve"> </w:t>
      </w:r>
      <w:r w:rsidR="00120360" w:rsidRPr="00120360">
        <w:rPr>
          <w:rFonts w:ascii="Palatino Linotype" w:eastAsia="Calibri" w:hAnsi="Palatino Linotype" w:cs="Times New Roman"/>
        </w:rPr>
        <w:t>00257/TEXCOCO/IP/2024</w:t>
      </w:r>
      <w:r w:rsidRPr="006F1CF5">
        <w:rPr>
          <w:rFonts w:ascii="Palatino Linotype" w:eastAsia="Calibri" w:hAnsi="Palatino Linotype" w:cs="Tahoma"/>
          <w:iCs/>
        </w:rPr>
        <w:t>,</w:t>
      </w:r>
      <w:r w:rsidRPr="006F1CF5">
        <w:rPr>
          <w:rFonts w:ascii="Palatino Linotype" w:eastAsia="Calibri" w:hAnsi="Palatino Linotype" w:cs="Tahoma"/>
        </w:rPr>
        <w:t xml:space="preserve"> se emite</w:t>
      </w:r>
      <w:r w:rsidRPr="006F1CF5">
        <w:rPr>
          <w:rFonts w:ascii="Palatino Linotype" w:eastAsia="Calibri" w:hAnsi="Palatino Linotype" w:cs="Tahoma"/>
          <w:bCs/>
        </w:rPr>
        <w:t xml:space="preserve"> la presente Resolución, con base en los Antecedentes y Considerandos que se exponen a continuación:</w:t>
      </w:r>
    </w:p>
    <w:p w14:paraId="7520D1EB" w14:textId="77777777" w:rsidR="006F1CF5" w:rsidRPr="00AB5969" w:rsidRDefault="006F1CF5" w:rsidP="006F1CF5">
      <w:pPr>
        <w:spacing w:after="0" w:line="360" w:lineRule="auto"/>
        <w:jc w:val="both"/>
        <w:rPr>
          <w:rFonts w:ascii="Palatino Linotype" w:eastAsia="Calibri" w:hAnsi="Palatino Linotype" w:cs="Tahoma"/>
          <w:b/>
          <w:bCs/>
        </w:rPr>
      </w:pPr>
    </w:p>
    <w:p w14:paraId="07222BEC" w14:textId="77777777" w:rsidR="006F1CF5" w:rsidRPr="006F1CF5" w:rsidRDefault="006F1CF5" w:rsidP="006F1CF5">
      <w:pPr>
        <w:spacing w:after="0" w:line="360" w:lineRule="auto"/>
        <w:jc w:val="center"/>
        <w:rPr>
          <w:rFonts w:ascii="Palatino Linotype" w:eastAsia="Calibri" w:hAnsi="Palatino Linotype" w:cs="Tahoma"/>
          <w:b/>
          <w:bCs/>
          <w:lang w:val="es-ES"/>
        </w:rPr>
      </w:pPr>
      <w:r w:rsidRPr="006F1CF5">
        <w:rPr>
          <w:rFonts w:ascii="Palatino Linotype" w:eastAsia="Calibri" w:hAnsi="Palatino Linotype" w:cs="Tahoma"/>
          <w:b/>
          <w:bCs/>
          <w:lang w:val="es-ES"/>
        </w:rPr>
        <w:t>A N T E C E D E N T E S</w:t>
      </w:r>
    </w:p>
    <w:p w14:paraId="44FBA07A" w14:textId="77777777" w:rsidR="006F1CF5" w:rsidRPr="006F1CF5" w:rsidRDefault="006F1CF5" w:rsidP="006F1CF5">
      <w:pPr>
        <w:spacing w:after="0" w:line="360" w:lineRule="auto"/>
        <w:jc w:val="both"/>
        <w:rPr>
          <w:rFonts w:ascii="Palatino Linotype" w:eastAsia="Calibri" w:hAnsi="Palatino Linotype" w:cs="Times New Roman"/>
          <w:color w:val="FF0000"/>
          <w:lang w:val="es-ES"/>
        </w:rPr>
      </w:pPr>
    </w:p>
    <w:p w14:paraId="04483474" w14:textId="77777777" w:rsidR="006F1CF5" w:rsidRPr="006F1CF5" w:rsidRDefault="006F1CF5" w:rsidP="006F1CF5">
      <w:pPr>
        <w:spacing w:after="0" w:line="360" w:lineRule="auto"/>
        <w:jc w:val="both"/>
        <w:rPr>
          <w:rFonts w:ascii="Palatino Linotype" w:eastAsia="Calibri" w:hAnsi="Palatino Linotype" w:cs="Tahoma"/>
          <w:b/>
          <w:bCs/>
          <w:lang w:val="es-ES"/>
        </w:rPr>
      </w:pPr>
      <w:r w:rsidRPr="006F1CF5">
        <w:rPr>
          <w:rFonts w:ascii="Palatino Linotype" w:eastAsia="Calibri" w:hAnsi="Palatino Linotype" w:cs="Tahoma"/>
          <w:b/>
          <w:bCs/>
          <w:lang w:val="es-ES"/>
        </w:rPr>
        <w:t>I. Presentación de la solicitud de información</w:t>
      </w:r>
    </w:p>
    <w:p w14:paraId="6110E83B" w14:textId="77777777" w:rsidR="006F1CF5" w:rsidRPr="006F1CF5" w:rsidRDefault="006F1CF5" w:rsidP="006F1CF5">
      <w:pPr>
        <w:spacing w:after="0" w:line="360" w:lineRule="auto"/>
        <w:jc w:val="both"/>
        <w:rPr>
          <w:rFonts w:ascii="Palatino Linotype" w:eastAsia="Calibri" w:hAnsi="Palatino Linotype" w:cs="Tahoma"/>
          <w:color w:val="FF0000"/>
        </w:rPr>
      </w:pPr>
    </w:p>
    <w:p w14:paraId="60AA1212" w14:textId="77777777" w:rsidR="006F1CF5" w:rsidRPr="006F1CF5" w:rsidRDefault="006F1CF5" w:rsidP="006F1CF5">
      <w:pPr>
        <w:spacing w:after="0" w:line="360" w:lineRule="auto"/>
        <w:jc w:val="both"/>
        <w:rPr>
          <w:rFonts w:ascii="Palatino Linotype" w:eastAsia="Calibri" w:hAnsi="Palatino Linotype" w:cs="Tahoma"/>
          <w:lang w:val="es-ES"/>
        </w:rPr>
      </w:pPr>
      <w:r w:rsidRPr="006F1CF5">
        <w:rPr>
          <w:rFonts w:ascii="Palatino Linotype" w:eastAsia="Calibri" w:hAnsi="Palatino Linotype" w:cs="Tahoma"/>
        </w:rPr>
        <w:t>El</w:t>
      </w:r>
      <w:r w:rsidRPr="006F1CF5">
        <w:rPr>
          <w:rFonts w:ascii="Palatino Linotype" w:eastAsia="Calibri" w:hAnsi="Palatino Linotype" w:cs="Tahoma"/>
          <w:lang w:val="es-ES"/>
        </w:rPr>
        <w:t xml:space="preserve"> </w:t>
      </w:r>
      <w:r w:rsidR="00FD72F3">
        <w:rPr>
          <w:rFonts w:ascii="Palatino Linotype" w:eastAsia="Calibri" w:hAnsi="Palatino Linotype" w:cs="Tahoma"/>
          <w:lang w:val="es-ES"/>
        </w:rPr>
        <w:t xml:space="preserve">catorce de noviembre </w:t>
      </w:r>
      <w:r w:rsidR="00BA161F" w:rsidRPr="00BA161F">
        <w:rPr>
          <w:rFonts w:ascii="Palatino Linotype" w:eastAsia="Calibri" w:hAnsi="Palatino Linotype" w:cs="Tahoma"/>
          <w:lang w:val="es-ES"/>
        </w:rPr>
        <w:t xml:space="preserve">de dos mil </w:t>
      </w:r>
      <w:r w:rsidRPr="006F1CF5">
        <w:rPr>
          <w:rFonts w:ascii="Palatino Linotype" w:eastAsia="Calibri" w:hAnsi="Palatino Linotype" w:cs="Tahoma"/>
          <w:lang w:val="es-ES"/>
        </w:rPr>
        <w:t>veinticuatro, se presentó una solicitud de información por la persona Recurrente, a través del Sistema de Acceso a la Información Mexiquense (SAIMEX),</w:t>
      </w:r>
      <w:r w:rsidRPr="006F1CF5">
        <w:rPr>
          <w:rFonts w:ascii="Palatino Linotype" w:eastAsia="Calibri" w:hAnsi="Palatino Linotype" w:cs="Times New Roman"/>
          <w:b/>
          <w:bCs/>
        </w:rPr>
        <w:t xml:space="preserve"> </w:t>
      </w:r>
      <w:r w:rsidRPr="006F1CF5">
        <w:rPr>
          <w:rFonts w:ascii="Palatino Linotype" w:eastAsia="Calibri" w:hAnsi="Palatino Linotype" w:cs="Tahoma"/>
          <w:lang w:val="es-ES"/>
        </w:rPr>
        <w:t xml:space="preserve">ante el </w:t>
      </w:r>
      <w:r w:rsidR="00BA161F" w:rsidRPr="00BA161F">
        <w:rPr>
          <w:rFonts w:ascii="Palatino Linotype" w:eastAsia="Calibri" w:hAnsi="Palatino Linotype" w:cs="Times New Roman"/>
        </w:rPr>
        <w:t>Ayuntamiento de</w:t>
      </w:r>
      <w:r w:rsidR="00FD72F3">
        <w:rPr>
          <w:rFonts w:ascii="Palatino Linotype" w:eastAsia="Calibri" w:hAnsi="Palatino Linotype" w:cs="Times New Roman"/>
        </w:rPr>
        <w:t xml:space="preserve"> Texcoco</w:t>
      </w:r>
      <w:r w:rsidRPr="006F1CF5">
        <w:rPr>
          <w:rFonts w:ascii="Palatino Linotype" w:eastAsia="Calibri" w:hAnsi="Palatino Linotype" w:cs="Tahoma"/>
        </w:rPr>
        <w:t>, en los siguientes términos</w:t>
      </w:r>
    </w:p>
    <w:p w14:paraId="7784394B" w14:textId="77777777" w:rsidR="006F1CF5" w:rsidRPr="006F1CF5" w:rsidRDefault="006F1CF5" w:rsidP="006F1CF5">
      <w:pPr>
        <w:spacing w:after="0" w:line="360" w:lineRule="auto"/>
        <w:jc w:val="both"/>
        <w:rPr>
          <w:rFonts w:ascii="Palatino Linotype" w:eastAsia="Calibri" w:hAnsi="Palatino Linotype" w:cs="Tahoma"/>
          <w:color w:val="FF0000"/>
        </w:rPr>
      </w:pPr>
    </w:p>
    <w:p w14:paraId="2696DCA5" w14:textId="77777777" w:rsidR="006F1CF5" w:rsidRPr="006F1CF5" w:rsidRDefault="006F1CF5" w:rsidP="006F1CF5">
      <w:pPr>
        <w:tabs>
          <w:tab w:val="left" w:pos="4667"/>
        </w:tabs>
        <w:spacing w:after="0" w:line="360" w:lineRule="auto"/>
        <w:ind w:left="567" w:right="567"/>
        <w:jc w:val="both"/>
        <w:rPr>
          <w:rFonts w:ascii="Palatino Linotype" w:eastAsia="Calibri" w:hAnsi="Palatino Linotype" w:cs="Tahoma"/>
          <w:b/>
          <w:bCs/>
          <w:i/>
          <w:sz w:val="20"/>
          <w:szCs w:val="20"/>
        </w:rPr>
      </w:pPr>
      <w:r w:rsidRPr="006F1CF5">
        <w:rPr>
          <w:rFonts w:ascii="Palatino Linotype" w:eastAsia="Calibri" w:hAnsi="Palatino Linotype" w:cs="Tahoma"/>
          <w:b/>
          <w:bCs/>
          <w:i/>
          <w:sz w:val="20"/>
          <w:szCs w:val="20"/>
        </w:rPr>
        <w:t>“DESCRIPCIÓN CLARA Y PRECISA DE LA INFORMACIÓN SOLICITADA</w:t>
      </w:r>
    </w:p>
    <w:p w14:paraId="049B7D16" w14:textId="77777777" w:rsidR="006F1CF5" w:rsidRPr="006F1CF5" w:rsidRDefault="00FD72F3" w:rsidP="006F1CF5">
      <w:pPr>
        <w:spacing w:after="0" w:line="360" w:lineRule="auto"/>
        <w:ind w:left="567" w:right="567"/>
        <w:jc w:val="both"/>
        <w:rPr>
          <w:rFonts w:ascii="Palatino Linotype" w:eastAsia="Times New Roman" w:hAnsi="Palatino Linotype" w:cs="Arial"/>
          <w:bCs/>
          <w:i/>
          <w:iCs/>
          <w:sz w:val="20"/>
          <w:szCs w:val="20"/>
          <w:lang w:eastAsia="es-ES"/>
        </w:rPr>
      </w:pPr>
      <w:r w:rsidRPr="00FD72F3">
        <w:rPr>
          <w:rFonts w:ascii="Palatino Linotype" w:eastAsia="Times New Roman" w:hAnsi="Palatino Linotype" w:cs="Arial"/>
          <w:bCs/>
          <w:i/>
          <w:iCs/>
          <w:sz w:val="20"/>
          <w:szCs w:val="20"/>
          <w:lang w:eastAsia="es-ES"/>
        </w:rPr>
        <w:t xml:space="preserve">Por medio de la presente, solicito de manera formal, de acuerdo con la Ley General de Transparencia y Acceso a la Información Pública, que se me proporcione la siguiente información: Norma, reglamento o disposición aplicable en México donde se especifique claramente la normativa que otorga facultades a la Subdirectora de Desarrollo Urbano, Arq. Daniela Espejel, o al personal designado en el Ayuntamiento de Texcoco, para realizar cobros en efectivo por concepto de supervisiones de obra en su jurisdicción. Detalles específicos de la normativa aplicable que indiquen los montos que deben cobrarse, en caso de existir, por supervisiones de obra, así como el </w:t>
      </w:r>
      <w:r w:rsidRPr="00FD72F3">
        <w:rPr>
          <w:rFonts w:ascii="Palatino Linotype" w:eastAsia="Times New Roman" w:hAnsi="Palatino Linotype" w:cs="Arial"/>
          <w:bCs/>
          <w:i/>
          <w:iCs/>
          <w:sz w:val="20"/>
          <w:szCs w:val="20"/>
          <w:lang w:eastAsia="es-ES"/>
        </w:rPr>
        <w:lastRenderedPageBreak/>
        <w:t>procedimiento que se debe seguir para la recepción de estos pagos en efectivo, si está permitido. Procedimientos administrativos y mecanismos de transparencia y rendición de cuentas establecidos para la gestión de estos ingresos en efectivo, incluyendo cómo deben ser documentados y reportados. Agradezco de antemano su atención y colaboración para proporcionar esta información y quedo a la espera de la respuesta dentro de los plazos legales estipulados en la normativa de transparencia.</w:t>
      </w:r>
      <w:r w:rsidR="006F1CF5" w:rsidRPr="006F1CF5">
        <w:rPr>
          <w:rFonts w:ascii="Palatino Linotype" w:eastAsia="Times New Roman" w:hAnsi="Palatino Linotype" w:cs="Arial"/>
          <w:bCs/>
          <w:i/>
          <w:iCs/>
          <w:sz w:val="20"/>
          <w:szCs w:val="20"/>
          <w:lang w:eastAsia="es-ES"/>
        </w:rPr>
        <w:t>” (Sic)</w:t>
      </w:r>
    </w:p>
    <w:p w14:paraId="5C1A71FC" w14:textId="77777777" w:rsidR="006F1CF5" w:rsidRPr="006F1CF5" w:rsidRDefault="006F1CF5" w:rsidP="006F1CF5">
      <w:pPr>
        <w:tabs>
          <w:tab w:val="left" w:pos="4667"/>
        </w:tabs>
        <w:spacing w:after="0" w:line="360" w:lineRule="auto"/>
        <w:ind w:left="567" w:right="567"/>
        <w:jc w:val="both"/>
        <w:rPr>
          <w:rFonts w:ascii="Palatino Linotype" w:eastAsia="Calibri" w:hAnsi="Palatino Linotype" w:cs="Tahoma"/>
          <w:bCs/>
          <w:i/>
          <w:sz w:val="20"/>
          <w:szCs w:val="20"/>
        </w:rPr>
      </w:pPr>
      <w:bookmarkStart w:id="1" w:name="_Hlk168055945"/>
    </w:p>
    <w:p w14:paraId="7D93A4D6" w14:textId="77777777" w:rsidR="006F1CF5" w:rsidRPr="006F1CF5" w:rsidRDefault="006F1CF5" w:rsidP="006F1CF5">
      <w:pPr>
        <w:tabs>
          <w:tab w:val="left" w:pos="4667"/>
        </w:tabs>
        <w:spacing w:after="0" w:line="360" w:lineRule="auto"/>
        <w:ind w:left="567" w:right="567"/>
        <w:jc w:val="both"/>
        <w:rPr>
          <w:rFonts w:ascii="Palatino Linotype" w:eastAsia="Times New Roman" w:hAnsi="Palatino Linotype" w:cs="Tahoma"/>
          <w:b/>
          <w:bCs/>
          <w:i/>
          <w:iCs/>
          <w:sz w:val="20"/>
          <w:szCs w:val="20"/>
          <w:lang w:eastAsia="es-ES"/>
        </w:rPr>
      </w:pPr>
      <w:r w:rsidRPr="006F1CF5">
        <w:rPr>
          <w:rFonts w:ascii="Palatino Linotype" w:eastAsia="Times New Roman" w:hAnsi="Palatino Linotype" w:cs="Tahoma"/>
          <w:b/>
          <w:bCs/>
          <w:i/>
          <w:iCs/>
          <w:sz w:val="20"/>
          <w:szCs w:val="20"/>
          <w:lang w:eastAsia="es-ES"/>
        </w:rPr>
        <w:t>“MODALIDAD DE ENTREGA</w:t>
      </w:r>
    </w:p>
    <w:p w14:paraId="2427B335" w14:textId="77777777" w:rsidR="006F1CF5" w:rsidRPr="006F1CF5" w:rsidRDefault="006F1CF5" w:rsidP="006F1CF5">
      <w:pPr>
        <w:spacing w:after="0" w:line="360" w:lineRule="auto"/>
        <w:ind w:left="567" w:right="567"/>
        <w:jc w:val="both"/>
        <w:rPr>
          <w:rFonts w:ascii="Palatino Linotype" w:eastAsia="Times New Roman" w:hAnsi="Palatino Linotype" w:cs="Arial"/>
          <w:bCs/>
          <w:i/>
          <w:iCs/>
          <w:sz w:val="20"/>
          <w:szCs w:val="20"/>
          <w:lang w:eastAsia="es-ES"/>
        </w:rPr>
      </w:pPr>
      <w:r w:rsidRPr="006F1CF5">
        <w:rPr>
          <w:rFonts w:ascii="Palatino Linotype" w:eastAsia="Times New Roman" w:hAnsi="Palatino Linotype" w:cs="Arial"/>
          <w:bCs/>
          <w:i/>
          <w:iCs/>
          <w:sz w:val="20"/>
          <w:szCs w:val="20"/>
          <w:lang w:eastAsia="es-ES"/>
        </w:rPr>
        <w:t>A través del SAIMEX” (Sic)</w:t>
      </w:r>
    </w:p>
    <w:bookmarkEnd w:id="1"/>
    <w:p w14:paraId="2212CFB3" w14:textId="77777777" w:rsidR="006F1CF5" w:rsidRPr="006F1CF5" w:rsidRDefault="006F1CF5" w:rsidP="006F1CF5">
      <w:pPr>
        <w:tabs>
          <w:tab w:val="left" w:pos="4667"/>
        </w:tabs>
        <w:spacing w:after="0" w:line="360" w:lineRule="auto"/>
        <w:ind w:right="567"/>
        <w:jc w:val="both"/>
        <w:rPr>
          <w:rFonts w:ascii="Palatino Linotype" w:eastAsia="Times New Roman" w:hAnsi="Palatino Linotype" w:cs="Tahoma"/>
          <w:b/>
          <w:bCs/>
          <w:color w:val="FF0000"/>
          <w:szCs w:val="24"/>
          <w:lang w:eastAsia="es-ES"/>
        </w:rPr>
      </w:pPr>
    </w:p>
    <w:p w14:paraId="46B6B887" w14:textId="77777777" w:rsidR="006F1CF5" w:rsidRPr="006F1CF5" w:rsidRDefault="006F1CF5" w:rsidP="00BA161F">
      <w:pPr>
        <w:spacing w:after="0" w:line="360" w:lineRule="auto"/>
        <w:contextualSpacing/>
        <w:jc w:val="both"/>
        <w:textAlignment w:val="baseline"/>
        <w:rPr>
          <w:rFonts w:ascii="Palatino Linotype" w:eastAsia="Times New Roman" w:hAnsi="Palatino Linotype" w:cs="Segoe UI"/>
        </w:rPr>
      </w:pPr>
      <w:r w:rsidRPr="009C7EDC">
        <w:rPr>
          <w:rFonts w:ascii="Palatino Linotype" w:eastAsia="Times New Roman" w:hAnsi="Palatino Linotype" w:cs="Segoe UI"/>
          <w:b/>
          <w:bCs/>
        </w:rPr>
        <w:t xml:space="preserve">II. </w:t>
      </w:r>
      <w:r w:rsidRPr="006F1CF5">
        <w:rPr>
          <w:rFonts w:ascii="Palatino Linotype" w:eastAsia="Times New Roman" w:hAnsi="Palatino Linotype" w:cs="Tahoma"/>
          <w:b/>
          <w:bCs/>
          <w:szCs w:val="24"/>
          <w:lang w:eastAsia="es-ES"/>
        </w:rPr>
        <w:t xml:space="preserve"> </w:t>
      </w:r>
      <w:r w:rsidRPr="006F1CF5">
        <w:rPr>
          <w:rFonts w:ascii="Palatino Linotype" w:eastAsia="Times New Roman" w:hAnsi="Palatino Linotype" w:cs="Tahoma"/>
          <w:b/>
          <w:szCs w:val="24"/>
          <w:lang w:eastAsia="es-ES"/>
        </w:rPr>
        <w:t>Respuesta</w:t>
      </w:r>
      <w:r w:rsidRPr="006F1CF5">
        <w:rPr>
          <w:rFonts w:ascii="Palatino Linotype" w:eastAsia="Times New Roman" w:hAnsi="Palatino Linotype" w:cs="Tahoma"/>
          <w:b/>
          <w:bCs/>
          <w:szCs w:val="24"/>
          <w:lang w:eastAsia="es-ES"/>
        </w:rPr>
        <w:t xml:space="preserve"> del Sujeto Obligado</w:t>
      </w:r>
    </w:p>
    <w:p w14:paraId="6AD1FD37" w14:textId="77777777" w:rsidR="006F1CF5" w:rsidRPr="006F1CF5" w:rsidRDefault="006F1CF5" w:rsidP="006F1CF5">
      <w:pPr>
        <w:autoSpaceDE w:val="0"/>
        <w:autoSpaceDN w:val="0"/>
        <w:adjustRightInd w:val="0"/>
        <w:spacing w:after="0" w:line="360" w:lineRule="auto"/>
        <w:jc w:val="both"/>
        <w:rPr>
          <w:rFonts w:ascii="Palatino Linotype" w:eastAsia="Calibri" w:hAnsi="Palatino Linotype" w:cs="Tahoma"/>
          <w:color w:val="FF0000"/>
        </w:rPr>
      </w:pPr>
    </w:p>
    <w:p w14:paraId="14EC0F95" w14:textId="77777777" w:rsidR="006F1CF5" w:rsidRDefault="006F1CF5" w:rsidP="006F1CF5">
      <w:pPr>
        <w:autoSpaceDE w:val="0"/>
        <w:autoSpaceDN w:val="0"/>
        <w:adjustRightInd w:val="0"/>
        <w:spacing w:after="0" w:line="360" w:lineRule="auto"/>
        <w:contextualSpacing/>
        <w:jc w:val="both"/>
        <w:rPr>
          <w:rFonts w:ascii="Palatino Linotype" w:eastAsia="Times New Roman" w:hAnsi="Palatino Linotype" w:cs="Tahoma"/>
          <w:lang w:eastAsia="es-ES"/>
        </w:rPr>
      </w:pPr>
      <w:bookmarkStart w:id="2" w:name="_Hlk170906280"/>
      <w:r w:rsidRPr="006F1CF5">
        <w:rPr>
          <w:rFonts w:ascii="Palatino Linotype" w:eastAsia="Calibri" w:hAnsi="Palatino Linotype" w:cs="Tahoma"/>
        </w:rPr>
        <w:t xml:space="preserve">El </w:t>
      </w:r>
      <w:r w:rsidR="00FD72F3">
        <w:rPr>
          <w:rFonts w:ascii="Palatino Linotype" w:eastAsia="Calibri" w:hAnsi="Palatino Linotype" w:cs="Tahoma"/>
        </w:rPr>
        <w:t>diecinueve</w:t>
      </w:r>
      <w:r w:rsidR="009C7EDC" w:rsidRPr="009C7EDC">
        <w:rPr>
          <w:rFonts w:ascii="Palatino Linotype" w:eastAsia="Calibri" w:hAnsi="Palatino Linotype" w:cs="Tahoma"/>
        </w:rPr>
        <w:t xml:space="preserve"> de noviembre de dos mil </w:t>
      </w:r>
      <w:r w:rsidRPr="006F1CF5">
        <w:rPr>
          <w:rFonts w:ascii="Palatino Linotype" w:eastAsia="Calibri" w:hAnsi="Palatino Linotype" w:cs="Tahoma"/>
        </w:rPr>
        <w:t xml:space="preserve">veinticuatro, el Sujeto Obligado notificó al Particular, mediante el </w:t>
      </w:r>
      <w:r w:rsidRPr="006F1CF5">
        <w:rPr>
          <w:rFonts w:ascii="Palatino Linotype" w:eastAsia="Times New Roman" w:hAnsi="Palatino Linotype" w:cs="Tahoma"/>
          <w:lang w:eastAsia="es-ES"/>
        </w:rPr>
        <w:t xml:space="preserve">Sistema de Acceso a la Información Mexiquense (SAIMEX), la respuesta a la solicitud de acceso a la información, </w:t>
      </w:r>
      <w:r w:rsidR="009C7EDC">
        <w:rPr>
          <w:rFonts w:ascii="Palatino Linotype" w:eastAsia="Times New Roman" w:hAnsi="Palatino Linotype" w:cs="Tahoma"/>
          <w:lang w:eastAsia="es-ES"/>
        </w:rPr>
        <w:t>en los siguientes términos:</w:t>
      </w:r>
    </w:p>
    <w:p w14:paraId="3F1E907C" w14:textId="77777777" w:rsidR="009C7EDC" w:rsidRDefault="009C7EDC" w:rsidP="009C7EDC">
      <w:pPr>
        <w:spacing w:after="0" w:line="360" w:lineRule="auto"/>
        <w:ind w:left="567" w:right="567"/>
        <w:jc w:val="both"/>
        <w:rPr>
          <w:rFonts w:ascii="Palatino Linotype" w:eastAsia="Times New Roman" w:hAnsi="Palatino Linotype" w:cs="Arial"/>
          <w:bCs/>
          <w:i/>
          <w:iCs/>
          <w:sz w:val="20"/>
          <w:szCs w:val="20"/>
          <w:lang w:eastAsia="es-ES"/>
        </w:rPr>
      </w:pPr>
    </w:p>
    <w:p w14:paraId="1299B838" w14:textId="77777777" w:rsidR="009C7EDC" w:rsidRPr="006F1CF5" w:rsidRDefault="009C7EDC" w:rsidP="00FD72F3">
      <w:pPr>
        <w:spacing w:after="0" w:line="360" w:lineRule="auto"/>
        <w:ind w:left="567" w:right="567"/>
        <w:jc w:val="both"/>
        <w:rPr>
          <w:rFonts w:ascii="Palatino Linotype" w:eastAsia="Times New Roman" w:hAnsi="Palatino Linotype" w:cs="Arial"/>
          <w:bCs/>
          <w:i/>
          <w:iCs/>
          <w:sz w:val="20"/>
          <w:szCs w:val="20"/>
          <w:lang w:eastAsia="es-ES"/>
        </w:rPr>
      </w:pPr>
      <w:r>
        <w:rPr>
          <w:rFonts w:ascii="Palatino Linotype" w:eastAsia="Times New Roman" w:hAnsi="Palatino Linotype" w:cs="Arial"/>
          <w:bCs/>
          <w:i/>
          <w:iCs/>
          <w:sz w:val="20"/>
          <w:szCs w:val="20"/>
          <w:lang w:eastAsia="es-ES"/>
        </w:rPr>
        <w:t>“…</w:t>
      </w:r>
      <w:r w:rsidR="00FD72F3" w:rsidRPr="00FD72F3">
        <w:rPr>
          <w:rFonts w:ascii="Palatino Linotype" w:eastAsia="Times New Roman" w:hAnsi="Palatino Linotype" w:cs="Arial"/>
          <w:bCs/>
          <w:i/>
          <w:iCs/>
          <w:sz w:val="20"/>
          <w:szCs w:val="20"/>
          <w:lang w:eastAsia="es-ES"/>
        </w:rPr>
        <w:t>Por medio de la presente, solicito de manera formal, de acuerdo con la Ley General de Transparencia y Acceso a la Información Pública, que se me proporcione la siguiente información: Norma, reglamento o disposición aplicable en México donde se especifique claramente la normativa que otorga facultades a la Subdirectora de Desarrollo Urbano, Arq. Daniela Espejel, o al personal designado en el Ayuntamiento de Texcoco, para realizar cobros en efectivo por concepto de supervisiones de obra en su jurisdicción. Detalles específicos de la normativa aplicable que indiquen los montos que deben cobrarse, en caso de existir, por supervisiones de obra, así como el procedimiento que se debe seguir para la recepción de estos pagos en efectivo, si está permitido. Procedimientos administrativos y mecanismos de transparencia y rendición de cuentas establecidos para la gestión de estos ingresos en efectivo, incluyendo cómo deben ser documentados y reportados. Agradezco de antemano su atención y colaboración para proporcionar esta información y quedo a la espera de la respuesta dentro de los plazos legales estipulados en la normativa de transparencia</w:t>
      </w:r>
      <w:r>
        <w:rPr>
          <w:rFonts w:ascii="Palatino Linotype" w:eastAsia="Times New Roman" w:hAnsi="Palatino Linotype" w:cs="Arial"/>
          <w:bCs/>
          <w:i/>
          <w:iCs/>
          <w:sz w:val="20"/>
          <w:szCs w:val="20"/>
          <w:lang w:eastAsia="es-ES"/>
        </w:rPr>
        <w:t>…”</w:t>
      </w:r>
      <w:r w:rsidR="007C7984">
        <w:rPr>
          <w:rFonts w:ascii="Palatino Linotype" w:eastAsia="Times New Roman" w:hAnsi="Palatino Linotype" w:cs="Arial"/>
          <w:bCs/>
          <w:i/>
          <w:iCs/>
          <w:sz w:val="20"/>
          <w:szCs w:val="20"/>
          <w:lang w:eastAsia="es-ES"/>
        </w:rPr>
        <w:t xml:space="preserve"> (Sic)</w:t>
      </w:r>
    </w:p>
    <w:bookmarkEnd w:id="2"/>
    <w:p w14:paraId="339FFE5B" w14:textId="77777777" w:rsidR="006F1CF5" w:rsidRPr="006F1CF5" w:rsidRDefault="006F1CF5" w:rsidP="006F1CF5">
      <w:pPr>
        <w:autoSpaceDE w:val="0"/>
        <w:autoSpaceDN w:val="0"/>
        <w:adjustRightInd w:val="0"/>
        <w:spacing w:after="0" w:line="360" w:lineRule="auto"/>
        <w:jc w:val="both"/>
        <w:rPr>
          <w:rFonts w:ascii="Palatino Linotype" w:eastAsia="Calibri" w:hAnsi="Palatino Linotype" w:cs="Tahoma"/>
          <w:b/>
        </w:rPr>
      </w:pPr>
      <w:r w:rsidRPr="006F1CF5">
        <w:rPr>
          <w:rFonts w:ascii="Palatino Linotype" w:eastAsia="Calibri" w:hAnsi="Palatino Linotype" w:cs="Tahoma"/>
          <w:b/>
        </w:rPr>
        <w:lastRenderedPageBreak/>
        <w:t>I</w:t>
      </w:r>
      <w:r w:rsidR="00FD72F3" w:rsidRPr="00FD72F3">
        <w:rPr>
          <w:rFonts w:ascii="Palatino Linotype" w:eastAsia="Calibri" w:hAnsi="Palatino Linotype" w:cs="Tahoma"/>
          <w:b/>
        </w:rPr>
        <w:t>II</w:t>
      </w:r>
      <w:r w:rsidRPr="006F1CF5">
        <w:rPr>
          <w:rFonts w:ascii="Palatino Linotype" w:eastAsia="Calibri" w:hAnsi="Palatino Linotype" w:cs="Tahoma"/>
          <w:b/>
        </w:rPr>
        <w:t>. Interposición del Recurso de Revisión</w:t>
      </w:r>
    </w:p>
    <w:p w14:paraId="1BEDB8B6" w14:textId="77777777" w:rsidR="006F1CF5" w:rsidRPr="006F1CF5" w:rsidRDefault="006F1CF5" w:rsidP="006F1CF5">
      <w:pPr>
        <w:spacing w:after="0" w:line="360" w:lineRule="auto"/>
        <w:jc w:val="both"/>
        <w:rPr>
          <w:rFonts w:ascii="Palatino Linotype" w:eastAsia="Times New Roman" w:hAnsi="Palatino Linotype" w:cs="Tahoma"/>
          <w:bCs/>
          <w:color w:val="FF0000"/>
          <w:lang w:eastAsia="es-ES"/>
        </w:rPr>
      </w:pPr>
    </w:p>
    <w:p w14:paraId="09D3D4D2" w14:textId="77777777" w:rsidR="006F1CF5" w:rsidRDefault="006F1CF5" w:rsidP="006F1CF5">
      <w:pPr>
        <w:spacing w:after="0" w:line="360" w:lineRule="auto"/>
        <w:jc w:val="both"/>
        <w:rPr>
          <w:rFonts w:ascii="Palatino Linotype" w:eastAsia="Times New Roman" w:hAnsi="Palatino Linotype" w:cs="Tahoma"/>
          <w:bCs/>
          <w:lang w:eastAsia="es-ES"/>
        </w:rPr>
      </w:pPr>
      <w:r w:rsidRPr="006F1CF5">
        <w:rPr>
          <w:rFonts w:ascii="Palatino Linotype" w:eastAsia="Times New Roman" w:hAnsi="Palatino Linotype" w:cs="Tahoma"/>
          <w:bCs/>
          <w:lang w:val="es-ES" w:eastAsia="es-ES"/>
        </w:rPr>
        <w:t xml:space="preserve">El </w:t>
      </w:r>
      <w:r w:rsidR="00FD72F3" w:rsidRPr="00FD72F3">
        <w:rPr>
          <w:rFonts w:ascii="Palatino Linotype" w:eastAsia="Times New Roman" w:hAnsi="Palatino Linotype" w:cs="Tahoma"/>
          <w:bCs/>
          <w:lang w:val="es-ES" w:eastAsia="es-ES"/>
        </w:rPr>
        <w:t>veinte de noviembre de dos mil veinticuatro</w:t>
      </w:r>
      <w:r w:rsidRPr="006F1CF5">
        <w:rPr>
          <w:rFonts w:ascii="Palatino Linotype" w:eastAsia="Times New Roman" w:hAnsi="Palatino Linotype" w:cs="Tahoma"/>
          <w:bCs/>
          <w:lang w:val="es-ES" w:eastAsia="es-ES"/>
        </w:rPr>
        <w:t xml:space="preserve">, </w:t>
      </w:r>
      <w:r w:rsidRPr="006F1CF5">
        <w:rPr>
          <w:rFonts w:ascii="Palatino Linotype" w:eastAsia="Times New Roman" w:hAnsi="Palatino Linotype" w:cs="Tahoma"/>
          <w:bCs/>
          <w:lang w:eastAsia="es-ES"/>
        </w:rPr>
        <w:t xml:space="preserve">se recibió en este Instituto, a través del </w:t>
      </w:r>
      <w:r w:rsidRPr="006F1CF5">
        <w:rPr>
          <w:rFonts w:ascii="Palatino Linotype" w:eastAsia="Times New Roman" w:hAnsi="Palatino Linotype" w:cs="Tahoma"/>
          <w:bCs/>
          <w:lang w:val="es-ES" w:eastAsia="es-ES"/>
        </w:rPr>
        <w:t>Sistema de Acceso a la Información Mexiquense (SAIMEX)</w:t>
      </w:r>
      <w:r w:rsidRPr="006F1CF5">
        <w:rPr>
          <w:rFonts w:ascii="Palatino Linotype" w:eastAsia="Times New Roman" w:hAnsi="Palatino Linotype" w:cs="Tahoma"/>
          <w:bCs/>
          <w:lang w:eastAsia="es-ES"/>
        </w:rPr>
        <w:t>, el Recurso de Revisión interpuesto por la persona Recurrente, en contra de la respuesta del Sujeto Obligado,</w:t>
      </w:r>
      <w:r w:rsidRPr="006F1CF5">
        <w:rPr>
          <w:rFonts w:ascii="Palatino Linotype" w:eastAsia="Calibri" w:hAnsi="Palatino Linotype" w:cs="Times New Roman"/>
          <w:b/>
          <w:bCs/>
        </w:rPr>
        <w:t xml:space="preserve"> </w:t>
      </w:r>
      <w:r w:rsidRPr="006F1CF5">
        <w:rPr>
          <w:rFonts w:ascii="Palatino Linotype" w:eastAsia="Times New Roman" w:hAnsi="Palatino Linotype" w:cs="Tahoma"/>
          <w:bCs/>
          <w:lang w:eastAsia="es-ES"/>
        </w:rPr>
        <w:t>en los siguientes términos:</w:t>
      </w:r>
    </w:p>
    <w:p w14:paraId="1E982055" w14:textId="77777777" w:rsidR="00FD72F3" w:rsidRPr="006F1CF5" w:rsidRDefault="00FD72F3" w:rsidP="006F1CF5">
      <w:pPr>
        <w:spacing w:after="0" w:line="360" w:lineRule="auto"/>
        <w:jc w:val="both"/>
        <w:rPr>
          <w:rFonts w:ascii="Palatino Linotype" w:eastAsia="Times New Roman" w:hAnsi="Palatino Linotype" w:cs="Tahoma"/>
          <w:bCs/>
          <w:lang w:val="es-ES" w:eastAsia="es-ES"/>
        </w:rPr>
      </w:pPr>
    </w:p>
    <w:p w14:paraId="4D1D1E84" w14:textId="77777777" w:rsidR="006F1CF5" w:rsidRPr="006F1CF5" w:rsidRDefault="006F1CF5" w:rsidP="006F1CF5">
      <w:pPr>
        <w:spacing w:after="0" w:line="360" w:lineRule="auto"/>
        <w:ind w:left="567" w:right="567"/>
        <w:jc w:val="both"/>
        <w:rPr>
          <w:rFonts w:ascii="Palatino Linotype" w:eastAsia="Times New Roman" w:hAnsi="Palatino Linotype" w:cs="Tahoma"/>
          <w:b/>
          <w:bCs/>
          <w:i/>
          <w:sz w:val="20"/>
          <w:szCs w:val="20"/>
          <w:lang w:eastAsia="es-ES"/>
        </w:rPr>
      </w:pPr>
      <w:r w:rsidRPr="006F1CF5">
        <w:rPr>
          <w:rFonts w:ascii="Palatino Linotype" w:eastAsia="Times New Roman" w:hAnsi="Palatino Linotype" w:cs="Tahoma"/>
          <w:b/>
          <w:bCs/>
          <w:i/>
          <w:sz w:val="20"/>
          <w:szCs w:val="20"/>
          <w:lang w:eastAsia="es-ES"/>
        </w:rPr>
        <w:t>“ACTO IMPUGNADO</w:t>
      </w:r>
    </w:p>
    <w:p w14:paraId="71288C49" w14:textId="77777777" w:rsidR="006F1CF5" w:rsidRPr="006F1CF5" w:rsidRDefault="00FD72F3" w:rsidP="006F1CF5">
      <w:pPr>
        <w:spacing w:after="0" w:line="360" w:lineRule="auto"/>
        <w:ind w:left="567" w:right="567"/>
        <w:jc w:val="both"/>
        <w:rPr>
          <w:rFonts w:ascii="Palatino Linotype" w:eastAsia="Times New Roman" w:hAnsi="Palatino Linotype" w:cs="Tahoma"/>
          <w:bCs/>
          <w:i/>
          <w:iCs/>
          <w:sz w:val="20"/>
          <w:szCs w:val="20"/>
          <w:lang w:eastAsia="es-ES"/>
        </w:rPr>
      </w:pPr>
      <w:r w:rsidRPr="00FD72F3">
        <w:rPr>
          <w:rFonts w:ascii="Palatino Linotype" w:eastAsia="Times New Roman" w:hAnsi="Palatino Linotype" w:cs="Tahoma"/>
          <w:bCs/>
          <w:i/>
          <w:iCs/>
          <w:sz w:val="20"/>
          <w:szCs w:val="20"/>
          <w:lang w:eastAsia="es-ES"/>
        </w:rPr>
        <w:t>SOLICITE INFORMACIÓN</w:t>
      </w:r>
      <w:r w:rsidR="006F1CF5" w:rsidRPr="006F1CF5">
        <w:rPr>
          <w:rFonts w:ascii="Palatino Linotype" w:eastAsia="Times New Roman" w:hAnsi="Palatino Linotype" w:cs="Tahoma"/>
          <w:bCs/>
          <w:i/>
          <w:iCs/>
          <w:sz w:val="20"/>
          <w:szCs w:val="20"/>
          <w:lang w:eastAsia="es-ES"/>
        </w:rPr>
        <w:t>” (Sic)</w:t>
      </w:r>
    </w:p>
    <w:p w14:paraId="3B9AC0A9" w14:textId="77777777" w:rsidR="006F1CF5" w:rsidRPr="006F1CF5" w:rsidRDefault="006F1CF5" w:rsidP="006F1CF5">
      <w:pPr>
        <w:spacing w:after="0" w:line="360" w:lineRule="auto"/>
        <w:ind w:left="567" w:right="567"/>
        <w:jc w:val="both"/>
        <w:rPr>
          <w:rFonts w:ascii="Palatino Linotype" w:eastAsia="Times New Roman" w:hAnsi="Palatino Linotype" w:cs="Tahoma"/>
          <w:bCs/>
          <w:i/>
          <w:sz w:val="20"/>
          <w:szCs w:val="20"/>
          <w:lang w:eastAsia="es-ES"/>
        </w:rPr>
      </w:pPr>
    </w:p>
    <w:p w14:paraId="3ADDDBDA" w14:textId="77777777" w:rsidR="006F1CF5" w:rsidRPr="006F1CF5" w:rsidRDefault="006F1CF5" w:rsidP="006F1CF5">
      <w:pPr>
        <w:spacing w:after="0" w:line="360" w:lineRule="auto"/>
        <w:ind w:left="567" w:right="567"/>
        <w:jc w:val="both"/>
        <w:rPr>
          <w:rFonts w:ascii="Palatino Linotype" w:eastAsia="Times New Roman" w:hAnsi="Palatino Linotype" w:cs="Tahoma"/>
          <w:b/>
          <w:bCs/>
          <w:i/>
          <w:sz w:val="20"/>
          <w:szCs w:val="20"/>
          <w:lang w:eastAsia="es-ES"/>
        </w:rPr>
      </w:pPr>
      <w:r w:rsidRPr="006F1CF5">
        <w:rPr>
          <w:rFonts w:ascii="Palatino Linotype" w:eastAsia="Times New Roman" w:hAnsi="Palatino Linotype" w:cs="Tahoma"/>
          <w:b/>
          <w:bCs/>
          <w:i/>
          <w:sz w:val="20"/>
          <w:szCs w:val="20"/>
          <w:lang w:eastAsia="es-ES"/>
        </w:rPr>
        <w:t>“RAZONES O MOTIVOS DE LA INCONFORMIDAD</w:t>
      </w:r>
    </w:p>
    <w:p w14:paraId="6C480678" w14:textId="77777777" w:rsidR="006F1CF5" w:rsidRPr="00FD72F3" w:rsidRDefault="00FD72F3" w:rsidP="00FD72F3">
      <w:pPr>
        <w:spacing w:after="0" w:line="360" w:lineRule="auto"/>
        <w:ind w:left="567" w:right="567"/>
        <w:jc w:val="both"/>
        <w:rPr>
          <w:rFonts w:ascii="Palatino Linotype" w:eastAsia="Times New Roman" w:hAnsi="Palatino Linotype" w:cs="Tahoma"/>
          <w:bCs/>
          <w:i/>
          <w:iCs/>
          <w:sz w:val="20"/>
          <w:szCs w:val="20"/>
          <w:lang w:eastAsia="es-ES"/>
        </w:rPr>
      </w:pPr>
      <w:r w:rsidRPr="00FD72F3">
        <w:rPr>
          <w:rFonts w:ascii="Palatino Linotype" w:eastAsia="Times New Roman" w:hAnsi="Palatino Linotype" w:cs="Tahoma"/>
          <w:bCs/>
          <w:i/>
          <w:iCs/>
          <w:sz w:val="20"/>
          <w:szCs w:val="20"/>
          <w:lang w:eastAsia="es-ES"/>
        </w:rPr>
        <w:t>NO ME DAN RESPUESTA” (Sic)</w:t>
      </w:r>
    </w:p>
    <w:p w14:paraId="222D265A" w14:textId="77777777" w:rsidR="00FD72F3" w:rsidRPr="006F1CF5" w:rsidRDefault="00FD72F3" w:rsidP="00FD72F3">
      <w:pPr>
        <w:spacing w:after="0" w:line="360" w:lineRule="auto"/>
        <w:ind w:left="567" w:right="567"/>
        <w:jc w:val="both"/>
        <w:rPr>
          <w:rFonts w:ascii="Palatino Linotype" w:eastAsia="Times New Roman" w:hAnsi="Palatino Linotype" w:cs="Tahoma"/>
          <w:bCs/>
          <w:i/>
          <w:iCs/>
          <w:sz w:val="20"/>
          <w:szCs w:val="20"/>
          <w:lang w:eastAsia="es-ES"/>
        </w:rPr>
      </w:pPr>
    </w:p>
    <w:p w14:paraId="39250ECE" w14:textId="77777777" w:rsidR="006F1CF5" w:rsidRPr="006F1CF5" w:rsidRDefault="00211113" w:rsidP="006F1CF5">
      <w:pPr>
        <w:spacing w:after="0" w:line="360" w:lineRule="auto"/>
        <w:jc w:val="both"/>
        <w:rPr>
          <w:rFonts w:ascii="Palatino Linotype" w:eastAsia="Batang" w:hAnsi="Palatino Linotype" w:cs="Tahoma"/>
          <w:b/>
          <w:bCs/>
        </w:rPr>
      </w:pPr>
      <w:r>
        <w:rPr>
          <w:rFonts w:ascii="Palatino Linotype" w:eastAsia="Calibri" w:hAnsi="Palatino Linotype" w:cs="Tahoma"/>
          <w:b/>
        </w:rPr>
        <w:t>I</w:t>
      </w:r>
      <w:r w:rsidR="006F1CF5" w:rsidRPr="006F1CF5">
        <w:rPr>
          <w:rFonts w:ascii="Palatino Linotype" w:eastAsia="Calibri" w:hAnsi="Palatino Linotype" w:cs="Tahoma"/>
          <w:b/>
        </w:rPr>
        <w:t xml:space="preserve">V. </w:t>
      </w:r>
      <w:r w:rsidR="006F1CF5" w:rsidRPr="006F1CF5">
        <w:rPr>
          <w:rFonts w:ascii="Palatino Linotype" w:eastAsia="Batang" w:hAnsi="Palatino Linotype" w:cs="Tahoma"/>
          <w:b/>
          <w:bCs/>
        </w:rPr>
        <w:t>Trámite del Recurso de Revisión</w:t>
      </w:r>
      <w:r w:rsidR="006F1CF5" w:rsidRPr="006F1CF5">
        <w:rPr>
          <w:rFonts w:ascii="Palatino Linotype" w:eastAsia="Calibri" w:hAnsi="Palatino Linotype" w:cs="Tahoma"/>
          <w:b/>
        </w:rPr>
        <w:t xml:space="preserve"> </w:t>
      </w:r>
      <w:r w:rsidR="006F1CF5" w:rsidRPr="006F1CF5">
        <w:rPr>
          <w:rFonts w:ascii="Palatino Linotype" w:eastAsia="Batang" w:hAnsi="Palatino Linotype" w:cs="Tahoma"/>
          <w:b/>
          <w:bCs/>
        </w:rPr>
        <w:t>ante este Instituto</w:t>
      </w:r>
    </w:p>
    <w:p w14:paraId="5DB5D2F2" w14:textId="77777777" w:rsidR="006F1CF5" w:rsidRPr="006F1CF5" w:rsidRDefault="006F1CF5" w:rsidP="006F1CF5">
      <w:pPr>
        <w:spacing w:after="0" w:line="360" w:lineRule="auto"/>
        <w:jc w:val="both"/>
        <w:rPr>
          <w:rFonts w:ascii="Palatino Linotype" w:eastAsia="Batang" w:hAnsi="Palatino Linotype" w:cs="Tahoma"/>
          <w:bCs/>
        </w:rPr>
      </w:pPr>
    </w:p>
    <w:p w14:paraId="236A6D26" w14:textId="77777777" w:rsidR="006F1CF5" w:rsidRPr="006F1CF5" w:rsidRDefault="006F1CF5" w:rsidP="006F1CF5">
      <w:pPr>
        <w:spacing w:after="0" w:line="360" w:lineRule="auto"/>
        <w:jc w:val="both"/>
        <w:rPr>
          <w:rFonts w:ascii="Palatino Linotype" w:eastAsia="Times New Roman" w:hAnsi="Palatino Linotype" w:cs="Tahoma"/>
          <w:bCs/>
          <w:lang w:val="es-ES" w:eastAsia="es-ES"/>
        </w:rPr>
      </w:pPr>
      <w:r w:rsidRPr="006F1CF5">
        <w:rPr>
          <w:rFonts w:ascii="Palatino Linotype" w:eastAsia="Batang" w:hAnsi="Palatino Linotype" w:cs="Tahoma"/>
          <w:b/>
          <w:bCs/>
        </w:rPr>
        <w:t>a) Turno del Medio de Impugnación.</w:t>
      </w:r>
      <w:r w:rsidRPr="006F1CF5">
        <w:rPr>
          <w:rFonts w:ascii="Palatino Linotype" w:eastAsia="Batang" w:hAnsi="Palatino Linotype" w:cs="Tahoma"/>
          <w:bCs/>
        </w:rPr>
        <w:t xml:space="preserve"> </w:t>
      </w:r>
      <w:r w:rsidRPr="006F1CF5">
        <w:rPr>
          <w:rFonts w:ascii="Palatino Linotype" w:eastAsia="Times New Roman" w:hAnsi="Palatino Linotype" w:cs="Tahoma"/>
          <w:bCs/>
          <w:lang w:val="es-ES" w:eastAsia="es-ES"/>
        </w:rPr>
        <w:t xml:space="preserve">El </w:t>
      </w:r>
      <w:r w:rsidR="00211113" w:rsidRPr="00211113">
        <w:rPr>
          <w:rFonts w:ascii="Palatino Linotype" w:eastAsia="Times New Roman" w:hAnsi="Palatino Linotype" w:cs="Tahoma"/>
          <w:bCs/>
          <w:lang w:val="es-ES" w:eastAsia="es-ES"/>
        </w:rPr>
        <w:t xml:space="preserve">veinte de noviembre de </w:t>
      </w:r>
      <w:r w:rsidRPr="006F1CF5">
        <w:rPr>
          <w:rFonts w:ascii="Palatino Linotype" w:eastAsia="Times New Roman" w:hAnsi="Palatino Linotype" w:cs="Tahoma"/>
          <w:bCs/>
          <w:lang w:val="es-ES" w:eastAsia="es-ES"/>
        </w:rPr>
        <w:t>dos mil veinticuatro</w:t>
      </w:r>
      <w:r w:rsidRPr="006F1CF5">
        <w:rPr>
          <w:rFonts w:ascii="Palatino Linotype" w:eastAsia="Batang" w:hAnsi="Palatino Linotype" w:cs="Tahoma"/>
          <w:bCs/>
        </w:rPr>
        <w:t xml:space="preserve">, el </w:t>
      </w:r>
      <w:r w:rsidRPr="006F1CF5">
        <w:rPr>
          <w:rFonts w:ascii="Palatino Linotype" w:eastAsia="Calibri" w:hAnsi="Palatino Linotype" w:cs="Tahoma"/>
          <w:lang w:val="es-ES"/>
        </w:rPr>
        <w:t>Sistema de Acceso a la Información Mexiquense (SAIMEX),</w:t>
      </w:r>
      <w:r w:rsidRPr="006F1CF5">
        <w:rPr>
          <w:rFonts w:ascii="Palatino Linotype" w:eastAsia="Batang" w:hAnsi="Palatino Linotype" w:cs="Tahoma"/>
          <w:bCs/>
        </w:rPr>
        <w:t xml:space="preserve"> asignó el número de expediente</w:t>
      </w:r>
      <w:r w:rsidRPr="006F1CF5">
        <w:rPr>
          <w:rFonts w:ascii="Palatino Linotype" w:eastAsia="Calibri" w:hAnsi="Palatino Linotype" w:cs="Times New Roman"/>
        </w:rPr>
        <w:t xml:space="preserve"> </w:t>
      </w:r>
      <w:r w:rsidRPr="006F1CF5">
        <w:rPr>
          <w:rFonts w:ascii="Palatino Linotype" w:eastAsia="Calibri" w:hAnsi="Palatino Linotype" w:cs="Tahoma"/>
          <w:b/>
          <w:bCs/>
        </w:rPr>
        <w:t>0</w:t>
      </w:r>
      <w:r w:rsidR="00211113" w:rsidRPr="00211113">
        <w:rPr>
          <w:rFonts w:ascii="Palatino Linotype" w:eastAsia="Calibri" w:hAnsi="Palatino Linotype" w:cs="Tahoma"/>
          <w:b/>
          <w:bCs/>
        </w:rPr>
        <w:t>7276</w:t>
      </w:r>
      <w:r w:rsidRPr="006F1CF5">
        <w:rPr>
          <w:rFonts w:ascii="Palatino Linotype" w:eastAsia="Calibri" w:hAnsi="Palatino Linotype" w:cs="Tahoma"/>
          <w:b/>
          <w:bCs/>
        </w:rPr>
        <w:t>/INFOEM/IP/RR/2024</w:t>
      </w:r>
      <w:r w:rsidRPr="006F1CF5">
        <w:rPr>
          <w:rFonts w:ascii="Palatino Linotype" w:eastAsia="Batang" w:hAnsi="Palatino Linotype" w:cs="Tahoma"/>
          <w:bCs/>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44EA1F79" w14:textId="77777777" w:rsidR="006F1CF5" w:rsidRPr="006F1CF5" w:rsidRDefault="006F1CF5" w:rsidP="006F1CF5">
      <w:pPr>
        <w:spacing w:after="0" w:line="360" w:lineRule="auto"/>
        <w:jc w:val="both"/>
        <w:rPr>
          <w:rFonts w:ascii="Palatino Linotype" w:eastAsia="Batang" w:hAnsi="Palatino Linotype" w:cs="Tahoma"/>
          <w:bCs/>
        </w:rPr>
      </w:pPr>
    </w:p>
    <w:p w14:paraId="64C64889" w14:textId="77777777" w:rsidR="006F1CF5" w:rsidRPr="006F1CF5" w:rsidRDefault="006F1CF5" w:rsidP="006F1CF5">
      <w:pPr>
        <w:spacing w:after="0" w:line="360" w:lineRule="auto"/>
        <w:jc w:val="both"/>
        <w:rPr>
          <w:rFonts w:ascii="Palatino Linotype" w:eastAsia="Batang" w:hAnsi="Palatino Linotype" w:cs="Tahoma"/>
          <w:bCs/>
        </w:rPr>
      </w:pPr>
      <w:r w:rsidRPr="006F1CF5">
        <w:rPr>
          <w:rFonts w:ascii="Palatino Linotype" w:eastAsia="Times New Roman" w:hAnsi="Palatino Linotype" w:cs="Tahoma"/>
          <w:b/>
          <w:bCs/>
          <w:lang w:eastAsia="es-ES"/>
        </w:rPr>
        <w:t>b) Admisión del Recurso de Revisión</w:t>
      </w:r>
      <w:r w:rsidRPr="006F1CF5">
        <w:rPr>
          <w:rFonts w:ascii="Palatino Linotype" w:eastAsia="Times New Roman" w:hAnsi="Palatino Linotype" w:cs="Tahoma"/>
          <w:b/>
          <w:bCs/>
          <w:lang w:val="es-ES_tradnl" w:eastAsia="es-ES"/>
        </w:rPr>
        <w:t xml:space="preserve">. </w:t>
      </w:r>
      <w:r w:rsidRPr="006F1CF5">
        <w:rPr>
          <w:rFonts w:ascii="Palatino Linotype" w:eastAsia="Batang" w:hAnsi="Palatino Linotype" w:cs="Tahoma"/>
          <w:bCs/>
        </w:rPr>
        <w:t>El</w:t>
      </w:r>
      <w:r w:rsidR="00211113" w:rsidRPr="00211113">
        <w:rPr>
          <w:rFonts w:ascii="Palatino Linotype" w:eastAsia="Batang" w:hAnsi="Palatino Linotype" w:cs="Tahoma"/>
          <w:bCs/>
        </w:rPr>
        <w:t xml:space="preserve"> veinticinco de noviembre </w:t>
      </w:r>
      <w:r w:rsidRPr="006F1CF5">
        <w:rPr>
          <w:rFonts w:ascii="Palatino Linotype" w:eastAsia="Batang" w:hAnsi="Palatino Linotype" w:cs="Tahoma"/>
          <w:bCs/>
        </w:rPr>
        <w:t>de dos mil veinticuatro</w:t>
      </w:r>
      <w:r w:rsidRPr="006F1CF5">
        <w:rPr>
          <w:rFonts w:ascii="Palatino Linotype" w:eastAsia="Times New Roman" w:hAnsi="Palatino Linotype" w:cs="Tahoma"/>
          <w:bCs/>
          <w:lang w:val="es-ES_tradnl" w:eastAsia="es-ES"/>
        </w:rPr>
        <w:t>,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w:t>
      </w:r>
      <w:r w:rsidR="00211113" w:rsidRPr="00211113">
        <w:rPr>
          <w:rFonts w:ascii="Palatino Linotype" w:eastAsia="Times New Roman" w:hAnsi="Palatino Linotype" w:cs="Tahoma"/>
          <w:bCs/>
          <w:lang w:val="es-ES_tradnl" w:eastAsia="es-ES"/>
        </w:rPr>
        <w:t xml:space="preserve"> mismo día</w:t>
      </w:r>
      <w:r w:rsidRPr="006F1CF5">
        <w:rPr>
          <w:rFonts w:ascii="Palatino Linotype" w:eastAsia="Times New Roman" w:hAnsi="Palatino Linotype" w:cs="Tahoma"/>
          <w:bCs/>
          <w:lang w:val="es-ES_tradnl" w:eastAsia="es-ES"/>
        </w:rPr>
        <w:t xml:space="preserve">, a través del Sistema de Acceso a la Información </w:t>
      </w:r>
      <w:r w:rsidRPr="006F1CF5">
        <w:rPr>
          <w:rFonts w:ascii="Palatino Linotype" w:eastAsia="Times New Roman" w:hAnsi="Palatino Linotype" w:cs="Tahoma"/>
          <w:bCs/>
          <w:lang w:val="es-ES_tradnl" w:eastAsia="es-ES"/>
        </w:rPr>
        <w:lastRenderedPageBreak/>
        <w:t xml:space="preserve">Mexiquense (SAIMEX), en el que se les otorgó un plazo de siete días hábiles posteriores a la misma, para que manifestaran lo que a su derecho conviniera y formularan alegatos. </w:t>
      </w:r>
    </w:p>
    <w:p w14:paraId="25D998F9" w14:textId="77777777" w:rsidR="006F1CF5" w:rsidRPr="006F1CF5" w:rsidRDefault="006F1CF5" w:rsidP="006F1CF5">
      <w:pPr>
        <w:spacing w:after="0" w:line="360" w:lineRule="auto"/>
        <w:jc w:val="both"/>
        <w:rPr>
          <w:rFonts w:ascii="Palatino Linotype" w:eastAsia="Calibri" w:hAnsi="Palatino Linotype" w:cs="Tahoma"/>
          <w:color w:val="FF0000"/>
        </w:rPr>
      </w:pPr>
    </w:p>
    <w:p w14:paraId="27CE3CD5" w14:textId="6EBC7FA7" w:rsidR="006F1CF5" w:rsidRPr="006F1CF5" w:rsidRDefault="006F1CF5" w:rsidP="006F1CF5">
      <w:pPr>
        <w:spacing w:after="0" w:line="360" w:lineRule="auto"/>
        <w:jc w:val="both"/>
        <w:rPr>
          <w:rFonts w:ascii="Palatino Linotype" w:eastAsia="Calibri" w:hAnsi="Palatino Linotype" w:cs="Times New Roman"/>
          <w:lang w:val="es-ES"/>
        </w:rPr>
      </w:pPr>
      <w:r w:rsidRPr="006F1CF5">
        <w:rPr>
          <w:rFonts w:ascii="Palatino Linotype" w:eastAsia="Calibri" w:hAnsi="Palatino Linotype" w:cs="Times New Roman"/>
          <w:b/>
        </w:rPr>
        <w:t>c) Informe Justificado</w:t>
      </w:r>
      <w:r w:rsidR="00AB5969">
        <w:rPr>
          <w:rFonts w:ascii="Palatino Linotype" w:eastAsia="Calibri" w:hAnsi="Palatino Linotype" w:cs="Times New Roman"/>
          <w:b/>
        </w:rPr>
        <w:t xml:space="preserve"> o manifestaciones</w:t>
      </w:r>
      <w:r w:rsidRPr="006F1CF5">
        <w:rPr>
          <w:rFonts w:ascii="Palatino Linotype" w:eastAsia="Calibri" w:hAnsi="Palatino Linotype" w:cs="Times New Roman"/>
          <w:b/>
        </w:rPr>
        <w:t xml:space="preserve">. </w:t>
      </w:r>
      <w:r w:rsidRPr="006F1CF5">
        <w:rPr>
          <w:rFonts w:ascii="Palatino Linotype" w:eastAsia="Calibri" w:hAnsi="Palatino Linotype" w:cs="Times New Roman"/>
          <w:bCs/>
        </w:rPr>
        <w:t>Las partes fueron omisas en emitir manifestaciones y alegatos.</w:t>
      </w:r>
    </w:p>
    <w:p w14:paraId="2E008FF2" w14:textId="77777777" w:rsidR="006F1CF5" w:rsidRPr="006F1CF5" w:rsidRDefault="006F1CF5" w:rsidP="006F1CF5">
      <w:pPr>
        <w:spacing w:after="0" w:line="360" w:lineRule="auto"/>
        <w:jc w:val="both"/>
        <w:rPr>
          <w:rFonts w:ascii="Palatino Linotype" w:eastAsia="Calibri" w:hAnsi="Palatino Linotype" w:cs="Times New Roman"/>
          <w:color w:val="FF0000"/>
          <w:lang w:val="es-ES"/>
        </w:rPr>
      </w:pPr>
    </w:p>
    <w:p w14:paraId="669F0536" w14:textId="77777777" w:rsidR="006F1CF5" w:rsidRPr="006F1CF5" w:rsidRDefault="006F1CF5" w:rsidP="006F1CF5">
      <w:pPr>
        <w:widowControl w:val="0"/>
        <w:spacing w:after="0" w:line="360" w:lineRule="auto"/>
        <w:jc w:val="both"/>
        <w:rPr>
          <w:rFonts w:ascii="Palatino Linotype" w:eastAsia="Times New Roman" w:hAnsi="Palatino Linotype" w:cs="Tahoma"/>
          <w:lang w:eastAsia="es-ES"/>
        </w:rPr>
      </w:pPr>
      <w:r w:rsidRPr="006F1CF5">
        <w:rPr>
          <w:rFonts w:ascii="Palatino Linotype" w:eastAsia="Times New Roman" w:hAnsi="Palatino Linotype" w:cs="Tahoma"/>
          <w:b/>
          <w:lang w:eastAsia="es-ES"/>
        </w:rPr>
        <w:t>d) Cierre de instrucción.</w:t>
      </w:r>
      <w:r w:rsidRPr="006F1CF5">
        <w:rPr>
          <w:rFonts w:ascii="Palatino Linotype" w:eastAsia="Times New Roman" w:hAnsi="Palatino Linotype" w:cs="Tahoma"/>
          <w:lang w:eastAsia="es-ES"/>
        </w:rPr>
        <w:t xml:space="preserve"> El </w:t>
      </w:r>
      <w:r w:rsidR="00211113" w:rsidRPr="00211113">
        <w:rPr>
          <w:rFonts w:ascii="Palatino Linotype" w:eastAsia="Times New Roman" w:hAnsi="Palatino Linotype" w:cs="Tahoma"/>
          <w:lang w:eastAsia="es-ES"/>
        </w:rPr>
        <w:t>cinco de diciembre de dos mil veinticuatro</w:t>
      </w:r>
      <w:r w:rsidRPr="006F1CF5">
        <w:rPr>
          <w:rFonts w:ascii="Palatino Linotype" w:eastAsia="Times New Roman" w:hAnsi="Palatino Linotype" w:cs="Tahoma"/>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Pr="006F1CF5">
        <w:rPr>
          <w:rFonts w:ascii="Palatino Linotype" w:eastAsia="Times New Roman" w:hAnsi="Palatino Linotype" w:cs="Tahoma"/>
          <w:lang w:val="es-ES" w:eastAsia="es-ES"/>
        </w:rPr>
        <w:t>Sistema de Acceso a la Información Mexiquense (SAIMEX)</w:t>
      </w:r>
      <w:r w:rsidRPr="006F1CF5">
        <w:rPr>
          <w:rFonts w:ascii="Palatino Linotype" w:eastAsia="Times New Roman" w:hAnsi="Palatino Linotype" w:cs="Tahoma"/>
          <w:lang w:eastAsia="es-ES"/>
        </w:rPr>
        <w:t xml:space="preserve">. </w:t>
      </w:r>
    </w:p>
    <w:p w14:paraId="7D97E1B3" w14:textId="77777777" w:rsidR="006F1CF5" w:rsidRPr="006F1CF5" w:rsidRDefault="006F1CF5" w:rsidP="006F1CF5">
      <w:pPr>
        <w:spacing w:after="0" w:line="360" w:lineRule="auto"/>
        <w:jc w:val="both"/>
        <w:rPr>
          <w:rFonts w:ascii="Palatino Linotype" w:eastAsia="Times New Roman" w:hAnsi="Palatino Linotype" w:cs="Tahoma"/>
          <w:lang w:eastAsia="es-ES"/>
        </w:rPr>
      </w:pPr>
    </w:p>
    <w:p w14:paraId="46BA7E3F" w14:textId="77777777" w:rsidR="006F1CF5" w:rsidRPr="006F1CF5" w:rsidRDefault="006F1CF5" w:rsidP="006F1CF5">
      <w:pPr>
        <w:spacing w:after="0" w:line="360" w:lineRule="auto"/>
        <w:jc w:val="both"/>
        <w:rPr>
          <w:rFonts w:ascii="Palatino Linotype" w:eastAsia="Times New Roman" w:hAnsi="Palatino Linotype" w:cs="Tahoma"/>
          <w:lang w:eastAsia="es-ES"/>
        </w:rPr>
      </w:pPr>
      <w:r w:rsidRPr="006F1CF5">
        <w:rPr>
          <w:rFonts w:ascii="Palatino Linotype" w:eastAsia="Times New Roman" w:hAnsi="Palatino Linotype" w:cs="Tahoma"/>
          <w:lang w:eastAsia="es-ES"/>
        </w:rPr>
        <w:t>En razón de que fue debidamente sustanciado e integrado el expediente electrónico y no existe diligencia pendiente de desahogo, se emite la resolución que conforme a Derecho proceda, de acuerdo a los siguientes:</w:t>
      </w:r>
    </w:p>
    <w:p w14:paraId="7B8A1837" w14:textId="77777777" w:rsidR="006F1CF5" w:rsidRPr="006F1CF5" w:rsidRDefault="006F1CF5" w:rsidP="006F1CF5">
      <w:pPr>
        <w:spacing w:after="0" w:line="360" w:lineRule="auto"/>
        <w:jc w:val="both"/>
        <w:rPr>
          <w:rFonts w:ascii="Palatino Linotype" w:eastAsia="Times New Roman" w:hAnsi="Palatino Linotype" w:cs="Tahoma"/>
          <w:bCs/>
          <w:iCs/>
          <w:lang w:val="es-ES" w:eastAsia="es-ES"/>
        </w:rPr>
      </w:pPr>
    </w:p>
    <w:p w14:paraId="7BCFF44E" w14:textId="77777777" w:rsidR="006F1CF5" w:rsidRPr="006F1CF5" w:rsidRDefault="006F1CF5" w:rsidP="006F1CF5">
      <w:pPr>
        <w:spacing w:after="0" w:line="360" w:lineRule="auto"/>
        <w:jc w:val="center"/>
        <w:rPr>
          <w:rFonts w:ascii="Palatino Linotype" w:eastAsia="Times New Roman" w:hAnsi="Palatino Linotype" w:cs="Tahoma"/>
          <w:b/>
          <w:lang w:val="es-ES" w:eastAsia="es-ES"/>
        </w:rPr>
      </w:pPr>
      <w:r w:rsidRPr="006F1CF5">
        <w:rPr>
          <w:rFonts w:ascii="Palatino Linotype" w:eastAsia="Times New Roman" w:hAnsi="Palatino Linotype" w:cs="Tahoma"/>
          <w:b/>
          <w:lang w:val="es-ES" w:eastAsia="es-ES"/>
        </w:rPr>
        <w:t>C O N S I D E R A N D O S</w:t>
      </w:r>
    </w:p>
    <w:p w14:paraId="73DC5E20" w14:textId="77777777" w:rsidR="006F1CF5" w:rsidRPr="006F1CF5" w:rsidRDefault="006F1CF5" w:rsidP="006F1CF5">
      <w:pPr>
        <w:spacing w:after="0" w:line="360" w:lineRule="auto"/>
        <w:jc w:val="center"/>
        <w:rPr>
          <w:rFonts w:ascii="Palatino Linotype" w:eastAsia="Times New Roman" w:hAnsi="Palatino Linotype" w:cs="Tahoma"/>
          <w:b/>
          <w:lang w:val="es-ES" w:eastAsia="es-ES"/>
        </w:rPr>
      </w:pPr>
    </w:p>
    <w:p w14:paraId="6813F353" w14:textId="77777777" w:rsidR="006F1CF5" w:rsidRPr="006F1CF5" w:rsidRDefault="006F1CF5" w:rsidP="006F1CF5">
      <w:pPr>
        <w:autoSpaceDE w:val="0"/>
        <w:autoSpaceDN w:val="0"/>
        <w:adjustRightInd w:val="0"/>
        <w:spacing w:after="0" w:line="360" w:lineRule="auto"/>
        <w:jc w:val="both"/>
        <w:rPr>
          <w:rFonts w:ascii="Palatino Linotype" w:eastAsia="Times New Roman" w:hAnsi="Palatino Linotype" w:cs="Tahoma"/>
          <w:b/>
          <w:lang w:val="es-ES" w:eastAsia="es-ES"/>
        </w:rPr>
      </w:pPr>
      <w:r w:rsidRPr="006F1CF5">
        <w:rPr>
          <w:rFonts w:ascii="Palatino Linotype" w:eastAsia="Calibri" w:hAnsi="Palatino Linotype" w:cs="Tahoma"/>
          <w:b/>
          <w:lang w:val="es-ES" w:eastAsia="es-MX"/>
        </w:rPr>
        <w:t>PRIMERO</w:t>
      </w:r>
      <w:r w:rsidRPr="006F1CF5">
        <w:rPr>
          <w:rFonts w:ascii="Palatino Linotype" w:eastAsia="Calibri" w:hAnsi="Palatino Linotype" w:cs="Tahoma"/>
          <w:lang w:val="es-ES" w:eastAsia="es-MX"/>
        </w:rPr>
        <w:t xml:space="preserve">. </w:t>
      </w:r>
      <w:r w:rsidRPr="006F1CF5">
        <w:rPr>
          <w:rFonts w:ascii="Palatino Linotype" w:eastAsia="Times New Roman" w:hAnsi="Palatino Linotype" w:cs="Tahoma"/>
          <w:b/>
          <w:lang w:val="es-ES" w:eastAsia="es-ES"/>
        </w:rPr>
        <w:t>Competencia</w:t>
      </w:r>
    </w:p>
    <w:p w14:paraId="606AA12D" w14:textId="77777777" w:rsidR="006F1CF5" w:rsidRPr="006F1CF5" w:rsidRDefault="006F1CF5" w:rsidP="006F1CF5">
      <w:pPr>
        <w:autoSpaceDE w:val="0"/>
        <w:autoSpaceDN w:val="0"/>
        <w:adjustRightInd w:val="0"/>
        <w:spacing w:after="0" w:line="360" w:lineRule="auto"/>
        <w:jc w:val="both"/>
        <w:rPr>
          <w:rFonts w:ascii="Palatino Linotype" w:eastAsia="Times New Roman" w:hAnsi="Palatino Linotype" w:cs="Tahoma"/>
          <w:b/>
          <w:lang w:val="es-ES" w:eastAsia="es-ES"/>
        </w:rPr>
      </w:pPr>
    </w:p>
    <w:p w14:paraId="75B61602" w14:textId="77777777" w:rsidR="006F1CF5" w:rsidRPr="006F1CF5" w:rsidRDefault="006F1CF5" w:rsidP="006F1CF5">
      <w:pPr>
        <w:spacing w:after="0" w:line="360" w:lineRule="auto"/>
        <w:jc w:val="both"/>
        <w:rPr>
          <w:rFonts w:ascii="Palatino Linotype" w:eastAsia="Times New Roman" w:hAnsi="Palatino Linotype" w:cs="Tahoma"/>
          <w:bCs/>
          <w:lang w:eastAsia="es-ES"/>
        </w:rPr>
      </w:pPr>
      <w:bookmarkStart w:id="3" w:name="_Hlk63334754"/>
      <w:r w:rsidRPr="006F1CF5">
        <w:rPr>
          <w:rFonts w:ascii="Palatino Linotype" w:eastAsia="Times New Roman" w:hAnsi="Palatino Linotype" w:cs="Tahoma"/>
          <w:bCs/>
          <w:lang w:eastAsia="es-ES"/>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w:t>
      </w:r>
      <w:r w:rsidRPr="006F1CF5">
        <w:rPr>
          <w:rFonts w:ascii="Palatino Linotype" w:eastAsia="Times New Roman" w:hAnsi="Palatino Linotype" w:cs="Tahoma"/>
          <w:bCs/>
          <w:lang w:eastAsia="es-ES"/>
        </w:rPr>
        <w:lastRenderedPageBreak/>
        <w:t>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6F1CF5">
        <w:rPr>
          <w:rFonts w:ascii="Palatino Linotype" w:eastAsia="Times New Roman" w:hAnsi="Palatino Linotype" w:cs="Times New Roman"/>
          <w:bCs/>
          <w:lang w:eastAsia="es-ES"/>
        </w:rPr>
        <w:t xml:space="preserve"> 7°, </w:t>
      </w:r>
      <w:r w:rsidRPr="006F1CF5">
        <w:rPr>
          <w:rFonts w:ascii="Palatino Linotype" w:eastAsia="Times New Roman" w:hAnsi="Palatino Linotype" w:cs="Tahoma"/>
          <w:bCs/>
          <w:lang w:eastAsia="es-ES"/>
        </w:rPr>
        <w:t>9°, fracciones I y XXIII y 11 del Reglamento Interior del Instituto de Transparencia, Acceso a la Información Pública y Protección de Datos Personales del Estado de México y Municipios.</w:t>
      </w:r>
      <w:bookmarkEnd w:id="3"/>
    </w:p>
    <w:p w14:paraId="657742AF" w14:textId="77777777" w:rsidR="006F1CF5" w:rsidRPr="006F1CF5" w:rsidRDefault="006F1CF5" w:rsidP="006F1CF5">
      <w:pPr>
        <w:spacing w:after="0" w:line="360" w:lineRule="auto"/>
        <w:jc w:val="both"/>
        <w:rPr>
          <w:rFonts w:ascii="Palatino Linotype" w:eastAsia="Calibri" w:hAnsi="Palatino Linotype" w:cs="Times New Roman"/>
        </w:rPr>
      </w:pPr>
    </w:p>
    <w:p w14:paraId="2B462C6F" w14:textId="77777777" w:rsidR="006F1CF5" w:rsidRPr="006F1CF5" w:rsidRDefault="006F1CF5" w:rsidP="006F1CF5">
      <w:pPr>
        <w:autoSpaceDE w:val="0"/>
        <w:autoSpaceDN w:val="0"/>
        <w:adjustRightInd w:val="0"/>
        <w:spacing w:after="0" w:line="360" w:lineRule="auto"/>
        <w:jc w:val="both"/>
        <w:rPr>
          <w:rFonts w:ascii="Palatino Linotype" w:eastAsia="Times New Roman" w:hAnsi="Palatino Linotype" w:cs="Tahoma"/>
          <w:lang w:val="es-ES" w:eastAsia="es-ES"/>
        </w:rPr>
      </w:pPr>
      <w:r w:rsidRPr="006F1CF5">
        <w:rPr>
          <w:rFonts w:ascii="Palatino Linotype" w:eastAsia="Calibri" w:hAnsi="Palatino Linotype" w:cs="Tahoma"/>
          <w:b/>
          <w:lang w:val="es-ES" w:eastAsia="es-MX"/>
        </w:rPr>
        <w:t>SEGUNDO</w:t>
      </w:r>
      <w:r w:rsidRPr="006F1CF5">
        <w:rPr>
          <w:rFonts w:ascii="Palatino Linotype" w:eastAsia="Calibri" w:hAnsi="Palatino Linotype" w:cs="Tahoma"/>
          <w:lang w:val="es-ES" w:eastAsia="es-MX"/>
        </w:rPr>
        <w:t xml:space="preserve">. </w:t>
      </w:r>
      <w:r w:rsidRPr="006F1CF5">
        <w:rPr>
          <w:rFonts w:ascii="Palatino Linotype" w:eastAsia="Times New Roman" w:hAnsi="Palatino Linotype" w:cs="Tahoma"/>
          <w:b/>
          <w:lang w:val="es-ES" w:eastAsia="es-ES"/>
        </w:rPr>
        <w:t>Causales de improcedencia y sobreseimiento</w:t>
      </w:r>
    </w:p>
    <w:p w14:paraId="3E2377A4" w14:textId="77777777" w:rsidR="006F1CF5" w:rsidRPr="006F1CF5" w:rsidRDefault="006F1CF5" w:rsidP="006F1CF5">
      <w:pPr>
        <w:autoSpaceDE w:val="0"/>
        <w:autoSpaceDN w:val="0"/>
        <w:adjustRightInd w:val="0"/>
        <w:spacing w:after="0" w:line="360" w:lineRule="auto"/>
        <w:jc w:val="both"/>
        <w:rPr>
          <w:rFonts w:ascii="Palatino Linotype" w:eastAsia="Times New Roman" w:hAnsi="Palatino Linotype" w:cs="Tahoma"/>
          <w:lang w:val="es-ES" w:eastAsia="es-ES"/>
        </w:rPr>
      </w:pPr>
    </w:p>
    <w:p w14:paraId="71B195D5" w14:textId="77777777" w:rsidR="006F1CF5" w:rsidRPr="006F1CF5" w:rsidRDefault="006F1CF5" w:rsidP="006F1CF5">
      <w:pPr>
        <w:autoSpaceDE w:val="0"/>
        <w:autoSpaceDN w:val="0"/>
        <w:adjustRightInd w:val="0"/>
        <w:spacing w:after="0" w:line="360" w:lineRule="auto"/>
        <w:jc w:val="both"/>
        <w:rPr>
          <w:rFonts w:ascii="Palatino Linotype" w:eastAsia="Times New Roman" w:hAnsi="Palatino Linotype" w:cs="Tahoma"/>
          <w:lang w:val="es-ES" w:eastAsia="es-ES"/>
        </w:rPr>
      </w:pPr>
      <w:r w:rsidRPr="006F1CF5">
        <w:rPr>
          <w:rFonts w:ascii="Palatino Linotype" w:eastAsia="Times New Roman" w:hAnsi="Palatino Linotype" w:cs="Tahoma"/>
          <w:lang w:val="es-ES" w:eastAsia="es-ES"/>
        </w:rPr>
        <w:t xml:space="preserve">De las constancias que forma parte del Recurso de Revisión que se analiza, se advierte que previo al estudio del fondo de la </w:t>
      </w:r>
      <w:proofErr w:type="spellStart"/>
      <w:r w:rsidRPr="006F1CF5">
        <w:rPr>
          <w:rFonts w:ascii="Palatino Linotype" w:eastAsia="Times New Roman" w:hAnsi="Palatino Linotype" w:cs="Tahoma"/>
          <w:i/>
          <w:lang w:val="es-ES" w:eastAsia="es-ES"/>
        </w:rPr>
        <w:t>litis</w:t>
      </w:r>
      <w:proofErr w:type="spellEnd"/>
      <w:r w:rsidRPr="006F1CF5">
        <w:rPr>
          <w:rFonts w:ascii="Palatino Linotype" w:eastAsia="Times New Roman" w:hAnsi="Palatino Linotype" w:cs="Tahoma"/>
          <w:lang w:val="es-ES" w:eastAsia="es-ES"/>
        </w:rPr>
        <w:t>, es necesario estudiar las causales de improcedencia y sobreseimiento que se adviertan, para determinar lo que en Derecho proceda.</w:t>
      </w:r>
    </w:p>
    <w:p w14:paraId="44CE029E" w14:textId="77777777" w:rsidR="006F1CF5" w:rsidRPr="006F1CF5" w:rsidRDefault="006F1CF5" w:rsidP="006F1CF5">
      <w:pPr>
        <w:autoSpaceDE w:val="0"/>
        <w:autoSpaceDN w:val="0"/>
        <w:adjustRightInd w:val="0"/>
        <w:spacing w:after="0" w:line="360" w:lineRule="auto"/>
        <w:jc w:val="both"/>
        <w:rPr>
          <w:rFonts w:ascii="Palatino Linotype" w:eastAsia="Times New Roman" w:hAnsi="Palatino Linotype" w:cs="Tahoma"/>
          <w:lang w:val="es-ES" w:eastAsia="es-ES"/>
        </w:rPr>
      </w:pPr>
    </w:p>
    <w:p w14:paraId="2E473327" w14:textId="77777777" w:rsidR="006F1CF5" w:rsidRPr="006F1CF5" w:rsidRDefault="006F1CF5" w:rsidP="006F1CF5">
      <w:pPr>
        <w:spacing w:after="0" w:line="360" w:lineRule="auto"/>
        <w:jc w:val="both"/>
        <w:rPr>
          <w:rFonts w:ascii="Palatino Linotype" w:eastAsia="Calibri" w:hAnsi="Palatino Linotype" w:cs="Times New Roman"/>
          <w:b/>
          <w:lang w:val="es-ES"/>
        </w:rPr>
      </w:pPr>
      <w:r w:rsidRPr="006F1CF5">
        <w:rPr>
          <w:rFonts w:ascii="Palatino Linotype" w:eastAsia="Calibri" w:hAnsi="Palatino Linotype" w:cs="Times New Roman"/>
          <w:b/>
          <w:lang w:val="es-ES"/>
        </w:rPr>
        <w:t>Causales de improcedencia</w:t>
      </w:r>
    </w:p>
    <w:p w14:paraId="7C822B24" w14:textId="77777777" w:rsidR="006F1CF5" w:rsidRPr="006F1CF5" w:rsidRDefault="006F1CF5" w:rsidP="006F1CF5">
      <w:pPr>
        <w:spacing w:after="0" w:line="360" w:lineRule="auto"/>
        <w:jc w:val="both"/>
        <w:rPr>
          <w:rFonts w:ascii="Palatino Linotype" w:eastAsia="Calibri" w:hAnsi="Palatino Linotype" w:cs="Times New Roman"/>
        </w:rPr>
      </w:pPr>
    </w:p>
    <w:p w14:paraId="28BE0B53" w14:textId="77777777" w:rsidR="006F1CF5" w:rsidRPr="006F1CF5" w:rsidRDefault="006F1CF5" w:rsidP="006F1CF5">
      <w:pPr>
        <w:spacing w:after="0" w:line="360" w:lineRule="auto"/>
        <w:jc w:val="both"/>
        <w:rPr>
          <w:rFonts w:ascii="Palatino Linotype" w:eastAsia="Calibri" w:hAnsi="Palatino Linotype" w:cs="Times New Roman"/>
        </w:rPr>
      </w:pPr>
      <w:r w:rsidRPr="006F1CF5">
        <w:rPr>
          <w:rFonts w:ascii="Palatino Linotype" w:eastAsia="Calibri" w:hAnsi="Palatino Linotype" w:cs="Times New Roman"/>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DC543C0" w14:textId="77777777" w:rsidR="006F1CF5" w:rsidRPr="006F1CF5" w:rsidRDefault="006F1CF5" w:rsidP="006F1CF5">
      <w:pPr>
        <w:spacing w:after="0" w:line="360" w:lineRule="auto"/>
        <w:jc w:val="both"/>
        <w:rPr>
          <w:rFonts w:ascii="Palatino Linotype" w:eastAsia="Calibri" w:hAnsi="Palatino Linotype" w:cs="Times New Roman"/>
        </w:rPr>
      </w:pPr>
    </w:p>
    <w:p w14:paraId="33C4D300" w14:textId="77777777" w:rsidR="006F1CF5" w:rsidRPr="006F1CF5" w:rsidRDefault="006F1CF5" w:rsidP="006F1CF5">
      <w:pPr>
        <w:spacing w:after="0" w:line="360" w:lineRule="auto"/>
        <w:jc w:val="both"/>
        <w:rPr>
          <w:rFonts w:ascii="Palatino Linotype" w:eastAsia="Calibri" w:hAnsi="Palatino Linotype" w:cs="Times New Roman"/>
        </w:rPr>
      </w:pPr>
      <w:r w:rsidRPr="006F1CF5">
        <w:rPr>
          <w:rFonts w:ascii="Palatino Linotype" w:eastAsia="Calibri" w:hAnsi="Palatino Linotype" w:cs="Times New Roman"/>
        </w:rPr>
        <w:t>En el presente caso, </w:t>
      </w:r>
      <w:r w:rsidRPr="006F1CF5">
        <w:rPr>
          <w:rFonts w:ascii="Palatino Linotype" w:eastAsia="Calibri" w:hAnsi="Palatino Linotype" w:cs="Times New Roman"/>
          <w:b/>
        </w:rPr>
        <w:t>no se actualiza ninguna de las causales de improcedencia</w:t>
      </w:r>
      <w:r w:rsidRPr="006F1CF5">
        <w:rPr>
          <w:rFonts w:ascii="Palatino Linotype" w:eastAsia="Calibri" w:hAnsi="Palatino Linotype" w:cs="Times New Roman"/>
        </w:rPr>
        <w:t xml:space="preserve"> establecidas en el ordenamiento jurídico previamente señalado, toda vez que: este Instituto no tiene conocimiento de que se encuentre en trámite algún medio de defensa presentado por la </w:t>
      </w:r>
      <w:r w:rsidRPr="006F1CF5">
        <w:rPr>
          <w:rFonts w:ascii="Palatino Linotype" w:eastAsia="Calibri" w:hAnsi="Palatino Linotype" w:cs="Times New Roman"/>
        </w:rPr>
        <w:lastRenderedPageBreak/>
        <w:t>persona Recurrente ante otra instancia; no existió prevención alguna; la veracidad de la respuesta no formó parte del agravio; ni se realizó una consulta o ampliación a los alcances del requerimiento informativo.</w:t>
      </w:r>
    </w:p>
    <w:p w14:paraId="20DF6DF6" w14:textId="77777777" w:rsidR="006F1CF5" w:rsidRPr="006F1CF5" w:rsidRDefault="006F1CF5" w:rsidP="006F1CF5">
      <w:pPr>
        <w:spacing w:after="0" w:line="360" w:lineRule="auto"/>
        <w:jc w:val="both"/>
        <w:rPr>
          <w:rFonts w:ascii="Palatino Linotype" w:eastAsia="Calibri" w:hAnsi="Palatino Linotype" w:cs="Times New Roman"/>
        </w:rPr>
      </w:pPr>
    </w:p>
    <w:p w14:paraId="368A2A5E" w14:textId="77777777" w:rsidR="006F1CF5" w:rsidRPr="006F1CF5" w:rsidRDefault="006F1CF5" w:rsidP="006F1CF5">
      <w:pPr>
        <w:spacing w:after="0" w:line="360" w:lineRule="auto"/>
        <w:jc w:val="both"/>
        <w:rPr>
          <w:rFonts w:ascii="Palatino Linotype" w:eastAsia="Calibri" w:hAnsi="Palatino Linotype" w:cs="Tahoma"/>
        </w:rPr>
      </w:pPr>
      <w:r w:rsidRPr="006F1CF5">
        <w:rPr>
          <w:rFonts w:ascii="Palatino Linotype" w:eastAsia="Times New Roman" w:hAnsi="Palatino Linotype" w:cs="Tahoma"/>
          <w:lang w:eastAsia="es-ES"/>
        </w:rPr>
        <w:t xml:space="preserve">Asimismo, se actualiza la causal de procedencia del Recurso de Revisión señalada en el artículo 179, fracción VI, de la Ley en cita, </w:t>
      </w:r>
      <w:r w:rsidRPr="006F1CF5">
        <w:rPr>
          <w:rFonts w:ascii="Palatino Linotype" w:eastAsia="Calibri" w:hAnsi="Palatino Linotype" w:cs="Tahoma"/>
        </w:rPr>
        <w:t>pues la persona Recurrente se inconformó con la entrega de información que no corresponde con lo solicitado.</w:t>
      </w:r>
    </w:p>
    <w:p w14:paraId="6D88343C" w14:textId="77777777" w:rsidR="006F1CF5" w:rsidRPr="006F1CF5" w:rsidRDefault="006F1CF5" w:rsidP="006F1CF5">
      <w:pPr>
        <w:spacing w:after="0" w:line="360" w:lineRule="auto"/>
        <w:jc w:val="both"/>
        <w:rPr>
          <w:rFonts w:ascii="Palatino Linotype" w:eastAsia="Calibri" w:hAnsi="Palatino Linotype" w:cs="Tahoma"/>
        </w:rPr>
      </w:pPr>
    </w:p>
    <w:p w14:paraId="1D48C4B4" w14:textId="77777777" w:rsidR="006F1CF5" w:rsidRPr="006F1CF5" w:rsidRDefault="006F1CF5" w:rsidP="006F1CF5">
      <w:pPr>
        <w:spacing w:after="0" w:line="360" w:lineRule="auto"/>
        <w:jc w:val="both"/>
        <w:rPr>
          <w:rFonts w:ascii="Palatino Linotype" w:eastAsia="Times New Roman" w:hAnsi="Palatino Linotype" w:cs="Tahoma"/>
          <w:b/>
          <w:bCs/>
          <w:lang w:eastAsia="es-ES"/>
        </w:rPr>
      </w:pPr>
      <w:r w:rsidRPr="006F1CF5">
        <w:rPr>
          <w:rFonts w:ascii="Palatino Linotype" w:eastAsia="Times New Roman" w:hAnsi="Palatino Linotype" w:cs="Tahoma"/>
          <w:b/>
          <w:bCs/>
          <w:lang w:eastAsia="es-ES"/>
        </w:rPr>
        <w:t>Causales de sobreseimiento</w:t>
      </w:r>
    </w:p>
    <w:p w14:paraId="0BAEFE3E" w14:textId="77777777" w:rsidR="006F1CF5" w:rsidRPr="006F1CF5" w:rsidRDefault="006F1CF5" w:rsidP="006F1CF5">
      <w:pPr>
        <w:spacing w:after="0" w:line="360" w:lineRule="auto"/>
        <w:jc w:val="both"/>
        <w:rPr>
          <w:rFonts w:ascii="Palatino Linotype" w:eastAsia="Times New Roman" w:hAnsi="Palatino Linotype" w:cs="Tahoma"/>
          <w:bCs/>
          <w:lang w:eastAsia="es-ES"/>
        </w:rPr>
      </w:pPr>
    </w:p>
    <w:p w14:paraId="535C43A0" w14:textId="77777777" w:rsidR="006F1CF5" w:rsidRPr="006F1CF5" w:rsidRDefault="006F1CF5" w:rsidP="006F1CF5">
      <w:pPr>
        <w:spacing w:after="0" w:line="360" w:lineRule="auto"/>
        <w:jc w:val="both"/>
        <w:rPr>
          <w:rFonts w:ascii="Palatino Linotype" w:eastAsia="Times New Roman" w:hAnsi="Palatino Linotype" w:cs="Tahoma"/>
          <w:bCs/>
          <w:lang w:eastAsia="es-ES"/>
        </w:rPr>
      </w:pPr>
      <w:r w:rsidRPr="006F1CF5">
        <w:rPr>
          <w:rFonts w:ascii="Palatino Linotype" w:eastAsia="Times New Roman" w:hAnsi="Palatino Linotype" w:cs="Tahoma"/>
          <w:bCs/>
          <w:lang w:eastAsia="es-ES"/>
        </w:rPr>
        <w:t xml:space="preserve">Por ser de previo y especial pronunciamiento, este Instituto analiza si se actualiza alguna causal de sobreseimiento. </w:t>
      </w:r>
    </w:p>
    <w:p w14:paraId="159B2652" w14:textId="77777777" w:rsidR="006F1CF5" w:rsidRPr="006F1CF5" w:rsidRDefault="006F1CF5" w:rsidP="006F1CF5">
      <w:pPr>
        <w:spacing w:after="0" w:line="360" w:lineRule="auto"/>
        <w:jc w:val="both"/>
        <w:rPr>
          <w:rFonts w:ascii="Palatino Linotype" w:eastAsia="Times New Roman" w:hAnsi="Palatino Linotype" w:cs="Tahoma"/>
          <w:bCs/>
          <w:lang w:eastAsia="es-ES"/>
        </w:rPr>
      </w:pPr>
    </w:p>
    <w:p w14:paraId="7C19DF6B" w14:textId="77777777" w:rsidR="006F1CF5" w:rsidRPr="006F1CF5" w:rsidRDefault="006F1CF5" w:rsidP="006F1CF5">
      <w:pPr>
        <w:spacing w:after="0" w:line="360" w:lineRule="auto"/>
        <w:jc w:val="both"/>
        <w:rPr>
          <w:rFonts w:ascii="Palatino Linotype" w:eastAsia="Times New Roman" w:hAnsi="Palatino Linotype" w:cs="Tahoma"/>
          <w:lang w:eastAsia="es-ES"/>
        </w:rPr>
      </w:pPr>
      <w:r w:rsidRPr="006F1CF5">
        <w:rPr>
          <w:rFonts w:ascii="Palatino Linotype" w:eastAsia="Times New Roman" w:hAnsi="Palatino Linotype" w:cs="Tahoma"/>
          <w:bCs/>
          <w:lang w:eastAsia="es-ES"/>
        </w:rPr>
        <w:t>Sobre el tema, e</w:t>
      </w:r>
      <w:r w:rsidRPr="006F1CF5">
        <w:rPr>
          <w:rFonts w:ascii="Palatino Linotype" w:eastAsia="Times New Roman" w:hAnsi="Palatino Linotype" w:cs="Tahoma"/>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079CFE97" w14:textId="77777777" w:rsidR="006F1CF5" w:rsidRPr="006F1CF5" w:rsidRDefault="006F1CF5" w:rsidP="006F1CF5">
      <w:pPr>
        <w:spacing w:after="0" w:line="360" w:lineRule="auto"/>
        <w:jc w:val="both"/>
        <w:rPr>
          <w:rFonts w:ascii="Palatino Linotype" w:eastAsia="Times New Roman" w:hAnsi="Palatino Linotype" w:cs="Tahoma"/>
          <w:lang w:eastAsia="es-ES"/>
        </w:rPr>
      </w:pPr>
    </w:p>
    <w:p w14:paraId="2CDF9DEE" w14:textId="77777777" w:rsidR="006F1CF5" w:rsidRPr="006F1CF5" w:rsidRDefault="006F1CF5" w:rsidP="006F1CF5">
      <w:pPr>
        <w:spacing w:after="0" w:line="360" w:lineRule="auto"/>
        <w:jc w:val="both"/>
        <w:rPr>
          <w:rFonts w:ascii="Palatino Linotype" w:eastAsia="Times New Roman" w:hAnsi="Palatino Linotype" w:cs="Tahoma"/>
          <w:bCs/>
          <w:lang w:eastAsia="es-ES"/>
        </w:rPr>
      </w:pPr>
      <w:r w:rsidRPr="006F1CF5">
        <w:rPr>
          <w:rFonts w:ascii="Palatino Linotype" w:eastAsia="Times New Roman" w:hAnsi="Palatino Linotype" w:cs="Tahoma"/>
          <w:bCs/>
          <w:lang w:eastAsia="es-ES"/>
        </w:rPr>
        <w:t xml:space="preserve">Por tales motivos, se considera procedente entrar al fondo del presente asunto. </w:t>
      </w:r>
    </w:p>
    <w:p w14:paraId="19BA7A59" w14:textId="77777777" w:rsidR="006F1CF5" w:rsidRPr="006F1CF5" w:rsidRDefault="006F1CF5" w:rsidP="006F1CF5">
      <w:pPr>
        <w:spacing w:after="0" w:line="360" w:lineRule="auto"/>
        <w:jc w:val="both"/>
        <w:rPr>
          <w:rFonts w:ascii="Palatino Linotype" w:eastAsia="Times New Roman" w:hAnsi="Palatino Linotype" w:cs="Tahoma"/>
          <w:bCs/>
          <w:lang w:eastAsia="es-ES"/>
        </w:rPr>
      </w:pPr>
    </w:p>
    <w:p w14:paraId="21F4555E" w14:textId="77777777" w:rsidR="006F1CF5" w:rsidRPr="006F1CF5" w:rsidRDefault="006F1CF5" w:rsidP="006F1CF5">
      <w:pPr>
        <w:spacing w:after="0" w:line="360" w:lineRule="auto"/>
        <w:jc w:val="both"/>
        <w:rPr>
          <w:rFonts w:ascii="Palatino Linotype" w:eastAsia="Times New Roman" w:hAnsi="Palatino Linotype" w:cs="Tahoma"/>
          <w:b/>
          <w:bCs/>
          <w:iCs/>
          <w:lang w:val="es-ES" w:eastAsia="es-ES"/>
        </w:rPr>
      </w:pPr>
      <w:r w:rsidRPr="006F1CF5">
        <w:rPr>
          <w:rFonts w:ascii="Palatino Linotype" w:eastAsia="Times New Roman" w:hAnsi="Palatino Linotype" w:cs="Tahoma"/>
          <w:b/>
          <w:bCs/>
          <w:iCs/>
          <w:lang w:val="es-ES" w:eastAsia="es-ES"/>
        </w:rPr>
        <w:t>TERCERO. Determinación de la Controversia</w:t>
      </w:r>
    </w:p>
    <w:p w14:paraId="357BB0FE" w14:textId="77777777" w:rsidR="006F1CF5" w:rsidRPr="006F1CF5" w:rsidRDefault="006F1CF5" w:rsidP="006F1CF5">
      <w:pPr>
        <w:spacing w:after="0" w:line="360" w:lineRule="auto"/>
        <w:jc w:val="both"/>
        <w:rPr>
          <w:rFonts w:ascii="Palatino Linotype" w:eastAsia="Times New Roman" w:hAnsi="Palatino Linotype" w:cs="Tahoma"/>
          <w:b/>
          <w:bCs/>
          <w:iCs/>
          <w:color w:val="FF0000"/>
          <w:lang w:val="es-ES" w:eastAsia="es-ES"/>
        </w:rPr>
      </w:pPr>
    </w:p>
    <w:p w14:paraId="7F521E90" w14:textId="70F0B0AD" w:rsidR="00AB5969" w:rsidRDefault="006F1CF5" w:rsidP="006F1CF5">
      <w:pPr>
        <w:spacing w:after="0" w:line="360" w:lineRule="auto"/>
        <w:jc w:val="both"/>
        <w:rPr>
          <w:rFonts w:ascii="Palatino Linotype" w:eastAsia="Calibri" w:hAnsi="Palatino Linotype" w:cs="Tahoma"/>
        </w:rPr>
      </w:pPr>
      <w:r w:rsidRPr="006F1CF5">
        <w:rPr>
          <w:rFonts w:ascii="Palatino Linotype" w:eastAsia="Calibri" w:hAnsi="Palatino Linotype" w:cs="Tahoma"/>
        </w:rPr>
        <w:lastRenderedPageBreak/>
        <w:t xml:space="preserve">Con el objetivo de ilustrar la controversia planteada, resulta conveniente precisar, que una vez realizado el estudio de las constancias que integran el expediente en el que se actúa, se desprende que el Particular requirió, </w:t>
      </w:r>
      <w:r w:rsidR="00AB5969">
        <w:rPr>
          <w:rFonts w:ascii="Palatino Linotype" w:eastAsia="Calibri" w:hAnsi="Palatino Linotype" w:cs="Tahoma"/>
        </w:rPr>
        <w:t>respecto al servicio de supervisión de obra (construcción), lo siguiente:</w:t>
      </w:r>
    </w:p>
    <w:p w14:paraId="1171C560" w14:textId="77777777" w:rsidR="00AB5969" w:rsidRDefault="00AB5969" w:rsidP="006F1CF5">
      <w:pPr>
        <w:spacing w:after="0" w:line="360" w:lineRule="auto"/>
        <w:jc w:val="both"/>
        <w:rPr>
          <w:rFonts w:ascii="Palatino Linotype" w:eastAsia="Calibri" w:hAnsi="Palatino Linotype" w:cs="Tahoma"/>
        </w:rPr>
      </w:pPr>
    </w:p>
    <w:p w14:paraId="74BA1A66" w14:textId="50AB0C67" w:rsidR="00AB5969" w:rsidRDefault="00AB5969" w:rsidP="00A85DE6">
      <w:pPr>
        <w:pStyle w:val="Prrafodelista"/>
        <w:numPr>
          <w:ilvl w:val="0"/>
          <w:numId w:val="12"/>
        </w:numPr>
        <w:spacing w:after="0" w:line="360" w:lineRule="auto"/>
        <w:jc w:val="both"/>
        <w:rPr>
          <w:rFonts w:ascii="Palatino Linotype" w:eastAsia="Calibri" w:hAnsi="Palatino Linotype" w:cs="Tahoma"/>
        </w:rPr>
      </w:pPr>
      <w:r>
        <w:rPr>
          <w:rFonts w:ascii="Palatino Linotype" w:eastAsia="Calibri" w:hAnsi="Palatino Linotype" w:cs="Tahoma"/>
        </w:rPr>
        <w:t>Instrumento normativo que establezca la facultad para realizar cobros en efectivo;</w:t>
      </w:r>
    </w:p>
    <w:p w14:paraId="3830B419" w14:textId="15B600C5" w:rsidR="00AB5969" w:rsidRDefault="00AB5969" w:rsidP="00A85DE6">
      <w:pPr>
        <w:pStyle w:val="Prrafodelista"/>
        <w:numPr>
          <w:ilvl w:val="0"/>
          <w:numId w:val="12"/>
        </w:numPr>
        <w:spacing w:after="0" w:line="360" w:lineRule="auto"/>
        <w:jc w:val="both"/>
        <w:rPr>
          <w:rFonts w:ascii="Palatino Linotype" w:eastAsia="Calibri" w:hAnsi="Palatino Linotype" w:cs="Tahoma"/>
        </w:rPr>
      </w:pPr>
      <w:r>
        <w:rPr>
          <w:rFonts w:ascii="Palatino Linotype" w:eastAsia="Calibri" w:hAnsi="Palatino Linotype" w:cs="Tahoma"/>
        </w:rPr>
        <w:t>Los montos autorizados por el servicio;</w:t>
      </w:r>
    </w:p>
    <w:p w14:paraId="293C9B99" w14:textId="655CBF66" w:rsidR="00AB5969" w:rsidRDefault="00AB5969" w:rsidP="00A85DE6">
      <w:pPr>
        <w:pStyle w:val="Prrafodelista"/>
        <w:numPr>
          <w:ilvl w:val="0"/>
          <w:numId w:val="12"/>
        </w:numPr>
        <w:spacing w:after="0" w:line="360" w:lineRule="auto"/>
        <w:jc w:val="both"/>
        <w:rPr>
          <w:rFonts w:ascii="Palatino Linotype" w:eastAsia="Calibri" w:hAnsi="Palatino Linotype" w:cs="Tahoma"/>
        </w:rPr>
      </w:pPr>
      <w:r>
        <w:rPr>
          <w:rFonts w:ascii="Palatino Linotype" w:eastAsia="Calibri" w:hAnsi="Palatino Linotype" w:cs="Tahoma"/>
        </w:rPr>
        <w:t>El procedimiento para realizar el pago;</w:t>
      </w:r>
    </w:p>
    <w:p w14:paraId="625EB3FB" w14:textId="0D1AED8D" w:rsidR="00A85DE6" w:rsidRPr="00AB5969" w:rsidRDefault="00AB5969" w:rsidP="00A85DE6">
      <w:pPr>
        <w:pStyle w:val="Prrafodelista"/>
        <w:numPr>
          <w:ilvl w:val="0"/>
          <w:numId w:val="12"/>
        </w:numPr>
        <w:spacing w:after="0" w:line="360" w:lineRule="auto"/>
        <w:jc w:val="both"/>
        <w:rPr>
          <w:rFonts w:ascii="Palatino Linotype" w:eastAsia="Calibri" w:hAnsi="Palatino Linotype" w:cs="Tahoma"/>
        </w:rPr>
      </w:pPr>
      <w:r w:rsidRPr="00AB5969">
        <w:rPr>
          <w:rFonts w:ascii="Palatino Linotype" w:eastAsia="Calibri" w:hAnsi="Palatino Linotype" w:cs="Tahoma"/>
        </w:rPr>
        <w:t xml:space="preserve">Procedimientos </w:t>
      </w:r>
      <w:r w:rsidR="00A85DE6" w:rsidRPr="00AB5969">
        <w:rPr>
          <w:rFonts w:ascii="Palatino Linotype" w:eastAsia="Calibri" w:hAnsi="Palatino Linotype" w:cs="Tahoma"/>
        </w:rPr>
        <w:t>administrativos</w:t>
      </w:r>
      <w:r>
        <w:rPr>
          <w:rFonts w:ascii="Palatino Linotype" w:eastAsia="Calibri" w:hAnsi="Palatino Linotype" w:cs="Tahoma"/>
        </w:rPr>
        <w:t>,</w:t>
      </w:r>
      <w:r w:rsidR="00A85DE6" w:rsidRPr="00AB5969">
        <w:rPr>
          <w:rFonts w:ascii="Palatino Linotype" w:eastAsia="Calibri" w:hAnsi="Palatino Linotype" w:cs="Tahoma"/>
        </w:rPr>
        <w:t xml:space="preserve"> de transparencia </w:t>
      </w:r>
      <w:r>
        <w:rPr>
          <w:rFonts w:ascii="Palatino Linotype" w:eastAsia="Calibri" w:hAnsi="Palatino Linotype" w:cs="Tahoma"/>
        </w:rPr>
        <w:t xml:space="preserve">o </w:t>
      </w:r>
      <w:r w:rsidR="00A85DE6" w:rsidRPr="00AB5969">
        <w:rPr>
          <w:rFonts w:ascii="Palatino Linotype" w:eastAsia="Calibri" w:hAnsi="Palatino Linotype" w:cs="Tahoma"/>
        </w:rPr>
        <w:t xml:space="preserve">rendición de cuentas para la gestión de </w:t>
      </w:r>
      <w:r>
        <w:rPr>
          <w:rFonts w:ascii="Palatino Linotype" w:eastAsia="Calibri" w:hAnsi="Palatino Linotype" w:cs="Tahoma"/>
        </w:rPr>
        <w:t>dichos</w:t>
      </w:r>
      <w:r w:rsidR="00A85DE6" w:rsidRPr="00AB5969">
        <w:rPr>
          <w:rFonts w:ascii="Palatino Linotype" w:eastAsia="Calibri" w:hAnsi="Palatino Linotype" w:cs="Tahoma"/>
        </w:rPr>
        <w:t xml:space="preserve"> ingresos en efectivo, </w:t>
      </w:r>
      <w:r>
        <w:rPr>
          <w:rFonts w:ascii="Palatino Linotype" w:eastAsia="Calibri" w:hAnsi="Palatino Linotype" w:cs="Tahoma"/>
        </w:rPr>
        <w:t>que incluya la forma en que</w:t>
      </w:r>
      <w:r w:rsidR="00A85DE6" w:rsidRPr="00AB5969">
        <w:rPr>
          <w:rFonts w:ascii="Palatino Linotype" w:eastAsia="Calibri" w:hAnsi="Palatino Linotype" w:cs="Tahoma"/>
        </w:rPr>
        <w:t xml:space="preserve"> deben ser documentados y reportados. </w:t>
      </w:r>
    </w:p>
    <w:p w14:paraId="662B9C71" w14:textId="77777777" w:rsidR="006F1CF5" w:rsidRPr="006F1CF5" w:rsidRDefault="006F1CF5" w:rsidP="00C84F80">
      <w:pPr>
        <w:spacing w:after="0" w:line="360" w:lineRule="auto"/>
        <w:ind w:right="-28"/>
        <w:contextualSpacing/>
        <w:jc w:val="both"/>
        <w:rPr>
          <w:rFonts w:ascii="Palatino Linotype" w:eastAsia="Times New Roman" w:hAnsi="Palatino Linotype" w:cs="Tahoma"/>
          <w:bCs/>
          <w:color w:val="FF0000"/>
          <w:lang w:eastAsia="es-ES"/>
        </w:rPr>
      </w:pPr>
    </w:p>
    <w:p w14:paraId="321D8959" w14:textId="628CBF85" w:rsidR="006F1CF5" w:rsidRPr="006F1CF5" w:rsidRDefault="006F1CF5" w:rsidP="006F1CF5">
      <w:pPr>
        <w:spacing w:after="0" w:line="360" w:lineRule="auto"/>
        <w:jc w:val="both"/>
        <w:rPr>
          <w:rFonts w:ascii="Palatino Linotype" w:eastAsia="Calibri" w:hAnsi="Palatino Linotype" w:cs="Times New Roman"/>
        </w:rPr>
      </w:pPr>
      <w:r w:rsidRPr="006F1CF5">
        <w:rPr>
          <w:rFonts w:ascii="Palatino Linotype" w:eastAsia="Calibri" w:hAnsi="Palatino Linotype" w:cs="Times New Roman"/>
        </w:rPr>
        <w:t>En respuesta, el Sujeto Obligado</w:t>
      </w:r>
      <w:r w:rsidR="00AB5969">
        <w:rPr>
          <w:rFonts w:ascii="Palatino Linotype" w:eastAsia="Calibri" w:hAnsi="Palatino Linotype" w:cs="Times New Roman"/>
        </w:rPr>
        <w:t xml:space="preserve"> únicamente citó la solicitud de información</w:t>
      </w:r>
      <w:r w:rsidRPr="006F1CF5">
        <w:rPr>
          <w:rFonts w:ascii="Palatino Linotype" w:eastAsia="Calibri" w:hAnsi="Palatino Linotype" w:cs="Tahoma"/>
        </w:rPr>
        <w:t>;</w:t>
      </w:r>
      <w:r w:rsidRPr="006F1CF5">
        <w:rPr>
          <w:rFonts w:ascii="Palatino Linotype" w:eastAsia="Calibri" w:hAnsi="Palatino Linotype" w:cs="Times New Roman"/>
        </w:rPr>
        <w:t xml:space="preserve"> </w:t>
      </w:r>
      <w:r w:rsidRPr="006F1CF5">
        <w:rPr>
          <w:rFonts w:ascii="Palatino Linotype" w:eastAsia="Calibri" w:hAnsi="Palatino Linotype" w:cs="Tahoma"/>
          <w:lang w:val="es-ES"/>
        </w:rPr>
        <w:t xml:space="preserve">ante dicha circunstancia, el Particular se inconformó de la entrega de información que no corresponde con lo solicitado, refiriendo que no es la información solicitada, lo cual </w:t>
      </w:r>
      <w:r w:rsidRPr="006F1CF5">
        <w:rPr>
          <w:rFonts w:ascii="Palatino Linotype" w:eastAsia="Calibri" w:hAnsi="Palatino Linotype" w:cs="Tahoma"/>
        </w:rPr>
        <w:t>actualiza la causal de procedencia prevista en la fracción VI, del artículo 179 de la Ley de Transparencia y Acceso a la Información Pública del Estado de México y Municipios</w:t>
      </w:r>
      <w:r w:rsidRPr="006F1CF5">
        <w:rPr>
          <w:rFonts w:ascii="Palatino Linotype" w:eastAsia="Calibri" w:hAnsi="Palatino Linotype" w:cs="Times New Roman"/>
        </w:rPr>
        <w:t xml:space="preserve">. </w:t>
      </w:r>
      <w:r w:rsidRPr="006F1CF5">
        <w:rPr>
          <w:rFonts w:ascii="Palatino Linotype" w:eastAsia="Calibri" w:hAnsi="Palatino Linotype" w:cs="Tahoma"/>
        </w:rPr>
        <w:t xml:space="preserve">Así, las cosas, una vez admitido y notificado el Recurso de Revisión, las partes fueron omisas en emitir manifestaciones y alegatos. </w:t>
      </w:r>
    </w:p>
    <w:p w14:paraId="322ADD32" w14:textId="77777777" w:rsidR="006F1CF5" w:rsidRPr="006F1CF5" w:rsidRDefault="006F1CF5" w:rsidP="006F1CF5">
      <w:pPr>
        <w:spacing w:after="0" w:line="360" w:lineRule="auto"/>
        <w:ind w:right="-28"/>
        <w:jc w:val="both"/>
        <w:rPr>
          <w:rFonts w:ascii="Palatino Linotype" w:eastAsia="Calibri" w:hAnsi="Palatino Linotype" w:cs="Tahoma"/>
          <w:bCs/>
          <w:iCs/>
          <w:color w:val="FF0000"/>
          <w:lang w:val="es-ES" w:eastAsia="es-ES"/>
        </w:rPr>
      </w:pPr>
    </w:p>
    <w:p w14:paraId="3174940B" w14:textId="77777777" w:rsidR="006F1CF5" w:rsidRPr="006F1CF5" w:rsidRDefault="006F1CF5" w:rsidP="006F1CF5">
      <w:pPr>
        <w:tabs>
          <w:tab w:val="left" w:pos="4962"/>
        </w:tabs>
        <w:spacing w:after="0" w:line="360" w:lineRule="auto"/>
        <w:jc w:val="both"/>
        <w:rPr>
          <w:rFonts w:ascii="Palatino Linotype" w:eastAsia="Calibri" w:hAnsi="Palatino Linotype" w:cs="Tahoma"/>
          <w:bCs/>
        </w:rPr>
      </w:pPr>
      <w:r w:rsidRPr="006F1CF5">
        <w:rPr>
          <w:rFonts w:ascii="Palatino Linotype" w:eastAsia="Calibri" w:hAnsi="Palatino Linotype" w:cs="Tahoma"/>
          <w:iCs/>
          <w:lang w:val="es-ES" w:eastAsia="es-ES_tradnl"/>
        </w:rPr>
        <w:t xml:space="preserve">Lo anterior, se desprende de las documentales que obran en el expediente de referencia, materia de la presente resolución, consistente en: la solicitud de acceso a la información </w:t>
      </w:r>
      <w:r w:rsidRPr="006F1CF5">
        <w:rPr>
          <w:rFonts w:ascii="Palatino Linotype" w:eastAsia="Calibri" w:hAnsi="Palatino Linotype" w:cs="Tahoma"/>
          <w:iCs/>
          <w:lang w:eastAsia="es-ES_tradnl"/>
        </w:rPr>
        <w:t xml:space="preserve">y el escrito </w:t>
      </w:r>
      <w:proofErr w:type="spellStart"/>
      <w:r w:rsidRPr="006F1CF5">
        <w:rPr>
          <w:rFonts w:ascii="Palatino Linotype" w:eastAsia="Calibri" w:hAnsi="Palatino Linotype" w:cs="Tahoma"/>
          <w:iCs/>
          <w:lang w:eastAsia="es-ES_tradnl"/>
        </w:rPr>
        <w:t>recursal</w:t>
      </w:r>
      <w:proofErr w:type="spellEnd"/>
      <w:r w:rsidRPr="006F1CF5">
        <w:rPr>
          <w:rFonts w:ascii="Palatino Linotype" w:eastAsia="Calibri" w:hAnsi="Palatino Linotype" w:cs="Tahoma"/>
          <w:iCs/>
          <w:lang w:eastAsia="es-ES_tradnl"/>
        </w:rPr>
        <w:t xml:space="preserve">; </w:t>
      </w:r>
      <w:r w:rsidRPr="006F1CF5">
        <w:rPr>
          <w:rFonts w:ascii="Palatino Linotype" w:eastAsia="Calibri" w:hAnsi="Palatino Linotype"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60602B68" w14:textId="77777777" w:rsidR="006F1CF5" w:rsidRPr="006F1CF5" w:rsidRDefault="006F1CF5" w:rsidP="006F1CF5">
      <w:pPr>
        <w:spacing w:after="0" w:line="360" w:lineRule="auto"/>
        <w:jc w:val="both"/>
        <w:rPr>
          <w:rFonts w:ascii="Palatino Linotype" w:eastAsia="Calibri" w:hAnsi="Palatino Linotype" w:cs="Tahoma"/>
          <w:lang w:eastAsia="es-ES_tradnl"/>
        </w:rPr>
      </w:pPr>
    </w:p>
    <w:p w14:paraId="646E2493" w14:textId="77777777" w:rsidR="006F1CF5" w:rsidRPr="006F1CF5" w:rsidRDefault="006F1CF5" w:rsidP="006F1CF5">
      <w:pPr>
        <w:spacing w:after="0" w:line="360" w:lineRule="auto"/>
        <w:jc w:val="both"/>
        <w:rPr>
          <w:rFonts w:ascii="Palatino Linotype" w:eastAsia="Times New Roman" w:hAnsi="Palatino Linotype" w:cs="Tahoma"/>
          <w:b/>
          <w:bCs/>
          <w:iCs/>
          <w:lang w:eastAsia="es-ES"/>
        </w:rPr>
      </w:pPr>
      <w:r w:rsidRPr="006F1CF5">
        <w:rPr>
          <w:rFonts w:ascii="Palatino Linotype" w:eastAsia="Times New Roman" w:hAnsi="Palatino Linotype" w:cs="Tahoma"/>
          <w:b/>
          <w:bCs/>
          <w:iCs/>
          <w:lang w:val="es-ES" w:eastAsia="es-ES"/>
        </w:rPr>
        <w:lastRenderedPageBreak/>
        <w:t xml:space="preserve">CUARTO. </w:t>
      </w:r>
      <w:r w:rsidRPr="006F1CF5">
        <w:rPr>
          <w:rFonts w:ascii="Palatino Linotype" w:eastAsia="Times New Roman" w:hAnsi="Palatino Linotype" w:cs="Tahoma"/>
          <w:b/>
          <w:bCs/>
          <w:iCs/>
          <w:lang w:eastAsia="es-ES"/>
        </w:rPr>
        <w:t>Marco normativo aplicable en materia de transparencia y acceso a la información pública</w:t>
      </w:r>
    </w:p>
    <w:p w14:paraId="707DF58A" w14:textId="77777777" w:rsidR="006F1CF5" w:rsidRPr="006F1CF5" w:rsidRDefault="006F1CF5" w:rsidP="006F1CF5">
      <w:pPr>
        <w:autoSpaceDE w:val="0"/>
        <w:autoSpaceDN w:val="0"/>
        <w:adjustRightInd w:val="0"/>
        <w:spacing w:after="0" w:line="360" w:lineRule="auto"/>
        <w:jc w:val="both"/>
        <w:rPr>
          <w:rFonts w:ascii="Palatino Linotype" w:eastAsia="Times New Roman" w:hAnsi="Palatino Linotype" w:cs="Tahoma"/>
          <w:bCs/>
          <w:iCs/>
          <w:lang w:val="es-ES" w:eastAsia="es-ES"/>
        </w:rPr>
      </w:pPr>
    </w:p>
    <w:p w14:paraId="2B419CAE"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r w:rsidRPr="006F1CF5">
        <w:rPr>
          <w:rFonts w:ascii="Palatino Linotype" w:eastAsia="Times New Roman" w:hAnsi="Palatino Linotype" w:cs="Tahoma"/>
          <w:bCs/>
          <w:iCs/>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F248845"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p>
    <w:p w14:paraId="078C765E"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r w:rsidRPr="006F1CF5">
        <w:rPr>
          <w:rFonts w:ascii="Palatino Linotype" w:eastAsia="Times New Roman" w:hAnsi="Palatino Linotype" w:cs="Tahoma"/>
          <w:bCs/>
          <w:iCs/>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2A5A993"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p>
    <w:p w14:paraId="18673370"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r w:rsidRPr="006F1CF5">
        <w:rPr>
          <w:rFonts w:ascii="Palatino Linotype" w:eastAsia="Times New Roman" w:hAnsi="Palatino Linotype" w:cs="Tahoma"/>
          <w:bCs/>
          <w:iCs/>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A2D0AA8"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p>
    <w:p w14:paraId="3CFEA6FF"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r w:rsidRPr="006F1CF5">
        <w:rPr>
          <w:rFonts w:ascii="Palatino Linotype" w:eastAsia="Times New Roman" w:hAnsi="Palatino Linotype" w:cs="Tahoma"/>
          <w:bCs/>
          <w:iCs/>
          <w:lang w:eastAsia="es-ES"/>
        </w:rPr>
        <w:t>Por su parte, la Ley de Transparencia y Acceso a la Información Pública del Estado de México y Municipios (Reglamentaria del artículo 5° de la Constitución Local), establece lo siguiente:</w:t>
      </w:r>
    </w:p>
    <w:p w14:paraId="105967EC"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p>
    <w:p w14:paraId="50F46FB2"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r w:rsidRPr="006F1CF5">
        <w:rPr>
          <w:rFonts w:ascii="Palatino Linotype" w:eastAsia="Times New Roman" w:hAnsi="Palatino Linotype" w:cs="Tahoma"/>
          <w:bCs/>
          <w:iCs/>
          <w:lang w:eastAsia="es-ES"/>
        </w:rPr>
        <w:t>El artículo 12, que, quienes generen, recopilen, administren, manejen, procesen, archiven o conserven información pública serán responsables de la misma.</w:t>
      </w:r>
    </w:p>
    <w:p w14:paraId="4C6DEAE3"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p>
    <w:p w14:paraId="2FD8DD88" w14:textId="77777777" w:rsidR="006F1CF5" w:rsidRPr="006F1CF5" w:rsidRDefault="006F1CF5" w:rsidP="006F1CF5">
      <w:pPr>
        <w:widowControl w:val="0"/>
        <w:spacing w:after="0" w:line="360" w:lineRule="auto"/>
        <w:jc w:val="both"/>
        <w:rPr>
          <w:rFonts w:ascii="Palatino Linotype" w:eastAsia="Times New Roman" w:hAnsi="Palatino Linotype" w:cs="Tahoma"/>
          <w:bCs/>
          <w:iCs/>
          <w:lang w:eastAsia="es-ES"/>
        </w:rPr>
      </w:pPr>
      <w:r w:rsidRPr="006F1CF5">
        <w:rPr>
          <w:rFonts w:ascii="Palatino Linotype" w:eastAsia="Times New Roman" w:hAnsi="Palatino Linotype" w:cs="Tahoma"/>
          <w:bCs/>
          <w:iCs/>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2DB786CB"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p>
    <w:p w14:paraId="74BAF229"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r w:rsidRPr="006F1CF5">
        <w:rPr>
          <w:rFonts w:ascii="Palatino Linotype" w:eastAsia="Times New Roman" w:hAnsi="Palatino Linotype" w:cs="Tahoma"/>
          <w:bCs/>
          <w:iCs/>
          <w:lang w:eastAsia="es-ES"/>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E8F59F"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p>
    <w:p w14:paraId="7E23AFCC" w14:textId="77777777" w:rsidR="006F1CF5" w:rsidRPr="006F1CF5" w:rsidRDefault="006F1CF5" w:rsidP="006F1CF5">
      <w:pPr>
        <w:spacing w:after="0" w:line="360" w:lineRule="auto"/>
        <w:contextualSpacing/>
        <w:jc w:val="both"/>
        <w:rPr>
          <w:rFonts w:ascii="Palatino Linotype" w:eastAsia="Calibri" w:hAnsi="Palatino Linotype" w:cs="Times New Roman"/>
        </w:rPr>
      </w:pPr>
      <w:r w:rsidRPr="006F1CF5">
        <w:rPr>
          <w:rFonts w:ascii="Palatino Linotype" w:eastAsia="Times New Roman" w:hAnsi="Palatino Linotype" w:cs="Tahoma"/>
          <w:bCs/>
          <w:iCs/>
          <w:lang w:eastAsia="es-ES"/>
        </w:rPr>
        <w:t>El artículo 92, fracción VIII, que, es obligación de los Sujetos Obligados poner a disposición del público de manera permanente y actualizada la</w:t>
      </w:r>
      <w:r w:rsidRPr="006F1CF5">
        <w:rPr>
          <w:rFonts w:ascii="Palatino Linotype" w:eastAsia="Calibri" w:hAnsi="Palatino Linotype" w:cs="Times New Roman"/>
        </w:rPr>
        <w:t xml:space="preserve"> remuneración bruta y neta de todos los servidores públicos de base o de confianza.</w:t>
      </w:r>
    </w:p>
    <w:p w14:paraId="3A1C198C" w14:textId="77777777" w:rsidR="006F1CF5" w:rsidRPr="006F1CF5" w:rsidRDefault="006F1CF5" w:rsidP="006F1CF5">
      <w:pPr>
        <w:spacing w:after="0" w:line="360" w:lineRule="auto"/>
        <w:jc w:val="both"/>
        <w:rPr>
          <w:rFonts w:ascii="Palatino Linotype" w:eastAsia="Times New Roman" w:hAnsi="Palatino Linotype" w:cs="Tahoma"/>
          <w:bCs/>
          <w:iCs/>
          <w:lang w:eastAsia="es-ES"/>
        </w:rPr>
      </w:pPr>
    </w:p>
    <w:p w14:paraId="630CF430" w14:textId="77777777" w:rsidR="006F1CF5" w:rsidRPr="006F1CF5" w:rsidRDefault="006F1CF5" w:rsidP="006F1CF5">
      <w:pPr>
        <w:spacing w:after="0" w:line="360" w:lineRule="auto"/>
        <w:jc w:val="both"/>
        <w:rPr>
          <w:rFonts w:ascii="Palatino Linotype" w:eastAsia="Times New Roman" w:hAnsi="Palatino Linotype" w:cs="Tahoma"/>
          <w:b/>
          <w:bCs/>
          <w:iCs/>
          <w:lang w:val="es-ES" w:eastAsia="es-ES"/>
        </w:rPr>
      </w:pPr>
      <w:r w:rsidRPr="006F1CF5">
        <w:rPr>
          <w:rFonts w:ascii="Palatino Linotype" w:eastAsia="Times New Roman" w:hAnsi="Palatino Linotype" w:cs="Tahoma"/>
          <w:b/>
          <w:bCs/>
          <w:iCs/>
          <w:lang w:val="es-ES" w:eastAsia="es-ES"/>
        </w:rPr>
        <w:t>QUINTO. Estudio de Fondo</w:t>
      </w:r>
    </w:p>
    <w:p w14:paraId="0300B799" w14:textId="77777777" w:rsidR="006F1CF5" w:rsidRPr="006F1CF5" w:rsidRDefault="006F1CF5" w:rsidP="006F1CF5">
      <w:pPr>
        <w:spacing w:after="0" w:line="360" w:lineRule="auto"/>
        <w:jc w:val="both"/>
        <w:rPr>
          <w:rFonts w:ascii="Palatino Linotype" w:eastAsia="Times New Roman" w:hAnsi="Palatino Linotype" w:cs="Tahoma"/>
          <w:b/>
          <w:bCs/>
          <w:iCs/>
          <w:color w:val="FF0000"/>
          <w:lang w:val="es-ES" w:eastAsia="es-ES"/>
        </w:rPr>
      </w:pPr>
    </w:p>
    <w:p w14:paraId="4D901A1C" w14:textId="77777777" w:rsidR="006A402C" w:rsidRPr="005E0F14" w:rsidRDefault="006F1CF5" w:rsidP="006F1CF5">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r w:rsidRPr="005E0F14">
        <w:rPr>
          <w:rFonts w:ascii="Palatino Linotype" w:eastAsia="Times New Roman" w:hAnsi="Palatino Linotype" w:cs="Tahoma"/>
          <w:bCs/>
          <w:iCs/>
          <w:lang w:eastAsia="es-ES"/>
        </w:rPr>
        <w:t xml:space="preserve">Expuestas las posturas de las partes, se procede al análisis del agravio hecho valer por la persona Recurrente, concerniente </w:t>
      </w:r>
      <w:r w:rsidRPr="005E0F14">
        <w:rPr>
          <w:rFonts w:ascii="Palatino Linotype" w:eastAsia="Times New Roman" w:hAnsi="Palatino Linotype" w:cs="Tahoma"/>
        </w:rPr>
        <w:t>a la entrega de información que no corresponde con lo solicitado</w:t>
      </w:r>
      <w:r w:rsidRPr="005E0F14">
        <w:rPr>
          <w:rFonts w:ascii="Palatino Linotype" w:eastAsia="Times New Roman" w:hAnsi="Palatino Linotype" w:cs="Times New Roman"/>
          <w:lang w:eastAsia="es-ES"/>
        </w:rPr>
        <w:t xml:space="preserve">, para lo cual, en principio es necesario contextualizar la solicitud de información. </w:t>
      </w:r>
    </w:p>
    <w:p w14:paraId="2C46807D" w14:textId="77777777" w:rsidR="006F1CF5" w:rsidRDefault="006F1CF5" w:rsidP="006F1CF5">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75ADF6E9" w14:textId="0B89101A" w:rsidR="008C18B2" w:rsidRDefault="008C18B2" w:rsidP="008C18B2">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r>
        <w:rPr>
          <w:rFonts w:ascii="Palatino Linotype" w:eastAsia="Times New Roman" w:hAnsi="Palatino Linotype" w:cs="Times New Roman"/>
          <w:lang w:eastAsia="es-ES"/>
        </w:rPr>
        <w:t xml:space="preserve">Sobre el tema, el artículo 7º del Código Financiero del Estado de México y Municipios, establece que, para cubrir el gasto público y demás obligaciones a su cargo, el Estado y los Municipios percibirán en cada ejercicio fiscal los </w:t>
      </w:r>
      <w:r w:rsidRPr="008C18B2">
        <w:rPr>
          <w:rFonts w:ascii="Palatino Linotype" w:eastAsia="Times New Roman" w:hAnsi="Palatino Linotype" w:cs="Times New Roman"/>
          <w:lang w:eastAsia="es-ES"/>
        </w:rPr>
        <w:t>impuestos, derechos, aportaciones de mejoras,</w:t>
      </w:r>
      <w:r>
        <w:rPr>
          <w:rFonts w:ascii="Palatino Linotype" w:eastAsia="Times New Roman" w:hAnsi="Palatino Linotype" w:cs="Times New Roman"/>
          <w:lang w:eastAsia="es-ES"/>
        </w:rPr>
        <w:t xml:space="preserve"> </w:t>
      </w:r>
      <w:r w:rsidRPr="008C18B2">
        <w:rPr>
          <w:rFonts w:ascii="Palatino Linotype" w:eastAsia="Times New Roman" w:hAnsi="Palatino Linotype" w:cs="Times New Roman"/>
          <w:lang w:eastAsia="es-ES"/>
        </w:rPr>
        <w:t>productos, aprovechamientos, ingresos derivados de la coordinación hacendaria, e ingresos</w:t>
      </w:r>
      <w:r>
        <w:rPr>
          <w:rFonts w:ascii="Palatino Linotype" w:eastAsia="Times New Roman" w:hAnsi="Palatino Linotype" w:cs="Times New Roman"/>
          <w:lang w:eastAsia="es-ES"/>
        </w:rPr>
        <w:t xml:space="preserve"> </w:t>
      </w:r>
      <w:r w:rsidRPr="008C18B2">
        <w:rPr>
          <w:rFonts w:ascii="Palatino Linotype" w:eastAsia="Times New Roman" w:hAnsi="Palatino Linotype" w:cs="Times New Roman"/>
          <w:lang w:eastAsia="es-ES"/>
        </w:rPr>
        <w:t>provenientes de financiamientos</w:t>
      </w:r>
      <w:r>
        <w:rPr>
          <w:rFonts w:ascii="Palatino Linotype" w:eastAsia="Times New Roman" w:hAnsi="Palatino Linotype" w:cs="Times New Roman"/>
          <w:lang w:eastAsia="es-ES"/>
        </w:rPr>
        <w:t>.</w:t>
      </w:r>
    </w:p>
    <w:p w14:paraId="749CD490" w14:textId="77777777" w:rsidR="008C18B2" w:rsidRDefault="008C18B2" w:rsidP="006F1CF5">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190A5743" w14:textId="683BE362" w:rsidR="008C18B2" w:rsidRDefault="008C18B2" w:rsidP="006F1CF5">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r>
        <w:rPr>
          <w:rFonts w:ascii="Palatino Linotype" w:eastAsia="Times New Roman" w:hAnsi="Palatino Linotype" w:cs="Times New Roman"/>
          <w:lang w:eastAsia="es-ES"/>
        </w:rPr>
        <w:t>Además, el artículo 8º de la Ley señalada establece que ninguna contribución podrá recaudarse si no está prevista en la Ley de Ingresos correspondiente; por lo que, únicamente podrá destinarse un ingreso a un fin específico.</w:t>
      </w:r>
    </w:p>
    <w:p w14:paraId="6C4FF58A" w14:textId="77777777" w:rsidR="008C18B2" w:rsidRDefault="008C18B2" w:rsidP="006F1CF5">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7B220CFA" w14:textId="7611BE3E" w:rsidR="008C18B2" w:rsidRPr="008C18B2" w:rsidRDefault="008C18B2" w:rsidP="008C18B2">
      <w:pPr>
        <w:spacing w:line="360" w:lineRule="auto"/>
        <w:contextualSpacing/>
        <w:jc w:val="both"/>
        <w:rPr>
          <w:rFonts w:ascii="Palatino Linotype" w:eastAsia="Times New Roman" w:hAnsi="Palatino Linotype" w:cs="Tahoma"/>
          <w:iCs/>
          <w:lang w:val="es-ES" w:eastAsia="es-ES"/>
        </w:rPr>
      </w:pPr>
      <w:r w:rsidRPr="008C18B2">
        <w:rPr>
          <w:rFonts w:ascii="Palatino Linotype" w:eastAsia="Times New Roman" w:hAnsi="Palatino Linotype" w:cs="Tahoma"/>
          <w:iCs/>
          <w:lang w:val="es-ES" w:eastAsia="es-ES"/>
        </w:rPr>
        <w:lastRenderedPageBreak/>
        <w:t>En esa misma consecución de ideas</w:t>
      </w:r>
      <w:r>
        <w:rPr>
          <w:rFonts w:ascii="Palatino Linotype" w:eastAsia="Times New Roman" w:hAnsi="Palatino Linotype" w:cs="Tahoma"/>
          <w:iCs/>
          <w:lang w:val="es-ES" w:eastAsia="es-ES"/>
        </w:rPr>
        <w:t>,</w:t>
      </w:r>
      <w:r w:rsidRPr="008C18B2">
        <w:rPr>
          <w:rFonts w:ascii="Palatino Linotype" w:eastAsia="Times New Roman" w:hAnsi="Palatino Linotype" w:cs="Tahoma"/>
          <w:iCs/>
          <w:lang w:val="es-ES" w:eastAsia="es-ES"/>
        </w:rPr>
        <w:t xml:space="preserve"> el artículo 1º de la Ley de Ingresos de los Municipios del Estado de México para el Ejercicio Fiscal dos mil veinticuatro, precisan los ingresos que puede recibir los Ayuntamientos, entre los cuales se encuentran los </w:t>
      </w:r>
    </w:p>
    <w:p w14:paraId="6458BA98" w14:textId="77777777" w:rsidR="008C18B2" w:rsidRPr="008C18B2" w:rsidRDefault="008C18B2" w:rsidP="008C18B2">
      <w:pPr>
        <w:spacing w:line="360" w:lineRule="auto"/>
        <w:contextualSpacing/>
        <w:jc w:val="both"/>
        <w:rPr>
          <w:rFonts w:ascii="Palatino Linotype" w:eastAsia="Times New Roman" w:hAnsi="Palatino Linotype" w:cs="Tahoma"/>
          <w:iCs/>
          <w:lang w:val="es-ES" w:eastAsia="es-ES"/>
        </w:rPr>
      </w:pPr>
    </w:p>
    <w:p w14:paraId="3AFB4916" w14:textId="77777777" w:rsidR="008C18B2" w:rsidRPr="008C18B2" w:rsidRDefault="008C18B2" w:rsidP="008C18B2">
      <w:pPr>
        <w:numPr>
          <w:ilvl w:val="0"/>
          <w:numId w:val="13"/>
        </w:numPr>
        <w:spacing w:after="0" w:line="360" w:lineRule="auto"/>
        <w:contextualSpacing/>
        <w:jc w:val="both"/>
        <w:rPr>
          <w:rFonts w:ascii="Palatino Linotype" w:eastAsia="Times New Roman" w:hAnsi="Palatino Linotype" w:cs="Tahoma"/>
          <w:iCs/>
          <w:szCs w:val="24"/>
          <w:lang w:val="es-ES" w:eastAsia="es-ES"/>
        </w:rPr>
      </w:pPr>
      <w:r w:rsidRPr="008C18B2">
        <w:rPr>
          <w:rFonts w:ascii="Palatino Linotype" w:eastAsia="Times New Roman" w:hAnsi="Palatino Linotype" w:cs="Tahoma"/>
          <w:iCs/>
          <w:szCs w:val="24"/>
          <w:lang w:val="es-ES" w:eastAsia="es-ES"/>
        </w:rPr>
        <w:t xml:space="preserve">Impuestos; </w:t>
      </w:r>
    </w:p>
    <w:p w14:paraId="552FB219" w14:textId="77777777" w:rsidR="008C18B2" w:rsidRPr="008C18B2" w:rsidRDefault="008C18B2" w:rsidP="008C18B2">
      <w:pPr>
        <w:numPr>
          <w:ilvl w:val="0"/>
          <w:numId w:val="13"/>
        </w:numPr>
        <w:spacing w:after="0" w:line="360" w:lineRule="auto"/>
        <w:contextualSpacing/>
        <w:jc w:val="both"/>
        <w:rPr>
          <w:rFonts w:ascii="Palatino Linotype" w:eastAsia="Times New Roman" w:hAnsi="Palatino Linotype" w:cs="Tahoma"/>
          <w:iCs/>
          <w:szCs w:val="24"/>
          <w:lang w:val="es-ES" w:eastAsia="es-ES"/>
        </w:rPr>
      </w:pPr>
      <w:r w:rsidRPr="008C18B2">
        <w:rPr>
          <w:rFonts w:ascii="Palatino Linotype" w:eastAsia="Times New Roman" w:hAnsi="Palatino Linotype" w:cs="Tahoma"/>
          <w:iCs/>
          <w:szCs w:val="24"/>
          <w:lang w:val="es-ES" w:eastAsia="es-ES"/>
        </w:rPr>
        <w:t xml:space="preserve">Cuotas y aportaciones de seguridad social; </w:t>
      </w:r>
    </w:p>
    <w:p w14:paraId="21D05282" w14:textId="502424BC" w:rsidR="008C18B2" w:rsidRPr="008C18B2" w:rsidRDefault="008C18B2" w:rsidP="008C18B2">
      <w:pPr>
        <w:numPr>
          <w:ilvl w:val="0"/>
          <w:numId w:val="13"/>
        </w:numPr>
        <w:spacing w:after="0" w:line="360" w:lineRule="auto"/>
        <w:contextualSpacing/>
        <w:jc w:val="both"/>
        <w:rPr>
          <w:rFonts w:ascii="Palatino Linotype" w:eastAsia="Times New Roman" w:hAnsi="Palatino Linotype" w:cs="Tahoma"/>
          <w:iCs/>
          <w:szCs w:val="24"/>
          <w:lang w:val="es-ES" w:eastAsia="es-ES"/>
        </w:rPr>
      </w:pPr>
      <w:r>
        <w:rPr>
          <w:rFonts w:ascii="Palatino Linotype" w:eastAsia="Times New Roman" w:hAnsi="Palatino Linotype" w:cs="Tahoma"/>
          <w:iCs/>
          <w:szCs w:val="24"/>
          <w:lang w:val="es-ES" w:eastAsia="es-ES"/>
        </w:rPr>
        <w:t>C</w:t>
      </w:r>
      <w:r w:rsidRPr="008C18B2">
        <w:rPr>
          <w:rFonts w:ascii="Palatino Linotype" w:eastAsia="Times New Roman" w:hAnsi="Palatino Linotype" w:cs="Tahoma"/>
          <w:iCs/>
          <w:szCs w:val="24"/>
          <w:lang w:val="es-ES" w:eastAsia="es-ES"/>
        </w:rPr>
        <w:t>ontribuciones de mejoras;</w:t>
      </w:r>
    </w:p>
    <w:p w14:paraId="4FFA0E81" w14:textId="77777777" w:rsidR="008C18B2" w:rsidRPr="008C18B2" w:rsidRDefault="008C18B2" w:rsidP="008C18B2">
      <w:pPr>
        <w:numPr>
          <w:ilvl w:val="0"/>
          <w:numId w:val="13"/>
        </w:numPr>
        <w:spacing w:after="0" w:line="360" w:lineRule="auto"/>
        <w:contextualSpacing/>
        <w:jc w:val="both"/>
        <w:rPr>
          <w:rFonts w:ascii="Palatino Linotype" w:eastAsia="Times New Roman" w:hAnsi="Palatino Linotype" w:cs="Tahoma"/>
          <w:iCs/>
          <w:szCs w:val="24"/>
          <w:lang w:val="es-ES" w:eastAsia="es-ES"/>
        </w:rPr>
      </w:pPr>
      <w:r w:rsidRPr="008C18B2">
        <w:rPr>
          <w:rFonts w:ascii="Palatino Linotype" w:eastAsia="Times New Roman" w:hAnsi="Palatino Linotype" w:cs="Tahoma"/>
          <w:iCs/>
          <w:szCs w:val="24"/>
          <w:lang w:val="es-ES" w:eastAsia="es-ES"/>
        </w:rPr>
        <w:t>Derechos, productos y aprovechamientos;</w:t>
      </w:r>
    </w:p>
    <w:p w14:paraId="470B5D6E" w14:textId="77777777" w:rsidR="008C18B2" w:rsidRPr="008C18B2" w:rsidRDefault="008C18B2" w:rsidP="008C18B2">
      <w:pPr>
        <w:numPr>
          <w:ilvl w:val="0"/>
          <w:numId w:val="13"/>
        </w:numPr>
        <w:spacing w:after="0" w:line="360" w:lineRule="auto"/>
        <w:contextualSpacing/>
        <w:jc w:val="both"/>
        <w:rPr>
          <w:rFonts w:ascii="Palatino Linotype" w:eastAsia="Times New Roman" w:hAnsi="Palatino Linotype" w:cs="Tahoma"/>
          <w:iCs/>
          <w:szCs w:val="24"/>
          <w:lang w:val="es-ES" w:eastAsia="es-ES"/>
        </w:rPr>
      </w:pPr>
      <w:r w:rsidRPr="008C18B2">
        <w:rPr>
          <w:rFonts w:ascii="Palatino Linotype" w:eastAsia="Times New Roman" w:hAnsi="Palatino Linotype" w:cs="Tahoma"/>
          <w:iCs/>
          <w:szCs w:val="24"/>
          <w:lang w:val="es-ES" w:eastAsia="es-ES"/>
        </w:rPr>
        <w:t>Ingresos por venta de bienes y prestación de servicios y otros ingresos;</w:t>
      </w:r>
    </w:p>
    <w:p w14:paraId="1A0C1463" w14:textId="77777777" w:rsidR="008C18B2" w:rsidRPr="008C18B2" w:rsidRDefault="008C18B2" w:rsidP="008C18B2">
      <w:pPr>
        <w:numPr>
          <w:ilvl w:val="0"/>
          <w:numId w:val="13"/>
        </w:numPr>
        <w:spacing w:after="0" w:line="360" w:lineRule="auto"/>
        <w:contextualSpacing/>
        <w:jc w:val="both"/>
        <w:rPr>
          <w:rFonts w:ascii="Palatino Linotype" w:eastAsia="Times New Roman" w:hAnsi="Palatino Linotype" w:cs="Tahoma"/>
          <w:iCs/>
          <w:szCs w:val="24"/>
          <w:lang w:val="es-ES" w:eastAsia="es-ES"/>
        </w:rPr>
      </w:pPr>
      <w:r w:rsidRPr="008C18B2">
        <w:rPr>
          <w:rFonts w:ascii="Palatino Linotype" w:eastAsia="Times New Roman" w:hAnsi="Palatino Linotype" w:cs="Tahoma"/>
          <w:iCs/>
          <w:szCs w:val="24"/>
          <w:lang w:val="es-ES" w:eastAsia="es-ES"/>
        </w:rPr>
        <w:t xml:space="preserve">Participaciones, aportaciones, convenios, incentivos, fondos, </w:t>
      </w:r>
    </w:p>
    <w:p w14:paraId="5C76E21F" w14:textId="77777777" w:rsidR="008C18B2" w:rsidRPr="008C18B2" w:rsidRDefault="008C18B2" w:rsidP="008C18B2">
      <w:pPr>
        <w:numPr>
          <w:ilvl w:val="0"/>
          <w:numId w:val="13"/>
        </w:numPr>
        <w:spacing w:after="0" w:line="360" w:lineRule="auto"/>
        <w:contextualSpacing/>
        <w:jc w:val="both"/>
        <w:rPr>
          <w:rFonts w:ascii="Palatino Linotype" w:eastAsia="Times New Roman" w:hAnsi="Palatino Linotype" w:cs="Tahoma"/>
          <w:iCs/>
          <w:szCs w:val="24"/>
          <w:lang w:val="es-ES" w:eastAsia="es-ES"/>
        </w:rPr>
      </w:pPr>
      <w:r w:rsidRPr="008C18B2">
        <w:rPr>
          <w:rFonts w:ascii="Palatino Linotype" w:eastAsia="Times New Roman" w:hAnsi="Palatino Linotype" w:cs="Tahoma"/>
          <w:iCs/>
          <w:szCs w:val="24"/>
          <w:lang w:val="es-ES" w:eastAsia="es-ES"/>
        </w:rPr>
        <w:t>Transferencias, agnaciones, subsidios, subvenciones, pensiones y jubilaciones;</w:t>
      </w:r>
    </w:p>
    <w:p w14:paraId="57CD9607" w14:textId="77777777" w:rsidR="008C18B2" w:rsidRPr="008C18B2" w:rsidRDefault="008C18B2" w:rsidP="008C18B2">
      <w:pPr>
        <w:numPr>
          <w:ilvl w:val="0"/>
          <w:numId w:val="13"/>
        </w:numPr>
        <w:spacing w:after="0" w:line="360" w:lineRule="auto"/>
        <w:contextualSpacing/>
        <w:jc w:val="both"/>
        <w:rPr>
          <w:rFonts w:ascii="Palatino Linotype" w:eastAsia="Times New Roman" w:hAnsi="Palatino Linotype" w:cs="Tahoma"/>
          <w:iCs/>
          <w:szCs w:val="24"/>
          <w:lang w:val="es-ES" w:eastAsia="es-ES"/>
        </w:rPr>
      </w:pPr>
      <w:r w:rsidRPr="008C18B2">
        <w:rPr>
          <w:rFonts w:ascii="Palatino Linotype" w:eastAsia="Times New Roman" w:hAnsi="Palatino Linotype" w:cs="Tahoma"/>
          <w:iCs/>
          <w:szCs w:val="24"/>
          <w:lang w:val="es-ES" w:eastAsia="es-ES"/>
        </w:rPr>
        <w:t>Ingresos derivados de financiamientos.</w:t>
      </w:r>
    </w:p>
    <w:p w14:paraId="0501716C" w14:textId="77777777" w:rsidR="008C18B2" w:rsidRPr="008C18B2" w:rsidRDefault="008C18B2" w:rsidP="008C18B2">
      <w:pPr>
        <w:spacing w:line="360" w:lineRule="auto"/>
        <w:contextualSpacing/>
        <w:jc w:val="both"/>
        <w:rPr>
          <w:rFonts w:ascii="Palatino Linotype" w:eastAsia="Times New Roman" w:hAnsi="Palatino Linotype" w:cs="Tahoma"/>
          <w:iCs/>
          <w:lang w:val="es-ES" w:eastAsia="es-ES"/>
        </w:rPr>
      </w:pPr>
    </w:p>
    <w:p w14:paraId="2368FEC6" w14:textId="5E8F7309" w:rsidR="008C18B2" w:rsidRDefault="008C18B2" w:rsidP="008C18B2">
      <w:pPr>
        <w:spacing w:line="360" w:lineRule="auto"/>
        <w:contextualSpacing/>
        <w:jc w:val="both"/>
        <w:rPr>
          <w:rFonts w:ascii="Palatino Linotype" w:eastAsia="Times New Roman" w:hAnsi="Palatino Linotype" w:cs="Tahoma"/>
          <w:iCs/>
          <w:lang w:val="es-ES" w:eastAsia="es-ES"/>
        </w:rPr>
      </w:pPr>
      <w:r w:rsidRPr="008C18B2">
        <w:rPr>
          <w:rFonts w:ascii="Palatino Linotype" w:eastAsia="Times New Roman" w:hAnsi="Palatino Linotype" w:cs="Tahoma"/>
          <w:iCs/>
          <w:lang w:val="es-ES" w:eastAsia="es-ES"/>
        </w:rPr>
        <w:t>Conforme a lo anterior, se logra vislumbrar que los Ayuntamientos únicamente pueden recabar y recaudar los ingresos establecidos en el Código Financiero del Estado de México, con relación a la Ley de Ingresos de los Municipios del Estado de México</w:t>
      </w:r>
      <w:r w:rsidR="00D174C8">
        <w:rPr>
          <w:rFonts w:ascii="Palatino Linotype" w:eastAsia="Times New Roman" w:hAnsi="Palatino Linotype" w:cs="Tahoma"/>
          <w:iCs/>
          <w:lang w:val="es-ES" w:eastAsia="es-ES"/>
        </w:rPr>
        <w:t>.</w:t>
      </w:r>
    </w:p>
    <w:p w14:paraId="34132988" w14:textId="77777777" w:rsidR="00D174C8" w:rsidRPr="008C18B2" w:rsidRDefault="00D174C8" w:rsidP="008C18B2">
      <w:pPr>
        <w:spacing w:line="360" w:lineRule="auto"/>
        <w:contextualSpacing/>
        <w:jc w:val="both"/>
        <w:rPr>
          <w:rFonts w:ascii="Palatino Linotype" w:eastAsia="Times New Roman" w:hAnsi="Palatino Linotype" w:cs="Tahoma"/>
          <w:iCs/>
          <w:lang w:val="es-ES" w:eastAsia="es-ES"/>
        </w:rPr>
      </w:pPr>
    </w:p>
    <w:p w14:paraId="27BBFD80" w14:textId="699FE0F3" w:rsidR="006A402C" w:rsidRDefault="00D174C8" w:rsidP="006F1CF5">
      <w:pPr>
        <w:tabs>
          <w:tab w:val="left" w:pos="4962"/>
        </w:tabs>
        <w:spacing w:after="0" w:line="360" w:lineRule="auto"/>
        <w:jc w:val="both"/>
        <w:rPr>
          <w:rFonts w:ascii="Palatino Linotype" w:eastAsia="Times New Roman" w:hAnsi="Palatino Linotype" w:cs="Times New Roman"/>
          <w:bCs/>
          <w:lang w:eastAsia="es-ES"/>
        </w:rPr>
      </w:pPr>
      <w:r>
        <w:rPr>
          <w:rFonts w:ascii="Palatino Linotype" w:eastAsia="Times New Roman" w:hAnsi="Palatino Linotype" w:cs="Times New Roman"/>
          <w:lang w:val="es-ES" w:eastAsia="es-ES"/>
        </w:rPr>
        <w:t>Ahora bien,</w:t>
      </w:r>
      <w:r w:rsidR="006F1CF5" w:rsidRPr="006A402C">
        <w:rPr>
          <w:rFonts w:ascii="Palatino Linotype" w:eastAsia="Times New Roman" w:hAnsi="Palatino Linotype" w:cs="Times New Roman"/>
          <w:bCs/>
          <w:lang w:eastAsia="es-ES"/>
        </w:rPr>
        <w:t xml:space="preserve"> el artículo</w:t>
      </w:r>
      <w:r w:rsidR="006A402C">
        <w:rPr>
          <w:rFonts w:ascii="Palatino Linotype" w:eastAsia="Times New Roman" w:hAnsi="Palatino Linotype" w:cs="Times New Roman"/>
          <w:bCs/>
          <w:lang w:eastAsia="es-ES"/>
        </w:rPr>
        <w:t xml:space="preserve"> 96</w:t>
      </w:r>
      <w:r w:rsidR="00085984">
        <w:rPr>
          <w:rFonts w:ascii="Palatino Linotype" w:eastAsia="Times New Roman" w:hAnsi="Palatino Linotype" w:cs="Times New Roman"/>
          <w:bCs/>
          <w:lang w:eastAsia="es-ES"/>
        </w:rPr>
        <w:t>,</w:t>
      </w:r>
      <w:r w:rsidR="006A402C">
        <w:rPr>
          <w:rFonts w:ascii="Palatino Linotype" w:eastAsia="Times New Roman" w:hAnsi="Palatino Linotype" w:cs="Times New Roman"/>
          <w:bCs/>
          <w:lang w:eastAsia="es-ES"/>
        </w:rPr>
        <w:t xml:space="preserve"> establece que el Director de Desarrollo Urbano o el Titular de la Unidad Administrativa equivalente, dentro de sus atribuciones</w:t>
      </w:r>
      <w:r w:rsidR="006F6864">
        <w:rPr>
          <w:rFonts w:ascii="Palatino Linotype" w:eastAsia="Times New Roman" w:hAnsi="Palatino Linotype" w:cs="Times New Roman"/>
          <w:bCs/>
          <w:lang w:eastAsia="es-ES"/>
        </w:rPr>
        <w:t xml:space="preserve"> se encarga</w:t>
      </w:r>
      <w:r w:rsidR="00254D97">
        <w:rPr>
          <w:rFonts w:ascii="Palatino Linotype" w:eastAsia="Times New Roman" w:hAnsi="Palatino Linotype" w:cs="Times New Roman"/>
          <w:bCs/>
          <w:lang w:eastAsia="es-ES"/>
        </w:rPr>
        <w:t xml:space="preserve"> entre otras cosas</w:t>
      </w:r>
      <w:r w:rsidR="006F6864">
        <w:rPr>
          <w:rFonts w:ascii="Palatino Linotype" w:eastAsia="Times New Roman" w:hAnsi="Palatino Linotype" w:cs="Times New Roman"/>
          <w:bCs/>
          <w:lang w:eastAsia="es-ES"/>
        </w:rPr>
        <w:t xml:space="preserve"> de </w:t>
      </w:r>
      <w:r w:rsidR="006F6864">
        <w:rPr>
          <w:rFonts w:ascii="Palatino Linotype" w:eastAsia="Times New Roman" w:hAnsi="Palatino Linotype" w:cs="Times New Roman"/>
          <w:b/>
          <w:bCs/>
          <w:lang w:eastAsia="es-ES"/>
        </w:rPr>
        <w:t xml:space="preserve">ejecutar la política en materia de reordenamiento urbano, </w:t>
      </w:r>
      <w:r w:rsidR="00254D97" w:rsidRPr="00254D97">
        <w:rPr>
          <w:rFonts w:ascii="Palatino Linotype" w:eastAsia="Times New Roman" w:hAnsi="Palatino Linotype" w:cs="Times New Roman"/>
          <w:bCs/>
          <w:lang w:eastAsia="es-ES"/>
        </w:rPr>
        <w:t>aplicar y vigilar el cumplimiento de las disposiciones legales en materia de orde</w:t>
      </w:r>
      <w:bookmarkStart w:id="4" w:name="_GoBack"/>
      <w:bookmarkEnd w:id="4"/>
      <w:r w:rsidR="00254D97" w:rsidRPr="00254D97">
        <w:rPr>
          <w:rFonts w:ascii="Palatino Linotype" w:eastAsia="Times New Roman" w:hAnsi="Palatino Linotype" w:cs="Times New Roman"/>
          <w:bCs/>
          <w:lang w:eastAsia="es-ES"/>
        </w:rPr>
        <w:t>namiento territorial de los asentamientos humanos, del desarrollo urbano y viviend</w:t>
      </w:r>
      <w:r w:rsidR="00254D97">
        <w:rPr>
          <w:rFonts w:ascii="Palatino Linotype" w:eastAsia="Times New Roman" w:hAnsi="Palatino Linotype" w:cs="Times New Roman"/>
          <w:bCs/>
          <w:lang w:eastAsia="es-ES"/>
        </w:rPr>
        <w:t>a.</w:t>
      </w:r>
    </w:p>
    <w:p w14:paraId="71F8D2EA" w14:textId="77777777" w:rsidR="00CA0FFB" w:rsidRDefault="00CA0FFB" w:rsidP="006F1CF5">
      <w:pPr>
        <w:tabs>
          <w:tab w:val="left" w:pos="4962"/>
        </w:tabs>
        <w:spacing w:after="0" w:line="360" w:lineRule="auto"/>
        <w:jc w:val="both"/>
        <w:rPr>
          <w:rFonts w:ascii="Palatino Linotype" w:eastAsia="Times New Roman" w:hAnsi="Palatino Linotype" w:cs="Times New Roman"/>
          <w:bCs/>
          <w:lang w:eastAsia="es-ES"/>
        </w:rPr>
      </w:pPr>
    </w:p>
    <w:p w14:paraId="71C05CC8" w14:textId="77777777" w:rsidR="00CA0FFB" w:rsidRDefault="00CA0FFB" w:rsidP="006F1CF5">
      <w:pPr>
        <w:tabs>
          <w:tab w:val="left" w:pos="4962"/>
        </w:tabs>
        <w:spacing w:after="0" w:line="360" w:lineRule="auto"/>
        <w:jc w:val="both"/>
        <w:rPr>
          <w:rFonts w:ascii="Palatino Linotype" w:eastAsia="Times New Roman" w:hAnsi="Palatino Linotype" w:cs="Times New Roman"/>
          <w:bCs/>
          <w:lang w:eastAsia="es-ES"/>
        </w:rPr>
      </w:pPr>
      <w:r>
        <w:rPr>
          <w:rFonts w:ascii="Palatino Linotype" w:eastAsia="Times New Roman" w:hAnsi="Palatino Linotype" w:cs="Times New Roman"/>
          <w:bCs/>
          <w:lang w:eastAsia="es-ES"/>
        </w:rPr>
        <w:t>Por su parte, el artículo 109 del Bando Municipal de Texcoco dos mil veinticuatro, refiere que la D</w:t>
      </w:r>
      <w:r w:rsidRPr="00CA0FFB">
        <w:rPr>
          <w:rFonts w:ascii="Palatino Linotype" w:eastAsia="Times New Roman" w:hAnsi="Palatino Linotype" w:cs="Times New Roman"/>
          <w:bCs/>
          <w:lang w:eastAsia="es-ES"/>
        </w:rPr>
        <w:t>irección de Desarrollo Urbano y Ecología</w:t>
      </w:r>
      <w:r>
        <w:rPr>
          <w:rFonts w:ascii="Palatino Linotype" w:eastAsia="Times New Roman" w:hAnsi="Palatino Linotype" w:cs="Times New Roman"/>
          <w:bCs/>
          <w:lang w:eastAsia="es-ES"/>
        </w:rPr>
        <w:t>, se encargara de d</w:t>
      </w:r>
      <w:r w:rsidRPr="00CA0FFB">
        <w:rPr>
          <w:rFonts w:ascii="Palatino Linotype" w:eastAsia="Times New Roman" w:hAnsi="Palatino Linotype" w:cs="Times New Roman"/>
          <w:bCs/>
          <w:lang w:eastAsia="es-ES"/>
        </w:rPr>
        <w:t>efinir la política municipal en cuanto a desarrollo habitacional sustentable</w:t>
      </w:r>
      <w:r>
        <w:rPr>
          <w:rFonts w:ascii="Palatino Linotype" w:eastAsia="Times New Roman" w:hAnsi="Palatino Linotype" w:cs="Times New Roman"/>
          <w:bCs/>
          <w:lang w:eastAsia="es-ES"/>
        </w:rPr>
        <w:t xml:space="preserve"> y </w:t>
      </w:r>
      <w:r w:rsidRPr="00CA0FFB">
        <w:rPr>
          <w:rFonts w:ascii="Palatino Linotype" w:eastAsia="Times New Roman" w:hAnsi="Palatino Linotype" w:cs="Times New Roman"/>
          <w:bCs/>
          <w:u w:val="single"/>
          <w:lang w:eastAsia="es-ES"/>
        </w:rPr>
        <w:t>establecer normas y políticas de imagen urbana en el territorio municipal</w:t>
      </w:r>
      <w:r>
        <w:rPr>
          <w:rFonts w:ascii="Palatino Linotype" w:eastAsia="Times New Roman" w:hAnsi="Palatino Linotype" w:cs="Times New Roman"/>
          <w:bCs/>
          <w:lang w:eastAsia="es-ES"/>
        </w:rPr>
        <w:t>.</w:t>
      </w:r>
    </w:p>
    <w:p w14:paraId="7BB45592" w14:textId="77777777" w:rsidR="00CA0FFB" w:rsidRPr="006F6864" w:rsidRDefault="00CA0FFB" w:rsidP="006F1CF5">
      <w:pPr>
        <w:tabs>
          <w:tab w:val="left" w:pos="4962"/>
        </w:tabs>
        <w:spacing w:after="0" w:line="360" w:lineRule="auto"/>
        <w:jc w:val="both"/>
        <w:rPr>
          <w:rFonts w:ascii="Palatino Linotype" w:eastAsia="Times New Roman" w:hAnsi="Palatino Linotype" w:cs="Times New Roman"/>
          <w:b/>
          <w:bCs/>
          <w:lang w:eastAsia="es-ES"/>
        </w:rPr>
      </w:pPr>
      <w:r>
        <w:rPr>
          <w:rFonts w:ascii="Palatino Linotype" w:eastAsia="Times New Roman" w:hAnsi="Palatino Linotype" w:cs="Times New Roman"/>
          <w:bCs/>
          <w:lang w:eastAsia="es-ES"/>
        </w:rPr>
        <w:lastRenderedPageBreak/>
        <w:t xml:space="preserve">En esa misma consecución de ideas, el Reglamento Interior de la Dirección de Desarrollo Urbano y Ecología, en su artículo 25 establece que el titular de la Dirección tiene a atribución de </w:t>
      </w:r>
      <w:r w:rsidRPr="00CA0FFB">
        <w:rPr>
          <w:rFonts w:ascii="Palatino Linotype" w:eastAsia="Times New Roman" w:hAnsi="Palatino Linotype" w:cs="Times New Roman"/>
          <w:b/>
          <w:bCs/>
          <w:lang w:eastAsia="es-ES"/>
        </w:rPr>
        <w:t>participar en la supervisión de obras</w:t>
      </w:r>
      <w:r w:rsidRPr="00CA0FFB">
        <w:rPr>
          <w:rFonts w:ascii="Palatino Linotype" w:eastAsia="Times New Roman" w:hAnsi="Palatino Linotype" w:cs="Times New Roman"/>
          <w:bCs/>
          <w:lang w:eastAsia="es-ES"/>
        </w:rPr>
        <w:t xml:space="preserve"> de urbanización, infraestructura y equipamiento de conjuntos urbanos, subdivisiones y lotificaciones en condominio, así como recibirlas mediante acta entrega recepción</w:t>
      </w:r>
      <w:r>
        <w:rPr>
          <w:rFonts w:ascii="Palatino Linotype" w:eastAsia="Times New Roman" w:hAnsi="Palatino Linotype" w:cs="Times New Roman"/>
          <w:bCs/>
          <w:lang w:eastAsia="es-ES"/>
        </w:rPr>
        <w:t>,</w:t>
      </w:r>
    </w:p>
    <w:p w14:paraId="5043B80D" w14:textId="77777777" w:rsidR="006F1CF5" w:rsidRPr="006F1CF5" w:rsidRDefault="006F1CF5" w:rsidP="006F1CF5">
      <w:pPr>
        <w:spacing w:after="0" w:line="360" w:lineRule="auto"/>
        <w:contextualSpacing/>
        <w:jc w:val="both"/>
        <w:rPr>
          <w:rFonts w:ascii="Palatino Linotype" w:eastAsia="Calibri" w:hAnsi="Palatino Linotype" w:cs="Times New Roman"/>
          <w:color w:val="FF0000"/>
        </w:rPr>
      </w:pPr>
    </w:p>
    <w:p w14:paraId="50F8A7DC" w14:textId="56DC1F03" w:rsidR="006F1CF5" w:rsidRDefault="006F1CF5" w:rsidP="006F1CF5">
      <w:pPr>
        <w:spacing w:after="0" w:line="360" w:lineRule="auto"/>
        <w:jc w:val="both"/>
        <w:rPr>
          <w:rFonts w:ascii="Palatino Linotype" w:eastAsia="Calibri" w:hAnsi="Palatino Linotype" w:cs="Tahoma"/>
        </w:rPr>
      </w:pPr>
      <w:r w:rsidRPr="0086255A">
        <w:rPr>
          <w:rFonts w:ascii="Palatino Linotype" w:eastAsia="Calibri" w:hAnsi="Palatino Linotype" w:cs="Times New Roman"/>
        </w:rPr>
        <w:t xml:space="preserve">Conforme a lo expuesto, se logra vislumbrar que la pretensión del ahora Recurrente es </w:t>
      </w:r>
      <w:r w:rsidR="00AB5969" w:rsidRPr="0086255A">
        <w:rPr>
          <w:rFonts w:ascii="Palatino Linotype" w:eastAsia="Calibri" w:hAnsi="Palatino Linotype" w:cs="Times New Roman"/>
        </w:rPr>
        <w:t>obtener,</w:t>
      </w:r>
      <w:r w:rsidR="00AB5969">
        <w:rPr>
          <w:rFonts w:ascii="Palatino Linotype" w:eastAsia="Calibri" w:hAnsi="Palatino Linotype" w:cs="Times New Roman"/>
        </w:rPr>
        <w:t xml:space="preserve"> </w:t>
      </w:r>
      <w:r w:rsidR="00193FD7">
        <w:rPr>
          <w:rFonts w:ascii="Palatino Linotype" w:eastAsia="Calibri" w:hAnsi="Palatino Linotype" w:cs="Times New Roman"/>
        </w:rPr>
        <w:t>respecto a la supervisión de obras, los documentos donde conste lo siguiente:</w:t>
      </w:r>
    </w:p>
    <w:p w14:paraId="6E4C744B" w14:textId="77777777" w:rsidR="009828D6" w:rsidRDefault="009828D6" w:rsidP="006F1CF5">
      <w:pPr>
        <w:spacing w:after="0" w:line="360" w:lineRule="auto"/>
        <w:jc w:val="both"/>
        <w:rPr>
          <w:rFonts w:ascii="Palatino Linotype" w:eastAsia="Calibri" w:hAnsi="Palatino Linotype" w:cs="Tahoma"/>
          <w:color w:val="FF0000"/>
        </w:rPr>
      </w:pPr>
    </w:p>
    <w:p w14:paraId="05DB8F0A" w14:textId="177992DD" w:rsidR="00193FD7" w:rsidRDefault="00A47D08" w:rsidP="00193FD7">
      <w:pPr>
        <w:pStyle w:val="Prrafodelista"/>
        <w:numPr>
          <w:ilvl w:val="0"/>
          <w:numId w:val="12"/>
        </w:numPr>
        <w:spacing w:after="0" w:line="360" w:lineRule="auto"/>
        <w:jc w:val="both"/>
        <w:rPr>
          <w:rFonts w:ascii="Palatino Linotype" w:eastAsia="Calibri" w:hAnsi="Palatino Linotype" w:cs="Tahoma"/>
        </w:rPr>
      </w:pPr>
      <w:r>
        <w:rPr>
          <w:rFonts w:ascii="Palatino Linotype" w:eastAsia="Calibri" w:hAnsi="Palatino Linotype" w:cs="Tahoma"/>
        </w:rPr>
        <w:t>El i</w:t>
      </w:r>
      <w:r w:rsidR="00193FD7">
        <w:rPr>
          <w:rFonts w:ascii="Palatino Linotype" w:eastAsia="Calibri" w:hAnsi="Palatino Linotype" w:cs="Tahoma"/>
        </w:rPr>
        <w:t>nstrumento normativo que establezca la facultad para realizar cobros en efectivo;</w:t>
      </w:r>
    </w:p>
    <w:p w14:paraId="530B1387" w14:textId="65E5B753" w:rsidR="00193FD7" w:rsidRDefault="00193FD7" w:rsidP="00193FD7">
      <w:pPr>
        <w:pStyle w:val="Prrafodelista"/>
        <w:numPr>
          <w:ilvl w:val="0"/>
          <w:numId w:val="12"/>
        </w:numPr>
        <w:spacing w:after="0" w:line="360" w:lineRule="auto"/>
        <w:jc w:val="both"/>
        <w:rPr>
          <w:rFonts w:ascii="Palatino Linotype" w:eastAsia="Calibri" w:hAnsi="Palatino Linotype" w:cs="Tahoma"/>
        </w:rPr>
      </w:pPr>
      <w:r>
        <w:rPr>
          <w:rFonts w:ascii="Palatino Linotype" w:eastAsia="Calibri" w:hAnsi="Palatino Linotype" w:cs="Tahoma"/>
        </w:rPr>
        <w:t>Los montos autorizados;</w:t>
      </w:r>
    </w:p>
    <w:p w14:paraId="6AF8F1EA" w14:textId="77777777" w:rsidR="00193FD7" w:rsidRDefault="00193FD7" w:rsidP="00193FD7">
      <w:pPr>
        <w:pStyle w:val="Prrafodelista"/>
        <w:numPr>
          <w:ilvl w:val="0"/>
          <w:numId w:val="12"/>
        </w:numPr>
        <w:spacing w:after="0" w:line="360" w:lineRule="auto"/>
        <w:jc w:val="both"/>
        <w:rPr>
          <w:rFonts w:ascii="Palatino Linotype" w:eastAsia="Calibri" w:hAnsi="Palatino Linotype" w:cs="Tahoma"/>
        </w:rPr>
      </w:pPr>
      <w:r>
        <w:rPr>
          <w:rFonts w:ascii="Palatino Linotype" w:eastAsia="Calibri" w:hAnsi="Palatino Linotype" w:cs="Tahoma"/>
        </w:rPr>
        <w:t>El procedimiento para realizar el pago;</w:t>
      </w:r>
    </w:p>
    <w:p w14:paraId="6B658FF9" w14:textId="77777777" w:rsidR="00193FD7" w:rsidRPr="00AB5969" w:rsidRDefault="00193FD7" w:rsidP="00193FD7">
      <w:pPr>
        <w:pStyle w:val="Prrafodelista"/>
        <w:numPr>
          <w:ilvl w:val="0"/>
          <w:numId w:val="12"/>
        </w:numPr>
        <w:spacing w:after="0" w:line="360" w:lineRule="auto"/>
        <w:jc w:val="both"/>
        <w:rPr>
          <w:rFonts w:ascii="Palatino Linotype" w:eastAsia="Calibri" w:hAnsi="Palatino Linotype" w:cs="Tahoma"/>
        </w:rPr>
      </w:pPr>
      <w:r w:rsidRPr="00AB5969">
        <w:rPr>
          <w:rFonts w:ascii="Palatino Linotype" w:eastAsia="Calibri" w:hAnsi="Palatino Linotype" w:cs="Tahoma"/>
        </w:rPr>
        <w:t>Procedimientos administrativos</w:t>
      </w:r>
      <w:r>
        <w:rPr>
          <w:rFonts w:ascii="Palatino Linotype" w:eastAsia="Calibri" w:hAnsi="Palatino Linotype" w:cs="Tahoma"/>
        </w:rPr>
        <w:t>,</w:t>
      </w:r>
      <w:r w:rsidRPr="00AB5969">
        <w:rPr>
          <w:rFonts w:ascii="Palatino Linotype" w:eastAsia="Calibri" w:hAnsi="Palatino Linotype" w:cs="Tahoma"/>
        </w:rPr>
        <w:t xml:space="preserve"> de transparencia </w:t>
      </w:r>
      <w:r>
        <w:rPr>
          <w:rFonts w:ascii="Palatino Linotype" w:eastAsia="Calibri" w:hAnsi="Palatino Linotype" w:cs="Tahoma"/>
        </w:rPr>
        <w:t xml:space="preserve">o </w:t>
      </w:r>
      <w:r w:rsidRPr="00AB5969">
        <w:rPr>
          <w:rFonts w:ascii="Palatino Linotype" w:eastAsia="Calibri" w:hAnsi="Palatino Linotype" w:cs="Tahoma"/>
        </w:rPr>
        <w:t xml:space="preserve">rendición de cuentas para la gestión de </w:t>
      </w:r>
      <w:r>
        <w:rPr>
          <w:rFonts w:ascii="Palatino Linotype" w:eastAsia="Calibri" w:hAnsi="Palatino Linotype" w:cs="Tahoma"/>
        </w:rPr>
        <w:t>dichos</w:t>
      </w:r>
      <w:r w:rsidRPr="00AB5969">
        <w:rPr>
          <w:rFonts w:ascii="Palatino Linotype" w:eastAsia="Calibri" w:hAnsi="Palatino Linotype" w:cs="Tahoma"/>
        </w:rPr>
        <w:t xml:space="preserve"> ingresos en efectivo, </w:t>
      </w:r>
      <w:r>
        <w:rPr>
          <w:rFonts w:ascii="Palatino Linotype" w:eastAsia="Calibri" w:hAnsi="Palatino Linotype" w:cs="Tahoma"/>
        </w:rPr>
        <w:t>que incluya la forma en que</w:t>
      </w:r>
      <w:r w:rsidRPr="00AB5969">
        <w:rPr>
          <w:rFonts w:ascii="Palatino Linotype" w:eastAsia="Calibri" w:hAnsi="Palatino Linotype" w:cs="Tahoma"/>
        </w:rPr>
        <w:t xml:space="preserve"> deben ser documentados y reportados. </w:t>
      </w:r>
    </w:p>
    <w:p w14:paraId="35D916D3" w14:textId="77777777" w:rsidR="00193FD7" w:rsidRDefault="00193FD7" w:rsidP="006F1CF5">
      <w:pPr>
        <w:spacing w:after="0" w:line="360" w:lineRule="auto"/>
        <w:jc w:val="both"/>
        <w:rPr>
          <w:rFonts w:ascii="Palatino Linotype" w:eastAsia="Calibri" w:hAnsi="Palatino Linotype" w:cs="Tahoma"/>
          <w:color w:val="FF0000"/>
        </w:rPr>
      </w:pPr>
    </w:p>
    <w:p w14:paraId="44367318" w14:textId="1A340424" w:rsidR="009828D6" w:rsidRDefault="006F1CF5" w:rsidP="009828D6">
      <w:pPr>
        <w:tabs>
          <w:tab w:val="left" w:pos="4962"/>
        </w:tabs>
        <w:spacing w:after="0" w:line="360" w:lineRule="auto"/>
        <w:jc w:val="both"/>
        <w:rPr>
          <w:rFonts w:ascii="Palatino Linotype" w:eastAsia="Times New Roman" w:hAnsi="Palatino Linotype" w:cs="Times New Roman"/>
          <w:bCs/>
          <w:lang w:eastAsia="es-ES"/>
        </w:rPr>
      </w:pPr>
      <w:r w:rsidRPr="009828D6">
        <w:rPr>
          <w:rFonts w:ascii="Palatino Linotype" w:eastAsia="Calibri" w:hAnsi="Palatino Linotype" w:cs="Tahoma"/>
          <w:bCs/>
          <w:iCs/>
          <w:lang w:val="es-ES"/>
        </w:rPr>
        <w:t xml:space="preserve">Ahora bien, de las constancias que obran en el expediente, se logra vislumbrar que el Sujeto Obligado, </w:t>
      </w:r>
      <w:r w:rsidR="009828D6" w:rsidRPr="009828D6">
        <w:rPr>
          <w:rFonts w:ascii="Palatino Linotype" w:eastAsia="Calibri" w:hAnsi="Palatino Linotype" w:cs="Tahoma"/>
          <w:bCs/>
          <w:iCs/>
          <w:u w:val="single"/>
          <w:lang w:val="es-ES"/>
        </w:rPr>
        <w:t>fue omiso en cumplir con el procedimiento de</w:t>
      </w:r>
      <w:r w:rsidR="009828D6" w:rsidRPr="009828D6">
        <w:rPr>
          <w:rFonts w:ascii="Palatino Linotype" w:eastAsia="Calibri" w:hAnsi="Palatino Linotype" w:cs="Tahoma"/>
          <w:bCs/>
          <w:iCs/>
          <w:lang w:val="es-ES"/>
        </w:rPr>
        <w:t xml:space="preserve"> </w:t>
      </w:r>
      <w:r w:rsidRPr="009828D6">
        <w:rPr>
          <w:rFonts w:ascii="Palatino Linotype" w:eastAsia="Calibri" w:hAnsi="Palatino Linotype" w:cs="Tahoma"/>
          <w:b/>
          <w:iCs/>
        </w:rPr>
        <w:t xml:space="preserve">búsqueda </w:t>
      </w:r>
      <w:r w:rsidRPr="009828D6">
        <w:rPr>
          <w:rFonts w:ascii="Palatino Linotype" w:eastAsia="Calibri" w:hAnsi="Palatino Linotype" w:cs="Tahoma"/>
          <w:b/>
          <w:iCs/>
          <w:lang w:val="es-ES"/>
        </w:rPr>
        <w:t>que deben de seguir los Sujetos Obligados para localizar la información</w:t>
      </w:r>
      <w:r w:rsidRPr="009828D6">
        <w:rPr>
          <w:rFonts w:ascii="Palatino Linotype" w:eastAsia="Calibri" w:hAnsi="Palatino Linotype" w:cs="Tahoma"/>
          <w:bCs/>
          <w:iCs/>
          <w:lang w:val="es-ES"/>
        </w:rPr>
        <w:t xml:space="preserve">, el cual se encuentra previsto </w:t>
      </w:r>
      <w:r w:rsidR="00A47D08">
        <w:rPr>
          <w:rFonts w:ascii="Palatino Linotype" w:eastAsia="Calibri" w:hAnsi="Palatino Linotype" w:cs="Tahoma"/>
          <w:bCs/>
          <w:iCs/>
          <w:lang w:val="es-ES"/>
        </w:rPr>
        <w:t>en el artículo</w:t>
      </w:r>
      <w:r w:rsidRPr="009828D6">
        <w:rPr>
          <w:rFonts w:ascii="Palatino Linotype" w:eastAsia="Calibri" w:hAnsi="Palatino Linotype" w:cs="Tahoma"/>
          <w:bCs/>
          <w:iCs/>
          <w:lang w:val="es-ES"/>
        </w:rPr>
        <w:t xml:space="preserve"> 162 de la Ley de Transparencia y Acceso a la Información Pública del Estado de México y Municipios, </w:t>
      </w:r>
      <w:r w:rsidR="009828D6" w:rsidRPr="009828D6">
        <w:rPr>
          <w:rFonts w:ascii="Palatino Linotype" w:eastAsia="Calibri" w:hAnsi="Palatino Linotype" w:cs="Tahoma"/>
          <w:bCs/>
          <w:iCs/>
          <w:lang w:val="es-ES"/>
        </w:rPr>
        <w:t xml:space="preserve">toda vez que fue omiso en turnar la solicitud de información al área competente para conocer de lo solicitado, a saber de la Dirección de </w:t>
      </w:r>
      <w:r w:rsidR="009828D6" w:rsidRPr="009828D6">
        <w:rPr>
          <w:rFonts w:ascii="Palatino Linotype" w:eastAsia="Times New Roman" w:hAnsi="Palatino Linotype" w:cs="Times New Roman"/>
          <w:bCs/>
          <w:lang w:eastAsia="es-ES"/>
        </w:rPr>
        <w:t>Desarrollo Urbano y Ecología</w:t>
      </w:r>
      <w:r w:rsidR="009828D6">
        <w:rPr>
          <w:rFonts w:ascii="Palatino Linotype" w:eastAsia="Times New Roman" w:hAnsi="Palatino Linotype" w:cs="Times New Roman"/>
          <w:bCs/>
          <w:lang w:eastAsia="es-ES"/>
        </w:rPr>
        <w:t xml:space="preserve"> la cual se encarga de realizar supervisiones de obras y </w:t>
      </w:r>
      <w:r w:rsidR="009828D6" w:rsidRPr="00CA0FFB">
        <w:rPr>
          <w:rFonts w:ascii="Palatino Linotype" w:eastAsia="Times New Roman" w:hAnsi="Palatino Linotype" w:cs="Times New Roman"/>
          <w:bCs/>
          <w:u w:val="single"/>
          <w:lang w:eastAsia="es-ES"/>
        </w:rPr>
        <w:t>establecer normas y políticas de imagen urbana en el territorio municipal</w:t>
      </w:r>
      <w:r w:rsidR="009828D6">
        <w:rPr>
          <w:rFonts w:ascii="Palatino Linotype" w:eastAsia="Times New Roman" w:hAnsi="Palatino Linotype" w:cs="Times New Roman"/>
          <w:bCs/>
          <w:lang w:eastAsia="es-ES"/>
        </w:rPr>
        <w:t>.</w:t>
      </w:r>
    </w:p>
    <w:p w14:paraId="77EA2BEB" w14:textId="77777777" w:rsidR="006F1CF5" w:rsidRPr="006F1CF5" w:rsidRDefault="006F1CF5" w:rsidP="006F1CF5">
      <w:pPr>
        <w:spacing w:after="0" w:line="360" w:lineRule="auto"/>
        <w:contextualSpacing/>
        <w:jc w:val="both"/>
        <w:rPr>
          <w:rFonts w:ascii="Palatino Linotype" w:eastAsia="Calibri" w:hAnsi="Palatino Linotype" w:cs="Times New Roman"/>
          <w:bCs/>
          <w:iCs/>
          <w:color w:val="FF0000"/>
        </w:rPr>
      </w:pPr>
    </w:p>
    <w:p w14:paraId="6DC250E2" w14:textId="4ACA3643" w:rsidR="00041FC5" w:rsidRPr="00041FC5" w:rsidRDefault="00041FC5" w:rsidP="00041FC5">
      <w:pPr>
        <w:tabs>
          <w:tab w:val="left" w:pos="4962"/>
        </w:tabs>
        <w:spacing w:line="360" w:lineRule="auto"/>
        <w:jc w:val="both"/>
        <w:rPr>
          <w:rFonts w:ascii="Palatino Linotype" w:eastAsia="Calibri" w:hAnsi="Palatino Linotype" w:cs="Times New Roman"/>
          <w:color w:val="000000"/>
        </w:rPr>
      </w:pPr>
      <w:r>
        <w:rPr>
          <w:rFonts w:ascii="Palatino Linotype" w:eastAsia="Calibri" w:hAnsi="Palatino Linotype" w:cs="Times New Roman"/>
        </w:rPr>
        <w:t>Además</w:t>
      </w:r>
      <w:r w:rsidR="006F1CF5" w:rsidRPr="00A85DE6">
        <w:rPr>
          <w:rFonts w:ascii="Palatino Linotype" w:eastAsia="Calibri" w:hAnsi="Palatino Linotype" w:cs="Times New Roman"/>
        </w:rPr>
        <w:t xml:space="preserve">, </w:t>
      </w:r>
      <w:r w:rsidR="00A47D08" w:rsidRPr="00A85DE6">
        <w:rPr>
          <w:rFonts w:ascii="Palatino Linotype" w:eastAsia="Calibri" w:hAnsi="Palatino Linotype" w:cs="Times New Roman"/>
        </w:rPr>
        <w:t>en el</w:t>
      </w:r>
      <w:r w:rsidR="00E22891" w:rsidRPr="00A85DE6">
        <w:rPr>
          <w:rFonts w:ascii="Palatino Linotype" w:eastAsia="Calibri" w:hAnsi="Palatino Linotype" w:cs="Times New Roman"/>
        </w:rPr>
        <w:t xml:space="preserve"> apartado de </w:t>
      </w:r>
      <w:r w:rsidR="006F1CF5" w:rsidRPr="00A85DE6">
        <w:rPr>
          <w:rFonts w:ascii="Palatino Linotype" w:eastAsia="Calibri" w:hAnsi="Palatino Linotype" w:cs="Times New Roman"/>
        </w:rPr>
        <w:t xml:space="preserve">respuesta, el Sujeto Obligado </w:t>
      </w:r>
      <w:r w:rsidR="00E22891" w:rsidRPr="00A85DE6">
        <w:rPr>
          <w:rFonts w:ascii="Palatino Linotype" w:eastAsia="Calibri" w:hAnsi="Palatino Linotype" w:cs="Times New Roman"/>
        </w:rPr>
        <w:t xml:space="preserve">a través de la Unidad de Transparencia únicamente </w:t>
      </w:r>
      <w:r w:rsidR="00A47D08">
        <w:rPr>
          <w:rFonts w:ascii="Palatino Linotype" w:eastAsia="Calibri" w:hAnsi="Palatino Linotype" w:cs="Times New Roman"/>
        </w:rPr>
        <w:t>citó la solicitud de información</w:t>
      </w:r>
      <w:r w:rsidR="00E22891" w:rsidRPr="00A85DE6">
        <w:rPr>
          <w:rFonts w:ascii="Palatino Linotype" w:eastAsia="Calibri" w:hAnsi="Palatino Linotype" w:cs="Times New Roman"/>
        </w:rPr>
        <w:t>, si</w:t>
      </w:r>
      <w:r w:rsidR="007914E6">
        <w:rPr>
          <w:rFonts w:ascii="Palatino Linotype" w:eastAsia="Calibri" w:hAnsi="Palatino Linotype" w:cs="Times New Roman"/>
        </w:rPr>
        <w:t xml:space="preserve">n hacer pronunciamiento </w:t>
      </w:r>
      <w:r>
        <w:rPr>
          <w:rFonts w:ascii="Palatino Linotype" w:eastAsia="Calibri" w:hAnsi="Palatino Linotype" w:cs="Times New Roman"/>
        </w:rPr>
        <w:lastRenderedPageBreak/>
        <w:t>expreso sobre lo peticionado</w:t>
      </w:r>
      <w:r w:rsidR="007914E6">
        <w:rPr>
          <w:rFonts w:ascii="Palatino Linotype" w:eastAsia="Calibri" w:hAnsi="Palatino Linotype" w:cs="Times New Roman"/>
        </w:rPr>
        <w:t xml:space="preserve">; </w:t>
      </w:r>
      <w:r w:rsidRPr="00041FC5">
        <w:rPr>
          <w:rFonts w:ascii="Palatino Linotype" w:eastAsia="Calibri" w:hAnsi="Palatino Linotype" w:cs="Tahoma"/>
          <w:bCs/>
          <w:iCs/>
          <w:color w:val="000000"/>
          <w:szCs w:val="24"/>
          <w:lang w:eastAsia="es-MX"/>
        </w:rPr>
        <w:t>sobre el tema</w:t>
      </w:r>
      <w:r w:rsidRPr="00041FC5">
        <w:rPr>
          <w:rFonts w:ascii="Palatino Linotype" w:eastAsia="Calibri" w:hAnsi="Palatino Linotype" w:cs="Times New Roman"/>
          <w:color w:val="000000"/>
        </w:rPr>
        <w:t>, el artículo 1.8, fracción XIII, del Código Administrativo del Estado de México, establece que para que tenga validez, todo acto administrativo deberá resolver todos los puntos propuestos por los interesados.</w:t>
      </w:r>
    </w:p>
    <w:p w14:paraId="52A5E2FD" w14:textId="77777777" w:rsidR="00041FC5" w:rsidRPr="00041FC5" w:rsidRDefault="00041FC5" w:rsidP="00041FC5">
      <w:pPr>
        <w:widowControl w:val="0"/>
        <w:autoSpaceDE w:val="0"/>
        <w:autoSpaceDN w:val="0"/>
        <w:adjustRightInd w:val="0"/>
        <w:spacing w:after="0" w:line="360" w:lineRule="auto"/>
        <w:jc w:val="both"/>
        <w:rPr>
          <w:rFonts w:ascii="Palatino Linotype" w:eastAsia="Calibri" w:hAnsi="Palatino Linotype" w:cs="Tahoma"/>
          <w:bCs/>
          <w:color w:val="000000"/>
        </w:rPr>
      </w:pPr>
    </w:p>
    <w:p w14:paraId="4101EB89" w14:textId="06D4BBDA" w:rsidR="00041FC5" w:rsidRPr="00041FC5" w:rsidRDefault="00041FC5" w:rsidP="00041FC5">
      <w:pPr>
        <w:spacing w:after="0" w:line="360" w:lineRule="auto"/>
        <w:jc w:val="both"/>
        <w:rPr>
          <w:rFonts w:ascii="Palatino Linotype" w:eastAsia="Calibri" w:hAnsi="Palatino Linotype" w:cs="Times New Roman"/>
          <w:color w:val="000000"/>
        </w:rPr>
      </w:pPr>
      <w:r w:rsidRPr="00041FC5">
        <w:rPr>
          <w:rFonts w:ascii="Palatino Linotype" w:eastAsia="Calibri" w:hAnsi="Palatino Linotype" w:cs="Times New Roman"/>
          <w:color w:val="000000"/>
        </w:rPr>
        <w:t>Situación que se robustece, con el Criterio</w:t>
      </w:r>
      <w:r>
        <w:rPr>
          <w:rFonts w:ascii="Palatino Linotype" w:eastAsia="Calibri" w:hAnsi="Palatino Linotype" w:cs="Times New Roman"/>
          <w:color w:val="000000"/>
        </w:rPr>
        <w:t xml:space="preserve"> de Interpretación, con clave de control</w:t>
      </w:r>
      <w:r w:rsidRPr="00041FC5">
        <w:rPr>
          <w:rFonts w:ascii="Palatino Linotype" w:eastAsia="Calibri" w:hAnsi="Palatino Linotype" w:cs="Times New Roman"/>
          <w:color w:val="000000"/>
        </w:rPr>
        <w:t xml:space="preserve"> </w:t>
      </w:r>
      <w:r>
        <w:rPr>
          <w:rFonts w:ascii="Palatino Linotype" w:eastAsia="Calibri" w:hAnsi="Palatino Linotype" w:cs="Times New Roman"/>
          <w:color w:val="000000"/>
        </w:rPr>
        <w:t>SO/0</w:t>
      </w:r>
      <w:r w:rsidRPr="00041FC5">
        <w:rPr>
          <w:rFonts w:ascii="Palatino Linotype" w:eastAsia="Calibri" w:hAnsi="Palatino Linotype" w:cs="Times New Roman"/>
          <w:color w:val="000000"/>
        </w:rPr>
        <w:t>02/</w:t>
      </w:r>
      <w:r>
        <w:rPr>
          <w:rFonts w:ascii="Palatino Linotype" w:eastAsia="Calibri" w:hAnsi="Palatino Linotype" w:cs="Times New Roman"/>
          <w:color w:val="000000"/>
        </w:rPr>
        <w:t>20</w:t>
      </w:r>
      <w:r w:rsidRPr="00041FC5">
        <w:rPr>
          <w:rFonts w:ascii="Palatino Linotype" w:eastAsia="Calibri" w:hAnsi="Palatino Linotype" w:cs="Times New Roman"/>
          <w:color w:val="000000"/>
        </w:rPr>
        <w:t xml:space="preserve">17, del Instituto Nacional de Transparencia, Acceso a la Información y Protección de Datos Personales, el cual establece que todo acto administrativo debe apegarse al </w:t>
      </w:r>
      <w:r w:rsidRPr="00041FC5">
        <w:rPr>
          <w:rFonts w:ascii="Palatino Linotype" w:eastAsia="Calibri" w:hAnsi="Palatino Linotype" w:cs="Times New Roman"/>
          <w:b/>
          <w:bCs/>
          <w:color w:val="000000"/>
        </w:rPr>
        <w:t>principio de exhaustividad</w:t>
      </w:r>
      <w:r w:rsidRPr="00041FC5">
        <w:rPr>
          <w:rFonts w:ascii="Palatino Linotype" w:eastAsia="Calibri" w:hAnsi="Palatino Linotype" w:cs="Times New Roman"/>
          <w:color w:val="000000"/>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1B5C8A1" w14:textId="77777777" w:rsidR="00041FC5" w:rsidRPr="00041FC5" w:rsidRDefault="00041FC5" w:rsidP="00041FC5">
      <w:pPr>
        <w:spacing w:after="0" w:line="360" w:lineRule="auto"/>
        <w:jc w:val="both"/>
        <w:rPr>
          <w:rFonts w:ascii="Palatino Linotype" w:eastAsia="Calibri" w:hAnsi="Palatino Linotype" w:cs="Tahoma"/>
          <w:bCs/>
          <w:color w:val="000000"/>
        </w:rPr>
      </w:pPr>
    </w:p>
    <w:p w14:paraId="35DE8482" w14:textId="622DFCF4" w:rsidR="00041FC5" w:rsidRPr="00041FC5" w:rsidRDefault="00041FC5" w:rsidP="00041FC5">
      <w:pPr>
        <w:spacing w:after="0" w:line="360" w:lineRule="auto"/>
        <w:jc w:val="both"/>
        <w:rPr>
          <w:rFonts w:ascii="Palatino Linotype" w:eastAsia="Calibri" w:hAnsi="Palatino Linotype" w:cs="Times New Roman"/>
          <w:b/>
          <w:bCs/>
          <w:color w:val="000000"/>
        </w:rPr>
      </w:pPr>
      <w:r w:rsidRPr="00041FC5">
        <w:rPr>
          <w:rFonts w:ascii="Palatino Linotype" w:eastAsia="Calibri" w:hAnsi="Palatino Linotype" w:cs="Times New Roman"/>
          <w:color w:val="000000"/>
        </w:rPr>
        <w:t xml:space="preserve">En esa tesitura, se concluye que el Sujeto Obligado no satisfizo el derecho de acceso a la información del Solicitante, al incumplir el principio de exhaustividad, pues omitió </w:t>
      </w:r>
      <w:r>
        <w:rPr>
          <w:rFonts w:ascii="Palatino Linotype" w:eastAsia="Calibri" w:hAnsi="Palatino Linotype" w:cs="Times New Roman"/>
          <w:color w:val="000000"/>
        </w:rPr>
        <w:t>pronunciarse sobre la información solicitada, al no turnar el requerimiento a las áreas</w:t>
      </w:r>
      <w:r w:rsidR="00085984">
        <w:rPr>
          <w:rFonts w:ascii="Palatino Linotype" w:eastAsia="Calibri" w:hAnsi="Palatino Linotype" w:cs="Times New Roman"/>
          <w:color w:val="000000"/>
        </w:rPr>
        <w:t xml:space="preserve"> con atribuciones,</w:t>
      </w:r>
      <w:r w:rsidRPr="00041FC5">
        <w:rPr>
          <w:rFonts w:ascii="Palatino Linotype" w:eastAsia="Calibri" w:hAnsi="Palatino Linotype" w:cs="Times New Roman"/>
          <w:color w:val="000000"/>
        </w:rPr>
        <w:t xml:space="preserve"> lo cual da como resultado que el agravio sea </w:t>
      </w:r>
      <w:r w:rsidRPr="00041FC5">
        <w:rPr>
          <w:rFonts w:ascii="Palatino Linotype" w:eastAsia="Calibri" w:hAnsi="Palatino Linotype" w:cs="Times New Roman"/>
          <w:b/>
          <w:bCs/>
          <w:color w:val="000000"/>
        </w:rPr>
        <w:t>FUNDADO.</w:t>
      </w:r>
    </w:p>
    <w:p w14:paraId="6EBF9828" w14:textId="348E35AA" w:rsidR="00E22891" w:rsidRPr="0048396B" w:rsidRDefault="00E22891" w:rsidP="00041FC5">
      <w:pPr>
        <w:tabs>
          <w:tab w:val="center" w:pos="4522"/>
        </w:tabs>
        <w:spacing w:after="0" w:line="360" w:lineRule="auto"/>
        <w:contextualSpacing/>
        <w:jc w:val="both"/>
        <w:rPr>
          <w:rFonts w:ascii="Palatino Linotype" w:eastAsia="Calibri" w:hAnsi="Palatino Linotype" w:cs="Times New Roman"/>
        </w:rPr>
      </w:pPr>
    </w:p>
    <w:p w14:paraId="473D1B76" w14:textId="17497E17" w:rsidR="0048396B" w:rsidRDefault="0048396B" w:rsidP="006F1CF5">
      <w:pPr>
        <w:tabs>
          <w:tab w:val="center" w:pos="4522"/>
        </w:tabs>
        <w:spacing w:after="0" w:line="360" w:lineRule="auto"/>
        <w:contextualSpacing/>
        <w:jc w:val="both"/>
        <w:rPr>
          <w:rFonts w:ascii="Palatino Linotype" w:eastAsia="Calibri" w:hAnsi="Palatino Linotype" w:cs="Times New Roman"/>
        </w:rPr>
      </w:pPr>
      <w:r w:rsidRPr="0048396B">
        <w:rPr>
          <w:rFonts w:ascii="Palatino Linotype" w:eastAsia="Calibri" w:hAnsi="Palatino Linotype" w:cs="Times New Roman"/>
        </w:rPr>
        <w:t>Así, para atender al requerimiento en análisis, el Sujeto Obligado, deberá realizar una búsqueda exhaustiva y razonable en la Dirección de Desarrollo Urbano y Ecología</w:t>
      </w:r>
      <w:r>
        <w:rPr>
          <w:rFonts w:ascii="Palatino Linotype" w:eastAsia="Calibri" w:hAnsi="Palatino Linotype" w:cs="Times New Roman"/>
        </w:rPr>
        <w:t xml:space="preserve">, </w:t>
      </w:r>
      <w:r w:rsidRPr="0048396B">
        <w:rPr>
          <w:rFonts w:ascii="Palatino Linotype" w:eastAsia="Calibri" w:hAnsi="Palatino Linotype" w:cs="Times New Roman"/>
        </w:rPr>
        <w:t xml:space="preserve">en términos del artículo 162 de la Ley de Transparencia y Acceso a la Información Pública del Estado de México y Municipios, a efecto de que entregue </w:t>
      </w:r>
      <w:r>
        <w:rPr>
          <w:rFonts w:ascii="Palatino Linotype" w:eastAsia="Calibri" w:hAnsi="Palatino Linotype" w:cs="Times New Roman"/>
        </w:rPr>
        <w:t xml:space="preserve">los documentos que den cuenta de la información solicitada; </w:t>
      </w:r>
      <w:r w:rsidRPr="0048396B">
        <w:rPr>
          <w:rFonts w:ascii="Palatino Linotype" w:eastAsia="Calibri" w:hAnsi="Palatino Linotype" w:cs="Times New Roman"/>
        </w:rPr>
        <w:t xml:space="preserve">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w:t>
      </w:r>
      <w:r w:rsidRPr="0048396B">
        <w:rPr>
          <w:rFonts w:ascii="Palatino Linotype" w:eastAsia="Calibri" w:hAnsi="Palatino Linotype" w:cs="Times New Roman"/>
        </w:rPr>
        <w:lastRenderedPageBreak/>
        <w:t>no comprende el procesamiento de la misma, ni presentarla conforme al interés del Solicitante.</w:t>
      </w:r>
    </w:p>
    <w:p w14:paraId="0E534B1F" w14:textId="77777777" w:rsidR="0048396B" w:rsidRDefault="0048396B" w:rsidP="006F1CF5">
      <w:pPr>
        <w:tabs>
          <w:tab w:val="center" w:pos="4522"/>
        </w:tabs>
        <w:spacing w:after="0" w:line="360" w:lineRule="auto"/>
        <w:contextualSpacing/>
        <w:jc w:val="both"/>
        <w:rPr>
          <w:rFonts w:ascii="Palatino Linotype" w:eastAsia="Calibri" w:hAnsi="Palatino Linotype" w:cs="Times New Roman"/>
        </w:rPr>
      </w:pPr>
    </w:p>
    <w:p w14:paraId="2C75A227" w14:textId="77777777" w:rsidR="0048396B" w:rsidRDefault="00B446EB" w:rsidP="006F1CF5">
      <w:pPr>
        <w:tabs>
          <w:tab w:val="center" w:pos="4522"/>
        </w:tabs>
        <w:spacing w:after="0" w:line="360" w:lineRule="auto"/>
        <w:contextualSpacing/>
        <w:jc w:val="both"/>
        <w:rPr>
          <w:rFonts w:ascii="Palatino Linotype" w:eastAsia="Calibri" w:hAnsi="Palatino Linotype" w:cs="Times New Roman"/>
        </w:rPr>
      </w:pPr>
      <w:r w:rsidRPr="00B446EB">
        <w:rPr>
          <w:rFonts w:ascii="Palatino Linotype" w:eastAsia="Calibri" w:hAnsi="Palatino Linotype" w:cs="Times New Roman"/>
        </w:rPr>
        <w:t xml:space="preserve">De esta manera, el derecho de acceso a la información pública se satisface en aquellos casos en que se entregue el soporte documental en el que conste la información solicitada, sin necesidad de elaborar documentos </w:t>
      </w:r>
      <w:r w:rsidRPr="00B446EB">
        <w:rPr>
          <w:rFonts w:ascii="Palatino Linotype" w:eastAsia="Calibri" w:hAnsi="Palatino Linotype" w:cs="Times New Roman"/>
          <w:i/>
        </w:rPr>
        <w:t>ad hoc;</w:t>
      </w:r>
      <w:r w:rsidRPr="00B446EB">
        <w:rPr>
          <w:rFonts w:ascii="Palatino Linotype" w:eastAsia="Calibri" w:hAnsi="Palatino Linotype" w:cs="Times New Roman"/>
        </w:rPr>
        <w:t xml:space="preserve"> lo cual, de conformidad con en el artículo 160 de la Ley de Transparencia y Acceso a la Información Pública del Estado de México y Municipios, el cual refiere que los sujetos obligados deberán entregar la información que obre en sus archivos.</w:t>
      </w:r>
    </w:p>
    <w:p w14:paraId="37DA8D5B" w14:textId="77777777" w:rsidR="00B446EB" w:rsidRDefault="00B446EB" w:rsidP="006F1CF5">
      <w:pPr>
        <w:tabs>
          <w:tab w:val="center" w:pos="4522"/>
        </w:tabs>
        <w:spacing w:after="0" w:line="360" w:lineRule="auto"/>
        <w:contextualSpacing/>
        <w:jc w:val="both"/>
        <w:rPr>
          <w:rFonts w:ascii="Palatino Linotype" w:eastAsia="Calibri" w:hAnsi="Palatino Linotype" w:cs="Times New Roman"/>
        </w:rPr>
      </w:pPr>
    </w:p>
    <w:p w14:paraId="566DB812" w14:textId="6480DCF1" w:rsidR="00B446EB" w:rsidRDefault="00B446EB" w:rsidP="006F1CF5">
      <w:pPr>
        <w:tabs>
          <w:tab w:val="center" w:pos="4522"/>
        </w:tabs>
        <w:spacing w:after="0" w:line="360" w:lineRule="auto"/>
        <w:contextualSpacing/>
        <w:jc w:val="both"/>
        <w:rPr>
          <w:rFonts w:ascii="Palatino Linotype" w:eastAsia="Calibri" w:hAnsi="Palatino Linotype" w:cs="Times New Roman"/>
        </w:rPr>
      </w:pPr>
      <w:r w:rsidRPr="00B446EB">
        <w:rPr>
          <w:rFonts w:ascii="Palatino Linotype" w:eastAsia="Calibri" w:hAnsi="Palatino Linotype" w:cs="Times New Roman"/>
        </w:rPr>
        <w:t>De tales circunstancias, se concluye que los sujetos obligados únicamente se encuentran constreñidos a proporcionar los documentos que den cuenta de la información solicitada, como obren en sus archivos, sin tener que elaborarlos a las necesidades del Recurrente</w:t>
      </w:r>
      <w:r w:rsidR="00085984">
        <w:rPr>
          <w:rFonts w:ascii="Palatino Linotype" w:eastAsia="Calibri" w:hAnsi="Palatino Linotype" w:cs="Times New Roman"/>
        </w:rPr>
        <w:t>; por lo que</w:t>
      </w:r>
      <w:r w:rsidR="005A209E">
        <w:rPr>
          <w:rFonts w:ascii="Palatino Linotype" w:eastAsia="Calibri" w:hAnsi="Palatino Linotype" w:cs="Times New Roman"/>
        </w:rPr>
        <w:t xml:space="preserve">, en el presente caso, deberá proporcionar </w:t>
      </w:r>
      <w:r w:rsidR="00395191">
        <w:rPr>
          <w:rFonts w:ascii="Palatino Linotype" w:eastAsia="Calibri" w:hAnsi="Palatino Linotype" w:cs="Times New Roman"/>
        </w:rPr>
        <w:t>la información requerida, sobre el cobro por brindar el servicio de supervisión de obra.</w:t>
      </w:r>
    </w:p>
    <w:p w14:paraId="70B51EA9" w14:textId="77777777" w:rsidR="00395191" w:rsidRDefault="00395191" w:rsidP="006F1CF5">
      <w:pPr>
        <w:tabs>
          <w:tab w:val="center" w:pos="4522"/>
        </w:tabs>
        <w:spacing w:after="0" w:line="360" w:lineRule="auto"/>
        <w:contextualSpacing/>
        <w:jc w:val="both"/>
        <w:rPr>
          <w:rFonts w:ascii="Palatino Linotype" w:eastAsia="Calibri" w:hAnsi="Palatino Linotype" w:cs="Times New Roman"/>
        </w:rPr>
      </w:pPr>
    </w:p>
    <w:p w14:paraId="3E2726A4" w14:textId="2C243513" w:rsidR="00395191" w:rsidRDefault="00395191" w:rsidP="004C6AE5">
      <w:pPr>
        <w:tabs>
          <w:tab w:val="center" w:pos="4522"/>
        </w:tabs>
        <w:spacing w:after="0" w:line="360" w:lineRule="auto"/>
        <w:contextualSpacing/>
        <w:jc w:val="both"/>
        <w:rPr>
          <w:rFonts w:ascii="Palatino Linotype" w:eastAsia="Calibri" w:hAnsi="Palatino Linotype" w:cs="Times New Roman"/>
        </w:rPr>
      </w:pPr>
      <w:r>
        <w:rPr>
          <w:rFonts w:ascii="Palatino Linotype" w:eastAsia="Calibri" w:hAnsi="Palatino Linotype" w:cs="Times New Roman"/>
        </w:rPr>
        <w:t xml:space="preserve">Ahora bien, </w:t>
      </w:r>
      <w:r w:rsidR="0032083D">
        <w:rPr>
          <w:rFonts w:ascii="Palatino Linotype" w:eastAsia="Calibri" w:hAnsi="Palatino Linotype" w:cs="Times New Roman"/>
        </w:rPr>
        <w:t xml:space="preserve">es necesario precisar que este Instituto realizó una búsqueda en la normatividad aplicable al Municipio, en los trámites y servicios publicados, la página oficial del Sujeto Obligado, sus redes sociales y su Portal de Información Pública de Oficio Mexiquense </w:t>
      </w:r>
      <w:r w:rsidR="004C6AE5">
        <w:rPr>
          <w:rFonts w:ascii="Palatino Linotype" w:eastAsia="Calibri" w:hAnsi="Palatino Linotype" w:cs="Times New Roman"/>
        </w:rPr>
        <w:t xml:space="preserve">y no se localizó que la Dirección de Desarrollo Urbano u otra área brinde el servicio se supervisión de obra; pues conforme al artículo 81 del Código Financiero del Estado de México, el que cobra los derechos por el servicio de </w:t>
      </w:r>
      <w:r w:rsidR="004C6AE5" w:rsidRPr="004C6AE5">
        <w:rPr>
          <w:rFonts w:ascii="Palatino Linotype" w:eastAsia="Calibri" w:hAnsi="Palatino Linotype" w:cs="Times New Roman"/>
        </w:rPr>
        <w:t>supervisión de las obras de urbanización, infraestructura y equipamiento de</w:t>
      </w:r>
      <w:r w:rsidR="004C6AE5">
        <w:rPr>
          <w:rFonts w:ascii="Palatino Linotype" w:eastAsia="Calibri" w:hAnsi="Palatino Linotype" w:cs="Times New Roman"/>
        </w:rPr>
        <w:t xml:space="preserve"> </w:t>
      </w:r>
      <w:r w:rsidR="004C6AE5" w:rsidRPr="004C6AE5">
        <w:rPr>
          <w:rFonts w:ascii="Palatino Linotype" w:eastAsia="Calibri" w:hAnsi="Palatino Linotype" w:cs="Times New Roman"/>
        </w:rPr>
        <w:t>conjuntos urbanos, lotificaciones para condominio</w:t>
      </w:r>
      <w:r w:rsidR="004C6AE5">
        <w:rPr>
          <w:rFonts w:ascii="Palatino Linotype" w:eastAsia="Calibri" w:hAnsi="Palatino Linotype" w:cs="Times New Roman"/>
        </w:rPr>
        <w:t>, es la Secretaría de Desarrollo Urbano e Infraestructura.</w:t>
      </w:r>
    </w:p>
    <w:p w14:paraId="2E8AA33A" w14:textId="77777777" w:rsidR="004C6AE5" w:rsidRDefault="004C6AE5" w:rsidP="004C6AE5">
      <w:pPr>
        <w:tabs>
          <w:tab w:val="center" w:pos="4522"/>
        </w:tabs>
        <w:spacing w:after="0" w:line="360" w:lineRule="auto"/>
        <w:contextualSpacing/>
        <w:jc w:val="both"/>
        <w:rPr>
          <w:rFonts w:ascii="Palatino Linotype" w:eastAsia="Calibri" w:hAnsi="Palatino Linotype" w:cs="Times New Roman"/>
        </w:rPr>
      </w:pPr>
    </w:p>
    <w:p w14:paraId="408A8886" w14:textId="625B556E" w:rsidR="00395191" w:rsidRDefault="004C6AE5" w:rsidP="006F1CF5">
      <w:pPr>
        <w:tabs>
          <w:tab w:val="center" w:pos="4522"/>
        </w:tabs>
        <w:spacing w:after="0" w:line="360" w:lineRule="auto"/>
        <w:contextualSpacing/>
        <w:jc w:val="both"/>
        <w:rPr>
          <w:rFonts w:ascii="Palatino Linotype" w:eastAsia="Calibri" w:hAnsi="Palatino Linotype" w:cs="Times New Roman"/>
        </w:rPr>
      </w:pPr>
      <w:r>
        <w:rPr>
          <w:rFonts w:ascii="Palatino Linotype" w:eastAsia="Calibri" w:hAnsi="Palatino Linotype" w:cs="Times New Roman"/>
        </w:rPr>
        <w:t xml:space="preserve">De tal circunstancia, para el caso de que no obre la información solicitada, toda vez que el Ayuntamiento no brinde el servicio solicitado, deberá hacerlo del conocimiento de la parte </w:t>
      </w:r>
      <w:r>
        <w:rPr>
          <w:rFonts w:ascii="Palatino Linotype" w:eastAsia="Calibri" w:hAnsi="Palatino Linotype" w:cs="Times New Roman"/>
        </w:rPr>
        <w:lastRenderedPageBreak/>
        <w:t>Recurrente de manera clara y precisa, en términos del artículo 19, párrafo segundo, de la Ley de la materia.</w:t>
      </w:r>
    </w:p>
    <w:p w14:paraId="2E6BD739" w14:textId="77777777" w:rsidR="00004547" w:rsidRDefault="00004547" w:rsidP="006F1CF5">
      <w:pPr>
        <w:tabs>
          <w:tab w:val="center" w:pos="4522"/>
        </w:tabs>
        <w:spacing w:after="0" w:line="360" w:lineRule="auto"/>
        <w:contextualSpacing/>
        <w:jc w:val="both"/>
        <w:rPr>
          <w:rFonts w:ascii="Palatino Linotype" w:eastAsia="Calibri" w:hAnsi="Palatino Linotype" w:cs="Times New Roman"/>
        </w:rPr>
      </w:pPr>
    </w:p>
    <w:p w14:paraId="307967C6" w14:textId="392CBE86" w:rsidR="000B3706" w:rsidRDefault="000B3706" w:rsidP="006F1CF5">
      <w:pPr>
        <w:tabs>
          <w:tab w:val="center" w:pos="4522"/>
        </w:tabs>
        <w:spacing w:after="0" w:line="360" w:lineRule="auto"/>
        <w:contextualSpacing/>
        <w:jc w:val="both"/>
        <w:rPr>
          <w:rFonts w:ascii="Palatino Linotype" w:eastAsia="Calibri" w:hAnsi="Palatino Linotype" w:cs="Times New Roman"/>
        </w:rPr>
      </w:pPr>
      <w:r>
        <w:rPr>
          <w:rFonts w:ascii="Palatino Linotype" w:eastAsia="Calibri" w:hAnsi="Palatino Linotype" w:cs="Times New Roman"/>
        </w:rPr>
        <w:t>Finalmente, es de señalar que este Instituto advierte que la información no cuenta con información clasificable, pues se trata de ordenamientos jurídicos</w:t>
      </w:r>
      <w:r w:rsidR="00D479AD">
        <w:rPr>
          <w:rFonts w:ascii="Palatino Linotype" w:eastAsia="Calibri" w:hAnsi="Palatino Linotype" w:cs="Times New Roman"/>
        </w:rPr>
        <w:t xml:space="preserve"> y datos generales relacionados con un trámite realizado ante el Ayuntamiento.</w:t>
      </w:r>
    </w:p>
    <w:p w14:paraId="16A4ABA4" w14:textId="77777777" w:rsidR="000B3706" w:rsidRDefault="000B3706" w:rsidP="006F1CF5">
      <w:pPr>
        <w:tabs>
          <w:tab w:val="center" w:pos="4522"/>
        </w:tabs>
        <w:spacing w:after="0" w:line="360" w:lineRule="auto"/>
        <w:contextualSpacing/>
        <w:jc w:val="both"/>
        <w:rPr>
          <w:rFonts w:ascii="Palatino Linotype" w:eastAsia="Calibri" w:hAnsi="Palatino Linotype" w:cs="Times New Roman"/>
        </w:rPr>
      </w:pPr>
    </w:p>
    <w:p w14:paraId="7A2C702F" w14:textId="77777777" w:rsidR="00004547" w:rsidRPr="00004547" w:rsidRDefault="00004547" w:rsidP="006F1CF5">
      <w:pPr>
        <w:tabs>
          <w:tab w:val="center" w:pos="4522"/>
        </w:tabs>
        <w:spacing w:after="0" w:line="360" w:lineRule="auto"/>
        <w:contextualSpacing/>
        <w:jc w:val="both"/>
        <w:rPr>
          <w:rFonts w:ascii="Palatino Linotype" w:eastAsia="Calibri" w:hAnsi="Palatino Linotype" w:cs="Times New Roman"/>
          <w:b/>
        </w:rPr>
      </w:pPr>
      <w:r w:rsidRPr="00004547">
        <w:rPr>
          <w:rFonts w:ascii="Palatino Linotype" w:eastAsia="Calibri" w:hAnsi="Palatino Linotype" w:cs="Times New Roman"/>
          <w:b/>
        </w:rPr>
        <w:t>SEXTO. Decisión</w:t>
      </w:r>
    </w:p>
    <w:p w14:paraId="15D8AA0C" w14:textId="77777777" w:rsidR="00004547" w:rsidRDefault="00004547" w:rsidP="006F1CF5">
      <w:pPr>
        <w:tabs>
          <w:tab w:val="center" w:pos="4522"/>
        </w:tabs>
        <w:spacing w:after="0" w:line="360" w:lineRule="auto"/>
        <w:contextualSpacing/>
        <w:jc w:val="both"/>
        <w:rPr>
          <w:rFonts w:ascii="Palatino Linotype" w:eastAsia="Calibri" w:hAnsi="Palatino Linotype" w:cs="Times New Roman"/>
        </w:rPr>
      </w:pPr>
    </w:p>
    <w:p w14:paraId="34004249" w14:textId="77777777" w:rsidR="00004547" w:rsidRDefault="00004547" w:rsidP="006F1CF5">
      <w:pPr>
        <w:tabs>
          <w:tab w:val="center" w:pos="4522"/>
        </w:tabs>
        <w:spacing w:after="0" w:line="360" w:lineRule="auto"/>
        <w:contextualSpacing/>
        <w:jc w:val="both"/>
        <w:rPr>
          <w:rFonts w:ascii="Palatino Linotype" w:eastAsia="Calibri" w:hAnsi="Palatino Linotype" w:cs="Times New Roman"/>
          <w:color w:val="FF0000"/>
        </w:rPr>
      </w:pPr>
      <w:r w:rsidRPr="00004547">
        <w:rPr>
          <w:rFonts w:ascii="Palatino Linotype" w:eastAsia="Calibri" w:hAnsi="Palatino Linotype" w:cs="Times New Roman"/>
        </w:rPr>
        <w:t xml:space="preserve">Con fundamento en el artículo 186, fracción III, de la Ley de Transparencia y Acceso a la Información Pública del Estado de México y Municipios, este Instituto considera procedente </w:t>
      </w:r>
      <w:r w:rsidRPr="00004547">
        <w:rPr>
          <w:rFonts w:ascii="Palatino Linotype" w:eastAsia="Calibri" w:hAnsi="Palatino Linotype" w:cs="Times New Roman"/>
          <w:b/>
        </w:rPr>
        <w:t>REVOCAR</w:t>
      </w:r>
      <w:r w:rsidRPr="00004547">
        <w:rPr>
          <w:rFonts w:ascii="Palatino Linotype" w:eastAsia="Calibri" w:hAnsi="Palatino Linotype" w:cs="Times New Roman"/>
        </w:rPr>
        <w:t xml:space="preserve"> la respuesta otorgada por el Ayuntamiento de </w:t>
      </w:r>
      <w:r>
        <w:rPr>
          <w:rFonts w:ascii="Palatino Linotype" w:eastAsia="Calibri" w:hAnsi="Palatino Linotype" w:cs="Times New Roman"/>
        </w:rPr>
        <w:t xml:space="preserve">Texcoco </w:t>
      </w:r>
      <w:r w:rsidRPr="00004547">
        <w:rPr>
          <w:rFonts w:ascii="Palatino Linotype" w:eastAsia="Calibri" w:hAnsi="Palatino Linotype" w:cs="Times New Roman"/>
        </w:rPr>
        <w:t xml:space="preserve">a efecto de que, previa búsqueda exhaustiva y razonable en todas las áreas competentes, entregue, los documentos que den cuenta </w:t>
      </w:r>
      <w:r>
        <w:rPr>
          <w:rFonts w:ascii="Palatino Linotype" w:eastAsia="Calibri" w:hAnsi="Palatino Linotype" w:cs="Times New Roman"/>
        </w:rPr>
        <w:t>de la información solicitada.</w:t>
      </w:r>
    </w:p>
    <w:p w14:paraId="08FBBFA4" w14:textId="77777777" w:rsidR="00004547" w:rsidRDefault="00004547" w:rsidP="006F1CF5">
      <w:pPr>
        <w:tabs>
          <w:tab w:val="center" w:pos="4522"/>
        </w:tabs>
        <w:spacing w:after="0" w:line="360" w:lineRule="auto"/>
        <w:contextualSpacing/>
        <w:jc w:val="both"/>
        <w:rPr>
          <w:rFonts w:ascii="Palatino Linotype" w:eastAsia="Calibri" w:hAnsi="Palatino Linotype" w:cs="Times New Roman"/>
          <w:color w:val="FF0000"/>
        </w:rPr>
      </w:pPr>
    </w:p>
    <w:p w14:paraId="145BCD6F" w14:textId="77777777" w:rsidR="004C6AE5" w:rsidRDefault="004C6AE5" w:rsidP="004C6AE5">
      <w:pPr>
        <w:autoSpaceDE w:val="0"/>
        <w:autoSpaceDN w:val="0"/>
        <w:adjustRightInd w:val="0"/>
        <w:spacing w:after="0" w:line="360" w:lineRule="auto"/>
        <w:jc w:val="both"/>
        <w:rPr>
          <w:rFonts w:ascii="Palatino Linotype" w:eastAsia="Calibri" w:hAnsi="Palatino Linotype" w:cs="Tahoma"/>
          <w:b/>
          <w:bCs/>
          <w:iCs/>
          <w:color w:val="0D0D0D"/>
        </w:rPr>
      </w:pPr>
      <w:r w:rsidRPr="004C6AE5">
        <w:rPr>
          <w:rFonts w:ascii="Palatino Linotype" w:eastAsia="Calibri" w:hAnsi="Palatino Linotype" w:cs="Tahoma"/>
          <w:b/>
          <w:bCs/>
          <w:iCs/>
          <w:color w:val="0D0D0D"/>
        </w:rPr>
        <w:t>Términos de la Resolución para conocimiento del Particular.</w:t>
      </w:r>
    </w:p>
    <w:p w14:paraId="47429A71" w14:textId="77777777" w:rsidR="000B3706" w:rsidRPr="004C6AE5" w:rsidRDefault="000B3706" w:rsidP="004C6AE5">
      <w:pPr>
        <w:autoSpaceDE w:val="0"/>
        <w:autoSpaceDN w:val="0"/>
        <w:adjustRightInd w:val="0"/>
        <w:spacing w:after="0" w:line="360" w:lineRule="auto"/>
        <w:jc w:val="both"/>
        <w:rPr>
          <w:rFonts w:ascii="Palatino Linotype" w:eastAsia="Calibri" w:hAnsi="Palatino Linotype" w:cs="Tahoma"/>
          <w:b/>
          <w:bCs/>
          <w:iCs/>
          <w:color w:val="0D0D0D"/>
        </w:rPr>
      </w:pPr>
    </w:p>
    <w:p w14:paraId="3CF3B73E" w14:textId="0DB9DC1A" w:rsidR="00127723" w:rsidRPr="00127723" w:rsidRDefault="004C6AE5" w:rsidP="00D479AD">
      <w:pPr>
        <w:spacing w:after="0" w:line="360" w:lineRule="auto"/>
        <w:jc w:val="both"/>
        <w:rPr>
          <w:rFonts w:ascii="Palatino Linotype" w:eastAsia="Calibri" w:hAnsi="Palatino Linotype" w:cs="Times New Roman"/>
        </w:rPr>
      </w:pPr>
      <w:r w:rsidRPr="004C6AE5">
        <w:rPr>
          <w:rFonts w:ascii="Palatino Linotype" w:eastAsia="Calibri" w:hAnsi="Palatino Linotype" w:cs="Times New Roman"/>
          <w:color w:val="000000"/>
        </w:rPr>
        <w:t>Se le hace del conocimiento al Particular, que, en el presente caso se le da la razón, pues el Sujeto Obligado no</w:t>
      </w:r>
      <w:r>
        <w:rPr>
          <w:rFonts w:ascii="Palatino Linotype" w:eastAsia="Calibri" w:hAnsi="Palatino Linotype" w:cs="Times New Roman"/>
          <w:color w:val="000000"/>
        </w:rPr>
        <w:t xml:space="preserve"> se pronunció de la información requerida, al no turnar la solicitud de información a las áreas competentes, por lo que, en el presente caso, deberá gestionar la solicitud y proporcionar la información, para el caso, de que obre en sus archivos.</w:t>
      </w:r>
      <w:r w:rsidR="00D479AD">
        <w:rPr>
          <w:rFonts w:ascii="Palatino Linotype" w:eastAsia="Calibri" w:hAnsi="Palatino Linotype" w:cs="Times New Roman"/>
          <w:color w:val="000000"/>
        </w:rPr>
        <w:t xml:space="preserve"> </w:t>
      </w:r>
      <w:r w:rsidR="00D479AD">
        <w:rPr>
          <w:rFonts w:ascii="Palatino Linotype" w:eastAsia="Calibri" w:hAnsi="Palatino Linotype" w:cs="Times New Roman"/>
        </w:rPr>
        <w:t>L</w:t>
      </w:r>
      <w:r w:rsidR="00912447" w:rsidRPr="00127723">
        <w:rPr>
          <w:rFonts w:ascii="Palatino Linotype" w:eastAsia="Calibri" w:hAnsi="Palatino Linotype" w:cs="Times New Roman"/>
        </w:rPr>
        <w:t>a labor del Instituto</w:t>
      </w:r>
      <w:r w:rsidR="00D479AD">
        <w:rPr>
          <w:rFonts w:ascii="Palatino Linotype" w:eastAsia="Calibri" w:hAnsi="Palatino Linotype" w:cs="Times New Roman"/>
        </w:rPr>
        <w:t xml:space="preserve"> de Transparencia, Acceso a la Información Pública y Protección de Datos Personales del Estado de México y Municipios</w:t>
      </w:r>
      <w:r w:rsidR="00912447" w:rsidRPr="00127723">
        <w:rPr>
          <w:rFonts w:ascii="Palatino Linotype" w:eastAsia="Calibri" w:hAnsi="Palatino Linotype" w:cs="Times New Roman"/>
        </w:rPr>
        <w:t>, es apoyar a la población a acceder a la información pública y garantizar la protección de los datos personales.</w:t>
      </w:r>
    </w:p>
    <w:p w14:paraId="6CC995FE" w14:textId="77777777" w:rsidR="00127723" w:rsidRDefault="00127723" w:rsidP="006F1CF5">
      <w:pPr>
        <w:tabs>
          <w:tab w:val="center" w:pos="4522"/>
        </w:tabs>
        <w:spacing w:after="0" w:line="360" w:lineRule="auto"/>
        <w:contextualSpacing/>
        <w:jc w:val="both"/>
        <w:rPr>
          <w:rFonts w:ascii="Palatino Linotype" w:eastAsia="Calibri" w:hAnsi="Palatino Linotype" w:cs="Times New Roman"/>
        </w:rPr>
      </w:pPr>
    </w:p>
    <w:p w14:paraId="0C8C34A0" w14:textId="08EF6580" w:rsidR="00912447" w:rsidRDefault="00912447" w:rsidP="006F1CF5">
      <w:pPr>
        <w:tabs>
          <w:tab w:val="center" w:pos="4522"/>
        </w:tabs>
        <w:spacing w:after="0" w:line="360" w:lineRule="auto"/>
        <w:contextualSpacing/>
        <w:jc w:val="both"/>
        <w:rPr>
          <w:rFonts w:ascii="Palatino Linotype" w:eastAsia="Calibri" w:hAnsi="Palatino Linotype" w:cs="Times New Roman"/>
        </w:rPr>
      </w:pPr>
      <w:r w:rsidRPr="00127723">
        <w:rPr>
          <w:rFonts w:ascii="Palatino Linotype" w:eastAsia="Calibri" w:hAnsi="Palatino Linotype" w:cs="Times New Roman"/>
        </w:rPr>
        <w:t>Por lo expuesto y fundado, este Pleno:</w:t>
      </w:r>
    </w:p>
    <w:p w14:paraId="79CBA1A2" w14:textId="77777777" w:rsidR="001B0887" w:rsidRDefault="001B0887" w:rsidP="006F1CF5">
      <w:pPr>
        <w:tabs>
          <w:tab w:val="center" w:pos="4522"/>
        </w:tabs>
        <w:spacing w:after="0" w:line="360" w:lineRule="auto"/>
        <w:contextualSpacing/>
        <w:jc w:val="both"/>
      </w:pPr>
    </w:p>
    <w:p w14:paraId="1404B6F2" w14:textId="77777777" w:rsidR="00127723" w:rsidRDefault="001B0887" w:rsidP="001B0887">
      <w:pPr>
        <w:tabs>
          <w:tab w:val="center" w:pos="4522"/>
        </w:tabs>
        <w:spacing w:after="0" w:line="360" w:lineRule="auto"/>
        <w:contextualSpacing/>
        <w:jc w:val="center"/>
        <w:rPr>
          <w:rFonts w:ascii="Palatino Linotype" w:eastAsia="Calibri" w:hAnsi="Palatino Linotype" w:cs="Times New Roman"/>
          <w:b/>
        </w:rPr>
      </w:pPr>
      <w:r w:rsidRPr="001B0887">
        <w:rPr>
          <w:rFonts w:ascii="Palatino Linotype" w:eastAsia="Calibri" w:hAnsi="Palatino Linotype" w:cs="Times New Roman"/>
          <w:b/>
        </w:rPr>
        <w:lastRenderedPageBreak/>
        <w:t>R E S U E L V E</w:t>
      </w:r>
    </w:p>
    <w:p w14:paraId="709D1C50" w14:textId="77777777" w:rsidR="004C6AE5" w:rsidRDefault="004C6AE5" w:rsidP="001B0887">
      <w:pPr>
        <w:tabs>
          <w:tab w:val="center" w:pos="4522"/>
        </w:tabs>
        <w:spacing w:after="0" w:line="360" w:lineRule="auto"/>
        <w:contextualSpacing/>
        <w:jc w:val="center"/>
        <w:rPr>
          <w:rFonts w:ascii="Palatino Linotype" w:eastAsia="Calibri" w:hAnsi="Palatino Linotype" w:cs="Times New Roman"/>
          <w:b/>
        </w:rPr>
      </w:pPr>
    </w:p>
    <w:p w14:paraId="13EB1565" w14:textId="77777777" w:rsidR="001B0887" w:rsidRDefault="00EE16D7" w:rsidP="00EE16D7">
      <w:pPr>
        <w:tabs>
          <w:tab w:val="center" w:pos="4522"/>
        </w:tabs>
        <w:spacing w:after="0" w:line="360" w:lineRule="auto"/>
        <w:contextualSpacing/>
        <w:jc w:val="both"/>
        <w:rPr>
          <w:rFonts w:ascii="Palatino Linotype" w:eastAsia="Calibri" w:hAnsi="Palatino Linotype" w:cs="Times New Roman"/>
        </w:rPr>
      </w:pPr>
      <w:r w:rsidRPr="00EE16D7">
        <w:rPr>
          <w:rFonts w:ascii="Palatino Linotype" w:eastAsia="Calibri" w:hAnsi="Palatino Linotype" w:cs="Times New Roman"/>
          <w:b/>
        </w:rPr>
        <w:t>PRIMERO.</w:t>
      </w:r>
      <w:r w:rsidRPr="00EE16D7">
        <w:rPr>
          <w:rFonts w:ascii="Palatino Linotype" w:eastAsia="Calibri" w:hAnsi="Palatino Linotype" w:cs="Times New Roman"/>
        </w:rPr>
        <w:t xml:space="preserve"> Se </w:t>
      </w:r>
      <w:r w:rsidRPr="00EE16D7">
        <w:rPr>
          <w:rFonts w:ascii="Palatino Linotype" w:eastAsia="Calibri" w:hAnsi="Palatino Linotype" w:cs="Times New Roman"/>
          <w:b/>
        </w:rPr>
        <w:t>REVOCA</w:t>
      </w:r>
      <w:r w:rsidRPr="00EE16D7">
        <w:rPr>
          <w:rFonts w:ascii="Palatino Linotype" w:eastAsia="Calibri" w:hAnsi="Palatino Linotype" w:cs="Times New Roman"/>
        </w:rPr>
        <w:t xml:space="preserve"> la respuesta entregada por el Ayuntamiento de </w:t>
      </w:r>
      <w:r>
        <w:rPr>
          <w:rFonts w:ascii="Palatino Linotype" w:eastAsia="Calibri" w:hAnsi="Palatino Linotype" w:cs="Times New Roman"/>
        </w:rPr>
        <w:t xml:space="preserve">Texcoco </w:t>
      </w:r>
      <w:r w:rsidRPr="00EE16D7">
        <w:rPr>
          <w:rFonts w:ascii="Palatino Linotype" w:eastAsia="Calibri" w:hAnsi="Palatino Linotype" w:cs="Times New Roman"/>
        </w:rPr>
        <w:t xml:space="preserve">a la solicitud de información 00257/TEXCOCO/IP/2024, por resultar </w:t>
      </w:r>
      <w:r w:rsidRPr="004C6AE5">
        <w:rPr>
          <w:rFonts w:ascii="Palatino Linotype" w:eastAsia="Calibri" w:hAnsi="Palatino Linotype" w:cs="Times New Roman"/>
          <w:b/>
          <w:bCs/>
        </w:rPr>
        <w:t>FUNDADAS</w:t>
      </w:r>
      <w:r w:rsidRPr="00EE16D7">
        <w:rPr>
          <w:rFonts w:ascii="Palatino Linotype" w:eastAsia="Calibri" w:hAnsi="Palatino Linotype" w:cs="Times New Roman"/>
        </w:rPr>
        <w:t xml:space="preserve"> las razones o motivos de inconformidad hechos valer por el Recurrente, en términos de los considerandos QUINTO y SEXTO de la presente Resolución</w:t>
      </w:r>
      <w:r>
        <w:rPr>
          <w:rFonts w:ascii="Palatino Linotype" w:eastAsia="Calibri" w:hAnsi="Palatino Linotype" w:cs="Times New Roman"/>
        </w:rPr>
        <w:t>.</w:t>
      </w:r>
    </w:p>
    <w:p w14:paraId="3CA06F00" w14:textId="77777777" w:rsidR="00EE16D7" w:rsidRPr="000D2820" w:rsidRDefault="00EE16D7" w:rsidP="00EE16D7">
      <w:pPr>
        <w:tabs>
          <w:tab w:val="center" w:pos="4522"/>
        </w:tabs>
        <w:spacing w:after="0" w:line="360" w:lineRule="auto"/>
        <w:contextualSpacing/>
        <w:jc w:val="both"/>
        <w:rPr>
          <w:rFonts w:ascii="Palatino Linotype" w:eastAsia="Calibri" w:hAnsi="Palatino Linotype" w:cs="Times New Roman"/>
          <w:b/>
        </w:rPr>
      </w:pPr>
    </w:p>
    <w:p w14:paraId="7E68F306" w14:textId="337100D2" w:rsidR="004C6AE5" w:rsidRDefault="000D2820" w:rsidP="004C6AE5">
      <w:pPr>
        <w:spacing w:after="0" w:line="360" w:lineRule="auto"/>
        <w:jc w:val="both"/>
        <w:rPr>
          <w:rFonts w:ascii="Palatino Linotype" w:eastAsia="Calibri" w:hAnsi="Palatino Linotype" w:cs="Tahoma"/>
        </w:rPr>
      </w:pPr>
      <w:r w:rsidRPr="000D2820">
        <w:rPr>
          <w:rFonts w:ascii="Palatino Linotype" w:eastAsia="Calibri" w:hAnsi="Palatino Linotype" w:cs="Times New Roman"/>
          <w:b/>
        </w:rPr>
        <w:t>SEGUNDO.</w:t>
      </w:r>
      <w:r w:rsidRPr="000D2820">
        <w:rPr>
          <w:rFonts w:ascii="Palatino Linotype" w:eastAsia="Calibri" w:hAnsi="Palatino Linotype" w:cs="Times New Roman"/>
        </w:rPr>
        <w:t xml:space="preserve"> Se </w:t>
      </w:r>
      <w:r w:rsidRPr="000D2820">
        <w:rPr>
          <w:rFonts w:ascii="Palatino Linotype" w:eastAsia="Calibri" w:hAnsi="Palatino Linotype" w:cs="Times New Roman"/>
          <w:b/>
        </w:rPr>
        <w:t>ORDENA</w:t>
      </w:r>
      <w:r w:rsidRPr="000D2820">
        <w:rPr>
          <w:rFonts w:ascii="Palatino Linotype" w:eastAsia="Calibri" w:hAnsi="Palatino Linotype" w:cs="Times New Roman"/>
        </w:rPr>
        <w:t xml:space="preserve"> al Sujeto Obligado, a efecto de que, previa búsqueda exhaustiva y razonable en los archivos de sus unidades administrativas competentes, entregue, a través del Sistema de Acceso a la Información Mexiquense (SAIMEX), </w:t>
      </w:r>
      <w:r w:rsidR="004C6AE5">
        <w:rPr>
          <w:rFonts w:ascii="Palatino Linotype" w:eastAsia="Calibri" w:hAnsi="Palatino Linotype" w:cs="Times New Roman"/>
        </w:rPr>
        <w:t>respecto al servicio de supervisión de obras, los documentos con los que contara al catorce de noviembre de dos mil veinticuatro, donde conste lo siguiente:</w:t>
      </w:r>
    </w:p>
    <w:p w14:paraId="1B40279D" w14:textId="77777777" w:rsidR="004C6AE5" w:rsidRDefault="004C6AE5" w:rsidP="004C6AE5">
      <w:pPr>
        <w:spacing w:after="0" w:line="360" w:lineRule="auto"/>
        <w:jc w:val="both"/>
        <w:rPr>
          <w:rFonts w:ascii="Palatino Linotype" w:eastAsia="Calibri" w:hAnsi="Palatino Linotype" w:cs="Tahoma"/>
          <w:color w:val="FF0000"/>
        </w:rPr>
      </w:pPr>
    </w:p>
    <w:p w14:paraId="073C8463" w14:textId="77777777" w:rsidR="004C6AE5" w:rsidRDefault="004C6AE5" w:rsidP="004C6AE5">
      <w:pPr>
        <w:pStyle w:val="Prrafodelista"/>
        <w:numPr>
          <w:ilvl w:val="0"/>
          <w:numId w:val="12"/>
        </w:numPr>
        <w:spacing w:after="0" w:line="360" w:lineRule="auto"/>
        <w:jc w:val="both"/>
        <w:rPr>
          <w:rFonts w:ascii="Palatino Linotype" w:eastAsia="Calibri" w:hAnsi="Palatino Linotype" w:cs="Tahoma"/>
        </w:rPr>
      </w:pPr>
      <w:r>
        <w:rPr>
          <w:rFonts w:ascii="Palatino Linotype" w:eastAsia="Calibri" w:hAnsi="Palatino Linotype" w:cs="Tahoma"/>
        </w:rPr>
        <w:t>El instrumento normativo que establezca la facultad para realizar cobros en efectivo;</w:t>
      </w:r>
    </w:p>
    <w:p w14:paraId="37AF6EFB" w14:textId="77777777" w:rsidR="004C6AE5" w:rsidRDefault="004C6AE5" w:rsidP="004C6AE5">
      <w:pPr>
        <w:pStyle w:val="Prrafodelista"/>
        <w:numPr>
          <w:ilvl w:val="0"/>
          <w:numId w:val="12"/>
        </w:numPr>
        <w:spacing w:after="0" w:line="360" w:lineRule="auto"/>
        <w:jc w:val="both"/>
        <w:rPr>
          <w:rFonts w:ascii="Palatino Linotype" w:eastAsia="Calibri" w:hAnsi="Palatino Linotype" w:cs="Tahoma"/>
        </w:rPr>
      </w:pPr>
      <w:r>
        <w:rPr>
          <w:rFonts w:ascii="Palatino Linotype" w:eastAsia="Calibri" w:hAnsi="Palatino Linotype" w:cs="Tahoma"/>
        </w:rPr>
        <w:t>Los montos autorizados;</w:t>
      </w:r>
    </w:p>
    <w:p w14:paraId="604162AE" w14:textId="77777777" w:rsidR="004C6AE5" w:rsidRDefault="004C6AE5" w:rsidP="004C6AE5">
      <w:pPr>
        <w:pStyle w:val="Prrafodelista"/>
        <w:numPr>
          <w:ilvl w:val="0"/>
          <w:numId w:val="12"/>
        </w:numPr>
        <w:spacing w:after="0" w:line="360" w:lineRule="auto"/>
        <w:jc w:val="both"/>
        <w:rPr>
          <w:rFonts w:ascii="Palatino Linotype" w:eastAsia="Calibri" w:hAnsi="Palatino Linotype" w:cs="Tahoma"/>
        </w:rPr>
      </w:pPr>
      <w:r>
        <w:rPr>
          <w:rFonts w:ascii="Palatino Linotype" w:eastAsia="Calibri" w:hAnsi="Palatino Linotype" w:cs="Tahoma"/>
        </w:rPr>
        <w:t>El procedimiento para realizar el pago;</w:t>
      </w:r>
    </w:p>
    <w:p w14:paraId="4773A2B3" w14:textId="77777777" w:rsidR="004C6AE5" w:rsidRPr="00AB5969" w:rsidRDefault="004C6AE5" w:rsidP="004C6AE5">
      <w:pPr>
        <w:pStyle w:val="Prrafodelista"/>
        <w:numPr>
          <w:ilvl w:val="0"/>
          <w:numId w:val="12"/>
        </w:numPr>
        <w:spacing w:after="0" w:line="360" w:lineRule="auto"/>
        <w:jc w:val="both"/>
        <w:rPr>
          <w:rFonts w:ascii="Palatino Linotype" w:eastAsia="Calibri" w:hAnsi="Palatino Linotype" w:cs="Tahoma"/>
        </w:rPr>
      </w:pPr>
      <w:r w:rsidRPr="00AB5969">
        <w:rPr>
          <w:rFonts w:ascii="Palatino Linotype" w:eastAsia="Calibri" w:hAnsi="Palatino Linotype" w:cs="Tahoma"/>
        </w:rPr>
        <w:t>Procedimientos administrativos</w:t>
      </w:r>
      <w:r>
        <w:rPr>
          <w:rFonts w:ascii="Palatino Linotype" w:eastAsia="Calibri" w:hAnsi="Palatino Linotype" w:cs="Tahoma"/>
        </w:rPr>
        <w:t>,</w:t>
      </w:r>
      <w:r w:rsidRPr="00AB5969">
        <w:rPr>
          <w:rFonts w:ascii="Palatino Linotype" w:eastAsia="Calibri" w:hAnsi="Palatino Linotype" w:cs="Tahoma"/>
        </w:rPr>
        <w:t xml:space="preserve"> de transparencia </w:t>
      </w:r>
      <w:r>
        <w:rPr>
          <w:rFonts w:ascii="Palatino Linotype" w:eastAsia="Calibri" w:hAnsi="Palatino Linotype" w:cs="Tahoma"/>
        </w:rPr>
        <w:t xml:space="preserve">o </w:t>
      </w:r>
      <w:r w:rsidRPr="00AB5969">
        <w:rPr>
          <w:rFonts w:ascii="Palatino Linotype" w:eastAsia="Calibri" w:hAnsi="Palatino Linotype" w:cs="Tahoma"/>
        </w:rPr>
        <w:t xml:space="preserve">rendición de cuentas para la gestión de </w:t>
      </w:r>
      <w:r>
        <w:rPr>
          <w:rFonts w:ascii="Palatino Linotype" w:eastAsia="Calibri" w:hAnsi="Palatino Linotype" w:cs="Tahoma"/>
        </w:rPr>
        <w:t>dichos</w:t>
      </w:r>
      <w:r w:rsidRPr="00AB5969">
        <w:rPr>
          <w:rFonts w:ascii="Palatino Linotype" w:eastAsia="Calibri" w:hAnsi="Palatino Linotype" w:cs="Tahoma"/>
        </w:rPr>
        <w:t xml:space="preserve"> ingresos en efectivo, </w:t>
      </w:r>
      <w:r>
        <w:rPr>
          <w:rFonts w:ascii="Palatino Linotype" w:eastAsia="Calibri" w:hAnsi="Palatino Linotype" w:cs="Tahoma"/>
        </w:rPr>
        <w:t>que incluya la forma en que</w:t>
      </w:r>
      <w:r w:rsidRPr="00AB5969">
        <w:rPr>
          <w:rFonts w:ascii="Palatino Linotype" w:eastAsia="Calibri" w:hAnsi="Palatino Linotype" w:cs="Tahoma"/>
        </w:rPr>
        <w:t xml:space="preserve"> deben ser documentados y reportados. </w:t>
      </w:r>
    </w:p>
    <w:p w14:paraId="0A3F6B86" w14:textId="77777777" w:rsidR="000D2820" w:rsidRDefault="000D2820" w:rsidP="006F1CF5">
      <w:pPr>
        <w:spacing w:after="0" w:line="360" w:lineRule="auto"/>
        <w:jc w:val="both"/>
        <w:rPr>
          <w:rFonts w:ascii="Palatino Linotype" w:eastAsia="Calibri" w:hAnsi="Palatino Linotype" w:cs="Tahoma"/>
          <w:bCs/>
          <w:iCs/>
          <w:lang w:eastAsia="es-ES"/>
        </w:rPr>
      </w:pPr>
    </w:p>
    <w:p w14:paraId="3E0CB864" w14:textId="50C8F766" w:rsidR="000D2820" w:rsidRPr="000D2820" w:rsidRDefault="000D2820" w:rsidP="000D2820">
      <w:pPr>
        <w:spacing w:after="0" w:line="360" w:lineRule="auto"/>
        <w:jc w:val="both"/>
        <w:rPr>
          <w:rFonts w:ascii="Palatino Linotype" w:eastAsia="Calibri" w:hAnsi="Palatino Linotype" w:cs="Tahoma"/>
          <w:bCs/>
          <w:iCs/>
          <w:lang w:eastAsia="es-ES"/>
        </w:rPr>
      </w:pPr>
      <w:r w:rsidRPr="000D2820">
        <w:rPr>
          <w:rFonts w:ascii="Palatino Linotype" w:eastAsia="Calibri" w:hAnsi="Palatino Linotype" w:cs="Tahoma"/>
          <w:bCs/>
          <w:iCs/>
          <w:lang w:eastAsia="es-ES"/>
        </w:rPr>
        <w:t xml:space="preserve">Para el caso, </w:t>
      </w:r>
      <w:r>
        <w:rPr>
          <w:rFonts w:ascii="Palatino Linotype" w:eastAsia="Calibri" w:hAnsi="Palatino Linotype" w:cs="Tahoma"/>
          <w:bCs/>
          <w:iCs/>
          <w:lang w:eastAsia="es-ES"/>
        </w:rPr>
        <w:t xml:space="preserve">de que la información no obre en los archivos del Sujeto Obligado, por no </w:t>
      </w:r>
      <w:r w:rsidR="004C6AE5">
        <w:rPr>
          <w:rFonts w:ascii="Palatino Linotype" w:eastAsia="Calibri" w:hAnsi="Palatino Linotype" w:cs="Tahoma"/>
          <w:bCs/>
          <w:iCs/>
          <w:lang w:eastAsia="es-ES"/>
        </w:rPr>
        <w:t xml:space="preserve">ser un servicio </w:t>
      </w:r>
      <w:r w:rsidR="00D479AD">
        <w:rPr>
          <w:rFonts w:ascii="Palatino Linotype" w:eastAsia="Calibri" w:hAnsi="Palatino Linotype" w:cs="Tahoma"/>
          <w:bCs/>
          <w:iCs/>
          <w:lang w:eastAsia="es-ES"/>
        </w:rPr>
        <w:t>brindado por alguna área del Ayuntamiento</w:t>
      </w:r>
      <w:r>
        <w:rPr>
          <w:rFonts w:ascii="Palatino Linotype" w:eastAsia="Calibri" w:hAnsi="Palatino Linotype" w:cs="Tahoma"/>
          <w:bCs/>
          <w:iCs/>
          <w:lang w:eastAsia="es-ES"/>
        </w:rPr>
        <w:t xml:space="preserve">, </w:t>
      </w:r>
      <w:r w:rsidRPr="000D2820">
        <w:rPr>
          <w:rFonts w:ascii="Palatino Linotype" w:eastAsia="Calibri" w:hAnsi="Palatino Linotype" w:cs="Tahoma"/>
          <w:bCs/>
          <w:iCs/>
          <w:lang w:eastAsia="es-ES"/>
        </w:rPr>
        <w:t xml:space="preserve">deberá hacerlo del </w:t>
      </w:r>
      <w:r>
        <w:rPr>
          <w:rFonts w:ascii="Palatino Linotype" w:eastAsia="Calibri" w:hAnsi="Palatino Linotype" w:cs="Tahoma"/>
          <w:bCs/>
          <w:iCs/>
          <w:lang w:eastAsia="es-ES"/>
        </w:rPr>
        <w:t xml:space="preserve">conocimiento del Recurrente, de </w:t>
      </w:r>
      <w:r w:rsidRPr="000D2820">
        <w:rPr>
          <w:rFonts w:ascii="Palatino Linotype" w:eastAsia="Calibri" w:hAnsi="Palatino Linotype" w:cs="Tahoma"/>
          <w:bCs/>
          <w:iCs/>
          <w:lang w:eastAsia="es-ES"/>
        </w:rPr>
        <w:t>manera clara y precisa.</w:t>
      </w:r>
    </w:p>
    <w:p w14:paraId="090A9D76" w14:textId="77777777" w:rsidR="006F1CF5" w:rsidRPr="006F1CF5" w:rsidRDefault="006F1CF5" w:rsidP="006F1CF5">
      <w:pPr>
        <w:pBdr>
          <w:top w:val="nil"/>
          <w:left w:val="nil"/>
          <w:bottom w:val="nil"/>
          <w:right w:val="nil"/>
          <w:between w:val="nil"/>
        </w:pBdr>
        <w:spacing w:after="0" w:line="360" w:lineRule="auto"/>
        <w:ind w:right="-28"/>
        <w:jc w:val="both"/>
        <w:rPr>
          <w:rFonts w:ascii="Palatino Linotype" w:eastAsia="Calibri" w:hAnsi="Palatino Linotype" w:cs="Times New Roman"/>
          <w:color w:val="FF0000"/>
          <w:lang w:val="es-ES_tradnl"/>
        </w:rPr>
      </w:pPr>
    </w:p>
    <w:p w14:paraId="77477621" w14:textId="77777777" w:rsidR="006F1CF5" w:rsidRPr="004137DB" w:rsidRDefault="006F1CF5" w:rsidP="006F1CF5">
      <w:pPr>
        <w:spacing w:after="0" w:line="360" w:lineRule="auto"/>
        <w:ind w:right="-28"/>
        <w:jc w:val="both"/>
        <w:rPr>
          <w:rFonts w:ascii="Palatino Linotype" w:eastAsia="Calibri" w:hAnsi="Palatino Linotype" w:cs="Times New Roman"/>
          <w:b/>
        </w:rPr>
      </w:pPr>
      <w:r w:rsidRPr="004137DB">
        <w:rPr>
          <w:rFonts w:ascii="Palatino Linotype" w:eastAsia="Calibri" w:hAnsi="Palatino Linotype" w:cs="Times New Roman"/>
          <w:b/>
        </w:rPr>
        <w:t xml:space="preserve">TERCERO. </w:t>
      </w:r>
      <w:r w:rsidRPr="004137DB">
        <w:rPr>
          <w:rFonts w:ascii="Palatino Linotype" w:eastAsia="Calibri" w:hAnsi="Palatino Linotype" w:cs="Tahoma"/>
          <w:b/>
          <w:bCs/>
          <w:iCs/>
        </w:rPr>
        <w:t>NOTIFÍQUESE</w:t>
      </w:r>
      <w:r w:rsidRPr="004137DB">
        <w:rPr>
          <w:rFonts w:ascii="Palatino Linotype" w:eastAsia="Calibri" w:hAnsi="Palatino Linotype" w:cs="Times New Roman"/>
          <w:b/>
          <w:bCs/>
        </w:rPr>
        <w:t xml:space="preserve"> POR SAIMEX</w:t>
      </w:r>
      <w:r w:rsidRPr="004137DB">
        <w:rPr>
          <w:rFonts w:ascii="Palatino Linotype" w:eastAsia="Calibri" w:hAnsi="Palatino Linotype" w:cs="Times New Roman"/>
        </w:rPr>
        <w:t xml:space="preserve"> la presente resolución al Titular de la Unidad de Transparencia del Sujeto Obligado, para que conforme al artículo 186, último párrafo, 189, segundo párrafo, y 194 de la Ley de Transparencia y Acceso a la Información Pública del </w:t>
      </w:r>
      <w:r w:rsidRPr="004137DB">
        <w:rPr>
          <w:rFonts w:ascii="Palatino Linotype" w:eastAsia="Calibri" w:hAnsi="Palatino Linotype" w:cs="Times New Roman"/>
        </w:rPr>
        <w:lastRenderedPageBreak/>
        <w:t>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BCE05" w14:textId="77777777" w:rsidR="006F1CF5" w:rsidRPr="006F1CF5" w:rsidRDefault="006F1CF5" w:rsidP="006F1CF5">
      <w:pPr>
        <w:spacing w:after="0" w:line="360" w:lineRule="auto"/>
        <w:ind w:right="-28"/>
        <w:jc w:val="both"/>
        <w:rPr>
          <w:rFonts w:ascii="Palatino Linotype" w:eastAsia="Calibri" w:hAnsi="Palatino Linotype" w:cs="Times New Roman"/>
          <w:color w:val="FF0000"/>
        </w:rPr>
      </w:pPr>
    </w:p>
    <w:p w14:paraId="0D6B5D60" w14:textId="77777777" w:rsidR="006F1CF5" w:rsidRPr="004137DB" w:rsidRDefault="006F1CF5" w:rsidP="006F1CF5">
      <w:pPr>
        <w:spacing w:after="0" w:line="360" w:lineRule="auto"/>
        <w:jc w:val="both"/>
        <w:rPr>
          <w:rFonts w:ascii="Palatino Linotype" w:eastAsia="Calibri" w:hAnsi="Palatino Linotype" w:cs="Times New Roman"/>
        </w:rPr>
      </w:pPr>
      <w:r w:rsidRPr="004137DB">
        <w:rPr>
          <w:rFonts w:ascii="Palatino Linotype" w:eastAsia="Calibri" w:hAnsi="Palatino Linotype" w:cs="Times New Roman"/>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AE9F142" w14:textId="77777777" w:rsidR="006F1CF5" w:rsidRPr="006F1CF5" w:rsidRDefault="006F1CF5" w:rsidP="006F1CF5">
      <w:pPr>
        <w:spacing w:after="0" w:line="360" w:lineRule="auto"/>
        <w:jc w:val="both"/>
        <w:rPr>
          <w:rFonts w:ascii="Palatino Linotype" w:eastAsia="Calibri" w:hAnsi="Palatino Linotype" w:cs="Times New Roman"/>
          <w:color w:val="FF0000"/>
        </w:rPr>
      </w:pPr>
    </w:p>
    <w:p w14:paraId="2BD95276" w14:textId="77777777" w:rsidR="006F1CF5" w:rsidRPr="006F1CF5" w:rsidRDefault="006F1CF5" w:rsidP="006F1CF5">
      <w:pPr>
        <w:spacing w:after="0" w:line="360" w:lineRule="auto"/>
        <w:jc w:val="both"/>
        <w:rPr>
          <w:rFonts w:ascii="Palatino Linotype" w:eastAsia="Calibri" w:hAnsi="Palatino Linotype" w:cs="Tahoma"/>
          <w:b/>
          <w:bCs/>
          <w:iCs/>
          <w:color w:val="FF0000"/>
        </w:rPr>
      </w:pPr>
      <w:r w:rsidRPr="004137DB">
        <w:rPr>
          <w:rFonts w:ascii="Palatino Linotype" w:eastAsia="Calibri" w:hAnsi="Palatino Linotype" w:cs="Times New Roman"/>
          <w:b/>
        </w:rPr>
        <w:t xml:space="preserve">CUARTO. </w:t>
      </w:r>
      <w:r w:rsidRPr="004137DB">
        <w:rPr>
          <w:rFonts w:ascii="Palatino Linotype" w:eastAsia="Calibri" w:hAnsi="Palatino Linotype" w:cs="Tahoma"/>
          <w:b/>
          <w:bCs/>
          <w:iCs/>
        </w:rPr>
        <w:t>NOTIFÍQUESE POR SAIMEX</w:t>
      </w:r>
      <w:r w:rsidRPr="004137DB">
        <w:rPr>
          <w:rFonts w:ascii="Palatino Linotype" w:eastAsia="Calibri" w:hAnsi="Palatino Linotype" w:cs="Times New Roman"/>
        </w:rPr>
        <w:t xml:space="preserve"> </w:t>
      </w:r>
      <w:r w:rsidRPr="004137DB">
        <w:rPr>
          <w:rFonts w:ascii="Palatino Linotype" w:eastAsia="Calibri" w:hAnsi="Palatino Linotype" w:cs="Tahoma"/>
          <w:iCs/>
        </w:rPr>
        <w:t xml:space="preserve">a </w:t>
      </w:r>
      <w:r w:rsidRPr="004137DB">
        <w:rPr>
          <w:rFonts w:ascii="Palatino Linotype" w:eastAsia="Calibri" w:hAnsi="Palatino Linotype" w:cs="Tahoma"/>
          <w:bCs/>
          <w:iCs/>
        </w:rPr>
        <w:t xml:space="preserve">la persona </w:t>
      </w:r>
      <w:r w:rsidRPr="004137DB">
        <w:rPr>
          <w:rFonts w:ascii="Palatino Linotype" w:eastAsia="Calibri" w:hAnsi="Palatino Linotype" w:cs="Tahoma"/>
          <w:iCs/>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B3D387B" w14:textId="77777777" w:rsidR="006F1CF5" w:rsidRPr="006F1CF5" w:rsidRDefault="006F1CF5" w:rsidP="006F1CF5">
      <w:pPr>
        <w:spacing w:after="0" w:line="360" w:lineRule="auto"/>
        <w:jc w:val="both"/>
        <w:rPr>
          <w:rFonts w:ascii="Palatino Linotype" w:eastAsia="Calibri" w:hAnsi="Palatino Linotype" w:cs="Times New Roman"/>
          <w:b/>
          <w:color w:val="FF0000"/>
        </w:rPr>
      </w:pPr>
    </w:p>
    <w:p w14:paraId="06ACA8B2" w14:textId="77777777" w:rsidR="006F1CF5" w:rsidRPr="004137DB" w:rsidRDefault="006F1CF5" w:rsidP="006F1CF5">
      <w:pPr>
        <w:spacing w:after="0" w:line="360" w:lineRule="auto"/>
        <w:jc w:val="both"/>
        <w:rPr>
          <w:rFonts w:ascii="Palatino Linotype" w:eastAsia="Calibri" w:hAnsi="Palatino Linotype" w:cs="Times New Roman"/>
        </w:rPr>
      </w:pPr>
      <w:r w:rsidRPr="004137DB">
        <w:rPr>
          <w:rFonts w:ascii="Palatino Linotype" w:eastAsia="Calibri" w:hAnsi="Palatino Linotype" w:cs="Times New Roman"/>
        </w:rPr>
        <w:t>ASÍ LO RESUELVE, POR </w:t>
      </w:r>
      <w:r w:rsidRPr="004137DB">
        <w:rPr>
          <w:rFonts w:ascii="Palatino Linotype" w:eastAsia="Calibri" w:hAnsi="Palatino Linotype" w:cs="Times New Roman"/>
          <w:b/>
        </w:rPr>
        <w:t>UNANIMIDAD</w:t>
      </w:r>
      <w:r w:rsidRPr="004137DB">
        <w:rPr>
          <w:rFonts w:ascii="Palatino Linotype" w:eastAsia="Calibri" w:hAnsi="Palatino Linotype" w:cs="Times New Roman"/>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137DB" w:rsidRPr="004137DB">
        <w:rPr>
          <w:rFonts w:ascii="Palatino Linotype" w:eastAsia="Calibri" w:hAnsi="Palatino Linotype" w:cs="Times New Roman"/>
        </w:rPr>
        <w:t xml:space="preserve">CUADRAGÉSIMA TERCERA </w:t>
      </w:r>
      <w:r w:rsidRPr="004137DB">
        <w:rPr>
          <w:rFonts w:ascii="Palatino Linotype" w:eastAsia="Calibri" w:hAnsi="Palatino Linotype" w:cs="Times New Roman"/>
        </w:rPr>
        <w:t xml:space="preserve">SESIÓN ORDINARIA, CELEBRADA EL </w:t>
      </w:r>
      <w:r w:rsidR="004137DB" w:rsidRPr="004137DB">
        <w:rPr>
          <w:rFonts w:ascii="Palatino Linotype" w:eastAsia="Calibri" w:hAnsi="Palatino Linotype" w:cs="Times New Roman"/>
        </w:rPr>
        <w:t xml:space="preserve">ONCE DE DICIEMBRE </w:t>
      </w:r>
      <w:r w:rsidRPr="004137DB">
        <w:rPr>
          <w:rFonts w:ascii="Palatino Linotype" w:eastAsia="Calibri" w:hAnsi="Palatino Linotype" w:cs="Times New Roman"/>
        </w:rPr>
        <w:t>DE DOS MIL VEINTICUATRO, ANTE EL SECRETARIO TÉCNICO DEL PLENO, ALEXIS TAPIA RAMÍREZ.</w:t>
      </w:r>
    </w:p>
    <w:p w14:paraId="28D05842" w14:textId="77777777" w:rsidR="006F1CF5" w:rsidRPr="006F1CF5" w:rsidRDefault="006F1CF5" w:rsidP="006F1CF5">
      <w:pPr>
        <w:spacing w:after="0" w:line="360" w:lineRule="auto"/>
        <w:ind w:right="-28"/>
        <w:contextualSpacing/>
        <w:jc w:val="both"/>
        <w:rPr>
          <w:rFonts w:ascii="Palatino Linotype" w:eastAsia="Calibri" w:hAnsi="Palatino Linotype" w:cs="Tahoma"/>
          <w:bCs/>
          <w:color w:val="FF0000"/>
        </w:rPr>
      </w:pPr>
    </w:p>
    <w:p w14:paraId="5BD69A2A" w14:textId="77777777" w:rsidR="006F1CF5" w:rsidRPr="006F1CF5" w:rsidRDefault="006F1CF5" w:rsidP="006F1CF5">
      <w:pPr>
        <w:spacing w:after="0" w:line="360" w:lineRule="auto"/>
        <w:ind w:right="-28"/>
        <w:contextualSpacing/>
        <w:jc w:val="both"/>
        <w:rPr>
          <w:rFonts w:ascii="Palatino Linotype" w:eastAsia="Calibri" w:hAnsi="Palatino Linotype" w:cs="Tahoma"/>
          <w:bCs/>
          <w:color w:val="FF0000"/>
        </w:rPr>
      </w:pPr>
    </w:p>
    <w:p w14:paraId="52E53451" w14:textId="77777777" w:rsidR="006F1CF5" w:rsidRPr="006F1CF5" w:rsidRDefault="006F1CF5" w:rsidP="006F1CF5">
      <w:pPr>
        <w:spacing w:after="0" w:line="360" w:lineRule="auto"/>
        <w:jc w:val="both"/>
        <w:rPr>
          <w:rFonts w:ascii="Palatino Linotype" w:eastAsia="Calibri" w:hAnsi="Palatino Linotype" w:cs="Times New Roman"/>
          <w:color w:val="FF0000"/>
        </w:rPr>
      </w:pPr>
      <w:r w:rsidRPr="006F1CF5">
        <w:rPr>
          <w:rFonts w:ascii="Palatino Linotype" w:eastAsia="Calibri" w:hAnsi="Palatino Linotype" w:cs="Times New Roman"/>
          <w:color w:val="FF0000"/>
        </w:rPr>
        <w:t xml:space="preserve"> </w:t>
      </w:r>
    </w:p>
    <w:p w14:paraId="3E14F951" w14:textId="77777777" w:rsidR="006F1CF5" w:rsidRPr="006F1CF5" w:rsidRDefault="006F1CF5" w:rsidP="006F1CF5">
      <w:pPr>
        <w:spacing w:after="0" w:line="360" w:lineRule="auto"/>
        <w:jc w:val="both"/>
        <w:rPr>
          <w:rFonts w:ascii="Palatino Linotype" w:eastAsia="Times New Roman" w:hAnsi="Palatino Linotype" w:cs="Tahoma"/>
          <w:color w:val="FF0000"/>
          <w:lang w:eastAsia="es-ES"/>
        </w:rPr>
      </w:pPr>
    </w:p>
    <w:p w14:paraId="45AD75DD" w14:textId="77777777" w:rsidR="006F1CF5" w:rsidRPr="006F1CF5" w:rsidRDefault="006F1CF5" w:rsidP="006F1CF5">
      <w:pPr>
        <w:tabs>
          <w:tab w:val="left" w:pos="993"/>
        </w:tabs>
        <w:spacing w:after="0" w:line="360" w:lineRule="auto"/>
        <w:ind w:right="-28"/>
        <w:jc w:val="both"/>
        <w:rPr>
          <w:rFonts w:ascii="Palatino Linotype" w:eastAsia="Calibri" w:hAnsi="Palatino Linotype" w:cs="Tahoma"/>
          <w:color w:val="FF0000"/>
        </w:rPr>
      </w:pPr>
    </w:p>
    <w:p w14:paraId="2A8F662B" w14:textId="77777777" w:rsidR="006F1CF5" w:rsidRPr="006F1CF5" w:rsidRDefault="006F1CF5" w:rsidP="006F1CF5">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5A4F5304" w14:textId="77777777" w:rsidR="006F1CF5" w:rsidRPr="006F1CF5" w:rsidRDefault="006F1CF5" w:rsidP="006F1CF5">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3030A0AA" w14:textId="77777777" w:rsidR="006F1CF5" w:rsidRPr="006F1CF5" w:rsidRDefault="006F1CF5" w:rsidP="006F1CF5">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549055ED" w14:textId="77777777" w:rsidR="006F1CF5" w:rsidRPr="006F1CF5" w:rsidRDefault="006F1CF5" w:rsidP="006F1CF5">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403D3978" w14:textId="77777777" w:rsidR="006F1CF5" w:rsidRPr="006F1CF5" w:rsidRDefault="006F1CF5" w:rsidP="006F1CF5">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07D2784E" w14:textId="77777777" w:rsidR="006F1CF5" w:rsidRPr="006F1CF5" w:rsidRDefault="006F1CF5" w:rsidP="006F1CF5">
      <w:pPr>
        <w:spacing w:after="0" w:line="360" w:lineRule="auto"/>
        <w:jc w:val="both"/>
        <w:rPr>
          <w:rFonts w:ascii="Palatino Linotype" w:eastAsia="Calibri" w:hAnsi="Palatino Linotype" w:cs="Times New Roman"/>
          <w:color w:val="FF0000"/>
        </w:rPr>
      </w:pPr>
    </w:p>
    <w:p w14:paraId="305DF54B" w14:textId="77777777" w:rsidR="006F1CF5" w:rsidRPr="006F1CF5" w:rsidRDefault="006F1CF5" w:rsidP="006F1CF5">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1F98177D" w14:textId="77777777" w:rsidR="006F1CF5" w:rsidRPr="006F1CF5" w:rsidRDefault="006F1CF5" w:rsidP="006F1CF5">
      <w:pPr>
        <w:spacing w:after="0" w:line="360" w:lineRule="auto"/>
        <w:contextualSpacing/>
        <w:jc w:val="both"/>
        <w:rPr>
          <w:rFonts w:ascii="Palatino Linotype" w:eastAsia="Calibri" w:hAnsi="Palatino Linotype" w:cs="Tahoma"/>
          <w:bCs/>
          <w:color w:val="FF0000"/>
          <w:szCs w:val="24"/>
        </w:rPr>
      </w:pPr>
    </w:p>
    <w:p w14:paraId="28C9D6B3" w14:textId="77777777" w:rsidR="006F1CF5" w:rsidRPr="006F1CF5" w:rsidRDefault="006F1CF5" w:rsidP="006F1CF5">
      <w:pPr>
        <w:spacing w:after="0" w:line="360" w:lineRule="auto"/>
        <w:jc w:val="both"/>
        <w:rPr>
          <w:rFonts w:ascii="Palatino Linotype" w:eastAsia="Calibri" w:hAnsi="Palatino Linotype" w:cs="Times New Roman"/>
          <w:bCs/>
          <w:iCs/>
          <w:color w:val="FF0000"/>
          <w:lang w:val="es-ES"/>
        </w:rPr>
      </w:pPr>
    </w:p>
    <w:p w14:paraId="623E6505" w14:textId="77777777" w:rsidR="006F1CF5" w:rsidRPr="006F1CF5" w:rsidRDefault="006F1CF5" w:rsidP="006F1CF5">
      <w:pPr>
        <w:spacing w:after="0" w:line="360" w:lineRule="auto"/>
        <w:jc w:val="both"/>
        <w:rPr>
          <w:rFonts w:ascii="Palatino Linotype" w:eastAsia="Calibri" w:hAnsi="Palatino Linotype" w:cs="Times New Roman"/>
          <w:color w:val="FF0000"/>
        </w:rPr>
      </w:pPr>
    </w:p>
    <w:p w14:paraId="0EB66269" w14:textId="77777777" w:rsidR="006F1CF5" w:rsidRPr="006F1CF5" w:rsidRDefault="006F1CF5" w:rsidP="006F1CF5">
      <w:pPr>
        <w:spacing w:after="0" w:line="360" w:lineRule="auto"/>
        <w:jc w:val="both"/>
        <w:rPr>
          <w:rFonts w:ascii="Palatino Linotype" w:eastAsia="Calibri" w:hAnsi="Palatino Linotype" w:cs="Times New Roman"/>
          <w:color w:val="FF0000"/>
        </w:rPr>
      </w:pPr>
    </w:p>
    <w:p w14:paraId="05EA17B6" w14:textId="77777777" w:rsidR="006F1CF5" w:rsidRPr="006F1CF5" w:rsidRDefault="006F1CF5" w:rsidP="006F1CF5">
      <w:pPr>
        <w:spacing w:after="0" w:line="360" w:lineRule="auto"/>
        <w:jc w:val="both"/>
        <w:rPr>
          <w:rFonts w:ascii="Palatino Linotype" w:eastAsia="Calibri" w:hAnsi="Palatino Linotype" w:cs="Times New Roman"/>
          <w:color w:val="FF0000"/>
        </w:rPr>
      </w:pPr>
    </w:p>
    <w:p w14:paraId="009C5220" w14:textId="77777777" w:rsidR="006F1CF5" w:rsidRPr="006F1CF5" w:rsidRDefault="006F1CF5" w:rsidP="006F1CF5">
      <w:pPr>
        <w:spacing w:after="0" w:line="360" w:lineRule="auto"/>
        <w:jc w:val="both"/>
        <w:rPr>
          <w:rFonts w:ascii="Palatino Linotype" w:eastAsia="Calibri" w:hAnsi="Palatino Linotype" w:cs="Times New Roman"/>
          <w:color w:val="FF0000"/>
        </w:rPr>
      </w:pPr>
    </w:p>
    <w:p w14:paraId="08074129" w14:textId="77777777" w:rsidR="006F1CF5" w:rsidRPr="006F1CF5" w:rsidRDefault="006F1CF5" w:rsidP="006F1CF5">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195B89D4" w14:textId="77777777" w:rsidR="006F1CF5" w:rsidRPr="006F1CF5" w:rsidRDefault="006F1CF5" w:rsidP="006F1CF5">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67C35761" w14:textId="77777777" w:rsidR="006F1CF5" w:rsidRPr="006F1CF5" w:rsidRDefault="006F1CF5" w:rsidP="006F1CF5">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4BFBFFC3" w14:textId="77777777" w:rsidR="006F1CF5" w:rsidRPr="006F1CF5" w:rsidRDefault="006F1CF5" w:rsidP="006F1CF5">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1D8FC3FE" w14:textId="77777777" w:rsidR="006F1CF5" w:rsidRPr="006F1CF5" w:rsidRDefault="006F1CF5" w:rsidP="006F1CF5">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2F5EAD2F" w14:textId="77777777" w:rsidR="006F1CF5" w:rsidRPr="006F1CF5" w:rsidRDefault="006F1CF5" w:rsidP="006F1CF5">
      <w:pPr>
        <w:spacing w:after="0" w:line="360" w:lineRule="auto"/>
        <w:ind w:right="-93"/>
        <w:jc w:val="both"/>
        <w:rPr>
          <w:rFonts w:ascii="Palatino Linotype" w:eastAsia="Calibri" w:hAnsi="Palatino Linotype" w:cs="Times New Roman"/>
          <w:color w:val="FF0000"/>
          <w:lang w:val="es-ES"/>
        </w:rPr>
      </w:pPr>
    </w:p>
    <w:p w14:paraId="5E26A99B" w14:textId="77777777" w:rsidR="006F1CF5" w:rsidRPr="006F1CF5" w:rsidRDefault="006F1CF5" w:rsidP="006F1CF5">
      <w:pPr>
        <w:spacing w:after="0" w:line="360" w:lineRule="auto"/>
        <w:jc w:val="both"/>
        <w:rPr>
          <w:rFonts w:ascii="Palatino Linotype" w:eastAsia="Calibri" w:hAnsi="Palatino Linotype" w:cs="Times New Roman"/>
          <w:color w:val="FF0000"/>
        </w:rPr>
      </w:pPr>
    </w:p>
    <w:p w14:paraId="0C458EBB" w14:textId="77777777" w:rsidR="002A0610" w:rsidRPr="0085159B" w:rsidRDefault="002A0610">
      <w:pPr>
        <w:rPr>
          <w:color w:val="FF0000"/>
        </w:rPr>
      </w:pPr>
    </w:p>
    <w:sectPr w:rsidR="002A0610" w:rsidRPr="0085159B" w:rsidSect="00004547">
      <w:headerReference w:type="even" r:id="rId7"/>
      <w:headerReference w:type="default" r:id="rId8"/>
      <w:footerReference w:type="even" r:id="rId9"/>
      <w:footerReference w:type="default" r:id="rId10"/>
      <w:headerReference w:type="first" r:id="rId11"/>
      <w:footerReference w:type="first" r:id="rId12"/>
      <w:pgSz w:w="12240" w:h="15840"/>
      <w:pgMar w:top="1418" w:right="1608" w:bottom="1560" w:left="1701" w:header="102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EBCDA" w14:textId="77777777" w:rsidR="00E0580A" w:rsidRDefault="00E0580A" w:rsidP="0085159B">
      <w:pPr>
        <w:spacing w:after="0" w:line="240" w:lineRule="auto"/>
      </w:pPr>
      <w:r>
        <w:separator/>
      </w:r>
    </w:p>
  </w:endnote>
  <w:endnote w:type="continuationSeparator" w:id="0">
    <w:p w14:paraId="5F17CA1E" w14:textId="77777777" w:rsidR="00E0580A" w:rsidRDefault="00E0580A" w:rsidP="0085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7C2CF02D" w14:textId="77777777" w:rsidR="00A85DE6" w:rsidRDefault="00A85DE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33</w:t>
            </w:r>
            <w:r>
              <w:rPr>
                <w:b/>
                <w:bCs/>
                <w:sz w:val="24"/>
                <w:szCs w:val="24"/>
              </w:rPr>
              <w:fldChar w:fldCharType="end"/>
            </w:r>
          </w:p>
        </w:sdtContent>
      </w:sdt>
    </w:sdtContent>
  </w:sdt>
  <w:p w14:paraId="6306E688" w14:textId="77777777" w:rsidR="00A85DE6" w:rsidRDefault="00A85D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928B047" w14:textId="77777777" w:rsidR="00A85DE6" w:rsidRDefault="00A85DE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A7384">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A7384">
              <w:rPr>
                <w:b/>
                <w:bCs/>
                <w:noProof/>
              </w:rPr>
              <w:t>17</w:t>
            </w:r>
            <w:r>
              <w:rPr>
                <w:b/>
                <w:bCs/>
                <w:sz w:val="24"/>
                <w:szCs w:val="24"/>
              </w:rPr>
              <w:fldChar w:fldCharType="end"/>
            </w:r>
          </w:p>
        </w:sdtContent>
      </w:sdt>
    </w:sdtContent>
  </w:sdt>
  <w:p w14:paraId="08FF86A9" w14:textId="77777777" w:rsidR="00A85DE6" w:rsidRDefault="00A85D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183DF099" w14:textId="77777777" w:rsidR="00A85DE6" w:rsidRDefault="00A85DE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A738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A7384">
              <w:rPr>
                <w:b/>
                <w:bCs/>
                <w:noProof/>
              </w:rPr>
              <w:t>17</w:t>
            </w:r>
            <w:r>
              <w:rPr>
                <w:b/>
                <w:bCs/>
                <w:sz w:val="24"/>
                <w:szCs w:val="24"/>
              </w:rPr>
              <w:fldChar w:fldCharType="end"/>
            </w:r>
          </w:p>
        </w:sdtContent>
      </w:sdt>
    </w:sdtContent>
  </w:sdt>
  <w:p w14:paraId="1B43DEEC" w14:textId="77777777" w:rsidR="00A85DE6" w:rsidRDefault="00A85D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71A1D" w14:textId="77777777" w:rsidR="00E0580A" w:rsidRDefault="00E0580A" w:rsidP="0085159B">
      <w:pPr>
        <w:spacing w:after="0" w:line="240" w:lineRule="auto"/>
      </w:pPr>
      <w:r>
        <w:separator/>
      </w:r>
    </w:p>
  </w:footnote>
  <w:footnote w:type="continuationSeparator" w:id="0">
    <w:p w14:paraId="7EDFD716" w14:textId="77777777" w:rsidR="00E0580A" w:rsidRDefault="00E0580A" w:rsidP="00851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A85DE6" w:rsidRPr="00E152D8" w14:paraId="6ADB6ABA" w14:textId="77777777" w:rsidTr="00A85DE6">
      <w:trPr>
        <w:trHeight w:val="132"/>
      </w:trPr>
      <w:tc>
        <w:tcPr>
          <w:tcW w:w="2691" w:type="dxa"/>
        </w:tcPr>
        <w:p w14:paraId="0B2CFB68" w14:textId="77777777" w:rsidR="00A85DE6" w:rsidRPr="00E152D8" w:rsidRDefault="00A85DE6" w:rsidP="00A85DE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57B58C7D" w14:textId="77777777" w:rsidR="00A85DE6" w:rsidRPr="00EE1572" w:rsidRDefault="00A85DE6" w:rsidP="00A85DE6">
          <w:pPr>
            <w:tabs>
              <w:tab w:val="right" w:pos="8838"/>
            </w:tabs>
            <w:ind w:left="-28" w:right="-32"/>
            <w:rPr>
              <w:rFonts w:eastAsia="Calibri" w:cs="Tahoma"/>
            </w:rPr>
          </w:pPr>
          <w:r w:rsidRPr="00EE1572">
            <w:rPr>
              <w:rFonts w:eastAsia="Calibri" w:cs="Tahoma"/>
            </w:rPr>
            <w:t>03846/INFOEM/IP/RR/2020</w:t>
          </w:r>
        </w:p>
      </w:tc>
    </w:tr>
    <w:tr w:rsidR="00A85DE6" w:rsidRPr="00E152D8" w14:paraId="15C41028" w14:textId="77777777" w:rsidTr="00A85DE6">
      <w:trPr>
        <w:trHeight w:val="261"/>
      </w:trPr>
      <w:tc>
        <w:tcPr>
          <w:tcW w:w="2691" w:type="dxa"/>
        </w:tcPr>
        <w:p w14:paraId="7E9A612B" w14:textId="77777777" w:rsidR="00A85DE6" w:rsidRPr="00E152D8" w:rsidRDefault="00A85DE6" w:rsidP="00A85DE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038EBBB7" w14:textId="77777777" w:rsidR="00A85DE6" w:rsidRPr="00EE1572" w:rsidRDefault="00A85DE6" w:rsidP="00A85DE6">
          <w:pPr>
            <w:tabs>
              <w:tab w:val="right" w:pos="8838"/>
            </w:tabs>
            <w:ind w:right="-32"/>
            <w:rPr>
              <w:rFonts w:eastAsia="Calibri" w:cs="Tahoma"/>
              <w:lang w:val="es-MX"/>
            </w:rPr>
          </w:pPr>
          <w:r>
            <w:rPr>
              <w:rFonts w:eastAsia="Calibri" w:cs="Tahoma"/>
              <w:lang w:val="es-MX"/>
            </w:rPr>
            <w:t>Ayuntamiento de Valle de Chalco Solidaridad</w:t>
          </w:r>
        </w:p>
      </w:tc>
    </w:tr>
    <w:tr w:rsidR="00A85DE6" w:rsidRPr="00E152D8" w14:paraId="7364F1A0" w14:textId="77777777" w:rsidTr="00A85DE6">
      <w:trPr>
        <w:trHeight w:val="261"/>
      </w:trPr>
      <w:tc>
        <w:tcPr>
          <w:tcW w:w="2691" w:type="dxa"/>
        </w:tcPr>
        <w:p w14:paraId="1DAC9C9C" w14:textId="77777777" w:rsidR="00A85DE6" w:rsidRPr="00E152D8" w:rsidRDefault="00A85DE6" w:rsidP="00A85DE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200CA7E" w14:textId="77777777" w:rsidR="00A85DE6" w:rsidRPr="00E152D8" w:rsidRDefault="00A85DE6" w:rsidP="00A85DE6">
          <w:pPr>
            <w:tabs>
              <w:tab w:val="right" w:pos="8838"/>
            </w:tabs>
            <w:ind w:right="-32"/>
            <w:rPr>
              <w:rFonts w:eastAsia="Calibri" w:cs="Tahoma"/>
              <w:b/>
              <w:lang w:val="es-MX"/>
            </w:rPr>
          </w:pPr>
          <w:r w:rsidRPr="00E152D8">
            <w:rPr>
              <w:rFonts w:eastAsia="Calibri" w:cs="Tahoma"/>
              <w:lang w:val="es-MX"/>
            </w:rPr>
            <w:t>Luis Gustavo Parra Noriega</w:t>
          </w:r>
        </w:p>
      </w:tc>
    </w:tr>
  </w:tbl>
  <w:p w14:paraId="02968DA1" w14:textId="77777777" w:rsidR="00A85DE6" w:rsidRDefault="00E0580A">
    <w:pPr>
      <w:pStyle w:val="Encabezado"/>
    </w:pPr>
    <w:r>
      <w:rPr>
        <w:noProof/>
      </w:rPr>
      <w:pict w14:anchorId="3F56F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49"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4"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A85DE6" w:rsidRPr="00E152D8" w14:paraId="66E8E7D1" w14:textId="77777777" w:rsidTr="00D479AD">
      <w:trPr>
        <w:trHeight w:val="138"/>
      </w:trPr>
      <w:tc>
        <w:tcPr>
          <w:tcW w:w="2401" w:type="dxa"/>
          <w:vAlign w:val="center"/>
        </w:tcPr>
        <w:p w14:paraId="4E2708F1" w14:textId="77777777" w:rsidR="00A85DE6" w:rsidRPr="0085159B" w:rsidRDefault="00A85DE6" w:rsidP="00A85DE6">
          <w:pPr>
            <w:tabs>
              <w:tab w:val="right" w:pos="8838"/>
            </w:tabs>
            <w:ind w:right="-105"/>
            <w:rPr>
              <w:rFonts w:ascii="Palatino Linotype" w:eastAsia="Calibri" w:hAnsi="Palatino Linotype" w:cs="Tahoma"/>
              <w:b/>
              <w:lang w:val="es-MX"/>
            </w:rPr>
          </w:pPr>
          <w:r w:rsidRPr="0085159B">
            <w:rPr>
              <w:rFonts w:ascii="Palatino Linotype" w:eastAsia="Calibri" w:hAnsi="Palatino Linotype" w:cs="Tahoma"/>
              <w:b/>
              <w:lang w:val="es-MX"/>
            </w:rPr>
            <w:t>Recurso de Revisión:</w:t>
          </w:r>
        </w:p>
      </w:tc>
      <w:tc>
        <w:tcPr>
          <w:tcW w:w="4403" w:type="dxa"/>
        </w:tcPr>
        <w:p w14:paraId="4A8EE4B6" w14:textId="77777777" w:rsidR="00A85DE6" w:rsidRPr="0085159B" w:rsidRDefault="00A85DE6" w:rsidP="00A85DE6">
          <w:pPr>
            <w:tabs>
              <w:tab w:val="right" w:pos="8838"/>
            </w:tabs>
            <w:ind w:right="-32"/>
            <w:rPr>
              <w:rFonts w:ascii="Palatino Linotype" w:eastAsia="Calibri" w:hAnsi="Palatino Linotype" w:cs="Tahoma"/>
            </w:rPr>
          </w:pPr>
          <w:r w:rsidRPr="0085159B">
            <w:rPr>
              <w:rFonts w:ascii="Palatino Linotype" w:eastAsia="Calibri" w:hAnsi="Palatino Linotype" w:cs="Tahoma"/>
              <w:lang w:val="es-MX"/>
            </w:rPr>
            <w:t>0</w:t>
          </w:r>
          <w:r>
            <w:rPr>
              <w:rFonts w:ascii="Palatino Linotype" w:eastAsia="Calibri" w:hAnsi="Palatino Linotype" w:cs="Tahoma"/>
              <w:lang w:val="es-MX"/>
            </w:rPr>
            <w:t>7276</w:t>
          </w:r>
          <w:r w:rsidRPr="0085159B">
            <w:rPr>
              <w:rFonts w:ascii="Palatino Linotype" w:eastAsia="Calibri" w:hAnsi="Palatino Linotype" w:cs="Tahoma"/>
              <w:lang w:val="es-MX"/>
            </w:rPr>
            <w:t>/INFOEM/IP/RR/2024</w:t>
          </w:r>
        </w:p>
      </w:tc>
    </w:tr>
    <w:tr w:rsidR="00A85DE6" w:rsidRPr="00E152D8" w14:paraId="4FF5A689" w14:textId="77777777" w:rsidTr="00D479AD">
      <w:trPr>
        <w:trHeight w:val="273"/>
      </w:trPr>
      <w:tc>
        <w:tcPr>
          <w:tcW w:w="2401" w:type="dxa"/>
        </w:tcPr>
        <w:p w14:paraId="101224A1" w14:textId="77777777" w:rsidR="00A85DE6" w:rsidRPr="0085159B" w:rsidRDefault="00A85DE6" w:rsidP="00A85DE6">
          <w:pPr>
            <w:tabs>
              <w:tab w:val="right" w:pos="8838"/>
            </w:tabs>
            <w:ind w:right="-105"/>
            <w:rPr>
              <w:rFonts w:ascii="Palatino Linotype" w:eastAsia="Calibri" w:hAnsi="Palatino Linotype" w:cs="Tahoma"/>
              <w:b/>
              <w:lang w:val="es-MX"/>
            </w:rPr>
          </w:pPr>
          <w:r w:rsidRPr="0085159B">
            <w:rPr>
              <w:rFonts w:ascii="Palatino Linotype" w:eastAsia="Calibri" w:hAnsi="Palatino Linotype" w:cs="Tahoma"/>
              <w:b/>
              <w:lang w:val="es-MX"/>
            </w:rPr>
            <w:t>Sujeto Obligado:</w:t>
          </w:r>
        </w:p>
      </w:tc>
      <w:tc>
        <w:tcPr>
          <w:tcW w:w="4403" w:type="dxa"/>
        </w:tcPr>
        <w:p w14:paraId="2313F6F4" w14:textId="77777777" w:rsidR="00A85DE6" w:rsidRPr="0085159B" w:rsidRDefault="00A85DE6" w:rsidP="00120360">
          <w:pPr>
            <w:tabs>
              <w:tab w:val="right" w:pos="8838"/>
            </w:tabs>
            <w:ind w:right="-32"/>
            <w:rPr>
              <w:rFonts w:ascii="Palatino Linotype" w:eastAsia="Calibri" w:hAnsi="Palatino Linotype" w:cs="Tahoma"/>
              <w:lang w:val="es-MX"/>
            </w:rPr>
          </w:pPr>
          <w:r w:rsidRPr="0085159B">
            <w:rPr>
              <w:rFonts w:ascii="Palatino Linotype" w:eastAsia="Calibri" w:hAnsi="Palatino Linotype" w:cs="Tahoma"/>
              <w:lang w:val="es-MX"/>
            </w:rPr>
            <w:t xml:space="preserve">Ayuntamiento de </w:t>
          </w:r>
          <w:r>
            <w:rPr>
              <w:rFonts w:ascii="Palatino Linotype" w:eastAsia="Calibri" w:hAnsi="Palatino Linotype" w:cs="Tahoma"/>
              <w:lang w:val="es-MX"/>
            </w:rPr>
            <w:t>Texcoco</w:t>
          </w:r>
        </w:p>
      </w:tc>
    </w:tr>
    <w:tr w:rsidR="00A85DE6" w:rsidRPr="00E152D8" w14:paraId="15F15227" w14:textId="77777777" w:rsidTr="00D479AD">
      <w:trPr>
        <w:trHeight w:val="273"/>
      </w:trPr>
      <w:tc>
        <w:tcPr>
          <w:tcW w:w="2401" w:type="dxa"/>
        </w:tcPr>
        <w:p w14:paraId="1E02C2F1" w14:textId="77777777" w:rsidR="00A85DE6" w:rsidRPr="0085159B" w:rsidRDefault="00A85DE6" w:rsidP="00A85DE6">
          <w:pPr>
            <w:tabs>
              <w:tab w:val="right" w:pos="8838"/>
            </w:tabs>
            <w:ind w:right="-105"/>
            <w:rPr>
              <w:rFonts w:ascii="Palatino Linotype" w:eastAsia="Calibri" w:hAnsi="Palatino Linotype" w:cs="Tahoma"/>
              <w:b/>
              <w:lang w:val="es-MX"/>
            </w:rPr>
          </w:pPr>
          <w:r w:rsidRPr="0085159B">
            <w:rPr>
              <w:rFonts w:ascii="Palatino Linotype" w:eastAsia="Calibri" w:hAnsi="Palatino Linotype" w:cs="Tahoma"/>
              <w:b/>
              <w:lang w:val="es-MX"/>
            </w:rPr>
            <w:t>Comisionado Ponente:</w:t>
          </w:r>
        </w:p>
      </w:tc>
      <w:tc>
        <w:tcPr>
          <w:tcW w:w="4403" w:type="dxa"/>
        </w:tcPr>
        <w:p w14:paraId="6AFD63FA" w14:textId="77777777" w:rsidR="00A85DE6" w:rsidRPr="0085159B" w:rsidRDefault="00A85DE6" w:rsidP="00A85DE6">
          <w:pPr>
            <w:tabs>
              <w:tab w:val="right" w:pos="8838"/>
            </w:tabs>
            <w:ind w:left="-28" w:right="-32"/>
            <w:rPr>
              <w:rFonts w:ascii="Palatino Linotype" w:eastAsia="Calibri" w:hAnsi="Palatino Linotype" w:cs="Tahoma"/>
              <w:b/>
              <w:lang w:val="es-MX"/>
            </w:rPr>
          </w:pPr>
          <w:r w:rsidRPr="0085159B">
            <w:rPr>
              <w:rFonts w:ascii="Palatino Linotype" w:eastAsia="Calibri" w:hAnsi="Palatino Linotype" w:cs="Tahoma"/>
              <w:lang w:val="es-MX"/>
            </w:rPr>
            <w:t>Luis Gustavo Parra Noriega</w:t>
          </w:r>
        </w:p>
      </w:tc>
    </w:tr>
  </w:tbl>
  <w:p w14:paraId="65E95E09" w14:textId="77777777" w:rsidR="00A85DE6" w:rsidRDefault="00E0580A" w:rsidP="00A85DE6">
    <w:pPr>
      <w:pStyle w:val="Encabezado"/>
    </w:pPr>
    <w:r>
      <w:rPr>
        <w:noProof/>
      </w:rPr>
      <w:pict w14:anchorId="076AA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109.05pt;margin-top:-123.3pt;width:663.5pt;height:12in;z-index:-25165875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50"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111"/>
      <w:gridCol w:w="429"/>
    </w:tblGrid>
    <w:tr w:rsidR="00A85DE6" w:rsidRPr="00E152D8" w14:paraId="1911FB34" w14:textId="77777777" w:rsidTr="00AB5969">
      <w:trPr>
        <w:trHeight w:val="132"/>
      </w:trPr>
      <w:tc>
        <w:tcPr>
          <w:tcW w:w="2410" w:type="dxa"/>
        </w:tcPr>
        <w:p w14:paraId="500E628D" w14:textId="77777777" w:rsidR="00A85DE6" w:rsidRPr="0085159B" w:rsidRDefault="00A85DE6" w:rsidP="00A85DE6">
          <w:pPr>
            <w:tabs>
              <w:tab w:val="right" w:pos="8838"/>
            </w:tabs>
            <w:ind w:right="-105"/>
            <w:rPr>
              <w:rFonts w:ascii="Palatino Linotype" w:eastAsia="Calibri" w:hAnsi="Palatino Linotype" w:cs="Tahoma"/>
              <w:b/>
              <w:lang w:val="es-MX"/>
            </w:rPr>
          </w:pPr>
          <w:r w:rsidRPr="0085159B">
            <w:rPr>
              <w:rFonts w:ascii="Palatino Linotype" w:eastAsia="Calibri" w:hAnsi="Palatino Linotype" w:cs="Tahoma"/>
              <w:b/>
              <w:lang w:val="es-MX"/>
            </w:rPr>
            <w:t>Recurso de Revisión:</w:t>
          </w:r>
        </w:p>
      </w:tc>
      <w:tc>
        <w:tcPr>
          <w:tcW w:w="4540" w:type="dxa"/>
          <w:gridSpan w:val="2"/>
        </w:tcPr>
        <w:p w14:paraId="52E7937D" w14:textId="77777777" w:rsidR="00A85DE6" w:rsidRPr="0085159B" w:rsidRDefault="00A85DE6" w:rsidP="00A85DE6">
          <w:pPr>
            <w:tabs>
              <w:tab w:val="right" w:pos="8838"/>
            </w:tabs>
            <w:ind w:right="-32"/>
            <w:rPr>
              <w:rFonts w:ascii="Palatino Linotype" w:eastAsia="Calibri" w:hAnsi="Palatino Linotype" w:cs="Tahoma"/>
            </w:rPr>
          </w:pPr>
          <w:r w:rsidRPr="0085159B">
            <w:rPr>
              <w:rFonts w:ascii="Palatino Linotype" w:eastAsia="Calibri" w:hAnsi="Palatino Linotype" w:cs="Tahoma"/>
              <w:lang w:val="es-MX"/>
            </w:rPr>
            <w:t>0</w:t>
          </w:r>
          <w:r>
            <w:rPr>
              <w:rFonts w:ascii="Palatino Linotype" w:eastAsia="Calibri" w:hAnsi="Palatino Linotype" w:cs="Tahoma"/>
              <w:lang w:val="es-MX"/>
            </w:rPr>
            <w:t>7276</w:t>
          </w:r>
          <w:r w:rsidRPr="0085159B">
            <w:rPr>
              <w:rFonts w:ascii="Palatino Linotype" w:eastAsia="Calibri" w:hAnsi="Palatino Linotype" w:cs="Tahoma"/>
              <w:lang w:val="es-MX"/>
            </w:rPr>
            <w:t>/INFOEM/IP/RR/2024</w:t>
          </w:r>
        </w:p>
      </w:tc>
    </w:tr>
    <w:tr w:rsidR="00A85DE6" w:rsidRPr="00E152D8" w14:paraId="1B2CC604" w14:textId="77777777" w:rsidTr="00AB5969">
      <w:trPr>
        <w:trHeight w:val="132"/>
      </w:trPr>
      <w:tc>
        <w:tcPr>
          <w:tcW w:w="2410" w:type="dxa"/>
        </w:tcPr>
        <w:p w14:paraId="61DEB6BB" w14:textId="77777777" w:rsidR="00A85DE6" w:rsidRPr="00120360" w:rsidRDefault="00A85DE6" w:rsidP="00120360">
          <w:pPr>
            <w:tabs>
              <w:tab w:val="right" w:pos="8838"/>
            </w:tabs>
            <w:ind w:right="-32"/>
            <w:rPr>
              <w:rFonts w:ascii="Palatino Linotype" w:eastAsia="Calibri" w:hAnsi="Palatino Linotype" w:cs="Tahoma"/>
              <w:b/>
              <w:lang w:val="es-MX"/>
            </w:rPr>
          </w:pPr>
          <w:r w:rsidRPr="00120360">
            <w:rPr>
              <w:rFonts w:ascii="Palatino Linotype" w:eastAsia="Calibri" w:hAnsi="Palatino Linotype" w:cs="Tahoma"/>
              <w:b/>
              <w:lang w:val="es-MX"/>
            </w:rPr>
            <w:t>Recurrente:</w:t>
          </w:r>
          <w:r w:rsidRPr="00120360">
            <w:rPr>
              <w:rFonts w:ascii="Palatino Linotype" w:eastAsia="Calibri" w:hAnsi="Palatino Linotype" w:cs="Tahoma"/>
              <w:b/>
              <w:lang w:val="es-MX"/>
            </w:rPr>
            <w:tab/>
          </w:r>
        </w:p>
      </w:tc>
      <w:tc>
        <w:tcPr>
          <w:tcW w:w="4540" w:type="dxa"/>
          <w:gridSpan w:val="2"/>
        </w:tcPr>
        <w:p w14:paraId="381510A8" w14:textId="53CE7F62" w:rsidR="00A85DE6" w:rsidRPr="0085159B" w:rsidRDefault="00A85DE6" w:rsidP="00D72779">
          <w:pPr>
            <w:tabs>
              <w:tab w:val="right" w:pos="8838"/>
            </w:tabs>
            <w:ind w:right="-32"/>
            <w:rPr>
              <w:rFonts w:ascii="Palatino Linotype" w:eastAsia="Calibri" w:hAnsi="Palatino Linotype" w:cs="Tahoma"/>
              <w:lang w:val="es-MX"/>
            </w:rPr>
          </w:pPr>
          <w:r w:rsidRPr="00120360">
            <w:rPr>
              <w:rFonts w:ascii="Palatino Linotype" w:eastAsia="Calibri" w:hAnsi="Palatino Linotype" w:cs="Tahoma"/>
              <w:lang w:val="es-MX"/>
            </w:rPr>
            <w:t> </w:t>
          </w:r>
          <w:r w:rsidR="00D72779" w:rsidRPr="00D72779">
            <w:rPr>
              <w:rFonts w:ascii="Palatino Linotype" w:eastAsia="Calibri" w:hAnsi="Palatino Linotype" w:cs="Tahoma"/>
              <w:highlight w:val="black"/>
              <w:lang w:val="es-MX"/>
            </w:rPr>
            <w:t>XXXXXXXXXXXXXXXXXX</w:t>
          </w:r>
        </w:p>
      </w:tc>
    </w:tr>
    <w:tr w:rsidR="00A85DE6" w:rsidRPr="0085159B" w14:paraId="0DA62856" w14:textId="77777777" w:rsidTr="00AB5969">
      <w:trPr>
        <w:gridAfter w:val="1"/>
        <w:wAfter w:w="429" w:type="dxa"/>
        <w:trHeight w:val="261"/>
      </w:trPr>
      <w:tc>
        <w:tcPr>
          <w:tcW w:w="2410" w:type="dxa"/>
        </w:tcPr>
        <w:p w14:paraId="1FB537C9" w14:textId="77777777" w:rsidR="00A85DE6" w:rsidRPr="0085159B" w:rsidRDefault="00A85DE6" w:rsidP="00A85DE6">
          <w:pPr>
            <w:tabs>
              <w:tab w:val="right" w:pos="8838"/>
            </w:tabs>
            <w:ind w:right="-105"/>
            <w:rPr>
              <w:rFonts w:ascii="Palatino Linotype" w:eastAsia="Calibri" w:hAnsi="Palatino Linotype" w:cs="Tahoma"/>
              <w:b/>
              <w:lang w:val="es-MX"/>
            </w:rPr>
          </w:pPr>
          <w:r w:rsidRPr="0085159B">
            <w:rPr>
              <w:rFonts w:ascii="Palatino Linotype" w:eastAsia="Calibri" w:hAnsi="Palatino Linotype" w:cs="Tahoma"/>
              <w:b/>
              <w:lang w:val="es-MX"/>
            </w:rPr>
            <w:t>Sujeto Obligado:</w:t>
          </w:r>
        </w:p>
      </w:tc>
      <w:tc>
        <w:tcPr>
          <w:tcW w:w="4111" w:type="dxa"/>
        </w:tcPr>
        <w:p w14:paraId="0629D391" w14:textId="77777777" w:rsidR="00A85DE6" w:rsidRPr="0085159B" w:rsidRDefault="00A85DE6" w:rsidP="00120360">
          <w:pPr>
            <w:tabs>
              <w:tab w:val="right" w:pos="8838"/>
            </w:tabs>
            <w:ind w:right="-32"/>
            <w:rPr>
              <w:rFonts w:ascii="Palatino Linotype" w:hAnsi="Palatino Linotype"/>
            </w:rPr>
          </w:pPr>
          <w:r w:rsidRPr="00120360">
            <w:rPr>
              <w:rFonts w:ascii="Palatino Linotype" w:eastAsia="Calibri" w:hAnsi="Palatino Linotype" w:cs="Tahoma"/>
              <w:lang w:val="es-MX"/>
            </w:rPr>
            <w:t>Ayuntamiento de Texcoco</w:t>
          </w:r>
        </w:p>
      </w:tc>
    </w:tr>
    <w:tr w:rsidR="00A85DE6" w:rsidRPr="00E152D8" w14:paraId="6A675145" w14:textId="77777777" w:rsidTr="00AB5969">
      <w:trPr>
        <w:trHeight w:val="261"/>
      </w:trPr>
      <w:tc>
        <w:tcPr>
          <w:tcW w:w="2410" w:type="dxa"/>
        </w:tcPr>
        <w:p w14:paraId="3A6629BC" w14:textId="77777777" w:rsidR="00A85DE6" w:rsidRPr="0085159B" w:rsidRDefault="00A85DE6" w:rsidP="00A85DE6">
          <w:pPr>
            <w:tabs>
              <w:tab w:val="right" w:pos="8838"/>
            </w:tabs>
            <w:ind w:right="-105"/>
            <w:rPr>
              <w:rFonts w:ascii="Palatino Linotype" w:eastAsia="Calibri" w:hAnsi="Palatino Linotype" w:cs="Tahoma"/>
              <w:b/>
              <w:lang w:val="es-MX"/>
            </w:rPr>
          </w:pPr>
          <w:r w:rsidRPr="0085159B">
            <w:rPr>
              <w:rFonts w:ascii="Palatino Linotype" w:eastAsia="Calibri" w:hAnsi="Palatino Linotype" w:cs="Tahoma"/>
              <w:b/>
              <w:lang w:val="es-MX"/>
            </w:rPr>
            <w:t>Comisionado Ponente:</w:t>
          </w:r>
        </w:p>
      </w:tc>
      <w:tc>
        <w:tcPr>
          <w:tcW w:w="4540" w:type="dxa"/>
          <w:gridSpan w:val="2"/>
        </w:tcPr>
        <w:p w14:paraId="7C5BD780" w14:textId="77777777" w:rsidR="00A85DE6" w:rsidRPr="0085159B" w:rsidRDefault="00A85DE6" w:rsidP="00A85DE6">
          <w:pPr>
            <w:tabs>
              <w:tab w:val="right" w:pos="8838"/>
            </w:tabs>
            <w:ind w:right="-32"/>
            <w:rPr>
              <w:rFonts w:ascii="Palatino Linotype" w:eastAsia="Calibri" w:hAnsi="Palatino Linotype" w:cs="Tahoma"/>
              <w:b/>
              <w:lang w:val="es-MX"/>
            </w:rPr>
          </w:pPr>
          <w:r w:rsidRPr="0085159B">
            <w:rPr>
              <w:rFonts w:ascii="Palatino Linotype" w:eastAsia="Calibri" w:hAnsi="Palatino Linotype" w:cs="Tahoma"/>
              <w:lang w:val="es-MX"/>
            </w:rPr>
            <w:t>Luis Gustavo Parra Noriega</w:t>
          </w:r>
        </w:p>
      </w:tc>
    </w:tr>
  </w:tbl>
  <w:p w14:paraId="18A5A301" w14:textId="77777777" w:rsidR="00A85DE6" w:rsidRDefault="00E0580A" w:rsidP="00A85DE6">
    <w:pPr>
      <w:pStyle w:val="Encabezado"/>
      <w:tabs>
        <w:tab w:val="left" w:pos="5812"/>
      </w:tabs>
    </w:pPr>
    <w:r>
      <w:rPr>
        <w:noProof/>
      </w:rPr>
      <w:pict w14:anchorId="21C3D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51" type="#_x0000_t75" alt="MARCA DE AGUA - HOJA RESOLUCIÓN" style="position:absolute;left:0;text-align:left;margin-left:-85.15pt;margin-top:-124.25pt;width:663.5pt;height:12in;z-index:-25165772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7D9D"/>
    <w:multiLevelType w:val="hybridMultilevel"/>
    <w:tmpl w:val="A69672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9AB5D16"/>
    <w:multiLevelType w:val="hybridMultilevel"/>
    <w:tmpl w:val="AAB42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3E6188A"/>
    <w:multiLevelType w:val="hybridMultilevel"/>
    <w:tmpl w:val="5C50D9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A350C81"/>
    <w:multiLevelType w:val="hybridMultilevel"/>
    <w:tmpl w:val="68980F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0A1B12"/>
    <w:multiLevelType w:val="hybridMultilevel"/>
    <w:tmpl w:val="68980F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3C0258"/>
    <w:multiLevelType w:val="hybridMultilevel"/>
    <w:tmpl w:val="68980F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 w15:restartNumberingAfterBreak="0">
    <w:nsid w:val="55FC5A7F"/>
    <w:multiLevelType w:val="hybridMultilevel"/>
    <w:tmpl w:val="20F6C5FC"/>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Times New Roman"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Times New Roman"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Times New Roman" w:hint="default"/>
      </w:rPr>
    </w:lvl>
    <w:lvl w:ilvl="8" w:tplc="080A0005">
      <w:start w:val="1"/>
      <w:numFmt w:val="bullet"/>
      <w:lvlText w:val=""/>
      <w:lvlJc w:val="left"/>
      <w:pPr>
        <w:ind w:left="6540" w:hanging="360"/>
      </w:pPr>
      <w:rPr>
        <w:rFonts w:ascii="Wingdings" w:hAnsi="Wingdings" w:hint="default"/>
      </w:rPr>
    </w:lvl>
  </w:abstractNum>
  <w:abstractNum w:abstractNumId="9" w15:restartNumberingAfterBreak="0">
    <w:nsid w:val="5AF53019"/>
    <w:multiLevelType w:val="hybridMultilevel"/>
    <w:tmpl w:val="6A78F948"/>
    <w:lvl w:ilvl="0" w:tplc="7262760C">
      <w:start w:val="1"/>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15:restartNumberingAfterBreak="0">
    <w:nsid w:val="75297554"/>
    <w:multiLevelType w:val="multilevel"/>
    <w:tmpl w:val="B1409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11"/>
  </w:num>
  <w:num w:numId="10">
    <w:abstractNumId w:val="4"/>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F5"/>
    <w:rsid w:val="00004547"/>
    <w:rsid w:val="00041FC5"/>
    <w:rsid w:val="00085984"/>
    <w:rsid w:val="000B3706"/>
    <w:rsid w:val="000D2820"/>
    <w:rsid w:val="000E6969"/>
    <w:rsid w:val="00120360"/>
    <w:rsid w:val="00127723"/>
    <w:rsid w:val="00127A88"/>
    <w:rsid w:val="00191238"/>
    <w:rsid w:val="00193FD7"/>
    <w:rsid w:val="001B0887"/>
    <w:rsid w:val="00211113"/>
    <w:rsid w:val="00254D97"/>
    <w:rsid w:val="002A0610"/>
    <w:rsid w:val="002C2C4E"/>
    <w:rsid w:val="0032083D"/>
    <w:rsid w:val="00330D91"/>
    <w:rsid w:val="00395191"/>
    <w:rsid w:val="003F283D"/>
    <w:rsid w:val="004137DB"/>
    <w:rsid w:val="00430945"/>
    <w:rsid w:val="0048396B"/>
    <w:rsid w:val="004C6AE5"/>
    <w:rsid w:val="005A209E"/>
    <w:rsid w:val="005E0F14"/>
    <w:rsid w:val="006A402C"/>
    <w:rsid w:val="006A7384"/>
    <w:rsid w:val="006F1CF5"/>
    <w:rsid w:val="006F6864"/>
    <w:rsid w:val="0075375A"/>
    <w:rsid w:val="007914E6"/>
    <w:rsid w:val="007C7984"/>
    <w:rsid w:val="007D5E88"/>
    <w:rsid w:val="0085159B"/>
    <w:rsid w:val="0086255A"/>
    <w:rsid w:val="008C18B2"/>
    <w:rsid w:val="00912447"/>
    <w:rsid w:val="00951103"/>
    <w:rsid w:val="009828D6"/>
    <w:rsid w:val="009C7EDC"/>
    <w:rsid w:val="00A47D08"/>
    <w:rsid w:val="00A845A2"/>
    <w:rsid w:val="00A85DE6"/>
    <w:rsid w:val="00AB5969"/>
    <w:rsid w:val="00B446EB"/>
    <w:rsid w:val="00BA161F"/>
    <w:rsid w:val="00C449E0"/>
    <w:rsid w:val="00C84F80"/>
    <w:rsid w:val="00CA0FFB"/>
    <w:rsid w:val="00CE3E91"/>
    <w:rsid w:val="00D174C8"/>
    <w:rsid w:val="00D479AD"/>
    <w:rsid w:val="00D72779"/>
    <w:rsid w:val="00D840E7"/>
    <w:rsid w:val="00E0580A"/>
    <w:rsid w:val="00E22891"/>
    <w:rsid w:val="00EE16D7"/>
    <w:rsid w:val="00F3374A"/>
    <w:rsid w:val="00F85987"/>
    <w:rsid w:val="00FD72F3"/>
    <w:rsid w:val="00FF63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D7EB69"/>
  <w15:chartTrackingRefBased/>
  <w15:docId w15:val="{8732D9CD-5ED8-4641-A81D-640F09DA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1CF5"/>
    <w:pPr>
      <w:tabs>
        <w:tab w:val="center" w:pos="4419"/>
        <w:tab w:val="right" w:pos="8838"/>
      </w:tabs>
      <w:spacing w:after="0" w:line="240" w:lineRule="auto"/>
      <w:jc w:val="both"/>
    </w:pPr>
    <w:rPr>
      <w:rFonts w:ascii="Palatino Linotype" w:hAnsi="Palatino Linotype"/>
      <w:color w:val="000000"/>
    </w:rPr>
  </w:style>
  <w:style w:type="character" w:customStyle="1" w:styleId="EncabezadoCar">
    <w:name w:val="Encabezado Car"/>
    <w:basedOn w:val="Fuentedeprrafopredeter"/>
    <w:link w:val="Encabezado"/>
    <w:uiPriority w:val="99"/>
    <w:rsid w:val="006F1CF5"/>
    <w:rPr>
      <w:rFonts w:ascii="Palatino Linotype" w:hAnsi="Palatino Linotype"/>
      <w:color w:val="000000"/>
    </w:rPr>
  </w:style>
  <w:style w:type="paragraph" w:styleId="Piedepgina">
    <w:name w:val="footer"/>
    <w:basedOn w:val="Normal"/>
    <w:link w:val="PiedepginaCar"/>
    <w:uiPriority w:val="99"/>
    <w:unhideWhenUsed/>
    <w:rsid w:val="006F1CF5"/>
    <w:pPr>
      <w:tabs>
        <w:tab w:val="center" w:pos="4419"/>
        <w:tab w:val="right" w:pos="8838"/>
      </w:tabs>
      <w:spacing w:after="0" w:line="240" w:lineRule="auto"/>
      <w:jc w:val="both"/>
    </w:pPr>
    <w:rPr>
      <w:rFonts w:ascii="Palatino Linotype" w:hAnsi="Palatino Linotype"/>
      <w:color w:val="000000"/>
    </w:rPr>
  </w:style>
  <w:style w:type="character" w:customStyle="1" w:styleId="PiedepginaCar">
    <w:name w:val="Pie de página Car"/>
    <w:basedOn w:val="Fuentedeprrafopredeter"/>
    <w:link w:val="Piedepgina"/>
    <w:uiPriority w:val="99"/>
    <w:rsid w:val="006F1CF5"/>
    <w:rPr>
      <w:rFonts w:ascii="Palatino Linotype" w:hAnsi="Palatino Linotype"/>
      <w:color w:val="000000"/>
    </w:rPr>
  </w:style>
  <w:style w:type="table" w:styleId="Tablaconcuadrcula">
    <w:name w:val="Table Grid"/>
    <w:basedOn w:val="Tablanormal"/>
    <w:uiPriority w:val="39"/>
    <w:qFormat/>
    <w:rsid w:val="006F1C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F2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94974">
      <w:bodyDiv w:val="1"/>
      <w:marLeft w:val="0"/>
      <w:marRight w:val="0"/>
      <w:marTop w:val="0"/>
      <w:marBottom w:val="0"/>
      <w:divBdr>
        <w:top w:val="none" w:sz="0" w:space="0" w:color="auto"/>
        <w:left w:val="none" w:sz="0" w:space="0" w:color="auto"/>
        <w:bottom w:val="none" w:sz="0" w:space="0" w:color="auto"/>
        <w:right w:val="none" w:sz="0" w:space="0" w:color="auto"/>
      </w:divBdr>
    </w:div>
    <w:div w:id="933322605">
      <w:bodyDiv w:val="1"/>
      <w:marLeft w:val="0"/>
      <w:marRight w:val="0"/>
      <w:marTop w:val="0"/>
      <w:marBottom w:val="0"/>
      <w:divBdr>
        <w:top w:val="none" w:sz="0" w:space="0" w:color="auto"/>
        <w:left w:val="none" w:sz="0" w:space="0" w:color="auto"/>
        <w:bottom w:val="none" w:sz="0" w:space="0" w:color="auto"/>
        <w:right w:val="none" w:sz="0" w:space="0" w:color="auto"/>
      </w:divBdr>
    </w:div>
    <w:div w:id="995381214">
      <w:bodyDiv w:val="1"/>
      <w:marLeft w:val="0"/>
      <w:marRight w:val="0"/>
      <w:marTop w:val="0"/>
      <w:marBottom w:val="0"/>
      <w:divBdr>
        <w:top w:val="none" w:sz="0" w:space="0" w:color="auto"/>
        <w:left w:val="none" w:sz="0" w:space="0" w:color="auto"/>
        <w:bottom w:val="none" w:sz="0" w:space="0" w:color="auto"/>
        <w:right w:val="none" w:sz="0" w:space="0" w:color="auto"/>
      </w:divBdr>
    </w:div>
    <w:div w:id="1562248661">
      <w:bodyDiv w:val="1"/>
      <w:marLeft w:val="0"/>
      <w:marRight w:val="0"/>
      <w:marTop w:val="0"/>
      <w:marBottom w:val="0"/>
      <w:divBdr>
        <w:top w:val="none" w:sz="0" w:space="0" w:color="auto"/>
        <w:left w:val="none" w:sz="0" w:space="0" w:color="auto"/>
        <w:bottom w:val="none" w:sz="0" w:space="0" w:color="auto"/>
        <w:right w:val="none" w:sz="0" w:space="0" w:color="auto"/>
      </w:divBdr>
    </w:div>
    <w:div w:id="1587881843">
      <w:bodyDiv w:val="1"/>
      <w:marLeft w:val="0"/>
      <w:marRight w:val="0"/>
      <w:marTop w:val="0"/>
      <w:marBottom w:val="0"/>
      <w:divBdr>
        <w:top w:val="none" w:sz="0" w:space="0" w:color="auto"/>
        <w:left w:val="none" w:sz="0" w:space="0" w:color="auto"/>
        <w:bottom w:val="none" w:sz="0" w:space="0" w:color="auto"/>
        <w:right w:val="none" w:sz="0" w:space="0" w:color="auto"/>
      </w:divBdr>
    </w:div>
    <w:div w:id="1948928494">
      <w:bodyDiv w:val="1"/>
      <w:marLeft w:val="0"/>
      <w:marRight w:val="0"/>
      <w:marTop w:val="0"/>
      <w:marBottom w:val="0"/>
      <w:divBdr>
        <w:top w:val="none" w:sz="0" w:space="0" w:color="auto"/>
        <w:left w:val="none" w:sz="0" w:space="0" w:color="auto"/>
        <w:bottom w:val="none" w:sz="0" w:space="0" w:color="auto"/>
        <w:right w:val="none" w:sz="0" w:space="0" w:color="auto"/>
      </w:divBdr>
    </w:div>
    <w:div w:id="19954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4109</Words>
  <Characters>22601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cp:lastModifiedBy>
  <cp:revision>5</cp:revision>
  <cp:lastPrinted>2024-12-13T06:06:00Z</cp:lastPrinted>
  <dcterms:created xsi:type="dcterms:W3CDTF">2024-12-13T06:06:00Z</dcterms:created>
  <dcterms:modified xsi:type="dcterms:W3CDTF">2025-02-04T19:05:00Z</dcterms:modified>
</cp:coreProperties>
</file>