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95" w:rsidRPr="00037B15" w:rsidRDefault="00B00995" w:rsidP="000E3D3D">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trece</w:t>
      </w:r>
      <w:r w:rsidRPr="00BE5048">
        <w:rPr>
          <w:rFonts w:ascii="Palatino Linotype" w:hAnsi="Palatino Linotype" w:cs="Arial"/>
          <w:b/>
          <w:color w:val="000000"/>
        </w:rPr>
        <w:t xml:space="preserve"> de </w:t>
      </w:r>
      <w:r>
        <w:rPr>
          <w:rFonts w:ascii="Palatino Linotype" w:hAnsi="Palatino Linotype" w:cs="Arial"/>
          <w:b/>
          <w:color w:val="000000"/>
        </w:rPr>
        <w:t>noviembre</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dos mil veinticuatro</w:t>
      </w:r>
      <w:r w:rsidRPr="00037B15">
        <w:rPr>
          <w:rFonts w:ascii="Palatino Linotype" w:hAnsi="Palatino Linotype" w:cs="Arial"/>
          <w:color w:val="000000"/>
        </w:rPr>
        <w:t>.</w:t>
      </w:r>
    </w:p>
    <w:p w:rsidR="00B00995" w:rsidRPr="00037B15" w:rsidRDefault="00B00995" w:rsidP="000E3D3D">
      <w:pPr>
        <w:tabs>
          <w:tab w:val="left" w:pos="1701"/>
        </w:tabs>
        <w:spacing w:line="360" w:lineRule="auto"/>
        <w:jc w:val="both"/>
        <w:rPr>
          <w:rFonts w:ascii="Palatino Linotype" w:hAnsi="Palatino Linotype" w:cs="Arial"/>
          <w:color w:val="000000"/>
        </w:rPr>
      </w:pPr>
    </w:p>
    <w:p w:rsidR="00B00995" w:rsidRPr="00037B15" w:rsidRDefault="00B00995" w:rsidP="000E3D3D">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05865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495508">
        <w:rPr>
          <w:rFonts w:ascii="Palatino Linotype" w:hAnsi="Palatino Linotype" w:cs="Arial"/>
          <w:b/>
        </w:rPr>
        <w:t>XXXXXXXXXXXXXXXXXXXXXX</w:t>
      </w:r>
      <w:bookmarkStart w:id="0" w:name="_GoBack"/>
      <w:bookmarkEnd w:id="0"/>
      <w:r>
        <w:rPr>
          <w:rFonts w:ascii="Palatino Linotype" w:hAnsi="Palatino Linotype" w:cs="Arial"/>
        </w:rPr>
        <w:t>,</w:t>
      </w:r>
      <w:r w:rsidRPr="00037B15">
        <w:rPr>
          <w:rFonts w:ascii="Palatino Linotype" w:hAnsi="Palatino Linotype" w:cs="Arial"/>
        </w:rPr>
        <w:t xml:space="preserve"> en lo sucesivo </w:t>
      </w:r>
      <w:r>
        <w:rPr>
          <w:rFonts w:ascii="Palatino Linotype" w:hAnsi="Palatino Linotype" w:cs="Arial"/>
          <w:b/>
        </w:rPr>
        <w:t>el Recurrente</w:t>
      </w:r>
      <w:r w:rsidRPr="00037B15">
        <w:rPr>
          <w:rFonts w:ascii="Palatino Linotype" w:eastAsiaTheme="minorHAnsi" w:hAnsi="Palatino Linotype" w:cs="Arial"/>
          <w:lang w:eastAsia="en-US"/>
        </w:rPr>
        <w:t xml:space="preserve">, en contra de la respuesta del </w:t>
      </w:r>
      <w:r w:rsidRPr="000D6DF8">
        <w:rPr>
          <w:rFonts w:ascii="Palatino Linotype" w:eastAsiaTheme="minorHAnsi" w:hAnsi="Palatino Linotype" w:cs="Arial"/>
          <w:b/>
          <w:lang w:eastAsia="en-US"/>
        </w:rPr>
        <w:t xml:space="preserve">Ayuntamiento de </w:t>
      </w:r>
      <w:proofErr w:type="spellStart"/>
      <w:r w:rsidRPr="00EA6A88">
        <w:rPr>
          <w:rFonts w:ascii="Palatino Linotype" w:eastAsiaTheme="minorHAnsi" w:hAnsi="Palatino Linotype" w:cs="Arial"/>
          <w:b/>
          <w:lang w:eastAsia="en-US"/>
        </w:rPr>
        <w:t>Juchitepec</w:t>
      </w:r>
      <w:proofErr w:type="spellEnd"/>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rsidR="00B00995" w:rsidRPr="00037B15" w:rsidRDefault="00B00995" w:rsidP="000E3D3D">
      <w:pPr>
        <w:tabs>
          <w:tab w:val="left" w:pos="1701"/>
        </w:tabs>
        <w:spacing w:line="360" w:lineRule="auto"/>
        <w:jc w:val="both"/>
        <w:rPr>
          <w:rFonts w:ascii="Palatino Linotype" w:eastAsiaTheme="minorHAnsi" w:hAnsi="Palatino Linotype" w:cs="Arial"/>
          <w:b/>
          <w:sz w:val="20"/>
          <w:lang w:eastAsia="en-US"/>
        </w:rPr>
      </w:pPr>
    </w:p>
    <w:p w:rsidR="00B00995" w:rsidRPr="00037B15" w:rsidRDefault="00B00995" w:rsidP="000E3D3D">
      <w:pPr>
        <w:spacing w:line="360" w:lineRule="auto"/>
        <w:ind w:left="708" w:hanging="708"/>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rsidR="00B00995" w:rsidRPr="00037B15" w:rsidRDefault="00B00995" w:rsidP="000E3D3D">
      <w:pPr>
        <w:spacing w:line="360" w:lineRule="auto"/>
        <w:jc w:val="center"/>
        <w:rPr>
          <w:rFonts w:ascii="Palatino Linotype" w:eastAsiaTheme="minorHAnsi" w:hAnsi="Palatino Linotype" w:cs="Arial"/>
          <w:b/>
          <w:sz w:val="16"/>
          <w:lang w:eastAsia="en-US"/>
        </w:rPr>
      </w:pPr>
    </w:p>
    <w:p w:rsidR="00B00995" w:rsidRPr="00037B15" w:rsidRDefault="00B00995" w:rsidP="000E3D3D">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rsidR="00B00995" w:rsidRPr="00037B15" w:rsidRDefault="00B00995" w:rsidP="000E3D3D">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dos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septiembre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el</w:t>
      </w:r>
      <w:r>
        <w:rPr>
          <w:rFonts w:ascii="Palatino Linotype" w:eastAsiaTheme="minorHAnsi" w:hAnsi="Palatino Linotype" w:cs="Arial"/>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(SAIMEX)</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Pr="00EA6A88">
        <w:rPr>
          <w:rFonts w:ascii="Palatino Linotype" w:eastAsiaTheme="minorHAnsi" w:hAnsi="Palatino Linotype" w:cs="Arial"/>
          <w:b/>
          <w:szCs w:val="22"/>
          <w:lang w:eastAsia="en-US"/>
        </w:rPr>
        <w:t>00103/JUCHITE/IP/2024</w:t>
      </w:r>
      <w:r w:rsidRPr="00037B15">
        <w:rPr>
          <w:rFonts w:ascii="Palatino Linotype" w:eastAsiaTheme="minorHAnsi" w:hAnsi="Palatino Linotype" w:cs="Arial"/>
          <w:szCs w:val="22"/>
          <w:lang w:eastAsia="en-US"/>
        </w:rPr>
        <w:t>, mediante la cual solicitó lo siguiente:</w:t>
      </w:r>
    </w:p>
    <w:p w:rsidR="00B00995" w:rsidRPr="00037B15" w:rsidRDefault="00B00995" w:rsidP="000E3D3D">
      <w:pPr>
        <w:pStyle w:val="Sinespaciado"/>
        <w:rPr>
          <w:rFonts w:eastAsiaTheme="minorHAnsi"/>
          <w:lang w:eastAsia="en-US"/>
        </w:rPr>
      </w:pPr>
    </w:p>
    <w:p w:rsidR="00B00995" w:rsidRDefault="00B00995" w:rsidP="000E3D3D">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EA6A88">
        <w:rPr>
          <w:rFonts w:ascii="Palatino Linotype" w:hAnsi="Palatino Linotype"/>
          <w:i/>
          <w:sz w:val="22"/>
          <w:szCs w:val="22"/>
        </w:rPr>
        <w:t>REPORTE DE LA ULTIMA QUINCENA DE AGOSTO 2024. ¿CON CUÁNTAS PATRULLAS CUENTA EL MUNICIPIO DE JUCHITEPEC Y EN QUE ESTADO? ¿CUAL ES EL PLAN DE OBRAS PÚBLICAS 2025 AUTORIZADO? INFORMACION RESPECTO EL PARQUE VEHICULAR</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rsidR="00B00995" w:rsidRPr="00037B15" w:rsidRDefault="00B00995" w:rsidP="000E3D3D">
      <w:pPr>
        <w:ind w:left="284" w:right="332"/>
        <w:jc w:val="both"/>
        <w:rPr>
          <w:rFonts w:ascii="Palatino Linotype" w:hAnsi="Palatino Linotype"/>
          <w:i/>
          <w:sz w:val="22"/>
          <w:szCs w:val="22"/>
          <w:lang w:val="es-ES_tradnl"/>
        </w:rPr>
      </w:pPr>
    </w:p>
    <w:p w:rsidR="00B00995" w:rsidRDefault="00B00995" w:rsidP="000E3D3D">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rsidR="00B00995" w:rsidRDefault="00B00995" w:rsidP="000E3D3D">
      <w:pPr>
        <w:spacing w:line="360" w:lineRule="auto"/>
        <w:ind w:right="334"/>
        <w:jc w:val="both"/>
        <w:rPr>
          <w:rFonts w:ascii="Palatino Linotype" w:hAnsi="Palatino Linotype" w:cs="Arial"/>
          <w:b/>
        </w:rPr>
      </w:pPr>
    </w:p>
    <w:p w:rsidR="00B00995" w:rsidRDefault="00B00995" w:rsidP="000E3D3D">
      <w:pPr>
        <w:spacing w:line="360" w:lineRule="auto"/>
        <w:jc w:val="both"/>
        <w:rPr>
          <w:rFonts w:ascii="Palatino Linotype" w:hAnsi="Palatino Linotype" w:cs="Arial"/>
          <w:b/>
          <w:sz w:val="28"/>
        </w:rPr>
      </w:pPr>
      <w:r w:rsidRPr="00CA1D2B">
        <w:rPr>
          <w:rFonts w:ascii="Palatino Linotype" w:hAnsi="Palatino Linotype" w:cs="Arial"/>
          <w:b/>
          <w:sz w:val="28"/>
        </w:rPr>
        <w:t xml:space="preserve">SEGUNDO. </w:t>
      </w:r>
      <w:r>
        <w:rPr>
          <w:rFonts w:ascii="Palatino Linotype" w:hAnsi="Palatino Linotype" w:cs="Arial"/>
          <w:b/>
          <w:sz w:val="28"/>
          <w:szCs w:val="20"/>
        </w:rPr>
        <w:t>De la respuesta del Sujeto Obligado.</w:t>
      </w:r>
    </w:p>
    <w:p w:rsidR="00B00995" w:rsidRDefault="00B00995" w:rsidP="000E3D3D">
      <w:pPr>
        <w:pStyle w:val="Sinespaciado"/>
        <w:spacing w:line="360" w:lineRule="auto"/>
        <w:jc w:val="both"/>
        <w:rPr>
          <w:rFonts w:ascii="Palatino Linotype" w:hAnsi="Palatino Linotype" w:cs="Arial"/>
        </w:rPr>
      </w:pPr>
      <w:r>
        <w:rPr>
          <w:rFonts w:ascii="Palatino Linotype" w:hAnsi="Palatino Linotype" w:cs="Arial"/>
        </w:rPr>
        <w:lastRenderedPageBreak/>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Pr>
          <w:rFonts w:ascii="Palatino Linotype" w:hAnsi="Palatino Linotype" w:cs="Arial"/>
          <w:b/>
        </w:rPr>
        <w:t>veinticuatro de septiembre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rsidR="00B00995" w:rsidRPr="00037B15" w:rsidRDefault="00B00995" w:rsidP="000E3D3D"/>
    <w:p w:rsidR="00B00995" w:rsidRPr="005A7DBB" w:rsidRDefault="00B00995" w:rsidP="000E3D3D">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Pr="005A7DBB">
        <w:rPr>
          <w:rFonts w:ascii="Palatino Linotype" w:hAnsi="Palatino Linotype"/>
          <w:i/>
          <w:sz w:val="22"/>
          <w:szCs w:val="22"/>
        </w:rPr>
        <w:t>En cumplimiento a lo que establecen los artículos 1, 2, 11, 12, 15, 23 fracción IV, 24, 53 fracciones II, V y 150 de la Ley de Transparencia y Acceso a la Información Pública del Estado de México y Municipios, le comento a usted, que dicha información la puede consultar en los anexos que se le proporciona a través de la plataforma SAIMEX. Sin otro particular, reciba un cordial saludo.</w:t>
      </w:r>
    </w:p>
    <w:p w:rsidR="00B00995" w:rsidRPr="005A7DBB" w:rsidRDefault="00B00995" w:rsidP="000E3D3D">
      <w:pPr>
        <w:spacing w:line="276" w:lineRule="auto"/>
        <w:ind w:left="567" w:right="567"/>
        <w:jc w:val="both"/>
        <w:rPr>
          <w:rFonts w:ascii="Palatino Linotype" w:hAnsi="Palatino Linotype"/>
          <w:i/>
          <w:sz w:val="22"/>
          <w:szCs w:val="22"/>
        </w:rPr>
      </w:pPr>
      <w:r w:rsidRPr="005A7DBB">
        <w:rPr>
          <w:rFonts w:ascii="Palatino Linotype" w:hAnsi="Palatino Linotype"/>
          <w:i/>
          <w:sz w:val="22"/>
          <w:szCs w:val="22"/>
        </w:rPr>
        <w:t>ATENTAMENTE</w:t>
      </w:r>
    </w:p>
    <w:p w:rsidR="00B00995" w:rsidRDefault="00B00995" w:rsidP="000E3D3D">
      <w:pPr>
        <w:spacing w:line="276" w:lineRule="auto"/>
        <w:ind w:left="567" w:right="567"/>
        <w:jc w:val="both"/>
        <w:rPr>
          <w:rFonts w:ascii="Palatino Linotype" w:hAnsi="Palatino Linotype"/>
          <w:i/>
          <w:sz w:val="22"/>
          <w:szCs w:val="22"/>
        </w:rPr>
      </w:pPr>
      <w:r w:rsidRPr="005A7DBB">
        <w:rPr>
          <w:rFonts w:ascii="Palatino Linotype" w:hAnsi="Palatino Linotype"/>
          <w:i/>
          <w:sz w:val="22"/>
          <w:szCs w:val="22"/>
        </w:rPr>
        <w:t>Maestro Néstor Uriel Hernández Quiroz</w:t>
      </w:r>
      <w:r w:rsidRPr="00037B15">
        <w:rPr>
          <w:rFonts w:ascii="Palatino Linotype" w:hAnsi="Palatino Linotype"/>
          <w:i/>
          <w:sz w:val="22"/>
          <w:szCs w:val="22"/>
        </w:rPr>
        <w:t>” (Sic).</w:t>
      </w:r>
    </w:p>
    <w:p w:rsidR="00B00995" w:rsidRPr="005A7DBB" w:rsidRDefault="00B00995" w:rsidP="000E3D3D">
      <w:pPr>
        <w:ind w:right="567"/>
        <w:jc w:val="both"/>
        <w:rPr>
          <w:rFonts w:ascii="Palatino Linotype" w:hAnsi="Palatino Linotype"/>
          <w:i/>
          <w:szCs w:val="22"/>
        </w:rPr>
      </w:pPr>
    </w:p>
    <w:p w:rsidR="00B00995" w:rsidRPr="00233278" w:rsidRDefault="00B00995" w:rsidP="000E3D3D">
      <w:pPr>
        <w:pStyle w:val="Sinespaciado"/>
        <w:spacing w:line="360" w:lineRule="auto"/>
        <w:jc w:val="both"/>
        <w:rPr>
          <w:rFonts w:ascii="Palatino Linotype" w:hAnsi="Palatino Linotype" w:cs="Arial"/>
        </w:rPr>
      </w:pPr>
      <w:r w:rsidRPr="00233278">
        <w:rPr>
          <w:rFonts w:ascii="Palatino Linotype" w:hAnsi="Palatino Linotype" w:cs="Arial"/>
        </w:rPr>
        <w:t xml:space="preserve">El Sujeto Obligado adjuntó </w:t>
      </w:r>
      <w:r>
        <w:rPr>
          <w:rFonts w:ascii="Palatino Linotype" w:hAnsi="Palatino Linotype" w:cs="Arial"/>
        </w:rPr>
        <w:t>el</w:t>
      </w:r>
      <w:r w:rsidRPr="00233278">
        <w:rPr>
          <w:rFonts w:ascii="Palatino Linotype" w:hAnsi="Palatino Linotype" w:cs="Arial"/>
        </w:rPr>
        <w:t xml:space="preserve"> archivo electrónico denominado </w:t>
      </w:r>
      <w:r w:rsidRPr="00233278">
        <w:rPr>
          <w:rFonts w:ascii="Palatino Linotype" w:hAnsi="Palatino Linotype" w:cs="Arial"/>
          <w:i/>
        </w:rPr>
        <w:t>“</w:t>
      </w:r>
      <w:r w:rsidRPr="005A7DBB">
        <w:rPr>
          <w:rFonts w:ascii="Palatino Linotype" w:hAnsi="Palatino Linotype" w:cs="Arial"/>
          <w:i/>
        </w:rPr>
        <w:t>00103JUCHITEIP2024.pdf</w:t>
      </w:r>
      <w:r w:rsidRPr="00233278">
        <w:rPr>
          <w:rFonts w:ascii="Palatino Linotype" w:hAnsi="Palatino Linotype" w:cs="Arial"/>
          <w:i/>
        </w:rPr>
        <w:t xml:space="preserve">”, </w:t>
      </w:r>
      <w:r w:rsidRPr="00233278">
        <w:rPr>
          <w:rFonts w:ascii="Palatino Linotype" w:hAnsi="Palatino Linotype" w:cs="Arial"/>
        </w:rPr>
        <w:t xml:space="preserve">mismo que no se reproduce por ser del conocimiento de las partes, sin embargo, será materia de estudio en el </w:t>
      </w:r>
      <w:r w:rsidRPr="00233278">
        <w:rPr>
          <w:rFonts w:ascii="Palatino Linotype" w:hAnsi="Palatino Linotype" w:cs="Arial"/>
          <w:b/>
        </w:rPr>
        <w:t>CONSIDERADO</w:t>
      </w:r>
      <w:r w:rsidRPr="00233278">
        <w:rPr>
          <w:rFonts w:ascii="Palatino Linotype" w:hAnsi="Palatino Linotype" w:cs="Arial"/>
        </w:rPr>
        <w:t xml:space="preserve"> respectivo.</w:t>
      </w:r>
    </w:p>
    <w:p w:rsidR="00B00995" w:rsidRDefault="00B00995" w:rsidP="000E3D3D">
      <w:pPr>
        <w:spacing w:line="360" w:lineRule="auto"/>
        <w:jc w:val="both"/>
        <w:rPr>
          <w:rFonts w:ascii="Palatino Linotype" w:eastAsiaTheme="minorHAnsi" w:hAnsi="Palatino Linotype" w:cs="Arial"/>
          <w:b/>
          <w:lang w:eastAsia="en-US"/>
        </w:rPr>
      </w:pPr>
    </w:p>
    <w:p w:rsidR="00B00995" w:rsidRPr="00037B15" w:rsidRDefault="00B00995" w:rsidP="000E3D3D">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TERCER</w:t>
      </w:r>
      <w:r w:rsidRPr="00037B15">
        <w:rPr>
          <w:rFonts w:ascii="Palatino Linotype" w:eastAsiaTheme="minorHAnsi" w:hAnsi="Palatino Linotype" w:cs="Arial"/>
          <w:b/>
          <w:sz w:val="28"/>
          <w:lang w:eastAsia="en-US"/>
        </w:rPr>
        <w:t>O. Del recurso de revisión.</w:t>
      </w:r>
    </w:p>
    <w:p w:rsidR="00B00995" w:rsidRDefault="00B00995" w:rsidP="000E3D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Pr>
          <w:rFonts w:ascii="Palatino Linotype" w:eastAsiaTheme="minorHAnsi" w:hAnsi="Palatino Linotype" w:cs="Arial"/>
          <w:b/>
          <w:lang w:eastAsia="en-US"/>
        </w:rPr>
        <w:t>veinticinco de septiembre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Pr>
          <w:rFonts w:ascii="Palatino Linotype" w:eastAsiaTheme="minorHAnsi" w:hAnsi="Palatino Linotype" w:cs="Arial"/>
          <w:b/>
          <w:lang w:eastAsia="en-US"/>
        </w:rPr>
        <w:t>5865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rsidR="00B00995" w:rsidRPr="00037B15" w:rsidRDefault="00B00995" w:rsidP="000E3D3D"/>
    <w:p w:rsidR="00B00995" w:rsidRDefault="00B00995" w:rsidP="000E3D3D">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B00995" w:rsidRDefault="00B00995" w:rsidP="000E3D3D">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Pr="005A7DBB">
        <w:rPr>
          <w:rFonts w:ascii="Palatino Linotype" w:eastAsiaTheme="minorHAnsi" w:hAnsi="Palatino Linotype" w:cstheme="minorBidi"/>
          <w:i/>
          <w:color w:val="000000"/>
          <w:sz w:val="22"/>
          <w:szCs w:val="22"/>
          <w:lang w:eastAsia="en-US"/>
        </w:rPr>
        <w:t>solicitud de información con número de folio 00103/JUCHITENPI2024</w:t>
      </w:r>
      <w:r w:rsidRPr="00037B15">
        <w:rPr>
          <w:rFonts w:ascii="Palatino Linotype" w:eastAsiaTheme="minorHAnsi" w:hAnsi="Palatino Linotype" w:cstheme="minorBidi"/>
          <w:i/>
          <w:color w:val="000000"/>
          <w:sz w:val="22"/>
          <w:szCs w:val="22"/>
          <w:lang w:eastAsia="en-US"/>
        </w:rPr>
        <w:t>” (Sic).</w:t>
      </w:r>
    </w:p>
    <w:p w:rsidR="00B00995" w:rsidRPr="00037B15" w:rsidRDefault="00B00995" w:rsidP="000E3D3D">
      <w:pPr>
        <w:spacing w:line="259" w:lineRule="auto"/>
        <w:ind w:left="720"/>
        <w:jc w:val="both"/>
        <w:rPr>
          <w:rFonts w:ascii="Palatino Linotype" w:hAnsi="Palatino Linotype" w:cs="Arial"/>
          <w:b/>
          <w:sz w:val="26"/>
          <w:szCs w:val="26"/>
        </w:rPr>
      </w:pPr>
    </w:p>
    <w:p w:rsidR="00B00995" w:rsidRPr="00304479" w:rsidRDefault="00B00995" w:rsidP="000E3D3D">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B00995" w:rsidRPr="00304479" w:rsidRDefault="00B00995" w:rsidP="000E3D3D">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Pr="00793045">
        <w:rPr>
          <w:rFonts w:ascii="Palatino Linotype" w:eastAsiaTheme="minorHAnsi" w:hAnsi="Palatino Linotype" w:cstheme="minorBidi"/>
          <w:i/>
          <w:color w:val="000000"/>
          <w:sz w:val="22"/>
          <w:szCs w:val="22"/>
          <w:lang w:eastAsia="en-US"/>
        </w:rPr>
        <w:t xml:space="preserve">EL MOTIVO ES QUE EL SUJETO OBLIGADO AYUNTAMIENTO DE JUCHITEPEC SI ES COMPETENTE PARA DARME INFORMACION RESPECTO </w:t>
      </w:r>
      <w:r w:rsidRPr="00793045">
        <w:rPr>
          <w:rFonts w:ascii="Palatino Linotype" w:eastAsiaTheme="minorHAnsi" w:hAnsi="Palatino Linotype" w:cstheme="minorBidi"/>
          <w:b/>
          <w:i/>
          <w:color w:val="000000"/>
          <w:sz w:val="22"/>
          <w:szCs w:val="22"/>
          <w:lang w:eastAsia="en-US"/>
        </w:rPr>
        <w:t>AL REPORTE DE LA ULTIMA QUINCE DEL MES DE AGOSTO 2024</w:t>
      </w:r>
      <w:r w:rsidRPr="00793045">
        <w:rPr>
          <w:rFonts w:ascii="Palatino Linotype" w:eastAsiaTheme="minorHAnsi" w:hAnsi="Palatino Linotype" w:cstheme="minorBidi"/>
          <w:i/>
          <w:color w:val="000000"/>
          <w:sz w:val="22"/>
          <w:szCs w:val="22"/>
          <w:lang w:eastAsia="en-US"/>
        </w:rPr>
        <w:t>, TODO VEZ QUE EL OFICIO FUE CONTESTADO POR UNA DEPENDENCIA ADMINISTRATIVA DIVERSA CON LA QUE CUENTA DICHA INFORMACION</w:t>
      </w:r>
      <w:r w:rsidRPr="00037B15">
        <w:rPr>
          <w:rFonts w:ascii="Palatino Linotype" w:eastAsiaTheme="minorHAnsi" w:hAnsi="Palatino Linotype" w:cstheme="minorBidi"/>
          <w:i/>
          <w:color w:val="000000"/>
          <w:sz w:val="22"/>
          <w:szCs w:val="22"/>
          <w:lang w:eastAsia="en-US"/>
        </w:rPr>
        <w:t>” (Sic)</w:t>
      </w:r>
    </w:p>
    <w:p w:rsidR="00B00995" w:rsidRPr="00037B15" w:rsidRDefault="00B00995" w:rsidP="000E3D3D">
      <w:pPr>
        <w:spacing w:line="360" w:lineRule="auto"/>
        <w:jc w:val="both"/>
        <w:rPr>
          <w:rFonts w:ascii="Palatino Linotype" w:eastAsiaTheme="minorHAnsi" w:hAnsi="Palatino Linotype" w:cs="Arial"/>
          <w:b/>
          <w:lang w:eastAsia="en-US"/>
        </w:rPr>
      </w:pPr>
    </w:p>
    <w:p w:rsidR="00B00995" w:rsidRDefault="00B00995" w:rsidP="000E3D3D">
      <w:pPr>
        <w:spacing w:line="360" w:lineRule="auto"/>
        <w:jc w:val="both"/>
        <w:rPr>
          <w:rFonts w:ascii="Palatino Linotype" w:eastAsiaTheme="minorHAnsi" w:hAnsi="Palatino Linotype" w:cs="Arial"/>
          <w:b/>
          <w:sz w:val="28"/>
          <w:lang w:eastAsia="en-US"/>
        </w:rPr>
      </w:pPr>
    </w:p>
    <w:p w:rsidR="00B00995" w:rsidRPr="00037B15" w:rsidRDefault="00B00995" w:rsidP="000E3D3D">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SEX</w:t>
      </w:r>
      <w:r w:rsidRPr="00037B15">
        <w:rPr>
          <w:rFonts w:ascii="Palatino Linotype" w:eastAsiaTheme="minorHAnsi" w:hAnsi="Palatino Linotype" w:cs="Arial"/>
          <w:b/>
          <w:sz w:val="28"/>
          <w:lang w:eastAsia="en-US"/>
        </w:rPr>
        <w:t>TO. Del turno del recurso de revisión.</w:t>
      </w:r>
    </w:p>
    <w:p w:rsidR="00B00995" w:rsidRPr="00037B15" w:rsidRDefault="00B00995" w:rsidP="000E3D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eastAsiaTheme="minorHAnsi" w:hAnsi="Palatino Linotype" w:cs="Arial"/>
          <w:b/>
          <w:lang w:eastAsia="en-US"/>
        </w:rPr>
        <w:t xml:space="preserve">dos </w:t>
      </w:r>
      <w:r w:rsidRPr="00A86565">
        <w:rPr>
          <w:rFonts w:ascii="Palatino Linotype" w:eastAsiaTheme="minorHAnsi" w:hAnsi="Palatino Linotype" w:cs="Arial"/>
          <w:b/>
          <w:lang w:eastAsia="en-US"/>
        </w:rPr>
        <w:t xml:space="preserve">de </w:t>
      </w:r>
      <w:r>
        <w:rPr>
          <w:rFonts w:ascii="Palatino Linotype" w:eastAsiaTheme="minorHAnsi" w:hAnsi="Palatino Linotype" w:cs="Arial"/>
          <w:b/>
          <w:lang w:eastAsia="en-US"/>
        </w:rPr>
        <w:t>octubre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rsidR="00B00995" w:rsidRPr="00AE33E3" w:rsidRDefault="00B00995" w:rsidP="000E3D3D">
      <w:pPr>
        <w:spacing w:line="360" w:lineRule="auto"/>
        <w:jc w:val="both"/>
        <w:rPr>
          <w:rFonts w:ascii="Palatino Linotype" w:eastAsiaTheme="minorHAnsi" w:hAnsi="Palatino Linotype" w:cs="Arial"/>
          <w:b/>
          <w:lang w:eastAsia="en-US"/>
        </w:rPr>
      </w:pPr>
    </w:p>
    <w:p w:rsidR="00B00995" w:rsidRPr="00037B15" w:rsidRDefault="00B00995" w:rsidP="000E3D3D">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SÉPTIM</w:t>
      </w:r>
      <w:r w:rsidRPr="00037B15">
        <w:rPr>
          <w:rFonts w:ascii="Palatino Linotype" w:eastAsiaTheme="minorHAnsi" w:hAnsi="Palatino Linotype" w:cs="Arial"/>
          <w:b/>
          <w:sz w:val="28"/>
          <w:lang w:eastAsia="en-US"/>
        </w:rPr>
        <w:t>O. De la etapa de manifestaciones y/o alegatos.</w:t>
      </w:r>
    </w:p>
    <w:p w:rsidR="00B00995" w:rsidRPr="000B61B4" w:rsidRDefault="00B00995" w:rsidP="000E3D3D">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omitió</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 xml:space="preserve">rendir </w:t>
      </w:r>
      <w:r w:rsidRPr="00037B15">
        <w:rPr>
          <w:rFonts w:ascii="Palatino Linotype" w:eastAsiaTheme="minorHAnsi" w:hAnsi="Palatino Linotype" w:cs="Arial"/>
          <w:lang w:eastAsia="en-US"/>
        </w:rPr>
        <w:t>su informe justificado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rPr>
        <w:t xml:space="preserve">el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rsidR="00B00995" w:rsidRPr="000A1E7A" w:rsidRDefault="00B00995" w:rsidP="000E3D3D">
      <w:pPr>
        <w:tabs>
          <w:tab w:val="left" w:pos="3206"/>
        </w:tabs>
        <w:spacing w:line="360" w:lineRule="auto"/>
        <w:jc w:val="both"/>
        <w:rPr>
          <w:rFonts w:ascii="Palatino Linotype" w:eastAsiaTheme="minorHAnsi" w:hAnsi="Palatino Linotype" w:cs="Arial"/>
          <w:b/>
          <w:lang w:eastAsia="en-US"/>
        </w:rPr>
      </w:pPr>
    </w:p>
    <w:p w:rsidR="00B00995" w:rsidRPr="00037B15" w:rsidRDefault="00B00995" w:rsidP="000E3D3D">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O</w:t>
      </w:r>
      <w:r>
        <w:rPr>
          <w:rFonts w:ascii="Palatino Linotype" w:eastAsiaTheme="minorHAnsi" w:hAnsi="Palatino Linotype" w:cs="Arial"/>
          <w:b/>
          <w:sz w:val="28"/>
          <w:lang w:eastAsia="en-US"/>
        </w:rPr>
        <w:t>CTAVO</w:t>
      </w:r>
      <w:r w:rsidRPr="00037B15">
        <w:rPr>
          <w:rFonts w:ascii="Palatino Linotype" w:eastAsiaTheme="minorHAnsi" w:hAnsi="Palatino Linotype" w:cs="Arial"/>
          <w:b/>
          <w:sz w:val="28"/>
          <w:lang w:eastAsia="en-US"/>
        </w:rPr>
        <w:t>. Del cierre de instrucción.</w:t>
      </w:r>
      <w:r w:rsidRPr="00037B15">
        <w:rPr>
          <w:rFonts w:ascii="Palatino Linotype" w:eastAsiaTheme="minorHAnsi" w:hAnsi="Palatino Linotype" w:cs="Arial"/>
          <w:b/>
          <w:sz w:val="28"/>
          <w:lang w:eastAsia="en-US"/>
        </w:rPr>
        <w:tab/>
      </w:r>
    </w:p>
    <w:p w:rsidR="00B00995" w:rsidRPr="00037B15" w:rsidRDefault="00B00995" w:rsidP="000E3D3D">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Pr>
          <w:rFonts w:ascii="Palatino Linotype" w:eastAsiaTheme="minorHAnsi" w:hAnsi="Palatino Linotype" w:cs="Arial"/>
          <w:b/>
          <w:lang w:eastAsia="en-US"/>
        </w:rPr>
        <w:t>veintiuno de octubre</w:t>
      </w:r>
      <w:r w:rsidRPr="00C031B6">
        <w:rPr>
          <w:rFonts w:ascii="Palatino Linotype" w:eastAsiaTheme="minorHAnsi" w:hAnsi="Palatino Linotype" w:cs="Arial"/>
          <w:b/>
          <w:lang w:eastAsia="en-US"/>
        </w:rPr>
        <w:t xml:space="preserve"> 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rsidR="00B00995" w:rsidRPr="00AE33E3" w:rsidRDefault="00B00995" w:rsidP="000E3D3D">
      <w:pPr>
        <w:spacing w:line="360" w:lineRule="auto"/>
        <w:jc w:val="both"/>
        <w:rPr>
          <w:rFonts w:ascii="Palatino Linotype" w:eastAsiaTheme="minorHAnsi" w:hAnsi="Palatino Linotype" w:cs="Arial"/>
          <w:b/>
          <w:lang w:eastAsia="en-US"/>
        </w:rPr>
      </w:pPr>
    </w:p>
    <w:p w:rsidR="00B00995" w:rsidRPr="00037B15" w:rsidRDefault="00B00995" w:rsidP="000E3D3D">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rsidR="00B00995" w:rsidRPr="00AE33E3" w:rsidRDefault="00B00995" w:rsidP="000E3D3D">
      <w:pPr>
        <w:spacing w:line="360" w:lineRule="auto"/>
        <w:jc w:val="center"/>
        <w:rPr>
          <w:rFonts w:ascii="Palatino Linotype" w:eastAsiaTheme="minorHAnsi" w:hAnsi="Palatino Linotype" w:cs="Arial"/>
          <w:b/>
          <w:lang w:eastAsia="en-US"/>
        </w:rPr>
      </w:pPr>
    </w:p>
    <w:p w:rsidR="00B00995" w:rsidRPr="00037B15" w:rsidRDefault="00B00995" w:rsidP="000E3D3D">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rsidR="00B00995" w:rsidRPr="00037B15" w:rsidRDefault="00B00995" w:rsidP="000E3D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lastRenderedPageBreak/>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 xml:space="preserve">segundo, </w:t>
      </w:r>
      <w:r w:rsidRPr="00037B15">
        <w:rPr>
          <w:rFonts w:ascii="Palatino Linotype" w:eastAsiaTheme="minorHAnsi" w:hAnsi="Palatino Linotype" w:cs="Arial"/>
          <w:lang w:eastAsia="en-US"/>
        </w:rPr>
        <w:t xml:space="preserve">trigésimo </w:t>
      </w:r>
      <w:r>
        <w:rPr>
          <w:rFonts w:ascii="Palatino Linotype" w:eastAsiaTheme="minorHAnsi" w:hAnsi="Palatino Linotype" w:cs="Arial"/>
          <w:lang w:eastAsia="en-US"/>
        </w:rPr>
        <w:t>tercero y trigésimo</w:t>
      </w:r>
      <w:r w:rsidRPr="0010168B">
        <w:rPr>
          <w:rFonts w:ascii="Palatino Linotype" w:eastAsiaTheme="minorHAnsi" w:hAnsi="Palatino Linotype" w:cs="Arial"/>
          <w:lang w:eastAsia="en-US"/>
        </w:rPr>
        <w:t xml:space="preserve">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rsidR="00B00995" w:rsidRPr="00580D96" w:rsidRDefault="00B00995" w:rsidP="000E3D3D">
      <w:pPr>
        <w:autoSpaceDE w:val="0"/>
        <w:autoSpaceDN w:val="0"/>
        <w:adjustRightInd w:val="0"/>
        <w:spacing w:line="360" w:lineRule="auto"/>
        <w:jc w:val="both"/>
        <w:rPr>
          <w:rFonts w:ascii="Palatino Linotype" w:eastAsiaTheme="minorHAnsi" w:hAnsi="Palatino Linotype" w:cs="Arial"/>
          <w:b/>
          <w:lang w:eastAsia="en-US"/>
        </w:rPr>
      </w:pPr>
    </w:p>
    <w:p w:rsidR="00B00995" w:rsidRPr="00037B15" w:rsidRDefault="00B00995" w:rsidP="000E3D3D">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rsidR="00B00995" w:rsidRPr="00037B15" w:rsidRDefault="00B00995" w:rsidP="000E3D3D">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B00995" w:rsidRPr="009E1B50" w:rsidRDefault="00B00995" w:rsidP="000E3D3D">
      <w:pPr>
        <w:pStyle w:val="Prrafodelista"/>
        <w:autoSpaceDE w:val="0"/>
        <w:autoSpaceDN w:val="0"/>
        <w:adjustRightInd w:val="0"/>
        <w:spacing w:line="360" w:lineRule="auto"/>
        <w:ind w:left="0"/>
        <w:jc w:val="both"/>
        <w:rPr>
          <w:rFonts w:ascii="Palatino Linotype" w:hAnsi="Palatino Linotype" w:cs="Arial"/>
          <w:b/>
        </w:rPr>
      </w:pPr>
    </w:p>
    <w:p w:rsidR="00B00995" w:rsidRDefault="00B00995" w:rsidP="000E3D3D">
      <w:pPr>
        <w:spacing w:line="360" w:lineRule="auto"/>
        <w:jc w:val="both"/>
        <w:rPr>
          <w:rFonts w:ascii="Palatino Linotype" w:hAnsi="Palatino Linotype" w:cs="Arial"/>
          <w:b/>
          <w:sz w:val="28"/>
        </w:rPr>
      </w:pPr>
      <w:r w:rsidRPr="00CA1D2B">
        <w:rPr>
          <w:rFonts w:ascii="Palatino Linotype" w:hAnsi="Palatino Linotype" w:cs="Arial"/>
          <w:b/>
          <w:sz w:val="28"/>
        </w:rPr>
        <w:t xml:space="preserve">TERCERO. </w:t>
      </w:r>
      <w:r>
        <w:rPr>
          <w:rFonts w:ascii="Palatino Linotype" w:hAnsi="Palatino Linotype" w:cs="Arial"/>
          <w:b/>
          <w:sz w:val="28"/>
        </w:rPr>
        <w:t>De las causas de improcedencia.</w:t>
      </w:r>
    </w:p>
    <w:p w:rsidR="00B00995" w:rsidRPr="00667998" w:rsidRDefault="00B00995" w:rsidP="000E3D3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xml:space="preserve">, los cuales deben estudiarse con la finalidad de dar cumplimiento a los principios de legalidad y objetividad </w:t>
      </w:r>
      <w:r w:rsidRPr="00667998">
        <w:rPr>
          <w:rFonts w:ascii="Palatino Linotype" w:hAnsi="Palatino Linotype" w:cs="Arial"/>
        </w:rPr>
        <w:lastRenderedPageBreak/>
        <w:t>inmersos en el artículo 9, de Ley de Transparencia y Acceso a la Información Pública del Estado de México y Municipios, en correlación con la seguridad jurídica que debe generar lo actuado ante este Organismo garante.</w:t>
      </w:r>
    </w:p>
    <w:p w:rsidR="00B00995" w:rsidRDefault="00B00995" w:rsidP="000E3D3D">
      <w:pPr>
        <w:pStyle w:val="Prrafodelista"/>
        <w:autoSpaceDE w:val="0"/>
        <w:autoSpaceDN w:val="0"/>
        <w:adjustRightInd w:val="0"/>
        <w:spacing w:line="360" w:lineRule="auto"/>
        <w:ind w:left="0"/>
        <w:jc w:val="both"/>
        <w:rPr>
          <w:rFonts w:ascii="Palatino Linotype" w:hAnsi="Palatino Linotype" w:cs="Arial"/>
        </w:rPr>
      </w:pPr>
    </w:p>
    <w:p w:rsidR="00B00995" w:rsidRDefault="00B00995" w:rsidP="000E3D3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B00995" w:rsidRDefault="00B00995" w:rsidP="000E3D3D">
      <w:pPr>
        <w:pStyle w:val="Prrafodelista"/>
        <w:autoSpaceDE w:val="0"/>
        <w:autoSpaceDN w:val="0"/>
        <w:adjustRightInd w:val="0"/>
        <w:spacing w:line="360" w:lineRule="auto"/>
        <w:ind w:left="0"/>
        <w:jc w:val="both"/>
        <w:rPr>
          <w:rFonts w:ascii="Palatino Linotype" w:hAnsi="Palatino Linotype" w:cs="Arial"/>
        </w:rPr>
      </w:pPr>
    </w:p>
    <w:p w:rsidR="00B00995" w:rsidRDefault="00B00995" w:rsidP="000E3D3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B00995" w:rsidRPr="000A1E7A" w:rsidRDefault="00B00995" w:rsidP="000E3D3D">
      <w:pPr>
        <w:pStyle w:val="Prrafodelista"/>
        <w:autoSpaceDE w:val="0"/>
        <w:autoSpaceDN w:val="0"/>
        <w:adjustRightInd w:val="0"/>
        <w:spacing w:line="360" w:lineRule="auto"/>
        <w:ind w:left="0"/>
        <w:jc w:val="both"/>
        <w:rPr>
          <w:rFonts w:ascii="Palatino Linotype" w:hAnsi="Palatino Linotype" w:cs="Arial"/>
          <w:b/>
        </w:rPr>
      </w:pPr>
    </w:p>
    <w:p w:rsidR="00B00995" w:rsidRDefault="00B00995" w:rsidP="000E3D3D">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037B15">
        <w:rPr>
          <w:rFonts w:ascii="Palatino Linotype" w:hAnsi="Palatino Linotype" w:cs="Arial"/>
          <w:b/>
          <w:sz w:val="28"/>
        </w:rPr>
        <w:t xml:space="preserve">O. </w:t>
      </w:r>
      <w:r w:rsidRPr="00667998">
        <w:rPr>
          <w:rFonts w:ascii="Palatino Linotype" w:hAnsi="Palatino Linotype" w:cs="Arial"/>
          <w:b/>
          <w:sz w:val="28"/>
        </w:rPr>
        <w:t>Estudio y resolución del asunto.</w:t>
      </w:r>
    </w:p>
    <w:p w:rsidR="00B00995" w:rsidRPr="00667998" w:rsidRDefault="00B00995" w:rsidP="000E3D3D">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B00995" w:rsidRDefault="00B00995" w:rsidP="000E3D3D">
      <w:pPr>
        <w:spacing w:line="360" w:lineRule="auto"/>
        <w:jc w:val="both"/>
        <w:rPr>
          <w:rFonts w:ascii="Palatino Linotype" w:hAnsi="Palatino Linotype"/>
        </w:rPr>
      </w:pPr>
    </w:p>
    <w:p w:rsidR="00B00995" w:rsidRDefault="00B00995" w:rsidP="000E3D3D">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la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rsidR="00B00995" w:rsidRDefault="00703E75" w:rsidP="000E3D3D">
      <w:pPr>
        <w:spacing w:line="360" w:lineRule="auto"/>
        <w:jc w:val="both"/>
        <w:rPr>
          <w:rFonts w:ascii="Palatino Linotype" w:hAnsi="Palatino Linotype"/>
          <w:color w:val="000000"/>
        </w:rPr>
      </w:pPr>
      <w:bookmarkStart w:id="1" w:name="_Hlk82038749"/>
      <w:bookmarkStart w:id="2" w:name="_Hlk82011256"/>
      <w:r>
        <w:rPr>
          <w:rFonts w:ascii="Palatino Linotype" w:hAnsi="Palatino Linotype"/>
        </w:rPr>
        <w:t>Información correspondiente a</w:t>
      </w:r>
      <w:r w:rsidR="00B00995" w:rsidRPr="00703E75">
        <w:rPr>
          <w:rFonts w:ascii="Palatino Linotype" w:hAnsi="Palatino Linotype"/>
          <w:color w:val="000000"/>
        </w:rPr>
        <w:t xml:space="preserve"> la última</w:t>
      </w:r>
      <w:r>
        <w:rPr>
          <w:rFonts w:ascii="Palatino Linotype" w:hAnsi="Palatino Linotype"/>
          <w:color w:val="000000"/>
        </w:rPr>
        <w:t xml:space="preserve"> quincena de agosto 2024:</w:t>
      </w:r>
    </w:p>
    <w:p w:rsidR="00703E75" w:rsidRPr="00703E75" w:rsidRDefault="00703E75" w:rsidP="000E3D3D">
      <w:pPr>
        <w:spacing w:line="360" w:lineRule="auto"/>
        <w:jc w:val="both"/>
        <w:rPr>
          <w:rFonts w:ascii="Palatino Linotype" w:eastAsia="Arial Unicode MS" w:hAnsi="Palatino Linotype" w:cs="Arial"/>
        </w:rPr>
      </w:pPr>
    </w:p>
    <w:p w:rsidR="00B00995" w:rsidRPr="00793045" w:rsidRDefault="00B00995" w:rsidP="000E3D3D">
      <w:pPr>
        <w:pStyle w:val="Prrafodelista"/>
        <w:numPr>
          <w:ilvl w:val="0"/>
          <w:numId w:val="4"/>
        </w:numPr>
        <w:spacing w:line="360" w:lineRule="auto"/>
        <w:jc w:val="both"/>
        <w:rPr>
          <w:rFonts w:ascii="Palatino Linotype" w:eastAsia="Arial Unicode MS" w:hAnsi="Palatino Linotype" w:cs="Arial"/>
        </w:rPr>
      </w:pPr>
      <w:r>
        <w:rPr>
          <w:rFonts w:ascii="Palatino Linotype" w:hAnsi="Palatino Linotype"/>
          <w:color w:val="000000"/>
        </w:rPr>
        <w:t>C</w:t>
      </w:r>
      <w:r w:rsidRPr="00793045">
        <w:rPr>
          <w:rFonts w:ascii="Palatino Linotype" w:hAnsi="Palatino Linotype"/>
          <w:color w:val="000000"/>
        </w:rPr>
        <w:t>uántas pa</w:t>
      </w:r>
      <w:r>
        <w:rPr>
          <w:rFonts w:ascii="Palatino Linotype" w:hAnsi="Palatino Linotype"/>
          <w:color w:val="000000"/>
        </w:rPr>
        <w:t xml:space="preserve">trullas cuenta el municipio de </w:t>
      </w:r>
      <w:proofErr w:type="spellStart"/>
      <w:r>
        <w:rPr>
          <w:rFonts w:ascii="Palatino Linotype" w:hAnsi="Palatino Linotype"/>
          <w:color w:val="000000"/>
        </w:rPr>
        <w:t>J</w:t>
      </w:r>
      <w:r w:rsidRPr="00793045">
        <w:rPr>
          <w:rFonts w:ascii="Palatino Linotype" w:hAnsi="Palatino Linotype"/>
          <w:color w:val="000000"/>
        </w:rPr>
        <w:t>uchitepec</w:t>
      </w:r>
      <w:proofErr w:type="spellEnd"/>
      <w:r w:rsidRPr="00793045">
        <w:rPr>
          <w:rFonts w:ascii="Palatino Linotype" w:hAnsi="Palatino Linotype"/>
          <w:color w:val="000000"/>
        </w:rPr>
        <w:t xml:space="preserve"> y en </w:t>
      </w:r>
      <w:r w:rsidR="00703E75" w:rsidRPr="00793045">
        <w:rPr>
          <w:rFonts w:ascii="Palatino Linotype" w:hAnsi="Palatino Linotype"/>
          <w:color w:val="000000"/>
        </w:rPr>
        <w:t>qué</w:t>
      </w:r>
      <w:r w:rsidRPr="00793045">
        <w:rPr>
          <w:rFonts w:ascii="Palatino Linotype" w:hAnsi="Palatino Linotype"/>
          <w:color w:val="000000"/>
        </w:rPr>
        <w:t xml:space="preserve"> estado</w:t>
      </w:r>
      <w:r>
        <w:rPr>
          <w:rFonts w:ascii="Palatino Linotype" w:hAnsi="Palatino Linotype"/>
          <w:color w:val="000000"/>
        </w:rPr>
        <w:t>;</w:t>
      </w:r>
      <w:r w:rsidRPr="00793045">
        <w:rPr>
          <w:rFonts w:ascii="Palatino Linotype" w:hAnsi="Palatino Linotype"/>
          <w:color w:val="000000"/>
        </w:rPr>
        <w:t xml:space="preserve"> </w:t>
      </w:r>
    </w:p>
    <w:p w:rsidR="00B00995" w:rsidRPr="00793045" w:rsidRDefault="00B00995" w:rsidP="000E3D3D">
      <w:pPr>
        <w:pStyle w:val="Prrafodelista"/>
        <w:numPr>
          <w:ilvl w:val="0"/>
          <w:numId w:val="4"/>
        </w:numPr>
        <w:spacing w:line="360" w:lineRule="auto"/>
        <w:jc w:val="both"/>
        <w:rPr>
          <w:rFonts w:ascii="Palatino Linotype" w:eastAsia="Arial Unicode MS" w:hAnsi="Palatino Linotype" w:cs="Arial"/>
        </w:rPr>
      </w:pPr>
      <w:r>
        <w:rPr>
          <w:rFonts w:ascii="Palatino Linotype" w:hAnsi="Palatino Linotype"/>
          <w:color w:val="000000"/>
        </w:rPr>
        <w:t>E</w:t>
      </w:r>
      <w:r w:rsidRPr="00793045">
        <w:rPr>
          <w:rFonts w:ascii="Palatino Linotype" w:hAnsi="Palatino Linotype"/>
          <w:color w:val="000000"/>
        </w:rPr>
        <w:t xml:space="preserve">l plan de </w:t>
      </w:r>
      <w:r>
        <w:rPr>
          <w:rFonts w:ascii="Palatino Linotype" w:hAnsi="Palatino Linotype"/>
          <w:color w:val="000000"/>
        </w:rPr>
        <w:t>obras públicas 2025 autorizado;</w:t>
      </w:r>
    </w:p>
    <w:p w:rsidR="00B00995" w:rsidRPr="001E6BD5" w:rsidRDefault="00B00995" w:rsidP="000E3D3D">
      <w:pPr>
        <w:pStyle w:val="Prrafodelista"/>
        <w:numPr>
          <w:ilvl w:val="0"/>
          <w:numId w:val="4"/>
        </w:numPr>
        <w:spacing w:line="360" w:lineRule="auto"/>
        <w:jc w:val="both"/>
        <w:rPr>
          <w:rFonts w:ascii="Palatino Linotype" w:eastAsia="Arial Unicode MS" w:hAnsi="Palatino Linotype" w:cs="Arial"/>
        </w:rPr>
      </w:pPr>
      <w:r w:rsidRPr="00793045">
        <w:rPr>
          <w:rFonts w:ascii="Palatino Linotype" w:hAnsi="Palatino Linotype"/>
          <w:color w:val="000000"/>
        </w:rPr>
        <w:t xml:space="preserve">Información respecto el parque </w:t>
      </w:r>
      <w:r>
        <w:rPr>
          <w:rFonts w:ascii="Palatino Linotype" w:hAnsi="Palatino Linotype"/>
          <w:color w:val="000000"/>
        </w:rPr>
        <w:t>vehicular.</w:t>
      </w:r>
    </w:p>
    <w:p w:rsidR="00703E75" w:rsidRDefault="00703E75" w:rsidP="000E3D3D">
      <w:pPr>
        <w:spacing w:line="360" w:lineRule="auto"/>
        <w:jc w:val="both"/>
        <w:rPr>
          <w:rFonts w:ascii="Palatino Linotype" w:eastAsia="Arial Unicode MS" w:hAnsi="Palatino Linotype" w:cs="Arial"/>
        </w:rPr>
      </w:pPr>
    </w:p>
    <w:p w:rsidR="00B00995" w:rsidRDefault="00B00995" w:rsidP="000E3D3D">
      <w:pPr>
        <w:spacing w:line="360" w:lineRule="auto"/>
        <w:jc w:val="both"/>
        <w:rPr>
          <w:rFonts w:ascii="Palatino Linotype" w:eastAsia="Arial Unicode MS" w:hAnsi="Palatino Linotype" w:cs="Arial"/>
        </w:rPr>
      </w:pPr>
      <w:r w:rsidRPr="00462CFA">
        <w:rPr>
          <w:rFonts w:ascii="Palatino Linotype" w:eastAsia="Arial Unicode MS" w:hAnsi="Palatino Linotype" w:cs="Arial"/>
        </w:rPr>
        <w:t>En atención a los requerimientos de información planteado</w:t>
      </w:r>
      <w:r>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w:t>
      </w:r>
      <w:r>
        <w:rPr>
          <w:rFonts w:ascii="Palatino Linotype" w:eastAsia="Arial Unicode MS" w:hAnsi="Palatino Linotype" w:cs="Arial"/>
        </w:rPr>
        <w:t>adjunto el archivo electrónico denominado “</w:t>
      </w:r>
      <w:r w:rsidRPr="00793045">
        <w:rPr>
          <w:rFonts w:ascii="Palatino Linotype" w:eastAsia="Arial Unicode MS" w:hAnsi="Palatino Linotype" w:cs="Arial"/>
        </w:rPr>
        <w:t>00103JUCHITEIP2024.pdf</w:t>
      </w:r>
      <w:r>
        <w:rPr>
          <w:rFonts w:ascii="Palatino Linotype" w:eastAsia="Arial Unicode MS" w:hAnsi="Palatino Linotype" w:cs="Arial"/>
        </w:rPr>
        <w:t>”, a través del cual remitió los siguientes oficios:</w:t>
      </w:r>
    </w:p>
    <w:p w:rsidR="00703E75" w:rsidRDefault="00703E75" w:rsidP="000E3D3D">
      <w:pPr>
        <w:spacing w:line="360" w:lineRule="auto"/>
        <w:jc w:val="both"/>
        <w:rPr>
          <w:rFonts w:ascii="Palatino Linotype" w:eastAsia="Arial Unicode MS" w:hAnsi="Palatino Linotype" w:cs="Arial"/>
        </w:rPr>
      </w:pPr>
    </w:p>
    <w:p w:rsidR="00B00995" w:rsidRDefault="00B00995" w:rsidP="000E3D3D">
      <w:pPr>
        <w:pStyle w:val="Prrafodelista"/>
        <w:numPr>
          <w:ilvl w:val="0"/>
          <w:numId w:val="5"/>
        </w:numPr>
        <w:spacing w:line="360" w:lineRule="auto"/>
        <w:jc w:val="both"/>
        <w:rPr>
          <w:rFonts w:ascii="Palatino Linotype" w:eastAsia="Arial Unicode MS" w:hAnsi="Palatino Linotype" w:cs="Arial"/>
        </w:rPr>
      </w:pPr>
      <w:r>
        <w:rPr>
          <w:rFonts w:ascii="Palatino Linotype" w:eastAsia="Arial Unicode MS" w:hAnsi="Palatino Linotype" w:cs="Arial"/>
        </w:rPr>
        <w:t xml:space="preserve">Número de oficio JRCP/JUC/022/2024, de fecha veinticuatro de septiembre de dos mil veinticuatro, a través del cual el Jefe de Registro y Control Patrimonial, informó que el municipio de </w:t>
      </w:r>
      <w:proofErr w:type="spellStart"/>
      <w:r>
        <w:rPr>
          <w:rFonts w:ascii="Palatino Linotype" w:eastAsia="Arial Unicode MS" w:hAnsi="Palatino Linotype" w:cs="Arial"/>
        </w:rPr>
        <w:t>Juchitepec</w:t>
      </w:r>
      <w:proofErr w:type="spellEnd"/>
      <w:r>
        <w:rPr>
          <w:rFonts w:ascii="Palatino Linotype" w:eastAsia="Arial Unicode MS" w:hAnsi="Palatino Linotype" w:cs="Arial"/>
        </w:rPr>
        <w:t xml:space="preserve"> actualmente </w:t>
      </w:r>
      <w:r w:rsidRPr="00793045">
        <w:rPr>
          <w:rFonts w:ascii="Palatino Linotype" w:eastAsia="Arial Unicode MS" w:hAnsi="Palatino Linotype" w:cs="Arial"/>
          <w:b/>
        </w:rPr>
        <w:t>cuenta con ocho patrullas</w:t>
      </w:r>
      <w:r>
        <w:rPr>
          <w:rFonts w:ascii="Palatino Linotype" w:eastAsia="Arial Unicode MS" w:hAnsi="Palatino Linotype" w:cs="Arial"/>
        </w:rPr>
        <w:t xml:space="preserve"> de las cuales </w:t>
      </w:r>
      <w:r w:rsidRPr="00793045">
        <w:rPr>
          <w:rFonts w:ascii="Palatino Linotype" w:eastAsia="Arial Unicode MS" w:hAnsi="Palatino Linotype" w:cs="Arial"/>
          <w:u w:val="single"/>
        </w:rPr>
        <w:t>seis se encuentran en estado funcional y dos en reparación</w:t>
      </w:r>
      <w:r>
        <w:rPr>
          <w:rFonts w:ascii="Palatino Linotype" w:eastAsia="Arial Unicode MS" w:hAnsi="Palatino Linotype" w:cs="Arial"/>
        </w:rPr>
        <w:t>.</w:t>
      </w:r>
    </w:p>
    <w:p w:rsidR="00B00995" w:rsidRPr="00793045" w:rsidRDefault="00B00995" w:rsidP="000E3D3D">
      <w:pPr>
        <w:pStyle w:val="Prrafodelista"/>
        <w:numPr>
          <w:ilvl w:val="0"/>
          <w:numId w:val="5"/>
        </w:numPr>
        <w:spacing w:line="360" w:lineRule="auto"/>
        <w:jc w:val="both"/>
        <w:rPr>
          <w:rFonts w:ascii="Palatino Linotype" w:eastAsia="Arial Unicode MS" w:hAnsi="Palatino Linotype" w:cs="Arial"/>
        </w:rPr>
      </w:pPr>
      <w:r>
        <w:rPr>
          <w:rFonts w:ascii="Palatino Linotype" w:eastAsia="Arial Unicode MS" w:hAnsi="Palatino Linotype" w:cs="Arial"/>
        </w:rPr>
        <w:t xml:space="preserve">Número de oficio DOPYDU/0148/2024, de fecha veinticuatro de septiembre de dos mil veinticuatro, a través del cual la Directora de Obras Públicas y Desarrollo Urbano, informó que esa Dirección no es la encargada de realizar pagos de nómina, asimismo señaló que de acuerdo a los Lineamientos de la Entrega a Recepción la administración 2022 -2024 deja sus funciones laborales el 31 de diciembre de 2024, por lo que no es de su competencia el </w:t>
      </w:r>
      <w:r w:rsidRPr="00995063">
        <w:rPr>
          <w:rFonts w:ascii="Palatino Linotype" w:eastAsia="Arial Unicode MS" w:hAnsi="Palatino Linotype" w:cs="Arial"/>
        </w:rPr>
        <w:t>programa anual de obras públicas 2025</w:t>
      </w:r>
      <w:r>
        <w:rPr>
          <w:rFonts w:ascii="Palatino Linotype" w:eastAsia="Arial Unicode MS" w:hAnsi="Palatino Linotype" w:cs="Arial"/>
        </w:rPr>
        <w:t>.</w:t>
      </w:r>
    </w:p>
    <w:p w:rsidR="00B00995" w:rsidRDefault="00B00995" w:rsidP="000E3D3D">
      <w:pPr>
        <w:spacing w:line="360" w:lineRule="auto"/>
        <w:jc w:val="both"/>
        <w:rPr>
          <w:rFonts w:ascii="Palatino Linotype" w:eastAsia="Arial Unicode MS" w:hAnsi="Palatino Linotype" w:cs="Arial"/>
        </w:rPr>
      </w:pPr>
    </w:p>
    <w:p w:rsidR="00B00995" w:rsidRDefault="00B00995" w:rsidP="000E3D3D">
      <w:pPr>
        <w:spacing w:line="360" w:lineRule="auto"/>
        <w:ind w:right="141"/>
        <w:jc w:val="both"/>
        <w:rPr>
          <w:rFonts w:ascii="Palatino Linotype" w:hAnsi="Palatino Linotype" w:cs="Arial"/>
          <w:bCs/>
        </w:rPr>
      </w:pPr>
      <w:r w:rsidRPr="00BC334D">
        <w:rPr>
          <w:rFonts w:ascii="Palatino Linotype" w:hAnsi="Palatino Linotype" w:cs="Arial"/>
          <w:bCs/>
        </w:rPr>
        <w:t>Derivado de la respuesta emitida por el</w:t>
      </w:r>
      <w:r w:rsidRPr="00BC334D">
        <w:rPr>
          <w:rFonts w:ascii="Palatino Linotype" w:hAnsi="Palatino Linotype" w:cs="Arial"/>
          <w:b/>
          <w:bCs/>
        </w:rPr>
        <w:t xml:space="preserve"> Sujeto Obligado</w:t>
      </w:r>
      <w:r w:rsidRPr="00BC334D">
        <w:rPr>
          <w:rFonts w:ascii="Palatino Linotype" w:hAnsi="Palatino Linotype" w:cs="Arial"/>
          <w:bCs/>
        </w:rPr>
        <w:t xml:space="preserve">, </w:t>
      </w:r>
      <w:r w:rsidRPr="00BF1471">
        <w:rPr>
          <w:rFonts w:ascii="Palatino Linotype" w:hAnsi="Palatino Linotype" w:cs="Arial"/>
        </w:rPr>
        <w:t>e</w:t>
      </w:r>
      <w:r>
        <w:rPr>
          <w:rFonts w:ascii="Palatino Linotype" w:hAnsi="Palatino Linotype" w:cs="Arial"/>
        </w:rPr>
        <w:t>l</w:t>
      </w:r>
      <w:r w:rsidRPr="00BC334D">
        <w:rPr>
          <w:rFonts w:ascii="Palatino Linotype" w:hAnsi="Palatino Linotype" w:cs="Arial"/>
          <w:b/>
        </w:rPr>
        <w:t xml:space="preserve"> </w:t>
      </w:r>
      <w:r w:rsidRPr="00BC334D">
        <w:rPr>
          <w:rFonts w:ascii="Palatino Linotype" w:hAnsi="Palatino Linotype" w:cs="Arial"/>
          <w:b/>
          <w:bCs/>
        </w:rPr>
        <w:t>Recurrente</w:t>
      </w:r>
      <w:r w:rsidRPr="00BC334D">
        <w:rPr>
          <w:rFonts w:ascii="Palatino Linotype" w:hAnsi="Palatino Linotype" w:cs="Arial"/>
          <w:bCs/>
        </w:rPr>
        <w:t>, interpuso el presente recurso de revisión, señalando como razones o motivos de inconformidad, lo siguiente:</w:t>
      </w:r>
    </w:p>
    <w:p w:rsidR="00B00995" w:rsidRPr="00BC334D" w:rsidRDefault="00B00995" w:rsidP="000E3D3D">
      <w:pPr>
        <w:spacing w:line="360" w:lineRule="auto"/>
        <w:ind w:right="141"/>
        <w:jc w:val="both"/>
        <w:rPr>
          <w:rFonts w:ascii="Palatino Linotype" w:hAnsi="Palatino Linotype" w:cs="Arial"/>
          <w:bCs/>
        </w:rPr>
      </w:pPr>
    </w:p>
    <w:p w:rsidR="00B00995" w:rsidRPr="00BC334D" w:rsidRDefault="00B00995" w:rsidP="000E3D3D">
      <w:pPr>
        <w:spacing w:line="360" w:lineRule="auto"/>
        <w:ind w:right="190"/>
        <w:jc w:val="both"/>
        <w:rPr>
          <w:rFonts w:ascii="Palatino Linotype" w:hAnsi="Palatino Linotype" w:cs="Arial"/>
          <w:i/>
        </w:rPr>
      </w:pPr>
      <w:r w:rsidRPr="00BC334D">
        <w:rPr>
          <w:rFonts w:ascii="Palatino Linotype" w:eastAsia="Arial Unicode MS" w:hAnsi="Palatino Linotype" w:cs="Arial"/>
          <w:i/>
        </w:rPr>
        <w:t>“</w:t>
      </w:r>
      <w:r w:rsidRPr="00EE756A">
        <w:rPr>
          <w:rFonts w:ascii="Palatino Linotype" w:eastAsia="Arial Unicode MS" w:hAnsi="Palatino Linotype" w:cs="Arial"/>
          <w:i/>
        </w:rPr>
        <w:t xml:space="preserve">EL MOTIVO ES QUE EL SUJETO OBLIGADO AYUNTAMIENTO DE JUCHITEPEC SI ES COMPETENTE PARA </w:t>
      </w:r>
      <w:r w:rsidRPr="00703E75">
        <w:rPr>
          <w:rFonts w:ascii="Palatino Linotype" w:eastAsia="Arial Unicode MS" w:hAnsi="Palatino Linotype" w:cs="Arial"/>
          <w:i/>
        </w:rPr>
        <w:t>DARME INFORMACION RESPECTO AL REPORTE DE LA ULTIMA QUINCE DEL MES DE AGOSTO 2024</w:t>
      </w:r>
      <w:r w:rsidRPr="00EE756A">
        <w:rPr>
          <w:rFonts w:ascii="Palatino Linotype" w:eastAsia="Arial Unicode MS" w:hAnsi="Palatino Linotype" w:cs="Arial"/>
          <w:i/>
        </w:rPr>
        <w:t xml:space="preserve">, TODO VEZ QUE EL OFICIO FUE </w:t>
      </w:r>
      <w:r w:rsidRPr="00EE756A">
        <w:rPr>
          <w:rFonts w:ascii="Palatino Linotype" w:eastAsia="Arial Unicode MS" w:hAnsi="Palatino Linotype" w:cs="Arial"/>
          <w:i/>
        </w:rPr>
        <w:lastRenderedPageBreak/>
        <w:t>CONTESTADO POR UNA DEPENDENCIA ADMINISTRATIVA DIVERSA CON LA QUE CUENTA DICHA INFORMACION</w:t>
      </w:r>
      <w:r w:rsidRPr="00BC334D">
        <w:rPr>
          <w:rFonts w:ascii="Palatino Linotype" w:hAnsi="Palatino Linotype" w:cs="Arial"/>
          <w:i/>
        </w:rPr>
        <w:t>” (Sic).</w:t>
      </w:r>
    </w:p>
    <w:p w:rsidR="00B00995" w:rsidRDefault="00B00995" w:rsidP="000E3D3D">
      <w:pPr>
        <w:spacing w:line="360" w:lineRule="auto"/>
        <w:jc w:val="both"/>
        <w:rPr>
          <w:rFonts w:ascii="Palatino Linotype" w:eastAsia="Arial Unicode MS" w:hAnsi="Palatino Linotype" w:cs="Arial"/>
        </w:rPr>
      </w:pPr>
    </w:p>
    <w:p w:rsidR="00B00995" w:rsidRDefault="00B00995" w:rsidP="000E3D3D">
      <w:pPr>
        <w:pStyle w:val="Sinespaciado"/>
        <w:spacing w:line="360" w:lineRule="auto"/>
        <w:jc w:val="both"/>
        <w:rPr>
          <w:rFonts w:ascii="Palatino Linotype" w:hAnsi="Palatino Linotype" w:cs="Arial"/>
        </w:rPr>
      </w:pPr>
      <w:r w:rsidRPr="009744A0">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9744A0">
        <w:rPr>
          <w:rFonts w:ascii="Palatino Linotype" w:hAnsi="Palatino Linotype" w:cs="Arial"/>
          <w:b/>
        </w:rPr>
        <w:t>Sujeto Obligado</w:t>
      </w:r>
      <w:r w:rsidRPr="009744A0">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B00995" w:rsidRDefault="00B00995" w:rsidP="000E3D3D"/>
    <w:p w:rsidR="00B00995" w:rsidRPr="00BC334D" w:rsidRDefault="00B00995" w:rsidP="000E3D3D">
      <w:pPr>
        <w:tabs>
          <w:tab w:val="left" w:pos="709"/>
        </w:tabs>
        <w:spacing w:line="360" w:lineRule="auto"/>
        <w:ind w:right="51"/>
        <w:jc w:val="both"/>
        <w:rPr>
          <w:rFonts w:ascii="Palatino Linotype" w:hAnsi="Palatino Linotype" w:cs="Arial"/>
        </w:rPr>
      </w:pPr>
      <w:r w:rsidRPr="00BC334D">
        <w:rPr>
          <w:rFonts w:ascii="Palatino Linotype" w:hAnsi="Palatino Linotype" w:cs="Arial"/>
        </w:rPr>
        <w:t xml:space="preserve">Correlativo a lo anterior, se concluye que en la especie será motivo de análisis si efectivamente, la respuesta otorgada por parte del </w:t>
      </w:r>
      <w:r w:rsidRPr="00BC334D">
        <w:rPr>
          <w:rFonts w:ascii="Palatino Linotype" w:hAnsi="Palatino Linotype" w:cs="Arial"/>
          <w:b/>
        </w:rPr>
        <w:t>Sujeto Obligado</w:t>
      </w:r>
      <w:r w:rsidRPr="00BC334D">
        <w:rPr>
          <w:rFonts w:ascii="Palatino Linotype" w:hAnsi="Palatino Linotype" w:cs="Arial"/>
        </w:rPr>
        <w:t xml:space="preserve"> satisface los requisitos establecidos por la Ley de la materia.</w:t>
      </w:r>
    </w:p>
    <w:p w:rsidR="00B00995" w:rsidRPr="00BC334D" w:rsidRDefault="00B00995" w:rsidP="000E3D3D">
      <w:pPr>
        <w:autoSpaceDE w:val="0"/>
        <w:autoSpaceDN w:val="0"/>
        <w:adjustRightInd w:val="0"/>
        <w:spacing w:line="360" w:lineRule="auto"/>
        <w:ind w:right="-91"/>
        <w:jc w:val="both"/>
        <w:rPr>
          <w:rFonts w:ascii="Palatino Linotype" w:hAnsi="Palatino Linotype" w:cs="Arial"/>
          <w:color w:val="000000"/>
        </w:rPr>
      </w:pPr>
    </w:p>
    <w:p w:rsidR="00B00995" w:rsidRPr="00BC334D" w:rsidRDefault="00B00995" w:rsidP="000E3D3D">
      <w:pPr>
        <w:autoSpaceDE w:val="0"/>
        <w:autoSpaceDN w:val="0"/>
        <w:adjustRightInd w:val="0"/>
        <w:spacing w:line="360" w:lineRule="auto"/>
        <w:ind w:right="-91"/>
        <w:jc w:val="both"/>
        <w:rPr>
          <w:rFonts w:ascii="Palatino Linotype" w:hAnsi="Palatino Linotype" w:cs="Arial"/>
          <w:color w:val="000000"/>
        </w:rPr>
      </w:pPr>
      <w:r w:rsidRPr="00BC334D">
        <w:rPr>
          <w:rFonts w:ascii="Palatino Linotype" w:hAnsi="Palatino Linotype" w:cs="Arial"/>
          <w:color w:val="000000"/>
        </w:rPr>
        <w:t>En ese sentido,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B00995" w:rsidRPr="00BC334D" w:rsidRDefault="00B00995" w:rsidP="000E3D3D">
      <w:pPr>
        <w:autoSpaceDE w:val="0"/>
        <w:autoSpaceDN w:val="0"/>
        <w:adjustRightInd w:val="0"/>
        <w:spacing w:line="360" w:lineRule="auto"/>
        <w:ind w:right="-91"/>
        <w:jc w:val="both"/>
        <w:rPr>
          <w:rFonts w:ascii="Palatino Linotype" w:hAnsi="Palatino Linotype" w:cs="Arial"/>
          <w:color w:val="000000"/>
        </w:rPr>
      </w:pPr>
    </w:p>
    <w:p w:rsidR="00B00995" w:rsidRPr="00BC334D" w:rsidRDefault="00B00995" w:rsidP="000E3D3D">
      <w:pPr>
        <w:ind w:left="567" w:right="567"/>
        <w:jc w:val="both"/>
        <w:rPr>
          <w:rFonts w:ascii="Palatino Linotype" w:hAnsi="Palatino Linotype" w:cs="Arial"/>
          <w:bCs/>
          <w:i/>
        </w:rPr>
      </w:pPr>
      <w:r w:rsidRPr="00BC334D">
        <w:rPr>
          <w:rFonts w:ascii="Palatino Linotype" w:hAnsi="Palatino Linotype" w:cs="Arial"/>
          <w:bCs/>
          <w:i/>
        </w:rPr>
        <w:lastRenderedPageBreak/>
        <w:t>“</w:t>
      </w:r>
      <w:r w:rsidRPr="00BC334D">
        <w:rPr>
          <w:rFonts w:ascii="Palatino Linotype" w:hAnsi="Palatino Linotype" w:cs="Arial"/>
          <w:b/>
          <w:bCs/>
          <w:i/>
        </w:rPr>
        <w:t>Artículo 6</w:t>
      </w:r>
    </w:p>
    <w:p w:rsidR="00B00995" w:rsidRPr="00BC334D" w:rsidRDefault="00B00995" w:rsidP="000E3D3D">
      <w:pPr>
        <w:ind w:left="567" w:right="567"/>
        <w:jc w:val="both"/>
        <w:rPr>
          <w:rFonts w:ascii="Palatino Linotype" w:hAnsi="Palatino Linotype" w:cs="Arial"/>
          <w:bCs/>
          <w:i/>
        </w:rPr>
      </w:pPr>
      <w:r w:rsidRPr="00BC334D">
        <w:rPr>
          <w:rFonts w:ascii="Palatino Linotype" w:hAnsi="Palatino Linotype" w:cs="Arial"/>
          <w:bCs/>
          <w:i/>
        </w:rPr>
        <w:t>…</w:t>
      </w:r>
    </w:p>
    <w:p w:rsidR="00B00995" w:rsidRPr="00BC334D" w:rsidRDefault="00B00995" w:rsidP="000E3D3D">
      <w:pPr>
        <w:ind w:left="567" w:right="567"/>
        <w:jc w:val="both"/>
        <w:rPr>
          <w:rFonts w:ascii="Palatino Linotype" w:hAnsi="Palatino Linotype" w:cs="Arial"/>
          <w:bCs/>
          <w:i/>
        </w:rPr>
      </w:pPr>
      <w:r w:rsidRPr="00BC334D">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rsidR="00B00995" w:rsidRPr="00BC334D" w:rsidRDefault="00B00995" w:rsidP="000E3D3D">
      <w:pPr>
        <w:ind w:left="567" w:right="567"/>
        <w:jc w:val="both"/>
        <w:rPr>
          <w:rFonts w:ascii="Palatino Linotype" w:hAnsi="Palatino Linotype" w:cs="Arial"/>
          <w:bCs/>
          <w:i/>
        </w:rPr>
      </w:pPr>
    </w:p>
    <w:p w:rsidR="00B00995" w:rsidRPr="00BC334D" w:rsidRDefault="00B00995" w:rsidP="000E3D3D">
      <w:pPr>
        <w:tabs>
          <w:tab w:val="left" w:pos="709"/>
        </w:tabs>
        <w:ind w:left="567" w:right="567"/>
        <w:jc w:val="both"/>
        <w:rPr>
          <w:rFonts w:ascii="Palatino Linotype" w:hAnsi="Palatino Linotype" w:cs="Arial"/>
          <w:bCs/>
          <w:i/>
        </w:rPr>
      </w:pPr>
      <w:r w:rsidRPr="00BC334D">
        <w:rPr>
          <w:rFonts w:ascii="Palatino Linotype" w:hAnsi="Palatino Linotype" w:cs="Arial"/>
          <w:bCs/>
          <w:i/>
        </w:rPr>
        <w:t xml:space="preserve">I. </w:t>
      </w:r>
      <w:r w:rsidRPr="00BC334D">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B00995" w:rsidRPr="00BC334D" w:rsidRDefault="00B00995" w:rsidP="000E3D3D">
      <w:pPr>
        <w:tabs>
          <w:tab w:val="left" w:pos="2703"/>
        </w:tabs>
        <w:spacing w:line="360" w:lineRule="auto"/>
        <w:jc w:val="both"/>
        <w:rPr>
          <w:rFonts w:ascii="Palatino Linotype" w:hAnsi="Palatino Linotype" w:cs="Arial"/>
        </w:rPr>
      </w:pPr>
      <w:r>
        <w:rPr>
          <w:rFonts w:ascii="Palatino Linotype" w:hAnsi="Palatino Linotype" w:cs="Arial"/>
        </w:rPr>
        <w:tab/>
      </w:r>
    </w:p>
    <w:p w:rsidR="00B00995" w:rsidRPr="00BC334D" w:rsidRDefault="00B00995" w:rsidP="000E3D3D">
      <w:pPr>
        <w:tabs>
          <w:tab w:val="left" w:pos="709"/>
        </w:tabs>
        <w:spacing w:line="360" w:lineRule="auto"/>
        <w:jc w:val="both"/>
        <w:rPr>
          <w:rFonts w:ascii="Palatino Linotype" w:hAnsi="Palatino Linotype" w:cs="Arial"/>
        </w:rPr>
      </w:pPr>
      <w:r w:rsidRPr="00BC334D">
        <w:rPr>
          <w:rFonts w:ascii="Palatino Linotype" w:hAnsi="Palatino Linotype" w:cs="Arial"/>
        </w:rPr>
        <w:t xml:space="preserve">Ahora bien, en atención a lo dispuesto por los artículos 3, fracción XI y 12 </w:t>
      </w:r>
      <w:r w:rsidRPr="00BC334D">
        <w:rPr>
          <w:rFonts w:ascii="Palatino Linotype" w:hAnsi="Palatino Linotype" w:cs="Arial"/>
          <w:bCs/>
        </w:rPr>
        <w:t>de la Ley de Transparencia y Acceso a la Información Pública del Estado de México y Municipios</w:t>
      </w:r>
      <w:r w:rsidRPr="00BC334D">
        <w:rPr>
          <w:rFonts w:ascii="Palatino Linotype" w:hAnsi="Palatino Linotype" w:cs="Arial"/>
        </w:rPr>
        <w:t>, los cuales son del tenor literal siguiente:</w:t>
      </w:r>
    </w:p>
    <w:p w:rsidR="00B00995" w:rsidRPr="00BC334D" w:rsidRDefault="00B00995" w:rsidP="000E3D3D">
      <w:pPr>
        <w:tabs>
          <w:tab w:val="left" w:pos="709"/>
        </w:tabs>
        <w:spacing w:line="360" w:lineRule="auto"/>
        <w:jc w:val="both"/>
        <w:rPr>
          <w:rFonts w:ascii="Palatino Linotype" w:hAnsi="Palatino Linotype" w:cs="Arial"/>
        </w:rPr>
      </w:pPr>
    </w:p>
    <w:p w:rsidR="00B00995" w:rsidRPr="00BC334D" w:rsidRDefault="00B00995" w:rsidP="000E3D3D">
      <w:pPr>
        <w:ind w:left="567" w:right="567"/>
        <w:jc w:val="both"/>
        <w:rPr>
          <w:rFonts w:ascii="Palatino Linotype" w:hAnsi="Palatino Linotype" w:cs="Arial"/>
          <w:i/>
        </w:rPr>
      </w:pPr>
      <w:r w:rsidRPr="00BC334D">
        <w:rPr>
          <w:rFonts w:ascii="Palatino Linotype" w:hAnsi="Palatino Linotype" w:cs="Arial"/>
          <w:b/>
          <w:bCs/>
          <w:i/>
        </w:rPr>
        <w:t xml:space="preserve">“Artículo 3.- </w:t>
      </w:r>
      <w:r w:rsidRPr="00BC334D">
        <w:rPr>
          <w:rFonts w:ascii="Palatino Linotype" w:hAnsi="Palatino Linotype" w:cs="Arial"/>
          <w:i/>
        </w:rPr>
        <w:t>Para los efectos de la presente Ley se entenderá por:</w:t>
      </w:r>
    </w:p>
    <w:p w:rsidR="00B00995" w:rsidRPr="00BC334D" w:rsidRDefault="00B00995" w:rsidP="000E3D3D">
      <w:pPr>
        <w:ind w:left="567" w:right="567"/>
        <w:jc w:val="both"/>
        <w:rPr>
          <w:rFonts w:ascii="Palatino Linotype" w:hAnsi="Palatino Linotype" w:cs="Arial"/>
          <w:i/>
        </w:rPr>
      </w:pPr>
      <w:r w:rsidRPr="00BC334D">
        <w:rPr>
          <w:rFonts w:ascii="Palatino Linotype" w:hAnsi="Palatino Linotype" w:cs="Arial"/>
          <w:i/>
        </w:rPr>
        <w:t>…</w:t>
      </w:r>
    </w:p>
    <w:p w:rsidR="00B00995" w:rsidRPr="00BC334D" w:rsidRDefault="00B00995" w:rsidP="000E3D3D">
      <w:pPr>
        <w:ind w:left="567" w:right="567"/>
        <w:jc w:val="both"/>
        <w:rPr>
          <w:rFonts w:ascii="Palatino Linotype" w:hAnsi="Palatino Linotype" w:cs="Arial"/>
          <w:i/>
        </w:rPr>
      </w:pPr>
      <w:r w:rsidRPr="00BC334D">
        <w:rPr>
          <w:rFonts w:ascii="Palatino Linotype" w:hAnsi="Palatino Linotype" w:cs="Arial"/>
          <w:b/>
          <w:i/>
        </w:rPr>
        <w:t>XI.</w:t>
      </w:r>
      <w:r w:rsidRPr="00BC334D">
        <w:rPr>
          <w:rFonts w:ascii="Palatino Linotype" w:hAnsi="Palatino Linotype" w:cs="Arial"/>
          <w:i/>
        </w:rPr>
        <w:t xml:space="preserve"> </w:t>
      </w:r>
      <w:r w:rsidRPr="00BC334D">
        <w:rPr>
          <w:rFonts w:ascii="Palatino Linotype" w:hAnsi="Palatino Linotype" w:cs="Arial"/>
          <w:b/>
          <w:i/>
        </w:rPr>
        <w:t>Documento:</w:t>
      </w:r>
      <w:r w:rsidRPr="00BC334D">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BC334D">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BC334D">
        <w:rPr>
          <w:rFonts w:ascii="Palatino Linotype" w:hAnsi="Palatino Linotype" w:cs="Arial"/>
          <w:i/>
        </w:rPr>
        <w:t xml:space="preserve"> Los documentos podrán estar en cualquier medio, sea escrito, impreso, sonoro, visual, electrónico, informático u holográfico;</w:t>
      </w:r>
    </w:p>
    <w:p w:rsidR="00B00995" w:rsidRPr="00BC334D" w:rsidRDefault="00B00995" w:rsidP="000E3D3D">
      <w:pPr>
        <w:ind w:left="567" w:right="567"/>
        <w:jc w:val="both"/>
        <w:rPr>
          <w:rFonts w:ascii="Palatino Linotype" w:hAnsi="Palatino Linotype" w:cs="Arial"/>
          <w:i/>
        </w:rPr>
      </w:pPr>
    </w:p>
    <w:p w:rsidR="00B00995" w:rsidRPr="00BC334D" w:rsidRDefault="00B00995" w:rsidP="000E3D3D">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
          <w:bCs/>
          <w:i/>
        </w:rPr>
        <w:t>Artículo 4.</w:t>
      </w:r>
      <w:r w:rsidRPr="00BC334D">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B00995" w:rsidRPr="00BC334D" w:rsidRDefault="00B00995" w:rsidP="000E3D3D">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
          <w:bCs/>
          <w:i/>
          <w:u w:val="single"/>
        </w:rPr>
        <w:lastRenderedPageBreak/>
        <w:t>Toda la información generada, obtenida, adquirida, transformada, administrada o en posesión de los sujetos obligados es pública y accesible de manera permanente a cualquier persona,</w:t>
      </w:r>
      <w:r w:rsidRPr="00BC334D">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B00995" w:rsidRPr="00BC334D" w:rsidRDefault="00B00995" w:rsidP="000E3D3D">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rsidR="00B00995" w:rsidRPr="00BC334D" w:rsidRDefault="00B00995" w:rsidP="000E3D3D">
      <w:pPr>
        <w:ind w:left="567" w:right="567"/>
        <w:jc w:val="both"/>
        <w:rPr>
          <w:rFonts w:ascii="Palatino Linotype" w:hAnsi="Palatino Linotype" w:cs="Arial"/>
          <w:i/>
        </w:rPr>
      </w:pPr>
    </w:p>
    <w:p w:rsidR="00B00995" w:rsidRPr="00BC334D" w:rsidRDefault="00B00995" w:rsidP="000E3D3D">
      <w:pPr>
        <w:ind w:left="567" w:right="567"/>
        <w:jc w:val="both"/>
        <w:rPr>
          <w:rFonts w:ascii="Palatino Linotype" w:hAnsi="Palatino Linotype" w:cs="Arial"/>
          <w:i/>
        </w:rPr>
      </w:pPr>
      <w:r w:rsidRPr="00BC334D">
        <w:rPr>
          <w:rFonts w:ascii="Palatino Linotype" w:hAnsi="Palatino Linotype" w:cs="Arial"/>
          <w:b/>
          <w:i/>
        </w:rPr>
        <w:t>Artículo 12.</w:t>
      </w:r>
      <w:r w:rsidRPr="00BC334D">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rsidR="00B00995" w:rsidRPr="00BC334D" w:rsidRDefault="00B00995" w:rsidP="000E3D3D">
      <w:pPr>
        <w:ind w:left="567" w:right="567"/>
        <w:jc w:val="both"/>
        <w:rPr>
          <w:rFonts w:ascii="Palatino Linotype" w:hAnsi="Palatino Linotype" w:cs="Arial"/>
          <w:i/>
        </w:rPr>
      </w:pPr>
    </w:p>
    <w:p w:rsidR="00B00995" w:rsidRPr="00BC334D" w:rsidRDefault="00B00995" w:rsidP="000E3D3D">
      <w:pPr>
        <w:ind w:left="567" w:right="567"/>
        <w:jc w:val="both"/>
        <w:rPr>
          <w:rFonts w:ascii="Palatino Linotype" w:hAnsi="Palatino Linotype" w:cs="Arial"/>
          <w:i/>
          <w:u w:val="single"/>
        </w:rPr>
      </w:pPr>
      <w:r w:rsidRPr="00BC334D">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C334D">
        <w:rPr>
          <w:rFonts w:ascii="Palatino Linotype" w:hAnsi="Palatino Linotype" w:cs="Arial"/>
          <w:i/>
        </w:rPr>
        <w:t>.”</w:t>
      </w:r>
    </w:p>
    <w:p w:rsidR="00B00995" w:rsidRPr="00BC334D" w:rsidRDefault="00B00995" w:rsidP="000E3D3D">
      <w:pPr>
        <w:ind w:left="567" w:right="567"/>
        <w:jc w:val="right"/>
        <w:rPr>
          <w:rFonts w:ascii="Palatino Linotype" w:hAnsi="Palatino Linotype" w:cs="Arial"/>
        </w:rPr>
      </w:pPr>
    </w:p>
    <w:p w:rsidR="00B00995" w:rsidRPr="00BC334D" w:rsidRDefault="00B00995" w:rsidP="000E3D3D">
      <w:pPr>
        <w:ind w:left="567" w:right="567"/>
        <w:jc w:val="right"/>
        <w:rPr>
          <w:rFonts w:ascii="Palatino Linotype" w:hAnsi="Palatino Linotype" w:cs="Arial"/>
        </w:rPr>
      </w:pPr>
      <w:r w:rsidRPr="00BC334D">
        <w:rPr>
          <w:rFonts w:ascii="Palatino Linotype" w:hAnsi="Palatino Linotype" w:cs="Arial"/>
        </w:rPr>
        <w:t>[Énfasis añadido]</w:t>
      </w:r>
    </w:p>
    <w:p w:rsidR="00B00995" w:rsidRDefault="00B00995" w:rsidP="000E3D3D">
      <w:pPr>
        <w:spacing w:line="360" w:lineRule="auto"/>
        <w:jc w:val="both"/>
        <w:rPr>
          <w:rFonts w:ascii="Palatino Linotype" w:hAnsi="Palatino Linotype" w:cs="Arial"/>
        </w:rPr>
      </w:pPr>
    </w:p>
    <w:p w:rsidR="00B00995" w:rsidRPr="00BC334D" w:rsidRDefault="00B00995" w:rsidP="000E3D3D">
      <w:pPr>
        <w:spacing w:line="360" w:lineRule="auto"/>
        <w:jc w:val="both"/>
        <w:rPr>
          <w:rFonts w:ascii="Palatino Linotype" w:hAnsi="Palatino Linotype" w:cs="Arial"/>
        </w:rPr>
      </w:pPr>
      <w:r w:rsidRPr="00BC334D">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B00995" w:rsidRDefault="00B00995" w:rsidP="000E3D3D">
      <w:pPr>
        <w:spacing w:line="360" w:lineRule="auto"/>
        <w:ind w:right="190"/>
        <w:jc w:val="both"/>
        <w:rPr>
          <w:rFonts w:ascii="Palatino Linotype" w:hAnsi="Palatino Linotype" w:cs="Arial"/>
        </w:rPr>
      </w:pPr>
    </w:p>
    <w:p w:rsidR="00703E75" w:rsidRDefault="00703E75" w:rsidP="000E3D3D">
      <w:pPr>
        <w:pStyle w:val="Prrafodelista"/>
        <w:autoSpaceDE w:val="0"/>
        <w:autoSpaceDN w:val="0"/>
        <w:adjustRightInd w:val="0"/>
        <w:spacing w:line="360" w:lineRule="auto"/>
        <w:ind w:left="0"/>
        <w:jc w:val="both"/>
        <w:rPr>
          <w:rFonts w:ascii="Palatino Linotype" w:eastAsia="Calibri" w:hAnsi="Palatino Linotype"/>
        </w:rPr>
      </w:pPr>
    </w:p>
    <w:p w:rsidR="00703E75" w:rsidRDefault="00703E75" w:rsidP="000E3D3D">
      <w:pPr>
        <w:pStyle w:val="Prrafodelista"/>
        <w:autoSpaceDE w:val="0"/>
        <w:autoSpaceDN w:val="0"/>
        <w:adjustRightInd w:val="0"/>
        <w:spacing w:line="360" w:lineRule="auto"/>
        <w:ind w:left="0"/>
        <w:jc w:val="both"/>
        <w:rPr>
          <w:rFonts w:ascii="Palatino Linotype" w:eastAsia="Calibri" w:hAnsi="Palatino Linotype"/>
        </w:rPr>
      </w:pPr>
    </w:p>
    <w:p w:rsidR="00703E75" w:rsidRDefault="00703E75" w:rsidP="000E3D3D">
      <w:pPr>
        <w:pStyle w:val="Prrafodelista"/>
        <w:autoSpaceDE w:val="0"/>
        <w:autoSpaceDN w:val="0"/>
        <w:adjustRightInd w:val="0"/>
        <w:spacing w:line="360" w:lineRule="auto"/>
        <w:ind w:left="0"/>
        <w:jc w:val="both"/>
        <w:rPr>
          <w:rFonts w:ascii="Palatino Linotype" w:eastAsia="Calibri" w:hAnsi="Palatino Linotype"/>
        </w:rPr>
      </w:pPr>
    </w:p>
    <w:p w:rsidR="00B00995" w:rsidRPr="00BC334D" w:rsidRDefault="00B00995" w:rsidP="000E3D3D">
      <w:pPr>
        <w:pStyle w:val="Prrafodelista"/>
        <w:autoSpaceDE w:val="0"/>
        <w:autoSpaceDN w:val="0"/>
        <w:adjustRightInd w:val="0"/>
        <w:spacing w:line="360" w:lineRule="auto"/>
        <w:ind w:left="0"/>
        <w:jc w:val="both"/>
        <w:rPr>
          <w:rFonts w:ascii="Palatino Linotype" w:hAnsi="Palatino Linotype"/>
        </w:rPr>
      </w:pPr>
      <w:r w:rsidRPr="00BC334D">
        <w:rPr>
          <w:rFonts w:ascii="Palatino Linotype" w:eastAsia="Calibri" w:hAnsi="Palatino Linotype"/>
        </w:rPr>
        <w:t xml:space="preserve">Así, una vez establecido </w:t>
      </w:r>
      <w:r w:rsidR="00703E75">
        <w:rPr>
          <w:rFonts w:ascii="Palatino Linotype" w:eastAsia="Calibri" w:hAnsi="Palatino Linotype"/>
        </w:rPr>
        <w:t>lo anterior, e</w:t>
      </w:r>
      <w:r w:rsidR="00703E75" w:rsidRPr="00703E75">
        <w:rPr>
          <w:rFonts w:ascii="Palatino Linotype" w:eastAsia="Calibri" w:hAnsi="Palatino Linotype"/>
        </w:rPr>
        <w:t>n atención a los requerimientos de información planteados por el particular, se analizaran en el siguiente cuadro comparativo la respuesta emitida por el Sujeto Obligado, los cuales constan de lo siguiente:</w:t>
      </w:r>
    </w:p>
    <w:p w:rsidR="00B00995" w:rsidRDefault="00B00995" w:rsidP="000E3D3D">
      <w:pPr>
        <w:spacing w:line="360" w:lineRule="auto"/>
        <w:jc w:val="both"/>
        <w:rPr>
          <w:rFonts w:ascii="Palatino Linotype" w:eastAsia="Arial Unicode MS" w:hAnsi="Palatino Linotype" w:cs="Arial"/>
        </w:rPr>
      </w:pPr>
    </w:p>
    <w:tbl>
      <w:tblPr>
        <w:tblStyle w:val="Tabladecuadrcula5oscura"/>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110"/>
        <w:gridCol w:w="1843"/>
      </w:tblGrid>
      <w:tr w:rsidR="00B00995" w:rsidRPr="00DC1986" w:rsidTr="004B16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shd w:val="clear" w:color="auto" w:fill="D9D9D9" w:themeFill="background1" w:themeFillShade="D9"/>
            <w:vAlign w:val="center"/>
          </w:tcPr>
          <w:p w:rsidR="00B00995" w:rsidRDefault="00B00995" w:rsidP="000E3D3D">
            <w:pPr>
              <w:jc w:val="center"/>
              <w:rPr>
                <w:rFonts w:ascii="Palatino Linotype" w:eastAsiaTheme="minorHAnsi" w:hAnsi="Palatino Linotype" w:cs="TimesNewRomanPS-ItalicMT"/>
                <w:iCs/>
                <w:color w:val="auto"/>
                <w:lang w:eastAsia="en-US"/>
              </w:rPr>
            </w:pPr>
          </w:p>
          <w:p w:rsidR="00B00995" w:rsidRPr="001D5D0B" w:rsidRDefault="00B00995" w:rsidP="000E3D3D">
            <w:pPr>
              <w:jc w:val="center"/>
              <w:rPr>
                <w:rFonts w:ascii="Palatino Linotype" w:eastAsiaTheme="minorHAnsi" w:hAnsi="Palatino Linotype" w:cs="TimesNewRomanPS-ItalicMT"/>
                <w:iCs/>
                <w:color w:val="auto"/>
                <w:lang w:eastAsia="en-US"/>
              </w:rPr>
            </w:pPr>
            <w:r w:rsidRPr="001D5D0B">
              <w:rPr>
                <w:rFonts w:ascii="Palatino Linotype" w:eastAsiaTheme="minorHAnsi" w:hAnsi="Palatino Linotype" w:cs="TimesNewRomanPS-ItalicMT"/>
                <w:iCs/>
                <w:color w:val="auto"/>
                <w:lang w:eastAsia="en-US"/>
              </w:rPr>
              <w:t>Solicitud de Información</w:t>
            </w:r>
          </w:p>
        </w:tc>
        <w:tc>
          <w:tcPr>
            <w:tcW w:w="4110" w:type="dxa"/>
            <w:tcBorders>
              <w:top w:val="none" w:sz="0" w:space="0" w:color="auto"/>
              <w:left w:val="none" w:sz="0" w:space="0" w:color="auto"/>
              <w:right w:val="none" w:sz="0" w:space="0" w:color="auto"/>
            </w:tcBorders>
            <w:shd w:val="clear" w:color="auto" w:fill="D9D9D9" w:themeFill="background1" w:themeFillShade="D9"/>
            <w:vAlign w:val="center"/>
          </w:tcPr>
          <w:p w:rsidR="00B00995" w:rsidRPr="00DC1986" w:rsidRDefault="00B00995" w:rsidP="000E3D3D">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C1986">
              <w:rPr>
                <w:rFonts w:ascii="Palatino Linotype" w:eastAsiaTheme="minorHAnsi" w:hAnsi="Palatino Linotype" w:cs="TimesNewRomanPS-ItalicMT"/>
                <w:iCs/>
                <w:color w:val="auto"/>
                <w:lang w:eastAsia="en-US"/>
              </w:rPr>
              <w:t>Respuesta</w:t>
            </w:r>
          </w:p>
        </w:tc>
        <w:tc>
          <w:tcPr>
            <w:tcW w:w="1843" w:type="dxa"/>
            <w:tcBorders>
              <w:top w:val="none" w:sz="0" w:space="0" w:color="auto"/>
              <w:left w:val="none" w:sz="0" w:space="0" w:color="auto"/>
              <w:right w:val="none" w:sz="0" w:space="0" w:color="auto"/>
            </w:tcBorders>
            <w:shd w:val="clear" w:color="auto" w:fill="D9D9D9" w:themeFill="background1" w:themeFillShade="D9"/>
            <w:vAlign w:val="center"/>
          </w:tcPr>
          <w:p w:rsidR="00B00995" w:rsidRPr="00DC1986" w:rsidRDefault="00B00995" w:rsidP="000E3D3D">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DC1986">
              <w:rPr>
                <w:rFonts w:ascii="Palatino Linotype" w:eastAsiaTheme="minorHAnsi" w:hAnsi="Palatino Linotype" w:cs="TimesNewRomanPS-ItalicMT"/>
                <w:iCs/>
                <w:color w:val="auto"/>
                <w:lang w:eastAsia="en-US"/>
              </w:rPr>
              <w:t>Cumplimiento</w:t>
            </w:r>
          </w:p>
        </w:tc>
      </w:tr>
      <w:tr w:rsidR="00B00995" w:rsidRPr="00DC1986" w:rsidTr="004B162F">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auto"/>
            <w:vAlign w:val="center"/>
          </w:tcPr>
          <w:p w:rsidR="00B00995" w:rsidRPr="001D5D0B" w:rsidRDefault="00703E75" w:rsidP="000E3D3D">
            <w:pPr>
              <w:jc w:val="both"/>
              <w:rPr>
                <w:rFonts w:ascii="Palatino Linotype" w:eastAsiaTheme="minorHAnsi" w:hAnsi="Palatino Linotype" w:cs="TimesNewRomanPS-ItalicMT"/>
                <w:b w:val="0"/>
                <w:iCs/>
                <w:color w:val="auto"/>
                <w:sz w:val="20"/>
                <w:lang w:eastAsia="en-US"/>
              </w:rPr>
            </w:pPr>
            <w:r>
              <w:rPr>
                <w:rFonts w:ascii="Palatino Linotype" w:eastAsiaTheme="minorHAnsi" w:hAnsi="Palatino Linotype" w:cs="TimesNewRomanPS-ItalicMT"/>
                <w:b w:val="0"/>
                <w:iCs/>
                <w:color w:val="auto"/>
                <w:sz w:val="20"/>
                <w:lang w:eastAsia="en-US"/>
              </w:rPr>
              <w:t>1</w:t>
            </w:r>
            <w:r w:rsidR="00B00995" w:rsidRPr="00995063">
              <w:rPr>
                <w:rFonts w:ascii="Palatino Linotype" w:eastAsiaTheme="minorHAnsi" w:hAnsi="Palatino Linotype" w:cs="TimesNewRomanPS-ItalicMT"/>
                <w:b w:val="0"/>
                <w:iCs/>
                <w:color w:val="auto"/>
                <w:sz w:val="20"/>
                <w:lang w:eastAsia="en-US"/>
              </w:rPr>
              <w:t>.</w:t>
            </w:r>
            <w:r w:rsidR="00B00995" w:rsidRPr="00995063">
              <w:rPr>
                <w:rFonts w:ascii="Palatino Linotype" w:eastAsiaTheme="minorHAnsi" w:hAnsi="Palatino Linotype" w:cs="TimesNewRomanPS-ItalicMT"/>
                <w:b w:val="0"/>
                <w:iCs/>
                <w:color w:val="auto"/>
                <w:sz w:val="20"/>
                <w:lang w:eastAsia="en-US"/>
              </w:rPr>
              <w:tab/>
              <w:t xml:space="preserve">Cuántas patrullas cuenta el municipio de </w:t>
            </w:r>
            <w:proofErr w:type="spellStart"/>
            <w:r w:rsidR="00B00995" w:rsidRPr="00995063">
              <w:rPr>
                <w:rFonts w:ascii="Palatino Linotype" w:eastAsiaTheme="minorHAnsi" w:hAnsi="Palatino Linotype" w:cs="TimesNewRomanPS-ItalicMT"/>
                <w:b w:val="0"/>
                <w:iCs/>
                <w:color w:val="auto"/>
                <w:sz w:val="20"/>
                <w:lang w:eastAsia="en-US"/>
              </w:rPr>
              <w:t>Juchitepec</w:t>
            </w:r>
            <w:proofErr w:type="spellEnd"/>
            <w:r w:rsidR="00B00995" w:rsidRPr="00995063">
              <w:rPr>
                <w:rFonts w:ascii="Palatino Linotype" w:eastAsiaTheme="minorHAnsi" w:hAnsi="Palatino Linotype" w:cs="TimesNewRomanPS-ItalicMT"/>
                <w:b w:val="0"/>
                <w:iCs/>
                <w:color w:val="auto"/>
                <w:sz w:val="20"/>
                <w:lang w:eastAsia="en-US"/>
              </w:rPr>
              <w:t xml:space="preserve"> y en qué estado;</w:t>
            </w:r>
          </w:p>
        </w:tc>
        <w:tc>
          <w:tcPr>
            <w:tcW w:w="4110" w:type="dxa"/>
            <w:shd w:val="clear" w:color="auto" w:fill="FFFFFF" w:themeFill="background1"/>
            <w:vAlign w:val="center"/>
          </w:tcPr>
          <w:p w:rsidR="00B00995" w:rsidRPr="00DC1986" w:rsidRDefault="00B00995" w:rsidP="000E3D3D">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E</w:t>
            </w:r>
            <w:r w:rsidRPr="00995063">
              <w:rPr>
                <w:rFonts w:ascii="Palatino Linotype" w:eastAsiaTheme="minorHAnsi" w:hAnsi="Palatino Linotype" w:cs="TimesNewRomanPS-ItalicMT"/>
                <w:iCs/>
                <w:sz w:val="20"/>
                <w:lang w:eastAsia="en-US"/>
              </w:rPr>
              <w:t xml:space="preserve">l Jefe de Registro y Control Patrimonial, informó que el municipio de </w:t>
            </w:r>
            <w:proofErr w:type="spellStart"/>
            <w:r w:rsidRPr="00995063">
              <w:rPr>
                <w:rFonts w:ascii="Palatino Linotype" w:eastAsiaTheme="minorHAnsi" w:hAnsi="Palatino Linotype" w:cs="TimesNewRomanPS-ItalicMT"/>
                <w:iCs/>
                <w:sz w:val="20"/>
                <w:lang w:eastAsia="en-US"/>
              </w:rPr>
              <w:t>Juchitepec</w:t>
            </w:r>
            <w:proofErr w:type="spellEnd"/>
            <w:r w:rsidRPr="00995063">
              <w:rPr>
                <w:rFonts w:ascii="Palatino Linotype" w:eastAsiaTheme="minorHAnsi" w:hAnsi="Palatino Linotype" w:cs="TimesNewRomanPS-ItalicMT"/>
                <w:iCs/>
                <w:sz w:val="20"/>
                <w:lang w:eastAsia="en-US"/>
              </w:rPr>
              <w:t xml:space="preserve"> actualmente cuenta con </w:t>
            </w:r>
            <w:r w:rsidRPr="00703E75">
              <w:rPr>
                <w:rFonts w:ascii="Palatino Linotype" w:eastAsiaTheme="minorHAnsi" w:hAnsi="Palatino Linotype" w:cs="TimesNewRomanPS-ItalicMT"/>
                <w:b/>
                <w:iCs/>
                <w:sz w:val="20"/>
                <w:lang w:eastAsia="en-US"/>
              </w:rPr>
              <w:t>ocho patrullas</w:t>
            </w:r>
            <w:r w:rsidRPr="00995063">
              <w:rPr>
                <w:rFonts w:ascii="Palatino Linotype" w:eastAsiaTheme="minorHAnsi" w:hAnsi="Palatino Linotype" w:cs="TimesNewRomanPS-ItalicMT"/>
                <w:iCs/>
                <w:sz w:val="20"/>
                <w:lang w:eastAsia="en-US"/>
              </w:rPr>
              <w:t xml:space="preserve"> de las cuales </w:t>
            </w:r>
            <w:r w:rsidRPr="00703E75">
              <w:rPr>
                <w:rFonts w:ascii="Palatino Linotype" w:eastAsiaTheme="minorHAnsi" w:hAnsi="Palatino Linotype" w:cs="TimesNewRomanPS-ItalicMT"/>
                <w:b/>
                <w:iCs/>
                <w:sz w:val="20"/>
                <w:lang w:eastAsia="en-US"/>
              </w:rPr>
              <w:t>seis se encuentran en estado funcional y dos en reparación</w:t>
            </w:r>
            <w:r w:rsidRPr="00995063">
              <w:rPr>
                <w:rFonts w:ascii="Palatino Linotype" w:eastAsiaTheme="minorHAnsi" w:hAnsi="Palatino Linotype" w:cs="TimesNewRomanPS-ItalicMT"/>
                <w:iCs/>
                <w:sz w:val="20"/>
                <w:lang w:eastAsia="en-US"/>
              </w:rPr>
              <w:t>.</w:t>
            </w:r>
          </w:p>
        </w:tc>
        <w:tc>
          <w:tcPr>
            <w:tcW w:w="1843" w:type="dxa"/>
            <w:shd w:val="clear" w:color="auto" w:fill="FFFFFF" w:themeFill="background1"/>
            <w:vAlign w:val="center"/>
          </w:tcPr>
          <w:p w:rsidR="00B00995" w:rsidRDefault="00B00995" w:rsidP="000E3D3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p>
          <w:p w:rsidR="00B00995" w:rsidRDefault="00B00995" w:rsidP="000E3D3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p>
          <w:p w:rsidR="00B00995" w:rsidRDefault="00B00995" w:rsidP="000E3D3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p>
          <w:p w:rsidR="00B00995" w:rsidRDefault="00B00995" w:rsidP="000E3D3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Pr>
                <w:rFonts w:ascii="Palatino Linotype" w:eastAsiaTheme="minorHAnsi" w:hAnsi="Palatino Linotype" w:cs="TimesNewRomanPS-ItalicMT"/>
                <w:b/>
                <w:i/>
                <w:iCs/>
                <w:lang w:eastAsia="en-US"/>
              </w:rPr>
              <w:t>Sí</w:t>
            </w:r>
          </w:p>
          <w:p w:rsidR="00B00995" w:rsidRPr="00DC1986" w:rsidRDefault="00B00995" w:rsidP="000E3D3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p>
        </w:tc>
      </w:tr>
      <w:tr w:rsidR="00B00995" w:rsidRPr="00DC1986" w:rsidTr="004B162F">
        <w:trPr>
          <w:trHeight w:val="678"/>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auto"/>
            <w:vAlign w:val="center"/>
          </w:tcPr>
          <w:p w:rsidR="00B00995" w:rsidRPr="001D5D0B" w:rsidRDefault="00703E75" w:rsidP="000E3D3D">
            <w:pPr>
              <w:jc w:val="both"/>
              <w:rPr>
                <w:rFonts w:ascii="Palatino Linotype" w:eastAsiaTheme="minorHAnsi" w:hAnsi="Palatino Linotype" w:cs="TimesNewRomanPS-ItalicMT"/>
                <w:b w:val="0"/>
                <w:iCs/>
                <w:color w:val="auto"/>
                <w:sz w:val="20"/>
                <w:lang w:eastAsia="en-US"/>
              </w:rPr>
            </w:pPr>
            <w:r>
              <w:rPr>
                <w:rFonts w:ascii="Palatino Linotype" w:eastAsiaTheme="minorHAnsi" w:hAnsi="Palatino Linotype" w:cs="TimesNewRomanPS-ItalicMT"/>
                <w:b w:val="0"/>
                <w:iCs/>
                <w:color w:val="auto"/>
                <w:sz w:val="20"/>
                <w:lang w:eastAsia="en-US"/>
              </w:rPr>
              <w:t>2</w:t>
            </w:r>
            <w:r w:rsidR="00B00995" w:rsidRPr="00995063">
              <w:rPr>
                <w:rFonts w:ascii="Palatino Linotype" w:eastAsiaTheme="minorHAnsi" w:hAnsi="Palatino Linotype" w:cs="TimesNewRomanPS-ItalicMT"/>
                <w:b w:val="0"/>
                <w:iCs/>
                <w:color w:val="auto"/>
                <w:sz w:val="20"/>
                <w:lang w:eastAsia="en-US"/>
              </w:rPr>
              <w:t>.</w:t>
            </w:r>
            <w:r w:rsidR="00B00995" w:rsidRPr="00995063">
              <w:rPr>
                <w:rFonts w:ascii="Palatino Linotype" w:eastAsiaTheme="minorHAnsi" w:hAnsi="Palatino Linotype" w:cs="TimesNewRomanPS-ItalicMT"/>
                <w:b w:val="0"/>
                <w:iCs/>
                <w:color w:val="auto"/>
                <w:sz w:val="20"/>
                <w:lang w:eastAsia="en-US"/>
              </w:rPr>
              <w:tab/>
              <w:t>El plan de obras públicas 2025 autorizado;</w:t>
            </w:r>
          </w:p>
        </w:tc>
        <w:tc>
          <w:tcPr>
            <w:tcW w:w="4110" w:type="dxa"/>
            <w:shd w:val="clear" w:color="auto" w:fill="FFFFFF" w:themeFill="background1"/>
            <w:vAlign w:val="center"/>
          </w:tcPr>
          <w:p w:rsidR="00B00995" w:rsidRPr="00DC1986" w:rsidRDefault="00B00995" w:rsidP="000E3D3D">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L</w:t>
            </w:r>
            <w:r w:rsidRPr="00995063">
              <w:rPr>
                <w:rFonts w:ascii="Palatino Linotype" w:eastAsiaTheme="minorHAnsi" w:hAnsi="Palatino Linotype" w:cs="TimesNewRomanPS-ItalicMT"/>
                <w:iCs/>
                <w:sz w:val="20"/>
                <w:lang w:eastAsia="en-US"/>
              </w:rPr>
              <w:t>a Directora de Obras Públicas y Desarrollo Urbano, informó que de acuerdo a los Lineamientos de la Entrega a Re</w:t>
            </w:r>
            <w:r w:rsidR="00703E75">
              <w:rPr>
                <w:rFonts w:ascii="Palatino Linotype" w:eastAsiaTheme="minorHAnsi" w:hAnsi="Palatino Linotype" w:cs="TimesNewRomanPS-ItalicMT"/>
                <w:iCs/>
                <w:sz w:val="20"/>
                <w:lang w:eastAsia="en-US"/>
              </w:rPr>
              <w:t xml:space="preserve">cepción la administración 2022 - </w:t>
            </w:r>
            <w:r w:rsidRPr="00995063">
              <w:rPr>
                <w:rFonts w:ascii="Palatino Linotype" w:eastAsiaTheme="minorHAnsi" w:hAnsi="Palatino Linotype" w:cs="TimesNewRomanPS-ItalicMT"/>
                <w:iCs/>
                <w:sz w:val="20"/>
                <w:lang w:eastAsia="en-US"/>
              </w:rPr>
              <w:t xml:space="preserve">2024 deja sus funciones laborales el 31 de diciembre de 2024, por lo que no </w:t>
            </w:r>
            <w:r>
              <w:rPr>
                <w:rFonts w:ascii="Palatino Linotype" w:eastAsiaTheme="minorHAnsi" w:hAnsi="Palatino Linotype" w:cs="TimesNewRomanPS-ItalicMT"/>
                <w:iCs/>
                <w:sz w:val="20"/>
                <w:lang w:eastAsia="en-US"/>
              </w:rPr>
              <w:t>es de su competencia el</w:t>
            </w:r>
            <w:r w:rsidRPr="00995063">
              <w:rPr>
                <w:rFonts w:ascii="Palatino Linotype" w:eastAsiaTheme="minorHAnsi" w:hAnsi="Palatino Linotype" w:cs="TimesNewRomanPS-ItalicMT"/>
                <w:iCs/>
                <w:sz w:val="20"/>
                <w:lang w:eastAsia="en-US"/>
              </w:rPr>
              <w:t xml:space="preserve"> programa</w:t>
            </w:r>
            <w:r>
              <w:rPr>
                <w:rFonts w:ascii="Palatino Linotype" w:eastAsiaTheme="minorHAnsi" w:hAnsi="Palatino Linotype" w:cs="TimesNewRomanPS-ItalicMT"/>
                <w:iCs/>
                <w:sz w:val="20"/>
                <w:lang w:eastAsia="en-US"/>
              </w:rPr>
              <w:t xml:space="preserve"> anual de obras públicas 2025</w:t>
            </w:r>
            <w:r w:rsidRPr="00995063">
              <w:rPr>
                <w:rFonts w:ascii="Palatino Linotype" w:eastAsiaTheme="minorHAnsi" w:hAnsi="Palatino Linotype" w:cs="TimesNewRomanPS-ItalicMT"/>
                <w:iCs/>
                <w:sz w:val="20"/>
                <w:lang w:eastAsia="en-US"/>
              </w:rPr>
              <w:t>.</w:t>
            </w:r>
          </w:p>
        </w:tc>
        <w:tc>
          <w:tcPr>
            <w:tcW w:w="1843" w:type="dxa"/>
            <w:shd w:val="clear" w:color="auto" w:fill="FFFFFF" w:themeFill="background1"/>
            <w:vAlign w:val="center"/>
          </w:tcPr>
          <w:p w:rsidR="00B00995" w:rsidRDefault="0099237D" w:rsidP="000E3D3D">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Pr>
                <w:rFonts w:ascii="Palatino Linotype" w:eastAsiaTheme="minorHAnsi" w:hAnsi="Palatino Linotype" w:cs="TimesNewRomanPS-ItalicMT"/>
                <w:b/>
                <w:i/>
                <w:iCs/>
                <w:lang w:eastAsia="en-US"/>
              </w:rPr>
              <w:t>No</w:t>
            </w:r>
          </w:p>
          <w:p w:rsidR="00B00995" w:rsidRPr="00DC1986" w:rsidRDefault="00B00995" w:rsidP="000E3D3D">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tc>
      </w:tr>
      <w:tr w:rsidR="00B00995" w:rsidRPr="00DC1986" w:rsidTr="004B162F">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auto"/>
            <w:vAlign w:val="center"/>
          </w:tcPr>
          <w:p w:rsidR="00B00995" w:rsidRPr="001D5D0B" w:rsidRDefault="00703E75" w:rsidP="000E3D3D">
            <w:pPr>
              <w:jc w:val="both"/>
              <w:rPr>
                <w:rFonts w:ascii="Palatino Linotype" w:eastAsiaTheme="minorHAnsi" w:hAnsi="Palatino Linotype" w:cs="TimesNewRomanPS-ItalicMT"/>
                <w:b w:val="0"/>
                <w:iCs/>
                <w:color w:val="auto"/>
                <w:sz w:val="20"/>
                <w:lang w:eastAsia="en-US"/>
              </w:rPr>
            </w:pPr>
            <w:r>
              <w:rPr>
                <w:rFonts w:ascii="Palatino Linotype" w:eastAsiaTheme="minorHAnsi" w:hAnsi="Palatino Linotype" w:cs="TimesNewRomanPS-ItalicMT"/>
                <w:b w:val="0"/>
                <w:iCs/>
                <w:color w:val="auto"/>
                <w:sz w:val="20"/>
                <w:lang w:eastAsia="en-US"/>
              </w:rPr>
              <w:t>3</w:t>
            </w:r>
            <w:r w:rsidR="00B00995" w:rsidRPr="00995063">
              <w:rPr>
                <w:rFonts w:ascii="Palatino Linotype" w:eastAsiaTheme="minorHAnsi" w:hAnsi="Palatino Linotype" w:cs="TimesNewRomanPS-ItalicMT"/>
                <w:b w:val="0"/>
                <w:iCs/>
                <w:color w:val="auto"/>
                <w:sz w:val="20"/>
                <w:lang w:eastAsia="en-US"/>
              </w:rPr>
              <w:t>.</w:t>
            </w:r>
            <w:r w:rsidR="00B00995" w:rsidRPr="00995063">
              <w:rPr>
                <w:rFonts w:ascii="Palatino Linotype" w:eastAsiaTheme="minorHAnsi" w:hAnsi="Palatino Linotype" w:cs="TimesNewRomanPS-ItalicMT"/>
                <w:b w:val="0"/>
                <w:iCs/>
                <w:color w:val="auto"/>
                <w:sz w:val="20"/>
                <w:lang w:eastAsia="en-US"/>
              </w:rPr>
              <w:tab/>
              <w:t>Información respecto el parque vehicular.</w:t>
            </w:r>
          </w:p>
        </w:tc>
        <w:tc>
          <w:tcPr>
            <w:tcW w:w="4110" w:type="dxa"/>
            <w:shd w:val="clear" w:color="auto" w:fill="FFFFFF" w:themeFill="background1"/>
            <w:vAlign w:val="center"/>
          </w:tcPr>
          <w:p w:rsidR="00B00995" w:rsidRPr="00DC1986" w:rsidRDefault="00B00995" w:rsidP="000E3D3D">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No se pronunció</w:t>
            </w:r>
          </w:p>
        </w:tc>
        <w:tc>
          <w:tcPr>
            <w:tcW w:w="1843" w:type="dxa"/>
            <w:shd w:val="clear" w:color="auto" w:fill="FFFFFF" w:themeFill="background1"/>
            <w:vAlign w:val="center"/>
          </w:tcPr>
          <w:p w:rsidR="00B00995" w:rsidRDefault="00703E75" w:rsidP="000E3D3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Pr>
                <w:rFonts w:ascii="Palatino Linotype" w:eastAsiaTheme="minorHAnsi" w:hAnsi="Palatino Linotype" w:cs="TimesNewRomanPS-ItalicMT"/>
                <w:b/>
                <w:i/>
                <w:iCs/>
                <w:lang w:eastAsia="en-US"/>
              </w:rPr>
              <w:t>No</w:t>
            </w:r>
          </w:p>
          <w:p w:rsidR="00B00995" w:rsidRPr="00DC1986" w:rsidRDefault="00B00995" w:rsidP="000E3D3D">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p>
        </w:tc>
      </w:tr>
      <w:bookmarkEnd w:id="1"/>
      <w:bookmarkEnd w:id="2"/>
    </w:tbl>
    <w:p w:rsidR="00B00995" w:rsidRDefault="00B00995" w:rsidP="000E3D3D">
      <w:pPr>
        <w:tabs>
          <w:tab w:val="left" w:pos="709"/>
        </w:tabs>
        <w:spacing w:line="360" w:lineRule="auto"/>
        <w:ind w:right="51"/>
        <w:jc w:val="both"/>
        <w:rPr>
          <w:rFonts w:ascii="Palatino Linotype" w:eastAsia="Calibri" w:hAnsi="Palatino Linotype"/>
        </w:rPr>
      </w:pPr>
    </w:p>
    <w:p w:rsidR="00BC1E18" w:rsidRDefault="00BC1E18" w:rsidP="000E3D3D">
      <w:pPr>
        <w:tabs>
          <w:tab w:val="left" w:pos="709"/>
        </w:tabs>
        <w:spacing w:line="360" w:lineRule="auto"/>
        <w:ind w:right="51"/>
        <w:jc w:val="both"/>
        <w:rPr>
          <w:rFonts w:ascii="Palatino Linotype" w:hAnsi="Palatino Linotype"/>
        </w:rPr>
      </w:pPr>
      <w:r w:rsidRPr="00836EB7">
        <w:rPr>
          <w:rFonts w:ascii="Palatino Linotype" w:hAnsi="Palatino Linotype"/>
        </w:rPr>
        <w:t xml:space="preserve">Es así vez que </w:t>
      </w:r>
      <w:r>
        <w:rPr>
          <w:rFonts w:ascii="Palatino Linotype" w:hAnsi="Palatino Linotype"/>
        </w:rPr>
        <w:t>podemos concluir</w:t>
      </w:r>
      <w:r w:rsidRPr="00836EB7">
        <w:rPr>
          <w:rFonts w:ascii="Palatino Linotype" w:hAnsi="Palatino Linotype"/>
        </w:rPr>
        <w:t xml:space="preserve"> del</w:t>
      </w:r>
      <w:r>
        <w:rPr>
          <w:rFonts w:ascii="Palatino Linotype" w:hAnsi="Palatino Linotype"/>
        </w:rPr>
        <w:t xml:space="preserve"> cuadro anterior</w:t>
      </w:r>
      <w:r w:rsidRPr="00836EB7">
        <w:rPr>
          <w:rFonts w:ascii="Palatino Linotype" w:hAnsi="Palatino Linotype"/>
        </w:rPr>
        <w:t xml:space="preserve">, que </w:t>
      </w:r>
      <w:r>
        <w:rPr>
          <w:rFonts w:ascii="Palatino Linotype" w:hAnsi="Palatino Linotype"/>
        </w:rPr>
        <w:t>se tiene por atendido e</w:t>
      </w:r>
      <w:r w:rsidRPr="005E6E36">
        <w:rPr>
          <w:rFonts w:ascii="Palatino Linotype" w:hAnsi="Palatino Linotype"/>
        </w:rPr>
        <w:t>l requerimiento marcado</w:t>
      </w:r>
      <w:r>
        <w:rPr>
          <w:rFonts w:ascii="Palatino Linotype" w:hAnsi="Palatino Linotype"/>
        </w:rPr>
        <w:t>s</w:t>
      </w:r>
      <w:r w:rsidRPr="005E6E36">
        <w:rPr>
          <w:rFonts w:ascii="Palatino Linotype" w:hAnsi="Palatino Linotype"/>
        </w:rPr>
        <w:t xml:space="preserve"> con </w:t>
      </w:r>
      <w:r>
        <w:rPr>
          <w:rFonts w:ascii="Palatino Linotype" w:hAnsi="Palatino Linotype"/>
        </w:rPr>
        <w:t>el</w:t>
      </w:r>
      <w:r w:rsidRPr="005E6E36">
        <w:rPr>
          <w:rFonts w:ascii="Palatino Linotype" w:hAnsi="Palatino Linotype"/>
        </w:rPr>
        <w:t xml:space="preserve"> numeral</w:t>
      </w:r>
      <w:r>
        <w:rPr>
          <w:rFonts w:ascii="Palatino Linotype" w:hAnsi="Palatino Linotype"/>
        </w:rPr>
        <w:t xml:space="preserve"> </w:t>
      </w:r>
      <w:r>
        <w:rPr>
          <w:rFonts w:ascii="Palatino Linotype" w:hAnsi="Palatino Linotype"/>
          <w:b/>
        </w:rPr>
        <w:t>uno</w:t>
      </w:r>
      <w:r w:rsidRPr="00836EB7">
        <w:rPr>
          <w:rFonts w:ascii="Palatino Linotype" w:hAnsi="Palatino Linotype"/>
          <w:b/>
        </w:rPr>
        <w:t xml:space="preserve"> (</w:t>
      </w:r>
      <w:r>
        <w:rPr>
          <w:rFonts w:ascii="Palatino Linotype" w:hAnsi="Palatino Linotype"/>
          <w:b/>
        </w:rPr>
        <w:t>1</w:t>
      </w:r>
      <w:r w:rsidRPr="00836EB7">
        <w:rPr>
          <w:rFonts w:ascii="Palatino Linotype" w:hAnsi="Palatino Linotype"/>
          <w:b/>
        </w:rPr>
        <w:t xml:space="preserve">), </w:t>
      </w:r>
      <w:r w:rsidRPr="005E6E36">
        <w:rPr>
          <w:rFonts w:ascii="Palatino Linotype" w:hAnsi="Palatino Linotype"/>
        </w:rPr>
        <w:t xml:space="preserve">en virtud de </w:t>
      </w:r>
      <w:r>
        <w:rPr>
          <w:rFonts w:ascii="Palatino Linotype" w:hAnsi="Palatino Linotype"/>
        </w:rPr>
        <w:t xml:space="preserve">haberse atendido por el Sujeto Obligado. </w:t>
      </w:r>
    </w:p>
    <w:p w:rsidR="00BC1E18" w:rsidRDefault="00BC1E18" w:rsidP="000E3D3D">
      <w:pPr>
        <w:tabs>
          <w:tab w:val="left" w:pos="709"/>
        </w:tabs>
        <w:spacing w:line="360" w:lineRule="auto"/>
        <w:ind w:right="51"/>
        <w:jc w:val="both"/>
        <w:rPr>
          <w:rFonts w:ascii="Palatino Linotype" w:eastAsia="Calibri" w:hAnsi="Palatino Linotype"/>
        </w:rPr>
      </w:pPr>
    </w:p>
    <w:p w:rsidR="00BC1E18" w:rsidRDefault="0099237D" w:rsidP="000E3D3D">
      <w:pPr>
        <w:spacing w:line="360" w:lineRule="auto"/>
        <w:jc w:val="both"/>
        <w:rPr>
          <w:rFonts w:ascii="Palatino Linotype" w:hAnsi="Palatino Linotype"/>
        </w:rPr>
      </w:pPr>
      <w:r w:rsidRPr="0099237D">
        <w:rPr>
          <w:rFonts w:ascii="Palatino Linotype" w:hAnsi="Palatino Linotype"/>
        </w:rPr>
        <w:t xml:space="preserve">Ahora bien, aunado a lo anterior, del </w:t>
      </w:r>
      <w:r>
        <w:rPr>
          <w:rFonts w:ascii="Palatino Linotype" w:hAnsi="Palatino Linotype"/>
        </w:rPr>
        <w:t>requerimien</w:t>
      </w:r>
      <w:r w:rsidRPr="0099237D">
        <w:rPr>
          <w:rFonts w:ascii="Palatino Linotype" w:hAnsi="Palatino Linotype"/>
        </w:rPr>
        <w:t>to</w:t>
      </w:r>
      <w:r>
        <w:rPr>
          <w:rFonts w:ascii="Palatino Linotype" w:hAnsi="Palatino Linotype"/>
        </w:rPr>
        <w:t xml:space="preserve"> marcado con el </w:t>
      </w:r>
      <w:r w:rsidRPr="0099237D">
        <w:rPr>
          <w:rFonts w:ascii="Palatino Linotype" w:hAnsi="Palatino Linotype"/>
          <w:b/>
        </w:rPr>
        <w:t>numeral dos (2)</w:t>
      </w:r>
      <w:r>
        <w:rPr>
          <w:rFonts w:ascii="Palatino Linotype" w:hAnsi="Palatino Linotype"/>
          <w:b/>
        </w:rPr>
        <w:t xml:space="preserve">, a través del cual </w:t>
      </w:r>
      <w:r w:rsidR="00BC1E18">
        <w:rPr>
          <w:rFonts w:ascii="Palatino Linotype" w:hAnsi="Palatino Linotype"/>
        </w:rPr>
        <w:t>peticiona</w:t>
      </w:r>
      <w:r w:rsidRPr="0099237D">
        <w:rPr>
          <w:rFonts w:ascii="Palatino Linotype" w:hAnsi="Palatino Linotype"/>
        </w:rPr>
        <w:t xml:space="preserve"> el </w:t>
      </w:r>
      <w:r w:rsidRPr="00BC1E18">
        <w:rPr>
          <w:rFonts w:ascii="Palatino Linotype" w:hAnsi="Palatino Linotype"/>
          <w:b/>
        </w:rPr>
        <w:t>programa anual de obras</w:t>
      </w:r>
      <w:r w:rsidRPr="0099237D">
        <w:rPr>
          <w:rFonts w:ascii="Palatino Linotype" w:hAnsi="Palatino Linotype"/>
        </w:rPr>
        <w:t xml:space="preserve"> </w:t>
      </w:r>
      <w:r w:rsidR="00BC1E18">
        <w:rPr>
          <w:rFonts w:ascii="Palatino Linotype" w:hAnsi="Palatino Linotype"/>
        </w:rPr>
        <w:t>y el Sujeto Obligado señaló a través de l</w:t>
      </w:r>
      <w:r w:rsidR="00BC1E18" w:rsidRPr="00BC1E18">
        <w:rPr>
          <w:rFonts w:ascii="Palatino Linotype" w:hAnsi="Palatino Linotype"/>
        </w:rPr>
        <w:t>a Directora de Obras Públicas y Desarrollo Urbano</w:t>
      </w:r>
      <w:r w:rsidR="00BC1E18">
        <w:rPr>
          <w:rFonts w:ascii="Palatino Linotype" w:hAnsi="Palatino Linotype"/>
        </w:rPr>
        <w:t>,</w:t>
      </w:r>
      <w:r w:rsidR="00BC1E18" w:rsidRPr="00BC1E18">
        <w:rPr>
          <w:rFonts w:ascii="Palatino Linotype" w:hAnsi="Palatino Linotype"/>
        </w:rPr>
        <w:t xml:space="preserve"> que de acuerdo a los Lineamientos de la Entrega a Recepción la administración 2022 - 2024 deja sus </w:t>
      </w:r>
      <w:r w:rsidR="00BC1E18" w:rsidRPr="00BC1E18">
        <w:rPr>
          <w:rFonts w:ascii="Palatino Linotype" w:hAnsi="Palatino Linotype"/>
        </w:rPr>
        <w:lastRenderedPageBreak/>
        <w:t>funciones laborales el 31 de diciembre de 2024, por lo que no es de su competencia el programa anual de obras públicas 2025</w:t>
      </w:r>
      <w:r w:rsidR="00BC1E18">
        <w:rPr>
          <w:rFonts w:ascii="Palatino Linotype" w:hAnsi="Palatino Linotype"/>
        </w:rPr>
        <w:t>.</w:t>
      </w:r>
    </w:p>
    <w:p w:rsidR="0099237D" w:rsidRDefault="0099237D" w:rsidP="000E3D3D">
      <w:pPr>
        <w:spacing w:line="360" w:lineRule="auto"/>
        <w:jc w:val="both"/>
        <w:rPr>
          <w:rFonts w:ascii="Palatino Linotype" w:hAnsi="Palatino Linotype"/>
        </w:rPr>
      </w:pPr>
    </w:p>
    <w:p w:rsidR="00401976" w:rsidRPr="0014656F" w:rsidRDefault="00401976" w:rsidP="000E3D3D">
      <w:pPr>
        <w:spacing w:line="360" w:lineRule="auto"/>
        <w:jc w:val="both"/>
        <w:rPr>
          <w:rFonts w:ascii="Palatino Linotype" w:hAnsi="Palatino Linotype"/>
        </w:rPr>
      </w:pPr>
      <w:r w:rsidRPr="0014656F">
        <w:rPr>
          <w:rFonts w:ascii="Palatino Linotype" w:eastAsiaTheme="minorHAnsi" w:hAnsi="Palatino Linotype" w:cs="Arial"/>
          <w:szCs w:val="22"/>
          <w:lang w:eastAsia="en-US"/>
        </w:rPr>
        <w:t xml:space="preserve">Es necesario mencionar que, el Manual para la Planeación, Programación y Presupuesto de Egresos Municipal para el Ejercicio Fiscal 2023 y 2024, establece que, en el </w:t>
      </w:r>
      <w:r w:rsidRPr="0014656F">
        <w:rPr>
          <w:rFonts w:ascii="Palatino Linotype" w:hAnsi="Palatino Linotype"/>
          <w:b/>
          <w:u w:val="single"/>
        </w:rPr>
        <w:t>Capítulo 6000 Inversión Pública:</w:t>
      </w:r>
      <w:r w:rsidRPr="0014656F">
        <w:rPr>
          <w:rFonts w:ascii="Palatino Linotype" w:hAnsi="Palatino Linotype"/>
        </w:rPr>
        <w:t xml:space="preserve"> Los recursos de inversión para </w:t>
      </w:r>
      <w:r w:rsidRPr="0014656F">
        <w:rPr>
          <w:rFonts w:ascii="Palatino Linotype" w:hAnsi="Palatino Linotype"/>
          <w:b/>
        </w:rPr>
        <w:t>obra pública</w:t>
      </w:r>
      <w:r w:rsidRPr="0014656F">
        <w:rPr>
          <w:rFonts w:ascii="Palatino Linotype" w:hAnsi="Palatino Linotype"/>
        </w:rPr>
        <w:t xml:space="preserve"> serán asignados a las unidades responsables de la ejecución de obras y/o servicios que conforman el gobierno municipal, quienes lo programarán para un ejercicio con estricto apego a la normatividad en la materia; </w:t>
      </w:r>
      <w:r w:rsidRPr="0014656F">
        <w:rPr>
          <w:rFonts w:ascii="Palatino Linotype" w:hAnsi="Palatino Linotype"/>
          <w:b/>
          <w:bCs/>
          <w:u w:val="single"/>
        </w:rPr>
        <w:t>para ello, elaborarán un Programa Anual de Obras específico, alineado al Plan de Desarrollo Municipal</w:t>
      </w:r>
      <w:r w:rsidRPr="0014656F">
        <w:rPr>
          <w:rFonts w:ascii="Palatino Linotype" w:hAnsi="Palatino Linotype"/>
        </w:rPr>
        <w:t xml:space="preserve">. </w:t>
      </w:r>
    </w:p>
    <w:p w:rsidR="00401976" w:rsidRPr="0014656F" w:rsidRDefault="00401976" w:rsidP="000E3D3D">
      <w:pPr>
        <w:spacing w:line="360" w:lineRule="auto"/>
        <w:jc w:val="both"/>
        <w:rPr>
          <w:rFonts w:ascii="Palatino Linotype" w:hAnsi="Palatino Linotype"/>
        </w:rPr>
      </w:pPr>
    </w:p>
    <w:p w:rsidR="00401976" w:rsidRPr="0014656F" w:rsidRDefault="00401976" w:rsidP="000E3D3D">
      <w:pPr>
        <w:spacing w:line="360" w:lineRule="auto"/>
        <w:jc w:val="both"/>
        <w:rPr>
          <w:rFonts w:ascii="Palatino Linotype" w:hAnsi="Palatino Linotype"/>
        </w:rPr>
      </w:pPr>
      <w:r w:rsidRPr="0014656F">
        <w:rPr>
          <w:rFonts w:ascii="Palatino Linotype" w:hAnsi="Palatino Linotype"/>
        </w:rPr>
        <w:t xml:space="preserve">En el caso de que se presupueste </w:t>
      </w:r>
      <w:r w:rsidRPr="0014656F">
        <w:rPr>
          <w:rFonts w:ascii="Palatino Linotype" w:hAnsi="Palatino Linotype"/>
          <w:b/>
          <w:bCs/>
          <w:u w:val="single"/>
        </w:rPr>
        <w:t>la ejecución de obras públicas mediante convenios con otros sectores públicos y privados</w:t>
      </w:r>
      <w:r w:rsidRPr="0014656F">
        <w:rPr>
          <w:rFonts w:ascii="Palatino Linotype" w:hAnsi="Palatino Linotype"/>
        </w:rPr>
        <w:t xml:space="preserve">, se deberá identificar el estimado de recursos que se aportarán por cada uno de los sectores. </w:t>
      </w:r>
    </w:p>
    <w:p w:rsidR="00401976" w:rsidRPr="0014656F" w:rsidRDefault="00401976" w:rsidP="000E3D3D">
      <w:pPr>
        <w:spacing w:line="360" w:lineRule="auto"/>
        <w:jc w:val="both"/>
        <w:rPr>
          <w:rFonts w:ascii="Palatino Linotype" w:hAnsi="Palatino Linotype"/>
        </w:rPr>
      </w:pPr>
    </w:p>
    <w:p w:rsidR="00401976" w:rsidRPr="0014656F" w:rsidRDefault="00401976" w:rsidP="000E3D3D">
      <w:pPr>
        <w:spacing w:line="360" w:lineRule="auto"/>
        <w:jc w:val="both"/>
        <w:rPr>
          <w:rFonts w:ascii="Palatino Linotype" w:hAnsi="Palatino Linotype"/>
        </w:rPr>
      </w:pPr>
      <w:r w:rsidRPr="0014656F">
        <w:rPr>
          <w:rFonts w:ascii="Palatino Linotype" w:hAnsi="Palatino Linotype"/>
        </w:rPr>
        <w:t xml:space="preserve">Los recursos de inversión que se autoricen se destinarán principalmente a: </w:t>
      </w:r>
    </w:p>
    <w:p w:rsidR="00401976" w:rsidRPr="0014656F" w:rsidRDefault="00401976" w:rsidP="000E3D3D">
      <w:pPr>
        <w:spacing w:line="360" w:lineRule="auto"/>
        <w:jc w:val="both"/>
        <w:rPr>
          <w:rFonts w:ascii="Palatino Linotype" w:hAnsi="Palatino Linotype"/>
        </w:rPr>
      </w:pPr>
    </w:p>
    <w:p w:rsidR="00401976" w:rsidRPr="0014656F" w:rsidRDefault="00401976" w:rsidP="000E3D3D">
      <w:pPr>
        <w:pStyle w:val="Prrafodelista"/>
        <w:numPr>
          <w:ilvl w:val="0"/>
          <w:numId w:val="13"/>
        </w:numPr>
        <w:spacing w:line="360" w:lineRule="auto"/>
        <w:jc w:val="both"/>
        <w:rPr>
          <w:rFonts w:ascii="Palatino Linotype" w:hAnsi="Palatino Linotype"/>
        </w:rPr>
      </w:pPr>
      <w:r w:rsidRPr="0014656F">
        <w:rPr>
          <w:rFonts w:ascii="Palatino Linotype" w:hAnsi="Palatino Linotype"/>
        </w:rPr>
        <w:t xml:space="preserve">La terminación de las obras públicas en proceso. </w:t>
      </w:r>
    </w:p>
    <w:p w:rsidR="00401976" w:rsidRPr="0014656F" w:rsidRDefault="00401976" w:rsidP="000E3D3D">
      <w:pPr>
        <w:pStyle w:val="Prrafodelista"/>
        <w:numPr>
          <w:ilvl w:val="0"/>
          <w:numId w:val="13"/>
        </w:numPr>
        <w:spacing w:line="360" w:lineRule="auto"/>
        <w:jc w:val="both"/>
        <w:rPr>
          <w:rFonts w:ascii="Palatino Linotype" w:hAnsi="Palatino Linotype"/>
        </w:rPr>
      </w:pPr>
      <w:r w:rsidRPr="0014656F">
        <w:rPr>
          <w:rFonts w:ascii="Palatino Linotype" w:hAnsi="Palatino Linotype"/>
        </w:rPr>
        <w:t xml:space="preserve">La asignación de recursos a nuevos proyectos se fundamentará en criterios que garanticen el cumplimiento de las demandas de la sociedad establecidas en el Plan de Desarrollo Municipal, o bien, por nuevos requerimientos que apruebe el Ayuntamiento. </w:t>
      </w:r>
    </w:p>
    <w:p w:rsidR="00401976" w:rsidRPr="0014656F" w:rsidRDefault="00401976" w:rsidP="000E3D3D">
      <w:pPr>
        <w:pStyle w:val="Prrafodelista"/>
        <w:numPr>
          <w:ilvl w:val="0"/>
          <w:numId w:val="13"/>
        </w:numPr>
        <w:spacing w:line="360" w:lineRule="auto"/>
        <w:jc w:val="both"/>
        <w:rPr>
          <w:rFonts w:ascii="Palatino Linotype" w:hAnsi="Palatino Linotype"/>
        </w:rPr>
      </w:pPr>
      <w:r w:rsidRPr="0014656F">
        <w:rPr>
          <w:rFonts w:ascii="Palatino Linotype" w:hAnsi="Palatino Linotype"/>
        </w:rPr>
        <w:t xml:space="preserve">Los proyectos de obra pública deberán ser evaluados social y económicamente para identificar la relación costo beneficio de los mismos y señalar posibles </w:t>
      </w:r>
      <w:r w:rsidRPr="0014656F">
        <w:rPr>
          <w:rFonts w:ascii="Palatino Linotype" w:hAnsi="Palatino Linotype"/>
        </w:rPr>
        <w:lastRenderedPageBreak/>
        <w:t xml:space="preserve">fuentes financieras de acuerdo a sus características, así como la justificación de su prioridad. </w:t>
      </w:r>
    </w:p>
    <w:p w:rsidR="00401976" w:rsidRPr="0014656F" w:rsidRDefault="00401976" w:rsidP="000E3D3D">
      <w:pPr>
        <w:spacing w:line="360" w:lineRule="auto"/>
        <w:jc w:val="both"/>
        <w:rPr>
          <w:rFonts w:ascii="Palatino Linotype" w:hAnsi="Palatino Linotype"/>
        </w:rPr>
      </w:pPr>
    </w:p>
    <w:p w:rsidR="00401976" w:rsidRPr="00D967A6" w:rsidRDefault="00401976" w:rsidP="000E3D3D">
      <w:pPr>
        <w:spacing w:line="360" w:lineRule="auto"/>
        <w:jc w:val="both"/>
        <w:rPr>
          <w:rFonts w:ascii="Palatino Linotype" w:hAnsi="Palatino Linotype"/>
        </w:rPr>
      </w:pPr>
      <w:r w:rsidRPr="0014656F">
        <w:rPr>
          <w:rFonts w:ascii="Palatino Linotype" w:hAnsi="Palatino Linotype"/>
        </w:rPr>
        <w:t xml:space="preserve">Cuando existan obras cuya ejecución requiera varios ejercicios presupuestarios, las dependencias deberán presentar a la Tesorería, </w:t>
      </w:r>
      <w:r w:rsidRPr="0014656F">
        <w:rPr>
          <w:rFonts w:ascii="Palatino Linotype" w:hAnsi="Palatino Linotype"/>
          <w:b/>
          <w:u w:val="single"/>
        </w:rPr>
        <w:t>el programa de ejecución de la obra</w:t>
      </w:r>
      <w:r w:rsidRPr="0014656F">
        <w:rPr>
          <w:rFonts w:ascii="Palatino Linotype" w:hAnsi="Palatino Linotype"/>
        </w:rPr>
        <w:t xml:space="preserve"> en donde se establezcan claramente los plazos para su ejecución, identificando la fase a realizar en el presente año. Dicho documento, servirá para integrar el expediente técnico.</w:t>
      </w:r>
    </w:p>
    <w:p w:rsidR="00401976" w:rsidRPr="0099237D" w:rsidRDefault="00401976" w:rsidP="000E3D3D">
      <w:pPr>
        <w:spacing w:line="360" w:lineRule="auto"/>
        <w:jc w:val="both"/>
        <w:rPr>
          <w:rFonts w:ascii="Palatino Linotype" w:hAnsi="Palatino Linotype"/>
        </w:rPr>
      </w:pPr>
    </w:p>
    <w:p w:rsidR="0099237D" w:rsidRPr="0099237D" w:rsidRDefault="00401976" w:rsidP="000E3D3D">
      <w:pPr>
        <w:spacing w:line="360" w:lineRule="auto"/>
        <w:jc w:val="both"/>
        <w:rPr>
          <w:rFonts w:ascii="Palatino Linotype" w:hAnsi="Palatino Linotype"/>
        </w:rPr>
      </w:pPr>
      <w:r>
        <w:rPr>
          <w:rFonts w:ascii="Palatino Linotype" w:hAnsi="Palatino Linotype"/>
        </w:rPr>
        <w:t>Ahora bien</w:t>
      </w:r>
      <w:r w:rsidR="0099237D" w:rsidRPr="0099237D">
        <w:rPr>
          <w:rFonts w:ascii="Palatino Linotype" w:hAnsi="Palatino Linotype"/>
        </w:rPr>
        <w:t>, se debe hacer referencia a lo establecido en el artículo 2 de la Ley de Fiscalización referida por el Sujeto Obligado, que en sus fracciones IV, VIII y XII dispone lo siguiente:</w:t>
      </w:r>
    </w:p>
    <w:p w:rsidR="0099237D" w:rsidRPr="0099237D" w:rsidRDefault="0099237D" w:rsidP="000E3D3D">
      <w:pPr>
        <w:spacing w:line="360" w:lineRule="auto"/>
        <w:jc w:val="both"/>
        <w:rPr>
          <w:rFonts w:ascii="Palatino Linotype" w:hAnsi="Palatino Linotype"/>
        </w:rPr>
      </w:pP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b/>
          <w:bCs/>
          <w:i/>
          <w:sz w:val="22"/>
        </w:rPr>
        <w:t>Artículo 2.</w:t>
      </w:r>
      <w:r w:rsidRPr="00BC1E18">
        <w:rPr>
          <w:rFonts w:ascii="Palatino Linotype" w:hAnsi="Palatino Linotype"/>
          <w:i/>
          <w:sz w:val="22"/>
        </w:rPr>
        <w:t xml:space="preserve"> Para los efectos de la presente Ley, se entenderá por:</w:t>
      </w: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i/>
          <w:sz w:val="22"/>
        </w:rPr>
        <w:t>[…]</w:t>
      </w: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b/>
          <w:bCs/>
          <w:i/>
          <w:sz w:val="22"/>
          <w:lang w:val="es-ES"/>
        </w:rPr>
        <w:t>IV.</w:t>
      </w:r>
      <w:r w:rsidRPr="00BC1E18">
        <w:rPr>
          <w:rFonts w:ascii="Palatino Linotype" w:hAnsi="Palatino Linotype"/>
          <w:i/>
          <w:sz w:val="22"/>
        </w:rPr>
        <w:tab/>
      </w:r>
      <w:r w:rsidRPr="00BC1E18">
        <w:rPr>
          <w:rFonts w:ascii="Palatino Linotype" w:hAnsi="Palatino Linotype"/>
          <w:b/>
          <w:i/>
          <w:sz w:val="22"/>
          <w:lang w:val="es-ES"/>
        </w:rPr>
        <w:t>Comisión</w:t>
      </w:r>
      <w:r w:rsidRPr="00BC1E18">
        <w:rPr>
          <w:rFonts w:ascii="Palatino Linotype" w:hAnsi="Palatino Linotype"/>
          <w:i/>
          <w:sz w:val="22"/>
          <w:lang w:val="es-ES"/>
        </w:rPr>
        <w:t>: A la Comisión de Vigilancia de la Legislatura del Estado;</w:t>
      </w: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i/>
          <w:sz w:val="22"/>
        </w:rPr>
        <w:t>[…]</w:t>
      </w: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b/>
          <w:bCs/>
          <w:i/>
          <w:sz w:val="22"/>
          <w:lang w:val="es-ES"/>
        </w:rPr>
        <w:t>VIII.</w:t>
      </w:r>
      <w:r w:rsidRPr="00BC1E18">
        <w:rPr>
          <w:rFonts w:ascii="Palatino Linotype" w:hAnsi="Palatino Linotype"/>
          <w:i/>
          <w:sz w:val="22"/>
        </w:rPr>
        <w:tab/>
      </w:r>
      <w:r w:rsidRPr="00BC1E18">
        <w:rPr>
          <w:rFonts w:ascii="Palatino Linotype" w:hAnsi="Palatino Linotype"/>
          <w:b/>
          <w:i/>
          <w:sz w:val="22"/>
          <w:lang w:val="es-ES"/>
        </w:rPr>
        <w:t>Cuenta Pública:</w:t>
      </w:r>
      <w:r w:rsidRPr="00BC1E18">
        <w:rPr>
          <w:rFonts w:ascii="Palatino Linotype" w:hAnsi="Palatino Linotype"/>
          <w:i/>
          <w:sz w:val="22"/>
          <w:lang w:val="es-ES"/>
        </w:rPr>
        <w:t xml:space="preserve"> Los informes que rinden anualmente a la Legislatura, el Gobernador y los Presidentes Municipales, respecto de los resultados y la situación financiera del ejercicio fiscal inmediato anterior según corresponda;</w:t>
      </w: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i/>
          <w:sz w:val="22"/>
        </w:rPr>
        <w:t>[…]</w:t>
      </w: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b/>
          <w:bCs/>
          <w:i/>
          <w:sz w:val="22"/>
          <w:lang w:val="es-ES"/>
        </w:rPr>
        <w:t>XII.</w:t>
      </w:r>
      <w:r w:rsidRPr="00BC1E18">
        <w:rPr>
          <w:rFonts w:ascii="Palatino Linotype" w:hAnsi="Palatino Linotype"/>
          <w:i/>
          <w:sz w:val="22"/>
        </w:rPr>
        <w:tab/>
      </w:r>
      <w:r w:rsidRPr="00BC1E18">
        <w:rPr>
          <w:rFonts w:ascii="Palatino Linotype" w:hAnsi="Palatino Linotype"/>
          <w:b/>
          <w:i/>
          <w:sz w:val="22"/>
          <w:lang w:val="es-ES"/>
        </w:rPr>
        <w:t>Informe de Resultados:</w:t>
      </w:r>
      <w:r w:rsidRPr="00BC1E18">
        <w:rPr>
          <w:rFonts w:ascii="Palatino Linotype" w:hAnsi="Palatino Linotype"/>
          <w:i/>
          <w:sz w:val="22"/>
          <w:lang w:val="es-ES"/>
        </w:rPr>
        <w:t xml:space="preserve"> Al documento que contiene el resultado de la fiscalización de las cuentas públicas, que el Órgano Superior, por conducto de la Comisión, presenta a la Legislatura;</w:t>
      </w:r>
    </w:p>
    <w:p w:rsidR="0099237D" w:rsidRPr="00BC1E18" w:rsidRDefault="0099237D" w:rsidP="000E3D3D">
      <w:pPr>
        <w:pStyle w:val="Sinespaciado"/>
        <w:spacing w:line="276" w:lineRule="auto"/>
        <w:ind w:left="567" w:right="567"/>
        <w:jc w:val="both"/>
        <w:rPr>
          <w:rFonts w:ascii="Palatino Linotype" w:hAnsi="Palatino Linotype"/>
          <w:i/>
          <w:sz w:val="22"/>
        </w:rPr>
      </w:pPr>
      <w:r w:rsidRPr="00BC1E18">
        <w:rPr>
          <w:rFonts w:ascii="Palatino Linotype" w:hAnsi="Palatino Linotype"/>
          <w:i/>
          <w:sz w:val="22"/>
        </w:rPr>
        <w:t>[…]</w:t>
      </w:r>
    </w:p>
    <w:p w:rsidR="0099237D" w:rsidRPr="0099237D" w:rsidRDefault="0099237D" w:rsidP="000E3D3D">
      <w:pPr>
        <w:spacing w:line="360" w:lineRule="auto"/>
        <w:jc w:val="both"/>
        <w:rPr>
          <w:rFonts w:ascii="Palatino Linotype" w:hAnsi="Palatino Linotype"/>
        </w:rPr>
      </w:pPr>
    </w:p>
    <w:p w:rsidR="0099237D" w:rsidRPr="0099237D" w:rsidRDefault="0099237D" w:rsidP="000E3D3D">
      <w:pPr>
        <w:spacing w:line="360" w:lineRule="auto"/>
        <w:jc w:val="both"/>
        <w:rPr>
          <w:rFonts w:ascii="Palatino Linotype" w:hAnsi="Palatino Linotype"/>
        </w:rPr>
      </w:pPr>
      <w:r w:rsidRPr="0099237D">
        <w:rPr>
          <w:rFonts w:ascii="Palatino Linotype" w:hAnsi="Palatino Linotype"/>
        </w:rPr>
        <w:t xml:space="preserve">Así, del precepto citado se advierte que la Comisión es la Comisión de Vigilancia de la Legislatura del Estado, que la Cuenta Pública es el informe que se rinde anualmente por los titulares del Ejecutivo estatal y municipal, </w:t>
      </w:r>
      <w:r w:rsidRPr="0099237D">
        <w:rPr>
          <w:rFonts w:ascii="Palatino Linotype" w:hAnsi="Palatino Linotype"/>
          <w:b/>
        </w:rPr>
        <w:t xml:space="preserve">respecto de los resultados y la </w:t>
      </w:r>
      <w:r w:rsidRPr="0099237D">
        <w:rPr>
          <w:rFonts w:ascii="Palatino Linotype" w:hAnsi="Palatino Linotype"/>
          <w:b/>
        </w:rPr>
        <w:lastRenderedPageBreak/>
        <w:t xml:space="preserve">situación financiera </w:t>
      </w:r>
      <w:r w:rsidRPr="0099237D">
        <w:rPr>
          <w:rFonts w:ascii="Palatino Linotype" w:hAnsi="Palatino Linotype"/>
          <w:b/>
          <w:u w:val="single"/>
        </w:rPr>
        <w:t>del ejercicio fiscal inmediato anterior, según corresponda</w:t>
      </w:r>
      <w:r w:rsidRPr="0099237D">
        <w:rPr>
          <w:rFonts w:ascii="Palatino Linotype" w:hAnsi="Palatino Linotype"/>
        </w:rPr>
        <w:t xml:space="preserve"> y el Informe de Resultados contiene el resultado de la fiscalización </w:t>
      </w:r>
      <w:r w:rsidRPr="0099237D">
        <w:rPr>
          <w:rFonts w:ascii="Palatino Linotype" w:hAnsi="Palatino Linotype"/>
          <w:b/>
        </w:rPr>
        <w:t xml:space="preserve">de las cuentas públicas que el OSFEM presenta a la Legislatura </w:t>
      </w:r>
      <w:r w:rsidRPr="0099237D">
        <w:rPr>
          <w:rFonts w:ascii="Palatino Linotype" w:hAnsi="Palatino Linotype"/>
        </w:rPr>
        <w:t>por medio de la Comisión.</w:t>
      </w:r>
    </w:p>
    <w:p w:rsidR="00BC1E18" w:rsidRDefault="00BC1E18" w:rsidP="000E3D3D">
      <w:pPr>
        <w:spacing w:line="360" w:lineRule="auto"/>
        <w:jc w:val="both"/>
        <w:rPr>
          <w:rFonts w:ascii="Palatino Linotype" w:hAnsi="Palatino Linotype"/>
        </w:rPr>
      </w:pPr>
    </w:p>
    <w:p w:rsidR="0099237D" w:rsidRPr="0099237D" w:rsidRDefault="0099237D" w:rsidP="000E3D3D">
      <w:pPr>
        <w:spacing w:line="360" w:lineRule="auto"/>
        <w:jc w:val="both"/>
        <w:rPr>
          <w:rFonts w:ascii="Palatino Linotype" w:hAnsi="Palatino Linotype"/>
        </w:rPr>
      </w:pPr>
      <w:r w:rsidRPr="0099237D">
        <w:rPr>
          <w:rFonts w:ascii="Palatino Linotype" w:hAnsi="Palatino Linotype"/>
        </w:rPr>
        <w:t>Del mismo modo, se debe hacer referencia a lo dispuesto en los artículos 32 tercer párrafo, 34 y 50 primer párrafo de la Ley de Fiscalización que a la letra estipulan lo siguiente:</w:t>
      </w:r>
    </w:p>
    <w:p w:rsidR="0099237D" w:rsidRPr="0099237D" w:rsidRDefault="0099237D" w:rsidP="000E3D3D">
      <w:pPr>
        <w:spacing w:line="360" w:lineRule="auto"/>
        <w:jc w:val="both"/>
        <w:rPr>
          <w:rFonts w:ascii="Palatino Linotype" w:hAnsi="Palatino Linotype"/>
        </w:rPr>
      </w:pPr>
    </w:p>
    <w:p w:rsidR="0099237D" w:rsidRPr="00BC1E18" w:rsidRDefault="0099237D" w:rsidP="000E3D3D">
      <w:pPr>
        <w:pStyle w:val="Sinespaciado"/>
        <w:ind w:left="567" w:right="567"/>
        <w:jc w:val="both"/>
        <w:rPr>
          <w:rFonts w:ascii="Palatino Linotype" w:hAnsi="Palatino Linotype"/>
          <w:b/>
          <w:i/>
          <w:sz w:val="22"/>
        </w:rPr>
      </w:pPr>
      <w:r w:rsidRPr="00BC1E18">
        <w:rPr>
          <w:rFonts w:ascii="Palatino Linotype" w:hAnsi="Palatino Linotype"/>
          <w:b/>
          <w:i/>
          <w:sz w:val="22"/>
        </w:rPr>
        <w:t xml:space="preserve">Artículo 32. </w:t>
      </w:r>
      <w:r w:rsidRPr="00BC1E18">
        <w:rPr>
          <w:rFonts w:ascii="Palatino Linotype" w:hAnsi="Palatino Linotype"/>
          <w:i/>
          <w:sz w:val="22"/>
        </w:rPr>
        <w:t>Las cuentas públicas estatal y municipales, deberán presentarse conforme a lo establecido en la Ley General de Contabilidad Gubernamental, en la Ley de Disciplina Financiera de las Entidades Federativas y los Municipios, en el Código Financiero del Estado de México y Municipios, el Manual Único de Contabilidad Gubernamental para las Dependencias y Entidades Públicas del Gobierno y Municipios del Estado de México, y demás disposiciones aplicables.</w:t>
      </w:r>
    </w:p>
    <w:p w:rsidR="0099237D" w:rsidRPr="00BC1E18" w:rsidRDefault="0099237D" w:rsidP="000E3D3D">
      <w:pPr>
        <w:pStyle w:val="Sinespaciado"/>
        <w:ind w:left="567" w:right="567"/>
        <w:jc w:val="both"/>
        <w:rPr>
          <w:rFonts w:ascii="Palatino Linotype" w:hAnsi="Palatino Linotype"/>
          <w:i/>
          <w:sz w:val="22"/>
        </w:rPr>
      </w:pPr>
    </w:p>
    <w:p w:rsidR="0099237D" w:rsidRPr="00BC1E18" w:rsidRDefault="0099237D" w:rsidP="000E3D3D">
      <w:pPr>
        <w:pStyle w:val="Sinespaciado"/>
        <w:ind w:left="567" w:right="567"/>
        <w:jc w:val="both"/>
        <w:rPr>
          <w:rFonts w:ascii="Palatino Linotype" w:hAnsi="Palatino Linotype"/>
          <w:i/>
          <w:sz w:val="22"/>
        </w:rPr>
      </w:pPr>
      <w:r w:rsidRPr="00BC1E18">
        <w:rPr>
          <w:rFonts w:ascii="Palatino Linotype" w:hAnsi="Palatino Linotype"/>
          <w:i/>
          <w:sz w:val="22"/>
        </w:rPr>
        <w:t xml:space="preserve">El Gobernador del Estado, por conducto del titular de la dependencia competente, presentará a la Legislatura la cuenta pública del Gobierno del Estado del ejercicio fiscal inmediato anterior, a más tardar el treinta de abril de cada año. </w:t>
      </w:r>
    </w:p>
    <w:p w:rsidR="0099237D" w:rsidRPr="00BC1E18" w:rsidRDefault="0099237D" w:rsidP="000E3D3D">
      <w:pPr>
        <w:pStyle w:val="Sinespaciado"/>
        <w:ind w:left="567" w:right="567"/>
        <w:jc w:val="both"/>
        <w:rPr>
          <w:rFonts w:ascii="Palatino Linotype" w:hAnsi="Palatino Linotype"/>
          <w:i/>
          <w:sz w:val="22"/>
        </w:rPr>
      </w:pPr>
    </w:p>
    <w:p w:rsidR="0099237D" w:rsidRPr="00BC1E18" w:rsidRDefault="0099237D" w:rsidP="000E3D3D">
      <w:pPr>
        <w:pStyle w:val="Sinespaciado"/>
        <w:ind w:left="567" w:right="567"/>
        <w:jc w:val="both"/>
        <w:rPr>
          <w:rFonts w:ascii="Palatino Linotype" w:hAnsi="Palatino Linotype"/>
          <w:b/>
          <w:bCs/>
          <w:i/>
          <w:sz w:val="22"/>
          <w:u w:val="single"/>
          <w:lang w:val="es-ES"/>
        </w:rPr>
      </w:pPr>
      <w:r w:rsidRPr="00BC1E18">
        <w:rPr>
          <w:rFonts w:ascii="Palatino Linotype" w:hAnsi="Palatino Linotype"/>
          <w:b/>
          <w:bCs/>
          <w:i/>
          <w:sz w:val="22"/>
          <w:u w:val="single"/>
          <w:lang w:val="es-ES"/>
        </w:rPr>
        <w:t xml:space="preserve">Los presidentes municipales presentarán a la Legislatura las cuentas públicas de sus respectivos municipios, del ejercicio fiscal inmediato anterior, dentro de los quince primeros días del mes de marzo de cada año. </w:t>
      </w:r>
    </w:p>
    <w:p w:rsidR="0099237D" w:rsidRPr="00BC1E18" w:rsidRDefault="0099237D" w:rsidP="000E3D3D">
      <w:pPr>
        <w:pStyle w:val="Sinespaciado"/>
        <w:ind w:left="567" w:right="567"/>
        <w:jc w:val="both"/>
        <w:rPr>
          <w:rFonts w:ascii="Palatino Linotype" w:hAnsi="Palatino Linotype"/>
          <w:i/>
          <w:sz w:val="22"/>
        </w:rPr>
      </w:pPr>
    </w:p>
    <w:p w:rsidR="0099237D" w:rsidRPr="00BC1E18" w:rsidRDefault="0099237D" w:rsidP="000E3D3D">
      <w:pPr>
        <w:pStyle w:val="Sinespaciado"/>
        <w:ind w:left="567" w:right="567"/>
        <w:jc w:val="both"/>
        <w:rPr>
          <w:rFonts w:ascii="Palatino Linotype" w:hAnsi="Palatino Linotype"/>
          <w:i/>
          <w:sz w:val="22"/>
        </w:rPr>
      </w:pPr>
      <w:r w:rsidRPr="00BC1E18">
        <w:rPr>
          <w:rFonts w:ascii="Palatino Linotype" w:hAnsi="Palatino Linotype"/>
          <w:i/>
          <w:sz w:val="22"/>
        </w:rPr>
        <w:t>Si el día del vencimiento de los plazos señalados, corresponde a un día inhábil, se podrá presentar al día hábil inmediato siguiente.</w:t>
      </w:r>
    </w:p>
    <w:p w:rsidR="0099237D" w:rsidRPr="00BC1E18" w:rsidRDefault="0099237D" w:rsidP="000E3D3D">
      <w:pPr>
        <w:pStyle w:val="Sinespaciado"/>
        <w:ind w:left="567" w:right="567"/>
        <w:jc w:val="both"/>
        <w:rPr>
          <w:rFonts w:ascii="Palatino Linotype" w:hAnsi="Palatino Linotype"/>
          <w:i/>
          <w:sz w:val="22"/>
        </w:rPr>
      </w:pPr>
    </w:p>
    <w:p w:rsidR="0099237D" w:rsidRPr="00BC1E18" w:rsidRDefault="0099237D" w:rsidP="000E3D3D">
      <w:pPr>
        <w:pStyle w:val="Sinespaciado"/>
        <w:ind w:left="567" w:right="567"/>
        <w:jc w:val="both"/>
        <w:rPr>
          <w:rFonts w:ascii="Palatino Linotype" w:hAnsi="Palatino Linotype"/>
          <w:i/>
          <w:sz w:val="22"/>
        </w:rPr>
      </w:pPr>
      <w:r w:rsidRPr="00BC1E18">
        <w:rPr>
          <w:rFonts w:ascii="Palatino Linotype" w:hAnsi="Palatino Linotype"/>
          <w:i/>
          <w:sz w:val="22"/>
        </w:rPr>
        <w:t>La Legislatura deberá remitir las Cuentas Públicas al Órgano Superior el día hábil siguiente a su recepción.</w:t>
      </w:r>
    </w:p>
    <w:p w:rsidR="0099237D" w:rsidRPr="00BC1E18" w:rsidRDefault="0099237D" w:rsidP="000E3D3D">
      <w:pPr>
        <w:pStyle w:val="Sinespaciado"/>
        <w:ind w:left="567" w:right="567"/>
        <w:jc w:val="both"/>
        <w:rPr>
          <w:rFonts w:ascii="Palatino Linotype" w:hAnsi="Palatino Linotype"/>
          <w:i/>
          <w:sz w:val="22"/>
        </w:rPr>
      </w:pPr>
    </w:p>
    <w:p w:rsidR="0099237D" w:rsidRPr="00BC1E18" w:rsidRDefault="0099237D" w:rsidP="000E3D3D">
      <w:pPr>
        <w:pStyle w:val="Sinespaciado"/>
        <w:ind w:left="567" w:right="567"/>
        <w:jc w:val="both"/>
        <w:rPr>
          <w:rFonts w:ascii="Palatino Linotype" w:hAnsi="Palatino Linotype"/>
          <w:i/>
          <w:sz w:val="22"/>
        </w:rPr>
      </w:pPr>
      <w:r w:rsidRPr="00BC1E18">
        <w:rPr>
          <w:rFonts w:ascii="Palatino Linotype" w:hAnsi="Palatino Linotype"/>
          <w:b/>
          <w:i/>
          <w:sz w:val="22"/>
        </w:rPr>
        <w:t>Artículo 34.-</w:t>
      </w:r>
      <w:r w:rsidRPr="00BC1E18">
        <w:rPr>
          <w:rFonts w:ascii="Palatino Linotype" w:hAnsi="Palatino Linotype"/>
          <w:i/>
          <w:sz w:val="22"/>
        </w:rPr>
        <w:t xml:space="preserve"> El Órgano Superior conservará en su poder las cuentas públicas del Estado y de los municipios de cada ejercicio fiscal, así como los informes de resultados de su revisión y los informes de auditoría y de denuncias que correspondan, en tanto no prescriban las responsabilidades derivadas de las irregularidades que se observen en las operaciones objeto de revisión. Asimismo, conservará las copias autógrafas de los pliegos que formule y copias de los trámites que hubiere realizado ante las instancias competentes para la presentación de denuncias o querellas penales derivadas del ejercicio de sus funciones.</w:t>
      </w:r>
    </w:p>
    <w:p w:rsidR="0099237D" w:rsidRPr="00BC1E18" w:rsidRDefault="0099237D" w:rsidP="000E3D3D">
      <w:pPr>
        <w:pStyle w:val="Sinespaciado"/>
        <w:ind w:left="567" w:right="567"/>
        <w:jc w:val="both"/>
        <w:rPr>
          <w:rFonts w:ascii="Palatino Linotype" w:hAnsi="Palatino Linotype"/>
          <w:i/>
          <w:sz w:val="22"/>
        </w:rPr>
      </w:pPr>
    </w:p>
    <w:p w:rsidR="0099237D" w:rsidRPr="00BC1E18" w:rsidRDefault="0099237D" w:rsidP="000E3D3D">
      <w:pPr>
        <w:pStyle w:val="Sinespaciado"/>
        <w:ind w:left="567" w:right="567"/>
        <w:jc w:val="both"/>
        <w:rPr>
          <w:rFonts w:ascii="Palatino Linotype" w:eastAsia="Arial Unicode MS" w:hAnsi="Palatino Linotype"/>
          <w:i/>
          <w:sz w:val="22"/>
        </w:rPr>
      </w:pPr>
      <w:r w:rsidRPr="00BC1E18">
        <w:rPr>
          <w:rFonts w:ascii="Palatino Linotype" w:eastAsia="Arial Unicode MS" w:hAnsi="Palatino Linotype"/>
          <w:b/>
          <w:i/>
          <w:sz w:val="22"/>
        </w:rPr>
        <w:t xml:space="preserve">Artículo 50.- </w:t>
      </w:r>
      <w:r w:rsidRPr="00BC1E18">
        <w:rPr>
          <w:rFonts w:ascii="Palatino Linotype" w:eastAsia="Arial Unicode MS" w:hAnsi="Palatino Linotype"/>
          <w:i/>
          <w:sz w:val="22"/>
        </w:rPr>
        <w:t xml:space="preserve">El Órgano Superior tendrá un plazo improrrogable que vence el 15 de noviembre del año en que se entreguen las cuentas públicas, para presentar el Informe de Resultados ante la Comisión de Vigilancia del Órgano Superior de Fiscalización, mismo que tendrá el carácter público y, en consecuencia, deberá ser publicado en medios electrónicos de manera inmediatamente posterior a su entrega; mientras ello no suceda, el Órgano Superior deberá guardar reserva de sus actuaciones e información. </w:t>
      </w:r>
    </w:p>
    <w:p w:rsidR="0099237D" w:rsidRPr="00BC1E18" w:rsidRDefault="0099237D" w:rsidP="000E3D3D">
      <w:pPr>
        <w:pStyle w:val="Sinespaciado"/>
        <w:ind w:left="567" w:right="567"/>
        <w:jc w:val="both"/>
        <w:rPr>
          <w:rFonts w:ascii="Palatino Linotype" w:hAnsi="Palatino Linotype"/>
          <w:i/>
          <w:sz w:val="22"/>
        </w:rPr>
      </w:pPr>
      <w:r w:rsidRPr="00BC1E18">
        <w:rPr>
          <w:rFonts w:ascii="Palatino Linotype" w:hAnsi="Palatino Linotype"/>
          <w:i/>
          <w:sz w:val="22"/>
        </w:rPr>
        <w:t>[…]</w:t>
      </w:r>
    </w:p>
    <w:p w:rsidR="0099237D" w:rsidRPr="0099237D" w:rsidRDefault="0099237D" w:rsidP="000E3D3D">
      <w:pPr>
        <w:spacing w:line="360" w:lineRule="auto"/>
        <w:jc w:val="both"/>
        <w:rPr>
          <w:rFonts w:ascii="Palatino Linotype" w:hAnsi="Palatino Linotype"/>
        </w:rPr>
      </w:pPr>
    </w:p>
    <w:p w:rsidR="0099237D" w:rsidRPr="0099237D" w:rsidRDefault="0099237D" w:rsidP="000E3D3D">
      <w:pPr>
        <w:spacing w:line="360" w:lineRule="auto"/>
        <w:jc w:val="both"/>
        <w:rPr>
          <w:rFonts w:ascii="Palatino Linotype" w:hAnsi="Palatino Linotype"/>
          <w:lang w:val="es-ES"/>
        </w:rPr>
      </w:pPr>
      <w:r w:rsidRPr="0099237D">
        <w:rPr>
          <w:rFonts w:ascii="Palatino Linotype" w:hAnsi="Palatino Linotype"/>
          <w:lang w:val="es-ES"/>
        </w:rPr>
        <w:t xml:space="preserve">De los artículos en cita se tiene que los presidentes municipales presentarán las cuentas públicas de sus respectivos municipios </w:t>
      </w:r>
      <w:r w:rsidRPr="0099237D">
        <w:rPr>
          <w:rFonts w:ascii="Palatino Linotype" w:hAnsi="Palatino Linotype"/>
          <w:b/>
          <w:bCs/>
          <w:lang w:val="es-ES"/>
        </w:rPr>
        <w:t>del ejercicio fiscal inmediato anterior</w:t>
      </w:r>
      <w:r w:rsidRPr="0099237D">
        <w:rPr>
          <w:rFonts w:ascii="Palatino Linotype" w:hAnsi="Palatino Linotype"/>
          <w:lang w:val="es-ES"/>
        </w:rPr>
        <w:t xml:space="preserve">, dentro de los quince primeros días del mes de marzo de cada año; que el OSFEM conservará en su poder las cuentas públicas de los municipios y los informes de resultados en tanto no prescriban las responsabilidades derivadas de las irregularidades que se observen en las operaciones objeto de revisión y que tiene un plazo improrrogable que vence </w:t>
      </w:r>
      <w:r w:rsidRPr="0099237D">
        <w:rPr>
          <w:rFonts w:ascii="Palatino Linotype" w:hAnsi="Palatino Linotype"/>
          <w:b/>
          <w:bCs/>
          <w:lang w:val="es-ES"/>
        </w:rPr>
        <w:t>el quince de noviembre del año en que se entreguen las cuentas públicas</w:t>
      </w:r>
      <w:r w:rsidRPr="0099237D">
        <w:rPr>
          <w:rFonts w:ascii="Palatino Linotype" w:hAnsi="Palatino Linotype"/>
          <w:lang w:val="es-ES"/>
        </w:rPr>
        <w:t xml:space="preserve"> para presentar el Informe de resultados, el cual será público y debe ser publicada inmediatamente posterior a su entrega, mientras que esto no suceda, el OSFEM deberá guardar reserva de sus actuaciones e información.</w:t>
      </w:r>
    </w:p>
    <w:p w:rsidR="0099237D" w:rsidRPr="0099237D" w:rsidRDefault="0099237D" w:rsidP="000E3D3D">
      <w:pPr>
        <w:spacing w:line="360" w:lineRule="auto"/>
        <w:jc w:val="both"/>
        <w:rPr>
          <w:rFonts w:ascii="Palatino Linotype" w:hAnsi="Palatino Linotype"/>
        </w:rPr>
      </w:pPr>
    </w:p>
    <w:p w:rsidR="0099237D" w:rsidRPr="0099237D" w:rsidRDefault="0099237D" w:rsidP="000E3D3D">
      <w:pPr>
        <w:spacing w:line="360" w:lineRule="auto"/>
        <w:jc w:val="both"/>
        <w:rPr>
          <w:rFonts w:ascii="Palatino Linotype" w:hAnsi="Palatino Linotype"/>
        </w:rPr>
      </w:pPr>
      <w:r w:rsidRPr="0099237D">
        <w:rPr>
          <w:rFonts w:ascii="Palatino Linotype" w:hAnsi="Palatino Linotype"/>
        </w:rPr>
        <w:t>Lo anterior cobra relevancia debido a que se desprende lo siguiente:</w:t>
      </w:r>
    </w:p>
    <w:p w:rsidR="0099237D" w:rsidRPr="0099237D" w:rsidRDefault="0099237D" w:rsidP="000E3D3D">
      <w:pPr>
        <w:spacing w:line="360" w:lineRule="auto"/>
        <w:jc w:val="both"/>
        <w:rPr>
          <w:rFonts w:ascii="Palatino Linotype" w:hAnsi="Palatino Linotype"/>
        </w:rPr>
      </w:pPr>
    </w:p>
    <w:p w:rsidR="0099237D" w:rsidRPr="0099237D" w:rsidRDefault="0099237D" w:rsidP="000E3D3D">
      <w:pPr>
        <w:pStyle w:val="Prrafodelista"/>
        <w:numPr>
          <w:ilvl w:val="0"/>
          <w:numId w:val="11"/>
        </w:numPr>
        <w:spacing w:line="360" w:lineRule="auto"/>
        <w:jc w:val="both"/>
        <w:rPr>
          <w:rFonts w:ascii="Palatino Linotype" w:hAnsi="Palatino Linotype"/>
        </w:rPr>
      </w:pPr>
      <w:r w:rsidRPr="0099237D">
        <w:rPr>
          <w:rFonts w:ascii="Palatino Linotype" w:hAnsi="Palatino Linotype"/>
        </w:rPr>
        <w:t>La información solicitada por el Recurrente es</w:t>
      </w:r>
      <w:r w:rsidR="00BC1E18">
        <w:rPr>
          <w:rFonts w:ascii="Palatino Linotype" w:hAnsi="Palatino Linotype"/>
        </w:rPr>
        <w:t xml:space="preserve"> el Programa Anual de Obra del M</w:t>
      </w:r>
      <w:r w:rsidRPr="0099237D">
        <w:rPr>
          <w:rFonts w:ascii="Palatino Linotype" w:hAnsi="Palatino Linotype"/>
        </w:rPr>
        <w:t xml:space="preserve">unicipio de </w:t>
      </w:r>
      <w:proofErr w:type="spellStart"/>
      <w:r w:rsidR="00BC1E18">
        <w:rPr>
          <w:rFonts w:ascii="Palatino Linotype" w:hAnsi="Palatino Linotype"/>
        </w:rPr>
        <w:t>Juchitepec</w:t>
      </w:r>
      <w:proofErr w:type="spellEnd"/>
      <w:r w:rsidRPr="0099237D">
        <w:rPr>
          <w:rFonts w:ascii="Palatino Linotype" w:hAnsi="Palatino Linotype"/>
        </w:rPr>
        <w:t xml:space="preserve"> </w:t>
      </w:r>
      <w:r w:rsidR="00BC1E18">
        <w:rPr>
          <w:rFonts w:ascii="Palatino Linotype" w:hAnsi="Palatino Linotype"/>
        </w:rPr>
        <w:t>correspondiente a</w:t>
      </w:r>
      <w:r w:rsidRPr="0099237D">
        <w:rPr>
          <w:rFonts w:ascii="Palatino Linotype" w:hAnsi="Palatino Linotype"/>
        </w:rPr>
        <w:t>l ejercicio fiscal 202</w:t>
      </w:r>
      <w:r w:rsidR="00BC1E18">
        <w:rPr>
          <w:rFonts w:ascii="Palatino Linotype" w:hAnsi="Palatino Linotype"/>
        </w:rPr>
        <w:t>5</w:t>
      </w:r>
      <w:r w:rsidRPr="0099237D">
        <w:rPr>
          <w:rFonts w:ascii="Palatino Linotype" w:hAnsi="Palatino Linotype"/>
        </w:rPr>
        <w:t>.</w:t>
      </w:r>
    </w:p>
    <w:p w:rsidR="0099237D" w:rsidRPr="0099237D" w:rsidRDefault="0099237D" w:rsidP="000E3D3D">
      <w:pPr>
        <w:pStyle w:val="Prrafodelista"/>
        <w:numPr>
          <w:ilvl w:val="0"/>
          <w:numId w:val="11"/>
        </w:numPr>
        <w:spacing w:line="360" w:lineRule="auto"/>
        <w:jc w:val="both"/>
        <w:rPr>
          <w:rFonts w:ascii="Palatino Linotype" w:hAnsi="Palatino Linotype"/>
        </w:rPr>
      </w:pPr>
      <w:r w:rsidRPr="0099237D">
        <w:rPr>
          <w:rFonts w:ascii="Palatino Linotype" w:hAnsi="Palatino Linotype"/>
        </w:rPr>
        <w:t>Que el quince de marzo de dos mil veinticuatro fue la fecha límite para entregar la Cuenta Pública Municipal correspondiente al ejercicio 2023.</w:t>
      </w:r>
    </w:p>
    <w:p w:rsidR="0099237D" w:rsidRPr="0099237D" w:rsidRDefault="0099237D" w:rsidP="000E3D3D">
      <w:pPr>
        <w:pStyle w:val="Prrafodelista"/>
        <w:numPr>
          <w:ilvl w:val="0"/>
          <w:numId w:val="11"/>
        </w:numPr>
        <w:spacing w:line="360" w:lineRule="auto"/>
        <w:jc w:val="both"/>
        <w:rPr>
          <w:rFonts w:ascii="Palatino Linotype" w:hAnsi="Palatino Linotype"/>
        </w:rPr>
      </w:pPr>
      <w:r w:rsidRPr="0099237D">
        <w:rPr>
          <w:rFonts w:ascii="Palatino Linotype" w:hAnsi="Palatino Linotype"/>
        </w:rPr>
        <w:t>Que el Informe de Resultados que el OSFEM deberá entregar a la Legislatura local a más tardar el quince de noviembre de dos mil veinticuatro corresponde a la Cuenta Pública Municipal del Ejercicio 2023</w:t>
      </w:r>
      <w:r w:rsidR="00BC1E18">
        <w:rPr>
          <w:rFonts w:ascii="Palatino Linotype" w:hAnsi="Palatino Linotype"/>
        </w:rPr>
        <w:t>.</w:t>
      </w:r>
    </w:p>
    <w:p w:rsidR="0099237D" w:rsidRPr="0099237D" w:rsidRDefault="0099237D" w:rsidP="000E3D3D">
      <w:pPr>
        <w:spacing w:line="360" w:lineRule="auto"/>
        <w:jc w:val="both"/>
        <w:rPr>
          <w:rFonts w:ascii="Palatino Linotype" w:hAnsi="Palatino Linotype"/>
        </w:rPr>
      </w:pPr>
    </w:p>
    <w:p w:rsidR="0099237D" w:rsidRPr="0099237D" w:rsidRDefault="0099237D" w:rsidP="000E3D3D">
      <w:pPr>
        <w:spacing w:line="360" w:lineRule="auto"/>
        <w:jc w:val="both"/>
        <w:rPr>
          <w:rFonts w:ascii="Palatino Linotype" w:hAnsi="Palatino Linotype"/>
        </w:rPr>
      </w:pPr>
      <w:r w:rsidRPr="0099237D">
        <w:rPr>
          <w:rFonts w:ascii="Palatino Linotype" w:hAnsi="Palatino Linotype"/>
        </w:rPr>
        <w:t>Lo anterior se comprueba con lo dispuesto en el Calendario de Actividades 2024 que se puede consultar en la página oficial del OSFEM</w:t>
      </w:r>
      <w:r w:rsidRPr="0099237D">
        <w:rPr>
          <w:rStyle w:val="Refdenotaalpie"/>
          <w:rFonts w:ascii="Palatino Linotype" w:hAnsi="Palatino Linotype"/>
        </w:rPr>
        <w:footnoteReference w:id="2"/>
      </w:r>
      <w:r w:rsidRPr="0099237D">
        <w:rPr>
          <w:rFonts w:ascii="Palatino Linotype" w:hAnsi="Palatino Linotype"/>
        </w:rPr>
        <w:t>, en el que se observa lo siguiente:</w:t>
      </w:r>
    </w:p>
    <w:p w:rsidR="0099237D" w:rsidRDefault="0099237D" w:rsidP="000E3D3D">
      <w:pPr>
        <w:jc w:val="center"/>
      </w:pPr>
      <w:r>
        <w:rPr>
          <w:noProof/>
        </w:rPr>
        <w:drawing>
          <wp:inline distT="0" distB="0" distL="0" distR="0" wp14:anchorId="690A73A4" wp14:editId="510351F0">
            <wp:extent cx="5281092" cy="3975653"/>
            <wp:effectExtent l="133350" t="114300" r="129540" b="1206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7614" cy="3995619"/>
                    </a:xfrm>
                    <a:prstGeom prst="rect">
                      <a:avLst/>
                    </a:prstGeom>
                    <a:noFill/>
                    <a:ln>
                      <a:noFill/>
                    </a:ln>
                    <a:effectLst>
                      <a:outerShdw blurRad="63500" sx="102000" sy="102000" algn="ctr" rotWithShape="0">
                        <a:prstClr val="black">
                          <a:alpha val="40000"/>
                        </a:prstClr>
                      </a:outerShdw>
                    </a:effectLst>
                  </pic:spPr>
                </pic:pic>
              </a:graphicData>
            </a:graphic>
          </wp:inline>
        </w:drawing>
      </w:r>
    </w:p>
    <w:p w:rsidR="00B00995" w:rsidRDefault="00B00995" w:rsidP="000E3D3D">
      <w:pPr>
        <w:spacing w:line="360" w:lineRule="auto"/>
        <w:jc w:val="both"/>
        <w:rPr>
          <w:rFonts w:ascii="Palatino Linotype" w:eastAsia="Calibri" w:hAnsi="Palatino Linotype"/>
        </w:rPr>
      </w:pPr>
    </w:p>
    <w:p w:rsidR="007B3105" w:rsidRPr="009E7297" w:rsidRDefault="007B3105" w:rsidP="000E3D3D">
      <w:pPr>
        <w:tabs>
          <w:tab w:val="left" w:pos="7938"/>
        </w:tabs>
        <w:spacing w:line="360" w:lineRule="auto"/>
        <w:jc w:val="both"/>
        <w:rPr>
          <w:rFonts w:ascii="Palatino Linotype" w:hAnsi="Palatino Linotype" w:cs="Arial"/>
          <w:lang w:val="es-419"/>
        </w:rPr>
      </w:pPr>
      <w:r w:rsidRPr="009E7297">
        <w:rPr>
          <w:rFonts w:ascii="Palatino Linotype" w:hAnsi="Palatino Linotype" w:cs="Arial"/>
          <w:lang w:val="es-419"/>
        </w:rPr>
        <w:t>Al respecto, al tratarse el requerimiento de información originario de documentaci</w:t>
      </w:r>
      <w:r>
        <w:rPr>
          <w:rFonts w:ascii="Palatino Linotype" w:hAnsi="Palatino Linotype" w:cs="Arial"/>
          <w:lang w:val="es-419"/>
        </w:rPr>
        <w:t>ón que, por las razones aducida</w:t>
      </w:r>
      <w:r w:rsidRPr="009E7297">
        <w:rPr>
          <w:rFonts w:ascii="Palatino Linotype" w:hAnsi="Palatino Linotype" w:cs="Arial"/>
          <w:lang w:val="es-419"/>
        </w:rPr>
        <w:t xml:space="preserve"> del Servidor Público Habilitado competente, relacionado con el </w:t>
      </w:r>
      <w:r w:rsidRPr="009E7297">
        <w:rPr>
          <w:rFonts w:ascii="Palatino Linotype" w:hAnsi="Palatino Linotype" w:cs="Arial"/>
          <w:color w:val="000000"/>
          <w:lang w:val="es-ES_tradnl"/>
        </w:rPr>
        <w:t xml:space="preserve"> </w:t>
      </w:r>
      <w:r>
        <w:rPr>
          <w:rFonts w:ascii="Palatino Linotype" w:hAnsi="Palatino Linotype" w:cs="Arial"/>
          <w:color w:val="000000"/>
          <w:lang w:val="es-ES_tradnl"/>
        </w:rPr>
        <w:t>plan de obras públicas 2025 autorizado</w:t>
      </w:r>
      <w:r w:rsidRPr="009E7297">
        <w:rPr>
          <w:rFonts w:ascii="Palatino Linotype" w:hAnsi="Palatino Linotype" w:cs="Arial"/>
          <w:color w:val="000000"/>
          <w:lang w:val="es-ES_tradnl"/>
        </w:rPr>
        <w:t>, no se generó en los archivos del</w:t>
      </w:r>
      <w:r w:rsidRPr="009E7297">
        <w:rPr>
          <w:rFonts w:ascii="Palatino Linotype" w:hAnsi="Palatino Linotype" w:cs="Arial"/>
          <w:lang w:val="es-419"/>
        </w:rPr>
        <w:t xml:space="preserve"> Sujeto Obligado, por lo que nos encontramos ante la figura de hechos negativos de los cuales es improcedente su demostración, tal y como se desprende de lo razonado en la Tesis </w:t>
      </w:r>
      <w:r w:rsidRPr="009E7297">
        <w:rPr>
          <w:rFonts w:ascii="Palatino Linotype" w:hAnsi="Palatino Linotype" w:cs="Arial"/>
          <w:lang w:val="es-419"/>
        </w:rPr>
        <w:lastRenderedPageBreak/>
        <w:t xml:space="preserve">Aislada (común): 267287, Semanario Judicial de la Federación, Sexta Época, Volumen LII, Tercera Parte, p. 101; de rubro y textos siguientes: </w:t>
      </w:r>
    </w:p>
    <w:p w:rsidR="007B3105" w:rsidRDefault="007B3105" w:rsidP="000E3D3D">
      <w:pPr>
        <w:spacing w:line="360" w:lineRule="auto"/>
        <w:ind w:left="567" w:right="567"/>
        <w:jc w:val="both"/>
        <w:rPr>
          <w:rFonts w:ascii="Palatino Linotype" w:hAnsi="Palatino Linotype" w:cs="Arial"/>
          <w:i/>
          <w:iCs/>
          <w:color w:val="222222"/>
        </w:rPr>
      </w:pPr>
    </w:p>
    <w:p w:rsidR="007B3105" w:rsidRDefault="007B3105" w:rsidP="000E3D3D">
      <w:pPr>
        <w:spacing w:line="276" w:lineRule="auto"/>
        <w:ind w:left="567" w:right="567"/>
        <w:jc w:val="both"/>
        <w:rPr>
          <w:rFonts w:ascii="Palatino Linotype" w:hAnsi="Palatino Linotype" w:cs="Arial"/>
          <w:i/>
          <w:iCs/>
          <w:color w:val="222222"/>
        </w:rPr>
      </w:pPr>
      <w:r w:rsidRPr="008A2CEE">
        <w:rPr>
          <w:rFonts w:ascii="Palatino Linotype" w:hAnsi="Palatino Linotype" w:cs="Arial"/>
          <w:i/>
          <w:iCs/>
          <w:color w:val="222222"/>
        </w:rPr>
        <w:t>“</w:t>
      </w:r>
      <w:r w:rsidRPr="00A01CFF">
        <w:rPr>
          <w:rFonts w:ascii="Palatino Linotype" w:hAnsi="Palatino Linotype" w:cs="Arial"/>
          <w:b/>
          <w:bCs/>
          <w:i/>
          <w:iCs/>
          <w:color w:val="222222"/>
        </w:rPr>
        <w:t>HECHOS NEGATIVOS, NO SON SUSCEPTIBLES DE DEMOSTRACION</w:t>
      </w:r>
      <w:r w:rsidRPr="008A2CEE">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rsidR="007B3105" w:rsidRPr="008A2CEE" w:rsidRDefault="007B3105" w:rsidP="000E3D3D">
      <w:pPr>
        <w:spacing w:line="360" w:lineRule="auto"/>
        <w:ind w:left="567" w:right="567"/>
        <w:jc w:val="both"/>
        <w:rPr>
          <w:rFonts w:ascii="Palatino Linotype" w:hAnsi="Palatino Linotype"/>
          <w:lang w:val="es-ES_tradnl"/>
        </w:rPr>
      </w:pPr>
    </w:p>
    <w:p w:rsidR="007B3105" w:rsidRPr="009E7297" w:rsidRDefault="007B3105" w:rsidP="000E3D3D">
      <w:pPr>
        <w:tabs>
          <w:tab w:val="left" w:pos="7938"/>
        </w:tabs>
        <w:spacing w:line="360" w:lineRule="auto"/>
        <w:jc w:val="both"/>
        <w:rPr>
          <w:rFonts w:ascii="Palatino Linotype" w:hAnsi="Palatino Linotype" w:cs="Arial"/>
          <w:lang w:val="es-419"/>
        </w:rPr>
      </w:pPr>
      <w:r w:rsidRPr="009E7297">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7B3105" w:rsidRPr="008A2CEE" w:rsidRDefault="007B3105" w:rsidP="000E3D3D">
      <w:pPr>
        <w:tabs>
          <w:tab w:val="left" w:pos="7938"/>
        </w:tabs>
        <w:spacing w:line="360" w:lineRule="auto"/>
        <w:jc w:val="both"/>
        <w:rPr>
          <w:rFonts w:ascii="Palatino Linotype" w:hAnsi="Palatino Linotype" w:cs="Arial"/>
          <w:lang w:val="es-419"/>
        </w:rPr>
      </w:pPr>
    </w:p>
    <w:p w:rsidR="007B3105" w:rsidRPr="00D313B5" w:rsidRDefault="007B3105" w:rsidP="000E3D3D">
      <w:pPr>
        <w:pStyle w:val="Sinespaciado"/>
        <w:spacing w:line="276"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rsidR="007B3105" w:rsidRPr="00D313B5" w:rsidRDefault="007B3105" w:rsidP="000E3D3D">
      <w:pPr>
        <w:pStyle w:val="Sinespaciado"/>
        <w:spacing w:line="276" w:lineRule="auto"/>
        <w:ind w:left="567" w:right="567"/>
        <w:jc w:val="both"/>
        <w:rPr>
          <w:rFonts w:ascii="Palatino Linotype" w:hAnsi="Palatino Linotype"/>
          <w:i/>
        </w:rPr>
      </w:pPr>
    </w:p>
    <w:p w:rsidR="007B3105" w:rsidRPr="00D313B5" w:rsidRDefault="007B3105" w:rsidP="000E3D3D">
      <w:pPr>
        <w:pStyle w:val="Sinespaciado"/>
        <w:spacing w:line="276" w:lineRule="auto"/>
        <w:ind w:left="567" w:right="567"/>
        <w:jc w:val="both"/>
        <w:rPr>
          <w:rFonts w:ascii="Palatino Linotype" w:hAnsi="Palatino Linotype"/>
        </w:rPr>
      </w:pPr>
      <w:r w:rsidRPr="00D313B5">
        <w:rPr>
          <w:rFonts w:ascii="Palatino Linotype" w:hAnsi="Palatino Linotype"/>
          <w:b/>
          <w:i/>
          <w:u w:val="single"/>
        </w:rPr>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DC5826" w:rsidRDefault="00DC5826" w:rsidP="000E3D3D">
      <w:pPr>
        <w:spacing w:line="360" w:lineRule="auto"/>
        <w:jc w:val="both"/>
        <w:rPr>
          <w:rFonts w:ascii="Palatino Linotype" w:eastAsia="Calibri" w:hAnsi="Palatino Linotype"/>
        </w:rPr>
      </w:pPr>
    </w:p>
    <w:p w:rsidR="0018783D" w:rsidRDefault="002F23C1" w:rsidP="000E3D3D">
      <w:pPr>
        <w:spacing w:line="360" w:lineRule="auto"/>
        <w:jc w:val="both"/>
        <w:rPr>
          <w:rFonts w:ascii="Palatino Linotype" w:eastAsia="Calibri" w:hAnsi="Palatino Linotype"/>
        </w:rPr>
      </w:pPr>
      <w:r>
        <w:rPr>
          <w:rFonts w:ascii="Palatino Linotype" w:eastAsia="Calibri" w:hAnsi="Palatino Linotype"/>
        </w:rPr>
        <w:t>Finalmente, e</w:t>
      </w:r>
      <w:r w:rsidR="004B162F">
        <w:rPr>
          <w:rFonts w:ascii="Palatino Linotype" w:eastAsia="Calibri" w:hAnsi="Palatino Linotype"/>
        </w:rPr>
        <w:t xml:space="preserve">n relación al requerimiento marcado con el </w:t>
      </w:r>
      <w:r w:rsidR="004B162F" w:rsidRPr="004B162F">
        <w:rPr>
          <w:rFonts w:ascii="Palatino Linotype" w:eastAsia="Calibri" w:hAnsi="Palatino Linotype"/>
          <w:b/>
        </w:rPr>
        <w:t>numeral tres (3)</w:t>
      </w:r>
      <w:r w:rsidR="004B162F">
        <w:rPr>
          <w:rFonts w:ascii="Palatino Linotype" w:eastAsia="Calibri" w:hAnsi="Palatino Linotype"/>
        </w:rPr>
        <w:t>, se advierte que el Sujeto Obligado no se pronunció al respecto</w:t>
      </w:r>
      <w:r w:rsidR="0018783D">
        <w:rPr>
          <w:rFonts w:ascii="Palatino Linotype" w:eastAsia="Calibri" w:hAnsi="Palatino Linotype"/>
        </w:rPr>
        <w:t>.</w:t>
      </w:r>
    </w:p>
    <w:p w:rsidR="004B162F" w:rsidRDefault="004B162F" w:rsidP="000E3D3D">
      <w:pPr>
        <w:spacing w:line="360" w:lineRule="auto"/>
        <w:jc w:val="both"/>
        <w:rPr>
          <w:rFonts w:ascii="Palatino Linotype" w:eastAsia="Calibri" w:hAnsi="Palatino Linotype"/>
        </w:rPr>
      </w:pPr>
      <w:r>
        <w:rPr>
          <w:rFonts w:ascii="Palatino Linotype" w:eastAsia="Calibri" w:hAnsi="Palatino Linotype"/>
        </w:rPr>
        <w:t xml:space="preserve"> </w:t>
      </w:r>
    </w:p>
    <w:p w:rsidR="0018783D" w:rsidRDefault="0018783D" w:rsidP="000E3D3D">
      <w:pPr>
        <w:spacing w:line="360" w:lineRule="auto"/>
        <w:jc w:val="both"/>
        <w:rPr>
          <w:rFonts w:ascii="Palatino Linotype" w:hAnsi="Palatino Linotype" w:cs="Arial"/>
        </w:rPr>
      </w:pPr>
      <w:r w:rsidRPr="0018783D">
        <w:rPr>
          <w:rFonts w:ascii="Palatino Linotype" w:hAnsi="Palatino Linotype" w:cs="Arial"/>
        </w:rPr>
        <w:lastRenderedPageBreak/>
        <w:t>Derivado de lo anterior, es necesario traer a colación lo establecido por el artículo 92 de la Ley de Transparencia y Acceso a la Información Pública del Estado de México y Municipios, que a la letra señala:</w:t>
      </w:r>
    </w:p>
    <w:p w:rsidR="00401976" w:rsidRDefault="00401976" w:rsidP="000E3D3D">
      <w:pPr>
        <w:spacing w:line="360" w:lineRule="auto"/>
        <w:jc w:val="both"/>
        <w:rPr>
          <w:rFonts w:ascii="Palatino Linotype" w:hAnsi="Palatino Linotype" w:cs="Arial"/>
        </w:rPr>
      </w:pPr>
    </w:p>
    <w:p w:rsidR="0018783D" w:rsidRPr="0018783D" w:rsidRDefault="0018783D" w:rsidP="000E3D3D">
      <w:pPr>
        <w:ind w:left="567" w:right="567"/>
        <w:jc w:val="center"/>
        <w:rPr>
          <w:rFonts w:ascii="Palatino Linotype" w:hAnsi="Palatino Linotype" w:cs="Arial"/>
          <w:b/>
          <w:i/>
        </w:rPr>
      </w:pPr>
      <w:r w:rsidRPr="0018783D">
        <w:rPr>
          <w:rFonts w:ascii="Palatino Linotype" w:hAnsi="Palatino Linotype" w:cs="Arial"/>
          <w:b/>
          <w:i/>
        </w:rPr>
        <w:t>“Capítulo II</w:t>
      </w:r>
    </w:p>
    <w:p w:rsidR="0018783D" w:rsidRPr="0018783D" w:rsidRDefault="0018783D" w:rsidP="000E3D3D">
      <w:pPr>
        <w:ind w:left="567" w:right="567"/>
        <w:jc w:val="center"/>
        <w:rPr>
          <w:rFonts w:ascii="Palatino Linotype" w:hAnsi="Palatino Linotype" w:cs="Arial"/>
          <w:b/>
          <w:i/>
        </w:rPr>
      </w:pPr>
      <w:r w:rsidRPr="0018783D">
        <w:rPr>
          <w:rFonts w:ascii="Palatino Linotype" w:hAnsi="Palatino Linotype" w:cs="Arial"/>
          <w:b/>
          <w:i/>
        </w:rPr>
        <w:t>De las Obligaciones de Transparencia Comunes</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b/>
          <w:i/>
        </w:rPr>
        <w:t>Artículo 92.</w:t>
      </w:r>
      <w:r w:rsidRPr="0018783D">
        <w:rPr>
          <w:rFonts w:ascii="Palatino Linotype" w:hAnsi="Palatino Linotype" w:cs="Arial"/>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b/>
          <w:i/>
        </w:rPr>
        <w:t>(…</w:t>
      </w:r>
      <w:r w:rsidRPr="0018783D">
        <w:rPr>
          <w:rFonts w:ascii="Palatino Linotype" w:hAnsi="Palatino Linotype" w:cs="Arial"/>
          <w:i/>
        </w:rPr>
        <w:t>)</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b/>
          <w:i/>
        </w:rPr>
        <w:t>XXXVIII.</w:t>
      </w:r>
      <w:r w:rsidRPr="0018783D">
        <w:rPr>
          <w:rFonts w:ascii="Palatino Linotype" w:hAnsi="Palatino Linotype" w:cs="Arial"/>
          <w:i/>
        </w:rPr>
        <w:t xml:space="preserve"> El inventario de bienes muebles e inmuebles en posesión y propiedad;</w:t>
      </w:r>
      <w:r w:rsidRPr="0018783D">
        <w:rPr>
          <w:rFonts w:ascii="Palatino Linotype" w:hAnsi="Palatino Linotype" w:cs="Arial"/>
          <w:i/>
        </w:rPr>
        <w:br/>
        <w:t>(…)”</w:t>
      </w:r>
    </w:p>
    <w:p w:rsidR="0018783D" w:rsidRPr="0018783D" w:rsidRDefault="0018783D" w:rsidP="000E3D3D">
      <w:pPr>
        <w:ind w:left="567" w:right="567"/>
        <w:jc w:val="both"/>
        <w:rPr>
          <w:rFonts w:ascii="Palatino Linotype" w:hAnsi="Palatino Linotype" w:cs="Arial"/>
          <w:i/>
        </w:rPr>
      </w:pPr>
    </w:p>
    <w:p w:rsidR="0018783D" w:rsidRPr="0018783D" w:rsidRDefault="0018783D" w:rsidP="000E3D3D">
      <w:pPr>
        <w:pStyle w:val="Prrafodelista"/>
        <w:spacing w:line="360" w:lineRule="auto"/>
        <w:ind w:left="0" w:right="48"/>
        <w:contextualSpacing/>
        <w:jc w:val="both"/>
        <w:rPr>
          <w:rFonts w:ascii="Palatino Linotype" w:eastAsia="MS Mincho" w:hAnsi="Palatino Linotype" w:cs="Arial"/>
          <w:b/>
          <w:bCs/>
          <w:sz w:val="28"/>
          <w:lang w:val="es-ES_tradnl"/>
        </w:rPr>
      </w:pPr>
      <w:r>
        <w:rPr>
          <w:rFonts w:ascii="Palatino Linotype" w:eastAsia="MS Mincho" w:hAnsi="Palatino Linotype" w:cs="Bookman Old Style"/>
          <w:color w:val="000000"/>
          <w:szCs w:val="20"/>
        </w:rPr>
        <w:t xml:space="preserve">Correlativo a lo anterior, los </w:t>
      </w:r>
      <w:r w:rsidRPr="0018783D">
        <w:rPr>
          <w:rFonts w:ascii="Palatino Linotype" w:eastAsia="MS Mincho" w:hAnsi="Palatino Linotype" w:cs="Bookman Old Style"/>
          <w:color w:val="000000"/>
          <w:szCs w:val="20"/>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18783D">
        <w:rPr>
          <w:rFonts w:ascii="Palatino Linotype" w:eastAsia="Calibri" w:hAnsi="Palatino Linotype" w:cs="Arial"/>
          <w:bCs/>
          <w:szCs w:val="20"/>
        </w:rPr>
        <w:t xml:space="preserve">establecen lo siguiente respecto al inventario de bienes muebles o inmuebles en posesión o propiedad de Sujetos Obligados: </w:t>
      </w:r>
    </w:p>
    <w:p w:rsidR="0018783D" w:rsidRDefault="0018783D" w:rsidP="000E3D3D">
      <w:pPr>
        <w:ind w:left="567" w:right="567"/>
        <w:jc w:val="both"/>
        <w:rPr>
          <w:rFonts w:ascii="Palatino Linotype" w:eastAsia="Calibri" w:hAnsi="Palatino Linotype" w:cs="Arial"/>
          <w:b/>
          <w:bCs/>
          <w:i/>
          <w:szCs w:val="20"/>
        </w:rPr>
      </w:pPr>
      <w:r w:rsidRPr="0018783D">
        <w:rPr>
          <w:rFonts w:ascii="Palatino Linotype" w:eastAsia="Calibri" w:hAnsi="Palatino Linotype" w:cs="Arial"/>
          <w:b/>
          <w:bCs/>
          <w:i/>
          <w:szCs w:val="20"/>
        </w:rPr>
        <w:t>“XXXIV. El inventario de bienes muebles e inmuebles en posesión y propiedad</w:t>
      </w:r>
    </w:p>
    <w:p w:rsidR="0018783D" w:rsidRPr="0018783D" w:rsidRDefault="0018783D" w:rsidP="000E3D3D">
      <w:pPr>
        <w:ind w:left="567" w:right="567"/>
        <w:jc w:val="both"/>
        <w:rPr>
          <w:rFonts w:ascii="Palatino Linotype" w:eastAsia="Calibri" w:hAnsi="Palatino Linotype" w:cs="Arial"/>
          <w:b/>
          <w:bCs/>
          <w:i/>
          <w:szCs w:val="20"/>
        </w:rPr>
      </w:pPr>
    </w:p>
    <w:p w:rsidR="0018783D" w:rsidRPr="0018783D" w:rsidRDefault="0018783D" w:rsidP="000E3D3D">
      <w:pPr>
        <w:ind w:left="567" w:right="567"/>
        <w:jc w:val="both"/>
        <w:rPr>
          <w:rFonts w:ascii="Palatino Linotype" w:eastAsia="Calibri" w:hAnsi="Palatino Linotype" w:cs="Arial"/>
          <w:bCs/>
          <w:i/>
          <w:szCs w:val="20"/>
        </w:rPr>
      </w:pPr>
      <w:r w:rsidRPr="0018783D">
        <w:rPr>
          <w:rFonts w:ascii="Palatino Linotype" w:eastAsia="Calibri" w:hAnsi="Palatino Linotype" w:cs="Arial"/>
          <w:bCs/>
          <w:i/>
          <w:szCs w:val="20"/>
        </w:rPr>
        <w:t>Todos los sujetos obligados publicarán el inventario de bienes 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rsidR="0018783D" w:rsidRPr="0018783D" w:rsidRDefault="0018783D" w:rsidP="000E3D3D">
      <w:pPr>
        <w:ind w:left="567" w:right="567"/>
        <w:jc w:val="both"/>
        <w:rPr>
          <w:rFonts w:ascii="Palatino Linotype" w:eastAsia="Calibri" w:hAnsi="Palatino Linotype" w:cs="Arial"/>
          <w:bCs/>
          <w:i/>
          <w:szCs w:val="20"/>
        </w:rPr>
      </w:pPr>
      <w:r w:rsidRPr="0018783D">
        <w:rPr>
          <w:rFonts w:ascii="Palatino Linotype" w:eastAsia="Calibri" w:hAnsi="Palatino Linotype" w:cs="Arial"/>
          <w:bCs/>
          <w:i/>
          <w:szCs w:val="20"/>
        </w:rPr>
        <w:lastRenderedPageBreak/>
        <w:t xml:space="preserve">Respecto de los bienes muebles se registrará tanto el mobiliario y equipo –incluido el de cómputo– como </w:t>
      </w:r>
      <w:r w:rsidRPr="0018783D">
        <w:rPr>
          <w:rFonts w:ascii="Palatino Linotype" w:eastAsia="Calibri" w:hAnsi="Palatino Linotype" w:cs="Arial"/>
          <w:b/>
          <w:bCs/>
          <w:i/>
          <w:szCs w:val="20"/>
        </w:rPr>
        <w:t>los vehículos</w:t>
      </w:r>
      <w:r w:rsidRPr="0018783D">
        <w:rPr>
          <w:rFonts w:ascii="Palatino Linotype" w:eastAsia="Calibri" w:hAnsi="Palatino Linotype" w:cs="Arial"/>
          <w:bCs/>
          <w:i/>
          <w:szCs w:val="20"/>
        </w:rPr>
        <w:t xml:space="preserve"> y demás bienes muebles al servicio de los sujetos obligados, de conformidad con la Ley General de Contabilidad Gubernamental.</w:t>
      </w:r>
    </w:p>
    <w:p w:rsidR="0018783D" w:rsidRPr="0018783D" w:rsidRDefault="0018783D" w:rsidP="000E3D3D">
      <w:pPr>
        <w:ind w:left="567" w:right="567"/>
        <w:jc w:val="both"/>
        <w:rPr>
          <w:rFonts w:ascii="Palatino Linotype" w:eastAsia="Calibri" w:hAnsi="Palatino Linotype" w:cs="Arial"/>
          <w:bCs/>
          <w:i/>
          <w:szCs w:val="20"/>
        </w:rPr>
      </w:pPr>
      <w:r w:rsidRPr="0018783D">
        <w:rPr>
          <w:rFonts w:ascii="Palatino Linotype" w:eastAsia="Calibri" w:hAnsi="Palatino Linotype" w:cs="Arial"/>
          <w:bCs/>
          <w:i/>
          <w:szCs w:val="20"/>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r>
        <w:rPr>
          <w:rFonts w:ascii="Palatino Linotype" w:eastAsia="Calibri" w:hAnsi="Palatino Linotype" w:cs="Arial"/>
          <w:bCs/>
          <w:i/>
          <w:szCs w:val="20"/>
        </w:rPr>
        <w:t>.</w:t>
      </w:r>
    </w:p>
    <w:p w:rsidR="0018783D" w:rsidRDefault="0018783D" w:rsidP="000E3D3D">
      <w:pPr>
        <w:ind w:left="567" w:right="567"/>
        <w:jc w:val="both"/>
        <w:rPr>
          <w:rFonts w:ascii="Palatino Linotype" w:eastAsia="Calibri" w:hAnsi="Palatino Linotype" w:cs="Arial"/>
          <w:bCs/>
          <w:i/>
          <w:szCs w:val="20"/>
        </w:rPr>
      </w:pPr>
      <w:r w:rsidRPr="0018783D">
        <w:rPr>
          <w:rFonts w:ascii="Palatino Linotype" w:eastAsia="Calibri" w:hAnsi="Palatino Linotype" w:cs="Arial"/>
          <w:bCs/>
          <w:i/>
          <w:szCs w:val="20"/>
        </w:rPr>
        <w:t>Asimismo, el inventario contará con algunos de los elementos establecidos en el Acuerdo por el cual se emiten las Normas y Procedimientos para la Integración y Actualización del Sistema de Información Inmobiliaria</w:t>
      </w:r>
      <w:r>
        <w:rPr>
          <w:rFonts w:ascii="Palatino Linotype" w:eastAsia="Calibri" w:hAnsi="Palatino Linotype" w:cs="Arial"/>
          <w:bCs/>
          <w:i/>
          <w:szCs w:val="20"/>
        </w:rPr>
        <w:t xml:space="preserve"> </w:t>
      </w:r>
      <w:r w:rsidRPr="0018783D">
        <w:rPr>
          <w:rFonts w:ascii="Palatino Linotype" w:eastAsia="Calibri" w:hAnsi="Palatino Linotype" w:cs="Arial"/>
          <w:bCs/>
          <w:i/>
          <w:szCs w:val="20"/>
        </w:rPr>
        <w:t>Federal y Paraestatal, así como en la Ley General de Contabilidad Gubernamental.</w:t>
      </w:r>
    </w:p>
    <w:p w:rsidR="0018783D" w:rsidRPr="0018783D" w:rsidRDefault="0018783D" w:rsidP="000E3D3D">
      <w:pPr>
        <w:ind w:left="567" w:right="567"/>
        <w:jc w:val="both"/>
        <w:rPr>
          <w:rFonts w:ascii="Palatino Linotype" w:eastAsia="Calibri" w:hAnsi="Palatino Linotype" w:cs="Arial"/>
          <w:bCs/>
          <w:i/>
          <w:szCs w:val="20"/>
        </w:rPr>
      </w:pPr>
    </w:p>
    <w:p w:rsidR="0018783D" w:rsidRPr="0018783D" w:rsidRDefault="0018783D" w:rsidP="000E3D3D">
      <w:pPr>
        <w:ind w:left="567" w:right="567"/>
        <w:jc w:val="both"/>
        <w:rPr>
          <w:rFonts w:ascii="Palatino Linotype" w:eastAsia="Calibri" w:hAnsi="Palatino Linotype" w:cs="Arial"/>
          <w:b/>
          <w:bCs/>
          <w:i/>
          <w:szCs w:val="20"/>
        </w:rPr>
      </w:pPr>
      <w:r w:rsidRPr="0018783D">
        <w:rPr>
          <w:rFonts w:ascii="Palatino Linotype" w:eastAsia="Calibri" w:hAnsi="Palatino Linotype" w:cs="Arial"/>
          <w:b/>
          <w:bCs/>
          <w:i/>
          <w:szCs w:val="20"/>
        </w:rPr>
        <w:t>Periodo de actualización: semestral</w:t>
      </w:r>
    </w:p>
    <w:p w:rsidR="0018783D" w:rsidRPr="0018783D" w:rsidRDefault="0018783D" w:rsidP="000E3D3D">
      <w:pPr>
        <w:ind w:left="567" w:right="567"/>
        <w:jc w:val="both"/>
        <w:rPr>
          <w:rFonts w:ascii="Palatino Linotype" w:eastAsia="Calibri" w:hAnsi="Palatino Linotype" w:cs="Arial"/>
          <w:b/>
          <w:bCs/>
          <w:i/>
          <w:szCs w:val="20"/>
        </w:rPr>
      </w:pPr>
      <w:r w:rsidRPr="0018783D">
        <w:rPr>
          <w:rFonts w:ascii="Palatino Linotype" w:eastAsia="Calibri" w:hAnsi="Palatino Linotype" w:cs="Arial"/>
          <w:b/>
          <w:bCs/>
          <w:i/>
          <w:szCs w:val="20"/>
        </w:rPr>
        <w:t>En su caso, 30 días hábiles después de adquirir o dar de baja algún bien</w:t>
      </w:r>
    </w:p>
    <w:p w:rsidR="0018783D" w:rsidRPr="0018783D" w:rsidRDefault="0018783D" w:rsidP="000E3D3D">
      <w:pPr>
        <w:ind w:left="567" w:right="567"/>
        <w:jc w:val="both"/>
        <w:rPr>
          <w:rFonts w:ascii="Palatino Linotype" w:eastAsia="Calibri" w:hAnsi="Palatino Linotype" w:cs="Arial"/>
          <w:b/>
          <w:bCs/>
          <w:i/>
          <w:szCs w:val="20"/>
        </w:rPr>
      </w:pPr>
      <w:r w:rsidRPr="0018783D">
        <w:rPr>
          <w:rFonts w:ascii="Palatino Linotype" w:eastAsia="Calibri" w:hAnsi="Palatino Linotype" w:cs="Arial"/>
          <w:b/>
          <w:bCs/>
          <w:i/>
          <w:szCs w:val="20"/>
        </w:rPr>
        <w:t>Conservar en el sitio de Internet: información vigente respecto al inventario de bienes muebles e inmuebles.</w:t>
      </w:r>
    </w:p>
    <w:p w:rsidR="0018783D" w:rsidRPr="0018783D" w:rsidRDefault="0018783D" w:rsidP="000E3D3D">
      <w:pPr>
        <w:ind w:left="567" w:right="567"/>
        <w:jc w:val="both"/>
        <w:rPr>
          <w:rFonts w:ascii="Palatino Linotype" w:eastAsia="Calibri" w:hAnsi="Palatino Linotype" w:cs="Arial"/>
          <w:b/>
          <w:bCs/>
          <w:i/>
          <w:szCs w:val="20"/>
        </w:rPr>
      </w:pPr>
      <w:r w:rsidRPr="0018783D">
        <w:rPr>
          <w:rFonts w:ascii="Palatino Linotype" w:eastAsia="Calibri" w:hAnsi="Palatino Linotype" w:cs="Arial"/>
          <w:b/>
          <w:bCs/>
          <w:i/>
          <w:szCs w:val="20"/>
        </w:rPr>
        <w:t>En cuanto al inventario de altas y bajas, así como los bienes muebles e inmuebles donados, se conservará la información vigente y la correspondiente al semestre anterior concluido</w:t>
      </w:r>
    </w:p>
    <w:p w:rsidR="0018783D" w:rsidRDefault="0018783D" w:rsidP="000E3D3D">
      <w:pPr>
        <w:ind w:left="567" w:right="567"/>
        <w:jc w:val="both"/>
        <w:rPr>
          <w:rFonts w:ascii="Palatino Linotype" w:eastAsia="Calibri" w:hAnsi="Palatino Linotype" w:cs="Arial"/>
          <w:b/>
          <w:bCs/>
          <w:i/>
          <w:szCs w:val="20"/>
        </w:rPr>
      </w:pPr>
      <w:r w:rsidRPr="0018783D">
        <w:rPr>
          <w:rFonts w:ascii="Palatino Linotype" w:eastAsia="Calibri" w:hAnsi="Palatino Linotype" w:cs="Arial"/>
          <w:b/>
          <w:bCs/>
          <w:i/>
          <w:szCs w:val="20"/>
        </w:rPr>
        <w:t>Aplica a: todos los sujetos obligados”</w:t>
      </w:r>
    </w:p>
    <w:p w:rsidR="0018783D" w:rsidRPr="0018783D" w:rsidRDefault="0018783D" w:rsidP="000E3D3D">
      <w:pPr>
        <w:ind w:left="567" w:right="567"/>
        <w:jc w:val="both"/>
        <w:rPr>
          <w:rFonts w:ascii="Palatino Linotype" w:eastAsia="Calibri" w:hAnsi="Palatino Linotype" w:cs="Arial"/>
          <w:b/>
          <w:bCs/>
          <w:i/>
          <w:szCs w:val="20"/>
        </w:rPr>
      </w:pPr>
    </w:p>
    <w:p w:rsidR="0018783D" w:rsidRDefault="0018783D" w:rsidP="000E3D3D">
      <w:pPr>
        <w:spacing w:line="360" w:lineRule="auto"/>
        <w:jc w:val="both"/>
        <w:rPr>
          <w:rFonts w:ascii="Palatino Linotype" w:hAnsi="Palatino Linotype" w:cs="Arial"/>
        </w:rPr>
      </w:pPr>
      <w:r w:rsidRPr="0018783D">
        <w:rPr>
          <w:rFonts w:ascii="Palatino Linotype" w:hAnsi="Palatino Linotype" w:cs="Arial"/>
        </w:rPr>
        <w:t>Asimismo, lo establecido en los Lineamientos para el Registro y Control del Inventario y la Conciliación y Desincorporación de Bienes Muebles e Inmuebles para las Entidades Fiscalizables Municipales del Estado de México, que a la letra señalan:</w:t>
      </w:r>
    </w:p>
    <w:p w:rsidR="0018783D" w:rsidRPr="0018783D" w:rsidRDefault="0018783D" w:rsidP="000E3D3D">
      <w:pPr>
        <w:spacing w:line="360" w:lineRule="auto"/>
        <w:jc w:val="both"/>
        <w:rPr>
          <w:rFonts w:ascii="Palatino Linotype" w:hAnsi="Palatino Linotype" w:cs="Arial"/>
        </w:rPr>
      </w:pPr>
    </w:p>
    <w:p w:rsidR="0018783D" w:rsidRPr="0018783D" w:rsidRDefault="0018783D" w:rsidP="000E3D3D">
      <w:pPr>
        <w:ind w:left="567" w:right="567"/>
        <w:jc w:val="center"/>
        <w:rPr>
          <w:rFonts w:ascii="Palatino Linotype" w:hAnsi="Palatino Linotype" w:cs="Arial"/>
          <w:b/>
          <w:i/>
        </w:rPr>
      </w:pPr>
      <w:r w:rsidRPr="0018783D">
        <w:rPr>
          <w:rFonts w:ascii="Palatino Linotype" w:hAnsi="Palatino Linotype" w:cs="Arial"/>
          <w:b/>
          <w:i/>
        </w:rPr>
        <w:t>CAPÍTULO XXIV</w:t>
      </w:r>
    </w:p>
    <w:p w:rsidR="0018783D" w:rsidRDefault="0018783D" w:rsidP="000E3D3D">
      <w:pPr>
        <w:ind w:left="567" w:right="567"/>
        <w:jc w:val="center"/>
        <w:rPr>
          <w:rFonts w:ascii="Palatino Linotype" w:hAnsi="Palatino Linotype" w:cs="Arial"/>
          <w:b/>
          <w:i/>
        </w:rPr>
      </w:pPr>
      <w:r w:rsidRPr="0018783D">
        <w:rPr>
          <w:rFonts w:ascii="Palatino Linotype" w:hAnsi="Palatino Linotype" w:cs="Arial"/>
          <w:b/>
          <w:i/>
        </w:rPr>
        <w:t>DEL RESGUARDO</w:t>
      </w:r>
    </w:p>
    <w:p w:rsidR="0018783D" w:rsidRPr="0018783D" w:rsidRDefault="0018783D" w:rsidP="000E3D3D">
      <w:pPr>
        <w:ind w:left="567" w:right="567"/>
        <w:jc w:val="center"/>
        <w:rPr>
          <w:rFonts w:ascii="Palatino Linotype" w:hAnsi="Palatino Linotype" w:cs="Arial"/>
          <w:b/>
          <w:i/>
        </w:rPr>
      </w:pP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b/>
          <w:i/>
        </w:rPr>
        <w:t>OCTOGÉSIMO SEXTO:</w:t>
      </w:r>
      <w:r w:rsidRPr="0018783D">
        <w:rPr>
          <w:rFonts w:ascii="Palatino Linotype" w:hAnsi="Palatino Linotype" w:cs="Arial"/>
          <w:i/>
        </w:rPr>
        <w:t xml:space="preserve"> El resguardo, es una medida de control interno, que permite conocer a quien fue asignado el bien mueble, responsabilizando al servidor público o usuario de su conservación y custodia.</w:t>
      </w:r>
    </w:p>
    <w:p w:rsidR="0018783D" w:rsidRDefault="0018783D" w:rsidP="000E3D3D">
      <w:pPr>
        <w:ind w:left="567" w:right="567"/>
        <w:jc w:val="both"/>
        <w:rPr>
          <w:rFonts w:ascii="Palatino Linotype" w:hAnsi="Palatino Linotype" w:cs="Arial"/>
          <w:i/>
        </w:rPr>
      </w:pPr>
      <w:r w:rsidRPr="0018783D">
        <w:rPr>
          <w:rFonts w:ascii="Palatino Linotype" w:hAnsi="Palatino Linotype" w:cs="Arial"/>
          <w:i/>
        </w:rPr>
        <w:t>Cada bien mueble se le asignará tarjeta de resguardo que contendrá como mínimo las siguientes características:</w:t>
      </w:r>
    </w:p>
    <w:p w:rsidR="0018783D" w:rsidRPr="0018783D" w:rsidRDefault="0018783D" w:rsidP="000E3D3D">
      <w:pPr>
        <w:ind w:left="567" w:right="567"/>
        <w:jc w:val="both"/>
        <w:rPr>
          <w:rFonts w:ascii="Palatino Linotype" w:hAnsi="Palatino Linotype" w:cs="Arial"/>
          <w:i/>
        </w:rPr>
      </w:pP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I. Número de tarjeta de resguardo;</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II. Denominación de la entidad fiscalizable;</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111. Denominación de la unidad administrativa;</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IV. Clave de la unidad administrativa;</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V. Identificación del bien;</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VI. Grupo del activo;</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VII. Número de inventario;</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VIII. Marca, modelo, número de serie, número de motor, tipo de material, color, estado de uso;</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IX. Fecha de asignación;</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X. Valor de adquisición; y</w:t>
      </w:r>
    </w:p>
    <w:p w:rsidR="0018783D" w:rsidRPr="0018783D" w:rsidRDefault="0018783D" w:rsidP="000E3D3D">
      <w:pPr>
        <w:ind w:left="567" w:right="567"/>
        <w:jc w:val="both"/>
        <w:rPr>
          <w:rFonts w:ascii="Palatino Linotype" w:hAnsi="Palatino Linotype" w:cs="Arial"/>
          <w:b/>
          <w:i/>
          <w:u w:val="single"/>
        </w:rPr>
      </w:pPr>
      <w:r w:rsidRPr="0018783D">
        <w:rPr>
          <w:rFonts w:ascii="Palatino Linotype" w:hAnsi="Palatino Linotype" w:cs="Arial"/>
          <w:i/>
        </w:rPr>
        <w:t>XI. Fecha de elaboración del resguardo, nombre, cargo y firma del usuario del bien mueble.</w:t>
      </w:r>
      <w:r w:rsidRPr="0018783D">
        <w:rPr>
          <w:rFonts w:ascii="Palatino Linotype" w:hAnsi="Palatino Linotype" w:cs="Arial"/>
          <w:b/>
          <w:i/>
          <w:u w:val="single"/>
        </w:rPr>
        <w:t xml:space="preserve"> </w:t>
      </w:r>
      <w:r w:rsidRPr="0018783D">
        <w:rPr>
          <w:rFonts w:ascii="Palatino Linotype" w:hAnsi="Palatino Linotype" w:cs="Arial"/>
          <w:i/>
        </w:rPr>
        <w:t>(Anexo 6)</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En cada entidad fiscalizable, el comité, será el encargado de fijar las políticas de elaboración, control y asignación de bienes muebles y sus respectivos resguardos.</w:t>
      </w:r>
    </w:p>
    <w:p w:rsidR="0018783D" w:rsidRPr="0018783D" w:rsidRDefault="0018783D" w:rsidP="000E3D3D">
      <w:pPr>
        <w:ind w:left="567" w:right="567"/>
        <w:jc w:val="both"/>
        <w:rPr>
          <w:rFonts w:ascii="Palatino Linotype" w:hAnsi="Palatino Linotype" w:cs="Arial"/>
          <w:i/>
        </w:rPr>
      </w:pPr>
      <w:r w:rsidRPr="0018783D">
        <w:rPr>
          <w:rFonts w:ascii="Palatino Linotype" w:hAnsi="Palatino Linotype" w:cs="Arial"/>
          <w:i/>
        </w:rPr>
        <w:t>Realizada la depuración del inventario de bienes muebles, las entidades fiscalizables podrán actual</w:t>
      </w:r>
      <w:r>
        <w:rPr>
          <w:rFonts w:ascii="Palatino Linotype" w:hAnsi="Palatino Linotype" w:cs="Arial"/>
          <w:i/>
        </w:rPr>
        <w:t>izar las tarjetas de resguardo.</w:t>
      </w:r>
    </w:p>
    <w:p w:rsidR="007B3105" w:rsidRDefault="007B3105" w:rsidP="000E3D3D">
      <w:pPr>
        <w:spacing w:line="360" w:lineRule="auto"/>
        <w:jc w:val="both"/>
        <w:rPr>
          <w:rFonts w:ascii="Palatino Linotype" w:eastAsia="Calibri" w:hAnsi="Palatino Linotype"/>
        </w:rPr>
      </w:pPr>
    </w:p>
    <w:p w:rsidR="002E7B1A" w:rsidRPr="002E7B1A" w:rsidRDefault="002E7B1A" w:rsidP="000E3D3D">
      <w:pPr>
        <w:spacing w:line="360" w:lineRule="auto"/>
        <w:jc w:val="both"/>
        <w:rPr>
          <w:rFonts w:ascii="Palatino Linotype" w:hAnsi="Palatino Linotype"/>
          <w:bCs/>
          <w:i/>
        </w:rPr>
      </w:pPr>
      <w:r w:rsidRPr="002E7B1A">
        <w:rPr>
          <w:rFonts w:ascii="Palatino Linotype" w:hAnsi="Palatino Linotype"/>
        </w:rPr>
        <w:t>Con base en lo anteriormente expuesto, se acredita de manera fehaciente que el Sujeto Obligado</w:t>
      </w:r>
      <w:r w:rsidRPr="002E7B1A">
        <w:rPr>
          <w:rFonts w:ascii="Palatino Linotype" w:hAnsi="Palatino Linotype"/>
          <w:b/>
        </w:rPr>
        <w:t xml:space="preserve"> </w:t>
      </w:r>
      <w:r w:rsidRPr="002E7B1A">
        <w:rPr>
          <w:rFonts w:ascii="Palatino Linotype" w:hAnsi="Palatino Linotype"/>
        </w:rPr>
        <w:t>c</w:t>
      </w:r>
      <w:r>
        <w:rPr>
          <w:rFonts w:ascii="Palatino Linotype" w:hAnsi="Palatino Linotype"/>
        </w:rPr>
        <w:t>uenta con la obligación de generar la información requerida por el particular</w:t>
      </w:r>
      <w:r w:rsidR="002F23C1">
        <w:rPr>
          <w:rFonts w:ascii="Palatino Linotype" w:hAnsi="Palatino Linotype"/>
        </w:rPr>
        <w:t>;</w:t>
      </w:r>
      <w:r>
        <w:rPr>
          <w:rFonts w:ascii="Palatino Linotype" w:hAnsi="Palatino Linotype"/>
        </w:rPr>
        <w:t xml:space="preserve"> </w:t>
      </w:r>
      <w:r w:rsidR="002F23C1">
        <w:rPr>
          <w:rFonts w:ascii="Palatino Linotype" w:hAnsi="Palatino Linotype"/>
        </w:rPr>
        <w:t>por lo que en aras de garantizar el derecho de acceso accionado por el particular, el Sujeto Obligado deberá hacer entrega de la información que resulta de interés para el Recurrente.</w:t>
      </w:r>
    </w:p>
    <w:p w:rsidR="002E7B1A" w:rsidRPr="002E7B1A" w:rsidRDefault="002E7B1A" w:rsidP="000E3D3D">
      <w:pPr>
        <w:tabs>
          <w:tab w:val="left" w:pos="2130"/>
        </w:tabs>
        <w:spacing w:line="360" w:lineRule="auto"/>
        <w:jc w:val="both"/>
        <w:rPr>
          <w:rFonts w:ascii="Palatino Linotype" w:eastAsia="Calibri" w:hAnsi="Palatino Linotype" w:cs="Tahoma"/>
          <w:bCs/>
        </w:rPr>
      </w:pPr>
    </w:p>
    <w:p w:rsidR="002E7B1A" w:rsidRDefault="002E7B1A" w:rsidP="000E3D3D">
      <w:pPr>
        <w:tabs>
          <w:tab w:val="left" w:pos="2130"/>
        </w:tabs>
        <w:spacing w:line="360" w:lineRule="auto"/>
        <w:jc w:val="both"/>
        <w:rPr>
          <w:rFonts w:ascii="Palatino Linotype" w:eastAsia="Calibri" w:hAnsi="Palatino Linotype" w:cs="Tahoma"/>
          <w:bCs/>
        </w:rPr>
      </w:pPr>
      <w:r w:rsidRPr="002E7B1A">
        <w:rPr>
          <w:rFonts w:ascii="Palatino Linotype" w:eastAsia="Calibri" w:hAnsi="Palatino Linotype" w:cs="Tahoma"/>
          <w:bCs/>
        </w:rPr>
        <w:t>Finalmente, la información requerida</w:t>
      </w:r>
      <w:r w:rsidRPr="002E7B1A">
        <w:rPr>
          <w:rFonts w:ascii="Palatino Linotype" w:eastAsia="Calibri" w:hAnsi="Palatino Linotype" w:cs="Tahoma"/>
          <w:b/>
          <w:bCs/>
        </w:rPr>
        <w:t xml:space="preserve">, </w:t>
      </w:r>
      <w:r w:rsidRPr="002E7B1A">
        <w:rPr>
          <w:rFonts w:ascii="Palatino Linotype" w:eastAsia="Calibri" w:hAnsi="Palatino Linotype" w:cs="Tahoma"/>
          <w:bCs/>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w:t>
      </w:r>
      <w:r w:rsidRPr="002E7B1A">
        <w:rPr>
          <w:rFonts w:ascii="Palatino Linotype" w:eastAsia="Calibri" w:hAnsi="Palatino Linotype" w:cs="Tahoma"/>
          <w:bCs/>
        </w:rPr>
        <w:lastRenderedPageBreak/>
        <w:t>a la Información Pública de Estado de México y Municipios, de conformidad con lo siguiente:</w:t>
      </w:r>
    </w:p>
    <w:p w:rsidR="002F23C1" w:rsidRPr="002E7B1A" w:rsidRDefault="002F23C1" w:rsidP="000E3D3D">
      <w:pPr>
        <w:tabs>
          <w:tab w:val="left" w:pos="2130"/>
        </w:tabs>
        <w:spacing w:line="360" w:lineRule="auto"/>
        <w:jc w:val="both"/>
        <w:rPr>
          <w:rFonts w:ascii="Palatino Linotype" w:eastAsia="Calibri" w:hAnsi="Palatino Linotype" w:cs="Tahoma"/>
          <w:bCs/>
        </w:rPr>
      </w:pPr>
    </w:p>
    <w:p w:rsidR="002E7B1A" w:rsidRPr="0014656F" w:rsidRDefault="002E7B1A" w:rsidP="000E3D3D">
      <w:pPr>
        <w:shd w:val="clear" w:color="auto" w:fill="FFFFFF"/>
        <w:spacing w:line="360" w:lineRule="auto"/>
        <w:ind w:left="567"/>
        <w:jc w:val="both"/>
        <w:rPr>
          <w:rFonts w:ascii="Palatino Linotype" w:hAnsi="Palatino Linotype"/>
          <w:b/>
          <w:i/>
          <w:iCs/>
          <w:sz w:val="28"/>
          <w:szCs w:val="28"/>
        </w:rPr>
      </w:pPr>
      <w:r w:rsidRPr="0014656F">
        <w:rPr>
          <w:rFonts w:ascii="Palatino Linotype" w:hAnsi="Palatino Linotype"/>
          <w:b/>
          <w:i/>
          <w:iCs/>
          <w:sz w:val="28"/>
          <w:szCs w:val="28"/>
        </w:rPr>
        <w:t>De la versión pública.</w:t>
      </w:r>
    </w:p>
    <w:p w:rsidR="002E7B1A" w:rsidRPr="0014656F" w:rsidRDefault="002E7B1A" w:rsidP="000E3D3D">
      <w:pPr>
        <w:spacing w:line="360" w:lineRule="auto"/>
        <w:jc w:val="both"/>
        <w:rPr>
          <w:rFonts w:ascii="Palatino Linotype" w:hAnsi="Palatino Linotype" w:cs="Arial"/>
        </w:rPr>
      </w:pPr>
      <w:r w:rsidRPr="0014656F">
        <w:rPr>
          <w:rFonts w:ascii="Palatino Linotype" w:hAnsi="Palatino Linotype"/>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de ser procedente,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i/>
        </w:rPr>
        <w:t>“Artículo 3. Para los efectos de la presente Ley se entenderá por:</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i/>
        </w:rPr>
        <w:t xml:space="preserve"> (…) </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b/>
          <w:i/>
        </w:rPr>
        <w:t>IX. Datos personales</w:t>
      </w:r>
      <w:r w:rsidRPr="0014656F">
        <w:rPr>
          <w:rFonts w:ascii="Palatino Linotype" w:hAnsi="Palatino Linotype"/>
          <w:i/>
        </w:rPr>
        <w:t xml:space="preserve">: La información concerniente a una persona, identificada o identificable según lo dispuesto por la Ley de Protección de Datos Personales del Estado de México; </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i/>
        </w:rPr>
        <w:t xml:space="preserve">(…) </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b/>
          <w:i/>
        </w:rPr>
        <w:t>XLV. Versión pública:</w:t>
      </w:r>
      <w:r w:rsidRPr="0014656F">
        <w:rPr>
          <w:rFonts w:ascii="Palatino Linotype" w:hAnsi="Palatino Linotype"/>
          <w:i/>
        </w:rPr>
        <w:t xml:space="preserve"> Documento en el que se elimine, suprime o borra la información clasificada como reservada o confidencial para permitir su acceso. </w:t>
      </w:r>
    </w:p>
    <w:p w:rsidR="002E7B1A" w:rsidRPr="0014656F" w:rsidRDefault="002E7B1A" w:rsidP="000E3D3D">
      <w:pPr>
        <w:spacing w:line="276" w:lineRule="auto"/>
        <w:ind w:left="708"/>
        <w:jc w:val="both"/>
        <w:rPr>
          <w:rFonts w:ascii="Palatino Linotype" w:hAnsi="Palatino Linotype"/>
          <w:i/>
        </w:rPr>
      </w:pP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b/>
          <w:i/>
        </w:rPr>
        <w:t>Artículo 122</w:t>
      </w:r>
      <w:r w:rsidRPr="0014656F">
        <w:rPr>
          <w:rFonts w:ascii="Palatino Linotype" w:hAnsi="Palatino Linotype"/>
          <w:i/>
        </w:rPr>
        <w:t xml:space="preserve">. </w:t>
      </w:r>
      <w:r w:rsidRPr="0014656F">
        <w:rPr>
          <w:rFonts w:ascii="Palatino Linotype" w:hAnsi="Palatino Linotype"/>
          <w:b/>
          <w:i/>
          <w:u w:val="single"/>
        </w:rPr>
        <w:t xml:space="preserve">La clasificación es el proceso mediante el cual el sujeto obligado determina que la información en su poder </w:t>
      </w:r>
      <w:proofErr w:type="spellStart"/>
      <w:r w:rsidRPr="0014656F">
        <w:rPr>
          <w:rFonts w:ascii="Palatino Linotype" w:hAnsi="Palatino Linotype"/>
          <w:b/>
          <w:i/>
          <w:u w:val="single"/>
        </w:rPr>
        <w:t>actualiza</w:t>
      </w:r>
      <w:proofErr w:type="spellEnd"/>
      <w:r w:rsidRPr="0014656F">
        <w:rPr>
          <w:rFonts w:ascii="Palatino Linotype" w:hAnsi="Palatino Linotype"/>
          <w:b/>
          <w:i/>
          <w:u w:val="single"/>
        </w:rPr>
        <w:t xml:space="preserve"> alguno de los supuestos de reserva o confidencialidad, de conformidad con lo dispuesto en el presente título.</w:t>
      </w:r>
      <w:r w:rsidRPr="0014656F">
        <w:rPr>
          <w:rFonts w:ascii="Palatino Linotype" w:hAnsi="Palatino Linotype"/>
          <w:i/>
        </w:rPr>
        <w:t xml:space="preserve"> </w:t>
      </w:r>
    </w:p>
    <w:p w:rsidR="002E7B1A" w:rsidRPr="0014656F" w:rsidRDefault="002E7B1A" w:rsidP="000E3D3D">
      <w:pPr>
        <w:spacing w:line="276" w:lineRule="auto"/>
        <w:ind w:left="708"/>
        <w:jc w:val="both"/>
        <w:rPr>
          <w:rFonts w:ascii="Palatino Linotype" w:hAnsi="Palatino Linotype" w:cs="Arial"/>
          <w:i/>
        </w:rPr>
      </w:pPr>
      <w:r w:rsidRPr="0014656F">
        <w:rPr>
          <w:rFonts w:ascii="Palatino Linotype" w:hAnsi="Palatino Linotype"/>
          <w:i/>
        </w:rPr>
        <w:t>[…]</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b/>
          <w:i/>
        </w:rPr>
        <w:t>Artículo 132.</w:t>
      </w:r>
      <w:r w:rsidRPr="0014656F">
        <w:rPr>
          <w:rFonts w:ascii="Palatino Linotype" w:hAnsi="Palatino Linotype"/>
          <w:i/>
        </w:rPr>
        <w:t xml:space="preserve"> La clasificación de la información se llevará a cabo en el momento en que: </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i/>
        </w:rPr>
        <w:lastRenderedPageBreak/>
        <w:t xml:space="preserve">[…] </w:t>
      </w:r>
    </w:p>
    <w:p w:rsidR="002E7B1A" w:rsidRPr="0014656F" w:rsidRDefault="002E7B1A" w:rsidP="000E3D3D">
      <w:pPr>
        <w:spacing w:line="276" w:lineRule="auto"/>
        <w:ind w:left="708"/>
        <w:jc w:val="both"/>
        <w:rPr>
          <w:rFonts w:ascii="Palatino Linotype" w:hAnsi="Palatino Linotype"/>
          <w:b/>
          <w:i/>
          <w:u w:val="single"/>
        </w:rPr>
      </w:pPr>
      <w:r w:rsidRPr="0014656F">
        <w:rPr>
          <w:rFonts w:ascii="Palatino Linotype" w:hAnsi="Palatino Linotype"/>
          <w:b/>
          <w:i/>
          <w:u w:val="single"/>
        </w:rPr>
        <w:t xml:space="preserve">II. Se determine mediante resolución de autoridad competente; o </w:t>
      </w:r>
    </w:p>
    <w:p w:rsidR="002E7B1A" w:rsidRPr="0014656F" w:rsidRDefault="002E7B1A" w:rsidP="000E3D3D">
      <w:pPr>
        <w:spacing w:line="276" w:lineRule="auto"/>
        <w:ind w:left="708"/>
        <w:jc w:val="both"/>
        <w:rPr>
          <w:rFonts w:ascii="Palatino Linotype" w:hAnsi="Palatino Linotype"/>
          <w:i/>
        </w:rPr>
      </w:pPr>
      <w:r w:rsidRPr="0014656F">
        <w:rPr>
          <w:rFonts w:ascii="Palatino Linotype" w:hAnsi="Palatino Linotype"/>
          <w:i/>
        </w:rPr>
        <w:t xml:space="preserve">(…) </w:t>
      </w:r>
    </w:p>
    <w:p w:rsidR="002E7B1A" w:rsidRPr="0014656F" w:rsidRDefault="002E7B1A" w:rsidP="000E3D3D">
      <w:pPr>
        <w:spacing w:line="276" w:lineRule="auto"/>
        <w:ind w:left="708"/>
        <w:jc w:val="both"/>
        <w:rPr>
          <w:rFonts w:ascii="Palatino Linotype" w:hAnsi="Palatino Linotype" w:cs="Arial"/>
          <w:i/>
        </w:rPr>
      </w:pPr>
      <w:r w:rsidRPr="0014656F">
        <w:rPr>
          <w:rFonts w:ascii="Palatino Linotype" w:hAnsi="Palatino Linotype"/>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 [Sic]</w:t>
      </w:r>
    </w:p>
    <w:p w:rsidR="002E7B1A" w:rsidRPr="0014656F" w:rsidRDefault="002E7B1A" w:rsidP="000E3D3D">
      <w:pPr>
        <w:spacing w:line="360" w:lineRule="auto"/>
        <w:jc w:val="both"/>
        <w:rPr>
          <w:rFonts w:ascii="Palatino Linotype" w:hAnsi="Palatino Linotype" w:cs="Arial"/>
        </w:rPr>
      </w:pPr>
    </w:p>
    <w:p w:rsidR="002E7B1A" w:rsidRPr="0014656F" w:rsidRDefault="002E7B1A" w:rsidP="000E3D3D">
      <w:pPr>
        <w:spacing w:line="360" w:lineRule="auto"/>
        <w:jc w:val="both"/>
        <w:rPr>
          <w:rFonts w:ascii="Palatino Linotype" w:hAnsi="Palatino Linotype"/>
        </w:rPr>
      </w:pPr>
      <w:r w:rsidRPr="0014656F">
        <w:rPr>
          <w:rFonts w:ascii="Palatino Linotype" w:hAnsi="Palatino Linotype"/>
        </w:rPr>
        <w:t>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rsidR="002E7B1A" w:rsidRPr="0014656F" w:rsidRDefault="002E7B1A" w:rsidP="000E3D3D">
      <w:pPr>
        <w:spacing w:line="360" w:lineRule="auto"/>
        <w:jc w:val="both"/>
        <w:rPr>
          <w:rFonts w:ascii="Palatino Linotype" w:hAnsi="Palatino Linotype" w:cs="Arial"/>
        </w:rPr>
      </w:pPr>
    </w:p>
    <w:p w:rsidR="000E3D3D" w:rsidRPr="0014656F" w:rsidRDefault="000E3D3D" w:rsidP="000E3D3D">
      <w:pPr>
        <w:spacing w:line="360" w:lineRule="auto"/>
        <w:jc w:val="both"/>
        <w:rPr>
          <w:rFonts w:ascii="Palatino Linotype" w:eastAsia="Palatino Linotype" w:hAnsi="Palatino Linotype" w:cs="Tahoma"/>
          <w:color w:val="000000"/>
          <w:lang w:val="es-ES"/>
        </w:rPr>
      </w:pPr>
      <w:r w:rsidRPr="0014656F">
        <w:rPr>
          <w:rFonts w:ascii="Palatino Linotype" w:eastAsia="Palatino Linotype" w:hAnsi="Palatino Linotype" w:cs="Tahoma"/>
          <w:color w:val="000000"/>
          <w:lang w:val="es-ES"/>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w:t>
      </w:r>
      <w:r w:rsidRPr="0014656F">
        <w:rPr>
          <w:rFonts w:ascii="Palatino Linotype" w:eastAsia="Palatino Linotype" w:hAnsi="Palatino Linotype" w:cs="Tahoma"/>
          <w:color w:val="000000"/>
          <w:lang w:val="es-ES"/>
        </w:rPr>
        <w:lastRenderedPageBreak/>
        <w:t>rendición 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rsidR="000E3D3D" w:rsidRPr="0014656F" w:rsidRDefault="000E3D3D" w:rsidP="000E3D3D">
      <w:pPr>
        <w:spacing w:line="360" w:lineRule="auto"/>
        <w:jc w:val="both"/>
        <w:rPr>
          <w:rFonts w:ascii="Palatino Linotype" w:eastAsia="Calibri" w:hAnsi="Palatino Linotype" w:cs="Tahoma"/>
          <w:color w:val="000000"/>
        </w:rPr>
      </w:pPr>
    </w:p>
    <w:p w:rsidR="000E3D3D" w:rsidRPr="0014656F" w:rsidRDefault="000E3D3D" w:rsidP="000E3D3D">
      <w:pPr>
        <w:numPr>
          <w:ilvl w:val="0"/>
          <w:numId w:val="14"/>
        </w:numPr>
        <w:tabs>
          <w:tab w:val="left" w:pos="2325"/>
        </w:tabs>
        <w:spacing w:line="360" w:lineRule="auto"/>
        <w:contextualSpacing/>
        <w:jc w:val="both"/>
        <w:rPr>
          <w:rFonts w:ascii="Palatino Linotype" w:eastAsia="Calibri" w:hAnsi="Palatino Linotype" w:cs="Tahoma"/>
          <w:b/>
          <w:bCs/>
          <w:color w:val="000000"/>
          <w:u w:val="single"/>
        </w:rPr>
      </w:pPr>
      <w:r w:rsidRPr="0014656F">
        <w:rPr>
          <w:rFonts w:ascii="Palatino Linotype" w:eastAsia="Calibri" w:hAnsi="Palatino Linotype" w:cs="Tahoma"/>
          <w:b/>
          <w:bCs/>
          <w:color w:val="000000"/>
          <w:u w:val="single"/>
        </w:rPr>
        <w:t>Placas de vehículos institucionales.</w:t>
      </w:r>
    </w:p>
    <w:p w:rsidR="000E3D3D" w:rsidRPr="0014656F" w:rsidRDefault="000E3D3D" w:rsidP="000E3D3D">
      <w:pPr>
        <w:tabs>
          <w:tab w:val="left" w:pos="284"/>
          <w:tab w:val="left" w:pos="567"/>
        </w:tabs>
        <w:spacing w:line="360" w:lineRule="auto"/>
        <w:contextualSpacing/>
        <w:jc w:val="both"/>
        <w:rPr>
          <w:rFonts w:ascii="Palatino Linotype" w:eastAsia="Calibri" w:hAnsi="Palatino Linotype" w:cs="Tahoma"/>
          <w:iCs/>
          <w:color w:val="000000"/>
          <w:lang w:eastAsia="es-ES_tradnl"/>
        </w:rPr>
      </w:pPr>
      <w:r w:rsidRPr="0014656F">
        <w:rPr>
          <w:rFonts w:ascii="Palatino Linotype" w:eastAsia="Calibri" w:hAnsi="Palatino Linotype" w:cs="Arial"/>
          <w:color w:val="000000"/>
        </w:rPr>
        <w:t>Sobre este dato, es de señalar que conforme</w:t>
      </w:r>
      <w:r w:rsidRPr="0014656F">
        <w:rPr>
          <w:rFonts w:ascii="Palatino Linotype" w:eastAsia="Calibri" w:hAnsi="Palatino Linotype" w:cs="Tahoma"/>
          <w:iCs/>
          <w:color w:val="000000"/>
          <w:lang w:eastAsia="es-ES_tradnl"/>
        </w:rPr>
        <w:t xml:space="preserve"> al artículo 8.11 del Código Administrativo del Estado de México, fracción IV, señala que el tránsito de los vehículos se condiciona al cumplimiento de diversos requisitos entre los cuales se encuentran las placas de matriculación o permisos vigentes. </w:t>
      </w:r>
    </w:p>
    <w:p w:rsidR="000E3D3D" w:rsidRPr="0014656F" w:rsidRDefault="000E3D3D" w:rsidP="000E3D3D">
      <w:pPr>
        <w:tabs>
          <w:tab w:val="left" w:pos="284"/>
          <w:tab w:val="left" w:pos="567"/>
        </w:tabs>
        <w:spacing w:line="360" w:lineRule="auto"/>
        <w:contextualSpacing/>
        <w:jc w:val="both"/>
        <w:rPr>
          <w:rFonts w:ascii="Palatino Linotype" w:eastAsia="Calibri" w:hAnsi="Palatino Linotype" w:cs="Tahoma"/>
          <w:iCs/>
          <w:color w:val="000000"/>
          <w:lang w:eastAsia="es-ES_tradnl"/>
        </w:rPr>
      </w:pPr>
    </w:p>
    <w:p w:rsidR="000E3D3D" w:rsidRPr="0014656F" w:rsidRDefault="000E3D3D" w:rsidP="000E3D3D">
      <w:pPr>
        <w:spacing w:line="360" w:lineRule="auto"/>
        <w:jc w:val="both"/>
        <w:rPr>
          <w:rFonts w:ascii="Palatino Linotype" w:eastAsia="Calibri" w:hAnsi="Palatino Linotype" w:cs="Tahoma"/>
          <w:color w:val="000000"/>
        </w:rPr>
      </w:pPr>
      <w:r w:rsidRPr="0014656F">
        <w:rPr>
          <w:rFonts w:ascii="Palatino Linotype" w:eastAsia="Calibri" w:hAnsi="Palatino Linotype" w:cs="Tahoma"/>
          <w:bCs/>
          <w:color w:val="000000"/>
        </w:rPr>
        <w:t xml:space="preserve">En ese tenor, se consultó el Manual de Procedimientos de trámites y servicios al contribuyente de los Centros de Servicios Fiscales, publicado en el Periódico Oficial “Gaceta del Gobierno el cuatro de agosto de dos mil dieciséis (consultable en la liga electrónica chrome-extension://efaidnbmnnnibpcajpcglclefindmkaj/https://sfpya.edomexico.gob.mx/recaudacion/ReadFile.jsp?File=Manual_procedimientos_2016.pdf) en el que se encuentran diversos trámites incluidos los de control vehicular identificado con el número 3, los cuales tienen como objetivo mejorar la calidad en la atención que se brinda al contribuyente, así como disminuir el porcentaje de trámites de control vehicular no concluidos, mediante la recepción correcta de la documentación, conforme a la Guía de Requisitos de Trámites y Servicios vigente, para una atención eficiente. Y dentro de su alcance refiere que aplica a todos los servidores públicos responsables de la recepción de los trámites control vehicular </w:t>
      </w:r>
      <w:r w:rsidRPr="0014656F">
        <w:rPr>
          <w:rFonts w:ascii="Palatino Linotype" w:eastAsia="Calibri" w:hAnsi="Palatino Linotype" w:cs="Tahoma"/>
          <w:color w:val="000000"/>
        </w:rPr>
        <w:t xml:space="preserve">en los Centros de Servicios Fiscales dependientes de </w:t>
      </w:r>
      <w:r w:rsidRPr="0014656F">
        <w:rPr>
          <w:rFonts w:ascii="Palatino Linotype" w:eastAsia="Calibri" w:hAnsi="Palatino Linotype" w:cs="Tahoma"/>
          <w:color w:val="000000"/>
        </w:rPr>
        <w:lastRenderedPageBreak/>
        <w:t>la Dirección General de Recaudación de la Subsecretaría de Ingresos de la Secretaría de Finanzas del Gobierno del Estado de México.</w:t>
      </w:r>
    </w:p>
    <w:p w:rsidR="000E3D3D" w:rsidRPr="0014656F" w:rsidRDefault="000E3D3D" w:rsidP="000E3D3D">
      <w:pPr>
        <w:spacing w:line="360" w:lineRule="auto"/>
        <w:jc w:val="both"/>
        <w:rPr>
          <w:rFonts w:ascii="Palatino Linotype" w:eastAsia="Calibri" w:hAnsi="Palatino Linotype" w:cs="Tahoma"/>
          <w:color w:val="000000"/>
        </w:rPr>
      </w:pPr>
    </w:p>
    <w:p w:rsidR="000E3D3D" w:rsidRPr="0014656F" w:rsidRDefault="000E3D3D" w:rsidP="000E3D3D">
      <w:pPr>
        <w:spacing w:line="360" w:lineRule="auto"/>
        <w:jc w:val="both"/>
        <w:rPr>
          <w:rFonts w:ascii="Palatino Linotype" w:eastAsia="Calibri" w:hAnsi="Palatino Linotype" w:cs="Tahoma"/>
          <w:iCs/>
          <w:color w:val="000000"/>
          <w:lang w:eastAsia="es-ES_tradnl"/>
        </w:rPr>
      </w:pPr>
      <w:r w:rsidRPr="0014656F">
        <w:rPr>
          <w:rFonts w:ascii="Palatino Linotype" w:eastAsia="Calibri" w:hAnsi="Palatino Linotype" w:cs="Tahoma"/>
          <w:bCs/>
          <w:color w:val="000000"/>
        </w:rPr>
        <w:t>Dentro del manual citado en el párrafo anterior, dentro del numeral en cita (3) establece las políticas del trámite dentro de la que se encuentra el alta de vehículos nuevos</w:t>
      </w:r>
      <w:r w:rsidRPr="0014656F">
        <w:rPr>
          <w:rFonts w:ascii="Palatino Linotype" w:eastAsia="Calibri" w:hAnsi="Palatino Linotype" w:cs="Tahoma"/>
          <w:iCs/>
          <w:color w:val="000000"/>
          <w:lang w:eastAsia="es-ES_tradnl"/>
        </w:rPr>
        <w:t>, a cargo de la Secretaría de Finanzas a través de los Centros de Servicios Fiscales de la Dirección General de Recaudación, mismo que permite a los propietarios de vehículos nuevos, obtener:</w:t>
      </w:r>
    </w:p>
    <w:p w:rsidR="000E3D3D" w:rsidRPr="0014656F" w:rsidRDefault="000E3D3D" w:rsidP="000E3D3D">
      <w:pPr>
        <w:spacing w:line="360" w:lineRule="auto"/>
        <w:ind w:left="284" w:right="-93"/>
        <w:jc w:val="both"/>
        <w:rPr>
          <w:rFonts w:ascii="Palatino Linotype" w:eastAsia="Calibri" w:hAnsi="Palatino Linotype" w:cs="Tahoma"/>
          <w:iCs/>
          <w:color w:val="000000"/>
          <w:lang w:eastAsia="es-ES_tradnl"/>
        </w:rPr>
      </w:pPr>
      <w:r w:rsidRPr="0014656F">
        <w:rPr>
          <w:rFonts w:ascii="Palatino Linotype" w:eastAsia="Calibri" w:hAnsi="Palatino Linotype" w:cs="Tahoma"/>
          <w:iCs/>
          <w:color w:val="000000"/>
          <w:lang w:eastAsia="es-ES_tradnl"/>
        </w:rPr>
        <w:t xml:space="preserve">1) Placa(s)  </w:t>
      </w:r>
    </w:p>
    <w:p w:rsidR="000E3D3D" w:rsidRPr="0014656F" w:rsidRDefault="000E3D3D" w:rsidP="000E3D3D">
      <w:pPr>
        <w:spacing w:line="360" w:lineRule="auto"/>
        <w:ind w:left="284" w:right="-93"/>
        <w:jc w:val="both"/>
        <w:rPr>
          <w:rFonts w:ascii="Palatino Linotype" w:eastAsia="Calibri" w:hAnsi="Palatino Linotype" w:cs="Tahoma"/>
          <w:iCs/>
          <w:color w:val="000000"/>
          <w:lang w:eastAsia="es-ES_tradnl"/>
        </w:rPr>
      </w:pPr>
      <w:r w:rsidRPr="0014656F">
        <w:rPr>
          <w:rFonts w:ascii="Palatino Linotype" w:eastAsia="Calibri" w:hAnsi="Palatino Linotype" w:cs="Tahoma"/>
          <w:iCs/>
          <w:color w:val="000000"/>
          <w:lang w:eastAsia="es-ES_tradnl"/>
        </w:rPr>
        <w:t xml:space="preserve">2) Tarjeta Circulación  </w:t>
      </w:r>
    </w:p>
    <w:p w:rsidR="000E3D3D" w:rsidRPr="0014656F" w:rsidRDefault="000E3D3D" w:rsidP="000E3D3D">
      <w:pPr>
        <w:spacing w:line="360" w:lineRule="auto"/>
        <w:ind w:left="284" w:right="-93"/>
        <w:jc w:val="both"/>
        <w:rPr>
          <w:rFonts w:ascii="Palatino Linotype" w:eastAsia="Calibri" w:hAnsi="Palatino Linotype" w:cs="Tahoma"/>
          <w:iCs/>
          <w:color w:val="000000"/>
          <w:lang w:eastAsia="es-ES_tradnl"/>
        </w:rPr>
      </w:pPr>
      <w:r w:rsidRPr="0014656F">
        <w:rPr>
          <w:rFonts w:ascii="Palatino Linotype" w:eastAsia="Calibri" w:hAnsi="Palatino Linotype" w:cs="Tahoma"/>
          <w:iCs/>
          <w:color w:val="000000"/>
          <w:lang w:eastAsia="es-ES_tradnl"/>
        </w:rPr>
        <w:t>3) En su caso, calcomanía</w:t>
      </w:r>
    </w:p>
    <w:p w:rsidR="000E3D3D" w:rsidRPr="0014656F" w:rsidRDefault="000E3D3D" w:rsidP="000E3D3D">
      <w:pPr>
        <w:spacing w:line="360" w:lineRule="auto"/>
        <w:ind w:left="284" w:right="-93"/>
        <w:jc w:val="both"/>
        <w:rPr>
          <w:rFonts w:ascii="Palatino Linotype" w:eastAsia="Calibri" w:hAnsi="Palatino Linotype" w:cs="Tahoma"/>
          <w:iCs/>
          <w:color w:val="000000"/>
          <w:lang w:eastAsia="es-ES_tradnl"/>
        </w:rPr>
      </w:pPr>
    </w:p>
    <w:p w:rsidR="000E3D3D" w:rsidRPr="0014656F" w:rsidRDefault="000E3D3D" w:rsidP="000E3D3D">
      <w:pPr>
        <w:spacing w:line="360" w:lineRule="auto"/>
        <w:jc w:val="both"/>
        <w:rPr>
          <w:rFonts w:ascii="Palatino Linotype" w:eastAsia="Calibri" w:hAnsi="Palatino Linotype" w:cs="Tahoma"/>
          <w:color w:val="000000"/>
        </w:rPr>
      </w:pPr>
      <w:r w:rsidRPr="0014656F">
        <w:rPr>
          <w:rFonts w:ascii="Palatino Linotype" w:eastAsia="Calibri" w:hAnsi="Palatino Linotype" w:cs="Tahoma"/>
          <w:bCs/>
          <w:color w:val="000000"/>
        </w:rPr>
        <w:t>Derivado de lo anterior, se observa que es requisito contar con las placas para poder transitar, por lo que no se advierte motivo alguno para clasificar este dato, po</w:t>
      </w:r>
      <w:r w:rsidRPr="0014656F">
        <w:rPr>
          <w:rFonts w:ascii="Palatino Linotype" w:eastAsia="Calibri" w:hAnsi="Palatino Linotype" w:cs="Tahoma"/>
          <w:color w:val="000000"/>
        </w:rPr>
        <w:t>r lo que, dicho dato, no actualiza la causal de clasificación establecida en el artículo 143, fracción I, de la Ley de Transparencia y Acceso a la Información Pública del Estado de México y Municipios.</w:t>
      </w:r>
    </w:p>
    <w:p w:rsidR="000E3D3D" w:rsidRPr="0014656F" w:rsidRDefault="000E3D3D" w:rsidP="000E3D3D">
      <w:pPr>
        <w:spacing w:line="360" w:lineRule="auto"/>
        <w:jc w:val="both"/>
        <w:rPr>
          <w:rFonts w:ascii="Palatino Linotype" w:hAnsi="Palatino Linotype" w:cs="Arial"/>
        </w:rPr>
      </w:pPr>
    </w:p>
    <w:p w:rsidR="000E3D3D" w:rsidRPr="0014656F" w:rsidRDefault="000E3D3D" w:rsidP="000E3D3D">
      <w:pPr>
        <w:spacing w:line="360" w:lineRule="auto"/>
        <w:jc w:val="both"/>
        <w:rPr>
          <w:rFonts w:ascii="Palatino Linotype" w:hAnsi="Palatino Linotype"/>
          <w:lang w:eastAsia="es-ES"/>
        </w:rPr>
      </w:pPr>
      <w:r w:rsidRPr="0014656F">
        <w:rPr>
          <w:rFonts w:ascii="Palatino Linotype" w:hAnsi="Palatino Linotype"/>
          <w:lang w:eastAsia="es-E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14656F">
        <w:rPr>
          <w:rFonts w:ascii="Palatino Linotype" w:hAnsi="Palatino Linotype"/>
          <w:lang w:eastAsia="es-ES"/>
        </w:rPr>
        <w:lastRenderedPageBreak/>
        <w:t>Desclasificación de la Información, así como para la elaboración de Versiones Públicas, que literalmente expresan:</w:t>
      </w:r>
    </w:p>
    <w:p w:rsidR="000E3D3D" w:rsidRPr="0014656F" w:rsidRDefault="000E3D3D" w:rsidP="000E3D3D">
      <w:pPr>
        <w:rPr>
          <w:rFonts w:ascii="Palatino Linotype" w:hAnsi="Palatino Linotype"/>
          <w:lang w:eastAsia="es-ES"/>
        </w:rPr>
      </w:pPr>
    </w:p>
    <w:p w:rsidR="000E3D3D" w:rsidRPr="0014656F" w:rsidRDefault="000E3D3D" w:rsidP="000E3D3D">
      <w:pPr>
        <w:ind w:left="567" w:right="616"/>
        <w:jc w:val="both"/>
        <w:rPr>
          <w:rFonts w:ascii="Palatino Linotype" w:hAnsi="Palatino Linotype"/>
          <w:i/>
        </w:rPr>
      </w:pPr>
      <w:r w:rsidRPr="0014656F">
        <w:rPr>
          <w:rFonts w:ascii="Palatino Linotype" w:hAnsi="Palatino Linotype"/>
          <w:b/>
          <w:i/>
        </w:rPr>
        <w:t xml:space="preserve">“Artículo 49. </w:t>
      </w:r>
      <w:r w:rsidRPr="0014656F">
        <w:rPr>
          <w:rFonts w:ascii="Palatino Linotype" w:hAnsi="Palatino Linotype"/>
          <w:i/>
        </w:rPr>
        <w:t>Los Comités de Transparencia tendrán las siguientes atribuciones:</w:t>
      </w:r>
    </w:p>
    <w:p w:rsidR="000E3D3D" w:rsidRPr="0014656F" w:rsidRDefault="000E3D3D" w:rsidP="000E3D3D">
      <w:pPr>
        <w:ind w:left="567" w:right="616"/>
        <w:jc w:val="both"/>
        <w:rPr>
          <w:rFonts w:ascii="Palatino Linotype" w:hAnsi="Palatino Linotype"/>
          <w:i/>
        </w:rPr>
      </w:pPr>
      <w:r w:rsidRPr="0014656F">
        <w:rPr>
          <w:rFonts w:ascii="Palatino Linotype" w:hAnsi="Palatino Linotype"/>
          <w:b/>
          <w:i/>
        </w:rPr>
        <w:t>VIII.</w:t>
      </w:r>
      <w:r w:rsidRPr="0014656F">
        <w:rPr>
          <w:rFonts w:ascii="Palatino Linotype" w:hAnsi="Palatino Linotype"/>
          <w:i/>
        </w:rPr>
        <w:t xml:space="preserve"> Aprobar, modificar o revocar la clasificación de la información;</w:t>
      </w:r>
    </w:p>
    <w:p w:rsidR="000E3D3D" w:rsidRPr="0014656F" w:rsidRDefault="000E3D3D" w:rsidP="000E3D3D">
      <w:pPr>
        <w:ind w:left="567" w:right="616"/>
        <w:jc w:val="both"/>
        <w:rPr>
          <w:rFonts w:ascii="Palatino Linotype" w:hAnsi="Palatino Linotype"/>
          <w:i/>
        </w:rPr>
      </w:pPr>
    </w:p>
    <w:p w:rsidR="000E3D3D" w:rsidRPr="0014656F" w:rsidRDefault="000E3D3D" w:rsidP="000E3D3D">
      <w:pPr>
        <w:ind w:left="567" w:right="616"/>
        <w:jc w:val="both"/>
        <w:rPr>
          <w:rFonts w:ascii="Palatino Linotype" w:hAnsi="Palatino Linotype"/>
          <w:i/>
        </w:rPr>
      </w:pPr>
      <w:r w:rsidRPr="0014656F">
        <w:rPr>
          <w:rFonts w:ascii="Palatino Linotype" w:hAnsi="Palatino Linotype"/>
          <w:b/>
          <w:i/>
        </w:rPr>
        <w:t>Artículo 132.</w:t>
      </w:r>
      <w:r w:rsidRPr="0014656F">
        <w:rPr>
          <w:rFonts w:ascii="Palatino Linotype" w:hAnsi="Palatino Linotype"/>
          <w:i/>
        </w:rPr>
        <w:t xml:space="preserve"> La clasificación de la información se llevará a cabo en el momento en que:</w:t>
      </w:r>
    </w:p>
    <w:p w:rsidR="000E3D3D" w:rsidRPr="0014656F" w:rsidRDefault="000E3D3D" w:rsidP="000E3D3D">
      <w:pPr>
        <w:ind w:left="567" w:right="616"/>
        <w:jc w:val="both"/>
        <w:rPr>
          <w:rFonts w:ascii="Palatino Linotype" w:hAnsi="Palatino Linotype"/>
          <w:b/>
          <w:i/>
        </w:rPr>
      </w:pPr>
    </w:p>
    <w:p w:rsidR="000E3D3D" w:rsidRPr="0014656F" w:rsidRDefault="000E3D3D" w:rsidP="000E3D3D">
      <w:pPr>
        <w:ind w:left="567" w:right="616"/>
        <w:jc w:val="both"/>
        <w:rPr>
          <w:rFonts w:ascii="Palatino Linotype" w:hAnsi="Palatino Linotype"/>
          <w:i/>
        </w:rPr>
      </w:pPr>
      <w:r w:rsidRPr="0014656F">
        <w:rPr>
          <w:rFonts w:ascii="Palatino Linotype" w:hAnsi="Palatino Linotype"/>
          <w:b/>
          <w:i/>
        </w:rPr>
        <w:t>I.</w:t>
      </w:r>
      <w:r w:rsidRPr="0014656F">
        <w:rPr>
          <w:rFonts w:ascii="Palatino Linotype" w:hAnsi="Palatino Linotype"/>
          <w:i/>
        </w:rPr>
        <w:t xml:space="preserve"> Se reciba una solicitud de acceso a la información;</w:t>
      </w:r>
    </w:p>
    <w:p w:rsidR="000E3D3D" w:rsidRPr="0014656F" w:rsidRDefault="000E3D3D" w:rsidP="000E3D3D">
      <w:pPr>
        <w:ind w:left="567" w:right="616"/>
        <w:jc w:val="both"/>
        <w:rPr>
          <w:rFonts w:ascii="Palatino Linotype" w:hAnsi="Palatino Linotype"/>
          <w:i/>
        </w:rPr>
      </w:pPr>
      <w:r w:rsidRPr="0014656F">
        <w:rPr>
          <w:rFonts w:ascii="Palatino Linotype" w:hAnsi="Palatino Linotype"/>
          <w:b/>
          <w:i/>
        </w:rPr>
        <w:t>II.</w:t>
      </w:r>
      <w:r w:rsidRPr="0014656F">
        <w:rPr>
          <w:rFonts w:ascii="Palatino Linotype" w:hAnsi="Palatino Linotype"/>
          <w:i/>
        </w:rPr>
        <w:t xml:space="preserve"> Se determine mediante resolución de autoridad competente; o</w:t>
      </w:r>
    </w:p>
    <w:p w:rsidR="000E3D3D" w:rsidRPr="0014656F" w:rsidRDefault="000E3D3D" w:rsidP="000E3D3D">
      <w:pPr>
        <w:ind w:left="567" w:right="616"/>
        <w:jc w:val="both"/>
        <w:rPr>
          <w:rFonts w:ascii="Palatino Linotype" w:hAnsi="Palatino Linotype"/>
          <w:b/>
          <w:i/>
        </w:rPr>
      </w:pPr>
      <w:r w:rsidRPr="0014656F">
        <w:rPr>
          <w:rFonts w:ascii="Palatino Linotype" w:hAnsi="Palatino Linotype"/>
          <w:i/>
        </w:rPr>
        <w:t>III. Se generen versiones públicas para dar cumplimiento a las obligaciones de transparencia previstas en esta Ley.</w:t>
      </w:r>
      <w:r w:rsidRPr="0014656F">
        <w:rPr>
          <w:rFonts w:ascii="Palatino Linotype" w:hAnsi="Palatino Linotype"/>
          <w:b/>
          <w:i/>
        </w:rPr>
        <w:t>”</w:t>
      </w:r>
    </w:p>
    <w:p w:rsidR="000E3D3D" w:rsidRPr="0014656F" w:rsidRDefault="000E3D3D" w:rsidP="000E3D3D">
      <w:pPr>
        <w:ind w:left="567" w:right="616"/>
        <w:jc w:val="both"/>
        <w:rPr>
          <w:rFonts w:ascii="Palatino Linotype" w:hAnsi="Palatino Linotype"/>
          <w:b/>
          <w:i/>
        </w:rPr>
      </w:pPr>
    </w:p>
    <w:p w:rsidR="000E3D3D" w:rsidRPr="0014656F" w:rsidRDefault="000E3D3D" w:rsidP="000E3D3D">
      <w:pPr>
        <w:spacing w:line="360" w:lineRule="auto"/>
        <w:jc w:val="both"/>
        <w:rPr>
          <w:rFonts w:ascii="Palatino Linotype" w:hAnsi="Palatino Linotype"/>
          <w:lang w:eastAsia="es-ES"/>
        </w:rPr>
      </w:pPr>
      <w:r w:rsidRPr="0014656F">
        <w:rPr>
          <w:rFonts w:ascii="Palatino Linotype" w:hAnsi="Palatino Linotype"/>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14656F">
        <w:rPr>
          <w:rFonts w:ascii="Palatino Linotype" w:hAnsi="Palatino Linotype"/>
          <w:lang w:val="es-ES_tradnl" w:eastAsia="es-ES"/>
        </w:rPr>
        <w:t>el Sujeto Obligado</w:t>
      </w:r>
      <w:r w:rsidRPr="0014656F">
        <w:rPr>
          <w:rFonts w:ascii="Palatino Linotype" w:hAnsi="Palatino Linotype"/>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2F23C1" w:rsidRPr="0014656F" w:rsidRDefault="002F23C1" w:rsidP="000E3D3D">
      <w:pPr>
        <w:spacing w:line="360" w:lineRule="auto"/>
        <w:jc w:val="both"/>
        <w:rPr>
          <w:rFonts w:ascii="Palatino Linotype" w:hAnsi="Palatino Linotype" w:cs="Arial"/>
        </w:rPr>
      </w:pPr>
    </w:p>
    <w:p w:rsidR="002E7B1A" w:rsidRPr="0014656F" w:rsidRDefault="002E7B1A" w:rsidP="000E3D3D">
      <w:pPr>
        <w:spacing w:line="360" w:lineRule="auto"/>
        <w:jc w:val="both"/>
        <w:rPr>
          <w:rFonts w:ascii="Palatino Linotype" w:hAnsi="Palatino Linotype" w:cs="Arial"/>
        </w:rPr>
      </w:pPr>
      <w:r w:rsidRPr="0014656F">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rsidR="002E7B1A" w:rsidRPr="0014656F" w:rsidRDefault="002E7B1A" w:rsidP="000E3D3D">
      <w:pPr>
        <w:spacing w:line="360" w:lineRule="auto"/>
        <w:jc w:val="both"/>
        <w:rPr>
          <w:rFonts w:ascii="Palatino Linotype" w:hAnsi="Palatino Linotype" w:cs="Arial"/>
        </w:rPr>
      </w:pPr>
      <w:r w:rsidRPr="0014656F">
        <w:rPr>
          <w:rFonts w:ascii="Palatino Linotype" w:hAnsi="Palatino Linotype" w:cs="Arial"/>
        </w:rPr>
        <w:lastRenderedPageBreak/>
        <w:t>Al respecto, el máximo tribunal del país ha establecido jurisprudencia respecto a qué debe entenderse por fundamentación y motivación, en los siguientes términos:</w:t>
      </w:r>
    </w:p>
    <w:p w:rsidR="002E7B1A" w:rsidRPr="0014656F" w:rsidRDefault="002E7B1A" w:rsidP="000E3D3D">
      <w:pPr>
        <w:spacing w:line="360" w:lineRule="auto"/>
        <w:jc w:val="both"/>
        <w:rPr>
          <w:rFonts w:ascii="Palatino Linotype" w:hAnsi="Palatino Linotype" w:cs="Arial"/>
        </w:rPr>
      </w:pPr>
    </w:p>
    <w:p w:rsidR="002E7B1A" w:rsidRPr="0014656F" w:rsidRDefault="002E7B1A" w:rsidP="000E3D3D">
      <w:pPr>
        <w:spacing w:line="276" w:lineRule="auto"/>
        <w:ind w:left="567" w:right="567"/>
        <w:jc w:val="both"/>
        <w:rPr>
          <w:rFonts w:ascii="Palatino Linotype" w:hAnsi="Palatino Linotype" w:cs="Arial"/>
          <w:i/>
        </w:rPr>
      </w:pPr>
      <w:r w:rsidRPr="0014656F">
        <w:rPr>
          <w:rFonts w:ascii="Palatino Linotype" w:hAnsi="Palatino Linotype" w:cs="Arial"/>
          <w:b/>
          <w:i/>
        </w:rPr>
        <w:t>FUNDAMENTACIÓN Y MOTIVACIÓN</w:t>
      </w:r>
      <w:r w:rsidRPr="0014656F">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2F23C1" w:rsidRPr="0014656F" w:rsidRDefault="002F23C1" w:rsidP="000E3D3D">
      <w:pPr>
        <w:spacing w:line="276" w:lineRule="auto"/>
        <w:ind w:left="567" w:right="567"/>
        <w:jc w:val="both"/>
        <w:rPr>
          <w:rFonts w:ascii="Palatino Linotype" w:hAnsi="Palatino Linotype" w:cs="Arial"/>
          <w:i/>
        </w:rPr>
      </w:pPr>
    </w:p>
    <w:p w:rsidR="002E7B1A" w:rsidRPr="0014656F" w:rsidRDefault="002E7B1A" w:rsidP="000E3D3D">
      <w:pPr>
        <w:spacing w:line="360" w:lineRule="auto"/>
        <w:jc w:val="both"/>
        <w:rPr>
          <w:rFonts w:ascii="Palatino Linotype" w:hAnsi="Palatino Linotype" w:cs="Arial"/>
        </w:rPr>
      </w:pPr>
      <w:r w:rsidRPr="0014656F">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2E7B1A" w:rsidRPr="0014656F" w:rsidRDefault="002E7B1A" w:rsidP="000E3D3D">
      <w:pPr>
        <w:spacing w:line="360" w:lineRule="auto"/>
        <w:jc w:val="both"/>
        <w:rPr>
          <w:rFonts w:ascii="Palatino Linotype" w:hAnsi="Palatino Linotype" w:cs="Arial"/>
        </w:rPr>
      </w:pPr>
    </w:p>
    <w:p w:rsidR="002E7B1A" w:rsidRPr="0014656F" w:rsidRDefault="002E7B1A" w:rsidP="000E3D3D">
      <w:pPr>
        <w:spacing w:line="360" w:lineRule="auto"/>
        <w:jc w:val="both"/>
        <w:rPr>
          <w:rFonts w:ascii="Palatino Linotype" w:hAnsi="Palatino Linotype" w:cs="Arial"/>
        </w:rPr>
      </w:pPr>
      <w:r w:rsidRPr="0014656F">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rsidR="002E7B1A" w:rsidRPr="0014656F" w:rsidRDefault="002E7B1A" w:rsidP="000E3D3D">
      <w:pPr>
        <w:spacing w:line="360" w:lineRule="auto"/>
        <w:jc w:val="both"/>
        <w:rPr>
          <w:rFonts w:ascii="Palatino Linotype" w:hAnsi="Palatino Linotype" w:cs="Arial"/>
        </w:rPr>
      </w:pPr>
    </w:p>
    <w:p w:rsidR="002E7B1A" w:rsidRPr="0014656F" w:rsidRDefault="002E7B1A" w:rsidP="000E3D3D">
      <w:pPr>
        <w:spacing w:line="276" w:lineRule="auto"/>
        <w:ind w:left="567" w:right="567"/>
        <w:jc w:val="both"/>
        <w:rPr>
          <w:rFonts w:ascii="Palatino Linotype" w:hAnsi="Palatino Linotype" w:cs="Arial"/>
          <w:i/>
        </w:rPr>
      </w:pPr>
      <w:r w:rsidRPr="0014656F">
        <w:rPr>
          <w:rFonts w:ascii="Palatino Linotype" w:hAnsi="Palatino Linotype" w:cs="Arial"/>
          <w:b/>
          <w:i/>
        </w:rPr>
        <w:t>FUNDAMENTACIÓN Y MOTIVACIÓN. EL ASPECTO FORMAL DE LA GARANTÍA Y SU FINALIDAD SE TRADUCEN EN EXPLICAR, JUSTIFICAR, POSIBILITAR LA DEFENSA Y COMUNICAR LA DECISIÓN.</w:t>
      </w:r>
      <w:r w:rsidRPr="0014656F">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r w:rsidRPr="0014656F">
        <w:rPr>
          <w:rFonts w:ascii="Palatino Linotype" w:hAnsi="Palatino Linotype" w:cs="Arial"/>
          <w:i/>
        </w:rPr>
        <w:lastRenderedPageBreak/>
        <w:t>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2E7B1A" w:rsidRPr="0014656F" w:rsidRDefault="002E7B1A" w:rsidP="000E3D3D">
      <w:pPr>
        <w:spacing w:line="360" w:lineRule="auto"/>
        <w:jc w:val="both"/>
        <w:rPr>
          <w:rFonts w:ascii="Palatino Linotype" w:hAnsi="Palatino Linotype" w:cs="Arial"/>
        </w:rPr>
      </w:pPr>
    </w:p>
    <w:p w:rsidR="002E7B1A" w:rsidRPr="0014656F" w:rsidRDefault="002E7B1A" w:rsidP="000E3D3D">
      <w:pPr>
        <w:spacing w:line="360" w:lineRule="auto"/>
        <w:jc w:val="both"/>
        <w:rPr>
          <w:rFonts w:ascii="Palatino Linotype" w:hAnsi="Palatino Linotype" w:cs="Arial"/>
        </w:rPr>
      </w:pPr>
      <w:r w:rsidRPr="0014656F">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2E7B1A" w:rsidRPr="0014656F" w:rsidRDefault="002E7B1A" w:rsidP="000E3D3D">
      <w:pPr>
        <w:spacing w:line="360" w:lineRule="auto"/>
        <w:jc w:val="both"/>
        <w:rPr>
          <w:rFonts w:ascii="Palatino Linotype" w:hAnsi="Palatino Linotype" w:cs="Arial"/>
        </w:rPr>
      </w:pPr>
    </w:p>
    <w:p w:rsidR="002E7B1A" w:rsidRPr="002E7B1A" w:rsidRDefault="002E7B1A" w:rsidP="000E3D3D">
      <w:pPr>
        <w:spacing w:line="360" w:lineRule="auto"/>
        <w:jc w:val="both"/>
        <w:rPr>
          <w:rFonts w:ascii="Palatino Linotype" w:hAnsi="Palatino Linotype"/>
          <w:bCs/>
          <w:lang w:val="es-ES" w:eastAsia="es-ES"/>
        </w:rPr>
      </w:pPr>
      <w:r w:rsidRPr="0014656F">
        <w:rPr>
          <w:rFonts w:ascii="Palatino Linotype" w:hAnsi="Palatino Linotype" w:cs="Aria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B00995" w:rsidRDefault="00B00995" w:rsidP="000E3D3D">
      <w:pPr>
        <w:spacing w:line="360" w:lineRule="auto"/>
        <w:jc w:val="both"/>
        <w:rPr>
          <w:rFonts w:ascii="Palatino Linotype" w:hAnsi="Palatino Linotype" w:cs="Arial"/>
        </w:rPr>
      </w:pPr>
    </w:p>
    <w:p w:rsidR="000E3D3D" w:rsidRDefault="000E3D3D" w:rsidP="000E3D3D">
      <w:pPr>
        <w:spacing w:line="360" w:lineRule="auto"/>
        <w:jc w:val="both"/>
        <w:rPr>
          <w:rFonts w:ascii="Palatino Linotype" w:hAnsi="Palatino Linotype" w:cs="Arial"/>
        </w:rPr>
      </w:pPr>
    </w:p>
    <w:p w:rsidR="00B00995" w:rsidRPr="00B704A7" w:rsidRDefault="00B00995" w:rsidP="000E3D3D">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Pr>
          <w:rFonts w:ascii="Palatino Linotype" w:hAnsi="Palatino Linotype"/>
          <w:b/>
          <w:bCs/>
        </w:rPr>
        <w:t xml:space="preserve">el </w:t>
      </w:r>
      <w:r w:rsidRPr="00B704A7">
        <w:rPr>
          <w:rFonts w:ascii="Palatino Linotype" w:hAnsi="Palatino Linotype"/>
          <w:b/>
        </w:rPr>
        <w:t>Recurrente</w:t>
      </w:r>
      <w:r w:rsidRPr="00B704A7">
        <w:rPr>
          <w:rFonts w:ascii="Palatino Linotype" w:hAnsi="Palatino Linotype"/>
        </w:rPr>
        <w:t xml:space="preserve">, por ello con fundamento en la </w:t>
      </w:r>
      <w:r w:rsidRPr="00B704A7">
        <w:rPr>
          <w:rFonts w:ascii="Palatino Linotype" w:hAnsi="Palatino Linotype"/>
          <w:i/>
        </w:rPr>
        <w:t>primera hipótesis</w:t>
      </w:r>
      <w:r w:rsidRPr="00B704A7">
        <w:rPr>
          <w:rFonts w:ascii="Palatino Linotype" w:hAnsi="Palatino Linotype"/>
        </w:rPr>
        <w:t xml:space="preserve"> del artículo 186, fracción III, de la Ley de Transparencia y Acceso a la Información Pública del Estado de México y Municipios, se </w:t>
      </w:r>
      <w:r w:rsidRPr="00CB5EA9">
        <w:rPr>
          <w:rFonts w:ascii="Palatino Linotype" w:hAnsi="Palatino Linotype"/>
          <w:b/>
          <w:bCs/>
        </w:rPr>
        <w:t>MODIFI</w:t>
      </w:r>
      <w:r w:rsidRPr="00CB5EA9">
        <w:rPr>
          <w:rFonts w:ascii="Palatino Linotype" w:hAnsi="Palatino Linotype"/>
          <w:b/>
        </w:rPr>
        <w:t>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Pr="0011341A">
        <w:rPr>
          <w:rFonts w:ascii="Palatino Linotype" w:hAnsi="Palatino Linotype" w:cs="Arial"/>
          <w:b/>
        </w:rPr>
        <w:t>00103/JUCHITE/IP/2024</w:t>
      </w:r>
      <w:r w:rsidRPr="00B704A7">
        <w:rPr>
          <w:rFonts w:ascii="Palatino Linotype" w:hAnsi="Palatino Linotype" w:cs="Arial"/>
          <w:b/>
        </w:rPr>
        <w:t xml:space="preserve">, </w:t>
      </w:r>
      <w:r w:rsidRPr="00B704A7">
        <w:rPr>
          <w:rFonts w:ascii="Palatino Linotype" w:hAnsi="Palatino Linotype"/>
        </w:rPr>
        <w:t>que ha sido materia del presente fallo.</w:t>
      </w:r>
    </w:p>
    <w:p w:rsidR="00B00995" w:rsidRPr="00B704A7" w:rsidRDefault="00B00995" w:rsidP="000E3D3D">
      <w:pPr>
        <w:spacing w:line="276" w:lineRule="auto"/>
        <w:jc w:val="both"/>
        <w:rPr>
          <w:rFonts w:ascii="Palatino Linotype" w:hAnsi="Palatino Linotype"/>
        </w:rPr>
      </w:pPr>
    </w:p>
    <w:p w:rsidR="00B00995" w:rsidRPr="00B704A7" w:rsidRDefault="00B00995" w:rsidP="000E3D3D">
      <w:pPr>
        <w:spacing w:line="276" w:lineRule="auto"/>
        <w:jc w:val="both"/>
        <w:rPr>
          <w:rFonts w:ascii="Palatino Linotype" w:hAnsi="Palatino Linotype"/>
        </w:rPr>
      </w:pPr>
      <w:r w:rsidRPr="00B704A7">
        <w:rPr>
          <w:rFonts w:ascii="Palatino Linotype" w:hAnsi="Palatino Linotype"/>
        </w:rPr>
        <w:t>Por lo antes expuesto y fundado es de resolverse y;</w:t>
      </w:r>
    </w:p>
    <w:p w:rsidR="00B00995" w:rsidRDefault="00B00995" w:rsidP="000E3D3D">
      <w:pPr>
        <w:spacing w:line="276" w:lineRule="auto"/>
        <w:jc w:val="center"/>
        <w:rPr>
          <w:rFonts w:ascii="Palatino Linotype" w:hAnsi="Palatino Linotype"/>
          <w:b/>
          <w:sz w:val="28"/>
        </w:rPr>
      </w:pPr>
    </w:p>
    <w:p w:rsidR="00B00995" w:rsidRPr="00B704A7" w:rsidRDefault="00B00995" w:rsidP="000E3D3D">
      <w:pPr>
        <w:spacing w:line="276" w:lineRule="auto"/>
        <w:jc w:val="center"/>
        <w:rPr>
          <w:rFonts w:ascii="Palatino Linotype" w:hAnsi="Palatino Linotype"/>
          <w:b/>
          <w:sz w:val="28"/>
        </w:rPr>
      </w:pPr>
      <w:r w:rsidRPr="00B704A7">
        <w:rPr>
          <w:rFonts w:ascii="Palatino Linotype" w:hAnsi="Palatino Linotype"/>
          <w:b/>
          <w:sz w:val="28"/>
        </w:rPr>
        <w:t>S E    R E S U E L V E</w:t>
      </w:r>
    </w:p>
    <w:p w:rsidR="00B00995" w:rsidRPr="00077F62" w:rsidRDefault="00B00995" w:rsidP="000E3D3D">
      <w:pPr>
        <w:rPr>
          <w:sz w:val="28"/>
        </w:rPr>
      </w:pPr>
    </w:p>
    <w:p w:rsidR="00B00995" w:rsidRPr="00B704A7" w:rsidRDefault="00B00995" w:rsidP="000E3D3D">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Pr="00CB5EA9">
        <w:rPr>
          <w:rFonts w:ascii="Palatino Linotype" w:hAnsi="Palatino Linotype" w:cs="Arial"/>
          <w:b/>
          <w:lang w:val="es-419"/>
        </w:rPr>
        <w:t>MODIFICA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Pr="0011341A">
        <w:rPr>
          <w:rFonts w:ascii="Palatino Linotype" w:hAnsi="Palatino Linotype" w:cs="Arial"/>
          <w:b/>
        </w:rPr>
        <w:t>00103/JUCHITE/IP/2024</w:t>
      </w:r>
      <w:r w:rsidRPr="00B704A7">
        <w:rPr>
          <w:rFonts w:ascii="Palatino Linotype" w:hAnsi="Palatino Linotype" w:cs="Arial"/>
        </w:rPr>
        <w:t>, al resultar</w:t>
      </w:r>
      <w:r>
        <w:rPr>
          <w:rFonts w:ascii="Palatino Linotype" w:hAnsi="Palatino Linotype" w:cs="Arial"/>
        </w:rPr>
        <w:t xml:space="preserve"> parcialmente</w:t>
      </w:r>
      <w:r w:rsidRPr="00B704A7">
        <w:rPr>
          <w:rFonts w:ascii="Palatino Linotype" w:hAnsi="Palatino Linotype" w:cs="Arial"/>
        </w:rPr>
        <w:t xml:space="preserve"> fundadas las razones o motivos de inconformidad vertidos por </w:t>
      </w:r>
      <w:r>
        <w:rPr>
          <w:rFonts w:ascii="Palatino Linotype" w:hAnsi="Palatino Linotype" w:cs="Arial"/>
          <w:b/>
        </w:rPr>
        <w:t xml:space="preserve">el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Pr>
          <w:rFonts w:ascii="Palatino Linotype" w:hAnsi="Palatino Linotype" w:cs="Arial"/>
          <w:b/>
          <w:lang w:val="es-419"/>
        </w:rPr>
        <w:t>CUART</w:t>
      </w:r>
      <w:r w:rsidRPr="00B704A7">
        <w:rPr>
          <w:rFonts w:ascii="Palatino Linotype" w:hAnsi="Palatino Linotype" w:cs="Arial"/>
          <w:b/>
          <w:lang w:val="es-419"/>
        </w:rPr>
        <w:t>O</w:t>
      </w:r>
      <w:r w:rsidRPr="00B704A7">
        <w:rPr>
          <w:rFonts w:ascii="Palatino Linotype" w:hAnsi="Palatino Linotype" w:cs="Arial"/>
        </w:rPr>
        <w:t xml:space="preserve"> de la presente resolución.</w:t>
      </w:r>
    </w:p>
    <w:p w:rsidR="002F23C1" w:rsidRDefault="002F23C1" w:rsidP="000E3D3D">
      <w:pPr>
        <w:autoSpaceDE w:val="0"/>
        <w:autoSpaceDN w:val="0"/>
        <w:adjustRightInd w:val="0"/>
        <w:spacing w:line="360" w:lineRule="auto"/>
        <w:ind w:right="49"/>
        <w:jc w:val="both"/>
        <w:rPr>
          <w:rFonts w:ascii="Palatino Linotype" w:hAnsi="Palatino Linotype"/>
          <w:b/>
          <w:sz w:val="28"/>
        </w:rPr>
      </w:pPr>
    </w:p>
    <w:p w:rsidR="00B00995" w:rsidRDefault="00B00995" w:rsidP="000E3D3D">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l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Pr>
          <w:rFonts w:ascii="Palatino Linotype" w:hAnsi="Palatino Linotype" w:cs="Arial"/>
          <w:b/>
          <w:lang w:val="es-419"/>
        </w:rPr>
        <w:t>CUAR</w:t>
      </w:r>
      <w:r w:rsidRPr="00B704A7">
        <w:rPr>
          <w:rFonts w:ascii="Palatino Linotype" w:hAnsi="Palatino Linotype" w:cs="Arial"/>
          <w:b/>
          <w:lang w:val="es-419"/>
        </w:rPr>
        <w:t>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Pr>
          <w:rFonts w:ascii="Palatino Linotype" w:hAnsi="Palatino Linotype" w:cs="Arial"/>
          <w:b/>
        </w:rPr>
        <w:t>),</w:t>
      </w:r>
      <w:r>
        <w:rPr>
          <w:rFonts w:ascii="Palatino Linotype" w:hAnsi="Palatino Linotype" w:cs="Arial"/>
        </w:rPr>
        <w:t xml:space="preserve"> </w:t>
      </w:r>
      <w:r w:rsidR="00E82E3C" w:rsidRPr="002F23C1">
        <w:rPr>
          <w:rFonts w:ascii="Palatino Linotype" w:hAnsi="Palatino Linotype" w:cs="Arial"/>
        </w:rPr>
        <w:t xml:space="preserve">de ser procedente </w:t>
      </w:r>
      <w:r w:rsidRPr="002F23C1">
        <w:rPr>
          <w:rFonts w:ascii="Palatino Linotype" w:hAnsi="Palatino Linotype" w:cs="Arial"/>
        </w:rPr>
        <w:t>en versión pública</w:t>
      </w:r>
      <w:r w:rsidRPr="00954A3F">
        <w:rPr>
          <w:rFonts w:ascii="Palatino Linotype" w:hAnsi="Palatino Linotype" w:cs="Arial"/>
        </w:rPr>
        <w:t xml:space="preserve">, </w:t>
      </w:r>
      <w:r>
        <w:rPr>
          <w:rFonts w:ascii="Palatino Linotype" w:hAnsi="Palatino Linotype" w:cs="Arial"/>
        </w:rPr>
        <w:t>de</w:t>
      </w:r>
      <w:r w:rsidRPr="00B704A7">
        <w:rPr>
          <w:rFonts w:ascii="Palatino Linotype" w:hAnsi="Palatino Linotype" w:cs="Arial"/>
          <w:lang w:eastAsia="es-ES"/>
        </w:rPr>
        <w:t>l</w:t>
      </w:r>
      <w:r>
        <w:rPr>
          <w:rFonts w:ascii="Palatino Linotype" w:hAnsi="Palatino Linotype" w:cs="Arial"/>
          <w:lang w:eastAsia="es-ES"/>
        </w:rPr>
        <w:t xml:space="preserve"> documento</w:t>
      </w:r>
      <w:r w:rsidRPr="00B704A7">
        <w:rPr>
          <w:rFonts w:ascii="Palatino Linotype" w:hAnsi="Palatino Linotype" w:cs="Arial"/>
          <w:lang w:eastAsia="es-ES"/>
        </w:rPr>
        <w:t xml:space="preserve"> </w:t>
      </w:r>
      <w:r>
        <w:rPr>
          <w:rFonts w:ascii="Palatino Linotype" w:hAnsi="Palatino Linotype" w:cs="Arial"/>
          <w:lang w:eastAsia="es-ES"/>
        </w:rPr>
        <w:t xml:space="preserve">o documentos donde conste lo </w:t>
      </w:r>
      <w:r w:rsidRPr="00B704A7">
        <w:rPr>
          <w:rFonts w:ascii="Palatino Linotype" w:hAnsi="Palatino Linotype" w:cs="Arial"/>
          <w:lang w:eastAsia="es-ES"/>
        </w:rPr>
        <w:t>siguiente:</w:t>
      </w:r>
    </w:p>
    <w:p w:rsidR="00B00995" w:rsidRDefault="00B00995" w:rsidP="000E3D3D">
      <w:pPr>
        <w:autoSpaceDE w:val="0"/>
        <w:autoSpaceDN w:val="0"/>
        <w:adjustRightInd w:val="0"/>
        <w:spacing w:line="360" w:lineRule="auto"/>
        <w:ind w:right="49"/>
        <w:jc w:val="both"/>
        <w:rPr>
          <w:rFonts w:ascii="Palatino Linotype" w:hAnsi="Palatino Linotype" w:cs="Arial"/>
          <w:lang w:eastAsia="es-ES"/>
        </w:rPr>
      </w:pPr>
    </w:p>
    <w:p w:rsidR="00B00995" w:rsidRPr="00954A3F" w:rsidRDefault="00E82E3C" w:rsidP="000E3D3D">
      <w:pPr>
        <w:pStyle w:val="Citas"/>
        <w:numPr>
          <w:ilvl w:val="0"/>
          <w:numId w:val="3"/>
        </w:numPr>
        <w:spacing w:before="0" w:after="0"/>
        <w:ind w:left="709" w:right="332"/>
        <w:rPr>
          <w:i w:val="0"/>
          <w:color w:val="000000"/>
        </w:rPr>
      </w:pPr>
      <w:r>
        <w:rPr>
          <w:rFonts w:cs="Tahoma"/>
          <w:i w:val="0"/>
          <w:iCs/>
          <w:color w:val="000000"/>
          <w:sz w:val="24"/>
          <w:szCs w:val="24"/>
        </w:rPr>
        <w:t>Parque vehicular vigente a la segunda quincena del mes de agosto de dos mil veinticuatro.</w:t>
      </w:r>
    </w:p>
    <w:p w:rsidR="00B00995" w:rsidRPr="00773B0A" w:rsidRDefault="00B00995" w:rsidP="000E3D3D">
      <w:pPr>
        <w:pStyle w:val="Citas"/>
        <w:spacing w:before="0" w:after="0"/>
        <w:ind w:left="709" w:right="332"/>
        <w:rPr>
          <w:i w:val="0"/>
          <w:color w:val="000000"/>
        </w:rPr>
      </w:pPr>
    </w:p>
    <w:p w:rsidR="00B00995" w:rsidRPr="00954A3F" w:rsidRDefault="00B00995" w:rsidP="000E3D3D">
      <w:pPr>
        <w:tabs>
          <w:tab w:val="left" w:pos="720"/>
        </w:tabs>
        <w:ind w:left="709" w:right="332"/>
        <w:jc w:val="both"/>
        <w:rPr>
          <w:rFonts w:ascii="Palatino Linotype" w:hAnsi="Palatino Linotype"/>
          <w:i/>
          <w:sz w:val="22"/>
        </w:rPr>
      </w:pPr>
      <w:r w:rsidRPr="00954A3F">
        <w:rPr>
          <w:rFonts w:ascii="Palatino Linotype" w:hAnsi="Palatino Linotype"/>
          <w:i/>
          <w:sz w:val="22"/>
        </w:rPr>
        <w:lastRenderedPageBreak/>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del </w:t>
      </w:r>
      <w:r w:rsidRPr="00954A3F">
        <w:rPr>
          <w:rFonts w:ascii="Palatino Linotype" w:hAnsi="Palatino Linotype"/>
          <w:b/>
          <w:i/>
          <w:sz w:val="22"/>
        </w:rPr>
        <w:t>Recurrente</w:t>
      </w:r>
      <w:r w:rsidRPr="00954A3F">
        <w:rPr>
          <w:rFonts w:ascii="Palatino Linotype" w:hAnsi="Palatino Linotype"/>
          <w:i/>
          <w:sz w:val="22"/>
        </w:rPr>
        <w:t>.</w:t>
      </w:r>
    </w:p>
    <w:p w:rsidR="00B00995" w:rsidRPr="001D551D" w:rsidRDefault="00B00995" w:rsidP="000E3D3D">
      <w:pPr>
        <w:tabs>
          <w:tab w:val="left" w:pos="720"/>
        </w:tabs>
        <w:ind w:left="709"/>
        <w:jc w:val="both"/>
        <w:rPr>
          <w:rFonts w:ascii="Palatino Linotype" w:hAnsi="Palatino Linotype"/>
          <w:i/>
        </w:rPr>
      </w:pPr>
    </w:p>
    <w:p w:rsidR="00B00995" w:rsidRPr="00CA1D2B" w:rsidRDefault="00B00995" w:rsidP="000E3D3D">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F23C1" w:rsidRPr="000E3D3D" w:rsidRDefault="002F23C1" w:rsidP="000E3D3D">
      <w:pPr>
        <w:spacing w:line="360" w:lineRule="auto"/>
        <w:jc w:val="both"/>
        <w:rPr>
          <w:rFonts w:ascii="Palatino Linotype" w:hAnsi="Palatino Linotype" w:cs="Arial"/>
          <w:b/>
          <w:bCs/>
          <w:szCs w:val="28"/>
        </w:rPr>
      </w:pPr>
    </w:p>
    <w:p w:rsidR="00B00995" w:rsidRPr="00CA1D2B" w:rsidRDefault="00B00995" w:rsidP="000E3D3D">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rsidR="00B00995" w:rsidRPr="00954A3F" w:rsidRDefault="00B00995" w:rsidP="000E3D3D">
      <w:pPr>
        <w:autoSpaceDE w:val="0"/>
        <w:autoSpaceDN w:val="0"/>
        <w:adjustRightInd w:val="0"/>
        <w:spacing w:line="360" w:lineRule="auto"/>
        <w:ind w:right="51"/>
        <w:jc w:val="both"/>
        <w:rPr>
          <w:rFonts w:ascii="Palatino Linotype" w:hAnsi="Palatino Linotype" w:cs="Arial"/>
          <w:b/>
          <w:szCs w:val="28"/>
        </w:rPr>
      </w:pPr>
    </w:p>
    <w:p w:rsidR="00B00995" w:rsidRDefault="00B00995" w:rsidP="000E3D3D">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w:t>
      </w:r>
      <w:r w:rsidRPr="00CA1D2B">
        <w:rPr>
          <w:rFonts w:ascii="Palatino Linotype" w:hAnsi="Palatino Linotype" w:cs="Arial"/>
        </w:rPr>
        <w:lastRenderedPageBreak/>
        <w:t>artículo 196, de la Ley de Transparencia y Acceso a la Información Pública del Estado de México y Municipios.</w:t>
      </w:r>
    </w:p>
    <w:p w:rsidR="00B00995" w:rsidRDefault="00B00995" w:rsidP="000E3D3D">
      <w:pPr>
        <w:spacing w:line="360" w:lineRule="auto"/>
        <w:jc w:val="both"/>
        <w:rPr>
          <w:rFonts w:ascii="Palatino Linotype" w:eastAsiaTheme="minorHAnsi" w:hAnsi="Palatino Linotype" w:cs="Arial"/>
          <w:lang w:eastAsia="en-US"/>
        </w:rPr>
      </w:pPr>
    </w:p>
    <w:p w:rsidR="00B00995" w:rsidRDefault="00B00995" w:rsidP="000E3D3D">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w:t>
      </w:r>
      <w:r w:rsidR="00005D57">
        <w:rPr>
          <w:rFonts w:ascii="Palatino Linotype" w:eastAsiaTheme="minorHAnsi" w:hAnsi="Palatino Linotype" w:cs="Arial"/>
          <w:lang w:eastAsia="en-US"/>
        </w:rPr>
        <w:t xml:space="preserve"> (EMITIENDO VOTO PARTICULAR CONCURRENTE)</w:t>
      </w:r>
      <w:r w:rsidRPr="00037B15">
        <w:rPr>
          <w:rFonts w:ascii="Palatino Linotype" w:eastAsiaTheme="minorHAnsi" w:hAnsi="Palatino Linotype" w:cs="Arial"/>
          <w:lang w:eastAsia="en-US"/>
        </w:rPr>
        <w:t>;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Y GUADALUPE RAMÍREZ PEÑA</w:t>
      </w:r>
      <w:r w:rsidR="00005D57">
        <w:rPr>
          <w:rFonts w:ascii="Palatino Linotype" w:eastAsiaTheme="minorHAnsi" w:hAnsi="Palatino Linotype" w:cs="Arial"/>
          <w:lang w:eastAsia="en-US"/>
        </w:rPr>
        <w:t xml:space="preserve"> (EMITIENDO VOTO PARTICULAR CONCURRENTE)</w:t>
      </w:r>
      <w:r w:rsidRPr="00037B15">
        <w:rPr>
          <w:rFonts w:ascii="Palatino Linotype" w:eastAsiaTheme="minorHAnsi" w:hAnsi="Palatino Linotype" w:cs="Arial"/>
          <w:lang w:eastAsia="en-US"/>
        </w:rPr>
        <w:t xml:space="preserve">; EN LA </w:t>
      </w:r>
      <w:r>
        <w:rPr>
          <w:rFonts w:ascii="Palatino Linotype" w:eastAsiaTheme="minorHAnsi" w:hAnsi="Palatino Linotype" w:cs="Arial"/>
          <w:b/>
          <w:lang w:eastAsia="en-US"/>
        </w:rPr>
        <w:t>TRIGÉSIMA</w:t>
      </w:r>
      <w:r>
        <w:rPr>
          <w:rFonts w:ascii="Palatino Linotype" w:eastAsiaTheme="minorHAnsi" w:hAnsi="Palatino Linotype" w:cs="Arial"/>
          <w:lang w:eastAsia="en-US"/>
        </w:rPr>
        <w:t xml:space="preserve"> </w:t>
      </w:r>
      <w:r>
        <w:rPr>
          <w:rFonts w:ascii="Palatino Linotype" w:eastAsiaTheme="minorHAnsi" w:hAnsi="Palatino Linotype" w:cs="Arial"/>
          <w:b/>
          <w:lang w:eastAsia="en-US"/>
        </w:rPr>
        <w:t>NOVEN</w:t>
      </w:r>
      <w:r w:rsidRPr="00DF768B">
        <w:rPr>
          <w:rFonts w:ascii="Palatino Linotype" w:eastAsiaTheme="minorHAnsi" w:hAnsi="Palatino Linotype" w:cs="Arial"/>
          <w:b/>
          <w:lang w:eastAsia="en-US"/>
        </w:rPr>
        <w:t>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Pr>
          <w:rFonts w:ascii="Palatino Linotype" w:eastAsiaTheme="minorHAnsi" w:hAnsi="Palatino Linotype" w:cs="Arial"/>
          <w:b/>
          <w:lang w:eastAsia="en-US"/>
        </w:rPr>
        <w:t xml:space="preserve">TRECE </w:t>
      </w:r>
      <w:r w:rsidRPr="00752CFB">
        <w:rPr>
          <w:rFonts w:ascii="Palatino Linotype" w:hAnsi="Palatino Linotype" w:cs="Arial"/>
          <w:b/>
          <w:color w:val="000000"/>
        </w:rPr>
        <w:t xml:space="preserve">DE </w:t>
      </w:r>
      <w:r>
        <w:rPr>
          <w:rFonts w:ascii="Palatino Linotype" w:hAnsi="Palatino Linotype" w:cs="Arial"/>
          <w:b/>
          <w:color w:val="000000"/>
        </w:rPr>
        <w:t>NOVIEMBRE</w:t>
      </w:r>
      <w:r w:rsidRPr="00752CFB">
        <w:rPr>
          <w:rFonts w:ascii="Palatino Linotype" w:hAnsi="Palatino Linotype" w:cs="Arial"/>
          <w:b/>
          <w:color w:val="000000"/>
        </w:rPr>
        <w:t xml:space="preserve"> DE</w:t>
      </w:r>
      <w:r w:rsidRPr="00752CFB">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5603E6">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005D57">
        <w:rPr>
          <w:rFonts w:ascii="Palatino Linotype" w:eastAsiaTheme="minorHAnsi" w:hAnsi="Palatino Linotype" w:cs="Arial"/>
          <w:lang w:eastAsia="en-US"/>
        </w:rPr>
        <w:t>-------------------------------</w:t>
      </w:r>
      <w:r>
        <w:rPr>
          <w:rFonts w:ascii="Palatino Linotype" w:eastAsiaTheme="minorHAnsi" w:hAnsi="Palatino Linotype" w:cs="Arial"/>
          <w:lang w:eastAsia="en-US"/>
        </w:rPr>
        <w:t>------------------------------------------------------------------------------------------------------------------</w:t>
      </w:r>
      <w:r w:rsidR="000E3D3D">
        <w:rPr>
          <w:rFonts w:ascii="Palatino Linotype" w:eastAsiaTheme="minorHAnsi" w:hAnsi="Palatino Linotype" w:cs="Arial"/>
          <w:lang w:eastAsia="en-US"/>
        </w:rPr>
        <w:t>-----------------------------------------------------------------------------------</w:t>
      </w:r>
      <w:r w:rsidR="00005D57">
        <w:rPr>
          <w:rFonts w:ascii="Palatino Linotype" w:eastAsiaTheme="minorHAnsi" w:hAnsi="Palatino Linotype" w:cs="Arial"/>
          <w:lang w:eastAsia="en-US"/>
        </w:rPr>
        <w:t>-------------------------------</w:t>
      </w:r>
      <w:r w:rsidR="000E3D3D">
        <w:rPr>
          <w:rFonts w:ascii="Palatino Linotype" w:eastAsiaTheme="minorHAnsi" w:hAnsi="Palatino Linotype" w:cs="Arial"/>
          <w:lang w:eastAsia="en-US"/>
        </w:rPr>
        <w:t>-----------------------------------------------------------------------------------------------------------------------------------------------------------------------------------------------------</w:t>
      </w:r>
      <w:r w:rsidR="00005D57">
        <w:rPr>
          <w:rFonts w:ascii="Palatino Linotype" w:eastAsiaTheme="minorHAnsi" w:hAnsi="Palatino Linotype" w:cs="Arial"/>
          <w:lang w:eastAsia="en-US"/>
        </w:rPr>
        <w:t>-------------------------------</w:t>
      </w:r>
      <w:r w:rsidR="000E3D3D">
        <w:rPr>
          <w:rFonts w:ascii="Palatino Linotype" w:eastAsiaTheme="minorHAnsi" w:hAnsi="Palatino Linotype" w:cs="Arial"/>
          <w:lang w:eastAsia="en-US"/>
        </w:rPr>
        <w:t>-----------------------------------------------------------------------------------------------------------------------------------------------------------------------------------------------------</w:t>
      </w:r>
      <w:r w:rsidR="00005D57">
        <w:rPr>
          <w:rFonts w:ascii="Palatino Linotype" w:eastAsiaTheme="minorHAnsi" w:hAnsi="Palatino Linotype" w:cs="Arial"/>
          <w:lang w:eastAsia="en-US"/>
        </w:rPr>
        <w:t>-------------------------------</w:t>
      </w:r>
      <w:r w:rsidR="000E3D3D">
        <w:rPr>
          <w:rFonts w:ascii="Palatino Linotype" w:eastAsiaTheme="minorHAnsi" w:hAnsi="Palatino Linotype" w:cs="Arial"/>
          <w:lang w:eastAsia="en-US"/>
        </w:rPr>
        <w:t>----------------------------------------------------------------------------------------------------------------------------------------------------------------------------------------------------------------</w:t>
      </w:r>
      <w:r w:rsidR="00005D57">
        <w:rPr>
          <w:rFonts w:ascii="Palatino Linotype" w:eastAsiaTheme="minorHAnsi" w:hAnsi="Palatino Linotype" w:cs="Arial"/>
          <w:lang w:eastAsia="en-US"/>
        </w:rPr>
        <w:t>--------------------</w:t>
      </w:r>
      <w:r w:rsidR="000E3D3D">
        <w:rPr>
          <w:rFonts w:ascii="Palatino Linotype" w:eastAsiaTheme="minorHAnsi" w:hAnsi="Palatino Linotype" w:cs="Arial"/>
          <w:lang w:eastAsia="en-US"/>
        </w:rPr>
        <w:t>----------------------------------------------------------------------------------------------------------------------------------------------------------------------------------------------------</w:t>
      </w:r>
      <w:r w:rsidR="00005D57">
        <w:rPr>
          <w:rFonts w:ascii="Palatino Linotype" w:eastAsiaTheme="minorHAnsi" w:hAnsi="Palatino Linotype" w:cs="Arial"/>
          <w:lang w:eastAsia="en-US"/>
        </w:rPr>
        <w:t>-------------------------------</w:t>
      </w:r>
      <w:r w:rsidR="000E3D3D">
        <w:rPr>
          <w:rFonts w:ascii="Palatino Linotype" w:eastAsiaTheme="minorHAnsi" w:hAnsi="Palatino Linotype" w:cs="Arial"/>
          <w:lang w:eastAsia="en-US"/>
        </w:rPr>
        <w:t>---------------------------------------------------------</w:t>
      </w:r>
    </w:p>
    <w:p w:rsidR="00B00995" w:rsidRPr="005909E0" w:rsidRDefault="00B00995" w:rsidP="000E3D3D">
      <w:pPr>
        <w:spacing w:line="360" w:lineRule="auto"/>
        <w:jc w:val="both"/>
        <w:rPr>
          <w:rFonts w:ascii="Palatino Linotype" w:eastAsiaTheme="minorHAnsi" w:hAnsi="Palatino Linotype" w:cs="Arial"/>
          <w:sz w:val="2"/>
          <w:lang w:eastAsia="en-US"/>
        </w:rPr>
      </w:pPr>
      <w:r w:rsidRPr="00E06B5B">
        <w:rPr>
          <w:rFonts w:ascii="Palatino Linotype" w:eastAsiaTheme="minorHAnsi" w:hAnsi="Palatino Linotype" w:cs="Arial"/>
          <w:lang w:eastAsia="en-US"/>
        </w:rPr>
        <w:t xml:space="preserve"> </w:t>
      </w:r>
      <w:r w:rsidR="00005D57">
        <w:rPr>
          <w:rFonts w:ascii="Palatino Linotype" w:eastAsiaTheme="minorHAnsi" w:hAnsi="Palatino Linotype" w:cs="Arial"/>
          <w:sz w:val="18"/>
          <w:lang w:eastAsia="en-US"/>
        </w:rPr>
        <w:t>JMV/CCR/BPAC</w:t>
      </w:r>
    </w:p>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Pr="003E56C9"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B00995" w:rsidRDefault="00B00995" w:rsidP="000E3D3D"/>
    <w:p w:rsidR="005B7D0D" w:rsidRDefault="005B7D0D" w:rsidP="000E3D3D"/>
    <w:sectPr w:rsidR="005B7D0D" w:rsidSect="004B162F">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EA" w:rsidRDefault="009F4BEA" w:rsidP="00B00995">
      <w:r>
        <w:separator/>
      </w:r>
    </w:p>
  </w:endnote>
  <w:endnote w:type="continuationSeparator" w:id="0">
    <w:p w:rsidR="009F4BEA" w:rsidRDefault="009F4BEA" w:rsidP="00B0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2F" w:rsidRPr="000D3AD4" w:rsidRDefault="004B162F" w:rsidP="004B162F">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95508">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95508">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2F" w:rsidRPr="000D3AD4" w:rsidRDefault="004B162F" w:rsidP="004B162F">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9550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95508">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EA" w:rsidRDefault="009F4BEA" w:rsidP="00B00995">
      <w:r>
        <w:separator/>
      </w:r>
    </w:p>
  </w:footnote>
  <w:footnote w:type="continuationSeparator" w:id="0">
    <w:p w:rsidR="009F4BEA" w:rsidRDefault="009F4BEA" w:rsidP="00B00995">
      <w:r>
        <w:continuationSeparator/>
      </w:r>
    </w:p>
  </w:footnote>
  <w:footnote w:id="1">
    <w:p w:rsidR="004B162F" w:rsidRPr="00481AAF" w:rsidRDefault="004B162F" w:rsidP="00B00995">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4B162F" w:rsidRPr="00946E1F" w:rsidRDefault="004B162F" w:rsidP="00B00995">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4B162F" w:rsidRPr="00D6142C" w:rsidRDefault="004B162F" w:rsidP="0099237D">
      <w:pPr>
        <w:pStyle w:val="Textonotapie"/>
      </w:pPr>
      <w:r>
        <w:rPr>
          <w:rStyle w:val="Refdenotaalpie"/>
        </w:rPr>
        <w:footnoteRef/>
      </w:r>
      <w:r>
        <w:t xml:space="preserve"> </w:t>
      </w:r>
      <w:hyperlink r:id="rId3" w:anchor="page/24" w:history="1">
        <w:r w:rsidRPr="00826AF1">
          <w:rPr>
            <w:rStyle w:val="Hipervnculo"/>
          </w:rPr>
          <w:t>https://www.osfem.gob.mx/calendario_osfem/index.html#page/24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2F" w:rsidRDefault="00495508">
    <w:pPr>
      <w:pStyle w:val="Encabezado"/>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B162F" w:rsidRPr="008F2CCC" w:rsidTr="004B162F">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4B162F" w:rsidRPr="0029071C" w:rsidRDefault="004B162F" w:rsidP="004B162F">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05865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4B162F" w:rsidRPr="008F2CCC" w:rsidTr="004B162F">
      <w:trPr>
        <w:trHeight w:val="228"/>
      </w:trPr>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4B162F" w:rsidRPr="0029071C" w:rsidRDefault="004B162F" w:rsidP="004B162F">
          <w:pPr>
            <w:spacing w:line="276" w:lineRule="auto"/>
            <w:jc w:val="right"/>
            <w:rPr>
              <w:rFonts w:ascii="Palatino Linotype" w:hAnsi="Palatino Linotype"/>
              <w:sz w:val="22"/>
              <w:szCs w:val="22"/>
            </w:rPr>
          </w:pPr>
          <w:r w:rsidRPr="000D6DF8">
            <w:rPr>
              <w:rFonts w:ascii="Palatino Linotype" w:hAnsi="Palatino Linotype"/>
              <w:sz w:val="22"/>
              <w:szCs w:val="22"/>
            </w:rPr>
            <w:t xml:space="preserve">Ayuntamiento de </w:t>
          </w:r>
          <w:proofErr w:type="spellStart"/>
          <w:r w:rsidRPr="00EA6A88">
            <w:rPr>
              <w:rFonts w:ascii="Palatino Linotype" w:hAnsi="Palatino Linotype"/>
              <w:sz w:val="22"/>
              <w:szCs w:val="22"/>
            </w:rPr>
            <w:t>Juchitepec</w:t>
          </w:r>
          <w:proofErr w:type="spellEnd"/>
        </w:p>
      </w:tc>
    </w:tr>
    <w:tr w:rsidR="004B162F" w:rsidRPr="008F2CCC" w:rsidTr="004B162F">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4B162F" w:rsidRPr="0029071C" w:rsidRDefault="004B162F" w:rsidP="004B162F">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4B162F" w:rsidRPr="001779E0" w:rsidRDefault="00495508" w:rsidP="004B162F">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B162F" w:rsidRPr="008F2CCC" w:rsidTr="004B162F">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4B162F" w:rsidRPr="0029071C" w:rsidRDefault="004B162F" w:rsidP="004B162F">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05865/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4B162F" w:rsidRPr="008F2CCC" w:rsidTr="004B162F">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4B162F" w:rsidRPr="006D30E6" w:rsidRDefault="00495508" w:rsidP="004B162F">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4B162F" w:rsidRPr="008F2CCC" w:rsidTr="004B162F">
      <w:trPr>
        <w:trHeight w:val="228"/>
      </w:trPr>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4B162F" w:rsidRPr="0029071C" w:rsidRDefault="004B162F" w:rsidP="004B162F">
          <w:pPr>
            <w:spacing w:line="276" w:lineRule="auto"/>
            <w:jc w:val="right"/>
            <w:rPr>
              <w:rFonts w:ascii="Palatino Linotype" w:hAnsi="Palatino Linotype"/>
              <w:sz w:val="22"/>
              <w:szCs w:val="22"/>
            </w:rPr>
          </w:pPr>
          <w:r w:rsidRPr="000D6DF8">
            <w:rPr>
              <w:rFonts w:ascii="Palatino Linotype" w:hAnsi="Palatino Linotype"/>
              <w:sz w:val="22"/>
              <w:szCs w:val="22"/>
            </w:rPr>
            <w:t xml:space="preserve">Ayuntamiento de </w:t>
          </w:r>
          <w:proofErr w:type="spellStart"/>
          <w:r w:rsidRPr="00EA6A88">
            <w:rPr>
              <w:rFonts w:ascii="Palatino Linotype" w:hAnsi="Palatino Linotype"/>
              <w:sz w:val="22"/>
              <w:szCs w:val="22"/>
            </w:rPr>
            <w:t>Juchitepec</w:t>
          </w:r>
          <w:proofErr w:type="spellEnd"/>
        </w:p>
      </w:tc>
    </w:tr>
    <w:tr w:rsidR="004B162F" w:rsidRPr="008F2CCC" w:rsidTr="004B162F">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4B162F" w:rsidRPr="0029071C" w:rsidRDefault="004B162F" w:rsidP="004B162F">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4B162F" w:rsidRPr="008F2CCC" w:rsidTr="004B162F">
      <w:tc>
        <w:tcPr>
          <w:tcW w:w="2551" w:type="dxa"/>
          <w:shd w:val="clear" w:color="auto" w:fill="auto"/>
          <w:vAlign w:val="center"/>
        </w:tcPr>
        <w:p w:rsidR="004B162F" w:rsidRPr="008F5DAE" w:rsidRDefault="004B162F" w:rsidP="004B162F">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4B162F" w:rsidRPr="00BA27FC" w:rsidRDefault="004B162F" w:rsidP="004B162F">
          <w:pPr>
            <w:spacing w:line="276" w:lineRule="auto"/>
            <w:rPr>
              <w:rFonts w:ascii="Palatino Linotype" w:hAnsi="Palatino Linotype"/>
              <w:sz w:val="14"/>
              <w:szCs w:val="22"/>
              <w:lang w:val="es-ES_tradnl"/>
            </w:rPr>
          </w:pPr>
        </w:p>
      </w:tc>
    </w:tr>
  </w:tbl>
  <w:p w:rsidR="004B162F" w:rsidRPr="009F1AB6" w:rsidRDefault="00495508">
    <w:pPr>
      <w:pStyle w:val="Encabezado"/>
      <w:rPr>
        <w:sz w:val="10"/>
      </w:rPr>
    </w:pPr>
    <w:r>
      <w:rPr>
        <w:noProof/>
        <w:sz w:val="1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C7FC9"/>
    <w:multiLevelType w:val="hybridMultilevel"/>
    <w:tmpl w:val="2A50AEBA"/>
    <w:lvl w:ilvl="0" w:tplc="1916BFA2">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96D83"/>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835064"/>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86167F"/>
    <w:multiLevelType w:val="hybridMultilevel"/>
    <w:tmpl w:val="C008AC60"/>
    <w:lvl w:ilvl="0" w:tplc="728AAD4C">
      <w:numFmt w:val="bullet"/>
      <w:lvlText w:val="-"/>
      <w:lvlJc w:val="left"/>
      <w:pPr>
        <w:ind w:left="720" w:hanging="360"/>
      </w:pPr>
      <w:rPr>
        <w:rFonts w:ascii="Palatino Linotype" w:eastAsia="Arial Unicode MS"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0" w15:restartNumberingAfterBreak="0">
    <w:nsid w:val="705A0E19"/>
    <w:multiLevelType w:val="hybridMultilevel"/>
    <w:tmpl w:val="DEFE754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3166E84"/>
    <w:multiLevelType w:val="hybridMultilevel"/>
    <w:tmpl w:val="20E44E92"/>
    <w:lvl w:ilvl="0" w:tplc="38DA763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3"/>
  </w:num>
  <w:num w:numId="5">
    <w:abstractNumId w:val="8"/>
  </w:num>
  <w:num w:numId="6">
    <w:abstractNumId w:val="7"/>
  </w:num>
  <w:num w:numId="7">
    <w:abstractNumId w:val="1"/>
  </w:num>
  <w:num w:numId="8">
    <w:abstractNumId w:val="11"/>
  </w:num>
  <w:num w:numId="9">
    <w:abstractNumId w:val="0"/>
  </w:num>
  <w:num w:numId="10">
    <w:abstractNumId w:val="2"/>
  </w:num>
  <w:num w:numId="11">
    <w:abstractNumId w:val="12"/>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95"/>
    <w:rsid w:val="00005D57"/>
    <w:rsid w:val="000E3D3D"/>
    <w:rsid w:val="0014656F"/>
    <w:rsid w:val="0018783D"/>
    <w:rsid w:val="002E7B1A"/>
    <w:rsid w:val="002F23C1"/>
    <w:rsid w:val="00401976"/>
    <w:rsid w:val="00495508"/>
    <w:rsid w:val="004B162F"/>
    <w:rsid w:val="005603E6"/>
    <w:rsid w:val="005B7D0D"/>
    <w:rsid w:val="0062487A"/>
    <w:rsid w:val="00671777"/>
    <w:rsid w:val="00703E75"/>
    <w:rsid w:val="007B3105"/>
    <w:rsid w:val="0099237D"/>
    <w:rsid w:val="009F4BEA"/>
    <w:rsid w:val="00B00995"/>
    <w:rsid w:val="00BC1E18"/>
    <w:rsid w:val="00DA369E"/>
    <w:rsid w:val="00DC5826"/>
    <w:rsid w:val="00E3489D"/>
    <w:rsid w:val="00E82E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2BFB24-D43C-466F-A990-D3BB397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9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099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B00995"/>
    <w:rPr>
      <w:rFonts w:eastAsiaTheme="minorEastAsia"/>
      <w:sz w:val="24"/>
      <w:szCs w:val="24"/>
      <w:lang w:val="es-ES_tradnl" w:eastAsia="es-MX"/>
    </w:rPr>
  </w:style>
  <w:style w:type="paragraph" w:styleId="Piedepgina">
    <w:name w:val="footer"/>
    <w:basedOn w:val="Normal"/>
    <w:link w:val="PiedepginaCar"/>
    <w:uiPriority w:val="99"/>
    <w:unhideWhenUsed/>
    <w:rsid w:val="00B0099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B00995"/>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0099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00995"/>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00995"/>
    <w:rPr>
      <w:vertAlign w:val="superscript"/>
    </w:rPr>
  </w:style>
  <w:style w:type="character" w:customStyle="1" w:styleId="apple-converted-space">
    <w:name w:val="apple-converted-space"/>
    <w:basedOn w:val="Fuentedeprrafopredeter"/>
    <w:rsid w:val="00B00995"/>
  </w:style>
  <w:style w:type="character" w:styleId="Hipervnculo">
    <w:name w:val="Hyperlink"/>
    <w:aliases w:val="Hipervínculo1,Hipervínculo11,Hipervínculo12,Hipervínculo13,Hipervínculo14,Hipervínculo15"/>
    <w:basedOn w:val="Fuentedeprrafopredeter"/>
    <w:uiPriority w:val="99"/>
    <w:unhideWhenUsed/>
    <w:rsid w:val="00B00995"/>
    <w:rPr>
      <w:color w:val="0563C1" w:themeColor="hyperlink"/>
      <w:u w:val="single"/>
    </w:rPr>
  </w:style>
  <w:style w:type="paragraph" w:styleId="Sinespaciado">
    <w:name w:val="No Spacing"/>
    <w:aliases w:val="Francesa,INAI,Fundamentos,fundamentos"/>
    <w:link w:val="SinespaciadoCar"/>
    <w:uiPriority w:val="1"/>
    <w:qFormat/>
    <w:rsid w:val="00B0099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fundamentos Car"/>
    <w:link w:val="Sinespaciado"/>
    <w:uiPriority w:val="1"/>
    <w:locked/>
    <w:rsid w:val="00B00995"/>
    <w:rPr>
      <w:rFonts w:ascii="Times New Roman" w:eastAsia="Times New Roman" w:hAnsi="Times New Roman" w:cs="Times New Roman"/>
      <w:sz w:val="24"/>
      <w:szCs w:val="24"/>
      <w:lang w:eastAsia="es-ES"/>
    </w:rPr>
  </w:style>
  <w:style w:type="paragraph" w:customStyle="1" w:styleId="Citas">
    <w:name w:val="Citas"/>
    <w:basedOn w:val="Normal"/>
    <w:qFormat/>
    <w:rsid w:val="00B00995"/>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B009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0099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009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sfem.gob.mx/calendario_osfem/index.html"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31</Pages>
  <Words>7489</Words>
  <Characters>41192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11</cp:revision>
  <dcterms:created xsi:type="dcterms:W3CDTF">2024-11-07T17:04:00Z</dcterms:created>
  <dcterms:modified xsi:type="dcterms:W3CDTF">2024-12-06T18:30:00Z</dcterms:modified>
</cp:coreProperties>
</file>