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A3FB" w14:textId="2D8878CF" w:rsidR="002868DB" w:rsidRPr="008F01D8" w:rsidRDefault="002868DB" w:rsidP="00EC186A">
      <w:pPr>
        <w:tabs>
          <w:tab w:val="left" w:pos="3465"/>
        </w:tabs>
        <w:spacing w:line="360" w:lineRule="auto"/>
        <w:jc w:val="both"/>
        <w:rPr>
          <w:rFonts w:ascii="Palatino Linotype" w:eastAsia="MS Mincho" w:hAnsi="Palatino Linotype" w:cs="Times New Roman"/>
          <w:color w:val="000000"/>
          <w:lang w:val="es-MX"/>
        </w:rPr>
      </w:pPr>
      <w:r w:rsidRPr="008F01D8">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00FC365C">
        <w:rPr>
          <w:rFonts w:ascii="Palatino Linotype" w:eastAsia="MS Mincho" w:hAnsi="Palatino Linotype" w:cs="Times New Roman"/>
          <w:color w:val="000000"/>
          <w:lang w:val="es-MX"/>
        </w:rPr>
        <w:t>treinta y uno</w:t>
      </w:r>
      <w:r w:rsidR="008F01D8" w:rsidRPr="008F01D8">
        <w:rPr>
          <w:rFonts w:ascii="Palatino Linotype" w:eastAsia="MS Mincho" w:hAnsi="Palatino Linotype" w:cs="Times New Roman"/>
          <w:color w:val="000000"/>
          <w:lang w:val="es-MX"/>
        </w:rPr>
        <w:t xml:space="preserve"> (</w:t>
      </w:r>
      <w:r w:rsidR="00FC365C">
        <w:rPr>
          <w:rFonts w:ascii="Palatino Linotype" w:eastAsia="MS Mincho" w:hAnsi="Palatino Linotype" w:cs="Times New Roman"/>
          <w:color w:val="000000"/>
          <w:lang w:val="es-MX"/>
        </w:rPr>
        <w:t>31</w:t>
      </w:r>
      <w:r w:rsidR="008F01D8" w:rsidRPr="008F01D8">
        <w:rPr>
          <w:rFonts w:ascii="Palatino Linotype" w:eastAsia="MS Mincho" w:hAnsi="Palatino Linotype" w:cs="Times New Roman"/>
          <w:color w:val="000000"/>
          <w:lang w:val="es-MX"/>
        </w:rPr>
        <w:t xml:space="preserve">) </w:t>
      </w:r>
      <w:r w:rsidR="00CE024E" w:rsidRPr="008F01D8">
        <w:rPr>
          <w:rFonts w:ascii="Palatino Linotype" w:eastAsia="MS Mincho" w:hAnsi="Palatino Linotype" w:cs="Times New Roman"/>
          <w:color w:val="000000"/>
          <w:lang w:val="es-MX"/>
        </w:rPr>
        <w:t xml:space="preserve">de </w:t>
      </w:r>
      <w:r w:rsidR="00FC365C">
        <w:rPr>
          <w:rFonts w:ascii="Palatino Linotype" w:eastAsia="MS Mincho" w:hAnsi="Palatino Linotype" w:cs="Times New Roman"/>
          <w:color w:val="000000"/>
          <w:lang w:val="es-MX"/>
        </w:rPr>
        <w:t>enero</w:t>
      </w:r>
      <w:r w:rsidR="00CE024E" w:rsidRPr="008F01D8">
        <w:rPr>
          <w:rFonts w:ascii="Palatino Linotype" w:eastAsia="MS Mincho" w:hAnsi="Palatino Linotype" w:cs="Times New Roman"/>
          <w:color w:val="000000"/>
          <w:lang w:val="es-MX"/>
        </w:rPr>
        <w:t xml:space="preserve"> de dos</w:t>
      </w:r>
      <w:r w:rsidRPr="008F01D8">
        <w:rPr>
          <w:rFonts w:ascii="Palatino Linotype" w:eastAsia="MS Mincho" w:hAnsi="Palatino Linotype" w:cs="Times New Roman"/>
          <w:color w:val="000000"/>
          <w:lang w:val="es-MX"/>
        </w:rPr>
        <w:t xml:space="preserve"> mil </w:t>
      </w:r>
      <w:r w:rsidR="00CE024E" w:rsidRPr="008F01D8">
        <w:rPr>
          <w:rFonts w:ascii="Palatino Linotype" w:eastAsia="MS Mincho" w:hAnsi="Palatino Linotype" w:cs="Times New Roman"/>
          <w:color w:val="000000"/>
          <w:lang w:val="es-MX"/>
        </w:rPr>
        <w:t>veinticuatro</w:t>
      </w:r>
      <w:r w:rsidRPr="008F01D8">
        <w:rPr>
          <w:rFonts w:ascii="Palatino Linotype" w:eastAsia="MS Mincho" w:hAnsi="Palatino Linotype" w:cs="Times New Roman"/>
          <w:color w:val="000000"/>
          <w:lang w:val="es-MX"/>
        </w:rPr>
        <w:t>.</w:t>
      </w:r>
    </w:p>
    <w:p w14:paraId="2EB4B872" w14:textId="77777777" w:rsidR="00EC186A" w:rsidRPr="008F01D8" w:rsidRDefault="00EC186A" w:rsidP="00EC186A">
      <w:pPr>
        <w:tabs>
          <w:tab w:val="left" w:pos="3465"/>
        </w:tabs>
        <w:spacing w:line="360" w:lineRule="auto"/>
        <w:jc w:val="both"/>
        <w:rPr>
          <w:rFonts w:ascii="Palatino Linotype" w:hAnsi="Palatino Linotype"/>
          <w:color w:val="000000" w:themeColor="text1"/>
        </w:rPr>
      </w:pPr>
    </w:p>
    <w:p w14:paraId="35E89692" w14:textId="5D3630D2" w:rsidR="002868DB" w:rsidRPr="008F01D8" w:rsidRDefault="002868DB" w:rsidP="00EC186A">
      <w:pPr>
        <w:spacing w:line="360" w:lineRule="auto"/>
        <w:jc w:val="both"/>
        <w:rPr>
          <w:rFonts w:ascii="Palatino Linotype" w:eastAsia="Times New Roman" w:hAnsi="Palatino Linotype" w:cs="Times New Roman"/>
          <w:color w:val="000000" w:themeColor="text1"/>
        </w:rPr>
      </w:pPr>
      <w:r w:rsidRPr="008F01D8">
        <w:rPr>
          <w:rFonts w:ascii="Palatino Linotype" w:hAnsi="Palatino Linotype"/>
          <w:b/>
          <w:color w:val="000000" w:themeColor="text1"/>
        </w:rPr>
        <w:t>VISTO</w:t>
      </w:r>
      <w:r w:rsidRPr="008F01D8">
        <w:rPr>
          <w:rFonts w:ascii="Palatino Linotype" w:hAnsi="Palatino Linotype"/>
          <w:color w:val="000000" w:themeColor="text1"/>
        </w:rPr>
        <w:t xml:space="preserve"> el expediente electrónico formado con motivo del recurso de revisión </w:t>
      </w:r>
      <w:r w:rsidR="00D81798" w:rsidRPr="008F01D8">
        <w:rPr>
          <w:rFonts w:ascii="Palatino Linotype" w:hAnsi="Palatino Linotype"/>
          <w:b/>
        </w:rPr>
        <w:t>07558/INFOEM/IP/RR/2023</w:t>
      </w:r>
      <w:r w:rsidRPr="008F01D8">
        <w:rPr>
          <w:rFonts w:ascii="Palatino Linotype" w:eastAsia="Times New Roman" w:hAnsi="Palatino Linotype" w:cs="Arial"/>
          <w:bCs/>
          <w:color w:val="000000" w:themeColor="text1"/>
        </w:rPr>
        <w:t xml:space="preserve">, </w:t>
      </w:r>
      <w:r w:rsidRPr="008F01D8">
        <w:rPr>
          <w:rFonts w:ascii="Palatino Linotype" w:eastAsia="Times New Roman" w:hAnsi="Palatino Linotype" w:cs="Times New Roman"/>
          <w:color w:val="000000" w:themeColor="text1"/>
        </w:rPr>
        <w:t xml:space="preserve">interpuesto por </w:t>
      </w:r>
      <w:r w:rsidR="00141A7A">
        <w:rPr>
          <w:rFonts w:ascii="Palatino Linotype" w:eastAsia="Times New Roman" w:hAnsi="Palatino Linotype" w:cs="Times New Roman"/>
          <w:b/>
          <w:color w:val="000000" w:themeColor="text1"/>
        </w:rPr>
        <w:t xml:space="preserve">XXX </w:t>
      </w:r>
      <w:proofErr w:type="spellStart"/>
      <w:r w:rsidR="00141A7A">
        <w:rPr>
          <w:rFonts w:ascii="Palatino Linotype" w:eastAsia="Times New Roman" w:hAnsi="Palatino Linotype" w:cs="Times New Roman"/>
          <w:b/>
          <w:color w:val="000000" w:themeColor="text1"/>
        </w:rPr>
        <w:t>XXX</w:t>
      </w:r>
      <w:proofErr w:type="spellEnd"/>
      <w:r w:rsidR="00141A7A">
        <w:rPr>
          <w:rFonts w:ascii="Palatino Linotype" w:eastAsia="Times New Roman" w:hAnsi="Palatino Linotype" w:cs="Times New Roman"/>
          <w:b/>
          <w:color w:val="000000" w:themeColor="text1"/>
        </w:rPr>
        <w:t xml:space="preserve"> </w:t>
      </w:r>
      <w:proofErr w:type="spellStart"/>
      <w:r w:rsidR="00141A7A">
        <w:rPr>
          <w:rFonts w:ascii="Palatino Linotype" w:eastAsia="Times New Roman" w:hAnsi="Palatino Linotype" w:cs="Times New Roman"/>
          <w:b/>
          <w:color w:val="000000" w:themeColor="text1"/>
        </w:rPr>
        <w:t>XXX</w:t>
      </w:r>
      <w:proofErr w:type="spellEnd"/>
      <w:r w:rsidR="008F01D8" w:rsidRPr="008F01D8">
        <w:rPr>
          <w:rFonts w:ascii="Palatino Linotype" w:eastAsia="Times New Roman" w:hAnsi="Palatino Linotype" w:cs="Times New Roman"/>
          <w:color w:val="000000" w:themeColor="text1"/>
        </w:rPr>
        <w:t>, en lo sucesivo</w:t>
      </w:r>
      <w:r w:rsidRPr="008F01D8">
        <w:rPr>
          <w:rFonts w:ascii="Palatino Linotype" w:eastAsia="Times New Roman" w:hAnsi="Palatino Linotype" w:cs="Times New Roman"/>
          <w:color w:val="000000" w:themeColor="text1"/>
        </w:rPr>
        <w:t xml:space="preserve"> </w:t>
      </w:r>
      <w:r w:rsidR="008F01D8" w:rsidRPr="008F01D8">
        <w:rPr>
          <w:rFonts w:ascii="Palatino Linotype" w:eastAsia="Times New Roman" w:hAnsi="Palatino Linotype" w:cs="Times New Roman"/>
          <w:b/>
          <w:color w:val="000000" w:themeColor="text1"/>
        </w:rPr>
        <w:t>LA</w:t>
      </w:r>
      <w:r w:rsidRPr="008F01D8">
        <w:rPr>
          <w:rFonts w:ascii="Palatino Linotype" w:eastAsia="Times New Roman" w:hAnsi="Palatino Linotype" w:cs="Times New Roman"/>
          <w:b/>
          <w:color w:val="000000" w:themeColor="text1"/>
        </w:rPr>
        <w:t xml:space="preserve"> </w:t>
      </w:r>
      <w:r w:rsidRPr="008F01D8">
        <w:rPr>
          <w:rFonts w:ascii="Palatino Linotype" w:eastAsia="Times New Roman" w:hAnsi="Palatino Linotype" w:cs="Times New Roman"/>
          <w:b/>
          <w:bCs/>
          <w:color w:val="000000" w:themeColor="text1"/>
        </w:rPr>
        <w:t>RECURRENTE</w:t>
      </w:r>
      <w:r w:rsidR="008F01D8" w:rsidRPr="008F01D8">
        <w:rPr>
          <w:rFonts w:ascii="Palatino Linotype" w:eastAsia="Times New Roman" w:hAnsi="Palatino Linotype" w:cs="Arial"/>
          <w:color w:val="000000" w:themeColor="text1"/>
        </w:rPr>
        <w:t>,</w:t>
      </w:r>
      <w:r w:rsidRPr="008F01D8">
        <w:rPr>
          <w:rFonts w:ascii="Palatino Linotype" w:eastAsia="Times New Roman" w:hAnsi="Palatino Linotype" w:cs="Arial"/>
          <w:color w:val="000000" w:themeColor="text1"/>
        </w:rPr>
        <w:t xml:space="preserve"> en contra </w:t>
      </w:r>
      <w:r w:rsidR="00CE024E" w:rsidRPr="008F01D8">
        <w:rPr>
          <w:rFonts w:ascii="Palatino Linotype" w:eastAsia="Times New Roman" w:hAnsi="Palatino Linotype" w:cs="Arial"/>
          <w:color w:val="000000" w:themeColor="text1"/>
        </w:rPr>
        <w:t>de</w:t>
      </w:r>
      <w:r w:rsidRPr="008F01D8">
        <w:rPr>
          <w:rFonts w:ascii="Palatino Linotype" w:eastAsia="Times New Roman" w:hAnsi="Palatino Linotype" w:cs="Arial"/>
          <w:color w:val="000000" w:themeColor="text1"/>
        </w:rPr>
        <w:t xml:space="preserve"> la respuesta de</w:t>
      </w:r>
      <w:r w:rsidR="008F01D8" w:rsidRPr="008F01D8">
        <w:rPr>
          <w:rFonts w:ascii="Palatino Linotype" w:eastAsia="Times New Roman" w:hAnsi="Palatino Linotype" w:cs="Arial"/>
          <w:color w:val="000000" w:themeColor="text1"/>
        </w:rPr>
        <w:t xml:space="preserve"> la</w:t>
      </w:r>
      <w:r w:rsidRPr="008F01D8">
        <w:rPr>
          <w:rFonts w:ascii="Palatino Linotype" w:eastAsia="Times New Roman" w:hAnsi="Palatino Linotype" w:cs="Arial"/>
          <w:color w:val="000000" w:themeColor="text1"/>
        </w:rPr>
        <w:t xml:space="preserve"> </w:t>
      </w:r>
      <w:proofErr w:type="gramStart"/>
      <w:r w:rsidRPr="008F01D8">
        <w:rPr>
          <w:rFonts w:ascii="Palatino Linotype" w:eastAsia="Times New Roman" w:hAnsi="Palatino Linotype" w:cs="Arial"/>
          <w:color w:val="000000" w:themeColor="text1"/>
        </w:rPr>
        <w:t xml:space="preserve">solicitud </w:t>
      </w:r>
      <w:r w:rsidRPr="008F01D8">
        <w:rPr>
          <w:rFonts w:ascii="Palatino Linotype" w:eastAsia="Times New Roman" w:hAnsi="Palatino Linotype" w:cs="Arial"/>
          <w:b/>
          <w:bCs/>
          <w:color w:val="000000" w:themeColor="text1"/>
        </w:rPr>
        <w:t> </w:t>
      </w:r>
      <w:r w:rsidR="006B12BB" w:rsidRPr="008F01D8">
        <w:rPr>
          <w:rFonts w:ascii="Palatino Linotype" w:eastAsia="Times New Roman" w:hAnsi="Palatino Linotype" w:cs="Arial"/>
          <w:b/>
          <w:bCs/>
          <w:color w:val="000000" w:themeColor="text1"/>
        </w:rPr>
        <w:t>00816</w:t>
      </w:r>
      <w:proofErr w:type="gramEnd"/>
      <w:r w:rsidR="006B12BB" w:rsidRPr="008F01D8">
        <w:rPr>
          <w:rFonts w:ascii="Palatino Linotype" w:eastAsia="Times New Roman" w:hAnsi="Palatino Linotype" w:cs="Arial"/>
          <w:b/>
          <w:bCs/>
          <w:color w:val="000000" w:themeColor="text1"/>
        </w:rPr>
        <w:t>/ECATEPEC/IP/2023</w:t>
      </w:r>
      <w:r w:rsidR="00CE024E" w:rsidRPr="008F01D8">
        <w:rPr>
          <w:rFonts w:ascii="Palatino Linotype" w:eastAsia="Times New Roman" w:hAnsi="Palatino Linotype" w:cs="Arial"/>
          <w:b/>
          <w:bCs/>
          <w:color w:val="000000" w:themeColor="text1"/>
        </w:rPr>
        <w:t xml:space="preserve"> </w:t>
      </w:r>
      <w:r w:rsidRPr="008F01D8">
        <w:rPr>
          <w:rFonts w:ascii="Palatino Linotype" w:eastAsia="Times New Roman" w:hAnsi="Palatino Linotype" w:cs="Arial"/>
          <w:color w:val="000000" w:themeColor="text1"/>
        </w:rPr>
        <w:t>de</w:t>
      </w:r>
      <w:r w:rsidR="00CE024E" w:rsidRPr="008F01D8">
        <w:rPr>
          <w:rFonts w:ascii="Palatino Linotype" w:eastAsia="Times New Roman" w:hAnsi="Palatino Linotype" w:cs="Arial"/>
          <w:color w:val="000000" w:themeColor="text1"/>
        </w:rPr>
        <w:t xml:space="preserve">l </w:t>
      </w:r>
      <w:r w:rsidR="00D81798" w:rsidRPr="008F01D8">
        <w:rPr>
          <w:rFonts w:ascii="Palatino Linotype" w:hAnsi="Palatino Linotype"/>
          <w:b/>
          <w:bCs/>
          <w:color w:val="000000" w:themeColor="text1"/>
        </w:rPr>
        <w:t>Ayuntamiento de Ecatepec de Morelos</w:t>
      </w:r>
      <w:r w:rsidRPr="008F01D8">
        <w:rPr>
          <w:rFonts w:ascii="Palatino Linotype" w:eastAsia="Calibri" w:hAnsi="Palatino Linotype" w:cs="Arial"/>
          <w:color w:val="000000" w:themeColor="text1"/>
          <w:lang w:val="es-ES"/>
        </w:rPr>
        <w:t>, en adelante</w:t>
      </w:r>
      <w:r w:rsidRPr="008F01D8">
        <w:rPr>
          <w:rFonts w:ascii="Palatino Linotype" w:eastAsia="Times New Roman" w:hAnsi="Palatino Linotype" w:cs="Times New Roman"/>
          <w:color w:val="000000" w:themeColor="text1"/>
        </w:rPr>
        <w:t xml:space="preserve"> el</w:t>
      </w:r>
      <w:r w:rsidRPr="008F01D8">
        <w:rPr>
          <w:rFonts w:ascii="Palatino Linotype" w:eastAsia="Times New Roman" w:hAnsi="Palatino Linotype" w:cs="Times New Roman"/>
          <w:b/>
          <w:color w:val="000000" w:themeColor="text1"/>
        </w:rPr>
        <w:t xml:space="preserve"> SUJETO OBLIGADO</w:t>
      </w:r>
      <w:r w:rsidRPr="008F01D8">
        <w:rPr>
          <w:rFonts w:ascii="Palatino Linotype" w:eastAsia="Times New Roman" w:hAnsi="Palatino Linotype" w:cs="Times New Roman"/>
          <w:color w:val="000000" w:themeColor="text1"/>
        </w:rPr>
        <w:t>,</w:t>
      </w:r>
      <w:r w:rsidRPr="008F01D8">
        <w:rPr>
          <w:rFonts w:ascii="Palatino Linotype" w:eastAsia="Times New Roman" w:hAnsi="Palatino Linotype" w:cs="Times New Roman"/>
          <w:b/>
          <w:color w:val="000000" w:themeColor="text1"/>
        </w:rPr>
        <w:t xml:space="preserve"> </w:t>
      </w:r>
      <w:r w:rsidRPr="008F01D8">
        <w:rPr>
          <w:rFonts w:ascii="Palatino Linotype" w:eastAsia="Times New Roman" w:hAnsi="Palatino Linotype" w:cs="Times New Roman"/>
          <w:color w:val="000000" w:themeColor="text1"/>
        </w:rPr>
        <w:t>se procede a dictar la presente resolución, con base en los siguientes:</w:t>
      </w:r>
    </w:p>
    <w:p w14:paraId="36E53655" w14:textId="77777777" w:rsidR="002868DB" w:rsidRPr="008F01D8" w:rsidRDefault="002868DB" w:rsidP="00EC186A">
      <w:pPr>
        <w:spacing w:line="360" w:lineRule="auto"/>
        <w:jc w:val="both"/>
        <w:rPr>
          <w:rFonts w:ascii="Palatino Linotype" w:hAnsi="Palatino Linotype"/>
          <w:b/>
          <w:color w:val="000000" w:themeColor="text1"/>
        </w:rPr>
      </w:pPr>
    </w:p>
    <w:p w14:paraId="126225CF" w14:textId="77777777" w:rsidR="002868DB" w:rsidRPr="008F01D8" w:rsidRDefault="002868DB" w:rsidP="00EC186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8F01D8">
        <w:rPr>
          <w:rFonts w:ascii="Palatino Linotype" w:hAnsi="Palatino Linotype"/>
          <w:b/>
          <w:color w:val="000000" w:themeColor="text1"/>
          <w:sz w:val="24"/>
          <w:szCs w:val="24"/>
        </w:rPr>
        <w:t>ANTECEDENTES</w:t>
      </w:r>
      <w:bookmarkEnd w:id="0"/>
      <w:bookmarkEnd w:id="1"/>
      <w:bookmarkEnd w:id="2"/>
    </w:p>
    <w:p w14:paraId="5A514240" w14:textId="77777777" w:rsidR="002868DB" w:rsidRPr="008F01D8" w:rsidRDefault="002868DB" w:rsidP="00EC186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A677919" w14:textId="0EF3C6A1" w:rsidR="002868DB" w:rsidRPr="008F01D8" w:rsidRDefault="002868DB" w:rsidP="00EC186A">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8F01D8">
        <w:rPr>
          <w:rFonts w:ascii="Palatino Linotype" w:eastAsia="Calibri" w:hAnsi="Palatino Linotype" w:cs="Arial"/>
          <w:color w:val="000000" w:themeColor="text1"/>
          <w:lang w:val="es-ES"/>
        </w:rPr>
        <w:t xml:space="preserve">El </w:t>
      </w:r>
      <w:r w:rsidR="00D81798" w:rsidRPr="008F01D8">
        <w:rPr>
          <w:rFonts w:ascii="Palatino Linotype" w:eastAsia="Calibri" w:hAnsi="Palatino Linotype" w:cs="Arial"/>
          <w:color w:val="000000" w:themeColor="text1"/>
          <w:lang w:val="es-ES"/>
        </w:rPr>
        <w:t>tres de veintioch</w:t>
      </w:r>
      <w:r w:rsidR="00CE024E" w:rsidRPr="008F01D8">
        <w:rPr>
          <w:rFonts w:ascii="Palatino Linotype" w:eastAsia="Calibri" w:hAnsi="Palatino Linotype" w:cs="Arial"/>
          <w:color w:val="000000" w:themeColor="text1"/>
          <w:lang w:val="es-ES"/>
        </w:rPr>
        <w:t>o</w:t>
      </w:r>
      <w:r w:rsidRPr="008F01D8">
        <w:rPr>
          <w:rFonts w:ascii="Palatino Linotype" w:eastAsia="Calibri" w:hAnsi="Palatino Linotype" w:cs="Arial"/>
          <w:color w:val="000000" w:themeColor="text1"/>
          <w:lang w:val="es-ES"/>
        </w:rPr>
        <w:t xml:space="preserve"> de</w:t>
      </w:r>
      <w:r w:rsidR="00D81798" w:rsidRPr="008F01D8">
        <w:rPr>
          <w:rFonts w:ascii="Palatino Linotype" w:eastAsia="Calibri" w:hAnsi="Palatino Linotype" w:cs="Arial"/>
          <w:color w:val="000000" w:themeColor="text1"/>
          <w:lang w:val="es-ES"/>
        </w:rPr>
        <w:t xml:space="preserve"> septiembre</w:t>
      </w:r>
      <w:r w:rsidRPr="008F01D8">
        <w:rPr>
          <w:rFonts w:ascii="Palatino Linotype" w:eastAsia="Calibri" w:hAnsi="Palatino Linotype" w:cs="Arial"/>
          <w:color w:val="000000" w:themeColor="text1"/>
          <w:lang w:val="es-ES"/>
        </w:rPr>
        <w:t xml:space="preserve"> dos mil veintitrés, el particular</w:t>
      </w:r>
      <w:r w:rsidRPr="008F01D8">
        <w:rPr>
          <w:rFonts w:ascii="Palatino Linotype" w:hAnsi="Palatino Linotype"/>
          <w:color w:val="000000" w:themeColor="text1"/>
        </w:rPr>
        <w:t xml:space="preserve"> presentó</w:t>
      </w:r>
      <w:r w:rsidRPr="008F01D8">
        <w:rPr>
          <w:rFonts w:ascii="Palatino Linotype" w:hAnsi="Palatino Linotype"/>
          <w:b/>
          <w:color w:val="000000" w:themeColor="text1"/>
        </w:rPr>
        <w:t xml:space="preserve"> </w:t>
      </w:r>
      <w:r w:rsidRPr="008F01D8">
        <w:rPr>
          <w:rFonts w:ascii="Palatino Linotype" w:hAnsi="Palatino Linotype"/>
          <w:bCs/>
          <w:color w:val="000000" w:themeColor="text1"/>
        </w:rPr>
        <w:t>a través del Sistema de Acceso a la Información Mexiquense (</w:t>
      </w:r>
      <w:r w:rsidRPr="008F01D8">
        <w:rPr>
          <w:rFonts w:ascii="Palatino Linotype" w:eastAsia="Calibri" w:hAnsi="Palatino Linotype" w:cs="Arial"/>
          <w:color w:val="000000" w:themeColor="text1"/>
          <w:lang w:val="es-ES"/>
        </w:rPr>
        <w:t xml:space="preserve">SAIMEX), la solicitud de información pública registrada con el número </w:t>
      </w:r>
      <w:r w:rsidR="00327B52" w:rsidRPr="008F01D8">
        <w:rPr>
          <w:rFonts w:ascii="Palatino Linotype" w:eastAsia="Times New Roman" w:hAnsi="Palatino Linotype" w:cs="Arial"/>
          <w:b/>
          <w:bCs/>
          <w:color w:val="000000" w:themeColor="text1"/>
        </w:rPr>
        <w:t>00816/ECATEPEC/IP/2023</w:t>
      </w:r>
      <w:r w:rsidRPr="008F01D8">
        <w:rPr>
          <w:rFonts w:ascii="Palatino Linotype" w:eastAsia="Calibri" w:hAnsi="Palatino Linotype" w:cs="Arial"/>
          <w:b/>
          <w:color w:val="000000" w:themeColor="text1"/>
          <w:lang w:val="es-ES"/>
        </w:rPr>
        <w:t>,</w:t>
      </w:r>
      <w:r w:rsidRPr="008F01D8">
        <w:rPr>
          <w:rFonts w:ascii="Palatino Linotype" w:eastAsia="Calibri" w:hAnsi="Palatino Linotype" w:cs="Arial"/>
          <w:color w:val="000000" w:themeColor="text1"/>
          <w:lang w:val="es-ES"/>
        </w:rPr>
        <w:t xml:space="preserve"> mediante la que requirió lo siguiente:</w:t>
      </w:r>
    </w:p>
    <w:p w14:paraId="6E9DAAD7" w14:textId="77777777" w:rsidR="002868DB" w:rsidRPr="008F01D8" w:rsidRDefault="002868DB" w:rsidP="00EC186A">
      <w:pPr>
        <w:pStyle w:val="Prrafodelista"/>
        <w:spacing w:line="360" w:lineRule="auto"/>
        <w:ind w:left="567" w:right="567"/>
        <w:jc w:val="both"/>
        <w:rPr>
          <w:rFonts w:ascii="Palatino Linotype" w:hAnsi="Palatino Linotype"/>
          <w:i/>
          <w:color w:val="000000" w:themeColor="text1"/>
        </w:rPr>
      </w:pPr>
    </w:p>
    <w:p w14:paraId="31AFF690" w14:textId="46C34DBC" w:rsidR="002868DB" w:rsidRPr="008F01D8" w:rsidRDefault="002868DB" w:rsidP="00EC186A">
      <w:pPr>
        <w:pStyle w:val="Prrafodelista"/>
        <w:spacing w:line="360" w:lineRule="auto"/>
        <w:ind w:left="567" w:right="567"/>
        <w:jc w:val="both"/>
        <w:rPr>
          <w:rFonts w:ascii="Palatino Linotype" w:hAnsi="Palatino Linotype"/>
          <w:color w:val="000000" w:themeColor="text1"/>
        </w:rPr>
      </w:pPr>
      <w:r w:rsidRPr="008F01D8">
        <w:rPr>
          <w:rFonts w:ascii="Palatino Linotype" w:hAnsi="Palatino Linotype"/>
          <w:i/>
          <w:color w:val="000000" w:themeColor="text1"/>
        </w:rPr>
        <w:t xml:space="preserve"> “</w:t>
      </w:r>
      <w:r w:rsidR="00D81798" w:rsidRPr="008F01D8">
        <w:rPr>
          <w:rFonts w:ascii="Palatino Linotype" w:hAnsi="Palatino Linotype"/>
          <w:i/>
          <w:color w:val="000000" w:themeColor="text1"/>
        </w:rPr>
        <w:t xml:space="preserve">Solicito el recibo de nómina y </w:t>
      </w:r>
      <w:proofErr w:type="spellStart"/>
      <w:r w:rsidR="00D81798" w:rsidRPr="008F01D8">
        <w:rPr>
          <w:rFonts w:ascii="Palatino Linotype" w:hAnsi="Palatino Linotype"/>
          <w:i/>
          <w:color w:val="000000" w:themeColor="text1"/>
        </w:rPr>
        <w:t>curriculum</w:t>
      </w:r>
      <w:proofErr w:type="spellEnd"/>
      <w:r w:rsidR="00D81798" w:rsidRPr="008F01D8">
        <w:rPr>
          <w:rFonts w:ascii="Palatino Linotype" w:hAnsi="Palatino Linotype"/>
          <w:i/>
          <w:color w:val="000000" w:themeColor="text1"/>
        </w:rPr>
        <w:t xml:space="preserve"> vitae de las siguientes personas. María del Carmen Flores Ramírez, Sergio Alberto Vega Paredes, Ramiro Ibarra Cortez, Ernesto Sánchez Ruíz, José Andrés Muñoz Domínguez, Juan Carlos Luna López.</w:t>
      </w:r>
      <w:r w:rsidRPr="008F01D8">
        <w:rPr>
          <w:rFonts w:ascii="Palatino Linotype" w:hAnsi="Palatino Linotype"/>
          <w:i/>
          <w:color w:val="000000" w:themeColor="text1"/>
        </w:rPr>
        <w:t xml:space="preserve">” </w:t>
      </w:r>
      <w:r w:rsidRPr="008F01D8">
        <w:rPr>
          <w:rFonts w:ascii="Palatino Linotype" w:hAnsi="Palatino Linotype"/>
          <w:color w:val="000000" w:themeColor="text1"/>
        </w:rPr>
        <w:t>(Sic).</w:t>
      </w:r>
    </w:p>
    <w:p w14:paraId="06FF993E" w14:textId="68D2745B" w:rsidR="002868DB" w:rsidRPr="008F01D8" w:rsidRDefault="004D6DF1" w:rsidP="000A10EF">
      <w:pPr>
        <w:pStyle w:val="Prrafodelista"/>
        <w:tabs>
          <w:tab w:val="left" w:pos="426"/>
        </w:tabs>
        <w:spacing w:line="360" w:lineRule="auto"/>
        <w:ind w:left="284" w:right="474"/>
        <w:jc w:val="both"/>
        <w:rPr>
          <w:rFonts w:ascii="Palatino Linotype" w:eastAsia="MS Mincho" w:hAnsi="Palatino Linotype" w:cs="Times New Roman"/>
          <w:color w:val="000000" w:themeColor="text1"/>
        </w:rPr>
      </w:pPr>
      <w:r w:rsidRPr="008F01D8">
        <w:rPr>
          <w:rFonts w:ascii="Palatino Linotype" w:hAnsi="Palatino Linotype" w:cs="Arial"/>
          <w:color w:val="000000" w:themeColor="text1"/>
        </w:rPr>
        <w:t>Modalidad de entrega</w:t>
      </w:r>
      <w:r w:rsidR="002868DB" w:rsidRPr="008F01D8">
        <w:rPr>
          <w:rFonts w:ascii="Palatino Linotype" w:eastAsia="Times New Roman" w:hAnsi="Palatino Linotype" w:cs="Arial"/>
          <w:bCs/>
          <w:color w:val="000000" w:themeColor="text1"/>
          <w:lang w:val="es-ES"/>
        </w:rPr>
        <w:t>:</w:t>
      </w:r>
      <w:r w:rsidR="002868DB" w:rsidRPr="008F01D8">
        <w:rPr>
          <w:rFonts w:ascii="Palatino Linotype" w:eastAsia="Times New Roman" w:hAnsi="Palatino Linotype" w:cs="Arial"/>
          <w:b/>
          <w:color w:val="000000" w:themeColor="text1"/>
          <w:lang w:val="es-ES"/>
        </w:rPr>
        <w:t xml:space="preserve"> </w:t>
      </w:r>
      <w:r w:rsidR="002868DB" w:rsidRPr="008F01D8">
        <w:rPr>
          <w:rFonts w:ascii="Palatino Linotype" w:eastAsia="Times New Roman" w:hAnsi="Palatino Linotype" w:cs="Arial"/>
          <w:b/>
          <w:i/>
          <w:iCs/>
          <w:color w:val="000000" w:themeColor="text1"/>
          <w:lang w:val="es-ES"/>
        </w:rPr>
        <w:t>A través del SAIMEX</w:t>
      </w:r>
      <w:r w:rsidR="002868DB" w:rsidRPr="008F01D8">
        <w:rPr>
          <w:rFonts w:ascii="Palatino Linotype" w:eastAsia="Calibri" w:hAnsi="Palatino Linotype" w:cs="Arial"/>
          <w:color w:val="000000" w:themeColor="text1"/>
          <w:lang w:val="es-ES"/>
        </w:rPr>
        <w:t>.</w:t>
      </w:r>
    </w:p>
    <w:p w14:paraId="16A696E6" w14:textId="77777777" w:rsidR="002868DB" w:rsidRPr="008F01D8" w:rsidRDefault="002868DB" w:rsidP="00EC186A">
      <w:pPr>
        <w:pStyle w:val="Prrafodelista"/>
        <w:spacing w:line="360" w:lineRule="auto"/>
        <w:ind w:left="284"/>
        <w:jc w:val="both"/>
        <w:rPr>
          <w:rFonts w:ascii="Palatino Linotype" w:eastAsia="MS Mincho" w:hAnsi="Palatino Linotype" w:cs="Times New Roman"/>
          <w:color w:val="000000" w:themeColor="text1"/>
        </w:rPr>
      </w:pPr>
    </w:p>
    <w:p w14:paraId="48867EFC" w14:textId="12EC32B2" w:rsidR="000A10EF" w:rsidRPr="008F01D8" w:rsidRDefault="006013D8" w:rsidP="00E40240">
      <w:pPr>
        <w:pStyle w:val="Prrafodelista"/>
        <w:numPr>
          <w:ilvl w:val="0"/>
          <w:numId w:val="1"/>
        </w:numPr>
        <w:tabs>
          <w:tab w:val="left" w:pos="426"/>
        </w:tabs>
        <w:spacing w:line="360" w:lineRule="auto"/>
        <w:ind w:left="0" w:firstLine="0"/>
        <w:jc w:val="both"/>
        <w:rPr>
          <w:rFonts w:ascii="Palatino Linotype" w:hAnsi="Palatino Linotype" w:cs="Arial"/>
          <w:i/>
        </w:rPr>
      </w:pPr>
      <w:r>
        <w:rPr>
          <w:rFonts w:ascii="Palatino Linotype" w:eastAsia="MS Mincho" w:hAnsi="Palatino Linotype" w:cs="Times New Roman"/>
          <w:color w:val="000000" w:themeColor="text1"/>
        </w:rPr>
        <w:lastRenderedPageBreak/>
        <w:t>A lo que</w:t>
      </w:r>
      <w:r w:rsidR="002868DB" w:rsidRPr="008F01D8">
        <w:rPr>
          <w:rFonts w:ascii="Palatino Linotype" w:eastAsia="MS Mincho" w:hAnsi="Palatino Linotype" w:cs="Times New Roman"/>
          <w:color w:val="000000" w:themeColor="text1"/>
        </w:rPr>
        <w:t xml:space="preserve"> El </w:t>
      </w:r>
      <w:r w:rsidR="002868DB" w:rsidRPr="008F01D8">
        <w:rPr>
          <w:rFonts w:ascii="Palatino Linotype" w:eastAsia="MS Mincho" w:hAnsi="Palatino Linotype" w:cs="Times New Roman"/>
          <w:b/>
          <w:bCs/>
          <w:color w:val="000000" w:themeColor="text1"/>
        </w:rPr>
        <w:t>SUJETO OBLIGADO</w:t>
      </w:r>
      <w:r w:rsidR="002868DB" w:rsidRPr="008F01D8">
        <w:rPr>
          <w:rFonts w:ascii="Palatino Linotype" w:eastAsia="MS Mincho" w:hAnsi="Palatino Linotype" w:cs="Times New Roman"/>
          <w:color w:val="000000" w:themeColor="text1"/>
        </w:rPr>
        <w:t xml:space="preserve"> dio respuesta a la solicitud de información mediante </w:t>
      </w:r>
      <w:r w:rsidR="000A10EF" w:rsidRPr="008F01D8">
        <w:rPr>
          <w:rFonts w:ascii="Palatino Linotype" w:eastAsia="MS Mincho" w:hAnsi="Palatino Linotype" w:cs="Times New Roman"/>
          <w:color w:val="000000" w:themeColor="text1"/>
        </w:rPr>
        <w:t>cuatro</w:t>
      </w:r>
      <w:r w:rsidR="00CE024E" w:rsidRPr="008F01D8">
        <w:rPr>
          <w:rFonts w:ascii="Palatino Linotype" w:eastAsia="MS Mincho" w:hAnsi="Palatino Linotype" w:cs="Times New Roman"/>
          <w:color w:val="000000" w:themeColor="text1"/>
        </w:rPr>
        <w:t xml:space="preserve"> </w:t>
      </w:r>
      <w:r w:rsidR="002868DB" w:rsidRPr="008F01D8">
        <w:rPr>
          <w:rFonts w:ascii="Palatino Linotype" w:eastAsia="MS Mincho" w:hAnsi="Palatino Linotype" w:cs="Times New Roman"/>
          <w:color w:val="000000" w:themeColor="text1"/>
        </w:rPr>
        <w:t>archivo</w:t>
      </w:r>
      <w:r w:rsidR="00CE024E" w:rsidRPr="008F01D8">
        <w:rPr>
          <w:rFonts w:ascii="Palatino Linotype" w:eastAsia="MS Mincho" w:hAnsi="Palatino Linotype" w:cs="Times New Roman"/>
          <w:color w:val="000000" w:themeColor="text1"/>
        </w:rPr>
        <w:t>s</w:t>
      </w:r>
      <w:r w:rsidR="002868DB" w:rsidRPr="008F01D8">
        <w:rPr>
          <w:rFonts w:ascii="Palatino Linotype" w:eastAsia="MS Mincho" w:hAnsi="Palatino Linotype" w:cs="Times New Roman"/>
          <w:color w:val="000000" w:themeColor="text1"/>
        </w:rPr>
        <w:t xml:space="preserve"> electrónico</w:t>
      </w:r>
      <w:r w:rsidR="00CE024E" w:rsidRPr="008F01D8">
        <w:rPr>
          <w:rFonts w:ascii="Palatino Linotype" w:eastAsia="MS Mincho" w:hAnsi="Palatino Linotype" w:cs="Times New Roman"/>
          <w:color w:val="000000" w:themeColor="text1"/>
        </w:rPr>
        <w:t>s</w:t>
      </w:r>
      <w:r w:rsidR="002868DB" w:rsidRPr="008F01D8">
        <w:rPr>
          <w:rFonts w:ascii="Palatino Linotype" w:eastAsia="MS Mincho" w:hAnsi="Palatino Linotype" w:cs="Times New Roman"/>
          <w:color w:val="000000" w:themeColor="text1"/>
        </w:rPr>
        <w:t xml:space="preserve"> en formato PDF</w:t>
      </w:r>
      <w:r w:rsidR="002868DB" w:rsidRPr="008F01D8">
        <w:rPr>
          <w:rFonts w:ascii="Palatino Linotype" w:eastAsia="MS Mincho" w:hAnsi="Palatino Linotype" w:cs="Times New Roman"/>
        </w:rPr>
        <w:t xml:space="preserve">, </w:t>
      </w:r>
      <w:r w:rsidR="000A10EF" w:rsidRPr="008F01D8">
        <w:rPr>
          <w:rFonts w:ascii="Palatino Linotype" w:eastAsia="MS Mincho" w:hAnsi="Palatino Linotype" w:cs="Times New Roman"/>
        </w:rPr>
        <w:t xml:space="preserve">de </w:t>
      </w:r>
      <w:r w:rsidR="004D6DF1" w:rsidRPr="008F01D8">
        <w:rPr>
          <w:rFonts w:ascii="Palatino Linotype" w:eastAsia="MS Mincho" w:hAnsi="Palatino Linotype" w:cs="Times New Roman"/>
        </w:rPr>
        <w:t xml:space="preserve">nombres: </w:t>
      </w:r>
      <w:r w:rsidR="000A10EF" w:rsidRPr="008F01D8">
        <w:rPr>
          <w:rFonts w:ascii="Palatino Linotype" w:eastAsia="MS Mincho" w:hAnsi="Palatino Linotype" w:cs="Times New Roman"/>
        </w:rPr>
        <w:t>816 2023</w:t>
      </w:r>
      <w:proofErr w:type="gramStart"/>
      <w:r w:rsidR="000A10EF" w:rsidRPr="008F01D8">
        <w:rPr>
          <w:rFonts w:ascii="Palatino Linotype" w:eastAsia="MS Mincho" w:hAnsi="Palatino Linotype" w:cs="Times New Roman"/>
        </w:rPr>
        <w:t xml:space="preserve"> ..</w:t>
      </w:r>
      <w:proofErr w:type="spellStart"/>
      <w:proofErr w:type="gramEnd"/>
      <w:r w:rsidR="000A10EF" w:rsidRPr="008F01D8">
        <w:rPr>
          <w:rFonts w:ascii="Palatino Linotype" w:eastAsia="MS Mincho" w:hAnsi="Palatino Linotype" w:cs="Times New Roman"/>
        </w:rPr>
        <w:t>pdf</w:t>
      </w:r>
      <w:proofErr w:type="spellEnd"/>
      <w:r w:rsidR="000A10EF" w:rsidRPr="008F01D8">
        <w:rPr>
          <w:rFonts w:ascii="Palatino Linotype" w:eastAsia="MS Mincho" w:hAnsi="Palatino Linotype" w:cs="Times New Roman"/>
        </w:rPr>
        <w:t>, 816-2023.pdf, EXT. 72 SOL. 816 (1).pdf y 816-2023.pdf, cuyo contenido se desprenden</w:t>
      </w:r>
      <w:r w:rsidR="00E40240" w:rsidRPr="008F01D8">
        <w:rPr>
          <w:rFonts w:ascii="Palatino Linotype" w:eastAsia="MS Mincho" w:hAnsi="Palatino Linotype" w:cs="Times New Roman"/>
        </w:rPr>
        <w:t xml:space="preserve"> a soporte documental diverso como lo son </w:t>
      </w:r>
      <w:proofErr w:type="spellStart"/>
      <w:r w:rsidR="00E40240" w:rsidRPr="008F01D8">
        <w:rPr>
          <w:rFonts w:ascii="Palatino Linotype" w:eastAsia="MS Mincho" w:hAnsi="Palatino Linotype" w:cs="Times New Roman"/>
        </w:rPr>
        <w:t>curriculum</w:t>
      </w:r>
      <w:proofErr w:type="spellEnd"/>
      <w:r w:rsidR="00E40240" w:rsidRPr="008F01D8">
        <w:rPr>
          <w:rFonts w:ascii="Palatino Linotype" w:eastAsia="MS Mincho" w:hAnsi="Palatino Linotype" w:cs="Times New Roman"/>
        </w:rPr>
        <w:t xml:space="preserve"> vitae</w:t>
      </w:r>
      <w:r w:rsidR="004D6DF1" w:rsidRPr="008F01D8">
        <w:rPr>
          <w:rFonts w:ascii="Palatino Linotype" w:eastAsia="MS Mincho" w:hAnsi="Palatino Linotype" w:cs="Times New Roman"/>
        </w:rPr>
        <w:t xml:space="preserve"> de 5 de los 6 servidores públicos señalados en la solicitud de información</w:t>
      </w:r>
      <w:r w:rsidR="00E40240" w:rsidRPr="008F01D8">
        <w:rPr>
          <w:rFonts w:ascii="Palatino Linotype" w:eastAsia="MS Mincho" w:hAnsi="Palatino Linotype" w:cs="Times New Roman"/>
        </w:rPr>
        <w:t>, oficios de turno y acta del Comité de Transparencia que sustenta la versión publica de la información remitida en la respuesta.</w:t>
      </w:r>
    </w:p>
    <w:p w14:paraId="37C15044" w14:textId="77777777" w:rsidR="0041404E" w:rsidRPr="008F01D8" w:rsidRDefault="0041404E" w:rsidP="00EC186A">
      <w:pPr>
        <w:pStyle w:val="Prrafodelista"/>
        <w:tabs>
          <w:tab w:val="left" w:pos="426"/>
        </w:tabs>
        <w:spacing w:line="360" w:lineRule="auto"/>
        <w:ind w:left="0"/>
        <w:jc w:val="both"/>
        <w:rPr>
          <w:rFonts w:ascii="Palatino Linotype" w:hAnsi="Palatino Linotype" w:cs="Arial"/>
          <w:i/>
        </w:rPr>
      </w:pPr>
    </w:p>
    <w:p w14:paraId="2BDCBE97" w14:textId="04F282A6" w:rsidR="002868DB" w:rsidRPr="008F01D8" w:rsidRDefault="002868DB" w:rsidP="00EC186A">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1D8">
        <w:rPr>
          <w:rFonts w:ascii="Palatino Linotype" w:eastAsia="Times New Roman" w:hAnsi="Palatino Linotype" w:cs="Arial"/>
          <w:color w:val="000000" w:themeColor="text1"/>
          <w:lang w:val="es-ES"/>
        </w:rPr>
        <w:t xml:space="preserve"> Derivado de l</w:t>
      </w:r>
      <w:r w:rsidR="006F58E9" w:rsidRPr="008F01D8">
        <w:rPr>
          <w:rFonts w:ascii="Palatino Linotype" w:eastAsia="Times New Roman" w:hAnsi="Palatino Linotype" w:cs="Arial"/>
          <w:color w:val="000000" w:themeColor="text1"/>
          <w:lang w:val="es-ES"/>
        </w:rPr>
        <w:t xml:space="preserve">a respuesta del </w:t>
      </w:r>
      <w:r w:rsidR="002D1018" w:rsidRPr="008F01D8">
        <w:rPr>
          <w:rFonts w:ascii="Palatino Linotype" w:eastAsia="Times New Roman" w:hAnsi="Palatino Linotype" w:cs="Arial"/>
          <w:b/>
          <w:bCs/>
          <w:color w:val="000000" w:themeColor="text1"/>
          <w:lang w:val="es-ES"/>
        </w:rPr>
        <w:t>SUJETO OBLIGADO</w:t>
      </w:r>
      <w:r w:rsidRPr="008F01D8">
        <w:rPr>
          <w:rFonts w:ascii="Palatino Linotype" w:eastAsia="Times New Roman" w:hAnsi="Palatino Linotype" w:cs="Arial"/>
          <w:color w:val="000000" w:themeColor="text1"/>
          <w:lang w:val="es-ES"/>
        </w:rPr>
        <w:t xml:space="preserve">, el </w:t>
      </w:r>
      <w:r w:rsidR="00E40240" w:rsidRPr="008F01D8">
        <w:rPr>
          <w:rFonts w:ascii="Palatino Linotype" w:eastAsia="Times New Roman" w:hAnsi="Palatino Linotype" w:cs="Arial"/>
          <w:color w:val="000000" w:themeColor="text1"/>
          <w:lang w:val="es-ES"/>
        </w:rPr>
        <w:t xml:space="preserve">treinta de </w:t>
      </w:r>
      <w:proofErr w:type="gramStart"/>
      <w:r w:rsidR="00E40240" w:rsidRPr="008F01D8">
        <w:rPr>
          <w:rFonts w:ascii="Palatino Linotype" w:eastAsia="Times New Roman" w:hAnsi="Palatino Linotype" w:cs="Arial"/>
          <w:color w:val="000000" w:themeColor="text1"/>
          <w:lang w:val="es-ES"/>
        </w:rPr>
        <w:t>octubre</w:t>
      </w:r>
      <w:r w:rsidR="0026302E" w:rsidRPr="008F01D8">
        <w:rPr>
          <w:rFonts w:ascii="Palatino Linotype" w:eastAsia="Times New Roman" w:hAnsi="Palatino Linotype" w:cs="Arial"/>
          <w:color w:val="000000" w:themeColor="text1"/>
          <w:lang w:val="es-ES"/>
        </w:rPr>
        <w:t xml:space="preserve"> </w:t>
      </w:r>
      <w:r w:rsidRPr="008F01D8">
        <w:rPr>
          <w:rFonts w:ascii="Palatino Linotype" w:eastAsia="Times New Roman" w:hAnsi="Palatino Linotype" w:cs="Arial"/>
          <w:color w:val="000000" w:themeColor="text1"/>
          <w:lang w:val="es-ES"/>
        </w:rPr>
        <w:t xml:space="preserve"> de</w:t>
      </w:r>
      <w:proofErr w:type="gramEnd"/>
      <w:r w:rsidRPr="008F01D8">
        <w:rPr>
          <w:rFonts w:ascii="Palatino Linotype" w:eastAsia="Times New Roman" w:hAnsi="Palatino Linotype" w:cs="Arial"/>
          <w:color w:val="000000" w:themeColor="text1"/>
          <w:lang w:val="es-ES"/>
        </w:rPr>
        <w:t xml:space="preserve"> dos mil </w:t>
      </w:r>
      <w:r w:rsidRPr="008F01D8">
        <w:rPr>
          <w:rFonts w:ascii="Palatino Linotype" w:eastAsia="MS Mincho" w:hAnsi="Palatino Linotype" w:cs="Times New Roman"/>
          <w:color w:val="000000" w:themeColor="text1"/>
        </w:rPr>
        <w:t>veintitrés</w:t>
      </w:r>
      <w:r w:rsidRPr="008F01D8">
        <w:rPr>
          <w:rFonts w:ascii="Palatino Linotype" w:eastAsia="Times New Roman" w:hAnsi="Palatino Linotype" w:cs="Arial"/>
          <w:color w:val="000000" w:themeColor="text1"/>
          <w:lang w:val="es-ES"/>
        </w:rPr>
        <w:t>, el particular interpuso el recurso de revisión</w:t>
      </w:r>
      <w:r w:rsidRPr="008F01D8">
        <w:rPr>
          <w:rFonts w:ascii="Palatino Linotype" w:eastAsia="Calibri" w:hAnsi="Palatino Linotype" w:cs="Arial"/>
          <w:color w:val="000000" w:themeColor="text1"/>
          <w:lang w:val="es-ES"/>
        </w:rPr>
        <w:t>;</w:t>
      </w:r>
      <w:r w:rsidRPr="008F01D8">
        <w:rPr>
          <w:rFonts w:ascii="Palatino Linotype" w:eastAsia="Times New Roman" w:hAnsi="Palatino Linotype" w:cs="Arial"/>
          <w:color w:val="000000" w:themeColor="text1"/>
          <w:lang w:val="es-ES"/>
        </w:rPr>
        <w:t xml:space="preserve"> impugnación en la que refirió lo siguiente:</w:t>
      </w:r>
    </w:p>
    <w:p w14:paraId="4E885E74" w14:textId="77777777" w:rsidR="002868DB" w:rsidRPr="008F01D8" w:rsidRDefault="002868DB" w:rsidP="00EC186A">
      <w:pPr>
        <w:pStyle w:val="Prrafodelista"/>
        <w:tabs>
          <w:tab w:val="left" w:pos="426"/>
        </w:tabs>
        <w:spacing w:line="360" w:lineRule="auto"/>
        <w:ind w:left="284"/>
        <w:jc w:val="both"/>
        <w:rPr>
          <w:rFonts w:ascii="Palatino Linotype" w:eastAsia="Times New Roman" w:hAnsi="Palatino Linotype" w:cs="Arial"/>
          <w:color w:val="000000" w:themeColor="text1"/>
          <w:sz w:val="22"/>
        </w:rPr>
      </w:pPr>
    </w:p>
    <w:p w14:paraId="609C5970" w14:textId="72EC533C" w:rsidR="002868DB" w:rsidRPr="008F01D8" w:rsidRDefault="002868DB" w:rsidP="00E40240">
      <w:pPr>
        <w:pStyle w:val="Prrafodelista"/>
        <w:numPr>
          <w:ilvl w:val="0"/>
          <w:numId w:val="2"/>
        </w:numPr>
        <w:tabs>
          <w:tab w:val="left" w:pos="851"/>
        </w:tabs>
        <w:spacing w:line="360" w:lineRule="auto"/>
        <w:ind w:right="567"/>
        <w:jc w:val="both"/>
        <w:rPr>
          <w:rFonts w:ascii="Palatino Linotype" w:eastAsia="Times New Roman" w:hAnsi="Palatino Linotype" w:cs="Arial"/>
          <w:color w:val="000000" w:themeColor="text1"/>
          <w:sz w:val="22"/>
          <w:lang w:val="es-ES"/>
        </w:rPr>
      </w:pPr>
      <w:r w:rsidRPr="008F01D8">
        <w:rPr>
          <w:rFonts w:ascii="Palatino Linotype" w:eastAsia="Times New Roman" w:hAnsi="Palatino Linotype" w:cs="Arial"/>
          <w:b/>
          <w:color w:val="000000" w:themeColor="text1"/>
          <w:sz w:val="22"/>
          <w:lang w:val="es-ES"/>
        </w:rPr>
        <w:t>Acto impugnado:</w:t>
      </w:r>
      <w:r w:rsidRPr="008F01D8">
        <w:rPr>
          <w:rFonts w:ascii="Palatino Linotype" w:eastAsia="Times New Roman" w:hAnsi="Palatino Linotype" w:cs="Arial"/>
          <w:color w:val="000000" w:themeColor="text1"/>
          <w:sz w:val="22"/>
          <w:lang w:val="es-ES"/>
        </w:rPr>
        <w:t xml:space="preserve"> “</w:t>
      </w:r>
      <w:r w:rsidR="00E40240" w:rsidRPr="008F01D8">
        <w:rPr>
          <w:rFonts w:ascii="Palatino Linotype" w:eastAsia="Times New Roman" w:hAnsi="Palatino Linotype" w:cs="Arial"/>
          <w:i/>
          <w:color w:val="000000" w:themeColor="text1"/>
          <w:sz w:val="22"/>
        </w:rPr>
        <w:t>No entregaron la información solicitada faltan los recibos de nómina.</w:t>
      </w:r>
      <w:r w:rsidRPr="008F01D8">
        <w:rPr>
          <w:rFonts w:ascii="Palatino Linotype" w:eastAsia="Times New Roman" w:hAnsi="Palatino Linotype" w:cs="Arial"/>
          <w:i/>
          <w:color w:val="000000" w:themeColor="text1"/>
          <w:sz w:val="22"/>
          <w:lang w:val="es-ES"/>
        </w:rPr>
        <w:t>”</w:t>
      </w:r>
      <w:r w:rsidRPr="008F01D8">
        <w:rPr>
          <w:rFonts w:ascii="Palatino Linotype" w:eastAsia="Times New Roman" w:hAnsi="Palatino Linotype" w:cs="Arial"/>
          <w:color w:val="000000" w:themeColor="text1"/>
          <w:sz w:val="22"/>
          <w:lang w:val="es-ES"/>
        </w:rPr>
        <w:t xml:space="preserve"> (Sic).</w:t>
      </w:r>
    </w:p>
    <w:p w14:paraId="0ADDA26B" w14:textId="0519A2FB" w:rsidR="002868DB" w:rsidRPr="008F01D8" w:rsidRDefault="002868DB" w:rsidP="00E40240">
      <w:pPr>
        <w:pStyle w:val="Prrafodelista"/>
        <w:numPr>
          <w:ilvl w:val="0"/>
          <w:numId w:val="2"/>
        </w:numPr>
        <w:tabs>
          <w:tab w:val="left" w:pos="851"/>
        </w:tabs>
        <w:spacing w:line="360" w:lineRule="auto"/>
        <w:ind w:right="567"/>
        <w:jc w:val="both"/>
        <w:rPr>
          <w:rFonts w:ascii="Palatino Linotype" w:eastAsia="Times New Roman" w:hAnsi="Palatino Linotype" w:cs="Arial"/>
          <w:color w:val="000000" w:themeColor="text1"/>
          <w:sz w:val="22"/>
          <w:lang w:val="es-ES"/>
        </w:rPr>
      </w:pPr>
      <w:r w:rsidRPr="008F01D8">
        <w:rPr>
          <w:rFonts w:ascii="Palatino Linotype" w:eastAsia="Times New Roman" w:hAnsi="Palatino Linotype" w:cs="Arial"/>
          <w:b/>
          <w:color w:val="000000" w:themeColor="text1"/>
          <w:sz w:val="22"/>
          <w:lang w:val="es-ES"/>
        </w:rPr>
        <w:t>Razones o motivos de inconformidad:</w:t>
      </w:r>
      <w:r w:rsidRPr="008F01D8">
        <w:rPr>
          <w:rFonts w:ascii="Palatino Linotype" w:eastAsia="Times New Roman" w:hAnsi="Palatino Linotype" w:cs="Arial"/>
          <w:color w:val="000000" w:themeColor="text1"/>
          <w:sz w:val="22"/>
          <w:lang w:val="es-ES"/>
        </w:rPr>
        <w:t xml:space="preserve"> </w:t>
      </w:r>
      <w:r w:rsidRPr="008F01D8">
        <w:rPr>
          <w:rFonts w:ascii="Palatino Linotype" w:eastAsia="Times New Roman" w:hAnsi="Palatino Linotype" w:cs="Arial"/>
          <w:i/>
          <w:iCs/>
          <w:color w:val="000000" w:themeColor="text1"/>
          <w:sz w:val="22"/>
          <w:lang w:val="es-ES"/>
        </w:rPr>
        <w:t>“</w:t>
      </w:r>
      <w:r w:rsidR="00E40240" w:rsidRPr="008F01D8">
        <w:rPr>
          <w:rFonts w:ascii="Palatino Linotype" w:hAnsi="Palatino Linotype"/>
          <w:i/>
          <w:color w:val="000000"/>
          <w:sz w:val="22"/>
        </w:rPr>
        <w:t>Entrega de información incompleta.</w:t>
      </w:r>
      <w:r w:rsidRPr="008F01D8">
        <w:rPr>
          <w:rFonts w:ascii="Palatino Linotype" w:eastAsia="Times New Roman" w:hAnsi="Palatino Linotype" w:cs="Arial"/>
          <w:i/>
          <w:iCs/>
          <w:color w:val="000000" w:themeColor="text1"/>
          <w:sz w:val="22"/>
          <w:lang w:val="es-ES"/>
        </w:rPr>
        <w:t>”</w:t>
      </w:r>
      <w:r w:rsidRPr="008F01D8">
        <w:rPr>
          <w:rFonts w:ascii="Palatino Linotype" w:eastAsia="Times New Roman" w:hAnsi="Palatino Linotype" w:cs="Arial"/>
          <w:color w:val="000000" w:themeColor="text1"/>
          <w:sz w:val="22"/>
          <w:lang w:val="es-ES"/>
        </w:rPr>
        <w:t xml:space="preserve"> (Sic).</w:t>
      </w:r>
    </w:p>
    <w:p w14:paraId="73AC8662" w14:textId="77777777" w:rsidR="002868DB" w:rsidRPr="008F01D8" w:rsidRDefault="002868DB" w:rsidP="00EC186A">
      <w:pPr>
        <w:tabs>
          <w:tab w:val="left" w:pos="426"/>
        </w:tabs>
        <w:spacing w:line="360" w:lineRule="auto"/>
        <w:jc w:val="both"/>
        <w:rPr>
          <w:rFonts w:ascii="Palatino Linotype" w:hAnsi="Palatino Linotype"/>
          <w:color w:val="000000" w:themeColor="text1"/>
        </w:rPr>
      </w:pPr>
    </w:p>
    <w:p w14:paraId="3CAC618D" w14:textId="51566B06" w:rsidR="002868DB" w:rsidRPr="008F01D8" w:rsidRDefault="002868DB" w:rsidP="00EC186A">
      <w:pPr>
        <w:pStyle w:val="Prrafodelista"/>
        <w:numPr>
          <w:ilvl w:val="0"/>
          <w:numId w:val="1"/>
        </w:numPr>
        <w:tabs>
          <w:tab w:val="left" w:pos="284"/>
          <w:tab w:val="left" w:pos="426"/>
        </w:tabs>
        <w:spacing w:line="360" w:lineRule="auto"/>
        <w:ind w:left="0" w:firstLine="0"/>
        <w:jc w:val="both"/>
        <w:rPr>
          <w:rFonts w:ascii="Palatino Linotype" w:eastAsia="Calibri" w:hAnsi="Palatino Linotype" w:cs="Arial"/>
          <w:color w:val="000000" w:themeColor="text1"/>
          <w:lang w:val="es-ES"/>
        </w:rPr>
      </w:pPr>
      <w:r w:rsidRPr="008F01D8">
        <w:rPr>
          <w:rFonts w:ascii="Palatino Linotype" w:eastAsia="Calibri" w:hAnsi="Palatino Linotype" w:cs="Arial"/>
          <w:bCs/>
          <w:color w:val="000000" w:themeColor="text1"/>
        </w:rPr>
        <w:t xml:space="preserve">Asimismo, con fundamento en lo dispuesto por el </w:t>
      </w:r>
      <w:r w:rsidRPr="008F01D8">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se turnó a la </w:t>
      </w:r>
      <w:r w:rsidRPr="008F01D8">
        <w:rPr>
          <w:rFonts w:ascii="Palatino Linotype" w:eastAsia="Calibri" w:hAnsi="Palatino Linotype" w:cs="Arial"/>
          <w:b/>
          <w:bCs/>
          <w:color w:val="000000" w:themeColor="text1"/>
          <w:lang w:val="es-ES"/>
        </w:rPr>
        <w:t>Comisionada María del Rosario Mejía Ayala</w:t>
      </w:r>
      <w:r w:rsidRPr="008F01D8">
        <w:rPr>
          <w:rFonts w:ascii="Palatino Linotype" w:eastAsia="Calibri" w:hAnsi="Palatino Linotype" w:cs="Arial"/>
          <w:bCs/>
          <w:color w:val="000000" w:themeColor="text1"/>
          <w:lang w:val="es-ES"/>
        </w:rPr>
        <w:t xml:space="preserve">, </w:t>
      </w:r>
      <w:r w:rsidR="008F01D8">
        <w:rPr>
          <w:rFonts w:ascii="Palatino Linotype" w:eastAsia="Calibri" w:hAnsi="Palatino Linotype" w:cs="Arial"/>
          <w:bCs/>
          <w:color w:val="000000" w:themeColor="text1"/>
          <w:lang w:val="es-ES"/>
        </w:rPr>
        <w:t>para</w:t>
      </w:r>
      <w:r w:rsidRPr="008F01D8">
        <w:rPr>
          <w:rFonts w:ascii="Palatino Linotype" w:eastAsia="Calibri" w:hAnsi="Palatino Linotype" w:cs="Arial"/>
          <w:bCs/>
          <w:color w:val="000000" w:themeColor="text1"/>
          <w:lang w:val="es-ES"/>
        </w:rPr>
        <w:t xml:space="preserve"> </w:t>
      </w:r>
      <w:r w:rsidRPr="008F01D8">
        <w:rPr>
          <w:rFonts w:ascii="Palatino Linotype" w:eastAsia="Calibri" w:hAnsi="Palatino Linotype" w:cs="Arial"/>
          <w:bCs/>
          <w:color w:val="000000" w:themeColor="text1"/>
        </w:rPr>
        <w:t>su análisis.</w:t>
      </w:r>
    </w:p>
    <w:p w14:paraId="7B54B3B2" w14:textId="77777777" w:rsidR="008F01D8" w:rsidRPr="008F01D8" w:rsidRDefault="008F01D8" w:rsidP="008F01D8">
      <w:pPr>
        <w:tabs>
          <w:tab w:val="left" w:pos="284"/>
          <w:tab w:val="left" w:pos="426"/>
        </w:tabs>
        <w:spacing w:line="360" w:lineRule="auto"/>
        <w:jc w:val="both"/>
        <w:rPr>
          <w:rFonts w:ascii="Palatino Linotype" w:eastAsia="Calibri" w:hAnsi="Palatino Linotype" w:cs="Arial"/>
          <w:color w:val="000000" w:themeColor="text1"/>
          <w:lang w:val="es-ES"/>
        </w:rPr>
      </w:pPr>
    </w:p>
    <w:p w14:paraId="46E0D805" w14:textId="410FDB2B" w:rsidR="002868DB" w:rsidRPr="008F01D8" w:rsidRDefault="002868DB" w:rsidP="00EC186A">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bookmarkStart w:id="3" w:name="_Hlk74251533"/>
      <w:r w:rsidRPr="008F01D8">
        <w:rPr>
          <w:rFonts w:ascii="Palatino Linotype" w:eastAsia="Times New Roman" w:hAnsi="Palatino Linotype" w:cs="Arial"/>
          <w:color w:val="000000" w:themeColor="text1"/>
          <w:lang w:val="es-ES"/>
        </w:rPr>
        <w:t>La Comisionada Ponente</w:t>
      </w:r>
      <w:r w:rsidRPr="008F01D8">
        <w:rPr>
          <w:rFonts w:ascii="Palatino Linotype" w:eastAsia="Calibri" w:hAnsi="Palatino Linotype" w:cs="Arial"/>
          <w:color w:val="000000" w:themeColor="text1"/>
          <w:lang w:val="es-ES"/>
        </w:rPr>
        <w:t xml:space="preserve">, con fundamento en lo dispuesto por el artículo 185, fracción II, de la ley de la materia, a través del acuerdo de admisión de </w:t>
      </w:r>
      <w:r w:rsidR="00E40240" w:rsidRPr="008F01D8">
        <w:rPr>
          <w:rFonts w:ascii="Palatino Linotype" w:eastAsia="Calibri" w:hAnsi="Palatino Linotype" w:cs="Arial"/>
          <w:b/>
          <w:color w:val="000000" w:themeColor="text1"/>
          <w:lang w:val="es-ES"/>
        </w:rPr>
        <w:t xml:space="preserve">siete de </w:t>
      </w:r>
      <w:r w:rsidR="00E40240" w:rsidRPr="008F01D8">
        <w:rPr>
          <w:rFonts w:ascii="Palatino Linotype" w:eastAsia="Calibri" w:hAnsi="Palatino Linotype" w:cs="Arial"/>
          <w:b/>
          <w:color w:val="000000" w:themeColor="text1"/>
          <w:lang w:val="es-ES"/>
        </w:rPr>
        <w:lastRenderedPageBreak/>
        <w:t>noviembre</w:t>
      </w:r>
      <w:r w:rsidR="00BA13FB" w:rsidRPr="008F01D8">
        <w:rPr>
          <w:rFonts w:ascii="Palatino Linotype" w:eastAsia="Calibri" w:hAnsi="Palatino Linotype" w:cs="Arial"/>
          <w:b/>
          <w:bCs/>
          <w:color w:val="000000" w:themeColor="text1"/>
          <w:lang w:val="es-ES"/>
        </w:rPr>
        <w:t xml:space="preserve"> </w:t>
      </w:r>
      <w:r w:rsidRPr="008F01D8">
        <w:rPr>
          <w:rFonts w:ascii="Palatino Linotype" w:eastAsia="Calibri" w:hAnsi="Palatino Linotype" w:cs="Arial"/>
          <w:b/>
          <w:bCs/>
          <w:color w:val="000000" w:themeColor="text1"/>
          <w:lang w:val="es-ES"/>
        </w:rPr>
        <w:t>de dos mil veintitrés</w:t>
      </w:r>
      <w:r w:rsidRPr="008F01D8">
        <w:rPr>
          <w:rFonts w:ascii="Palatino Linotype" w:eastAsia="Calibri" w:hAnsi="Palatino Linotype" w:cs="Arial"/>
          <w:color w:val="000000" w:themeColor="text1"/>
          <w:lang w:val="es-ES"/>
        </w:rPr>
        <w:t xml:space="preserve">, puso a disposición de las partes el expediente electrónico </w:t>
      </w:r>
      <w:r w:rsidRPr="008F01D8">
        <w:rPr>
          <w:rFonts w:ascii="Palatino Linotype" w:eastAsia="Calibri" w:hAnsi="Palatino Linotype" w:cs="Arial"/>
          <w:color w:val="000000" w:themeColor="text1"/>
        </w:rPr>
        <w:t xml:space="preserve">vía </w:t>
      </w:r>
      <w:r w:rsidRPr="008F01D8">
        <w:rPr>
          <w:rFonts w:ascii="Palatino Linotype" w:eastAsia="Calibri" w:hAnsi="Palatino Linotype" w:cs="Arial"/>
          <w:color w:val="000000" w:themeColor="text1"/>
          <w:lang w:val="es-ES"/>
        </w:rPr>
        <w:t xml:space="preserve">SAIMEX, a efecto de que en un plazo máximo de siete días manifestaran lo que a derecho convinieran, ofrecieran pruebas y alegatos según corresponda a los casos concretos, de esta forma para que el </w:t>
      </w:r>
      <w:r w:rsidRPr="008F01D8">
        <w:rPr>
          <w:rFonts w:ascii="Palatino Linotype" w:eastAsia="Calibri" w:hAnsi="Palatino Linotype" w:cs="Arial"/>
          <w:b/>
          <w:color w:val="000000" w:themeColor="text1"/>
          <w:lang w:val="es-ES"/>
        </w:rPr>
        <w:t>SUJETO OBLIGADO</w:t>
      </w:r>
      <w:r w:rsidRPr="008F01D8">
        <w:rPr>
          <w:rFonts w:ascii="Palatino Linotype" w:eastAsia="Calibri" w:hAnsi="Palatino Linotype" w:cs="Arial"/>
          <w:color w:val="000000" w:themeColor="text1"/>
          <w:lang w:val="es-ES"/>
        </w:rPr>
        <w:t xml:space="preserve"> presentara </w:t>
      </w:r>
      <w:bookmarkEnd w:id="3"/>
      <w:r w:rsidRPr="008F01D8">
        <w:rPr>
          <w:rFonts w:ascii="Palatino Linotype" w:eastAsia="Calibri" w:hAnsi="Palatino Linotype" w:cs="Arial"/>
          <w:color w:val="000000" w:themeColor="text1"/>
          <w:lang w:val="es-ES"/>
        </w:rPr>
        <w:t>su informe justificado procedente.</w:t>
      </w:r>
    </w:p>
    <w:p w14:paraId="3ACC14A7" w14:textId="77777777" w:rsidR="002868DB" w:rsidRPr="008F01D8" w:rsidRDefault="002868DB" w:rsidP="00EC186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216A21CC" w14:textId="47C0D211" w:rsidR="002868DB" w:rsidRPr="008F01D8" w:rsidRDefault="002868DB" w:rsidP="00EC186A">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8F01D8">
        <w:rPr>
          <w:rFonts w:ascii="Palatino Linotype" w:eastAsia="Times New Roman" w:hAnsi="Palatino Linotype" w:cs="Arial"/>
          <w:color w:val="000000" w:themeColor="text1"/>
          <w:lang w:val="es-ES"/>
        </w:rPr>
        <w:t xml:space="preserve">De las constancias que obran en el expediente digital del recurso de revisión, se aprecia que el </w:t>
      </w:r>
      <w:r w:rsidRPr="008F01D8">
        <w:rPr>
          <w:rFonts w:ascii="Palatino Linotype" w:eastAsia="Times New Roman" w:hAnsi="Palatino Linotype" w:cs="Arial"/>
          <w:b/>
          <w:bCs/>
          <w:color w:val="000000" w:themeColor="text1"/>
          <w:lang w:val="es-ES"/>
        </w:rPr>
        <w:t>SUJETO OBLIGADO</w:t>
      </w:r>
      <w:r w:rsidR="007C3580" w:rsidRPr="008F01D8">
        <w:rPr>
          <w:rFonts w:ascii="Palatino Linotype" w:eastAsia="Times New Roman" w:hAnsi="Palatino Linotype" w:cs="Arial"/>
          <w:b/>
          <w:bCs/>
          <w:color w:val="000000" w:themeColor="text1"/>
          <w:lang w:val="es-ES"/>
        </w:rPr>
        <w:t xml:space="preserve"> </w:t>
      </w:r>
      <w:r w:rsidR="002D1018" w:rsidRPr="008F01D8">
        <w:rPr>
          <w:rFonts w:ascii="Palatino Linotype" w:eastAsia="Times New Roman" w:hAnsi="Palatino Linotype" w:cs="Arial"/>
          <w:bCs/>
          <w:color w:val="000000" w:themeColor="text1"/>
          <w:lang w:val="es-ES"/>
        </w:rPr>
        <w:t>rindió el informe justificado correspondiente</w:t>
      </w:r>
      <w:r w:rsidR="00E40240" w:rsidRPr="008F01D8">
        <w:rPr>
          <w:rFonts w:ascii="Palatino Linotype" w:eastAsia="Times New Roman" w:hAnsi="Palatino Linotype" w:cs="Arial"/>
          <w:bCs/>
          <w:color w:val="000000" w:themeColor="text1"/>
          <w:lang w:val="es-ES"/>
        </w:rPr>
        <w:t>, que verso en remitir seis recibos de nómina a nombre de los servidores públicos señalados en la solicitud de información</w:t>
      </w:r>
      <w:r w:rsidR="002D1018" w:rsidRPr="008F01D8">
        <w:rPr>
          <w:rFonts w:ascii="Palatino Linotype" w:eastAsia="Times New Roman" w:hAnsi="Palatino Linotype" w:cs="Arial"/>
          <w:bCs/>
          <w:color w:val="000000" w:themeColor="text1"/>
          <w:lang w:val="es-ES"/>
        </w:rPr>
        <w:t xml:space="preserve">. </w:t>
      </w:r>
      <w:r w:rsidRPr="008F01D8">
        <w:rPr>
          <w:rFonts w:ascii="Palatino Linotype" w:eastAsia="Calibri" w:hAnsi="Palatino Linotype" w:cs="Arial"/>
          <w:color w:val="000000" w:themeColor="text1"/>
        </w:rPr>
        <w:t xml:space="preserve">Por su parte, el </w:t>
      </w:r>
      <w:r w:rsidRPr="008F01D8">
        <w:rPr>
          <w:rFonts w:ascii="Palatino Linotype" w:eastAsia="Calibri" w:hAnsi="Palatino Linotype" w:cs="Arial"/>
          <w:b/>
          <w:color w:val="000000" w:themeColor="text1"/>
        </w:rPr>
        <w:t xml:space="preserve">RECURRENTE </w:t>
      </w:r>
      <w:r w:rsidRPr="008F01D8">
        <w:rPr>
          <w:rFonts w:ascii="Palatino Linotype" w:eastAsia="Calibri" w:hAnsi="Palatino Linotype" w:cs="Arial"/>
          <w:color w:val="000000" w:themeColor="text1"/>
        </w:rPr>
        <w:t xml:space="preserve">no presentó alegatos ni ofreció medios de prueba, tal y como se muestra en la siguiente captura. </w:t>
      </w:r>
    </w:p>
    <w:p w14:paraId="0E312051" w14:textId="77777777" w:rsidR="0041404E" w:rsidRPr="008F01D8" w:rsidRDefault="0041404E" w:rsidP="00EC186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10CEA6BA" w14:textId="1D63638F" w:rsidR="002868DB" w:rsidRPr="008F01D8" w:rsidRDefault="002868DB" w:rsidP="00EC186A">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r w:rsidRPr="008F01D8">
        <w:rPr>
          <w:rFonts w:ascii="Palatino Linotype" w:eastAsia="MS Mincho" w:hAnsi="Palatino Linotype" w:cs="Times New Roman"/>
          <w:lang w:val="es-MX"/>
        </w:rPr>
        <w:t xml:space="preserve">En fecha </w:t>
      </w:r>
      <w:r w:rsidR="00E40240" w:rsidRPr="008F01D8">
        <w:rPr>
          <w:rFonts w:ascii="Palatino Linotype" w:eastAsia="MS Mincho" w:hAnsi="Palatino Linotype" w:cs="Times New Roman"/>
          <w:lang w:val="es-MX"/>
        </w:rPr>
        <w:t>treinta</w:t>
      </w:r>
      <w:r w:rsidR="00947450" w:rsidRPr="008F01D8">
        <w:rPr>
          <w:rFonts w:ascii="Palatino Linotype" w:eastAsia="MS Mincho" w:hAnsi="Palatino Linotype" w:cs="Times New Roman"/>
          <w:lang w:val="es-MX"/>
        </w:rPr>
        <w:t xml:space="preserve"> de </w:t>
      </w:r>
      <w:r w:rsidR="002D1018" w:rsidRPr="008F01D8">
        <w:rPr>
          <w:rFonts w:ascii="Palatino Linotype" w:eastAsia="MS Mincho" w:hAnsi="Palatino Linotype" w:cs="Times New Roman"/>
          <w:lang w:val="es-MX"/>
        </w:rPr>
        <w:t>enero</w:t>
      </w:r>
      <w:r w:rsidR="00947450" w:rsidRPr="008F01D8">
        <w:rPr>
          <w:rFonts w:ascii="Palatino Linotype" w:eastAsia="MS Mincho" w:hAnsi="Palatino Linotype" w:cs="Times New Roman"/>
          <w:lang w:val="es-MX"/>
        </w:rPr>
        <w:t xml:space="preserve"> </w:t>
      </w:r>
      <w:r w:rsidRPr="008F01D8">
        <w:rPr>
          <w:rFonts w:ascii="Palatino Linotype" w:eastAsia="MS Mincho" w:hAnsi="Palatino Linotype" w:cs="Times New Roman"/>
          <w:lang w:val="es-MX"/>
        </w:rPr>
        <w:t xml:space="preserve">de dos mil veintitrés, </w:t>
      </w:r>
      <w:r w:rsidR="00E40240" w:rsidRPr="008F01D8">
        <w:rPr>
          <w:rFonts w:ascii="Palatino Linotype" w:eastAsia="MS Mincho" w:hAnsi="Palatino Linotype" w:cs="Times New Roman"/>
          <w:lang w:val="es-MX"/>
        </w:rPr>
        <w:t xml:space="preserve">se amplió el termino para resolver; y </w:t>
      </w:r>
      <w:r w:rsidR="00577E10" w:rsidRPr="008F01D8">
        <w:rPr>
          <w:rFonts w:ascii="Palatino Linotype" w:eastAsia="MS Mincho" w:hAnsi="Palatino Linotype" w:cs="Times New Roman"/>
          <w:lang w:val="es-MX"/>
        </w:rPr>
        <w:t xml:space="preserve">al no existir más que hacer constar, </w:t>
      </w:r>
      <w:r w:rsidR="00B83EBE" w:rsidRPr="008F01D8">
        <w:rPr>
          <w:rFonts w:ascii="Palatino Linotype" w:eastAsia="MS Mincho" w:hAnsi="Palatino Linotype" w:cs="Times New Roman"/>
          <w:lang w:val="es-MX"/>
        </w:rPr>
        <w:t>se decretó el cierre de instrucción, y -</w:t>
      </w:r>
    </w:p>
    <w:p w14:paraId="62DEE8FD" w14:textId="77777777" w:rsidR="002868DB" w:rsidRPr="008F01D8" w:rsidRDefault="002868DB" w:rsidP="00EC186A">
      <w:pPr>
        <w:tabs>
          <w:tab w:val="left" w:pos="426"/>
          <w:tab w:val="left" w:pos="1440"/>
        </w:tabs>
        <w:spacing w:line="360" w:lineRule="auto"/>
        <w:ind w:left="360"/>
        <w:contextualSpacing/>
        <w:jc w:val="both"/>
        <w:rPr>
          <w:rFonts w:ascii="Palatino Linotype" w:eastAsia="MS Mincho" w:hAnsi="Palatino Linotype" w:cs="Times New Roman"/>
          <w:color w:val="000000"/>
          <w:lang w:val="es-MX"/>
        </w:rPr>
      </w:pPr>
      <w:r w:rsidRPr="008F01D8">
        <w:rPr>
          <w:rFonts w:ascii="Palatino Linotype" w:eastAsia="MS Mincho" w:hAnsi="Palatino Linotype" w:cs="Times New Roman"/>
          <w:color w:val="000000"/>
          <w:lang w:val="es-MX"/>
        </w:rPr>
        <w:tab/>
      </w:r>
      <w:r w:rsidRPr="008F01D8">
        <w:rPr>
          <w:rFonts w:ascii="Palatino Linotype" w:eastAsia="MS Mincho" w:hAnsi="Palatino Linotype" w:cs="Times New Roman"/>
          <w:color w:val="000000"/>
          <w:lang w:val="es-MX"/>
        </w:rPr>
        <w:tab/>
      </w:r>
    </w:p>
    <w:p w14:paraId="4ED63654" w14:textId="77777777" w:rsidR="002868DB" w:rsidRPr="008F01D8" w:rsidRDefault="002868DB" w:rsidP="00EC186A">
      <w:pPr>
        <w:pStyle w:val="Ttulo1"/>
        <w:spacing w:before="0" w:line="360" w:lineRule="auto"/>
        <w:jc w:val="center"/>
        <w:rPr>
          <w:rFonts w:ascii="Palatino Linotype" w:hAnsi="Palatino Linotype"/>
          <w:b/>
          <w:color w:val="000000" w:themeColor="text1"/>
          <w:sz w:val="24"/>
          <w:szCs w:val="24"/>
        </w:rPr>
      </w:pPr>
      <w:bookmarkStart w:id="4" w:name="_Toc491791302"/>
      <w:bookmarkStart w:id="5" w:name="_Toc83128578"/>
      <w:r w:rsidRPr="008F01D8">
        <w:rPr>
          <w:rFonts w:ascii="Palatino Linotype" w:hAnsi="Palatino Linotype"/>
          <w:b/>
          <w:color w:val="000000" w:themeColor="text1"/>
          <w:sz w:val="24"/>
          <w:szCs w:val="24"/>
        </w:rPr>
        <w:t>CONSIDERANDO</w:t>
      </w:r>
      <w:bookmarkEnd w:id="4"/>
      <w:bookmarkEnd w:id="5"/>
    </w:p>
    <w:p w14:paraId="48BAB817" w14:textId="77777777" w:rsidR="00577E10" w:rsidRPr="008F01D8" w:rsidRDefault="00577E10" w:rsidP="00EC186A">
      <w:pPr>
        <w:spacing w:line="360" w:lineRule="auto"/>
        <w:rPr>
          <w:rFonts w:ascii="Palatino Linotype" w:hAnsi="Palatino Linotype"/>
        </w:rPr>
      </w:pPr>
    </w:p>
    <w:p w14:paraId="0AEF0A9D" w14:textId="77777777" w:rsidR="002868DB" w:rsidRPr="008F01D8" w:rsidRDefault="002868DB" w:rsidP="00EC186A">
      <w:pPr>
        <w:pStyle w:val="Ttulo2"/>
        <w:spacing w:before="0" w:line="360" w:lineRule="auto"/>
        <w:rPr>
          <w:rFonts w:ascii="Palatino Linotype" w:hAnsi="Palatino Linotype"/>
          <w:b/>
          <w:color w:val="000000" w:themeColor="text1"/>
          <w:sz w:val="24"/>
          <w:szCs w:val="24"/>
        </w:rPr>
      </w:pPr>
      <w:bookmarkStart w:id="6" w:name="_Toc491791303"/>
      <w:bookmarkStart w:id="7" w:name="_Toc83128579"/>
      <w:r w:rsidRPr="008F01D8">
        <w:rPr>
          <w:rFonts w:ascii="Palatino Linotype" w:hAnsi="Palatino Linotype"/>
          <w:b/>
          <w:color w:val="000000" w:themeColor="text1"/>
          <w:sz w:val="24"/>
          <w:szCs w:val="24"/>
        </w:rPr>
        <w:t>PRIMERO. De la competencia</w:t>
      </w:r>
      <w:bookmarkEnd w:id="6"/>
      <w:bookmarkEnd w:id="7"/>
    </w:p>
    <w:p w14:paraId="5C4452CA" w14:textId="77777777" w:rsidR="002868DB" w:rsidRPr="008F01D8" w:rsidRDefault="002868DB" w:rsidP="00EC186A">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bookmarkStart w:id="8" w:name="_Toc491791304"/>
      <w:bookmarkStart w:id="9" w:name="_Toc83128580"/>
      <w:r w:rsidRPr="008F01D8">
        <w:rPr>
          <w:rFonts w:ascii="Palatino Linotype" w:eastAsia="MS Mincho" w:hAnsi="Palatino Linotype" w:cs="Times New Roman"/>
          <w:lang w:val="es-MX"/>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w:t>
      </w:r>
      <w:r w:rsidRPr="008F01D8">
        <w:rPr>
          <w:rFonts w:ascii="Palatino Linotype" w:eastAsia="MS Mincho" w:hAnsi="Palatino Linotype" w:cs="Times New Roman"/>
          <w:lang w:val="es-MX"/>
        </w:rPr>
        <w:lastRenderedPageBreak/>
        <w:t>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428F13D" w14:textId="77777777" w:rsidR="002868DB" w:rsidRPr="008F01D8" w:rsidRDefault="002868DB" w:rsidP="00EC186A">
      <w:pPr>
        <w:spacing w:line="360" w:lineRule="auto"/>
        <w:rPr>
          <w:rFonts w:ascii="Palatino Linotype" w:hAnsi="Palatino Linotype"/>
        </w:rPr>
      </w:pPr>
    </w:p>
    <w:p w14:paraId="71BB938A" w14:textId="77777777" w:rsidR="002868DB" w:rsidRPr="008F01D8" w:rsidRDefault="002868DB" w:rsidP="00EC186A">
      <w:pPr>
        <w:pStyle w:val="Ttulo2"/>
        <w:spacing w:before="0" w:line="360" w:lineRule="auto"/>
        <w:rPr>
          <w:rFonts w:ascii="Palatino Linotype" w:hAnsi="Palatino Linotype"/>
          <w:b/>
          <w:color w:val="000000" w:themeColor="text1"/>
          <w:sz w:val="24"/>
          <w:szCs w:val="24"/>
        </w:rPr>
      </w:pPr>
      <w:r w:rsidRPr="008F01D8">
        <w:rPr>
          <w:rFonts w:ascii="Palatino Linotype" w:hAnsi="Palatino Linotype"/>
          <w:b/>
          <w:color w:val="000000" w:themeColor="text1"/>
          <w:sz w:val="24"/>
          <w:szCs w:val="24"/>
        </w:rPr>
        <w:t>SEGUNDO. De la oportunidad y procedencia.</w:t>
      </w:r>
      <w:bookmarkEnd w:id="8"/>
      <w:bookmarkEnd w:id="9"/>
    </w:p>
    <w:p w14:paraId="636E2FC5" w14:textId="5B153667" w:rsidR="00577E10" w:rsidRPr="008F01D8" w:rsidRDefault="00577E10" w:rsidP="00EC186A">
      <w:pPr>
        <w:numPr>
          <w:ilvl w:val="0"/>
          <w:numId w:val="1"/>
        </w:numPr>
        <w:spacing w:line="360" w:lineRule="auto"/>
        <w:ind w:left="0" w:right="48" w:firstLine="0"/>
        <w:contextualSpacing/>
        <w:jc w:val="both"/>
        <w:rPr>
          <w:rFonts w:ascii="Palatino Linotype" w:hAnsi="Palatino Linotype"/>
        </w:rPr>
      </w:pPr>
      <w:r w:rsidRPr="008F01D8">
        <w:rPr>
          <w:rFonts w:ascii="Palatino Linotype" w:eastAsia="Calibri" w:hAnsi="Palatino Linotype" w:cs="Arial"/>
        </w:rPr>
        <w:t xml:space="preserve">El medio de impugnación fue presentado a través del </w:t>
      </w:r>
      <w:r w:rsidRPr="008F01D8">
        <w:rPr>
          <w:rFonts w:ascii="Palatino Linotype" w:eastAsia="Calibri" w:hAnsi="Palatino Linotype" w:cs="Arial"/>
          <w:b/>
        </w:rPr>
        <w:t>SAIMEX,</w:t>
      </w:r>
      <w:r w:rsidRPr="008F01D8">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8F01D8">
        <w:rPr>
          <w:rFonts w:ascii="Palatino Linotype" w:eastAsia="Calibri" w:hAnsi="Palatino Linotype" w:cs="Arial"/>
          <w:b/>
        </w:rPr>
        <w:t>SUJETO OBLIGADO</w:t>
      </w:r>
      <w:r w:rsidRPr="008F01D8">
        <w:rPr>
          <w:rFonts w:ascii="Palatino Linotype" w:eastAsia="Calibri" w:hAnsi="Palatino Linotype" w:cs="Arial"/>
        </w:rPr>
        <w:t xml:space="preserve"> entregó respuesta el día </w:t>
      </w:r>
      <w:r w:rsidR="00883E79" w:rsidRPr="008F01D8">
        <w:rPr>
          <w:rFonts w:ascii="Palatino Linotype" w:eastAsia="Calibri" w:hAnsi="Palatino Linotype" w:cs="Arial"/>
        </w:rPr>
        <w:t>doce de octubre</w:t>
      </w:r>
      <w:r w:rsidRPr="008F01D8">
        <w:rPr>
          <w:rFonts w:ascii="Palatino Linotype" w:eastAsia="Calibri" w:hAnsi="Palatino Linotype" w:cs="Arial"/>
        </w:rPr>
        <w:t xml:space="preserve"> de dos mil veintitrés, </w:t>
      </w:r>
      <w:r w:rsidRPr="008F01D8">
        <w:rPr>
          <w:rFonts w:ascii="Palatino Linotype" w:hAnsi="Palatino Linotype" w:cs="Arial"/>
        </w:rPr>
        <w:t xml:space="preserve">de tal forma que el plazo para interponer el recurso transcurrió del día seis de diciembre de dos mil veintitrés al quince de enero de dos mil veintitrés; en consecuencia, si el particular presentó su inconformidad el día doce de diciembre del dos mil veintitrés, este  se encuentra dentro de los márgenes temporales previstos en el artículo 178 de la </w:t>
      </w:r>
      <w:r w:rsidRPr="008F01D8">
        <w:rPr>
          <w:rFonts w:ascii="Palatino Linotype" w:hAnsi="Palatino Linotype" w:cs="Arial"/>
          <w:b/>
        </w:rPr>
        <w:t xml:space="preserve">Ley de Transparencia y Acceso a la Información Pública del Estado de México y Municipios </w:t>
      </w:r>
      <w:r w:rsidRPr="008F01D8">
        <w:rPr>
          <w:rFonts w:ascii="Palatino Linotype" w:hAnsi="Palatino Linotype" w:cs="Arial"/>
        </w:rPr>
        <w:t xml:space="preserve">vigente. </w:t>
      </w:r>
    </w:p>
    <w:p w14:paraId="152B8271" w14:textId="77777777" w:rsidR="00577E10" w:rsidRPr="008F01D8" w:rsidRDefault="00577E10" w:rsidP="00EC186A">
      <w:pPr>
        <w:spacing w:line="360" w:lineRule="auto"/>
        <w:ind w:right="48"/>
        <w:contextualSpacing/>
        <w:jc w:val="both"/>
        <w:rPr>
          <w:rFonts w:ascii="Palatino Linotype" w:hAnsi="Palatino Linotype"/>
        </w:rPr>
      </w:pPr>
    </w:p>
    <w:p w14:paraId="126794E3" w14:textId="77777777" w:rsidR="00577E10" w:rsidRPr="008F01D8" w:rsidRDefault="00577E10" w:rsidP="00EC186A">
      <w:pPr>
        <w:spacing w:line="360" w:lineRule="auto"/>
        <w:ind w:right="49"/>
        <w:contextualSpacing/>
        <w:jc w:val="both"/>
        <w:rPr>
          <w:rFonts w:ascii="Palatino Linotype" w:hAnsi="Palatino Linotype"/>
        </w:rPr>
      </w:pPr>
    </w:p>
    <w:p w14:paraId="2AC78F33" w14:textId="77777777" w:rsidR="00577E10" w:rsidRPr="008F01D8" w:rsidRDefault="00577E10" w:rsidP="00EC186A">
      <w:pPr>
        <w:numPr>
          <w:ilvl w:val="0"/>
          <w:numId w:val="1"/>
        </w:numPr>
        <w:spacing w:line="360" w:lineRule="auto"/>
        <w:ind w:left="0" w:right="49" w:firstLine="0"/>
        <w:contextualSpacing/>
        <w:jc w:val="both"/>
        <w:rPr>
          <w:rFonts w:ascii="Palatino Linotype" w:hAnsi="Palatino Linotype"/>
        </w:rPr>
      </w:pPr>
      <w:r w:rsidRPr="008F01D8">
        <w:rPr>
          <w:rFonts w:ascii="Palatino Linotype" w:eastAsia="Calibri" w:hAnsi="Palatino Linotype" w:cs="Arial"/>
        </w:rPr>
        <w:t xml:space="preserve">Por otro lado, el escrito contiene las formalidades previstas por el artículo 180 último párrafo de la Ley de la materia actual, por lo que es procedente que este Instituto de Transparencia, Acceso a la Información Pública y Protección de Datos </w:t>
      </w:r>
      <w:r w:rsidRPr="008F01D8">
        <w:rPr>
          <w:rFonts w:ascii="Palatino Linotype" w:eastAsia="Calibri" w:hAnsi="Palatino Linotype" w:cs="Arial"/>
        </w:rPr>
        <w:lastRenderedPageBreak/>
        <w:t>Personales del Estado de México y Municipios, conozca y resuelva el presente recurso.</w:t>
      </w:r>
    </w:p>
    <w:p w14:paraId="2943901A" w14:textId="77777777" w:rsidR="002868DB" w:rsidRPr="008F01D8" w:rsidRDefault="002868DB" w:rsidP="00EC186A">
      <w:pPr>
        <w:pStyle w:val="Prrafodelista"/>
        <w:spacing w:line="360" w:lineRule="auto"/>
        <w:ind w:left="0"/>
        <w:jc w:val="both"/>
        <w:rPr>
          <w:rFonts w:ascii="Palatino Linotype" w:hAnsi="Palatino Linotype"/>
          <w:color w:val="000000" w:themeColor="text1"/>
        </w:rPr>
      </w:pPr>
    </w:p>
    <w:p w14:paraId="1FFBFA3B" w14:textId="47CD6870" w:rsidR="002868DB" w:rsidRPr="008F01D8" w:rsidRDefault="002868DB" w:rsidP="00EC186A">
      <w:pPr>
        <w:pStyle w:val="Ttulo1"/>
        <w:spacing w:before="0" w:line="360" w:lineRule="auto"/>
        <w:rPr>
          <w:rFonts w:ascii="Palatino Linotype" w:hAnsi="Palatino Linotype"/>
          <w:b/>
          <w:color w:val="000000" w:themeColor="text1"/>
          <w:sz w:val="24"/>
          <w:szCs w:val="24"/>
        </w:rPr>
      </w:pPr>
      <w:bookmarkStart w:id="10" w:name="_Toc34246179"/>
      <w:bookmarkStart w:id="11" w:name="_Toc50033991"/>
      <w:bookmarkStart w:id="12" w:name="_Toc51259588"/>
      <w:bookmarkStart w:id="13" w:name="_Toc83128581"/>
      <w:r w:rsidRPr="008F01D8">
        <w:rPr>
          <w:rFonts w:ascii="Palatino Linotype" w:hAnsi="Palatino Linotype"/>
          <w:b/>
          <w:color w:val="000000" w:themeColor="text1"/>
          <w:sz w:val="24"/>
          <w:szCs w:val="24"/>
        </w:rPr>
        <w:t xml:space="preserve">TERCERO. </w:t>
      </w:r>
      <w:bookmarkStart w:id="14" w:name="_Toc501021589"/>
      <w:r w:rsidRPr="008F01D8">
        <w:rPr>
          <w:rFonts w:ascii="Palatino Linotype" w:hAnsi="Palatino Linotype"/>
          <w:b/>
          <w:color w:val="000000" w:themeColor="text1"/>
          <w:sz w:val="24"/>
          <w:szCs w:val="24"/>
        </w:rPr>
        <w:t>De</w:t>
      </w:r>
      <w:bookmarkEnd w:id="10"/>
      <w:bookmarkEnd w:id="11"/>
      <w:bookmarkEnd w:id="12"/>
      <w:bookmarkEnd w:id="13"/>
      <w:bookmarkEnd w:id="14"/>
      <w:r w:rsidR="00EC186A" w:rsidRPr="008F01D8">
        <w:rPr>
          <w:rFonts w:ascii="Palatino Linotype" w:hAnsi="Palatino Linotype"/>
          <w:b/>
          <w:color w:val="000000" w:themeColor="text1"/>
          <w:sz w:val="24"/>
          <w:szCs w:val="24"/>
        </w:rPr>
        <w:t xml:space="preserve">l planteamiento de la </w:t>
      </w:r>
      <w:r w:rsidR="00EC186A" w:rsidRPr="008F01D8">
        <w:rPr>
          <w:rFonts w:ascii="Palatino Linotype" w:hAnsi="Palatino Linotype"/>
          <w:b/>
          <w:i/>
          <w:color w:val="000000" w:themeColor="text1"/>
          <w:sz w:val="24"/>
          <w:szCs w:val="24"/>
        </w:rPr>
        <w:t>Litis</w:t>
      </w:r>
    </w:p>
    <w:p w14:paraId="36E4FE38" w14:textId="6A60B5D3" w:rsidR="00EC186A" w:rsidRPr="008F01D8" w:rsidRDefault="00EC186A" w:rsidP="00EC186A">
      <w:pPr>
        <w:pStyle w:val="Prrafodelista"/>
        <w:numPr>
          <w:ilvl w:val="0"/>
          <w:numId w:val="1"/>
        </w:numPr>
        <w:spacing w:line="360" w:lineRule="auto"/>
        <w:ind w:left="0" w:firstLine="0"/>
        <w:jc w:val="both"/>
        <w:rPr>
          <w:rFonts w:ascii="Palatino Linotype" w:hAnsi="Palatino Linotype" w:cs="Arial"/>
        </w:rPr>
      </w:pPr>
      <w:r w:rsidRPr="008F01D8">
        <w:rPr>
          <w:rFonts w:ascii="Palatino Linotype" w:hAnsi="Palatino Linotype" w:cs="Arial"/>
        </w:rPr>
        <w:t xml:space="preserve">Se </w:t>
      </w:r>
      <w:r w:rsidRPr="008F01D8">
        <w:rPr>
          <w:rFonts w:ascii="Palatino Linotype" w:eastAsia="Calibri" w:hAnsi="Palatino Linotype" w:cs="Arial"/>
        </w:rPr>
        <w:t>solicitó</w:t>
      </w:r>
      <w:r w:rsidRPr="008F01D8">
        <w:rPr>
          <w:rFonts w:ascii="Palatino Linotype" w:hAnsi="Palatino Linotype" w:cs="Arial"/>
        </w:rPr>
        <w:t xml:space="preserve"> tener acceso, a la información que a continuación se desagrega:</w:t>
      </w:r>
    </w:p>
    <w:p w14:paraId="09F96863" w14:textId="77777777" w:rsidR="00EC186A" w:rsidRPr="008F01D8" w:rsidRDefault="00EC186A" w:rsidP="00EC186A">
      <w:pPr>
        <w:pStyle w:val="Prrafodelista"/>
        <w:spacing w:line="360" w:lineRule="auto"/>
        <w:ind w:left="0"/>
        <w:jc w:val="both"/>
        <w:rPr>
          <w:rFonts w:ascii="Palatino Linotype" w:hAnsi="Palatino Linotype" w:cs="Arial"/>
          <w:sz w:val="22"/>
        </w:rPr>
      </w:pPr>
    </w:p>
    <w:p w14:paraId="56764D4A" w14:textId="7972F2CA" w:rsidR="00EC186A" w:rsidRPr="008F01D8" w:rsidRDefault="00883E79" w:rsidP="00883E79">
      <w:pPr>
        <w:pStyle w:val="Prrafodelista"/>
        <w:numPr>
          <w:ilvl w:val="1"/>
          <w:numId w:val="11"/>
        </w:numPr>
        <w:spacing w:line="360" w:lineRule="auto"/>
        <w:ind w:left="1134"/>
        <w:jc w:val="both"/>
        <w:rPr>
          <w:rFonts w:ascii="Palatino Linotype" w:hAnsi="Palatino Linotype" w:cs="Arial"/>
          <w:b/>
          <w:sz w:val="22"/>
        </w:rPr>
      </w:pPr>
      <w:r w:rsidRPr="008F01D8">
        <w:rPr>
          <w:rFonts w:ascii="Palatino Linotype" w:hAnsi="Palatino Linotype" w:cs="Arial"/>
          <w:b/>
          <w:sz w:val="22"/>
        </w:rPr>
        <w:t xml:space="preserve">Recibo de nómina y </w:t>
      </w:r>
      <w:proofErr w:type="spellStart"/>
      <w:r w:rsidRPr="008F01D8">
        <w:rPr>
          <w:rFonts w:ascii="Palatino Linotype" w:hAnsi="Palatino Linotype" w:cs="Arial"/>
          <w:b/>
          <w:sz w:val="22"/>
        </w:rPr>
        <w:t>curriculum</w:t>
      </w:r>
      <w:proofErr w:type="spellEnd"/>
      <w:r w:rsidRPr="008F01D8">
        <w:rPr>
          <w:rFonts w:ascii="Palatino Linotype" w:hAnsi="Palatino Linotype" w:cs="Arial"/>
          <w:b/>
          <w:sz w:val="22"/>
        </w:rPr>
        <w:t xml:space="preserve"> vitae de: María del Carmen Flores Ramírez, Sergio Alberto Vega Paredes, Ramiro Ibarra Cortez, Ernesto Sánchez Ruíz, José Andrés Muñoz Domínguez y Juan Carlos Luna López.</w:t>
      </w:r>
    </w:p>
    <w:p w14:paraId="1380042D" w14:textId="77777777" w:rsidR="00EC186A" w:rsidRPr="008F01D8" w:rsidRDefault="00EC186A" w:rsidP="00EC186A">
      <w:pPr>
        <w:pStyle w:val="Prrafodelista"/>
        <w:spacing w:line="360" w:lineRule="auto"/>
        <w:ind w:left="1440"/>
        <w:jc w:val="both"/>
        <w:rPr>
          <w:rFonts w:ascii="Palatino Linotype" w:hAnsi="Palatino Linotype" w:cs="Arial"/>
          <w:b/>
        </w:rPr>
      </w:pPr>
    </w:p>
    <w:p w14:paraId="312CE23A" w14:textId="0A61880C" w:rsidR="00EC186A" w:rsidRPr="008F01D8" w:rsidRDefault="00EC186A" w:rsidP="00883E79">
      <w:pPr>
        <w:pStyle w:val="Prrafodelista"/>
        <w:numPr>
          <w:ilvl w:val="0"/>
          <w:numId w:val="1"/>
        </w:numPr>
        <w:spacing w:line="360" w:lineRule="auto"/>
        <w:ind w:left="0" w:firstLine="0"/>
        <w:jc w:val="both"/>
        <w:rPr>
          <w:rFonts w:ascii="Palatino Linotype" w:hAnsi="Palatino Linotype"/>
        </w:rPr>
      </w:pPr>
      <w:r w:rsidRPr="008F01D8">
        <w:rPr>
          <w:rFonts w:ascii="Palatino Linotype" w:hAnsi="Palatino Linotype" w:cs="Arial"/>
        </w:rPr>
        <w:t xml:space="preserve">En respuesta, el </w:t>
      </w:r>
      <w:r w:rsidRPr="008F01D8">
        <w:rPr>
          <w:rFonts w:ascii="Palatino Linotype" w:hAnsi="Palatino Linotype" w:cs="Arial"/>
          <w:b/>
        </w:rPr>
        <w:t xml:space="preserve">SUJETO OBLIGADO </w:t>
      </w:r>
      <w:r w:rsidRPr="008F01D8">
        <w:rPr>
          <w:rFonts w:ascii="Palatino Linotype" w:hAnsi="Palatino Linotype" w:cs="Arial"/>
        </w:rPr>
        <w:t xml:space="preserve">remitió </w:t>
      </w:r>
      <w:r w:rsidR="00883E79" w:rsidRPr="008F01D8">
        <w:rPr>
          <w:rFonts w:ascii="Palatino Linotype" w:hAnsi="Palatino Linotype" w:cs="Arial"/>
        </w:rPr>
        <w:t xml:space="preserve">los </w:t>
      </w:r>
      <w:proofErr w:type="spellStart"/>
      <w:r w:rsidR="00883E79" w:rsidRPr="008F01D8">
        <w:rPr>
          <w:rFonts w:ascii="Palatino Linotype" w:hAnsi="Palatino Linotype" w:cs="Arial"/>
        </w:rPr>
        <w:t>curriculum</w:t>
      </w:r>
      <w:proofErr w:type="spellEnd"/>
      <w:r w:rsidR="00883E79" w:rsidRPr="008F01D8">
        <w:rPr>
          <w:rFonts w:ascii="Palatino Linotype" w:hAnsi="Palatino Linotype" w:cs="Arial"/>
        </w:rPr>
        <w:t xml:space="preserve"> vitae de los servidores públicos requeridos, exceptuando al de nombre José Andrés Muñoz Domínguez, del que se manifestó no contar con registros de ese nombre en sus bases de datos, las cuales están actualizadas del año 2000 a la fecha de la respuesta.</w:t>
      </w:r>
      <w:r w:rsidRPr="008F01D8">
        <w:rPr>
          <w:rFonts w:ascii="Palatino Linotype" w:hAnsi="Palatino Linotype" w:cs="Arial"/>
        </w:rPr>
        <w:t xml:space="preserve"> Inconforme con lo anterior, el particular se inconformó porque a su decir </w:t>
      </w:r>
      <w:r w:rsidR="00A94235" w:rsidRPr="008F01D8">
        <w:rPr>
          <w:rFonts w:ascii="Palatino Linotype" w:hAnsi="Palatino Linotype" w:cs="Arial"/>
        </w:rPr>
        <w:t xml:space="preserve">faltó remitir </w:t>
      </w:r>
      <w:r w:rsidR="00883E79" w:rsidRPr="008F01D8">
        <w:rPr>
          <w:rFonts w:ascii="Palatino Linotype" w:hAnsi="Palatino Linotype" w:cs="Arial"/>
        </w:rPr>
        <w:t>los recibos de nómina.</w:t>
      </w:r>
    </w:p>
    <w:p w14:paraId="123486FE" w14:textId="77777777" w:rsidR="00EC186A" w:rsidRPr="008F01D8" w:rsidRDefault="00EC186A" w:rsidP="00EC186A">
      <w:pPr>
        <w:pStyle w:val="Prrafodelista"/>
        <w:spacing w:line="360" w:lineRule="auto"/>
        <w:ind w:left="0"/>
        <w:jc w:val="both"/>
        <w:rPr>
          <w:rFonts w:ascii="Palatino Linotype" w:hAnsi="Palatino Linotype"/>
        </w:rPr>
      </w:pPr>
    </w:p>
    <w:p w14:paraId="042B7341" w14:textId="4E357985" w:rsidR="00EC186A" w:rsidRPr="008F01D8" w:rsidRDefault="00EC186A" w:rsidP="00EC186A">
      <w:pPr>
        <w:pStyle w:val="Prrafodelista"/>
        <w:numPr>
          <w:ilvl w:val="0"/>
          <w:numId w:val="1"/>
        </w:numPr>
        <w:spacing w:line="360" w:lineRule="auto"/>
        <w:ind w:left="0" w:firstLine="0"/>
        <w:jc w:val="both"/>
        <w:rPr>
          <w:rFonts w:ascii="Palatino Linotype" w:eastAsia="MS Mincho" w:hAnsi="Palatino Linotype" w:cs="Arial"/>
        </w:rPr>
      </w:pPr>
      <w:r w:rsidRPr="008F01D8">
        <w:rPr>
          <w:rFonts w:ascii="Palatino Linotype" w:eastAsia="MS Mincho" w:hAnsi="Palatino Linotype" w:cs="Arial"/>
        </w:rPr>
        <w:t xml:space="preserve">En </w:t>
      </w:r>
      <w:r w:rsidRPr="008F01D8">
        <w:rPr>
          <w:rFonts w:ascii="Palatino Linotype" w:hAnsi="Palatino Linotype" w:cs="Arial"/>
          <w:lang w:eastAsia="es-MX"/>
        </w:rPr>
        <w:t>dichas</w:t>
      </w:r>
      <w:r w:rsidRPr="008F01D8">
        <w:rPr>
          <w:rFonts w:ascii="Palatino Linotype" w:eastAsia="Times New Roman" w:hAnsi="Palatino Linotype" w:cs="Arial"/>
        </w:rPr>
        <w:t xml:space="preserve"> condiciones, la </w:t>
      </w:r>
      <w:r w:rsidRPr="008F01D8">
        <w:rPr>
          <w:rFonts w:ascii="Palatino Linotype" w:eastAsia="Times New Roman" w:hAnsi="Palatino Linotype" w:cs="Arial"/>
          <w:i/>
        </w:rPr>
        <w:t>Litis</w:t>
      </w:r>
      <w:r w:rsidRPr="008F01D8">
        <w:rPr>
          <w:rFonts w:ascii="Palatino Linotype" w:eastAsia="Times New Roman" w:hAnsi="Palatino Linotype" w:cs="Arial"/>
        </w:rPr>
        <w:t xml:space="preserve"> a resolver en este recurso se circunscribe a determinar si </w:t>
      </w:r>
      <w:r w:rsidRPr="008F01D8">
        <w:rPr>
          <w:rFonts w:ascii="Palatino Linotype" w:eastAsia="MS Mincho" w:hAnsi="Palatino Linotype" w:cs="Arial"/>
        </w:rPr>
        <w:t xml:space="preserve">se actualiza la causal de procedencia prevista en el artículo 179, </w:t>
      </w:r>
      <w:r w:rsidRPr="008F01D8">
        <w:rPr>
          <w:rFonts w:ascii="Palatino Linotype" w:eastAsia="MS Mincho" w:hAnsi="Palatino Linotype" w:cs="Arial"/>
          <w:b/>
        </w:rPr>
        <w:t xml:space="preserve">fracciones V </w:t>
      </w:r>
      <w:r w:rsidRPr="008F01D8">
        <w:rPr>
          <w:rFonts w:ascii="Palatino Linotype" w:eastAsia="MS Mincho" w:hAnsi="Palatino Linotype" w:cs="Arial"/>
        </w:rPr>
        <w:t xml:space="preserve">de la </w:t>
      </w:r>
      <w:r w:rsidRPr="008F01D8">
        <w:rPr>
          <w:rFonts w:ascii="Palatino Linotype" w:eastAsia="MS Mincho" w:hAnsi="Palatino Linotype" w:cs="Arial"/>
          <w:b/>
        </w:rPr>
        <w:t>Ley de Transparencia y Acceso a la Información Pública del Estado de México y Municipios</w:t>
      </w:r>
      <w:r w:rsidRPr="008F01D8">
        <w:rPr>
          <w:rFonts w:ascii="Palatino Linotype" w:eastAsia="MS Mincho" w:hAnsi="Palatino Linotype" w:cs="Arial"/>
        </w:rPr>
        <w:t xml:space="preserve">; </w:t>
      </w:r>
      <w:r w:rsidRPr="008F01D8">
        <w:rPr>
          <w:rFonts w:ascii="Palatino Linotype" w:eastAsia="Times New Roman" w:hAnsi="Palatino Linotype" w:cs="Arial"/>
          <w:color w:val="000000" w:themeColor="text1"/>
          <w:lang w:val="es-ES" w:eastAsia="es-MX"/>
        </w:rPr>
        <w:t xml:space="preserve">fracción que determina la hipótesis jurídica relativa a la </w:t>
      </w:r>
      <w:r w:rsidR="00A94235" w:rsidRPr="008F01D8">
        <w:rPr>
          <w:rFonts w:ascii="Palatino Linotype" w:eastAsia="Times New Roman" w:hAnsi="Palatino Linotype" w:cs="Arial"/>
          <w:color w:val="000000" w:themeColor="text1"/>
          <w:lang w:val="es-ES" w:eastAsia="es-MX"/>
        </w:rPr>
        <w:t>entrega de información incompleta</w:t>
      </w:r>
      <w:r w:rsidRPr="008F01D8">
        <w:rPr>
          <w:rFonts w:ascii="Palatino Linotype" w:eastAsia="Times New Roman" w:hAnsi="Palatino Linotype" w:cs="Arial"/>
          <w:color w:val="000000" w:themeColor="text1"/>
          <w:lang w:val="es-ES" w:eastAsia="es-MX"/>
        </w:rPr>
        <w:t xml:space="preserve">; </w:t>
      </w:r>
      <w:r w:rsidRPr="008F01D8">
        <w:rPr>
          <w:rFonts w:ascii="Palatino Linotype" w:eastAsia="MS Mincho" w:hAnsi="Palatino Linotype" w:cs="Arial"/>
        </w:rPr>
        <w:t xml:space="preserve">contexto del cual se dolió </w:t>
      </w:r>
      <w:r w:rsidRPr="008F01D8">
        <w:rPr>
          <w:rFonts w:ascii="Palatino Linotype" w:eastAsia="MS Mincho" w:hAnsi="Palatino Linotype" w:cs="Arial"/>
          <w:b/>
        </w:rPr>
        <w:t xml:space="preserve">EL RECURRENTE </w:t>
      </w:r>
      <w:r w:rsidRPr="008F01D8">
        <w:rPr>
          <w:rFonts w:ascii="Palatino Linotype" w:eastAsia="MS Mincho" w:hAnsi="Palatino Linotype" w:cs="Arial"/>
        </w:rPr>
        <w:t>al momento de interponer su inconformidad.</w:t>
      </w:r>
      <w:r w:rsidRPr="008F01D8">
        <w:rPr>
          <w:rFonts w:ascii="Palatino Linotype" w:eastAsia="Times New Roman" w:hAnsi="Palatino Linotype" w:cs="Arial"/>
          <w:color w:val="000000" w:themeColor="text1"/>
          <w:lang w:val="es-ES" w:eastAsia="es-MX"/>
        </w:rPr>
        <w:t xml:space="preserve"> </w:t>
      </w:r>
    </w:p>
    <w:p w14:paraId="11F138D7" w14:textId="77777777" w:rsidR="00EC186A" w:rsidRPr="008F01D8" w:rsidRDefault="00EC186A" w:rsidP="00EC186A">
      <w:pPr>
        <w:pStyle w:val="Prrafodelista"/>
        <w:spacing w:line="360" w:lineRule="auto"/>
        <w:rPr>
          <w:rFonts w:ascii="Palatino Linotype" w:eastAsia="Times New Roman" w:hAnsi="Palatino Linotype" w:cs="Arial"/>
          <w:color w:val="000000" w:themeColor="text1"/>
          <w:lang w:val="es-ES" w:eastAsia="es-MX"/>
        </w:rPr>
      </w:pPr>
    </w:p>
    <w:p w14:paraId="6E1E5ABB" w14:textId="77777777" w:rsidR="00EC186A" w:rsidRPr="008F01D8" w:rsidRDefault="00EC186A" w:rsidP="00EC186A">
      <w:pPr>
        <w:numPr>
          <w:ilvl w:val="0"/>
          <w:numId w:val="1"/>
        </w:numPr>
        <w:spacing w:line="360" w:lineRule="auto"/>
        <w:ind w:left="0" w:firstLine="0"/>
        <w:contextualSpacing/>
        <w:jc w:val="both"/>
        <w:rPr>
          <w:rFonts w:ascii="Palatino Linotype" w:eastAsia="MS Mincho" w:hAnsi="Palatino Linotype" w:cs="Arial"/>
        </w:rPr>
      </w:pPr>
      <w:r w:rsidRPr="008F01D8">
        <w:rPr>
          <w:rFonts w:ascii="Palatino Linotype" w:eastAsia="Times New Roman" w:hAnsi="Palatino Linotype" w:cs="Arial"/>
          <w:color w:val="000000" w:themeColor="text1"/>
          <w:lang w:val="es-ES" w:eastAsia="es-MX"/>
        </w:rPr>
        <w:lastRenderedPageBreak/>
        <w:t xml:space="preserve">De modo tal </w:t>
      </w:r>
      <w:r w:rsidRPr="008F01D8">
        <w:rPr>
          <w:rFonts w:ascii="Palatino Linotype" w:hAnsi="Palatino Linotype" w:cs="Arial"/>
          <w:color w:val="000000" w:themeColor="text1"/>
        </w:rPr>
        <w:t xml:space="preserve">que el presente recurso de revisión se abocara en determinar si el </w:t>
      </w:r>
      <w:r w:rsidRPr="008F01D8">
        <w:rPr>
          <w:rFonts w:ascii="Palatino Linotype" w:hAnsi="Palatino Linotype" w:cs="Arial"/>
          <w:b/>
          <w:color w:val="000000" w:themeColor="text1"/>
        </w:rPr>
        <w:t>SUJETO</w:t>
      </w:r>
      <w:r w:rsidRPr="008F01D8">
        <w:rPr>
          <w:rFonts w:ascii="Palatino Linotype" w:hAnsi="Palatino Linotype" w:cs="Arial"/>
          <w:color w:val="000000" w:themeColor="text1"/>
        </w:rPr>
        <w:t xml:space="preserve"> </w:t>
      </w:r>
      <w:r w:rsidRPr="008F01D8">
        <w:rPr>
          <w:rFonts w:ascii="Palatino Linotype" w:hAnsi="Palatino Linotype" w:cs="Arial"/>
          <w:b/>
          <w:color w:val="000000" w:themeColor="text1"/>
        </w:rPr>
        <w:t>OBLIGADO</w:t>
      </w:r>
      <w:r w:rsidRPr="008F01D8">
        <w:rPr>
          <w:rFonts w:ascii="Palatino Linotype" w:hAnsi="Palatino Linotype" w:cs="Arial"/>
          <w:color w:val="000000" w:themeColor="text1"/>
        </w:rPr>
        <w:t xml:space="preserve"> con su respuesta ciertamente </w:t>
      </w:r>
      <w:r w:rsidRPr="008F01D8">
        <w:rPr>
          <w:rFonts w:ascii="Palatino Linotype" w:eastAsia="Times New Roman" w:hAnsi="Palatino Linotype"/>
          <w:color w:val="000000" w:themeColor="text1"/>
        </w:rPr>
        <w:t>actualiza las causales de procedencia</w:t>
      </w:r>
      <w:r w:rsidRPr="008F01D8">
        <w:rPr>
          <w:rFonts w:ascii="Palatino Linotype" w:eastAsia="Times New Roman" w:hAnsi="Palatino Linotype"/>
          <w:b/>
          <w:color w:val="000000" w:themeColor="text1"/>
        </w:rPr>
        <w:t xml:space="preserve"> </w:t>
      </w:r>
      <w:r w:rsidRPr="008F01D8">
        <w:rPr>
          <w:rFonts w:ascii="Palatino Linotype" w:eastAsia="Times New Roman" w:hAnsi="Palatino Linotype" w:cs="Arial"/>
          <w:color w:val="000000" w:themeColor="text1"/>
          <w:lang w:eastAsia="es-MX"/>
        </w:rPr>
        <w:t>antes señaladas</w:t>
      </w:r>
      <w:r w:rsidRPr="008F01D8">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2C96F941" w14:textId="77777777" w:rsidR="00EC186A" w:rsidRPr="008F01D8" w:rsidRDefault="00EC186A" w:rsidP="00EC186A">
      <w:pPr>
        <w:spacing w:line="360" w:lineRule="auto"/>
        <w:rPr>
          <w:rFonts w:ascii="Palatino Linotype" w:hAnsi="Palatino Linotype"/>
        </w:rPr>
      </w:pPr>
    </w:p>
    <w:p w14:paraId="4F938441" w14:textId="64115950" w:rsidR="00EC186A" w:rsidRPr="008F01D8" w:rsidRDefault="00EC186A" w:rsidP="00EC186A">
      <w:pPr>
        <w:pStyle w:val="Ttulo1"/>
        <w:spacing w:before="0" w:line="360" w:lineRule="auto"/>
        <w:rPr>
          <w:rFonts w:ascii="Palatino Linotype" w:hAnsi="Palatino Linotype"/>
          <w:b/>
          <w:color w:val="000000" w:themeColor="text1"/>
          <w:sz w:val="24"/>
          <w:szCs w:val="24"/>
        </w:rPr>
      </w:pPr>
      <w:r w:rsidRPr="008F01D8">
        <w:rPr>
          <w:rFonts w:ascii="Palatino Linotype" w:hAnsi="Palatino Linotype"/>
          <w:b/>
          <w:color w:val="000000" w:themeColor="text1"/>
          <w:sz w:val="24"/>
          <w:szCs w:val="24"/>
        </w:rPr>
        <w:t>CUARTO. Del estudio y resolución del asunto.</w:t>
      </w:r>
    </w:p>
    <w:p w14:paraId="00A2356E" w14:textId="77777777" w:rsidR="00A94235" w:rsidRDefault="00A94235" w:rsidP="00A94235">
      <w:pPr>
        <w:pStyle w:val="Prrafodelista"/>
        <w:numPr>
          <w:ilvl w:val="0"/>
          <w:numId w:val="1"/>
        </w:numPr>
        <w:tabs>
          <w:tab w:val="left" w:pos="567"/>
        </w:tabs>
        <w:spacing w:line="360" w:lineRule="auto"/>
        <w:ind w:left="0" w:firstLine="0"/>
        <w:jc w:val="both"/>
        <w:rPr>
          <w:rFonts w:ascii="Palatino Linotype" w:hAnsi="Palatino Linotype" w:cs="Arial"/>
        </w:rPr>
      </w:pPr>
      <w:r w:rsidRPr="008F01D8">
        <w:rPr>
          <w:rFonts w:ascii="Palatino Linotype" w:hAnsi="Palatino Linotype" w:cs="Arial"/>
        </w:rPr>
        <w:t xml:space="preserve">Derivado del Planteamiento de la </w:t>
      </w:r>
      <w:r w:rsidRPr="008F01D8">
        <w:rPr>
          <w:rFonts w:ascii="Palatino Linotype" w:hAnsi="Palatino Linotype" w:cs="Arial"/>
          <w:i/>
        </w:rPr>
        <w:t>Litis</w:t>
      </w:r>
      <w:r w:rsidRPr="008F01D8">
        <w:rPr>
          <w:rFonts w:ascii="Palatino Linotype" w:hAnsi="Palatino Linotype" w:cs="Arial"/>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22ABABE1" w14:textId="77777777" w:rsidR="008F01D8" w:rsidRPr="008F01D8" w:rsidRDefault="008F01D8" w:rsidP="008F01D8">
      <w:pPr>
        <w:tabs>
          <w:tab w:val="left" w:pos="567"/>
        </w:tabs>
        <w:spacing w:line="360" w:lineRule="auto"/>
        <w:jc w:val="both"/>
        <w:rPr>
          <w:rFonts w:ascii="Palatino Linotype" w:hAnsi="Palatino Linotype" w:cs="Arial"/>
        </w:rPr>
      </w:pPr>
    </w:p>
    <w:p w14:paraId="591CC10B" w14:textId="77777777" w:rsidR="002868DB" w:rsidRPr="008F01D8" w:rsidRDefault="002868DB" w:rsidP="00EC186A">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8F01D8">
        <w:rPr>
          <w:rFonts w:ascii="Palatino Linotype" w:hAnsi="Palatino Linotype" w:cs="Tahoma"/>
          <w:lang w:val="es-ES"/>
        </w:rPr>
        <w:t xml:space="preserve">Ahora bien, el artículo 176 de la Ley de Transparencia y Acceso a la Información Pública del Estado de México y Municipios, establece que el Recurso de Revisión, es la garantía secundaria mediante la cual se pretende reparar cualquier afectación al </w:t>
      </w:r>
      <w:r w:rsidRPr="008F01D8">
        <w:rPr>
          <w:rFonts w:ascii="Palatino Linotype" w:eastAsia="Times New Roman" w:hAnsi="Palatino Linotype" w:cs="Tahoma"/>
        </w:rPr>
        <w:t>derecho</w:t>
      </w:r>
      <w:r w:rsidRPr="008F01D8">
        <w:rPr>
          <w:rFonts w:ascii="Palatino Linotype" w:hAnsi="Palatino Linotype" w:cs="Tahoma"/>
          <w:lang w:val="es-ES"/>
        </w:rPr>
        <w:t xml:space="preserve"> de acceso a la información pública.</w:t>
      </w:r>
    </w:p>
    <w:p w14:paraId="3F269C63" w14:textId="77777777" w:rsidR="002868DB" w:rsidRPr="008F01D8" w:rsidRDefault="002868DB" w:rsidP="00EC186A">
      <w:pPr>
        <w:tabs>
          <w:tab w:val="left" w:pos="4962"/>
        </w:tabs>
        <w:spacing w:line="360" w:lineRule="auto"/>
        <w:jc w:val="both"/>
        <w:rPr>
          <w:rFonts w:ascii="Palatino Linotype" w:hAnsi="Palatino Linotype" w:cs="Tahoma"/>
          <w:lang w:val="es-ES"/>
        </w:rPr>
      </w:pPr>
    </w:p>
    <w:p w14:paraId="474A5031" w14:textId="77777777" w:rsidR="002868DB" w:rsidRPr="008F01D8" w:rsidRDefault="002868DB" w:rsidP="00EC186A">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8F01D8">
        <w:rPr>
          <w:rFonts w:ascii="Palatino Linotype" w:hAnsi="Palatino Linotype" w:cs="Tahoma"/>
          <w:lang w:val="es-ES"/>
        </w:rPr>
        <w:t>Además, conforme al Diccionario de Transparencia y Acceso a la Información Pública y la página oficial de este Instituto (</w:t>
      </w:r>
      <w:hyperlink r:id="rId7" w:anchor="queEsRRdeIP" w:history="1">
        <w:r w:rsidRPr="008F01D8">
          <w:rPr>
            <w:rFonts w:ascii="Palatino Linotype" w:hAnsi="Palatino Linotype" w:cs="Tahoma"/>
            <w:lang w:val="es-ES"/>
          </w:rPr>
          <w:t>https://www.infoem.org.mx/es/content/informacion-publica#queEsRRdeIP</w:t>
        </w:r>
      </w:hyperlink>
      <w:r w:rsidRPr="008F01D8">
        <w:rPr>
          <w:rFonts w:ascii="Palatino Linotype" w:hAnsi="Palatino Linotype" w:cs="Tahoma"/>
          <w:lang w:val="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08F3338F" w14:textId="77777777" w:rsidR="002868DB" w:rsidRPr="008F01D8" w:rsidRDefault="002868DB" w:rsidP="00EC186A">
      <w:pPr>
        <w:spacing w:line="360" w:lineRule="auto"/>
        <w:ind w:right="49"/>
        <w:contextualSpacing/>
        <w:jc w:val="both"/>
        <w:rPr>
          <w:rFonts w:ascii="Palatino Linotype" w:hAnsi="Palatino Linotype" w:cs="Tahoma"/>
          <w:lang w:val="es-ES"/>
        </w:rPr>
      </w:pPr>
    </w:p>
    <w:p w14:paraId="750D9A8F" w14:textId="77777777" w:rsidR="002868DB" w:rsidRPr="008F01D8" w:rsidRDefault="002868DB" w:rsidP="00EC186A">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8F01D8">
        <w:rPr>
          <w:rFonts w:ascii="Palatino Linotype" w:hAnsi="Palatino Linotype" w:cs="Tahoma"/>
          <w:lang w:val="es-ES"/>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w:t>
      </w:r>
      <w:r w:rsidRPr="008F01D8">
        <w:rPr>
          <w:rFonts w:ascii="Palatino Linotype" w:hAnsi="Palatino Linotype" w:cs="Tahoma"/>
          <w:b/>
          <w:u w:val="single"/>
          <w:lang w:val="es-ES"/>
        </w:rPr>
        <w:t>de la contestación realizada por los Sujetos Obligados</w:t>
      </w:r>
      <w:r w:rsidRPr="008F01D8">
        <w:rPr>
          <w:rFonts w:ascii="Palatino Linotype" w:hAnsi="Palatino Linotype" w:cs="Tahoma"/>
          <w:lang w:val="es-ES"/>
        </w:rPr>
        <w:t xml:space="preserve"> </w:t>
      </w:r>
      <w:r w:rsidRPr="008F01D8">
        <w:rPr>
          <w:rFonts w:ascii="Palatino Linotype" w:hAnsi="Palatino Linotype" w:cs="Tahoma"/>
          <w:b/>
          <w:u w:val="single"/>
          <w:lang w:val="es-ES"/>
        </w:rPr>
        <w:t>a una solicitud de información específica.</w:t>
      </w:r>
    </w:p>
    <w:p w14:paraId="25EF6732" w14:textId="77777777" w:rsidR="002868DB" w:rsidRPr="008F01D8" w:rsidRDefault="002868DB" w:rsidP="00EC186A">
      <w:pPr>
        <w:pStyle w:val="Prrafodelista"/>
        <w:spacing w:line="360" w:lineRule="auto"/>
        <w:rPr>
          <w:rFonts w:ascii="Palatino Linotype" w:hAnsi="Palatino Linotype" w:cs="Tahoma"/>
          <w:lang w:val="es-ES"/>
        </w:rPr>
      </w:pPr>
    </w:p>
    <w:p w14:paraId="4F697150" w14:textId="1F083DF5" w:rsidR="002868DB" w:rsidRPr="008F01D8" w:rsidRDefault="002868DB" w:rsidP="00883E79">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8F01D8">
        <w:rPr>
          <w:rFonts w:ascii="Palatino Linotype" w:hAnsi="Palatino Linotype" w:cs="Tahoma"/>
          <w:lang w:val="es-ES"/>
        </w:rPr>
        <w:t xml:space="preserve">Así, del análisis de la solicitud de información motivo del recurso de revisión que ahora se resuelve, se advierte que la parte solicitante </w:t>
      </w:r>
      <w:r w:rsidR="00577E10" w:rsidRPr="008F01D8">
        <w:rPr>
          <w:rFonts w:ascii="Palatino Linotype" w:hAnsi="Palatino Linotype" w:cs="Tahoma"/>
          <w:lang w:val="es-ES"/>
        </w:rPr>
        <w:t xml:space="preserve">no se inconforma por la totalidad de la </w:t>
      </w:r>
      <w:proofErr w:type="gramStart"/>
      <w:r w:rsidR="00577E10" w:rsidRPr="008F01D8">
        <w:rPr>
          <w:rFonts w:ascii="Palatino Linotype" w:hAnsi="Palatino Linotype" w:cs="Tahoma"/>
          <w:lang w:val="es-ES"/>
        </w:rPr>
        <w:t>información  que</w:t>
      </w:r>
      <w:proofErr w:type="gramEnd"/>
      <w:r w:rsidR="00577E10" w:rsidRPr="008F01D8">
        <w:rPr>
          <w:rFonts w:ascii="Palatino Linotype" w:hAnsi="Palatino Linotype" w:cs="Tahoma"/>
          <w:lang w:val="es-ES"/>
        </w:rPr>
        <w:t xml:space="preserve"> </w:t>
      </w:r>
      <w:r w:rsidRPr="008F01D8">
        <w:rPr>
          <w:rFonts w:ascii="Palatino Linotype" w:hAnsi="Palatino Linotype" w:cs="Tahoma"/>
          <w:lang w:val="es-ES"/>
        </w:rPr>
        <w:t xml:space="preserve">requirió </w:t>
      </w:r>
      <w:r w:rsidR="00577E10" w:rsidRPr="008F01D8">
        <w:rPr>
          <w:rFonts w:ascii="Palatino Linotype" w:hAnsi="Palatino Linotype" w:cs="Tahoma"/>
          <w:lang w:val="es-ES"/>
        </w:rPr>
        <w:t xml:space="preserve">inicialmente, al señalar únicamente </w:t>
      </w:r>
      <w:r w:rsidR="00577E10" w:rsidRPr="008F01D8">
        <w:rPr>
          <w:rFonts w:ascii="Palatino Linotype" w:hAnsi="Palatino Linotype" w:cs="Tahoma"/>
          <w:i/>
          <w:lang w:val="es-ES"/>
        </w:rPr>
        <w:t>“</w:t>
      </w:r>
      <w:r w:rsidR="00883E79" w:rsidRPr="008F01D8">
        <w:rPr>
          <w:rFonts w:ascii="Palatino Linotype" w:hAnsi="Palatino Linotype" w:cs="Tahoma"/>
          <w:i/>
          <w:lang w:val="es-ES"/>
        </w:rPr>
        <w:t>No entregaron la información solicitada faltan los recibos de nómina.</w:t>
      </w:r>
      <w:r w:rsidR="00577E10" w:rsidRPr="008F01D8">
        <w:rPr>
          <w:rFonts w:ascii="Palatino Linotype" w:hAnsi="Palatino Linotype" w:cs="Tahoma"/>
          <w:i/>
          <w:lang w:val="es-ES"/>
        </w:rPr>
        <w:t>”.</w:t>
      </w:r>
    </w:p>
    <w:p w14:paraId="609AED7A" w14:textId="77777777" w:rsidR="002868DB" w:rsidRPr="008F01D8" w:rsidRDefault="002868DB" w:rsidP="00EC186A">
      <w:pPr>
        <w:pStyle w:val="Prrafodelista"/>
        <w:spacing w:line="360" w:lineRule="auto"/>
        <w:ind w:left="360" w:right="900"/>
        <w:jc w:val="both"/>
        <w:rPr>
          <w:rFonts w:ascii="Palatino Linotype" w:eastAsia="Palatino Linotype" w:hAnsi="Palatino Linotype" w:cs="Palatino Linotype"/>
          <w:i/>
        </w:rPr>
      </w:pPr>
    </w:p>
    <w:p w14:paraId="5E6A4EBD" w14:textId="1949C63A" w:rsidR="00E90965" w:rsidRPr="008F01D8" w:rsidRDefault="00577E10"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 xml:space="preserve">Lo anterior </w:t>
      </w:r>
      <w:r w:rsidRPr="008F01D8">
        <w:rPr>
          <w:rFonts w:ascii="Palatino Linotype" w:hAnsi="Palatino Linotype" w:cs="Tahoma"/>
          <w:lang w:val="es-ES"/>
        </w:rPr>
        <w:t>trae</w:t>
      </w:r>
      <w:r w:rsidRPr="008F01D8">
        <w:rPr>
          <w:rFonts w:ascii="Palatino Linotype" w:eastAsia="Palatino Linotype" w:hAnsi="Palatino Linotype" w:cs="Palatino Linotype"/>
        </w:rPr>
        <w:t xml:space="preserve"> consig</w:t>
      </w:r>
      <w:r w:rsidR="00E90965" w:rsidRPr="008F01D8">
        <w:rPr>
          <w:rFonts w:ascii="Palatino Linotype" w:eastAsia="Palatino Linotype" w:hAnsi="Palatino Linotype" w:cs="Palatino Linotype"/>
        </w:rPr>
        <w:t xml:space="preserve">o que se haya consentido el resto de solicitudes que integraron la solicitud inicial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1B45BBE0" w14:textId="77777777" w:rsidR="00503777" w:rsidRPr="008F01D8" w:rsidRDefault="00503777" w:rsidP="00EC186A">
      <w:pPr>
        <w:pStyle w:val="Prrafodelista"/>
        <w:spacing w:line="360" w:lineRule="auto"/>
        <w:rPr>
          <w:rFonts w:ascii="Palatino Linotype" w:eastAsia="Palatino Linotype" w:hAnsi="Palatino Linotype" w:cs="Palatino Linotype"/>
        </w:rPr>
      </w:pPr>
    </w:p>
    <w:p w14:paraId="2F5B81C0" w14:textId="77777777" w:rsidR="00E90965" w:rsidRPr="008F01D8" w:rsidRDefault="00E90965"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14:paraId="13EC58D9" w14:textId="77777777" w:rsidR="00A94235" w:rsidRPr="008F01D8" w:rsidRDefault="00A94235" w:rsidP="00A94235">
      <w:pPr>
        <w:pStyle w:val="Prrafodelista"/>
        <w:rPr>
          <w:rFonts w:ascii="Palatino Linotype" w:eastAsia="Palatino Linotype" w:hAnsi="Palatino Linotype" w:cs="Palatino Linotype"/>
          <w:sz w:val="22"/>
        </w:rPr>
      </w:pPr>
    </w:p>
    <w:p w14:paraId="648D7B77" w14:textId="77777777" w:rsidR="00E90965" w:rsidRPr="008F01D8" w:rsidRDefault="00E90965" w:rsidP="00EC186A">
      <w:pPr>
        <w:tabs>
          <w:tab w:val="left" w:pos="851"/>
        </w:tabs>
        <w:spacing w:line="360" w:lineRule="auto"/>
        <w:ind w:left="851" w:right="616"/>
        <w:jc w:val="both"/>
        <w:rPr>
          <w:rFonts w:ascii="Palatino Linotype" w:eastAsia="Palatino Linotype" w:hAnsi="Palatino Linotype" w:cs="Palatino Linotype"/>
          <w:i/>
          <w:sz w:val="22"/>
        </w:rPr>
      </w:pPr>
      <w:r w:rsidRPr="008F01D8">
        <w:rPr>
          <w:rFonts w:ascii="Palatino Linotype" w:eastAsia="Palatino Linotype" w:hAnsi="Palatino Linotype" w:cs="Palatino Linotype"/>
          <w:b/>
          <w:i/>
          <w:sz w:val="22"/>
        </w:rPr>
        <w:t xml:space="preserve">“ACTOS CONSENTIDOS. SON LOS QUE NO SE IMPUGNAN MEDIANTE EL RECURSO IDÓNEO. </w:t>
      </w:r>
      <w:r w:rsidRPr="008F01D8">
        <w:rPr>
          <w:rFonts w:ascii="Palatino Linotype" w:eastAsia="Palatino Linotype" w:hAnsi="Palatino Linotype" w:cs="Palatino Linotype"/>
          <w:i/>
          <w:sz w:val="22"/>
        </w:rPr>
        <w:t xml:space="preserve">Debe reputarse como consentido el acto que no se impugnó por el medio establecido por la ley, </w:t>
      </w:r>
      <w:proofErr w:type="gramStart"/>
      <w:r w:rsidRPr="008F01D8">
        <w:rPr>
          <w:rFonts w:ascii="Palatino Linotype" w:eastAsia="Palatino Linotype" w:hAnsi="Palatino Linotype" w:cs="Palatino Linotype"/>
          <w:i/>
          <w:sz w:val="22"/>
        </w:rPr>
        <w:t>ya que</w:t>
      </w:r>
      <w:proofErr w:type="gramEnd"/>
      <w:r w:rsidRPr="008F01D8">
        <w:rPr>
          <w:rFonts w:ascii="Palatino Linotype" w:eastAsia="Palatino Linotype" w:hAnsi="Palatino Linotype" w:cs="Palatino Linotype"/>
          <w:i/>
          <w:sz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E8110C7" w14:textId="77777777" w:rsidR="00503777" w:rsidRPr="008F01D8" w:rsidRDefault="00503777" w:rsidP="00EC186A">
      <w:pPr>
        <w:tabs>
          <w:tab w:val="left" w:pos="851"/>
        </w:tabs>
        <w:spacing w:line="360" w:lineRule="auto"/>
        <w:ind w:left="851" w:right="616"/>
        <w:jc w:val="both"/>
        <w:rPr>
          <w:rFonts w:ascii="Palatino Linotype" w:eastAsia="Palatino Linotype" w:hAnsi="Palatino Linotype" w:cs="Palatino Linotype"/>
          <w:i/>
          <w:sz w:val="22"/>
        </w:rPr>
      </w:pPr>
    </w:p>
    <w:p w14:paraId="22C66078" w14:textId="787D9107" w:rsidR="00E90965" w:rsidRPr="008F01D8" w:rsidRDefault="00E90965"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 xml:space="preserve">De la interpretación del criterio antes citado, se advierte que cuando el particular impugnó la respuesta del </w:t>
      </w:r>
      <w:r w:rsidRPr="008F01D8">
        <w:rPr>
          <w:rFonts w:ascii="Palatino Linotype" w:eastAsia="Palatino Linotype" w:hAnsi="Palatino Linotype" w:cs="Palatino Linotype"/>
          <w:b/>
        </w:rPr>
        <w:t>SUJETO OBLIGADO</w:t>
      </w:r>
      <w:r w:rsidRPr="008F01D8">
        <w:rPr>
          <w:rFonts w:ascii="Palatino Linotype" w:eastAsia="Palatino Linotype" w:hAnsi="Palatino Linotype" w:cs="Palatino Linotype"/>
        </w:rPr>
        <w:t xml:space="preserve">, no expresó razón o motivo de inconformidad en contra de todos los rubros solicitados, por </w:t>
      </w:r>
      <w:proofErr w:type="gramStart"/>
      <w:r w:rsidRPr="008F01D8">
        <w:rPr>
          <w:rFonts w:ascii="Palatino Linotype" w:eastAsia="Palatino Linotype" w:hAnsi="Palatino Linotype" w:cs="Palatino Linotype"/>
        </w:rPr>
        <w:t>tanto</w:t>
      </w:r>
      <w:proofErr w:type="gramEnd"/>
      <w:r w:rsidRPr="008F01D8">
        <w:rPr>
          <w:rFonts w:ascii="Palatino Linotype" w:eastAsia="Palatino Linotype" w:hAnsi="Palatino Linotype" w:cs="Palatino Linotype"/>
        </w:rPr>
        <w:t xml:space="preserve"> estos deben declararse atendidos, pues se entiende que </w:t>
      </w:r>
      <w:r w:rsidRPr="008F01D8">
        <w:rPr>
          <w:rFonts w:ascii="Palatino Linotype" w:eastAsia="Palatino Linotype" w:hAnsi="Palatino Linotype" w:cs="Palatino Linotype"/>
          <w:b/>
        </w:rPr>
        <w:t>EL RECURRENTE</w:t>
      </w:r>
      <w:r w:rsidRPr="008F01D8">
        <w:rPr>
          <w:rFonts w:ascii="Palatino Linotype" w:eastAsia="Palatino Linotype" w:hAnsi="Palatino Linotype" w:cs="Palatino Linotype"/>
        </w:rPr>
        <w:t xml:space="preserve"> está conforme con la respuesta proporcionada por </w:t>
      </w:r>
      <w:r w:rsidRPr="008F01D8">
        <w:rPr>
          <w:rFonts w:ascii="Palatino Linotype" w:eastAsia="Palatino Linotype" w:hAnsi="Palatino Linotype" w:cs="Palatino Linotype"/>
          <w:b/>
        </w:rPr>
        <w:t>EL SUJETO OBLIGADO,</w:t>
      </w:r>
      <w:r w:rsidRPr="008F01D8">
        <w:rPr>
          <w:rFonts w:ascii="Palatino Linotype" w:eastAsia="Palatino Linotype" w:hAnsi="Palatino Linotype" w:cs="Palatino Linotype"/>
        </w:rPr>
        <w:t xml:space="preserve"> al no contra</w:t>
      </w:r>
      <w:r w:rsidR="00503777" w:rsidRPr="008F01D8">
        <w:rPr>
          <w:rFonts w:ascii="Palatino Linotype" w:eastAsia="Palatino Linotype" w:hAnsi="Palatino Linotype" w:cs="Palatino Linotype"/>
        </w:rPr>
        <w:t>venir la misma.</w:t>
      </w:r>
    </w:p>
    <w:p w14:paraId="2F6FA613" w14:textId="77777777" w:rsidR="00E90965" w:rsidRPr="008F01D8" w:rsidRDefault="00E90965"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7FE6C634" w14:textId="77777777" w:rsidR="00503777" w:rsidRPr="008F01D8" w:rsidRDefault="00503777" w:rsidP="00EC186A">
      <w:pPr>
        <w:pStyle w:val="Prrafodelista"/>
        <w:spacing w:line="360" w:lineRule="auto"/>
        <w:rPr>
          <w:rFonts w:ascii="Palatino Linotype" w:eastAsia="Palatino Linotype" w:hAnsi="Palatino Linotype" w:cs="Palatino Linotype"/>
          <w:sz w:val="22"/>
        </w:rPr>
      </w:pPr>
    </w:p>
    <w:p w14:paraId="6942EF81" w14:textId="77777777" w:rsidR="00E90965" w:rsidRPr="008F01D8" w:rsidRDefault="00E90965" w:rsidP="00EC186A">
      <w:pPr>
        <w:tabs>
          <w:tab w:val="left" w:pos="7937"/>
          <w:tab w:val="left" w:pos="8222"/>
        </w:tabs>
        <w:spacing w:line="360" w:lineRule="auto"/>
        <w:ind w:left="851" w:right="901"/>
        <w:jc w:val="both"/>
        <w:rPr>
          <w:rFonts w:ascii="Palatino Linotype" w:eastAsia="Palatino Linotype" w:hAnsi="Palatino Linotype" w:cs="Palatino Linotype"/>
          <w:i/>
          <w:sz w:val="22"/>
        </w:rPr>
      </w:pPr>
      <w:r w:rsidRPr="008F01D8">
        <w:rPr>
          <w:rFonts w:ascii="Palatino Linotype" w:eastAsia="Palatino Linotype" w:hAnsi="Palatino Linotype" w:cs="Palatino Linotype"/>
          <w:b/>
          <w:i/>
          <w:sz w:val="22"/>
        </w:rPr>
        <w:t xml:space="preserve">“REVISIÓN EN AMPARO. LOS RESOLUTIVOS NO COMBATIDOS DEBEN DECLARARSE FIRMES. </w:t>
      </w:r>
      <w:r w:rsidRPr="008F01D8">
        <w:rPr>
          <w:rFonts w:ascii="Palatino Linotype" w:eastAsia="Palatino Linotype" w:hAnsi="Palatino Linotype" w:cs="Palatino Linotype"/>
          <w:i/>
          <w:sz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w:t>
      </w:r>
      <w:r w:rsidRPr="008F01D8">
        <w:rPr>
          <w:rFonts w:ascii="Palatino Linotype" w:eastAsia="Palatino Linotype" w:hAnsi="Palatino Linotype" w:cs="Palatino Linotype"/>
          <w:i/>
          <w:sz w:val="22"/>
        </w:rPr>
        <w:lastRenderedPageBreak/>
        <w:t>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B6BB9A0" w14:textId="77777777" w:rsidR="00A94235" w:rsidRPr="008F01D8" w:rsidRDefault="00A94235" w:rsidP="00EC186A">
      <w:pPr>
        <w:tabs>
          <w:tab w:val="left" w:pos="7937"/>
          <w:tab w:val="left" w:pos="8222"/>
        </w:tabs>
        <w:spacing w:line="360" w:lineRule="auto"/>
        <w:ind w:left="851" w:right="901"/>
        <w:jc w:val="both"/>
        <w:rPr>
          <w:rFonts w:ascii="Palatino Linotype" w:eastAsia="Palatino Linotype" w:hAnsi="Palatino Linotype" w:cs="Palatino Linotype"/>
          <w:i/>
        </w:rPr>
      </w:pPr>
    </w:p>
    <w:p w14:paraId="47EB2871" w14:textId="77777777" w:rsidR="00E90965" w:rsidRPr="008F01D8" w:rsidRDefault="00E90965"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 xml:space="preserve">En </w:t>
      </w:r>
      <w:proofErr w:type="gramStart"/>
      <w:r w:rsidRPr="008F01D8">
        <w:rPr>
          <w:rFonts w:ascii="Palatino Linotype" w:eastAsia="Palatino Linotype" w:hAnsi="Palatino Linotype" w:cs="Palatino Linotype"/>
        </w:rPr>
        <w:t>consecuencia</w:t>
      </w:r>
      <w:proofErr w:type="gramEnd"/>
      <w:r w:rsidRPr="008F01D8">
        <w:rPr>
          <w:rFonts w:ascii="Palatino Linotype" w:eastAsia="Palatino Linotype" w:hAnsi="Palatino Linotype" w:cs="Palatino Linotype"/>
        </w:rPr>
        <w:t xml:space="preserve"> que los demás fundamentos remitidos en respuesta. Se consideran un acto consentido y, en consecuencia, este Órgano Resolutor no entrará al estudio del mismo por las razones hasta aquí expuestas. </w:t>
      </w:r>
    </w:p>
    <w:p w14:paraId="63BCBF24" w14:textId="77777777" w:rsidR="00503777" w:rsidRPr="008F01D8" w:rsidRDefault="00503777" w:rsidP="00EC186A">
      <w:pPr>
        <w:pStyle w:val="Prrafodelista"/>
        <w:tabs>
          <w:tab w:val="left" w:pos="426"/>
        </w:tabs>
        <w:spacing w:line="360" w:lineRule="auto"/>
        <w:ind w:left="0"/>
        <w:jc w:val="both"/>
        <w:rPr>
          <w:rFonts w:ascii="Palatino Linotype" w:eastAsia="Palatino Linotype" w:hAnsi="Palatino Linotype" w:cs="Palatino Linotype"/>
        </w:rPr>
      </w:pPr>
    </w:p>
    <w:p w14:paraId="79D501F8" w14:textId="2B24530A" w:rsidR="00577E10" w:rsidRDefault="00E90965" w:rsidP="00EC186A">
      <w:pPr>
        <w:pStyle w:val="Prrafodelista"/>
        <w:numPr>
          <w:ilvl w:val="0"/>
          <w:numId w:val="1"/>
        </w:numPr>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Una vez hecha la precisión anterior, se procede al anál</w:t>
      </w:r>
      <w:r w:rsidR="00503777" w:rsidRPr="008F01D8">
        <w:rPr>
          <w:rFonts w:ascii="Palatino Linotype" w:eastAsia="Palatino Linotype" w:hAnsi="Palatino Linotype" w:cs="Palatino Linotype"/>
        </w:rPr>
        <w:t xml:space="preserve">isis de la parte de la solicitud impugnada y que correspondió a la falta de entrega </w:t>
      </w:r>
      <w:r w:rsidR="006E1A73" w:rsidRPr="008F01D8">
        <w:rPr>
          <w:rFonts w:ascii="Palatino Linotype" w:eastAsia="Palatino Linotype" w:hAnsi="Palatino Linotype" w:cs="Palatino Linotype"/>
        </w:rPr>
        <w:t>de los recibos de nómina requeridos de manera inicial</w:t>
      </w:r>
      <w:r w:rsidR="00503777" w:rsidRPr="008F01D8">
        <w:rPr>
          <w:rFonts w:ascii="Palatino Linotype" w:eastAsia="Palatino Linotype" w:hAnsi="Palatino Linotype" w:cs="Palatino Linotype"/>
        </w:rPr>
        <w:t>. Contexto que de acuerdo a las constancias que obran en el expediente electrónico en que se actúa, ciertamente no fueron adjunta</w:t>
      </w:r>
      <w:r w:rsidR="006E1A73" w:rsidRPr="008F01D8">
        <w:rPr>
          <w:rFonts w:ascii="Palatino Linotype" w:eastAsia="Palatino Linotype" w:hAnsi="Palatino Linotype" w:cs="Palatino Linotype"/>
        </w:rPr>
        <w:t>do</w:t>
      </w:r>
      <w:r w:rsidR="00503777" w:rsidRPr="008F01D8">
        <w:rPr>
          <w:rFonts w:ascii="Palatino Linotype" w:eastAsia="Palatino Linotype" w:hAnsi="Palatino Linotype" w:cs="Palatino Linotype"/>
        </w:rPr>
        <w:t>s.</w:t>
      </w:r>
    </w:p>
    <w:p w14:paraId="6E6C80A4" w14:textId="77777777" w:rsidR="008F01D8" w:rsidRPr="008F01D8" w:rsidRDefault="008F01D8" w:rsidP="008F01D8">
      <w:pPr>
        <w:pStyle w:val="Prrafodelista"/>
        <w:rPr>
          <w:rFonts w:ascii="Palatino Linotype" w:eastAsia="Palatino Linotype" w:hAnsi="Palatino Linotype" w:cs="Palatino Linotype"/>
        </w:rPr>
      </w:pPr>
    </w:p>
    <w:p w14:paraId="2B9275AF" w14:textId="374C0875" w:rsidR="006E1A73" w:rsidRPr="008F01D8" w:rsidRDefault="006E1A73" w:rsidP="00EC186A">
      <w:pPr>
        <w:pStyle w:val="Prrafodelista"/>
        <w:numPr>
          <w:ilvl w:val="0"/>
          <w:numId w:val="1"/>
        </w:numPr>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Ahora bien, de las constancias que obran en el expediente electrónico en que se actúa, se desprenden como procedentes las razones o motivos de inconformidad, toda vez que ciertamente no se adjuntaron los multicitados recibos de nómina.</w:t>
      </w:r>
    </w:p>
    <w:p w14:paraId="7A0AFD81" w14:textId="77777777" w:rsidR="006E1A73" w:rsidRPr="008F01D8" w:rsidRDefault="006E1A73" w:rsidP="006E1A73">
      <w:pPr>
        <w:pStyle w:val="Prrafodelista"/>
        <w:spacing w:line="360" w:lineRule="auto"/>
        <w:ind w:left="0"/>
        <w:jc w:val="both"/>
        <w:rPr>
          <w:rFonts w:ascii="Palatino Linotype" w:eastAsia="Palatino Linotype" w:hAnsi="Palatino Linotype" w:cs="Palatino Linotype"/>
        </w:rPr>
      </w:pPr>
    </w:p>
    <w:p w14:paraId="5DB442DD" w14:textId="1D0FD9D1" w:rsidR="004A4238" w:rsidRPr="008F01D8" w:rsidRDefault="006E1A73" w:rsidP="004A4238">
      <w:pPr>
        <w:pStyle w:val="Prrafodelista"/>
        <w:numPr>
          <w:ilvl w:val="0"/>
          <w:numId w:val="1"/>
        </w:numPr>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 xml:space="preserve">No </w:t>
      </w:r>
      <w:proofErr w:type="gramStart"/>
      <w:r w:rsidRPr="008F01D8">
        <w:rPr>
          <w:rFonts w:ascii="Palatino Linotype" w:eastAsia="Palatino Linotype" w:hAnsi="Palatino Linotype" w:cs="Palatino Linotype"/>
        </w:rPr>
        <w:t>obstante</w:t>
      </w:r>
      <w:proofErr w:type="gramEnd"/>
      <w:r w:rsidRPr="008F01D8">
        <w:rPr>
          <w:rFonts w:ascii="Palatino Linotype" w:eastAsia="Palatino Linotype" w:hAnsi="Palatino Linotype" w:cs="Palatino Linotype"/>
        </w:rPr>
        <w:t xml:space="preserve"> en un hecho posterior a la interposición del Recurso de Revisión, como lo es la etapa de manifestaciones, el </w:t>
      </w:r>
      <w:r w:rsidRPr="008F01D8">
        <w:rPr>
          <w:rFonts w:ascii="Palatino Linotype" w:eastAsia="Palatino Linotype" w:hAnsi="Palatino Linotype" w:cs="Palatino Linotype"/>
          <w:b/>
        </w:rPr>
        <w:t>SUJETO OBLIGADO</w:t>
      </w:r>
      <w:r w:rsidRPr="008F01D8">
        <w:rPr>
          <w:rFonts w:ascii="Palatino Linotype" w:eastAsia="Palatino Linotype" w:hAnsi="Palatino Linotype" w:cs="Palatino Linotype"/>
        </w:rPr>
        <w:t xml:space="preserve"> remitió en calidad de informe justificado seis recibos de nómina, que si bien se advierten fueron expedidos en favor de los servidores públicos referidos en la solicitud de información, exceptuando aquel del cual se informó no existe registro</w:t>
      </w:r>
      <w:r w:rsidR="004A4238" w:rsidRPr="008F01D8">
        <w:rPr>
          <w:rFonts w:ascii="Palatino Linotype" w:eastAsia="Palatino Linotype" w:hAnsi="Palatino Linotype" w:cs="Palatino Linotype"/>
        </w:rPr>
        <w:t xml:space="preserve">. Con lo anterior se desprenden diversos aspectos, el primero de ellos que se acepta de </w:t>
      </w:r>
      <w:r w:rsidR="004A4238" w:rsidRPr="008F01D8">
        <w:rPr>
          <w:rFonts w:ascii="Palatino Linotype" w:eastAsia="Palatino Linotype" w:hAnsi="Palatino Linotype" w:cs="Palatino Linotype"/>
        </w:rPr>
        <w:lastRenderedPageBreak/>
        <w:t xml:space="preserve">manera expresa que la información la genera, posee y administra, de manera que resulta ocioso un análisis pormenorizado de la fuente obligacional del Ayuntamiento para poder concluir </w:t>
      </w:r>
      <w:proofErr w:type="gramStart"/>
      <w:r w:rsidR="004A4238" w:rsidRPr="008F01D8">
        <w:rPr>
          <w:rFonts w:ascii="Palatino Linotype" w:eastAsia="Palatino Linotype" w:hAnsi="Palatino Linotype" w:cs="Palatino Linotype"/>
        </w:rPr>
        <w:t>que</w:t>
      </w:r>
      <w:proofErr w:type="gramEnd"/>
      <w:r w:rsidR="004A4238" w:rsidRPr="008F01D8">
        <w:rPr>
          <w:rFonts w:ascii="Palatino Linotype" w:eastAsia="Palatino Linotype" w:hAnsi="Palatino Linotype" w:cs="Palatino Linotype"/>
        </w:rPr>
        <w:t xml:space="preserve"> si genera, posee y administra un soporte documental que ya acepto que si obra en sus archivos.</w:t>
      </w:r>
    </w:p>
    <w:p w14:paraId="1F79DC75" w14:textId="77777777" w:rsidR="004A4238" w:rsidRPr="008F01D8" w:rsidRDefault="004A4238" w:rsidP="004A4238">
      <w:pPr>
        <w:pStyle w:val="Prrafodelista"/>
        <w:spacing w:line="360" w:lineRule="auto"/>
        <w:ind w:left="0"/>
        <w:jc w:val="both"/>
        <w:rPr>
          <w:rFonts w:ascii="Palatino Linotype" w:eastAsia="Palatino Linotype" w:hAnsi="Palatino Linotype" w:cs="Palatino Linotype"/>
        </w:rPr>
      </w:pPr>
    </w:p>
    <w:p w14:paraId="7AED3B5B" w14:textId="3A429C35" w:rsidR="006E1A73" w:rsidRPr="008F01D8" w:rsidRDefault="004A4238" w:rsidP="006E1A73">
      <w:pPr>
        <w:pStyle w:val="Prrafodelista"/>
        <w:numPr>
          <w:ilvl w:val="0"/>
          <w:numId w:val="1"/>
        </w:numPr>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 xml:space="preserve">Ahora bien, respecto de lo entregado, corresponde a información </w:t>
      </w:r>
      <w:r w:rsidR="006E1A73" w:rsidRPr="008F01D8">
        <w:rPr>
          <w:rFonts w:ascii="Palatino Linotype" w:eastAsia="Palatino Linotype" w:hAnsi="Palatino Linotype" w:cs="Palatino Linotype"/>
        </w:rPr>
        <w:t xml:space="preserve">que no es </w:t>
      </w:r>
      <w:r w:rsidRPr="008F01D8">
        <w:rPr>
          <w:rFonts w:ascii="Palatino Linotype" w:eastAsia="Palatino Linotype" w:hAnsi="Palatino Linotype" w:cs="Palatino Linotype"/>
        </w:rPr>
        <w:t>susceptible</w:t>
      </w:r>
      <w:r w:rsidR="006E1A73" w:rsidRPr="008F01D8">
        <w:rPr>
          <w:rFonts w:ascii="Palatino Linotype" w:eastAsia="Palatino Linotype" w:hAnsi="Palatino Linotype" w:cs="Palatino Linotype"/>
        </w:rPr>
        <w:t xml:space="preserve"> tomarse en consideración para colmar </w:t>
      </w:r>
      <w:r w:rsidR="00CC7696" w:rsidRPr="008F01D8">
        <w:rPr>
          <w:rFonts w:ascii="Palatino Linotype" w:eastAsia="Palatino Linotype" w:hAnsi="Palatino Linotype" w:cs="Palatino Linotype"/>
        </w:rPr>
        <w:t xml:space="preserve">a cabalidad </w:t>
      </w:r>
      <w:r w:rsidR="006E1A73" w:rsidRPr="008F01D8">
        <w:rPr>
          <w:rFonts w:ascii="Palatino Linotype" w:eastAsia="Palatino Linotype" w:hAnsi="Palatino Linotype" w:cs="Palatino Linotype"/>
        </w:rPr>
        <w:t xml:space="preserve">el derecho de acceso a la información </w:t>
      </w:r>
      <w:r w:rsidR="00CC7696" w:rsidRPr="008F01D8">
        <w:rPr>
          <w:rFonts w:ascii="Palatino Linotype" w:eastAsia="Palatino Linotype" w:hAnsi="Palatino Linotype" w:cs="Palatino Linotype"/>
        </w:rPr>
        <w:t>a cabalidad del ahora recurrente por las siguientes consideraciones.</w:t>
      </w:r>
    </w:p>
    <w:p w14:paraId="6C0CDCB9" w14:textId="77777777" w:rsidR="006E1A73" w:rsidRPr="008F01D8" w:rsidRDefault="006E1A73" w:rsidP="006E1A73">
      <w:pPr>
        <w:pStyle w:val="Prrafodelista"/>
        <w:rPr>
          <w:rFonts w:ascii="Palatino Linotype" w:eastAsia="Palatino Linotype" w:hAnsi="Palatino Linotype" w:cs="Palatino Linotype"/>
        </w:rPr>
      </w:pPr>
    </w:p>
    <w:p w14:paraId="3671483D" w14:textId="62488588" w:rsidR="00CC7696" w:rsidRPr="008F01D8" w:rsidRDefault="00CC7696" w:rsidP="006E1A73">
      <w:pPr>
        <w:pStyle w:val="Prrafodelista"/>
        <w:numPr>
          <w:ilvl w:val="0"/>
          <w:numId w:val="1"/>
        </w:numPr>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 xml:space="preserve">Es de recordar que la solicitud de información carece de lapso temporal, es decir que no establece de que quincenas </w:t>
      </w:r>
      <w:r w:rsidR="004A4238" w:rsidRPr="008F01D8">
        <w:rPr>
          <w:rFonts w:ascii="Palatino Linotype" w:eastAsia="Palatino Linotype" w:hAnsi="Palatino Linotype" w:cs="Palatino Linotype"/>
        </w:rPr>
        <w:t xml:space="preserve">se </w:t>
      </w:r>
      <w:r w:rsidRPr="008F01D8">
        <w:rPr>
          <w:rFonts w:ascii="Palatino Linotype" w:eastAsia="Palatino Linotype" w:hAnsi="Palatino Linotype" w:cs="Palatino Linotype"/>
        </w:rPr>
        <w:t>requiere</w:t>
      </w:r>
      <w:r w:rsidR="004A4238" w:rsidRPr="008F01D8">
        <w:rPr>
          <w:rFonts w:ascii="Palatino Linotype" w:eastAsia="Palatino Linotype" w:hAnsi="Palatino Linotype" w:cs="Palatino Linotype"/>
        </w:rPr>
        <w:t>n</w:t>
      </w:r>
      <w:r w:rsidRPr="008F01D8">
        <w:rPr>
          <w:rFonts w:ascii="Palatino Linotype" w:eastAsia="Palatino Linotype" w:hAnsi="Palatino Linotype" w:cs="Palatino Linotype"/>
        </w:rPr>
        <w:t xml:space="preserve"> los recibos de nómina. En ese contexto, ha sido criterio del Pleno </w:t>
      </w:r>
      <w:proofErr w:type="gramStart"/>
      <w:r w:rsidRPr="008F01D8">
        <w:rPr>
          <w:rFonts w:ascii="Palatino Linotype" w:eastAsia="Palatino Linotype" w:hAnsi="Palatino Linotype" w:cs="Palatino Linotype"/>
        </w:rPr>
        <w:t>que</w:t>
      </w:r>
      <w:proofErr w:type="gramEnd"/>
      <w:r w:rsidRPr="008F01D8">
        <w:rPr>
          <w:rFonts w:ascii="Palatino Linotype" w:eastAsia="Palatino Linotype" w:hAnsi="Palatino Linotype" w:cs="Palatino Linotype"/>
        </w:rPr>
        <w:t xml:space="preserve"> ante la falta de precisión del lapso temporal de los recibos de nómina, se deberán entregar las últimas dos generados, poseídas y administradas anteriores a la fecha de la solicitud de información, atento a lo anterior la información remitida, corresponde a las siguientes temporalidades:</w:t>
      </w:r>
    </w:p>
    <w:p w14:paraId="583604E5" w14:textId="77777777" w:rsidR="00CC7696" w:rsidRPr="008F01D8" w:rsidRDefault="00CC7696" w:rsidP="00CC7696">
      <w:pPr>
        <w:pStyle w:val="Prrafodelista"/>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4414"/>
        <w:gridCol w:w="4414"/>
      </w:tblGrid>
      <w:tr w:rsidR="00CC7696" w:rsidRPr="008F01D8" w14:paraId="195FD855" w14:textId="77777777" w:rsidTr="00CC7696">
        <w:tc>
          <w:tcPr>
            <w:tcW w:w="4414" w:type="dxa"/>
          </w:tcPr>
          <w:p w14:paraId="74C936E8" w14:textId="3D378229" w:rsidR="00CC7696" w:rsidRPr="008F01D8" w:rsidRDefault="00CC7696" w:rsidP="00CC7696">
            <w:pPr>
              <w:spacing w:line="360" w:lineRule="auto"/>
              <w:jc w:val="both"/>
              <w:rPr>
                <w:rFonts w:ascii="Palatino Linotype" w:eastAsia="Palatino Linotype" w:hAnsi="Palatino Linotype" w:cs="Palatino Linotype"/>
                <w:sz w:val="20"/>
              </w:rPr>
            </w:pPr>
            <w:r w:rsidRPr="008F01D8">
              <w:rPr>
                <w:rFonts w:ascii="Palatino Linotype" w:hAnsi="Palatino Linotype"/>
                <w:sz w:val="20"/>
              </w:rPr>
              <w:t xml:space="preserve">Juan Carlos Luna López </w:t>
            </w:r>
          </w:p>
        </w:tc>
        <w:tc>
          <w:tcPr>
            <w:tcW w:w="4414" w:type="dxa"/>
          </w:tcPr>
          <w:p w14:paraId="664C54D8" w14:textId="16B5A0DF" w:rsidR="00CC7696" w:rsidRPr="008F01D8" w:rsidRDefault="00CC7696" w:rsidP="00CC7696">
            <w:pPr>
              <w:spacing w:line="360" w:lineRule="auto"/>
              <w:jc w:val="both"/>
              <w:rPr>
                <w:rFonts w:ascii="Palatino Linotype" w:eastAsia="Palatino Linotype" w:hAnsi="Palatino Linotype" w:cs="Palatino Linotype"/>
                <w:sz w:val="20"/>
              </w:rPr>
            </w:pPr>
            <w:r w:rsidRPr="008F01D8">
              <w:rPr>
                <w:rFonts w:ascii="Palatino Linotype" w:hAnsi="Palatino Linotype"/>
                <w:sz w:val="20"/>
              </w:rPr>
              <w:t>Primera quincena de septiembre de 2023</w:t>
            </w:r>
          </w:p>
        </w:tc>
      </w:tr>
      <w:tr w:rsidR="00CC7696" w:rsidRPr="008F01D8" w14:paraId="088855BB" w14:textId="77777777" w:rsidTr="00CC7696">
        <w:tc>
          <w:tcPr>
            <w:tcW w:w="4414" w:type="dxa"/>
          </w:tcPr>
          <w:p w14:paraId="249B7833" w14:textId="6E4BBB76" w:rsidR="00CC7696" w:rsidRPr="008F01D8" w:rsidRDefault="00CC7696" w:rsidP="00CC7696">
            <w:pPr>
              <w:spacing w:line="360" w:lineRule="auto"/>
              <w:jc w:val="both"/>
              <w:rPr>
                <w:rFonts w:ascii="Palatino Linotype" w:eastAsia="Palatino Linotype" w:hAnsi="Palatino Linotype" w:cs="Palatino Linotype"/>
                <w:sz w:val="20"/>
              </w:rPr>
            </w:pPr>
            <w:r w:rsidRPr="008F01D8">
              <w:rPr>
                <w:rFonts w:ascii="Palatino Linotype" w:hAnsi="Palatino Linotype"/>
                <w:sz w:val="20"/>
              </w:rPr>
              <w:t>Ernesto Sánchez Ruiz</w:t>
            </w:r>
          </w:p>
        </w:tc>
        <w:tc>
          <w:tcPr>
            <w:tcW w:w="4414" w:type="dxa"/>
          </w:tcPr>
          <w:p w14:paraId="7B5F0D26" w14:textId="0E7E19EF" w:rsidR="00CC7696" w:rsidRPr="008F01D8" w:rsidRDefault="00CC7696" w:rsidP="00CC7696">
            <w:pPr>
              <w:spacing w:line="360" w:lineRule="auto"/>
              <w:jc w:val="both"/>
              <w:rPr>
                <w:rFonts w:ascii="Palatino Linotype" w:eastAsia="Palatino Linotype" w:hAnsi="Palatino Linotype" w:cs="Palatino Linotype"/>
                <w:sz w:val="20"/>
              </w:rPr>
            </w:pPr>
            <w:r w:rsidRPr="008F01D8">
              <w:rPr>
                <w:rFonts w:ascii="Palatino Linotype" w:hAnsi="Palatino Linotype"/>
                <w:sz w:val="20"/>
              </w:rPr>
              <w:t>Segunda quincena de septiembre de 2023</w:t>
            </w:r>
          </w:p>
        </w:tc>
      </w:tr>
      <w:tr w:rsidR="00CC7696" w:rsidRPr="008F01D8" w14:paraId="246372EA" w14:textId="77777777" w:rsidTr="00CC7696">
        <w:tc>
          <w:tcPr>
            <w:tcW w:w="4414" w:type="dxa"/>
          </w:tcPr>
          <w:p w14:paraId="1E121CB0" w14:textId="087A43B3" w:rsidR="00CC7696" w:rsidRPr="008F01D8" w:rsidRDefault="00CC7696" w:rsidP="00CC7696">
            <w:pPr>
              <w:spacing w:line="360" w:lineRule="auto"/>
              <w:jc w:val="both"/>
              <w:rPr>
                <w:rFonts w:ascii="Palatino Linotype" w:eastAsia="Palatino Linotype" w:hAnsi="Palatino Linotype" w:cs="Palatino Linotype"/>
                <w:sz w:val="20"/>
              </w:rPr>
            </w:pPr>
            <w:r w:rsidRPr="008F01D8">
              <w:rPr>
                <w:rFonts w:ascii="Palatino Linotype" w:hAnsi="Palatino Linotype"/>
                <w:sz w:val="20"/>
              </w:rPr>
              <w:t>Ramiro Ibarra Cortez segunda</w:t>
            </w:r>
          </w:p>
        </w:tc>
        <w:tc>
          <w:tcPr>
            <w:tcW w:w="4414" w:type="dxa"/>
          </w:tcPr>
          <w:p w14:paraId="37E341E3" w14:textId="7296A1AC" w:rsidR="00CC7696" w:rsidRPr="008F01D8" w:rsidRDefault="00CC7696" w:rsidP="00CC7696">
            <w:pPr>
              <w:spacing w:line="360" w:lineRule="auto"/>
              <w:jc w:val="both"/>
              <w:rPr>
                <w:rFonts w:ascii="Palatino Linotype" w:eastAsia="Palatino Linotype" w:hAnsi="Palatino Linotype" w:cs="Palatino Linotype"/>
                <w:sz w:val="20"/>
              </w:rPr>
            </w:pPr>
            <w:r w:rsidRPr="008F01D8">
              <w:rPr>
                <w:rFonts w:ascii="Palatino Linotype" w:hAnsi="Palatino Linotype"/>
                <w:sz w:val="20"/>
              </w:rPr>
              <w:t>Segunda quincena de septiembre de 2023</w:t>
            </w:r>
          </w:p>
        </w:tc>
      </w:tr>
      <w:tr w:rsidR="00CC7696" w:rsidRPr="008F01D8" w14:paraId="5B12DB5B" w14:textId="77777777" w:rsidTr="00CC7696">
        <w:tc>
          <w:tcPr>
            <w:tcW w:w="4414" w:type="dxa"/>
          </w:tcPr>
          <w:p w14:paraId="7902C957" w14:textId="58D5D580" w:rsidR="00CC7696" w:rsidRPr="008F01D8" w:rsidRDefault="00CC7696" w:rsidP="00CC7696">
            <w:pPr>
              <w:spacing w:line="360" w:lineRule="auto"/>
              <w:jc w:val="both"/>
              <w:rPr>
                <w:rFonts w:ascii="Palatino Linotype" w:hAnsi="Palatino Linotype"/>
                <w:sz w:val="20"/>
              </w:rPr>
            </w:pPr>
            <w:r w:rsidRPr="008F01D8">
              <w:rPr>
                <w:rFonts w:ascii="Palatino Linotype" w:hAnsi="Palatino Linotype"/>
                <w:sz w:val="20"/>
              </w:rPr>
              <w:t>María del Carmen Flores Ramírez segunda</w:t>
            </w:r>
          </w:p>
        </w:tc>
        <w:tc>
          <w:tcPr>
            <w:tcW w:w="4414" w:type="dxa"/>
          </w:tcPr>
          <w:p w14:paraId="7AF318FF" w14:textId="730F2A68" w:rsidR="00CC7696" w:rsidRPr="008F01D8" w:rsidRDefault="00CC7696" w:rsidP="00CC7696">
            <w:pPr>
              <w:spacing w:line="360" w:lineRule="auto"/>
              <w:jc w:val="both"/>
              <w:rPr>
                <w:rFonts w:ascii="Palatino Linotype" w:eastAsia="Palatino Linotype" w:hAnsi="Palatino Linotype" w:cs="Palatino Linotype"/>
                <w:sz w:val="20"/>
              </w:rPr>
            </w:pPr>
            <w:r w:rsidRPr="008F01D8">
              <w:rPr>
                <w:rFonts w:ascii="Palatino Linotype" w:hAnsi="Palatino Linotype"/>
                <w:sz w:val="20"/>
              </w:rPr>
              <w:t>Segunda quincena de septiembre de 2023</w:t>
            </w:r>
          </w:p>
        </w:tc>
      </w:tr>
      <w:tr w:rsidR="00CC7696" w:rsidRPr="008F01D8" w14:paraId="235C990E" w14:textId="77777777" w:rsidTr="00CC7696">
        <w:tc>
          <w:tcPr>
            <w:tcW w:w="4414" w:type="dxa"/>
          </w:tcPr>
          <w:p w14:paraId="44B4ABC3" w14:textId="47ACC82E" w:rsidR="00CC7696" w:rsidRPr="008F01D8" w:rsidRDefault="00CC7696" w:rsidP="00CC7696">
            <w:pPr>
              <w:spacing w:line="360" w:lineRule="auto"/>
              <w:jc w:val="both"/>
              <w:rPr>
                <w:rFonts w:ascii="Palatino Linotype" w:hAnsi="Palatino Linotype"/>
                <w:sz w:val="20"/>
              </w:rPr>
            </w:pPr>
            <w:r w:rsidRPr="008F01D8">
              <w:rPr>
                <w:rFonts w:ascii="Palatino Linotype" w:hAnsi="Palatino Linotype"/>
                <w:sz w:val="20"/>
              </w:rPr>
              <w:t>Sergio Alberto Vega Paredes segunda</w:t>
            </w:r>
          </w:p>
        </w:tc>
        <w:tc>
          <w:tcPr>
            <w:tcW w:w="4414" w:type="dxa"/>
          </w:tcPr>
          <w:p w14:paraId="622E4010" w14:textId="21583A7B" w:rsidR="00CC7696" w:rsidRPr="008F01D8" w:rsidRDefault="00CC7696" w:rsidP="00CC7696">
            <w:pPr>
              <w:spacing w:line="360" w:lineRule="auto"/>
              <w:jc w:val="both"/>
              <w:rPr>
                <w:rFonts w:ascii="Palatino Linotype" w:eastAsia="Palatino Linotype" w:hAnsi="Palatino Linotype" w:cs="Palatino Linotype"/>
                <w:sz w:val="20"/>
              </w:rPr>
            </w:pPr>
            <w:r w:rsidRPr="008F01D8">
              <w:rPr>
                <w:rFonts w:ascii="Palatino Linotype" w:hAnsi="Palatino Linotype"/>
                <w:sz w:val="20"/>
              </w:rPr>
              <w:t>Segunda quincena de septiembre de 2023</w:t>
            </w:r>
          </w:p>
        </w:tc>
      </w:tr>
    </w:tbl>
    <w:p w14:paraId="6C48DB9E" w14:textId="77777777" w:rsidR="00CC7696" w:rsidRPr="008F01D8" w:rsidRDefault="00CC7696" w:rsidP="00CC7696">
      <w:pPr>
        <w:spacing w:line="360" w:lineRule="auto"/>
        <w:jc w:val="both"/>
        <w:rPr>
          <w:rFonts w:ascii="Palatino Linotype" w:eastAsia="Palatino Linotype" w:hAnsi="Palatino Linotype" w:cs="Palatino Linotype"/>
        </w:rPr>
      </w:pPr>
    </w:p>
    <w:p w14:paraId="6A81BF7B" w14:textId="73E0CA5D" w:rsidR="00CC7696" w:rsidRPr="008F01D8" w:rsidRDefault="007F2FBD" w:rsidP="006E1A73">
      <w:pPr>
        <w:pStyle w:val="Prrafodelista"/>
        <w:numPr>
          <w:ilvl w:val="0"/>
          <w:numId w:val="1"/>
        </w:numPr>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 xml:space="preserve">De acuerdo a lo anterior, no es dable dar observancia a aquellos recibos de nómina remitidos de la segunda quince del mes de septiembre de 2023; toda vez que a la fecha de la solicitud (28 de septiembre de 2023) aún no  </w:t>
      </w:r>
      <w:r w:rsidR="004A4238" w:rsidRPr="008F01D8">
        <w:rPr>
          <w:rFonts w:ascii="Palatino Linotype" w:eastAsia="Palatino Linotype" w:hAnsi="Palatino Linotype" w:cs="Palatino Linotype"/>
        </w:rPr>
        <w:t xml:space="preserve">se </w:t>
      </w:r>
      <w:r w:rsidRPr="008F01D8">
        <w:rPr>
          <w:rFonts w:ascii="Palatino Linotype" w:eastAsia="Palatino Linotype" w:hAnsi="Palatino Linotype" w:cs="Palatino Linotype"/>
        </w:rPr>
        <w:t xml:space="preserve">concluía dicha </w:t>
      </w:r>
      <w:r w:rsidRPr="008F01D8">
        <w:rPr>
          <w:rFonts w:ascii="Palatino Linotype" w:eastAsia="Palatino Linotype" w:hAnsi="Palatino Linotype" w:cs="Palatino Linotype"/>
        </w:rPr>
        <w:lastRenderedPageBreak/>
        <w:t xml:space="preserve">quincena, de modo tal que la información entregada, fue generada, poseída y administrada posterior a la solicitud de información, lo que resulta improcedente, </w:t>
      </w:r>
      <w:r w:rsidR="004A4238" w:rsidRPr="008F01D8">
        <w:rPr>
          <w:rFonts w:ascii="Palatino Linotype" w:eastAsia="Palatino Linotype" w:hAnsi="Palatino Linotype" w:cs="Palatino Linotype"/>
        </w:rPr>
        <w:t>toda vez</w:t>
      </w:r>
      <w:r w:rsidRPr="008F01D8">
        <w:rPr>
          <w:rFonts w:ascii="Palatino Linotype" w:eastAsia="Palatino Linotype" w:hAnsi="Palatino Linotype" w:cs="Palatino Linotype"/>
        </w:rPr>
        <w:t xml:space="preserve"> que es de explorado derecho que el acceso a la información pública es un derecho que versa sobre documentos generados, poseídos o administrados por los sujetos obligados previos a la interposición de una solicitud de información, de manera que –se insiste– en la improcedencia de la observancia a las documentales de referencia.</w:t>
      </w:r>
    </w:p>
    <w:p w14:paraId="1B64B7F6" w14:textId="77777777" w:rsidR="007F2FBD" w:rsidRPr="008F01D8" w:rsidRDefault="007F2FBD" w:rsidP="007F2FBD">
      <w:pPr>
        <w:pStyle w:val="Prrafodelista"/>
        <w:spacing w:line="360" w:lineRule="auto"/>
        <w:ind w:left="0"/>
        <w:jc w:val="both"/>
        <w:rPr>
          <w:rFonts w:ascii="Palatino Linotype" w:eastAsia="Palatino Linotype" w:hAnsi="Palatino Linotype" w:cs="Palatino Linotype"/>
        </w:rPr>
      </w:pPr>
    </w:p>
    <w:p w14:paraId="50C83FB3" w14:textId="15FA17FE" w:rsidR="00CC7696" w:rsidRPr="008F01D8" w:rsidRDefault="007F2FBD" w:rsidP="006E1A73">
      <w:pPr>
        <w:pStyle w:val="Prrafodelista"/>
        <w:numPr>
          <w:ilvl w:val="0"/>
          <w:numId w:val="1"/>
        </w:numPr>
        <w:spacing w:line="360" w:lineRule="auto"/>
        <w:ind w:left="0" w:firstLine="0"/>
        <w:jc w:val="both"/>
        <w:rPr>
          <w:rFonts w:ascii="Palatino Linotype" w:eastAsia="Palatino Linotype" w:hAnsi="Palatino Linotype" w:cs="Palatino Linotype"/>
        </w:rPr>
      </w:pPr>
      <w:r w:rsidRPr="008F01D8">
        <w:rPr>
          <w:rFonts w:ascii="Palatino Linotype" w:eastAsia="Palatino Linotype" w:hAnsi="Palatino Linotype" w:cs="Palatino Linotype"/>
        </w:rPr>
        <w:t>Respecto del servidor público que se remite un recibo de nómina</w:t>
      </w:r>
      <w:r w:rsidR="004A4238" w:rsidRPr="008F01D8">
        <w:rPr>
          <w:rFonts w:ascii="Palatino Linotype" w:eastAsia="Palatino Linotype" w:hAnsi="Palatino Linotype" w:cs="Palatino Linotype"/>
        </w:rPr>
        <w:t xml:space="preserve"> de la primera quincen</w:t>
      </w:r>
      <w:r w:rsidRPr="008F01D8">
        <w:rPr>
          <w:rFonts w:ascii="Palatino Linotype" w:eastAsia="Palatino Linotype" w:hAnsi="Palatino Linotype" w:cs="Palatino Linotype"/>
        </w:rPr>
        <w:t>a de septiembre, colma parcialmente el requerimiento, toda vez que se advierte en una pretendida versión publica en la que no se sustenta la protección de algunos datos como lo son de manera enunciativa mas no limitativa, cadenas, sellos digitales, códigos bidimensionales. Lo anterior, derivado de la falta de acuerdo del Comité de Transparencia que lo sustente, por lo que al no tener la certeza de si era procedente o improcedente que debieran ser testados, lo dable es ordenarse nuevamente, de ser el caso en una correcta versión publica acompañado del Acta del Comité de Transparencia que para tal efecto se genere.</w:t>
      </w:r>
    </w:p>
    <w:p w14:paraId="3FD0F737" w14:textId="77777777" w:rsidR="007F2FBD" w:rsidRPr="008F01D8" w:rsidRDefault="007F2FBD" w:rsidP="007F2FBD">
      <w:pPr>
        <w:pStyle w:val="Prrafodelista"/>
        <w:spacing w:line="360" w:lineRule="auto"/>
        <w:ind w:left="0"/>
        <w:jc w:val="both"/>
        <w:rPr>
          <w:rFonts w:ascii="Palatino Linotype" w:eastAsia="Palatino Linotype" w:hAnsi="Palatino Linotype" w:cs="Palatino Linotype"/>
        </w:rPr>
      </w:pPr>
    </w:p>
    <w:p w14:paraId="27B0C6AB" w14:textId="77777777" w:rsidR="00EC186A" w:rsidRPr="008F01D8" w:rsidRDefault="00EC186A" w:rsidP="00EC186A">
      <w:pPr>
        <w:numPr>
          <w:ilvl w:val="0"/>
          <w:numId w:val="1"/>
        </w:numPr>
        <w:spacing w:line="360" w:lineRule="auto"/>
        <w:ind w:left="0" w:firstLine="0"/>
        <w:contextualSpacing/>
        <w:jc w:val="both"/>
        <w:rPr>
          <w:rFonts w:ascii="Palatino Linotype" w:hAnsi="Palatino Linotype"/>
        </w:rPr>
      </w:pPr>
      <w:r w:rsidRPr="008F01D8">
        <w:rPr>
          <w:rFonts w:ascii="Palatino Linotype" w:hAnsi="Palatino Linotype"/>
        </w:rPr>
        <w:t xml:space="preserve">Con la determinación anterior quedara por colmado el derecho de acceso a la información del ahora </w:t>
      </w:r>
      <w:r w:rsidRPr="008F01D8">
        <w:rPr>
          <w:rFonts w:ascii="Palatino Linotype" w:hAnsi="Palatino Linotype"/>
          <w:b/>
        </w:rPr>
        <w:t>RECURRENTE</w:t>
      </w:r>
      <w:r w:rsidRPr="008F01D8">
        <w:rPr>
          <w:rFonts w:ascii="Palatino Linotype" w:hAnsi="Palatino Linotype"/>
        </w:rPr>
        <w:t xml:space="preserve">; toda vez </w:t>
      </w:r>
      <w:r w:rsidRPr="008F01D8">
        <w:rPr>
          <w:rFonts w:ascii="Palatino Linotype" w:eastAsia="Times New Roman" w:hAnsi="Palatino Linotype" w:cs="Arial"/>
          <w:color w:val="000000"/>
          <w:lang w:eastAsia="es-MX"/>
        </w:rPr>
        <w:t xml:space="preserve">que </w:t>
      </w:r>
      <w:r w:rsidRPr="008F01D8">
        <w:rPr>
          <w:rFonts w:ascii="Palatino Linotype" w:hAnsi="Palatino Linotype"/>
          <w:color w:val="000000"/>
        </w:rPr>
        <w:t xml:space="preserve">el Derecho que tutela este Órgano Garante corresponde a la </w:t>
      </w:r>
      <w:r w:rsidRPr="008F01D8">
        <w:rPr>
          <w:rFonts w:ascii="Palatino Linotype" w:eastAsia="Times New Roman" w:hAnsi="Palatino Linotype" w:cs="Arial"/>
          <w:color w:val="000000" w:themeColor="text1"/>
          <w:lang w:eastAsia="es-MX"/>
        </w:rPr>
        <w:t xml:space="preserve"> </w:t>
      </w:r>
      <w:r w:rsidRPr="008F01D8">
        <w:rPr>
          <w:rFonts w:ascii="Palatino Linotype" w:eastAsia="MS Mincho" w:hAnsi="Palatino Linotype" w:cs="Times New Roman"/>
          <w:i/>
        </w:rPr>
        <w:t>igualdad de oportunidades para recibir, buscar e impartir información</w:t>
      </w:r>
      <w:r w:rsidRPr="008F01D8">
        <w:rPr>
          <w:rStyle w:val="Refdenotaalpie"/>
          <w:rFonts w:ascii="Palatino Linotype" w:eastAsia="MS Mincho" w:hAnsi="Palatino Linotype" w:cs="Times New Roman"/>
          <w:i/>
        </w:rPr>
        <w:footnoteReference w:id="2"/>
      </w:r>
      <w:r w:rsidRPr="008F01D8">
        <w:rPr>
          <w:rFonts w:ascii="Palatino Linotype" w:eastAsia="MS Mincho" w:hAnsi="Palatino Linotype" w:cs="Times New Roman"/>
          <w:i/>
        </w:rPr>
        <w:t xml:space="preserve"> en posesión de cualquier autoridad, entidad, órgano y organismo de los poderes Ejecutivo, Legislativo y Judicial, órganos autónomos, partidos políticos, </w:t>
      </w:r>
      <w:r w:rsidRPr="008F01D8">
        <w:rPr>
          <w:rFonts w:ascii="Palatino Linotype" w:eastAsia="MS Mincho" w:hAnsi="Palatino Linotype" w:cs="Times New Roman"/>
          <w:i/>
        </w:rPr>
        <w:lastRenderedPageBreak/>
        <w:t>fideicomisos, y fondos públicos, así como de cualquier persona física, moral o sindicato que reciba y ejerza recursos públicos o realice actos de autoridad en el ámbito federal, estatal y municipal</w:t>
      </w:r>
      <w:r w:rsidRPr="008F01D8">
        <w:rPr>
          <w:rStyle w:val="Refdenotaalpie"/>
          <w:rFonts w:ascii="Palatino Linotype" w:eastAsia="MS Mincho" w:hAnsi="Palatino Linotype" w:cs="Times New Roman"/>
        </w:rPr>
        <w:footnoteReference w:id="3"/>
      </w:r>
      <w:r w:rsidRPr="008F01D8">
        <w:rPr>
          <w:rFonts w:ascii="Palatino Linotype" w:eastAsia="MS Mincho" w:hAnsi="Palatino Linotype" w:cs="Times New Roman"/>
          <w:i/>
        </w:rPr>
        <w:t xml:space="preserve"> </w:t>
      </w:r>
      <w:r w:rsidRPr="008F01D8">
        <w:rPr>
          <w:rFonts w:ascii="Palatino Linotype" w:eastAsia="MS Mincho" w:hAnsi="Palatino Linotype" w:cs="Times New Roman"/>
        </w:rPr>
        <w:t xml:space="preserve">que se constituye como una herramienta fundamental para </w:t>
      </w:r>
      <w:r w:rsidRPr="008F01D8">
        <w:rPr>
          <w:rFonts w:ascii="Palatino Linotype" w:eastAsia="MS Mincho" w:hAnsi="Palatino Linotype" w:cs="Times New Roman"/>
          <w:i/>
        </w:rPr>
        <w:t>ejercer control democrático de las gestiones estatales, de forma tal que puedan cuestionar, indagar y considerar si se está dando un adecuado cumplimiento de las funciones públicas,</w:t>
      </w:r>
      <w:r w:rsidRPr="008F01D8">
        <w:rPr>
          <w:rStyle w:val="Refdenotaalpie"/>
          <w:rFonts w:ascii="Palatino Linotype" w:eastAsia="MS Mincho" w:hAnsi="Palatino Linotype" w:cs="Times New Roman"/>
          <w:i/>
        </w:rPr>
        <w:footnoteReference w:id="4"/>
      </w:r>
      <w:r w:rsidRPr="008F01D8">
        <w:rPr>
          <w:rFonts w:ascii="Palatino Linotype" w:eastAsia="MS Mincho" w:hAnsi="Palatino Linotype" w:cs="Times New Roman"/>
        </w:rPr>
        <w:t>fomentando</w:t>
      </w:r>
      <w:r w:rsidRPr="008F01D8">
        <w:rPr>
          <w:rFonts w:ascii="Palatino Linotype" w:eastAsia="MS Mincho" w:hAnsi="Palatino Linotype" w:cs="Times New Roman"/>
          <w:i/>
        </w:rPr>
        <w:t xml:space="preserve"> la transparencia de las actividades estatales y</w:t>
      </w:r>
      <w:r w:rsidRPr="008F01D8">
        <w:rPr>
          <w:rFonts w:ascii="Palatino Linotype" w:eastAsia="MS Mincho" w:hAnsi="Palatino Linotype" w:cs="Times New Roman"/>
        </w:rPr>
        <w:t xml:space="preserve"> promoviendo</w:t>
      </w:r>
      <w:r w:rsidRPr="008F01D8">
        <w:rPr>
          <w:rFonts w:ascii="Palatino Linotype" w:eastAsia="MS Mincho" w:hAnsi="Palatino Linotype" w:cs="Times New Roman"/>
          <w:i/>
        </w:rPr>
        <w:t xml:space="preserve"> la responsabilidad de los funcionarios sobre su gestión pública</w:t>
      </w:r>
      <w:r w:rsidRPr="008F01D8">
        <w:rPr>
          <w:rStyle w:val="Refdenotaalpie"/>
          <w:rFonts w:ascii="Palatino Linotype" w:eastAsia="MS Mincho" w:hAnsi="Palatino Linotype" w:cs="Times New Roman"/>
          <w:i/>
        </w:rPr>
        <w:footnoteReference w:id="5"/>
      </w:r>
      <w:r w:rsidRPr="008F01D8">
        <w:rPr>
          <w:rFonts w:ascii="Palatino Linotype" w:eastAsia="MS Mincho" w:hAnsi="Palatino Linotype" w:cs="Times New Roman"/>
          <w:i/>
        </w:rPr>
        <w:t xml:space="preserve"> </w:t>
      </w:r>
      <w:r w:rsidRPr="008F01D8">
        <w:rPr>
          <w:rFonts w:ascii="Palatino Linotype" w:eastAsia="MS Mincho" w:hAnsi="Palatino Linotype" w:cs="Times New Roman"/>
        </w:rPr>
        <w:t>que permite</w:t>
      </w:r>
      <w:r w:rsidRPr="008F01D8">
        <w:rPr>
          <w:rFonts w:ascii="Palatino Linotype" w:eastAsia="MS Mincho" w:hAnsi="Palatino Linotype" w:cs="Times New Roman"/>
          <w:i/>
        </w:rPr>
        <w:t xml:space="preserve"> saber qué están haciendo los gobiernos por sus pueblos, sin lo cual la verdad languidecería y la participación en el gobierno permanecería fragmentada.</w:t>
      </w:r>
      <w:r w:rsidRPr="008F01D8">
        <w:rPr>
          <w:rStyle w:val="Refdenotaalpie"/>
          <w:rFonts w:ascii="Palatino Linotype" w:eastAsia="MS Mincho" w:hAnsi="Palatino Linotype" w:cs="Times New Roman"/>
          <w:i/>
        </w:rPr>
        <w:footnoteReference w:id="6"/>
      </w:r>
      <w:r w:rsidRPr="008F01D8">
        <w:rPr>
          <w:rFonts w:ascii="Palatino Linotype" w:eastAsia="MS Mincho" w:hAnsi="Palatino Linotype" w:cs="Times New Roman"/>
        </w:rPr>
        <w:t xml:space="preserve"> ” </w:t>
      </w:r>
    </w:p>
    <w:p w14:paraId="79ED8809" w14:textId="77777777" w:rsidR="008F01D8" w:rsidRPr="008F01D8" w:rsidRDefault="008F01D8" w:rsidP="008F01D8">
      <w:pPr>
        <w:spacing w:line="360" w:lineRule="auto"/>
        <w:contextualSpacing/>
        <w:jc w:val="both"/>
        <w:rPr>
          <w:rFonts w:ascii="Palatino Linotype" w:hAnsi="Palatino Linotype"/>
        </w:rPr>
      </w:pPr>
    </w:p>
    <w:p w14:paraId="0F07D47F" w14:textId="77777777" w:rsidR="00EC186A" w:rsidRPr="008F01D8" w:rsidRDefault="00EC186A" w:rsidP="00EC186A">
      <w:pPr>
        <w:pStyle w:val="Prrafodelista"/>
        <w:numPr>
          <w:ilvl w:val="0"/>
          <w:numId w:val="1"/>
        </w:numPr>
        <w:spacing w:line="360" w:lineRule="auto"/>
        <w:ind w:left="0" w:firstLine="0"/>
        <w:jc w:val="both"/>
        <w:rPr>
          <w:rFonts w:ascii="Palatino Linotype" w:hAnsi="Palatino Linotype" w:cs="Arial"/>
          <w:i/>
          <w:color w:val="000000" w:themeColor="text1"/>
        </w:rPr>
      </w:pPr>
      <w:r w:rsidRPr="008F01D8">
        <w:rPr>
          <w:rFonts w:ascii="Palatino Linotype" w:hAnsi="Palatino Linotype" w:cs="Arial"/>
        </w:rPr>
        <w:t xml:space="preserve">Para entender los alcances de la información pública se considera importante citar el criterio </w:t>
      </w:r>
      <w:r w:rsidRPr="008F01D8">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8F01D8">
        <w:rPr>
          <w:rFonts w:ascii="Palatino Linotype" w:hAnsi="Palatino Linotype" w:cs="Arial"/>
        </w:rPr>
        <w:t>cuyo rubro y texto dispone:</w:t>
      </w:r>
    </w:p>
    <w:p w14:paraId="3A6FD471" w14:textId="77777777" w:rsidR="00EC186A" w:rsidRDefault="00EC186A" w:rsidP="00EC186A">
      <w:pPr>
        <w:pStyle w:val="Prrafodelista"/>
        <w:spacing w:line="360" w:lineRule="auto"/>
        <w:rPr>
          <w:rFonts w:ascii="Palatino Linotype" w:hAnsi="Palatino Linotype" w:cs="Arial"/>
          <w:i/>
          <w:color w:val="000000" w:themeColor="text1"/>
        </w:rPr>
      </w:pPr>
    </w:p>
    <w:p w14:paraId="35069BCF" w14:textId="77777777" w:rsidR="008F01D8" w:rsidRPr="008F01D8" w:rsidRDefault="008F01D8" w:rsidP="00EC186A">
      <w:pPr>
        <w:pStyle w:val="Prrafodelista"/>
        <w:spacing w:line="360" w:lineRule="auto"/>
        <w:rPr>
          <w:rFonts w:ascii="Palatino Linotype" w:hAnsi="Palatino Linotype" w:cs="Arial"/>
          <w:i/>
          <w:color w:val="000000" w:themeColor="text1"/>
        </w:rPr>
      </w:pPr>
    </w:p>
    <w:p w14:paraId="6F35D7C0"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Arial"/>
          <w:b/>
          <w:i/>
          <w:sz w:val="22"/>
          <w:lang w:eastAsia="es-MX"/>
        </w:rPr>
      </w:pPr>
      <w:r w:rsidRPr="008F01D8">
        <w:rPr>
          <w:rFonts w:ascii="Palatino Linotype" w:hAnsi="Palatino Linotype" w:cs="Arial"/>
          <w:b/>
          <w:i/>
          <w:sz w:val="22"/>
          <w:lang w:eastAsia="es-MX"/>
        </w:rPr>
        <w:lastRenderedPageBreak/>
        <w:t>“CRITERIO 0002-11</w:t>
      </w:r>
    </w:p>
    <w:p w14:paraId="7FA2E5BF"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Arial"/>
          <w:i/>
          <w:sz w:val="22"/>
          <w:lang w:eastAsia="es-MX"/>
        </w:rPr>
      </w:pPr>
      <w:r w:rsidRPr="008F01D8">
        <w:rPr>
          <w:rFonts w:ascii="Palatino Linotype" w:hAnsi="Palatino Linotype" w:cs="Arial"/>
          <w:b/>
          <w:i/>
          <w:sz w:val="22"/>
          <w:lang w:eastAsia="es-MX"/>
        </w:rPr>
        <w:t xml:space="preserve">INFORMACIÓN PÚBLICA, CONCEPTO DE, EN MATERIA DE TRANSPARENCIA. INTERPRETACIÓN TEMÁTICA DE LOS ARTÍCULOS 2, FRACCIÓN </w:t>
      </w:r>
      <w:r w:rsidRPr="008F01D8">
        <w:rPr>
          <w:rFonts w:ascii="Palatino Linotype" w:hAnsi="Palatino Linotype" w:cs="Arial"/>
          <w:b/>
          <w:bCs/>
          <w:i/>
          <w:sz w:val="22"/>
          <w:lang w:eastAsia="es-MX"/>
        </w:rPr>
        <w:t xml:space="preserve">V, XV, Y XVI, </w:t>
      </w:r>
      <w:r w:rsidRPr="008F01D8">
        <w:rPr>
          <w:rFonts w:ascii="Palatino Linotype" w:hAnsi="Palatino Linotype" w:cs="Arial"/>
          <w:b/>
          <w:i/>
          <w:sz w:val="22"/>
          <w:lang w:eastAsia="es-MX"/>
        </w:rPr>
        <w:t>3, 4,11 Y 41.</w:t>
      </w:r>
      <w:r w:rsidRPr="008F01D8">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754BA1D"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Arial"/>
          <w:i/>
          <w:sz w:val="22"/>
          <w:lang w:eastAsia="es-MX"/>
        </w:rPr>
      </w:pPr>
      <w:r w:rsidRPr="008F01D8">
        <w:rPr>
          <w:rFonts w:ascii="Palatino Linotype" w:hAnsi="Palatino Linotype" w:cs="Arial"/>
          <w:i/>
          <w:sz w:val="22"/>
          <w:lang w:eastAsia="es-MX"/>
        </w:rPr>
        <w:t xml:space="preserve">En </w:t>
      </w:r>
      <w:proofErr w:type="gramStart"/>
      <w:r w:rsidRPr="008F01D8">
        <w:rPr>
          <w:rFonts w:ascii="Palatino Linotype" w:hAnsi="Palatino Linotype" w:cs="Arial"/>
          <w:i/>
          <w:sz w:val="22"/>
          <w:lang w:eastAsia="es-MX"/>
        </w:rPr>
        <w:t>consecuencia</w:t>
      </w:r>
      <w:proofErr w:type="gramEnd"/>
      <w:r w:rsidRPr="008F01D8">
        <w:rPr>
          <w:rFonts w:ascii="Palatino Linotype" w:hAnsi="Palatino Linotype" w:cs="Arial"/>
          <w:i/>
          <w:sz w:val="22"/>
          <w:lang w:eastAsia="es-MX"/>
        </w:rPr>
        <w:t xml:space="preserve"> el acceso a la información se refiere a que se cumplan cualquiera de los siguientes tres supuestos:</w:t>
      </w:r>
    </w:p>
    <w:p w14:paraId="7874A966"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Arial"/>
          <w:i/>
          <w:sz w:val="22"/>
          <w:lang w:eastAsia="es-MX"/>
        </w:rPr>
      </w:pPr>
      <w:r w:rsidRPr="008F01D8">
        <w:rPr>
          <w:rFonts w:ascii="Palatino Linotype" w:hAnsi="Palatino Linotype" w:cs="Arial"/>
          <w:i/>
          <w:sz w:val="22"/>
          <w:lang w:eastAsia="es-MX"/>
        </w:rPr>
        <w:t xml:space="preserve">Que se trate de información registrada en cualquier soporte documental, </w:t>
      </w:r>
      <w:proofErr w:type="gramStart"/>
      <w:r w:rsidRPr="008F01D8">
        <w:rPr>
          <w:rFonts w:ascii="Palatino Linotype" w:hAnsi="Palatino Linotype" w:cs="Arial"/>
          <w:i/>
          <w:sz w:val="22"/>
          <w:lang w:eastAsia="es-MX"/>
        </w:rPr>
        <w:t>que</w:t>
      </w:r>
      <w:proofErr w:type="gramEnd"/>
      <w:r w:rsidRPr="008F01D8">
        <w:rPr>
          <w:rFonts w:ascii="Palatino Linotype" w:hAnsi="Palatino Linotype" w:cs="Arial"/>
          <w:i/>
          <w:sz w:val="22"/>
          <w:lang w:eastAsia="es-MX"/>
        </w:rPr>
        <w:t xml:space="preserve"> en ejercicio de las atribuciones conferidas, sea generada por los Sujetos Obligados;</w:t>
      </w:r>
    </w:p>
    <w:p w14:paraId="2E93971B"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Arial"/>
          <w:i/>
          <w:sz w:val="22"/>
          <w:lang w:eastAsia="es-MX"/>
        </w:rPr>
      </w:pPr>
      <w:r w:rsidRPr="008F01D8">
        <w:rPr>
          <w:rFonts w:ascii="Palatino Linotype" w:hAnsi="Palatino Linotype" w:cs="Arial"/>
          <w:i/>
          <w:sz w:val="22"/>
          <w:lang w:eastAsia="es-MX"/>
        </w:rPr>
        <w:t xml:space="preserve">Que se trate de información registrada en cualquier soporte documental, </w:t>
      </w:r>
      <w:proofErr w:type="gramStart"/>
      <w:r w:rsidRPr="008F01D8">
        <w:rPr>
          <w:rFonts w:ascii="Palatino Linotype" w:hAnsi="Palatino Linotype" w:cs="Arial"/>
          <w:i/>
          <w:sz w:val="22"/>
          <w:lang w:eastAsia="es-MX"/>
        </w:rPr>
        <w:t>que</w:t>
      </w:r>
      <w:proofErr w:type="gramEnd"/>
      <w:r w:rsidRPr="008F01D8">
        <w:rPr>
          <w:rFonts w:ascii="Palatino Linotype" w:hAnsi="Palatino Linotype" w:cs="Arial"/>
          <w:i/>
          <w:sz w:val="22"/>
          <w:lang w:eastAsia="es-MX"/>
        </w:rPr>
        <w:t xml:space="preserve"> en ejercicio de las atribuciones conferidas, sea administrada por los Sujetos Obligados, y</w:t>
      </w:r>
    </w:p>
    <w:p w14:paraId="6F18B3C2" w14:textId="77777777" w:rsidR="00EC186A" w:rsidRPr="008F01D8" w:rsidRDefault="00EC186A" w:rsidP="00EC186A">
      <w:pPr>
        <w:spacing w:line="360" w:lineRule="auto"/>
        <w:ind w:left="567" w:right="567"/>
        <w:jc w:val="both"/>
        <w:rPr>
          <w:rFonts w:ascii="Palatino Linotype" w:hAnsi="Palatino Linotype" w:cs="Arial"/>
          <w:i/>
          <w:sz w:val="22"/>
          <w:lang w:eastAsia="es-MX"/>
        </w:rPr>
      </w:pPr>
      <w:r w:rsidRPr="008F01D8">
        <w:rPr>
          <w:rFonts w:ascii="Palatino Linotype" w:hAnsi="Palatino Linotype" w:cs="Arial"/>
          <w:i/>
          <w:sz w:val="22"/>
          <w:lang w:eastAsia="es-MX"/>
        </w:rPr>
        <w:t xml:space="preserve">Que se trate de información registrada en cualquier soporte documental, </w:t>
      </w:r>
      <w:proofErr w:type="gramStart"/>
      <w:r w:rsidRPr="008F01D8">
        <w:rPr>
          <w:rFonts w:ascii="Palatino Linotype" w:hAnsi="Palatino Linotype" w:cs="Arial"/>
          <w:i/>
          <w:sz w:val="22"/>
          <w:lang w:eastAsia="es-MX"/>
        </w:rPr>
        <w:t>que</w:t>
      </w:r>
      <w:proofErr w:type="gramEnd"/>
      <w:r w:rsidRPr="008F01D8">
        <w:rPr>
          <w:rFonts w:ascii="Palatino Linotype" w:hAnsi="Palatino Linotype" w:cs="Arial"/>
          <w:i/>
          <w:sz w:val="22"/>
          <w:lang w:eastAsia="es-MX"/>
        </w:rPr>
        <w:t xml:space="preserve"> en ejercicio de las atribuciones conferidas, se encuentre en posesión de los Sujetos Obligados.”</w:t>
      </w:r>
    </w:p>
    <w:p w14:paraId="21B50839" w14:textId="77777777" w:rsidR="00EC186A" w:rsidRPr="008F01D8" w:rsidRDefault="00EC186A" w:rsidP="00EC186A">
      <w:pPr>
        <w:spacing w:line="360" w:lineRule="auto"/>
        <w:ind w:left="567" w:right="567"/>
        <w:jc w:val="both"/>
        <w:rPr>
          <w:rFonts w:ascii="Palatino Linotype" w:hAnsi="Palatino Linotype" w:cs="Arial"/>
          <w:color w:val="000000" w:themeColor="text1"/>
        </w:rPr>
      </w:pPr>
    </w:p>
    <w:p w14:paraId="3909382B" w14:textId="77777777" w:rsidR="00EC186A" w:rsidRPr="008F01D8" w:rsidRDefault="00EC186A" w:rsidP="00EC186A">
      <w:pPr>
        <w:pStyle w:val="Prrafodelista"/>
        <w:numPr>
          <w:ilvl w:val="0"/>
          <w:numId w:val="1"/>
        </w:numPr>
        <w:spacing w:line="360" w:lineRule="auto"/>
        <w:ind w:left="0" w:firstLine="0"/>
        <w:jc w:val="both"/>
        <w:rPr>
          <w:rFonts w:ascii="Palatino Linotype" w:hAnsi="Palatino Linotype" w:cs="Arial"/>
          <w:lang w:val="es-ES"/>
        </w:rPr>
      </w:pPr>
      <w:r w:rsidRPr="008F01D8">
        <w:rPr>
          <w:rFonts w:ascii="Palatino Linotype" w:hAnsi="Palatino Linotype"/>
          <w:lang w:val="es-ES"/>
        </w:rPr>
        <w:t xml:space="preserve">El derecho de acceso a la información encuentra su materia elemental en los documentos, y la Ley de Transparencia </w:t>
      </w:r>
      <w:proofErr w:type="gramStart"/>
      <w:r w:rsidRPr="008F01D8">
        <w:rPr>
          <w:rFonts w:ascii="Palatino Linotype" w:hAnsi="Palatino Linotype"/>
          <w:lang w:val="es-ES"/>
        </w:rPr>
        <w:t>local  nos</w:t>
      </w:r>
      <w:proofErr w:type="gramEnd"/>
      <w:r w:rsidRPr="008F01D8">
        <w:rPr>
          <w:rFonts w:ascii="Palatino Linotype" w:hAnsi="Palatino Linotype"/>
          <w:lang w:val="es-ES"/>
        </w:rPr>
        <w:t xml:space="preserve"> brinda el siguiente concepto, para darnos un mejor panorama:</w:t>
      </w:r>
    </w:p>
    <w:p w14:paraId="31BC8BB6" w14:textId="77777777" w:rsidR="00EC186A" w:rsidRPr="008F01D8" w:rsidRDefault="00EC186A" w:rsidP="00EC186A">
      <w:pPr>
        <w:pStyle w:val="Prrafodelista"/>
        <w:spacing w:line="360" w:lineRule="auto"/>
        <w:ind w:left="0"/>
        <w:jc w:val="both"/>
        <w:rPr>
          <w:rFonts w:ascii="Palatino Linotype" w:hAnsi="Palatino Linotype" w:cs="Arial"/>
          <w:sz w:val="22"/>
          <w:lang w:val="es-ES"/>
        </w:rPr>
      </w:pPr>
    </w:p>
    <w:p w14:paraId="29488089"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8F01D8">
        <w:rPr>
          <w:rFonts w:ascii="Palatino Linotype" w:hAnsi="Palatino Linotype" w:cs="Bookman Old Style,Bold"/>
          <w:b/>
          <w:bCs/>
          <w:i/>
          <w:sz w:val="22"/>
        </w:rPr>
        <w:t xml:space="preserve">XI. Documento: </w:t>
      </w:r>
      <w:r w:rsidRPr="008F01D8">
        <w:rPr>
          <w:rFonts w:ascii="Palatino Linotype" w:hAnsi="Palatino Linotype" w:cs="Bookman Old Style"/>
          <w:i/>
          <w:sz w:val="22"/>
        </w:rPr>
        <w:t xml:space="preserve">Los expedientes, reportes, estudios, actas, resoluciones, oficios, correspondencia, acuerdos, directivas, directrices, circulares, contratos, convenios, instructivos, notas, memorandos, estadísticas o bien, </w:t>
      </w:r>
      <w:r w:rsidRPr="008F01D8">
        <w:rPr>
          <w:rFonts w:ascii="Palatino Linotype" w:hAnsi="Palatino Linotype" w:cs="Bookman Old Style"/>
          <w:b/>
          <w:i/>
          <w:sz w:val="22"/>
        </w:rPr>
        <w:t>cualquier otro registro</w:t>
      </w:r>
      <w:r w:rsidRPr="008F01D8">
        <w:rPr>
          <w:rFonts w:ascii="Palatino Linotype" w:hAnsi="Palatino Linotype" w:cs="Bookman Old Style"/>
          <w:i/>
          <w:sz w:val="22"/>
        </w:rPr>
        <w:t xml:space="preserve"> que documente el ejercicio de las facultades, funciones y competencias de los sujetos </w:t>
      </w:r>
      <w:r w:rsidRPr="008F01D8">
        <w:rPr>
          <w:rFonts w:ascii="Palatino Linotype" w:hAnsi="Palatino Linotype" w:cs="Bookman Old Style"/>
          <w:i/>
          <w:sz w:val="22"/>
        </w:rPr>
        <w:lastRenderedPageBreak/>
        <w:t>obligados, sus servidores públicos e integrantes, sin importar su fuente o fecha de elaboración. Los documentos podrán estar en cualquier medio, sea escrito, impreso, sonoro, visual, electrónico, informático u holográfico;</w:t>
      </w:r>
    </w:p>
    <w:p w14:paraId="5D77E32E"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i/>
          <w:lang w:val="es-ES"/>
        </w:rPr>
      </w:pPr>
    </w:p>
    <w:p w14:paraId="5B534CA0" w14:textId="77777777" w:rsidR="00EC186A" w:rsidRPr="008F01D8" w:rsidRDefault="00EC186A" w:rsidP="00EC186A">
      <w:pPr>
        <w:pStyle w:val="Prrafodelista"/>
        <w:numPr>
          <w:ilvl w:val="0"/>
          <w:numId w:val="1"/>
        </w:numPr>
        <w:spacing w:line="360" w:lineRule="auto"/>
        <w:ind w:left="0" w:firstLine="0"/>
        <w:jc w:val="both"/>
        <w:rPr>
          <w:rFonts w:ascii="Palatino Linotype" w:hAnsi="Palatino Linotype"/>
          <w:lang w:val="es-ES"/>
        </w:rPr>
      </w:pPr>
      <w:r w:rsidRPr="008F01D8">
        <w:rPr>
          <w:rFonts w:ascii="Palatino Linotype" w:hAnsi="Palatino Linotype"/>
          <w:lang w:val="es-ES"/>
        </w:rPr>
        <w:t xml:space="preserve">Es así que, todos los actos de autoridad que realicen los Sujetos Obligados </w:t>
      </w:r>
      <w:r w:rsidRPr="008F01D8">
        <w:rPr>
          <w:rFonts w:ascii="Palatino Linotype" w:hAnsi="Palatino Linotype"/>
          <w:b/>
          <w:lang w:val="es-ES"/>
        </w:rPr>
        <w:t>deben estar documentados</w:t>
      </w:r>
      <w:r w:rsidRPr="008F01D8">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14:paraId="25AF8C10" w14:textId="77777777" w:rsidR="00EC186A" w:rsidRPr="008F01D8" w:rsidRDefault="00EC186A" w:rsidP="00EC186A">
      <w:pPr>
        <w:pStyle w:val="Prrafodelista"/>
        <w:spacing w:line="360" w:lineRule="auto"/>
        <w:ind w:left="0"/>
        <w:jc w:val="both"/>
        <w:rPr>
          <w:rFonts w:ascii="Palatino Linotype" w:hAnsi="Palatino Linotype"/>
          <w:lang w:val="es-ES"/>
        </w:rPr>
      </w:pPr>
    </w:p>
    <w:p w14:paraId="5A9D17E7" w14:textId="77777777" w:rsidR="00EC186A" w:rsidRPr="008F01D8" w:rsidRDefault="00EC186A" w:rsidP="00EC186A">
      <w:pPr>
        <w:pStyle w:val="Prrafodelista"/>
        <w:numPr>
          <w:ilvl w:val="0"/>
          <w:numId w:val="1"/>
        </w:numPr>
        <w:spacing w:line="360" w:lineRule="auto"/>
        <w:ind w:left="0" w:firstLine="0"/>
        <w:jc w:val="both"/>
        <w:rPr>
          <w:rFonts w:ascii="Palatino Linotype" w:eastAsia="Calibri" w:hAnsi="Palatino Linotype" w:cs="Arial"/>
        </w:rPr>
      </w:pPr>
      <w:r w:rsidRPr="008F01D8">
        <w:rPr>
          <w:rFonts w:ascii="Palatino Linotype" w:eastAsia="Times New Roman" w:hAnsi="Palatino Linotype" w:cs="Arial"/>
          <w:color w:val="000000"/>
        </w:rPr>
        <w:t>Además, debemos tomar en cuenta los artículos 4 y 12, de la Ley de Transparencia y Acceso a la Información Pública del Estado de México y Municipios, los cuales establecen lo siguiente:</w:t>
      </w:r>
    </w:p>
    <w:p w14:paraId="15AF3D39" w14:textId="77777777" w:rsidR="004A4238" w:rsidRPr="008F01D8" w:rsidRDefault="004A4238" w:rsidP="004A4238">
      <w:pPr>
        <w:pStyle w:val="Prrafodelista"/>
        <w:rPr>
          <w:rFonts w:ascii="Palatino Linotype" w:eastAsia="Calibri" w:hAnsi="Palatino Linotype" w:cs="Arial"/>
        </w:rPr>
      </w:pPr>
    </w:p>
    <w:p w14:paraId="5371DF76"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8F01D8">
        <w:rPr>
          <w:rFonts w:ascii="Palatino Linotype" w:hAnsi="Palatino Linotype" w:cs="Bookman Old Style,Bold"/>
          <w:b/>
          <w:bCs/>
          <w:i/>
          <w:sz w:val="22"/>
        </w:rPr>
        <w:t xml:space="preserve">Artículo 4. </w:t>
      </w:r>
      <w:r w:rsidRPr="008F01D8">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529693B9"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8F01D8">
        <w:rPr>
          <w:rFonts w:ascii="Palatino Linotype" w:hAnsi="Palatino Linotype" w:cs="Bookman Old Style"/>
          <w:b/>
          <w:i/>
          <w:sz w:val="22"/>
        </w:rPr>
        <w:t>Toda la información</w:t>
      </w:r>
      <w:r w:rsidRPr="008F01D8">
        <w:rPr>
          <w:rFonts w:ascii="Palatino Linotype" w:hAnsi="Palatino Linotype" w:cs="Bookman Old Style"/>
          <w:i/>
          <w:sz w:val="22"/>
        </w:rPr>
        <w:t xml:space="preserve"> generada, obtenida, adquirida, transformada, administrada o </w:t>
      </w:r>
      <w:r w:rsidRPr="008F01D8">
        <w:rPr>
          <w:rFonts w:ascii="Palatino Linotype" w:hAnsi="Palatino Linotype" w:cs="Bookman Old Style"/>
          <w:b/>
          <w:i/>
          <w:sz w:val="22"/>
        </w:rPr>
        <w:t>en posesión de los sujetos obligados es pública</w:t>
      </w:r>
      <w:r w:rsidRPr="008F01D8">
        <w:rPr>
          <w:rFonts w:ascii="Palatino Linotype" w:hAnsi="Palatino Linotype" w:cs="Bookman Old Style"/>
          <w:i/>
          <w:sz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5AE0296"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8F01D8">
        <w:rPr>
          <w:rFonts w:ascii="Palatino Linotype" w:hAnsi="Palatino Linotype" w:cs="Bookman Old Style"/>
          <w:i/>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2FA6214A"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Bookman Old Style"/>
          <w:i/>
          <w:sz w:val="22"/>
        </w:rPr>
      </w:pPr>
    </w:p>
    <w:p w14:paraId="1357E3D6"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8F01D8">
        <w:rPr>
          <w:rFonts w:ascii="Palatino Linotype" w:hAnsi="Palatino Linotype" w:cs="Bookman Old Style"/>
          <w:i/>
          <w:sz w:val="22"/>
        </w:rPr>
        <w:t>Artículo 12. Quienes generen, recopilen, administren, manejen, procesen, archiven o conserven información pública serán responsables de la misma en los términos de las disposiciones jurídicas aplicables.</w:t>
      </w:r>
    </w:p>
    <w:p w14:paraId="2DCC34F4" w14:textId="77777777" w:rsidR="00EC186A" w:rsidRPr="008F01D8"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8F01D8">
        <w:rPr>
          <w:rFonts w:ascii="Palatino Linotype" w:hAnsi="Palatino Linotype" w:cs="Bookman Old Style"/>
          <w:b/>
          <w:i/>
          <w:sz w:val="22"/>
        </w:rPr>
        <w:t>Los sujetos obligados sólo proporcionarán la información pública que se les requiera y que obre en sus archivos y en el estado en que ésta se encuentre</w:t>
      </w:r>
      <w:r w:rsidRPr="008F01D8">
        <w:rPr>
          <w:rFonts w:ascii="Palatino Linotype" w:hAnsi="Palatino Linotype" w:cs="Bookman Old Style"/>
          <w:i/>
          <w:sz w:val="22"/>
        </w:rPr>
        <w:t>. La obligación de proporcionar información no comprende el procesamiento de la misma, ni el presentarla conforme al interés del solicitante; no estarán obligados a generarla, resumirla, efectuar cálculos o practicar investigaciones.</w:t>
      </w:r>
      <w:r w:rsidRPr="008F01D8">
        <w:rPr>
          <w:rFonts w:ascii="Palatino Linotype" w:hAnsi="Palatino Linotype" w:cs="Bookman Old Style"/>
          <w:i/>
          <w:sz w:val="22"/>
        </w:rPr>
        <w:cr/>
      </w:r>
    </w:p>
    <w:p w14:paraId="0E182E90" w14:textId="77777777" w:rsidR="00EC186A" w:rsidRPr="008F01D8" w:rsidRDefault="00EC186A" w:rsidP="00EC186A">
      <w:pPr>
        <w:pStyle w:val="Prrafodelista"/>
        <w:numPr>
          <w:ilvl w:val="0"/>
          <w:numId w:val="1"/>
        </w:numPr>
        <w:spacing w:line="360" w:lineRule="auto"/>
        <w:ind w:left="0" w:firstLine="0"/>
        <w:jc w:val="both"/>
        <w:rPr>
          <w:rFonts w:ascii="Palatino Linotype" w:hAnsi="Palatino Linotype"/>
          <w:lang w:val="es-ES"/>
        </w:rPr>
      </w:pPr>
      <w:r w:rsidRPr="008F01D8">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F01D8">
        <w:rPr>
          <w:rStyle w:val="Refdenotaalpie"/>
          <w:rFonts w:ascii="Palatino Linotype" w:hAnsi="Palatino Linotype"/>
          <w:lang w:val="es-ES"/>
        </w:rPr>
        <w:footnoteReference w:id="7"/>
      </w:r>
      <w:r w:rsidRPr="008F01D8">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0BF0D73" w14:textId="77777777" w:rsidR="00EC186A" w:rsidRPr="008F01D8" w:rsidRDefault="00EC186A" w:rsidP="00EC186A">
      <w:pPr>
        <w:pStyle w:val="Prrafodelista"/>
        <w:tabs>
          <w:tab w:val="left" w:pos="851"/>
        </w:tabs>
        <w:spacing w:line="360" w:lineRule="auto"/>
        <w:ind w:left="0" w:right="49"/>
        <w:jc w:val="both"/>
        <w:rPr>
          <w:rFonts w:ascii="Palatino Linotype" w:hAnsi="Palatino Linotype"/>
          <w:lang w:val="es-ES"/>
        </w:rPr>
      </w:pPr>
    </w:p>
    <w:p w14:paraId="4C73C506" w14:textId="77777777" w:rsidR="00EC186A" w:rsidRPr="008F01D8" w:rsidRDefault="00EC186A" w:rsidP="00EC186A">
      <w:pPr>
        <w:pStyle w:val="Prrafodelista"/>
        <w:numPr>
          <w:ilvl w:val="0"/>
          <w:numId w:val="1"/>
        </w:numPr>
        <w:spacing w:line="360" w:lineRule="auto"/>
        <w:ind w:left="0" w:firstLine="0"/>
        <w:jc w:val="both"/>
        <w:rPr>
          <w:rFonts w:ascii="Palatino Linotype" w:hAnsi="Palatino Linotype"/>
          <w:lang w:val="es-ES"/>
        </w:rPr>
      </w:pPr>
      <w:r w:rsidRPr="008F01D8">
        <w:rPr>
          <w:rFonts w:ascii="Palatino Linotype" w:hAnsi="Palatino Linotype"/>
          <w:lang w:val="es-ES"/>
        </w:rPr>
        <w:lastRenderedPageBreak/>
        <w:t>Robustece lo anterior la Tesis aislada identificada con la clave I.</w:t>
      </w:r>
      <w:proofErr w:type="gramStart"/>
      <w:r w:rsidRPr="008F01D8">
        <w:rPr>
          <w:rFonts w:ascii="Palatino Linotype" w:hAnsi="Palatino Linotype"/>
          <w:lang w:val="es-ES"/>
        </w:rPr>
        <w:t>4º.A.</w:t>
      </w:r>
      <w:proofErr w:type="gramEnd"/>
      <w:r w:rsidRPr="008F01D8">
        <w:rPr>
          <w:rFonts w:ascii="Palatino Linotype" w:hAnsi="Palatino Linotype"/>
          <w:lang w:val="es-ES"/>
        </w:rPr>
        <w:t>40 A del Cuarto Tribunal colegiado en Materia Administrativa del Primer Circuito, publicada en el Seminario Judicial de la Federación y su Gaceta en el libro XVIII, Marzo 2013, Página 1899.</w:t>
      </w:r>
    </w:p>
    <w:p w14:paraId="105A65A1" w14:textId="77777777" w:rsidR="00EC186A" w:rsidRPr="008F01D8" w:rsidRDefault="00EC186A" w:rsidP="00EC186A">
      <w:pPr>
        <w:pStyle w:val="Prrafodelista"/>
        <w:spacing w:line="360" w:lineRule="auto"/>
        <w:jc w:val="both"/>
        <w:rPr>
          <w:rFonts w:ascii="Palatino Linotype" w:hAnsi="Palatino Linotype"/>
          <w:sz w:val="22"/>
          <w:lang w:val="es-ES"/>
        </w:rPr>
      </w:pPr>
    </w:p>
    <w:p w14:paraId="76F97AEC" w14:textId="77777777" w:rsidR="00EC186A" w:rsidRPr="008F01D8" w:rsidRDefault="00EC186A" w:rsidP="00EC186A">
      <w:pPr>
        <w:pStyle w:val="Prrafodelista"/>
        <w:tabs>
          <w:tab w:val="left" w:pos="851"/>
        </w:tabs>
        <w:spacing w:line="360" w:lineRule="auto"/>
        <w:ind w:left="567" w:right="567"/>
        <w:jc w:val="both"/>
        <w:rPr>
          <w:rFonts w:ascii="Palatino Linotype" w:hAnsi="Palatino Linotype"/>
          <w:i/>
          <w:sz w:val="22"/>
        </w:rPr>
      </w:pPr>
      <w:r w:rsidRPr="008F01D8">
        <w:rPr>
          <w:rFonts w:ascii="Palatino Linotype" w:hAnsi="Palatino Linotype"/>
          <w:b/>
          <w:i/>
          <w:sz w:val="22"/>
        </w:rPr>
        <w:t>ACCESO A LA INFORMACIÓN. IMPLICACIÓN DEL PRINCIPIO DE MÁXIMA PUBLICIDAD EN EL DERECHO FUNDAMENTAL RELATIVO.</w:t>
      </w:r>
      <w:r w:rsidRPr="008F01D8">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w:t>
      </w:r>
      <w:r w:rsidRPr="008F01D8">
        <w:rPr>
          <w:rFonts w:ascii="Palatino Linotype" w:hAnsi="Palatino Linotype"/>
          <w:i/>
          <w:sz w:val="22"/>
        </w:rPr>
        <w:lastRenderedPageBreak/>
        <w:t xml:space="preserve">legislación secundaria y justificados bajo determinadas circunstancias, se podrá clasificar como confidencial o reservada, esto es, considerarla con una calidad diversa. </w:t>
      </w:r>
    </w:p>
    <w:p w14:paraId="4555E075" w14:textId="77777777" w:rsidR="00EC186A" w:rsidRPr="008F01D8" w:rsidRDefault="00EC186A" w:rsidP="00EC186A">
      <w:pPr>
        <w:pStyle w:val="Prrafodelista"/>
        <w:tabs>
          <w:tab w:val="left" w:pos="851"/>
        </w:tabs>
        <w:spacing w:line="360" w:lineRule="auto"/>
        <w:ind w:left="567" w:right="567"/>
        <w:jc w:val="both"/>
        <w:rPr>
          <w:rFonts w:ascii="Palatino Linotype" w:hAnsi="Palatino Linotype"/>
          <w:i/>
          <w:sz w:val="22"/>
        </w:rPr>
      </w:pPr>
      <w:r w:rsidRPr="008F01D8">
        <w:rPr>
          <w:rFonts w:ascii="Palatino Linotype" w:hAnsi="Palatino Linotype"/>
          <w:i/>
          <w:sz w:val="22"/>
        </w:rPr>
        <w:t xml:space="preserve">CUARTO TRIBUNAL COLEGIADO EN MATERIA ADMINISTRATIVA DEL PRIMER CIRCUITO. </w:t>
      </w:r>
    </w:p>
    <w:p w14:paraId="0A90D142" w14:textId="77777777" w:rsidR="00EC186A" w:rsidRPr="008F01D8" w:rsidRDefault="00EC186A" w:rsidP="00EC186A">
      <w:pPr>
        <w:pStyle w:val="Prrafodelista"/>
        <w:tabs>
          <w:tab w:val="left" w:pos="851"/>
        </w:tabs>
        <w:spacing w:line="360" w:lineRule="auto"/>
        <w:ind w:left="567" w:right="567"/>
        <w:jc w:val="both"/>
        <w:rPr>
          <w:rFonts w:ascii="Palatino Linotype" w:hAnsi="Palatino Linotype"/>
          <w:i/>
          <w:sz w:val="22"/>
        </w:rPr>
      </w:pPr>
      <w:r w:rsidRPr="008F01D8">
        <w:rPr>
          <w:rFonts w:ascii="Palatino Linotype" w:hAnsi="Palatino Linotype"/>
          <w:i/>
          <w:sz w:val="22"/>
        </w:rPr>
        <w:t>Amparo en revisión 257/2012. Ruth Corona Muñoz. 6 de diciembre de 2012. Unanimidad de votos. Ponente: Jean Claude Tron Petit. Secretaria: Mayra Susana Martínez López.</w:t>
      </w:r>
    </w:p>
    <w:p w14:paraId="70B881E7" w14:textId="77777777" w:rsidR="00EC186A" w:rsidRPr="008F01D8" w:rsidRDefault="00EC186A" w:rsidP="00EC186A">
      <w:pPr>
        <w:spacing w:line="360" w:lineRule="auto"/>
        <w:ind w:right="49"/>
        <w:contextualSpacing/>
        <w:jc w:val="both"/>
        <w:rPr>
          <w:rFonts w:ascii="Palatino Linotype" w:hAnsi="Palatino Linotype" w:cs="Arial"/>
          <w:b/>
        </w:rPr>
      </w:pPr>
    </w:p>
    <w:p w14:paraId="715C6C35" w14:textId="77777777" w:rsidR="00EC186A" w:rsidRPr="008F01D8" w:rsidRDefault="00EC186A" w:rsidP="00EC186A">
      <w:pPr>
        <w:keepNext/>
        <w:keepLines/>
        <w:spacing w:line="360" w:lineRule="auto"/>
        <w:outlineLvl w:val="0"/>
        <w:rPr>
          <w:rFonts w:ascii="Palatino Linotype" w:eastAsiaTheme="majorEastAsia" w:hAnsi="Palatino Linotype" w:cstheme="majorBidi"/>
          <w:b/>
          <w:color w:val="000000" w:themeColor="text1"/>
        </w:rPr>
      </w:pPr>
      <w:r w:rsidRPr="008F01D8">
        <w:rPr>
          <w:rFonts w:ascii="Palatino Linotype" w:eastAsiaTheme="majorEastAsia" w:hAnsi="Palatino Linotype" w:cstheme="majorBidi"/>
          <w:b/>
          <w:color w:val="000000" w:themeColor="text1"/>
        </w:rPr>
        <w:t>QUINTO. De la versión pública.</w:t>
      </w:r>
    </w:p>
    <w:p w14:paraId="48E13691" w14:textId="77777777" w:rsidR="004A4238" w:rsidRPr="008F01D8" w:rsidRDefault="004A4238" w:rsidP="004A4238">
      <w:pPr>
        <w:keepNext/>
        <w:keepLines/>
        <w:numPr>
          <w:ilvl w:val="0"/>
          <w:numId w:val="9"/>
        </w:numPr>
        <w:tabs>
          <w:tab w:val="left" w:pos="284"/>
        </w:tabs>
        <w:spacing w:line="360" w:lineRule="auto"/>
        <w:outlineLvl w:val="0"/>
        <w:rPr>
          <w:rFonts w:ascii="Palatino Linotype" w:eastAsiaTheme="majorEastAsia" w:hAnsi="Palatino Linotype" w:cs="Times New Roman"/>
          <w:b/>
          <w:color w:val="000000" w:themeColor="text1"/>
          <w:lang w:eastAsia="es-ES_tradnl"/>
        </w:rPr>
      </w:pPr>
      <w:r w:rsidRPr="008F01D8">
        <w:rPr>
          <w:rFonts w:ascii="Palatino Linotype" w:eastAsiaTheme="majorEastAsia" w:hAnsi="Palatino Linotype" w:cs="Times New Roman"/>
          <w:b/>
          <w:color w:val="000000" w:themeColor="text1"/>
          <w:lang w:eastAsia="es-ES_tradnl"/>
        </w:rPr>
        <w:t xml:space="preserve">Nociones generales. </w:t>
      </w:r>
    </w:p>
    <w:p w14:paraId="02F73C8F" w14:textId="77777777" w:rsidR="004A4238" w:rsidRPr="008F01D8" w:rsidRDefault="004A4238" w:rsidP="004A4238">
      <w:pPr>
        <w:numPr>
          <w:ilvl w:val="0"/>
          <w:numId w:val="1"/>
        </w:numPr>
        <w:spacing w:line="360" w:lineRule="auto"/>
        <w:ind w:left="0" w:firstLine="0"/>
        <w:contextualSpacing/>
        <w:jc w:val="both"/>
        <w:rPr>
          <w:rFonts w:ascii="Palatino Linotype" w:hAnsi="Palatino Linotype" w:cs="Arial"/>
          <w:color w:val="000000"/>
        </w:rPr>
      </w:pPr>
      <w:r w:rsidRPr="008F01D8">
        <w:rPr>
          <w:rFonts w:ascii="Palatino Linotype" w:hAnsi="Palatino Linotype" w:cs="Arial"/>
          <w:color w:val="000000"/>
        </w:rPr>
        <w:t>Debe destacarse que, debido a la naturaleza de la información solicitada</w:t>
      </w:r>
      <w:r w:rsidRPr="008F01D8">
        <w:rPr>
          <w:rFonts w:ascii="Palatino Linotype" w:hAnsi="Palatino Linotype" w:cs="Arial"/>
          <w:b/>
          <w:color w:val="000000"/>
        </w:rPr>
        <w:t xml:space="preserve">, </w:t>
      </w:r>
      <w:r w:rsidRPr="008F01D8">
        <w:rPr>
          <w:rFonts w:ascii="Palatino Linotype" w:hAnsi="Palatino Linotype"/>
        </w:rPr>
        <w:t>eventualmente</w:t>
      </w:r>
      <w:r w:rsidRPr="008F01D8">
        <w:rPr>
          <w:rFonts w:ascii="Palatino Linotype" w:hAnsi="Palatino Linotype" w:cs="Arial"/>
          <w:color w:val="000000"/>
        </w:rPr>
        <w:t xml:space="preserve"> pudiera obrar datos personales susceptibles de protegerse, así como información </w:t>
      </w:r>
      <w:r w:rsidRPr="008F01D8">
        <w:rPr>
          <w:rFonts w:ascii="Palatino Linotype" w:hAnsi="Palatino Linotype"/>
        </w:rPr>
        <w:t>susceptible</w:t>
      </w:r>
      <w:r w:rsidRPr="008F01D8">
        <w:rPr>
          <w:rFonts w:ascii="Palatino Linotype" w:hAnsi="Palatino Linotype" w:cs="Arial"/>
          <w:color w:val="000000"/>
        </w:rPr>
        <w:t xml:space="preserve"> de clasificarse como reservada, el </w:t>
      </w:r>
      <w:r w:rsidRPr="008F01D8">
        <w:rPr>
          <w:rFonts w:ascii="Palatino Linotype" w:hAnsi="Palatino Linotype" w:cs="Arial"/>
          <w:b/>
          <w:bCs/>
          <w:color w:val="000000"/>
        </w:rPr>
        <w:t xml:space="preserve">SUJETO OBLIGADO </w:t>
      </w:r>
      <w:r w:rsidRPr="008F01D8">
        <w:rPr>
          <w:rFonts w:ascii="Palatino Linotype" w:hAnsi="Palatino Linotype" w:cs="Arial"/>
          <w:color w:val="000000"/>
        </w:rPr>
        <w:t xml:space="preserve">deberá de hacer la adecuada versión pública, protegiendo los datos que no son susceptibles de ser proporcionados. </w:t>
      </w:r>
    </w:p>
    <w:p w14:paraId="61DAF24B" w14:textId="77777777" w:rsidR="004A4238" w:rsidRPr="008F01D8" w:rsidRDefault="004A4238" w:rsidP="004A4238">
      <w:pPr>
        <w:spacing w:line="360" w:lineRule="auto"/>
        <w:contextualSpacing/>
        <w:jc w:val="both"/>
        <w:rPr>
          <w:rFonts w:ascii="Palatino Linotype" w:hAnsi="Palatino Linotype" w:cs="Arial"/>
          <w:color w:val="000000"/>
        </w:rPr>
      </w:pPr>
    </w:p>
    <w:p w14:paraId="278E17DE" w14:textId="77777777" w:rsidR="004A4238" w:rsidRPr="008F01D8" w:rsidRDefault="004A4238" w:rsidP="004A4238">
      <w:pPr>
        <w:numPr>
          <w:ilvl w:val="0"/>
          <w:numId w:val="1"/>
        </w:numPr>
        <w:spacing w:line="360" w:lineRule="auto"/>
        <w:ind w:left="0" w:firstLine="0"/>
        <w:contextualSpacing/>
        <w:jc w:val="both"/>
        <w:rPr>
          <w:rFonts w:ascii="Palatino Linotype" w:hAnsi="Palatino Linotype" w:cs="Arial"/>
          <w:color w:val="000000"/>
        </w:rPr>
      </w:pPr>
      <w:r w:rsidRPr="008F01D8">
        <w:rPr>
          <w:rFonts w:ascii="Palatino Linotype" w:hAnsi="Palatino Linotype" w:cs="Arial"/>
          <w:color w:val="000000"/>
        </w:rPr>
        <w:t xml:space="preserve">No pasa desapercibido para este Órgano Garante que los </w:t>
      </w:r>
      <w:r w:rsidRPr="008F01D8">
        <w:rPr>
          <w:rFonts w:ascii="Palatino Linotype" w:hAnsi="Palatino Linotype" w:cs="Arial"/>
          <w:bCs/>
          <w:color w:val="000000"/>
        </w:rPr>
        <w:t>sujetos obligados</w:t>
      </w:r>
      <w:r w:rsidRPr="008F01D8">
        <w:rPr>
          <w:rFonts w:ascii="Palatino Linotype" w:hAnsi="Palatino Linotype" w:cs="Arial"/>
          <w:b/>
          <w:bCs/>
          <w:color w:val="000000"/>
        </w:rPr>
        <w:t xml:space="preserve"> </w:t>
      </w:r>
      <w:r w:rsidRPr="008F01D8">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1366A5B" w14:textId="77777777" w:rsidR="004A4238" w:rsidRPr="008F01D8" w:rsidRDefault="004A4238" w:rsidP="004A4238">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4A4238" w:rsidRPr="008F01D8" w14:paraId="3BB82675" w14:textId="77777777" w:rsidTr="003E4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F9ADC34" w14:textId="77777777" w:rsidR="004A4238" w:rsidRPr="008F01D8" w:rsidRDefault="004A4238" w:rsidP="003E4886">
            <w:pPr>
              <w:tabs>
                <w:tab w:val="left" w:pos="284"/>
              </w:tabs>
              <w:spacing w:line="360" w:lineRule="auto"/>
              <w:rPr>
                <w:rFonts w:ascii="Palatino Linotype" w:hAnsi="Palatino Linotype"/>
                <w:sz w:val="20"/>
              </w:rPr>
            </w:pPr>
            <w:r w:rsidRPr="008F01D8">
              <w:rPr>
                <w:rFonts w:ascii="Palatino Linotype" w:hAnsi="Palatino Linotype" w:cstheme="majorBidi"/>
                <w:sz w:val="20"/>
              </w:rPr>
              <w:t>a) Requisitos previos.</w:t>
            </w:r>
          </w:p>
        </w:tc>
        <w:tc>
          <w:tcPr>
            <w:tcW w:w="6237" w:type="dxa"/>
            <w:hideMark/>
          </w:tcPr>
          <w:p w14:paraId="22FEAB1B" w14:textId="77777777" w:rsidR="004A4238" w:rsidRPr="008F01D8" w:rsidRDefault="004A4238" w:rsidP="003E488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 xml:space="preserve">Los artículos 100 y 122 de la Ley Estatal y de la Ley General, respectivamente, señalan </w:t>
            </w:r>
            <w:proofErr w:type="gramStart"/>
            <w:r w:rsidRPr="008F01D8">
              <w:rPr>
                <w:rFonts w:ascii="Palatino Linotype" w:hAnsi="Palatino Linotype" w:cs="Arial"/>
                <w:color w:val="000000"/>
                <w:sz w:val="20"/>
              </w:rPr>
              <w:t>que</w:t>
            </w:r>
            <w:proofErr w:type="gramEnd"/>
            <w:r w:rsidRPr="008F01D8">
              <w:rPr>
                <w:rFonts w:ascii="Palatino Linotype" w:hAnsi="Palatino Linotype" w:cs="Arial"/>
                <w:color w:val="000000"/>
                <w:sz w:val="20"/>
              </w:rPr>
              <w:t xml:space="preserve"> si los Sujetos Obligados determinan </w:t>
            </w:r>
            <w:r w:rsidRPr="008F01D8">
              <w:rPr>
                <w:rFonts w:ascii="Palatino Linotype" w:hAnsi="Palatino Linotype" w:cs="Arial"/>
                <w:color w:val="000000"/>
                <w:sz w:val="20"/>
              </w:rPr>
              <w:lastRenderedPageBreak/>
              <w:t xml:space="preserve">que la información actualiza alguno de los supuestos de clasificación, es deber de los titulares de las áreas proponer su clasificación y no del Comité de Transparencia. </w:t>
            </w:r>
          </w:p>
          <w:p w14:paraId="1EF6FA29" w14:textId="77777777" w:rsidR="004A4238" w:rsidRPr="008F01D8" w:rsidRDefault="004A4238" w:rsidP="003E488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Al hacerlo tienen que precisar de qué información se trata, señalando el supuesto de clasificación (confidencialidad o reserva).</w:t>
            </w:r>
          </w:p>
          <w:p w14:paraId="03E7B816" w14:textId="77777777" w:rsidR="004A4238" w:rsidRPr="008F01D8" w:rsidRDefault="004A4238" w:rsidP="003E4886">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Además, se debe señalar el procedimiento, de los tres que establecen los artículos 132 y 106 de la Ley Estatal y General, respectivamente.</w:t>
            </w:r>
          </w:p>
          <w:p w14:paraId="6B8DD884" w14:textId="77777777" w:rsidR="004A4238" w:rsidRPr="008F01D8" w:rsidRDefault="004A4238" w:rsidP="003E488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8F01D8">
              <w:rPr>
                <w:rFonts w:ascii="Palatino Linotype" w:hAnsi="Palatino Linotype" w:cs="Arial"/>
                <w:color w:val="000000"/>
                <w:sz w:val="20"/>
              </w:rPr>
              <w:t xml:space="preserve">El último de estos requisitos previos consiste en que no se pueden emitir acuerdos de carácter general ni particular, esto es, </w:t>
            </w:r>
            <w:r w:rsidRPr="008F01D8">
              <w:rPr>
                <w:rFonts w:ascii="Palatino Linotype" w:hAnsi="Palatino Linotype" w:cs="Arial"/>
                <w:color w:val="000000"/>
                <w:sz w:val="20"/>
                <w:u w:val="single"/>
              </w:rPr>
              <w:t>no se puede hacer un acuerdo para clasificar de manera general todos los documentos de un expediente o área, sin</w:t>
            </w:r>
            <w:r w:rsidRPr="008F01D8">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4A4238" w:rsidRPr="008F01D8" w14:paraId="38391521" w14:textId="77777777" w:rsidTr="003E4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2A81C90" w14:textId="77777777" w:rsidR="004A4238" w:rsidRPr="008F01D8" w:rsidRDefault="004A4238" w:rsidP="003E4886">
            <w:pPr>
              <w:tabs>
                <w:tab w:val="left" w:pos="284"/>
              </w:tabs>
              <w:spacing w:line="360" w:lineRule="auto"/>
              <w:rPr>
                <w:rFonts w:ascii="Palatino Linotype" w:hAnsi="Palatino Linotype"/>
                <w:sz w:val="20"/>
              </w:rPr>
            </w:pPr>
            <w:r w:rsidRPr="008F01D8">
              <w:rPr>
                <w:rFonts w:ascii="Palatino Linotype" w:hAnsi="Palatino Linotype" w:cstheme="majorBidi"/>
                <w:sz w:val="20"/>
              </w:rPr>
              <w:lastRenderedPageBreak/>
              <w:t>b) Supuestos de clasificación.</w:t>
            </w:r>
          </w:p>
        </w:tc>
        <w:tc>
          <w:tcPr>
            <w:tcW w:w="6237" w:type="dxa"/>
            <w:hideMark/>
          </w:tcPr>
          <w:p w14:paraId="265C93C9" w14:textId="77777777" w:rsidR="004A4238" w:rsidRPr="008F01D8" w:rsidRDefault="004A4238" w:rsidP="003E488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489E46D5" w14:textId="77777777" w:rsidR="004A4238" w:rsidRPr="008F01D8" w:rsidRDefault="004A4238" w:rsidP="003E488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B1037C9" w14:textId="77777777" w:rsidR="004A4238" w:rsidRPr="008F01D8" w:rsidRDefault="004A4238" w:rsidP="003E488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8F01D8">
              <w:rPr>
                <w:rFonts w:ascii="Palatino Linotype" w:hAnsi="Palatino Linotype" w:cs="Arial"/>
                <w:color w:val="000000"/>
                <w:sz w:val="20"/>
              </w:rPr>
              <w:lastRenderedPageBreak/>
              <w:t xml:space="preserve">El </w:t>
            </w:r>
            <w:r w:rsidRPr="008F01D8">
              <w:rPr>
                <w:rFonts w:ascii="Palatino Linotype" w:hAnsi="Palatino Linotype" w:cs="Arial"/>
                <w:b/>
                <w:color w:val="000000"/>
                <w:sz w:val="20"/>
              </w:rPr>
              <w:t>Sujeto Obligado</w:t>
            </w:r>
            <w:r w:rsidRPr="008F01D8">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A4238" w:rsidRPr="008F01D8" w14:paraId="726937AF" w14:textId="77777777" w:rsidTr="003E4886">
        <w:tc>
          <w:tcPr>
            <w:cnfStyle w:val="001000000000" w:firstRow="0" w:lastRow="0" w:firstColumn="1" w:lastColumn="0" w:oddVBand="0" w:evenVBand="0" w:oddHBand="0" w:evenHBand="0" w:firstRowFirstColumn="0" w:firstRowLastColumn="0" w:lastRowFirstColumn="0" w:lastRowLastColumn="0"/>
            <w:tcW w:w="2689" w:type="dxa"/>
            <w:hideMark/>
          </w:tcPr>
          <w:p w14:paraId="00EC5741" w14:textId="77777777" w:rsidR="004A4238" w:rsidRPr="008F01D8" w:rsidRDefault="004A4238" w:rsidP="003E4886">
            <w:pPr>
              <w:tabs>
                <w:tab w:val="left" w:pos="284"/>
              </w:tabs>
              <w:spacing w:line="360" w:lineRule="auto"/>
              <w:rPr>
                <w:rFonts w:ascii="Palatino Linotype" w:hAnsi="Palatino Linotype"/>
                <w:sz w:val="20"/>
              </w:rPr>
            </w:pPr>
            <w:r w:rsidRPr="008F01D8">
              <w:rPr>
                <w:rFonts w:ascii="Palatino Linotype" w:hAnsi="Palatino Linotype" w:cstheme="majorBidi"/>
                <w:sz w:val="20"/>
              </w:rPr>
              <w:lastRenderedPageBreak/>
              <w:t>c) Formalidades para emitir el acuerdo de clasificación.</w:t>
            </w:r>
          </w:p>
        </w:tc>
        <w:tc>
          <w:tcPr>
            <w:tcW w:w="6237" w:type="dxa"/>
            <w:hideMark/>
          </w:tcPr>
          <w:p w14:paraId="05DBF7F0" w14:textId="77777777" w:rsidR="004A4238" w:rsidRPr="008F01D8" w:rsidRDefault="004A4238" w:rsidP="003E488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2C362D1" w14:textId="77777777" w:rsidR="004A4238" w:rsidRPr="008F01D8" w:rsidRDefault="004A4238" w:rsidP="003E488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 xml:space="preserve">Es necesario que </w:t>
            </w:r>
            <w:r w:rsidRPr="008F01D8">
              <w:rPr>
                <w:rFonts w:ascii="Palatino Linotype" w:hAnsi="Palatino Linotype" w:cs="Arial"/>
                <w:b/>
                <w:color w:val="000000"/>
                <w:sz w:val="20"/>
                <w:u w:val="single"/>
              </w:rPr>
              <w:t>el acto reúna con los requisitos elementales</w:t>
            </w:r>
            <w:r w:rsidRPr="008F01D8">
              <w:rPr>
                <w:rFonts w:ascii="Palatino Linotype" w:hAnsi="Palatino Linotype" w:cs="Arial"/>
                <w:color w:val="000000"/>
                <w:sz w:val="20"/>
              </w:rPr>
              <w:t>, entre ellos, que la autoridad que va a emitir el acto de autoridad sea la legalmente facultada para ello.</w:t>
            </w:r>
          </w:p>
          <w:p w14:paraId="7CB2CCD6" w14:textId="77777777" w:rsidR="004A4238" w:rsidRPr="008F01D8" w:rsidRDefault="004A4238" w:rsidP="003E488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F01D8">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A4238" w:rsidRPr="008F01D8" w14:paraId="0D6803E2" w14:textId="77777777" w:rsidTr="003E4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98A1DD9" w14:textId="77777777" w:rsidR="004A4238" w:rsidRPr="008F01D8" w:rsidRDefault="004A4238" w:rsidP="003E4886">
            <w:pPr>
              <w:tabs>
                <w:tab w:val="left" w:pos="284"/>
              </w:tabs>
              <w:spacing w:line="360" w:lineRule="auto"/>
              <w:rPr>
                <w:rFonts w:ascii="Palatino Linotype" w:hAnsi="Palatino Linotype"/>
                <w:sz w:val="20"/>
              </w:rPr>
            </w:pPr>
          </w:p>
          <w:p w14:paraId="52A7EF9D" w14:textId="77777777" w:rsidR="004A4238" w:rsidRPr="008F01D8" w:rsidRDefault="004A4238" w:rsidP="003E4886">
            <w:pPr>
              <w:tabs>
                <w:tab w:val="left" w:pos="284"/>
              </w:tabs>
              <w:spacing w:line="360" w:lineRule="auto"/>
              <w:jc w:val="both"/>
              <w:rPr>
                <w:rFonts w:ascii="Palatino Linotype" w:hAnsi="Palatino Linotype"/>
                <w:sz w:val="20"/>
              </w:rPr>
            </w:pPr>
            <w:r w:rsidRPr="008F01D8">
              <w:rPr>
                <w:rFonts w:ascii="Palatino Linotype" w:hAnsi="Palatino Linotype" w:cs="Arial"/>
                <w:color w:val="000000"/>
                <w:sz w:val="20"/>
              </w:rPr>
              <w:t xml:space="preserve">d) Requisitos de fondo del acuerdo de clasificación. </w:t>
            </w:r>
          </w:p>
        </w:tc>
        <w:tc>
          <w:tcPr>
            <w:tcW w:w="6237" w:type="dxa"/>
            <w:hideMark/>
          </w:tcPr>
          <w:p w14:paraId="0FA03573" w14:textId="77777777" w:rsidR="004A4238" w:rsidRPr="008F01D8" w:rsidRDefault="004A4238" w:rsidP="003E488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F01D8">
              <w:rPr>
                <w:rFonts w:ascii="Palatino Linotype" w:hAnsi="Palatino Linotype" w:cs="Arial"/>
                <w:b/>
                <w:color w:val="000000"/>
                <w:sz w:val="20"/>
              </w:rPr>
              <w:t>Sujetos Obligados</w:t>
            </w:r>
            <w:r w:rsidRPr="008F01D8">
              <w:rPr>
                <w:rFonts w:ascii="Palatino Linotype" w:hAnsi="Palatino Linotype" w:cs="Arial"/>
                <w:color w:val="000000"/>
                <w:sz w:val="20"/>
              </w:rPr>
              <w:t xml:space="preserve">, por lo que deberán fundar y motivar debidamente la clasificación. </w:t>
            </w:r>
          </w:p>
          <w:p w14:paraId="102F4756" w14:textId="77777777" w:rsidR="004A4238" w:rsidRPr="008F01D8" w:rsidRDefault="004A4238" w:rsidP="003E488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 xml:space="preserve">De lo anterior, se desprende </w:t>
            </w:r>
            <w:proofErr w:type="gramStart"/>
            <w:r w:rsidRPr="008F01D8">
              <w:rPr>
                <w:rFonts w:ascii="Palatino Linotype" w:hAnsi="Palatino Linotype" w:cs="Arial"/>
                <w:color w:val="000000"/>
                <w:sz w:val="20"/>
              </w:rPr>
              <w:t>que</w:t>
            </w:r>
            <w:proofErr w:type="gramEnd"/>
            <w:r w:rsidRPr="008F01D8">
              <w:rPr>
                <w:rFonts w:ascii="Palatino Linotype" w:hAnsi="Palatino Linotype" w:cs="Arial"/>
                <w:color w:val="000000"/>
                <w:sz w:val="20"/>
              </w:rPr>
              <w:t xml:space="preserve"> para una correcta </w:t>
            </w:r>
            <w:r w:rsidRPr="008F01D8">
              <w:rPr>
                <w:rFonts w:ascii="Palatino Linotype" w:hAnsi="Palatino Linotype" w:cs="Arial"/>
                <w:b/>
                <w:color w:val="000000"/>
                <w:sz w:val="20"/>
              </w:rPr>
              <w:t>clasificación total o parcial</w:t>
            </w:r>
            <w:r w:rsidRPr="008F01D8">
              <w:rPr>
                <w:rFonts w:ascii="Palatino Linotype" w:hAnsi="Palatino Linotype" w:cs="Arial"/>
                <w:color w:val="000000"/>
                <w:sz w:val="20"/>
              </w:rPr>
              <w:t xml:space="preserve">, esto es determinar los datos que se suprimen en las </w:t>
            </w:r>
            <w:r w:rsidRPr="008F01D8">
              <w:rPr>
                <w:rFonts w:ascii="Palatino Linotype" w:hAnsi="Palatino Linotype" w:cs="Arial"/>
                <w:color w:val="000000"/>
                <w:sz w:val="20"/>
              </w:rPr>
              <w:lastRenderedPageBreak/>
              <w:t>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0D05775" w14:textId="77777777" w:rsidR="004A4238" w:rsidRPr="008F01D8" w:rsidRDefault="004A4238" w:rsidP="003E488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3B7D33B" w14:textId="77777777" w:rsidR="004A4238" w:rsidRPr="008F01D8" w:rsidRDefault="004A4238" w:rsidP="003E488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4E2F7353" w14:textId="77777777" w:rsidR="004A4238" w:rsidRPr="008F01D8" w:rsidRDefault="004A4238" w:rsidP="003E4886">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 xml:space="preserve">Ahora bien, </w:t>
            </w:r>
            <w:r w:rsidRPr="008F01D8">
              <w:rPr>
                <w:rFonts w:ascii="Palatino Linotype" w:hAnsi="Palatino Linotype" w:cs="Arial"/>
                <w:b/>
                <w:color w:val="000000"/>
                <w:sz w:val="20"/>
                <w:u w:val="single"/>
              </w:rPr>
              <w:t>para cada caso además de fundar y motivar</w:t>
            </w:r>
            <w:r w:rsidRPr="008F01D8">
              <w:rPr>
                <w:rFonts w:ascii="Palatino Linotype" w:hAnsi="Palatino Linotype" w:cs="Arial"/>
                <w:color w:val="000000"/>
                <w:sz w:val="20"/>
              </w:rPr>
              <w:t xml:space="preserve">, se debe identificar con claridad que datos contenidos en las documentales que son susceptibles de suprimirse, por ejemplo; </w:t>
            </w:r>
            <w:r w:rsidRPr="008F01D8">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A4238" w:rsidRPr="008F01D8" w14:paraId="3FED5B66" w14:textId="77777777" w:rsidTr="003E4886">
        <w:tc>
          <w:tcPr>
            <w:cnfStyle w:val="001000000000" w:firstRow="0" w:lastRow="0" w:firstColumn="1" w:lastColumn="0" w:oddVBand="0" w:evenVBand="0" w:oddHBand="0" w:evenHBand="0" w:firstRowFirstColumn="0" w:firstRowLastColumn="0" w:lastRowFirstColumn="0" w:lastRowLastColumn="0"/>
            <w:tcW w:w="2689" w:type="dxa"/>
          </w:tcPr>
          <w:p w14:paraId="6A69A893" w14:textId="77777777" w:rsidR="004A4238" w:rsidRPr="008F01D8" w:rsidRDefault="004A4238" w:rsidP="003E4886">
            <w:pPr>
              <w:tabs>
                <w:tab w:val="left" w:pos="284"/>
              </w:tabs>
              <w:spacing w:line="360" w:lineRule="auto"/>
              <w:ind w:right="49"/>
              <w:jc w:val="both"/>
              <w:rPr>
                <w:rFonts w:ascii="Palatino Linotype" w:hAnsi="Palatino Linotype" w:cs="Arial"/>
                <w:sz w:val="20"/>
              </w:rPr>
            </w:pPr>
            <w:r w:rsidRPr="008F01D8">
              <w:rPr>
                <w:rFonts w:ascii="Palatino Linotype" w:eastAsia="MS Gothic" w:hAnsi="Palatino Linotype"/>
                <w:sz w:val="20"/>
              </w:rPr>
              <w:t xml:space="preserve">e) Condiciones especiales de la clasificación de la información como confidencial. </w:t>
            </w:r>
          </w:p>
        </w:tc>
        <w:tc>
          <w:tcPr>
            <w:tcW w:w="6237" w:type="dxa"/>
            <w:hideMark/>
          </w:tcPr>
          <w:p w14:paraId="7275076F" w14:textId="77777777" w:rsidR="004A4238" w:rsidRPr="008F01D8" w:rsidRDefault="004A4238" w:rsidP="003E488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 xml:space="preserve">Los artículos 148 y 120 de la Ley Estatal y de la Ley General, respectivamente, establecen </w:t>
            </w:r>
            <w:proofErr w:type="gramStart"/>
            <w:r w:rsidRPr="008F01D8">
              <w:rPr>
                <w:rFonts w:ascii="Palatino Linotype" w:hAnsi="Palatino Linotype" w:cs="Arial"/>
                <w:color w:val="000000"/>
                <w:sz w:val="20"/>
              </w:rPr>
              <w:t>que</w:t>
            </w:r>
            <w:proofErr w:type="gramEnd"/>
            <w:r w:rsidRPr="008F01D8">
              <w:rPr>
                <w:rFonts w:ascii="Palatino Linotype" w:hAnsi="Palatino Linotype" w:cs="Arial"/>
                <w:color w:val="000000"/>
                <w:sz w:val="20"/>
              </w:rPr>
              <w:t xml:space="preserve"> aun tratándose de datos personales, se podrán proporcionar, incluso sin solicitar el consentimiento de su titular. </w:t>
            </w:r>
          </w:p>
          <w:p w14:paraId="0EAB2D15" w14:textId="77777777" w:rsidR="004A4238" w:rsidRPr="008F01D8" w:rsidRDefault="004A4238" w:rsidP="003E4886">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F01D8">
              <w:rPr>
                <w:rFonts w:ascii="Palatino Linotype" w:hAnsi="Palatino Linotype" w:cs="Arial"/>
                <w:color w:val="000000"/>
                <w:sz w:val="20"/>
              </w:rPr>
              <w:t xml:space="preserve">En el caso de lo señalado en la fracción IV, será el Instituto quien deba aplicar la prueba de interés público, considerando también que </w:t>
            </w:r>
            <w:r w:rsidRPr="008F01D8">
              <w:rPr>
                <w:rFonts w:ascii="Palatino Linotype" w:hAnsi="Palatino Linotype" w:cs="Arial"/>
                <w:color w:val="000000"/>
                <w:sz w:val="20"/>
              </w:rPr>
              <w:lastRenderedPageBreak/>
              <w:t xml:space="preserve">como recientemente ha discutido la Suprema Corte de Justicia de la Nación, los servidores públicos nos encontramos sujetos a un régimen menor de protección. </w:t>
            </w:r>
          </w:p>
          <w:p w14:paraId="57ED2691" w14:textId="77777777" w:rsidR="004A4238" w:rsidRPr="008F01D8" w:rsidRDefault="004A4238" w:rsidP="003E488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F01D8">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FD81FEA" w14:textId="77777777" w:rsidR="004A4238" w:rsidRPr="008F01D8" w:rsidRDefault="004A4238" w:rsidP="004A4238">
      <w:pPr>
        <w:tabs>
          <w:tab w:val="left" w:pos="284"/>
        </w:tabs>
        <w:spacing w:line="360" w:lineRule="auto"/>
        <w:contextualSpacing/>
        <w:rPr>
          <w:rFonts w:ascii="Palatino Linotype" w:hAnsi="Palatino Linotype" w:cs="Arial"/>
          <w:color w:val="000000"/>
        </w:rPr>
      </w:pPr>
    </w:p>
    <w:p w14:paraId="714D0EE6" w14:textId="77777777" w:rsidR="004A4238" w:rsidRPr="008F01D8" w:rsidRDefault="004A4238" w:rsidP="004A4238">
      <w:pPr>
        <w:numPr>
          <w:ilvl w:val="0"/>
          <w:numId w:val="1"/>
        </w:numPr>
        <w:spacing w:line="360" w:lineRule="auto"/>
        <w:ind w:left="0" w:firstLine="0"/>
        <w:contextualSpacing/>
        <w:jc w:val="both"/>
        <w:rPr>
          <w:rFonts w:ascii="Palatino Linotype" w:hAnsi="Palatino Linotype" w:cs="Arial"/>
          <w:color w:val="000000"/>
        </w:rPr>
      </w:pPr>
      <w:r w:rsidRPr="008F01D8">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44184EB" w14:textId="77777777" w:rsidR="004A4238" w:rsidRPr="008F01D8" w:rsidRDefault="004A4238" w:rsidP="004A4238">
      <w:pPr>
        <w:spacing w:line="360" w:lineRule="auto"/>
        <w:contextualSpacing/>
        <w:jc w:val="both"/>
        <w:rPr>
          <w:rFonts w:ascii="Palatino Linotype" w:hAnsi="Palatino Linotype" w:cs="Arial"/>
          <w:color w:val="000000"/>
        </w:rPr>
      </w:pPr>
    </w:p>
    <w:p w14:paraId="5094EC7C" w14:textId="77777777" w:rsidR="004A4238" w:rsidRPr="008F01D8" w:rsidRDefault="004A4238" w:rsidP="004A4238">
      <w:pPr>
        <w:numPr>
          <w:ilvl w:val="0"/>
          <w:numId w:val="1"/>
        </w:numPr>
        <w:spacing w:line="360" w:lineRule="auto"/>
        <w:ind w:left="0" w:firstLine="0"/>
        <w:contextualSpacing/>
        <w:jc w:val="both"/>
        <w:rPr>
          <w:rFonts w:ascii="Palatino Linotype" w:hAnsi="Palatino Linotype"/>
        </w:rPr>
      </w:pPr>
      <w:r w:rsidRPr="008F01D8">
        <w:rPr>
          <w:rFonts w:ascii="Palatino Linotype" w:hAnsi="Palatino Linotype" w:cs="Arial"/>
        </w:rPr>
        <w:t xml:space="preserve">Mención aparte meren las Cadenas Originales, Sellos Digitales del Servicio de Administración Tributaria, testados por el </w:t>
      </w:r>
      <w:r w:rsidRPr="008F01D8">
        <w:rPr>
          <w:rFonts w:ascii="Palatino Linotype" w:hAnsi="Palatino Linotype" w:cs="Arial"/>
          <w:b/>
        </w:rPr>
        <w:t>SUJETO OBLIGADO</w:t>
      </w:r>
      <w:r w:rsidRPr="008F01D8">
        <w:rPr>
          <w:rFonts w:ascii="Palatino Linotype" w:hAnsi="Palatino Linotype" w:cs="Arial"/>
        </w:rPr>
        <w:t xml:space="preserve">, al respecto se precisa que dichos datos son certificados que emite el SAT, que de conformidad con los artículos 17-G fracción I y 29 primer y segundo párrafos, fracciones II y IV y 31 penúltimo párrafo del Código Fiscal de la Federación, le permiten advertir una vinculación entre la identidad de un sujeto o entidad con su clave pública, lo que hace identificable a una persona (física) o entidad (persona jurídica colectiva), por los ingresos que perciban o por la retención de contribuciones que efectúen, es decir los datos que se revelan al consultar dichos datos y tienen como finalidad o propósito específico, firmar digitalmente las facturas electrónicas para acreditar la </w:t>
      </w:r>
      <w:r w:rsidRPr="008F01D8">
        <w:rPr>
          <w:rFonts w:ascii="Palatino Linotype" w:hAnsi="Palatino Linotype" w:cs="Arial"/>
        </w:rPr>
        <w:lastRenderedPageBreak/>
        <w:t>autoría de los comprobantes fiscales digitales. Preceptos que se transcriben a continuación:</w:t>
      </w:r>
    </w:p>
    <w:p w14:paraId="6A34025A"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w:t>
      </w:r>
      <w:r w:rsidRPr="008F01D8">
        <w:rPr>
          <w:rFonts w:ascii="Palatino Linotype" w:hAnsi="Palatino Linotype" w:cs="Arial"/>
          <w:b/>
          <w:bCs/>
          <w:i/>
          <w:noProof/>
          <w:sz w:val="22"/>
        </w:rPr>
        <w:t>Artículo 17-G</w:t>
      </w:r>
      <w:r w:rsidRPr="008F01D8">
        <w:rPr>
          <w:rFonts w:ascii="Palatino Linotype" w:hAnsi="Palatino Linotype" w:cs="Arial"/>
          <w:bCs/>
          <w:i/>
          <w:noProof/>
          <w:sz w:val="22"/>
        </w:rPr>
        <w:t xml:space="preserve">.- Los certificados que emita el Servicio de Administración Tributaria para ser considerados válidos deberán contener los datos siguientes: </w:t>
      </w:r>
    </w:p>
    <w:p w14:paraId="684B22D1"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
          <w:bCs/>
          <w:i/>
          <w:noProof/>
          <w:sz w:val="22"/>
        </w:rPr>
        <w:t>I.</w:t>
      </w:r>
      <w:r w:rsidRPr="008F01D8">
        <w:rPr>
          <w:rFonts w:ascii="Palatino Linotype" w:hAnsi="Palatino Linotype" w:cs="Arial"/>
          <w:bCs/>
          <w:i/>
          <w:noProof/>
          <w:sz w:val="22"/>
        </w:rPr>
        <w:tab/>
      </w:r>
      <w:r w:rsidRPr="008F01D8">
        <w:rPr>
          <w:rFonts w:ascii="Palatino Linotype" w:hAnsi="Palatino Linotype" w:cs="Arial"/>
          <w:b/>
          <w:bCs/>
          <w:i/>
          <w:noProof/>
          <w:sz w:val="22"/>
        </w:rPr>
        <w:t>La mención de que se expiden como tales</w:t>
      </w:r>
      <w:r w:rsidRPr="008F01D8">
        <w:rPr>
          <w:rFonts w:ascii="Palatino Linotype" w:hAnsi="Palatino Linotype" w:cs="Arial"/>
          <w:bCs/>
          <w:i/>
          <w:noProof/>
          <w:sz w:val="22"/>
        </w:rPr>
        <w:t xml:space="preserve">. </w:t>
      </w:r>
      <w:r w:rsidRPr="008F01D8">
        <w:rPr>
          <w:rFonts w:ascii="Palatino Linotype" w:hAnsi="Palatino Linotype" w:cs="Arial"/>
          <w:b/>
          <w:bCs/>
          <w:i/>
          <w:noProof/>
          <w:sz w:val="22"/>
        </w:rPr>
        <w:t>Tratándose de certificados de sellos digitales, se deberán especificar las limitantes que tengan para su uso</w:t>
      </w:r>
      <w:r w:rsidRPr="008F01D8">
        <w:rPr>
          <w:rFonts w:ascii="Palatino Linotype" w:hAnsi="Palatino Linotype" w:cs="Arial"/>
          <w:bCs/>
          <w:i/>
          <w:noProof/>
          <w:sz w:val="22"/>
        </w:rPr>
        <w:t>.</w:t>
      </w:r>
    </w:p>
    <w:p w14:paraId="258389E3"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
          <w:bCs/>
          <w:i/>
          <w:noProof/>
          <w:sz w:val="22"/>
        </w:rPr>
        <w:t xml:space="preserve">Artículo 29. </w:t>
      </w:r>
      <w:r w:rsidRPr="008F01D8">
        <w:rPr>
          <w:rFonts w:ascii="Palatino Linotype" w:hAnsi="Palatino Linotype" w:cs="Arial"/>
          <w:bCs/>
          <w:i/>
          <w:noProof/>
          <w:sz w:val="22"/>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24D9AC3"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Los contribuyentes a que se refiere el párrafo anterior deberán cumplir con las obligaciones siguientes:</w:t>
      </w:r>
    </w:p>
    <w:p w14:paraId="363707C0"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w:t>
      </w:r>
    </w:p>
    <w:p w14:paraId="78313394"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
          <w:bCs/>
          <w:i/>
          <w:noProof/>
          <w:sz w:val="22"/>
        </w:rPr>
        <w:t>II.</w:t>
      </w:r>
      <w:r w:rsidRPr="008F01D8">
        <w:rPr>
          <w:rFonts w:ascii="Palatino Linotype" w:hAnsi="Palatino Linotype" w:cs="Arial"/>
          <w:bCs/>
          <w:i/>
          <w:noProof/>
          <w:sz w:val="22"/>
        </w:rPr>
        <w:tab/>
      </w:r>
      <w:r w:rsidRPr="008F01D8">
        <w:rPr>
          <w:rFonts w:ascii="Palatino Linotype" w:hAnsi="Palatino Linotype" w:cs="Arial"/>
          <w:b/>
          <w:bCs/>
          <w:i/>
          <w:noProof/>
          <w:sz w:val="22"/>
        </w:rPr>
        <w:t>Tramitar ante el Servicio de Administración Tributaria el certificado para el uso de los sellos digitales</w:t>
      </w:r>
      <w:r w:rsidRPr="008F01D8">
        <w:rPr>
          <w:rFonts w:ascii="Palatino Linotype" w:hAnsi="Palatino Linotype" w:cs="Arial"/>
          <w:bCs/>
          <w:i/>
          <w:noProof/>
          <w:sz w:val="22"/>
        </w:rPr>
        <w:t>.</w:t>
      </w:r>
    </w:p>
    <w:p w14:paraId="1294A503"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 xml:space="preserve">Los contribuyentes podrán optar por el uso de uno o más certificados de sellos digitales que se utilizarán exclusivamente para la expedición de los comprobantes fiscales mediante documentos digitales. </w:t>
      </w:r>
      <w:r w:rsidRPr="008F01D8">
        <w:rPr>
          <w:rFonts w:ascii="Palatino Linotype" w:hAnsi="Palatino Linotype" w:cs="Arial"/>
          <w:b/>
          <w:bCs/>
          <w:i/>
          <w:noProof/>
          <w:sz w:val="22"/>
        </w:rPr>
        <w:t>El sello digital permitirá acreditar la autoría de los comprobantes fiscales digitales</w:t>
      </w:r>
      <w:r w:rsidRPr="008F01D8">
        <w:rPr>
          <w:rFonts w:ascii="Palatino Linotype" w:hAnsi="Palatino Linotype" w:cs="Arial"/>
          <w:bCs/>
          <w:i/>
          <w:noProof/>
          <w:sz w:val="22"/>
        </w:rPr>
        <w:t xml:space="preserve"> por Internet que expidan las personas físicas y morales, el cual queda sujeto a la regulación aplicable al uso de la firma electrónica avanzada.</w:t>
      </w:r>
    </w:p>
    <w:p w14:paraId="6B8B1B76" w14:textId="77777777" w:rsidR="004A4238" w:rsidRPr="008F01D8" w:rsidRDefault="004A4238" w:rsidP="004A4238">
      <w:pPr>
        <w:spacing w:line="360" w:lineRule="auto"/>
        <w:ind w:left="851" w:right="902" w:firstLine="142"/>
        <w:contextualSpacing/>
        <w:jc w:val="both"/>
        <w:rPr>
          <w:rFonts w:ascii="Palatino Linotype" w:hAnsi="Palatino Linotype" w:cs="Arial"/>
          <w:bCs/>
          <w:i/>
          <w:noProof/>
          <w:sz w:val="22"/>
        </w:rPr>
      </w:pPr>
      <w:r w:rsidRPr="008F01D8">
        <w:rPr>
          <w:rFonts w:ascii="Palatino Linotype" w:hAnsi="Palatino Linotype" w:cs="Arial"/>
          <w:bCs/>
          <w:i/>
          <w:noProof/>
          <w:sz w:val="22"/>
        </w:rPr>
        <w:lastRenderedPageBreak/>
        <w:t>[…]</w:t>
      </w:r>
    </w:p>
    <w:p w14:paraId="52A9609F"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
          <w:bCs/>
          <w:i/>
          <w:noProof/>
          <w:sz w:val="22"/>
        </w:rPr>
        <w:t>IV.</w:t>
      </w:r>
      <w:r w:rsidRPr="008F01D8">
        <w:rPr>
          <w:rFonts w:ascii="Palatino Linotype" w:hAnsi="Palatino Linotype" w:cs="Arial"/>
          <w:b/>
          <w:bCs/>
          <w:i/>
          <w:noProof/>
          <w:sz w:val="22"/>
        </w:rPr>
        <w:tab/>
        <w:t>Remitir al Servicio de Administración Tributaria, antes de su expedición, el comprobante fiscal digital por Internet respectivo</w:t>
      </w:r>
      <w:r w:rsidRPr="008F01D8">
        <w:rPr>
          <w:rFonts w:ascii="Palatino Linotype" w:hAnsi="Palatino Linotype" w:cs="Arial"/>
          <w:bCs/>
          <w:i/>
          <w:noProof/>
          <w:sz w:val="22"/>
        </w:rPr>
        <w:t xml:space="preserve"> a través de los mecanismos digitales que para tal efecto determine dicho órgano desconcentrado mediante reglas de carácter general, </w:t>
      </w:r>
      <w:r w:rsidRPr="008F01D8">
        <w:rPr>
          <w:rFonts w:ascii="Palatino Linotype" w:hAnsi="Palatino Linotype" w:cs="Arial"/>
          <w:b/>
          <w:bCs/>
          <w:i/>
          <w:noProof/>
          <w:sz w:val="22"/>
        </w:rPr>
        <w:t>con el objeto de que éste proceda a</w:t>
      </w:r>
      <w:r w:rsidRPr="008F01D8">
        <w:rPr>
          <w:rFonts w:ascii="Palatino Linotype" w:hAnsi="Palatino Linotype" w:cs="Arial"/>
          <w:bCs/>
          <w:i/>
          <w:noProof/>
          <w:sz w:val="22"/>
        </w:rPr>
        <w:t>:</w:t>
      </w:r>
    </w:p>
    <w:p w14:paraId="46EC9D30"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a)</w:t>
      </w:r>
      <w:r w:rsidRPr="008F01D8">
        <w:rPr>
          <w:rFonts w:ascii="Palatino Linotype" w:hAnsi="Palatino Linotype" w:cs="Arial"/>
          <w:bCs/>
          <w:i/>
          <w:noProof/>
          <w:sz w:val="22"/>
        </w:rPr>
        <w:tab/>
        <w:t>Validar el cumplimiento de los requisitos establecidos en el artículo 29-A de este Código.</w:t>
      </w:r>
    </w:p>
    <w:p w14:paraId="7E5703B7"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b)</w:t>
      </w:r>
      <w:r w:rsidRPr="008F01D8">
        <w:rPr>
          <w:rFonts w:ascii="Palatino Linotype" w:hAnsi="Palatino Linotype" w:cs="Arial"/>
          <w:bCs/>
          <w:i/>
          <w:noProof/>
          <w:sz w:val="22"/>
        </w:rPr>
        <w:tab/>
        <w:t xml:space="preserve">Asignar el </w:t>
      </w:r>
      <w:r w:rsidRPr="008F01D8">
        <w:rPr>
          <w:rFonts w:ascii="Palatino Linotype" w:hAnsi="Palatino Linotype" w:cs="Arial"/>
          <w:b/>
          <w:bCs/>
          <w:i/>
          <w:noProof/>
          <w:sz w:val="22"/>
        </w:rPr>
        <w:t>folio del comprobante fiscal digital</w:t>
      </w:r>
      <w:r w:rsidRPr="008F01D8">
        <w:rPr>
          <w:rFonts w:ascii="Palatino Linotype" w:hAnsi="Palatino Linotype" w:cs="Arial"/>
          <w:bCs/>
          <w:i/>
          <w:noProof/>
          <w:sz w:val="22"/>
        </w:rPr>
        <w:t>.</w:t>
      </w:r>
    </w:p>
    <w:p w14:paraId="6B36760B"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
          <w:bCs/>
          <w:i/>
          <w:noProof/>
          <w:sz w:val="22"/>
        </w:rPr>
        <w:t>c)</w:t>
      </w:r>
      <w:r w:rsidRPr="008F01D8">
        <w:rPr>
          <w:rFonts w:ascii="Palatino Linotype" w:hAnsi="Palatino Linotype" w:cs="Arial"/>
          <w:b/>
          <w:bCs/>
          <w:i/>
          <w:noProof/>
          <w:sz w:val="22"/>
        </w:rPr>
        <w:tab/>
        <w:t>Incorporar el sello digital del Servicio de Administración Tributaria</w:t>
      </w:r>
      <w:r w:rsidRPr="008F01D8">
        <w:rPr>
          <w:rFonts w:ascii="Palatino Linotype" w:hAnsi="Palatino Linotype" w:cs="Arial"/>
          <w:bCs/>
          <w:i/>
          <w:noProof/>
          <w:sz w:val="22"/>
        </w:rPr>
        <w:t>.</w:t>
      </w:r>
    </w:p>
    <w:p w14:paraId="235B79DC"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 xml:space="preserve">El Servicio de Administración Tributaria podrá autorizar a proveedores de </w:t>
      </w:r>
      <w:r w:rsidRPr="008F01D8">
        <w:rPr>
          <w:rFonts w:ascii="Palatino Linotype" w:hAnsi="Palatino Linotype" w:cs="Arial"/>
          <w:b/>
          <w:bCs/>
          <w:i/>
          <w:noProof/>
          <w:sz w:val="22"/>
        </w:rPr>
        <w:t>certificación de comprobantes fiscales digitales por Internet para que efectúen la validación, asignación de folio e incorporación del sello a que se refiere esta fracción.</w:t>
      </w:r>
    </w:p>
    <w:p w14:paraId="075EBC20"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Los proveedores de certificación de comprobantes fiscales digitales por Internet a que se refiere el párrafo anterior deberán estar previamente autorizados por el Servicio de Administración Tributaria y cumplir con los requisitos que al efecto establezca dicho órgano desconcentrado mediante reglas de carácter general.</w:t>
      </w:r>
    </w:p>
    <w:p w14:paraId="5863CAE0"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El Servicio de Administración Tributaria podrá revocar las autorizaciones emitidas a los proveedores a que se refiere esta fracción, cuando incumplan con alguna de las obligaciones establecidas en este artículo, en la autorización respectiva o en las reglas de carácter general que les sean aplicables.</w:t>
      </w:r>
    </w:p>
    <w:p w14:paraId="076AD682"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 xml:space="preserve">Para los efectos del segundo párrafo de esta fracción, el Servicio de Administración Tributaria podrá proporcionar la información necesaria a los </w:t>
      </w:r>
      <w:r w:rsidRPr="008F01D8">
        <w:rPr>
          <w:rFonts w:ascii="Palatino Linotype" w:hAnsi="Palatino Linotype" w:cs="Arial"/>
          <w:bCs/>
          <w:i/>
          <w:noProof/>
          <w:sz w:val="22"/>
        </w:rPr>
        <w:lastRenderedPageBreak/>
        <w:t>proveedores autorizados de certificación de comprobantes fiscales digitales por Internet.</w:t>
      </w:r>
    </w:p>
    <w:p w14:paraId="4A9789DC"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p>
    <w:p w14:paraId="28B3F89E" w14:textId="77777777" w:rsidR="004A4238" w:rsidRPr="008F01D8" w:rsidRDefault="004A4238" w:rsidP="004A4238">
      <w:pPr>
        <w:spacing w:line="360" w:lineRule="auto"/>
        <w:ind w:left="851" w:right="902" w:firstLine="142"/>
        <w:contextualSpacing/>
        <w:jc w:val="both"/>
        <w:rPr>
          <w:rFonts w:ascii="Palatino Linotype" w:hAnsi="Palatino Linotype" w:cs="Arial"/>
          <w:bCs/>
          <w:i/>
          <w:noProof/>
          <w:sz w:val="22"/>
        </w:rPr>
      </w:pPr>
      <w:r w:rsidRPr="008F01D8">
        <w:rPr>
          <w:rFonts w:ascii="Palatino Linotype" w:hAnsi="Palatino Linotype" w:cs="Arial"/>
          <w:b/>
          <w:bCs/>
          <w:i/>
          <w:noProof/>
          <w:sz w:val="22"/>
        </w:rPr>
        <w:t>Artículo 31</w:t>
      </w:r>
      <w:r w:rsidRPr="008F01D8">
        <w:rPr>
          <w:rFonts w:ascii="Palatino Linotype" w:hAnsi="Palatino Linotype" w:cs="Arial"/>
          <w:bCs/>
          <w:i/>
          <w:noProof/>
          <w:sz w:val="22"/>
        </w:rPr>
        <w:t>. […]</w:t>
      </w:r>
    </w:p>
    <w:p w14:paraId="1B559281" w14:textId="77777777" w:rsidR="004A4238" w:rsidRPr="008F01D8" w:rsidRDefault="004A4238" w:rsidP="004A4238">
      <w:pPr>
        <w:spacing w:line="360" w:lineRule="auto"/>
        <w:ind w:left="851" w:right="902"/>
        <w:contextualSpacing/>
        <w:jc w:val="both"/>
        <w:rPr>
          <w:rFonts w:ascii="Palatino Linotype" w:hAnsi="Palatino Linotype" w:cs="Arial"/>
          <w:bCs/>
          <w:i/>
          <w:noProof/>
          <w:sz w:val="22"/>
        </w:rPr>
      </w:pPr>
      <w:r w:rsidRPr="008F01D8">
        <w:rPr>
          <w:rFonts w:ascii="Palatino Linotype" w:hAnsi="Palatino Linotype" w:cs="Arial"/>
          <w:bCs/>
          <w:i/>
          <w:noProof/>
          <w:sz w:val="22"/>
        </w:rPr>
        <w:t>El Servicio de Administración Tributaria podrá autorizar a proveedores de certificación de documentos digitales para que incorporen el sello digital de dicho órgano administrativo desconcentrado a los documentos digitales que cumplan con los requisitos establecidos en las disposiciones fiscales. …”</w:t>
      </w:r>
    </w:p>
    <w:p w14:paraId="3CE20ED1" w14:textId="77777777" w:rsidR="004A4238" w:rsidRPr="008F01D8" w:rsidRDefault="004A4238" w:rsidP="004A4238">
      <w:pPr>
        <w:spacing w:line="360" w:lineRule="auto"/>
        <w:ind w:left="851" w:right="902"/>
        <w:contextualSpacing/>
        <w:jc w:val="both"/>
        <w:rPr>
          <w:rFonts w:ascii="Palatino Linotype" w:hAnsi="Palatino Linotype" w:cs="Arial"/>
          <w:sz w:val="22"/>
          <w:lang w:eastAsia="es-MX"/>
        </w:rPr>
      </w:pPr>
      <w:r w:rsidRPr="008F01D8">
        <w:rPr>
          <w:rFonts w:ascii="Palatino Linotype" w:hAnsi="Palatino Linotype" w:cs="Arial"/>
          <w:sz w:val="22"/>
          <w:lang w:eastAsia="es-MX"/>
        </w:rPr>
        <w:t>(Énfasis añadido)</w:t>
      </w:r>
    </w:p>
    <w:p w14:paraId="475F4B5B" w14:textId="77777777" w:rsidR="004A4238" w:rsidRPr="008F01D8" w:rsidRDefault="004A4238" w:rsidP="004A4238">
      <w:pPr>
        <w:spacing w:line="360" w:lineRule="auto"/>
        <w:ind w:left="851" w:right="902"/>
        <w:contextualSpacing/>
        <w:jc w:val="both"/>
        <w:rPr>
          <w:rFonts w:ascii="Palatino Linotype" w:hAnsi="Palatino Linotype" w:cs="Arial"/>
          <w:lang w:eastAsia="es-MX"/>
        </w:rPr>
      </w:pPr>
    </w:p>
    <w:p w14:paraId="2DDABD53" w14:textId="77777777" w:rsidR="004A4238" w:rsidRPr="008F01D8" w:rsidRDefault="004A4238" w:rsidP="004A4238">
      <w:pPr>
        <w:numPr>
          <w:ilvl w:val="0"/>
          <w:numId w:val="1"/>
        </w:numPr>
        <w:spacing w:line="360" w:lineRule="auto"/>
        <w:ind w:left="0" w:firstLine="0"/>
        <w:contextualSpacing/>
        <w:jc w:val="both"/>
        <w:rPr>
          <w:rFonts w:ascii="Palatino Linotype" w:hAnsi="Palatino Linotype" w:cs="Arial"/>
        </w:rPr>
      </w:pPr>
      <w:r w:rsidRPr="008F01D8">
        <w:rPr>
          <w:rFonts w:ascii="Palatino Linotype" w:hAnsi="Palatino Linotype" w:cs="Arial"/>
        </w:rPr>
        <w:t xml:space="preserve">En relación con lo anterior, se precisa que la certificación de los comprobantes digitales debe ser previamente autorizada por el Servicio de Administración Tributaria y cumplir con los requisitos que al efecto establezca dicho órgano desconcentrado federal, mediante reglas de carácter general, las cuales son emitidas en términos del artículo 33, fracción I, inciso g), del Código Fiscal de la Federación, y plasman en la Regla 2.7.1.2, primer párrafo, de la Resolución Miscelánea Fiscal 2018 y los rubros I.B y I.E, del Anexo 20, de la Segunda Resolución de modificaciones a la Resolución Miscelánea Fiscal para 2017, publicada el 18 de julio de 2017, que además de identificar o hacer identificable la autoría del comprobante fiscal, de su conformación se aprecia de manera codificada, el RFC y el domicilio fiscal del emisor, por lo que, si bien son datos personales de una persona moral, lo cierto es que al recibir recursos públicos, pierden su naturaleza como tal. </w:t>
      </w:r>
    </w:p>
    <w:p w14:paraId="3B9DD5C5" w14:textId="77777777" w:rsidR="004A4238" w:rsidRDefault="004A4238" w:rsidP="004A4238">
      <w:pPr>
        <w:widowControl w:val="0"/>
        <w:autoSpaceDE w:val="0"/>
        <w:autoSpaceDN w:val="0"/>
        <w:adjustRightInd w:val="0"/>
        <w:spacing w:line="360" w:lineRule="auto"/>
        <w:contextualSpacing/>
        <w:jc w:val="both"/>
        <w:rPr>
          <w:rFonts w:ascii="Palatino Linotype" w:hAnsi="Palatino Linotype" w:cs="Arial"/>
        </w:rPr>
      </w:pPr>
    </w:p>
    <w:p w14:paraId="59942233" w14:textId="77777777" w:rsidR="008F01D8" w:rsidRDefault="008F01D8" w:rsidP="004A4238">
      <w:pPr>
        <w:widowControl w:val="0"/>
        <w:autoSpaceDE w:val="0"/>
        <w:autoSpaceDN w:val="0"/>
        <w:adjustRightInd w:val="0"/>
        <w:spacing w:line="360" w:lineRule="auto"/>
        <w:contextualSpacing/>
        <w:jc w:val="both"/>
        <w:rPr>
          <w:rFonts w:ascii="Palatino Linotype" w:hAnsi="Palatino Linotype" w:cs="Arial"/>
        </w:rPr>
      </w:pPr>
    </w:p>
    <w:p w14:paraId="22F0DBBE" w14:textId="77777777" w:rsidR="008F01D8" w:rsidRPr="008F01D8" w:rsidRDefault="008F01D8" w:rsidP="004A4238">
      <w:pPr>
        <w:widowControl w:val="0"/>
        <w:autoSpaceDE w:val="0"/>
        <w:autoSpaceDN w:val="0"/>
        <w:adjustRightInd w:val="0"/>
        <w:spacing w:line="360" w:lineRule="auto"/>
        <w:contextualSpacing/>
        <w:jc w:val="both"/>
        <w:rPr>
          <w:rFonts w:ascii="Palatino Linotype" w:hAnsi="Palatino Linotype" w:cs="Arial"/>
        </w:rPr>
      </w:pPr>
    </w:p>
    <w:p w14:paraId="311EBE62" w14:textId="77777777" w:rsidR="004A4238" w:rsidRPr="008F01D8" w:rsidRDefault="004A4238" w:rsidP="004A4238">
      <w:pPr>
        <w:numPr>
          <w:ilvl w:val="0"/>
          <w:numId w:val="1"/>
        </w:numPr>
        <w:spacing w:line="360" w:lineRule="auto"/>
        <w:ind w:left="0" w:firstLine="0"/>
        <w:contextualSpacing/>
        <w:jc w:val="both"/>
        <w:rPr>
          <w:rFonts w:ascii="Palatino Linotype" w:hAnsi="Palatino Linotype" w:cs="Arial"/>
        </w:rPr>
      </w:pPr>
      <w:r w:rsidRPr="008F01D8">
        <w:rPr>
          <w:rFonts w:ascii="Palatino Linotype" w:hAnsi="Palatino Linotype" w:cs="Arial"/>
        </w:rPr>
        <w:lastRenderedPageBreak/>
        <w:t>Aunado a lo anterior, es conviene traer a contexto lo siguiente:</w:t>
      </w:r>
    </w:p>
    <w:p w14:paraId="0F313B7C" w14:textId="77777777" w:rsidR="004A4238" w:rsidRPr="008F01D8" w:rsidRDefault="004A4238" w:rsidP="004A4238">
      <w:pPr>
        <w:spacing w:line="360" w:lineRule="auto"/>
        <w:ind w:left="709" w:right="709"/>
        <w:contextualSpacing/>
        <w:jc w:val="center"/>
        <w:rPr>
          <w:rFonts w:ascii="Palatino Linotype" w:hAnsi="Palatino Linotype" w:cs="Arial"/>
          <w:b/>
          <w:bCs/>
          <w:i/>
          <w:noProof/>
          <w:sz w:val="22"/>
          <w:szCs w:val="22"/>
        </w:rPr>
      </w:pPr>
      <w:r w:rsidRPr="008F01D8">
        <w:rPr>
          <w:rFonts w:ascii="Palatino Linotype" w:hAnsi="Palatino Linotype" w:cs="Arial"/>
          <w:b/>
          <w:bCs/>
          <w:i/>
          <w:noProof/>
          <w:sz w:val="22"/>
          <w:szCs w:val="22"/>
        </w:rPr>
        <w:t>Código Fiscal de la Federación</w:t>
      </w:r>
    </w:p>
    <w:p w14:paraId="6EC3C827"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w:t>
      </w:r>
      <w:r w:rsidRPr="008F01D8">
        <w:rPr>
          <w:rFonts w:ascii="Palatino Linotype" w:hAnsi="Palatino Linotype" w:cs="Arial"/>
          <w:b/>
          <w:bCs/>
          <w:i/>
          <w:noProof/>
          <w:sz w:val="22"/>
          <w:szCs w:val="22"/>
        </w:rPr>
        <w:t xml:space="preserve">Artículo 33.- </w:t>
      </w:r>
      <w:r w:rsidRPr="008F01D8">
        <w:rPr>
          <w:rFonts w:ascii="Palatino Linotype" w:hAnsi="Palatino Linotype" w:cs="Arial"/>
          <w:bCs/>
          <w:i/>
          <w:noProof/>
          <w:sz w:val="22"/>
          <w:szCs w:val="22"/>
        </w:rPr>
        <w:t>Las autoridades fiscales para el mejor cumplimiento de sus facultades, estarán a lo siguiente:</w:t>
      </w:r>
    </w:p>
    <w:p w14:paraId="67E284A4"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I.- Proporcionarán asistencia gratuita a los contribuyentes y para ello procurarán:</w:t>
      </w:r>
    </w:p>
    <w:p w14:paraId="780766CF"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w:t>
      </w:r>
    </w:p>
    <w:p w14:paraId="4F000E3B"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
          <w:bCs/>
          <w:i/>
          <w:noProof/>
          <w:sz w:val="22"/>
          <w:szCs w:val="22"/>
        </w:rPr>
        <w:t>g)</w:t>
      </w:r>
      <w:r w:rsidRPr="008F01D8">
        <w:rPr>
          <w:rFonts w:ascii="Palatino Linotype" w:hAnsi="Palatino Linotype" w:cs="Arial"/>
          <w:b/>
          <w:bCs/>
          <w:i/>
          <w:noProof/>
          <w:sz w:val="22"/>
          <w:szCs w:val="22"/>
        </w:rPr>
        <w:tab/>
        <w:t>Publicar anualmente las resoluciones dictadas por las autoridades fiscales que establezcan disposiciones de carácter general agrupándolas de manera que faciliten su conocimiento por parte de los contribuyentes</w:t>
      </w:r>
      <w:r w:rsidRPr="008F01D8">
        <w:rPr>
          <w:rFonts w:ascii="Palatino Linotype" w:hAnsi="Palatino Linotype" w:cs="Arial"/>
          <w:bCs/>
          <w:i/>
          <w:noProof/>
          <w:sz w:val="22"/>
          <w:szCs w:val="22"/>
        </w:rPr>
        <w:t xml:space="preserve">; </w:t>
      </w:r>
      <w:r w:rsidRPr="008F01D8">
        <w:rPr>
          <w:rFonts w:ascii="Palatino Linotype" w:hAnsi="Palatino Linotype" w:cs="Arial"/>
          <w:b/>
          <w:bCs/>
          <w:i/>
          <w:noProof/>
          <w:sz w:val="22"/>
          <w:szCs w:val="22"/>
        </w:rPr>
        <w:t>se podrán publicar aisladamente aquellas disposiciones cuyos efectos se limitan a periodos inferiores a un año</w:t>
      </w:r>
      <w:r w:rsidRPr="008F01D8">
        <w:rPr>
          <w:rFonts w:ascii="Palatino Linotype" w:hAnsi="Palatino Linotype" w:cs="Arial"/>
          <w:bCs/>
          <w:i/>
          <w:noProof/>
          <w:sz w:val="22"/>
          <w:szCs w:val="22"/>
        </w:rPr>
        <w:t>. Las resoluciones que se emitan conforme a este inciso y que se refieran a sujeto, objeto, base, tasa o tarifa, no generarán obligaciones o cargas adicionales a las establecidas en las propias leyes fiscales.</w:t>
      </w:r>
    </w:p>
    <w:p w14:paraId="502ED12A" w14:textId="77777777" w:rsidR="004A4238" w:rsidRPr="008F01D8" w:rsidRDefault="004A4238" w:rsidP="004A4238">
      <w:pPr>
        <w:spacing w:line="360" w:lineRule="auto"/>
        <w:ind w:left="851" w:right="899"/>
        <w:contextualSpacing/>
        <w:jc w:val="center"/>
        <w:rPr>
          <w:rFonts w:ascii="Palatino Linotype" w:hAnsi="Palatino Linotype" w:cs="Arial"/>
          <w:b/>
          <w:bCs/>
          <w:i/>
          <w:noProof/>
          <w:sz w:val="22"/>
          <w:szCs w:val="22"/>
        </w:rPr>
      </w:pPr>
    </w:p>
    <w:p w14:paraId="2F1B0908" w14:textId="77777777" w:rsidR="004A4238" w:rsidRPr="008F01D8" w:rsidRDefault="004A4238" w:rsidP="004A4238">
      <w:pPr>
        <w:spacing w:line="360" w:lineRule="auto"/>
        <w:ind w:left="851" w:right="899"/>
        <w:contextualSpacing/>
        <w:jc w:val="center"/>
        <w:rPr>
          <w:rFonts w:ascii="Palatino Linotype" w:hAnsi="Palatino Linotype" w:cs="Arial"/>
          <w:b/>
          <w:bCs/>
          <w:i/>
          <w:noProof/>
          <w:sz w:val="22"/>
          <w:szCs w:val="22"/>
        </w:rPr>
      </w:pPr>
      <w:r w:rsidRPr="008F01D8">
        <w:rPr>
          <w:rFonts w:ascii="Palatino Linotype" w:hAnsi="Palatino Linotype" w:cs="Arial"/>
          <w:b/>
          <w:bCs/>
          <w:i/>
          <w:noProof/>
          <w:sz w:val="22"/>
          <w:szCs w:val="22"/>
        </w:rPr>
        <w:t>Resolución Miscelánea Fiscal 2018</w:t>
      </w:r>
    </w:p>
    <w:p w14:paraId="3B364A67"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p>
    <w:p w14:paraId="2CD12ABC"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Cs/>
          <w:i/>
          <w:noProof/>
          <w:sz w:val="22"/>
          <w:szCs w:val="22"/>
        </w:rPr>
        <w:t>“</w:t>
      </w:r>
      <w:r w:rsidRPr="008F01D8">
        <w:rPr>
          <w:rFonts w:ascii="Palatino Linotype" w:hAnsi="Palatino Linotype" w:cs="Arial"/>
          <w:b/>
          <w:bCs/>
          <w:i/>
          <w:noProof/>
          <w:sz w:val="22"/>
          <w:szCs w:val="22"/>
        </w:rPr>
        <w:t>Generación del CFDI</w:t>
      </w:r>
    </w:p>
    <w:p w14:paraId="6F61358D"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p>
    <w:p w14:paraId="7F505875"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
          <w:bCs/>
          <w:i/>
          <w:noProof/>
          <w:sz w:val="22"/>
          <w:szCs w:val="22"/>
        </w:rPr>
        <w:t>2.7.1.2.</w:t>
      </w:r>
      <w:r w:rsidRPr="008F01D8">
        <w:rPr>
          <w:rFonts w:ascii="Palatino Linotype" w:hAnsi="Palatino Linotype" w:cs="Arial"/>
          <w:b/>
          <w:bCs/>
          <w:i/>
          <w:noProof/>
          <w:sz w:val="22"/>
          <w:szCs w:val="22"/>
        </w:rPr>
        <w:tab/>
        <w:t>Para los efectos del artículo 29, primer y segundo párrafos del CFF, los CFDI que generen los contribuyentes</w:t>
      </w:r>
      <w:r w:rsidRPr="008F01D8">
        <w:rPr>
          <w:rFonts w:ascii="Palatino Linotype" w:hAnsi="Palatino Linotype" w:cs="Arial"/>
          <w:bCs/>
          <w:i/>
          <w:noProof/>
          <w:sz w:val="22"/>
          <w:szCs w:val="22"/>
        </w:rPr>
        <w:t xml:space="preserve"> y que posteriormente envíen a un proveedor de certificación de CFDI, </w:t>
      </w:r>
      <w:r w:rsidRPr="008F01D8">
        <w:rPr>
          <w:rFonts w:ascii="Palatino Linotype" w:hAnsi="Palatino Linotype" w:cs="Arial"/>
          <w:b/>
          <w:bCs/>
          <w:i/>
          <w:noProof/>
          <w:sz w:val="22"/>
          <w:szCs w:val="22"/>
        </w:rPr>
        <w:t>para su validación, asignación del folio e incorporación del sello digital del SAT otorgado para dicho efecto (certificación), deberán cumplir con las especificaciones técnicas previstas en los rubros</w:t>
      </w:r>
      <w:r w:rsidRPr="008F01D8">
        <w:rPr>
          <w:rFonts w:ascii="Palatino Linotype" w:hAnsi="Palatino Linotype" w:cs="Arial"/>
          <w:bCs/>
          <w:i/>
          <w:noProof/>
          <w:sz w:val="22"/>
          <w:szCs w:val="22"/>
        </w:rPr>
        <w:t xml:space="preserve"> I.A “Estándar de comprobante fiscal digital </w:t>
      </w:r>
      <w:r w:rsidRPr="008F01D8">
        <w:rPr>
          <w:rFonts w:ascii="Palatino Linotype" w:hAnsi="Palatino Linotype" w:cs="Arial"/>
          <w:bCs/>
          <w:i/>
          <w:noProof/>
          <w:sz w:val="22"/>
          <w:szCs w:val="22"/>
        </w:rPr>
        <w:lastRenderedPageBreak/>
        <w:t xml:space="preserve">por Internet” y </w:t>
      </w:r>
      <w:r w:rsidRPr="008F01D8">
        <w:rPr>
          <w:rFonts w:ascii="Palatino Linotype" w:hAnsi="Palatino Linotype" w:cs="Arial"/>
          <w:b/>
          <w:bCs/>
          <w:i/>
          <w:noProof/>
          <w:sz w:val="22"/>
          <w:szCs w:val="22"/>
        </w:rPr>
        <w:t>I.B “Generación de sellos digitales para comprobantes fiscales digitales por Internet” del Anexo 20</w:t>
      </w:r>
      <w:r w:rsidRPr="008F01D8">
        <w:rPr>
          <w:rFonts w:ascii="Palatino Linotype" w:hAnsi="Palatino Linotype" w:cs="Arial"/>
          <w:bCs/>
          <w:i/>
          <w:noProof/>
          <w:sz w:val="22"/>
          <w:szCs w:val="22"/>
        </w:rPr>
        <w:t>. …”</w:t>
      </w:r>
    </w:p>
    <w:p w14:paraId="485E729F" w14:textId="77777777" w:rsidR="004A4238" w:rsidRPr="008F01D8" w:rsidRDefault="004A4238" w:rsidP="004A4238">
      <w:pPr>
        <w:spacing w:line="360" w:lineRule="auto"/>
        <w:ind w:left="851" w:right="899"/>
        <w:contextualSpacing/>
        <w:jc w:val="center"/>
        <w:rPr>
          <w:rFonts w:ascii="Palatino Linotype" w:hAnsi="Palatino Linotype" w:cs="Arial"/>
          <w:b/>
          <w:bCs/>
          <w:i/>
          <w:noProof/>
          <w:sz w:val="22"/>
          <w:szCs w:val="22"/>
        </w:rPr>
      </w:pPr>
    </w:p>
    <w:p w14:paraId="6A6009D0" w14:textId="77777777" w:rsidR="004A4238" w:rsidRPr="008F01D8" w:rsidRDefault="004A4238" w:rsidP="004A4238">
      <w:pPr>
        <w:spacing w:line="360" w:lineRule="auto"/>
        <w:ind w:left="851" w:right="899"/>
        <w:contextualSpacing/>
        <w:jc w:val="center"/>
        <w:rPr>
          <w:rFonts w:ascii="Palatino Linotype" w:hAnsi="Palatino Linotype" w:cs="Arial"/>
          <w:b/>
          <w:bCs/>
          <w:i/>
          <w:noProof/>
          <w:sz w:val="22"/>
          <w:szCs w:val="22"/>
        </w:rPr>
      </w:pPr>
    </w:p>
    <w:p w14:paraId="0165586B" w14:textId="77777777" w:rsidR="004A4238" w:rsidRPr="008F01D8" w:rsidRDefault="004A4238" w:rsidP="004A4238">
      <w:pPr>
        <w:spacing w:line="360" w:lineRule="auto"/>
        <w:ind w:left="851" w:right="899"/>
        <w:contextualSpacing/>
        <w:jc w:val="center"/>
        <w:rPr>
          <w:rFonts w:ascii="Palatino Linotype" w:hAnsi="Palatino Linotype" w:cs="Arial"/>
          <w:b/>
          <w:bCs/>
          <w:i/>
          <w:noProof/>
          <w:sz w:val="22"/>
          <w:szCs w:val="22"/>
        </w:rPr>
      </w:pPr>
      <w:r w:rsidRPr="008F01D8">
        <w:rPr>
          <w:rFonts w:ascii="Palatino Linotype" w:hAnsi="Palatino Linotype" w:cs="Arial"/>
          <w:b/>
          <w:bCs/>
          <w:i/>
          <w:noProof/>
          <w:sz w:val="22"/>
          <w:szCs w:val="22"/>
        </w:rPr>
        <w:t>Anexo 20 de la Segunda Resolución de modificaciones a la Resolución Miscelánea Fiscal para 2017</w:t>
      </w:r>
    </w:p>
    <w:p w14:paraId="27FDAAE8" w14:textId="77777777" w:rsidR="004A4238" w:rsidRPr="008F01D8" w:rsidRDefault="004A4238" w:rsidP="004A4238">
      <w:pPr>
        <w:spacing w:line="360" w:lineRule="auto"/>
        <w:ind w:left="851" w:right="899"/>
        <w:contextualSpacing/>
        <w:jc w:val="center"/>
        <w:rPr>
          <w:rFonts w:ascii="Palatino Linotype" w:hAnsi="Palatino Linotype" w:cs="Arial"/>
          <w:b/>
          <w:bCs/>
          <w:i/>
          <w:noProof/>
          <w:sz w:val="22"/>
          <w:szCs w:val="22"/>
        </w:rPr>
      </w:pPr>
    </w:p>
    <w:p w14:paraId="49925C4D"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I. Del Comprobante fiscal digital por Internet:</w:t>
      </w:r>
    </w:p>
    <w:p w14:paraId="0EEBC909"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w:t>
      </w:r>
    </w:p>
    <w:p w14:paraId="068C0BFB"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B. Generación de sellos digitales para comprobantes fiscales digitales por Internet.</w:t>
      </w:r>
    </w:p>
    <w:p w14:paraId="45B44804"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Elementos utilizados en la generación de Sellos Digitales:</w:t>
      </w:r>
    </w:p>
    <w:p w14:paraId="303BA542" w14:textId="77777777" w:rsidR="004A4238" w:rsidRPr="008F01D8" w:rsidRDefault="004A4238" w:rsidP="004A4238">
      <w:pPr>
        <w:numPr>
          <w:ilvl w:val="0"/>
          <w:numId w:val="12"/>
        </w:numPr>
        <w:spacing w:line="360" w:lineRule="auto"/>
        <w:ind w:left="851" w:right="899" w:firstLine="0"/>
        <w:contextualSpacing/>
        <w:jc w:val="both"/>
        <w:rPr>
          <w:rFonts w:ascii="Palatino Linotype" w:hAnsi="Palatino Linotype" w:cs="Arial"/>
          <w:bCs/>
          <w:i/>
          <w:noProof/>
          <w:sz w:val="22"/>
          <w:szCs w:val="22"/>
        </w:rPr>
      </w:pPr>
      <w:r w:rsidRPr="008F01D8">
        <w:rPr>
          <w:rFonts w:ascii="Palatino Linotype" w:hAnsi="Palatino Linotype" w:cs="Arial"/>
          <w:b/>
          <w:bCs/>
          <w:i/>
          <w:noProof/>
          <w:sz w:val="22"/>
          <w:szCs w:val="22"/>
        </w:rPr>
        <w:t xml:space="preserve">Cadena Original </w:t>
      </w:r>
      <w:r w:rsidRPr="008F01D8">
        <w:rPr>
          <w:rFonts w:ascii="Palatino Linotype" w:hAnsi="Palatino Linotype" w:cs="Arial"/>
          <w:bCs/>
          <w:i/>
          <w:noProof/>
          <w:sz w:val="22"/>
          <w:szCs w:val="22"/>
        </w:rPr>
        <w:t>del elemento a sellar.</w:t>
      </w:r>
    </w:p>
    <w:p w14:paraId="7B3FACB7" w14:textId="77777777" w:rsidR="004A4238" w:rsidRPr="008F01D8" w:rsidRDefault="004A4238" w:rsidP="004A4238">
      <w:pPr>
        <w:numPr>
          <w:ilvl w:val="0"/>
          <w:numId w:val="12"/>
        </w:numPr>
        <w:spacing w:line="360" w:lineRule="auto"/>
        <w:ind w:left="851" w:right="899" w:firstLine="0"/>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 xml:space="preserve">Certificado de Sello Digital </w:t>
      </w:r>
      <w:r w:rsidRPr="008F01D8">
        <w:rPr>
          <w:rFonts w:ascii="Palatino Linotype" w:hAnsi="Palatino Linotype" w:cs="Arial"/>
          <w:bCs/>
          <w:i/>
          <w:noProof/>
          <w:sz w:val="22"/>
          <w:szCs w:val="22"/>
        </w:rPr>
        <w:t>y su correspondiente clave privada</w:t>
      </w:r>
      <w:r w:rsidRPr="008F01D8">
        <w:rPr>
          <w:rFonts w:ascii="Palatino Linotype" w:hAnsi="Palatino Linotype" w:cs="Arial"/>
          <w:b/>
          <w:bCs/>
          <w:i/>
          <w:noProof/>
          <w:sz w:val="22"/>
          <w:szCs w:val="22"/>
        </w:rPr>
        <w:t>.</w:t>
      </w:r>
    </w:p>
    <w:p w14:paraId="54D1DD38" w14:textId="77777777" w:rsidR="004A4238" w:rsidRPr="008F01D8" w:rsidRDefault="004A4238" w:rsidP="004A4238">
      <w:pPr>
        <w:numPr>
          <w:ilvl w:val="0"/>
          <w:numId w:val="12"/>
        </w:numPr>
        <w:spacing w:line="360" w:lineRule="auto"/>
        <w:ind w:left="851" w:right="899" w:firstLine="0"/>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Algoritmos de criptografía de clave pública para firma electrónica avanzada.</w:t>
      </w:r>
    </w:p>
    <w:p w14:paraId="12208730" w14:textId="77777777" w:rsidR="004A4238" w:rsidRPr="008F01D8" w:rsidRDefault="004A4238" w:rsidP="004A4238">
      <w:pPr>
        <w:numPr>
          <w:ilvl w:val="0"/>
          <w:numId w:val="12"/>
        </w:numPr>
        <w:spacing w:line="360" w:lineRule="auto"/>
        <w:ind w:left="851" w:right="899" w:firstLine="0"/>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Especificaciones de conversión de la firma electrónica avanzada a Base 64.</w:t>
      </w:r>
    </w:p>
    <w:p w14:paraId="04EEE7C0"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w:t>
      </w:r>
    </w:p>
    <w:p w14:paraId="5C3D63C6"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Cadena Original</w:t>
      </w:r>
    </w:p>
    <w:p w14:paraId="3A299785"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p>
    <w:p w14:paraId="68A69511"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Se entiende como cadena original, a la secuencia de datos formada con la información contenida dentro del comprobante fiscal digital por Internet, establecida en el Rubro I.A. de este anexo, construida aplicando las siguientes reglas.</w:t>
      </w:r>
    </w:p>
    <w:p w14:paraId="59B19F84" w14:textId="77777777" w:rsidR="004A4238" w:rsidRDefault="004A4238" w:rsidP="004A4238">
      <w:pPr>
        <w:spacing w:line="360" w:lineRule="auto"/>
        <w:ind w:left="851" w:right="899"/>
        <w:contextualSpacing/>
        <w:jc w:val="both"/>
        <w:rPr>
          <w:rFonts w:ascii="Palatino Linotype" w:hAnsi="Palatino Linotype" w:cs="Arial"/>
          <w:b/>
          <w:bCs/>
          <w:i/>
          <w:noProof/>
          <w:sz w:val="22"/>
          <w:szCs w:val="22"/>
        </w:rPr>
      </w:pPr>
    </w:p>
    <w:p w14:paraId="0D2ABA01" w14:textId="77777777" w:rsidR="008F01D8" w:rsidRPr="008F01D8" w:rsidRDefault="008F01D8" w:rsidP="004A4238">
      <w:pPr>
        <w:spacing w:line="360" w:lineRule="auto"/>
        <w:ind w:left="851" w:right="899"/>
        <w:contextualSpacing/>
        <w:jc w:val="both"/>
        <w:rPr>
          <w:rFonts w:ascii="Palatino Linotype" w:hAnsi="Palatino Linotype" w:cs="Arial"/>
          <w:b/>
          <w:bCs/>
          <w:i/>
          <w:noProof/>
          <w:sz w:val="22"/>
          <w:szCs w:val="22"/>
        </w:rPr>
      </w:pPr>
    </w:p>
    <w:p w14:paraId="0E416BD7"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lastRenderedPageBreak/>
        <w:t>Reglas Generales:</w:t>
      </w:r>
    </w:p>
    <w:p w14:paraId="7ED2C542"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1. Ninguno de los atributos que conforman al comprobante fiscal digital por Internet debe contener el carácter | (pleca) debido a que éste es utilizado como carácter de control en la formación de la cadena original.</w:t>
      </w:r>
    </w:p>
    <w:p w14:paraId="76E670FB"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2. El inicio de la cadena original se encuentra marcado mediante una secuencia de caracteres || (doble pleca).</w:t>
      </w:r>
    </w:p>
    <w:p w14:paraId="01893EB4"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3. Se expresa únicamente la información del dato sin expresar el atributo al que hace referencia. Esto es, si el valor de un campo es "A" y el nombre del campo es "Concepto", sólo se expresa |A| y nunca |Concepto A|.</w:t>
      </w:r>
    </w:p>
    <w:p w14:paraId="09373A10"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4. Cada dato individual se debe separar de su dato subsiguiente, en caso de existir, mediante un carácter | (pleca sencilla).</w:t>
      </w:r>
    </w:p>
    <w:p w14:paraId="26BB33E8"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5. Los espacios en blanco que se presenten dentro de la cadena original son tratados de la siguiente manera:</w:t>
      </w:r>
    </w:p>
    <w:p w14:paraId="76C3242E"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a. Se deben reemplazar todos los tabuladores, retornos de carro y saltos de línea por el carácter espacio (ASCII 32).</w:t>
      </w:r>
    </w:p>
    <w:p w14:paraId="374FF98D"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b. Acto seguido se elimina cualquier espacio al principio y al final de cada separador | (pleca).</w:t>
      </w:r>
    </w:p>
    <w:p w14:paraId="1225699F"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c. Finalmente, toda secuencia de caracteres en blanco se sustituye por un único carácter espacio (ASCII 32).</w:t>
      </w:r>
    </w:p>
    <w:p w14:paraId="4051B29B"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6. Los datos opcionales no expresados, no aparecen en la cadena original y no tienen delimitador alguno.</w:t>
      </w:r>
    </w:p>
    <w:p w14:paraId="193DC6D8"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7. El final de la cadena original se expresa mediante una cadena de caracteres || (doble pleca).</w:t>
      </w:r>
    </w:p>
    <w:p w14:paraId="7201FA79"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8. Toda la cadena original se expresa en el formato de codificación UTF-8.</w:t>
      </w:r>
    </w:p>
    <w:p w14:paraId="50F2E207"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lastRenderedPageBreak/>
        <w:t>9. El nodo o nodos adicionales &lt;ComplementoConcepto&gt; se integran a la cadena original como se indica en la secuencia de formación en su numeral 10, respetando la secuencia de formación y número de orden del ComplementoConcepto.</w:t>
      </w:r>
    </w:p>
    <w:p w14:paraId="10D5F9F1"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10. El nodo o nodos adicionales &lt;Complemento&gt; se integra al final de la cadena original respetando la secuencia de formación para cada complemento y número de orden del Complemento.</w:t>
      </w:r>
    </w:p>
    <w:p w14:paraId="7BE24C64"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 xml:space="preserve">11. El nodo </w:t>
      </w:r>
      <w:r w:rsidRPr="008F01D8">
        <w:rPr>
          <w:rFonts w:ascii="Palatino Linotype" w:hAnsi="Palatino Linotype" w:cs="Arial"/>
          <w:b/>
          <w:bCs/>
          <w:i/>
          <w:noProof/>
          <w:sz w:val="22"/>
          <w:szCs w:val="22"/>
        </w:rPr>
        <w:t>Timbre Fiscal Digital del SAT</w:t>
      </w:r>
      <w:r w:rsidRPr="008F01D8">
        <w:rPr>
          <w:rFonts w:ascii="Palatino Linotype" w:hAnsi="Palatino Linotype" w:cs="Arial"/>
          <w:bCs/>
          <w:i/>
          <w:noProof/>
          <w:sz w:val="22"/>
          <w:szCs w:val="22"/>
        </w:rPr>
        <w:t xml:space="preserve"> se integra posterior a la validación realizada por un proveedor autorizado por el SAT que </w:t>
      </w:r>
      <w:r w:rsidRPr="008F01D8">
        <w:rPr>
          <w:rFonts w:ascii="Palatino Linotype" w:hAnsi="Palatino Linotype" w:cs="Arial"/>
          <w:b/>
          <w:bCs/>
          <w:i/>
          <w:noProof/>
          <w:sz w:val="22"/>
          <w:szCs w:val="22"/>
        </w:rPr>
        <w:t>forma parte de la Certificación Digital del SAT</w:t>
      </w:r>
      <w:r w:rsidRPr="008F01D8">
        <w:rPr>
          <w:rFonts w:ascii="Palatino Linotype" w:hAnsi="Palatino Linotype" w:cs="Arial"/>
          <w:bCs/>
          <w:i/>
          <w:noProof/>
          <w:sz w:val="22"/>
          <w:szCs w:val="22"/>
        </w:rPr>
        <w:t>. Dicho nodo no se integra a la formación de la cadena original del CFDI, las reglas de conformación de la cadena original del nodo se describen en el Rubro III.B. del presente anexo.</w:t>
      </w:r>
    </w:p>
    <w:p w14:paraId="3399A139"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w:t>
      </w:r>
    </w:p>
    <w:p w14:paraId="27CADC27"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Generación del Sello Digital</w:t>
      </w:r>
    </w:p>
    <w:p w14:paraId="2C6C92D8"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p>
    <w:p w14:paraId="5C4A37AB"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
          <w:bCs/>
          <w:i/>
          <w:noProof/>
          <w:sz w:val="22"/>
          <w:szCs w:val="22"/>
        </w:rPr>
        <w:t>Para toda cadena original a ser sellada digitalmente, la secuencia de algoritmos a aplicar es la siguiente</w:t>
      </w:r>
      <w:r w:rsidRPr="008F01D8">
        <w:rPr>
          <w:rFonts w:ascii="Palatino Linotype" w:hAnsi="Palatino Linotype" w:cs="Arial"/>
          <w:bCs/>
          <w:i/>
          <w:noProof/>
          <w:sz w:val="22"/>
          <w:szCs w:val="22"/>
        </w:rPr>
        <w:t>:</w:t>
      </w:r>
    </w:p>
    <w:p w14:paraId="264674BD"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w:t>
      </w:r>
    </w:p>
    <w:p w14:paraId="77F9336D"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E. Secuencia de formación para generar la cadena original para comprobantes fiscales digitalespor Internet</w:t>
      </w:r>
    </w:p>
    <w:p w14:paraId="05CAC3F3"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Secuencia de Formación:</w:t>
      </w:r>
    </w:p>
    <w:p w14:paraId="4ECBFF2B"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
          <w:bCs/>
          <w:i/>
          <w:noProof/>
          <w:sz w:val="22"/>
          <w:szCs w:val="22"/>
        </w:rPr>
        <w:t>La secuencia de formación siempre se registra en el orden que se expresa a continuación</w:t>
      </w:r>
      <w:r w:rsidRPr="008F01D8">
        <w:rPr>
          <w:rFonts w:ascii="Palatino Linotype" w:hAnsi="Palatino Linotype" w:cs="Arial"/>
          <w:bCs/>
          <w:i/>
          <w:noProof/>
          <w:sz w:val="22"/>
          <w:szCs w:val="22"/>
        </w:rPr>
        <w:t>,</w:t>
      </w:r>
    </w:p>
    <w:p w14:paraId="0308EFD0"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w:t>
      </w:r>
    </w:p>
    <w:p w14:paraId="08E4B437"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 xml:space="preserve">3. </w:t>
      </w:r>
      <w:r w:rsidRPr="008F01D8">
        <w:rPr>
          <w:rFonts w:ascii="Palatino Linotype" w:hAnsi="Palatino Linotype" w:cs="Arial"/>
          <w:b/>
          <w:bCs/>
          <w:i/>
          <w:noProof/>
          <w:sz w:val="22"/>
          <w:szCs w:val="22"/>
        </w:rPr>
        <w:t>Información del nodo Emisor</w:t>
      </w:r>
    </w:p>
    <w:p w14:paraId="48E2578E"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a. Rfc</w:t>
      </w:r>
    </w:p>
    <w:p w14:paraId="2E45CE8D"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b. Nombre</w:t>
      </w:r>
    </w:p>
    <w:p w14:paraId="4711B7F6"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lastRenderedPageBreak/>
        <w:t>c. RegimenFiscal</w:t>
      </w:r>
    </w:p>
    <w:p w14:paraId="0DCB2FD0" w14:textId="77777777" w:rsidR="004A4238" w:rsidRPr="008F01D8" w:rsidRDefault="004A4238" w:rsidP="004A4238">
      <w:pPr>
        <w:spacing w:line="360" w:lineRule="auto"/>
        <w:ind w:left="851" w:right="899"/>
        <w:contextualSpacing/>
        <w:jc w:val="both"/>
        <w:rPr>
          <w:rFonts w:ascii="Palatino Linotype" w:hAnsi="Palatino Linotype" w:cs="Arial"/>
          <w:b/>
          <w:bCs/>
          <w:i/>
          <w:noProof/>
          <w:sz w:val="22"/>
          <w:szCs w:val="22"/>
        </w:rPr>
      </w:pPr>
      <w:r w:rsidRPr="008F01D8">
        <w:rPr>
          <w:rFonts w:ascii="Palatino Linotype" w:hAnsi="Palatino Linotype" w:cs="Arial"/>
          <w:b/>
          <w:bCs/>
          <w:i/>
          <w:noProof/>
          <w:sz w:val="22"/>
          <w:szCs w:val="22"/>
        </w:rPr>
        <w:t>4. Información del nodo Receptor</w:t>
      </w:r>
    </w:p>
    <w:p w14:paraId="46F5F110"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a. Rfc</w:t>
      </w:r>
    </w:p>
    <w:p w14:paraId="642DDCFC"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b. Nombre</w:t>
      </w:r>
    </w:p>
    <w:p w14:paraId="4E839825"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c. Residencia Fiscal</w:t>
      </w:r>
    </w:p>
    <w:p w14:paraId="2970B329"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d. NumRegIdTrib</w:t>
      </w:r>
    </w:p>
    <w:p w14:paraId="6395FF10" w14:textId="77777777" w:rsidR="004A4238" w:rsidRPr="008F01D8" w:rsidRDefault="004A4238" w:rsidP="004A4238">
      <w:pPr>
        <w:spacing w:line="360" w:lineRule="auto"/>
        <w:ind w:left="851" w:right="899"/>
        <w:contextualSpacing/>
        <w:jc w:val="both"/>
        <w:rPr>
          <w:rFonts w:ascii="Palatino Linotype" w:hAnsi="Palatino Linotype" w:cs="Arial"/>
          <w:bCs/>
          <w:i/>
          <w:noProof/>
          <w:sz w:val="22"/>
          <w:szCs w:val="22"/>
        </w:rPr>
      </w:pPr>
      <w:r w:rsidRPr="008F01D8">
        <w:rPr>
          <w:rFonts w:ascii="Palatino Linotype" w:hAnsi="Palatino Linotype" w:cs="Arial"/>
          <w:bCs/>
          <w:i/>
          <w:noProof/>
          <w:sz w:val="22"/>
          <w:szCs w:val="22"/>
        </w:rPr>
        <w:t>e. UsoCFDI”</w:t>
      </w:r>
    </w:p>
    <w:p w14:paraId="0C66FA7B" w14:textId="77777777" w:rsidR="004A4238" w:rsidRPr="008F01D8" w:rsidRDefault="004A4238" w:rsidP="004A4238">
      <w:pPr>
        <w:spacing w:line="360" w:lineRule="auto"/>
        <w:ind w:left="851" w:right="899"/>
        <w:contextualSpacing/>
        <w:jc w:val="both"/>
        <w:rPr>
          <w:rFonts w:ascii="Palatino Linotype" w:hAnsi="Palatino Linotype" w:cs="Arial"/>
          <w:sz w:val="22"/>
          <w:szCs w:val="22"/>
          <w:lang w:eastAsia="es-MX"/>
        </w:rPr>
      </w:pPr>
    </w:p>
    <w:p w14:paraId="65A40936" w14:textId="77777777" w:rsidR="004A4238" w:rsidRPr="008F01D8" w:rsidRDefault="004A4238" w:rsidP="004A4238">
      <w:pPr>
        <w:spacing w:line="360" w:lineRule="auto"/>
        <w:ind w:left="851" w:right="899"/>
        <w:contextualSpacing/>
        <w:jc w:val="both"/>
        <w:rPr>
          <w:rFonts w:ascii="Palatino Linotype" w:hAnsi="Palatino Linotype" w:cs="Arial"/>
          <w:sz w:val="22"/>
          <w:szCs w:val="22"/>
          <w:lang w:eastAsia="es-MX"/>
        </w:rPr>
      </w:pPr>
      <w:r w:rsidRPr="008F01D8">
        <w:rPr>
          <w:rFonts w:ascii="Palatino Linotype" w:hAnsi="Palatino Linotype" w:cs="Arial"/>
          <w:sz w:val="22"/>
          <w:szCs w:val="22"/>
          <w:lang w:eastAsia="es-MX"/>
        </w:rPr>
        <w:t>(Énfasis añadido)</w:t>
      </w:r>
    </w:p>
    <w:p w14:paraId="61025639" w14:textId="77777777" w:rsidR="004A4238" w:rsidRPr="008F01D8" w:rsidRDefault="004A4238" w:rsidP="004A4238">
      <w:pPr>
        <w:spacing w:line="360" w:lineRule="auto"/>
        <w:contextualSpacing/>
        <w:jc w:val="both"/>
        <w:rPr>
          <w:rFonts w:ascii="Palatino Linotype" w:hAnsi="Palatino Linotype" w:cs="Arial"/>
        </w:rPr>
      </w:pPr>
    </w:p>
    <w:p w14:paraId="31B2C158" w14:textId="77777777" w:rsidR="004A4238" w:rsidRPr="008F01D8" w:rsidRDefault="004A4238" w:rsidP="004A4238">
      <w:pPr>
        <w:numPr>
          <w:ilvl w:val="0"/>
          <w:numId w:val="1"/>
        </w:numPr>
        <w:spacing w:line="360" w:lineRule="auto"/>
        <w:ind w:left="0" w:firstLine="0"/>
        <w:contextualSpacing/>
        <w:jc w:val="both"/>
        <w:rPr>
          <w:rFonts w:ascii="Palatino Linotype" w:hAnsi="Palatino Linotype" w:cs="Arial"/>
          <w:color w:val="000000"/>
        </w:rPr>
      </w:pPr>
      <w:r w:rsidRPr="008F01D8">
        <w:rPr>
          <w:rFonts w:ascii="Palatino Linotype" w:hAnsi="Palatino Linotype"/>
        </w:rPr>
        <w:t>Por lo anteriormente expuesto, este Órgano Garante considera fundadas las razones o motivos de inconformidad que plantea el</w:t>
      </w:r>
      <w:r w:rsidRPr="008F01D8">
        <w:rPr>
          <w:rFonts w:ascii="Palatino Linotype" w:hAnsi="Palatino Linotype"/>
          <w:b/>
        </w:rPr>
        <w:t xml:space="preserve"> RECURRENTE</w:t>
      </w:r>
      <w:r w:rsidRPr="008F01D8">
        <w:rPr>
          <w:rFonts w:ascii="Palatino Linotype" w:hAnsi="Palatino Linotype"/>
        </w:rPr>
        <w:t xml:space="preserve">, determinando </w:t>
      </w:r>
      <w:r w:rsidRPr="008F01D8">
        <w:rPr>
          <w:rFonts w:ascii="Palatino Linotype" w:hAnsi="Palatino Linotype"/>
          <w:b/>
        </w:rPr>
        <w:t>MODIFICAR</w:t>
      </w:r>
      <w:r w:rsidRPr="008F01D8">
        <w:rPr>
          <w:rFonts w:ascii="Palatino Linotype" w:hAnsi="Palatino Linotype"/>
        </w:rPr>
        <w:t xml:space="preserve"> la respuesta del </w:t>
      </w:r>
      <w:r w:rsidRPr="008F01D8">
        <w:rPr>
          <w:rFonts w:ascii="Palatino Linotype" w:hAnsi="Palatino Linotype"/>
          <w:b/>
        </w:rPr>
        <w:t>SUJETO OBLIGADO</w:t>
      </w:r>
      <w:r w:rsidRPr="008F01D8">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8F01D8">
        <w:rPr>
          <w:rFonts w:ascii="Palatino Linotype" w:hAnsi="Palatino Linotype"/>
          <w:color w:val="000000" w:themeColor="text1"/>
          <w:lang w:val="es-ES" w:eastAsia="es-MX"/>
        </w:rPr>
        <w:t xml:space="preserve">este </w:t>
      </w:r>
      <w:r w:rsidRPr="008F01D8">
        <w:rPr>
          <w:rFonts w:ascii="Palatino Linotype" w:hAnsi="Palatino Linotype"/>
          <w:b/>
          <w:bCs/>
          <w:color w:val="000000" w:themeColor="text1"/>
          <w:lang w:val="es-ES" w:eastAsia="es-MX"/>
        </w:rPr>
        <w:t>ÓRGANO GARANTE</w:t>
      </w:r>
      <w:r w:rsidRPr="008F01D8">
        <w:rPr>
          <w:rFonts w:ascii="Palatino Linotype" w:hAnsi="Palatino Linotype"/>
          <w:color w:val="000000" w:themeColor="text1"/>
          <w:lang w:val="es-ES" w:eastAsia="es-MX"/>
        </w:rPr>
        <w:t xml:space="preserve"> emite los siguientes</w:t>
      </w:r>
      <w:r w:rsidRPr="008F01D8">
        <w:rPr>
          <w:rFonts w:ascii="Palatino Linotype" w:hAnsi="Palatino Linotype"/>
          <w:color w:val="000000" w:themeColor="text1"/>
        </w:rPr>
        <w:t>.</w:t>
      </w:r>
    </w:p>
    <w:p w14:paraId="5299DAE4" w14:textId="77777777" w:rsidR="002868DB" w:rsidRPr="008F01D8" w:rsidRDefault="002868DB" w:rsidP="00EC186A">
      <w:pPr>
        <w:pStyle w:val="Prrafodelista"/>
        <w:spacing w:line="360" w:lineRule="auto"/>
        <w:rPr>
          <w:rFonts w:ascii="Palatino Linotype" w:hAnsi="Palatino Linotype"/>
          <w:color w:val="000000" w:themeColor="text1"/>
        </w:rPr>
      </w:pPr>
    </w:p>
    <w:p w14:paraId="736F408E" w14:textId="77777777" w:rsidR="002868DB" w:rsidRPr="008F01D8" w:rsidRDefault="002868DB" w:rsidP="00EC186A">
      <w:pPr>
        <w:pStyle w:val="Ttulo1"/>
        <w:spacing w:before="0" w:line="360" w:lineRule="auto"/>
        <w:jc w:val="center"/>
        <w:rPr>
          <w:rFonts w:ascii="Palatino Linotype" w:eastAsia="Calibri" w:hAnsi="Palatino Linotype"/>
          <w:b/>
          <w:color w:val="000000" w:themeColor="text1"/>
          <w:sz w:val="24"/>
          <w:szCs w:val="24"/>
          <w:lang w:val="es-ES"/>
        </w:rPr>
      </w:pPr>
      <w:bookmarkStart w:id="15" w:name="_Toc504500693"/>
      <w:bookmarkStart w:id="16" w:name="_Toc534742545"/>
      <w:bookmarkStart w:id="17" w:name="_Toc2248738"/>
      <w:bookmarkStart w:id="18" w:name="_Toc34819440"/>
      <w:bookmarkStart w:id="19" w:name="_Toc51259595"/>
      <w:bookmarkStart w:id="20" w:name="_Toc83128595"/>
      <w:r w:rsidRPr="008F01D8">
        <w:rPr>
          <w:rFonts w:ascii="Palatino Linotype" w:eastAsia="Calibri" w:hAnsi="Palatino Linotype"/>
          <w:b/>
          <w:color w:val="000000" w:themeColor="text1"/>
          <w:sz w:val="24"/>
          <w:szCs w:val="24"/>
          <w:lang w:val="es-ES"/>
        </w:rPr>
        <w:t>R E S O L U T I V O S</w:t>
      </w:r>
      <w:bookmarkEnd w:id="15"/>
      <w:bookmarkEnd w:id="16"/>
      <w:bookmarkEnd w:id="17"/>
      <w:bookmarkEnd w:id="18"/>
      <w:bookmarkEnd w:id="19"/>
      <w:bookmarkEnd w:id="20"/>
    </w:p>
    <w:p w14:paraId="0E0C7EBA" w14:textId="77777777" w:rsidR="002868DB" w:rsidRPr="008F01D8" w:rsidRDefault="002868DB" w:rsidP="00EC186A">
      <w:pPr>
        <w:spacing w:line="360" w:lineRule="auto"/>
        <w:rPr>
          <w:rFonts w:ascii="Palatino Linotype" w:hAnsi="Palatino Linotype"/>
          <w:color w:val="000000" w:themeColor="text1"/>
          <w:lang w:val="es-ES"/>
        </w:rPr>
      </w:pPr>
    </w:p>
    <w:p w14:paraId="576F00AE" w14:textId="1232377C" w:rsidR="00EC186A" w:rsidRPr="008F01D8" w:rsidRDefault="00EC186A" w:rsidP="00EC186A">
      <w:pPr>
        <w:spacing w:line="360" w:lineRule="auto"/>
        <w:jc w:val="both"/>
        <w:rPr>
          <w:rFonts w:ascii="Palatino Linotype" w:eastAsia="Times New Roman" w:hAnsi="Palatino Linotype" w:cs="Arial"/>
          <w:lang w:val="es-ES"/>
        </w:rPr>
      </w:pPr>
      <w:r w:rsidRPr="008F01D8">
        <w:rPr>
          <w:rFonts w:ascii="Palatino Linotype" w:eastAsia="Times New Roman" w:hAnsi="Palatino Linotype" w:cs="Arial"/>
          <w:b/>
        </w:rPr>
        <w:t>PRIMERO</w:t>
      </w:r>
      <w:r w:rsidRPr="008F01D8">
        <w:rPr>
          <w:rFonts w:ascii="Palatino Linotype" w:eastAsia="Times New Roman" w:hAnsi="Palatino Linotype" w:cs="Arial"/>
          <w:lang w:val="es-ES"/>
        </w:rPr>
        <w:t xml:space="preserve">. Resultan fundadas las razones o motivos de inconformidad hechos valer en el Recurso de Revisión </w:t>
      </w:r>
      <w:r w:rsidR="00D81798" w:rsidRPr="008F01D8">
        <w:rPr>
          <w:rFonts w:ascii="Palatino Linotype" w:eastAsia="Times New Roman" w:hAnsi="Palatino Linotype" w:cs="Arial"/>
          <w:b/>
          <w:bCs/>
        </w:rPr>
        <w:t>07558/INFOEM/IP/RR/2023</w:t>
      </w:r>
      <w:r w:rsidRPr="008F01D8">
        <w:rPr>
          <w:rFonts w:ascii="Palatino Linotype" w:hAnsi="Palatino Linotype"/>
        </w:rPr>
        <w:t>,</w:t>
      </w:r>
      <w:r w:rsidRPr="008F01D8">
        <w:rPr>
          <w:rFonts w:ascii="Palatino Linotype" w:eastAsia="Times New Roman" w:hAnsi="Palatino Linotype" w:cs="Arial"/>
          <w:b/>
          <w:lang w:val="es-ES"/>
        </w:rPr>
        <w:t xml:space="preserve"> </w:t>
      </w:r>
      <w:r w:rsidR="006013D8">
        <w:rPr>
          <w:rFonts w:ascii="Palatino Linotype" w:eastAsia="Times New Roman" w:hAnsi="Palatino Linotype" w:cs="Arial"/>
          <w:lang w:val="es-ES"/>
        </w:rPr>
        <w:t>en términos de los c</w:t>
      </w:r>
      <w:r w:rsidRPr="008F01D8">
        <w:rPr>
          <w:rFonts w:ascii="Palatino Linotype" w:eastAsia="Times New Roman" w:hAnsi="Palatino Linotype" w:cs="Arial"/>
          <w:lang w:val="es-ES"/>
        </w:rPr>
        <w:t xml:space="preserve">onsiderandos </w:t>
      </w:r>
      <w:r w:rsidRPr="008F01D8">
        <w:rPr>
          <w:rFonts w:ascii="Palatino Linotype" w:eastAsia="Times New Roman" w:hAnsi="Palatino Linotype" w:cs="Arial"/>
          <w:b/>
          <w:lang w:val="es-ES"/>
        </w:rPr>
        <w:t xml:space="preserve">CUARTO </w:t>
      </w:r>
      <w:r w:rsidRPr="008F01D8">
        <w:rPr>
          <w:rFonts w:ascii="Palatino Linotype" w:eastAsia="Times New Roman" w:hAnsi="Palatino Linotype" w:cs="Arial"/>
          <w:lang w:val="es-ES"/>
        </w:rPr>
        <w:t>y</w:t>
      </w:r>
      <w:r w:rsidRPr="008F01D8">
        <w:rPr>
          <w:rFonts w:ascii="Palatino Linotype" w:eastAsia="Times New Roman" w:hAnsi="Palatino Linotype" w:cs="Arial"/>
          <w:b/>
          <w:lang w:val="es-ES"/>
        </w:rPr>
        <w:t xml:space="preserve"> QUINTO </w:t>
      </w:r>
      <w:r w:rsidRPr="008F01D8">
        <w:rPr>
          <w:rFonts w:ascii="Palatino Linotype" w:eastAsia="Times New Roman" w:hAnsi="Palatino Linotype" w:cs="Arial"/>
          <w:lang w:val="es-ES"/>
        </w:rPr>
        <w:t xml:space="preserve">de la presente resolución. </w:t>
      </w:r>
    </w:p>
    <w:p w14:paraId="587A06F9" w14:textId="77777777" w:rsidR="00EC186A" w:rsidRPr="008F01D8" w:rsidRDefault="00EC186A" w:rsidP="00EC186A">
      <w:pPr>
        <w:spacing w:line="360" w:lineRule="auto"/>
        <w:jc w:val="both"/>
        <w:rPr>
          <w:rFonts w:ascii="Palatino Linotype" w:eastAsia="Times New Roman" w:hAnsi="Palatino Linotype" w:cs="Arial"/>
          <w:lang w:val="es-ES"/>
        </w:rPr>
      </w:pPr>
    </w:p>
    <w:p w14:paraId="5C6A70A5" w14:textId="077C342B" w:rsidR="00EC186A" w:rsidRPr="008F01D8" w:rsidRDefault="00EC186A" w:rsidP="00EC186A">
      <w:pPr>
        <w:spacing w:line="360" w:lineRule="auto"/>
        <w:jc w:val="both"/>
        <w:rPr>
          <w:rFonts w:ascii="Palatino Linotype" w:hAnsi="Palatino Linotype" w:cs="Arial"/>
          <w:b/>
        </w:rPr>
      </w:pPr>
      <w:bookmarkStart w:id="21" w:name="_Toc503891607"/>
      <w:bookmarkStart w:id="22" w:name="_Toc511647757"/>
      <w:bookmarkStart w:id="23" w:name="_Toc511647818"/>
      <w:bookmarkStart w:id="24" w:name="_Toc477891768"/>
      <w:bookmarkStart w:id="25" w:name="_Toc477891858"/>
      <w:bookmarkStart w:id="26" w:name="_Toc481576259"/>
      <w:bookmarkStart w:id="27" w:name="_Toc492590391"/>
      <w:bookmarkStart w:id="28" w:name="_Toc462653937"/>
      <w:bookmarkStart w:id="29" w:name="_Toc453696502"/>
      <w:bookmarkStart w:id="30" w:name="_Toc454301155"/>
      <w:r w:rsidRPr="008F01D8">
        <w:rPr>
          <w:rFonts w:ascii="Palatino Linotype" w:eastAsia="Times New Roman" w:hAnsi="Palatino Linotype" w:cs="Times New Roman"/>
          <w:b/>
        </w:rPr>
        <w:lastRenderedPageBreak/>
        <w:t>SEGUNDO.</w:t>
      </w:r>
      <w:bookmarkEnd w:id="21"/>
      <w:bookmarkEnd w:id="22"/>
      <w:bookmarkEnd w:id="23"/>
      <w:r w:rsidRPr="008F01D8">
        <w:rPr>
          <w:rFonts w:ascii="Palatino Linotype" w:eastAsia="Times New Roman" w:hAnsi="Palatino Linotype" w:cs="Times New Roman"/>
          <w:b/>
        </w:rPr>
        <w:t xml:space="preserve"> </w:t>
      </w:r>
      <w:bookmarkEnd w:id="24"/>
      <w:bookmarkEnd w:id="25"/>
      <w:bookmarkEnd w:id="26"/>
      <w:bookmarkEnd w:id="27"/>
      <w:bookmarkEnd w:id="28"/>
      <w:bookmarkEnd w:id="29"/>
      <w:bookmarkEnd w:id="30"/>
      <w:r w:rsidRPr="008F01D8">
        <w:rPr>
          <w:rFonts w:ascii="Palatino Linotype" w:eastAsia="MS Mincho" w:hAnsi="Palatino Linotype" w:cs="Times New Roman"/>
          <w:color w:val="000000" w:themeColor="text1"/>
        </w:rPr>
        <w:t xml:space="preserve">Se </w:t>
      </w:r>
      <w:r w:rsidRPr="008F01D8">
        <w:rPr>
          <w:rFonts w:ascii="Palatino Linotype" w:eastAsia="MS Mincho" w:hAnsi="Palatino Linotype" w:cs="Times New Roman"/>
          <w:b/>
          <w:color w:val="000000" w:themeColor="text1"/>
        </w:rPr>
        <w:t xml:space="preserve">MODIFICA </w:t>
      </w:r>
      <w:r w:rsidRPr="008F01D8">
        <w:rPr>
          <w:rFonts w:ascii="Palatino Linotype" w:eastAsia="MS Mincho" w:hAnsi="Palatino Linotype" w:cs="Times New Roman"/>
          <w:color w:val="000000" w:themeColor="text1"/>
        </w:rPr>
        <w:t xml:space="preserve">la respuesta emitida por el </w:t>
      </w:r>
      <w:r w:rsidR="00D81798" w:rsidRPr="008F01D8">
        <w:rPr>
          <w:rFonts w:ascii="Palatino Linotype" w:eastAsia="MS Mincho" w:hAnsi="Palatino Linotype" w:cs="Times New Roman"/>
          <w:b/>
          <w:color w:val="000000" w:themeColor="text1"/>
        </w:rPr>
        <w:t>Ayuntamiento de Ecatepec de Morelos</w:t>
      </w:r>
      <w:r w:rsidRPr="008F01D8">
        <w:rPr>
          <w:rFonts w:ascii="Palatino Linotype" w:eastAsia="MS Mincho" w:hAnsi="Palatino Linotype" w:cs="Times New Roman"/>
          <w:b/>
          <w:color w:val="000000" w:themeColor="text1"/>
        </w:rPr>
        <w:t xml:space="preserve"> </w:t>
      </w:r>
      <w:r w:rsidRPr="008F01D8">
        <w:rPr>
          <w:rFonts w:ascii="Palatino Linotype" w:eastAsia="MS Mincho" w:hAnsi="Palatino Linotype" w:cs="Times New Roman"/>
          <w:color w:val="000000" w:themeColor="text1"/>
        </w:rPr>
        <w:t xml:space="preserve">y se </w:t>
      </w:r>
      <w:r w:rsidRPr="008F01D8">
        <w:rPr>
          <w:rFonts w:ascii="Palatino Linotype" w:eastAsia="MS Mincho" w:hAnsi="Palatino Linotype" w:cs="Times New Roman"/>
          <w:b/>
          <w:color w:val="000000" w:themeColor="text1"/>
        </w:rPr>
        <w:t>ORDENA</w:t>
      </w:r>
      <w:r w:rsidRPr="008F01D8">
        <w:rPr>
          <w:rFonts w:ascii="Palatino Linotype" w:eastAsia="MS Mincho" w:hAnsi="Palatino Linotype" w:cs="Times New Roman"/>
          <w:color w:val="000000" w:themeColor="text1"/>
        </w:rPr>
        <w:t xml:space="preserve"> entregar vía Sistema de Acceso a la Información Mexiquense </w:t>
      </w:r>
      <w:r w:rsidRPr="008F01D8">
        <w:rPr>
          <w:rFonts w:ascii="Palatino Linotype" w:eastAsia="MS Mincho" w:hAnsi="Palatino Linotype" w:cs="Times New Roman"/>
          <w:b/>
          <w:color w:val="000000" w:themeColor="text1"/>
        </w:rPr>
        <w:t>(SAIMEX)</w:t>
      </w:r>
      <w:r w:rsidRPr="008F01D8">
        <w:rPr>
          <w:rFonts w:ascii="Palatino Linotype" w:eastAsia="MS Mincho" w:hAnsi="Palatino Linotype" w:cs="Times New Roman"/>
          <w:color w:val="000000" w:themeColor="text1"/>
        </w:rPr>
        <w:t xml:space="preserve">, </w:t>
      </w:r>
      <w:r w:rsidR="00E90DE7" w:rsidRPr="008F01D8">
        <w:rPr>
          <w:rFonts w:ascii="Palatino Linotype" w:eastAsia="MS Mincho" w:hAnsi="Palatino Linotype" w:cs="Times New Roman"/>
          <w:color w:val="000000" w:themeColor="text1"/>
        </w:rPr>
        <w:t xml:space="preserve">en versión pública, </w:t>
      </w:r>
      <w:r w:rsidRPr="008F01D8">
        <w:rPr>
          <w:rFonts w:ascii="Palatino Linotype" w:eastAsia="MS Mincho" w:hAnsi="Palatino Linotype" w:cs="Times New Roman"/>
          <w:color w:val="000000" w:themeColor="text1"/>
        </w:rPr>
        <w:t>la siguiente información</w:t>
      </w:r>
      <w:bookmarkStart w:id="31" w:name="_Toc503891610"/>
      <w:bookmarkStart w:id="32" w:name="_Toc453696503"/>
      <w:bookmarkStart w:id="33" w:name="_Toc454301156"/>
      <w:bookmarkStart w:id="34" w:name="_Toc462653938"/>
      <w:bookmarkStart w:id="35" w:name="_Toc477891769"/>
      <w:bookmarkStart w:id="36" w:name="_Toc477891859"/>
      <w:bookmarkStart w:id="37" w:name="_Toc481576260"/>
      <w:bookmarkStart w:id="38" w:name="_Toc492590392"/>
      <w:r w:rsidRPr="008F01D8">
        <w:rPr>
          <w:rFonts w:ascii="Palatino Linotype" w:hAnsi="Palatino Linotype" w:cs="Arial"/>
          <w:b/>
        </w:rPr>
        <w:t>:</w:t>
      </w:r>
    </w:p>
    <w:p w14:paraId="56359BA3" w14:textId="77777777" w:rsidR="00EC186A" w:rsidRPr="008F01D8" w:rsidRDefault="00EC186A" w:rsidP="00EC186A">
      <w:pPr>
        <w:spacing w:line="360" w:lineRule="auto"/>
        <w:jc w:val="both"/>
        <w:rPr>
          <w:rFonts w:ascii="Palatino Linotype" w:hAnsi="Palatino Linotype" w:cs="Arial"/>
          <w:b/>
        </w:rPr>
      </w:pPr>
    </w:p>
    <w:p w14:paraId="7A70633F" w14:textId="447CEC26" w:rsidR="00EC186A" w:rsidRPr="008F01D8" w:rsidRDefault="006B12BB" w:rsidP="006B12BB">
      <w:pPr>
        <w:pStyle w:val="Prrafodelista"/>
        <w:numPr>
          <w:ilvl w:val="0"/>
          <w:numId w:val="10"/>
        </w:numPr>
        <w:spacing w:line="360" w:lineRule="auto"/>
        <w:ind w:left="709"/>
        <w:jc w:val="both"/>
        <w:rPr>
          <w:rFonts w:ascii="Palatino Linotype" w:hAnsi="Palatino Linotype" w:cs="Arial"/>
          <w:b/>
        </w:rPr>
      </w:pPr>
      <w:r w:rsidRPr="008F01D8">
        <w:rPr>
          <w:rFonts w:ascii="Palatino Linotype" w:hAnsi="Palatino Linotype" w:cs="Arial"/>
          <w:b/>
        </w:rPr>
        <w:t xml:space="preserve">Recibos de nómina de la segunda quincena de agosto y primera de septiembre de 2023, de los cinco servidores públicos referidos en la solicitud de información 00816/ECATEPEC/IP/2023, que si se encuentran adscritos al </w:t>
      </w:r>
      <w:r w:rsidR="00A94235" w:rsidRPr="008F01D8">
        <w:rPr>
          <w:rFonts w:ascii="Palatino Linotype" w:hAnsi="Palatino Linotype" w:cs="Arial"/>
          <w:b/>
        </w:rPr>
        <w:t xml:space="preserve">del </w:t>
      </w:r>
      <w:r w:rsidR="00D81798" w:rsidRPr="008F01D8">
        <w:rPr>
          <w:rFonts w:ascii="Palatino Linotype" w:hAnsi="Palatino Linotype" w:cs="Arial"/>
          <w:b/>
        </w:rPr>
        <w:t>Ayuntamiento de Ecatepec de Morelos</w:t>
      </w:r>
      <w:r w:rsidRPr="008F01D8">
        <w:rPr>
          <w:rFonts w:ascii="Palatino Linotype" w:hAnsi="Palatino Linotype" w:cs="Arial"/>
          <w:b/>
        </w:rPr>
        <w:t>.</w:t>
      </w:r>
    </w:p>
    <w:p w14:paraId="449C6B03" w14:textId="77777777" w:rsidR="00EC186A" w:rsidRPr="008F01D8" w:rsidRDefault="00EC186A" w:rsidP="00EC186A">
      <w:pPr>
        <w:pStyle w:val="Prrafodelista"/>
        <w:spacing w:line="360" w:lineRule="auto"/>
        <w:ind w:left="993"/>
        <w:jc w:val="both"/>
        <w:rPr>
          <w:rFonts w:ascii="Palatino Linotype" w:hAnsi="Palatino Linotype" w:cs="Arial"/>
          <w:b/>
        </w:rPr>
      </w:pPr>
    </w:p>
    <w:bookmarkEnd w:id="31"/>
    <w:bookmarkEnd w:id="32"/>
    <w:bookmarkEnd w:id="33"/>
    <w:bookmarkEnd w:id="34"/>
    <w:bookmarkEnd w:id="35"/>
    <w:bookmarkEnd w:id="36"/>
    <w:bookmarkEnd w:id="37"/>
    <w:bookmarkEnd w:id="38"/>
    <w:p w14:paraId="3FC22722" w14:textId="77777777" w:rsidR="00EC186A" w:rsidRDefault="00EC186A" w:rsidP="00EC186A">
      <w:pPr>
        <w:spacing w:line="360" w:lineRule="auto"/>
        <w:jc w:val="both"/>
        <w:rPr>
          <w:rFonts w:ascii="Palatino Linotype" w:eastAsia="Calibri" w:hAnsi="Palatino Linotype" w:cs="Arial"/>
        </w:rPr>
      </w:pPr>
      <w:r w:rsidRPr="008F01D8">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8F01D8">
        <w:rPr>
          <w:rFonts w:ascii="Palatino Linotype" w:eastAsia="Calibri" w:hAnsi="Palatino Linotype" w:cs="Arial"/>
          <w:b/>
        </w:rPr>
        <w:t>EL RECURRENTE</w:t>
      </w:r>
      <w:r w:rsidRPr="008F01D8">
        <w:rPr>
          <w:rFonts w:ascii="Palatino Linotype" w:eastAsia="Calibri" w:hAnsi="Palatino Linotype" w:cs="Arial"/>
        </w:rPr>
        <w:t>.</w:t>
      </w:r>
    </w:p>
    <w:p w14:paraId="2B873849" w14:textId="77777777" w:rsidR="006013D8" w:rsidRPr="008F01D8" w:rsidRDefault="006013D8" w:rsidP="00EC186A">
      <w:pPr>
        <w:spacing w:line="360" w:lineRule="auto"/>
        <w:jc w:val="both"/>
        <w:rPr>
          <w:rFonts w:ascii="Palatino Linotype" w:eastAsia="Calibri" w:hAnsi="Palatino Linotype" w:cs="Arial"/>
        </w:rPr>
      </w:pPr>
    </w:p>
    <w:p w14:paraId="1AAF47BE" w14:textId="77777777" w:rsidR="00EC186A" w:rsidRPr="008F01D8" w:rsidRDefault="00EC186A" w:rsidP="00EC186A">
      <w:pPr>
        <w:spacing w:line="360" w:lineRule="auto"/>
        <w:jc w:val="both"/>
        <w:rPr>
          <w:rFonts w:ascii="Palatino Linotype" w:eastAsia="Times New Roman" w:hAnsi="Palatino Linotype" w:cs="Times New Roman"/>
          <w:lang w:val="es-MX"/>
        </w:rPr>
      </w:pPr>
      <w:r w:rsidRPr="008F01D8">
        <w:rPr>
          <w:rFonts w:ascii="Palatino Linotype" w:eastAsia="Times New Roman" w:hAnsi="Palatino Linotype" w:cs="Arial"/>
          <w:b/>
          <w:bCs/>
          <w:lang w:val="es-MX"/>
        </w:rPr>
        <w:t>TERCERO</w:t>
      </w:r>
      <w:r w:rsidRPr="008F01D8">
        <w:rPr>
          <w:rFonts w:ascii="Palatino Linotype" w:eastAsia="Times New Roman" w:hAnsi="Palatino Linotype" w:cs="Arial"/>
          <w:b/>
          <w:lang w:val="es-MX"/>
        </w:rPr>
        <w:t>.</w:t>
      </w:r>
      <w:r w:rsidRPr="008F01D8">
        <w:rPr>
          <w:rFonts w:ascii="Palatino Linotype" w:eastAsia="Palatino Linotype" w:hAnsi="Palatino Linotype" w:cs="Palatino Linotype"/>
          <w:b/>
          <w:lang w:val="es-MX"/>
        </w:rPr>
        <w:t xml:space="preserve"> </w:t>
      </w:r>
      <w:r w:rsidRPr="008F01D8">
        <w:rPr>
          <w:rFonts w:ascii="Palatino Linotype" w:eastAsia="Times New Roman" w:hAnsi="Palatino Linotype" w:cs="Times New Roman"/>
          <w:b/>
          <w:lang w:val="es-MX"/>
        </w:rPr>
        <w:t xml:space="preserve">Notifíquese </w:t>
      </w:r>
      <w:r w:rsidRPr="008F01D8">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6013D8">
        <w:rPr>
          <w:rFonts w:ascii="Palatino Linotype" w:eastAsia="Times New Roman" w:hAnsi="Palatino Linotype" w:cs="Times New Roman"/>
          <w:b/>
          <w:lang w:val="es-MX"/>
        </w:rPr>
        <w:t>dé cumplimiento a lo ordenado dentro del plazo de diez días hábiles,</w:t>
      </w:r>
      <w:r w:rsidRPr="008F01D8">
        <w:rPr>
          <w:rFonts w:ascii="Palatino Linotype" w:eastAsia="Times New Roman" w:hAnsi="Palatino Linotype" w:cs="Times New Roman"/>
          <w:lang w:val="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8F01D8">
        <w:rPr>
          <w:rFonts w:ascii="Palatino Linotype" w:eastAsia="Times New Roman" w:hAnsi="Palatino Linotype" w:cs="Times New Roman"/>
          <w:lang w:val="es-MX"/>
        </w:rPr>
        <w:lastRenderedPageBreak/>
        <w:t>previsto en los artículos 198, 200, fracción III; 214, 215 y 216 de la Ley  de Transparencia y Acceso a la Información Pública del Estado de México y Municipios.</w:t>
      </w:r>
    </w:p>
    <w:p w14:paraId="515FFA45" w14:textId="77777777" w:rsidR="00EC186A" w:rsidRPr="008F01D8" w:rsidRDefault="00EC186A" w:rsidP="00EC186A">
      <w:pPr>
        <w:tabs>
          <w:tab w:val="left" w:pos="8080"/>
        </w:tabs>
        <w:spacing w:line="360" w:lineRule="auto"/>
        <w:ind w:right="49"/>
        <w:jc w:val="both"/>
        <w:rPr>
          <w:rFonts w:ascii="Palatino Linotype" w:eastAsia="Times New Roman" w:hAnsi="Palatino Linotype" w:cs="Times New Roman"/>
          <w:shd w:val="clear" w:color="auto" w:fill="FFFFFF"/>
        </w:rPr>
      </w:pPr>
    </w:p>
    <w:p w14:paraId="6A111662" w14:textId="77777777" w:rsidR="00EC186A" w:rsidRPr="008F01D8" w:rsidRDefault="00EC186A" w:rsidP="00EC186A">
      <w:pPr>
        <w:spacing w:line="360" w:lineRule="auto"/>
        <w:jc w:val="both"/>
        <w:rPr>
          <w:rFonts w:ascii="Palatino Linotype" w:eastAsia="Calibri" w:hAnsi="Palatino Linotype" w:cs="Arial"/>
          <w:bCs/>
        </w:rPr>
      </w:pPr>
      <w:r w:rsidRPr="008F01D8">
        <w:rPr>
          <w:rFonts w:ascii="Palatino Linotype" w:hAnsi="Palatino Linotype" w:cs="Arial"/>
          <w:b/>
        </w:rPr>
        <w:t xml:space="preserve">CUARTO. </w:t>
      </w:r>
      <w:r w:rsidRPr="008F01D8">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8F01D8">
        <w:rPr>
          <w:rFonts w:ascii="Palatino Linotype" w:eastAsia="Calibri" w:hAnsi="Palatino Linotype" w:cs="Arial"/>
          <w:b/>
          <w:bCs/>
        </w:rPr>
        <w:t>SUJETO OBLIGADO</w:t>
      </w:r>
      <w:r w:rsidRPr="008F01D8">
        <w:rPr>
          <w:rFonts w:ascii="Palatino Linotype" w:eastAsia="Calibri" w:hAnsi="Palatino Linotype" w:cs="Arial"/>
          <w:bCs/>
        </w:rPr>
        <w:t xml:space="preserve"> de manera fundada y motivada, podrá solicitar una ampliación de plazo para el cumplimiento de la presente resolución.</w:t>
      </w:r>
    </w:p>
    <w:p w14:paraId="2C94AE54" w14:textId="77777777" w:rsidR="00EC186A" w:rsidRPr="008F01D8" w:rsidRDefault="00EC186A" w:rsidP="00EC186A">
      <w:pPr>
        <w:spacing w:line="360" w:lineRule="auto"/>
        <w:jc w:val="both"/>
        <w:rPr>
          <w:rFonts w:ascii="Palatino Linotype" w:eastAsia="Calibri" w:hAnsi="Palatino Linotype" w:cs="Arial"/>
          <w:bCs/>
        </w:rPr>
      </w:pPr>
    </w:p>
    <w:p w14:paraId="5EF0A89A" w14:textId="77777777" w:rsidR="00EC186A" w:rsidRPr="008F01D8" w:rsidRDefault="00EC186A" w:rsidP="00EC186A">
      <w:pPr>
        <w:tabs>
          <w:tab w:val="left" w:pos="8080"/>
        </w:tabs>
        <w:spacing w:line="360" w:lineRule="auto"/>
        <w:ind w:right="49"/>
        <w:jc w:val="both"/>
        <w:rPr>
          <w:rFonts w:ascii="Palatino Linotype" w:eastAsia="Times New Roman" w:hAnsi="Palatino Linotype" w:cs="Times New Roman"/>
          <w:lang w:val="es-ES" w:eastAsia="es-MX"/>
        </w:rPr>
      </w:pPr>
      <w:bookmarkStart w:id="39" w:name="_Toc492590393"/>
      <w:bookmarkStart w:id="40" w:name="_Toc503891611"/>
      <w:bookmarkStart w:id="41" w:name="_Toc511647759"/>
      <w:bookmarkStart w:id="42" w:name="_Toc511647820"/>
      <w:r w:rsidRPr="008F01D8">
        <w:rPr>
          <w:rFonts w:ascii="Palatino Linotype" w:eastAsia="Times New Roman" w:hAnsi="Palatino Linotype" w:cs="Times New Roman"/>
          <w:b/>
        </w:rPr>
        <w:t xml:space="preserve">QUINTO. </w:t>
      </w:r>
      <w:r w:rsidRPr="008F01D8">
        <w:rPr>
          <w:rFonts w:ascii="Palatino Linotype" w:eastAsia="Times New Roman" w:hAnsi="Palatino Linotype" w:cs="Times New Roman"/>
        </w:rPr>
        <w:t>Notifíquese</w:t>
      </w:r>
      <w:bookmarkEnd w:id="39"/>
      <w:bookmarkEnd w:id="40"/>
      <w:bookmarkEnd w:id="41"/>
      <w:bookmarkEnd w:id="42"/>
      <w:r w:rsidRPr="008F01D8">
        <w:rPr>
          <w:rFonts w:ascii="Palatino Linotype" w:eastAsia="Times New Roman" w:hAnsi="Palatino Linotype" w:cs="Times New Roman"/>
        </w:rPr>
        <w:t xml:space="preserve"> a </w:t>
      </w:r>
      <w:r w:rsidRPr="008F01D8">
        <w:rPr>
          <w:rFonts w:ascii="Palatino Linotype" w:eastAsia="Times New Roman" w:hAnsi="Palatino Linotype" w:cs="Times New Roman"/>
          <w:b/>
        </w:rPr>
        <w:t>EL RECURRENTE</w:t>
      </w:r>
      <w:r w:rsidRPr="008F01D8">
        <w:rPr>
          <w:rFonts w:ascii="Palatino Linotype" w:eastAsia="Times New Roman" w:hAnsi="Palatino Linotype" w:cs="Times New Roman"/>
        </w:rPr>
        <w:t xml:space="preserve"> la presente</w:t>
      </w:r>
      <w:r w:rsidRPr="008F01D8">
        <w:rPr>
          <w:rFonts w:ascii="Palatino Linotype" w:eastAsia="Times New Roman" w:hAnsi="Palatino Linotype" w:cs="Times New Roman"/>
          <w:lang w:val="es-ES" w:eastAsia="es-MX"/>
        </w:rPr>
        <w:t xml:space="preserve"> resolución, vía SAIMEX.</w:t>
      </w:r>
    </w:p>
    <w:p w14:paraId="5180FEDA" w14:textId="77777777" w:rsidR="00EC186A" w:rsidRPr="008F01D8" w:rsidRDefault="00EC186A" w:rsidP="00EC186A">
      <w:pPr>
        <w:tabs>
          <w:tab w:val="left" w:pos="8080"/>
        </w:tabs>
        <w:spacing w:line="360" w:lineRule="auto"/>
        <w:ind w:right="49"/>
        <w:jc w:val="both"/>
        <w:rPr>
          <w:rFonts w:ascii="Palatino Linotype" w:eastAsia="Times New Roman" w:hAnsi="Palatino Linotype" w:cs="Times New Roman"/>
          <w:lang w:val="es-ES" w:eastAsia="es-MX"/>
        </w:rPr>
      </w:pPr>
    </w:p>
    <w:p w14:paraId="5CBDC20B" w14:textId="77777777" w:rsidR="00EC186A" w:rsidRPr="008F01D8" w:rsidRDefault="00EC186A" w:rsidP="00EC186A">
      <w:pPr>
        <w:shd w:val="clear" w:color="auto" w:fill="FFFFFF"/>
        <w:spacing w:line="360" w:lineRule="auto"/>
        <w:jc w:val="both"/>
        <w:rPr>
          <w:rFonts w:ascii="Palatino Linotype" w:eastAsia="Calibri" w:hAnsi="Palatino Linotype"/>
          <w:lang w:val="es-MX" w:eastAsia="en-US"/>
        </w:rPr>
      </w:pPr>
      <w:r w:rsidRPr="008F01D8">
        <w:rPr>
          <w:rFonts w:ascii="Palatino Linotype" w:eastAsia="Calibri" w:hAnsi="Palatino Linotype"/>
          <w:b/>
          <w:lang w:eastAsia="en-US"/>
        </w:rPr>
        <w:t xml:space="preserve">SEXTO. </w:t>
      </w:r>
      <w:r w:rsidRPr="008F01D8">
        <w:rPr>
          <w:rFonts w:ascii="Palatino Linotype" w:eastAsia="Calibri" w:hAnsi="Palatino Linotype"/>
          <w:lang w:eastAsia="en-US"/>
        </w:rPr>
        <w:t xml:space="preserve">Se hace del conocimiento del </w:t>
      </w:r>
      <w:r w:rsidRPr="008F01D8">
        <w:rPr>
          <w:rFonts w:ascii="Palatino Linotype" w:eastAsia="Calibri" w:hAnsi="Palatino Linotype"/>
          <w:b/>
          <w:lang w:eastAsia="en-US"/>
        </w:rPr>
        <w:t xml:space="preserve">RECURRENTE </w:t>
      </w:r>
      <w:r w:rsidRPr="008F01D8">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1501E19" w14:textId="77777777" w:rsidR="002868DB" w:rsidRPr="008F01D8" w:rsidRDefault="002868DB" w:rsidP="00EC186A">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bookmarkStart w:id="43" w:name="_Hlk129792997"/>
    <w:p w14:paraId="678F64AE" w14:textId="6684291C" w:rsidR="00FC365C" w:rsidRPr="00DC4519" w:rsidRDefault="00A01508" w:rsidP="00FC365C">
      <w:pPr>
        <w:spacing w:before="240" w:after="240" w:line="360" w:lineRule="auto"/>
        <w:ind w:firstLine="1"/>
        <w:jc w:val="both"/>
        <w:rPr>
          <w:rStyle w:val="Referenciasutil"/>
          <w:rFonts w:ascii="Palatino Linotype" w:hAnsi="Palatino Linotype"/>
          <w:color w:val="auto"/>
        </w:rPr>
      </w:pPr>
      <w:r>
        <w:rPr>
          <w:rFonts w:ascii="Palatino Linotype" w:hAnsi="Palatino Linotype" w:cs="Times New Roman"/>
          <w:smallCaps/>
          <w:noProof/>
          <w:lang w:val="es-MX" w:eastAsia="es-MX"/>
          <w14:ligatures w14:val="standardContextual"/>
        </w:rPr>
        <mc:AlternateContent>
          <mc:Choice Requires="wps">
            <w:drawing>
              <wp:anchor distT="0" distB="0" distL="114300" distR="114300" simplePos="0" relativeHeight="251659264" behindDoc="0" locked="0" layoutInCell="1" allowOverlap="1" wp14:anchorId="772A0BC2" wp14:editId="5FFD07C4">
                <wp:simplePos x="0" y="0"/>
                <wp:positionH relativeFrom="column">
                  <wp:posOffset>15239</wp:posOffset>
                </wp:positionH>
                <wp:positionV relativeFrom="paragraph">
                  <wp:posOffset>2779395</wp:posOffset>
                </wp:positionV>
                <wp:extent cx="5553075" cy="476250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553075" cy="476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75DA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18.85pt" to="438.45pt,5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" strokecolor="#4472c4 [3204]" strokeweight=".5pt">
                <v:stroke joinstyle="miter"/>
              </v:line>
            </w:pict>
          </mc:Fallback>
        </mc:AlternateContent>
      </w:r>
      <w:r w:rsidR="00FC365C" w:rsidRPr="00DC4519">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C365C">
        <w:rPr>
          <w:rStyle w:val="Referenciasutil"/>
          <w:rFonts w:ascii="Palatino Linotype" w:hAnsi="Palatino Linotype"/>
          <w:color w:val="auto"/>
        </w:rPr>
        <w:t>TERCERA</w:t>
      </w:r>
      <w:r w:rsidR="00FC365C" w:rsidRPr="00DC4519">
        <w:rPr>
          <w:rStyle w:val="Referenciasutil"/>
          <w:rFonts w:ascii="Palatino Linotype" w:hAnsi="Palatino Linotype"/>
          <w:color w:val="auto"/>
        </w:rPr>
        <w:t xml:space="preserve"> SESIÓN ORDINARIA CELEBRADA EL </w:t>
      </w:r>
      <w:r w:rsidR="00FC365C">
        <w:rPr>
          <w:rStyle w:val="Referenciasutil"/>
          <w:rFonts w:ascii="Palatino Linotype" w:hAnsi="Palatino Linotype"/>
          <w:color w:val="auto"/>
        </w:rPr>
        <w:t xml:space="preserve">TREINTA Y UNO (31) DE </w:t>
      </w:r>
      <w:r w:rsidR="00FC365C">
        <w:rPr>
          <w:rStyle w:val="Referenciasutil"/>
          <w:rFonts w:ascii="Palatino Linotype" w:hAnsi="Palatino Linotype"/>
          <w:color w:val="auto"/>
        </w:rPr>
        <w:lastRenderedPageBreak/>
        <w:t>ENERO</w:t>
      </w:r>
      <w:r w:rsidR="00FC365C" w:rsidRPr="00DC4519">
        <w:rPr>
          <w:rStyle w:val="Referenciasutil"/>
          <w:rFonts w:ascii="Palatino Linotype" w:hAnsi="Palatino Linotype"/>
          <w:color w:val="auto"/>
        </w:rPr>
        <w:t xml:space="preserve"> DE DOS MIL VEINTICUATRO, ANTE EL SECRETARIO TÉCNICO DEL PLENO ALEXIS TAPIA RAMÍREZ. </w:t>
      </w:r>
      <w:bookmarkEnd w:id="43"/>
    </w:p>
    <w:p w14:paraId="2CD02980" w14:textId="419A737C" w:rsidR="003A41C8" w:rsidRPr="008F01D8" w:rsidRDefault="003A41C8" w:rsidP="00EC186A">
      <w:pPr>
        <w:spacing w:line="360" w:lineRule="auto"/>
        <w:ind w:firstLine="1"/>
        <w:jc w:val="both"/>
        <w:rPr>
          <w:rFonts w:ascii="Palatino Linotype" w:hAnsi="Palatino Linotype"/>
        </w:rPr>
      </w:pPr>
    </w:p>
    <w:p w14:paraId="4EEABA53" w14:textId="0ED56D56" w:rsidR="002D5757" w:rsidRPr="008F01D8" w:rsidRDefault="002D5757" w:rsidP="00EC186A">
      <w:pPr>
        <w:spacing w:line="360" w:lineRule="auto"/>
        <w:jc w:val="both"/>
        <w:rPr>
          <w:rFonts w:ascii="Palatino Linotype" w:hAnsi="Palatino Linotype"/>
          <w:color w:val="000000" w:themeColor="text1"/>
        </w:rPr>
      </w:pPr>
    </w:p>
    <w:p w14:paraId="42E9F83D" w14:textId="77777777" w:rsidR="006B12BB" w:rsidRPr="008F01D8" w:rsidRDefault="006B12BB" w:rsidP="00EC186A">
      <w:pPr>
        <w:spacing w:line="360" w:lineRule="auto"/>
        <w:jc w:val="both"/>
        <w:rPr>
          <w:rFonts w:ascii="Palatino Linotype" w:hAnsi="Palatino Linotype"/>
          <w:color w:val="000000" w:themeColor="text1"/>
        </w:rPr>
      </w:pPr>
    </w:p>
    <w:p w14:paraId="24E512DB" w14:textId="77777777" w:rsidR="006B12BB" w:rsidRPr="008F01D8" w:rsidRDefault="006B12BB" w:rsidP="00EC186A">
      <w:pPr>
        <w:spacing w:line="360" w:lineRule="auto"/>
        <w:jc w:val="both"/>
        <w:rPr>
          <w:rFonts w:ascii="Palatino Linotype" w:hAnsi="Palatino Linotype"/>
          <w:color w:val="000000" w:themeColor="text1"/>
        </w:rPr>
      </w:pPr>
    </w:p>
    <w:p w14:paraId="0311151C" w14:textId="77777777" w:rsidR="006B12BB" w:rsidRPr="008F01D8" w:rsidRDefault="006B12BB" w:rsidP="00EC186A">
      <w:pPr>
        <w:spacing w:line="360" w:lineRule="auto"/>
        <w:jc w:val="both"/>
        <w:rPr>
          <w:rFonts w:ascii="Palatino Linotype" w:hAnsi="Palatino Linotype"/>
          <w:color w:val="000000" w:themeColor="text1"/>
        </w:rPr>
      </w:pPr>
    </w:p>
    <w:p w14:paraId="41637377" w14:textId="77777777" w:rsidR="006B12BB" w:rsidRPr="008F01D8" w:rsidRDefault="006B12BB" w:rsidP="00EC186A">
      <w:pPr>
        <w:spacing w:line="360" w:lineRule="auto"/>
        <w:jc w:val="both"/>
        <w:rPr>
          <w:rFonts w:ascii="Palatino Linotype" w:hAnsi="Palatino Linotype"/>
          <w:color w:val="000000" w:themeColor="text1"/>
        </w:rPr>
      </w:pPr>
    </w:p>
    <w:p w14:paraId="1F518117" w14:textId="77777777" w:rsidR="006B12BB" w:rsidRPr="008F01D8" w:rsidRDefault="006B12BB" w:rsidP="00EC186A">
      <w:pPr>
        <w:spacing w:line="360" w:lineRule="auto"/>
        <w:jc w:val="both"/>
        <w:rPr>
          <w:rFonts w:ascii="Palatino Linotype" w:hAnsi="Palatino Linotype"/>
          <w:color w:val="000000" w:themeColor="text1"/>
        </w:rPr>
      </w:pPr>
    </w:p>
    <w:p w14:paraId="14D20635" w14:textId="77777777" w:rsidR="006B12BB" w:rsidRPr="008F01D8" w:rsidRDefault="006B12BB" w:rsidP="00EC186A">
      <w:pPr>
        <w:spacing w:line="360" w:lineRule="auto"/>
        <w:jc w:val="both"/>
        <w:rPr>
          <w:rFonts w:ascii="Palatino Linotype" w:hAnsi="Palatino Linotype"/>
          <w:color w:val="000000" w:themeColor="text1"/>
        </w:rPr>
      </w:pPr>
    </w:p>
    <w:p w14:paraId="5844D13B" w14:textId="77777777" w:rsidR="006B12BB" w:rsidRPr="008F01D8" w:rsidRDefault="006B12BB" w:rsidP="00EC186A">
      <w:pPr>
        <w:spacing w:line="360" w:lineRule="auto"/>
        <w:jc w:val="both"/>
        <w:rPr>
          <w:rFonts w:ascii="Palatino Linotype" w:hAnsi="Palatino Linotype"/>
          <w:color w:val="000000" w:themeColor="text1"/>
        </w:rPr>
      </w:pPr>
    </w:p>
    <w:p w14:paraId="631BA431" w14:textId="77777777" w:rsidR="006B12BB" w:rsidRPr="008F01D8" w:rsidRDefault="006B12BB" w:rsidP="00EC186A">
      <w:pPr>
        <w:spacing w:line="360" w:lineRule="auto"/>
        <w:jc w:val="both"/>
        <w:rPr>
          <w:rFonts w:ascii="Palatino Linotype" w:hAnsi="Palatino Linotype"/>
          <w:color w:val="000000" w:themeColor="text1"/>
        </w:rPr>
      </w:pPr>
    </w:p>
    <w:p w14:paraId="3676CAE3" w14:textId="77777777" w:rsidR="006B12BB" w:rsidRPr="008F01D8" w:rsidRDefault="006B12BB" w:rsidP="00EC186A">
      <w:pPr>
        <w:spacing w:line="360" w:lineRule="auto"/>
        <w:jc w:val="both"/>
        <w:rPr>
          <w:rFonts w:ascii="Palatino Linotype" w:hAnsi="Palatino Linotype"/>
          <w:color w:val="000000" w:themeColor="text1"/>
        </w:rPr>
      </w:pPr>
    </w:p>
    <w:p w14:paraId="06522D33" w14:textId="77777777" w:rsidR="006B12BB" w:rsidRPr="008F01D8" w:rsidRDefault="006B12BB" w:rsidP="00EC186A">
      <w:pPr>
        <w:spacing w:line="360" w:lineRule="auto"/>
        <w:jc w:val="both"/>
        <w:rPr>
          <w:rFonts w:ascii="Palatino Linotype" w:hAnsi="Palatino Linotype"/>
          <w:color w:val="000000" w:themeColor="text1"/>
        </w:rPr>
      </w:pPr>
    </w:p>
    <w:p w14:paraId="199CC2FD" w14:textId="77777777" w:rsidR="006B12BB" w:rsidRPr="008F01D8" w:rsidRDefault="006B12BB" w:rsidP="00EC186A">
      <w:pPr>
        <w:spacing w:line="360" w:lineRule="auto"/>
        <w:jc w:val="both"/>
        <w:rPr>
          <w:rFonts w:ascii="Palatino Linotype" w:hAnsi="Palatino Linotype"/>
          <w:color w:val="000000" w:themeColor="text1"/>
        </w:rPr>
      </w:pPr>
    </w:p>
    <w:p w14:paraId="2DF12600" w14:textId="77777777" w:rsidR="006B12BB" w:rsidRPr="008F01D8" w:rsidRDefault="006B12BB" w:rsidP="00EC186A">
      <w:pPr>
        <w:spacing w:line="360" w:lineRule="auto"/>
        <w:jc w:val="both"/>
        <w:rPr>
          <w:rFonts w:ascii="Palatino Linotype" w:hAnsi="Palatino Linotype"/>
          <w:color w:val="000000" w:themeColor="text1"/>
        </w:rPr>
      </w:pPr>
    </w:p>
    <w:p w14:paraId="174B896C" w14:textId="77777777" w:rsidR="006B12BB" w:rsidRPr="008F01D8" w:rsidRDefault="006B12BB" w:rsidP="00EC186A">
      <w:pPr>
        <w:spacing w:line="360" w:lineRule="auto"/>
        <w:jc w:val="both"/>
        <w:rPr>
          <w:rFonts w:ascii="Palatino Linotype" w:hAnsi="Palatino Linotype"/>
          <w:color w:val="000000" w:themeColor="text1"/>
        </w:rPr>
      </w:pPr>
    </w:p>
    <w:p w14:paraId="47E3A949" w14:textId="77777777" w:rsidR="006B12BB" w:rsidRPr="008F01D8" w:rsidRDefault="006B12BB" w:rsidP="00EC186A">
      <w:pPr>
        <w:spacing w:line="360" w:lineRule="auto"/>
        <w:jc w:val="both"/>
        <w:rPr>
          <w:rFonts w:ascii="Palatino Linotype" w:hAnsi="Palatino Linotype"/>
          <w:color w:val="000000" w:themeColor="text1"/>
        </w:rPr>
      </w:pPr>
    </w:p>
    <w:p w14:paraId="03E22014" w14:textId="77777777" w:rsidR="006B12BB" w:rsidRPr="008F01D8" w:rsidRDefault="006B12BB" w:rsidP="00EC186A">
      <w:pPr>
        <w:spacing w:line="360" w:lineRule="auto"/>
        <w:jc w:val="both"/>
        <w:rPr>
          <w:rFonts w:ascii="Palatino Linotype" w:hAnsi="Palatino Linotype"/>
          <w:color w:val="000000" w:themeColor="text1"/>
        </w:rPr>
      </w:pPr>
    </w:p>
    <w:p w14:paraId="14F5487B" w14:textId="77777777" w:rsidR="006B12BB" w:rsidRPr="008F01D8" w:rsidRDefault="006B12BB" w:rsidP="00EC186A">
      <w:pPr>
        <w:spacing w:line="360" w:lineRule="auto"/>
        <w:jc w:val="both"/>
        <w:rPr>
          <w:rFonts w:ascii="Palatino Linotype" w:hAnsi="Palatino Linotype"/>
          <w:color w:val="000000" w:themeColor="text1"/>
        </w:rPr>
      </w:pPr>
    </w:p>
    <w:p w14:paraId="20EA466A" w14:textId="77777777" w:rsidR="006B12BB" w:rsidRPr="008F01D8" w:rsidRDefault="006B12BB" w:rsidP="00EC186A">
      <w:pPr>
        <w:spacing w:line="360" w:lineRule="auto"/>
        <w:jc w:val="both"/>
        <w:rPr>
          <w:rFonts w:ascii="Palatino Linotype" w:hAnsi="Palatino Linotype"/>
          <w:color w:val="000000" w:themeColor="text1"/>
        </w:rPr>
      </w:pPr>
    </w:p>
    <w:p w14:paraId="569C1F08" w14:textId="77777777" w:rsidR="006B12BB" w:rsidRPr="008F01D8" w:rsidRDefault="006B12BB" w:rsidP="00EC186A">
      <w:pPr>
        <w:spacing w:line="360" w:lineRule="auto"/>
        <w:jc w:val="both"/>
        <w:rPr>
          <w:rFonts w:ascii="Palatino Linotype" w:hAnsi="Palatino Linotype"/>
          <w:color w:val="000000" w:themeColor="text1"/>
        </w:rPr>
      </w:pPr>
    </w:p>
    <w:p w14:paraId="3E5F5D88" w14:textId="77777777" w:rsidR="006B12BB" w:rsidRPr="008F01D8" w:rsidRDefault="006B12BB" w:rsidP="00EC186A">
      <w:pPr>
        <w:spacing w:line="360" w:lineRule="auto"/>
        <w:jc w:val="both"/>
        <w:rPr>
          <w:rFonts w:ascii="Palatino Linotype" w:hAnsi="Palatino Linotype"/>
          <w:color w:val="000000" w:themeColor="text1"/>
        </w:rPr>
      </w:pPr>
    </w:p>
    <w:p w14:paraId="6B940C43" w14:textId="77777777" w:rsidR="006B12BB" w:rsidRPr="008F01D8" w:rsidRDefault="006B12BB" w:rsidP="00EC186A">
      <w:pPr>
        <w:spacing w:line="360" w:lineRule="auto"/>
        <w:jc w:val="both"/>
        <w:rPr>
          <w:rFonts w:ascii="Palatino Linotype" w:hAnsi="Palatino Linotype"/>
          <w:color w:val="000000" w:themeColor="text1"/>
        </w:rPr>
      </w:pPr>
    </w:p>
    <w:p w14:paraId="29A748B9" w14:textId="77777777" w:rsidR="006B12BB" w:rsidRPr="008F01D8" w:rsidRDefault="006B12BB" w:rsidP="00EC186A">
      <w:pPr>
        <w:spacing w:line="360" w:lineRule="auto"/>
        <w:jc w:val="both"/>
        <w:rPr>
          <w:rFonts w:ascii="Palatino Linotype" w:hAnsi="Palatino Linotype"/>
          <w:color w:val="000000" w:themeColor="text1"/>
        </w:rPr>
      </w:pPr>
    </w:p>
    <w:sectPr w:rsidR="006B12BB" w:rsidRPr="008F01D8" w:rsidSect="00D045F0">
      <w:headerReference w:type="even" r:id="rId8"/>
      <w:headerReference w:type="default" r:id="rId9"/>
      <w:footerReference w:type="default" r:id="rId10"/>
      <w:headerReference w:type="first" r:id="rId11"/>
      <w:footerReference w:type="first" r:id="rId12"/>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6DD1" w14:textId="77777777" w:rsidR="00E95632" w:rsidRDefault="00E95632" w:rsidP="006E68E3">
      <w:r>
        <w:separator/>
      </w:r>
    </w:p>
  </w:endnote>
  <w:endnote w:type="continuationSeparator" w:id="0">
    <w:p w14:paraId="2E96C85E" w14:textId="77777777" w:rsidR="00E95632" w:rsidRDefault="00E95632" w:rsidP="006E68E3">
      <w:r>
        <w:continuationSeparator/>
      </w:r>
    </w:p>
  </w:endnote>
  <w:endnote w:type="continuationNotice" w:id="1">
    <w:p w14:paraId="10DCBDF5" w14:textId="77777777" w:rsidR="00E95632" w:rsidRDefault="00E95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F7C998" w14:textId="77777777" w:rsidR="001E2BB9" w:rsidRPr="002D6DD8" w:rsidRDefault="001E2BB9" w:rsidP="00D045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01508">
              <w:rPr>
                <w:rFonts w:ascii="Palatino Linotype" w:hAnsi="Palatino Linotype"/>
                <w:bCs/>
                <w:noProof/>
                <w:sz w:val="20"/>
              </w:rPr>
              <w:t>27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01508">
              <w:rPr>
                <w:rFonts w:ascii="Palatino Linotype" w:hAnsi="Palatino Linotype"/>
                <w:bCs/>
                <w:noProof/>
                <w:sz w:val="20"/>
              </w:rPr>
              <w:t>33</w:t>
            </w:r>
            <w:r>
              <w:rPr>
                <w:rFonts w:ascii="Palatino Linotype" w:hAnsi="Palatino Linotype"/>
                <w:bCs/>
                <w:noProof/>
                <w:sz w:val="20"/>
              </w:rPr>
              <w:fldChar w:fldCharType="end"/>
            </w:r>
          </w:p>
        </w:sdtContent>
      </w:sdt>
    </w:sdtContent>
  </w:sdt>
  <w:p w14:paraId="3CFD6DDD" w14:textId="77777777" w:rsidR="001E2BB9" w:rsidRDefault="001E2B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9787" w14:textId="77777777" w:rsidR="001E2BB9" w:rsidRPr="000B69FA" w:rsidRDefault="001E2BB9" w:rsidP="00D045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0150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01508">
      <w:rPr>
        <w:rFonts w:ascii="Palatino Linotype" w:hAnsi="Palatino Linotype"/>
        <w:bCs/>
        <w:noProof/>
        <w:sz w:val="20"/>
      </w:rPr>
      <w:t>33</w:t>
    </w:r>
    <w:r>
      <w:rPr>
        <w:rFonts w:ascii="Palatino Linotype" w:hAnsi="Palatino Linotype"/>
        <w:bCs/>
        <w:noProof/>
        <w:sz w:val="20"/>
      </w:rPr>
      <w:fldChar w:fldCharType="end"/>
    </w:r>
  </w:p>
  <w:p w14:paraId="1A3C005E" w14:textId="77777777" w:rsidR="001E2BB9" w:rsidRDefault="001E2B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CF7E" w14:textId="77777777" w:rsidR="00E95632" w:rsidRDefault="00E95632" w:rsidP="006E68E3">
      <w:r>
        <w:separator/>
      </w:r>
    </w:p>
  </w:footnote>
  <w:footnote w:type="continuationSeparator" w:id="0">
    <w:p w14:paraId="06A278CD" w14:textId="77777777" w:rsidR="00E95632" w:rsidRDefault="00E95632" w:rsidP="006E68E3">
      <w:r>
        <w:continuationSeparator/>
      </w:r>
    </w:p>
  </w:footnote>
  <w:footnote w:type="continuationNotice" w:id="1">
    <w:p w14:paraId="1B7A3908" w14:textId="77777777" w:rsidR="00E95632" w:rsidRDefault="00E95632"/>
  </w:footnote>
  <w:footnote w:id="2">
    <w:p w14:paraId="184F78FA" w14:textId="77777777" w:rsidR="00EC186A" w:rsidRDefault="00EC186A" w:rsidP="00EC186A">
      <w:pPr>
        <w:pStyle w:val="Textonotapie"/>
      </w:pPr>
      <w:r>
        <w:rPr>
          <w:rStyle w:val="Refdenotaalpie"/>
        </w:rPr>
        <w:footnoteRef/>
      </w:r>
      <w:r>
        <w:t xml:space="preserve"> Convención Americana sobre Derechos Humanos. Artículo 13.</w:t>
      </w:r>
    </w:p>
  </w:footnote>
  <w:footnote w:id="3">
    <w:p w14:paraId="3BE0BEB3" w14:textId="77777777" w:rsidR="00EC186A" w:rsidRDefault="00EC186A" w:rsidP="00EC186A">
      <w:pPr>
        <w:pStyle w:val="Textonotapie"/>
      </w:pPr>
      <w:r>
        <w:rPr>
          <w:rStyle w:val="Refdenotaalpie"/>
        </w:rPr>
        <w:footnoteRef/>
      </w:r>
      <w:r>
        <w:t xml:space="preserve"> Constitución Política de los Estados Unidos Mexicanos. Artículo sexto, sección A, Fracción I.</w:t>
      </w:r>
    </w:p>
  </w:footnote>
  <w:footnote w:id="4">
    <w:p w14:paraId="3800B57D" w14:textId="77777777" w:rsidR="00EC186A" w:rsidRPr="00F411B8" w:rsidRDefault="00EC186A" w:rsidP="00EC186A">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5">
    <w:p w14:paraId="0E3F5BCC" w14:textId="77777777" w:rsidR="00EC186A" w:rsidRPr="00F411B8" w:rsidRDefault="00EC186A" w:rsidP="00EC186A">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6">
    <w:p w14:paraId="2FB15D5A" w14:textId="77777777" w:rsidR="00EC186A" w:rsidRDefault="00EC186A" w:rsidP="00EC186A">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7">
    <w:p w14:paraId="42572108" w14:textId="77777777" w:rsidR="00EC186A" w:rsidRDefault="00EC186A" w:rsidP="00EC186A">
      <w:pPr>
        <w:pStyle w:val="Textonotapie"/>
      </w:pPr>
      <w:r>
        <w:rPr>
          <w:rStyle w:val="Refdenotaalpie"/>
        </w:rPr>
        <w:footnoteRef/>
      </w:r>
      <w:r>
        <w:t xml:space="preserve"> Ley de Transparencia y Acceso a la Información Pública del Estado de México y Municipios. Artículo 9. …</w:t>
      </w:r>
    </w:p>
    <w:p w14:paraId="239B19DB" w14:textId="77777777" w:rsidR="00EC186A" w:rsidRDefault="00EC186A" w:rsidP="00EC186A">
      <w:pPr>
        <w:pStyle w:val="Textonotapie"/>
      </w:pPr>
      <w:r>
        <w:t>II. Eficacia: Obligación del Instituto para tutelar, de manera efectiva, el derecho de acceso a la información;</w:t>
      </w:r>
    </w:p>
    <w:p w14:paraId="103BBA42" w14:textId="77777777" w:rsidR="00EC186A" w:rsidRDefault="00EC186A" w:rsidP="00EC186A">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9FDF" w14:textId="77777777" w:rsidR="001E2BB9" w:rsidRDefault="00E95632">
    <w:pPr>
      <w:pStyle w:val="Encabezado"/>
    </w:pPr>
    <w:r>
      <w:rPr>
        <w:noProof/>
        <w:lang w:eastAsia="es-MX"/>
      </w:rPr>
      <w:pict w14:anchorId="64EEE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8240;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Ind w:w="2694" w:type="dxa"/>
      <w:tblCellMar>
        <w:left w:w="70" w:type="dxa"/>
        <w:right w:w="70" w:type="dxa"/>
      </w:tblCellMar>
      <w:tblLook w:val="04A0" w:firstRow="1" w:lastRow="0" w:firstColumn="1" w:lastColumn="0" w:noHBand="0" w:noVBand="1"/>
    </w:tblPr>
    <w:tblGrid>
      <w:gridCol w:w="2976"/>
      <w:gridCol w:w="4111"/>
    </w:tblGrid>
    <w:tr w:rsidR="00EC186A" w:rsidRPr="008F01D8" w14:paraId="7393F7AA" w14:textId="77777777" w:rsidTr="008F01D8">
      <w:trPr>
        <w:trHeight w:val="227"/>
      </w:trPr>
      <w:tc>
        <w:tcPr>
          <w:tcW w:w="2976" w:type="dxa"/>
          <w:vAlign w:val="center"/>
          <w:hideMark/>
        </w:tcPr>
        <w:p w14:paraId="7CC2C369" w14:textId="4BE27F08" w:rsidR="00EC186A" w:rsidRPr="008F01D8" w:rsidRDefault="00EC186A" w:rsidP="00EC186A">
          <w:pPr>
            <w:ind w:right="34"/>
            <w:jc w:val="right"/>
            <w:rPr>
              <w:rFonts w:ascii="Palatino Linotype" w:hAnsi="Palatino Linotype"/>
              <w:b/>
              <w:sz w:val="22"/>
              <w:szCs w:val="22"/>
            </w:rPr>
          </w:pPr>
          <w:r w:rsidRPr="008F01D8">
            <w:rPr>
              <w:rFonts w:ascii="Palatino Linotype" w:hAnsi="Palatino Linotype"/>
              <w:b/>
              <w:sz w:val="22"/>
              <w:szCs w:val="22"/>
            </w:rPr>
            <w:t>Recurso de Revisión:</w:t>
          </w:r>
        </w:p>
      </w:tc>
      <w:tc>
        <w:tcPr>
          <w:tcW w:w="4111" w:type="dxa"/>
          <w:vAlign w:val="center"/>
          <w:hideMark/>
        </w:tcPr>
        <w:p w14:paraId="56CF8E53" w14:textId="59F2CA10" w:rsidR="00EC186A" w:rsidRPr="008F01D8" w:rsidRDefault="00D81798" w:rsidP="008F01D8">
          <w:pPr>
            <w:pStyle w:val="Encabezado"/>
            <w:rPr>
              <w:rFonts w:ascii="Palatino Linotype" w:hAnsi="Palatino Linotype"/>
              <w:sz w:val="22"/>
              <w:szCs w:val="22"/>
            </w:rPr>
          </w:pPr>
          <w:r w:rsidRPr="008F01D8">
            <w:rPr>
              <w:rFonts w:ascii="Palatino Linotype" w:hAnsi="Palatino Linotype"/>
              <w:sz w:val="22"/>
              <w:szCs w:val="22"/>
            </w:rPr>
            <w:t>0755</w:t>
          </w:r>
          <w:r w:rsidR="00EC186A" w:rsidRPr="008F01D8">
            <w:rPr>
              <w:rFonts w:ascii="Palatino Linotype" w:hAnsi="Palatino Linotype"/>
              <w:sz w:val="22"/>
              <w:szCs w:val="22"/>
            </w:rPr>
            <w:t>8/INFOEM/IP/RR/2023</w:t>
          </w:r>
        </w:p>
      </w:tc>
    </w:tr>
    <w:tr w:rsidR="00EC186A" w:rsidRPr="008F01D8" w14:paraId="37A1CB61" w14:textId="77777777" w:rsidTr="008F01D8">
      <w:trPr>
        <w:trHeight w:val="242"/>
      </w:trPr>
      <w:tc>
        <w:tcPr>
          <w:tcW w:w="2976" w:type="dxa"/>
          <w:vAlign w:val="center"/>
          <w:hideMark/>
        </w:tcPr>
        <w:p w14:paraId="0E913C15" w14:textId="77777777" w:rsidR="00EC186A" w:rsidRPr="008F01D8" w:rsidRDefault="00EC186A" w:rsidP="00EC186A">
          <w:pPr>
            <w:ind w:right="34"/>
            <w:jc w:val="right"/>
            <w:rPr>
              <w:rFonts w:ascii="Palatino Linotype" w:hAnsi="Palatino Linotype"/>
              <w:b/>
              <w:sz w:val="22"/>
              <w:szCs w:val="22"/>
            </w:rPr>
          </w:pPr>
          <w:r w:rsidRPr="008F01D8">
            <w:rPr>
              <w:rFonts w:ascii="Palatino Linotype" w:hAnsi="Palatino Linotype"/>
              <w:b/>
              <w:sz w:val="22"/>
              <w:szCs w:val="22"/>
            </w:rPr>
            <w:t>Sujeto Obligado:</w:t>
          </w:r>
        </w:p>
      </w:tc>
      <w:tc>
        <w:tcPr>
          <w:tcW w:w="4111" w:type="dxa"/>
          <w:vAlign w:val="center"/>
          <w:hideMark/>
        </w:tcPr>
        <w:p w14:paraId="74BAA6E6" w14:textId="0F35348B" w:rsidR="00EC186A" w:rsidRPr="008F01D8" w:rsidRDefault="006B12BB" w:rsidP="008F01D8">
          <w:pPr>
            <w:pStyle w:val="Encabezado"/>
            <w:rPr>
              <w:rFonts w:ascii="Palatino Linotype" w:hAnsi="Palatino Linotype"/>
              <w:sz w:val="22"/>
              <w:szCs w:val="22"/>
            </w:rPr>
          </w:pPr>
          <w:r w:rsidRPr="008F01D8">
            <w:rPr>
              <w:rFonts w:ascii="Palatino Linotype" w:hAnsi="Palatino Linotype"/>
              <w:bCs/>
              <w:color w:val="000000" w:themeColor="text1"/>
              <w:sz w:val="22"/>
              <w:szCs w:val="22"/>
            </w:rPr>
            <w:t>Ayuntamiento de Ecatepec de Morelos</w:t>
          </w:r>
        </w:p>
      </w:tc>
    </w:tr>
    <w:tr w:rsidR="00EC186A" w:rsidRPr="008F01D8" w14:paraId="39A3FB61" w14:textId="77777777" w:rsidTr="008F01D8">
      <w:trPr>
        <w:trHeight w:val="342"/>
      </w:trPr>
      <w:tc>
        <w:tcPr>
          <w:tcW w:w="2976" w:type="dxa"/>
          <w:vAlign w:val="center"/>
          <w:hideMark/>
        </w:tcPr>
        <w:p w14:paraId="55040B99" w14:textId="77777777" w:rsidR="00EC186A" w:rsidRPr="008F01D8" w:rsidRDefault="00EC186A" w:rsidP="00EC186A">
          <w:pPr>
            <w:ind w:right="34"/>
            <w:jc w:val="right"/>
            <w:rPr>
              <w:rFonts w:ascii="Palatino Linotype" w:hAnsi="Palatino Linotype"/>
              <w:b/>
              <w:sz w:val="22"/>
              <w:szCs w:val="22"/>
            </w:rPr>
          </w:pPr>
          <w:r w:rsidRPr="008F01D8">
            <w:rPr>
              <w:rFonts w:ascii="Palatino Linotype" w:hAnsi="Palatino Linotype"/>
              <w:b/>
              <w:sz w:val="22"/>
              <w:szCs w:val="22"/>
            </w:rPr>
            <w:t>Comisionada Ponente:</w:t>
          </w:r>
        </w:p>
      </w:tc>
      <w:tc>
        <w:tcPr>
          <w:tcW w:w="4111" w:type="dxa"/>
          <w:vAlign w:val="center"/>
          <w:hideMark/>
        </w:tcPr>
        <w:p w14:paraId="173DD1BD" w14:textId="77777777" w:rsidR="00EC186A" w:rsidRPr="008F01D8" w:rsidRDefault="00EC186A" w:rsidP="008F01D8">
          <w:pPr>
            <w:pStyle w:val="Encabezado"/>
            <w:rPr>
              <w:rFonts w:ascii="Palatino Linotype" w:hAnsi="Palatino Linotype"/>
              <w:sz w:val="22"/>
              <w:szCs w:val="22"/>
            </w:rPr>
          </w:pPr>
          <w:r w:rsidRPr="008F01D8">
            <w:rPr>
              <w:rFonts w:ascii="Palatino Linotype" w:eastAsia="Times New Roman" w:hAnsi="Palatino Linotype" w:cs="Arial"/>
              <w:color w:val="000000"/>
              <w:sz w:val="22"/>
              <w:szCs w:val="22"/>
              <w:lang w:val="es-MX"/>
            </w:rPr>
            <w:t>María del Rosario Mejía Ayala</w:t>
          </w:r>
        </w:p>
      </w:tc>
    </w:tr>
  </w:tbl>
  <w:p w14:paraId="62EF8929" w14:textId="77777777" w:rsidR="001E2BB9" w:rsidRPr="00AE046A" w:rsidRDefault="00E95632" w:rsidP="00D045F0">
    <w:pPr>
      <w:pStyle w:val="Encabezado"/>
      <w:tabs>
        <w:tab w:val="clear" w:pos="4419"/>
        <w:tab w:val="clear" w:pos="8838"/>
        <w:tab w:val="left" w:pos="6005"/>
      </w:tabs>
      <w:rPr>
        <w:sz w:val="14"/>
      </w:rPr>
    </w:pPr>
    <w:r>
      <w:rPr>
        <w:noProof/>
        <w:sz w:val="14"/>
        <w:lang w:eastAsia="es-MX"/>
      </w:rPr>
      <w:pict w14:anchorId="3C730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75pt;margin-top:-113.2pt;width:609.4pt;height:793.75pt;z-index:-251658239;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2552" w:type="dxa"/>
      <w:tblCellMar>
        <w:left w:w="70" w:type="dxa"/>
        <w:right w:w="70" w:type="dxa"/>
      </w:tblCellMar>
      <w:tblLook w:val="04A0" w:firstRow="1" w:lastRow="0" w:firstColumn="1" w:lastColumn="0" w:noHBand="0" w:noVBand="1"/>
    </w:tblPr>
    <w:tblGrid>
      <w:gridCol w:w="2977"/>
      <w:gridCol w:w="4252"/>
    </w:tblGrid>
    <w:tr w:rsidR="00D045F0" w:rsidRPr="008F01D8" w14:paraId="27773C78" w14:textId="77777777" w:rsidTr="008F01D8">
      <w:trPr>
        <w:trHeight w:val="227"/>
      </w:trPr>
      <w:tc>
        <w:tcPr>
          <w:tcW w:w="2977" w:type="dxa"/>
          <w:vAlign w:val="center"/>
          <w:hideMark/>
        </w:tcPr>
        <w:p w14:paraId="1A7BD31F" w14:textId="77777777" w:rsidR="001E2BB9" w:rsidRPr="008F01D8" w:rsidRDefault="001E2BB9" w:rsidP="00D045F0">
          <w:pPr>
            <w:jc w:val="right"/>
            <w:rPr>
              <w:rFonts w:ascii="Palatino Linotype" w:hAnsi="Palatino Linotype"/>
              <w:b/>
              <w:sz w:val="22"/>
              <w:szCs w:val="22"/>
            </w:rPr>
          </w:pPr>
          <w:r w:rsidRPr="008F01D8">
            <w:rPr>
              <w:rFonts w:ascii="Palatino Linotype" w:hAnsi="Palatino Linotype"/>
              <w:b/>
              <w:sz w:val="22"/>
              <w:szCs w:val="22"/>
            </w:rPr>
            <w:t>Recurso de Revisión:</w:t>
          </w:r>
        </w:p>
      </w:tc>
      <w:tc>
        <w:tcPr>
          <w:tcW w:w="4252" w:type="dxa"/>
          <w:vAlign w:val="center"/>
          <w:hideMark/>
        </w:tcPr>
        <w:p w14:paraId="1B5F0609" w14:textId="70F3A871" w:rsidR="001E2BB9" w:rsidRPr="008F01D8" w:rsidRDefault="001E2BB9" w:rsidP="008F01D8">
          <w:pPr>
            <w:pStyle w:val="Encabezado"/>
            <w:rPr>
              <w:rFonts w:ascii="Palatino Linotype" w:hAnsi="Palatino Linotype"/>
              <w:sz w:val="22"/>
              <w:szCs w:val="22"/>
            </w:rPr>
          </w:pPr>
          <w:r w:rsidRPr="008F01D8">
            <w:rPr>
              <w:rFonts w:ascii="Palatino Linotype" w:hAnsi="Palatino Linotype"/>
              <w:sz w:val="22"/>
              <w:szCs w:val="22"/>
            </w:rPr>
            <w:t>0</w:t>
          </w:r>
          <w:r w:rsidR="00D81798" w:rsidRPr="008F01D8">
            <w:rPr>
              <w:rFonts w:ascii="Palatino Linotype" w:hAnsi="Palatino Linotype"/>
              <w:sz w:val="22"/>
              <w:szCs w:val="22"/>
            </w:rPr>
            <w:t>755</w:t>
          </w:r>
          <w:r w:rsidR="00E66C34" w:rsidRPr="008F01D8">
            <w:rPr>
              <w:rFonts w:ascii="Palatino Linotype" w:hAnsi="Palatino Linotype"/>
              <w:sz w:val="22"/>
              <w:szCs w:val="22"/>
            </w:rPr>
            <w:t>8</w:t>
          </w:r>
          <w:r w:rsidRPr="008F01D8">
            <w:rPr>
              <w:rFonts w:ascii="Palatino Linotype" w:hAnsi="Palatino Linotype"/>
              <w:sz w:val="22"/>
              <w:szCs w:val="22"/>
            </w:rPr>
            <w:t>/INFOEM/IP/RR/2023</w:t>
          </w:r>
        </w:p>
      </w:tc>
    </w:tr>
    <w:tr w:rsidR="00D045F0" w:rsidRPr="008F01D8" w14:paraId="6CAECDFE" w14:textId="77777777" w:rsidTr="008F01D8">
      <w:trPr>
        <w:trHeight w:val="242"/>
      </w:trPr>
      <w:tc>
        <w:tcPr>
          <w:tcW w:w="2977" w:type="dxa"/>
          <w:vAlign w:val="center"/>
          <w:hideMark/>
        </w:tcPr>
        <w:p w14:paraId="2457A016" w14:textId="77777777" w:rsidR="001E2BB9" w:rsidRPr="008F01D8" w:rsidRDefault="001E2BB9" w:rsidP="00D045F0">
          <w:pPr>
            <w:jc w:val="right"/>
            <w:rPr>
              <w:rFonts w:ascii="Palatino Linotype" w:hAnsi="Palatino Linotype"/>
              <w:b/>
              <w:sz w:val="22"/>
              <w:szCs w:val="22"/>
            </w:rPr>
          </w:pPr>
          <w:r w:rsidRPr="008F01D8">
            <w:rPr>
              <w:rFonts w:ascii="Palatino Linotype" w:hAnsi="Palatino Linotype"/>
              <w:b/>
              <w:sz w:val="22"/>
              <w:szCs w:val="22"/>
            </w:rPr>
            <w:t>Recurrente:</w:t>
          </w:r>
        </w:p>
      </w:tc>
      <w:tc>
        <w:tcPr>
          <w:tcW w:w="4252" w:type="dxa"/>
          <w:hideMark/>
        </w:tcPr>
        <w:p w14:paraId="50A53353" w14:textId="2970A1BC" w:rsidR="001E2BB9" w:rsidRPr="008F01D8" w:rsidRDefault="00141A7A" w:rsidP="008F01D8">
          <w:pPr>
            <w:pStyle w:val="Encabezado"/>
            <w:tabs>
              <w:tab w:val="left" w:pos="521"/>
            </w:tabs>
            <w:rPr>
              <w:rFonts w:ascii="Palatino Linotype" w:hAnsi="Palatino Linotype"/>
              <w:sz w:val="22"/>
              <w:szCs w:val="22"/>
            </w:rPr>
          </w:pPr>
          <w:r>
            <w:rPr>
              <w:rFonts w:ascii="Palatino Linotype" w:hAnsi="Palatino Linotype"/>
              <w:bCs/>
              <w:color w:val="000000" w:themeColor="text1"/>
              <w:sz w:val="22"/>
              <w:szCs w:val="22"/>
            </w:rPr>
            <w:t xml:space="preserve">XXX </w:t>
          </w:r>
          <w:proofErr w:type="spellStart"/>
          <w:r>
            <w:rPr>
              <w:rFonts w:ascii="Palatino Linotype" w:hAnsi="Palatino Linotype"/>
              <w:bCs/>
              <w:color w:val="000000" w:themeColor="text1"/>
              <w:sz w:val="22"/>
              <w:szCs w:val="22"/>
            </w:rPr>
            <w:t>XXX</w:t>
          </w:r>
          <w:proofErr w:type="spellEnd"/>
          <w:r>
            <w:rPr>
              <w:rFonts w:ascii="Palatino Linotype" w:hAnsi="Palatino Linotype"/>
              <w:bCs/>
              <w:color w:val="000000" w:themeColor="text1"/>
              <w:sz w:val="22"/>
              <w:szCs w:val="22"/>
            </w:rPr>
            <w:t xml:space="preserve"> </w:t>
          </w:r>
          <w:proofErr w:type="spellStart"/>
          <w:r>
            <w:rPr>
              <w:rFonts w:ascii="Palatino Linotype" w:hAnsi="Palatino Linotype"/>
              <w:bCs/>
              <w:color w:val="000000" w:themeColor="text1"/>
              <w:sz w:val="22"/>
              <w:szCs w:val="22"/>
            </w:rPr>
            <w:t>XXX</w:t>
          </w:r>
          <w:proofErr w:type="spellEnd"/>
        </w:p>
      </w:tc>
    </w:tr>
    <w:tr w:rsidR="00D045F0" w:rsidRPr="008F01D8" w14:paraId="2E50F831" w14:textId="77777777" w:rsidTr="008F01D8">
      <w:trPr>
        <w:trHeight w:val="342"/>
      </w:trPr>
      <w:tc>
        <w:tcPr>
          <w:tcW w:w="2977" w:type="dxa"/>
          <w:vAlign w:val="center"/>
        </w:tcPr>
        <w:p w14:paraId="0921771F" w14:textId="77777777" w:rsidR="001E2BB9" w:rsidRPr="008F01D8" w:rsidRDefault="001E2BB9" w:rsidP="00D045F0">
          <w:pPr>
            <w:jc w:val="right"/>
            <w:rPr>
              <w:rFonts w:ascii="Palatino Linotype" w:hAnsi="Palatino Linotype"/>
              <w:b/>
              <w:sz w:val="22"/>
              <w:szCs w:val="22"/>
            </w:rPr>
          </w:pPr>
          <w:r w:rsidRPr="008F01D8">
            <w:rPr>
              <w:rFonts w:ascii="Palatino Linotype" w:hAnsi="Palatino Linotype"/>
              <w:b/>
              <w:sz w:val="22"/>
              <w:szCs w:val="22"/>
            </w:rPr>
            <w:t>Sujeto Obligado:</w:t>
          </w:r>
        </w:p>
      </w:tc>
      <w:tc>
        <w:tcPr>
          <w:tcW w:w="4252" w:type="dxa"/>
          <w:vAlign w:val="center"/>
        </w:tcPr>
        <w:p w14:paraId="63E39ED3" w14:textId="38D78141" w:rsidR="001E2BB9" w:rsidRPr="008F01D8" w:rsidRDefault="006B12BB" w:rsidP="008F01D8">
          <w:pPr>
            <w:pStyle w:val="Encabezado"/>
            <w:rPr>
              <w:rFonts w:ascii="Palatino Linotype" w:hAnsi="Palatino Linotype"/>
              <w:sz w:val="22"/>
              <w:szCs w:val="22"/>
            </w:rPr>
          </w:pPr>
          <w:r w:rsidRPr="008F01D8">
            <w:rPr>
              <w:rFonts w:ascii="Palatino Linotype" w:hAnsi="Palatino Linotype"/>
              <w:bCs/>
              <w:color w:val="000000" w:themeColor="text1"/>
              <w:sz w:val="22"/>
              <w:szCs w:val="22"/>
            </w:rPr>
            <w:t>Ayuntamiento de Ecatepec de Morelos</w:t>
          </w:r>
        </w:p>
      </w:tc>
    </w:tr>
    <w:tr w:rsidR="00D045F0" w:rsidRPr="008F01D8" w14:paraId="20AD799D" w14:textId="77777777" w:rsidTr="008F01D8">
      <w:trPr>
        <w:trHeight w:val="342"/>
      </w:trPr>
      <w:tc>
        <w:tcPr>
          <w:tcW w:w="2977" w:type="dxa"/>
          <w:vAlign w:val="center"/>
        </w:tcPr>
        <w:p w14:paraId="734E4D15" w14:textId="77777777" w:rsidR="001E2BB9" w:rsidRPr="008F01D8" w:rsidRDefault="001E2BB9" w:rsidP="00D045F0">
          <w:pPr>
            <w:jc w:val="right"/>
            <w:rPr>
              <w:rFonts w:ascii="Palatino Linotype" w:hAnsi="Palatino Linotype"/>
              <w:b/>
              <w:sz w:val="22"/>
              <w:szCs w:val="22"/>
            </w:rPr>
          </w:pPr>
          <w:r w:rsidRPr="008F01D8">
            <w:rPr>
              <w:rFonts w:ascii="Palatino Linotype" w:hAnsi="Palatino Linotype"/>
              <w:b/>
              <w:sz w:val="22"/>
              <w:szCs w:val="22"/>
            </w:rPr>
            <w:t>Comisionada Ponente:</w:t>
          </w:r>
        </w:p>
      </w:tc>
      <w:tc>
        <w:tcPr>
          <w:tcW w:w="4252" w:type="dxa"/>
          <w:vAlign w:val="center"/>
        </w:tcPr>
        <w:p w14:paraId="1DF0244E" w14:textId="77777777" w:rsidR="001E2BB9" w:rsidRPr="008F01D8" w:rsidRDefault="001E2BB9" w:rsidP="008F01D8">
          <w:pPr>
            <w:pStyle w:val="Encabezado"/>
            <w:rPr>
              <w:rFonts w:ascii="Palatino Linotype" w:hAnsi="Palatino Linotype"/>
              <w:sz w:val="22"/>
              <w:szCs w:val="22"/>
            </w:rPr>
          </w:pPr>
          <w:r w:rsidRPr="008F01D8">
            <w:rPr>
              <w:rFonts w:ascii="Palatino Linotype" w:hAnsi="Palatino Linotype"/>
              <w:sz w:val="22"/>
              <w:szCs w:val="22"/>
            </w:rPr>
            <w:t>María del Rosario Mejía Ayala</w:t>
          </w:r>
        </w:p>
      </w:tc>
    </w:tr>
  </w:tbl>
  <w:p w14:paraId="3A1F3522" w14:textId="77777777" w:rsidR="001E2BB9" w:rsidRPr="00C222C0" w:rsidRDefault="00E95632">
    <w:pPr>
      <w:pStyle w:val="Encabezado"/>
      <w:rPr>
        <w:sz w:val="16"/>
      </w:rPr>
    </w:pPr>
    <w:r>
      <w:rPr>
        <w:noProof/>
        <w:sz w:val="16"/>
        <w:lang w:eastAsia="es-MX"/>
      </w:rPr>
      <w:pict w14:anchorId="23168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823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80"/>
    <w:multiLevelType w:val="hybridMultilevel"/>
    <w:tmpl w:val="71CAD0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1B5102"/>
    <w:multiLevelType w:val="hybridMultilevel"/>
    <w:tmpl w:val="481017E4"/>
    <w:lvl w:ilvl="0" w:tplc="F49465B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42F7D5E"/>
    <w:multiLevelType w:val="multilevel"/>
    <w:tmpl w:val="C7C20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861DE2"/>
    <w:multiLevelType w:val="hybridMultilevel"/>
    <w:tmpl w:val="2C8438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D72C93"/>
    <w:multiLevelType w:val="hybridMultilevel"/>
    <w:tmpl w:val="4970D526"/>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71C2F7E">
      <w:start w:val="1"/>
      <w:numFmt w:val="upperRoman"/>
      <w:lvlText w:val="%3."/>
      <w:lvlJc w:val="left"/>
      <w:pPr>
        <w:ind w:left="3131"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E13378"/>
    <w:multiLevelType w:val="hybridMultilevel"/>
    <w:tmpl w:val="95D6BEDC"/>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1"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16cid:durableId="1201213045">
    <w:abstractNumId w:val="7"/>
  </w:num>
  <w:num w:numId="2" w16cid:durableId="2036030395">
    <w:abstractNumId w:val="6"/>
  </w:num>
  <w:num w:numId="3" w16cid:durableId="1602564071">
    <w:abstractNumId w:val="0"/>
  </w:num>
  <w:num w:numId="4" w16cid:durableId="1378506656">
    <w:abstractNumId w:val="8"/>
  </w:num>
  <w:num w:numId="5" w16cid:durableId="2076009238">
    <w:abstractNumId w:val="4"/>
  </w:num>
  <w:num w:numId="6" w16cid:durableId="1895576142">
    <w:abstractNumId w:val="3"/>
  </w:num>
  <w:num w:numId="7" w16cid:durableId="278756775">
    <w:abstractNumId w:val="2"/>
  </w:num>
  <w:num w:numId="8" w16cid:durableId="393242294">
    <w:abstractNumId w:val="9"/>
  </w:num>
  <w:num w:numId="9" w16cid:durableId="1355619137">
    <w:abstractNumId w:val="1"/>
  </w:num>
  <w:num w:numId="10" w16cid:durableId="193731737">
    <w:abstractNumId w:val="10"/>
  </w:num>
  <w:num w:numId="11" w16cid:durableId="1825587827">
    <w:abstractNumId w:val="5"/>
  </w:num>
  <w:num w:numId="12" w16cid:durableId="1026104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DB"/>
    <w:rsid w:val="00002FF0"/>
    <w:rsid w:val="00096DB1"/>
    <w:rsid w:val="000A10EF"/>
    <w:rsid w:val="00121C75"/>
    <w:rsid w:val="00121DB6"/>
    <w:rsid w:val="0013601E"/>
    <w:rsid w:val="00141A7A"/>
    <w:rsid w:val="00151290"/>
    <w:rsid w:val="0017016D"/>
    <w:rsid w:val="00191A27"/>
    <w:rsid w:val="001A75A5"/>
    <w:rsid w:val="001E2BB9"/>
    <w:rsid w:val="001F331A"/>
    <w:rsid w:val="00253368"/>
    <w:rsid w:val="0026302E"/>
    <w:rsid w:val="00274717"/>
    <w:rsid w:val="00281A6B"/>
    <w:rsid w:val="00284D7F"/>
    <w:rsid w:val="002868DB"/>
    <w:rsid w:val="002A62F5"/>
    <w:rsid w:val="002C54A9"/>
    <w:rsid w:val="002D1018"/>
    <w:rsid w:val="002D5757"/>
    <w:rsid w:val="00307F8D"/>
    <w:rsid w:val="00327B52"/>
    <w:rsid w:val="00352CF6"/>
    <w:rsid w:val="003666B9"/>
    <w:rsid w:val="003A41C8"/>
    <w:rsid w:val="003D18E1"/>
    <w:rsid w:val="003E0B2A"/>
    <w:rsid w:val="0041404E"/>
    <w:rsid w:val="00420C84"/>
    <w:rsid w:val="00463994"/>
    <w:rsid w:val="004A4238"/>
    <w:rsid w:val="004C3577"/>
    <w:rsid w:val="004D6DF1"/>
    <w:rsid w:val="004E7A9D"/>
    <w:rsid w:val="005018ED"/>
    <w:rsid w:val="00503777"/>
    <w:rsid w:val="00553FDF"/>
    <w:rsid w:val="00562E20"/>
    <w:rsid w:val="00577E10"/>
    <w:rsid w:val="00593726"/>
    <w:rsid w:val="005C24CA"/>
    <w:rsid w:val="005D269E"/>
    <w:rsid w:val="005F4B8C"/>
    <w:rsid w:val="006013D8"/>
    <w:rsid w:val="006040CF"/>
    <w:rsid w:val="00610EC7"/>
    <w:rsid w:val="006111A9"/>
    <w:rsid w:val="00636E07"/>
    <w:rsid w:val="00642CA7"/>
    <w:rsid w:val="0064345F"/>
    <w:rsid w:val="00654C25"/>
    <w:rsid w:val="00664DE3"/>
    <w:rsid w:val="006650B5"/>
    <w:rsid w:val="00672596"/>
    <w:rsid w:val="00684996"/>
    <w:rsid w:val="006B12BB"/>
    <w:rsid w:val="006E1A73"/>
    <w:rsid w:val="006E6634"/>
    <w:rsid w:val="006E68E3"/>
    <w:rsid w:val="006E7F16"/>
    <w:rsid w:val="006F58E9"/>
    <w:rsid w:val="00721BE0"/>
    <w:rsid w:val="007235FC"/>
    <w:rsid w:val="00773B17"/>
    <w:rsid w:val="00790C2C"/>
    <w:rsid w:val="007A05CF"/>
    <w:rsid w:val="007A6975"/>
    <w:rsid w:val="007C3580"/>
    <w:rsid w:val="007E2623"/>
    <w:rsid w:val="007F2FBD"/>
    <w:rsid w:val="00843869"/>
    <w:rsid w:val="00883E79"/>
    <w:rsid w:val="00885168"/>
    <w:rsid w:val="008A77D8"/>
    <w:rsid w:val="008A798E"/>
    <w:rsid w:val="008B0945"/>
    <w:rsid w:val="008F01D8"/>
    <w:rsid w:val="008F389C"/>
    <w:rsid w:val="00911664"/>
    <w:rsid w:val="00921608"/>
    <w:rsid w:val="00937C0C"/>
    <w:rsid w:val="00942DB3"/>
    <w:rsid w:val="0094438D"/>
    <w:rsid w:val="009455A0"/>
    <w:rsid w:val="00947450"/>
    <w:rsid w:val="00986742"/>
    <w:rsid w:val="009B08A7"/>
    <w:rsid w:val="009C004D"/>
    <w:rsid w:val="009D4BF9"/>
    <w:rsid w:val="00A01508"/>
    <w:rsid w:val="00A3491A"/>
    <w:rsid w:val="00A94235"/>
    <w:rsid w:val="00B436BA"/>
    <w:rsid w:val="00B473F9"/>
    <w:rsid w:val="00B83EBE"/>
    <w:rsid w:val="00BA13FB"/>
    <w:rsid w:val="00BC2217"/>
    <w:rsid w:val="00BD0501"/>
    <w:rsid w:val="00BE5B2F"/>
    <w:rsid w:val="00C000CB"/>
    <w:rsid w:val="00C67972"/>
    <w:rsid w:val="00C866F6"/>
    <w:rsid w:val="00CA43A8"/>
    <w:rsid w:val="00CC7696"/>
    <w:rsid w:val="00CE024E"/>
    <w:rsid w:val="00CF7F73"/>
    <w:rsid w:val="00D030E0"/>
    <w:rsid w:val="00D045F0"/>
    <w:rsid w:val="00D177E5"/>
    <w:rsid w:val="00D17EBC"/>
    <w:rsid w:val="00D20D8F"/>
    <w:rsid w:val="00D81798"/>
    <w:rsid w:val="00E14FED"/>
    <w:rsid w:val="00E34C26"/>
    <w:rsid w:val="00E40240"/>
    <w:rsid w:val="00E44693"/>
    <w:rsid w:val="00E55AC4"/>
    <w:rsid w:val="00E57962"/>
    <w:rsid w:val="00E66C34"/>
    <w:rsid w:val="00E90965"/>
    <w:rsid w:val="00E90DE7"/>
    <w:rsid w:val="00E92734"/>
    <w:rsid w:val="00E95632"/>
    <w:rsid w:val="00EC186A"/>
    <w:rsid w:val="00ED546F"/>
    <w:rsid w:val="00EF75ED"/>
    <w:rsid w:val="00F80F8A"/>
    <w:rsid w:val="00FB10BC"/>
    <w:rsid w:val="00FB7464"/>
    <w:rsid w:val="00FC277C"/>
    <w:rsid w:val="00FC365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E73A5"/>
  <w15:chartTrackingRefBased/>
  <w15:docId w15:val="{DA694B03-8472-4873-920A-CB27CC81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8DB"/>
    <w:pPr>
      <w:spacing w:after="0" w:line="240" w:lineRule="auto"/>
    </w:pPr>
    <w:rPr>
      <w:rFonts w:eastAsiaTheme="minorEastAsia"/>
      <w:kern w:val="0"/>
      <w:sz w:val="24"/>
      <w:szCs w:val="24"/>
      <w:lang w:val="es-ES_tradnl" w:eastAsia="es-ES"/>
      <w14:ligatures w14:val="none"/>
    </w:rPr>
  </w:style>
  <w:style w:type="paragraph" w:styleId="Ttulo1">
    <w:name w:val="heading 1"/>
    <w:basedOn w:val="Normal"/>
    <w:next w:val="Normal"/>
    <w:link w:val="Ttulo1Car"/>
    <w:uiPriority w:val="9"/>
    <w:qFormat/>
    <w:rsid w:val="002868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868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68DB"/>
    <w:rPr>
      <w:rFonts w:asciiTheme="majorHAnsi" w:eastAsiaTheme="majorEastAsia" w:hAnsiTheme="majorHAnsi" w:cstheme="majorBidi"/>
      <w:color w:val="2F5496" w:themeColor="accent1" w:themeShade="BF"/>
      <w:kern w:val="0"/>
      <w:sz w:val="32"/>
      <w:szCs w:val="32"/>
      <w:lang w:val="es-ES_tradnl" w:eastAsia="es-ES"/>
      <w14:ligatures w14:val="none"/>
    </w:rPr>
  </w:style>
  <w:style w:type="character" w:customStyle="1" w:styleId="Ttulo2Car">
    <w:name w:val="Título 2 Car"/>
    <w:basedOn w:val="Fuentedeprrafopredeter"/>
    <w:link w:val="Ttulo2"/>
    <w:uiPriority w:val="9"/>
    <w:rsid w:val="002868DB"/>
    <w:rPr>
      <w:rFonts w:asciiTheme="majorHAnsi" w:eastAsiaTheme="majorEastAsia" w:hAnsiTheme="majorHAnsi" w:cstheme="majorBidi"/>
      <w:color w:val="2F5496" w:themeColor="accent1" w:themeShade="BF"/>
      <w:kern w:val="0"/>
      <w:sz w:val="26"/>
      <w:szCs w:val="26"/>
      <w:lang w:val="es-ES_tradnl" w:eastAsia="es-ES"/>
      <w14:ligatures w14:val="none"/>
    </w:rPr>
  </w:style>
  <w:style w:type="paragraph" w:styleId="Encabezado">
    <w:name w:val="header"/>
    <w:basedOn w:val="Normal"/>
    <w:link w:val="EncabezadoCar"/>
    <w:uiPriority w:val="99"/>
    <w:unhideWhenUsed/>
    <w:rsid w:val="002868DB"/>
    <w:pPr>
      <w:tabs>
        <w:tab w:val="center" w:pos="4419"/>
        <w:tab w:val="right" w:pos="8838"/>
      </w:tabs>
    </w:pPr>
  </w:style>
  <w:style w:type="character" w:customStyle="1" w:styleId="EncabezadoCar">
    <w:name w:val="Encabezado Car"/>
    <w:basedOn w:val="Fuentedeprrafopredeter"/>
    <w:link w:val="Encabezado"/>
    <w:uiPriority w:val="99"/>
    <w:rsid w:val="002868DB"/>
    <w:rPr>
      <w:rFonts w:eastAsiaTheme="minorEastAsia"/>
      <w:kern w:val="0"/>
      <w:sz w:val="24"/>
      <w:szCs w:val="24"/>
      <w:lang w:val="es-ES_tradnl" w:eastAsia="es-ES"/>
      <w14:ligatures w14:val="none"/>
    </w:rPr>
  </w:style>
  <w:style w:type="paragraph" w:styleId="Piedepgina">
    <w:name w:val="footer"/>
    <w:basedOn w:val="Normal"/>
    <w:link w:val="PiedepginaCar"/>
    <w:uiPriority w:val="99"/>
    <w:unhideWhenUsed/>
    <w:rsid w:val="002868DB"/>
    <w:pPr>
      <w:tabs>
        <w:tab w:val="center" w:pos="4419"/>
        <w:tab w:val="right" w:pos="8838"/>
      </w:tabs>
    </w:pPr>
  </w:style>
  <w:style w:type="character" w:customStyle="1" w:styleId="PiedepginaCar">
    <w:name w:val="Pie de página Car"/>
    <w:basedOn w:val="Fuentedeprrafopredeter"/>
    <w:link w:val="Piedepgina"/>
    <w:uiPriority w:val="99"/>
    <w:rsid w:val="002868DB"/>
    <w:rPr>
      <w:rFonts w:eastAsiaTheme="minorEastAsia"/>
      <w:kern w:val="0"/>
      <w:sz w:val="24"/>
      <w:szCs w:val="24"/>
      <w:lang w:val="es-ES_tradnl"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868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68DB"/>
    <w:rPr>
      <w:rFonts w:eastAsiaTheme="minorEastAsia"/>
      <w:kern w:val="0"/>
      <w:sz w:val="24"/>
      <w:szCs w:val="24"/>
      <w:lang w:val="es-ES_tradnl" w:eastAsia="es-ES"/>
      <w14:ligatures w14:val="none"/>
    </w:rPr>
  </w:style>
  <w:style w:type="character" w:styleId="Hipervnculo">
    <w:name w:val="Hyperlink"/>
    <w:basedOn w:val="Fuentedeprrafopredeter"/>
    <w:uiPriority w:val="99"/>
    <w:unhideWhenUsed/>
    <w:rsid w:val="002868DB"/>
    <w:rPr>
      <w:color w:val="0563C1" w:themeColor="hyperlink"/>
      <w:u w:val="single"/>
    </w:rPr>
  </w:style>
  <w:style w:type="character" w:customStyle="1" w:styleId="Mencinsinresolver1">
    <w:name w:val="Mención sin resolver1"/>
    <w:basedOn w:val="Fuentedeprrafopredeter"/>
    <w:uiPriority w:val="99"/>
    <w:semiHidden/>
    <w:unhideWhenUsed/>
    <w:rsid w:val="00CE024E"/>
    <w:rPr>
      <w:color w:val="605E5C"/>
      <w:shd w:val="clear" w:color="auto" w:fill="E1DFDD"/>
    </w:rPr>
  </w:style>
  <w:style w:type="character" w:styleId="Hipervnculovisitado">
    <w:name w:val="FollowedHyperlink"/>
    <w:basedOn w:val="Fuentedeprrafopredeter"/>
    <w:uiPriority w:val="99"/>
    <w:semiHidden/>
    <w:unhideWhenUsed/>
    <w:rsid w:val="00562E20"/>
    <w:rPr>
      <w:color w:val="954F72" w:themeColor="followedHyperlink"/>
      <w:u w:val="single"/>
    </w:rPr>
  </w:style>
  <w:style w:type="table" w:customStyle="1" w:styleId="TableNormal">
    <w:name w:val="Table Normal"/>
    <w:rsid w:val="00E90965"/>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anormal12">
    <w:name w:val="Tabla normal 12"/>
    <w:basedOn w:val="Tablanormal"/>
    <w:next w:val="Tablanormal1"/>
    <w:uiPriority w:val="41"/>
    <w:rsid w:val="00EC186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C186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C186A"/>
    <w:rPr>
      <w:rFonts w:eastAsiaTheme="minorHAnsi"/>
      <w:kern w:val="2"/>
      <w:sz w:val="20"/>
      <w:szCs w:val="20"/>
      <w:lang w:val="es-MX" w:eastAsia="en-US"/>
      <w14:ligatures w14:val="standardContextual"/>
    </w:rPr>
  </w:style>
  <w:style w:type="character" w:customStyle="1" w:styleId="TextonotapieCar1">
    <w:name w:val="Texto nota pie Car1"/>
    <w:basedOn w:val="Fuentedeprrafopredeter"/>
    <w:uiPriority w:val="99"/>
    <w:semiHidden/>
    <w:rsid w:val="00EC186A"/>
    <w:rPr>
      <w:rFonts w:eastAsiaTheme="minorEastAsia"/>
      <w:kern w:val="0"/>
      <w:sz w:val="20"/>
      <w:szCs w:val="20"/>
      <w:lang w:val="es-ES_tradnl"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C186A"/>
    <w:rPr>
      <w:vertAlign w:val="superscript"/>
    </w:rPr>
  </w:style>
  <w:style w:type="table" w:styleId="Tablanormal1">
    <w:name w:val="Plain Table 1"/>
    <w:basedOn w:val="Tablanormal"/>
    <w:uiPriority w:val="41"/>
    <w:rsid w:val="00EC18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CC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6013D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33</Pages>
  <Words>7017</Words>
  <Characters>38597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9</cp:revision>
  <cp:lastPrinted>2024-02-01T19:10:00Z</cp:lastPrinted>
  <dcterms:created xsi:type="dcterms:W3CDTF">2024-01-25T17:51:00Z</dcterms:created>
  <dcterms:modified xsi:type="dcterms:W3CDTF">2024-02-08T18:44:00Z</dcterms:modified>
</cp:coreProperties>
</file>