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de fecha seis de marzo de dos mil veinticuatro. </w:t>
      </w:r>
    </w:p>
    <w:p w:rsidR="00000000" w:rsidDel="00000000" w:rsidP="00000000" w:rsidRDefault="00000000" w:rsidRPr="00000000" w14:paraId="00000002">
      <w:pPr>
        <w:spacing w:after="0" w:line="360" w:lineRule="auto"/>
        <w:ind w:right="49"/>
        <w:jc w:val="cente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Visto el expediente relativo al recurso de revisión </w:t>
      </w:r>
      <w:r w:rsidDel="00000000" w:rsidR="00000000" w:rsidRPr="00000000">
        <w:rPr>
          <w:rFonts w:ascii="Palatino Linotype" w:cs="Palatino Linotype" w:eastAsia="Palatino Linotype" w:hAnsi="Palatino Linotype"/>
          <w:b w:val="1"/>
          <w:sz w:val="24"/>
          <w:szCs w:val="24"/>
          <w:rtl w:val="0"/>
        </w:rPr>
        <w:t xml:space="preserve">05174/INFOEM/IP/RR/2023</w:t>
      </w:r>
      <w:r w:rsidDel="00000000" w:rsidR="00000000" w:rsidRPr="00000000">
        <w:rPr>
          <w:rFonts w:ascii="Palatino Linotype" w:cs="Palatino Linotype" w:eastAsia="Palatino Linotype" w:hAnsi="Palatino Linotype"/>
          <w:sz w:val="24"/>
          <w:szCs w:val="24"/>
          <w:rtl w:val="0"/>
        </w:rPr>
        <w:t xml:space="preserve">, interpuesto por </w:t>
      </w:r>
      <w:r w:rsidDel="00000000" w:rsidR="00000000" w:rsidRPr="00000000">
        <w:rPr>
          <w:rFonts w:ascii="Palatino Linotype" w:cs="Palatino Linotype" w:eastAsia="Palatino Linotype" w:hAnsi="Palatino Linotype"/>
          <w:b w:val="1"/>
          <w:sz w:val="24"/>
          <w:szCs w:val="24"/>
          <w:rtl w:val="0"/>
        </w:rPr>
        <w:t xml:space="preserve">una persona usuaria del Sistema de Acceso a la Información Mexiquense </w:t>
      </w:r>
      <w:r w:rsidDel="00000000" w:rsidR="00000000" w:rsidRPr="00000000">
        <w:rPr>
          <w:rFonts w:ascii="Palatino Linotype" w:cs="Palatino Linotype" w:eastAsia="Palatino Linotype" w:hAnsi="Palatino Linotype"/>
          <w:sz w:val="24"/>
          <w:szCs w:val="24"/>
          <w:rtl w:val="0"/>
        </w:rPr>
        <w:t xml:space="preserve">al cual en lo sucesivo se le denominará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contra de la respuesta a su solicitud de información identificada con número de folio </w:t>
      </w:r>
      <w:r w:rsidDel="00000000" w:rsidR="00000000" w:rsidRPr="00000000">
        <w:rPr>
          <w:rFonts w:ascii="Palatino Linotype" w:cs="Palatino Linotype" w:eastAsia="Palatino Linotype" w:hAnsi="Palatino Linotype"/>
          <w:b w:val="1"/>
          <w:sz w:val="24"/>
          <w:szCs w:val="24"/>
          <w:rtl w:val="0"/>
        </w:rPr>
        <w:t xml:space="preserve">00323/CHIMALHU/IP/2023</w:t>
      </w:r>
      <w:r w:rsidDel="00000000" w:rsidR="00000000" w:rsidRPr="00000000">
        <w:rPr>
          <w:rFonts w:ascii="Palatino Linotype" w:cs="Palatino Linotype" w:eastAsia="Palatino Linotype" w:hAnsi="Palatino Linotype"/>
          <w:sz w:val="24"/>
          <w:szCs w:val="24"/>
          <w:rtl w:val="0"/>
        </w:rPr>
        <w:t xml:space="preserve"> proporcionada por parte del Ayuntamiento de Chimalhuacán en lo sucesivo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se procede a dictar la presente resolución, con base en los siguientes:</w:t>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w:t>
        <w:tab/>
        <w:t xml:space="preserve">A N T E C E D E N T E S</w:t>
      </w:r>
    </w:p>
    <w:p w:rsidR="00000000" w:rsidDel="00000000" w:rsidP="00000000" w:rsidRDefault="00000000" w:rsidRPr="00000000" w14:paraId="00000006">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7">
      <w:pPr>
        <w:numPr>
          <w:ilvl w:val="0"/>
          <w:numId w:val="2"/>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Solicitud de acceso a la información.</w:t>
      </w:r>
      <w:r w:rsidDel="00000000" w:rsidR="00000000" w:rsidRPr="00000000">
        <w:rPr>
          <w:rFonts w:ascii="Palatino Linotype" w:cs="Palatino Linotype" w:eastAsia="Palatino Linotype" w:hAnsi="Palatino Linotype"/>
          <w:sz w:val="24"/>
          <w:szCs w:val="24"/>
          <w:rtl w:val="0"/>
        </w:rPr>
        <w:t xml:space="preserve"> Con fecha </w:t>
      </w:r>
      <w:r w:rsidDel="00000000" w:rsidR="00000000" w:rsidRPr="00000000">
        <w:rPr>
          <w:rFonts w:ascii="Palatino Linotype" w:cs="Palatino Linotype" w:eastAsia="Palatino Linotype" w:hAnsi="Palatino Linotype"/>
          <w:b w:val="1"/>
          <w:sz w:val="24"/>
          <w:szCs w:val="24"/>
          <w:rtl w:val="0"/>
        </w:rPr>
        <w:t xml:space="preserve">diez de agosto de dos mil veintitrés</w:t>
      </w:r>
      <w:r w:rsidDel="00000000" w:rsidR="00000000" w:rsidRPr="00000000">
        <w:rPr>
          <w:rFonts w:ascii="Palatino Linotype" w:cs="Palatino Linotype" w:eastAsia="Palatino Linotype" w:hAnsi="Palatino Linotype"/>
          <w:sz w:val="24"/>
          <w:szCs w:val="24"/>
          <w:rtl w:val="0"/>
        </w:rPr>
        <w:t xml:space="preserve">,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formuló solicitud de acceso a información pública al</w:t>
      </w:r>
      <w:r w:rsidDel="00000000" w:rsidR="00000000" w:rsidRPr="00000000">
        <w:rPr>
          <w:rFonts w:ascii="Palatino Linotype" w:cs="Palatino Linotype" w:eastAsia="Palatino Linotype" w:hAnsi="Palatino Linotype"/>
          <w:b w:val="1"/>
          <w:sz w:val="24"/>
          <w:szCs w:val="24"/>
          <w:rtl w:val="0"/>
        </w:rPr>
        <w:t xml:space="preserve"> SUJETO OBLIGADO</w:t>
      </w:r>
      <w:r w:rsidDel="00000000" w:rsidR="00000000" w:rsidRPr="00000000">
        <w:rPr>
          <w:rFonts w:ascii="Palatino Linotype" w:cs="Palatino Linotype" w:eastAsia="Palatino Linotype" w:hAnsi="Palatino Linotype"/>
          <w:sz w:val="24"/>
          <w:szCs w:val="24"/>
          <w:rtl w:val="0"/>
        </w:rPr>
        <w:t xml:space="preserve"> a través del Sistema de Acceso a la Información Mexiquense, en adelante SAIMEX, en la que requirió lo siguiente: </w:t>
      </w:r>
    </w:p>
    <w:p w:rsidR="00000000" w:rsidDel="00000000" w:rsidP="00000000" w:rsidRDefault="00000000" w:rsidRPr="00000000" w14:paraId="00000008">
      <w:pPr>
        <w:tabs>
          <w:tab w:val="left" w:leader="none" w:pos="1530"/>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ab/>
      </w:r>
    </w:p>
    <w:p w:rsidR="00000000" w:rsidDel="00000000" w:rsidP="00000000" w:rsidRDefault="00000000" w:rsidRPr="00000000" w14:paraId="00000009">
      <w:pPr>
        <w:spacing w:after="0" w:lineRule="auto"/>
        <w:ind w:left="567" w:right="560" w:firstLine="0"/>
        <w:jc w:val="both"/>
        <w:rPr>
          <w:rFonts w:ascii="Palatino Linotype" w:cs="Palatino Linotype" w:eastAsia="Palatino Linotype" w:hAnsi="Palatino Linotype"/>
          <w:i w:val="1"/>
        </w:rPr>
      </w:pPr>
      <w:bookmarkStart w:colFirst="0" w:colLast="0" w:name="_heading=h.30j0zll" w:id="0"/>
      <w:bookmarkEnd w:id="0"/>
      <w:r w:rsidDel="00000000" w:rsidR="00000000" w:rsidRPr="00000000">
        <w:rPr>
          <w:rFonts w:ascii="Palatino Linotype" w:cs="Palatino Linotype" w:eastAsia="Palatino Linotype" w:hAnsi="Palatino Linotype"/>
          <w:i w:val="1"/>
          <w:rtl w:val="0"/>
        </w:rPr>
        <w:t xml:space="preserve">“toda vez que se tratan de recursos públicos, requiero conocer </w:t>
      </w:r>
      <w:r w:rsidDel="00000000" w:rsidR="00000000" w:rsidRPr="00000000">
        <w:rPr>
          <w:rFonts w:ascii="Palatino Linotype" w:cs="Palatino Linotype" w:eastAsia="Palatino Linotype" w:hAnsi="Palatino Linotype"/>
          <w:b w:val="1"/>
          <w:i w:val="1"/>
          <w:u w:val="single"/>
          <w:rtl w:val="0"/>
        </w:rPr>
        <w:t xml:space="preserve">la lista y/o nombre de las personas que fueron dadas de baja del "PROGRAMA MUNICIPAL ALIMENTACIÓN CON IGUALDAD" durante la entrega del apoyo realizado en este mes de agosto,</w:t>
      </w:r>
      <w:r w:rsidDel="00000000" w:rsidR="00000000" w:rsidRPr="00000000">
        <w:rPr>
          <w:rFonts w:ascii="Palatino Linotype" w:cs="Palatino Linotype" w:eastAsia="Palatino Linotype" w:hAnsi="Palatino Linotype"/>
          <w:i w:val="1"/>
          <w:rtl w:val="0"/>
        </w:rPr>
        <w:t xml:space="preserve"> requiero la </w:t>
      </w:r>
      <w:r w:rsidDel="00000000" w:rsidR="00000000" w:rsidRPr="00000000">
        <w:rPr>
          <w:rFonts w:ascii="Palatino Linotype" w:cs="Palatino Linotype" w:eastAsia="Palatino Linotype" w:hAnsi="Palatino Linotype"/>
          <w:b w:val="1"/>
          <w:i w:val="1"/>
          <w:u w:val="single"/>
          <w:rtl w:val="0"/>
        </w:rPr>
        <w:t xml:space="preserve">lista y/o nombre de las personas que por primera vez recibieron el apoyo del "PROGRAMA MUNICIPAL ALIMENTACIÓN CON IGUALDAD" entregado en este mes de agosto</w:t>
      </w:r>
      <w:r w:rsidDel="00000000" w:rsidR="00000000" w:rsidRPr="00000000">
        <w:rPr>
          <w:rFonts w:ascii="Palatino Linotype" w:cs="Palatino Linotype" w:eastAsia="Palatino Linotype" w:hAnsi="Palatino Linotype"/>
          <w:i w:val="1"/>
          <w:rtl w:val="0"/>
        </w:rPr>
        <w:t xml:space="preserve">. En caso de que ninguna persona haya sido dada de baja </w:t>
      </w:r>
      <w:r w:rsidDel="00000000" w:rsidR="00000000" w:rsidRPr="00000000">
        <w:rPr>
          <w:rFonts w:ascii="Palatino Linotype" w:cs="Palatino Linotype" w:eastAsia="Palatino Linotype" w:hAnsi="Palatino Linotype"/>
          <w:b w:val="1"/>
          <w:i w:val="1"/>
          <w:u w:val="single"/>
          <w:rtl w:val="0"/>
        </w:rPr>
        <w:t xml:space="preserve">requiero el documento, donde conste que su apoyo fue entregado,</w:t>
      </w:r>
      <w:r w:rsidDel="00000000" w:rsidR="00000000" w:rsidRPr="00000000">
        <w:rPr>
          <w:rFonts w:ascii="Palatino Linotype" w:cs="Palatino Linotype" w:eastAsia="Palatino Linotype" w:hAnsi="Palatino Linotype"/>
          <w:i w:val="1"/>
          <w:rtl w:val="0"/>
        </w:rPr>
        <w:t xml:space="preserve"> cabe mencionar que por el tipo de programa existe un registro de entrega. De igual manera en caso de que existan personas dadas de baja de dicho programa requiero el documento </w:t>
      </w:r>
      <w:r w:rsidDel="00000000" w:rsidR="00000000" w:rsidRPr="00000000">
        <w:rPr>
          <w:rFonts w:ascii="Palatino Linotype" w:cs="Palatino Linotype" w:eastAsia="Palatino Linotype" w:hAnsi="Palatino Linotype"/>
          <w:b w:val="1"/>
          <w:i w:val="1"/>
          <w:u w:val="single"/>
          <w:rtl w:val="0"/>
        </w:rPr>
        <w:t xml:space="preserve">donde conste la forma en que fueron informados de dicha situación</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0A">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B">
      <w:pPr>
        <w:spacing w:after="0" w:lineRule="auto"/>
        <w:ind w:right="5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Modalidad elegida para la entrega de la información:</w:t>
      </w:r>
      <w:r w:rsidDel="00000000" w:rsidR="00000000" w:rsidRPr="00000000">
        <w:rPr>
          <w:rFonts w:ascii="Palatino Linotype" w:cs="Palatino Linotype" w:eastAsia="Palatino Linotype" w:hAnsi="Palatino Linotype"/>
          <w:sz w:val="24"/>
          <w:szCs w:val="24"/>
          <w:rtl w:val="0"/>
        </w:rPr>
        <w:t xml:space="preserve"> a través del Sistema de Acceso a la Información Mexiquense (SAIMEX). </w:t>
      </w:r>
    </w:p>
    <w:p w:rsidR="00000000" w:rsidDel="00000000" w:rsidP="00000000" w:rsidRDefault="00000000" w:rsidRPr="00000000" w14:paraId="0000000C">
      <w:pPr>
        <w:spacing w:after="0" w:lineRule="auto"/>
        <w:ind w:right="56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Respuesta. </w:t>
      </w:r>
      <w:r w:rsidDel="00000000" w:rsidR="00000000" w:rsidRPr="00000000">
        <w:rPr>
          <w:rFonts w:ascii="Palatino Linotype" w:cs="Palatino Linotype" w:eastAsia="Palatino Linotype" w:hAnsi="Palatino Linotype"/>
          <w:sz w:val="24"/>
          <w:szCs w:val="24"/>
          <w:rtl w:val="0"/>
        </w:rPr>
        <w:t xml:space="preserve">En fecha </w:t>
      </w:r>
      <w:r w:rsidDel="00000000" w:rsidR="00000000" w:rsidRPr="00000000">
        <w:rPr>
          <w:rFonts w:ascii="Palatino Linotype" w:cs="Palatino Linotype" w:eastAsia="Palatino Linotype" w:hAnsi="Palatino Linotype"/>
          <w:b w:val="1"/>
          <w:sz w:val="24"/>
          <w:szCs w:val="24"/>
          <w:rtl w:val="0"/>
        </w:rPr>
        <w:t xml:space="preserve">treinta y uno de agosto de dos mil veintitrés</w:t>
      </w:r>
      <w:r w:rsidDel="00000000" w:rsidR="00000000" w:rsidRPr="00000000">
        <w:rPr>
          <w:rFonts w:ascii="Palatino Linotype" w:cs="Palatino Linotype" w:eastAsia="Palatino Linotype" w:hAnsi="Palatino Linotype"/>
          <w:sz w:val="24"/>
          <w:szCs w:val="24"/>
          <w:rtl w:val="0"/>
        </w:rPr>
        <w:t xml:space="preserve">,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proporcionó respuesta a la solicitud de información, al tenor de lo siguiente: </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36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36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da respuesta a su solicitud 323, mediante la respuesta de la </w:t>
      </w:r>
      <w:r w:rsidDel="00000000" w:rsidR="00000000" w:rsidRPr="00000000">
        <w:rPr>
          <w:rFonts w:ascii="Palatino Linotype" w:cs="Palatino Linotype" w:eastAsia="Palatino Linotype" w:hAnsi="Palatino Linotype"/>
          <w:b w:val="1"/>
          <w:i w:val="1"/>
          <w:u w:val="single"/>
          <w:rtl w:val="0"/>
        </w:rPr>
        <w:t xml:space="preserve">Dirección de Bienestar Social.</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adjuntó su respuesta con el documento que se describe a continuación: </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360" w:lineRule="auto"/>
        <w:ind w:right="56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567" w:right="56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que precisa que respecto a la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lista y/o nombre de las personas que fueron dadas de baja del “Programa Alimentación con Igualdad” en el mes de agosto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se informa que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no existe la figura de baja de beneficiarios del programa, sino que existen supuestos en los que los beneficiarios no reciben el apoyo porque hay circunstancias personales e individuales que les impiden asistir a recoger el apoyo pero de las cuales no se tiene información.</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Asimismo, informó que tienen un padrón de 9,903 beneficiarios y en ánimos de dar acceso a la información, se puede consultar el listado de los nombres de los beneficiarios del programa en la siguiente liga electrónica </w:t>
      </w:r>
      <w:hyperlink r:id="rId7">
        <w:r w:rsidDel="00000000" w:rsidR="00000000" w:rsidRPr="00000000">
          <w:rPr>
            <w:rFonts w:ascii="Palatino Linotype" w:cs="Palatino Linotype" w:eastAsia="Palatino Linotype" w:hAnsi="Palatino Linotype"/>
            <w:b w:val="0"/>
            <w:i w:val="0"/>
            <w:smallCaps w:val="0"/>
            <w:strike w:val="0"/>
            <w:color w:val="000000"/>
            <w:sz w:val="22"/>
            <w:szCs w:val="22"/>
            <w:u w:val="single"/>
            <w:shd w:fill="auto" w:val="clear"/>
            <w:vertAlign w:val="baseline"/>
            <w:rtl w:val="0"/>
          </w:rPr>
          <w:t xml:space="preserve">https://chimalhuacan.gob.mx/wp-content/uploads/2023/01/Alimentacion-con-Igualdad-ok.pdf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otro lado, en lo que respecta a la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lista y/o nombre de las personas que por primera vez recibieron el apoyo del “Programa Alimentación con Igualdad”,</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se informó que del padrón antes mencionados no se puede brindar información exacta de los beneficiarios que recibieron el apoyo debido a que esa información es referente a la vida y datos personales de los beneficiarios, ya que el comprobante cuenta con nombre y firma autógrafa.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lo que respecta,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en caso de que ninguna persona haya sido dada de baja se requiere el documento, done conste que el apoyo fue entregado,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se informa que ninguna persona ha causado baja del programa por lo que se está en imposibilidad de entregar la información, sin embargo, se hace del conocimiento que 2,634 personas no han recibido el apoyo.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último, en lo que respecta a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en caso de que existan personas dadas de baja de dicho programa se requiere el documento donde conste la forma en que fueron informados de dicha situación,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se precisó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no se han realizado bajas. </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360" w:lineRule="auto"/>
        <w:ind w:left="567" w:right="56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D">
      <w:pPr>
        <w:numPr>
          <w:ilvl w:val="0"/>
          <w:numId w:val="2"/>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Recurso de Revisión. </w:t>
      </w:r>
      <w:r w:rsidDel="00000000" w:rsidR="00000000" w:rsidRPr="00000000">
        <w:rPr>
          <w:rFonts w:ascii="Palatino Linotype" w:cs="Palatino Linotype" w:eastAsia="Palatino Linotype" w:hAnsi="Palatino Linotype"/>
          <w:sz w:val="24"/>
          <w:szCs w:val="24"/>
          <w:rtl w:val="0"/>
        </w:rPr>
        <w:t xml:space="preserve">En fecha </w:t>
      </w:r>
      <w:r w:rsidDel="00000000" w:rsidR="00000000" w:rsidRPr="00000000">
        <w:rPr>
          <w:rFonts w:ascii="Palatino Linotype" w:cs="Palatino Linotype" w:eastAsia="Palatino Linotype" w:hAnsi="Palatino Linotype"/>
          <w:b w:val="1"/>
          <w:sz w:val="24"/>
          <w:szCs w:val="24"/>
          <w:rtl w:val="0"/>
        </w:rPr>
        <w:t xml:space="preserve">uno de septiembre dos mil veintitrés</w:t>
      </w:r>
      <w:r w:rsidDel="00000000" w:rsidR="00000000" w:rsidRPr="00000000">
        <w:rPr>
          <w:rFonts w:ascii="Palatino Linotype" w:cs="Palatino Linotype" w:eastAsia="Palatino Linotype" w:hAnsi="Palatino Linotype"/>
          <w:sz w:val="24"/>
          <w:szCs w:val="24"/>
          <w:rtl w:val="0"/>
        </w:rPr>
        <w:t xml:space="preserve"> la persona Solicitante interpuso Recurso de Revisión a través del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a través del cual expresó lo siguiente:</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1276"/>
        </w:tabs>
        <w:spacing w:after="0" w:lineRule="auto"/>
        <w:ind w:left="567" w:right="701" w:firstLine="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Acto impugnado</w:t>
      </w:r>
      <w:r w:rsidDel="00000000" w:rsidR="00000000" w:rsidRPr="00000000">
        <w:rPr>
          <w:rFonts w:ascii="Palatino Linotype" w:cs="Palatino Linotype" w:eastAsia="Palatino Linotype" w:hAnsi="Palatino Linotype"/>
          <w:b w:val="1"/>
          <w:i w:val="1"/>
          <w:sz w:val="24"/>
          <w:szCs w:val="24"/>
          <w:rtl w:val="0"/>
        </w:rPr>
        <w:t xml:space="preserve">. </w:t>
      </w:r>
      <w:r w:rsidDel="00000000" w:rsidR="00000000" w:rsidRPr="00000000">
        <w:rPr>
          <w:rFonts w:ascii="Palatino Linotype" w:cs="Palatino Linotype" w:eastAsia="Palatino Linotype" w:hAnsi="Palatino Linotype"/>
          <w:i w:val="1"/>
          <w:rtl w:val="0"/>
        </w:rPr>
        <w:t xml:space="preserve">“RESPUESTA”.</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1276"/>
        </w:tabs>
        <w:spacing w:after="0" w:lineRule="auto"/>
        <w:ind w:left="567" w:right="701" w:firstLine="0"/>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1276"/>
        </w:tabs>
        <w:spacing w:after="0"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sz w:val="24"/>
          <w:szCs w:val="24"/>
          <w:rtl w:val="0"/>
        </w:rPr>
        <w:t xml:space="preserve">Razones o motivos de la inconformidad: </w:t>
      </w:r>
      <w:r w:rsidDel="00000000" w:rsidR="00000000" w:rsidRPr="00000000">
        <w:rPr>
          <w:rFonts w:ascii="Palatino Linotype" w:cs="Palatino Linotype" w:eastAsia="Palatino Linotype" w:hAnsi="Palatino Linotype"/>
          <w:i w:val="1"/>
          <w:rtl w:val="0"/>
        </w:rPr>
        <w:t xml:space="preserve">“En relación al punto número uno de mi solicitud de origen es importante manifestar lo siguiente: Si bien resulta claro para el Sujeto Obligado que </w:t>
      </w:r>
      <w:r w:rsidDel="00000000" w:rsidR="00000000" w:rsidRPr="00000000">
        <w:rPr>
          <w:rFonts w:ascii="Palatino Linotype" w:cs="Palatino Linotype" w:eastAsia="Palatino Linotype" w:hAnsi="Palatino Linotype"/>
          <w:b w:val="1"/>
          <w:i w:val="1"/>
          <w:u w:val="single"/>
          <w:rtl w:val="0"/>
        </w:rPr>
        <w:t xml:space="preserve">el término BAJA no existe en las reglas de operación del “Programa Alimentación con Igualdad”, también es cierto que saben perfectamente a lo que me refiero con ese término….PERSONAS QUE NO RECIBIERON SU APOYO, BENEFICIO O COMO LO QUIERAN LLAMAR</w:t>
      </w:r>
      <w:r w:rsidDel="00000000" w:rsidR="00000000" w:rsidRPr="00000000">
        <w:rPr>
          <w:rFonts w:ascii="Palatino Linotype" w:cs="Palatino Linotype" w:eastAsia="Palatino Linotype" w:hAnsi="Palatino Linotype"/>
          <w:i w:val="1"/>
          <w:rtl w:val="0"/>
        </w:rPr>
        <w:t xml:space="preserve">; no es correcto el término referido en la solicitud de información pero existen elementos mínimos para poder determinar a qué información deseo tener acceso, puesto que los solicitantes de información no somos expertos o especialistas en la materia. Por lo que respecta al número 2 de mi requerimiento, la titular de la Dirección de Bienestar del Ayuntamiento de Chimalhuacán </w:t>
      </w:r>
      <w:r w:rsidDel="00000000" w:rsidR="00000000" w:rsidRPr="00000000">
        <w:rPr>
          <w:rFonts w:ascii="Palatino Linotype" w:cs="Palatino Linotype" w:eastAsia="Palatino Linotype" w:hAnsi="Palatino Linotype"/>
          <w:b w:val="1"/>
          <w:i w:val="1"/>
          <w:u w:val="single"/>
          <w:rtl w:val="0"/>
        </w:rPr>
        <w:t xml:space="preserve">hace referencia que no me puede entregar la lista de las personas que por primera vez recibieron el apoyo, ya que se estaría vulnerando su derecho a la protección de datos personales</w:t>
      </w:r>
      <w:r w:rsidDel="00000000" w:rsidR="00000000" w:rsidRPr="00000000">
        <w:rPr>
          <w:rFonts w:ascii="Palatino Linotype" w:cs="Palatino Linotype" w:eastAsia="Palatino Linotype" w:hAnsi="Palatino Linotype"/>
          <w:i w:val="1"/>
          <w:rtl w:val="0"/>
        </w:rPr>
        <w:t xml:space="preserve">, pero en su misma respuesta me anexa el link de los beneficiarios del dicho programa, a lo cual es importante mencionar que si bien es cierto que el nombre de una persona es atributo de la personalidad, de conformidad con la legislación civil, al tratarse de un dato personal hace identificable a su titular, también lo es, que la Ley de Transparencia y Acceso a la Información Pública del Estado de México y Municipios, ha establecido un régimen de excepción tratándose del nombre de beneficiarios de programa social, pues su naturaleza es pública, ya que su publicidad orienta a cumplir los objetivos que persigue la Ley; toda vez, que ayuda a transparentar a quienes se les han otorgado recursos públicos, así como, porque razones se les otorgaron dichos montos. Por lo que, se considera que no procede la clasificación del nombre de beneficiarios recibieron apoyo del programa social en estudio. En apoyo a este punto es importante mencionar el siguiente criterio 02/17 Congruencia y exhaustividad, emitido por el Instituto Nacional de Transparencia, Acceso a la Información y Protección de Datos Personales: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w:t>
      </w:r>
      <w:hyperlink r:id="rId8">
        <w:r w:rsidDel="00000000" w:rsidR="00000000" w:rsidRPr="00000000">
          <w:rPr>
            <w:rFonts w:ascii="Palatino Linotype" w:cs="Palatino Linotype" w:eastAsia="Palatino Linotype" w:hAnsi="Palatino Linotype"/>
            <w:i w:val="1"/>
            <w:color w:val="000000"/>
            <w:u w:val="single"/>
            <w:rtl w:val="0"/>
          </w:rPr>
          <w:t xml:space="preserve">http://criteriosdeinterpretacion.inai.org.mx/Criterios/02-17.docx</w:t>
        </w:r>
      </w:hyperlink>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1276"/>
        </w:tabs>
        <w:spacing w:after="0" w:line="360" w:lineRule="auto"/>
        <w:ind w:right="70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3">
      <w:pPr>
        <w:numPr>
          <w:ilvl w:val="0"/>
          <w:numId w:val="2"/>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Turno.</w:t>
      </w:r>
      <w:r w:rsidDel="00000000" w:rsidR="00000000" w:rsidRPr="00000000">
        <w:rPr>
          <w:rFonts w:ascii="Palatino Linotype" w:cs="Palatino Linotype" w:eastAsia="Palatino Linotype" w:hAnsi="Palatino Linotype"/>
          <w:sz w:val="24"/>
          <w:szCs w:val="24"/>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4"/>
          <w:szCs w:val="24"/>
          <w:rtl w:val="0"/>
        </w:rPr>
        <w:t xml:space="preserve">05174/INFOEM/IP/RR/2023</w:t>
      </w:r>
      <w:r w:rsidDel="00000000" w:rsidR="00000000" w:rsidRPr="00000000">
        <w:rPr>
          <w:rFonts w:ascii="Palatino Linotype" w:cs="Palatino Linotype" w:eastAsia="Palatino Linotype" w:hAnsi="Palatino Linotype"/>
          <w:sz w:val="24"/>
          <w:szCs w:val="24"/>
          <w:rtl w:val="0"/>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5">
      <w:pPr>
        <w:numPr>
          <w:ilvl w:val="0"/>
          <w:numId w:val="2"/>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Admisión del recurso de revisión</w:t>
      </w:r>
      <w:r w:rsidDel="00000000" w:rsidR="00000000" w:rsidRPr="00000000">
        <w:rPr>
          <w:rFonts w:ascii="Palatino Linotype" w:cs="Palatino Linotype" w:eastAsia="Palatino Linotype" w:hAnsi="Palatino Linotype"/>
          <w:sz w:val="24"/>
          <w:szCs w:val="24"/>
          <w:rtl w:val="0"/>
        </w:rPr>
        <w:t xml:space="preserve">: En fecha </w:t>
      </w:r>
      <w:r w:rsidDel="00000000" w:rsidR="00000000" w:rsidRPr="00000000">
        <w:rPr>
          <w:rFonts w:ascii="Palatino Linotype" w:cs="Palatino Linotype" w:eastAsia="Palatino Linotype" w:hAnsi="Palatino Linotype"/>
          <w:b w:val="1"/>
          <w:sz w:val="24"/>
          <w:szCs w:val="24"/>
          <w:rtl w:val="0"/>
        </w:rPr>
        <w:t xml:space="preserve">seis de septiembre de dos mil veintitrés</w:t>
      </w:r>
      <w:r w:rsidDel="00000000" w:rsidR="00000000" w:rsidRPr="00000000">
        <w:rPr>
          <w:rFonts w:ascii="Palatino Linotype" w:cs="Palatino Linotype" w:eastAsia="Palatino Linotype" w:hAnsi="Palatino Linotype"/>
          <w:sz w:val="24"/>
          <w:szCs w:val="24"/>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26">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7">
      <w:pPr>
        <w:numPr>
          <w:ilvl w:val="0"/>
          <w:numId w:val="2"/>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4"/>
          <w:szCs w:val="24"/>
          <w:rtl w:val="0"/>
        </w:rPr>
        <w:t xml:space="preserve">Manifestaciones. </w:t>
      </w:r>
      <w:r w:rsidDel="00000000" w:rsidR="00000000" w:rsidRPr="00000000">
        <w:rPr>
          <w:rFonts w:ascii="Palatino Linotype" w:cs="Palatino Linotype" w:eastAsia="Palatino Linotype" w:hAnsi="Palatino Linotype"/>
          <w:sz w:val="24"/>
          <w:szCs w:val="24"/>
          <w:rtl w:val="0"/>
        </w:rPr>
        <w:t xml:space="preserve">Las partes fueron omisas en rendir manifestaciones. </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Pr>
        <w:drawing>
          <wp:inline distB="0" distT="0" distL="0" distR="0">
            <wp:extent cx="5756275" cy="1703705"/>
            <wp:effectExtent b="0" l="0" r="0" t="0"/>
            <wp:docPr id="175099699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56275" cy="170370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A">
      <w:pPr>
        <w:numPr>
          <w:ilvl w:val="0"/>
          <w:numId w:val="2"/>
        </w:numPr>
        <w:pBdr>
          <w:top w:space="0" w:sz="0" w:val="nil"/>
          <w:left w:space="0" w:sz="0" w:val="nil"/>
          <w:bottom w:space="0" w:sz="0" w:val="nil"/>
          <w:right w:space="0" w:sz="0" w:val="nil"/>
          <w:between w:space="0" w:sz="0" w:val="nil"/>
        </w:pBdr>
        <w:tabs>
          <w:tab w:val="left" w:leader="none" w:pos="360"/>
        </w:tabs>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Ampliación de plazo:</w:t>
      </w:r>
      <w:r w:rsidDel="00000000" w:rsidR="00000000" w:rsidRPr="00000000">
        <w:rPr>
          <w:rFonts w:ascii="Palatino Linotype" w:cs="Palatino Linotype" w:eastAsia="Palatino Linotype" w:hAnsi="Palatino Linotype"/>
          <w:sz w:val="24"/>
          <w:szCs w:val="24"/>
          <w:rtl w:val="0"/>
        </w:rPr>
        <w:t xml:space="preserve"> En fecha </w:t>
      </w:r>
      <w:r w:rsidDel="00000000" w:rsidR="00000000" w:rsidRPr="00000000">
        <w:rPr>
          <w:rFonts w:ascii="Palatino Linotype" w:cs="Palatino Linotype" w:eastAsia="Palatino Linotype" w:hAnsi="Palatino Linotype"/>
          <w:b w:val="1"/>
          <w:sz w:val="24"/>
          <w:szCs w:val="24"/>
          <w:rtl w:val="0"/>
        </w:rPr>
        <w:t xml:space="preserve">veintinueve de febrero de dos mil veinticuatro</w:t>
      </w:r>
      <w:r w:rsidDel="00000000" w:rsidR="00000000" w:rsidRPr="00000000">
        <w:rPr>
          <w:rFonts w:ascii="Palatino Linotype" w:cs="Palatino Linotype" w:eastAsia="Palatino Linotype" w:hAnsi="Palatino Linotype"/>
          <w:sz w:val="24"/>
          <w:szCs w:val="24"/>
          <w:rtl w:val="0"/>
        </w:rPr>
        <w:t xml:space="preserve">,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2B">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3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3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4">
      <w:pPr>
        <w:spacing w:after="0" w:line="360" w:lineRule="auto"/>
        <w:jc w:val="both"/>
        <w:rPr>
          <w:rFonts w:ascii="Palatino Linotype" w:cs="Palatino Linotype" w:eastAsia="Palatino Linotype" w:hAnsi="Palatino Linotype"/>
          <w:strike w:val="1"/>
          <w:sz w:val="24"/>
          <w:szCs w:val="24"/>
        </w:rPr>
      </w:pPr>
      <w:r w:rsidDel="00000000" w:rsidR="00000000" w:rsidRPr="00000000">
        <w:rPr>
          <w:rFonts w:ascii="Palatino Linotype" w:cs="Palatino Linotype" w:eastAsia="Palatino Linotype" w:hAnsi="Palatino Linotype"/>
          <w:sz w:val="24"/>
          <w:szCs w:val="24"/>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3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6">
      <w:pPr>
        <w:numPr>
          <w:ilvl w:val="0"/>
          <w:numId w:val="3"/>
        </w:numPr>
        <w:spacing w:after="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w:t>
      </w:r>
    </w:p>
    <w:p w:rsidR="00000000" w:rsidDel="00000000" w:rsidP="00000000" w:rsidRDefault="00000000" w:rsidRPr="00000000" w14:paraId="00000037">
      <w:pPr>
        <w:numPr>
          <w:ilvl w:val="0"/>
          <w:numId w:val="3"/>
        </w:numPr>
        <w:spacing w:after="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38">
      <w:pPr>
        <w:numPr>
          <w:ilvl w:val="0"/>
          <w:numId w:val="3"/>
        </w:numPr>
        <w:spacing w:after="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39">
      <w:pPr>
        <w:numPr>
          <w:ilvl w:val="0"/>
          <w:numId w:val="3"/>
        </w:numPr>
        <w:spacing w:after="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La afectación generada en la situación jurídica de la persona involucrada en el proceso: Violación a sus derechos humanos.</w:t>
      </w:r>
    </w:p>
    <w:p w:rsidR="00000000" w:rsidDel="00000000" w:rsidP="00000000" w:rsidRDefault="00000000" w:rsidRPr="00000000" w14:paraId="0000003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sz w:val="24"/>
          <w:szCs w:val="24"/>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4"/>
          <w:szCs w:val="24"/>
          <w:rtl w:val="0"/>
        </w:rPr>
        <w:t xml:space="preserve">, visible en la Gaceta del Seminario Judicial de la Federación con el registro digital 205635.</w:t>
      </w:r>
    </w:p>
    <w:p w:rsidR="00000000" w:rsidDel="00000000" w:rsidP="00000000" w:rsidRDefault="00000000" w:rsidRPr="00000000" w14:paraId="0000003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4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4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3">
      <w:pPr>
        <w:spacing w:after="0" w:line="360" w:lineRule="auto"/>
        <w:ind w:left="567" w:right="61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i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44">
      <w:pPr>
        <w:spacing w:after="0" w:line="360" w:lineRule="auto"/>
        <w:ind w:left="567" w:right="616"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5">
      <w:pPr>
        <w:spacing w:after="0" w:line="360" w:lineRule="auto"/>
        <w:ind w:left="567" w:right="61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46">
      <w:pPr>
        <w:spacing w:after="0" w:line="360" w:lineRule="auto"/>
        <w:ind w:left="567" w:right="61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este organismo garante comprometido con la tutela de los derechos humanos confiados señala que este exceso de plazo legal para resolver el presente asunto resulta de carácter excepcional.</w:t>
      </w:r>
    </w:p>
    <w:p w:rsidR="00000000" w:rsidDel="00000000" w:rsidP="00000000" w:rsidRDefault="00000000" w:rsidRPr="00000000" w14:paraId="0000004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Cierre de instrucción</w:t>
      </w:r>
      <w:r w:rsidDel="00000000" w:rsidR="00000000" w:rsidRPr="00000000">
        <w:rPr>
          <w:rFonts w:ascii="Palatino Linotype" w:cs="Palatino Linotype" w:eastAsia="Palatino Linotype" w:hAnsi="Palatino Linotype"/>
          <w:sz w:val="24"/>
          <w:szCs w:val="24"/>
          <w:rtl w:val="0"/>
        </w:rPr>
        <w:t xml:space="preserve">. En fecha </w:t>
      </w:r>
      <w:r w:rsidDel="00000000" w:rsidR="00000000" w:rsidRPr="00000000">
        <w:rPr>
          <w:rFonts w:ascii="Palatino Linotype" w:cs="Palatino Linotype" w:eastAsia="Palatino Linotype" w:hAnsi="Palatino Linotype"/>
          <w:b w:val="1"/>
          <w:sz w:val="24"/>
          <w:szCs w:val="24"/>
          <w:rtl w:val="0"/>
        </w:rPr>
        <w:t xml:space="preserve">veintinueve de febrero de dos mil veinticuatro</w:t>
      </w:r>
      <w:r w:rsidDel="00000000" w:rsidR="00000000" w:rsidRPr="00000000">
        <w:rPr>
          <w:rFonts w:ascii="Palatino Linotype" w:cs="Palatino Linotype" w:eastAsia="Palatino Linotype" w:hAnsi="Palatino Linotype"/>
          <w:sz w:val="24"/>
          <w:szCs w:val="24"/>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D">
      <w:pPr>
        <w:spacing w:after="0" w:line="360" w:lineRule="auto"/>
        <w:ind w:right="49"/>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II.</w:t>
        <w:tab/>
        <w:t xml:space="preserve">C O N S I D E R A N D O:</w:t>
      </w:r>
    </w:p>
    <w:p w:rsidR="00000000" w:rsidDel="00000000" w:rsidP="00000000" w:rsidRDefault="00000000" w:rsidRPr="00000000" w14:paraId="0000004E">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Competencia. </w:t>
      </w:r>
      <w:r w:rsidDel="00000000" w:rsidR="00000000" w:rsidRPr="00000000">
        <w:rPr>
          <w:rFonts w:ascii="Palatino Linotype" w:cs="Palatino Linotype" w:eastAsia="Palatino Linotype" w:hAnsi="Palatino Linotype"/>
          <w:sz w:val="24"/>
          <w:szCs w:val="24"/>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50">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1">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Oportunidad y Procedibilidad del Recurso de Revisión.</w:t>
      </w:r>
      <w:r w:rsidDel="00000000" w:rsidR="00000000" w:rsidRPr="00000000">
        <w:rPr>
          <w:rFonts w:ascii="Palatino Linotype" w:cs="Palatino Linotype" w:eastAsia="Palatino Linotype" w:hAnsi="Palatino Linotype"/>
          <w:sz w:val="24"/>
          <w:szCs w:val="24"/>
          <w:rtl w:val="0"/>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rsidR="00000000" w:rsidDel="00000000" w:rsidP="00000000" w:rsidRDefault="00000000" w:rsidRPr="00000000" w14:paraId="00000052">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recurso de revisión fue interpuesto dentro del plazo de quince días hábiles previstos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remitió la respuesta a la solicitud de información el </w:t>
      </w:r>
      <w:r w:rsidDel="00000000" w:rsidR="00000000" w:rsidRPr="00000000">
        <w:rPr>
          <w:rFonts w:ascii="Palatino Linotype" w:cs="Palatino Linotype" w:eastAsia="Palatino Linotype" w:hAnsi="Palatino Linotype"/>
          <w:b w:val="1"/>
          <w:sz w:val="24"/>
          <w:szCs w:val="24"/>
          <w:rtl w:val="0"/>
        </w:rPr>
        <w:t xml:space="preserve">treinta y uno de agosto de dos mil veintitrés</w:t>
      </w:r>
      <w:r w:rsidDel="00000000" w:rsidR="00000000" w:rsidRPr="00000000">
        <w:rPr>
          <w:rFonts w:ascii="Palatino Linotype" w:cs="Palatino Linotype" w:eastAsia="Palatino Linotype" w:hAnsi="Palatino Linotype"/>
          <w:sz w:val="24"/>
          <w:szCs w:val="24"/>
          <w:rtl w:val="0"/>
        </w:rPr>
        <w:t xml:space="preserve">,  mientras que el recurso de revisión interpuesto por la parte </w:t>
      </w:r>
      <w:r w:rsidDel="00000000" w:rsidR="00000000" w:rsidRPr="00000000">
        <w:rPr>
          <w:rFonts w:ascii="Palatino Linotype" w:cs="Palatino Linotype" w:eastAsia="Palatino Linotype" w:hAnsi="Palatino Linotype"/>
          <w:b w:val="1"/>
          <w:sz w:val="24"/>
          <w:szCs w:val="24"/>
          <w:rtl w:val="0"/>
        </w:rPr>
        <w:t xml:space="preserve">RECURRENTE </w:t>
      </w:r>
      <w:r w:rsidDel="00000000" w:rsidR="00000000" w:rsidRPr="00000000">
        <w:rPr>
          <w:rFonts w:ascii="Palatino Linotype" w:cs="Palatino Linotype" w:eastAsia="Palatino Linotype" w:hAnsi="Palatino Linotype"/>
          <w:sz w:val="24"/>
          <w:szCs w:val="24"/>
          <w:rtl w:val="0"/>
        </w:rPr>
        <w:t xml:space="preserve">se tuvo por presentado el </w:t>
      </w:r>
      <w:r w:rsidDel="00000000" w:rsidR="00000000" w:rsidRPr="00000000">
        <w:rPr>
          <w:rFonts w:ascii="Palatino Linotype" w:cs="Palatino Linotype" w:eastAsia="Palatino Linotype" w:hAnsi="Palatino Linotype"/>
          <w:b w:val="1"/>
          <w:sz w:val="24"/>
          <w:szCs w:val="24"/>
          <w:rtl w:val="0"/>
        </w:rPr>
        <w:t xml:space="preserve">uno de septiembre de dos mil veintitrés</w:t>
      </w:r>
      <w:r w:rsidDel="00000000" w:rsidR="00000000" w:rsidRPr="00000000">
        <w:rPr>
          <w:rFonts w:ascii="Palatino Linotype" w:cs="Palatino Linotype" w:eastAsia="Palatino Linotype" w:hAnsi="Palatino Linotype"/>
          <w:sz w:val="24"/>
          <w:szCs w:val="24"/>
          <w:rtl w:val="0"/>
        </w:rPr>
        <w:t xml:space="preserve">, esto es al siguiente día hábil en que se tuvo conocimiento de la respuesta. </w:t>
      </w:r>
    </w:p>
    <w:p w:rsidR="00000000" w:rsidDel="00000000" w:rsidP="00000000" w:rsidRDefault="00000000" w:rsidRPr="00000000" w14:paraId="0000005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5">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56">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7">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de suma importancia mencionar que si bien, la parte no proporcionó nombre 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5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9">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solicitudes anónimas,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5A">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resulta procedente la interposición del recurso de revisión al rubro anotado, toda vez que se actualiza la hipótesis de procedencia prevista en el artículo 179, fracción V de la Ley de la materia, que a la letra dice:</w:t>
      </w:r>
    </w:p>
    <w:p w:rsidR="00000000" w:rsidDel="00000000" w:rsidP="00000000" w:rsidRDefault="00000000" w:rsidRPr="00000000" w14:paraId="0000005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D">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E">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F">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entrega de la información incompleta. </w:t>
      </w:r>
    </w:p>
    <w:p w:rsidR="00000000" w:rsidDel="00000000" w:rsidP="00000000" w:rsidRDefault="00000000" w:rsidRPr="00000000" w14:paraId="00000060">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1">
      <w:pPr>
        <w:spacing w:after="0" w:line="360" w:lineRule="auto"/>
        <w:ind w:right="49"/>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6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 Materia de Revisión</w:t>
      </w:r>
      <w:r w:rsidDel="00000000" w:rsidR="00000000" w:rsidRPr="00000000">
        <w:rPr>
          <w:rFonts w:ascii="Palatino Linotype" w:cs="Palatino Linotype" w:eastAsia="Palatino Linotype" w:hAnsi="Palatino Linotype"/>
          <w:sz w:val="24"/>
          <w:szCs w:val="24"/>
          <w:rtl w:val="0"/>
        </w:rPr>
        <w:t xml:space="preserve">: De las constancias que integran el expediente electrónico se advierte que el tema sobre el que este Instituto se pronunciará será en determinar si se actualiza la fracción V del artículo 179 de la Ley de Transparencia y Acceso a la Información Pública del Estado de México y Municipios.  </w:t>
      </w:r>
    </w:p>
    <w:p w:rsidR="00000000" w:rsidDel="00000000" w:rsidP="00000000" w:rsidRDefault="00000000" w:rsidRPr="00000000" w14:paraId="0000006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 Estudio de fondo del asunto. </w:t>
      </w:r>
      <w:r w:rsidDel="00000000" w:rsidR="00000000" w:rsidRPr="00000000">
        <w:rPr>
          <w:rFonts w:ascii="Palatino Linotype" w:cs="Palatino Linotype" w:eastAsia="Palatino Linotype" w:hAnsi="Palatino Linotype"/>
          <w:sz w:val="24"/>
          <w:szCs w:val="24"/>
          <w:rtl w:val="0"/>
        </w:rPr>
        <w:t xml:space="preserve">Es conveniente analizar si la respuesta del Sujeto Obligado</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6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6">
      <w:pPr>
        <w:tabs>
          <w:tab w:val="left" w:leader="none" w:pos="851"/>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67">
      <w:pPr>
        <w:tabs>
          <w:tab w:val="left" w:leader="none" w:pos="851"/>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68">
      <w:pPr>
        <w:tabs>
          <w:tab w:val="left" w:leader="none" w:pos="851"/>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6B">
      <w:pPr>
        <w:spacing w:after="0" w:lineRule="auto"/>
        <w:ind w:left="567" w:right="61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C">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6D">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E">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6F">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0">
      <w:pPr>
        <w:spacing w:after="0" w:line="360" w:lineRule="auto"/>
        <w:ind w:right="-9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71">
      <w:pPr>
        <w:spacing w:after="0"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2">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4"/>
          <w:szCs w:val="24"/>
          <w:rtl w:val="0"/>
        </w:rPr>
        <w:t xml:space="preserve"> </w:t>
      </w:r>
    </w:p>
    <w:p w:rsidR="00000000" w:rsidDel="00000000" w:rsidP="00000000" w:rsidRDefault="00000000" w:rsidRPr="00000000" w14:paraId="00000073">
      <w:pPr>
        <w:spacing w:after="0" w:lineRule="auto"/>
        <w:ind w:left="851" w:right="85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4">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75">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7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8">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79">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7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C">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 </w:t>
      </w:r>
      <w:r w:rsidDel="00000000" w:rsidR="00000000" w:rsidRPr="00000000">
        <w:rPr>
          <w:rFonts w:ascii="Palatino Linotype" w:cs="Palatino Linotype" w:eastAsia="Palatino Linotype" w:hAnsi="Palatino Linotype"/>
          <w:i w:val="1"/>
          <w:rtl w:val="0"/>
        </w:rPr>
        <w:t xml:space="preserve">Para los efectos de la presente Ley se entenderá por:</w:t>
      </w:r>
    </w:p>
    <w:p w:rsidR="00000000" w:rsidDel="00000000" w:rsidP="00000000" w:rsidRDefault="00000000" w:rsidRPr="00000000" w14:paraId="0000007D">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E">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7F">
      <w:pPr>
        <w:spacing w:after="0" w:line="360" w:lineRule="auto"/>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81">
      <w:pPr>
        <w:spacing w:after="0" w:line="360" w:lineRule="auto"/>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tabs>
          <w:tab w:val="left" w:leader="none" w:pos="7797"/>
        </w:tabs>
        <w:spacing w:after="0" w:lineRule="auto"/>
        <w:ind w:left="709"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b w:val="1"/>
          <w:i w:val="1"/>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83">
      <w:pPr>
        <w:tabs>
          <w:tab w:val="left" w:leader="none" w:pos="7797"/>
        </w:tabs>
        <w:spacing w:after="0" w:lineRule="auto"/>
        <w:ind w:left="709"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84">
      <w:pPr>
        <w:tabs>
          <w:tab w:val="left" w:leader="none" w:pos="7797"/>
        </w:tabs>
        <w:spacing w:after="0" w:lineRule="auto"/>
        <w:ind w:left="709"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85">
      <w:pPr>
        <w:tabs>
          <w:tab w:val="left" w:leader="none" w:pos="7797"/>
        </w:tabs>
        <w:spacing w:after="0" w:lineRule="auto"/>
        <w:ind w:left="709"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86">
      <w:pPr>
        <w:tabs>
          <w:tab w:val="left" w:leader="none" w:pos="7797"/>
        </w:tabs>
        <w:spacing w:after="0" w:lineRule="auto"/>
        <w:ind w:left="709"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87">
      <w:pPr>
        <w:spacing w:after="0" w:line="360" w:lineRule="auto"/>
        <w:ind w:right="49"/>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88">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ello, en principio resulta recordar que la pretensión de la parte ahora Recurrente es obtener la siguiente información: </w:t>
      </w:r>
    </w:p>
    <w:p w:rsidR="00000000" w:rsidDel="00000000" w:rsidP="00000000" w:rsidRDefault="00000000" w:rsidRPr="00000000" w14:paraId="00000089">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Lista y/o nombre de las personas que fueron dadas de baja del Programa Municipal “Alimentación con Igualdad” durante la entrega del apoyo en el mes de agosto. </w:t>
      </w:r>
    </w:p>
    <w:p w:rsidR="00000000" w:rsidDel="00000000" w:rsidP="00000000" w:rsidRDefault="00000000" w:rsidRPr="00000000" w14:paraId="0000008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Lista y/o nombre de las personas que por primera vez recibieron el apoyo del Programa Municipal “Alimentación con Igualdad” en el mes de agosto. </w:t>
      </w:r>
    </w:p>
    <w:p w:rsidR="00000000" w:rsidDel="00000000" w:rsidP="00000000" w:rsidRDefault="00000000" w:rsidRPr="00000000" w14:paraId="0000008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En caso de que ninguna persona haya sido dada de baja, se requiere el documento donde conste que el apoyo fue entregado. </w:t>
      </w:r>
    </w:p>
    <w:p w:rsidR="00000000" w:rsidDel="00000000" w:rsidP="00000000" w:rsidRDefault="00000000" w:rsidRPr="00000000" w14:paraId="0000008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En el caso de que existan personas dadas de baja, se requiere el documento donde conste la forma en que se informó de dicha situación.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respuesta, el Sujeto Obligado, a través de la Dirección de Bienestar Social remitió la siguiente información: </w:t>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567" w:right="560" w:hanging="283"/>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que precisa que respecto a la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lista y/o nombre de las personas que fueron dadas de baja del “Programa Alimentación con Igualdad” en el mes de agosto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se informa que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no existe la figura de baja de beneficiarios del programa, sino que existen supuestos en los que los beneficiarios no reciben el apoyo porque hay circunstancias personales e individuales que les impiden asistir a recoger el apoyo pero de las cuales no se tiene información.</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Asimismo, informó que tienen un padrón de 9,903 beneficiarios y en ánimos de dar acceso a la información, se puede consultar el listado de los nombres de los beneficiarios del programa en la siguiente liga electrónica </w:t>
      </w:r>
      <w:hyperlink r:id="rId10">
        <w:r w:rsidDel="00000000" w:rsidR="00000000" w:rsidRPr="00000000">
          <w:rPr>
            <w:rFonts w:ascii="Palatino Linotype" w:cs="Palatino Linotype" w:eastAsia="Palatino Linotype" w:hAnsi="Palatino Linotype"/>
            <w:b w:val="0"/>
            <w:i w:val="0"/>
            <w:smallCaps w:val="0"/>
            <w:strike w:val="0"/>
            <w:color w:val="000000"/>
            <w:sz w:val="22"/>
            <w:szCs w:val="22"/>
            <w:u w:val="single"/>
            <w:shd w:fill="auto" w:val="clear"/>
            <w:vertAlign w:val="baseline"/>
            <w:rtl w:val="0"/>
          </w:rPr>
          <w:t xml:space="preserve">https://chimalhuacan.gob.mx/wp-content/uploads/2023/01/Alimentacion-con-Igualdad-ok.pdf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360" w:lineRule="auto"/>
        <w:ind w:left="567"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en lo que respecta a la </w:t>
      </w:r>
      <w:r w:rsidDel="00000000" w:rsidR="00000000" w:rsidRPr="00000000">
        <w:rPr>
          <w:rFonts w:ascii="Palatino Linotype" w:cs="Palatino Linotype" w:eastAsia="Palatino Linotype" w:hAnsi="Palatino Linotype"/>
          <w:b w:val="1"/>
          <w:rtl w:val="0"/>
        </w:rPr>
        <w:t xml:space="preserve">lista y/o nombre de las personas que por primera vez recibieron el apoyo del “Programa Alimentación con Igualdad”,</w:t>
      </w:r>
      <w:r w:rsidDel="00000000" w:rsidR="00000000" w:rsidRPr="00000000">
        <w:rPr>
          <w:rFonts w:ascii="Palatino Linotype" w:cs="Palatino Linotype" w:eastAsia="Palatino Linotype" w:hAnsi="Palatino Linotype"/>
          <w:rtl w:val="0"/>
        </w:rPr>
        <w:t xml:space="preserve"> se informó que del padrón antes mencionados no se puede brindar información exacta de los beneficiarios que recibieron el apoyo debido a que esa información es referente a la vida y datos personales de los beneficiarios, ya que el comprobante cuenta con nombre y firma autógrafa. </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360" w:lineRule="auto"/>
        <w:ind w:left="567"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que respecta, </w:t>
      </w:r>
      <w:r w:rsidDel="00000000" w:rsidR="00000000" w:rsidRPr="00000000">
        <w:rPr>
          <w:rFonts w:ascii="Palatino Linotype" w:cs="Palatino Linotype" w:eastAsia="Palatino Linotype" w:hAnsi="Palatino Linotype"/>
          <w:b w:val="1"/>
          <w:rtl w:val="0"/>
        </w:rPr>
        <w:t xml:space="preserve">en caso de que ninguna persona haya sido dada de baja se requiere el documento, done conste que el apoyo fue entregado, </w:t>
      </w:r>
      <w:r w:rsidDel="00000000" w:rsidR="00000000" w:rsidRPr="00000000">
        <w:rPr>
          <w:rFonts w:ascii="Palatino Linotype" w:cs="Palatino Linotype" w:eastAsia="Palatino Linotype" w:hAnsi="Palatino Linotype"/>
          <w:rtl w:val="0"/>
        </w:rPr>
        <w:t xml:space="preserve"> se informa que ninguna persona ha causado baja del programa por lo que se está en imposibilidad de entregar la información, sin embargo, se hace del conocimiento que 2,634 personas no han recibido el apoyo. </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360" w:lineRule="auto"/>
        <w:ind w:left="567"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último, en lo que respecta a </w:t>
      </w:r>
      <w:r w:rsidDel="00000000" w:rsidR="00000000" w:rsidRPr="00000000">
        <w:rPr>
          <w:rFonts w:ascii="Palatino Linotype" w:cs="Palatino Linotype" w:eastAsia="Palatino Linotype" w:hAnsi="Palatino Linotype"/>
          <w:b w:val="1"/>
          <w:rtl w:val="0"/>
        </w:rPr>
        <w:t xml:space="preserve">en caso de que existan personas dadas de baja de dicho programa se requiere el documento donde conste la forma en que fueron informados de dicha situación, </w:t>
      </w:r>
      <w:r w:rsidDel="00000000" w:rsidR="00000000" w:rsidRPr="00000000">
        <w:rPr>
          <w:rFonts w:ascii="Palatino Linotype" w:cs="Palatino Linotype" w:eastAsia="Palatino Linotype" w:hAnsi="Palatino Linotype"/>
          <w:rtl w:val="0"/>
        </w:rPr>
        <w:t xml:space="preserve">se precisó que no se han realizado bajas. </w:t>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Derivado de ello, la parte Recurrente se inconformó arguyendo que:</w:t>
      </w:r>
    </w:p>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…Si bien resulta claro para el Sujeto Obligado que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el término BAJA no existe en las reglas de operación del “Programa Alimentación con Igualdad”, también es cierto que saben perfectamente a lo que me refiero con ese término….PERSONAS QUE NO RECIBIERON SU APOYO, BENEFICIO O COMO LO QUIERAN LLAMAR</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lo que respecta al número 2 de mi requerimiento, la titular de la Dirección de Bienestar del Ayuntamiento de Chimalhuacán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hace referencia que no me puede entregar la lista de las personas que por primera vez recibieron el apoyo, ya que se estaría vulnerando su derecho a la protección de datos personales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F">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Las partes fueron omisas en rendir manifestaciones. </w:t>
      </w:r>
    </w:p>
    <w:p w:rsidR="00000000" w:rsidDel="00000000" w:rsidP="00000000" w:rsidRDefault="00000000" w:rsidRPr="00000000" w14:paraId="000000A0">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1">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Dicho esto, no pasa inadvertido para este Organismo Garante que, toda vez que los motivos de inconformidad aducidos en el recurso de revisión, no versan sobre la totalidad de la información proporcionada por el Sujeto Obligado, pues la parte Recurrente se inconformó de manera expresa porque no se le entregó la información relacionada con la baja de las personas que no recibieron el apoyo y porque, no se le proporcionó la lista de personas que por primera vez recibieron el apoyo; se colige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Sujeto Obligado, satisface la solicitud presentada.</w:t>
      </w:r>
    </w:p>
    <w:p w:rsidR="00000000" w:rsidDel="00000000" w:rsidP="00000000" w:rsidRDefault="00000000" w:rsidRPr="00000000" w14:paraId="000000A2">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A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5">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0A6">
      <w:pPr>
        <w:spacing w:after="0" w:line="360" w:lineRule="auto"/>
        <w:jc w:val="both"/>
        <w:rPr>
          <w:rFonts w:ascii="Palatino Linotype" w:cs="Palatino Linotype" w:eastAsia="Palatino Linotype" w:hAnsi="Palatino Linotype"/>
        </w:rPr>
      </w:pPr>
      <w:bookmarkStart w:colFirst="0" w:colLast="0" w:name="_heading=h.gjdgxs" w:id="1"/>
      <w:bookmarkEnd w:id="1"/>
      <w:r w:rsidDel="00000000" w:rsidR="00000000" w:rsidRPr="00000000">
        <w:rPr>
          <w:rtl w:val="0"/>
        </w:rPr>
      </w:r>
    </w:p>
    <w:p w:rsidR="00000000" w:rsidDel="00000000" w:rsidP="00000000" w:rsidRDefault="00000000" w:rsidRPr="00000000" w14:paraId="000000A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Consecuentemente, se insiste, ante la falta de impugnación eficaz, la respuesta entregada debe declararse consentida por persona solicitante.</w:t>
      </w:r>
    </w:p>
    <w:p w:rsidR="00000000" w:rsidDel="00000000" w:rsidP="00000000" w:rsidRDefault="00000000" w:rsidRPr="00000000" w14:paraId="000000A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se sustenta con lo plasmado en el criterio 01/20 emitido por el Instituto Nacional de Transparencia, Acceso a la Información, y Protección de Datos Personales, INAI, que lleva por rubro y texto los siguientes: </w:t>
      </w:r>
    </w:p>
    <w:p w:rsidR="00000000" w:rsidDel="00000000" w:rsidP="00000000" w:rsidRDefault="00000000" w:rsidRPr="00000000" w14:paraId="000000A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Actos consentidos tácitamente. Improcedencia de su análisis.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902"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resulta aplicable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AE">
      <w:pPr>
        <w:spacing w:line="360" w:lineRule="auto"/>
        <w:ind w:left="851" w:right="900" w:firstLine="0"/>
        <w:jc w:val="both"/>
        <w:rPr>
          <w:rFonts w:ascii="Palatino Linotype" w:cs="Palatino Linotype" w:eastAsia="Palatino Linotype" w:hAnsi="Palatino Linotype"/>
          <w:b w:val="1"/>
          <w:i w:val="1"/>
          <w:smallCaps w:val="1"/>
        </w:rPr>
      </w:pPr>
      <w:r w:rsidDel="00000000" w:rsidR="00000000" w:rsidRPr="00000000">
        <w:rPr>
          <w:rtl w:val="0"/>
        </w:rPr>
      </w:r>
    </w:p>
    <w:p w:rsidR="00000000" w:rsidDel="00000000" w:rsidP="00000000" w:rsidRDefault="00000000" w:rsidRPr="00000000" w14:paraId="000000AF">
      <w:pPr>
        <w:tabs>
          <w:tab w:val="left" w:leader="none" w:pos="851"/>
          <w:tab w:val="left" w:leader="none" w:pos="1276"/>
        </w:tabs>
        <w:spacing w:after="0" w:lineRule="auto"/>
        <w:ind w:left="567"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mallCaps w:val="1"/>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Dicho lo anterior, se procede al análisis de la información solicitada correspondiente a la baja de las personas que no recibieron el apoyo y la lista de personas que por primera vez recibieron el apoyo, situaciones por las que se inconformó la parte Solicitante. </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Establecido esto, se procede a contextualizar la información solicitada, por lo que, resulta necesario traer a colación la Ley Orgánica Municipal del Estado de México, la cual precisa que:</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96 Duodecies.</w:t>
      </w:r>
      <w:r w:rsidDel="00000000" w:rsidR="00000000" w:rsidRPr="00000000">
        <w:rPr>
          <w:rFonts w:ascii="Palatino Linotype" w:cs="Palatino Linotype" w:eastAsia="Palatino Linotype" w:hAnsi="Palatino Linotype"/>
          <w:i w:val="1"/>
          <w:rtl w:val="0"/>
        </w:rPr>
        <w:t xml:space="preserve"> El Director de Desarrollo Social o equivalente, tiene las siguientes atribuciones:</w:t>
      </w:r>
    </w:p>
    <w:p w:rsidR="00000000" w:rsidDel="00000000" w:rsidP="00000000" w:rsidRDefault="00000000" w:rsidRPr="00000000" w14:paraId="000000B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VII. Integrar los padrones respectivos de beneficiarios de los programas de desarrollo social municipal; </w:t>
      </w:r>
    </w:p>
    <w:p w:rsidR="00000000" w:rsidDel="00000000" w:rsidP="00000000" w:rsidRDefault="00000000" w:rsidRPr="00000000" w14:paraId="000000B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VIII. Informar a la ciudadanía de las políticas, programas y acciones de desarrollo social que ejecuten; </w:t>
      </w:r>
      <w:r w:rsidDel="00000000" w:rsidR="00000000" w:rsidRPr="00000000">
        <w:rPr>
          <w:rFonts w:ascii="Palatino Linotype" w:cs="Palatino Linotype" w:eastAsia="Palatino Linotype" w:hAnsi="Palatino Linotype"/>
          <w:i w:val="1"/>
          <w:rtl w:val="0"/>
        </w:rPr>
        <w:t xml:space="preserve">así como sobre la aplicación de los recursos y evolución de cada uno de estos programas, en términos de las disposiciones jurídicas aplicables;</w:t>
      </w:r>
    </w:p>
    <w:p w:rsidR="00000000" w:rsidDel="00000000" w:rsidP="00000000" w:rsidRDefault="00000000" w:rsidRPr="00000000" w14:paraId="000000B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otro lado, el Bando Municipal de Chimalhuacán establece lo siguiente: </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360" w:lineRule="auto"/>
        <w:ind w:left="567" w:right="843" w:firstLine="0"/>
        <w:jc w:val="both"/>
        <w:rPr>
          <w:rFonts w:ascii="Palatino" w:cs="Palatino" w:eastAsia="Palatino" w:hAnsi="Palatino"/>
          <w:i w:val="1"/>
          <w:sz w:val="24"/>
          <w:szCs w:val="24"/>
        </w:rPr>
      </w:pPr>
      <w:r w:rsidDel="00000000" w:rsidR="00000000" w:rsidRPr="00000000">
        <w:rPr>
          <w:rtl w:val="0"/>
        </w:rPr>
      </w:r>
    </w:p>
    <w:p w:rsidR="00000000" w:rsidDel="00000000" w:rsidP="00000000" w:rsidRDefault="00000000" w:rsidRPr="00000000" w14:paraId="000000B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567" w:right="843" w:firstLine="0"/>
        <w:jc w:val="both"/>
        <w:rPr>
          <w:rFonts w:ascii="Palatino" w:cs="Palatino" w:eastAsia="Palatino" w:hAnsi="Palatino"/>
          <w:i w:val="1"/>
        </w:rPr>
      </w:pPr>
      <w:r w:rsidDel="00000000" w:rsidR="00000000" w:rsidRPr="00000000">
        <w:rPr>
          <w:rFonts w:ascii="Palatino" w:cs="Palatino" w:eastAsia="Palatino" w:hAnsi="Palatino"/>
          <w:b w:val="1"/>
          <w:i w:val="1"/>
          <w:sz w:val="21"/>
          <w:szCs w:val="21"/>
          <w:rtl w:val="0"/>
        </w:rPr>
        <w:t xml:space="preserve">Artículo 68.-</w:t>
      </w:r>
      <w:r w:rsidDel="00000000" w:rsidR="00000000" w:rsidRPr="00000000">
        <w:rPr>
          <w:rFonts w:ascii="Palatino" w:cs="Palatino" w:eastAsia="Palatino" w:hAnsi="Palatino"/>
          <w:i w:val="1"/>
          <w:sz w:val="21"/>
          <w:szCs w:val="21"/>
          <w:rtl w:val="0"/>
        </w:rPr>
        <w:t xml:space="preserve"> Para el estudio, planeación y despacho de los diversos asuntos de la </w:t>
      </w:r>
      <w:r w:rsidDel="00000000" w:rsidR="00000000" w:rsidRPr="00000000">
        <w:rPr>
          <w:rFonts w:ascii="Palatino" w:cs="Palatino" w:eastAsia="Palatino" w:hAnsi="Palatino"/>
          <w:i w:val="1"/>
          <w:rtl w:val="0"/>
        </w:rPr>
        <w:t xml:space="preserve">Administración Pública Municipal, el Titular del Ejecutivo se auxiliará de las dependencias administrativas, organismos descentralizados, órganos autónomos y Autoridades Auxiliares, mismas que realizarán sus funciones bajo los principios de austeridad, igualdad, equidad, honestidad, respeto, transparencia y calidad con base en lo establecido en el presente Bando Municipal, el Reglamento Orgánico de la Administración Pública Municipal y demás ordenamientos legales aplicables.</w:t>
      </w:r>
    </w:p>
    <w:p w:rsidR="00000000" w:rsidDel="00000000" w:rsidP="00000000" w:rsidRDefault="00000000" w:rsidRPr="00000000" w14:paraId="000000B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567" w:right="843" w:firstLine="0"/>
        <w:jc w:val="both"/>
        <w:rPr>
          <w:rFonts w:ascii="Palatino" w:cs="Palatino" w:eastAsia="Palatino" w:hAnsi="Palatino"/>
          <w:i w:val="1"/>
        </w:rPr>
      </w:pPr>
      <w:r w:rsidDel="00000000" w:rsidR="00000000" w:rsidRPr="00000000">
        <w:rPr>
          <w:rtl w:val="0"/>
        </w:rPr>
      </w:r>
    </w:p>
    <w:p w:rsidR="00000000" w:rsidDel="00000000" w:rsidP="00000000" w:rsidRDefault="00000000" w:rsidRPr="00000000" w14:paraId="000000B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567" w:right="843" w:firstLine="0"/>
        <w:jc w:val="both"/>
        <w:rPr>
          <w:rFonts w:ascii="Palatino" w:cs="Palatino" w:eastAsia="Palatino" w:hAnsi="Palatino"/>
          <w:i w:val="1"/>
        </w:rPr>
      </w:pPr>
      <w:r w:rsidDel="00000000" w:rsidR="00000000" w:rsidRPr="00000000">
        <w:rPr>
          <w:rFonts w:ascii="Palatino" w:cs="Palatino" w:eastAsia="Palatino" w:hAnsi="Palatino"/>
          <w:b w:val="1"/>
          <w:i w:val="1"/>
          <w:rtl w:val="0"/>
        </w:rPr>
        <w:t xml:space="preserve">Artículo 69.-</w:t>
      </w:r>
      <w:r w:rsidDel="00000000" w:rsidR="00000000" w:rsidRPr="00000000">
        <w:rPr>
          <w:rFonts w:ascii="Palatino" w:cs="Palatino" w:eastAsia="Palatino" w:hAnsi="Palatino"/>
          <w:i w:val="1"/>
          <w:rtl w:val="0"/>
        </w:rPr>
        <w:t xml:space="preserve"> La Administración Pública Municipal contará con las siguientes unidades administrativas centralizadas:</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360" w:lineRule="auto"/>
        <w:ind w:left="567" w:right="843" w:firstLine="0"/>
        <w:jc w:val="both"/>
        <w:rPr>
          <w:rFonts w:ascii="Palatino" w:cs="Palatino" w:eastAsia="Palatino" w:hAnsi="Palatino"/>
          <w:i w:val="1"/>
        </w:rPr>
      </w:pPr>
      <w:r w:rsidDel="00000000" w:rsidR="00000000" w:rsidRPr="00000000">
        <w:rPr>
          <w:rFonts w:ascii="Palatino" w:cs="Palatino" w:eastAsia="Palatino" w:hAnsi="Palatino"/>
          <w:i w:val="1"/>
          <w:rtl w:val="0"/>
        </w:rPr>
        <w:t xml:space="preserve">…</w:t>
      </w:r>
    </w:p>
    <w:p w:rsidR="00000000" w:rsidDel="00000000" w:rsidP="00000000" w:rsidRDefault="00000000" w:rsidRPr="00000000" w14:paraId="000000C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567" w:right="843" w:firstLine="0"/>
        <w:jc w:val="both"/>
        <w:rPr>
          <w:rFonts w:ascii="Palatino" w:cs="Palatino" w:eastAsia="Palatino" w:hAnsi="Palatino"/>
          <w:i w:val="1"/>
        </w:rPr>
      </w:pPr>
      <w:r w:rsidDel="00000000" w:rsidR="00000000" w:rsidRPr="00000000">
        <w:rPr>
          <w:rFonts w:ascii="Palatino" w:cs="Palatino" w:eastAsia="Palatino" w:hAnsi="Palatino"/>
          <w:i w:val="1"/>
          <w:rtl w:val="0"/>
        </w:rPr>
        <w:t xml:space="preserve">XVI. Dirección de Bienestar;</w:t>
      </w:r>
    </w:p>
    <w:p w:rsidR="00000000" w:rsidDel="00000000" w:rsidP="00000000" w:rsidRDefault="00000000" w:rsidRPr="00000000" w14:paraId="000000C1">
      <w:pPr>
        <w:spacing w:after="0" w:line="360" w:lineRule="auto"/>
        <w:ind w:left="567" w:right="843" w:firstLine="0"/>
        <w:jc w:val="both"/>
        <w:rPr>
          <w:rFonts w:ascii="Palatino" w:cs="Palatino" w:eastAsia="Palatino" w:hAnsi="Palatino"/>
          <w:i w:val="1"/>
        </w:rPr>
      </w:pPr>
      <w:r w:rsidDel="00000000" w:rsidR="00000000" w:rsidRPr="00000000">
        <w:rPr>
          <w:rFonts w:ascii="Palatino" w:cs="Palatino" w:eastAsia="Palatino" w:hAnsi="Palatino"/>
          <w:i w:val="1"/>
          <w:rtl w:val="0"/>
        </w:rPr>
        <w:t xml:space="preserve">…</w:t>
      </w:r>
    </w:p>
    <w:p w:rsidR="00000000" w:rsidDel="00000000" w:rsidP="00000000" w:rsidRDefault="00000000" w:rsidRPr="00000000" w14:paraId="000000C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Aunado a lo anterior, de la búsqueda efectuada del Programa Social referido en respuesta, se encontraron diversas publicaciones relacionadas con la entrega de canastas a familias chimalhuaquenses realizado en el dos mil veintitrés, como se advierte a continuación: </w:t>
      </w:r>
    </w:p>
    <w:p w:rsidR="00000000" w:rsidDel="00000000" w:rsidP="00000000" w:rsidRDefault="00000000" w:rsidRPr="00000000" w14:paraId="000000C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5">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5756275" cy="784225"/>
            <wp:effectExtent b="0" l="0" r="0" t="0"/>
            <wp:docPr id="175099699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756275" cy="784225"/>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5822595" cy="1150791"/>
            <wp:effectExtent b="0" l="0" r="0" t="0"/>
            <wp:docPr id="175099699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822595" cy="1150791"/>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8">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se advierte la existencia del programa social y la entrega de los apoyos correspondientes. </w:t>
      </w:r>
    </w:p>
    <w:p w:rsidR="00000000" w:rsidDel="00000000" w:rsidP="00000000" w:rsidRDefault="00000000" w:rsidRPr="00000000" w14:paraId="000000C9">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A">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lo que respecta a nuestra materia, de conformidad con la Ley de Transparencia y Acceso a la Información Pública del Estado de México y Municipios, los sujetos obligados deberán poner a disposición del público de manera permanente y actualizada de forma sencilla, precisa y entendible, la siguiente información: </w:t>
      </w:r>
    </w:p>
    <w:p w:rsidR="00000000" w:rsidDel="00000000" w:rsidP="00000000" w:rsidRDefault="00000000" w:rsidRPr="00000000" w14:paraId="000000CB">
      <w:pPr>
        <w:spacing w:after="0" w:line="360" w:lineRule="auto"/>
        <w:ind w:right="49"/>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0" w:lineRule="auto"/>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TÍTULO QUINTO DE LAS OBLIGACIONES DE TRANSPARENCIA</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Rule="auto"/>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Capítulo II De las Obligaciones de Transparencia Comunes</w:t>
      </w:r>
    </w:p>
    <w:p w:rsidR="00000000" w:rsidDel="00000000" w:rsidP="00000000" w:rsidRDefault="00000000" w:rsidRPr="00000000" w14:paraId="000000CE">
      <w:pPr>
        <w:spacing w:after="0" w:lineRule="auto"/>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Rule="auto"/>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XIV. La información de los programas de subsidios, estímulos y apoyos, en el que se deberá informar respecto de los programas de transferencia, de servicios, de infraestructura social y de subsidio, en los que se deberá contener lo siguiente:</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Rule="auto"/>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Rule="auto"/>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p) Padrón de beneficiarios</w:t>
      </w:r>
      <w:r w:rsidDel="00000000" w:rsidR="00000000" w:rsidRPr="00000000">
        <w:rPr>
          <w:rFonts w:ascii="Palatino Linotype" w:cs="Palatino Linotype" w:eastAsia="Palatino Linotype" w:hAnsi="Palatino Linotype"/>
          <w:i w:val="1"/>
          <w:rtl w:val="0"/>
        </w:rPr>
        <w:t xml:space="preserve"> mismo que deberá contener los siguientes datos: nombre de la persona física o denominación social de las personas jurídicas colectivas beneficiadas, el monto, recurso, beneficio o apoyo otorgado para cada una de ellas, unidad territorial, en su caso, edad y sexo.</w:t>
      </w:r>
    </w:p>
    <w:p w:rsidR="00000000" w:rsidDel="00000000" w:rsidP="00000000" w:rsidRDefault="00000000" w:rsidRPr="00000000" w14:paraId="000000D2">
      <w:pPr>
        <w:spacing w:after="0" w:line="360" w:lineRule="auto"/>
        <w:ind w:right="49"/>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D3">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esa inteligencia conviene tener presente que los </w:t>
      </w:r>
      <w:r w:rsidDel="00000000" w:rsidR="00000000" w:rsidRPr="00000000">
        <w:rPr>
          <w:rFonts w:ascii="Palatino Linotype" w:cs="Palatino Linotype" w:eastAsia="Palatino Linotype" w:hAnsi="Palatino Linotype"/>
          <w:i w:val="1"/>
          <w:sz w:val="24"/>
          <w:szCs w:val="24"/>
          <w:rtl w:val="0"/>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Del="00000000" w:rsidR="00000000" w:rsidRPr="00000000">
        <w:rPr>
          <w:rFonts w:ascii="Palatino Linotype" w:cs="Palatino Linotype" w:eastAsia="Palatino Linotype" w:hAnsi="Palatino Linotype"/>
          <w:sz w:val="24"/>
          <w:szCs w:val="24"/>
          <w:rtl w:val="0"/>
        </w:rPr>
        <w:t xml:space="preserve">en adelante los Lineamientos Técnicos, que refieren lo siguiente: </w:t>
      </w:r>
    </w:p>
    <w:p w:rsidR="00000000" w:rsidDel="00000000" w:rsidP="00000000" w:rsidRDefault="00000000" w:rsidRPr="00000000" w14:paraId="000000D4">
      <w:pPr>
        <w:spacing w:line="360" w:lineRule="auto"/>
        <w:jc w:val="center"/>
        <w:rPr>
          <w:rFonts w:ascii="Palatino Linotype" w:cs="Palatino Linotype" w:eastAsia="Palatino Linotype" w:hAnsi="Palatino Linotype"/>
        </w:rPr>
      </w:pPr>
      <w:r w:rsidDel="00000000" w:rsidR="00000000" w:rsidRPr="00000000">
        <w:rPr/>
        <w:drawing>
          <wp:inline distB="0" distT="0" distL="0" distR="0">
            <wp:extent cx="3992072" cy="624311"/>
            <wp:effectExtent b="0" l="0" r="0" t="0"/>
            <wp:docPr id="1750996997" name="image6.png"/>
            <a:graphic>
              <a:graphicData uri="http://schemas.openxmlformats.org/drawingml/2006/picture">
                <pic:pic>
                  <pic:nvPicPr>
                    <pic:cNvPr id="0" name="image6.png"/>
                    <pic:cNvPicPr preferRelativeResize="0"/>
                  </pic:nvPicPr>
                  <pic:blipFill>
                    <a:blip r:embed="rId13"/>
                    <a:srcRect b="31196" l="13943" r="14920" t="49022"/>
                    <a:stretch>
                      <a:fillRect/>
                    </a:stretch>
                  </pic:blipFill>
                  <pic:spPr>
                    <a:xfrm>
                      <a:off x="0" y="0"/>
                      <a:ext cx="3992072" cy="624311"/>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line="360" w:lineRule="auto"/>
        <w:jc w:val="center"/>
        <w:rPr>
          <w:rFonts w:ascii="Palatino Linotype" w:cs="Palatino Linotype" w:eastAsia="Palatino Linotype" w:hAnsi="Palatino Linotype"/>
        </w:rPr>
      </w:pPr>
      <w:r w:rsidDel="00000000" w:rsidR="00000000" w:rsidRPr="00000000">
        <w:rPr/>
        <w:drawing>
          <wp:inline distB="0" distT="0" distL="0" distR="0">
            <wp:extent cx="4890871" cy="3150578"/>
            <wp:effectExtent b="0" l="0" r="0" t="0"/>
            <wp:docPr id="1750996996" name="image2.png"/>
            <a:graphic>
              <a:graphicData uri="http://schemas.openxmlformats.org/drawingml/2006/picture">
                <pic:pic>
                  <pic:nvPicPr>
                    <pic:cNvPr id="0" name="image2.png"/>
                    <pic:cNvPicPr preferRelativeResize="0"/>
                  </pic:nvPicPr>
                  <pic:blipFill>
                    <a:blip r:embed="rId14"/>
                    <a:srcRect b="4729" l="15039" r="16176" t="15321"/>
                    <a:stretch>
                      <a:fillRect/>
                    </a:stretch>
                  </pic:blipFill>
                  <pic:spPr>
                    <a:xfrm>
                      <a:off x="0" y="0"/>
                      <a:ext cx="4890871" cy="3150578"/>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7">
      <w:pPr>
        <w:spacing w:after="0" w:line="360" w:lineRule="auto"/>
        <w:ind w:right="49"/>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De lo anterior, se colige que la información solicitada por la parte Recurrente constituye obligaciones de transparencia que deben ser acatadas por el Sujeto Obligado, aunado a que, se advierte que el Sujeto Obligado cuenta con facultades, competencia y funciones para generar, administrar y poseer la información solicitada, pues a través de su Dirección de Bienestar Social, conoce, administra y posee información relacionada con los programas sociales que brinda el municipio. </w:t>
      </w:r>
      <w:r w:rsidDel="00000000" w:rsidR="00000000" w:rsidRPr="00000000">
        <w:rPr>
          <w:rtl w:val="0"/>
        </w:rPr>
      </w:r>
    </w:p>
    <w:p w:rsidR="00000000" w:rsidDel="00000000" w:rsidP="00000000" w:rsidRDefault="00000000" w:rsidRPr="00000000" w14:paraId="000000D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9">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orden de ideas, cabe destacar que, de conformidad con lo establecido en el artículo 162 de la Ley de Transparencia y Acceso a la Información de la Entidad, las unidades de transparencia deben turnar la solicitud de información a todas las áreas que por sus atribuciones, facultades y competencias, posean, administren o generen la información solicitada, siendo que, en el presente caso, se advierte que quien dio atención a la solicitud de información fue la </w:t>
      </w:r>
      <w:r w:rsidDel="00000000" w:rsidR="00000000" w:rsidRPr="00000000">
        <w:rPr>
          <w:rFonts w:ascii="Palatino Linotype" w:cs="Palatino Linotype" w:eastAsia="Palatino Linotype" w:hAnsi="Palatino Linotype"/>
          <w:b w:val="1"/>
          <w:sz w:val="24"/>
          <w:szCs w:val="24"/>
          <w:rtl w:val="0"/>
        </w:rPr>
        <w:t xml:space="preserve">Dirección de Bienestar Social</w:t>
      </w:r>
      <w:r w:rsidDel="00000000" w:rsidR="00000000" w:rsidRPr="00000000">
        <w:rPr>
          <w:rFonts w:ascii="Palatino Linotype" w:cs="Palatino Linotype" w:eastAsia="Palatino Linotype" w:hAnsi="Palatino Linotype"/>
          <w:sz w:val="24"/>
          <w:szCs w:val="24"/>
          <w:rtl w:val="0"/>
        </w:rPr>
        <w:t xml:space="preserve">, la cual es la unidad administrativa competente, situación que nos permite determinar que, el Sujeto Obligado siguió el procedimiento establecido en la Ley en la materia para dar atención al requerimiento de información que ahora nos ocupa. </w:t>
      </w:r>
    </w:p>
    <w:p w:rsidR="00000000" w:rsidDel="00000000" w:rsidP="00000000" w:rsidRDefault="00000000" w:rsidRPr="00000000" w14:paraId="000000DA">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B">
      <w:pPr>
        <w:spacing w:after="0" w:line="360" w:lineRule="auto"/>
        <w:ind w:right="49"/>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Ahora bien, en atención a los agravios hechos valer por la parte Solicitante, relacionados con </w:t>
      </w:r>
      <w:r w:rsidDel="00000000" w:rsidR="00000000" w:rsidRPr="00000000">
        <w:rPr>
          <w:rFonts w:ascii="Palatino Linotype" w:cs="Palatino Linotype" w:eastAsia="Palatino Linotype" w:hAnsi="Palatino Linotype"/>
          <w:b w:val="1"/>
          <w:sz w:val="24"/>
          <w:szCs w:val="24"/>
          <w:rtl w:val="0"/>
        </w:rPr>
        <w:t xml:space="preserve">la falta de entrega del nombre de las personas que fueron dadas de baja del Programa Municipal “Alimentación con Igualdad”</w:t>
      </w:r>
      <w:r w:rsidDel="00000000" w:rsidR="00000000" w:rsidRPr="00000000">
        <w:rPr>
          <w:rFonts w:ascii="Palatino Linotype" w:cs="Palatino Linotype" w:eastAsia="Palatino Linotype" w:hAnsi="Palatino Linotype"/>
          <w:sz w:val="24"/>
          <w:szCs w:val="24"/>
          <w:rtl w:val="0"/>
        </w:rPr>
        <w:t xml:space="preserve">, el Sujeto Obligado, a través de su unidad administrativa competente refirió en términos generales que, no existía la figura de baja de beneficiarios del programa, situación por la que no podía proporcionar la información solicitada, en ese sentido, si bien, en los motivos de inconformidad, la parte Solicitante señaló que requería el nombre de las personas que </w:t>
      </w:r>
      <w:r w:rsidDel="00000000" w:rsidR="00000000" w:rsidRPr="00000000">
        <w:rPr>
          <w:rFonts w:ascii="Palatino Linotype" w:cs="Palatino Linotype" w:eastAsia="Palatino Linotype" w:hAnsi="Palatino Linotype"/>
          <w:b w:val="1"/>
          <w:sz w:val="24"/>
          <w:szCs w:val="24"/>
          <w:rtl w:val="0"/>
        </w:rPr>
        <w:t xml:space="preserve">no recibieron el apoyo y/o beneficio</w:t>
      </w:r>
      <w:r w:rsidDel="00000000" w:rsidR="00000000" w:rsidRPr="00000000">
        <w:rPr>
          <w:rFonts w:ascii="Palatino Linotype" w:cs="Palatino Linotype" w:eastAsia="Palatino Linotype" w:hAnsi="Palatino Linotype"/>
          <w:sz w:val="24"/>
          <w:szCs w:val="24"/>
          <w:rtl w:val="0"/>
        </w:rPr>
        <w:t xml:space="preserve">, también lo es que, se estima que esta información no fue la que solicitó en un inicio, pues, se entiende como </w:t>
      </w:r>
      <w:r w:rsidDel="00000000" w:rsidR="00000000" w:rsidRPr="00000000">
        <w:rPr>
          <w:rFonts w:ascii="Palatino Linotype" w:cs="Palatino Linotype" w:eastAsia="Palatino Linotype" w:hAnsi="Palatino Linotype"/>
          <w:i w:val="1"/>
          <w:sz w:val="24"/>
          <w:szCs w:val="24"/>
          <w:rtl w:val="0"/>
        </w:rPr>
        <w:t xml:space="preserve">“dar de baja”</w:t>
      </w:r>
      <w:r w:rsidDel="00000000" w:rsidR="00000000" w:rsidRPr="00000000">
        <w:rPr>
          <w:rFonts w:ascii="Palatino Linotype" w:cs="Palatino Linotype" w:eastAsia="Palatino Linotype" w:hAnsi="Palatino Linotype"/>
          <w:sz w:val="24"/>
          <w:szCs w:val="24"/>
          <w:rtl w:val="0"/>
        </w:rPr>
        <w:t xml:space="preserve"> a una situación que ocurre cuando una persona deja se realizar determinada actividad, en el presente caso, se entiende como, una persona que deja de seguir en el programa ya sea voluntariamente o por determinación de terceros, lo cual es distinto a </w:t>
      </w:r>
      <w:r w:rsidDel="00000000" w:rsidR="00000000" w:rsidRPr="00000000">
        <w:rPr>
          <w:rFonts w:ascii="Palatino Linotype" w:cs="Palatino Linotype" w:eastAsia="Palatino Linotype" w:hAnsi="Palatino Linotype"/>
          <w:b w:val="1"/>
          <w:sz w:val="24"/>
          <w:szCs w:val="24"/>
          <w:rtl w:val="0"/>
        </w:rPr>
        <w:t xml:space="preserve">no haber percibido desde un inicio un apoyo o beneficio. </w:t>
      </w:r>
    </w:p>
    <w:p w:rsidR="00000000" w:rsidDel="00000000" w:rsidP="00000000" w:rsidRDefault="00000000" w:rsidRPr="00000000" w14:paraId="000000D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D">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tales consideraciones, se determina que, este punto de agravio no puede ser atendido a través del medio de impugnación, debido a que se considera una ampliación a la solicitud inicial, además de ello, conviene señalar que, el Sujeto Obligado preciso que no existía la figura “dar de baja”, situación por la que no era posible proporcionar la información solicitada, hecho que nos sitúa frente a un denominado “hecho negativo”, el cual refiere lo siguiente: </w:t>
      </w:r>
    </w:p>
    <w:p w:rsidR="00000000" w:rsidDel="00000000" w:rsidP="00000000" w:rsidRDefault="00000000" w:rsidRPr="00000000" w14:paraId="000000DE">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F">
      <w:pPr>
        <w:spacing w:after="0" w:lineRule="auto"/>
        <w:ind w:left="567" w:right="560"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w:t>
      </w:r>
      <w:r w:rsidDel="00000000" w:rsidR="00000000" w:rsidRPr="00000000">
        <w:rPr>
          <w:rFonts w:ascii="Palatino Linotype" w:cs="Palatino Linotype" w:eastAsia="Palatino Linotype" w:hAnsi="Palatino Linotype"/>
          <w:b w:val="1"/>
          <w:i w:val="1"/>
          <w:sz w:val="24"/>
          <w:szCs w:val="24"/>
          <w:rtl w:val="0"/>
        </w:rPr>
        <w:t xml:space="preserve">HECHOS NEGATIVOS, NO SON SUSCEPTIBLES DE DEMOSTRACION.</w:t>
      </w:r>
      <w:r w:rsidDel="00000000" w:rsidR="00000000" w:rsidRPr="00000000">
        <w:rPr>
          <w:rFonts w:ascii="Palatino Linotype" w:cs="Palatino Linotype" w:eastAsia="Palatino Linotype" w:hAnsi="Palatino Linotype"/>
          <w:i w:val="1"/>
          <w:sz w:val="24"/>
          <w:szCs w:val="24"/>
          <w:rtl w:val="0"/>
        </w:rPr>
        <w:t xml:space="preserve"> Tratándose de un hecho negativo, el Juez no tiene por qué invocar prueba alguna de la que se desprenda, ya que es bien sabido que esta clase de hechos no son susceptibles de demostración”. </w:t>
      </w:r>
    </w:p>
    <w:p w:rsidR="00000000" w:rsidDel="00000000" w:rsidP="00000000" w:rsidRDefault="00000000" w:rsidRPr="00000000" w14:paraId="000000E0">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1">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resulta lógica y materialmente imposible realizar la entrega de información que no obra en los archivos del Sujeto Obligado. </w:t>
      </w:r>
    </w:p>
    <w:p w:rsidR="00000000" w:rsidDel="00000000" w:rsidP="00000000" w:rsidRDefault="00000000" w:rsidRPr="00000000" w14:paraId="000000E2">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lo que respecta al agravio señalado por la parte Solicitante relativo a </w:t>
      </w:r>
      <w:r w:rsidDel="00000000" w:rsidR="00000000" w:rsidRPr="00000000">
        <w:rPr>
          <w:rFonts w:ascii="Palatino Linotype" w:cs="Palatino Linotype" w:eastAsia="Palatino Linotype" w:hAnsi="Palatino Linotype"/>
          <w:b w:val="1"/>
          <w:sz w:val="24"/>
          <w:szCs w:val="24"/>
          <w:rtl w:val="0"/>
        </w:rPr>
        <w:t xml:space="preserve">la falta de entrega de la lista de personas que recibieron por primera vez el apoyo</w:t>
      </w:r>
      <w:r w:rsidDel="00000000" w:rsidR="00000000" w:rsidRPr="00000000">
        <w:rPr>
          <w:rFonts w:ascii="Palatino Linotype" w:cs="Palatino Linotype" w:eastAsia="Palatino Linotype" w:hAnsi="Palatino Linotype"/>
          <w:sz w:val="24"/>
          <w:szCs w:val="24"/>
          <w:rtl w:val="0"/>
        </w:rPr>
        <w:t xml:space="preserve">, es menester señalar que, como se mencionó el nombre de los beneficiarios es de naturaleza pública y su entrega corresponde a una obligación de transparencia que los sujetos obligados deben acatar, aunado a que, los </w:t>
      </w:r>
      <w:r w:rsidDel="00000000" w:rsidR="00000000" w:rsidRPr="00000000">
        <w:rPr>
          <w:rFonts w:ascii="Palatino Linotype" w:cs="Palatino Linotype" w:eastAsia="Palatino Linotype" w:hAnsi="Palatino Linotype"/>
          <w:i w:val="1"/>
          <w:sz w:val="24"/>
          <w:szCs w:val="24"/>
          <w:rtl w:val="0"/>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Del="00000000" w:rsidR="00000000" w:rsidRPr="00000000">
        <w:rPr>
          <w:rFonts w:ascii="Palatino Linotype" w:cs="Palatino Linotype" w:eastAsia="Palatino Linotype" w:hAnsi="Palatino Linotype"/>
          <w:sz w:val="24"/>
          <w:szCs w:val="24"/>
          <w:rtl w:val="0"/>
        </w:rPr>
        <w:t xml:space="preserve">precisan que, la información relacionada con el padrón de beneficiarios deberá contener </w:t>
      </w:r>
      <w:r w:rsidDel="00000000" w:rsidR="00000000" w:rsidRPr="00000000">
        <w:rPr>
          <w:rFonts w:ascii="Palatino Linotype" w:cs="Palatino Linotype" w:eastAsia="Palatino Linotype" w:hAnsi="Palatino Linotype"/>
          <w:b w:val="1"/>
          <w:sz w:val="24"/>
          <w:szCs w:val="24"/>
          <w:rtl w:val="0"/>
        </w:rPr>
        <w:t xml:space="preserve">la fecha en que la persona se volvió beneficiaria del programa</w:t>
      </w:r>
      <w:r w:rsidDel="00000000" w:rsidR="00000000" w:rsidRPr="00000000">
        <w:rPr>
          <w:rFonts w:ascii="Palatino Linotype" w:cs="Palatino Linotype" w:eastAsia="Palatino Linotype" w:hAnsi="Palatino Linotype"/>
          <w:sz w:val="24"/>
          <w:szCs w:val="24"/>
          <w:rtl w:val="0"/>
        </w:rPr>
        <w:t xml:space="preserve">, como se logra observar a continuación: </w:t>
      </w:r>
    </w:p>
    <w:p w:rsidR="00000000" w:rsidDel="00000000" w:rsidP="00000000" w:rsidRDefault="00000000" w:rsidRPr="00000000" w14:paraId="000000E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5">
      <w:pPr>
        <w:spacing w:after="0" w:line="360" w:lineRule="auto"/>
        <w:ind w:right="49"/>
        <w:jc w:val="center"/>
        <w:rPr>
          <w:rFonts w:ascii="Palatino Linotype" w:cs="Palatino Linotype" w:eastAsia="Palatino Linotype" w:hAnsi="Palatino Linotype"/>
          <w:sz w:val="24"/>
          <w:szCs w:val="24"/>
        </w:rPr>
      </w:pPr>
      <w:r w:rsidDel="00000000" w:rsidR="00000000" w:rsidRPr="00000000">
        <w:rPr/>
        <w:drawing>
          <wp:inline distB="0" distT="0" distL="0" distR="0">
            <wp:extent cx="4890871" cy="3150578"/>
            <wp:effectExtent b="0" l="0" r="0" t="0"/>
            <wp:docPr id="1750996998" name="image2.png"/>
            <a:graphic>
              <a:graphicData uri="http://schemas.openxmlformats.org/drawingml/2006/picture">
                <pic:pic>
                  <pic:nvPicPr>
                    <pic:cNvPr id="0" name="image2.png"/>
                    <pic:cNvPicPr preferRelativeResize="0"/>
                  </pic:nvPicPr>
                  <pic:blipFill>
                    <a:blip r:embed="rId14"/>
                    <a:srcRect b="4729" l="15039" r="16176" t="15321"/>
                    <a:stretch>
                      <a:fillRect/>
                    </a:stretch>
                  </pic:blipFill>
                  <pic:spPr>
                    <a:xfrm>
                      <a:off x="0" y="0"/>
                      <a:ext cx="4890871" cy="3150578"/>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3416300</wp:posOffset>
                </wp:positionH>
                <wp:positionV relativeFrom="paragraph">
                  <wp:posOffset>1638300</wp:posOffset>
                </wp:positionV>
                <wp:extent cx="0" cy="12700"/>
                <wp:effectExtent b="0" l="0" r="0" t="0"/>
                <wp:wrapNone/>
                <wp:docPr id="1750996990" name=""/>
                <a:graphic>
                  <a:graphicData uri="http://schemas.microsoft.com/office/word/2010/wordprocessingShape">
                    <wps:wsp>
                      <wps:cNvCnPr/>
                      <wps:spPr>
                        <a:xfrm>
                          <a:off x="4878168" y="3780000"/>
                          <a:ext cx="935665"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1638300</wp:posOffset>
                </wp:positionV>
                <wp:extent cx="0" cy="12700"/>
                <wp:effectExtent b="0" l="0" r="0" t="0"/>
                <wp:wrapNone/>
                <wp:docPr id="1750996990"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E6">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tal forma, que la información relacionada con la fecha en que la persona se volvió beneficiaria del programa, resulta ser información de acceso público, por lo que, independientemente de que esta información se encuentre relacionada con la vida y datos personales de los beneficiarios, es información de escrutinio público y de interés social, pues su trascendencia radica en conocer el manejo del recurso público.  </w:t>
      </w:r>
    </w:p>
    <w:p w:rsidR="00000000" w:rsidDel="00000000" w:rsidP="00000000" w:rsidRDefault="00000000" w:rsidRPr="00000000" w14:paraId="000000E7">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8">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 se colige que, </w:t>
      </w:r>
      <w:r w:rsidDel="00000000" w:rsidR="00000000" w:rsidRPr="00000000">
        <w:rPr>
          <w:rFonts w:ascii="Palatino Linotype" w:cs="Palatino Linotype" w:eastAsia="Palatino Linotype" w:hAnsi="Palatino Linotype"/>
          <w:b w:val="1"/>
          <w:sz w:val="24"/>
          <w:szCs w:val="24"/>
          <w:rtl w:val="0"/>
        </w:rPr>
        <w:t xml:space="preserve">la información relacionada con el nombre de las personas que recibieron por primera vez el apoyo del Programa “Alimentación con Igualdad”, debe ser proporcionada por el Sujeto Obligado.</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E9">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A">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se colige que, el Sujeto Obligado al no proporcionar la información solicitada por la parte Recurrente, se determina que, los agravios hechos valer en el medio de impugnación devienen </w:t>
      </w:r>
      <w:r w:rsidDel="00000000" w:rsidR="00000000" w:rsidRPr="00000000">
        <w:rPr>
          <w:rFonts w:ascii="Palatino Linotype" w:cs="Palatino Linotype" w:eastAsia="Palatino Linotype" w:hAnsi="Palatino Linotype"/>
          <w:b w:val="1"/>
          <w:sz w:val="24"/>
          <w:szCs w:val="24"/>
          <w:rtl w:val="0"/>
        </w:rPr>
        <w:t xml:space="preserve">PARCIALMENTE FUNDADOS, </w:t>
      </w:r>
      <w:r w:rsidDel="00000000" w:rsidR="00000000" w:rsidRPr="00000000">
        <w:rPr>
          <w:rFonts w:ascii="Palatino Linotype" w:cs="Palatino Linotype" w:eastAsia="Palatino Linotype" w:hAnsi="Palatino Linotype"/>
          <w:sz w:val="24"/>
          <w:szCs w:val="24"/>
          <w:rtl w:val="0"/>
        </w:rPr>
        <w:t xml:space="preserve">por lo que, resulta procedente </w:t>
      </w:r>
      <w:r w:rsidDel="00000000" w:rsidR="00000000" w:rsidRPr="00000000">
        <w:rPr>
          <w:rFonts w:ascii="Palatino Linotype" w:cs="Palatino Linotype" w:eastAsia="Palatino Linotype" w:hAnsi="Palatino Linotype"/>
          <w:b w:val="1"/>
          <w:sz w:val="24"/>
          <w:szCs w:val="24"/>
          <w:rtl w:val="0"/>
        </w:rPr>
        <w:t xml:space="preserve">MODIFICAR </w:t>
      </w:r>
      <w:r w:rsidDel="00000000" w:rsidR="00000000" w:rsidRPr="00000000">
        <w:rPr>
          <w:rFonts w:ascii="Palatino Linotype" w:cs="Palatino Linotype" w:eastAsia="Palatino Linotype" w:hAnsi="Palatino Linotype"/>
          <w:sz w:val="24"/>
          <w:szCs w:val="24"/>
          <w:rtl w:val="0"/>
        </w:rPr>
        <w:t xml:space="preserve">la respuesta proporcionada por el Ayuntamiento de Chimalhuacán a, a fin de que realice una nueva búsqueda exhaustiva y razonable con la finalidad de que proporcione la siguiente información: </w:t>
      </w:r>
    </w:p>
    <w:p w:rsidR="00000000" w:rsidDel="00000000" w:rsidP="00000000" w:rsidRDefault="00000000" w:rsidRPr="00000000" w14:paraId="000000EB">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56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Documento donde conste el nombre de las personas que recibieron por primera vez el apoyo del Programa Social “Alimentación con Igualdad”, al diez de agosto de dos mil veintitrés.</w:t>
      </w:r>
    </w:p>
    <w:p w:rsidR="00000000" w:rsidDel="00000000" w:rsidP="00000000" w:rsidRDefault="00000000" w:rsidRPr="00000000" w14:paraId="000000ED">
      <w:pPr>
        <w:spacing w:after="0" w:lineRule="auto"/>
        <w:ind w:right="851"/>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left" w:leader="none" w:pos="993"/>
        </w:tabs>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 ser el caso,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left" w:leader="none" w:pos="993"/>
        </w:tabs>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Versión Pública</w:t>
      </w:r>
      <w:r w:rsidDel="00000000" w:rsidR="00000000" w:rsidRPr="00000000">
        <w:rPr>
          <w:rFonts w:ascii="Palatino Linotype" w:cs="Palatino Linotype" w:eastAsia="Palatino Linotype" w:hAnsi="Palatino Linotype"/>
          <w:sz w:val="24"/>
          <w:szCs w:val="24"/>
          <w:rtl w:val="0"/>
        </w:rPr>
        <w:t xml:space="preserve">. Finalmente, para la entrega de la información que se determina ordenar, el Sujeto Obligado deberá realizar un análisis con la finalidad de advertir si esta contiene datos que deben ser clasificados en los términos que la misma Ley en la materia señala, en ese sentido, el Sujeto Obligado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0F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2">
      <w:pPr>
        <w:spacing w:line="360" w:lineRule="auto"/>
        <w:ind w:right="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0F3">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0F4">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F5">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0F6">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 Información clasificada: Aquella considerada por la presente Ley como reservada o confidencial;</w:t>
      </w:r>
    </w:p>
    <w:p w:rsidR="00000000" w:rsidDel="00000000" w:rsidP="00000000" w:rsidRDefault="00000000" w:rsidRPr="00000000" w14:paraId="000000F7">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F8">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0F9">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FA">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ésta sea clasificada como reservada o confidencial.</w:t>
      </w:r>
    </w:p>
    <w:p w:rsidR="00000000" w:rsidDel="00000000" w:rsidP="00000000" w:rsidRDefault="00000000" w:rsidRPr="00000000" w14:paraId="000000FB">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132.</w:t>
      </w:r>
      <w:r w:rsidDel="00000000" w:rsidR="00000000" w:rsidRPr="00000000">
        <w:rPr>
          <w:rFonts w:ascii="Palatino Linotype" w:cs="Palatino Linotype" w:eastAsia="Palatino Linotype" w:hAnsi="Palatino Linotype"/>
          <w:i w:val="1"/>
          <w:rtl w:val="0"/>
        </w:rPr>
        <w:t xml:space="preserve"> La clasificación de la información se llevará a cabo en el momento en que:</w:t>
      </w:r>
    </w:p>
    <w:p w:rsidR="00000000" w:rsidDel="00000000" w:rsidP="00000000" w:rsidRDefault="00000000" w:rsidRPr="00000000" w14:paraId="000000FC">
      <w:pPr>
        <w:tabs>
          <w:tab w:val="left" w:leader="none" w:pos="1134"/>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reciba una solicitud de acceso a la información;</w:t>
      </w:r>
    </w:p>
    <w:p w:rsidR="00000000" w:rsidDel="00000000" w:rsidP="00000000" w:rsidRDefault="00000000" w:rsidRPr="00000000" w14:paraId="000000FD">
      <w:pPr>
        <w:tabs>
          <w:tab w:val="left" w:leader="none" w:pos="1134"/>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 determine mediante resolución de autoridad competente; o</w:t>
      </w:r>
    </w:p>
    <w:p w:rsidR="00000000" w:rsidDel="00000000" w:rsidP="00000000" w:rsidRDefault="00000000" w:rsidRPr="00000000" w14:paraId="000000FE">
      <w:pPr>
        <w:tabs>
          <w:tab w:val="left" w:leader="none" w:pos="1134"/>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 generen versiones públicas para dar cumplimiento a las obligaciones de transparencia previstas en esta Ley.</w:t>
      </w:r>
    </w:p>
    <w:p w:rsidR="00000000" w:rsidDel="00000000" w:rsidP="00000000" w:rsidRDefault="00000000" w:rsidRPr="00000000" w14:paraId="000000FF">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00">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01">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102">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03">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104">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05">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06">
      <w:pPr>
        <w:spacing w:line="36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0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rsidR="00000000" w:rsidDel="00000000" w:rsidP="00000000" w:rsidRDefault="00000000" w:rsidRPr="00000000" w14:paraId="0000010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B">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Quincuagésimo</w:t>
      </w:r>
      <w:r w:rsidDel="00000000" w:rsidR="00000000" w:rsidRPr="00000000">
        <w:rPr>
          <w:rFonts w:ascii="Palatino Linotype" w:cs="Palatino Linotype" w:eastAsia="Palatino Linotype" w:hAnsi="Palatino Linotype"/>
          <w:i w:val="1"/>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primero.</w:t>
      </w:r>
      <w:r w:rsidDel="00000000" w:rsidR="00000000" w:rsidRPr="00000000">
        <w:rPr>
          <w:rFonts w:ascii="Palatino Linotype" w:cs="Palatino Linotype" w:eastAsia="Palatino Linotype" w:hAnsi="Palatino Linotype"/>
          <w:i w:val="1"/>
          <w:rtl w:val="0"/>
        </w:rPr>
        <w:t xml:space="preserve"> Toda acta del Comité de Transparencia deberá contener: </w:t>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El número de sesión y fecha; </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del área que solicitó la clasificación de información; </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fundamentación legal y motivación correspondiente; </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La resolución o resoluciones aprobadas; y </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rúbrica o firma digital de cada integrante del Comité de Transparencia. </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Los motivos y razonamientos que sustenten la confirmación o modificación de la prueba de daño;</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Descripción de las partes o secciones reservadas, en caso de clasificación parcial; </w: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El periodo por el que mantendrá su clasificación y fecha de expiración; y </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El nombre del titular y área encargada de realizar la versión pública del documento, en su caso. </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19">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segundo.</w:t>
      </w:r>
      <w:r w:rsidDel="00000000" w:rsidR="00000000" w:rsidRPr="00000000">
        <w:rPr>
          <w:rFonts w:ascii="Palatino Linotype" w:cs="Palatino Linotype" w:eastAsia="Palatino Linotype" w:hAnsi="Palatino Linotype"/>
          <w:i w:val="1"/>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1A">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1B">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1C">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1D">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Señalar las personas o instancias autorizadas a acceder a la información clasificada.</w:t>
      </w:r>
    </w:p>
    <w:p w:rsidR="00000000" w:rsidDel="00000000" w:rsidP="00000000" w:rsidRDefault="00000000" w:rsidRPr="00000000" w14:paraId="0000011E">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1F">
      <w:pPr>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20">
      <w:pPr>
        <w:spacing w:after="0" w:line="360" w:lineRule="auto"/>
        <w:ind w:right="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se deberá observar el Lineamiento Quincuagésimo tercero de los Lineamientos Generales en Materia de Clasificación y Desclasificación de la Información supraindicados el cual establece los formatos para la clasificación de los documentos, conforme a lo siguiente: </w:t>
      </w:r>
    </w:p>
    <w:p w:rsidR="00000000" w:rsidDel="00000000" w:rsidP="00000000" w:rsidRDefault="00000000" w:rsidRPr="00000000" w14:paraId="00000121">
      <w:pPr>
        <w:spacing w:after="0" w:line="360" w:lineRule="auto"/>
        <w:ind w:right="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2">
      <w:pPr>
        <w:spacing w:after="0" w:lineRule="auto"/>
        <w:ind w:left="851" w:right="900"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CAPÍTULO VIII</w:t>
      </w:r>
    </w:p>
    <w:p w:rsidR="00000000" w:rsidDel="00000000" w:rsidP="00000000" w:rsidRDefault="00000000" w:rsidRPr="00000000" w14:paraId="00000123">
      <w:pPr>
        <w:spacing w:after="0" w:lineRule="auto"/>
        <w:ind w:left="851" w:right="900"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DE LOS ELEMENTOS PARA LA CLASIFICACIÓN </w:t>
      </w:r>
    </w:p>
    <w:p w:rsidR="00000000" w:rsidDel="00000000" w:rsidP="00000000" w:rsidRDefault="00000000" w:rsidRPr="00000000" w14:paraId="00000124">
      <w:pPr>
        <w:spacing w:after="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Quincuagésimo tercero. </w:t>
      </w:r>
      <w:r w:rsidDel="00000000" w:rsidR="00000000" w:rsidRPr="00000000">
        <w:rPr>
          <w:rFonts w:ascii="Palatino Linotype" w:cs="Palatino Linotype" w:eastAsia="Palatino Linotype" w:hAnsi="Palatino Linotype"/>
          <w:i w:val="1"/>
          <w:u w:val="single"/>
          <w:rtl w:val="0"/>
        </w:rPr>
        <w:t xml:space="preserve">El formato para señalar la clasificación de un documento o expediente que contenga información reservada</w:t>
      </w:r>
      <w:r w:rsidDel="00000000" w:rsidR="00000000" w:rsidRPr="00000000">
        <w:rPr>
          <w:rFonts w:ascii="Palatino Linotype" w:cs="Palatino Linotype" w:eastAsia="Palatino Linotype" w:hAnsi="Palatino Linotype"/>
          <w:i w:val="1"/>
          <w:rtl w:val="0"/>
        </w:rPr>
        <w:t xml:space="preserve">, es el siguiente: </w:t>
      </w:r>
    </w:p>
    <w:p w:rsidR="00000000" w:rsidDel="00000000" w:rsidP="00000000" w:rsidRDefault="00000000" w:rsidRPr="00000000" w14:paraId="00000125">
      <w:pPr>
        <w:spacing w:after="0" w:lineRule="auto"/>
        <w:ind w:left="851" w:right="902" w:firstLine="0"/>
        <w:jc w:val="both"/>
        <w:rPr>
          <w:rFonts w:ascii="Palatino Linotype" w:cs="Palatino Linotype" w:eastAsia="Palatino Linotype" w:hAnsi="Palatino Linotype"/>
          <w:i w:val="1"/>
        </w:rPr>
      </w:pPr>
      <w:r w:rsidDel="00000000" w:rsidR="00000000" w:rsidRPr="00000000">
        <w:rPr>
          <w:rtl w:val="0"/>
        </w:rPr>
      </w:r>
    </w:p>
    <w:tbl>
      <w:tblPr>
        <w:tblStyle w:val="Table1"/>
        <w:tblW w:w="76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2693"/>
        <w:gridCol w:w="3691"/>
        <w:tblGridChange w:id="0">
          <w:tblGrid>
            <w:gridCol w:w="1271"/>
            <w:gridCol w:w="2693"/>
            <w:gridCol w:w="3691"/>
          </w:tblGrid>
        </w:tblGridChange>
      </w:tblGrid>
      <w:tr>
        <w:trPr>
          <w:cantSplit w:val="0"/>
          <w:trHeight w:val="262" w:hRule="atLeast"/>
          <w:tblHeader w:val="0"/>
        </w:trPr>
        <w:tc>
          <w:tcPr>
            <w:tcBorders>
              <w:top w:color="000000" w:space="0" w:sz="0" w:val="nil"/>
              <w:left w:color="000000" w:space="0" w:sz="0" w:val="nil"/>
            </w:tcBorders>
          </w:tcPr>
          <w:p w:rsidR="00000000" w:rsidDel="00000000" w:rsidP="00000000" w:rsidRDefault="00000000" w:rsidRPr="00000000" w14:paraId="00000126">
            <w:pPr>
              <w:spacing w:after="0" w:lineRule="auto"/>
              <w:rPr>
                <w:rFonts w:ascii="Palatino Linotype" w:cs="Palatino Linotype" w:eastAsia="Palatino Linotype" w:hAnsi="Palatino Linotype"/>
                <w:sz w:val="20"/>
                <w:szCs w:val="20"/>
              </w:rPr>
            </w:pPr>
            <w:r w:rsidDel="00000000" w:rsidR="00000000" w:rsidRPr="00000000">
              <w:rPr>
                <w:rtl w:val="0"/>
              </w:rPr>
            </w:r>
          </w:p>
        </w:tc>
        <w:tc>
          <w:tcPr>
            <w:shd w:fill="d9d9d9" w:val="clear"/>
          </w:tcPr>
          <w:p w:rsidR="00000000" w:rsidDel="00000000" w:rsidP="00000000" w:rsidRDefault="00000000" w:rsidRPr="00000000" w14:paraId="00000127">
            <w:pPr>
              <w:tabs>
                <w:tab w:val="center" w:leader="none" w:pos="1238"/>
                <w:tab w:val="right" w:leader="none" w:pos="2477"/>
              </w:tabs>
              <w:spacing w:after="0" w:lineRule="auto"/>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ab/>
              <w:t xml:space="preserve">Concepto</w:t>
              <w:tab/>
            </w:r>
          </w:p>
        </w:tc>
        <w:tc>
          <w:tcPr>
            <w:shd w:fill="d9d9d9" w:val="clear"/>
          </w:tcPr>
          <w:p w:rsidR="00000000" w:rsidDel="00000000" w:rsidP="00000000" w:rsidRDefault="00000000" w:rsidRPr="00000000" w14:paraId="00000128">
            <w:pPr>
              <w:spacing w:after="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Dónde</w:t>
            </w:r>
          </w:p>
        </w:tc>
      </w:tr>
      <w:tr>
        <w:trPr>
          <w:cantSplit w:val="0"/>
          <w:tblHeader w:val="0"/>
        </w:trPr>
        <w:tc>
          <w:tcPr>
            <w:vMerge w:val="restart"/>
            <w:shd w:fill="d9d9d9" w:val="clear"/>
          </w:tcPr>
          <w:p w:rsidR="00000000" w:rsidDel="00000000" w:rsidP="00000000" w:rsidRDefault="00000000" w:rsidRPr="00000000" w14:paraId="00000129">
            <w:pPr>
              <w:spacing w:after="0" w:lineRule="auto"/>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12A">
            <w:pPr>
              <w:spacing w:after="0" w:lineRule="auto"/>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12B">
            <w:pPr>
              <w:spacing w:after="0" w:lineRule="auto"/>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12C">
            <w:pPr>
              <w:spacing w:after="0" w:lineRule="auto"/>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12D">
            <w:pPr>
              <w:spacing w:after="0" w:lineRule="auto"/>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12E">
            <w:pPr>
              <w:spacing w:after="0" w:lineRule="auto"/>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12F">
            <w:pPr>
              <w:spacing w:after="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Sello oficial o logotipo del sujeto obligado </w:t>
            </w:r>
          </w:p>
        </w:tc>
        <w:tc>
          <w:tcPr/>
          <w:p w:rsidR="00000000" w:rsidDel="00000000" w:rsidP="00000000" w:rsidRDefault="00000000" w:rsidRPr="00000000" w14:paraId="00000130">
            <w:pPr>
              <w:spacing w:after="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Fecha de clasificación</w:t>
            </w:r>
          </w:p>
        </w:tc>
        <w:tc>
          <w:tcPr/>
          <w:p w:rsidR="00000000" w:rsidDel="00000000" w:rsidP="00000000" w:rsidRDefault="00000000" w:rsidRPr="00000000" w14:paraId="00000131">
            <w:pPr>
              <w:spacing w:after="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anotará la fecha en la que el Comité de Transparencia confirmó la clasificación del documento o expediente, en su caso. </w:t>
            </w:r>
          </w:p>
        </w:tc>
      </w:tr>
      <w:tr>
        <w:trPr>
          <w:cantSplit w:val="0"/>
          <w:tblHeader w:val="0"/>
        </w:trPr>
        <w:tc>
          <w:tcPr>
            <w:vMerge w:val="continue"/>
            <w:shd w:fill="d9d9d9" w:val="clea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33">
            <w:pPr>
              <w:spacing w:after="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Área </w:t>
            </w:r>
          </w:p>
        </w:tc>
        <w:tc>
          <w:tcPr/>
          <w:p w:rsidR="00000000" w:rsidDel="00000000" w:rsidP="00000000" w:rsidRDefault="00000000" w:rsidRPr="00000000" w14:paraId="00000134">
            <w:pPr>
              <w:spacing w:after="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señalará el nombre del área del cual es titular quien clasifica. </w:t>
            </w:r>
          </w:p>
        </w:tc>
      </w:tr>
      <w:tr>
        <w:trPr>
          <w:cantSplit w:val="0"/>
          <w:tblHeader w:val="0"/>
        </w:trPr>
        <w:tc>
          <w:tcPr>
            <w:vMerge w:val="continue"/>
            <w:shd w:fill="d9d9d9" w:val="clea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36">
            <w:pPr>
              <w:spacing w:after="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Información Reservada</w:t>
            </w:r>
          </w:p>
        </w:tc>
        <w:tc>
          <w:tcPr/>
          <w:p w:rsidR="00000000" w:rsidDel="00000000" w:rsidP="00000000" w:rsidRDefault="00000000" w:rsidRPr="00000000" w14:paraId="00000137">
            <w:pPr>
              <w:spacing w:after="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indicarán las partes o páginas del documento que se clasifican como reservadas, o, en su caso, se precisará que se ha reservado el documento o expediente en su totalidad.</w:t>
            </w:r>
          </w:p>
        </w:tc>
      </w:tr>
      <w:tr>
        <w:trPr>
          <w:cantSplit w:val="0"/>
          <w:tblHeader w:val="0"/>
        </w:trPr>
        <w:tc>
          <w:tcPr>
            <w:vMerge w:val="continue"/>
            <w:shd w:fill="d9d9d9" w:val="clea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39">
            <w:pPr>
              <w:spacing w:after="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Periodo de Reserva </w:t>
            </w:r>
          </w:p>
        </w:tc>
        <w:tc>
          <w:tcPr/>
          <w:p w:rsidR="00000000" w:rsidDel="00000000" w:rsidP="00000000" w:rsidRDefault="00000000" w:rsidRPr="00000000" w14:paraId="0000013A">
            <w:pPr>
              <w:spacing w:after="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anotará el número de años o meses por los que se mantendrá reservado el documento, el expediente o, en su caso, las partes o secciones reservadas. </w:t>
            </w:r>
          </w:p>
        </w:tc>
      </w:tr>
      <w:tr>
        <w:trPr>
          <w:cantSplit w:val="0"/>
          <w:tblHeader w:val="0"/>
        </w:trPr>
        <w:tc>
          <w:tcPr>
            <w:vMerge w:val="continue"/>
            <w:shd w:fill="d9d9d9" w:val="clea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3C">
            <w:pPr>
              <w:spacing w:after="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Fundamento legal</w:t>
            </w:r>
          </w:p>
        </w:tc>
        <w:tc>
          <w:tcPr/>
          <w:p w:rsidR="00000000" w:rsidDel="00000000" w:rsidP="00000000" w:rsidRDefault="00000000" w:rsidRPr="00000000" w14:paraId="0000013D">
            <w:pPr>
              <w:spacing w:after="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señalará el nombre del ordenamiento el o los artículos, fracciones, párrafos con base en los cuales se sustente la reserva. </w:t>
            </w:r>
          </w:p>
        </w:tc>
      </w:tr>
      <w:tr>
        <w:trPr>
          <w:cantSplit w:val="0"/>
          <w:tblHeader w:val="0"/>
        </w:trPr>
        <w:tc>
          <w:tcPr>
            <w:vMerge w:val="continue"/>
            <w:shd w:fill="d9d9d9" w:val="clea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3F">
            <w:pPr>
              <w:spacing w:after="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Ampliación del periodo de reserva</w:t>
            </w:r>
          </w:p>
        </w:tc>
        <w:tc>
          <w:tcPr/>
          <w:p w:rsidR="00000000" w:rsidDel="00000000" w:rsidP="00000000" w:rsidRDefault="00000000" w:rsidRPr="00000000" w14:paraId="00000140">
            <w:pPr>
              <w:spacing w:after="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caso de haber solicitado la ampliación del periodo de reserva originalmente establecido, se deberá anotar el número de años o meses por los que se amplía la reserva. </w:t>
            </w:r>
          </w:p>
        </w:tc>
      </w:tr>
      <w:tr>
        <w:trPr>
          <w:cantSplit w:val="0"/>
          <w:tblHeader w:val="0"/>
        </w:trPr>
        <w:tc>
          <w:tcPr>
            <w:gridSpan w:val="2"/>
            <w:shd w:fill="d9d9d9" w:val="clear"/>
          </w:tcPr>
          <w:p w:rsidR="00000000" w:rsidDel="00000000" w:rsidP="00000000" w:rsidRDefault="00000000" w:rsidRPr="00000000" w14:paraId="00000141">
            <w:pPr>
              <w:spacing w:after="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Rúbrica del titular del área</w:t>
            </w:r>
          </w:p>
        </w:tc>
        <w:tc>
          <w:tcPr>
            <w:shd w:fill="d9d9d9" w:val="clear"/>
          </w:tcPr>
          <w:p w:rsidR="00000000" w:rsidDel="00000000" w:rsidP="00000000" w:rsidRDefault="00000000" w:rsidRPr="00000000" w14:paraId="00000143">
            <w:pPr>
              <w:spacing w:after="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Rúbrica autógrafa o firma digital de quien clasifica. </w:t>
            </w:r>
          </w:p>
        </w:tc>
      </w:tr>
      <w:tr>
        <w:trPr>
          <w:cantSplit w:val="0"/>
          <w:tblHeader w:val="0"/>
        </w:trPr>
        <w:tc>
          <w:tcPr>
            <w:gridSpan w:val="2"/>
            <w:shd w:fill="d9d9d9" w:val="clear"/>
          </w:tcPr>
          <w:p w:rsidR="00000000" w:rsidDel="00000000" w:rsidP="00000000" w:rsidRDefault="00000000" w:rsidRPr="00000000" w14:paraId="00000144">
            <w:pPr>
              <w:spacing w:after="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Fecha de desclasificación </w:t>
            </w:r>
          </w:p>
        </w:tc>
        <w:tc>
          <w:tcPr>
            <w:shd w:fill="d9d9d9" w:val="clear"/>
          </w:tcPr>
          <w:p w:rsidR="00000000" w:rsidDel="00000000" w:rsidP="00000000" w:rsidRDefault="00000000" w:rsidRPr="00000000" w14:paraId="00000146">
            <w:pPr>
              <w:spacing w:after="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anotará la fecha en que se desclasifica el documento. </w:t>
            </w:r>
          </w:p>
        </w:tc>
      </w:tr>
      <w:tr>
        <w:trPr>
          <w:cantSplit w:val="0"/>
          <w:tblHeader w:val="0"/>
        </w:trPr>
        <w:tc>
          <w:tcPr>
            <w:gridSpan w:val="2"/>
            <w:shd w:fill="d9d9d9" w:val="clear"/>
          </w:tcPr>
          <w:p w:rsidR="00000000" w:rsidDel="00000000" w:rsidP="00000000" w:rsidRDefault="00000000" w:rsidRPr="00000000" w14:paraId="00000147">
            <w:pPr>
              <w:spacing w:after="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Rúbrica y cargo del servidor público </w:t>
            </w:r>
          </w:p>
        </w:tc>
        <w:tc>
          <w:tcPr>
            <w:shd w:fill="d9d9d9" w:val="clear"/>
          </w:tcPr>
          <w:p w:rsidR="00000000" w:rsidDel="00000000" w:rsidP="00000000" w:rsidRDefault="00000000" w:rsidRPr="00000000" w14:paraId="00000149">
            <w:pPr>
              <w:spacing w:after="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Rúbrica autógrafa o firma digital de quien desclasifica. </w:t>
            </w:r>
          </w:p>
        </w:tc>
      </w:tr>
    </w:tbl>
    <w:p w:rsidR="00000000" w:rsidDel="00000000" w:rsidP="00000000" w:rsidRDefault="00000000" w:rsidRPr="00000000" w14:paraId="0000014A">
      <w:pPr>
        <w:spacing w:after="0" w:line="360" w:lineRule="auto"/>
        <w:ind w:right="902"/>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4B">
      <w:pPr>
        <w:spacing w:after="0"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documentos que integren un expediente reservado en su totalidad no deberán marcarse en lo individual.</w:t>
      </w:r>
    </w:p>
    <w:p w:rsidR="00000000" w:rsidDel="00000000" w:rsidP="00000000" w:rsidRDefault="00000000" w:rsidRPr="00000000" w14:paraId="0000014C">
      <w:pPr>
        <w:spacing w:after="0"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Una vez desclasificados los expedientes, si existieren documentos que tuvieran el carácter de reservados deberán permanecer o ser marcados.”</w:t>
      </w:r>
    </w:p>
    <w:p w:rsidR="00000000" w:rsidDel="00000000" w:rsidP="00000000" w:rsidRDefault="00000000" w:rsidRPr="00000000" w14:paraId="0000014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igual forma, deberá observar los Lineamientos Quincuagésimo cuarto, Quincuagésimo quinto, Quincuagésimo séptimo y Quincuagésimo octavo, establecen lo siguiente:</w:t>
      </w:r>
    </w:p>
    <w:p w:rsidR="00000000" w:rsidDel="00000000" w:rsidP="00000000" w:rsidRDefault="00000000" w:rsidRPr="00000000" w14:paraId="0000014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Quincuagésimo cuarto.</w:t>
      </w:r>
      <w:r w:rsidDel="00000000" w:rsidR="00000000" w:rsidRPr="00000000">
        <w:rPr>
          <w:rFonts w:ascii="Palatino Linotype" w:cs="Palatino Linotype" w:eastAsia="Palatino Linotype" w:hAnsi="Palatino Linotype"/>
          <w:i w:val="1"/>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151">
      <w:pPr>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quinto.</w:t>
      </w:r>
      <w:r w:rsidDel="00000000" w:rsidR="00000000" w:rsidRPr="00000000">
        <w:rPr>
          <w:rFonts w:ascii="Palatino Linotype" w:cs="Palatino Linotype" w:eastAsia="Palatino Linotype" w:hAnsi="Palatino Linotype"/>
          <w:i w:val="1"/>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52">
      <w:pPr>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53">
      <w:pPr>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séptimo.</w:t>
      </w:r>
      <w:r w:rsidDel="00000000" w:rsidR="00000000" w:rsidRPr="00000000">
        <w:rPr>
          <w:rFonts w:ascii="Palatino Linotype" w:cs="Palatino Linotype" w:eastAsia="Palatino Linotype" w:hAnsi="Palatino Linotype"/>
          <w:i w:val="1"/>
          <w:rtl w:val="0"/>
        </w:rPr>
        <w:t xml:space="preserve"> Se considera, en principio, como información pública y no podrá omitirse de las versiones públicas la siguiente: </w:t>
      </w:r>
    </w:p>
    <w:p w:rsidR="00000000" w:rsidDel="00000000" w:rsidP="00000000" w:rsidRDefault="00000000" w:rsidRPr="00000000" w14:paraId="00000154">
      <w:pPr>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155">
      <w:pPr>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56">
      <w:pPr>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57">
      <w:pPr>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58">
      <w:pPr>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59">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5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15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C">
      <w:pPr>
        <w:spacing w:after="0" w:line="360" w:lineRule="auto"/>
        <w:ind w:right="49"/>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Es así como, en mérito de lo expuesto en líneas anteriores, resultan parcialmente fundadas las razones o motivos de inconformidad hechos valer por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dentro del recurso de revisión </w:t>
      </w:r>
      <w:r w:rsidDel="00000000" w:rsidR="00000000" w:rsidRPr="00000000">
        <w:rPr>
          <w:rFonts w:ascii="Palatino Linotype" w:cs="Palatino Linotype" w:eastAsia="Palatino Linotype" w:hAnsi="Palatino Linotype"/>
          <w:b w:val="1"/>
          <w:sz w:val="24"/>
          <w:szCs w:val="24"/>
          <w:rtl w:val="0"/>
        </w:rPr>
        <w:t xml:space="preserve">05174/INFOEM/IP/RR/2023</w:t>
      </w:r>
      <w:r w:rsidDel="00000000" w:rsidR="00000000" w:rsidRPr="00000000">
        <w:rPr>
          <w:rFonts w:ascii="Palatino Linotype" w:cs="Palatino Linotype" w:eastAsia="Palatino Linotype" w:hAnsi="Palatino Linotype"/>
          <w:sz w:val="24"/>
          <w:szCs w:val="24"/>
          <w:rtl w:val="0"/>
        </w:rPr>
        <w:t xml:space="preserve">; por ello, y con fundamento en la fracción III del numeral 186 de la Ley de Transparencia y Acceso a la Información Pública del Estado de México y Municipios, se</w:t>
      </w:r>
      <w:r w:rsidDel="00000000" w:rsidR="00000000" w:rsidRPr="00000000">
        <w:rPr>
          <w:rFonts w:ascii="Palatino Linotype" w:cs="Palatino Linotype" w:eastAsia="Palatino Linotype" w:hAnsi="Palatino Linotype"/>
          <w:b w:val="1"/>
          <w:sz w:val="24"/>
          <w:szCs w:val="24"/>
          <w:rtl w:val="0"/>
        </w:rPr>
        <w:t xml:space="preserve"> MODIFICA </w:t>
      </w:r>
      <w:r w:rsidDel="00000000" w:rsidR="00000000" w:rsidRPr="00000000">
        <w:rPr>
          <w:rFonts w:ascii="Palatino Linotype" w:cs="Palatino Linotype" w:eastAsia="Palatino Linotype" w:hAnsi="Palatino Linotype"/>
          <w:sz w:val="24"/>
          <w:szCs w:val="24"/>
          <w:rtl w:val="0"/>
        </w:rPr>
        <w:t xml:space="preserve">la respuesta a la solicitud de información número </w:t>
      </w:r>
      <w:r w:rsidDel="00000000" w:rsidR="00000000" w:rsidRPr="00000000">
        <w:rPr>
          <w:rFonts w:ascii="Palatino Linotype" w:cs="Palatino Linotype" w:eastAsia="Palatino Linotype" w:hAnsi="Palatino Linotype"/>
          <w:b w:val="1"/>
          <w:sz w:val="24"/>
          <w:szCs w:val="24"/>
          <w:rtl w:val="0"/>
        </w:rPr>
        <w:t xml:space="preserve">00323/CHIMALHU/IP/2023. </w:t>
      </w:r>
    </w:p>
    <w:p w:rsidR="00000000" w:rsidDel="00000000" w:rsidP="00000000" w:rsidRDefault="00000000" w:rsidRPr="00000000" w14:paraId="0000015D">
      <w:pPr>
        <w:spacing w:after="0" w:line="360" w:lineRule="auto"/>
        <w:ind w:right="49"/>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5E">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0">
      <w:pPr>
        <w:spacing w:after="0" w:line="360" w:lineRule="auto"/>
        <w:ind w:right="49"/>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III.</w:t>
        <w:tab/>
        <w:t xml:space="preserve">R E S U E L V E:</w:t>
      </w:r>
    </w:p>
    <w:p w:rsidR="00000000" w:rsidDel="00000000" w:rsidP="00000000" w:rsidRDefault="00000000" w:rsidRPr="00000000" w14:paraId="00000161">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2">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w:t>
      </w:r>
      <w:r w:rsidDel="00000000" w:rsidR="00000000" w:rsidRPr="00000000">
        <w:rPr>
          <w:rFonts w:ascii="Palatino Linotype" w:cs="Palatino Linotype" w:eastAsia="Palatino Linotype" w:hAnsi="Palatino Linotype"/>
          <w:sz w:val="24"/>
          <w:szCs w:val="24"/>
          <w:rtl w:val="0"/>
        </w:rPr>
        <w:t xml:space="preserve"> Resultan </w:t>
      </w:r>
      <w:r w:rsidDel="00000000" w:rsidR="00000000" w:rsidRPr="00000000">
        <w:rPr>
          <w:rFonts w:ascii="Palatino Linotype" w:cs="Palatino Linotype" w:eastAsia="Palatino Linotype" w:hAnsi="Palatino Linotype"/>
          <w:b w:val="1"/>
          <w:sz w:val="24"/>
          <w:szCs w:val="24"/>
          <w:rtl w:val="0"/>
        </w:rPr>
        <w:t xml:space="preserve">PARCIALMENTE FUNDADOS</w:t>
      </w:r>
      <w:r w:rsidDel="00000000" w:rsidR="00000000" w:rsidRPr="00000000">
        <w:rPr>
          <w:rFonts w:ascii="Palatino Linotype" w:cs="Palatino Linotype" w:eastAsia="Palatino Linotype" w:hAnsi="Palatino Linotype"/>
          <w:sz w:val="24"/>
          <w:szCs w:val="24"/>
          <w:rtl w:val="0"/>
        </w:rPr>
        <w:t xml:space="preserve"> los motivos de inconformidad hechos valer por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el Recurso de Revisión </w:t>
      </w:r>
      <w:r w:rsidDel="00000000" w:rsidR="00000000" w:rsidRPr="00000000">
        <w:rPr>
          <w:rFonts w:ascii="Palatino Linotype" w:cs="Palatino Linotype" w:eastAsia="Palatino Linotype" w:hAnsi="Palatino Linotype"/>
          <w:b w:val="1"/>
          <w:sz w:val="24"/>
          <w:szCs w:val="24"/>
          <w:rtl w:val="0"/>
        </w:rPr>
        <w:t xml:space="preserve">05174/INFOEM/IP/RR/2023</w:t>
      </w:r>
      <w:r w:rsidDel="00000000" w:rsidR="00000000" w:rsidRPr="00000000">
        <w:rPr>
          <w:rFonts w:ascii="Palatino Linotype" w:cs="Palatino Linotype" w:eastAsia="Palatino Linotype" w:hAnsi="Palatino Linotype"/>
          <w:sz w:val="24"/>
          <w:szCs w:val="24"/>
          <w:rtl w:val="0"/>
        </w:rPr>
        <w:t xml:space="preserve">, por lo que, en términos del </w:t>
      </w:r>
      <w:r w:rsidDel="00000000" w:rsidR="00000000" w:rsidRPr="00000000">
        <w:rPr>
          <w:rFonts w:ascii="Palatino Linotype" w:cs="Palatino Linotype" w:eastAsia="Palatino Linotype" w:hAnsi="Palatino Linotype"/>
          <w:b w:val="1"/>
          <w:sz w:val="24"/>
          <w:szCs w:val="24"/>
          <w:rtl w:val="0"/>
        </w:rPr>
        <w:t xml:space="preserve">Considerando Cuarto</w:t>
      </w:r>
      <w:r w:rsidDel="00000000" w:rsidR="00000000" w:rsidRPr="00000000">
        <w:rPr>
          <w:rFonts w:ascii="Palatino Linotype" w:cs="Palatino Linotype" w:eastAsia="Palatino Linotype" w:hAnsi="Palatino Linotype"/>
          <w:sz w:val="24"/>
          <w:szCs w:val="24"/>
          <w:rtl w:val="0"/>
        </w:rPr>
        <w:t xml:space="preserve"> de esta resolución, se </w:t>
      </w:r>
      <w:r w:rsidDel="00000000" w:rsidR="00000000" w:rsidRPr="00000000">
        <w:rPr>
          <w:rFonts w:ascii="Palatino Linotype" w:cs="Palatino Linotype" w:eastAsia="Palatino Linotype" w:hAnsi="Palatino Linotype"/>
          <w:b w:val="1"/>
          <w:sz w:val="24"/>
          <w:szCs w:val="24"/>
          <w:rtl w:val="0"/>
        </w:rPr>
        <w:t xml:space="preserve">MODIFICA</w:t>
      </w:r>
      <w:r w:rsidDel="00000000" w:rsidR="00000000" w:rsidRPr="00000000">
        <w:rPr>
          <w:rFonts w:ascii="Palatino Linotype" w:cs="Palatino Linotype" w:eastAsia="Palatino Linotype" w:hAnsi="Palatino Linotype"/>
          <w:sz w:val="24"/>
          <w:szCs w:val="24"/>
          <w:rtl w:val="0"/>
        </w:rPr>
        <w:t xml:space="preserve"> la respuesta emitida por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163">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4">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w:t>
      </w:r>
      <w:r w:rsidDel="00000000" w:rsidR="00000000" w:rsidRPr="00000000">
        <w:rPr>
          <w:rFonts w:ascii="Palatino Linotype" w:cs="Palatino Linotype" w:eastAsia="Palatino Linotype" w:hAnsi="Palatino Linotype"/>
          <w:sz w:val="24"/>
          <w:szCs w:val="24"/>
          <w:rtl w:val="0"/>
        </w:rPr>
        <w:t xml:space="preserve">. Se </w:t>
      </w:r>
      <w:r w:rsidDel="00000000" w:rsidR="00000000" w:rsidRPr="00000000">
        <w:rPr>
          <w:rFonts w:ascii="Palatino Linotype" w:cs="Palatino Linotype" w:eastAsia="Palatino Linotype" w:hAnsi="Palatino Linotype"/>
          <w:b w:val="1"/>
          <w:sz w:val="24"/>
          <w:szCs w:val="24"/>
          <w:rtl w:val="0"/>
        </w:rPr>
        <w:t xml:space="preserve">ORDENA</w:t>
      </w:r>
      <w:r w:rsidDel="00000000" w:rsidR="00000000" w:rsidRPr="00000000">
        <w:rPr>
          <w:rFonts w:ascii="Palatino Linotype" w:cs="Palatino Linotype" w:eastAsia="Palatino Linotype" w:hAnsi="Palatino Linotype"/>
          <w:sz w:val="24"/>
          <w:szCs w:val="24"/>
          <w:rtl w:val="0"/>
        </w:rPr>
        <w:t xml:space="preserve"> 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 que, en términos del </w:t>
      </w:r>
      <w:r w:rsidDel="00000000" w:rsidR="00000000" w:rsidRPr="00000000">
        <w:rPr>
          <w:rFonts w:ascii="Palatino Linotype" w:cs="Palatino Linotype" w:eastAsia="Palatino Linotype" w:hAnsi="Palatino Linotype"/>
          <w:b w:val="1"/>
          <w:sz w:val="24"/>
          <w:szCs w:val="24"/>
          <w:rtl w:val="0"/>
        </w:rPr>
        <w:t xml:space="preserve">Considerando Cuarto y Quinto</w:t>
      </w:r>
      <w:r w:rsidDel="00000000" w:rsidR="00000000" w:rsidRPr="00000000">
        <w:rPr>
          <w:rFonts w:ascii="Palatino Linotype" w:cs="Palatino Linotype" w:eastAsia="Palatino Linotype" w:hAnsi="Palatino Linotype"/>
          <w:sz w:val="24"/>
          <w:szCs w:val="24"/>
          <w:rtl w:val="0"/>
        </w:rPr>
        <w:t xml:space="preserve">, haga entrega, previa búsqueda exhaustiva y razonable, de ser el caso en versión pública, vía Sistema de Acceso a la Información Mexiquense, lo siguiente: </w:t>
      </w:r>
    </w:p>
    <w:p w:rsidR="00000000" w:rsidDel="00000000" w:rsidP="00000000" w:rsidRDefault="00000000" w:rsidRPr="00000000" w14:paraId="00000165">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56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Documento donde conste el nombre de las personas que recibieron por primera vez el apoyo del Programa Social “Alimentación con Igualdad” al diez de agosto de dos mil veintitrés. </w:t>
      </w:r>
    </w:p>
    <w:p w:rsidR="00000000" w:rsidDel="00000000" w:rsidP="00000000" w:rsidRDefault="00000000" w:rsidRPr="00000000" w14:paraId="00000167">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tabs>
          <w:tab w:val="left" w:leader="none" w:pos="993"/>
        </w:tabs>
        <w:spacing w:after="0" w:lineRule="auto"/>
        <w:ind w:left="567" w:right="616"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De ser el caso,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16A">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Notifíquese </w:t>
      </w:r>
      <w:r w:rsidDel="00000000" w:rsidR="00000000" w:rsidRPr="00000000">
        <w:rPr>
          <w:rFonts w:ascii="Palatino Linotype" w:cs="Palatino Linotype" w:eastAsia="Palatino Linotype" w:hAnsi="Palatino Linotype"/>
          <w:sz w:val="24"/>
          <w:szCs w:val="24"/>
          <w:rtl w:val="0"/>
        </w:rPr>
        <w:t xml:space="preserve">la presente resolución al T</w:t>
      </w:r>
      <w:r w:rsidDel="00000000" w:rsidR="00000000" w:rsidRPr="00000000">
        <w:rPr>
          <w:rFonts w:ascii="Palatino Linotype" w:cs="Palatino Linotype" w:eastAsia="Palatino Linotype" w:hAnsi="Palatino Linotype"/>
          <w:b w:val="1"/>
          <w:sz w:val="24"/>
          <w:szCs w:val="24"/>
          <w:rtl w:val="0"/>
        </w:rPr>
        <w:t xml:space="preserve">itular de la Unidad de Transparencia </w:t>
      </w:r>
      <w:r w:rsidDel="00000000" w:rsidR="00000000" w:rsidRPr="00000000">
        <w:rPr>
          <w:rFonts w:ascii="Palatino Linotype" w:cs="Palatino Linotype" w:eastAsia="Palatino Linotype" w:hAnsi="Palatino Linotype"/>
          <w:sz w:val="24"/>
          <w:szCs w:val="24"/>
          <w:rtl w:val="0"/>
        </w:rPr>
        <w:t xml:space="preserve">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rsidR="00000000" w:rsidDel="00000000" w:rsidP="00000000" w:rsidRDefault="00000000" w:rsidRPr="00000000" w14:paraId="0000016B">
      <w:pPr>
        <w:spacing w:after="0" w:line="360" w:lineRule="auto"/>
        <w:ind w:right="49"/>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6C">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Notifíquese vía SAIMEX </w:t>
      </w:r>
      <w:r w:rsidDel="00000000" w:rsidR="00000000" w:rsidRPr="00000000">
        <w:rPr>
          <w:rFonts w:ascii="Palatino Linotype" w:cs="Palatino Linotype" w:eastAsia="Palatino Linotype" w:hAnsi="Palatino Linotype"/>
          <w:sz w:val="24"/>
          <w:szCs w:val="24"/>
          <w:rtl w:val="0"/>
        </w:rPr>
        <w:t xml:space="preserve">a la parte </w:t>
      </w:r>
      <w:r w:rsidDel="00000000" w:rsidR="00000000" w:rsidRPr="00000000">
        <w:rPr>
          <w:rFonts w:ascii="Palatino Linotype" w:cs="Palatino Linotype" w:eastAsia="Palatino Linotype" w:hAnsi="Palatino Linotype"/>
          <w:b w:val="1"/>
          <w:sz w:val="24"/>
          <w:szCs w:val="24"/>
          <w:rtl w:val="0"/>
        </w:rPr>
        <w:t xml:space="preserve">RECURRENTE </w:t>
      </w:r>
      <w:r w:rsidDel="00000000" w:rsidR="00000000" w:rsidRPr="00000000">
        <w:rPr>
          <w:rFonts w:ascii="Palatino Linotype" w:cs="Palatino Linotype" w:eastAsia="Palatino Linotype" w:hAnsi="Palatino Linotype"/>
          <w:sz w:val="24"/>
          <w:szCs w:val="24"/>
          <w:rtl w:val="0"/>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rsidR="00000000" w:rsidDel="00000000" w:rsidP="00000000" w:rsidRDefault="00000000" w:rsidRPr="00000000" w14:paraId="0000016D">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E">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w:t>
      </w:r>
      <w:r w:rsidDel="00000000" w:rsidR="00000000" w:rsidRPr="00000000">
        <w:rPr>
          <w:rFonts w:ascii="Palatino Linotype" w:cs="Palatino Linotype" w:eastAsia="Palatino Linotype" w:hAnsi="Palatino Linotype"/>
          <w:sz w:val="24"/>
          <w:szCs w:val="24"/>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 manera fundada y motivada, podrá solicitar una ampliación de plazo para el cumplimiento de la presente resolución.</w:t>
      </w:r>
    </w:p>
    <w:p w:rsidR="00000000" w:rsidDel="00000000" w:rsidP="00000000" w:rsidRDefault="00000000" w:rsidRPr="00000000" w14:paraId="0000016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0">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EMITIENDO VOTO PARTICULAR, SHARON CRISTINA MORALES MARTÍNEZ, LUIS GUSTAVO PARRA NORIEGA Y GUADALUPE RAMÍREZ PEÑA; EN LA OCTAVA SESIÓN ORDINARIA CELEBRADA EL SEIS DE MARZO DE DOS MIL VEINTICUATRO, ANTE EL SECRETARIO TÉCNICO DEL PLENO ALEXIS TAPIA RAMÍREZ. </w:t>
      </w:r>
    </w:p>
    <w:p w:rsidR="00000000" w:rsidDel="00000000" w:rsidP="00000000" w:rsidRDefault="00000000" w:rsidRPr="00000000" w14:paraId="00000171">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2">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3">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sectPr>
      <w:headerReference r:id="rId16" w:type="default"/>
      <w:headerReference r:id="rId17" w:type="first"/>
      <w:footerReference r:id="rId18" w:type="default"/>
      <w:footerReference r:id="rId19"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spacing w:after="0"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-401319</wp:posOffset>
          </wp:positionV>
          <wp:extent cx="7809865" cy="10165715"/>
          <wp:effectExtent b="0" l="0" r="0" t="0"/>
          <wp:wrapNone/>
          <wp:docPr id="175099699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7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17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05174/INFOEM/IP/RR/2023</w:t>
          </w:r>
        </w:p>
      </w:tc>
    </w:tr>
    <w:tr>
      <w:trPr>
        <w:cantSplit w:val="0"/>
        <w:tblHeader w:val="0"/>
      </w:trPr>
      <w:tc>
        <w:tcPr>
          <w:vAlign w:val="center"/>
        </w:tcPr>
        <w:p w:rsidR="00000000" w:rsidDel="00000000" w:rsidP="00000000" w:rsidRDefault="00000000" w:rsidRPr="00000000" w14:paraId="0000017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Recurrente:</w:t>
          </w:r>
        </w:p>
      </w:tc>
      <w:tc>
        <w:tcPr>
          <w:vAlign w:val="center"/>
        </w:tcPr>
        <w:p w:rsidR="00000000" w:rsidDel="00000000" w:rsidP="00000000" w:rsidRDefault="00000000" w:rsidRPr="00000000" w14:paraId="0000017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r>
    <w:tr>
      <w:trPr>
        <w:cantSplit w:val="0"/>
        <w:trHeight w:val="152" w:hRule="atLeast"/>
        <w:tblHeader w:val="0"/>
      </w:trPr>
      <w:tc>
        <w:tcPr>
          <w:vAlign w:val="center"/>
        </w:tcPr>
        <w:p w:rsidR="00000000" w:rsidDel="00000000" w:rsidP="00000000" w:rsidRDefault="00000000" w:rsidRPr="00000000" w14:paraId="0000017A">
          <w:pP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17B">
          <w:pP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7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74"/>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Chimalhuacán</w:t>
          </w:r>
        </w:p>
      </w:tc>
    </w:tr>
    <w:tr>
      <w:trPr>
        <w:cantSplit w:val="0"/>
        <w:tblHeader w:val="0"/>
      </w:trPr>
      <w:tc>
        <w:tcPr>
          <w:vAlign w:val="center"/>
        </w:tcPr>
        <w:p w:rsidR="00000000" w:rsidDel="00000000" w:rsidP="00000000" w:rsidRDefault="00000000" w:rsidRPr="00000000" w14:paraId="0000017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7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-727074</wp:posOffset>
          </wp:positionH>
          <wp:positionV relativeFrom="paragraph">
            <wp:posOffset>-288289</wp:posOffset>
          </wp:positionV>
          <wp:extent cx="7809876" cy="10165823"/>
          <wp:effectExtent b="0" l="0" r="0" t="0"/>
          <wp:wrapNone/>
          <wp:docPr id="175099699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3"/>
      <w:tblW w:w="5603.0" w:type="dxa"/>
      <w:jc w:val="left"/>
      <w:tblInd w:w="3611.0" w:type="dxa"/>
      <w:tblLayout w:type="fixed"/>
      <w:tblLook w:val="0400"/>
    </w:tblPr>
    <w:tblGrid>
      <w:gridCol w:w="2551"/>
      <w:gridCol w:w="3052"/>
      <w:tblGridChange w:id="0">
        <w:tblGrid>
          <w:gridCol w:w="2551"/>
          <w:gridCol w:w="3052"/>
        </w:tblGrid>
      </w:tblGridChange>
    </w:tblGrid>
    <w:tr>
      <w:trPr>
        <w:cantSplit w:val="0"/>
        <w:trHeight w:val="281.806640625" w:hRule="atLeast"/>
        <w:tblHeader w:val="0"/>
      </w:trPr>
      <w:tc>
        <w:tcPr>
          <w:vAlign w:val="center"/>
        </w:tcPr>
        <w:p w:rsidR="00000000" w:rsidDel="00000000" w:rsidP="00000000" w:rsidRDefault="00000000" w:rsidRPr="00000000" w14:paraId="0000018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18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05174/INFOEM/IP/RR/2023</w:t>
          </w:r>
        </w:p>
      </w:tc>
    </w:tr>
    <w:tr>
      <w:trPr>
        <w:cantSplit w:val="0"/>
        <w:trHeight w:val="217" w:hRule="atLeast"/>
        <w:tblHeader w:val="0"/>
      </w:trPr>
      <w:tc>
        <w:tcPr>
          <w:vAlign w:val="center"/>
        </w:tcPr>
        <w:p w:rsidR="00000000" w:rsidDel="00000000" w:rsidP="00000000" w:rsidRDefault="00000000" w:rsidRPr="00000000" w14:paraId="0000018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18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8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68"/>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Chimalhuacán</w:t>
          </w:r>
        </w:p>
      </w:tc>
    </w:tr>
    <w:tr>
      <w:trPr>
        <w:cantSplit w:val="0"/>
        <w:tblHeader w:val="0"/>
      </w:trPr>
      <w:tc>
        <w:tcPr>
          <w:vAlign w:val="center"/>
        </w:tcPr>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8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8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2062"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B749F"/>
    <w:pPr>
      <w:spacing w:after="200" w:line="276" w:lineRule="auto"/>
    </w:pPr>
    <w:rPr>
      <w:rFonts w:cs="Times New Roman" w:eastAsia="Times New Roman"/>
      <w:lang w:eastAsia="en-US"/>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1"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D74AE"/>
    <w:pPr>
      <w:ind w:left="720"/>
      <w:contextualSpacing w:val="1"/>
    </w:pPr>
  </w:style>
  <w:style w:type="character" w:styleId="Hipervnculo">
    <w:name w:val="Hyperlink"/>
    <w:basedOn w:val="Fuentedeprrafopredeter"/>
    <w:uiPriority w:val="99"/>
    <w:unhideWhenUsed w:val="1"/>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line="240" w:lineRule="auto"/>
    </w:pPr>
    <w:rPr>
      <w:rFonts w:ascii="Times New Roman" w:hAnsi="Times New Roman"/>
      <w:sz w:val="24"/>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6" w:customStyle="1">
    <w:name w:val="6"/>
    <w:basedOn w:val="TableNormal1"/>
    <w:tblPr>
      <w:tblStyleRowBandSize w:val="1"/>
      <w:tblStyleColBandSize w:val="1"/>
      <w:tblCellMar>
        <w:top w:w="15.0" w:type="dxa"/>
        <w:left w:w="15.0" w:type="dxa"/>
        <w:bottom w:w="15.0" w:type="dxa"/>
        <w:right w:w="15.0" w:type="dxa"/>
      </w:tblCellMar>
    </w:tblPr>
  </w:style>
  <w:style w:type="table" w:styleId="5" w:customStyle="1">
    <w:name w:val="5"/>
    <w:basedOn w:val="TableNormal1"/>
    <w:tblPr>
      <w:tblStyleRowBandSize w:val="1"/>
      <w:tblStyleColBandSize w:val="1"/>
      <w:tblCellMar>
        <w:left w:w="115.0" w:type="dxa"/>
        <w:right w:w="115.0" w:type="dxa"/>
      </w:tblCellMar>
    </w:tblPr>
  </w:style>
  <w:style w:type="table" w:styleId="4" w:customStyle="1">
    <w:name w:val="4"/>
    <w:basedOn w:val="TableNormal1"/>
    <w:tblPr>
      <w:tblStyleRowBandSize w:val="1"/>
      <w:tblStyleColBandSize w:val="1"/>
      <w:tblCellMar>
        <w:left w:w="115.0" w:type="dxa"/>
        <w:right w:w="115.0" w:type="dxa"/>
      </w:tblCellMar>
    </w:tblPr>
  </w:style>
  <w:style w:type="table" w:styleId="3" w:customStyle="1">
    <w:name w:val="3"/>
    <w:basedOn w:val="TableNormal1"/>
    <w:tblPr>
      <w:tblStyleRowBandSize w:val="1"/>
      <w:tblStyleColBandSize w:val="1"/>
      <w:tblCellMar>
        <w:top w:w="15.0" w:type="dxa"/>
        <w:left w:w="115.0" w:type="dxa"/>
        <w:bottom w:w="15.0" w:type="dxa"/>
        <w:right w:w="115.0" w:type="dxa"/>
      </w:tblCellMar>
    </w:tblPr>
  </w:style>
  <w:style w:type="table" w:styleId="2" w:customStyle="1">
    <w:name w:val="2"/>
    <w:basedOn w:val="TableNormal1"/>
    <w:tblPr>
      <w:tblStyleRowBandSize w:val="1"/>
      <w:tblStyleColBandSize w:val="1"/>
      <w:tblCellMar>
        <w:top w:w="15.0" w:type="dxa"/>
        <w:left w:w="115.0" w:type="dxa"/>
        <w:bottom w:w="15.0" w:type="dxa"/>
        <w:right w:w="115.0" w:type="dxa"/>
      </w:tblCellMar>
    </w:tblPr>
  </w:style>
  <w:style w:type="table" w:styleId="1" w:customStyle="1">
    <w:name w:val="1"/>
    <w:basedOn w:val="TableNormal1"/>
    <w:tblPr>
      <w:tblStyleRowBandSize w:val="1"/>
      <w:tblStyleColBandSize w:val="1"/>
      <w:tblCellMar>
        <w:top w:w="15.0" w:type="dxa"/>
        <w:left w:w="115.0" w:type="dxa"/>
        <w:bottom w:w="15.0" w:type="dxa"/>
        <w:right w:w="115.0" w:type="dxa"/>
      </w:tblCellMar>
    </w:tblPr>
  </w:style>
  <w:style w:type="character" w:styleId="Mencinsinresolver1" w:customStyle="1">
    <w:name w:val="Mención sin resolver1"/>
    <w:basedOn w:val="Fuentedeprrafopredeter"/>
    <w:uiPriority w:val="99"/>
    <w:semiHidden w:val="1"/>
    <w:unhideWhenUsed w:val="1"/>
    <w:rsid w:val="00B63FC6"/>
    <w:rPr>
      <w:color w:val="605e5c"/>
      <w:shd w:color="auto" w:fill="e1dfdd" w:val="clear"/>
    </w:rPr>
  </w:style>
  <w:style w:type="character" w:styleId="Mencinsinresolver2" w:customStyle="1">
    <w:name w:val="Mención sin resolver2"/>
    <w:basedOn w:val="Fuentedeprrafopredeter"/>
    <w:uiPriority w:val="99"/>
    <w:semiHidden w:val="1"/>
    <w:unhideWhenUsed w:val="1"/>
    <w:rsid w:val="00AC79ED"/>
    <w:rPr>
      <w:color w:val="605e5c"/>
      <w:shd w:color="auto" w:fill="e1dfdd" w:val="clear"/>
    </w:rPr>
  </w:style>
  <w:style w:type="paragraph" w:styleId="Default" w:customStyle="1">
    <w:name w:val="Default"/>
    <w:rsid w:val="00A27592"/>
    <w:pPr>
      <w:autoSpaceDE w:val="0"/>
      <w:autoSpaceDN w:val="0"/>
      <w:adjustRightInd w:val="0"/>
      <w:spacing w:after="0" w:line="240" w:lineRule="auto"/>
    </w:pPr>
    <w:rPr>
      <w:rFonts w:ascii="Arial" w:cs="Arial" w:hAnsi="Arial"/>
      <w:color w:val="000000"/>
      <w:sz w:val="24"/>
      <w:szCs w:val="24"/>
    </w:rPr>
  </w:style>
  <w:style w:type="character" w:styleId="normaltextrun" w:customStyle="1">
    <w:name w:val="normaltextrun"/>
    <w:basedOn w:val="Fuentedeprrafopredeter"/>
    <w:rsid w:val="002F3C2D"/>
  </w:style>
  <w:style w:type="paragraph" w:styleId="Sinespaciado">
    <w:name w:val="No Spacing"/>
    <w:aliases w:val="Francesa,INAI"/>
    <w:link w:val="SinespaciadoCar"/>
    <w:uiPriority w:val="1"/>
    <w:qFormat w:val="1"/>
    <w:rsid w:val="00F01E4E"/>
    <w:pPr>
      <w:spacing w:after="0" w:line="240" w:lineRule="auto"/>
    </w:pPr>
    <w:rPr>
      <w:rFonts w:ascii="Times New Roman" w:cs="Times New Roman" w:eastAsia="Times New Roman" w:hAnsi="Times New Roman"/>
      <w:sz w:val="24"/>
      <w:szCs w:val="24"/>
      <w:lang w:eastAsia="es-ES" w:val="es-ES"/>
    </w:rPr>
  </w:style>
  <w:style w:type="character" w:styleId="SinespaciadoCar" w:customStyle="1">
    <w:name w:val="Sin espaciado Car"/>
    <w:aliases w:val="Francesa Car,INAI Car"/>
    <w:link w:val="Sinespaciado"/>
    <w:uiPriority w:val="1"/>
    <w:locked w:val="1"/>
    <w:rsid w:val="00F01E4E"/>
    <w:rPr>
      <w:rFonts w:ascii="Times New Roman" w:cs="Times New Roman" w:eastAsia="Times New Roman" w:hAnsi="Times New Roman"/>
      <w:sz w:val="24"/>
      <w:szCs w:val="24"/>
      <w:lang w:eastAsia="es-ES" w:val="es-ES"/>
    </w:rPr>
  </w:style>
  <w:style w:type="table" w:styleId="Tablaconcuadrcula1" w:customStyle="1">
    <w:name w:val="Tabla con cuadrícula1"/>
    <w:basedOn w:val="Tablanormal"/>
    <w:next w:val="Tablaconcuadrcula"/>
    <w:uiPriority w:val="59"/>
    <w:rsid w:val="00BD7688"/>
    <w:pPr>
      <w:spacing w:after="0" w:line="240" w:lineRule="auto"/>
    </w:pPr>
    <w:rPr>
      <w:rFonts w:asciiTheme="minorHAnsi" w:cstheme="minorBidi" w:eastAsiaTheme="minorEastAsia" w:hAnsiTheme="minorHAnsi"/>
      <w:sz w:val="24"/>
      <w:szCs w:val="24"/>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3" w:customStyle="1">
    <w:name w:val="Mención sin resolver3"/>
    <w:basedOn w:val="Fuentedeprrafopredeter"/>
    <w:uiPriority w:val="99"/>
    <w:semiHidden w:val="1"/>
    <w:unhideWhenUsed w:val="1"/>
    <w:rsid w:val="009F3FD2"/>
    <w:rPr>
      <w:color w:val="605e5c"/>
      <w:shd w:color="auto" w:fill="e1dfdd" w:val="clear"/>
    </w:rPr>
  </w:style>
  <w:style w:type="character" w:styleId="Hipervnculovisitado">
    <w:name w:val="FollowedHyperlink"/>
    <w:basedOn w:val="Fuentedeprrafopredeter"/>
    <w:uiPriority w:val="99"/>
    <w:semiHidden w:val="1"/>
    <w:unhideWhenUsed w:val="1"/>
    <w:rsid w:val="009F3FD2"/>
    <w:rPr>
      <w:color w:val="954f72"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4"/>
      <w:szCs w:val="24"/>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 w:type="table" w:styleId="Table3">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chimalhuacan.gob.mx/wp-content/uploads/2023/01/Alimentacion-con-Igualdad-ok.pdf" TargetMode="External"/><Relationship Id="rId13" Type="http://schemas.openxmlformats.org/officeDocument/2006/relationships/image" Target="media/image6.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7.png"/><Relationship Id="rId14" Type="http://schemas.openxmlformats.org/officeDocument/2006/relationships/image" Target="media/image2.png"/><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hyperlink" Target="https://chimalhuacan.gob.mx/wp-content/uploads/2023/01/Alimentacion-con-Igualdad-ok.pdf" TargetMode="External"/><Relationship Id="rId8" Type="http://schemas.openxmlformats.org/officeDocument/2006/relationships/hyperlink" Target="http://criteriosdeinterpretacion.inai.org.mx/Criterios/02-17.doc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jwOO3aFZ1zsQrvbuDKsBrBnOIQ==">CgMxLjAyCWguMzBqMHpsbDIIaC5namRneHM4AHIhMWhHRFV3NkhFU1ZPTEJMNjVmTWR1c3EwSEN3NmhUWXVK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2024-04-01T18:36:00Z</dcterms:created>
  <dc:creator>Cuenta Microsoft</dc:creator>
</cp:coreProperties>
</file>