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9AE6E" w14:textId="77777777" w:rsidR="00E96F5D" w:rsidRPr="00220302" w:rsidRDefault="00014B04">
      <w:pPr>
        <w:spacing w:before="240" w:after="240" w:line="360" w:lineRule="auto"/>
        <w:jc w:val="both"/>
        <w:rPr>
          <w:rFonts w:ascii="Palatino Linotype" w:eastAsia="Palatino Linotype" w:hAnsi="Palatino Linotype" w:cs="Palatino Linotype"/>
          <w:sz w:val="22"/>
        </w:rPr>
      </w:pPr>
      <w:bookmarkStart w:id="0" w:name="_heading=h.1fob9te" w:colFirst="0" w:colLast="0"/>
      <w:bookmarkEnd w:id="0"/>
      <w:r w:rsidRPr="00220302">
        <w:rPr>
          <w:rFonts w:ascii="Palatino Linotype" w:eastAsia="Palatino Linotype" w:hAnsi="Palatino Linotype" w:cs="Palatino Linotype"/>
          <w:sz w:val="22"/>
        </w:rPr>
        <w:t xml:space="preserve">Resolución del Pleno del Instituto de Transparencia, Acceso a la Información Pública y Protección de Datos Personales del Estado de México y Municipios, con domicilio en Metepec, Estado de México, a </w:t>
      </w:r>
      <w:r w:rsidR="007E2F65" w:rsidRPr="00220302">
        <w:rPr>
          <w:rFonts w:ascii="Palatino Linotype" w:eastAsia="Palatino Linotype" w:hAnsi="Palatino Linotype" w:cs="Palatino Linotype"/>
          <w:b/>
          <w:sz w:val="22"/>
        </w:rPr>
        <w:t>veintiuno</w:t>
      </w:r>
      <w:r w:rsidR="00BE0383" w:rsidRPr="00220302">
        <w:rPr>
          <w:rFonts w:ascii="Palatino Linotype" w:eastAsia="Palatino Linotype" w:hAnsi="Palatino Linotype" w:cs="Palatino Linotype"/>
          <w:b/>
          <w:sz w:val="22"/>
        </w:rPr>
        <w:t xml:space="preserve"> de agost</w:t>
      </w:r>
      <w:r w:rsidRPr="00220302">
        <w:rPr>
          <w:rFonts w:ascii="Palatino Linotype" w:eastAsia="Palatino Linotype" w:hAnsi="Palatino Linotype" w:cs="Palatino Linotype"/>
          <w:b/>
          <w:sz w:val="22"/>
        </w:rPr>
        <w:t>o de dos mil veinticuatro</w:t>
      </w:r>
      <w:r w:rsidRPr="00220302">
        <w:rPr>
          <w:rFonts w:ascii="Palatino Linotype" w:eastAsia="Palatino Linotype" w:hAnsi="Palatino Linotype" w:cs="Palatino Linotype"/>
          <w:sz w:val="22"/>
        </w:rPr>
        <w:t xml:space="preserve">. </w:t>
      </w:r>
    </w:p>
    <w:p w14:paraId="45257E17" w14:textId="73B1E0F5" w:rsidR="00E96F5D" w:rsidRPr="00220302" w:rsidRDefault="00014B04">
      <w:pPr>
        <w:spacing w:before="240" w:after="240" w:line="360" w:lineRule="auto"/>
        <w:jc w:val="both"/>
        <w:rPr>
          <w:rFonts w:ascii="Palatino Linotype" w:eastAsia="Palatino Linotype" w:hAnsi="Palatino Linotype" w:cs="Palatino Linotype"/>
          <w:sz w:val="22"/>
        </w:rPr>
      </w:pPr>
      <w:r w:rsidRPr="00220302">
        <w:rPr>
          <w:rFonts w:ascii="Palatino Linotype" w:eastAsia="Palatino Linotype" w:hAnsi="Palatino Linotype" w:cs="Palatino Linotype"/>
          <w:b/>
          <w:sz w:val="22"/>
        </w:rPr>
        <w:t>Visto</w:t>
      </w:r>
      <w:r w:rsidRPr="00220302">
        <w:rPr>
          <w:rFonts w:ascii="Palatino Linotype" w:eastAsia="Palatino Linotype" w:hAnsi="Palatino Linotype" w:cs="Palatino Linotype"/>
          <w:sz w:val="22"/>
        </w:rPr>
        <w:t xml:space="preserve"> el expediente formado con motivo del recurso de revisión </w:t>
      </w:r>
      <w:r w:rsidR="007E2F65" w:rsidRPr="00220302">
        <w:rPr>
          <w:rFonts w:ascii="Palatino Linotype" w:eastAsia="Palatino Linotype" w:hAnsi="Palatino Linotype" w:cs="Palatino Linotype"/>
          <w:b/>
          <w:sz w:val="22"/>
        </w:rPr>
        <w:t>01769/INFOEM/IP/RR/2024</w:t>
      </w:r>
      <w:r w:rsidRPr="00220302">
        <w:rPr>
          <w:rFonts w:ascii="Palatino Linotype" w:eastAsia="Palatino Linotype" w:hAnsi="Palatino Linotype" w:cs="Palatino Linotype"/>
          <w:sz w:val="22"/>
        </w:rPr>
        <w:t>, interpuesto por</w:t>
      </w:r>
      <w:r w:rsidRPr="00220302">
        <w:rPr>
          <w:rFonts w:ascii="Palatino Linotype" w:eastAsia="Palatino Linotype" w:hAnsi="Palatino Linotype" w:cs="Palatino Linotype"/>
          <w:b/>
          <w:sz w:val="22"/>
        </w:rPr>
        <w:t xml:space="preserve"> </w:t>
      </w:r>
      <w:r w:rsidR="001C4150" w:rsidRPr="001C4150">
        <w:rPr>
          <w:rFonts w:ascii="Palatino Linotype" w:eastAsia="Palatino Linotype" w:hAnsi="Palatino Linotype" w:cs="Palatino Linotype"/>
          <w:b/>
          <w:sz w:val="22"/>
        </w:rPr>
        <w:t>XXXXXXXXXXX XXXXXXX</w:t>
      </w:r>
      <w:r w:rsidRPr="00220302">
        <w:rPr>
          <w:rFonts w:ascii="Palatino Linotype" w:eastAsia="Palatino Linotype" w:hAnsi="Palatino Linotype" w:cs="Palatino Linotype"/>
          <w:b/>
          <w:sz w:val="22"/>
        </w:rPr>
        <w:t>,</w:t>
      </w:r>
      <w:r w:rsidRPr="00220302">
        <w:rPr>
          <w:rFonts w:ascii="Palatino Linotype" w:eastAsia="Palatino Linotype" w:hAnsi="Palatino Linotype" w:cs="Palatino Linotype"/>
          <w:sz w:val="22"/>
        </w:rPr>
        <w:t xml:space="preserve"> en lo sucesivo</w:t>
      </w:r>
      <w:r w:rsidRPr="00220302">
        <w:rPr>
          <w:rFonts w:ascii="Palatino Linotype" w:eastAsia="Palatino Linotype" w:hAnsi="Palatino Linotype" w:cs="Palatino Linotype"/>
          <w:b/>
          <w:sz w:val="22"/>
        </w:rPr>
        <w:t xml:space="preserve"> la parte</w:t>
      </w:r>
      <w:r w:rsidRPr="00220302">
        <w:rPr>
          <w:rFonts w:ascii="Palatino Linotype" w:eastAsia="Palatino Linotype" w:hAnsi="Palatino Linotype" w:cs="Palatino Linotype"/>
          <w:sz w:val="22"/>
        </w:rPr>
        <w:t xml:space="preserve"> </w:t>
      </w:r>
      <w:r w:rsidRPr="00220302">
        <w:rPr>
          <w:rFonts w:ascii="Palatino Linotype" w:eastAsia="Palatino Linotype" w:hAnsi="Palatino Linotype" w:cs="Palatino Linotype"/>
          <w:b/>
          <w:sz w:val="22"/>
        </w:rPr>
        <w:t>Recurrente,</w:t>
      </w:r>
      <w:r w:rsidRPr="00220302">
        <w:rPr>
          <w:rFonts w:ascii="Palatino Linotype" w:eastAsia="Palatino Linotype" w:hAnsi="Palatino Linotype" w:cs="Palatino Linotype"/>
          <w:sz w:val="22"/>
        </w:rPr>
        <w:t xml:space="preserve"> en contra de la respuesta a su solicitud por parte del</w:t>
      </w:r>
      <w:r w:rsidRPr="00220302">
        <w:rPr>
          <w:rFonts w:ascii="Palatino Linotype" w:eastAsia="Palatino Linotype" w:hAnsi="Palatino Linotype" w:cs="Palatino Linotype"/>
          <w:b/>
          <w:sz w:val="22"/>
        </w:rPr>
        <w:t xml:space="preserve"> </w:t>
      </w:r>
      <w:r w:rsidR="007E2F65" w:rsidRPr="00220302">
        <w:rPr>
          <w:rFonts w:ascii="Palatino Linotype" w:eastAsia="Palatino Linotype" w:hAnsi="Palatino Linotype" w:cs="Palatino Linotype"/>
          <w:b/>
          <w:sz w:val="22"/>
        </w:rPr>
        <w:t>Poder Legislativo</w:t>
      </w:r>
      <w:r w:rsidRPr="00220302">
        <w:rPr>
          <w:rFonts w:ascii="Palatino Linotype" w:eastAsia="Palatino Linotype" w:hAnsi="Palatino Linotype" w:cs="Palatino Linotype"/>
          <w:b/>
          <w:sz w:val="22"/>
        </w:rPr>
        <w:t xml:space="preserve">, </w:t>
      </w:r>
      <w:r w:rsidRPr="00220302">
        <w:rPr>
          <w:rFonts w:ascii="Palatino Linotype" w:eastAsia="Palatino Linotype" w:hAnsi="Palatino Linotype" w:cs="Palatino Linotype"/>
          <w:sz w:val="22"/>
        </w:rPr>
        <w:t xml:space="preserve">en lo sucesivo el </w:t>
      </w:r>
      <w:r w:rsidRPr="00220302">
        <w:rPr>
          <w:rFonts w:ascii="Palatino Linotype" w:eastAsia="Palatino Linotype" w:hAnsi="Palatino Linotype" w:cs="Palatino Linotype"/>
          <w:b/>
          <w:sz w:val="22"/>
        </w:rPr>
        <w:t xml:space="preserve">Sujeto Obligado, </w:t>
      </w:r>
      <w:r w:rsidRPr="00220302">
        <w:rPr>
          <w:rFonts w:ascii="Palatino Linotype" w:eastAsia="Palatino Linotype" w:hAnsi="Palatino Linotype" w:cs="Palatino Linotype"/>
          <w:sz w:val="22"/>
        </w:rPr>
        <w:t xml:space="preserve">se procede a dictar la presente resolución con base en los siguientes: </w:t>
      </w:r>
    </w:p>
    <w:p w14:paraId="4A6300D0" w14:textId="77777777" w:rsidR="00E96F5D" w:rsidRPr="00220302" w:rsidRDefault="00014B04">
      <w:pPr>
        <w:spacing w:before="240" w:after="240" w:line="360" w:lineRule="auto"/>
        <w:jc w:val="center"/>
        <w:rPr>
          <w:rFonts w:ascii="Palatino Linotype" w:eastAsia="Palatino Linotype" w:hAnsi="Palatino Linotype" w:cs="Palatino Linotype"/>
          <w:b/>
          <w:sz w:val="22"/>
        </w:rPr>
      </w:pPr>
      <w:r w:rsidRPr="00220302">
        <w:rPr>
          <w:rFonts w:ascii="Palatino Linotype" w:eastAsia="Palatino Linotype" w:hAnsi="Palatino Linotype" w:cs="Palatino Linotype"/>
          <w:b/>
          <w:sz w:val="22"/>
        </w:rPr>
        <w:t>I. A N T E C E D E N T E S</w:t>
      </w:r>
    </w:p>
    <w:p w14:paraId="5322F7D7" w14:textId="77777777" w:rsidR="00E96F5D" w:rsidRPr="00220302" w:rsidRDefault="00014B04">
      <w:pPr>
        <w:spacing w:before="240" w:after="240" w:line="360" w:lineRule="auto"/>
        <w:jc w:val="both"/>
        <w:rPr>
          <w:rFonts w:ascii="Palatino Linotype" w:eastAsia="Palatino Linotype" w:hAnsi="Palatino Linotype" w:cs="Palatino Linotype"/>
          <w:sz w:val="22"/>
        </w:rPr>
      </w:pPr>
      <w:r w:rsidRPr="00220302">
        <w:rPr>
          <w:rFonts w:ascii="Palatino Linotype" w:eastAsia="Palatino Linotype" w:hAnsi="Palatino Linotype" w:cs="Palatino Linotype"/>
          <w:b/>
          <w:sz w:val="22"/>
        </w:rPr>
        <w:t>1. Solicitud de acceso a la información.</w:t>
      </w:r>
      <w:r w:rsidRPr="00220302">
        <w:rPr>
          <w:rFonts w:ascii="Palatino Linotype" w:eastAsia="Palatino Linotype" w:hAnsi="Palatino Linotype" w:cs="Palatino Linotype"/>
          <w:sz w:val="22"/>
        </w:rPr>
        <w:t xml:space="preserve"> El </w:t>
      </w:r>
      <w:r w:rsidR="007E2F65" w:rsidRPr="00220302">
        <w:rPr>
          <w:rFonts w:ascii="Palatino Linotype" w:eastAsia="Palatino Linotype" w:hAnsi="Palatino Linotype" w:cs="Palatino Linotype"/>
          <w:b/>
          <w:sz w:val="22"/>
        </w:rPr>
        <w:t>doce de marzo</w:t>
      </w:r>
      <w:r w:rsidRPr="00220302">
        <w:rPr>
          <w:rFonts w:ascii="Palatino Linotype" w:eastAsia="Palatino Linotype" w:hAnsi="Palatino Linotype" w:cs="Palatino Linotype"/>
          <w:b/>
          <w:sz w:val="22"/>
        </w:rPr>
        <w:t xml:space="preserve"> de</w:t>
      </w:r>
      <w:r w:rsidRPr="00220302">
        <w:rPr>
          <w:rFonts w:ascii="Palatino Linotype" w:eastAsia="Palatino Linotype" w:hAnsi="Palatino Linotype" w:cs="Palatino Linotype"/>
          <w:sz w:val="22"/>
        </w:rPr>
        <w:t xml:space="preserve"> </w:t>
      </w:r>
      <w:r w:rsidRPr="00220302">
        <w:rPr>
          <w:rFonts w:ascii="Palatino Linotype" w:eastAsia="Palatino Linotype" w:hAnsi="Palatino Linotype" w:cs="Palatino Linotype"/>
          <w:b/>
          <w:sz w:val="22"/>
        </w:rPr>
        <w:t>dos mil veinticuatro,</w:t>
      </w:r>
      <w:r w:rsidRPr="00220302">
        <w:rPr>
          <w:rFonts w:ascii="Palatino Linotype" w:eastAsia="Palatino Linotype" w:hAnsi="Palatino Linotype" w:cs="Palatino Linotype"/>
          <w:sz w:val="22"/>
        </w:rPr>
        <w:t xml:space="preserve"> </w:t>
      </w:r>
      <w:r w:rsidRPr="00220302">
        <w:rPr>
          <w:rFonts w:ascii="Palatino Linotype" w:eastAsia="Palatino Linotype" w:hAnsi="Palatino Linotype" w:cs="Palatino Linotype"/>
          <w:b/>
          <w:sz w:val="22"/>
        </w:rPr>
        <w:t>la parte</w:t>
      </w:r>
      <w:r w:rsidRPr="00220302">
        <w:rPr>
          <w:rFonts w:ascii="Palatino Linotype" w:eastAsia="Palatino Linotype" w:hAnsi="Palatino Linotype" w:cs="Palatino Linotype"/>
          <w:sz w:val="22"/>
        </w:rPr>
        <w:t xml:space="preserve"> </w:t>
      </w:r>
      <w:r w:rsidRPr="00220302">
        <w:rPr>
          <w:rFonts w:ascii="Palatino Linotype" w:eastAsia="Palatino Linotype" w:hAnsi="Palatino Linotype" w:cs="Palatino Linotype"/>
          <w:b/>
          <w:sz w:val="22"/>
        </w:rPr>
        <w:t xml:space="preserve">Recurrente </w:t>
      </w:r>
      <w:r w:rsidR="007E2F65" w:rsidRPr="00220302">
        <w:rPr>
          <w:rFonts w:ascii="Palatino Linotype" w:eastAsia="Palatino Linotype" w:hAnsi="Palatino Linotype" w:cs="Palatino Linotype"/>
          <w:sz w:val="22"/>
        </w:rPr>
        <w:t>presentó, a través de la Plataforma Nacional de Transparencia (PNT), la cual se encuentra vinculada al</w:t>
      </w:r>
      <w:r w:rsidRPr="00220302">
        <w:rPr>
          <w:rFonts w:ascii="Palatino Linotype" w:eastAsia="Palatino Linotype" w:hAnsi="Palatino Linotype" w:cs="Palatino Linotype"/>
          <w:sz w:val="22"/>
        </w:rPr>
        <w:t xml:space="preserve"> Sistema de Acceso a la Información Mexiquense, en lo subsecuente el </w:t>
      </w:r>
      <w:r w:rsidRPr="00220302">
        <w:rPr>
          <w:rFonts w:ascii="Palatino Linotype" w:eastAsia="Palatino Linotype" w:hAnsi="Palatino Linotype" w:cs="Palatino Linotype"/>
          <w:b/>
          <w:sz w:val="22"/>
        </w:rPr>
        <w:t>SAIMEX,</w:t>
      </w:r>
      <w:r w:rsidRPr="00220302">
        <w:rPr>
          <w:rFonts w:ascii="Palatino Linotype" w:eastAsia="Palatino Linotype" w:hAnsi="Palatino Linotype" w:cs="Palatino Linotype"/>
          <w:sz w:val="22"/>
        </w:rPr>
        <w:t xml:space="preserve"> ante el </w:t>
      </w:r>
      <w:r w:rsidRPr="00220302">
        <w:rPr>
          <w:rFonts w:ascii="Palatino Linotype" w:eastAsia="Palatino Linotype" w:hAnsi="Palatino Linotype" w:cs="Palatino Linotype"/>
          <w:b/>
          <w:sz w:val="22"/>
        </w:rPr>
        <w:t>Sujeto Obligado</w:t>
      </w:r>
      <w:r w:rsidRPr="00220302">
        <w:rPr>
          <w:rFonts w:ascii="Palatino Linotype" w:eastAsia="Palatino Linotype" w:hAnsi="Palatino Linotype" w:cs="Palatino Linotype"/>
          <w:sz w:val="22"/>
        </w:rPr>
        <w:t>, la solicitud de acceso a la información pública, a la que se le asignó el número</w:t>
      </w:r>
      <w:r w:rsidRPr="00220302">
        <w:rPr>
          <w:rFonts w:ascii="Palatino Linotype" w:eastAsia="Palatino Linotype" w:hAnsi="Palatino Linotype" w:cs="Palatino Linotype"/>
          <w:b/>
          <w:sz w:val="22"/>
        </w:rPr>
        <w:t xml:space="preserve"> </w:t>
      </w:r>
      <w:r w:rsidR="007E2F65" w:rsidRPr="00220302">
        <w:rPr>
          <w:rFonts w:ascii="Palatino Linotype" w:eastAsia="Palatino Linotype" w:hAnsi="Palatino Linotype" w:cs="Palatino Linotype"/>
          <w:b/>
          <w:sz w:val="22"/>
        </w:rPr>
        <w:t>00138/PLEGISLA/IP/2024</w:t>
      </w:r>
      <w:r w:rsidRPr="00220302">
        <w:rPr>
          <w:rFonts w:ascii="Palatino Linotype" w:eastAsia="Palatino Linotype" w:hAnsi="Palatino Linotype" w:cs="Palatino Linotype"/>
          <w:b/>
          <w:sz w:val="22"/>
        </w:rPr>
        <w:t xml:space="preserve">, </w:t>
      </w:r>
      <w:r w:rsidRPr="00220302">
        <w:rPr>
          <w:rFonts w:ascii="Palatino Linotype" w:eastAsia="Palatino Linotype" w:hAnsi="Palatino Linotype" w:cs="Palatino Linotype"/>
          <w:sz w:val="22"/>
        </w:rPr>
        <w:t xml:space="preserve">mediante la cual requirió la información siguiente: </w:t>
      </w:r>
    </w:p>
    <w:p w14:paraId="7F8AC97F" w14:textId="77777777" w:rsidR="00E96F5D" w:rsidRPr="00220302" w:rsidRDefault="00014B04" w:rsidP="00BE0383">
      <w:pPr>
        <w:spacing w:before="240" w:after="240"/>
        <w:ind w:left="567" w:right="902"/>
        <w:jc w:val="both"/>
        <w:rPr>
          <w:rFonts w:ascii="Palatino Linotype" w:eastAsia="Palatino Linotype" w:hAnsi="Palatino Linotype" w:cs="Palatino Linotype"/>
          <w:i/>
          <w:sz w:val="22"/>
          <w:szCs w:val="22"/>
        </w:rPr>
      </w:pPr>
      <w:bookmarkStart w:id="1" w:name="_heading=h.gjdgxs" w:colFirst="0" w:colLast="0"/>
      <w:bookmarkEnd w:id="1"/>
      <w:r w:rsidRPr="00220302">
        <w:rPr>
          <w:rFonts w:ascii="Palatino Linotype" w:eastAsia="Palatino Linotype" w:hAnsi="Palatino Linotype" w:cs="Palatino Linotype"/>
          <w:i/>
          <w:sz w:val="22"/>
          <w:szCs w:val="22"/>
        </w:rPr>
        <w:t>“</w:t>
      </w:r>
      <w:r w:rsidR="007E2F65" w:rsidRPr="00220302">
        <w:rPr>
          <w:rFonts w:ascii="Palatino Linotype" w:eastAsia="Palatino Linotype" w:hAnsi="Palatino Linotype" w:cs="Palatino Linotype"/>
          <w:i/>
          <w:sz w:val="22"/>
          <w:szCs w:val="22"/>
        </w:rPr>
        <w:t>Estado actual de las auditorías realizadas por el OSFEM de conformidad con el Programa Anual de Auditorías de los años 2022 y 2023.</w:t>
      </w:r>
      <w:r w:rsidRPr="00220302">
        <w:rPr>
          <w:rFonts w:ascii="Palatino Linotype" w:eastAsia="Palatino Linotype" w:hAnsi="Palatino Linotype" w:cs="Palatino Linotype"/>
          <w:i/>
          <w:sz w:val="22"/>
          <w:szCs w:val="22"/>
        </w:rPr>
        <w:t xml:space="preserve">” (Sic) </w:t>
      </w:r>
    </w:p>
    <w:p w14:paraId="0A60F78A" w14:textId="77777777" w:rsidR="00E96F5D" w:rsidRPr="00220302" w:rsidRDefault="00014B04" w:rsidP="007E2F65">
      <w:pPr>
        <w:spacing w:before="240" w:after="240" w:line="360" w:lineRule="auto"/>
        <w:ind w:right="49"/>
        <w:rPr>
          <w:rFonts w:ascii="Palatino Linotype" w:eastAsia="Palatino Linotype" w:hAnsi="Palatino Linotype" w:cs="Palatino Linotype"/>
          <w:b/>
          <w:sz w:val="22"/>
          <w:szCs w:val="22"/>
        </w:rPr>
      </w:pPr>
      <w:r w:rsidRPr="00220302">
        <w:rPr>
          <w:rFonts w:ascii="Palatino Linotype" w:eastAsia="Palatino Linotype" w:hAnsi="Palatino Linotype" w:cs="Palatino Linotype"/>
          <w:b/>
          <w:sz w:val="22"/>
          <w:szCs w:val="22"/>
        </w:rPr>
        <w:t>Modalidad de Entrega:</w:t>
      </w:r>
      <w:r w:rsidR="007E2F65" w:rsidRPr="00220302">
        <w:rPr>
          <w:rFonts w:ascii="Palatino Linotype" w:eastAsia="Palatino Linotype" w:hAnsi="Palatino Linotype" w:cs="Palatino Linotype"/>
          <w:sz w:val="22"/>
          <w:szCs w:val="22"/>
        </w:rPr>
        <w:t xml:space="preserve"> A través del </w:t>
      </w:r>
      <w:r w:rsidR="007E2F65" w:rsidRPr="00220302">
        <w:rPr>
          <w:rFonts w:ascii="Palatino Linotype" w:eastAsia="Palatino Linotype" w:hAnsi="Palatino Linotype" w:cs="Palatino Linotype"/>
          <w:b/>
          <w:sz w:val="22"/>
          <w:szCs w:val="22"/>
        </w:rPr>
        <w:t>Sistema Electrónico de la Plataforma Nacional de Transparencia</w:t>
      </w:r>
      <w:r w:rsidR="007E2F65" w:rsidRPr="00220302">
        <w:rPr>
          <w:rFonts w:ascii="Palatino Linotype" w:eastAsia="Palatino Linotype" w:hAnsi="Palatino Linotype" w:cs="Palatino Linotype"/>
          <w:sz w:val="22"/>
          <w:szCs w:val="22"/>
        </w:rPr>
        <w:t xml:space="preserve"> y</w:t>
      </w:r>
      <w:r w:rsidRPr="00220302">
        <w:rPr>
          <w:rFonts w:ascii="Palatino Linotype" w:eastAsia="Palatino Linotype" w:hAnsi="Palatino Linotype" w:cs="Palatino Linotype"/>
          <w:sz w:val="22"/>
          <w:szCs w:val="22"/>
        </w:rPr>
        <w:t xml:space="preserve"> </w:t>
      </w:r>
      <w:r w:rsidRPr="00220302">
        <w:rPr>
          <w:rFonts w:ascii="Palatino Linotype" w:eastAsia="Palatino Linotype" w:hAnsi="Palatino Linotype" w:cs="Palatino Linotype"/>
          <w:b/>
          <w:sz w:val="22"/>
          <w:szCs w:val="22"/>
        </w:rPr>
        <w:t>SAIMEX.</w:t>
      </w:r>
    </w:p>
    <w:p w14:paraId="450519E9" w14:textId="77777777" w:rsidR="007E2F65" w:rsidRPr="00220302" w:rsidRDefault="007E2F65" w:rsidP="007E2F65">
      <w:pPr>
        <w:spacing w:before="240" w:after="240" w:line="360" w:lineRule="auto"/>
        <w:ind w:right="49"/>
        <w:rPr>
          <w:rFonts w:ascii="Palatino Linotype" w:eastAsia="Palatino Linotype" w:hAnsi="Palatino Linotype" w:cs="Palatino Linotype"/>
          <w:sz w:val="22"/>
          <w:szCs w:val="22"/>
        </w:rPr>
      </w:pPr>
      <w:r w:rsidRPr="00220302">
        <w:rPr>
          <w:rFonts w:ascii="Palatino Linotype" w:eastAsia="Palatino Linotype" w:hAnsi="Palatino Linotype" w:cs="Palatino Linotype"/>
          <w:noProof/>
          <w:sz w:val="22"/>
          <w:szCs w:val="22"/>
        </w:rPr>
        <w:drawing>
          <wp:inline distT="0" distB="0" distL="0" distR="0" wp14:anchorId="3C65E29B" wp14:editId="2BB31EDD">
            <wp:extent cx="5612130" cy="529590"/>
            <wp:effectExtent l="19050" t="19050" r="26670" b="2286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529590"/>
                    </a:xfrm>
                    <a:prstGeom prst="rect">
                      <a:avLst/>
                    </a:prstGeom>
                    <a:ln>
                      <a:solidFill>
                        <a:schemeClr val="tx1"/>
                      </a:solidFill>
                    </a:ln>
                  </pic:spPr>
                </pic:pic>
              </a:graphicData>
            </a:graphic>
          </wp:inline>
        </w:drawing>
      </w:r>
    </w:p>
    <w:p w14:paraId="6FBFE2FF" w14:textId="77777777" w:rsidR="00E96F5D" w:rsidRPr="00220302" w:rsidRDefault="00014B04">
      <w:pPr>
        <w:spacing w:before="240" w:after="240" w:line="360" w:lineRule="auto"/>
        <w:jc w:val="both"/>
        <w:rPr>
          <w:rFonts w:ascii="Palatino Linotype" w:eastAsia="Palatino Linotype" w:hAnsi="Palatino Linotype" w:cs="Palatino Linotype"/>
          <w:b/>
          <w:sz w:val="22"/>
          <w:szCs w:val="22"/>
        </w:rPr>
      </w:pPr>
      <w:bookmarkStart w:id="2" w:name="_heading=h.3dy6vkm" w:colFirst="0" w:colLast="0"/>
      <w:bookmarkEnd w:id="2"/>
      <w:r w:rsidRPr="00220302">
        <w:rPr>
          <w:rFonts w:ascii="Palatino Linotype" w:eastAsia="Palatino Linotype" w:hAnsi="Palatino Linotype" w:cs="Palatino Linotype"/>
          <w:b/>
          <w:sz w:val="22"/>
          <w:szCs w:val="22"/>
        </w:rPr>
        <w:lastRenderedPageBreak/>
        <w:t xml:space="preserve">2. Respuesta. </w:t>
      </w:r>
      <w:r w:rsidRPr="00220302">
        <w:rPr>
          <w:rFonts w:ascii="Palatino Linotype" w:eastAsia="Palatino Linotype" w:hAnsi="Palatino Linotype" w:cs="Palatino Linotype"/>
          <w:sz w:val="22"/>
          <w:szCs w:val="22"/>
        </w:rPr>
        <w:t xml:space="preserve">El </w:t>
      </w:r>
      <w:r w:rsidR="007E2F65" w:rsidRPr="00220302">
        <w:rPr>
          <w:rFonts w:ascii="Palatino Linotype" w:eastAsia="Palatino Linotype" w:hAnsi="Palatino Linotype" w:cs="Palatino Linotype"/>
          <w:b/>
          <w:sz w:val="22"/>
          <w:szCs w:val="22"/>
        </w:rPr>
        <w:t>veintiuno de marzo</w:t>
      </w:r>
      <w:r w:rsidRPr="00220302">
        <w:rPr>
          <w:rFonts w:ascii="Palatino Linotype" w:eastAsia="Palatino Linotype" w:hAnsi="Palatino Linotype" w:cs="Palatino Linotype"/>
          <w:b/>
          <w:sz w:val="22"/>
          <w:szCs w:val="22"/>
        </w:rPr>
        <w:t xml:space="preserve"> de dos mil veinticuatro</w:t>
      </w:r>
      <w:r w:rsidRPr="00220302">
        <w:rPr>
          <w:rFonts w:ascii="Palatino Linotype" w:eastAsia="Palatino Linotype" w:hAnsi="Palatino Linotype" w:cs="Palatino Linotype"/>
          <w:sz w:val="22"/>
          <w:szCs w:val="22"/>
        </w:rPr>
        <w:t xml:space="preserve">, el </w:t>
      </w:r>
      <w:r w:rsidRPr="00220302">
        <w:rPr>
          <w:rFonts w:ascii="Palatino Linotype" w:eastAsia="Palatino Linotype" w:hAnsi="Palatino Linotype" w:cs="Palatino Linotype"/>
          <w:b/>
          <w:sz w:val="22"/>
          <w:szCs w:val="22"/>
        </w:rPr>
        <w:t xml:space="preserve">Sujeto Obligado </w:t>
      </w:r>
      <w:r w:rsidRPr="00220302">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2F744B4C" w14:textId="77777777" w:rsidR="007E2F65" w:rsidRPr="00220302" w:rsidRDefault="007E2F65" w:rsidP="007E2F65">
      <w:pPr>
        <w:spacing w:before="240" w:after="240"/>
        <w:ind w:left="567" w:right="902"/>
        <w:jc w:val="both"/>
        <w:rPr>
          <w:rFonts w:ascii="Palatino Linotype" w:eastAsia="Palatino Linotype" w:hAnsi="Palatino Linotype" w:cs="Palatino Linotype"/>
          <w:i/>
          <w:sz w:val="22"/>
          <w:szCs w:val="22"/>
        </w:rPr>
      </w:pPr>
      <w:r w:rsidRPr="00220302">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B79636D" w14:textId="77777777" w:rsidR="007E2F65" w:rsidRPr="00220302" w:rsidRDefault="007E2F65" w:rsidP="007E2F65">
      <w:pPr>
        <w:spacing w:before="240" w:after="240"/>
        <w:ind w:left="567" w:right="902"/>
        <w:jc w:val="both"/>
        <w:rPr>
          <w:rFonts w:ascii="Palatino Linotype" w:eastAsia="Palatino Linotype" w:hAnsi="Palatino Linotype" w:cs="Palatino Linotype"/>
          <w:i/>
          <w:sz w:val="22"/>
          <w:szCs w:val="22"/>
        </w:rPr>
      </w:pPr>
      <w:r w:rsidRPr="00220302">
        <w:rPr>
          <w:rFonts w:ascii="Palatino Linotype" w:eastAsia="Palatino Linotype" w:hAnsi="Palatino Linotype" w:cs="Palatino Linotype"/>
          <w:i/>
          <w:sz w:val="22"/>
          <w:szCs w:val="22"/>
        </w:rPr>
        <w:t>Se adjunta oficio de respuesta.</w:t>
      </w:r>
    </w:p>
    <w:p w14:paraId="1AE804A6" w14:textId="77777777" w:rsidR="007E2F65" w:rsidRPr="00220302" w:rsidRDefault="007E2F65" w:rsidP="007E2F65">
      <w:pPr>
        <w:spacing w:before="240" w:after="240"/>
        <w:ind w:left="567" w:right="902"/>
        <w:jc w:val="both"/>
        <w:rPr>
          <w:rFonts w:ascii="Palatino Linotype" w:eastAsia="Palatino Linotype" w:hAnsi="Palatino Linotype" w:cs="Palatino Linotype"/>
          <w:i/>
          <w:sz w:val="22"/>
          <w:szCs w:val="22"/>
        </w:rPr>
      </w:pPr>
      <w:r w:rsidRPr="00220302">
        <w:rPr>
          <w:rFonts w:ascii="Palatino Linotype" w:eastAsia="Palatino Linotype" w:hAnsi="Palatino Linotype" w:cs="Palatino Linotype"/>
          <w:i/>
          <w:sz w:val="22"/>
          <w:szCs w:val="22"/>
        </w:rPr>
        <w:t>ATENTAMENTE</w:t>
      </w:r>
    </w:p>
    <w:p w14:paraId="520702AF" w14:textId="77777777" w:rsidR="00E96F5D" w:rsidRPr="00220302" w:rsidRDefault="007E2F65" w:rsidP="007E2F65">
      <w:pPr>
        <w:spacing w:before="240" w:after="240"/>
        <w:ind w:left="567" w:right="902"/>
        <w:jc w:val="both"/>
        <w:rPr>
          <w:rFonts w:ascii="Palatino Linotype" w:eastAsia="Palatino Linotype" w:hAnsi="Palatino Linotype" w:cs="Palatino Linotype"/>
          <w:i/>
          <w:sz w:val="22"/>
          <w:szCs w:val="22"/>
        </w:rPr>
      </w:pPr>
      <w:r w:rsidRPr="00220302">
        <w:rPr>
          <w:rFonts w:ascii="Palatino Linotype" w:eastAsia="Palatino Linotype" w:hAnsi="Palatino Linotype" w:cs="Palatino Linotype"/>
          <w:i/>
          <w:sz w:val="22"/>
          <w:szCs w:val="22"/>
        </w:rPr>
        <w:t>Jesús Felipe Borja Coronel</w:t>
      </w:r>
      <w:r w:rsidR="00014B04" w:rsidRPr="00220302">
        <w:rPr>
          <w:rFonts w:ascii="Palatino Linotype" w:eastAsia="Palatino Linotype" w:hAnsi="Palatino Linotype" w:cs="Palatino Linotype"/>
          <w:i/>
          <w:sz w:val="22"/>
          <w:szCs w:val="22"/>
        </w:rPr>
        <w:t>” (Sic)</w:t>
      </w:r>
    </w:p>
    <w:p w14:paraId="71FEDE1F" w14:textId="77777777" w:rsidR="00E96F5D" w:rsidRPr="00220302" w:rsidRDefault="00014B04">
      <w:pPr>
        <w:spacing w:before="240" w:after="240"/>
        <w:ind w:left="567" w:right="902"/>
        <w:jc w:val="both"/>
        <w:rPr>
          <w:rFonts w:ascii="Palatino Linotype" w:eastAsia="Palatino Linotype" w:hAnsi="Palatino Linotype" w:cs="Palatino Linotype"/>
          <w:b/>
          <w:sz w:val="22"/>
          <w:szCs w:val="22"/>
        </w:rPr>
      </w:pPr>
      <w:r w:rsidRPr="00220302">
        <w:rPr>
          <w:rFonts w:ascii="Palatino Linotype" w:eastAsia="Palatino Linotype" w:hAnsi="Palatino Linotype" w:cs="Palatino Linotype"/>
          <w:b/>
          <w:sz w:val="22"/>
          <w:szCs w:val="22"/>
        </w:rPr>
        <w:t>Archivos adjuntos:</w:t>
      </w:r>
    </w:p>
    <w:p w14:paraId="599C3057" w14:textId="77777777" w:rsidR="007E2F65" w:rsidRPr="00220302" w:rsidRDefault="007E2F65" w:rsidP="007E2F65">
      <w:pPr>
        <w:spacing w:before="240" w:after="240" w:line="360" w:lineRule="auto"/>
        <w:ind w:left="567" w:right="902"/>
        <w:jc w:val="both"/>
        <w:rPr>
          <w:rFonts w:ascii="Palatino Linotype" w:eastAsia="Palatino Linotype" w:hAnsi="Palatino Linotype" w:cs="Palatino Linotype"/>
          <w:sz w:val="22"/>
          <w:szCs w:val="22"/>
        </w:rPr>
      </w:pPr>
      <w:r w:rsidRPr="00220302">
        <w:rPr>
          <w:rFonts w:ascii="Palatino Linotype" w:eastAsia="Palatino Linotype" w:hAnsi="Palatino Linotype" w:cs="Palatino Linotype"/>
          <w:b/>
          <w:i/>
          <w:sz w:val="22"/>
          <w:szCs w:val="22"/>
        </w:rPr>
        <w:t xml:space="preserve">“RESP. SOL 138-2024.pdf”: </w:t>
      </w:r>
      <w:r w:rsidRPr="00220302">
        <w:rPr>
          <w:rFonts w:ascii="Palatino Linotype" w:eastAsia="Palatino Linotype" w:hAnsi="Palatino Linotype" w:cs="Palatino Linotype"/>
          <w:sz w:val="22"/>
          <w:szCs w:val="22"/>
        </w:rPr>
        <w:t>Documento que se compone de cinco fojas, mediante el cual el Servidor Público Habilitado de la Unidad de Asuntos Jurídicos proporciona una serie de ligas electrónicas para consultar la información solicitada.</w:t>
      </w:r>
    </w:p>
    <w:p w14:paraId="57F754CB" w14:textId="77777777" w:rsidR="007E2F65" w:rsidRPr="00220302" w:rsidRDefault="007E2F65" w:rsidP="007E2F65">
      <w:pPr>
        <w:spacing w:before="240" w:after="240" w:line="360" w:lineRule="auto"/>
        <w:ind w:left="567" w:right="902"/>
        <w:jc w:val="both"/>
        <w:rPr>
          <w:rFonts w:ascii="Palatino Linotype" w:eastAsia="Palatino Linotype" w:hAnsi="Palatino Linotype" w:cs="Palatino Linotype"/>
          <w:sz w:val="22"/>
          <w:szCs w:val="22"/>
        </w:rPr>
      </w:pPr>
      <w:r w:rsidRPr="00220302">
        <w:rPr>
          <w:rFonts w:ascii="Palatino Linotype" w:eastAsia="Palatino Linotype" w:hAnsi="Palatino Linotype" w:cs="Palatino Linotype"/>
          <w:b/>
          <w:i/>
          <w:sz w:val="22"/>
          <w:szCs w:val="22"/>
        </w:rPr>
        <w:t xml:space="preserve">“Respuesta 138- OSFEM.pdf”: </w:t>
      </w:r>
      <w:r w:rsidRPr="00220302">
        <w:rPr>
          <w:rFonts w:ascii="Palatino Linotype" w:eastAsia="Palatino Linotype" w:hAnsi="Palatino Linotype" w:cs="Palatino Linotype"/>
          <w:sz w:val="22"/>
          <w:szCs w:val="22"/>
        </w:rPr>
        <w:t>Oficio suscrito por el Titular de la Unidad de Transparencia, por el cual le remite la respuesta a la solicitud de información a la persona solicitante de información.</w:t>
      </w:r>
    </w:p>
    <w:p w14:paraId="467CCBC2" w14:textId="0897C60B" w:rsidR="00E96F5D" w:rsidRPr="00220302" w:rsidRDefault="00014B04">
      <w:pPr>
        <w:spacing w:before="240" w:after="240" w:line="360" w:lineRule="auto"/>
        <w:ind w:right="49"/>
        <w:jc w:val="both"/>
        <w:rPr>
          <w:rFonts w:ascii="Palatino Linotype" w:eastAsia="Palatino Linotype" w:hAnsi="Palatino Linotype" w:cs="Palatino Linotype"/>
          <w:sz w:val="22"/>
          <w:szCs w:val="22"/>
        </w:rPr>
      </w:pPr>
      <w:r w:rsidRPr="00220302">
        <w:rPr>
          <w:rFonts w:ascii="Palatino Linotype" w:eastAsia="Palatino Linotype" w:hAnsi="Palatino Linotype" w:cs="Palatino Linotype"/>
          <w:b/>
          <w:sz w:val="22"/>
          <w:szCs w:val="22"/>
        </w:rPr>
        <w:t xml:space="preserve">3. Interposición del recurso de revisión. </w:t>
      </w:r>
      <w:r w:rsidRPr="00220302">
        <w:rPr>
          <w:rFonts w:ascii="Palatino Linotype" w:eastAsia="Palatino Linotype" w:hAnsi="Palatino Linotype" w:cs="Palatino Linotype"/>
          <w:sz w:val="22"/>
          <w:szCs w:val="22"/>
        </w:rPr>
        <w:t xml:space="preserve">Inconforme con los términos de la respuesta emitida por parte del </w:t>
      </w:r>
      <w:r w:rsidRPr="00220302">
        <w:rPr>
          <w:rFonts w:ascii="Palatino Linotype" w:eastAsia="Palatino Linotype" w:hAnsi="Palatino Linotype" w:cs="Palatino Linotype"/>
          <w:b/>
          <w:sz w:val="22"/>
          <w:szCs w:val="22"/>
        </w:rPr>
        <w:t>Sujeto Obligado</w:t>
      </w:r>
      <w:r w:rsidRPr="00220302">
        <w:rPr>
          <w:rFonts w:ascii="Palatino Linotype" w:eastAsia="Palatino Linotype" w:hAnsi="Palatino Linotype" w:cs="Palatino Linotype"/>
          <w:sz w:val="22"/>
          <w:szCs w:val="22"/>
        </w:rPr>
        <w:t>, el</w:t>
      </w:r>
      <w:r w:rsidR="007E2F65" w:rsidRPr="00220302">
        <w:rPr>
          <w:rFonts w:ascii="Palatino Linotype" w:eastAsia="Palatino Linotype" w:hAnsi="Palatino Linotype" w:cs="Palatino Linotype"/>
          <w:b/>
          <w:sz w:val="22"/>
          <w:szCs w:val="22"/>
        </w:rPr>
        <w:t xml:space="preserve"> ocho</w:t>
      </w:r>
      <w:r w:rsidR="002942BA" w:rsidRPr="00220302">
        <w:rPr>
          <w:rFonts w:ascii="Palatino Linotype" w:eastAsia="Palatino Linotype" w:hAnsi="Palatino Linotype" w:cs="Palatino Linotype"/>
          <w:b/>
          <w:sz w:val="22"/>
          <w:szCs w:val="22"/>
        </w:rPr>
        <w:t xml:space="preserve"> de abril</w:t>
      </w:r>
      <w:r w:rsidRPr="00220302">
        <w:rPr>
          <w:rFonts w:ascii="Palatino Linotype" w:eastAsia="Palatino Linotype" w:hAnsi="Palatino Linotype" w:cs="Palatino Linotype"/>
          <w:b/>
          <w:sz w:val="22"/>
          <w:szCs w:val="22"/>
        </w:rPr>
        <w:t xml:space="preserve"> de dos mil veinticuatro,</w:t>
      </w:r>
      <w:r w:rsidRPr="00220302">
        <w:rPr>
          <w:rFonts w:ascii="Palatino Linotype" w:eastAsia="Palatino Linotype" w:hAnsi="Palatino Linotype" w:cs="Palatino Linotype"/>
          <w:sz w:val="22"/>
          <w:szCs w:val="22"/>
        </w:rPr>
        <w:t xml:space="preserve"> </w:t>
      </w:r>
      <w:r w:rsidRPr="00220302">
        <w:rPr>
          <w:rFonts w:ascii="Palatino Linotype" w:eastAsia="Palatino Linotype" w:hAnsi="Palatino Linotype" w:cs="Palatino Linotype"/>
          <w:b/>
          <w:sz w:val="22"/>
          <w:szCs w:val="22"/>
        </w:rPr>
        <w:t>la parte</w:t>
      </w:r>
      <w:r w:rsidRPr="00220302">
        <w:rPr>
          <w:rFonts w:ascii="Palatino Linotype" w:eastAsia="Palatino Linotype" w:hAnsi="Palatino Linotype" w:cs="Palatino Linotype"/>
          <w:sz w:val="22"/>
          <w:szCs w:val="22"/>
        </w:rPr>
        <w:t xml:space="preserve"> </w:t>
      </w:r>
      <w:r w:rsidRPr="00220302">
        <w:rPr>
          <w:rFonts w:ascii="Palatino Linotype" w:eastAsia="Palatino Linotype" w:hAnsi="Palatino Linotype" w:cs="Palatino Linotype"/>
          <w:b/>
          <w:sz w:val="22"/>
          <w:szCs w:val="22"/>
        </w:rPr>
        <w:t>Recurrente</w:t>
      </w:r>
      <w:r w:rsidRPr="00220302">
        <w:rPr>
          <w:rFonts w:ascii="Palatino Linotype" w:eastAsia="Palatino Linotype" w:hAnsi="Palatino Linotype" w:cs="Palatino Linotype"/>
          <w:sz w:val="22"/>
          <w:szCs w:val="22"/>
        </w:rPr>
        <w:t xml:space="preserve"> interpuso el recurso de revisión a través de </w:t>
      </w:r>
      <w:r w:rsidRPr="00220302">
        <w:rPr>
          <w:rFonts w:ascii="Palatino Linotype" w:eastAsia="Palatino Linotype" w:hAnsi="Palatino Linotype" w:cs="Palatino Linotype"/>
          <w:b/>
          <w:sz w:val="22"/>
          <w:szCs w:val="22"/>
        </w:rPr>
        <w:t xml:space="preserve">SAIMEX, </w:t>
      </w:r>
      <w:r w:rsidR="00027666" w:rsidRPr="00220302">
        <w:rPr>
          <w:rFonts w:ascii="Palatino Linotype" w:eastAsia="Palatino Linotype" w:hAnsi="Palatino Linotype" w:cs="Palatino Linotype"/>
          <w:sz w:val="22"/>
          <w:szCs w:val="22"/>
        </w:rPr>
        <w:t xml:space="preserve">en donde se manifestó de </w:t>
      </w:r>
      <w:r w:rsidRPr="00220302">
        <w:rPr>
          <w:rFonts w:ascii="Palatino Linotype" w:eastAsia="Palatino Linotype" w:hAnsi="Palatino Linotype" w:cs="Palatino Linotype"/>
          <w:sz w:val="22"/>
          <w:szCs w:val="22"/>
        </w:rPr>
        <w:t>la siguiente manera:</w:t>
      </w:r>
    </w:p>
    <w:p w14:paraId="41955B8E" w14:textId="77777777" w:rsidR="00027666" w:rsidRPr="00220302" w:rsidRDefault="00027666">
      <w:pPr>
        <w:spacing w:before="240" w:after="240" w:line="360" w:lineRule="auto"/>
        <w:ind w:right="49"/>
        <w:jc w:val="both"/>
        <w:rPr>
          <w:rFonts w:ascii="Palatino Linotype" w:eastAsia="Palatino Linotype" w:hAnsi="Palatino Linotype" w:cs="Palatino Linotype"/>
          <w:sz w:val="22"/>
          <w:szCs w:val="22"/>
        </w:rPr>
      </w:pPr>
    </w:p>
    <w:p w14:paraId="19E61BF9" w14:textId="77777777" w:rsidR="00027666" w:rsidRPr="00220302" w:rsidRDefault="00027666">
      <w:pPr>
        <w:spacing w:before="240" w:after="240" w:line="360" w:lineRule="auto"/>
        <w:ind w:right="49"/>
        <w:jc w:val="both"/>
        <w:rPr>
          <w:rFonts w:ascii="Palatino Linotype" w:eastAsia="Palatino Linotype" w:hAnsi="Palatino Linotype" w:cs="Palatino Linotype"/>
          <w:b/>
          <w:sz w:val="22"/>
          <w:szCs w:val="22"/>
        </w:rPr>
      </w:pPr>
    </w:p>
    <w:p w14:paraId="3CA1AD6A" w14:textId="77777777" w:rsidR="00E96F5D" w:rsidRPr="00220302" w:rsidRDefault="00014B04">
      <w:pPr>
        <w:tabs>
          <w:tab w:val="left" w:pos="2745"/>
        </w:tabs>
        <w:spacing w:before="240" w:after="240" w:line="360" w:lineRule="auto"/>
        <w:ind w:left="567" w:right="900"/>
        <w:jc w:val="both"/>
        <w:rPr>
          <w:rFonts w:ascii="Palatino Linotype" w:eastAsia="Palatino Linotype" w:hAnsi="Palatino Linotype" w:cs="Palatino Linotype"/>
          <w:b/>
          <w:sz w:val="22"/>
          <w:szCs w:val="22"/>
        </w:rPr>
      </w:pPr>
      <w:r w:rsidRPr="00220302">
        <w:rPr>
          <w:rFonts w:ascii="Palatino Linotype" w:eastAsia="Palatino Linotype" w:hAnsi="Palatino Linotype" w:cs="Palatino Linotype"/>
          <w:b/>
          <w:sz w:val="22"/>
          <w:szCs w:val="22"/>
        </w:rPr>
        <w:lastRenderedPageBreak/>
        <w:t xml:space="preserve">a) Acto impugnado: </w:t>
      </w:r>
    </w:p>
    <w:p w14:paraId="2186907B" w14:textId="77777777" w:rsidR="00E96F5D" w:rsidRPr="00220302" w:rsidRDefault="00014B04">
      <w:pPr>
        <w:tabs>
          <w:tab w:val="left" w:pos="2745"/>
        </w:tabs>
        <w:spacing w:before="240" w:after="240"/>
        <w:ind w:left="567" w:right="900"/>
        <w:jc w:val="both"/>
        <w:rPr>
          <w:rFonts w:ascii="Palatino Linotype" w:eastAsia="Palatino Linotype" w:hAnsi="Palatino Linotype" w:cs="Palatino Linotype"/>
          <w:i/>
          <w:sz w:val="22"/>
          <w:szCs w:val="22"/>
        </w:rPr>
      </w:pPr>
      <w:r w:rsidRPr="00220302">
        <w:rPr>
          <w:rFonts w:ascii="Palatino Linotype" w:eastAsia="Palatino Linotype" w:hAnsi="Palatino Linotype" w:cs="Palatino Linotype"/>
          <w:i/>
          <w:sz w:val="22"/>
          <w:szCs w:val="22"/>
        </w:rPr>
        <w:t>“</w:t>
      </w:r>
      <w:r w:rsidR="007E2F65" w:rsidRPr="00220302">
        <w:rPr>
          <w:rFonts w:ascii="Palatino Linotype" w:eastAsia="Palatino Linotype" w:hAnsi="Palatino Linotype" w:cs="Palatino Linotype"/>
          <w:b/>
          <w:i/>
          <w:sz w:val="22"/>
          <w:szCs w:val="22"/>
          <w:u w:val="single"/>
        </w:rPr>
        <w:t>Información incompleta y desactualizada, no se menciona el estado actual que guardan todas y cada una de las auditorías que se practicaron conforme a los programas anuales respectivos de los años 2021, 2022 y 2023</w:t>
      </w:r>
      <w:r w:rsidR="007E2F65" w:rsidRPr="00220302">
        <w:rPr>
          <w:rFonts w:ascii="Palatino Linotype" w:eastAsia="Palatino Linotype" w:hAnsi="Palatino Linotype" w:cs="Palatino Linotype"/>
          <w:i/>
          <w:sz w:val="22"/>
          <w:szCs w:val="22"/>
        </w:rPr>
        <w:t xml:space="preserve">, puesto que algunas auditorías concluyeron sin observaciones, otras que se encuentran en investigación o substanciación. En otros casos ,se promovieron responsabilidades administrativas o se turnaron a los órganos de control interno de las entidades fiscalizables. </w:t>
      </w:r>
      <w:r w:rsidR="007E2F65" w:rsidRPr="00220302">
        <w:rPr>
          <w:rFonts w:ascii="Palatino Linotype" w:eastAsia="Palatino Linotype" w:hAnsi="Palatino Linotype" w:cs="Palatino Linotype"/>
          <w:b/>
          <w:i/>
          <w:sz w:val="22"/>
          <w:szCs w:val="22"/>
          <w:u w:val="single"/>
        </w:rPr>
        <w:t>Esta información es justo lo que se solicitó y en los links donde se supone está la información no es verdad</w:t>
      </w:r>
      <w:r w:rsidR="007E2F65" w:rsidRPr="00220302">
        <w:rPr>
          <w:rFonts w:ascii="Palatino Linotype" w:eastAsia="Palatino Linotype" w:hAnsi="Palatino Linotype" w:cs="Palatino Linotype"/>
          <w:i/>
          <w:sz w:val="22"/>
          <w:szCs w:val="22"/>
        </w:rPr>
        <w:t>.</w:t>
      </w:r>
      <w:r w:rsidRPr="00220302">
        <w:rPr>
          <w:rFonts w:ascii="Palatino Linotype" w:eastAsia="Palatino Linotype" w:hAnsi="Palatino Linotype" w:cs="Palatino Linotype"/>
          <w:i/>
          <w:sz w:val="22"/>
          <w:szCs w:val="22"/>
        </w:rPr>
        <w:t>” (Sic)</w:t>
      </w:r>
    </w:p>
    <w:p w14:paraId="79A08142" w14:textId="77777777" w:rsidR="002F57C8" w:rsidRPr="00220302" w:rsidRDefault="00014B04" w:rsidP="007E2F65">
      <w:pPr>
        <w:spacing w:line="276" w:lineRule="auto"/>
        <w:ind w:left="567" w:right="900"/>
        <w:jc w:val="both"/>
        <w:rPr>
          <w:rFonts w:ascii="Palatino Linotype" w:eastAsia="Palatino Linotype" w:hAnsi="Palatino Linotype" w:cs="Palatino Linotype"/>
          <w:sz w:val="22"/>
          <w:szCs w:val="22"/>
        </w:rPr>
      </w:pPr>
      <w:bookmarkStart w:id="3" w:name="_heading=h.30j0zll" w:colFirst="0" w:colLast="0"/>
      <w:bookmarkEnd w:id="3"/>
      <w:r w:rsidRPr="00220302">
        <w:rPr>
          <w:rFonts w:ascii="Palatino Linotype" w:eastAsia="Palatino Linotype" w:hAnsi="Palatino Linotype" w:cs="Palatino Linotype"/>
          <w:b/>
          <w:sz w:val="22"/>
          <w:szCs w:val="22"/>
        </w:rPr>
        <w:t>b) Razones o motivos de inconformidad</w:t>
      </w:r>
      <w:r w:rsidRPr="00220302">
        <w:rPr>
          <w:rFonts w:ascii="Palatino Linotype" w:eastAsia="Palatino Linotype" w:hAnsi="Palatino Linotype" w:cs="Palatino Linotype"/>
          <w:sz w:val="22"/>
          <w:szCs w:val="22"/>
        </w:rPr>
        <w:t xml:space="preserve">: </w:t>
      </w:r>
    </w:p>
    <w:p w14:paraId="14879E95" w14:textId="77777777" w:rsidR="002F57C8" w:rsidRPr="00220302" w:rsidRDefault="002F57C8" w:rsidP="007E2F65">
      <w:pPr>
        <w:spacing w:line="276" w:lineRule="auto"/>
        <w:ind w:left="567" w:right="900"/>
        <w:jc w:val="both"/>
        <w:rPr>
          <w:rFonts w:ascii="Palatino Linotype" w:eastAsia="Palatino Linotype" w:hAnsi="Palatino Linotype" w:cs="Palatino Linotype"/>
          <w:sz w:val="22"/>
          <w:szCs w:val="22"/>
        </w:rPr>
      </w:pPr>
    </w:p>
    <w:p w14:paraId="502A7DB9" w14:textId="77777777" w:rsidR="002F57C8" w:rsidRPr="00220302" w:rsidRDefault="002F57C8" w:rsidP="002F57C8">
      <w:pPr>
        <w:spacing w:line="276" w:lineRule="auto"/>
        <w:ind w:left="567" w:right="900"/>
        <w:jc w:val="both"/>
        <w:rPr>
          <w:rFonts w:ascii="Palatino Linotype" w:eastAsia="Palatino Linotype" w:hAnsi="Palatino Linotype" w:cs="Palatino Linotype"/>
          <w:b/>
          <w:sz w:val="22"/>
          <w:szCs w:val="22"/>
        </w:rPr>
      </w:pPr>
      <w:r w:rsidRPr="00220302">
        <w:rPr>
          <w:rFonts w:ascii="Palatino Linotype" w:eastAsia="Palatino Linotype" w:hAnsi="Palatino Linotype" w:cs="Palatino Linotype"/>
          <w:sz w:val="22"/>
          <w:szCs w:val="22"/>
        </w:rPr>
        <w:t xml:space="preserve">No se advierten manifestaciones de la parte </w:t>
      </w:r>
      <w:r w:rsidRPr="00220302">
        <w:rPr>
          <w:rFonts w:ascii="Palatino Linotype" w:eastAsia="Palatino Linotype" w:hAnsi="Palatino Linotype" w:cs="Palatino Linotype"/>
          <w:b/>
          <w:sz w:val="22"/>
          <w:szCs w:val="22"/>
        </w:rPr>
        <w:t>Recurrente.</w:t>
      </w:r>
    </w:p>
    <w:p w14:paraId="4C6169F3" w14:textId="77777777" w:rsidR="002F57C8" w:rsidRPr="00220302" w:rsidRDefault="002F57C8" w:rsidP="007E2F65">
      <w:pPr>
        <w:spacing w:line="276" w:lineRule="auto"/>
        <w:ind w:left="567" w:right="900"/>
        <w:jc w:val="both"/>
        <w:rPr>
          <w:rFonts w:ascii="Palatino Linotype" w:eastAsia="Palatino Linotype" w:hAnsi="Palatino Linotype" w:cs="Palatino Linotype"/>
          <w:sz w:val="22"/>
          <w:szCs w:val="22"/>
        </w:rPr>
      </w:pPr>
    </w:p>
    <w:p w14:paraId="0CDF29B0" w14:textId="77C895D5" w:rsidR="002F57C8" w:rsidRPr="00220302" w:rsidRDefault="002F57C8" w:rsidP="00027666">
      <w:pPr>
        <w:spacing w:line="360" w:lineRule="auto"/>
        <w:ind w:left="567" w:right="900"/>
        <w:jc w:val="both"/>
        <w:rPr>
          <w:rFonts w:ascii="Palatino Linotype" w:eastAsia="Palatino Linotype" w:hAnsi="Palatino Linotype" w:cs="Palatino Linotype"/>
          <w:sz w:val="22"/>
          <w:szCs w:val="22"/>
        </w:rPr>
      </w:pPr>
      <w:r w:rsidRPr="00220302">
        <w:rPr>
          <w:rFonts w:ascii="Palatino Linotype" w:eastAsia="Palatino Linotype" w:hAnsi="Palatino Linotype" w:cs="Palatino Linotype"/>
          <w:sz w:val="22"/>
          <w:szCs w:val="22"/>
        </w:rPr>
        <w:t xml:space="preserve">La parte </w:t>
      </w:r>
      <w:r w:rsidRPr="00220302">
        <w:rPr>
          <w:rFonts w:ascii="Palatino Linotype" w:eastAsia="Palatino Linotype" w:hAnsi="Palatino Linotype" w:cs="Palatino Linotype"/>
          <w:b/>
          <w:sz w:val="22"/>
          <w:szCs w:val="22"/>
        </w:rPr>
        <w:t xml:space="preserve">Recurrente </w:t>
      </w:r>
      <w:r w:rsidRPr="00220302">
        <w:rPr>
          <w:rFonts w:ascii="Palatino Linotype" w:eastAsia="Palatino Linotype" w:hAnsi="Palatino Linotype" w:cs="Palatino Linotype"/>
          <w:sz w:val="22"/>
          <w:szCs w:val="22"/>
        </w:rPr>
        <w:t xml:space="preserve">adjuntó el archivo </w:t>
      </w:r>
      <w:r w:rsidRPr="00220302">
        <w:rPr>
          <w:rFonts w:ascii="Palatino Linotype" w:eastAsia="Palatino Linotype" w:hAnsi="Palatino Linotype" w:cs="Palatino Linotype"/>
          <w:b/>
          <w:i/>
          <w:sz w:val="22"/>
          <w:szCs w:val="22"/>
        </w:rPr>
        <w:t>“Archivo1712442208426null”</w:t>
      </w:r>
      <w:r w:rsidRPr="00220302">
        <w:rPr>
          <w:rFonts w:ascii="Palatino Linotype" w:eastAsia="Palatino Linotype" w:hAnsi="Palatino Linotype" w:cs="Palatino Linotype"/>
          <w:sz w:val="22"/>
          <w:szCs w:val="22"/>
        </w:rPr>
        <w:t>, al cual no se puede acceder.</w:t>
      </w:r>
    </w:p>
    <w:p w14:paraId="2F48A1DC" w14:textId="77777777" w:rsidR="00E96F5D" w:rsidRPr="00220302" w:rsidRDefault="00014B04">
      <w:pPr>
        <w:spacing w:before="240" w:after="240" w:line="360" w:lineRule="auto"/>
        <w:ind w:right="51"/>
        <w:jc w:val="both"/>
        <w:rPr>
          <w:rFonts w:ascii="Palatino Linotype" w:eastAsia="Palatino Linotype" w:hAnsi="Palatino Linotype" w:cs="Palatino Linotype"/>
          <w:sz w:val="22"/>
          <w:szCs w:val="22"/>
        </w:rPr>
      </w:pPr>
      <w:r w:rsidRPr="00220302">
        <w:rPr>
          <w:rFonts w:ascii="Palatino Linotype" w:eastAsia="Palatino Linotype" w:hAnsi="Palatino Linotype" w:cs="Palatino Linotype"/>
          <w:b/>
          <w:sz w:val="22"/>
          <w:szCs w:val="22"/>
        </w:rPr>
        <w:t xml:space="preserve">4. Turno. </w:t>
      </w:r>
      <w:r w:rsidRPr="00220302">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220302">
        <w:rPr>
          <w:rFonts w:ascii="Palatino Linotype" w:eastAsia="Palatino Linotype" w:hAnsi="Palatino Linotype" w:cs="Palatino Linotype"/>
          <w:b/>
          <w:sz w:val="22"/>
          <w:szCs w:val="22"/>
        </w:rPr>
        <w:t xml:space="preserve">Guadalupe Ramírez Peña, </w:t>
      </w:r>
      <w:r w:rsidRPr="00220302">
        <w:rPr>
          <w:rFonts w:ascii="Palatino Linotype" w:eastAsia="Palatino Linotype" w:hAnsi="Palatino Linotype" w:cs="Palatino Linotype"/>
          <w:sz w:val="22"/>
          <w:szCs w:val="22"/>
        </w:rPr>
        <w:t>a efecto de que analizara sobre su admisión o su desechamiento.</w:t>
      </w:r>
    </w:p>
    <w:p w14:paraId="10765129" w14:textId="77777777" w:rsidR="00E96F5D" w:rsidRPr="00220302" w:rsidRDefault="00014B04">
      <w:pPr>
        <w:spacing w:before="240" w:after="240" w:line="360" w:lineRule="auto"/>
        <w:jc w:val="both"/>
        <w:rPr>
          <w:rFonts w:ascii="Palatino Linotype" w:eastAsia="Palatino Linotype" w:hAnsi="Palatino Linotype" w:cs="Palatino Linotype"/>
          <w:sz w:val="22"/>
          <w:szCs w:val="22"/>
        </w:rPr>
      </w:pPr>
      <w:r w:rsidRPr="00220302">
        <w:rPr>
          <w:rFonts w:ascii="Palatino Linotype" w:eastAsia="Palatino Linotype" w:hAnsi="Palatino Linotype" w:cs="Palatino Linotype"/>
          <w:b/>
          <w:sz w:val="22"/>
          <w:szCs w:val="22"/>
        </w:rPr>
        <w:t>5. Admisión del Recurso de revisión.</w:t>
      </w:r>
      <w:r w:rsidRPr="00220302">
        <w:rPr>
          <w:rFonts w:ascii="Palatino Linotype" w:eastAsia="Palatino Linotype" w:hAnsi="Palatino Linotype" w:cs="Palatino Linotype"/>
          <w:sz w:val="22"/>
          <w:szCs w:val="22"/>
        </w:rPr>
        <w:t xml:space="preserve"> El </w:t>
      </w:r>
      <w:r w:rsidR="007E2F65" w:rsidRPr="00220302">
        <w:rPr>
          <w:rFonts w:ascii="Palatino Linotype" w:eastAsia="Palatino Linotype" w:hAnsi="Palatino Linotype" w:cs="Palatino Linotype"/>
          <w:b/>
          <w:sz w:val="22"/>
          <w:szCs w:val="22"/>
        </w:rPr>
        <w:t>diez de abril</w:t>
      </w:r>
      <w:r w:rsidRPr="00220302">
        <w:rPr>
          <w:rFonts w:ascii="Palatino Linotype" w:eastAsia="Palatino Linotype" w:hAnsi="Palatino Linotype" w:cs="Palatino Linotype"/>
          <w:b/>
          <w:sz w:val="22"/>
          <w:szCs w:val="22"/>
        </w:rPr>
        <w:t xml:space="preserve"> de dos mil veinticuatro, </w:t>
      </w:r>
      <w:r w:rsidRPr="00220302">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220302">
        <w:rPr>
          <w:rFonts w:ascii="Palatino Linotype" w:eastAsia="Palatino Linotype" w:hAnsi="Palatino Linotype" w:cs="Palatino Linotype"/>
          <w:b/>
          <w:sz w:val="22"/>
          <w:szCs w:val="22"/>
        </w:rPr>
        <w:t xml:space="preserve">Sujeto Obligado </w:t>
      </w:r>
      <w:r w:rsidRPr="00220302">
        <w:rPr>
          <w:rFonts w:ascii="Palatino Linotype" w:eastAsia="Palatino Linotype" w:hAnsi="Palatino Linotype" w:cs="Palatino Linotype"/>
          <w:sz w:val="22"/>
          <w:szCs w:val="22"/>
        </w:rPr>
        <w:t>presentara su informe justificado.</w:t>
      </w:r>
    </w:p>
    <w:p w14:paraId="26145C60" w14:textId="77777777" w:rsidR="001A10A5" w:rsidRPr="00220302" w:rsidRDefault="00014B04">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bookmarkStart w:id="4" w:name="_heading=h.2s8eyo1" w:colFirst="0" w:colLast="0"/>
      <w:bookmarkEnd w:id="4"/>
      <w:r w:rsidRPr="00220302">
        <w:rPr>
          <w:rFonts w:ascii="Palatino Linotype" w:eastAsia="Palatino Linotype" w:hAnsi="Palatino Linotype" w:cs="Palatino Linotype"/>
          <w:b/>
          <w:sz w:val="22"/>
          <w:szCs w:val="22"/>
        </w:rPr>
        <w:lastRenderedPageBreak/>
        <w:t>6. Manifestaciones e Informe Justificado</w:t>
      </w:r>
      <w:r w:rsidRPr="00220302">
        <w:rPr>
          <w:rFonts w:ascii="Palatino Linotype" w:eastAsia="Palatino Linotype" w:hAnsi="Palatino Linotype" w:cs="Palatino Linotype"/>
          <w:sz w:val="22"/>
          <w:szCs w:val="22"/>
        </w:rPr>
        <w:t xml:space="preserve">. </w:t>
      </w:r>
      <w:r w:rsidRPr="00220302">
        <w:rPr>
          <w:rFonts w:ascii="Palatino Linotype" w:eastAsia="Palatino Linotype" w:hAnsi="Palatino Linotype" w:cs="Palatino Linotype"/>
          <w:color w:val="000000"/>
          <w:sz w:val="22"/>
          <w:szCs w:val="22"/>
        </w:rPr>
        <w:t>De las constancias que integran el expediente en que se actúa se advierte que durante el periodo de manifestaciones,</w:t>
      </w:r>
      <w:r w:rsidR="002942BA" w:rsidRPr="00220302">
        <w:rPr>
          <w:rFonts w:ascii="Palatino Linotype" w:eastAsia="Palatino Linotype" w:hAnsi="Palatino Linotype" w:cs="Palatino Linotype"/>
          <w:color w:val="000000"/>
          <w:sz w:val="22"/>
          <w:szCs w:val="22"/>
        </w:rPr>
        <w:t xml:space="preserve"> el </w:t>
      </w:r>
      <w:r w:rsidR="002942BA" w:rsidRPr="00220302">
        <w:rPr>
          <w:rFonts w:ascii="Palatino Linotype" w:eastAsia="Palatino Linotype" w:hAnsi="Palatino Linotype" w:cs="Palatino Linotype"/>
          <w:b/>
          <w:color w:val="000000"/>
          <w:sz w:val="22"/>
          <w:szCs w:val="22"/>
        </w:rPr>
        <w:t>Sujeto Obligado</w:t>
      </w:r>
      <w:r w:rsidR="002942BA" w:rsidRPr="00220302">
        <w:rPr>
          <w:rFonts w:ascii="Palatino Linotype" w:eastAsia="Palatino Linotype" w:hAnsi="Palatino Linotype" w:cs="Palatino Linotype"/>
          <w:color w:val="000000"/>
          <w:sz w:val="22"/>
          <w:szCs w:val="22"/>
        </w:rPr>
        <w:t xml:space="preserve"> adjuntó</w:t>
      </w:r>
      <w:r w:rsidRPr="00220302">
        <w:rPr>
          <w:rFonts w:ascii="Palatino Linotype" w:eastAsia="Palatino Linotype" w:hAnsi="Palatino Linotype" w:cs="Palatino Linotype"/>
          <w:color w:val="000000"/>
          <w:sz w:val="22"/>
          <w:szCs w:val="22"/>
        </w:rPr>
        <w:t xml:space="preserve"> </w:t>
      </w:r>
      <w:r w:rsidR="002942BA" w:rsidRPr="00220302">
        <w:rPr>
          <w:rFonts w:ascii="Palatino Linotype" w:eastAsia="Palatino Linotype" w:hAnsi="Palatino Linotype" w:cs="Palatino Linotype"/>
          <w:color w:val="000000"/>
          <w:sz w:val="22"/>
          <w:szCs w:val="22"/>
        </w:rPr>
        <w:t xml:space="preserve">el </w:t>
      </w:r>
      <w:r w:rsidR="001A10A5" w:rsidRPr="00220302">
        <w:rPr>
          <w:rFonts w:ascii="Palatino Linotype" w:eastAsia="Palatino Linotype" w:hAnsi="Palatino Linotype" w:cs="Palatino Linotype"/>
          <w:b/>
          <w:color w:val="000000"/>
          <w:sz w:val="22"/>
          <w:szCs w:val="22"/>
        </w:rPr>
        <w:t>dieciséis de abril de dos mil veinticuatro</w:t>
      </w:r>
      <w:r w:rsidR="001A10A5" w:rsidRPr="00220302">
        <w:rPr>
          <w:rFonts w:ascii="Palatino Linotype" w:eastAsia="Palatino Linotype" w:hAnsi="Palatino Linotype" w:cs="Palatino Linotype"/>
          <w:color w:val="000000"/>
          <w:sz w:val="22"/>
          <w:szCs w:val="22"/>
        </w:rPr>
        <w:t>, los archivos electrónicos “</w:t>
      </w:r>
      <w:r w:rsidR="001A10A5" w:rsidRPr="00220302">
        <w:rPr>
          <w:rFonts w:ascii="Palatino Linotype" w:eastAsia="Palatino Linotype" w:hAnsi="Palatino Linotype" w:cs="Palatino Linotype"/>
          <w:b/>
          <w:i/>
          <w:color w:val="000000"/>
          <w:sz w:val="22"/>
          <w:szCs w:val="22"/>
        </w:rPr>
        <w:t xml:space="preserve">Informe justificado RR. 01769-2024 (sol. 0138-2024).pdf” y “Consideraciones OSFEM- RR. 01769-Sol. 138-2024.pdf”, </w:t>
      </w:r>
      <w:r w:rsidR="001A10A5" w:rsidRPr="00220302">
        <w:rPr>
          <w:rFonts w:ascii="Palatino Linotype" w:eastAsia="Palatino Linotype" w:hAnsi="Palatino Linotype" w:cs="Palatino Linotype"/>
          <w:color w:val="000000"/>
          <w:sz w:val="22"/>
          <w:szCs w:val="22"/>
        </w:rPr>
        <w:t>mediante los cuales ratifica los términos de su respuesta inicial.</w:t>
      </w:r>
    </w:p>
    <w:p w14:paraId="7628977A" w14:textId="77777777" w:rsidR="002942BA" w:rsidRPr="00220302" w:rsidRDefault="002942BA">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p>
    <w:p w14:paraId="0E4823E7" w14:textId="77777777" w:rsidR="00E96F5D" w:rsidRPr="00220302" w:rsidRDefault="002942BA">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r w:rsidRPr="00220302">
        <w:rPr>
          <w:rFonts w:ascii="Palatino Linotype" w:eastAsia="Palatino Linotype" w:hAnsi="Palatino Linotype" w:cs="Palatino Linotype"/>
          <w:color w:val="000000"/>
          <w:sz w:val="22"/>
          <w:szCs w:val="22"/>
        </w:rPr>
        <w:t xml:space="preserve">Por cuanto hace a </w:t>
      </w:r>
      <w:r w:rsidRPr="00220302">
        <w:rPr>
          <w:rFonts w:ascii="Palatino Linotype" w:eastAsia="Palatino Linotype" w:hAnsi="Palatino Linotype" w:cs="Palatino Linotype"/>
          <w:b/>
          <w:color w:val="000000"/>
          <w:sz w:val="22"/>
          <w:szCs w:val="22"/>
        </w:rPr>
        <w:t>la parte Recurrente</w:t>
      </w:r>
      <w:r w:rsidRPr="00220302">
        <w:rPr>
          <w:rFonts w:ascii="Palatino Linotype" w:eastAsia="Palatino Linotype" w:hAnsi="Palatino Linotype" w:cs="Palatino Linotype"/>
          <w:color w:val="000000"/>
          <w:sz w:val="22"/>
          <w:szCs w:val="22"/>
        </w:rPr>
        <w:t>, se tiene que no expresó manifestación alguna en este apartado, por lo tanto se tiene precluido su derecho para tal efecto.</w:t>
      </w:r>
    </w:p>
    <w:p w14:paraId="0095FCB6" w14:textId="77777777" w:rsidR="00E96F5D" w:rsidRPr="00220302" w:rsidRDefault="00E96F5D">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150C708B" w14:textId="77777777" w:rsidR="00E96F5D" w:rsidRPr="00220302" w:rsidRDefault="00014B04">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r w:rsidRPr="00220302">
        <w:rPr>
          <w:rFonts w:ascii="Palatino Linotype" w:eastAsia="Palatino Linotype" w:hAnsi="Palatino Linotype" w:cs="Palatino Linotype"/>
          <w:color w:val="000000"/>
          <w:sz w:val="22"/>
          <w:szCs w:val="22"/>
        </w:rPr>
        <w:t xml:space="preserve">Una vez analizada esta documentación, la Comisionada Ponente determinó poner esta documentación a disposición de </w:t>
      </w:r>
      <w:r w:rsidRPr="00220302">
        <w:rPr>
          <w:rFonts w:ascii="Palatino Linotype" w:eastAsia="Palatino Linotype" w:hAnsi="Palatino Linotype" w:cs="Palatino Linotype"/>
          <w:b/>
          <w:color w:val="000000"/>
          <w:sz w:val="22"/>
          <w:szCs w:val="22"/>
        </w:rPr>
        <w:t>la parte Recurrente</w:t>
      </w:r>
      <w:r w:rsidRPr="00220302">
        <w:rPr>
          <w:rFonts w:ascii="Palatino Linotype" w:eastAsia="Palatino Linotype" w:hAnsi="Palatino Linotype" w:cs="Palatino Linotype"/>
          <w:color w:val="000000"/>
          <w:sz w:val="22"/>
          <w:szCs w:val="22"/>
        </w:rPr>
        <w:t xml:space="preserve"> mediante signado el </w:t>
      </w:r>
      <w:r w:rsidR="001A10A5" w:rsidRPr="00220302">
        <w:rPr>
          <w:rFonts w:ascii="Palatino Linotype" w:eastAsia="Palatino Linotype" w:hAnsi="Palatino Linotype" w:cs="Palatino Linotype"/>
          <w:b/>
          <w:color w:val="000000"/>
          <w:sz w:val="22"/>
          <w:szCs w:val="22"/>
        </w:rPr>
        <w:t>catorce</w:t>
      </w:r>
      <w:r w:rsidR="002942BA" w:rsidRPr="00220302">
        <w:rPr>
          <w:rFonts w:ascii="Palatino Linotype" w:eastAsia="Palatino Linotype" w:hAnsi="Palatino Linotype" w:cs="Palatino Linotype"/>
          <w:b/>
          <w:color w:val="000000"/>
          <w:sz w:val="22"/>
          <w:szCs w:val="22"/>
        </w:rPr>
        <w:t xml:space="preserve"> de agosto</w:t>
      </w:r>
      <w:r w:rsidRPr="00220302">
        <w:rPr>
          <w:rFonts w:ascii="Palatino Linotype" w:eastAsia="Palatino Linotype" w:hAnsi="Palatino Linotype" w:cs="Palatino Linotype"/>
          <w:b/>
          <w:color w:val="000000"/>
          <w:sz w:val="22"/>
          <w:szCs w:val="22"/>
        </w:rPr>
        <w:t xml:space="preserve"> de dos mil veinticuatro</w:t>
      </w:r>
      <w:r w:rsidRPr="00220302">
        <w:rPr>
          <w:rFonts w:ascii="Palatino Linotype" w:eastAsia="Palatino Linotype" w:hAnsi="Palatino Linotype" w:cs="Palatino Linotype"/>
          <w:color w:val="000000"/>
          <w:sz w:val="22"/>
          <w:szCs w:val="22"/>
        </w:rPr>
        <w:t>.</w:t>
      </w:r>
    </w:p>
    <w:p w14:paraId="19462E3C" w14:textId="77777777" w:rsidR="00E96F5D" w:rsidRPr="00220302" w:rsidRDefault="001A10A5">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r w:rsidRPr="00220302">
        <w:rPr>
          <w:rFonts w:ascii="Palatino Linotype" w:eastAsia="Palatino Linotype" w:hAnsi="Palatino Linotype" w:cs="Palatino Linotype"/>
          <w:noProof/>
          <w:color w:val="000000"/>
          <w:sz w:val="22"/>
          <w:szCs w:val="22"/>
        </w:rPr>
        <w:drawing>
          <wp:inline distT="0" distB="0" distL="0" distR="0" wp14:anchorId="11B3D3DD" wp14:editId="3AD37504">
            <wp:extent cx="5612130" cy="2226310"/>
            <wp:effectExtent l="19050" t="19050" r="26670" b="215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2226310"/>
                    </a:xfrm>
                    <a:prstGeom prst="rect">
                      <a:avLst/>
                    </a:prstGeom>
                    <a:ln>
                      <a:solidFill>
                        <a:schemeClr val="tx1"/>
                      </a:solidFill>
                    </a:ln>
                  </pic:spPr>
                </pic:pic>
              </a:graphicData>
            </a:graphic>
          </wp:inline>
        </w:drawing>
      </w:r>
    </w:p>
    <w:p w14:paraId="34687972" w14:textId="77777777" w:rsidR="00E96F5D" w:rsidRPr="00220302" w:rsidRDefault="00E96F5D">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2707CABE" w14:textId="77777777" w:rsidR="00E96F5D" w:rsidRPr="00220302" w:rsidRDefault="00014B04">
      <w:pPr>
        <w:spacing w:after="240" w:line="360" w:lineRule="auto"/>
        <w:jc w:val="both"/>
        <w:rPr>
          <w:rFonts w:ascii="Palatino Linotype" w:eastAsia="Palatino Linotype" w:hAnsi="Palatino Linotype" w:cs="Palatino Linotype"/>
          <w:b/>
          <w:sz w:val="22"/>
          <w:szCs w:val="22"/>
        </w:rPr>
      </w:pPr>
      <w:r w:rsidRPr="00220302">
        <w:rPr>
          <w:rFonts w:ascii="Palatino Linotype" w:eastAsia="Palatino Linotype" w:hAnsi="Palatino Linotype" w:cs="Palatino Linotype"/>
          <w:b/>
          <w:sz w:val="22"/>
          <w:szCs w:val="22"/>
        </w:rPr>
        <w:t>7. Ampliación del término para resolver</w:t>
      </w:r>
      <w:r w:rsidRPr="00220302">
        <w:rPr>
          <w:rFonts w:ascii="Palatino Linotype" w:eastAsia="Palatino Linotype" w:hAnsi="Palatino Linotype" w:cs="Palatino Linotype"/>
          <w:sz w:val="22"/>
          <w:szCs w:val="22"/>
        </w:rPr>
        <w:t xml:space="preserve">. El </w:t>
      </w:r>
      <w:r w:rsidR="001A10A5" w:rsidRPr="00220302">
        <w:rPr>
          <w:rFonts w:ascii="Palatino Linotype" w:eastAsia="Palatino Linotype" w:hAnsi="Palatino Linotype" w:cs="Palatino Linotype"/>
          <w:b/>
          <w:sz w:val="22"/>
          <w:szCs w:val="22"/>
        </w:rPr>
        <w:t>catorce</w:t>
      </w:r>
      <w:r w:rsidR="002942BA" w:rsidRPr="00220302">
        <w:rPr>
          <w:rFonts w:ascii="Palatino Linotype" w:eastAsia="Palatino Linotype" w:hAnsi="Palatino Linotype" w:cs="Palatino Linotype"/>
          <w:b/>
          <w:sz w:val="22"/>
          <w:szCs w:val="22"/>
        </w:rPr>
        <w:t xml:space="preserve"> de agost</w:t>
      </w:r>
      <w:r w:rsidRPr="00220302">
        <w:rPr>
          <w:rFonts w:ascii="Palatino Linotype" w:eastAsia="Palatino Linotype" w:hAnsi="Palatino Linotype" w:cs="Palatino Linotype"/>
          <w:b/>
          <w:sz w:val="22"/>
          <w:szCs w:val="22"/>
        </w:rPr>
        <w:t>o de dos mil veinticuatro</w:t>
      </w:r>
      <w:r w:rsidRPr="00220302">
        <w:rPr>
          <w:rFonts w:ascii="Palatino Linotype" w:eastAsia="Palatino Linotype" w:hAnsi="Palatino Linotype" w:cs="Palatino Linotype"/>
          <w:sz w:val="22"/>
          <w:szCs w:val="22"/>
        </w:rPr>
        <w:t>, se amplió el término para resolver el recurso de revisión en términos del artículo 181 párrafo tercero de la Ley de Transparencia y Acceso a la Información Pública del Estado de México y Municipios.</w:t>
      </w:r>
    </w:p>
    <w:p w14:paraId="70F99F51" w14:textId="77777777" w:rsidR="00E96F5D" w:rsidRPr="00220302" w:rsidRDefault="00014B04">
      <w:pPr>
        <w:spacing w:before="240" w:after="240" w:line="360" w:lineRule="auto"/>
        <w:jc w:val="both"/>
        <w:rPr>
          <w:rFonts w:ascii="Palatino Linotype" w:eastAsia="Palatino Linotype" w:hAnsi="Palatino Linotype" w:cs="Palatino Linotype"/>
          <w:sz w:val="22"/>
          <w:szCs w:val="22"/>
        </w:rPr>
      </w:pPr>
      <w:r w:rsidRPr="00220302">
        <w:rPr>
          <w:rFonts w:ascii="Palatino Linotype" w:eastAsia="Palatino Linotype" w:hAnsi="Palatino Linotype" w:cs="Palatino Linotype"/>
          <w:sz w:val="22"/>
          <w:szCs w:val="22"/>
        </w:rPr>
        <w:lastRenderedPageBreak/>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3361E924" w14:textId="77777777" w:rsidR="00E96F5D" w:rsidRPr="00220302" w:rsidRDefault="00014B04">
      <w:pPr>
        <w:spacing w:before="240" w:after="240" w:line="360" w:lineRule="auto"/>
        <w:jc w:val="both"/>
        <w:rPr>
          <w:rFonts w:ascii="Palatino Linotype" w:eastAsia="Palatino Linotype" w:hAnsi="Palatino Linotype" w:cs="Palatino Linotype"/>
          <w:sz w:val="22"/>
          <w:szCs w:val="22"/>
        </w:rPr>
      </w:pPr>
      <w:r w:rsidRPr="00220302">
        <w:rPr>
          <w:rFonts w:ascii="Palatino Linotype" w:eastAsia="Palatino Linotype" w:hAnsi="Palatino Linotype" w:cs="Palatino Linotype"/>
          <w:sz w:val="22"/>
          <w:szCs w:val="22"/>
        </w:rPr>
        <w:t>Por ello, es menester precisar que si bien se ha excedido el plazo para resolver el presente medio de impugnación, de conformidad con la ley de la materia, el plazo para emitir la resolución se encuentra ju en los elementos para medir la razonabilidad de asuntos conforme a los parámetros establecidos por diversos órganos jurisdiccionales federales, aplicables también en procedimientos análogos, como el que nos ocupa.</w:t>
      </w:r>
    </w:p>
    <w:p w14:paraId="4E39CBF1" w14:textId="77777777" w:rsidR="00E96F5D" w:rsidRPr="00220302" w:rsidRDefault="00014B04">
      <w:pPr>
        <w:spacing w:before="240" w:after="240" w:line="360" w:lineRule="auto"/>
        <w:jc w:val="both"/>
        <w:rPr>
          <w:rFonts w:ascii="Palatino Linotype" w:eastAsia="Palatino Linotype" w:hAnsi="Palatino Linotype" w:cs="Palatino Linotype"/>
          <w:sz w:val="22"/>
          <w:szCs w:val="22"/>
        </w:rPr>
      </w:pPr>
      <w:r w:rsidRPr="00220302">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A51A96E" w14:textId="77777777" w:rsidR="00E96F5D" w:rsidRPr="00220302" w:rsidRDefault="00014B04">
      <w:pPr>
        <w:spacing w:before="240" w:after="240" w:line="360" w:lineRule="auto"/>
        <w:jc w:val="both"/>
        <w:rPr>
          <w:rFonts w:ascii="Palatino Linotype" w:eastAsia="Palatino Linotype" w:hAnsi="Palatino Linotype" w:cs="Palatino Linotype"/>
          <w:sz w:val="22"/>
          <w:szCs w:val="22"/>
        </w:rPr>
      </w:pPr>
      <w:r w:rsidRPr="00220302">
        <w:rPr>
          <w:rFonts w:ascii="Palatino Linotype" w:eastAsia="Palatino Linotype" w:hAnsi="Palatino Linotype" w:cs="Palatino Linotype"/>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9DDA260" w14:textId="77777777" w:rsidR="00E96F5D" w:rsidRPr="00220302" w:rsidRDefault="00014B04">
      <w:pPr>
        <w:spacing w:before="240" w:after="240" w:line="360" w:lineRule="auto"/>
        <w:jc w:val="both"/>
        <w:rPr>
          <w:rFonts w:ascii="Palatino Linotype" w:eastAsia="Palatino Linotype" w:hAnsi="Palatino Linotype" w:cs="Palatino Linotype"/>
          <w:strike/>
          <w:sz w:val="22"/>
          <w:szCs w:val="22"/>
        </w:rPr>
      </w:pPr>
      <w:r w:rsidRPr="00220302">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56AB064E" w14:textId="77777777" w:rsidR="00E96F5D" w:rsidRPr="00220302" w:rsidRDefault="00014B04">
      <w:pPr>
        <w:numPr>
          <w:ilvl w:val="0"/>
          <w:numId w:val="4"/>
        </w:numPr>
        <w:tabs>
          <w:tab w:val="left" w:pos="993"/>
        </w:tabs>
        <w:spacing w:before="240" w:after="240" w:line="360" w:lineRule="auto"/>
        <w:ind w:left="567" w:right="900" w:firstLine="0"/>
        <w:jc w:val="both"/>
        <w:rPr>
          <w:rFonts w:ascii="Palatino Linotype" w:eastAsia="Palatino Linotype" w:hAnsi="Palatino Linotype" w:cs="Palatino Linotype"/>
          <w:sz w:val="22"/>
          <w:szCs w:val="22"/>
        </w:rPr>
      </w:pPr>
      <w:r w:rsidRPr="00220302">
        <w:rPr>
          <w:rFonts w:ascii="Palatino Linotype" w:eastAsia="Palatino Linotype" w:hAnsi="Palatino Linotype" w:cs="Palatino Linotype"/>
          <w:b/>
          <w:sz w:val="22"/>
          <w:szCs w:val="22"/>
        </w:rPr>
        <w:t>Complejidad del Asunto:</w:t>
      </w:r>
      <w:r w:rsidRPr="00220302">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 </w:t>
      </w:r>
    </w:p>
    <w:p w14:paraId="7A1DB879" w14:textId="77777777" w:rsidR="00E96F5D" w:rsidRPr="00220302" w:rsidRDefault="00014B04">
      <w:pPr>
        <w:numPr>
          <w:ilvl w:val="0"/>
          <w:numId w:val="4"/>
        </w:numPr>
        <w:tabs>
          <w:tab w:val="left" w:pos="993"/>
        </w:tabs>
        <w:spacing w:before="240" w:after="240" w:line="360" w:lineRule="auto"/>
        <w:ind w:left="567" w:right="900" w:firstLine="0"/>
        <w:jc w:val="both"/>
        <w:rPr>
          <w:rFonts w:ascii="Palatino Linotype" w:eastAsia="Palatino Linotype" w:hAnsi="Palatino Linotype" w:cs="Palatino Linotype"/>
          <w:sz w:val="22"/>
          <w:szCs w:val="22"/>
        </w:rPr>
      </w:pPr>
      <w:r w:rsidRPr="00220302">
        <w:rPr>
          <w:rFonts w:ascii="Palatino Linotype" w:eastAsia="Palatino Linotype" w:hAnsi="Palatino Linotype" w:cs="Palatino Linotype"/>
          <w:b/>
          <w:sz w:val="22"/>
          <w:szCs w:val="22"/>
        </w:rPr>
        <w:t>Actividad Procesal del interesado</w:t>
      </w:r>
      <w:r w:rsidRPr="00220302">
        <w:rPr>
          <w:rFonts w:ascii="Palatino Linotype" w:eastAsia="Palatino Linotype" w:hAnsi="Palatino Linotype" w:cs="Palatino Linotype"/>
          <w:sz w:val="22"/>
          <w:szCs w:val="22"/>
        </w:rPr>
        <w:t>. Acciones u omisiones del interesado.</w:t>
      </w:r>
    </w:p>
    <w:p w14:paraId="613AE780" w14:textId="77777777" w:rsidR="00E96F5D" w:rsidRPr="00220302" w:rsidRDefault="00014B04">
      <w:pPr>
        <w:numPr>
          <w:ilvl w:val="0"/>
          <w:numId w:val="4"/>
        </w:numPr>
        <w:tabs>
          <w:tab w:val="left" w:pos="993"/>
        </w:tabs>
        <w:spacing w:before="240" w:after="240" w:line="360" w:lineRule="auto"/>
        <w:ind w:left="567" w:right="900" w:firstLine="0"/>
        <w:jc w:val="both"/>
        <w:rPr>
          <w:rFonts w:ascii="Palatino Linotype" w:eastAsia="Palatino Linotype" w:hAnsi="Palatino Linotype" w:cs="Palatino Linotype"/>
          <w:sz w:val="22"/>
          <w:szCs w:val="22"/>
        </w:rPr>
      </w:pPr>
      <w:r w:rsidRPr="00220302">
        <w:rPr>
          <w:rFonts w:ascii="Palatino Linotype" w:eastAsia="Palatino Linotype" w:hAnsi="Palatino Linotype" w:cs="Palatino Linotype"/>
          <w:b/>
          <w:sz w:val="22"/>
          <w:szCs w:val="22"/>
        </w:rPr>
        <w:lastRenderedPageBreak/>
        <w:t>Conducta de la Autoridad:</w:t>
      </w:r>
      <w:r w:rsidRPr="00220302">
        <w:rPr>
          <w:rFonts w:ascii="Palatino Linotype" w:eastAsia="Palatino Linotype" w:hAnsi="Palatino Linotype" w:cs="Palatino Linotype"/>
          <w:sz w:val="22"/>
          <w:szCs w:val="22"/>
        </w:rPr>
        <w:t xml:space="preserve"> Las Acciones u omisiones realizadas en el procedimiento. Así como si la autoridad actuó con la debida diligencia.</w:t>
      </w:r>
    </w:p>
    <w:p w14:paraId="2BD008EC" w14:textId="77777777" w:rsidR="00E96F5D" w:rsidRPr="00220302" w:rsidRDefault="00014B04">
      <w:pPr>
        <w:numPr>
          <w:ilvl w:val="0"/>
          <w:numId w:val="4"/>
        </w:numPr>
        <w:tabs>
          <w:tab w:val="left" w:pos="993"/>
        </w:tabs>
        <w:spacing w:before="240" w:after="240" w:line="360" w:lineRule="auto"/>
        <w:ind w:left="567" w:right="900" w:firstLine="0"/>
        <w:jc w:val="both"/>
        <w:rPr>
          <w:rFonts w:ascii="Palatino Linotype" w:eastAsia="Palatino Linotype" w:hAnsi="Palatino Linotype" w:cs="Palatino Linotype"/>
          <w:sz w:val="22"/>
          <w:szCs w:val="22"/>
        </w:rPr>
      </w:pPr>
      <w:r w:rsidRPr="00220302">
        <w:rPr>
          <w:rFonts w:ascii="Palatino Linotype" w:eastAsia="Palatino Linotype" w:hAnsi="Palatino Linotype" w:cs="Palatino Linotype"/>
          <w:b/>
          <w:sz w:val="22"/>
          <w:szCs w:val="22"/>
        </w:rPr>
        <w:t>La afectación generada en la situación jurídica de la persona involucrada en el proceso:</w:t>
      </w:r>
      <w:r w:rsidRPr="00220302">
        <w:rPr>
          <w:rFonts w:ascii="Palatino Linotype" w:eastAsia="Palatino Linotype" w:hAnsi="Palatino Linotype" w:cs="Palatino Linotype"/>
          <w:sz w:val="22"/>
          <w:szCs w:val="22"/>
        </w:rPr>
        <w:t xml:space="preserve"> Violación a sus derechos humanos.</w:t>
      </w:r>
    </w:p>
    <w:p w14:paraId="66F2FD08" w14:textId="77777777" w:rsidR="00E96F5D" w:rsidRPr="00220302" w:rsidRDefault="00014B04">
      <w:pPr>
        <w:spacing w:before="240" w:after="240" w:line="360" w:lineRule="auto"/>
        <w:jc w:val="both"/>
        <w:rPr>
          <w:rFonts w:ascii="Palatino Linotype" w:eastAsia="Palatino Linotype" w:hAnsi="Palatino Linotype" w:cs="Palatino Linotype"/>
          <w:sz w:val="22"/>
          <w:szCs w:val="22"/>
        </w:rPr>
      </w:pPr>
      <w:r w:rsidRPr="00220302">
        <w:rPr>
          <w:rFonts w:ascii="Palatino Linotype" w:eastAsia="Palatino Linotype" w:hAnsi="Palatino Linotype" w:cs="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2E1F7B2" w14:textId="77777777" w:rsidR="00E96F5D" w:rsidRPr="00220302" w:rsidRDefault="00014B04">
      <w:pPr>
        <w:spacing w:before="240" w:after="240" w:line="360" w:lineRule="auto"/>
        <w:jc w:val="both"/>
        <w:rPr>
          <w:rFonts w:ascii="Palatino Linotype" w:eastAsia="Palatino Linotype" w:hAnsi="Palatino Linotype" w:cs="Palatino Linotype"/>
          <w:b/>
          <w:sz w:val="22"/>
          <w:szCs w:val="22"/>
        </w:rPr>
      </w:pPr>
      <w:r w:rsidRPr="00220302">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 rubro </w:t>
      </w:r>
      <w:r w:rsidRPr="00220302">
        <w:rPr>
          <w:rFonts w:ascii="Palatino Linotype" w:eastAsia="Palatino Linotype" w:hAnsi="Palatino Linotype" w:cs="Palatino Linotype"/>
          <w:i/>
          <w:sz w:val="22"/>
          <w:szCs w:val="22"/>
        </w:rPr>
        <w:t>“TÉRMINOS PROCESALES. PARA DETERMINAR SI UN FUNCIONARIO JUDICIAL ACTUÓ INDEBIDAMENTE POR NO RESPETARLOS SE DEBE ATENDER AL PRESUPUESTO QUE CONSIDERÓ EL LEGISLADOR AL FIJARLOS Y LAS CARACTERÍSTICAS DEL CASO.”</w:t>
      </w:r>
      <w:r w:rsidRPr="00220302">
        <w:rPr>
          <w:rFonts w:ascii="Palatino Linotype" w:eastAsia="Palatino Linotype" w:hAnsi="Palatino Linotype" w:cs="Palatino Linotype"/>
          <w:sz w:val="22"/>
          <w:szCs w:val="22"/>
        </w:rPr>
        <w:t>, visible en la Gaceta del Seminario Judicial de la Federación con el registro digital 205635.</w:t>
      </w:r>
    </w:p>
    <w:p w14:paraId="01E82EB3" w14:textId="77777777" w:rsidR="00E96F5D" w:rsidRPr="00220302" w:rsidRDefault="00014B04">
      <w:pPr>
        <w:spacing w:before="240" w:after="240" w:line="360" w:lineRule="auto"/>
        <w:jc w:val="both"/>
        <w:rPr>
          <w:rFonts w:ascii="Palatino Linotype" w:eastAsia="Palatino Linotype" w:hAnsi="Palatino Linotype" w:cs="Palatino Linotype"/>
          <w:sz w:val="22"/>
          <w:szCs w:val="22"/>
        </w:rPr>
      </w:pPr>
      <w:r w:rsidRPr="00220302">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35443FF" w14:textId="77777777" w:rsidR="00E96F5D" w:rsidRPr="00220302" w:rsidRDefault="00014B04">
      <w:pPr>
        <w:spacing w:before="240" w:after="240" w:line="360" w:lineRule="auto"/>
        <w:jc w:val="both"/>
        <w:rPr>
          <w:rFonts w:ascii="Palatino Linotype" w:eastAsia="Palatino Linotype" w:hAnsi="Palatino Linotype" w:cs="Palatino Linotype"/>
          <w:sz w:val="22"/>
          <w:szCs w:val="22"/>
        </w:rPr>
      </w:pPr>
      <w:r w:rsidRPr="00220302">
        <w:rPr>
          <w:rFonts w:ascii="Palatino Linotype" w:eastAsia="Palatino Linotype" w:hAnsi="Palatino Linotype" w:cs="Palatino Linotype"/>
          <w:sz w:val="22"/>
          <w:szCs w:val="22"/>
        </w:rPr>
        <w:lastRenderedPageBreak/>
        <w:t>Al respecto, también son de considerar los criterios sostenidos por el Cuarto Tribunal Colegiado en Materia Administrativa del Primer Circuito, cuyos rubros y datos de identificación son los siguientes:</w:t>
      </w:r>
    </w:p>
    <w:p w14:paraId="12C1659C" w14:textId="77777777" w:rsidR="00E96F5D" w:rsidRPr="00220302" w:rsidRDefault="00014B04">
      <w:pPr>
        <w:spacing w:before="240" w:after="240" w:line="360" w:lineRule="auto"/>
        <w:ind w:left="851" w:right="900"/>
        <w:jc w:val="both"/>
        <w:rPr>
          <w:rFonts w:ascii="Palatino Linotype" w:eastAsia="Palatino Linotype" w:hAnsi="Palatino Linotype" w:cs="Palatino Linotype"/>
          <w:sz w:val="22"/>
          <w:szCs w:val="22"/>
        </w:rPr>
      </w:pPr>
      <w:r w:rsidRPr="00220302">
        <w:rPr>
          <w:rFonts w:ascii="Palatino Linotype" w:eastAsia="Palatino Linotype" w:hAnsi="Palatino Linotype" w:cs="Palatino Linotype"/>
          <w:sz w:val="22"/>
          <w:szCs w:val="22"/>
        </w:rPr>
        <w:t xml:space="preserve"> </w:t>
      </w:r>
      <w:r w:rsidRPr="00220302">
        <w:rPr>
          <w:rFonts w:ascii="Palatino Linotype" w:eastAsia="Palatino Linotype" w:hAnsi="Palatino Linotype" w:cs="Palatino Linotype"/>
          <w:b/>
          <w:i/>
          <w:sz w:val="22"/>
          <w:szCs w:val="22"/>
        </w:rPr>
        <w:t>“PLAZO RAZONABLE PARA RESOLVER. DIMENSIÓN Y EFECTOS DE ESTE CONCEPTO CUANDO SE ADUCE EXCESIVA CARGA DE TRABAJO</w:t>
      </w:r>
      <w:r w:rsidRPr="00220302">
        <w:rPr>
          <w:rFonts w:ascii="Palatino Linotype" w:eastAsia="Palatino Linotype" w:hAnsi="Palatino Linotype" w:cs="Palatino Linotype"/>
          <w:i/>
          <w:sz w:val="22"/>
          <w:szCs w:val="22"/>
        </w:rPr>
        <w:t>.”</w:t>
      </w:r>
      <w:r w:rsidRPr="00220302">
        <w:rPr>
          <w:rFonts w:ascii="Palatino Linotype" w:eastAsia="Palatino Linotype" w:hAnsi="Palatino Linotype" w:cs="Palatino Linotype"/>
          <w:sz w:val="22"/>
          <w:szCs w:val="22"/>
        </w:rPr>
        <w:t xml:space="preserve"> consultable en el Seminario Judicial de la Federación y su gaceta, con el registro digital 2002351.</w:t>
      </w:r>
    </w:p>
    <w:p w14:paraId="2063BF3B" w14:textId="77777777" w:rsidR="00E96F5D" w:rsidRPr="00220302" w:rsidRDefault="00014B04">
      <w:pPr>
        <w:spacing w:before="240" w:after="240" w:line="360" w:lineRule="auto"/>
        <w:ind w:left="851" w:right="900"/>
        <w:jc w:val="both"/>
        <w:rPr>
          <w:rFonts w:ascii="Palatino Linotype" w:eastAsia="Palatino Linotype" w:hAnsi="Palatino Linotype" w:cs="Palatino Linotype"/>
          <w:sz w:val="22"/>
          <w:szCs w:val="22"/>
        </w:rPr>
      </w:pPr>
      <w:r w:rsidRPr="00220302">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220302">
        <w:rPr>
          <w:rFonts w:ascii="Palatino Linotype" w:eastAsia="Palatino Linotype" w:hAnsi="Palatino Linotype" w:cs="Palatino Linotype"/>
          <w:sz w:val="22"/>
          <w:szCs w:val="22"/>
        </w:rPr>
        <w:t>, visible en el Seminario Judicial de la Federación y su gaceta, con el registro digital 2002350.</w:t>
      </w:r>
    </w:p>
    <w:p w14:paraId="2DABFEB2" w14:textId="77777777" w:rsidR="00E96F5D" w:rsidRPr="00220302" w:rsidRDefault="00014B04">
      <w:pPr>
        <w:spacing w:before="240" w:after="240" w:line="360" w:lineRule="auto"/>
        <w:jc w:val="both"/>
        <w:rPr>
          <w:rFonts w:ascii="Palatino Linotype" w:eastAsia="Palatino Linotype" w:hAnsi="Palatino Linotype" w:cs="Palatino Linotype"/>
          <w:sz w:val="22"/>
          <w:szCs w:val="22"/>
        </w:rPr>
      </w:pPr>
      <w:r w:rsidRPr="00220302">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14:paraId="3A56B859" w14:textId="77777777" w:rsidR="00E96F5D" w:rsidRPr="00220302" w:rsidRDefault="00014B0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20302">
        <w:rPr>
          <w:rFonts w:ascii="Palatino Linotype" w:eastAsia="Palatino Linotype" w:hAnsi="Palatino Linotype" w:cs="Palatino Linotype"/>
          <w:b/>
          <w:color w:val="000000"/>
          <w:sz w:val="22"/>
          <w:szCs w:val="22"/>
        </w:rPr>
        <w:t xml:space="preserve">8. </w:t>
      </w:r>
      <w:r w:rsidRPr="00220302">
        <w:rPr>
          <w:rFonts w:ascii="Palatino Linotype" w:eastAsia="Palatino Linotype" w:hAnsi="Palatino Linotype" w:cs="Palatino Linotype"/>
          <w:b/>
          <w:sz w:val="22"/>
          <w:szCs w:val="22"/>
        </w:rPr>
        <w:t xml:space="preserve">Cierre de instrucción. </w:t>
      </w:r>
      <w:r w:rsidRPr="00220302">
        <w:rPr>
          <w:rFonts w:ascii="Palatino Linotype" w:eastAsia="Palatino Linotype" w:hAnsi="Palatino Linotype" w:cs="Palatino Linotype"/>
          <w:sz w:val="22"/>
          <w:szCs w:val="22"/>
        </w:rPr>
        <w:t>Una vez transcurrido el periodo otorgado a las partes para realizar sus manifestaciones y no habiendo documentos que i</w:t>
      </w:r>
      <w:r w:rsidR="00C67AA2" w:rsidRPr="00220302">
        <w:rPr>
          <w:rFonts w:ascii="Palatino Linotype" w:eastAsia="Palatino Linotype" w:hAnsi="Palatino Linotype" w:cs="Palatino Linotype"/>
          <w:sz w:val="22"/>
          <w:szCs w:val="22"/>
        </w:rPr>
        <w:t>ntegrar al expediente, el</w:t>
      </w:r>
      <w:r w:rsidRPr="00220302">
        <w:rPr>
          <w:rFonts w:ascii="Palatino Linotype" w:eastAsia="Palatino Linotype" w:hAnsi="Palatino Linotype" w:cs="Palatino Linotype"/>
          <w:sz w:val="22"/>
          <w:szCs w:val="22"/>
        </w:rPr>
        <w:t xml:space="preserve"> </w:t>
      </w:r>
      <w:r w:rsidR="001A10A5" w:rsidRPr="00220302">
        <w:rPr>
          <w:rFonts w:ascii="Palatino Linotype" w:eastAsia="Palatino Linotype" w:hAnsi="Palatino Linotype" w:cs="Palatino Linotype"/>
          <w:b/>
          <w:sz w:val="22"/>
          <w:szCs w:val="22"/>
        </w:rPr>
        <w:t>veinte</w:t>
      </w:r>
      <w:r w:rsidR="004F2540" w:rsidRPr="00220302">
        <w:rPr>
          <w:rFonts w:ascii="Palatino Linotype" w:eastAsia="Palatino Linotype" w:hAnsi="Palatino Linotype" w:cs="Palatino Linotype"/>
          <w:b/>
          <w:sz w:val="22"/>
          <w:szCs w:val="22"/>
        </w:rPr>
        <w:t xml:space="preserve"> de agost</w:t>
      </w:r>
      <w:r w:rsidRPr="00220302">
        <w:rPr>
          <w:rFonts w:ascii="Palatino Linotype" w:eastAsia="Palatino Linotype" w:hAnsi="Palatino Linotype" w:cs="Palatino Linotype"/>
          <w:b/>
          <w:sz w:val="22"/>
          <w:szCs w:val="22"/>
        </w:rPr>
        <w:t>o de dos mil veinticuatro,</w:t>
      </w:r>
      <w:r w:rsidRPr="00220302">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2BEB0553" w14:textId="77777777" w:rsidR="00F21C88" w:rsidRPr="00220302" w:rsidRDefault="00014B04">
      <w:pPr>
        <w:spacing w:before="240" w:after="240" w:line="360" w:lineRule="auto"/>
        <w:jc w:val="both"/>
        <w:rPr>
          <w:rFonts w:ascii="Palatino Linotype" w:eastAsia="Palatino Linotype" w:hAnsi="Palatino Linotype" w:cs="Palatino Linotype"/>
          <w:sz w:val="22"/>
          <w:szCs w:val="22"/>
        </w:rPr>
      </w:pPr>
      <w:r w:rsidRPr="00220302">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2381691" w14:textId="77777777" w:rsidR="00E96F5D" w:rsidRPr="00220302" w:rsidRDefault="00014B04">
      <w:pPr>
        <w:widowControl w:val="0"/>
        <w:spacing w:before="240" w:after="240" w:line="360" w:lineRule="auto"/>
        <w:jc w:val="center"/>
        <w:rPr>
          <w:rFonts w:ascii="Palatino Linotype" w:eastAsia="Palatino Linotype" w:hAnsi="Palatino Linotype" w:cs="Palatino Linotype"/>
          <w:b/>
          <w:sz w:val="22"/>
          <w:szCs w:val="22"/>
        </w:rPr>
      </w:pPr>
      <w:r w:rsidRPr="00220302">
        <w:rPr>
          <w:rFonts w:ascii="Palatino Linotype" w:eastAsia="Palatino Linotype" w:hAnsi="Palatino Linotype" w:cs="Palatino Linotype"/>
          <w:b/>
          <w:sz w:val="22"/>
          <w:szCs w:val="22"/>
        </w:rPr>
        <w:t>II. C O N S I D E R A N D O S</w:t>
      </w:r>
    </w:p>
    <w:p w14:paraId="6CC6BB93" w14:textId="77777777" w:rsidR="00E96F5D" w:rsidRPr="00220302" w:rsidRDefault="00014B04">
      <w:pPr>
        <w:spacing w:before="240" w:after="240" w:line="360" w:lineRule="auto"/>
        <w:jc w:val="both"/>
        <w:rPr>
          <w:rFonts w:ascii="Palatino Linotype" w:eastAsia="Palatino Linotype" w:hAnsi="Palatino Linotype" w:cs="Palatino Linotype"/>
          <w:sz w:val="22"/>
          <w:szCs w:val="22"/>
        </w:rPr>
      </w:pPr>
      <w:r w:rsidRPr="00220302">
        <w:rPr>
          <w:rFonts w:ascii="Palatino Linotype" w:eastAsia="Palatino Linotype" w:hAnsi="Palatino Linotype" w:cs="Palatino Linotype"/>
          <w:b/>
          <w:sz w:val="22"/>
          <w:szCs w:val="22"/>
        </w:rPr>
        <w:lastRenderedPageBreak/>
        <w:t>Primero. Competencia.</w:t>
      </w:r>
      <w:r w:rsidRPr="00220302">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F16DCD5" w14:textId="77777777" w:rsidR="00E96F5D" w:rsidRPr="00220302" w:rsidRDefault="00014B04">
      <w:pPr>
        <w:spacing w:before="240" w:after="240" w:line="360" w:lineRule="auto"/>
        <w:jc w:val="both"/>
        <w:rPr>
          <w:rFonts w:ascii="Palatino Linotype" w:eastAsia="Palatino Linotype" w:hAnsi="Palatino Linotype" w:cs="Palatino Linotype"/>
          <w:sz w:val="22"/>
          <w:szCs w:val="22"/>
        </w:rPr>
      </w:pPr>
      <w:bookmarkStart w:id="5" w:name="_heading=h.tyjcwt" w:colFirst="0" w:colLast="0"/>
      <w:bookmarkEnd w:id="5"/>
      <w:r w:rsidRPr="00220302">
        <w:rPr>
          <w:rFonts w:ascii="Palatino Linotype" w:eastAsia="Palatino Linotype" w:hAnsi="Palatino Linotype" w:cs="Palatino Linotype"/>
          <w:b/>
          <w:sz w:val="22"/>
          <w:szCs w:val="22"/>
        </w:rPr>
        <w:t>Segundo. Oportunidad y Procedibilidad del Recurso de Revisión</w:t>
      </w:r>
      <w:r w:rsidRPr="00220302">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4B22968B" w14:textId="77777777" w:rsidR="00E96F5D" w:rsidRPr="00220302" w:rsidRDefault="00014B04">
      <w:pPr>
        <w:spacing w:before="240" w:after="240" w:line="360" w:lineRule="auto"/>
        <w:jc w:val="both"/>
        <w:rPr>
          <w:rFonts w:ascii="Palatino Linotype" w:eastAsia="Palatino Linotype" w:hAnsi="Palatino Linotype" w:cs="Palatino Linotype"/>
          <w:sz w:val="22"/>
          <w:szCs w:val="22"/>
        </w:rPr>
      </w:pPr>
      <w:r w:rsidRPr="00220302">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220302">
        <w:rPr>
          <w:rFonts w:ascii="Palatino Linotype" w:eastAsia="Palatino Linotype" w:hAnsi="Palatino Linotype" w:cs="Palatino Linotype"/>
          <w:b/>
          <w:sz w:val="22"/>
          <w:szCs w:val="22"/>
        </w:rPr>
        <w:t xml:space="preserve">Sujeto Obligado </w:t>
      </w:r>
      <w:r w:rsidRPr="00220302">
        <w:rPr>
          <w:rFonts w:ascii="Palatino Linotype" w:eastAsia="Palatino Linotype" w:hAnsi="Palatino Linotype" w:cs="Palatino Linotype"/>
          <w:sz w:val="22"/>
          <w:szCs w:val="22"/>
        </w:rPr>
        <w:t xml:space="preserve">remitió la respuesta a la solicitud de información el </w:t>
      </w:r>
      <w:r w:rsidR="001A10A5" w:rsidRPr="00220302">
        <w:rPr>
          <w:rFonts w:ascii="Palatino Linotype" w:eastAsia="Palatino Linotype" w:hAnsi="Palatino Linotype" w:cs="Palatino Linotype"/>
          <w:b/>
          <w:sz w:val="22"/>
          <w:szCs w:val="22"/>
        </w:rPr>
        <w:t>veintiuno</w:t>
      </w:r>
      <w:r w:rsidRPr="00220302">
        <w:rPr>
          <w:rFonts w:ascii="Palatino Linotype" w:eastAsia="Palatino Linotype" w:hAnsi="Palatino Linotype" w:cs="Palatino Linotype"/>
          <w:b/>
          <w:color w:val="000000"/>
          <w:sz w:val="22"/>
          <w:szCs w:val="22"/>
        </w:rPr>
        <w:t xml:space="preserve"> de </w:t>
      </w:r>
      <w:r w:rsidR="001A10A5" w:rsidRPr="00220302">
        <w:rPr>
          <w:rFonts w:ascii="Palatino Linotype" w:eastAsia="Palatino Linotype" w:hAnsi="Palatino Linotype" w:cs="Palatino Linotype"/>
          <w:b/>
          <w:sz w:val="22"/>
          <w:szCs w:val="22"/>
        </w:rPr>
        <w:t>marzo</w:t>
      </w:r>
      <w:r w:rsidRPr="00220302">
        <w:rPr>
          <w:rFonts w:ascii="Palatino Linotype" w:eastAsia="Palatino Linotype" w:hAnsi="Palatino Linotype" w:cs="Palatino Linotype"/>
          <w:sz w:val="22"/>
          <w:szCs w:val="22"/>
        </w:rPr>
        <w:t xml:space="preserve"> </w:t>
      </w:r>
      <w:r w:rsidRPr="00220302">
        <w:rPr>
          <w:rFonts w:ascii="Palatino Linotype" w:eastAsia="Palatino Linotype" w:hAnsi="Palatino Linotype" w:cs="Palatino Linotype"/>
          <w:b/>
          <w:sz w:val="22"/>
          <w:szCs w:val="22"/>
        </w:rPr>
        <w:t xml:space="preserve">de dos mil veinticuatro, </w:t>
      </w:r>
      <w:r w:rsidRPr="00220302">
        <w:rPr>
          <w:rFonts w:ascii="Palatino Linotype" w:eastAsia="Palatino Linotype" w:hAnsi="Palatino Linotype" w:cs="Palatino Linotype"/>
          <w:sz w:val="22"/>
          <w:szCs w:val="22"/>
        </w:rPr>
        <w:t xml:space="preserve">mientras que el recurso de revisión interpuesto por </w:t>
      </w:r>
      <w:r w:rsidRPr="00220302">
        <w:rPr>
          <w:rFonts w:ascii="Palatino Linotype" w:eastAsia="Palatino Linotype" w:hAnsi="Palatino Linotype" w:cs="Palatino Linotype"/>
          <w:b/>
          <w:sz w:val="22"/>
          <w:szCs w:val="22"/>
        </w:rPr>
        <w:t>la parte</w:t>
      </w:r>
      <w:r w:rsidRPr="00220302">
        <w:rPr>
          <w:rFonts w:ascii="Palatino Linotype" w:eastAsia="Palatino Linotype" w:hAnsi="Palatino Linotype" w:cs="Palatino Linotype"/>
          <w:sz w:val="22"/>
          <w:szCs w:val="22"/>
        </w:rPr>
        <w:t xml:space="preserve"> </w:t>
      </w:r>
      <w:r w:rsidRPr="00220302">
        <w:rPr>
          <w:rFonts w:ascii="Palatino Linotype" w:eastAsia="Palatino Linotype" w:hAnsi="Palatino Linotype" w:cs="Palatino Linotype"/>
          <w:b/>
          <w:sz w:val="22"/>
          <w:szCs w:val="22"/>
        </w:rPr>
        <w:t>Recurrente</w:t>
      </w:r>
      <w:r w:rsidRPr="00220302">
        <w:rPr>
          <w:rFonts w:ascii="Palatino Linotype" w:eastAsia="Palatino Linotype" w:hAnsi="Palatino Linotype" w:cs="Palatino Linotype"/>
          <w:sz w:val="22"/>
          <w:szCs w:val="22"/>
        </w:rPr>
        <w:t xml:space="preserve">, se tuvo por presentado el día </w:t>
      </w:r>
      <w:r w:rsidR="001A10A5" w:rsidRPr="00220302">
        <w:rPr>
          <w:rFonts w:ascii="Palatino Linotype" w:eastAsia="Palatino Linotype" w:hAnsi="Palatino Linotype" w:cs="Palatino Linotype"/>
          <w:b/>
          <w:color w:val="000000"/>
          <w:sz w:val="22"/>
          <w:szCs w:val="22"/>
        </w:rPr>
        <w:t>ocho</w:t>
      </w:r>
      <w:r w:rsidR="004F2540" w:rsidRPr="00220302">
        <w:rPr>
          <w:rFonts w:ascii="Palatino Linotype" w:eastAsia="Palatino Linotype" w:hAnsi="Palatino Linotype" w:cs="Palatino Linotype"/>
          <w:b/>
          <w:color w:val="000000"/>
          <w:sz w:val="22"/>
          <w:szCs w:val="22"/>
        </w:rPr>
        <w:t xml:space="preserve"> de abril</w:t>
      </w:r>
      <w:r w:rsidRPr="00220302">
        <w:rPr>
          <w:rFonts w:ascii="Palatino Linotype" w:eastAsia="Palatino Linotype" w:hAnsi="Palatino Linotype" w:cs="Palatino Linotype"/>
          <w:color w:val="000000"/>
          <w:sz w:val="22"/>
          <w:szCs w:val="22"/>
        </w:rPr>
        <w:t xml:space="preserve"> </w:t>
      </w:r>
      <w:r w:rsidRPr="00220302">
        <w:rPr>
          <w:rFonts w:ascii="Palatino Linotype" w:eastAsia="Palatino Linotype" w:hAnsi="Palatino Linotype" w:cs="Palatino Linotype"/>
          <w:b/>
          <w:sz w:val="22"/>
          <w:szCs w:val="22"/>
        </w:rPr>
        <w:t xml:space="preserve">de dos mil veinticuatro, </w:t>
      </w:r>
      <w:r w:rsidRPr="00220302">
        <w:rPr>
          <w:rFonts w:ascii="Palatino Linotype" w:eastAsia="Palatino Linotype" w:hAnsi="Palatino Linotype" w:cs="Palatino Linotype"/>
          <w:sz w:val="22"/>
          <w:szCs w:val="22"/>
        </w:rPr>
        <w:t xml:space="preserve">esto es, el </w:t>
      </w:r>
      <w:r w:rsidR="001A10A5" w:rsidRPr="00220302">
        <w:rPr>
          <w:rFonts w:ascii="Palatino Linotype" w:eastAsia="Palatino Linotype" w:hAnsi="Palatino Linotype" w:cs="Palatino Linotype"/>
          <w:b/>
          <w:sz w:val="22"/>
          <w:szCs w:val="22"/>
        </w:rPr>
        <w:t>séptimo</w:t>
      </w:r>
      <w:r w:rsidRPr="00220302">
        <w:rPr>
          <w:rFonts w:ascii="Palatino Linotype" w:eastAsia="Palatino Linotype" w:hAnsi="Palatino Linotype" w:cs="Palatino Linotype"/>
          <w:sz w:val="22"/>
          <w:szCs w:val="22"/>
        </w:rPr>
        <w:t xml:space="preserve"> </w:t>
      </w:r>
      <w:r w:rsidRPr="00220302">
        <w:rPr>
          <w:rFonts w:ascii="Palatino Linotype" w:eastAsia="Palatino Linotype" w:hAnsi="Palatino Linotype" w:cs="Palatino Linotype"/>
          <w:b/>
          <w:color w:val="000000"/>
          <w:sz w:val="22"/>
          <w:szCs w:val="22"/>
        </w:rPr>
        <w:t xml:space="preserve">día hábil </w:t>
      </w:r>
      <w:r w:rsidRPr="00220302">
        <w:rPr>
          <w:rFonts w:ascii="Palatino Linotype" w:eastAsia="Palatino Linotype" w:hAnsi="Palatino Linotype" w:cs="Palatino Linotype"/>
          <w:b/>
          <w:sz w:val="22"/>
          <w:szCs w:val="22"/>
        </w:rPr>
        <w:t>en el que tuvo conocimiento de la respuesta impugnada.</w:t>
      </w:r>
      <w:r w:rsidRPr="00220302">
        <w:rPr>
          <w:rFonts w:ascii="Palatino Linotype" w:eastAsia="Palatino Linotype" w:hAnsi="Palatino Linotype" w:cs="Palatino Linotype"/>
          <w:sz w:val="22"/>
          <w:szCs w:val="22"/>
        </w:rPr>
        <w:t xml:space="preserve"> </w:t>
      </w:r>
    </w:p>
    <w:p w14:paraId="08F6310F" w14:textId="77777777" w:rsidR="004F2540" w:rsidRPr="00220302" w:rsidRDefault="004F2540" w:rsidP="004F2540">
      <w:pPr>
        <w:spacing w:before="240" w:after="240" w:line="360" w:lineRule="auto"/>
        <w:ind w:right="49"/>
        <w:jc w:val="both"/>
        <w:rPr>
          <w:rFonts w:ascii="Palatino Linotype" w:eastAsia="Palatino Linotype" w:hAnsi="Palatino Linotype" w:cs="Palatino Linotype"/>
          <w:sz w:val="22"/>
          <w:szCs w:val="22"/>
        </w:rPr>
      </w:pPr>
      <w:r w:rsidRPr="00220302">
        <w:rPr>
          <w:rFonts w:ascii="Palatino Linotype" w:eastAsia="Palatino Linotype" w:hAnsi="Palatino Linotype" w:cs="Palatino Linotype"/>
          <w:sz w:val="22"/>
          <w:szCs w:val="22"/>
        </w:rPr>
        <w:t xml:space="preserve">Asimismo por cuanto hace a la procedibilidad del recurso de revisión, es de suma importancia señalar que </w:t>
      </w:r>
      <w:r w:rsidRPr="00220302">
        <w:rPr>
          <w:rFonts w:ascii="Palatino Linotype" w:eastAsia="Palatino Linotype" w:hAnsi="Palatino Linotype" w:cs="Palatino Linotype"/>
          <w:b/>
          <w:sz w:val="22"/>
          <w:szCs w:val="22"/>
        </w:rPr>
        <w:t>la parte</w:t>
      </w:r>
      <w:r w:rsidRPr="00220302">
        <w:rPr>
          <w:rFonts w:ascii="Palatino Linotype" w:eastAsia="Palatino Linotype" w:hAnsi="Palatino Linotype" w:cs="Palatino Linotype"/>
          <w:sz w:val="22"/>
          <w:szCs w:val="22"/>
        </w:rPr>
        <w:t xml:space="preserve"> </w:t>
      </w:r>
      <w:r w:rsidRPr="00220302">
        <w:rPr>
          <w:rFonts w:ascii="Palatino Linotype" w:eastAsia="Palatino Linotype" w:hAnsi="Palatino Linotype" w:cs="Palatino Linotype"/>
          <w:b/>
          <w:sz w:val="22"/>
          <w:szCs w:val="22"/>
        </w:rPr>
        <w:t>Recurrente</w:t>
      </w:r>
      <w:r w:rsidRPr="00220302">
        <w:rPr>
          <w:rFonts w:ascii="Palatino Linotype" w:eastAsia="Palatino Linotype" w:hAnsi="Palatino Linotype" w:cs="Palatino Linotype"/>
          <w:sz w:val="22"/>
          <w:szCs w:val="22"/>
        </w:rPr>
        <w:t xml:space="preserve">, proporcionó </w:t>
      </w:r>
      <w:r w:rsidR="001A10A5" w:rsidRPr="00220302">
        <w:rPr>
          <w:rFonts w:ascii="Palatino Linotype" w:eastAsia="Palatino Linotype" w:hAnsi="Palatino Linotype" w:cs="Palatino Linotype"/>
          <w:sz w:val="22"/>
          <w:szCs w:val="22"/>
        </w:rPr>
        <w:t xml:space="preserve">únicamente un seudónimo </w:t>
      </w:r>
      <w:r w:rsidRPr="00220302">
        <w:rPr>
          <w:rFonts w:ascii="Palatino Linotype" w:eastAsia="Palatino Linotype" w:hAnsi="Palatino Linotype" w:cs="Palatino Linotype"/>
          <w:sz w:val="22"/>
          <w:szCs w:val="22"/>
        </w:rPr>
        <w:t>con el cual desea ser identificado</w:t>
      </w:r>
      <w:r w:rsidRPr="00220302">
        <w:rPr>
          <w:rFonts w:ascii="Palatino Linotype" w:eastAsia="Palatino Linotype" w:hAnsi="Palatino Linotype" w:cs="Palatino Linotype"/>
          <w:b/>
          <w:sz w:val="22"/>
          <w:szCs w:val="22"/>
        </w:rPr>
        <w:t>,</w:t>
      </w:r>
      <w:r w:rsidRPr="00220302">
        <w:rPr>
          <w:rFonts w:ascii="Palatino Linotype" w:eastAsia="Palatino Linotype" w:hAnsi="Palatino Linotype" w:cs="Palatino Linotype"/>
          <w:sz w:val="22"/>
          <w:szCs w:val="22"/>
        </w:rPr>
        <w:t xml:space="preserve"> como se advierte en el detalle de seguimiento del SAIMEX, no obstante lo anterior, no proporcionar el nombre no es motivo para archivar la solicitud </w:t>
      </w:r>
      <w:r w:rsidRPr="00220302">
        <w:rPr>
          <w:rFonts w:ascii="Palatino Linotype" w:eastAsia="Palatino Linotype" w:hAnsi="Palatino Linotype" w:cs="Palatino Linotype"/>
          <w:sz w:val="22"/>
          <w:szCs w:val="22"/>
        </w:rPr>
        <w:lastRenderedPageBreak/>
        <w:t>de acceso a la información pública como concluida, conforme a lo previsto en el artículo 155, penúltimo párrafo de la Ley de Transparencia y Acceso a la Información Pública del Estado de México y Municipios que establece lo siguiente:</w:t>
      </w:r>
    </w:p>
    <w:p w14:paraId="67C4C8C4" w14:textId="77777777" w:rsidR="004F2540" w:rsidRPr="00220302" w:rsidRDefault="004F2540" w:rsidP="004F2540">
      <w:pPr>
        <w:spacing w:before="240" w:after="240" w:line="276" w:lineRule="auto"/>
        <w:ind w:left="851" w:right="902"/>
        <w:jc w:val="both"/>
        <w:rPr>
          <w:rFonts w:ascii="Palatino Linotype" w:eastAsia="Palatino Linotype" w:hAnsi="Palatino Linotype" w:cs="Palatino Linotype"/>
          <w:i/>
          <w:sz w:val="22"/>
          <w:szCs w:val="22"/>
        </w:rPr>
      </w:pPr>
      <w:r w:rsidRPr="00220302">
        <w:rPr>
          <w:rFonts w:ascii="Palatino Linotype" w:eastAsia="Palatino Linotype" w:hAnsi="Palatino Linotype" w:cs="Palatino Linotype"/>
          <w:i/>
          <w:sz w:val="22"/>
          <w:szCs w:val="22"/>
        </w:rPr>
        <w:t>"</w:t>
      </w:r>
      <w:r w:rsidRPr="00220302">
        <w:rPr>
          <w:rFonts w:ascii="Palatino Linotype" w:eastAsia="Palatino Linotype" w:hAnsi="Palatino Linotype" w:cs="Palatino Linotype"/>
          <w:b/>
          <w:i/>
          <w:sz w:val="22"/>
          <w:szCs w:val="22"/>
        </w:rPr>
        <w:t xml:space="preserve">Las solicitudes </w:t>
      </w:r>
      <w:r w:rsidRPr="00220302">
        <w:rPr>
          <w:rFonts w:ascii="Palatino Linotype" w:eastAsia="Palatino Linotype" w:hAnsi="Palatino Linotype" w:cs="Palatino Linotype"/>
          <w:i/>
          <w:sz w:val="22"/>
          <w:szCs w:val="22"/>
        </w:rPr>
        <w:t xml:space="preserve">anónimas, con </w:t>
      </w:r>
      <w:r w:rsidRPr="00220302">
        <w:rPr>
          <w:rFonts w:ascii="Palatino Linotype" w:eastAsia="Palatino Linotype" w:hAnsi="Palatino Linotype" w:cs="Palatino Linotype"/>
          <w:b/>
          <w:i/>
          <w:sz w:val="22"/>
          <w:szCs w:val="22"/>
        </w:rPr>
        <w:t>nombre incompleto o seudónimo</w:t>
      </w:r>
      <w:r w:rsidRPr="00220302">
        <w:rPr>
          <w:rFonts w:ascii="Palatino Linotype" w:eastAsia="Palatino Linotype" w:hAnsi="Palatino Linotype" w:cs="Palatino Linotype"/>
          <w:i/>
          <w:sz w:val="22"/>
          <w:szCs w:val="22"/>
        </w:rPr>
        <w:t xml:space="preserve"> </w:t>
      </w:r>
      <w:r w:rsidRPr="00220302">
        <w:rPr>
          <w:rFonts w:ascii="Palatino Linotype" w:eastAsia="Palatino Linotype" w:hAnsi="Palatino Linotype" w:cs="Palatino Linotype"/>
          <w:b/>
          <w:i/>
          <w:sz w:val="22"/>
          <w:szCs w:val="22"/>
        </w:rPr>
        <w:t>serán procedentes para su trámite por parte del sujeto obligado ante quien se presente</w:t>
      </w:r>
      <w:r w:rsidRPr="00220302">
        <w:rPr>
          <w:rFonts w:ascii="Palatino Linotype" w:eastAsia="Palatino Linotype" w:hAnsi="Palatino Linotype" w:cs="Palatino Linotype"/>
          <w:i/>
          <w:sz w:val="22"/>
          <w:szCs w:val="22"/>
        </w:rPr>
        <w:t>. No podrá requerirse información adicional con motivo del nombre proporcionado por el solicitante."(Énfasis añadido)</w:t>
      </w:r>
    </w:p>
    <w:p w14:paraId="0356E983" w14:textId="77777777" w:rsidR="00E96F5D" w:rsidRPr="00220302" w:rsidRDefault="00014B04">
      <w:pPr>
        <w:tabs>
          <w:tab w:val="left" w:pos="7938"/>
        </w:tabs>
        <w:spacing w:before="240" w:after="240" w:line="360" w:lineRule="auto"/>
        <w:jc w:val="both"/>
        <w:rPr>
          <w:rFonts w:ascii="Palatino Linotype" w:eastAsia="Palatino Linotype" w:hAnsi="Palatino Linotype" w:cs="Palatino Linotype"/>
          <w:sz w:val="22"/>
          <w:szCs w:val="22"/>
        </w:rPr>
      </w:pPr>
      <w:bookmarkStart w:id="6" w:name="_heading=h.3znysh7" w:colFirst="0" w:colLast="0"/>
      <w:bookmarkEnd w:id="6"/>
      <w:r w:rsidRPr="00220302">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3849060E" w14:textId="77777777" w:rsidR="00E96F5D" w:rsidRPr="00220302" w:rsidRDefault="00014B04">
      <w:pPr>
        <w:spacing w:before="240" w:after="240" w:line="360" w:lineRule="auto"/>
        <w:jc w:val="both"/>
        <w:rPr>
          <w:rFonts w:ascii="Palatino Linotype" w:eastAsia="Palatino Linotype" w:hAnsi="Palatino Linotype" w:cs="Palatino Linotype"/>
          <w:color w:val="000000"/>
          <w:sz w:val="22"/>
          <w:szCs w:val="22"/>
        </w:rPr>
      </w:pPr>
      <w:r w:rsidRPr="00220302">
        <w:rPr>
          <w:rFonts w:ascii="Palatino Linotype" w:eastAsia="Palatino Linotype" w:hAnsi="Palatino Linotype" w:cs="Palatino Linotype"/>
          <w:sz w:val="22"/>
          <w:szCs w:val="22"/>
        </w:rPr>
        <w:t xml:space="preserve">Finalmente, se advierte que resulta procedente la interposición del recurso, según lo manifestado por </w:t>
      </w:r>
      <w:r w:rsidRPr="00220302">
        <w:rPr>
          <w:rFonts w:ascii="Palatino Linotype" w:eastAsia="Palatino Linotype" w:hAnsi="Palatino Linotype" w:cs="Palatino Linotype"/>
          <w:b/>
          <w:sz w:val="22"/>
          <w:szCs w:val="22"/>
        </w:rPr>
        <w:t>la parte</w:t>
      </w:r>
      <w:r w:rsidRPr="00220302">
        <w:rPr>
          <w:rFonts w:ascii="Palatino Linotype" w:eastAsia="Palatino Linotype" w:hAnsi="Palatino Linotype" w:cs="Palatino Linotype"/>
          <w:sz w:val="22"/>
          <w:szCs w:val="22"/>
        </w:rPr>
        <w:t xml:space="preserve"> </w:t>
      </w:r>
      <w:r w:rsidRPr="00220302">
        <w:rPr>
          <w:rFonts w:ascii="Palatino Linotype" w:eastAsia="Palatino Linotype" w:hAnsi="Palatino Linotype" w:cs="Palatino Linotype"/>
          <w:b/>
          <w:sz w:val="22"/>
          <w:szCs w:val="22"/>
        </w:rPr>
        <w:t>Recurrente</w:t>
      </w:r>
      <w:r w:rsidRPr="00220302">
        <w:rPr>
          <w:rFonts w:ascii="Palatino Linotype" w:eastAsia="Palatino Linotype" w:hAnsi="Palatino Linotype" w:cs="Palatino Linotype"/>
          <w:sz w:val="22"/>
          <w:szCs w:val="22"/>
        </w:rPr>
        <w:t xml:space="preserve"> en sus motivos de inconformidad, de acuerdo </w:t>
      </w:r>
      <w:r w:rsidR="004F2540" w:rsidRPr="00220302">
        <w:rPr>
          <w:rFonts w:ascii="Palatino Linotype" w:eastAsia="Palatino Linotype" w:hAnsi="Palatino Linotype" w:cs="Palatino Linotype"/>
          <w:color w:val="000000"/>
          <w:sz w:val="22"/>
          <w:szCs w:val="22"/>
        </w:rPr>
        <w:t>al artículo 179, fracción</w:t>
      </w:r>
      <w:r w:rsidR="001A10A5" w:rsidRPr="00220302">
        <w:rPr>
          <w:rFonts w:ascii="Palatino Linotype" w:eastAsia="Palatino Linotype" w:hAnsi="Palatino Linotype" w:cs="Palatino Linotype"/>
          <w:color w:val="000000"/>
          <w:sz w:val="22"/>
          <w:szCs w:val="22"/>
        </w:rPr>
        <w:t xml:space="preserve"> V</w:t>
      </w:r>
      <w:r w:rsidRPr="00220302">
        <w:rPr>
          <w:rFonts w:ascii="Palatino Linotype" w:eastAsia="Palatino Linotype" w:hAnsi="Palatino Linotype" w:cs="Palatino Linotype"/>
          <w:color w:val="000000"/>
          <w:sz w:val="22"/>
          <w:szCs w:val="22"/>
        </w:rPr>
        <w:t xml:space="preserve"> del ordenamiento legal citado, que a la letra dice: </w:t>
      </w:r>
    </w:p>
    <w:p w14:paraId="647A1B27" w14:textId="77777777" w:rsidR="00E96F5D" w:rsidRPr="00220302" w:rsidRDefault="00014B04">
      <w:pPr>
        <w:spacing w:before="120" w:after="120"/>
        <w:ind w:left="567" w:right="902"/>
        <w:jc w:val="both"/>
        <w:rPr>
          <w:rFonts w:ascii="Palatino Linotype" w:eastAsia="Palatino Linotype" w:hAnsi="Palatino Linotype" w:cs="Palatino Linotype"/>
          <w:i/>
          <w:color w:val="000000"/>
          <w:sz w:val="22"/>
          <w:szCs w:val="22"/>
        </w:rPr>
      </w:pPr>
      <w:r w:rsidRPr="00220302">
        <w:rPr>
          <w:rFonts w:ascii="Palatino Linotype" w:eastAsia="Palatino Linotype" w:hAnsi="Palatino Linotype" w:cs="Palatino Linotype"/>
          <w:i/>
          <w:color w:val="000000"/>
          <w:sz w:val="22"/>
          <w:szCs w:val="22"/>
        </w:rPr>
        <w:t>“</w:t>
      </w:r>
      <w:r w:rsidRPr="00220302">
        <w:rPr>
          <w:rFonts w:ascii="Palatino Linotype" w:eastAsia="Palatino Linotype" w:hAnsi="Palatino Linotype" w:cs="Palatino Linotype"/>
          <w:b/>
          <w:i/>
          <w:color w:val="000000"/>
          <w:sz w:val="22"/>
          <w:szCs w:val="22"/>
        </w:rPr>
        <w:t>Artículo 179.</w:t>
      </w:r>
      <w:r w:rsidRPr="00220302">
        <w:rPr>
          <w:rFonts w:ascii="Palatino Linotype" w:eastAsia="Palatino Linotype" w:hAnsi="Palatino Linotype" w:cs="Palatino Linotype"/>
          <w:i/>
          <w:color w:val="000000"/>
          <w:sz w:val="22"/>
          <w:szCs w:val="22"/>
        </w:rPr>
        <w:t xml:space="preserve"> El recurso de revisión es un medio de protección que la Ley otorga a los particulares, para hacer valer su derecho de acceso a la información pública, y procederá en contra de las siguientes causas:</w:t>
      </w:r>
    </w:p>
    <w:p w14:paraId="3B709FBA" w14:textId="77777777" w:rsidR="004F2540" w:rsidRPr="00220302" w:rsidRDefault="004F2540">
      <w:pPr>
        <w:spacing w:before="120" w:after="120"/>
        <w:ind w:left="567" w:right="902"/>
        <w:jc w:val="both"/>
        <w:rPr>
          <w:rFonts w:ascii="Palatino Linotype" w:eastAsia="Palatino Linotype" w:hAnsi="Palatino Linotype" w:cs="Palatino Linotype"/>
          <w:i/>
          <w:color w:val="000000"/>
          <w:sz w:val="22"/>
          <w:szCs w:val="22"/>
        </w:rPr>
      </w:pPr>
      <w:r w:rsidRPr="00220302">
        <w:rPr>
          <w:rFonts w:ascii="Palatino Linotype" w:eastAsia="Palatino Linotype" w:hAnsi="Palatino Linotype" w:cs="Palatino Linotype"/>
          <w:i/>
          <w:color w:val="000000"/>
          <w:sz w:val="22"/>
          <w:szCs w:val="22"/>
        </w:rPr>
        <w:t>…</w:t>
      </w:r>
    </w:p>
    <w:p w14:paraId="6AAC865F" w14:textId="77777777" w:rsidR="00E96F5D" w:rsidRPr="00220302" w:rsidRDefault="001A10A5" w:rsidP="001A10A5">
      <w:pPr>
        <w:spacing w:before="120" w:after="120"/>
        <w:ind w:left="567" w:right="902"/>
        <w:jc w:val="both"/>
        <w:rPr>
          <w:rFonts w:ascii="Palatino Linotype" w:eastAsia="Palatino Linotype" w:hAnsi="Palatino Linotype" w:cs="Palatino Linotype"/>
          <w:i/>
          <w:color w:val="000000"/>
          <w:sz w:val="22"/>
          <w:szCs w:val="22"/>
        </w:rPr>
      </w:pPr>
      <w:r w:rsidRPr="00220302">
        <w:rPr>
          <w:rFonts w:ascii="Palatino Linotype" w:eastAsia="Palatino Linotype" w:hAnsi="Palatino Linotype" w:cs="Palatino Linotype"/>
          <w:b/>
          <w:i/>
          <w:color w:val="000000"/>
          <w:sz w:val="22"/>
          <w:szCs w:val="22"/>
        </w:rPr>
        <w:t>V. La entrega de información incompleta;</w:t>
      </w:r>
      <w:r w:rsidR="00014B04" w:rsidRPr="00220302">
        <w:rPr>
          <w:rFonts w:ascii="Palatino Linotype" w:eastAsia="Palatino Linotype" w:hAnsi="Palatino Linotype" w:cs="Palatino Linotype"/>
          <w:b/>
          <w:i/>
          <w:sz w:val="22"/>
          <w:szCs w:val="22"/>
        </w:rPr>
        <w:t xml:space="preserve">” </w:t>
      </w:r>
      <w:r w:rsidR="00014B04" w:rsidRPr="00220302">
        <w:rPr>
          <w:rFonts w:ascii="Palatino Linotype" w:eastAsia="Palatino Linotype" w:hAnsi="Palatino Linotype" w:cs="Palatino Linotype"/>
          <w:i/>
          <w:sz w:val="22"/>
          <w:szCs w:val="22"/>
        </w:rPr>
        <w:t>(Énfasis añadido)</w:t>
      </w:r>
    </w:p>
    <w:p w14:paraId="77ABE89D" w14:textId="77777777" w:rsidR="00E96F5D" w:rsidRPr="00220302" w:rsidRDefault="00014B04">
      <w:pPr>
        <w:spacing w:before="240" w:after="240" w:line="360" w:lineRule="auto"/>
        <w:jc w:val="both"/>
        <w:rPr>
          <w:rFonts w:ascii="Palatino Linotype" w:eastAsia="Palatino Linotype" w:hAnsi="Palatino Linotype" w:cs="Palatino Linotype"/>
          <w:b/>
          <w:sz w:val="22"/>
          <w:szCs w:val="22"/>
        </w:rPr>
      </w:pPr>
      <w:r w:rsidRPr="00220302">
        <w:rPr>
          <w:rFonts w:ascii="Palatino Linotype" w:eastAsia="Palatino Linotype" w:hAnsi="Palatino Linotype" w:cs="Palatino Linotype"/>
          <w:b/>
          <w:sz w:val="22"/>
          <w:szCs w:val="22"/>
        </w:rPr>
        <w:t xml:space="preserve">Tercero. Materia de la revisión. </w:t>
      </w:r>
      <w:r w:rsidRPr="00220302">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220302">
        <w:rPr>
          <w:rFonts w:ascii="Palatino Linotype" w:eastAsia="Palatino Linotype" w:hAnsi="Palatino Linotype" w:cs="Palatino Linotype"/>
          <w:b/>
          <w:sz w:val="22"/>
          <w:szCs w:val="22"/>
        </w:rPr>
        <w:t xml:space="preserve">verificar si la respuesta e informe justificado otorgados por el Sujeto Obligado son adecuadas y suficientes para satisfacer el derecho de acceso a la información pública </w:t>
      </w:r>
      <w:r w:rsidRPr="00220302">
        <w:rPr>
          <w:rFonts w:ascii="Palatino Linotype" w:eastAsia="Palatino Linotype" w:hAnsi="Palatino Linotype" w:cs="Palatino Linotype"/>
          <w:sz w:val="22"/>
          <w:szCs w:val="22"/>
        </w:rPr>
        <w:t xml:space="preserve">de </w:t>
      </w:r>
      <w:r w:rsidRPr="00220302">
        <w:rPr>
          <w:rFonts w:ascii="Palatino Linotype" w:eastAsia="Palatino Linotype" w:hAnsi="Palatino Linotype" w:cs="Palatino Linotype"/>
          <w:b/>
          <w:sz w:val="22"/>
          <w:szCs w:val="22"/>
        </w:rPr>
        <w:t>la parte</w:t>
      </w:r>
      <w:r w:rsidRPr="00220302">
        <w:rPr>
          <w:rFonts w:ascii="Palatino Linotype" w:eastAsia="Palatino Linotype" w:hAnsi="Palatino Linotype" w:cs="Palatino Linotype"/>
          <w:sz w:val="22"/>
          <w:szCs w:val="22"/>
        </w:rPr>
        <w:t xml:space="preserve"> </w:t>
      </w:r>
      <w:r w:rsidRPr="00220302">
        <w:rPr>
          <w:rFonts w:ascii="Palatino Linotype" w:eastAsia="Palatino Linotype" w:hAnsi="Palatino Linotype" w:cs="Palatino Linotype"/>
          <w:b/>
          <w:sz w:val="22"/>
          <w:szCs w:val="22"/>
        </w:rPr>
        <w:t>Recurrente</w:t>
      </w:r>
      <w:r w:rsidRPr="00220302">
        <w:rPr>
          <w:rFonts w:ascii="Palatino Linotype" w:eastAsia="Palatino Linotype" w:hAnsi="Palatino Linotype" w:cs="Palatino Linotype"/>
          <w:sz w:val="22"/>
          <w:szCs w:val="22"/>
        </w:rPr>
        <w:t>, o en su defecto, en caso de ser procedente, ordenar la entrega de información.</w:t>
      </w:r>
    </w:p>
    <w:p w14:paraId="1907C3C7" w14:textId="77777777" w:rsidR="00E96F5D" w:rsidRPr="00220302" w:rsidRDefault="00014B04">
      <w:pPr>
        <w:pBdr>
          <w:top w:val="nil"/>
          <w:left w:val="nil"/>
          <w:bottom w:val="nil"/>
          <w:right w:val="nil"/>
          <w:between w:val="nil"/>
        </w:pBdr>
        <w:spacing w:before="240" w:after="240" w:line="360" w:lineRule="auto"/>
        <w:jc w:val="both"/>
        <w:rPr>
          <w:color w:val="000000"/>
          <w:sz w:val="22"/>
          <w:szCs w:val="22"/>
        </w:rPr>
      </w:pPr>
      <w:bookmarkStart w:id="7" w:name="_heading=h.2et92p0" w:colFirst="0" w:colLast="0"/>
      <w:bookmarkEnd w:id="7"/>
      <w:r w:rsidRPr="00220302">
        <w:rPr>
          <w:rFonts w:ascii="Palatino Linotype" w:eastAsia="Palatino Linotype" w:hAnsi="Palatino Linotype" w:cs="Palatino Linotype"/>
          <w:b/>
          <w:sz w:val="22"/>
          <w:szCs w:val="22"/>
        </w:rPr>
        <w:lastRenderedPageBreak/>
        <w:t>Cuarto. Estudio del asunto</w:t>
      </w:r>
      <w:r w:rsidRPr="00220302">
        <w:rPr>
          <w:rFonts w:ascii="Palatino Linotype" w:eastAsia="Palatino Linotype" w:hAnsi="Palatino Linotype" w:cs="Palatino Linotype"/>
          <w:b/>
          <w:color w:val="000000"/>
          <w:sz w:val="22"/>
          <w:szCs w:val="22"/>
        </w:rPr>
        <w:t xml:space="preserve"> </w:t>
      </w:r>
      <w:r w:rsidRPr="00220302">
        <w:rPr>
          <w:rFonts w:ascii="Palatino Linotype" w:eastAsia="Palatino Linotype" w:hAnsi="Palatino Linotype" w:cs="Palatino Linotype"/>
          <w:color w:val="000000"/>
          <w:sz w:val="22"/>
          <w:szCs w:val="22"/>
        </w:rPr>
        <w:t xml:space="preserve">Antes de entrar al análisis de los pronunciamientos del </w:t>
      </w:r>
      <w:r w:rsidRPr="00220302">
        <w:rPr>
          <w:rFonts w:ascii="Palatino Linotype" w:eastAsia="Palatino Linotype" w:hAnsi="Palatino Linotype" w:cs="Palatino Linotype"/>
          <w:b/>
          <w:color w:val="000000"/>
          <w:sz w:val="22"/>
          <w:szCs w:val="22"/>
        </w:rPr>
        <w:t>Sujeto Obligado</w:t>
      </w:r>
      <w:r w:rsidRPr="00220302">
        <w:rPr>
          <w:rFonts w:ascii="Palatino Linotype" w:eastAsia="Palatino Linotype" w:hAnsi="Palatino Linotype" w:cs="Palatino Linotype"/>
          <w:color w:val="000000"/>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9EE5CC4" w14:textId="77777777" w:rsidR="00E96F5D" w:rsidRPr="00220302" w:rsidRDefault="00014B04">
      <w:pPr>
        <w:pBdr>
          <w:top w:val="nil"/>
          <w:left w:val="nil"/>
          <w:bottom w:val="nil"/>
          <w:right w:val="nil"/>
          <w:between w:val="nil"/>
        </w:pBdr>
        <w:spacing w:before="240" w:after="240"/>
        <w:ind w:left="851" w:right="850"/>
        <w:jc w:val="both"/>
        <w:rPr>
          <w:color w:val="000000"/>
          <w:sz w:val="22"/>
          <w:szCs w:val="22"/>
        </w:rPr>
      </w:pPr>
      <w:r w:rsidRPr="00220302">
        <w:rPr>
          <w:rFonts w:ascii="Palatino Linotype" w:eastAsia="Palatino Linotype" w:hAnsi="Palatino Linotype" w:cs="Palatino Linotype"/>
          <w:b/>
          <w:i/>
          <w:color w:val="000000"/>
          <w:sz w:val="22"/>
          <w:szCs w:val="22"/>
          <w:u w:val="single"/>
        </w:rPr>
        <w:t>Artículo 1o. En los Estados Unidos Mexicanos todas las personas gozarán de los derechos humanos reconocidos en esta Constitución y en los tratados internacionales de los que el Estado Mexicano sea parte</w:t>
      </w:r>
      <w:r w:rsidRPr="00220302">
        <w:rPr>
          <w:rFonts w:ascii="Palatino Linotype" w:eastAsia="Palatino Linotype" w:hAnsi="Palatino Linotype" w:cs="Palatino Linotype"/>
          <w:i/>
          <w:color w:val="000000"/>
          <w:sz w:val="22"/>
          <w:szCs w:val="22"/>
        </w:rPr>
        <w:t>, así como de las garantías para su protección, cuyo ejercicio no podrá restringirse ni suspenderse, salvo en los casos y bajo las condiciones que esta Constitución establece.</w:t>
      </w:r>
    </w:p>
    <w:p w14:paraId="2869C33D" w14:textId="77777777" w:rsidR="00E96F5D" w:rsidRPr="00220302" w:rsidRDefault="00014B04">
      <w:pPr>
        <w:pBdr>
          <w:top w:val="nil"/>
          <w:left w:val="nil"/>
          <w:bottom w:val="nil"/>
          <w:right w:val="nil"/>
          <w:between w:val="nil"/>
        </w:pBdr>
        <w:spacing w:before="240" w:after="240"/>
        <w:ind w:left="851" w:right="850"/>
        <w:jc w:val="both"/>
        <w:rPr>
          <w:color w:val="000000"/>
          <w:sz w:val="22"/>
          <w:szCs w:val="22"/>
        </w:rPr>
      </w:pPr>
      <w:r w:rsidRPr="00220302">
        <w:rPr>
          <w:rFonts w:ascii="Palatino Linotype" w:eastAsia="Palatino Linotype" w:hAnsi="Palatino Linotype" w:cs="Palatino Linotype"/>
          <w:b/>
          <w:i/>
          <w:color w:val="000000"/>
          <w:sz w:val="22"/>
          <w:szCs w:val="22"/>
        </w:rPr>
        <w:t>Las normas relativas a los derechos humanos se interpretarán de conformidad con esta Constitución y con los tratados internacionales de la materia favoreciendo en todo tiempo a las personas la protección más amplia.</w:t>
      </w:r>
    </w:p>
    <w:p w14:paraId="7C73D48C" w14:textId="77777777" w:rsidR="00E96F5D" w:rsidRPr="00220302" w:rsidRDefault="00014B04">
      <w:pPr>
        <w:pBdr>
          <w:top w:val="nil"/>
          <w:left w:val="nil"/>
          <w:bottom w:val="nil"/>
          <w:right w:val="nil"/>
          <w:between w:val="nil"/>
        </w:pBdr>
        <w:spacing w:before="240" w:after="240"/>
        <w:ind w:left="851" w:right="850"/>
        <w:jc w:val="both"/>
        <w:rPr>
          <w:color w:val="000000"/>
          <w:sz w:val="22"/>
          <w:szCs w:val="22"/>
        </w:rPr>
      </w:pPr>
      <w:r w:rsidRPr="00220302">
        <w:rPr>
          <w:rFonts w:ascii="Palatino Linotype" w:eastAsia="Palatino Linotype" w:hAnsi="Palatino Linotype" w:cs="Palatino Linotype"/>
          <w:b/>
          <w:i/>
          <w:color w:val="000000"/>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220302">
        <w:rPr>
          <w:rFonts w:ascii="Palatino Linotype" w:eastAsia="Palatino Linotype" w:hAnsi="Palatino Linotype" w:cs="Palatino Linotype"/>
          <w:i/>
          <w:color w:val="000000"/>
          <w:sz w:val="22"/>
          <w:szCs w:val="22"/>
        </w:rPr>
        <w:t xml:space="preserve"> En consecuencia, el Estado deberá prevenir, investigar, sancionar y reparar las violaciones a los derechos humanos, en los términos que establezca la ley</w:t>
      </w:r>
    </w:p>
    <w:p w14:paraId="02ADF374" w14:textId="77777777" w:rsidR="00E96F5D" w:rsidRPr="00220302" w:rsidRDefault="00014B04">
      <w:pPr>
        <w:pBdr>
          <w:top w:val="nil"/>
          <w:left w:val="nil"/>
          <w:bottom w:val="nil"/>
          <w:right w:val="nil"/>
          <w:between w:val="nil"/>
        </w:pBdr>
        <w:spacing w:before="240" w:after="240"/>
        <w:ind w:left="851" w:right="850"/>
        <w:jc w:val="both"/>
        <w:rPr>
          <w:color w:val="000000"/>
          <w:sz w:val="22"/>
          <w:szCs w:val="22"/>
        </w:rPr>
      </w:pPr>
      <w:r w:rsidRPr="00220302">
        <w:rPr>
          <w:rFonts w:ascii="Palatino Linotype" w:eastAsia="Palatino Linotype" w:hAnsi="Palatino Linotype" w:cs="Palatino Linotype"/>
          <w:i/>
          <w:color w:val="000000"/>
          <w:sz w:val="22"/>
          <w:szCs w:val="22"/>
        </w:rPr>
        <w:t>[…]</w:t>
      </w:r>
    </w:p>
    <w:p w14:paraId="66614E87" w14:textId="77777777" w:rsidR="00E96F5D" w:rsidRPr="00220302" w:rsidRDefault="00014B04">
      <w:pPr>
        <w:pBdr>
          <w:top w:val="nil"/>
          <w:left w:val="nil"/>
          <w:bottom w:val="nil"/>
          <w:right w:val="nil"/>
          <w:between w:val="nil"/>
        </w:pBdr>
        <w:spacing w:before="240" w:after="240"/>
        <w:ind w:left="851" w:right="901"/>
        <w:jc w:val="both"/>
        <w:rPr>
          <w:color w:val="000000"/>
          <w:sz w:val="22"/>
          <w:szCs w:val="22"/>
        </w:rPr>
      </w:pPr>
      <w:r w:rsidRPr="00220302">
        <w:rPr>
          <w:rFonts w:ascii="Palatino Linotype" w:eastAsia="Palatino Linotype" w:hAnsi="Palatino Linotype" w:cs="Palatino Linotype"/>
          <w:b/>
          <w:i/>
          <w:color w:val="000000"/>
          <w:sz w:val="22"/>
          <w:szCs w:val="22"/>
        </w:rPr>
        <w:t>“Artículo 6o.</w:t>
      </w:r>
    </w:p>
    <w:p w14:paraId="3E0E8363" w14:textId="77777777" w:rsidR="00E96F5D" w:rsidRPr="00220302" w:rsidRDefault="00014B04">
      <w:pPr>
        <w:pBdr>
          <w:top w:val="nil"/>
          <w:left w:val="nil"/>
          <w:bottom w:val="nil"/>
          <w:right w:val="nil"/>
          <w:between w:val="nil"/>
        </w:pBdr>
        <w:spacing w:before="240" w:after="240"/>
        <w:ind w:left="851" w:right="901"/>
        <w:jc w:val="both"/>
        <w:rPr>
          <w:color w:val="000000"/>
          <w:sz w:val="22"/>
          <w:szCs w:val="22"/>
        </w:rPr>
      </w:pPr>
      <w:r w:rsidRPr="00220302">
        <w:rPr>
          <w:rFonts w:ascii="Palatino Linotype" w:eastAsia="Palatino Linotype" w:hAnsi="Palatino Linotype" w:cs="Palatino Linotype"/>
          <w:i/>
          <w:color w:val="000000"/>
          <w:sz w:val="22"/>
          <w:szCs w:val="22"/>
        </w:rPr>
        <w:t>[...]</w:t>
      </w:r>
    </w:p>
    <w:p w14:paraId="4DD33E7C" w14:textId="77777777" w:rsidR="00E96F5D" w:rsidRPr="00220302" w:rsidRDefault="00014B04">
      <w:pPr>
        <w:pBdr>
          <w:top w:val="nil"/>
          <w:left w:val="nil"/>
          <w:bottom w:val="nil"/>
          <w:right w:val="nil"/>
          <w:between w:val="nil"/>
        </w:pBdr>
        <w:spacing w:before="240" w:after="240"/>
        <w:ind w:left="851" w:right="851"/>
        <w:jc w:val="both"/>
        <w:rPr>
          <w:color w:val="000000"/>
          <w:sz w:val="22"/>
          <w:szCs w:val="22"/>
        </w:rPr>
      </w:pPr>
      <w:r w:rsidRPr="00220302">
        <w:rPr>
          <w:rFonts w:ascii="Palatino Linotype" w:eastAsia="Palatino Linotype" w:hAnsi="Palatino Linotype" w:cs="Palatino Linotype"/>
          <w:b/>
          <w:i/>
          <w:color w:val="000000"/>
          <w:sz w:val="22"/>
          <w:szCs w:val="22"/>
        </w:rPr>
        <w:t xml:space="preserve">A. Para el ejercicio del derecho de acceso a la información, la Federación y </w:t>
      </w:r>
      <w:r w:rsidRPr="00220302">
        <w:rPr>
          <w:rFonts w:ascii="Palatino Linotype" w:eastAsia="Palatino Linotype" w:hAnsi="Palatino Linotype" w:cs="Palatino Linotype"/>
          <w:b/>
          <w:i/>
          <w:color w:val="000000"/>
          <w:sz w:val="22"/>
          <w:szCs w:val="22"/>
          <w:u w:val="single"/>
        </w:rPr>
        <w:t>las entidades federativas</w:t>
      </w:r>
      <w:r w:rsidRPr="00220302">
        <w:rPr>
          <w:rFonts w:ascii="Palatino Linotype" w:eastAsia="Palatino Linotype" w:hAnsi="Palatino Linotype" w:cs="Palatino Linotype"/>
          <w:b/>
          <w:i/>
          <w:color w:val="000000"/>
          <w:sz w:val="22"/>
          <w:szCs w:val="22"/>
        </w:rPr>
        <w:t>,</w:t>
      </w:r>
      <w:r w:rsidRPr="00220302">
        <w:rPr>
          <w:rFonts w:ascii="Palatino Linotype" w:eastAsia="Palatino Linotype" w:hAnsi="Palatino Linotype" w:cs="Palatino Linotype"/>
          <w:i/>
          <w:color w:val="000000"/>
          <w:sz w:val="22"/>
          <w:szCs w:val="22"/>
        </w:rPr>
        <w:t xml:space="preserve"> en el ámbito de sus respectivas competencias, se regirán por los siguientes principios y bases:</w:t>
      </w:r>
    </w:p>
    <w:p w14:paraId="3C110CDD" w14:textId="77777777" w:rsidR="00E96F5D" w:rsidRPr="00220302" w:rsidRDefault="00014B04">
      <w:pPr>
        <w:pBdr>
          <w:top w:val="nil"/>
          <w:left w:val="nil"/>
          <w:bottom w:val="nil"/>
          <w:right w:val="nil"/>
          <w:between w:val="nil"/>
        </w:pBdr>
        <w:spacing w:before="240" w:after="240"/>
        <w:ind w:left="851" w:right="851"/>
        <w:jc w:val="both"/>
        <w:rPr>
          <w:color w:val="000000"/>
          <w:sz w:val="22"/>
          <w:szCs w:val="22"/>
        </w:rPr>
      </w:pPr>
      <w:r w:rsidRPr="00220302">
        <w:rPr>
          <w:rFonts w:ascii="Palatino Linotype" w:eastAsia="Palatino Linotype" w:hAnsi="Palatino Linotype" w:cs="Palatino Linotype"/>
          <w:i/>
          <w:color w:val="000000"/>
          <w:sz w:val="22"/>
          <w:szCs w:val="22"/>
        </w:rPr>
        <w:lastRenderedPageBreak/>
        <w:t> </w:t>
      </w:r>
      <w:r w:rsidRPr="00220302">
        <w:rPr>
          <w:rFonts w:ascii="Palatino Linotype" w:eastAsia="Palatino Linotype" w:hAnsi="Palatino Linotype" w:cs="Palatino Linotype"/>
          <w:b/>
          <w:i/>
          <w:color w:val="000000"/>
          <w:sz w:val="22"/>
          <w:szCs w:val="22"/>
        </w:rPr>
        <w:t xml:space="preserve">I. </w:t>
      </w:r>
      <w:r w:rsidRPr="00220302">
        <w:rPr>
          <w:rFonts w:ascii="Palatino Linotype" w:eastAsia="Palatino Linotype" w:hAnsi="Palatino Linotype" w:cs="Palatino Linotype"/>
          <w:b/>
          <w:i/>
          <w:color w:val="000000"/>
          <w:sz w:val="22"/>
          <w:szCs w:val="22"/>
          <w:u w:val="single"/>
        </w:rPr>
        <w:t>Toda la información en posesión de cualquier autoridad, entidad, órgano y organismo de los Poderes</w:t>
      </w:r>
      <w:r w:rsidRPr="00220302">
        <w:rPr>
          <w:rFonts w:ascii="Palatino Linotype" w:eastAsia="Palatino Linotype" w:hAnsi="Palatino Linotype" w:cs="Palatino Linotype"/>
          <w:i/>
          <w:color w:val="000000"/>
          <w:sz w:val="22"/>
          <w:szCs w:val="22"/>
        </w:rPr>
        <w:t xml:space="preserve"> Ejecutivo, Legislativo </w:t>
      </w:r>
      <w:r w:rsidRPr="00220302">
        <w:rPr>
          <w:rFonts w:ascii="Palatino Linotype" w:eastAsia="Palatino Linotype" w:hAnsi="Palatino Linotype" w:cs="Palatino Linotype"/>
          <w:b/>
          <w:i/>
          <w:color w:val="000000"/>
          <w:sz w:val="22"/>
          <w:szCs w:val="22"/>
          <w:u w:val="single"/>
        </w:rPr>
        <w:t>y Judicial</w:t>
      </w:r>
      <w:r w:rsidRPr="00220302">
        <w:rPr>
          <w:rFonts w:ascii="Palatino Linotype" w:eastAsia="Palatino Linotype" w:hAnsi="Palatino Linotype" w:cs="Palatino Linotype"/>
          <w:i/>
          <w:color w:val="000000"/>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220302">
        <w:rPr>
          <w:rFonts w:ascii="Palatino Linotype" w:eastAsia="Palatino Linotype" w:hAnsi="Palatino Linotype" w:cs="Palatino Linotype"/>
          <w:b/>
          <w:i/>
          <w:color w:val="000000"/>
          <w:sz w:val="22"/>
          <w:szCs w:val="22"/>
        </w:rPr>
        <w:t>es pública y sólo podrá ser reservada temporalmente por razones de interés público y seguridad nacional,</w:t>
      </w:r>
      <w:r w:rsidRPr="00220302">
        <w:rPr>
          <w:rFonts w:ascii="Palatino Linotype" w:eastAsia="Palatino Linotype" w:hAnsi="Palatino Linotype" w:cs="Palatino Linotype"/>
          <w:i/>
          <w:color w:val="000000"/>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52750C0" w14:textId="77777777" w:rsidR="00E96F5D" w:rsidRPr="00220302" w:rsidRDefault="00014B04">
      <w:pPr>
        <w:pBdr>
          <w:top w:val="nil"/>
          <w:left w:val="nil"/>
          <w:bottom w:val="nil"/>
          <w:right w:val="nil"/>
          <w:between w:val="nil"/>
        </w:pBdr>
        <w:spacing w:before="240" w:after="240"/>
        <w:ind w:left="851" w:right="851"/>
        <w:jc w:val="both"/>
        <w:rPr>
          <w:color w:val="000000"/>
          <w:sz w:val="22"/>
          <w:szCs w:val="22"/>
        </w:rPr>
      </w:pPr>
      <w:r w:rsidRPr="00220302">
        <w:rPr>
          <w:rFonts w:ascii="Palatino Linotype" w:eastAsia="Palatino Linotype" w:hAnsi="Palatino Linotype" w:cs="Palatino Linotype"/>
          <w:i/>
          <w:color w:val="000000"/>
          <w:sz w:val="22"/>
          <w:szCs w:val="22"/>
        </w:rPr>
        <w:t> </w:t>
      </w:r>
      <w:r w:rsidRPr="00220302">
        <w:rPr>
          <w:rFonts w:ascii="Palatino Linotype" w:eastAsia="Palatino Linotype" w:hAnsi="Palatino Linotype" w:cs="Palatino Linotype"/>
          <w:b/>
          <w:i/>
          <w:color w:val="000000"/>
          <w:sz w:val="22"/>
          <w:szCs w:val="22"/>
        </w:rPr>
        <w:t>II. La información que se refiere a la vida privada y los datos personales será protegida en los términos y con las excepciones que fijen las leyes.</w:t>
      </w:r>
    </w:p>
    <w:p w14:paraId="0051C71F" w14:textId="77777777" w:rsidR="00E96F5D" w:rsidRPr="00220302" w:rsidRDefault="00014B04">
      <w:pPr>
        <w:pBdr>
          <w:top w:val="nil"/>
          <w:left w:val="nil"/>
          <w:bottom w:val="nil"/>
          <w:right w:val="nil"/>
          <w:between w:val="nil"/>
        </w:pBdr>
        <w:spacing w:before="240" w:after="240"/>
        <w:ind w:left="851" w:right="851"/>
        <w:jc w:val="both"/>
        <w:rPr>
          <w:color w:val="000000"/>
          <w:sz w:val="22"/>
          <w:szCs w:val="22"/>
        </w:rPr>
      </w:pPr>
      <w:r w:rsidRPr="00220302">
        <w:rPr>
          <w:rFonts w:ascii="Palatino Linotype" w:eastAsia="Palatino Linotype" w:hAnsi="Palatino Linotype" w:cs="Palatino Linotype"/>
          <w:i/>
          <w:color w:val="000000"/>
          <w:sz w:val="22"/>
          <w:szCs w:val="22"/>
        </w:rPr>
        <w:t> </w:t>
      </w:r>
      <w:r w:rsidRPr="00220302">
        <w:rPr>
          <w:rFonts w:ascii="Palatino Linotype" w:eastAsia="Palatino Linotype" w:hAnsi="Palatino Linotype" w:cs="Palatino Linotype"/>
          <w:b/>
          <w:i/>
          <w:color w:val="000000"/>
          <w:sz w:val="22"/>
          <w:szCs w:val="22"/>
        </w:rPr>
        <w:t xml:space="preserve">III. </w:t>
      </w:r>
      <w:r w:rsidRPr="00220302">
        <w:rPr>
          <w:rFonts w:ascii="Palatino Linotype" w:eastAsia="Palatino Linotype" w:hAnsi="Palatino Linotype" w:cs="Palatino Linotype"/>
          <w:b/>
          <w:i/>
          <w:color w:val="000000"/>
          <w:sz w:val="22"/>
          <w:szCs w:val="22"/>
          <w:u w:val="single"/>
        </w:rPr>
        <w:t>Toda persona, sin necesidad de acreditar interés alguno o justificar su utilización, tendrá acceso gratuito a la información pública,</w:t>
      </w:r>
      <w:r w:rsidRPr="00220302">
        <w:rPr>
          <w:rFonts w:ascii="Palatino Linotype" w:eastAsia="Palatino Linotype" w:hAnsi="Palatino Linotype" w:cs="Palatino Linotype"/>
          <w:i/>
          <w:color w:val="000000"/>
          <w:sz w:val="22"/>
          <w:szCs w:val="22"/>
        </w:rPr>
        <w:t xml:space="preserve"> a sus datos personales o a la rectificación de éstos.</w:t>
      </w:r>
    </w:p>
    <w:p w14:paraId="5C509CFE" w14:textId="77777777" w:rsidR="00E96F5D" w:rsidRPr="00220302" w:rsidRDefault="00014B04">
      <w:pPr>
        <w:pBdr>
          <w:top w:val="nil"/>
          <w:left w:val="nil"/>
          <w:bottom w:val="nil"/>
          <w:right w:val="nil"/>
          <w:between w:val="nil"/>
        </w:pBdr>
        <w:spacing w:before="240" w:after="240"/>
        <w:ind w:left="851" w:right="851"/>
        <w:jc w:val="both"/>
        <w:rPr>
          <w:color w:val="000000"/>
          <w:sz w:val="22"/>
          <w:szCs w:val="22"/>
        </w:rPr>
      </w:pPr>
      <w:r w:rsidRPr="00220302">
        <w:rPr>
          <w:rFonts w:ascii="Palatino Linotype" w:eastAsia="Palatino Linotype" w:hAnsi="Palatino Linotype" w:cs="Palatino Linotype"/>
          <w:i/>
          <w:color w:val="000000"/>
          <w:sz w:val="22"/>
          <w:szCs w:val="22"/>
        </w:rPr>
        <w:t> </w:t>
      </w:r>
      <w:r w:rsidRPr="00220302">
        <w:rPr>
          <w:rFonts w:ascii="Palatino Linotype" w:eastAsia="Palatino Linotype" w:hAnsi="Palatino Linotype" w:cs="Palatino Linotype"/>
          <w:b/>
          <w:i/>
          <w:color w:val="000000"/>
          <w:sz w:val="22"/>
          <w:szCs w:val="22"/>
        </w:rPr>
        <w:t xml:space="preserve">IV. </w:t>
      </w:r>
      <w:r w:rsidRPr="00220302">
        <w:rPr>
          <w:rFonts w:ascii="Palatino Linotype" w:eastAsia="Palatino Linotype" w:hAnsi="Palatino Linotype" w:cs="Palatino Linotype"/>
          <w:i/>
          <w:color w:val="000000"/>
          <w:sz w:val="22"/>
          <w:szCs w:val="22"/>
        </w:rPr>
        <w:t>Se establecerán mecanismos de acceso a la información y procedimientos de revisión expeditos que se sustanciarán ante los organismos autónomos especializados e imparciales que establece esta Constitución.</w:t>
      </w:r>
    </w:p>
    <w:p w14:paraId="1BA3A6FA" w14:textId="77777777" w:rsidR="00E96F5D" w:rsidRPr="00220302" w:rsidRDefault="00014B04">
      <w:pPr>
        <w:pBdr>
          <w:top w:val="nil"/>
          <w:left w:val="nil"/>
          <w:bottom w:val="nil"/>
          <w:right w:val="nil"/>
          <w:between w:val="nil"/>
        </w:pBdr>
        <w:spacing w:before="240" w:after="240"/>
        <w:ind w:left="851" w:right="851"/>
        <w:jc w:val="both"/>
        <w:rPr>
          <w:color w:val="000000"/>
          <w:sz w:val="22"/>
          <w:szCs w:val="22"/>
        </w:rPr>
      </w:pPr>
      <w:r w:rsidRPr="00220302">
        <w:rPr>
          <w:rFonts w:ascii="Palatino Linotype" w:eastAsia="Palatino Linotype" w:hAnsi="Palatino Linotype" w:cs="Palatino Linotype"/>
          <w:b/>
          <w:i/>
          <w:color w:val="000000"/>
          <w:sz w:val="22"/>
          <w:szCs w:val="22"/>
        </w:rPr>
        <w:t xml:space="preserve">V. </w:t>
      </w:r>
      <w:r w:rsidRPr="00220302">
        <w:rPr>
          <w:rFonts w:ascii="Palatino Linotype" w:eastAsia="Palatino Linotype" w:hAnsi="Palatino Linotype" w:cs="Palatino Linotype"/>
          <w:i/>
          <w:color w:val="000000"/>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7049797E" w14:textId="77777777" w:rsidR="00E96F5D" w:rsidRPr="00220302" w:rsidRDefault="00014B04">
      <w:pPr>
        <w:pBdr>
          <w:top w:val="nil"/>
          <w:left w:val="nil"/>
          <w:bottom w:val="nil"/>
          <w:right w:val="nil"/>
          <w:between w:val="nil"/>
        </w:pBdr>
        <w:spacing w:before="240" w:after="240"/>
        <w:ind w:left="851" w:right="851"/>
        <w:jc w:val="both"/>
        <w:rPr>
          <w:color w:val="000000"/>
          <w:sz w:val="22"/>
          <w:szCs w:val="22"/>
        </w:rPr>
      </w:pPr>
      <w:r w:rsidRPr="00220302">
        <w:rPr>
          <w:rFonts w:ascii="Palatino Linotype" w:eastAsia="Palatino Linotype" w:hAnsi="Palatino Linotype" w:cs="Palatino Linotype"/>
          <w:i/>
          <w:color w:val="000000"/>
          <w:sz w:val="22"/>
          <w:szCs w:val="22"/>
        </w:rPr>
        <w:t> </w:t>
      </w:r>
      <w:r w:rsidRPr="00220302">
        <w:rPr>
          <w:rFonts w:ascii="Palatino Linotype" w:eastAsia="Palatino Linotype" w:hAnsi="Palatino Linotype" w:cs="Palatino Linotype"/>
          <w:b/>
          <w:i/>
          <w:color w:val="000000"/>
          <w:sz w:val="22"/>
          <w:szCs w:val="22"/>
        </w:rPr>
        <w:t xml:space="preserve">VI. </w:t>
      </w:r>
      <w:r w:rsidRPr="00220302">
        <w:rPr>
          <w:rFonts w:ascii="Palatino Linotype" w:eastAsia="Palatino Linotype" w:hAnsi="Palatino Linotype" w:cs="Palatino Linotype"/>
          <w:i/>
          <w:color w:val="000000"/>
          <w:sz w:val="22"/>
          <w:szCs w:val="22"/>
        </w:rPr>
        <w:t>Las leyes determinarán la manera en que los sujetos obligados deberán hacer pública la información relativa a los recursos públicos que entreguen a personas físicas o morales.</w:t>
      </w:r>
    </w:p>
    <w:p w14:paraId="4DC6CB36" w14:textId="77777777" w:rsidR="00E96F5D" w:rsidRPr="00220302" w:rsidRDefault="00014B04">
      <w:pPr>
        <w:pBdr>
          <w:top w:val="nil"/>
          <w:left w:val="nil"/>
          <w:bottom w:val="nil"/>
          <w:right w:val="nil"/>
          <w:between w:val="nil"/>
        </w:pBdr>
        <w:spacing w:before="240" w:after="240"/>
        <w:ind w:left="851" w:right="851"/>
        <w:jc w:val="both"/>
        <w:rPr>
          <w:color w:val="000000"/>
          <w:sz w:val="22"/>
          <w:szCs w:val="22"/>
        </w:rPr>
      </w:pPr>
      <w:r w:rsidRPr="00220302">
        <w:rPr>
          <w:rFonts w:ascii="Palatino Linotype" w:eastAsia="Palatino Linotype" w:hAnsi="Palatino Linotype" w:cs="Palatino Linotype"/>
          <w:i/>
          <w:color w:val="000000"/>
          <w:sz w:val="22"/>
          <w:szCs w:val="22"/>
        </w:rPr>
        <w:t> </w:t>
      </w:r>
      <w:r w:rsidRPr="00220302">
        <w:rPr>
          <w:rFonts w:ascii="Palatino Linotype" w:eastAsia="Palatino Linotype" w:hAnsi="Palatino Linotype" w:cs="Palatino Linotype"/>
          <w:b/>
          <w:i/>
          <w:color w:val="000000"/>
          <w:sz w:val="22"/>
          <w:szCs w:val="22"/>
        </w:rPr>
        <w:t xml:space="preserve">VII. </w:t>
      </w:r>
      <w:r w:rsidRPr="00220302">
        <w:rPr>
          <w:rFonts w:ascii="Palatino Linotype" w:eastAsia="Palatino Linotype" w:hAnsi="Palatino Linotype" w:cs="Palatino Linotype"/>
          <w:i/>
          <w:color w:val="000000"/>
          <w:sz w:val="22"/>
          <w:szCs w:val="22"/>
        </w:rPr>
        <w:t>La inobservancia a las disposiciones en materia de acceso a la información pública será sancionada en los términos que dispongan las leyes. [...]</w:t>
      </w:r>
    </w:p>
    <w:p w14:paraId="5E6EBAF2" w14:textId="77777777" w:rsidR="00E96F5D" w:rsidRPr="00220302" w:rsidRDefault="00014B04">
      <w:pPr>
        <w:pBdr>
          <w:top w:val="nil"/>
          <w:left w:val="nil"/>
          <w:bottom w:val="nil"/>
          <w:right w:val="nil"/>
          <w:between w:val="nil"/>
        </w:pBdr>
        <w:spacing w:before="240" w:after="240" w:line="360" w:lineRule="auto"/>
        <w:jc w:val="both"/>
        <w:rPr>
          <w:color w:val="000000"/>
          <w:sz w:val="22"/>
          <w:szCs w:val="22"/>
        </w:rPr>
      </w:pPr>
      <w:r w:rsidRPr="00220302">
        <w:rPr>
          <w:rFonts w:ascii="Palatino Linotype" w:eastAsia="Palatino Linotype" w:hAnsi="Palatino Linotype" w:cs="Palatino Linotype"/>
          <w:color w:val="000000"/>
          <w:sz w:val="22"/>
          <w:szCs w:val="22"/>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w:t>
      </w:r>
      <w:r w:rsidRPr="00220302">
        <w:rPr>
          <w:rFonts w:ascii="Palatino Linotype" w:eastAsia="Palatino Linotype" w:hAnsi="Palatino Linotype" w:cs="Palatino Linotype"/>
          <w:color w:val="000000"/>
          <w:sz w:val="22"/>
          <w:szCs w:val="22"/>
        </w:rPr>
        <w:lastRenderedPageBreak/>
        <w:t>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5906B812" w14:textId="77777777" w:rsidR="00E96F5D" w:rsidRPr="00220302" w:rsidRDefault="00014B04">
      <w:pPr>
        <w:pBdr>
          <w:top w:val="nil"/>
          <w:left w:val="nil"/>
          <w:bottom w:val="nil"/>
          <w:right w:val="nil"/>
          <w:between w:val="nil"/>
        </w:pBdr>
        <w:spacing w:before="240" w:after="240"/>
        <w:ind w:left="709" w:right="760"/>
        <w:jc w:val="both"/>
        <w:rPr>
          <w:color w:val="000000"/>
          <w:sz w:val="22"/>
          <w:szCs w:val="22"/>
        </w:rPr>
      </w:pPr>
      <w:r w:rsidRPr="00220302">
        <w:rPr>
          <w:rFonts w:ascii="Palatino Linotype" w:eastAsia="Palatino Linotype" w:hAnsi="Palatino Linotype" w:cs="Palatino Linotype"/>
          <w:i/>
          <w:color w:val="000000"/>
          <w:sz w:val="22"/>
          <w:szCs w:val="22"/>
        </w:rPr>
        <w:t>“</w:t>
      </w:r>
      <w:r w:rsidRPr="00220302">
        <w:rPr>
          <w:rFonts w:ascii="Palatino Linotype" w:eastAsia="Palatino Linotype" w:hAnsi="Palatino Linotype" w:cs="Palatino Linotype"/>
          <w:b/>
          <w:i/>
          <w:color w:val="000000"/>
          <w:sz w:val="22"/>
          <w:szCs w:val="22"/>
        </w:rPr>
        <w:t>Artículo 4</w:t>
      </w:r>
      <w:r w:rsidRPr="00220302">
        <w:rPr>
          <w:rFonts w:ascii="Palatino Linotype" w:eastAsia="Palatino Linotype" w:hAnsi="Palatino Linotype" w:cs="Palatino Linotype"/>
          <w:i/>
          <w:color w:val="000000"/>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71D0626D" w14:textId="77777777" w:rsidR="00E96F5D" w:rsidRPr="00220302" w:rsidRDefault="00014B04">
      <w:pPr>
        <w:pBdr>
          <w:top w:val="nil"/>
          <w:left w:val="nil"/>
          <w:bottom w:val="nil"/>
          <w:right w:val="nil"/>
          <w:between w:val="nil"/>
        </w:pBdr>
        <w:spacing w:before="240" w:after="240"/>
        <w:ind w:left="709" w:right="760"/>
        <w:jc w:val="both"/>
        <w:rPr>
          <w:color w:val="000000"/>
          <w:sz w:val="22"/>
          <w:szCs w:val="22"/>
        </w:rPr>
      </w:pPr>
      <w:r w:rsidRPr="00220302">
        <w:rPr>
          <w:rFonts w:ascii="Palatino Linotype" w:eastAsia="Palatino Linotype" w:hAnsi="Palatino Linotype" w:cs="Palatino Linotype"/>
          <w:b/>
          <w:i/>
          <w:color w:val="000000"/>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25CF245" w14:textId="77777777" w:rsidR="00E96F5D" w:rsidRPr="00220302" w:rsidRDefault="00014B04">
      <w:pPr>
        <w:pBdr>
          <w:top w:val="nil"/>
          <w:left w:val="nil"/>
          <w:bottom w:val="nil"/>
          <w:right w:val="nil"/>
          <w:between w:val="nil"/>
        </w:pBdr>
        <w:spacing w:before="240" w:after="240"/>
        <w:ind w:left="709" w:right="760"/>
        <w:jc w:val="both"/>
        <w:rPr>
          <w:color w:val="000000"/>
          <w:sz w:val="22"/>
          <w:szCs w:val="22"/>
        </w:rPr>
      </w:pPr>
      <w:r w:rsidRPr="00220302">
        <w:rPr>
          <w:rFonts w:ascii="Palatino Linotype" w:eastAsia="Palatino Linotype" w:hAnsi="Palatino Linotype" w:cs="Palatino Linotype"/>
          <w:i/>
          <w:color w:val="000000"/>
          <w:sz w:val="22"/>
          <w:szCs w:val="22"/>
        </w:rPr>
        <w:t>Los sujetos obligados deben poner en práctica, políticas y programas de acceso a la información que se apeguen a criterios de publicidad, veracidad, oportunidad, precisión y suficiencia en beneficio de los solicitantes.”</w:t>
      </w:r>
    </w:p>
    <w:p w14:paraId="22C738E1" w14:textId="77777777" w:rsidR="00E96F5D" w:rsidRPr="00220302" w:rsidRDefault="00014B04">
      <w:pPr>
        <w:pBdr>
          <w:top w:val="nil"/>
          <w:left w:val="nil"/>
          <w:bottom w:val="nil"/>
          <w:right w:val="nil"/>
          <w:between w:val="nil"/>
        </w:pBdr>
        <w:spacing w:before="240" w:after="240" w:line="360" w:lineRule="auto"/>
        <w:jc w:val="both"/>
        <w:rPr>
          <w:color w:val="000000"/>
          <w:sz w:val="22"/>
          <w:szCs w:val="22"/>
        </w:rPr>
      </w:pPr>
      <w:r w:rsidRPr="00220302">
        <w:rPr>
          <w:rFonts w:ascii="Palatino Linotype" w:eastAsia="Palatino Linotype" w:hAnsi="Palatino Linotype" w:cs="Palatino Linotype"/>
          <w:color w:val="000000"/>
          <w:sz w:val="22"/>
          <w:szCs w:val="22"/>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4FDDD439" w14:textId="77777777" w:rsidR="00E96F5D" w:rsidRPr="00220302" w:rsidRDefault="00014B04">
      <w:pPr>
        <w:pBdr>
          <w:top w:val="nil"/>
          <w:left w:val="nil"/>
          <w:bottom w:val="nil"/>
          <w:right w:val="nil"/>
          <w:between w:val="nil"/>
        </w:pBdr>
        <w:spacing w:before="240" w:after="240"/>
        <w:ind w:left="567" w:right="758"/>
        <w:jc w:val="both"/>
        <w:rPr>
          <w:color w:val="000000"/>
          <w:sz w:val="22"/>
          <w:szCs w:val="22"/>
        </w:rPr>
      </w:pPr>
      <w:r w:rsidRPr="00220302">
        <w:rPr>
          <w:rFonts w:ascii="Palatino Linotype" w:eastAsia="Palatino Linotype" w:hAnsi="Palatino Linotype" w:cs="Palatino Linotype"/>
          <w:i/>
          <w:color w:val="000000"/>
          <w:sz w:val="22"/>
          <w:szCs w:val="22"/>
        </w:rPr>
        <w:t>“</w:t>
      </w:r>
      <w:r w:rsidRPr="00220302">
        <w:rPr>
          <w:rFonts w:ascii="Palatino Linotype" w:eastAsia="Palatino Linotype" w:hAnsi="Palatino Linotype" w:cs="Palatino Linotype"/>
          <w:b/>
          <w:i/>
          <w:color w:val="000000"/>
          <w:sz w:val="22"/>
          <w:szCs w:val="22"/>
        </w:rPr>
        <w:t>Artículo 12</w:t>
      </w:r>
      <w:r w:rsidRPr="00220302">
        <w:rPr>
          <w:rFonts w:ascii="Palatino Linotype" w:eastAsia="Palatino Linotype" w:hAnsi="Palatino Linotype" w:cs="Palatino Linotype"/>
          <w:i/>
          <w:color w:val="000000"/>
          <w:sz w:val="22"/>
          <w:szCs w:val="22"/>
        </w:rPr>
        <w:t>. Quienes generen, recopilen, administren, manejen, procesen, archiven o conserven información pública serán responsables de la misma en los términos de las disposiciones jurídicas aplicables. </w:t>
      </w:r>
    </w:p>
    <w:p w14:paraId="0C23694C" w14:textId="77777777" w:rsidR="00E96F5D" w:rsidRPr="00220302" w:rsidRDefault="00014B04">
      <w:pPr>
        <w:pBdr>
          <w:top w:val="nil"/>
          <w:left w:val="nil"/>
          <w:bottom w:val="nil"/>
          <w:right w:val="nil"/>
          <w:between w:val="nil"/>
        </w:pBdr>
        <w:spacing w:before="240" w:after="240"/>
        <w:ind w:left="567" w:right="758"/>
        <w:jc w:val="both"/>
        <w:rPr>
          <w:color w:val="000000"/>
          <w:sz w:val="22"/>
          <w:szCs w:val="22"/>
        </w:rPr>
      </w:pPr>
      <w:r w:rsidRPr="00220302">
        <w:rPr>
          <w:rFonts w:ascii="Palatino Linotype" w:eastAsia="Palatino Linotype" w:hAnsi="Palatino Linotype" w:cs="Palatino Linotype"/>
          <w:i/>
          <w:color w:val="000000"/>
          <w:sz w:val="22"/>
          <w:szCs w:val="22"/>
        </w:rPr>
        <w:lastRenderedPageBreak/>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458B533D" w14:textId="77777777" w:rsidR="00E96F5D" w:rsidRPr="00220302" w:rsidRDefault="00014B04">
      <w:pPr>
        <w:pBdr>
          <w:top w:val="nil"/>
          <w:left w:val="nil"/>
          <w:bottom w:val="nil"/>
          <w:right w:val="nil"/>
          <w:between w:val="nil"/>
        </w:pBdr>
        <w:spacing w:before="240" w:after="240" w:line="360" w:lineRule="auto"/>
        <w:jc w:val="both"/>
        <w:rPr>
          <w:color w:val="000000"/>
          <w:sz w:val="22"/>
          <w:szCs w:val="22"/>
        </w:rPr>
      </w:pPr>
      <w:r w:rsidRPr="00220302">
        <w:rPr>
          <w:rFonts w:ascii="Palatino Linotype" w:eastAsia="Palatino Linotype" w:hAnsi="Palatino Linotype" w:cs="Palatino Linotype"/>
          <w:color w:val="000000"/>
          <w:sz w:val="22"/>
          <w:szCs w:val="22"/>
        </w:rPr>
        <w:t>Es decir, que el derecho de acceso a la información pública se satisface en aquellos casos en que se entregue documento en que conste la información requerida, toda vez que, los Sujetos Obligados</w:t>
      </w:r>
      <w:r w:rsidRPr="00220302">
        <w:rPr>
          <w:rFonts w:ascii="Palatino Linotype" w:eastAsia="Palatino Linotype" w:hAnsi="Palatino Linotype" w:cs="Palatino Linotype"/>
          <w:b/>
          <w:color w:val="000000"/>
          <w:sz w:val="22"/>
          <w:szCs w:val="22"/>
        </w:rPr>
        <w:t xml:space="preserve"> </w:t>
      </w:r>
      <w:r w:rsidRPr="00220302">
        <w:rPr>
          <w:rFonts w:ascii="Palatino Linotype" w:eastAsia="Palatino Linotype" w:hAnsi="Palatino Linotype" w:cs="Palatino Linotype"/>
          <w:color w:val="000000"/>
          <w:sz w:val="22"/>
          <w:szCs w:val="22"/>
        </w:rPr>
        <w:t xml:space="preserve">no tienen el deber de generar, poseer o administrar la información pública con el grado de detalle solicitado; esto es, que no tienen el deber de generar un documento </w:t>
      </w:r>
      <w:r w:rsidRPr="00220302">
        <w:rPr>
          <w:rFonts w:ascii="Palatino Linotype" w:eastAsia="Palatino Linotype" w:hAnsi="Palatino Linotype" w:cs="Palatino Linotype"/>
          <w:i/>
          <w:color w:val="000000"/>
          <w:sz w:val="22"/>
          <w:szCs w:val="22"/>
        </w:rPr>
        <w:t>ad hoc</w:t>
      </w:r>
      <w:r w:rsidRPr="00220302">
        <w:rPr>
          <w:rFonts w:ascii="Palatino Linotype" w:eastAsia="Palatino Linotype" w:hAnsi="Palatino Linotype" w:cs="Palatino Linotype"/>
          <w:color w:val="000000"/>
          <w:sz w:val="22"/>
          <w:szCs w:val="22"/>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0D0521B5" w14:textId="77777777" w:rsidR="00E96F5D" w:rsidRPr="00220302" w:rsidRDefault="00014B04">
      <w:pPr>
        <w:pBdr>
          <w:top w:val="nil"/>
          <w:left w:val="nil"/>
          <w:bottom w:val="nil"/>
          <w:right w:val="nil"/>
          <w:between w:val="nil"/>
        </w:pBdr>
        <w:spacing w:before="240" w:after="240"/>
        <w:ind w:left="567" w:right="900"/>
        <w:jc w:val="both"/>
        <w:rPr>
          <w:color w:val="000000"/>
          <w:sz w:val="22"/>
          <w:szCs w:val="22"/>
        </w:rPr>
      </w:pPr>
      <w:r w:rsidRPr="00220302">
        <w:rPr>
          <w:rFonts w:ascii="Palatino Linotype" w:eastAsia="Palatino Linotype" w:hAnsi="Palatino Linotype" w:cs="Palatino Linotype"/>
          <w:b/>
          <w:i/>
          <w:color w:val="000000"/>
          <w:sz w:val="22"/>
          <w:szCs w:val="22"/>
        </w:rPr>
        <w:t>03/17</w:t>
      </w:r>
    </w:p>
    <w:p w14:paraId="18EAC85D" w14:textId="77777777" w:rsidR="00E96F5D" w:rsidRPr="00220302" w:rsidRDefault="00014B04">
      <w:pPr>
        <w:pBdr>
          <w:top w:val="nil"/>
          <w:left w:val="nil"/>
          <w:bottom w:val="nil"/>
          <w:right w:val="nil"/>
          <w:between w:val="nil"/>
        </w:pBdr>
        <w:spacing w:before="240" w:after="240"/>
        <w:ind w:left="567" w:right="900"/>
        <w:jc w:val="both"/>
        <w:rPr>
          <w:color w:val="000000"/>
          <w:sz w:val="22"/>
          <w:szCs w:val="22"/>
        </w:rPr>
      </w:pPr>
      <w:r w:rsidRPr="00220302">
        <w:rPr>
          <w:rFonts w:ascii="Palatino Linotype" w:eastAsia="Palatino Linotype" w:hAnsi="Palatino Linotype" w:cs="Palatino Linotype"/>
          <w:b/>
          <w:i/>
          <w:color w:val="000000"/>
          <w:sz w:val="22"/>
          <w:szCs w:val="22"/>
        </w:rPr>
        <w:t>“NO EXISTE OBLIGACIÓN DE ELABORAR DOCUMENTOS AD HOC PARA ATENDER LAS SOLICITUDES DE ACCESO A LA INFORMACIÓN.</w:t>
      </w:r>
    </w:p>
    <w:p w14:paraId="021566B0" w14:textId="77777777" w:rsidR="00E96F5D" w:rsidRPr="00220302" w:rsidRDefault="00014B04">
      <w:pPr>
        <w:pBdr>
          <w:top w:val="nil"/>
          <w:left w:val="nil"/>
          <w:bottom w:val="nil"/>
          <w:right w:val="nil"/>
          <w:between w:val="nil"/>
        </w:pBdr>
        <w:spacing w:before="240" w:after="240"/>
        <w:ind w:left="567" w:right="900"/>
        <w:jc w:val="both"/>
        <w:rPr>
          <w:color w:val="000000"/>
          <w:sz w:val="22"/>
          <w:szCs w:val="22"/>
        </w:rPr>
      </w:pPr>
      <w:r w:rsidRPr="00220302">
        <w:rPr>
          <w:rFonts w:ascii="Palatino Linotype" w:eastAsia="Palatino Linotype" w:hAnsi="Palatino Linotype" w:cs="Palatino Linotype"/>
          <w:i/>
          <w:color w:val="000000"/>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0A112BAF" w14:textId="77777777" w:rsidR="00E96F5D" w:rsidRPr="00220302" w:rsidRDefault="00014B04">
      <w:pPr>
        <w:pBdr>
          <w:top w:val="nil"/>
          <w:left w:val="nil"/>
          <w:bottom w:val="nil"/>
          <w:right w:val="nil"/>
          <w:between w:val="nil"/>
        </w:pBdr>
        <w:spacing w:before="240" w:after="240" w:line="360" w:lineRule="auto"/>
        <w:jc w:val="both"/>
        <w:rPr>
          <w:color w:val="000000"/>
          <w:sz w:val="22"/>
          <w:szCs w:val="22"/>
        </w:rPr>
      </w:pPr>
      <w:r w:rsidRPr="00220302">
        <w:rPr>
          <w:rFonts w:ascii="Palatino Linotype" w:eastAsia="Palatino Linotype" w:hAnsi="Palatino Linotype" w:cs="Palatino Linotype"/>
          <w:color w:val="000000"/>
          <w:sz w:val="22"/>
          <w:szCs w:val="22"/>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FC57F77" w14:textId="77777777" w:rsidR="00E96F5D" w:rsidRPr="00220302" w:rsidRDefault="00014B04">
      <w:pPr>
        <w:pBdr>
          <w:top w:val="nil"/>
          <w:left w:val="nil"/>
          <w:bottom w:val="nil"/>
          <w:right w:val="nil"/>
          <w:between w:val="nil"/>
        </w:pBdr>
        <w:spacing w:before="240" w:after="240" w:line="360" w:lineRule="auto"/>
        <w:ind w:right="49"/>
        <w:jc w:val="both"/>
        <w:rPr>
          <w:color w:val="000000"/>
          <w:sz w:val="22"/>
          <w:szCs w:val="22"/>
        </w:rPr>
      </w:pPr>
      <w:r w:rsidRPr="00220302">
        <w:rPr>
          <w:rFonts w:ascii="Palatino Linotype" w:eastAsia="Palatino Linotype" w:hAnsi="Palatino Linotype" w:cs="Palatino Linotype"/>
          <w:color w:val="000000"/>
          <w:sz w:val="22"/>
          <w:szCs w:val="22"/>
        </w:rPr>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6B7CD1D" w14:textId="77777777" w:rsidR="00E96F5D" w:rsidRPr="00220302" w:rsidRDefault="00014B04">
      <w:pPr>
        <w:pBdr>
          <w:top w:val="nil"/>
          <w:left w:val="nil"/>
          <w:bottom w:val="nil"/>
          <w:right w:val="nil"/>
          <w:between w:val="nil"/>
        </w:pBdr>
        <w:spacing w:before="240" w:after="240" w:line="360" w:lineRule="auto"/>
        <w:jc w:val="both"/>
        <w:rPr>
          <w:color w:val="000000"/>
          <w:sz w:val="22"/>
          <w:szCs w:val="22"/>
        </w:rPr>
      </w:pPr>
      <w:r w:rsidRPr="00220302">
        <w:rPr>
          <w:rFonts w:ascii="Palatino Linotype" w:eastAsia="Palatino Linotype" w:hAnsi="Palatino Linotype" w:cs="Palatino Linotype"/>
          <w:color w:val="000000"/>
          <w:sz w:val="22"/>
          <w:szCs w:val="22"/>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444BABC" w14:textId="77777777" w:rsidR="00E96F5D" w:rsidRPr="00220302" w:rsidRDefault="00014B04">
      <w:pPr>
        <w:pBdr>
          <w:top w:val="nil"/>
          <w:left w:val="nil"/>
          <w:bottom w:val="nil"/>
          <w:right w:val="nil"/>
          <w:between w:val="nil"/>
        </w:pBdr>
        <w:spacing w:before="240" w:after="240"/>
        <w:ind w:left="567" w:right="567"/>
        <w:jc w:val="both"/>
        <w:rPr>
          <w:color w:val="000000"/>
          <w:sz w:val="22"/>
          <w:szCs w:val="22"/>
        </w:rPr>
      </w:pPr>
      <w:r w:rsidRPr="00220302">
        <w:rPr>
          <w:rFonts w:ascii="Palatino Linotype" w:eastAsia="Palatino Linotype" w:hAnsi="Palatino Linotype" w:cs="Palatino Linotype"/>
          <w:i/>
          <w:color w:val="000000"/>
          <w:sz w:val="22"/>
          <w:szCs w:val="22"/>
        </w:rPr>
        <w:t>“</w:t>
      </w:r>
      <w:r w:rsidRPr="00220302">
        <w:rPr>
          <w:rFonts w:ascii="Palatino Linotype" w:eastAsia="Palatino Linotype" w:hAnsi="Palatino Linotype" w:cs="Palatino Linotype"/>
          <w:b/>
          <w:i/>
          <w:color w:val="000000"/>
          <w:sz w:val="22"/>
          <w:szCs w:val="22"/>
        </w:rPr>
        <w:t xml:space="preserve">Artículo 3. </w:t>
      </w:r>
      <w:r w:rsidRPr="00220302">
        <w:rPr>
          <w:rFonts w:ascii="Palatino Linotype" w:eastAsia="Palatino Linotype" w:hAnsi="Palatino Linotype" w:cs="Palatino Linotype"/>
          <w:i/>
          <w:color w:val="000000"/>
          <w:sz w:val="22"/>
          <w:szCs w:val="22"/>
        </w:rPr>
        <w:t>Para los efectos de la presente Ley se entenderá por:</w:t>
      </w:r>
    </w:p>
    <w:p w14:paraId="4BBC9909" w14:textId="77777777" w:rsidR="00E96F5D" w:rsidRPr="00220302" w:rsidRDefault="00014B04">
      <w:pPr>
        <w:pBdr>
          <w:top w:val="nil"/>
          <w:left w:val="nil"/>
          <w:bottom w:val="nil"/>
          <w:right w:val="nil"/>
          <w:between w:val="nil"/>
        </w:pBdr>
        <w:spacing w:before="240" w:after="240"/>
        <w:ind w:left="567" w:right="567"/>
        <w:jc w:val="both"/>
        <w:rPr>
          <w:color w:val="000000"/>
          <w:sz w:val="22"/>
          <w:szCs w:val="22"/>
        </w:rPr>
      </w:pPr>
      <w:r w:rsidRPr="00220302">
        <w:rPr>
          <w:rFonts w:ascii="Palatino Linotype" w:eastAsia="Palatino Linotype" w:hAnsi="Palatino Linotype" w:cs="Palatino Linotype"/>
          <w:i/>
          <w:color w:val="000000"/>
          <w:sz w:val="22"/>
          <w:szCs w:val="22"/>
        </w:rPr>
        <w:t>…</w:t>
      </w:r>
    </w:p>
    <w:p w14:paraId="1D47C6D6" w14:textId="77777777" w:rsidR="00E96F5D" w:rsidRPr="00220302" w:rsidRDefault="00014B04">
      <w:pPr>
        <w:pBdr>
          <w:top w:val="nil"/>
          <w:left w:val="nil"/>
          <w:bottom w:val="nil"/>
          <w:right w:val="nil"/>
          <w:between w:val="nil"/>
        </w:pBdr>
        <w:spacing w:before="240" w:after="240"/>
        <w:ind w:left="567" w:right="567"/>
        <w:jc w:val="both"/>
        <w:rPr>
          <w:color w:val="000000"/>
          <w:sz w:val="22"/>
          <w:szCs w:val="22"/>
        </w:rPr>
      </w:pPr>
      <w:r w:rsidRPr="00220302">
        <w:rPr>
          <w:rFonts w:ascii="Palatino Linotype" w:eastAsia="Palatino Linotype" w:hAnsi="Palatino Linotype" w:cs="Palatino Linotype"/>
          <w:b/>
          <w:i/>
          <w:color w:val="000000"/>
          <w:sz w:val="22"/>
          <w:szCs w:val="22"/>
        </w:rPr>
        <w:t>XI. Documento:</w:t>
      </w:r>
      <w:r w:rsidRPr="00220302">
        <w:rPr>
          <w:rFonts w:ascii="Palatino Linotype" w:eastAsia="Palatino Linotype" w:hAnsi="Palatino Linotype" w:cs="Palatino Linotype"/>
          <w:i/>
          <w:color w:val="000000"/>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220302">
        <w:rPr>
          <w:rFonts w:ascii="Palatino Linotype" w:eastAsia="Palatino Linotype" w:hAnsi="Palatino Linotype" w:cs="Palatino Linotype"/>
          <w:b/>
          <w:i/>
          <w:color w:val="000000"/>
          <w:sz w:val="22"/>
          <w:szCs w:val="22"/>
        </w:rPr>
        <w:t>…</w:t>
      </w:r>
      <w:r w:rsidRPr="00220302">
        <w:rPr>
          <w:rFonts w:ascii="Palatino Linotype" w:eastAsia="Palatino Linotype" w:hAnsi="Palatino Linotype" w:cs="Palatino Linotype"/>
          <w:i/>
          <w:color w:val="000000"/>
          <w:sz w:val="22"/>
          <w:szCs w:val="22"/>
        </w:rPr>
        <w:t>”</w:t>
      </w:r>
    </w:p>
    <w:p w14:paraId="65A3CE0A" w14:textId="77777777" w:rsidR="00E96F5D" w:rsidRPr="00220302" w:rsidRDefault="00014B04">
      <w:pPr>
        <w:pBdr>
          <w:top w:val="nil"/>
          <w:left w:val="nil"/>
          <w:bottom w:val="nil"/>
          <w:right w:val="nil"/>
          <w:between w:val="nil"/>
        </w:pBdr>
        <w:spacing w:before="240" w:after="240" w:line="360" w:lineRule="auto"/>
        <w:jc w:val="both"/>
        <w:rPr>
          <w:color w:val="000000"/>
          <w:sz w:val="22"/>
          <w:szCs w:val="22"/>
        </w:rPr>
      </w:pPr>
      <w:r w:rsidRPr="00220302">
        <w:rPr>
          <w:rFonts w:ascii="Palatino Linotype" w:eastAsia="Palatino Linotype" w:hAnsi="Palatino Linotype" w:cs="Palatino Linotype"/>
          <w:color w:val="000000"/>
          <w:sz w:val="22"/>
          <w:szCs w:val="22"/>
        </w:rPr>
        <w:t xml:space="preserve">Siendo aplicable, el Criterio de interpretación en el orden administrativo número 0002-11, emitido por Acuerdo del Pleno del Instituto de Transparencia y Acceso a la Información Pública del Estado de México y Municipios; publicado en el Periódico Oficial del Gobierno </w:t>
      </w:r>
      <w:r w:rsidRPr="00220302">
        <w:rPr>
          <w:rFonts w:ascii="Palatino Linotype" w:eastAsia="Palatino Linotype" w:hAnsi="Palatino Linotype" w:cs="Palatino Linotype"/>
          <w:color w:val="000000"/>
          <w:sz w:val="22"/>
          <w:szCs w:val="22"/>
        </w:rPr>
        <w:lastRenderedPageBreak/>
        <w:t>del Estado Libre y Soberano de México “Gaceta del Gobierno”, el diecinueve de octubre de dos mil once, cuyo rubro y texto refieren lo siguiente:</w:t>
      </w:r>
    </w:p>
    <w:p w14:paraId="58244EB7" w14:textId="77777777" w:rsidR="00E96F5D" w:rsidRPr="00220302" w:rsidRDefault="00014B04">
      <w:pPr>
        <w:pBdr>
          <w:top w:val="nil"/>
          <w:left w:val="nil"/>
          <w:bottom w:val="nil"/>
          <w:right w:val="nil"/>
          <w:between w:val="nil"/>
        </w:pBdr>
        <w:spacing w:before="240" w:after="240"/>
        <w:ind w:left="567" w:right="567"/>
        <w:jc w:val="both"/>
        <w:rPr>
          <w:color w:val="000000"/>
          <w:sz w:val="22"/>
          <w:szCs w:val="22"/>
        </w:rPr>
      </w:pPr>
      <w:r w:rsidRPr="00220302">
        <w:rPr>
          <w:rFonts w:ascii="Palatino Linotype" w:eastAsia="Palatino Linotype" w:hAnsi="Palatino Linotype" w:cs="Palatino Linotype"/>
          <w:b/>
          <w:color w:val="000000"/>
          <w:sz w:val="22"/>
          <w:szCs w:val="22"/>
        </w:rPr>
        <w:t>“</w:t>
      </w:r>
      <w:r w:rsidRPr="00220302">
        <w:rPr>
          <w:rFonts w:ascii="Palatino Linotype" w:eastAsia="Palatino Linotype" w:hAnsi="Palatino Linotype" w:cs="Palatino Linotype"/>
          <w:b/>
          <w:i/>
          <w:color w:val="000000"/>
          <w:sz w:val="22"/>
          <w:szCs w:val="22"/>
        </w:rPr>
        <w:t>CRITERIO 0002-11</w:t>
      </w:r>
    </w:p>
    <w:p w14:paraId="03ECB0B4" w14:textId="77777777" w:rsidR="00E96F5D" w:rsidRPr="00220302" w:rsidRDefault="00014B04">
      <w:pPr>
        <w:pBdr>
          <w:top w:val="nil"/>
          <w:left w:val="nil"/>
          <w:bottom w:val="nil"/>
          <w:right w:val="nil"/>
          <w:between w:val="nil"/>
        </w:pBdr>
        <w:spacing w:before="240" w:after="240"/>
        <w:ind w:left="567" w:right="567"/>
        <w:jc w:val="both"/>
        <w:rPr>
          <w:color w:val="000000"/>
          <w:sz w:val="22"/>
          <w:szCs w:val="22"/>
        </w:rPr>
      </w:pPr>
      <w:r w:rsidRPr="00220302">
        <w:rPr>
          <w:rFonts w:ascii="Palatino Linotype" w:eastAsia="Palatino Linotype" w:hAnsi="Palatino Linotype" w:cs="Palatino Linotype"/>
          <w:b/>
          <w:i/>
          <w:color w:val="000000"/>
          <w:sz w:val="22"/>
          <w:szCs w:val="22"/>
        </w:rPr>
        <w:t>INFORMACIÓN PÚBLICA, CONCEPTO DE, EN MATERIA DE TRANSPARENCIA. INTERPRETACIÓN SISTEMÁTICA DE LOS ARTÍCULOS 2°, FRACCIÓN V, XV, Y XVI, 3°, 4°, 11 Y 41.</w:t>
      </w:r>
      <w:r w:rsidRPr="00220302">
        <w:rPr>
          <w:rFonts w:ascii="Palatino Linotype" w:eastAsia="Palatino Linotype" w:hAnsi="Palatino Linotype" w:cs="Palatino Linotype"/>
          <w:i/>
          <w:color w:val="000000"/>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A43A449" w14:textId="77777777" w:rsidR="00E96F5D" w:rsidRPr="00220302" w:rsidRDefault="00014B04">
      <w:pPr>
        <w:pBdr>
          <w:top w:val="nil"/>
          <w:left w:val="nil"/>
          <w:bottom w:val="nil"/>
          <w:right w:val="nil"/>
          <w:between w:val="nil"/>
        </w:pBdr>
        <w:spacing w:before="240" w:after="240"/>
        <w:ind w:left="567" w:right="567"/>
        <w:jc w:val="both"/>
        <w:rPr>
          <w:color w:val="000000"/>
          <w:sz w:val="22"/>
          <w:szCs w:val="22"/>
        </w:rPr>
      </w:pPr>
      <w:r w:rsidRPr="00220302">
        <w:rPr>
          <w:rFonts w:ascii="Palatino Linotype" w:eastAsia="Palatino Linotype" w:hAnsi="Palatino Linotype" w:cs="Palatino Linotype"/>
          <w:i/>
          <w:color w:val="000000"/>
          <w:sz w:val="22"/>
          <w:szCs w:val="22"/>
        </w:rPr>
        <w:t>En consecuencia el acceso a la información se refiere a que se cumplan cualquiera de los siguientes tres supuestos:</w:t>
      </w:r>
    </w:p>
    <w:p w14:paraId="00025585" w14:textId="77777777" w:rsidR="00E96F5D" w:rsidRPr="00220302" w:rsidRDefault="00014B04">
      <w:pPr>
        <w:numPr>
          <w:ilvl w:val="0"/>
          <w:numId w:val="3"/>
        </w:numPr>
        <w:pBdr>
          <w:top w:val="nil"/>
          <w:left w:val="nil"/>
          <w:bottom w:val="nil"/>
          <w:right w:val="nil"/>
          <w:between w:val="nil"/>
        </w:pBdr>
        <w:spacing w:before="240" w:after="240"/>
        <w:ind w:left="567" w:right="567"/>
        <w:jc w:val="both"/>
        <w:rPr>
          <w:rFonts w:ascii="Palatino Linotype" w:eastAsia="Palatino Linotype" w:hAnsi="Palatino Linotype" w:cs="Palatino Linotype"/>
          <w:i/>
          <w:color w:val="000000"/>
          <w:sz w:val="22"/>
          <w:szCs w:val="22"/>
        </w:rPr>
      </w:pPr>
      <w:r w:rsidRPr="00220302">
        <w:rPr>
          <w:rFonts w:ascii="Palatino Linotype" w:eastAsia="Palatino Linotype" w:hAnsi="Palatino Linotype" w:cs="Palatino Linotype"/>
          <w:i/>
          <w:color w:val="000000"/>
          <w:sz w:val="22"/>
          <w:szCs w:val="22"/>
        </w:rPr>
        <w:t>Que se trate de información registrada en cualquier soporte documental, que en ejercicio de las atribuciones conferidas, sea generada por los Sujetos Obligados;</w:t>
      </w:r>
    </w:p>
    <w:p w14:paraId="7497905A" w14:textId="77777777" w:rsidR="00E96F5D" w:rsidRPr="00220302" w:rsidRDefault="00014B04">
      <w:pPr>
        <w:numPr>
          <w:ilvl w:val="0"/>
          <w:numId w:val="3"/>
        </w:numPr>
        <w:pBdr>
          <w:top w:val="nil"/>
          <w:left w:val="nil"/>
          <w:bottom w:val="nil"/>
          <w:right w:val="nil"/>
          <w:between w:val="nil"/>
        </w:pBdr>
        <w:spacing w:before="240" w:after="240"/>
        <w:ind w:left="567" w:right="567"/>
        <w:jc w:val="both"/>
        <w:rPr>
          <w:rFonts w:ascii="Palatino Linotype" w:eastAsia="Palatino Linotype" w:hAnsi="Palatino Linotype" w:cs="Palatino Linotype"/>
          <w:i/>
          <w:color w:val="000000"/>
          <w:sz w:val="22"/>
          <w:szCs w:val="22"/>
        </w:rPr>
      </w:pPr>
      <w:r w:rsidRPr="00220302">
        <w:rPr>
          <w:rFonts w:ascii="Palatino Linotype" w:eastAsia="Palatino Linotype" w:hAnsi="Palatino Linotype" w:cs="Palatino Linotype"/>
          <w:i/>
          <w:color w:val="000000"/>
          <w:sz w:val="22"/>
          <w:szCs w:val="22"/>
        </w:rPr>
        <w:t>Que se trate de información registrada en cualquier soporte documental, que en ejercicio de las atribuciones conferidas, sea administrada por los Sujetos Obligados, y</w:t>
      </w:r>
    </w:p>
    <w:p w14:paraId="7589C002" w14:textId="77777777" w:rsidR="00E96F5D" w:rsidRPr="00220302" w:rsidRDefault="00014B04">
      <w:pPr>
        <w:pBdr>
          <w:top w:val="nil"/>
          <w:left w:val="nil"/>
          <w:bottom w:val="nil"/>
          <w:right w:val="nil"/>
          <w:between w:val="nil"/>
        </w:pBdr>
        <w:spacing w:before="240" w:after="240"/>
        <w:ind w:left="567" w:right="567" w:hanging="284"/>
        <w:jc w:val="both"/>
        <w:rPr>
          <w:color w:val="000000"/>
          <w:sz w:val="22"/>
          <w:szCs w:val="22"/>
        </w:rPr>
      </w:pPr>
      <w:r w:rsidRPr="00220302">
        <w:rPr>
          <w:rFonts w:ascii="Palatino Linotype" w:eastAsia="Palatino Linotype" w:hAnsi="Palatino Linotype" w:cs="Palatino Linotype"/>
          <w:i/>
          <w:color w:val="000000"/>
          <w:sz w:val="22"/>
          <w:szCs w:val="22"/>
        </w:rPr>
        <w:t xml:space="preserve">3. </w:t>
      </w:r>
      <w:r w:rsidRPr="00220302">
        <w:rPr>
          <w:rFonts w:ascii="Palatino Linotype" w:eastAsia="Palatino Linotype" w:hAnsi="Palatino Linotype" w:cs="Palatino Linotype"/>
          <w:b/>
          <w:i/>
          <w:color w:val="000000"/>
          <w:sz w:val="22"/>
          <w:szCs w:val="22"/>
        </w:rPr>
        <w:t xml:space="preserve">Que se trate de información registrada en cualquier soporte documental, que en ejercicio de las atribuciones conferidas, se encuentre en posesión de los Sujetos Obligados.” </w:t>
      </w:r>
      <w:r w:rsidRPr="00220302">
        <w:rPr>
          <w:rFonts w:ascii="Palatino Linotype" w:eastAsia="Palatino Linotype" w:hAnsi="Palatino Linotype" w:cs="Palatino Linotype"/>
          <w:i/>
          <w:color w:val="000000"/>
          <w:sz w:val="22"/>
          <w:szCs w:val="22"/>
        </w:rPr>
        <w:t>(Énfasis añadido)</w:t>
      </w:r>
    </w:p>
    <w:p w14:paraId="40980955" w14:textId="77777777" w:rsidR="00E96F5D" w:rsidRPr="00220302" w:rsidRDefault="00014B04">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2"/>
          <w:szCs w:val="22"/>
        </w:rPr>
      </w:pPr>
      <w:r w:rsidRPr="00220302">
        <w:rPr>
          <w:rFonts w:ascii="Palatino Linotype" w:eastAsia="Palatino Linotype" w:hAnsi="Palatino Linotype" w:cs="Palatino Linotype"/>
          <w:color w:val="000000"/>
          <w:sz w:val="22"/>
          <w:szCs w:val="22"/>
        </w:rPr>
        <w:t xml:space="preserve">De ahí que el </w:t>
      </w:r>
      <w:r w:rsidRPr="00220302">
        <w:rPr>
          <w:rFonts w:ascii="Palatino Linotype" w:eastAsia="Palatino Linotype" w:hAnsi="Palatino Linotype" w:cs="Palatino Linotype"/>
          <w:b/>
          <w:color w:val="000000"/>
          <w:sz w:val="22"/>
          <w:szCs w:val="22"/>
        </w:rPr>
        <w:t>Sujeto Obligado</w:t>
      </w:r>
      <w:r w:rsidRPr="00220302">
        <w:rPr>
          <w:rFonts w:ascii="Palatino Linotype" w:eastAsia="Palatino Linotype" w:hAnsi="Palatino Linotype" w:cs="Palatino Linotype"/>
          <w:color w:val="000000"/>
          <w:sz w:val="22"/>
          <w:szCs w:val="22"/>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6D236EDC" w14:textId="0B536F09" w:rsidR="003B4D23" w:rsidRPr="00220302" w:rsidRDefault="00014B04" w:rsidP="00027666">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2"/>
          <w:szCs w:val="22"/>
        </w:rPr>
      </w:pPr>
      <w:r w:rsidRPr="00220302">
        <w:rPr>
          <w:rFonts w:ascii="Palatino Linotype" w:eastAsia="Palatino Linotype" w:hAnsi="Palatino Linotype" w:cs="Palatino Linotype"/>
          <w:color w:val="000000"/>
          <w:sz w:val="22"/>
          <w:szCs w:val="22"/>
        </w:rPr>
        <w:lastRenderedPageBreak/>
        <w:t xml:space="preserve">Ahora bien, para profundizar en el estudio del presente asunto, es conveniente recordar que de un análisis a la solicitud de información, se advierte que la parte solicitante requirió al </w:t>
      </w:r>
      <w:r w:rsidRPr="00220302">
        <w:rPr>
          <w:rFonts w:ascii="Palatino Linotype" w:eastAsia="Palatino Linotype" w:hAnsi="Palatino Linotype" w:cs="Palatino Linotype"/>
          <w:b/>
          <w:color w:val="000000"/>
          <w:sz w:val="22"/>
          <w:szCs w:val="22"/>
        </w:rPr>
        <w:t>Sujeto Obligado</w:t>
      </w:r>
      <w:r w:rsidRPr="00220302">
        <w:rPr>
          <w:rFonts w:ascii="Palatino Linotype" w:eastAsia="Palatino Linotype" w:hAnsi="Palatino Linotype" w:cs="Palatino Linotype"/>
          <w:color w:val="000000"/>
          <w:sz w:val="22"/>
          <w:szCs w:val="22"/>
        </w:rPr>
        <w:t>, le proporcionara lo siguiente:</w:t>
      </w:r>
    </w:p>
    <w:p w14:paraId="0360CC69" w14:textId="77777777" w:rsidR="003B4D23" w:rsidRPr="00220302" w:rsidRDefault="003B4D23" w:rsidP="003B4D23">
      <w:pPr>
        <w:pStyle w:val="Prrafodelista"/>
        <w:numPr>
          <w:ilvl w:val="0"/>
          <w:numId w:val="8"/>
        </w:numPr>
        <w:pBdr>
          <w:top w:val="nil"/>
          <w:left w:val="nil"/>
          <w:bottom w:val="nil"/>
          <w:right w:val="nil"/>
          <w:between w:val="nil"/>
        </w:pBdr>
        <w:spacing w:before="240" w:after="240" w:line="360" w:lineRule="auto"/>
        <w:ind w:left="567" w:right="900" w:hanging="141"/>
        <w:jc w:val="both"/>
        <w:rPr>
          <w:rFonts w:ascii="Palatino Linotype" w:eastAsia="Palatino Linotype" w:hAnsi="Palatino Linotype" w:cs="Palatino Linotype"/>
          <w:b/>
          <w:color w:val="000000"/>
          <w:sz w:val="22"/>
          <w:szCs w:val="22"/>
        </w:rPr>
      </w:pPr>
      <w:r w:rsidRPr="00220302">
        <w:rPr>
          <w:rFonts w:ascii="Palatino Linotype" w:eastAsia="Palatino Linotype" w:hAnsi="Palatino Linotype" w:cs="Palatino Linotype"/>
          <w:b/>
          <w:color w:val="000000"/>
          <w:sz w:val="22"/>
          <w:szCs w:val="22"/>
        </w:rPr>
        <w:t>Estado actual de las auditorías realizadas por el OSFEM de conformidad con el Programa Anual de Auditorías de los años 2022 y 2023.</w:t>
      </w:r>
    </w:p>
    <w:p w14:paraId="338E8D92" w14:textId="04049088" w:rsidR="003B4D23" w:rsidRPr="00220302" w:rsidRDefault="00014B04">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sz w:val="22"/>
          <w:szCs w:val="22"/>
        </w:rPr>
      </w:pPr>
      <w:r w:rsidRPr="00220302">
        <w:rPr>
          <w:rFonts w:ascii="Palatino Linotype" w:eastAsia="Palatino Linotype" w:hAnsi="Palatino Linotype" w:cs="Palatino Linotype"/>
          <w:sz w:val="22"/>
          <w:szCs w:val="22"/>
        </w:rPr>
        <w:t xml:space="preserve">En respuesta, el </w:t>
      </w:r>
      <w:r w:rsidRPr="00220302">
        <w:rPr>
          <w:rFonts w:ascii="Palatino Linotype" w:eastAsia="Palatino Linotype" w:hAnsi="Palatino Linotype" w:cs="Palatino Linotype"/>
          <w:b/>
          <w:sz w:val="22"/>
          <w:szCs w:val="22"/>
        </w:rPr>
        <w:t>Sujeto Obligado</w:t>
      </w:r>
      <w:r w:rsidRPr="00220302">
        <w:rPr>
          <w:rFonts w:ascii="Palatino Linotype" w:eastAsia="Palatino Linotype" w:hAnsi="Palatino Linotype" w:cs="Palatino Linotype"/>
          <w:sz w:val="22"/>
          <w:szCs w:val="22"/>
        </w:rPr>
        <w:t xml:space="preserve"> se pronunció por conducto </w:t>
      </w:r>
      <w:r w:rsidR="004F2540" w:rsidRPr="00220302">
        <w:rPr>
          <w:rFonts w:ascii="Palatino Linotype" w:eastAsia="Palatino Linotype" w:hAnsi="Palatino Linotype" w:cs="Palatino Linotype"/>
          <w:sz w:val="22"/>
          <w:szCs w:val="22"/>
        </w:rPr>
        <w:t xml:space="preserve">del </w:t>
      </w:r>
      <w:r w:rsidR="003B4D23" w:rsidRPr="00220302">
        <w:rPr>
          <w:rFonts w:ascii="Palatino Linotype" w:eastAsia="Palatino Linotype" w:hAnsi="Palatino Linotype" w:cs="Palatino Linotype"/>
          <w:sz w:val="22"/>
          <w:szCs w:val="22"/>
        </w:rPr>
        <w:t>Servidor Público Habilitado de la Unidad de Asuntos Jurídicos</w:t>
      </w:r>
      <w:r w:rsidR="002F57C8" w:rsidRPr="00220302">
        <w:rPr>
          <w:rFonts w:ascii="Palatino Linotype" w:eastAsia="Palatino Linotype" w:hAnsi="Palatino Linotype" w:cs="Palatino Linotype"/>
          <w:sz w:val="22"/>
          <w:szCs w:val="22"/>
        </w:rPr>
        <w:t>, quien</w:t>
      </w:r>
      <w:r w:rsidR="003B4D23" w:rsidRPr="00220302">
        <w:rPr>
          <w:rFonts w:ascii="Palatino Linotype" w:eastAsia="Palatino Linotype" w:hAnsi="Palatino Linotype" w:cs="Palatino Linotype"/>
          <w:sz w:val="22"/>
          <w:szCs w:val="22"/>
        </w:rPr>
        <w:t xml:space="preserve"> proporciona una serie de ligas electrónicas para consultar la información solicitada.</w:t>
      </w:r>
    </w:p>
    <w:p w14:paraId="7ED9E111" w14:textId="77777777" w:rsidR="003B4D23" w:rsidRPr="00220302" w:rsidRDefault="00014B04">
      <w:pPr>
        <w:spacing w:before="240" w:after="240" w:line="360" w:lineRule="auto"/>
        <w:ind w:right="49"/>
        <w:jc w:val="both"/>
        <w:rPr>
          <w:rFonts w:ascii="Palatino Linotype" w:eastAsia="Palatino Linotype" w:hAnsi="Palatino Linotype" w:cs="Palatino Linotype"/>
          <w:sz w:val="22"/>
          <w:szCs w:val="22"/>
        </w:rPr>
      </w:pPr>
      <w:r w:rsidRPr="00220302">
        <w:rPr>
          <w:rFonts w:ascii="Palatino Linotype" w:eastAsia="Palatino Linotype" w:hAnsi="Palatino Linotype" w:cs="Palatino Linotype"/>
          <w:sz w:val="22"/>
          <w:szCs w:val="22"/>
        </w:rPr>
        <w:t xml:space="preserve">En esta tesitura, una vez conocida la respuesta emitida por el </w:t>
      </w:r>
      <w:r w:rsidRPr="00220302">
        <w:rPr>
          <w:rFonts w:ascii="Palatino Linotype" w:eastAsia="Palatino Linotype" w:hAnsi="Palatino Linotype" w:cs="Palatino Linotype"/>
          <w:b/>
          <w:sz w:val="22"/>
          <w:szCs w:val="22"/>
        </w:rPr>
        <w:t>Sujeto Obligado</w:t>
      </w:r>
      <w:r w:rsidRPr="00220302">
        <w:rPr>
          <w:rFonts w:ascii="Palatino Linotype" w:eastAsia="Palatino Linotype" w:hAnsi="Palatino Linotype" w:cs="Palatino Linotype"/>
          <w:sz w:val="22"/>
          <w:szCs w:val="22"/>
        </w:rPr>
        <w:t xml:space="preserve">, </w:t>
      </w:r>
      <w:r w:rsidRPr="00220302">
        <w:rPr>
          <w:rFonts w:ascii="Palatino Linotype" w:eastAsia="Palatino Linotype" w:hAnsi="Palatino Linotype" w:cs="Palatino Linotype"/>
          <w:b/>
          <w:sz w:val="22"/>
          <w:szCs w:val="22"/>
        </w:rPr>
        <w:t>la parte Recurrente</w:t>
      </w:r>
      <w:r w:rsidRPr="00220302">
        <w:rPr>
          <w:rFonts w:ascii="Palatino Linotype" w:eastAsia="Palatino Linotype" w:hAnsi="Palatino Linotype" w:cs="Palatino Linotype"/>
          <w:sz w:val="22"/>
          <w:szCs w:val="22"/>
        </w:rPr>
        <w:t xml:space="preserve">, al no estar conforme con los términos de la misma, interpuso el recurso de revisión que nos ocupa, inconformándose medularmente respecto de la </w:t>
      </w:r>
      <w:r w:rsidR="003B4D23" w:rsidRPr="00220302">
        <w:rPr>
          <w:rFonts w:ascii="Palatino Linotype" w:eastAsia="Palatino Linotype" w:hAnsi="Palatino Linotype" w:cs="Palatino Linotype"/>
          <w:sz w:val="22"/>
          <w:szCs w:val="22"/>
        </w:rPr>
        <w:t>entrega de información incompleta y desactualizada.</w:t>
      </w:r>
    </w:p>
    <w:p w14:paraId="079C50E0" w14:textId="77777777" w:rsidR="003B4D23" w:rsidRPr="00220302" w:rsidRDefault="00014B04">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220302">
        <w:rPr>
          <w:rFonts w:ascii="Palatino Linotype" w:eastAsia="Palatino Linotype" w:hAnsi="Palatino Linotype" w:cs="Palatino Linotype"/>
          <w:sz w:val="22"/>
          <w:szCs w:val="22"/>
        </w:rPr>
        <w:t xml:space="preserve">Así las cosas, durante la etapa de manifestaciones e informe justificado, se tiene que el </w:t>
      </w:r>
      <w:r w:rsidRPr="00220302">
        <w:rPr>
          <w:rFonts w:ascii="Palatino Linotype" w:eastAsia="Palatino Linotype" w:hAnsi="Palatino Linotype" w:cs="Palatino Linotype"/>
          <w:b/>
          <w:sz w:val="22"/>
          <w:szCs w:val="22"/>
        </w:rPr>
        <w:t>Sujeto Obligado</w:t>
      </w:r>
      <w:r w:rsidRPr="00220302">
        <w:rPr>
          <w:rFonts w:ascii="Palatino Linotype" w:eastAsia="Palatino Linotype" w:hAnsi="Palatino Linotype" w:cs="Palatino Linotype"/>
          <w:color w:val="000000"/>
          <w:sz w:val="22"/>
          <w:szCs w:val="22"/>
        </w:rPr>
        <w:t xml:space="preserve"> </w:t>
      </w:r>
      <w:r w:rsidR="004F2540" w:rsidRPr="00220302">
        <w:rPr>
          <w:rFonts w:ascii="Palatino Linotype" w:eastAsia="Palatino Linotype" w:hAnsi="Palatino Linotype" w:cs="Palatino Linotype"/>
          <w:color w:val="000000"/>
          <w:sz w:val="22"/>
          <w:szCs w:val="22"/>
        </w:rPr>
        <w:t>ratificó los términos de su respuesta inicial</w:t>
      </w:r>
      <w:r w:rsidRPr="00220302">
        <w:rPr>
          <w:rFonts w:ascii="Palatino Linotype" w:eastAsia="Palatino Linotype" w:hAnsi="Palatino Linotype" w:cs="Palatino Linotype"/>
          <w:color w:val="000000"/>
          <w:sz w:val="22"/>
          <w:szCs w:val="22"/>
        </w:rPr>
        <w:t xml:space="preserve">, mientras que </w:t>
      </w:r>
      <w:r w:rsidRPr="00220302">
        <w:rPr>
          <w:rFonts w:ascii="Palatino Linotype" w:eastAsia="Palatino Linotype" w:hAnsi="Palatino Linotype" w:cs="Palatino Linotype"/>
          <w:b/>
          <w:color w:val="000000"/>
          <w:sz w:val="22"/>
          <w:szCs w:val="22"/>
        </w:rPr>
        <w:t>la parte Recurrente</w:t>
      </w:r>
      <w:r w:rsidRPr="00220302">
        <w:rPr>
          <w:rFonts w:ascii="Palatino Linotype" w:eastAsia="Palatino Linotype" w:hAnsi="Palatino Linotype" w:cs="Palatino Linotype"/>
          <w:color w:val="000000"/>
          <w:sz w:val="22"/>
          <w:szCs w:val="22"/>
        </w:rPr>
        <w:t xml:space="preserve"> fue omisa en pronunciarse en esta etapa, </w:t>
      </w:r>
      <w:r w:rsidRPr="00220302">
        <w:rPr>
          <w:rFonts w:ascii="Palatino Linotype" w:eastAsia="Palatino Linotype" w:hAnsi="Palatino Linotype" w:cs="Palatino Linotype"/>
          <w:sz w:val="22"/>
          <w:szCs w:val="22"/>
        </w:rPr>
        <w:t>por lo tanto, se tuvo por precluido su prerrogativa para tal efecto y se procede en este acto a emitir la resolución que corresponda conforme a derecho.</w:t>
      </w:r>
    </w:p>
    <w:p w14:paraId="12D7530E" w14:textId="77777777" w:rsidR="003B4D23" w:rsidRPr="00220302" w:rsidRDefault="003B4D23">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699A03F8" w14:textId="77777777" w:rsidR="003B4D23" w:rsidRPr="00220302" w:rsidRDefault="003B4D23" w:rsidP="003B4D23">
      <w:pPr>
        <w:pStyle w:val="NormalWeb"/>
        <w:spacing w:before="0" w:beforeAutospacing="0" w:after="0" w:afterAutospacing="0" w:line="360" w:lineRule="auto"/>
        <w:jc w:val="both"/>
        <w:rPr>
          <w:rFonts w:ascii="Palatino Linotype" w:hAnsi="Palatino Linotype"/>
          <w:i/>
          <w:iCs/>
          <w:color w:val="000000"/>
          <w:sz w:val="22"/>
          <w:szCs w:val="22"/>
        </w:rPr>
      </w:pPr>
      <w:r w:rsidRPr="00220302">
        <w:rPr>
          <w:rFonts w:ascii="Palatino Linotype" w:hAnsi="Palatino Linotype"/>
          <w:color w:val="000000"/>
          <w:sz w:val="22"/>
        </w:rPr>
        <w:t xml:space="preserve">Una vez expuestas las posturas de las partes, no pasa por desapercibido para este Organismo Garante que </w:t>
      </w:r>
      <w:r w:rsidRPr="00220302">
        <w:rPr>
          <w:rFonts w:ascii="Palatino Linotype" w:hAnsi="Palatino Linotype"/>
          <w:b/>
          <w:bCs/>
          <w:color w:val="000000"/>
          <w:sz w:val="22"/>
        </w:rPr>
        <w:t>la parte</w:t>
      </w:r>
      <w:r w:rsidRPr="00220302">
        <w:rPr>
          <w:rFonts w:ascii="Palatino Linotype" w:hAnsi="Palatino Linotype"/>
          <w:color w:val="000000"/>
          <w:sz w:val="22"/>
        </w:rPr>
        <w:t xml:space="preserve"> </w:t>
      </w:r>
      <w:r w:rsidRPr="00220302">
        <w:rPr>
          <w:rFonts w:ascii="Palatino Linotype" w:hAnsi="Palatino Linotype"/>
          <w:b/>
          <w:bCs/>
          <w:color w:val="000000"/>
          <w:sz w:val="22"/>
        </w:rPr>
        <w:t>Recurrente</w:t>
      </w:r>
      <w:r w:rsidRPr="00220302">
        <w:rPr>
          <w:rFonts w:ascii="Palatino Linotype" w:hAnsi="Palatino Linotype"/>
          <w:color w:val="000000"/>
          <w:sz w:val="22"/>
        </w:rPr>
        <w:t xml:space="preserve"> señaló en su escrito de impugnación</w:t>
      </w:r>
      <w:r w:rsidRPr="00220302">
        <w:rPr>
          <w:rFonts w:ascii="Palatino Linotype" w:hAnsi="Palatino Linotype"/>
          <w:i/>
          <w:iCs/>
          <w:color w:val="000000"/>
          <w:sz w:val="22"/>
        </w:rPr>
        <w:t>“…</w:t>
      </w:r>
      <w:r w:rsidRPr="00220302">
        <w:rPr>
          <w:rFonts w:ascii="Palatino Linotype" w:hAnsi="Palatino Linotype"/>
          <w:b/>
          <w:i/>
          <w:iCs/>
          <w:color w:val="000000"/>
          <w:sz w:val="22"/>
          <w:u w:val="single"/>
        </w:rPr>
        <w:t>no se menciona el estado actual que guardan todas y cada una de las auditorías que se practicaron conforme a los programas anuales respectivos de los años 2021</w:t>
      </w:r>
      <w:r w:rsidRPr="00220302">
        <w:rPr>
          <w:rFonts w:ascii="Palatino Linotype" w:hAnsi="Palatino Linotype"/>
          <w:i/>
          <w:iCs/>
          <w:color w:val="000000"/>
          <w:sz w:val="22"/>
        </w:rPr>
        <w:t xml:space="preserve">…” </w:t>
      </w:r>
      <w:r w:rsidRPr="00220302">
        <w:rPr>
          <w:rFonts w:ascii="Palatino Linotype" w:hAnsi="Palatino Linotype"/>
          <w:color w:val="000000"/>
          <w:sz w:val="22"/>
        </w:rPr>
        <w:t xml:space="preserve">lo cual no fue solicitado inicialmente, como se desprende del antecedente marcado con el numeral uno de la presente resolución, por lo que constituye un nuevo requerimiento de información, configurándose así lo que se conoce como </w:t>
      </w:r>
      <w:r w:rsidRPr="00220302">
        <w:rPr>
          <w:rFonts w:ascii="Palatino Linotype" w:hAnsi="Palatino Linotype"/>
          <w:b/>
          <w:bCs/>
          <w:i/>
          <w:iCs/>
          <w:color w:val="000000"/>
          <w:sz w:val="22"/>
        </w:rPr>
        <w:t xml:space="preserve">plus </w:t>
      </w:r>
      <w:proofErr w:type="spellStart"/>
      <w:r w:rsidRPr="00220302">
        <w:rPr>
          <w:rFonts w:ascii="Palatino Linotype" w:hAnsi="Palatino Linotype"/>
          <w:b/>
          <w:bCs/>
          <w:i/>
          <w:iCs/>
          <w:color w:val="000000"/>
          <w:sz w:val="22"/>
        </w:rPr>
        <w:t>petitio</w:t>
      </w:r>
      <w:proofErr w:type="spellEnd"/>
      <w:r w:rsidRPr="00220302">
        <w:rPr>
          <w:rFonts w:ascii="Palatino Linotype" w:hAnsi="Palatino Linotype"/>
          <w:color w:val="000000"/>
          <w:sz w:val="22"/>
        </w:rPr>
        <w:t xml:space="preserve">, que consiste en una ampliación a su </w:t>
      </w:r>
      <w:r w:rsidRPr="00220302">
        <w:rPr>
          <w:rFonts w:ascii="Palatino Linotype" w:hAnsi="Palatino Linotype"/>
          <w:color w:val="000000"/>
          <w:sz w:val="22"/>
        </w:rPr>
        <w:lastRenderedPageBreak/>
        <w:t xml:space="preserve">requerimiento informativo, argumentos que no son susceptibles de ser valorados en términos de la fracción VII del Artículo 191 de la Ley de Transparencia y Acceso a la Información Pública del Estado de </w:t>
      </w:r>
      <w:r w:rsidRPr="00220302">
        <w:rPr>
          <w:rFonts w:ascii="Palatino Linotype" w:hAnsi="Palatino Linotype"/>
          <w:color w:val="000000"/>
          <w:sz w:val="22"/>
          <w:szCs w:val="22"/>
        </w:rPr>
        <w:t xml:space="preserve">México y Municipios,  pues </w:t>
      </w:r>
      <w:r w:rsidRPr="00220302">
        <w:rPr>
          <w:rFonts w:ascii="Palatino Linotype" w:hAnsi="Palatino Linotype"/>
          <w:b/>
          <w:bCs/>
          <w:color w:val="000000"/>
          <w:sz w:val="22"/>
          <w:szCs w:val="22"/>
        </w:rPr>
        <w:t>la parte</w:t>
      </w:r>
      <w:r w:rsidRPr="00220302">
        <w:rPr>
          <w:rFonts w:ascii="Palatino Linotype" w:hAnsi="Palatino Linotype"/>
          <w:color w:val="000000"/>
          <w:sz w:val="22"/>
          <w:szCs w:val="22"/>
        </w:rPr>
        <w:t xml:space="preserve"> </w:t>
      </w:r>
      <w:r w:rsidRPr="00220302">
        <w:rPr>
          <w:rFonts w:ascii="Palatino Linotype" w:hAnsi="Palatino Linotype"/>
          <w:b/>
          <w:bCs/>
          <w:color w:val="000000"/>
          <w:sz w:val="22"/>
          <w:szCs w:val="22"/>
        </w:rPr>
        <w:t>Recurrente</w:t>
      </w:r>
      <w:r w:rsidRPr="00220302">
        <w:rPr>
          <w:rFonts w:ascii="Palatino Linotype" w:hAnsi="Palatino Linotype"/>
          <w:color w:val="000000"/>
          <w:sz w:val="22"/>
          <w:szCs w:val="22"/>
        </w:rPr>
        <w:t xml:space="preserve"> formuló un nuevo cuestionamiento, en el que solicitó información que no formó parte de su solicitud inicial y por lo tanto es inatendible a través del presente recurso de revisión. </w:t>
      </w:r>
    </w:p>
    <w:p w14:paraId="549730A9" w14:textId="77777777" w:rsidR="003B4D23" w:rsidRPr="00220302" w:rsidRDefault="003B4D23" w:rsidP="003B4D23">
      <w:pPr>
        <w:pStyle w:val="NormalWeb"/>
        <w:spacing w:before="240" w:beforeAutospacing="0" w:after="240" w:afterAutospacing="0" w:line="360" w:lineRule="auto"/>
        <w:jc w:val="both"/>
        <w:rPr>
          <w:sz w:val="22"/>
          <w:szCs w:val="22"/>
        </w:rPr>
      </w:pPr>
      <w:r w:rsidRPr="00220302">
        <w:rPr>
          <w:rFonts w:ascii="Palatino Linotype" w:hAnsi="Palatino Linotype"/>
          <w:color w:val="000000"/>
          <w:sz w:val="22"/>
          <w:szCs w:val="22"/>
        </w:rPr>
        <w:t>En este tenor, es posible determinar que para el caso que nos ocupa, los referidos argumentos formulados como motivos o razones de inconformidad son una ampliación a la solicitud inicial y corresponden a un nuevo requerimiento de información, que no se encuentra relacionado con lo solicitado en un primer momento.</w:t>
      </w:r>
    </w:p>
    <w:p w14:paraId="4732AEFE" w14:textId="77777777" w:rsidR="003B4D23" w:rsidRPr="00220302" w:rsidRDefault="003B4D23" w:rsidP="003B4D23">
      <w:pPr>
        <w:pStyle w:val="NormalWeb"/>
        <w:spacing w:before="240" w:beforeAutospacing="0" w:after="240" w:afterAutospacing="0" w:line="360" w:lineRule="auto"/>
        <w:jc w:val="both"/>
        <w:rPr>
          <w:sz w:val="22"/>
          <w:szCs w:val="22"/>
        </w:rPr>
      </w:pPr>
      <w:r w:rsidRPr="00220302">
        <w:rPr>
          <w:rFonts w:ascii="Palatino Linotype" w:hAnsi="Palatino Linotype"/>
          <w:color w:val="000000"/>
          <w:sz w:val="22"/>
          <w:szCs w:val="22"/>
        </w:rPr>
        <w:t>En este orden de ideas, una vez formulada su solicitud inicial, los particulares no pueden modificarla o ampliarla a través de posteriores promociones o en el momento de ingresar su recurso de revisión; por tanto, la materia de las solicitudes de información se circunscribe a que se permita el acceso a los documentos inicialmente solicitados y en su caso a los aclarados o corregidos.</w:t>
      </w:r>
    </w:p>
    <w:p w14:paraId="7E7019D1" w14:textId="77777777" w:rsidR="003B4D23" w:rsidRPr="00220302" w:rsidRDefault="003B4D23" w:rsidP="003B4D23">
      <w:pPr>
        <w:pStyle w:val="NormalWeb"/>
        <w:spacing w:before="240" w:beforeAutospacing="0" w:after="240" w:afterAutospacing="0" w:line="360" w:lineRule="auto"/>
        <w:jc w:val="both"/>
        <w:rPr>
          <w:sz w:val="22"/>
          <w:szCs w:val="22"/>
        </w:rPr>
      </w:pPr>
      <w:r w:rsidRPr="00220302">
        <w:rPr>
          <w:rFonts w:ascii="Palatino Linotype" w:hAnsi="Palatino Linotype"/>
          <w:color w:val="000000"/>
          <w:sz w:val="22"/>
          <w:szCs w:val="22"/>
        </w:rPr>
        <w:t>Robustece lo anterior lo plasmado en el criterio orientador número 01/17 emitido por el Instituto Nacional de Transparencia, Acceso a la Información y Protección de Datos Personales, INAI, que lleva por rubro y texto lo que a continuación se transcribe:</w:t>
      </w:r>
    </w:p>
    <w:p w14:paraId="2D9B5512" w14:textId="77777777" w:rsidR="003B4D23" w:rsidRPr="00220302" w:rsidRDefault="003B4D23" w:rsidP="003B4D23">
      <w:pPr>
        <w:pStyle w:val="NormalWeb"/>
        <w:spacing w:before="240" w:beforeAutospacing="0" w:after="240" w:afterAutospacing="0"/>
        <w:ind w:left="567" w:right="900"/>
        <w:jc w:val="both"/>
      </w:pPr>
      <w:r w:rsidRPr="00220302">
        <w:rPr>
          <w:rFonts w:ascii="Palatino Linotype" w:hAnsi="Palatino Linotype"/>
          <w:i/>
          <w:iCs/>
          <w:color w:val="000000"/>
          <w:sz w:val="22"/>
          <w:szCs w:val="22"/>
        </w:rPr>
        <w:t>“</w:t>
      </w:r>
      <w:r w:rsidRPr="00220302">
        <w:rPr>
          <w:rFonts w:ascii="Palatino Linotype" w:hAnsi="Palatino Linotype"/>
          <w:b/>
          <w:bCs/>
          <w:i/>
          <w:iCs/>
          <w:color w:val="000000"/>
          <w:sz w:val="22"/>
          <w:szCs w:val="22"/>
        </w:rPr>
        <w:t>Es improcedente ampliar las solicitudes de acceso a información, a través de la interposición del recurso de revisión</w:t>
      </w:r>
      <w:r w:rsidRPr="00220302">
        <w:rPr>
          <w:rFonts w:ascii="Palatino Linotype" w:hAnsi="Palatino Linotype"/>
          <w:i/>
          <w:iCs/>
          <w:color w:val="000000"/>
          <w:sz w:val="22"/>
          <w:szCs w:val="22"/>
        </w:rPr>
        <w:t>. 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r w:rsidRPr="00220302">
        <w:rPr>
          <w:rFonts w:ascii="Palatino Linotype" w:hAnsi="Palatino Linotype"/>
          <w:i/>
          <w:iCs/>
          <w:color w:val="000000"/>
          <w:sz w:val="20"/>
          <w:szCs w:val="20"/>
        </w:rPr>
        <w:t> </w:t>
      </w:r>
    </w:p>
    <w:p w14:paraId="70B05A28" w14:textId="64BEC99E" w:rsidR="00D47B55" w:rsidRPr="00220302" w:rsidRDefault="00D47B55">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220302">
        <w:rPr>
          <w:rFonts w:ascii="Palatino Linotype" w:eastAsia="Palatino Linotype" w:hAnsi="Palatino Linotype" w:cs="Palatino Linotype"/>
          <w:sz w:val="22"/>
          <w:szCs w:val="22"/>
        </w:rPr>
        <w:lastRenderedPageBreak/>
        <w:t xml:space="preserve">Acotado lo anterior, resulta importante mencionar que en el presente asunto se pronunció el servidor público habilitado de la Unidad de Asuntos Jurídicos, </w:t>
      </w:r>
      <w:r w:rsidR="002F57C8" w:rsidRPr="00220302">
        <w:rPr>
          <w:rFonts w:ascii="Palatino Linotype" w:eastAsia="Palatino Linotype" w:hAnsi="Palatino Linotype" w:cs="Palatino Linotype"/>
          <w:sz w:val="22"/>
          <w:szCs w:val="22"/>
        </w:rPr>
        <w:t xml:space="preserve">a quien, </w:t>
      </w:r>
      <w:r w:rsidRPr="00220302">
        <w:rPr>
          <w:rFonts w:ascii="Palatino Linotype" w:eastAsia="Palatino Linotype" w:hAnsi="Palatino Linotype" w:cs="Palatino Linotype"/>
          <w:sz w:val="22"/>
          <w:szCs w:val="22"/>
        </w:rPr>
        <w:t xml:space="preserve">de conformidad con el </w:t>
      </w:r>
      <w:r w:rsidR="00947613" w:rsidRPr="00220302">
        <w:rPr>
          <w:rFonts w:ascii="Palatino Linotype" w:eastAsia="Palatino Linotype" w:hAnsi="Palatino Linotype" w:cs="Palatino Linotype"/>
          <w:sz w:val="22"/>
          <w:szCs w:val="22"/>
        </w:rPr>
        <w:t>Manual de Organización</w:t>
      </w:r>
      <w:r w:rsidRPr="00220302">
        <w:rPr>
          <w:rFonts w:ascii="Palatino Linotype" w:eastAsia="Palatino Linotype" w:hAnsi="Palatino Linotype" w:cs="Palatino Linotype"/>
          <w:sz w:val="22"/>
          <w:szCs w:val="22"/>
        </w:rPr>
        <w:t xml:space="preserve"> del </w:t>
      </w:r>
      <w:r w:rsidR="00947613" w:rsidRPr="00220302">
        <w:rPr>
          <w:rFonts w:ascii="Palatino Linotype" w:eastAsia="Palatino Linotype" w:hAnsi="Palatino Linotype" w:cs="Palatino Linotype"/>
          <w:sz w:val="22"/>
          <w:szCs w:val="22"/>
        </w:rPr>
        <w:t>Órgano Superior de Fiscalización, a la Unidad de Asuntos Jurídicos le corresponden las siguientes atribuciones:</w:t>
      </w:r>
    </w:p>
    <w:p w14:paraId="387FA81E" w14:textId="77777777" w:rsidR="00947613" w:rsidRPr="00220302" w:rsidRDefault="00947613">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14615CD8" w14:textId="77777777" w:rsidR="00947613" w:rsidRPr="00220302" w:rsidRDefault="00947613" w:rsidP="00947613">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b/>
          <w:i/>
          <w:sz w:val="22"/>
          <w:szCs w:val="22"/>
        </w:rPr>
      </w:pPr>
      <w:r w:rsidRPr="00220302">
        <w:rPr>
          <w:rFonts w:ascii="Palatino Linotype" w:eastAsia="Palatino Linotype" w:hAnsi="Palatino Linotype" w:cs="Palatino Linotype"/>
          <w:i/>
          <w:sz w:val="22"/>
          <w:szCs w:val="22"/>
        </w:rPr>
        <w:t>“</w:t>
      </w:r>
      <w:r w:rsidRPr="00220302">
        <w:rPr>
          <w:rFonts w:ascii="Palatino Linotype" w:eastAsia="Palatino Linotype" w:hAnsi="Palatino Linotype" w:cs="Palatino Linotype"/>
          <w:b/>
          <w:i/>
          <w:sz w:val="22"/>
          <w:szCs w:val="22"/>
        </w:rPr>
        <w:t>Unidad de Asuntos Jurídicos</w:t>
      </w:r>
    </w:p>
    <w:p w14:paraId="76338B0E" w14:textId="77777777" w:rsidR="00947613" w:rsidRPr="00220302" w:rsidRDefault="00947613" w:rsidP="00947613">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szCs w:val="22"/>
        </w:rPr>
      </w:pPr>
      <w:r w:rsidRPr="00220302">
        <w:rPr>
          <w:rFonts w:ascii="Palatino Linotype" w:eastAsia="Palatino Linotype" w:hAnsi="Palatino Linotype" w:cs="Palatino Linotype"/>
          <w:i/>
          <w:sz w:val="22"/>
          <w:szCs w:val="22"/>
        </w:rPr>
        <w:t>Objetivo:</w:t>
      </w:r>
    </w:p>
    <w:p w14:paraId="326A87F4" w14:textId="77777777" w:rsidR="00947613" w:rsidRPr="00220302" w:rsidRDefault="00947613" w:rsidP="00947613">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b/>
          <w:i/>
          <w:sz w:val="22"/>
          <w:szCs w:val="22"/>
        </w:rPr>
      </w:pPr>
      <w:r w:rsidRPr="00220302">
        <w:rPr>
          <w:rFonts w:ascii="Palatino Linotype" w:eastAsia="Palatino Linotype" w:hAnsi="Palatino Linotype" w:cs="Palatino Linotype"/>
          <w:b/>
          <w:i/>
          <w:sz w:val="22"/>
          <w:szCs w:val="22"/>
        </w:rPr>
        <w:t>Representar al Órgano Superior de Fiscalización del Estado de México y al Auditor Superior en materia jurídica ante todo tipo de autoridades e instancias, así como proporcionar la asistencia jurídica a las Unidades Administrativas del Órgano Superior, para el cumplimiento de sus funciones y coordinar el desahogo de los procedimientos legales a su cargo.</w:t>
      </w:r>
    </w:p>
    <w:p w14:paraId="3BEE7CD3" w14:textId="77777777" w:rsidR="00947613" w:rsidRPr="00220302" w:rsidRDefault="00947613" w:rsidP="00947613">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szCs w:val="22"/>
        </w:rPr>
      </w:pPr>
      <w:r w:rsidRPr="00220302">
        <w:rPr>
          <w:rFonts w:ascii="Palatino Linotype" w:eastAsia="Palatino Linotype" w:hAnsi="Palatino Linotype" w:cs="Palatino Linotype"/>
          <w:i/>
          <w:sz w:val="22"/>
          <w:szCs w:val="22"/>
        </w:rPr>
        <w:t>Funciones:</w:t>
      </w:r>
    </w:p>
    <w:p w14:paraId="21E6A8D2" w14:textId="0780BF4C" w:rsidR="00D42E35" w:rsidRPr="00220302" w:rsidRDefault="00D42E35" w:rsidP="00947613">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szCs w:val="22"/>
        </w:rPr>
      </w:pPr>
      <w:r w:rsidRPr="00220302">
        <w:rPr>
          <w:rFonts w:ascii="Palatino Linotype" w:eastAsia="Palatino Linotype" w:hAnsi="Palatino Linotype" w:cs="Palatino Linotype"/>
          <w:i/>
          <w:sz w:val="22"/>
          <w:szCs w:val="22"/>
        </w:rPr>
        <w:t>…</w:t>
      </w:r>
    </w:p>
    <w:p w14:paraId="2B2281F6" w14:textId="69BD3192" w:rsidR="00947613" w:rsidRPr="00220302" w:rsidRDefault="00947613" w:rsidP="00947613">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b/>
          <w:i/>
          <w:color w:val="000000" w:themeColor="text1"/>
          <w:sz w:val="22"/>
          <w:szCs w:val="28"/>
        </w:rPr>
      </w:pPr>
      <w:r w:rsidRPr="00220302">
        <w:rPr>
          <w:rFonts w:ascii="Palatino Linotype" w:eastAsia="Palatino Linotype" w:hAnsi="Palatino Linotype" w:cs="Palatino Linotype"/>
          <w:b/>
          <w:i/>
          <w:color w:val="000000" w:themeColor="text1"/>
          <w:sz w:val="22"/>
          <w:szCs w:val="28"/>
        </w:rPr>
        <w:t xml:space="preserve">- </w:t>
      </w:r>
      <w:r w:rsidRPr="00220302">
        <w:rPr>
          <w:rFonts w:ascii="Palatino Linotype" w:eastAsia="Palatino Linotype" w:hAnsi="Palatino Linotype" w:cs="Palatino Linotype"/>
          <w:b/>
          <w:i/>
          <w:color w:val="000000" w:themeColor="text1"/>
          <w:sz w:val="22"/>
          <w:szCs w:val="28"/>
          <w:u w:val="single"/>
        </w:rPr>
        <w:t>Coordinar las funciones del servidor público habilitado en materia de transparencia</w:t>
      </w:r>
      <w:r w:rsidRPr="00220302">
        <w:rPr>
          <w:rFonts w:ascii="Palatino Linotype" w:eastAsia="Palatino Linotype" w:hAnsi="Palatino Linotype" w:cs="Palatino Linotype"/>
          <w:b/>
          <w:i/>
          <w:color w:val="000000" w:themeColor="text1"/>
          <w:sz w:val="22"/>
          <w:szCs w:val="28"/>
        </w:rPr>
        <w:t>.</w:t>
      </w:r>
      <w:r w:rsidR="00D42E35" w:rsidRPr="00220302">
        <w:rPr>
          <w:rFonts w:ascii="Palatino Linotype" w:eastAsia="Palatino Linotype" w:hAnsi="Palatino Linotype" w:cs="Palatino Linotype"/>
          <w:b/>
          <w:i/>
          <w:color w:val="000000" w:themeColor="text1"/>
          <w:sz w:val="22"/>
          <w:szCs w:val="28"/>
        </w:rPr>
        <w:t xml:space="preserve">” </w:t>
      </w:r>
      <w:r w:rsidR="00D42E35" w:rsidRPr="00220302">
        <w:rPr>
          <w:rFonts w:ascii="Palatino Linotype" w:eastAsia="Palatino Linotype" w:hAnsi="Palatino Linotype" w:cs="Palatino Linotype"/>
          <w:i/>
          <w:color w:val="000000" w:themeColor="text1"/>
          <w:sz w:val="22"/>
          <w:szCs w:val="28"/>
        </w:rPr>
        <w:t>(Énfasis añadido)</w:t>
      </w:r>
    </w:p>
    <w:p w14:paraId="69136697" w14:textId="77777777" w:rsidR="00D42E35" w:rsidRPr="00220302" w:rsidRDefault="00D42E35" w:rsidP="00F84762">
      <w:pPr>
        <w:spacing w:after="240" w:line="360" w:lineRule="auto"/>
        <w:ind w:right="49"/>
        <w:jc w:val="both"/>
        <w:rPr>
          <w:rFonts w:ascii="Palatino Linotype" w:eastAsia="Palatino Linotype" w:hAnsi="Palatino Linotype" w:cs="Palatino Linotype"/>
          <w:i/>
          <w:sz w:val="22"/>
          <w:szCs w:val="22"/>
        </w:rPr>
      </w:pPr>
    </w:p>
    <w:p w14:paraId="28539668" w14:textId="454069E2" w:rsidR="00D42E35" w:rsidRPr="00220302" w:rsidRDefault="00D42E35" w:rsidP="00F84762">
      <w:pPr>
        <w:spacing w:after="240" w:line="360" w:lineRule="auto"/>
        <w:ind w:right="49"/>
        <w:jc w:val="both"/>
        <w:rPr>
          <w:rFonts w:ascii="Palatino Linotype" w:eastAsia="Palatino Linotype" w:hAnsi="Palatino Linotype" w:cs="Palatino Linotype"/>
          <w:sz w:val="22"/>
          <w:szCs w:val="22"/>
        </w:rPr>
      </w:pPr>
      <w:r w:rsidRPr="00220302">
        <w:rPr>
          <w:rFonts w:ascii="Palatino Linotype" w:eastAsia="Palatino Linotype" w:hAnsi="Palatino Linotype" w:cs="Palatino Linotype"/>
          <w:sz w:val="22"/>
          <w:szCs w:val="22"/>
        </w:rPr>
        <w:t>Dicha circunstancia se replica en el Reglamento Interior del Órgano Superior de Fiscalización del Órgano Superior de Fiscalización del Estado de México, mismo que se inserta a continuación:</w:t>
      </w:r>
    </w:p>
    <w:p w14:paraId="532AE5B5" w14:textId="3F02496A" w:rsidR="00D42E35" w:rsidRPr="00220302" w:rsidRDefault="00D42E35" w:rsidP="00D42E35">
      <w:pPr>
        <w:spacing w:after="240" w:line="276" w:lineRule="auto"/>
        <w:ind w:left="567" w:right="900"/>
        <w:jc w:val="both"/>
        <w:rPr>
          <w:rFonts w:ascii="Palatino Linotype" w:eastAsia="Palatino Linotype" w:hAnsi="Palatino Linotype" w:cs="Palatino Linotype"/>
          <w:i/>
          <w:sz w:val="22"/>
          <w:szCs w:val="22"/>
        </w:rPr>
      </w:pPr>
      <w:r w:rsidRPr="00220302">
        <w:rPr>
          <w:rFonts w:ascii="Palatino Linotype" w:eastAsia="Palatino Linotype" w:hAnsi="Palatino Linotype" w:cs="Palatino Linotype"/>
          <w:i/>
          <w:sz w:val="22"/>
          <w:szCs w:val="22"/>
        </w:rPr>
        <w:t>“Artículo 53. Al frente de la Unidad de Asuntos Jurídicos habrá un Titular, quien ejercerá las atribuciones siguientes:</w:t>
      </w:r>
    </w:p>
    <w:p w14:paraId="404948A3" w14:textId="77777777" w:rsidR="00D42E35" w:rsidRPr="00220302" w:rsidRDefault="00D42E35" w:rsidP="00D42E35">
      <w:pPr>
        <w:spacing w:after="240" w:line="276" w:lineRule="auto"/>
        <w:ind w:left="567" w:right="900"/>
        <w:jc w:val="both"/>
        <w:rPr>
          <w:rFonts w:ascii="Palatino Linotype" w:eastAsia="Palatino Linotype" w:hAnsi="Palatino Linotype" w:cs="Palatino Linotype"/>
          <w:i/>
          <w:sz w:val="22"/>
          <w:szCs w:val="22"/>
        </w:rPr>
      </w:pPr>
      <w:r w:rsidRPr="00220302">
        <w:rPr>
          <w:rFonts w:ascii="Palatino Linotype" w:eastAsia="Palatino Linotype" w:hAnsi="Palatino Linotype" w:cs="Palatino Linotype"/>
          <w:i/>
          <w:sz w:val="22"/>
          <w:szCs w:val="22"/>
        </w:rPr>
        <w:t>…</w:t>
      </w:r>
    </w:p>
    <w:p w14:paraId="44FF31EA" w14:textId="3FD18ACC" w:rsidR="00F84762" w:rsidRPr="00220302" w:rsidRDefault="00F84762" w:rsidP="00D42E35">
      <w:pPr>
        <w:spacing w:after="240" w:line="276" w:lineRule="auto"/>
        <w:ind w:left="567" w:right="900"/>
        <w:jc w:val="both"/>
        <w:rPr>
          <w:rFonts w:ascii="Palatino Linotype" w:eastAsia="Palatino Linotype" w:hAnsi="Palatino Linotype" w:cs="Palatino Linotype"/>
          <w:b/>
          <w:i/>
          <w:color w:val="000000" w:themeColor="text1"/>
          <w:sz w:val="22"/>
          <w:szCs w:val="22"/>
        </w:rPr>
      </w:pPr>
      <w:r w:rsidRPr="00220302">
        <w:rPr>
          <w:rFonts w:ascii="Palatino Linotype" w:eastAsia="Palatino Linotype" w:hAnsi="Palatino Linotype" w:cs="Palatino Linotype"/>
          <w:b/>
          <w:i/>
          <w:color w:val="000000" w:themeColor="text1"/>
          <w:sz w:val="22"/>
        </w:rPr>
        <w:t>XXII. Coordinar y supervisar las funciones del Servidor Público Habilitado en materia de transparencia;</w:t>
      </w:r>
      <w:r w:rsidR="00D42E35" w:rsidRPr="00220302">
        <w:rPr>
          <w:rFonts w:ascii="Palatino Linotype" w:eastAsia="Palatino Linotype" w:hAnsi="Palatino Linotype" w:cs="Palatino Linotype"/>
          <w:b/>
          <w:i/>
          <w:color w:val="000000" w:themeColor="text1"/>
          <w:sz w:val="22"/>
        </w:rPr>
        <w:t xml:space="preserve">” </w:t>
      </w:r>
      <w:r w:rsidR="00D42E35" w:rsidRPr="00220302">
        <w:rPr>
          <w:rFonts w:ascii="Palatino Linotype" w:eastAsia="Palatino Linotype" w:hAnsi="Palatino Linotype" w:cs="Palatino Linotype"/>
          <w:i/>
          <w:color w:val="000000" w:themeColor="text1"/>
          <w:sz w:val="22"/>
        </w:rPr>
        <w:t>(Énfasis añadido)</w:t>
      </w:r>
    </w:p>
    <w:p w14:paraId="6FC9BB47" w14:textId="534B30F9" w:rsidR="00774591" w:rsidRPr="00220302" w:rsidRDefault="00774591" w:rsidP="006720EB">
      <w:pPr>
        <w:spacing w:after="240" w:line="360" w:lineRule="auto"/>
        <w:ind w:right="49"/>
        <w:jc w:val="both"/>
        <w:rPr>
          <w:rFonts w:ascii="Palatino Linotype" w:eastAsia="Palatino Linotype" w:hAnsi="Palatino Linotype" w:cs="Palatino Linotype"/>
          <w:color w:val="000000" w:themeColor="text1"/>
          <w:sz w:val="22"/>
        </w:rPr>
      </w:pPr>
      <w:r w:rsidRPr="00220302">
        <w:rPr>
          <w:rFonts w:ascii="Palatino Linotype" w:eastAsia="Palatino Linotype" w:hAnsi="Palatino Linotype" w:cs="Palatino Linotype"/>
          <w:color w:val="000000" w:themeColor="text1"/>
          <w:sz w:val="22"/>
        </w:rPr>
        <w:t xml:space="preserve">De lo anteriormente citado, se desprende que la Unidad de Asuntos Jurídicos coordina las cuestiones de transparencia, por lo tanto, se colige que esta área es quien realiza las gestiones internas para la atención a las solicitudes de información y por ello es susceptible </w:t>
      </w:r>
      <w:r w:rsidRPr="00220302">
        <w:rPr>
          <w:rFonts w:ascii="Palatino Linotype" w:eastAsia="Palatino Linotype" w:hAnsi="Palatino Linotype" w:cs="Palatino Linotype"/>
          <w:color w:val="000000" w:themeColor="text1"/>
          <w:sz w:val="22"/>
        </w:rPr>
        <w:lastRenderedPageBreak/>
        <w:t>de considerarse como el servidor público habilitado del Órgano Superior de Fiscalización, conforme a lo previsto por los artículos 3, 58 y 59  de la Ley de Transparencia Local:</w:t>
      </w:r>
    </w:p>
    <w:p w14:paraId="27040D15" w14:textId="77777777" w:rsidR="00774591" w:rsidRPr="00220302" w:rsidRDefault="00774591" w:rsidP="00774591">
      <w:pPr>
        <w:spacing w:after="240" w:line="276" w:lineRule="auto"/>
        <w:ind w:left="567" w:right="900"/>
        <w:jc w:val="both"/>
        <w:rPr>
          <w:rFonts w:ascii="Palatino Linotype" w:eastAsia="Palatino Linotype" w:hAnsi="Palatino Linotype" w:cs="Palatino Linotype"/>
          <w:i/>
          <w:color w:val="000000" w:themeColor="text1"/>
          <w:sz w:val="22"/>
        </w:rPr>
      </w:pPr>
      <w:r w:rsidRPr="00220302">
        <w:rPr>
          <w:rFonts w:ascii="Palatino Linotype" w:eastAsia="Palatino Linotype" w:hAnsi="Palatino Linotype" w:cs="Palatino Linotype"/>
          <w:i/>
          <w:color w:val="000000" w:themeColor="text1"/>
          <w:sz w:val="22"/>
        </w:rPr>
        <w:t>“XXXIX.Servidor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2ED98894" w14:textId="77777777" w:rsidR="00774591" w:rsidRPr="00220302" w:rsidRDefault="00774591" w:rsidP="00774591">
      <w:pPr>
        <w:spacing w:after="240" w:line="276" w:lineRule="auto"/>
        <w:ind w:left="567" w:right="900"/>
        <w:jc w:val="both"/>
        <w:rPr>
          <w:rFonts w:ascii="Palatino Linotype" w:eastAsia="Palatino Linotype" w:hAnsi="Palatino Linotype" w:cs="Palatino Linotype"/>
          <w:i/>
          <w:color w:val="000000" w:themeColor="text1"/>
          <w:sz w:val="22"/>
        </w:rPr>
      </w:pPr>
      <w:r w:rsidRPr="00220302">
        <w:rPr>
          <w:rFonts w:ascii="Palatino Linotype" w:eastAsia="Palatino Linotype" w:hAnsi="Palatino Linotype" w:cs="Palatino Linotype"/>
          <w:i/>
          <w:color w:val="000000" w:themeColor="text1"/>
          <w:sz w:val="22"/>
        </w:rPr>
        <w:t>…</w:t>
      </w:r>
    </w:p>
    <w:p w14:paraId="1BD6AF0E" w14:textId="2FC61B20" w:rsidR="00774591" w:rsidRPr="00220302" w:rsidRDefault="00774591" w:rsidP="00774591">
      <w:pPr>
        <w:spacing w:after="240" w:line="276" w:lineRule="auto"/>
        <w:ind w:left="567" w:right="900"/>
        <w:jc w:val="both"/>
        <w:rPr>
          <w:rFonts w:ascii="Palatino Linotype" w:eastAsia="Palatino Linotype" w:hAnsi="Palatino Linotype" w:cs="Palatino Linotype"/>
          <w:i/>
          <w:color w:val="000000" w:themeColor="text1"/>
          <w:sz w:val="22"/>
        </w:rPr>
      </w:pPr>
      <w:r w:rsidRPr="00220302">
        <w:rPr>
          <w:rFonts w:ascii="Palatino Linotype" w:eastAsia="Palatino Linotype" w:hAnsi="Palatino Linotype" w:cs="Palatino Linotype"/>
          <w:i/>
          <w:color w:val="000000" w:themeColor="text1"/>
          <w:sz w:val="22"/>
        </w:rPr>
        <w:t>Artículo 58. Los servidores públicos habilitados serán designados por el titular del sujeto obligado a propuesta del responsable de la Unidad de Transparencia.</w:t>
      </w:r>
    </w:p>
    <w:p w14:paraId="16066915" w14:textId="77777777" w:rsidR="00774591" w:rsidRPr="00220302" w:rsidRDefault="00774591" w:rsidP="00774591">
      <w:pPr>
        <w:spacing w:after="240" w:line="276" w:lineRule="auto"/>
        <w:ind w:left="567" w:right="900"/>
        <w:jc w:val="both"/>
        <w:rPr>
          <w:rFonts w:ascii="Palatino Linotype" w:eastAsia="Palatino Linotype" w:hAnsi="Palatino Linotype" w:cs="Palatino Linotype"/>
          <w:i/>
          <w:color w:val="000000" w:themeColor="text1"/>
          <w:sz w:val="22"/>
        </w:rPr>
      </w:pPr>
      <w:r w:rsidRPr="00220302">
        <w:rPr>
          <w:rFonts w:ascii="Palatino Linotype" w:eastAsia="Palatino Linotype" w:hAnsi="Palatino Linotype" w:cs="Palatino Linotype"/>
          <w:i/>
          <w:color w:val="000000" w:themeColor="text1"/>
          <w:sz w:val="22"/>
        </w:rPr>
        <w:t>Artículo 59. Los servidores públicos habilitados tendrán las funciones siguientes:</w:t>
      </w:r>
    </w:p>
    <w:p w14:paraId="5E0B5E6F" w14:textId="77777777" w:rsidR="00774591" w:rsidRPr="00220302" w:rsidRDefault="00774591" w:rsidP="00774591">
      <w:pPr>
        <w:spacing w:after="240" w:line="276" w:lineRule="auto"/>
        <w:ind w:left="567" w:right="900"/>
        <w:jc w:val="both"/>
        <w:rPr>
          <w:rFonts w:ascii="Palatino Linotype" w:eastAsia="Palatino Linotype" w:hAnsi="Palatino Linotype" w:cs="Palatino Linotype"/>
          <w:i/>
          <w:color w:val="000000" w:themeColor="text1"/>
          <w:sz w:val="22"/>
        </w:rPr>
      </w:pPr>
      <w:r w:rsidRPr="00220302">
        <w:rPr>
          <w:rFonts w:ascii="Palatino Linotype" w:eastAsia="Palatino Linotype" w:hAnsi="Palatino Linotype" w:cs="Palatino Linotype"/>
          <w:i/>
          <w:color w:val="000000" w:themeColor="text1"/>
          <w:sz w:val="22"/>
        </w:rPr>
        <w:t>I. Localizar la información que le solicite la Unidad de Transparencia;</w:t>
      </w:r>
    </w:p>
    <w:p w14:paraId="7EBCFC52" w14:textId="1FF2A466" w:rsidR="00774591" w:rsidRPr="00220302" w:rsidRDefault="00774591" w:rsidP="00774591">
      <w:pPr>
        <w:spacing w:after="240" w:line="276" w:lineRule="auto"/>
        <w:ind w:left="567" w:right="900"/>
        <w:jc w:val="both"/>
        <w:rPr>
          <w:rFonts w:ascii="Palatino Linotype" w:eastAsia="Palatino Linotype" w:hAnsi="Palatino Linotype" w:cs="Palatino Linotype"/>
          <w:i/>
          <w:color w:val="000000" w:themeColor="text1"/>
          <w:sz w:val="22"/>
        </w:rPr>
      </w:pPr>
      <w:r w:rsidRPr="00220302">
        <w:rPr>
          <w:rFonts w:ascii="Palatino Linotype" w:eastAsia="Palatino Linotype" w:hAnsi="Palatino Linotype" w:cs="Palatino Linotype"/>
          <w:i/>
          <w:color w:val="000000" w:themeColor="text1"/>
          <w:sz w:val="22"/>
        </w:rPr>
        <w:t>II. Proporcionar la información que obre en los archivos y que le sea solicitada por la Unidad de Transparencia;</w:t>
      </w:r>
    </w:p>
    <w:p w14:paraId="402208F8" w14:textId="3516FB3A" w:rsidR="00774591" w:rsidRPr="00220302" w:rsidRDefault="00774591" w:rsidP="00774591">
      <w:pPr>
        <w:spacing w:after="240" w:line="276" w:lineRule="auto"/>
        <w:ind w:left="567" w:right="900"/>
        <w:jc w:val="both"/>
        <w:rPr>
          <w:rFonts w:ascii="Palatino Linotype" w:eastAsia="Palatino Linotype" w:hAnsi="Palatino Linotype" w:cs="Palatino Linotype"/>
          <w:i/>
          <w:color w:val="000000" w:themeColor="text1"/>
          <w:sz w:val="22"/>
        </w:rPr>
      </w:pPr>
      <w:r w:rsidRPr="00220302">
        <w:rPr>
          <w:rFonts w:ascii="Palatino Linotype" w:eastAsia="Palatino Linotype" w:hAnsi="Palatino Linotype" w:cs="Palatino Linotype"/>
          <w:i/>
          <w:color w:val="000000" w:themeColor="text1"/>
          <w:sz w:val="22"/>
        </w:rPr>
        <w:t>III. Apoyar a la Unidad de Transparencia en lo que esta le solicite para el cumplimiento de sus funciones;</w:t>
      </w:r>
    </w:p>
    <w:p w14:paraId="5C11DA20" w14:textId="2FF69696" w:rsidR="00774591" w:rsidRPr="00220302" w:rsidRDefault="00774591" w:rsidP="00774591">
      <w:pPr>
        <w:spacing w:after="240" w:line="276" w:lineRule="auto"/>
        <w:ind w:left="567" w:right="900"/>
        <w:jc w:val="both"/>
        <w:rPr>
          <w:rFonts w:ascii="Palatino Linotype" w:eastAsia="Palatino Linotype" w:hAnsi="Palatino Linotype" w:cs="Palatino Linotype"/>
          <w:i/>
          <w:color w:val="000000" w:themeColor="text1"/>
          <w:sz w:val="22"/>
        </w:rPr>
      </w:pPr>
      <w:r w:rsidRPr="00220302">
        <w:rPr>
          <w:rFonts w:ascii="Palatino Linotype" w:eastAsia="Palatino Linotype" w:hAnsi="Palatino Linotype" w:cs="Palatino Linotype"/>
          <w:i/>
          <w:color w:val="000000" w:themeColor="text1"/>
          <w:sz w:val="22"/>
        </w:rPr>
        <w:t>IV. Proporcionar a la Unidad de Transparencia, las modificaciones a la información pública de oficio que obre en su poder;</w:t>
      </w:r>
    </w:p>
    <w:p w14:paraId="2C384AB3" w14:textId="5032CD64" w:rsidR="00774591" w:rsidRPr="00220302" w:rsidRDefault="00774591" w:rsidP="00774591">
      <w:pPr>
        <w:spacing w:after="240" w:line="276" w:lineRule="auto"/>
        <w:ind w:left="567" w:right="900"/>
        <w:jc w:val="both"/>
        <w:rPr>
          <w:rFonts w:ascii="Palatino Linotype" w:eastAsia="Palatino Linotype" w:hAnsi="Palatino Linotype" w:cs="Palatino Linotype"/>
          <w:i/>
          <w:color w:val="000000" w:themeColor="text1"/>
          <w:sz w:val="22"/>
        </w:rPr>
      </w:pPr>
      <w:r w:rsidRPr="00220302">
        <w:rPr>
          <w:rFonts w:ascii="Palatino Linotype" w:eastAsia="Palatino Linotype" w:hAnsi="Palatino Linotype" w:cs="Palatino Linotype"/>
          <w:i/>
          <w:color w:val="000000" w:themeColor="text1"/>
          <w:sz w:val="22"/>
        </w:rPr>
        <w:t>V. Integrar y presentar al responsable de la Unidad de Transparencia la propuesta de clasificación de información, la cual tendrá los fundamentos y argumentos en que se basa dicha propuesta;</w:t>
      </w:r>
    </w:p>
    <w:p w14:paraId="54E31B23" w14:textId="43F5E57F" w:rsidR="00774591" w:rsidRPr="00220302" w:rsidRDefault="00774591" w:rsidP="00774591">
      <w:pPr>
        <w:spacing w:after="240" w:line="276" w:lineRule="auto"/>
        <w:ind w:left="567" w:right="900"/>
        <w:jc w:val="both"/>
        <w:rPr>
          <w:rFonts w:ascii="Palatino Linotype" w:eastAsia="Palatino Linotype" w:hAnsi="Palatino Linotype" w:cs="Palatino Linotype"/>
          <w:i/>
          <w:color w:val="000000" w:themeColor="text1"/>
          <w:sz w:val="22"/>
        </w:rPr>
      </w:pPr>
      <w:r w:rsidRPr="00220302">
        <w:rPr>
          <w:rFonts w:ascii="Palatino Linotype" w:eastAsia="Palatino Linotype" w:hAnsi="Palatino Linotype" w:cs="Palatino Linotype"/>
          <w:i/>
          <w:color w:val="000000" w:themeColor="text1"/>
          <w:sz w:val="22"/>
        </w:rPr>
        <w:t>VI. Verificar, una vez analizado el contenido de la información, que no se encuentre en los supuestos de información clasificada; y</w:t>
      </w:r>
    </w:p>
    <w:p w14:paraId="2922964B" w14:textId="2794E2C3" w:rsidR="00774591" w:rsidRPr="00220302" w:rsidRDefault="00774591" w:rsidP="00774591">
      <w:pPr>
        <w:spacing w:after="240" w:line="276" w:lineRule="auto"/>
        <w:ind w:left="567" w:right="900"/>
        <w:jc w:val="both"/>
        <w:rPr>
          <w:rFonts w:ascii="Palatino Linotype" w:eastAsia="Palatino Linotype" w:hAnsi="Palatino Linotype" w:cs="Palatino Linotype"/>
          <w:i/>
          <w:color w:val="000000" w:themeColor="text1"/>
          <w:sz w:val="22"/>
        </w:rPr>
      </w:pPr>
      <w:r w:rsidRPr="00220302">
        <w:rPr>
          <w:rFonts w:ascii="Palatino Linotype" w:eastAsia="Palatino Linotype" w:hAnsi="Palatino Linotype" w:cs="Palatino Linotype"/>
          <w:i/>
          <w:color w:val="000000" w:themeColor="text1"/>
          <w:sz w:val="22"/>
        </w:rPr>
        <w:t>VII. Dar cuenta a la Unidad de Transparencia del vencimiento de los plazos de reserva.”</w:t>
      </w:r>
    </w:p>
    <w:p w14:paraId="31F20DCA" w14:textId="77777777" w:rsidR="00774591" w:rsidRPr="00220302" w:rsidRDefault="00774591" w:rsidP="00774591">
      <w:pPr>
        <w:shd w:val="clear" w:color="auto" w:fill="FFFFFF"/>
        <w:spacing w:line="360" w:lineRule="auto"/>
        <w:jc w:val="both"/>
        <w:rPr>
          <w:sz w:val="22"/>
          <w:lang w:val="es-ES"/>
        </w:rPr>
      </w:pPr>
      <w:r w:rsidRPr="00220302">
        <w:rPr>
          <w:rFonts w:ascii="Palatino Linotype" w:hAnsi="Palatino Linotype"/>
          <w:color w:val="000000"/>
          <w:sz w:val="22"/>
          <w:lang w:val="es-ES"/>
        </w:rPr>
        <w:lastRenderedPageBreak/>
        <w:t>En este orden de ideas, se advierte que efectivamente la Unidad de Transparencia cumplió con lo expresado en el artículo 162 de la Ley de Transparencia y Acceso a la Información Pública del Estado de México y Municipios, el cual menciona lo siguiente:</w:t>
      </w:r>
    </w:p>
    <w:p w14:paraId="2E07D41A" w14:textId="77777777" w:rsidR="00774591" w:rsidRPr="00220302" w:rsidRDefault="00774591" w:rsidP="00774591">
      <w:pPr>
        <w:rPr>
          <w:lang w:val="es-ES"/>
        </w:rPr>
      </w:pPr>
    </w:p>
    <w:p w14:paraId="7D60BB7D" w14:textId="77777777" w:rsidR="00774591" w:rsidRPr="00220302" w:rsidRDefault="00774591" w:rsidP="00774591">
      <w:pPr>
        <w:ind w:left="864" w:right="864"/>
        <w:jc w:val="both"/>
        <w:rPr>
          <w:lang w:val="es-ES"/>
        </w:rPr>
      </w:pPr>
      <w:r w:rsidRPr="00220302">
        <w:rPr>
          <w:rFonts w:ascii="Palatino Linotype" w:hAnsi="Palatino Linotype"/>
          <w:i/>
          <w:iCs/>
          <w:color w:val="000000"/>
          <w:sz w:val="22"/>
          <w:szCs w:val="22"/>
          <w:lang w:val="es-ES"/>
        </w:rPr>
        <w:t xml:space="preserve">“Artículo 162. Las unidades de transparencia deberán garantizar que las solicitudes </w:t>
      </w:r>
      <w:r w:rsidRPr="00220302">
        <w:rPr>
          <w:rFonts w:ascii="Palatino Linotype" w:hAnsi="Palatino Linotype"/>
          <w:b/>
          <w:bCs/>
          <w:i/>
          <w:iCs/>
          <w:color w:val="000000"/>
          <w:sz w:val="22"/>
          <w:szCs w:val="22"/>
          <w:lang w:val="es-ES"/>
        </w:rPr>
        <w:t xml:space="preserve">se turnen a todas las Áreas competentes </w:t>
      </w:r>
      <w:r w:rsidRPr="00220302">
        <w:rPr>
          <w:rFonts w:ascii="Palatino Linotype" w:hAnsi="Palatino Linotype"/>
          <w:i/>
          <w:iCs/>
          <w:color w:val="000000"/>
          <w:sz w:val="22"/>
          <w:szCs w:val="22"/>
          <w:lang w:val="es-ES"/>
        </w:rPr>
        <w:t>que cuenten con la información o deban tenerla de acuerdo a sus facultades, competencias y funciones, con el objeto de que realicen una búsqueda exhaustiva y razonable de la información solicitada.”</w:t>
      </w:r>
    </w:p>
    <w:p w14:paraId="239F50F8" w14:textId="77777777" w:rsidR="00774591" w:rsidRPr="00220302" w:rsidRDefault="00774591" w:rsidP="00947613">
      <w:pPr>
        <w:pBdr>
          <w:top w:val="nil"/>
          <w:left w:val="nil"/>
          <w:bottom w:val="nil"/>
          <w:right w:val="nil"/>
          <w:between w:val="nil"/>
        </w:pBdr>
        <w:tabs>
          <w:tab w:val="left" w:pos="284"/>
        </w:tabs>
        <w:spacing w:line="360" w:lineRule="auto"/>
        <w:ind w:right="49"/>
        <w:jc w:val="both"/>
        <w:rPr>
          <w:rFonts w:ascii="Palatino Linotype" w:eastAsia="MS Mincho" w:hAnsi="Palatino Linotype" w:cs="Arial"/>
          <w:bCs/>
          <w:sz w:val="22"/>
          <w:lang w:val="es-ES_tradnl" w:eastAsia="es-ES"/>
        </w:rPr>
      </w:pPr>
    </w:p>
    <w:p w14:paraId="38F2217F" w14:textId="5E0C701F" w:rsidR="00947613" w:rsidRPr="00220302" w:rsidRDefault="00947613" w:rsidP="00947613">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rPr>
      </w:pPr>
      <w:r w:rsidRPr="00220302">
        <w:rPr>
          <w:rFonts w:ascii="Palatino Linotype" w:eastAsia="MS Mincho" w:hAnsi="Palatino Linotype" w:cs="Arial"/>
          <w:bCs/>
          <w:sz w:val="22"/>
          <w:lang w:val="es-ES_tradnl" w:eastAsia="es-ES"/>
        </w:rPr>
        <w:t>En el caso que se resuelve,</w:t>
      </w:r>
      <w:r w:rsidR="00774591" w:rsidRPr="00220302">
        <w:rPr>
          <w:rFonts w:ascii="Palatino Linotype" w:eastAsia="MS Mincho" w:hAnsi="Palatino Linotype" w:cs="Arial"/>
          <w:bCs/>
          <w:sz w:val="22"/>
          <w:lang w:val="es-ES_tradnl" w:eastAsia="es-ES"/>
        </w:rPr>
        <w:t xml:space="preserve"> se colige que</w:t>
      </w:r>
      <w:r w:rsidRPr="00220302">
        <w:rPr>
          <w:rFonts w:ascii="Palatino Linotype" w:eastAsia="MS Mincho" w:hAnsi="Palatino Linotype" w:cs="Arial"/>
          <w:bCs/>
          <w:sz w:val="22"/>
          <w:lang w:val="es-ES_tradnl" w:eastAsia="es-ES"/>
        </w:rPr>
        <w:t xml:space="preserve"> la solicitud fue atendida por </w:t>
      </w:r>
      <w:r w:rsidR="00044A9B" w:rsidRPr="00220302">
        <w:rPr>
          <w:rFonts w:ascii="Palatino Linotype" w:eastAsia="MS Mincho" w:hAnsi="Palatino Linotype" w:cs="Arial"/>
          <w:bCs/>
          <w:sz w:val="22"/>
          <w:lang w:val="es-ES_tradnl" w:eastAsia="es-ES"/>
        </w:rPr>
        <w:t>el servidor público habilitado del OSFEM, adscrito a la</w:t>
      </w:r>
      <w:r w:rsidRPr="00220302">
        <w:rPr>
          <w:rFonts w:ascii="Palatino Linotype" w:eastAsia="MS Mincho" w:hAnsi="Palatino Linotype" w:cs="Arial"/>
          <w:bCs/>
          <w:sz w:val="22"/>
          <w:lang w:val="es-ES_tradnl" w:eastAsia="es-ES"/>
        </w:rPr>
        <w:t xml:space="preserve"> Unidad de Asuntos Jurídicos, </w:t>
      </w:r>
      <w:r w:rsidR="00774591" w:rsidRPr="00220302">
        <w:rPr>
          <w:rFonts w:ascii="Palatino Linotype" w:eastAsia="MS Mincho" w:hAnsi="Palatino Linotype" w:cs="Arial"/>
          <w:bCs/>
          <w:color w:val="000000" w:themeColor="text1"/>
          <w:sz w:val="22"/>
          <w:lang w:val="es-ES_tradnl" w:eastAsia="es-ES"/>
        </w:rPr>
        <w:t xml:space="preserve">asimismo es </w:t>
      </w:r>
      <w:r w:rsidR="00044A9B" w:rsidRPr="00220302">
        <w:rPr>
          <w:rFonts w:ascii="Palatino Linotype" w:eastAsia="MS Mincho" w:hAnsi="Palatino Linotype" w:cs="Arial"/>
          <w:bCs/>
          <w:color w:val="000000" w:themeColor="text1"/>
          <w:sz w:val="22"/>
          <w:lang w:val="es-ES_tradnl" w:eastAsia="es-ES"/>
        </w:rPr>
        <w:t xml:space="preserve">importante </w:t>
      </w:r>
      <w:r w:rsidR="00774591" w:rsidRPr="00220302">
        <w:rPr>
          <w:rFonts w:ascii="Palatino Linotype" w:eastAsia="MS Mincho" w:hAnsi="Palatino Linotype" w:cs="Arial"/>
          <w:bCs/>
          <w:color w:val="000000" w:themeColor="text1"/>
          <w:sz w:val="22"/>
          <w:lang w:val="es-ES_tradnl" w:eastAsia="es-ES"/>
        </w:rPr>
        <w:t xml:space="preserve">mencionar que, el OSFEM, </w:t>
      </w:r>
      <w:r w:rsidR="00044A9B" w:rsidRPr="00220302">
        <w:rPr>
          <w:rFonts w:ascii="Palatino Linotype" w:eastAsia="MS Mincho" w:hAnsi="Palatino Linotype" w:cs="Arial"/>
          <w:bCs/>
          <w:color w:val="000000" w:themeColor="text1"/>
          <w:sz w:val="22"/>
          <w:lang w:val="es-ES_tradnl" w:eastAsia="es-ES"/>
        </w:rPr>
        <w:t xml:space="preserve">cuenta con </w:t>
      </w:r>
      <w:r w:rsidRPr="00220302">
        <w:rPr>
          <w:rFonts w:ascii="Palatino Linotype" w:eastAsia="Palatino Linotype" w:hAnsi="Palatino Linotype" w:cs="Palatino Linotype"/>
          <w:sz w:val="22"/>
        </w:rPr>
        <w:t xml:space="preserve">la </w:t>
      </w:r>
      <w:r w:rsidR="006720EB" w:rsidRPr="00220302">
        <w:rPr>
          <w:rFonts w:ascii="Palatino Linotype" w:eastAsia="Palatino Linotype" w:hAnsi="Palatino Linotype" w:cs="Palatino Linotype"/>
          <w:b/>
          <w:sz w:val="22"/>
        </w:rPr>
        <w:t>Auditoría Especial de Cumplimiento Financiero e Inversión Física, Dirección de Auditoría de Desempeño</w:t>
      </w:r>
      <w:r w:rsidR="009536D5" w:rsidRPr="00220302">
        <w:rPr>
          <w:rFonts w:ascii="Palatino Linotype" w:eastAsia="Palatino Linotype" w:hAnsi="Palatino Linotype" w:cs="Palatino Linotype"/>
          <w:b/>
          <w:sz w:val="22"/>
        </w:rPr>
        <w:t xml:space="preserve"> que a su vez cuenta con un Departamento de Auditoría del Desempeño</w:t>
      </w:r>
      <w:r w:rsidR="006720EB" w:rsidRPr="00220302">
        <w:rPr>
          <w:rFonts w:ascii="Palatino Linotype" w:eastAsia="Palatino Linotype" w:hAnsi="Palatino Linotype" w:cs="Palatino Linotype"/>
          <w:b/>
          <w:sz w:val="22"/>
        </w:rPr>
        <w:t>, Dirección de Auditoría de Legalidad y Dirección de Auditoría de Cumplimiento Financiero</w:t>
      </w:r>
      <w:r w:rsidRPr="00220302">
        <w:rPr>
          <w:rFonts w:ascii="Palatino Linotype" w:eastAsia="Palatino Linotype" w:hAnsi="Palatino Linotype" w:cs="Palatino Linotype"/>
          <w:sz w:val="22"/>
        </w:rPr>
        <w:t xml:space="preserve">, </w:t>
      </w:r>
      <w:r w:rsidR="00044A9B" w:rsidRPr="00220302">
        <w:rPr>
          <w:rFonts w:ascii="Palatino Linotype" w:eastAsia="Palatino Linotype" w:hAnsi="Palatino Linotype" w:cs="Palatino Linotype"/>
          <w:sz w:val="22"/>
        </w:rPr>
        <w:t>áreas que</w:t>
      </w:r>
      <w:r w:rsidR="006720EB" w:rsidRPr="00220302">
        <w:rPr>
          <w:rFonts w:ascii="Palatino Linotype" w:eastAsia="Palatino Linotype" w:hAnsi="Palatino Linotype" w:cs="Palatino Linotype"/>
          <w:sz w:val="22"/>
        </w:rPr>
        <w:t xml:space="preserve"> conforme al Manual de Organización, cuentan con las siguientes atribuciones:</w:t>
      </w:r>
    </w:p>
    <w:p w14:paraId="006FDA0A" w14:textId="77777777" w:rsidR="00230ACD" w:rsidRPr="00220302" w:rsidRDefault="00230ACD" w:rsidP="00947613">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rPr>
      </w:pPr>
    </w:p>
    <w:p w14:paraId="3BFBDDED" w14:textId="77777777" w:rsidR="006720EB" w:rsidRPr="00220302" w:rsidRDefault="009536D5" w:rsidP="009536D5">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rPr>
      </w:pPr>
      <w:r w:rsidRPr="00220302">
        <w:rPr>
          <w:rFonts w:ascii="Palatino Linotype" w:eastAsia="Palatino Linotype" w:hAnsi="Palatino Linotype" w:cs="Palatino Linotype"/>
          <w:i/>
          <w:sz w:val="22"/>
        </w:rPr>
        <w:t xml:space="preserve"> “</w:t>
      </w:r>
      <w:r w:rsidR="006720EB" w:rsidRPr="00220302">
        <w:rPr>
          <w:rFonts w:ascii="Palatino Linotype" w:eastAsia="Palatino Linotype" w:hAnsi="Palatino Linotype" w:cs="Palatino Linotype"/>
          <w:b/>
          <w:i/>
          <w:sz w:val="22"/>
        </w:rPr>
        <w:t>Dirección de Auditoría de Cumplimiento Financiero</w:t>
      </w:r>
    </w:p>
    <w:p w14:paraId="487DB04D" w14:textId="77777777" w:rsidR="006720EB" w:rsidRPr="00220302" w:rsidRDefault="009536D5" w:rsidP="009536D5">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rPr>
      </w:pPr>
      <w:r w:rsidRPr="00220302">
        <w:rPr>
          <w:rFonts w:ascii="Palatino Linotype" w:eastAsia="Palatino Linotype" w:hAnsi="Palatino Linotype" w:cs="Palatino Linotype"/>
          <w:i/>
          <w:sz w:val="22"/>
        </w:rPr>
        <w:t xml:space="preserve">Objetivo: </w:t>
      </w:r>
      <w:r w:rsidR="006720EB" w:rsidRPr="00220302">
        <w:rPr>
          <w:rFonts w:ascii="Palatino Linotype" w:eastAsia="Palatino Linotype" w:hAnsi="Palatino Linotype" w:cs="Palatino Linotype"/>
          <w:i/>
          <w:sz w:val="22"/>
        </w:rPr>
        <w:t>Dirigir y supervisar los actos de fiscalización que tienen por objeto auditar la recaudac</w:t>
      </w:r>
      <w:r w:rsidRPr="00220302">
        <w:rPr>
          <w:rFonts w:ascii="Palatino Linotype" w:eastAsia="Palatino Linotype" w:hAnsi="Palatino Linotype" w:cs="Palatino Linotype"/>
          <w:i/>
          <w:sz w:val="22"/>
        </w:rPr>
        <w:t xml:space="preserve">ión, captación, administración, </w:t>
      </w:r>
      <w:r w:rsidR="006720EB" w:rsidRPr="00220302">
        <w:rPr>
          <w:rFonts w:ascii="Palatino Linotype" w:eastAsia="Palatino Linotype" w:hAnsi="Palatino Linotype" w:cs="Palatino Linotype"/>
          <w:i/>
          <w:sz w:val="22"/>
        </w:rPr>
        <w:t>ejercicio de recursos públicos y deuda pública, a fin de verificar que su manejo, registr</w:t>
      </w:r>
      <w:r w:rsidRPr="00220302">
        <w:rPr>
          <w:rFonts w:ascii="Palatino Linotype" w:eastAsia="Palatino Linotype" w:hAnsi="Palatino Linotype" w:cs="Palatino Linotype"/>
          <w:i/>
          <w:sz w:val="22"/>
        </w:rPr>
        <w:t xml:space="preserve">o financiero y aplicación hayan </w:t>
      </w:r>
      <w:r w:rsidR="006720EB" w:rsidRPr="00220302">
        <w:rPr>
          <w:rFonts w:ascii="Palatino Linotype" w:eastAsia="Palatino Linotype" w:hAnsi="Palatino Linotype" w:cs="Palatino Linotype"/>
          <w:i/>
          <w:sz w:val="22"/>
        </w:rPr>
        <w:t>sido en cumplimiento a las disposiciones legales correspondientes.</w:t>
      </w:r>
    </w:p>
    <w:p w14:paraId="18E166B2" w14:textId="77777777" w:rsidR="006720EB" w:rsidRPr="00220302" w:rsidRDefault="006720EB" w:rsidP="009536D5">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rPr>
      </w:pPr>
      <w:r w:rsidRPr="00220302">
        <w:rPr>
          <w:rFonts w:ascii="Palatino Linotype" w:eastAsia="Palatino Linotype" w:hAnsi="Palatino Linotype" w:cs="Palatino Linotype"/>
          <w:i/>
          <w:sz w:val="22"/>
        </w:rPr>
        <w:t>Funciones</w:t>
      </w:r>
      <w:r w:rsidR="009536D5" w:rsidRPr="00220302">
        <w:rPr>
          <w:rFonts w:ascii="Palatino Linotype" w:eastAsia="Palatino Linotype" w:hAnsi="Palatino Linotype" w:cs="Palatino Linotype"/>
          <w:i/>
          <w:sz w:val="22"/>
        </w:rPr>
        <w:t>:</w:t>
      </w:r>
    </w:p>
    <w:p w14:paraId="1A2D83A6" w14:textId="77777777" w:rsidR="009536D5" w:rsidRPr="00220302" w:rsidRDefault="009536D5" w:rsidP="009536D5">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rPr>
      </w:pPr>
      <w:r w:rsidRPr="00220302">
        <w:rPr>
          <w:rFonts w:ascii="Palatino Linotype" w:eastAsia="Palatino Linotype" w:hAnsi="Palatino Linotype" w:cs="Palatino Linotype"/>
          <w:i/>
          <w:sz w:val="22"/>
        </w:rPr>
        <w:t>…</w:t>
      </w:r>
    </w:p>
    <w:p w14:paraId="5F2027A2" w14:textId="77777777" w:rsidR="009536D5" w:rsidRPr="00220302" w:rsidRDefault="009536D5" w:rsidP="009536D5">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rPr>
      </w:pPr>
      <w:r w:rsidRPr="00220302">
        <w:rPr>
          <w:rFonts w:ascii="Palatino Linotype" w:eastAsia="Palatino Linotype" w:hAnsi="Palatino Linotype" w:cs="Palatino Linotype"/>
          <w:i/>
          <w:sz w:val="22"/>
        </w:rPr>
        <w:t>-Dirigir la integración de los expedientes y la elaboración de los informes de auditoría, a fin de que se realicen en cumplimiento de las disposiciones legales aplicables y que contengan de manera fundada y motivada las acciones y recomendaciones que se deriven de los actos de fiscalización, turnándolos al superior jerárquico para su autorización.</w:t>
      </w:r>
    </w:p>
    <w:p w14:paraId="6F9D51C2" w14:textId="77777777" w:rsidR="009536D5" w:rsidRPr="00220302" w:rsidRDefault="009536D5" w:rsidP="009536D5">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rPr>
      </w:pPr>
      <w:r w:rsidRPr="00220302">
        <w:rPr>
          <w:rFonts w:ascii="Palatino Linotype" w:eastAsia="Palatino Linotype" w:hAnsi="Palatino Linotype" w:cs="Palatino Linotype"/>
          <w:i/>
          <w:sz w:val="22"/>
        </w:rPr>
        <w:lastRenderedPageBreak/>
        <w:t>- Supervisar la planeación, ejecución y elaboración del informe, respecto de las auditorías señaladas en el Programa Anual de Auditorías y las mandatadas por la Legislatura e informar los resultados a su superior jerárquico.</w:t>
      </w:r>
    </w:p>
    <w:p w14:paraId="01566C80" w14:textId="77777777" w:rsidR="009536D5" w:rsidRPr="00220302" w:rsidRDefault="009536D5" w:rsidP="009536D5">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rPr>
      </w:pPr>
      <w:r w:rsidRPr="00220302">
        <w:rPr>
          <w:rFonts w:ascii="Palatino Linotype" w:eastAsia="Palatino Linotype" w:hAnsi="Palatino Linotype" w:cs="Palatino Linotype"/>
          <w:i/>
          <w:sz w:val="22"/>
        </w:rPr>
        <w:t>…</w:t>
      </w:r>
    </w:p>
    <w:p w14:paraId="6B8D2910" w14:textId="77777777" w:rsidR="009536D5" w:rsidRPr="00220302" w:rsidRDefault="009536D5" w:rsidP="009536D5">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b/>
          <w:i/>
          <w:sz w:val="22"/>
        </w:rPr>
      </w:pPr>
      <w:r w:rsidRPr="00220302">
        <w:rPr>
          <w:rFonts w:ascii="Palatino Linotype" w:eastAsia="Palatino Linotype" w:hAnsi="Palatino Linotype" w:cs="Palatino Linotype"/>
          <w:b/>
          <w:i/>
          <w:sz w:val="22"/>
        </w:rPr>
        <w:t>Auditoría Especial de Cumplimiento Financiero</w:t>
      </w:r>
      <w:r w:rsidRPr="00220302">
        <w:rPr>
          <w:b/>
        </w:rPr>
        <w:t xml:space="preserve"> </w:t>
      </w:r>
      <w:r w:rsidRPr="00220302">
        <w:rPr>
          <w:rFonts w:ascii="Palatino Linotype" w:eastAsia="Palatino Linotype" w:hAnsi="Palatino Linotype" w:cs="Palatino Linotype"/>
          <w:b/>
          <w:i/>
          <w:sz w:val="22"/>
        </w:rPr>
        <w:t>e Inversión Física</w:t>
      </w:r>
    </w:p>
    <w:p w14:paraId="216D3E5B" w14:textId="77777777" w:rsidR="009536D5" w:rsidRPr="00220302" w:rsidRDefault="009536D5" w:rsidP="009536D5">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rPr>
      </w:pPr>
      <w:r w:rsidRPr="00220302">
        <w:rPr>
          <w:rFonts w:ascii="Palatino Linotype" w:eastAsia="Palatino Linotype" w:hAnsi="Palatino Linotype" w:cs="Palatino Linotype"/>
          <w:i/>
          <w:sz w:val="22"/>
        </w:rPr>
        <w:t>…</w:t>
      </w:r>
    </w:p>
    <w:p w14:paraId="76FDEB84" w14:textId="77777777" w:rsidR="009536D5" w:rsidRPr="00220302" w:rsidRDefault="009536D5" w:rsidP="009536D5">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b/>
          <w:i/>
          <w:sz w:val="22"/>
        </w:rPr>
      </w:pPr>
      <w:r w:rsidRPr="00220302">
        <w:rPr>
          <w:rFonts w:ascii="Palatino Linotype" w:eastAsia="Palatino Linotype" w:hAnsi="Palatino Linotype" w:cs="Palatino Linotype"/>
          <w:i/>
          <w:sz w:val="22"/>
        </w:rPr>
        <w:t xml:space="preserve">- </w:t>
      </w:r>
      <w:r w:rsidRPr="00220302">
        <w:rPr>
          <w:rFonts w:ascii="Palatino Linotype" w:eastAsia="Palatino Linotype" w:hAnsi="Palatino Linotype" w:cs="Palatino Linotype"/>
          <w:b/>
          <w:i/>
          <w:sz w:val="22"/>
        </w:rPr>
        <w:t>Ordenar la planeación, ejecución y elaboración del informe respecto de las auditorías señaladas en el Programa Anual de Auditorías y las mandatadas por la Legislatura e informar los resultados a su superior jerárquico.</w:t>
      </w:r>
    </w:p>
    <w:p w14:paraId="06412B94" w14:textId="77777777" w:rsidR="009536D5" w:rsidRPr="00220302" w:rsidRDefault="009536D5" w:rsidP="009536D5">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b/>
          <w:i/>
          <w:sz w:val="22"/>
        </w:rPr>
      </w:pPr>
      <w:r w:rsidRPr="00220302">
        <w:rPr>
          <w:rFonts w:ascii="Palatino Linotype" w:eastAsia="Palatino Linotype" w:hAnsi="Palatino Linotype" w:cs="Palatino Linotype"/>
          <w:i/>
          <w:sz w:val="22"/>
        </w:rPr>
        <w:t xml:space="preserve">- </w:t>
      </w:r>
      <w:r w:rsidRPr="00220302">
        <w:rPr>
          <w:rFonts w:ascii="Palatino Linotype" w:eastAsia="Palatino Linotype" w:hAnsi="Palatino Linotype" w:cs="Palatino Linotype"/>
          <w:b/>
          <w:i/>
          <w:sz w:val="22"/>
        </w:rPr>
        <w:t>Instruir la integración de la información referente al Informe de Resultados y remitirlo a la Auditoría Especial de Revisión de Información de las Entidades Fiscalizables.</w:t>
      </w:r>
    </w:p>
    <w:p w14:paraId="0D3193BA" w14:textId="77777777" w:rsidR="009536D5" w:rsidRPr="00220302" w:rsidRDefault="009536D5" w:rsidP="009536D5">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rPr>
      </w:pPr>
      <w:r w:rsidRPr="00220302">
        <w:rPr>
          <w:rFonts w:ascii="Palatino Linotype" w:eastAsia="Palatino Linotype" w:hAnsi="Palatino Linotype" w:cs="Palatino Linotype"/>
          <w:i/>
          <w:sz w:val="22"/>
        </w:rPr>
        <w:t>…</w:t>
      </w:r>
    </w:p>
    <w:p w14:paraId="41FCFA92" w14:textId="77777777" w:rsidR="009536D5" w:rsidRPr="00220302" w:rsidRDefault="009536D5" w:rsidP="009536D5">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b/>
          <w:i/>
          <w:sz w:val="22"/>
        </w:rPr>
      </w:pPr>
      <w:r w:rsidRPr="00220302">
        <w:rPr>
          <w:rFonts w:ascii="Palatino Linotype" w:eastAsia="Palatino Linotype" w:hAnsi="Palatino Linotype" w:cs="Palatino Linotype"/>
          <w:b/>
          <w:i/>
          <w:sz w:val="22"/>
        </w:rPr>
        <w:t>Dirección de Auditoría de Desempeño</w:t>
      </w:r>
    </w:p>
    <w:p w14:paraId="21258F21" w14:textId="77777777" w:rsidR="009536D5" w:rsidRPr="00220302" w:rsidRDefault="009536D5" w:rsidP="009536D5">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rPr>
      </w:pPr>
      <w:r w:rsidRPr="00220302">
        <w:rPr>
          <w:rFonts w:ascii="Palatino Linotype" w:eastAsia="Palatino Linotype" w:hAnsi="Palatino Linotype" w:cs="Palatino Linotype"/>
          <w:i/>
          <w:sz w:val="22"/>
        </w:rPr>
        <w:t>Objetivo:</w:t>
      </w:r>
    </w:p>
    <w:p w14:paraId="38F0A188" w14:textId="77777777" w:rsidR="009536D5" w:rsidRPr="00220302" w:rsidRDefault="009536D5" w:rsidP="009536D5">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rPr>
      </w:pPr>
      <w:r w:rsidRPr="00220302">
        <w:rPr>
          <w:rFonts w:ascii="Palatino Linotype" w:eastAsia="Palatino Linotype" w:hAnsi="Palatino Linotype" w:cs="Palatino Linotype"/>
          <w:i/>
          <w:sz w:val="22"/>
        </w:rPr>
        <w:t>Dirigir y validar los actos de fiscalización que tienen por objeto auditar el desempeño de las acciones de gobierno reportadas en las Cuentas Públicas para verificar su eficacia, eficiencia y/o economía, en el cumplimiento de los objetivos y metas y su contribución a los planes de desarrollo estatal y municipales.</w:t>
      </w:r>
    </w:p>
    <w:p w14:paraId="0271AF42" w14:textId="77777777" w:rsidR="009536D5" w:rsidRPr="00220302" w:rsidRDefault="009536D5" w:rsidP="009536D5">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b/>
          <w:i/>
          <w:sz w:val="22"/>
        </w:rPr>
      </w:pPr>
      <w:r w:rsidRPr="00220302">
        <w:rPr>
          <w:rFonts w:ascii="Palatino Linotype" w:eastAsia="Palatino Linotype" w:hAnsi="Palatino Linotype" w:cs="Palatino Linotype"/>
          <w:b/>
          <w:i/>
          <w:sz w:val="22"/>
        </w:rPr>
        <w:t>Departamento de Auditoría de Desempeño “A”</w:t>
      </w:r>
    </w:p>
    <w:p w14:paraId="5E5D2A13" w14:textId="77777777" w:rsidR="009536D5" w:rsidRPr="00220302" w:rsidRDefault="009536D5" w:rsidP="009536D5">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b/>
          <w:i/>
          <w:sz w:val="22"/>
        </w:rPr>
      </w:pPr>
      <w:r w:rsidRPr="00220302">
        <w:rPr>
          <w:rFonts w:ascii="Palatino Linotype" w:eastAsia="Palatino Linotype" w:hAnsi="Palatino Linotype" w:cs="Palatino Linotype"/>
          <w:b/>
          <w:i/>
          <w:sz w:val="22"/>
        </w:rPr>
        <w:t>Departamento de Auditoría de Desempeño “B”</w:t>
      </w:r>
    </w:p>
    <w:p w14:paraId="37241676" w14:textId="77777777" w:rsidR="009536D5" w:rsidRPr="00220302" w:rsidRDefault="009536D5" w:rsidP="009536D5">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rPr>
      </w:pPr>
      <w:r w:rsidRPr="00220302">
        <w:rPr>
          <w:rFonts w:ascii="Palatino Linotype" w:eastAsia="Palatino Linotype" w:hAnsi="Palatino Linotype" w:cs="Palatino Linotype"/>
          <w:b/>
          <w:i/>
          <w:sz w:val="22"/>
        </w:rPr>
        <w:t>Departamento de Auditoría de Desempeño “C”</w:t>
      </w:r>
      <w:r w:rsidRPr="00220302">
        <w:rPr>
          <w:rFonts w:ascii="Palatino Linotype" w:eastAsia="Palatino Linotype" w:hAnsi="Palatino Linotype" w:cs="Palatino Linotype"/>
          <w:i/>
          <w:sz w:val="22"/>
        </w:rPr>
        <w:cr/>
      </w:r>
      <w:r w:rsidRPr="00220302">
        <w:t xml:space="preserve"> </w:t>
      </w:r>
      <w:r w:rsidRPr="00220302">
        <w:rPr>
          <w:rFonts w:ascii="Palatino Linotype" w:eastAsia="Palatino Linotype" w:hAnsi="Palatino Linotype" w:cs="Palatino Linotype"/>
          <w:i/>
          <w:sz w:val="22"/>
        </w:rPr>
        <w:t>Funciones:</w:t>
      </w:r>
      <w:r w:rsidRPr="00220302">
        <w:rPr>
          <w:rFonts w:ascii="Palatino Linotype" w:eastAsia="Palatino Linotype" w:hAnsi="Palatino Linotype" w:cs="Palatino Linotype"/>
          <w:i/>
          <w:sz w:val="22"/>
        </w:rPr>
        <w:cr/>
        <w:t>…</w:t>
      </w:r>
    </w:p>
    <w:p w14:paraId="7E7E8B80" w14:textId="77777777" w:rsidR="009536D5" w:rsidRPr="00220302" w:rsidRDefault="009536D5" w:rsidP="009536D5">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b/>
          <w:i/>
          <w:sz w:val="22"/>
        </w:rPr>
      </w:pPr>
      <w:r w:rsidRPr="00220302">
        <w:rPr>
          <w:rFonts w:ascii="Palatino Linotype" w:eastAsia="Palatino Linotype" w:hAnsi="Palatino Linotype" w:cs="Palatino Linotype"/>
          <w:b/>
          <w:i/>
          <w:sz w:val="22"/>
        </w:rPr>
        <w:t>- Coordinar la planeación, ejecución y elaboración del informe, respecto de las auditorías señaladas en el Programa Anual de Auditorías y las mandatadas por la Legislatura e informar los resultados a su superior jerárquico</w:t>
      </w:r>
    </w:p>
    <w:p w14:paraId="57BA9726" w14:textId="77777777" w:rsidR="009536D5" w:rsidRPr="00220302" w:rsidRDefault="009536D5" w:rsidP="009536D5">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rPr>
      </w:pPr>
      <w:r w:rsidRPr="00220302">
        <w:rPr>
          <w:rFonts w:ascii="Palatino Linotype" w:eastAsia="Palatino Linotype" w:hAnsi="Palatino Linotype" w:cs="Palatino Linotype"/>
          <w:i/>
          <w:sz w:val="22"/>
        </w:rPr>
        <w:t>…</w:t>
      </w:r>
    </w:p>
    <w:p w14:paraId="2C456B24" w14:textId="77777777" w:rsidR="009536D5" w:rsidRPr="00220302" w:rsidRDefault="009536D5" w:rsidP="009536D5">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rPr>
      </w:pPr>
      <w:r w:rsidRPr="00220302">
        <w:rPr>
          <w:rFonts w:ascii="Palatino Linotype" w:eastAsia="Palatino Linotype" w:hAnsi="Palatino Linotype" w:cs="Palatino Linotype"/>
          <w:i/>
          <w:sz w:val="22"/>
        </w:rPr>
        <w:t>Dirección de Auditoría de Legalidad</w:t>
      </w:r>
    </w:p>
    <w:p w14:paraId="7E2C11DA" w14:textId="77777777" w:rsidR="009536D5" w:rsidRPr="00220302" w:rsidRDefault="009536D5" w:rsidP="009536D5">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rPr>
      </w:pPr>
      <w:r w:rsidRPr="00220302">
        <w:rPr>
          <w:rFonts w:ascii="Palatino Linotype" w:eastAsia="Palatino Linotype" w:hAnsi="Palatino Linotype" w:cs="Palatino Linotype"/>
          <w:i/>
          <w:sz w:val="22"/>
        </w:rPr>
        <w:t>Objetivo:</w:t>
      </w:r>
    </w:p>
    <w:p w14:paraId="7BB5C6DC" w14:textId="77777777" w:rsidR="009536D5" w:rsidRPr="00220302" w:rsidRDefault="009536D5" w:rsidP="009536D5">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rPr>
      </w:pPr>
      <w:r w:rsidRPr="00220302">
        <w:rPr>
          <w:rFonts w:ascii="Palatino Linotype" w:eastAsia="Palatino Linotype" w:hAnsi="Palatino Linotype" w:cs="Palatino Linotype"/>
          <w:i/>
          <w:sz w:val="22"/>
        </w:rPr>
        <w:t>Dirigir y validar los actos de fiscalización que tienen por objeto vigilar la legalidad, de las disposiciones jurídicas aplicables que rigen el actuar de las entidades fiscalizables, a fin de fortalecer los procesos de transparencia, rendición de cuentas, combate a la corrupción y buena gobernanza.</w:t>
      </w:r>
    </w:p>
    <w:p w14:paraId="079AF111" w14:textId="77777777" w:rsidR="009536D5" w:rsidRPr="00220302" w:rsidRDefault="009536D5" w:rsidP="009536D5">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rPr>
      </w:pPr>
      <w:r w:rsidRPr="00220302">
        <w:rPr>
          <w:rFonts w:ascii="Palatino Linotype" w:eastAsia="Palatino Linotype" w:hAnsi="Palatino Linotype" w:cs="Palatino Linotype"/>
          <w:i/>
          <w:sz w:val="22"/>
        </w:rPr>
        <w:lastRenderedPageBreak/>
        <w:t>…</w:t>
      </w:r>
    </w:p>
    <w:p w14:paraId="5E1ED87D" w14:textId="77777777" w:rsidR="009536D5" w:rsidRPr="00220302" w:rsidRDefault="009536D5" w:rsidP="009536D5">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rPr>
      </w:pPr>
      <w:r w:rsidRPr="00220302">
        <w:rPr>
          <w:rFonts w:ascii="Palatino Linotype" w:eastAsia="Palatino Linotype" w:hAnsi="Palatino Linotype" w:cs="Palatino Linotype"/>
          <w:i/>
          <w:sz w:val="22"/>
        </w:rPr>
        <w:t>Departamento de Auditoría de Legalidad “A”</w:t>
      </w:r>
    </w:p>
    <w:p w14:paraId="60641FE8" w14:textId="77777777" w:rsidR="009536D5" w:rsidRPr="00220302" w:rsidRDefault="009536D5" w:rsidP="009536D5">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rPr>
      </w:pPr>
      <w:r w:rsidRPr="00220302">
        <w:rPr>
          <w:rFonts w:ascii="Palatino Linotype" w:eastAsia="Palatino Linotype" w:hAnsi="Palatino Linotype" w:cs="Palatino Linotype"/>
          <w:i/>
          <w:sz w:val="22"/>
        </w:rPr>
        <w:t>Departamento de Auditoría de Legalidad “B”</w:t>
      </w:r>
    </w:p>
    <w:p w14:paraId="7C28E1B7" w14:textId="77777777" w:rsidR="009536D5" w:rsidRPr="00220302" w:rsidRDefault="009536D5" w:rsidP="009536D5">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rPr>
      </w:pPr>
      <w:r w:rsidRPr="00220302">
        <w:rPr>
          <w:rFonts w:ascii="Palatino Linotype" w:eastAsia="Palatino Linotype" w:hAnsi="Palatino Linotype" w:cs="Palatino Linotype"/>
          <w:i/>
          <w:sz w:val="22"/>
        </w:rPr>
        <w:t>Departamento de Auditoría de Legalidad “C”</w:t>
      </w:r>
    </w:p>
    <w:p w14:paraId="476832E6" w14:textId="77777777" w:rsidR="009536D5" w:rsidRPr="00220302" w:rsidRDefault="009536D5" w:rsidP="009536D5">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rPr>
      </w:pPr>
      <w:r w:rsidRPr="00220302">
        <w:rPr>
          <w:rFonts w:ascii="Palatino Linotype" w:eastAsia="Palatino Linotype" w:hAnsi="Palatino Linotype" w:cs="Palatino Linotype"/>
          <w:i/>
          <w:sz w:val="22"/>
        </w:rPr>
        <w:t>Objetivo:</w:t>
      </w:r>
    </w:p>
    <w:p w14:paraId="0375807E" w14:textId="77777777" w:rsidR="009536D5" w:rsidRPr="00220302" w:rsidRDefault="009536D5" w:rsidP="009536D5">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rPr>
      </w:pPr>
      <w:r w:rsidRPr="00220302">
        <w:rPr>
          <w:rFonts w:ascii="Palatino Linotype" w:eastAsia="Palatino Linotype" w:hAnsi="Palatino Linotype" w:cs="Palatino Linotype"/>
          <w:i/>
          <w:sz w:val="22"/>
        </w:rPr>
        <w:t>Coordinar los actos de fiscalización que tienen por objeto vigilar la legalidad, de las disposiciones jurídicas aplicables que rigen el actuar de las entidades fiscalizables, a fin de fortalecer los procesos de transparencia, rendición de cuentas, combate a la corrupción y buena gobernanza.</w:t>
      </w:r>
    </w:p>
    <w:p w14:paraId="4DCF1A92" w14:textId="77777777" w:rsidR="009536D5" w:rsidRPr="00220302" w:rsidRDefault="009536D5" w:rsidP="009536D5">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rPr>
      </w:pPr>
      <w:r w:rsidRPr="00220302">
        <w:rPr>
          <w:rFonts w:ascii="Palatino Linotype" w:eastAsia="Palatino Linotype" w:hAnsi="Palatino Linotype" w:cs="Palatino Linotype"/>
          <w:i/>
          <w:sz w:val="22"/>
        </w:rPr>
        <w:t>Funciones:</w:t>
      </w:r>
    </w:p>
    <w:p w14:paraId="1D3B20BE" w14:textId="77777777" w:rsidR="009536D5" w:rsidRPr="00220302" w:rsidRDefault="009536D5" w:rsidP="009536D5">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rPr>
      </w:pPr>
      <w:r w:rsidRPr="00220302">
        <w:rPr>
          <w:rFonts w:ascii="Palatino Linotype" w:eastAsia="Palatino Linotype" w:hAnsi="Palatino Linotype" w:cs="Palatino Linotype"/>
          <w:i/>
          <w:sz w:val="22"/>
        </w:rPr>
        <w:t>…</w:t>
      </w:r>
    </w:p>
    <w:p w14:paraId="0063DA5D" w14:textId="77777777" w:rsidR="009536D5" w:rsidRPr="00220302" w:rsidRDefault="009536D5" w:rsidP="009536D5">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rPr>
      </w:pPr>
      <w:r w:rsidRPr="00220302">
        <w:rPr>
          <w:rFonts w:ascii="Palatino Linotype" w:eastAsia="Palatino Linotype" w:hAnsi="Palatino Linotype" w:cs="Palatino Linotype"/>
          <w:i/>
          <w:sz w:val="22"/>
        </w:rPr>
        <w:t>- Coordinar la planeación, ejecución y elaboración del informe, respecto de las auditorías señaladas en el Programa Anual de Auditorías y las mandatadas por la Legislatura e informar los resultados a su superior jerárquico.” (Énfasis añadido)</w:t>
      </w:r>
      <w:r w:rsidRPr="00220302">
        <w:rPr>
          <w:rFonts w:ascii="Palatino Linotype" w:eastAsia="Palatino Linotype" w:hAnsi="Palatino Linotype" w:cs="Palatino Linotype"/>
          <w:i/>
          <w:sz w:val="22"/>
        </w:rPr>
        <w:cr/>
      </w:r>
    </w:p>
    <w:p w14:paraId="6FAE2D39" w14:textId="0450F097" w:rsidR="00774591" w:rsidRPr="00220302" w:rsidRDefault="00230ACD" w:rsidP="00285FD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220302">
        <w:rPr>
          <w:rFonts w:ascii="Palatino Linotype" w:eastAsia="Palatino Linotype" w:hAnsi="Palatino Linotype" w:cs="Palatino Linotype"/>
          <w:sz w:val="22"/>
          <w:szCs w:val="22"/>
        </w:rPr>
        <w:t>De manera que como se observa de las citas realizadas, existen diversas áreas dentro del OSFEM encargadas de la realización de las auditorías y de la realización de los informes de resultados.</w:t>
      </w:r>
    </w:p>
    <w:p w14:paraId="0809DCCB" w14:textId="77777777" w:rsidR="00774591" w:rsidRPr="00220302" w:rsidRDefault="00774591" w:rsidP="00285FD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10714509" w14:textId="25EC3D75" w:rsidR="00E73468" w:rsidRPr="00220302" w:rsidRDefault="00E73468" w:rsidP="00285FD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220302">
        <w:rPr>
          <w:rFonts w:ascii="Palatino Linotype" w:eastAsia="Palatino Linotype" w:hAnsi="Palatino Linotype" w:cs="Palatino Linotype"/>
          <w:sz w:val="22"/>
          <w:szCs w:val="22"/>
        </w:rPr>
        <w:t>Ahora bien</w:t>
      </w:r>
      <w:r w:rsidR="00044A9B" w:rsidRPr="00220302">
        <w:rPr>
          <w:rFonts w:ascii="Palatino Linotype" w:eastAsia="Palatino Linotype" w:hAnsi="Palatino Linotype" w:cs="Palatino Linotype"/>
          <w:sz w:val="22"/>
          <w:szCs w:val="22"/>
        </w:rPr>
        <w:t xml:space="preserve">, </w:t>
      </w:r>
      <w:r w:rsidR="009536D5" w:rsidRPr="00220302">
        <w:rPr>
          <w:rFonts w:ascii="Palatino Linotype" w:eastAsia="Palatino Linotype" w:hAnsi="Palatino Linotype" w:cs="Palatino Linotype"/>
          <w:sz w:val="22"/>
          <w:szCs w:val="22"/>
        </w:rPr>
        <w:t xml:space="preserve">resulta importante </w:t>
      </w:r>
      <w:r w:rsidR="00073ED6" w:rsidRPr="00220302">
        <w:rPr>
          <w:rFonts w:ascii="Palatino Linotype" w:eastAsia="Palatino Linotype" w:hAnsi="Palatino Linotype" w:cs="Palatino Linotype"/>
          <w:sz w:val="22"/>
          <w:szCs w:val="22"/>
        </w:rPr>
        <w:t xml:space="preserve">recordar que </w:t>
      </w:r>
      <w:r w:rsidR="00776485" w:rsidRPr="00220302">
        <w:rPr>
          <w:rFonts w:ascii="Palatino Linotype" w:eastAsia="Palatino Linotype" w:hAnsi="Palatino Linotype" w:cs="Palatino Linotype"/>
          <w:sz w:val="22"/>
          <w:szCs w:val="22"/>
        </w:rPr>
        <w:t xml:space="preserve">si bien es cierto, el </w:t>
      </w:r>
      <w:r w:rsidR="00776485" w:rsidRPr="00220302">
        <w:rPr>
          <w:rFonts w:ascii="Palatino Linotype" w:eastAsia="Palatino Linotype" w:hAnsi="Palatino Linotype" w:cs="Palatino Linotype"/>
          <w:b/>
          <w:sz w:val="22"/>
          <w:szCs w:val="22"/>
        </w:rPr>
        <w:t>Sujeto Obligado</w:t>
      </w:r>
      <w:r w:rsidR="00776485" w:rsidRPr="00220302">
        <w:rPr>
          <w:rFonts w:ascii="Palatino Linotype" w:eastAsia="Palatino Linotype" w:hAnsi="Palatino Linotype" w:cs="Palatino Linotype"/>
          <w:sz w:val="22"/>
          <w:szCs w:val="22"/>
        </w:rPr>
        <w:t xml:space="preserve"> proporcionó </w:t>
      </w:r>
      <w:r w:rsidR="00073ED6" w:rsidRPr="00220302">
        <w:rPr>
          <w:rFonts w:ascii="Palatino Linotype" w:eastAsia="Palatino Linotype" w:hAnsi="Palatino Linotype" w:cs="Palatino Linotype"/>
          <w:sz w:val="22"/>
          <w:szCs w:val="22"/>
        </w:rPr>
        <w:t xml:space="preserve">en respuesta e informe justificado las ligas electrónicas </w:t>
      </w:r>
      <w:r w:rsidR="00776485" w:rsidRPr="00220302">
        <w:rPr>
          <w:rFonts w:ascii="Palatino Linotype" w:eastAsia="Palatino Linotype" w:hAnsi="Palatino Linotype" w:cs="Palatino Linotype"/>
          <w:sz w:val="22"/>
          <w:szCs w:val="22"/>
        </w:rPr>
        <w:t xml:space="preserve">en formato cerrado, no menos cierto es que al </w:t>
      </w:r>
      <w:r w:rsidR="00073ED6" w:rsidRPr="00220302">
        <w:rPr>
          <w:rFonts w:ascii="Palatino Linotype" w:eastAsia="Palatino Linotype" w:hAnsi="Palatino Linotype" w:cs="Palatino Linotype"/>
          <w:sz w:val="22"/>
          <w:szCs w:val="22"/>
        </w:rPr>
        <w:t>consultar</w:t>
      </w:r>
      <w:r w:rsidR="00776485" w:rsidRPr="00220302">
        <w:rPr>
          <w:rFonts w:ascii="Palatino Linotype" w:eastAsia="Palatino Linotype" w:hAnsi="Palatino Linotype" w:cs="Palatino Linotype"/>
          <w:sz w:val="22"/>
          <w:szCs w:val="22"/>
        </w:rPr>
        <w:t>las, estas nos conducen a</w:t>
      </w:r>
      <w:r w:rsidR="00073ED6" w:rsidRPr="00220302">
        <w:rPr>
          <w:rFonts w:ascii="Palatino Linotype" w:eastAsia="Palatino Linotype" w:hAnsi="Palatino Linotype" w:cs="Palatino Linotype"/>
          <w:sz w:val="22"/>
          <w:szCs w:val="22"/>
        </w:rPr>
        <w:t xml:space="preserve"> los Programas Anuales de Auditorías de los años 2022 y 2023, tal como se desprende de las siguientes ilustraciones:</w:t>
      </w:r>
    </w:p>
    <w:p w14:paraId="53420292" w14:textId="77777777" w:rsidR="00073ED6" w:rsidRPr="00220302" w:rsidRDefault="00073ED6" w:rsidP="00285FD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69F2F995" w14:textId="39CEBD62" w:rsidR="00073ED6" w:rsidRPr="00220302" w:rsidRDefault="00073ED6" w:rsidP="00285FD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r w:rsidRPr="00220302">
        <w:rPr>
          <w:rFonts w:ascii="Palatino Linotype" w:eastAsia="Palatino Linotype" w:hAnsi="Palatino Linotype" w:cs="Palatino Linotype"/>
          <w:b/>
          <w:sz w:val="22"/>
          <w:szCs w:val="22"/>
        </w:rPr>
        <w:t>Programa Anual de Auditorías 2022:</w:t>
      </w:r>
    </w:p>
    <w:p w14:paraId="4B442DB8" w14:textId="77777777" w:rsidR="00073ED6" w:rsidRPr="00220302" w:rsidRDefault="00073ED6" w:rsidP="00285FD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26698E81" w14:textId="6E0A001B" w:rsidR="00073ED6" w:rsidRPr="00220302" w:rsidRDefault="00073ED6" w:rsidP="00285FD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220302">
        <w:rPr>
          <w:rFonts w:ascii="Palatino Linotype" w:eastAsia="Palatino Linotype" w:hAnsi="Palatino Linotype" w:cs="Palatino Linotype"/>
          <w:noProof/>
          <w:sz w:val="22"/>
          <w:szCs w:val="22"/>
        </w:rPr>
        <w:lastRenderedPageBreak/>
        <w:drawing>
          <wp:inline distT="0" distB="0" distL="0" distR="0" wp14:anchorId="10B306C5" wp14:editId="15A63394">
            <wp:extent cx="5172797" cy="1733792"/>
            <wp:effectExtent l="19050" t="19050" r="27940" b="190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72797" cy="1733792"/>
                    </a:xfrm>
                    <a:prstGeom prst="rect">
                      <a:avLst/>
                    </a:prstGeom>
                    <a:ln>
                      <a:solidFill>
                        <a:schemeClr val="tx1"/>
                      </a:solidFill>
                    </a:ln>
                  </pic:spPr>
                </pic:pic>
              </a:graphicData>
            </a:graphic>
          </wp:inline>
        </w:drawing>
      </w:r>
    </w:p>
    <w:p w14:paraId="00461DC2" w14:textId="77777777" w:rsidR="00073ED6" w:rsidRPr="00220302" w:rsidRDefault="00073ED6" w:rsidP="00285FD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5672FD43" w14:textId="146AE83B" w:rsidR="00073ED6" w:rsidRPr="00220302" w:rsidRDefault="00073ED6" w:rsidP="00285FD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r w:rsidRPr="00220302">
        <w:rPr>
          <w:rFonts w:ascii="Palatino Linotype" w:eastAsia="Palatino Linotype" w:hAnsi="Palatino Linotype" w:cs="Palatino Linotype"/>
          <w:b/>
          <w:sz w:val="22"/>
          <w:szCs w:val="22"/>
        </w:rPr>
        <w:t>Programa Anual de Auditorías 2023:</w:t>
      </w:r>
    </w:p>
    <w:p w14:paraId="645BE0B2" w14:textId="6F11FF8A" w:rsidR="00073ED6" w:rsidRPr="00220302" w:rsidRDefault="00073ED6" w:rsidP="00073ED6">
      <w:pPr>
        <w:pBdr>
          <w:top w:val="nil"/>
          <w:left w:val="nil"/>
          <w:bottom w:val="nil"/>
          <w:right w:val="nil"/>
          <w:between w:val="nil"/>
        </w:pBdr>
        <w:tabs>
          <w:tab w:val="left" w:pos="284"/>
        </w:tabs>
        <w:spacing w:line="360" w:lineRule="auto"/>
        <w:ind w:right="49"/>
        <w:jc w:val="center"/>
        <w:rPr>
          <w:rFonts w:ascii="Palatino Linotype" w:eastAsia="Palatino Linotype" w:hAnsi="Palatino Linotype" w:cs="Palatino Linotype"/>
          <w:sz w:val="22"/>
          <w:szCs w:val="22"/>
        </w:rPr>
      </w:pPr>
      <w:r w:rsidRPr="00220302">
        <w:rPr>
          <w:rFonts w:ascii="Palatino Linotype" w:eastAsia="Palatino Linotype" w:hAnsi="Palatino Linotype" w:cs="Palatino Linotype"/>
          <w:noProof/>
          <w:sz w:val="22"/>
          <w:szCs w:val="22"/>
        </w:rPr>
        <w:drawing>
          <wp:inline distT="0" distB="0" distL="0" distR="0" wp14:anchorId="20854054" wp14:editId="241581A5">
            <wp:extent cx="4490050" cy="2204354"/>
            <wp:effectExtent l="19050" t="19050" r="25400" b="2476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02807" cy="2210617"/>
                    </a:xfrm>
                    <a:prstGeom prst="rect">
                      <a:avLst/>
                    </a:prstGeom>
                    <a:ln>
                      <a:solidFill>
                        <a:schemeClr val="tx1"/>
                      </a:solidFill>
                    </a:ln>
                  </pic:spPr>
                </pic:pic>
              </a:graphicData>
            </a:graphic>
          </wp:inline>
        </w:drawing>
      </w:r>
    </w:p>
    <w:p w14:paraId="44DBE524" w14:textId="77777777" w:rsidR="00073ED6" w:rsidRPr="00220302" w:rsidRDefault="00073ED6" w:rsidP="00285FD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42F27157" w14:textId="5EFA0905" w:rsidR="00073ED6" w:rsidRPr="00220302" w:rsidRDefault="00D13499" w:rsidP="00285FD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220302">
        <w:rPr>
          <w:rFonts w:ascii="Palatino Linotype" w:eastAsia="Palatino Linotype" w:hAnsi="Palatino Linotype" w:cs="Palatino Linotype"/>
          <w:sz w:val="22"/>
          <w:szCs w:val="22"/>
        </w:rPr>
        <w:t xml:space="preserve">Establecido lo anterior, resulta pertinente señalar que respecto al año </w:t>
      </w:r>
      <w:r w:rsidRPr="00220302">
        <w:rPr>
          <w:rFonts w:ascii="Palatino Linotype" w:eastAsia="Palatino Linotype" w:hAnsi="Palatino Linotype" w:cs="Palatino Linotype"/>
          <w:b/>
          <w:sz w:val="22"/>
          <w:szCs w:val="22"/>
        </w:rPr>
        <w:t>2022</w:t>
      </w:r>
      <w:r w:rsidRPr="00220302">
        <w:rPr>
          <w:rFonts w:ascii="Palatino Linotype" w:eastAsia="Palatino Linotype" w:hAnsi="Palatino Linotype" w:cs="Palatino Linotype"/>
          <w:sz w:val="22"/>
          <w:szCs w:val="22"/>
        </w:rPr>
        <w:t xml:space="preserve">, el </w:t>
      </w:r>
      <w:r w:rsidRPr="00220302">
        <w:rPr>
          <w:rFonts w:ascii="Palatino Linotype" w:eastAsia="Palatino Linotype" w:hAnsi="Palatino Linotype" w:cs="Palatino Linotype"/>
          <w:b/>
          <w:sz w:val="22"/>
          <w:szCs w:val="22"/>
        </w:rPr>
        <w:t>Sujeto Obligado</w:t>
      </w:r>
      <w:r w:rsidRPr="00220302">
        <w:rPr>
          <w:rFonts w:ascii="Palatino Linotype" w:eastAsia="Palatino Linotype" w:hAnsi="Palatino Linotype" w:cs="Palatino Linotype"/>
          <w:sz w:val="22"/>
          <w:szCs w:val="22"/>
        </w:rPr>
        <w:t xml:space="preserve"> proporcionó la liga electrónica </w:t>
      </w:r>
      <w:hyperlink r:id="rId12" w:history="1">
        <w:r w:rsidRPr="00220302">
          <w:rPr>
            <w:rStyle w:val="Hipervnculo"/>
            <w:rFonts w:ascii="Palatino Linotype" w:eastAsia="Palatino Linotype" w:hAnsi="Palatino Linotype" w:cs="Palatino Linotype"/>
            <w:sz w:val="22"/>
            <w:szCs w:val="22"/>
          </w:rPr>
          <w:t>https://www.osfem.gob.mx/informes/resultados/2021.html</w:t>
        </w:r>
      </w:hyperlink>
      <w:r w:rsidRPr="00220302">
        <w:rPr>
          <w:rFonts w:ascii="Palatino Linotype" w:eastAsia="Palatino Linotype" w:hAnsi="Palatino Linotype" w:cs="Palatino Linotype"/>
          <w:sz w:val="22"/>
          <w:szCs w:val="22"/>
        </w:rPr>
        <w:t>, la cual al consultarla nos dirige al siguiente apartado:</w:t>
      </w:r>
    </w:p>
    <w:p w14:paraId="48EC4F20" w14:textId="77777777" w:rsidR="00D13499" w:rsidRPr="00220302" w:rsidRDefault="00D13499" w:rsidP="00285FD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2CA44A01" w14:textId="78609048" w:rsidR="00D13499" w:rsidRPr="00220302" w:rsidRDefault="00D13499" w:rsidP="00D13499">
      <w:pPr>
        <w:pBdr>
          <w:top w:val="nil"/>
          <w:left w:val="nil"/>
          <w:bottom w:val="nil"/>
          <w:right w:val="nil"/>
          <w:between w:val="nil"/>
        </w:pBdr>
        <w:tabs>
          <w:tab w:val="left" w:pos="284"/>
        </w:tabs>
        <w:spacing w:line="360" w:lineRule="auto"/>
        <w:ind w:right="49"/>
        <w:jc w:val="center"/>
        <w:rPr>
          <w:rFonts w:ascii="Palatino Linotype" w:eastAsia="Palatino Linotype" w:hAnsi="Palatino Linotype" w:cs="Palatino Linotype"/>
          <w:sz w:val="22"/>
          <w:szCs w:val="22"/>
        </w:rPr>
      </w:pPr>
      <w:r w:rsidRPr="00220302">
        <w:rPr>
          <w:rFonts w:ascii="Palatino Linotype" w:eastAsia="Palatino Linotype" w:hAnsi="Palatino Linotype" w:cs="Palatino Linotype"/>
          <w:noProof/>
          <w:sz w:val="22"/>
          <w:szCs w:val="22"/>
        </w:rPr>
        <w:lastRenderedPageBreak/>
        <w:drawing>
          <wp:inline distT="0" distB="0" distL="0" distR="0" wp14:anchorId="2B8C072E" wp14:editId="3AEC64BB">
            <wp:extent cx="4853006" cy="2728512"/>
            <wp:effectExtent l="19050" t="19050" r="24130" b="152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77378" cy="2742215"/>
                    </a:xfrm>
                    <a:prstGeom prst="rect">
                      <a:avLst/>
                    </a:prstGeom>
                    <a:ln>
                      <a:solidFill>
                        <a:schemeClr val="tx1"/>
                      </a:solidFill>
                    </a:ln>
                  </pic:spPr>
                </pic:pic>
              </a:graphicData>
            </a:graphic>
          </wp:inline>
        </w:drawing>
      </w:r>
    </w:p>
    <w:p w14:paraId="0A5909A3" w14:textId="47D5745C" w:rsidR="00E73468" w:rsidRPr="00220302" w:rsidRDefault="00B3037E" w:rsidP="00285FD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220302">
        <w:rPr>
          <w:rFonts w:ascii="Palatino Linotype" w:eastAsia="Palatino Linotype" w:hAnsi="Palatino Linotype" w:cs="Palatino Linotype"/>
          <w:sz w:val="22"/>
          <w:szCs w:val="22"/>
        </w:rPr>
        <w:t>Asimismo</w:t>
      </w:r>
      <w:r w:rsidR="005761C0" w:rsidRPr="00220302">
        <w:rPr>
          <w:rFonts w:ascii="Palatino Linotype" w:eastAsia="Palatino Linotype" w:hAnsi="Palatino Linotype" w:cs="Palatino Linotype"/>
          <w:sz w:val="22"/>
          <w:szCs w:val="22"/>
        </w:rPr>
        <w:t>, al consultar los informes de gestión que refiere, obtenemos la siguiente información:</w:t>
      </w:r>
    </w:p>
    <w:p w14:paraId="2CCE9D4D" w14:textId="77777777" w:rsidR="005761C0" w:rsidRPr="00220302" w:rsidRDefault="005761C0" w:rsidP="00285FD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0D7561A7" w14:textId="52646BA8" w:rsidR="005761C0" w:rsidRPr="00220302" w:rsidRDefault="005761C0" w:rsidP="005761C0">
      <w:pPr>
        <w:pBdr>
          <w:top w:val="nil"/>
          <w:left w:val="nil"/>
          <w:bottom w:val="nil"/>
          <w:right w:val="nil"/>
          <w:between w:val="nil"/>
        </w:pBdr>
        <w:tabs>
          <w:tab w:val="left" w:pos="284"/>
        </w:tabs>
        <w:spacing w:line="360" w:lineRule="auto"/>
        <w:ind w:right="49"/>
        <w:jc w:val="center"/>
        <w:rPr>
          <w:rFonts w:ascii="Palatino Linotype" w:eastAsia="Palatino Linotype" w:hAnsi="Palatino Linotype" w:cs="Palatino Linotype"/>
          <w:sz w:val="22"/>
          <w:szCs w:val="22"/>
        </w:rPr>
      </w:pPr>
      <w:r w:rsidRPr="00220302">
        <w:rPr>
          <w:rFonts w:ascii="Palatino Linotype" w:eastAsia="Palatino Linotype" w:hAnsi="Palatino Linotype" w:cs="Palatino Linotype"/>
          <w:noProof/>
          <w:sz w:val="22"/>
          <w:szCs w:val="22"/>
        </w:rPr>
        <w:lastRenderedPageBreak/>
        <w:drawing>
          <wp:inline distT="0" distB="0" distL="0" distR="0" wp14:anchorId="7182EFD5" wp14:editId="5610A354">
            <wp:extent cx="4684143" cy="5331273"/>
            <wp:effectExtent l="0" t="0" r="254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86476" cy="5333928"/>
                    </a:xfrm>
                    <a:prstGeom prst="rect">
                      <a:avLst/>
                    </a:prstGeom>
                  </pic:spPr>
                </pic:pic>
              </a:graphicData>
            </a:graphic>
          </wp:inline>
        </w:drawing>
      </w:r>
    </w:p>
    <w:p w14:paraId="6E7DD0C1" w14:textId="01937CFC" w:rsidR="00D13499" w:rsidRPr="00220302" w:rsidRDefault="005761C0" w:rsidP="00285FD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220302">
        <w:rPr>
          <w:rFonts w:ascii="Palatino Linotype" w:eastAsia="Palatino Linotype" w:hAnsi="Palatino Linotype" w:cs="Palatino Linotype"/>
          <w:noProof/>
          <w:sz w:val="22"/>
          <w:szCs w:val="22"/>
        </w:rPr>
        <w:lastRenderedPageBreak/>
        <w:drawing>
          <wp:inline distT="0" distB="0" distL="0" distR="0" wp14:anchorId="122E8400" wp14:editId="18281EBA">
            <wp:extent cx="5612130" cy="5730240"/>
            <wp:effectExtent l="0" t="0" r="762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2130" cy="5730240"/>
                    </a:xfrm>
                    <a:prstGeom prst="rect">
                      <a:avLst/>
                    </a:prstGeom>
                  </pic:spPr>
                </pic:pic>
              </a:graphicData>
            </a:graphic>
          </wp:inline>
        </w:drawing>
      </w:r>
    </w:p>
    <w:p w14:paraId="6BBE7F9C" w14:textId="77777777" w:rsidR="00D13499" w:rsidRPr="00220302" w:rsidRDefault="00D13499" w:rsidP="00285FD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31818D58" w14:textId="635EBF1B" w:rsidR="00B3037E" w:rsidRPr="00220302" w:rsidRDefault="00B3037E" w:rsidP="00B3037E">
      <w:pPr>
        <w:tabs>
          <w:tab w:val="left" w:pos="2745"/>
        </w:tabs>
        <w:spacing w:before="240" w:after="240" w:line="360" w:lineRule="auto"/>
        <w:ind w:right="49"/>
        <w:jc w:val="both"/>
        <w:rPr>
          <w:rFonts w:ascii="Palatino Linotype" w:eastAsia="Palatino Linotype" w:hAnsi="Palatino Linotype" w:cs="Palatino Linotype"/>
          <w:b/>
          <w:i/>
          <w:sz w:val="22"/>
          <w:szCs w:val="22"/>
          <w:u w:val="single"/>
        </w:rPr>
      </w:pPr>
      <w:r w:rsidRPr="00220302">
        <w:rPr>
          <w:rFonts w:ascii="Palatino Linotype" w:eastAsia="Palatino Linotype" w:hAnsi="Palatino Linotype" w:cs="Palatino Linotype"/>
          <w:sz w:val="22"/>
          <w:szCs w:val="22"/>
        </w:rPr>
        <w:t xml:space="preserve">Establecido lo anterior, resulta importante señalar que si bien es cierto, las ligas electrónicas se encuentran en formato cerrado, no menos cierto es que el particular logró digitalizarlas y consultar la información, tan es así que en su acto impugnado expresa que la información se encuentra incompleta y desactualizada por no mencionar </w:t>
      </w:r>
      <w:r w:rsidRPr="00220302">
        <w:rPr>
          <w:rFonts w:ascii="Palatino Linotype" w:eastAsia="Palatino Linotype" w:hAnsi="Palatino Linotype" w:cs="Palatino Linotype"/>
          <w:b/>
          <w:i/>
          <w:sz w:val="22"/>
          <w:szCs w:val="22"/>
          <w:u w:val="single"/>
        </w:rPr>
        <w:t xml:space="preserve">el estado actual que guardan </w:t>
      </w:r>
      <w:r w:rsidRPr="00220302">
        <w:rPr>
          <w:rFonts w:ascii="Palatino Linotype" w:eastAsia="Palatino Linotype" w:hAnsi="Palatino Linotype" w:cs="Palatino Linotype"/>
          <w:b/>
          <w:i/>
          <w:sz w:val="22"/>
          <w:szCs w:val="22"/>
          <w:u w:val="single"/>
        </w:rPr>
        <w:lastRenderedPageBreak/>
        <w:t>todas y cada una de las auditorías que se practicaron conforme a los programas anuales respectivos de los años  2022 y 2023.</w:t>
      </w:r>
    </w:p>
    <w:p w14:paraId="42DE37E9" w14:textId="0918B15D" w:rsidR="00B3037E" w:rsidRPr="00220302" w:rsidRDefault="00B3037E" w:rsidP="00B3037E">
      <w:pPr>
        <w:tabs>
          <w:tab w:val="left" w:pos="2745"/>
        </w:tabs>
        <w:spacing w:before="240" w:after="240" w:line="360" w:lineRule="auto"/>
        <w:ind w:right="49"/>
        <w:jc w:val="both"/>
        <w:rPr>
          <w:rFonts w:ascii="Palatino Linotype" w:eastAsia="Palatino Linotype" w:hAnsi="Palatino Linotype" w:cs="Palatino Linotype"/>
          <w:sz w:val="22"/>
          <w:szCs w:val="22"/>
        </w:rPr>
      </w:pPr>
      <w:r w:rsidRPr="00220302">
        <w:rPr>
          <w:rFonts w:ascii="Palatino Linotype" w:eastAsia="Palatino Linotype" w:hAnsi="Palatino Linotype" w:cs="Palatino Linotype"/>
          <w:sz w:val="22"/>
          <w:szCs w:val="22"/>
        </w:rPr>
        <w:t xml:space="preserve">Ahora bien, resulta necesario señalar que para efecto de determinar si la información proporcionada por el </w:t>
      </w:r>
      <w:r w:rsidRPr="00220302">
        <w:rPr>
          <w:rFonts w:ascii="Palatino Linotype" w:eastAsia="Palatino Linotype" w:hAnsi="Palatino Linotype" w:cs="Palatino Linotype"/>
          <w:b/>
          <w:sz w:val="22"/>
          <w:szCs w:val="22"/>
        </w:rPr>
        <w:t>Sujeto Obligado</w:t>
      </w:r>
      <w:r w:rsidRPr="00220302">
        <w:rPr>
          <w:rFonts w:ascii="Palatino Linotype" w:eastAsia="Palatino Linotype" w:hAnsi="Palatino Linotype" w:cs="Palatino Linotype"/>
          <w:sz w:val="22"/>
          <w:szCs w:val="22"/>
        </w:rPr>
        <w:t xml:space="preserve"> colma el requerimiento de información, resulta importante señalar que este Instituto tuvo a bien, proceder a la lectura de estos informes, obteniendo así que </w:t>
      </w:r>
      <w:r w:rsidR="005761C0" w:rsidRPr="00220302">
        <w:rPr>
          <w:rFonts w:ascii="Palatino Linotype" w:eastAsia="Palatino Linotype" w:hAnsi="Palatino Linotype" w:cs="Palatino Linotype"/>
          <w:sz w:val="22"/>
          <w:szCs w:val="22"/>
        </w:rPr>
        <w:t xml:space="preserve">al realizar la búsqueda de la información dentro de estos informes, no </w:t>
      </w:r>
      <w:r w:rsidRPr="00220302">
        <w:rPr>
          <w:rFonts w:ascii="Palatino Linotype" w:eastAsia="Palatino Linotype" w:hAnsi="Palatino Linotype" w:cs="Palatino Linotype"/>
          <w:sz w:val="22"/>
          <w:szCs w:val="22"/>
        </w:rPr>
        <w:t xml:space="preserve">se localizó información alguna relacionada con el estado de las auditorías </w:t>
      </w:r>
      <w:r w:rsidR="00E12C73" w:rsidRPr="00220302">
        <w:rPr>
          <w:rFonts w:ascii="Palatino Linotype" w:eastAsia="Palatino Linotype" w:hAnsi="Palatino Linotype" w:cs="Palatino Linotype"/>
          <w:sz w:val="22"/>
          <w:szCs w:val="22"/>
        </w:rPr>
        <w:t>pues únicamente señalan que se llevaron a cabo las auditorías, dan cuenta de las áreas revisada, los procedimientos aplicados, así como los resultados finales y las observaciones, por lo cual, se infiere que estas se encuentran concluidas, tal como se desprende de las siguientes ilustraciones que se insertan a manera de ejemplo:</w:t>
      </w:r>
    </w:p>
    <w:p w14:paraId="373A4BD4" w14:textId="030757B1" w:rsidR="00E12C73" w:rsidRPr="00220302" w:rsidRDefault="00E12C73" w:rsidP="00B3037E">
      <w:pPr>
        <w:tabs>
          <w:tab w:val="left" w:pos="2745"/>
        </w:tabs>
        <w:spacing w:before="240" w:after="240" w:line="360" w:lineRule="auto"/>
        <w:ind w:right="49"/>
        <w:jc w:val="both"/>
        <w:rPr>
          <w:rFonts w:ascii="Palatino Linotype" w:eastAsia="Palatino Linotype" w:hAnsi="Palatino Linotype" w:cs="Palatino Linotype"/>
          <w:sz w:val="22"/>
          <w:szCs w:val="22"/>
        </w:rPr>
      </w:pPr>
      <w:r w:rsidRPr="00220302">
        <w:rPr>
          <w:rFonts w:ascii="Palatino Linotype" w:eastAsia="Palatino Linotype" w:hAnsi="Palatino Linotype" w:cs="Palatino Linotype"/>
          <w:noProof/>
          <w:sz w:val="22"/>
          <w:szCs w:val="22"/>
        </w:rPr>
        <w:drawing>
          <wp:inline distT="0" distB="0" distL="0" distR="0" wp14:anchorId="4BBBDC45" wp14:editId="00EE3F00">
            <wp:extent cx="5612130" cy="2560955"/>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12130" cy="2560955"/>
                    </a:xfrm>
                    <a:prstGeom prst="rect">
                      <a:avLst/>
                    </a:prstGeom>
                  </pic:spPr>
                </pic:pic>
              </a:graphicData>
            </a:graphic>
          </wp:inline>
        </w:drawing>
      </w:r>
    </w:p>
    <w:p w14:paraId="2C71B507" w14:textId="4E759CF8" w:rsidR="00B3037E" w:rsidRPr="00220302" w:rsidRDefault="00E12C73" w:rsidP="00E12C73">
      <w:pPr>
        <w:tabs>
          <w:tab w:val="left" w:pos="2745"/>
        </w:tabs>
        <w:spacing w:before="240" w:after="240" w:line="360" w:lineRule="auto"/>
        <w:ind w:right="49"/>
        <w:jc w:val="center"/>
        <w:rPr>
          <w:rFonts w:ascii="Palatino Linotype" w:eastAsia="Palatino Linotype" w:hAnsi="Palatino Linotype" w:cs="Palatino Linotype"/>
          <w:sz w:val="22"/>
          <w:szCs w:val="22"/>
        </w:rPr>
      </w:pPr>
      <w:r w:rsidRPr="00220302">
        <w:rPr>
          <w:rFonts w:ascii="Palatino Linotype" w:eastAsia="Palatino Linotype" w:hAnsi="Palatino Linotype" w:cs="Palatino Linotype"/>
          <w:noProof/>
          <w:sz w:val="22"/>
          <w:szCs w:val="22"/>
        </w:rPr>
        <w:lastRenderedPageBreak/>
        <w:drawing>
          <wp:inline distT="0" distB="0" distL="0" distR="0" wp14:anchorId="1113B5B5" wp14:editId="3C2E8B8A">
            <wp:extent cx="4448796" cy="2210108"/>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48796" cy="2210108"/>
                    </a:xfrm>
                    <a:prstGeom prst="rect">
                      <a:avLst/>
                    </a:prstGeom>
                  </pic:spPr>
                </pic:pic>
              </a:graphicData>
            </a:graphic>
          </wp:inline>
        </w:drawing>
      </w:r>
    </w:p>
    <w:p w14:paraId="60ABFC1B" w14:textId="2F35C353" w:rsidR="00E12C73" w:rsidRPr="00220302" w:rsidRDefault="00E12C73" w:rsidP="00B3037E">
      <w:pPr>
        <w:tabs>
          <w:tab w:val="left" w:pos="2745"/>
        </w:tabs>
        <w:spacing w:before="240" w:after="240" w:line="360" w:lineRule="auto"/>
        <w:ind w:right="49"/>
        <w:jc w:val="both"/>
        <w:rPr>
          <w:rFonts w:ascii="Palatino Linotype" w:eastAsia="Palatino Linotype" w:hAnsi="Palatino Linotype" w:cs="Palatino Linotype"/>
          <w:sz w:val="22"/>
          <w:szCs w:val="22"/>
        </w:rPr>
      </w:pPr>
      <w:r w:rsidRPr="00220302">
        <w:rPr>
          <w:rFonts w:ascii="Palatino Linotype" w:eastAsia="Palatino Linotype" w:hAnsi="Palatino Linotype" w:cs="Palatino Linotype"/>
          <w:noProof/>
          <w:sz w:val="22"/>
          <w:szCs w:val="22"/>
        </w:rPr>
        <w:drawing>
          <wp:inline distT="0" distB="0" distL="0" distR="0" wp14:anchorId="3C931813" wp14:editId="20BA12E6">
            <wp:extent cx="5612130" cy="4067810"/>
            <wp:effectExtent l="0" t="0" r="7620" b="889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12130" cy="4067810"/>
                    </a:xfrm>
                    <a:prstGeom prst="rect">
                      <a:avLst/>
                    </a:prstGeom>
                  </pic:spPr>
                </pic:pic>
              </a:graphicData>
            </a:graphic>
          </wp:inline>
        </w:drawing>
      </w:r>
    </w:p>
    <w:p w14:paraId="213A9FBE" w14:textId="53E0D22F" w:rsidR="00B3037E" w:rsidRPr="00220302" w:rsidRDefault="00E12C73" w:rsidP="00B3037E">
      <w:pPr>
        <w:tabs>
          <w:tab w:val="left" w:pos="2745"/>
        </w:tabs>
        <w:spacing w:before="240" w:after="240" w:line="360" w:lineRule="auto"/>
        <w:ind w:right="49"/>
        <w:jc w:val="both"/>
        <w:rPr>
          <w:rFonts w:ascii="Palatino Linotype" w:eastAsia="Palatino Linotype" w:hAnsi="Palatino Linotype" w:cs="Palatino Linotype"/>
          <w:sz w:val="22"/>
          <w:szCs w:val="22"/>
        </w:rPr>
      </w:pPr>
      <w:r w:rsidRPr="00220302">
        <w:rPr>
          <w:rFonts w:ascii="Palatino Linotype" w:eastAsia="Palatino Linotype" w:hAnsi="Palatino Linotype" w:cs="Palatino Linotype"/>
          <w:noProof/>
          <w:sz w:val="22"/>
          <w:szCs w:val="22"/>
        </w:rPr>
        <w:lastRenderedPageBreak/>
        <w:drawing>
          <wp:inline distT="0" distB="0" distL="0" distR="0" wp14:anchorId="72EC3475" wp14:editId="26C5030B">
            <wp:extent cx="5612130" cy="4462145"/>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12130" cy="4462145"/>
                    </a:xfrm>
                    <a:prstGeom prst="rect">
                      <a:avLst/>
                    </a:prstGeom>
                  </pic:spPr>
                </pic:pic>
              </a:graphicData>
            </a:graphic>
          </wp:inline>
        </w:drawing>
      </w:r>
    </w:p>
    <w:p w14:paraId="306822E2" w14:textId="49C5201D" w:rsidR="00D47B55" w:rsidRPr="00220302" w:rsidRDefault="00E12C73" w:rsidP="00E12C73">
      <w:pPr>
        <w:tabs>
          <w:tab w:val="left" w:pos="2745"/>
        </w:tabs>
        <w:spacing w:before="240" w:after="240" w:line="360" w:lineRule="auto"/>
        <w:ind w:right="49"/>
        <w:jc w:val="both"/>
        <w:rPr>
          <w:rFonts w:ascii="Palatino Linotype" w:eastAsia="Palatino Linotype" w:hAnsi="Palatino Linotype" w:cs="Palatino Linotype"/>
          <w:sz w:val="22"/>
          <w:szCs w:val="22"/>
        </w:rPr>
      </w:pPr>
      <w:r w:rsidRPr="00220302">
        <w:rPr>
          <w:rFonts w:ascii="Palatino Linotype" w:eastAsia="Palatino Linotype" w:hAnsi="Palatino Linotype" w:cs="Palatino Linotype"/>
          <w:sz w:val="22"/>
          <w:szCs w:val="22"/>
        </w:rPr>
        <w:t xml:space="preserve">Es por lo anterior que se determinar que </w:t>
      </w:r>
      <w:r w:rsidR="005761C0" w:rsidRPr="00220302">
        <w:rPr>
          <w:rFonts w:ascii="Palatino Linotype" w:eastAsia="Palatino Linotype" w:hAnsi="Palatino Linotype" w:cs="Palatino Linotype"/>
          <w:sz w:val="22"/>
          <w:szCs w:val="22"/>
        </w:rPr>
        <w:t xml:space="preserve">la </w:t>
      </w:r>
      <w:r w:rsidRPr="00220302">
        <w:rPr>
          <w:rFonts w:ascii="Palatino Linotype" w:eastAsia="Palatino Linotype" w:hAnsi="Palatino Linotype" w:cs="Palatino Linotype"/>
          <w:sz w:val="22"/>
          <w:szCs w:val="22"/>
        </w:rPr>
        <w:t>información que obra en las ligas electrónica no satisface el requerimiento de información del particular, pues</w:t>
      </w:r>
      <w:r w:rsidRPr="00220302">
        <w:rPr>
          <w:rFonts w:ascii="Palatino Linotype" w:hAnsi="Palatino Linotype"/>
          <w:color w:val="000000"/>
          <w:sz w:val="22"/>
          <w:szCs w:val="22"/>
        </w:rPr>
        <w:t xml:space="preserve"> concretamente no da cuenta del estado de las auditorías que obran en el Programa Anual de Auditorías, </w:t>
      </w:r>
      <w:r w:rsidRPr="00220302">
        <w:rPr>
          <w:rFonts w:ascii="Palatino Linotype" w:hAnsi="Palatino Linotype"/>
          <w:b/>
          <w:color w:val="000000"/>
          <w:sz w:val="22"/>
          <w:szCs w:val="22"/>
          <w:u w:val="single"/>
        </w:rPr>
        <w:t>consecuentemente al no obrar la información requerida dentro de las ligas electrónicas proporcionadas</w:t>
      </w:r>
      <w:r w:rsidRPr="00220302">
        <w:rPr>
          <w:rFonts w:ascii="Palatino Linotype" w:hAnsi="Palatino Linotype"/>
          <w:color w:val="000000"/>
          <w:sz w:val="22"/>
          <w:szCs w:val="22"/>
        </w:rPr>
        <w:t xml:space="preserve">, es dable afirmar que no se observa </w:t>
      </w:r>
      <w:r w:rsidR="00D47B55" w:rsidRPr="00220302">
        <w:rPr>
          <w:rFonts w:ascii="Palatino Linotype" w:hAnsi="Palatino Linotype"/>
          <w:color w:val="000000"/>
          <w:sz w:val="22"/>
          <w:szCs w:val="22"/>
        </w:rPr>
        <w:t>lo establecido por los artículos 11 y 161 de la Ley de Transparencia y Acceso a la Información Pública del Estado de México y Municipios, en lo que se señalan las características que debe tener toda información entregada por los sujetos obligados desde el momento de su generación, publicación y entrega, así como la forma en que se deberá consultar la información, señalando una fuente precisa y concreta, a saber:</w:t>
      </w:r>
    </w:p>
    <w:p w14:paraId="260F16BD" w14:textId="77777777" w:rsidR="00D47B55" w:rsidRPr="00220302" w:rsidRDefault="00D47B55" w:rsidP="00D47B55">
      <w:pPr>
        <w:rPr>
          <w:sz w:val="22"/>
          <w:szCs w:val="22"/>
        </w:rPr>
      </w:pPr>
    </w:p>
    <w:p w14:paraId="2BE813F3" w14:textId="77777777" w:rsidR="00D47B55" w:rsidRPr="00220302" w:rsidRDefault="00D47B55" w:rsidP="00D47B55">
      <w:pPr>
        <w:pStyle w:val="NormalWeb"/>
        <w:spacing w:before="0" w:beforeAutospacing="0" w:after="0" w:afterAutospacing="0"/>
        <w:ind w:left="567" w:right="1276"/>
        <w:jc w:val="both"/>
      </w:pPr>
      <w:r w:rsidRPr="00220302">
        <w:rPr>
          <w:rFonts w:ascii="Palatino Linotype" w:hAnsi="Palatino Linotype"/>
          <w:b/>
          <w:bCs/>
          <w:i/>
          <w:iCs/>
          <w:color w:val="000000"/>
          <w:sz w:val="22"/>
          <w:szCs w:val="22"/>
        </w:rPr>
        <w:t>“Artículo 11.</w:t>
      </w:r>
      <w:r w:rsidRPr="00220302">
        <w:rPr>
          <w:rFonts w:ascii="Palatino Linotype" w:hAnsi="Palatino Linotype"/>
          <w:i/>
          <w:iCs/>
          <w:color w:val="000000"/>
          <w:sz w:val="22"/>
          <w:szCs w:val="22"/>
        </w:rPr>
        <w:t xml:space="preserve"> </w:t>
      </w:r>
      <w:r w:rsidRPr="00220302">
        <w:rPr>
          <w:rFonts w:ascii="Palatino Linotype" w:hAnsi="Palatino Linotype"/>
          <w:b/>
          <w:bCs/>
          <w:i/>
          <w:iCs/>
          <w:color w:val="000000"/>
          <w:sz w:val="22"/>
          <w:szCs w:val="22"/>
          <w:u w:val="single"/>
        </w:rPr>
        <w:t>En la generación, publicación y entrega de información se deberá garantizar que ésta sea accesible, actualizada, completa, congruente, confiable, verificable, veraz, integral, oportuna y expedita</w:t>
      </w:r>
      <w:r w:rsidRPr="00220302">
        <w:rPr>
          <w:rFonts w:ascii="Palatino Linotype" w:hAnsi="Palatino Linotype"/>
          <w:i/>
          <w:iCs/>
          <w:color w:val="000000"/>
          <w:sz w:val="22"/>
          <w:szCs w:val="22"/>
        </w:rPr>
        <w:t>, sujeta a un claro régimen de excepciones que deberá estar definido y ser además legítima y estrictamente necesaria en una sociedad democrática, por lo que atenderá las necesidades del derecho de acceso a la información de toda persona.</w:t>
      </w:r>
    </w:p>
    <w:p w14:paraId="0152091A" w14:textId="77777777" w:rsidR="00D47B55" w:rsidRPr="00220302" w:rsidRDefault="00D47B55" w:rsidP="00D47B55">
      <w:pPr>
        <w:pStyle w:val="NormalWeb"/>
        <w:spacing w:before="0" w:beforeAutospacing="0" w:after="0" w:afterAutospacing="0"/>
        <w:ind w:left="567" w:right="1276"/>
        <w:jc w:val="both"/>
      </w:pPr>
      <w:r w:rsidRPr="00220302">
        <w:rPr>
          <w:rFonts w:ascii="Palatino Linotype" w:hAnsi="Palatino Linotype"/>
          <w:i/>
          <w:iCs/>
          <w:color w:val="000000"/>
          <w:sz w:val="22"/>
          <w:szCs w:val="22"/>
        </w:rPr>
        <w:t>[…]</w:t>
      </w:r>
    </w:p>
    <w:p w14:paraId="4333EA49" w14:textId="77777777" w:rsidR="00D47B55" w:rsidRPr="00220302" w:rsidRDefault="00D47B55" w:rsidP="00D47B55"/>
    <w:p w14:paraId="39AFC312" w14:textId="77777777" w:rsidR="00D47B55" w:rsidRPr="00220302" w:rsidRDefault="00D47B55" w:rsidP="00D47B55">
      <w:pPr>
        <w:pStyle w:val="NormalWeb"/>
        <w:spacing w:before="0" w:beforeAutospacing="0" w:after="0" w:afterAutospacing="0"/>
        <w:ind w:left="567" w:right="1276"/>
        <w:jc w:val="both"/>
      </w:pPr>
      <w:r w:rsidRPr="00220302">
        <w:rPr>
          <w:rFonts w:ascii="Palatino Linotype" w:hAnsi="Palatino Linotype"/>
          <w:b/>
          <w:bCs/>
          <w:i/>
          <w:iCs/>
          <w:color w:val="000000"/>
          <w:sz w:val="22"/>
          <w:szCs w:val="22"/>
        </w:rPr>
        <w:t>Artículo 161.</w:t>
      </w:r>
      <w:r w:rsidRPr="00220302">
        <w:rPr>
          <w:rFonts w:ascii="Palatino Linotype" w:hAnsi="Palatino Linotype"/>
          <w:i/>
          <w:iCs/>
          <w:color w:val="000000"/>
          <w:sz w:val="22"/>
          <w:szCs w:val="22"/>
        </w:rPr>
        <w:t xml:space="preserve"> </w:t>
      </w:r>
      <w:r w:rsidRPr="00220302">
        <w:rPr>
          <w:rFonts w:ascii="Palatino Linotype" w:hAnsi="Palatino Linotype"/>
          <w:b/>
          <w:bCs/>
          <w:i/>
          <w:iCs/>
          <w:color w:val="000000"/>
          <w:sz w:val="22"/>
          <w:szCs w:val="22"/>
          <w:u w:val="single"/>
        </w:rPr>
        <w:t>Cuando la información requerida por el solicitante ya esté disponible al público</w:t>
      </w:r>
      <w:r w:rsidRPr="00220302">
        <w:rPr>
          <w:rFonts w:ascii="Palatino Linotype" w:hAnsi="Palatino Linotype"/>
          <w:i/>
          <w:iCs/>
          <w:color w:val="000000"/>
          <w:sz w:val="22"/>
          <w:szCs w:val="22"/>
        </w:rPr>
        <w:t xml:space="preserve"> en medios impresos, tales como libros, compendios, trípticos, registros públicos, </w:t>
      </w:r>
      <w:r w:rsidRPr="00220302">
        <w:rPr>
          <w:rFonts w:ascii="Palatino Linotype" w:hAnsi="Palatino Linotype"/>
          <w:b/>
          <w:bCs/>
          <w:i/>
          <w:iCs/>
          <w:color w:val="000000"/>
          <w:sz w:val="22"/>
          <w:szCs w:val="22"/>
          <w:u w:val="single"/>
        </w:rPr>
        <w:t xml:space="preserve">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w:t>
      </w:r>
      <w:r w:rsidR="00285FD2" w:rsidRPr="00220302">
        <w:rPr>
          <w:rFonts w:ascii="Palatino Linotype" w:hAnsi="Palatino Linotype"/>
          <w:b/>
          <w:bCs/>
          <w:i/>
          <w:iCs/>
          <w:color w:val="000000"/>
          <w:sz w:val="22"/>
          <w:szCs w:val="22"/>
          <w:u w:val="single"/>
        </w:rPr>
        <w:t>que se encuentre disponible.”</w:t>
      </w:r>
    </w:p>
    <w:p w14:paraId="26DB5299" w14:textId="77777777" w:rsidR="00D47B55" w:rsidRPr="00220302" w:rsidRDefault="00D47B55" w:rsidP="00D47B55"/>
    <w:p w14:paraId="46FC6EE1" w14:textId="77777777" w:rsidR="00D47B55" w:rsidRPr="00220302" w:rsidRDefault="00D47B55" w:rsidP="00285FD2">
      <w:pPr>
        <w:pStyle w:val="NormalWeb"/>
        <w:spacing w:before="0" w:beforeAutospacing="0" w:after="0" w:afterAutospacing="0" w:line="360" w:lineRule="auto"/>
        <w:jc w:val="both"/>
        <w:rPr>
          <w:sz w:val="22"/>
        </w:rPr>
      </w:pPr>
      <w:r w:rsidRPr="00220302">
        <w:rPr>
          <w:rFonts w:ascii="Palatino Linotype" w:hAnsi="Palatino Linotype"/>
          <w:color w:val="000000"/>
          <w:sz w:val="22"/>
        </w:rPr>
        <w:t>De los artículos transcritos se establecen las características que debe tener la información desde el momento de su generación, publicación y entrega; de igual manera se contempla el procedimiento a seguir por el sujeto obligado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14:paraId="5D368986" w14:textId="77777777" w:rsidR="00D47B55" w:rsidRPr="00220302" w:rsidRDefault="00D47B55" w:rsidP="00285FD2">
      <w:pPr>
        <w:pStyle w:val="NormalWeb"/>
        <w:numPr>
          <w:ilvl w:val="0"/>
          <w:numId w:val="9"/>
        </w:numPr>
        <w:spacing w:before="0" w:beforeAutospacing="0" w:after="0" w:afterAutospacing="0" w:line="360" w:lineRule="auto"/>
        <w:ind w:left="426"/>
        <w:jc w:val="both"/>
        <w:textAlignment w:val="baseline"/>
        <w:rPr>
          <w:rFonts w:ascii="Palatino Linotype" w:hAnsi="Palatino Linotype"/>
          <w:color w:val="000000"/>
          <w:sz w:val="22"/>
        </w:rPr>
      </w:pPr>
      <w:r w:rsidRPr="00220302">
        <w:rPr>
          <w:rFonts w:ascii="Palatino Linotype" w:hAnsi="Palatino Linotype"/>
          <w:color w:val="000000"/>
          <w:sz w:val="22"/>
        </w:rPr>
        <w:t>La fuente</w:t>
      </w:r>
    </w:p>
    <w:p w14:paraId="1046C714" w14:textId="77777777" w:rsidR="00D47B55" w:rsidRPr="00220302" w:rsidRDefault="00D47B55" w:rsidP="00285FD2">
      <w:pPr>
        <w:pStyle w:val="NormalWeb"/>
        <w:numPr>
          <w:ilvl w:val="0"/>
          <w:numId w:val="9"/>
        </w:numPr>
        <w:spacing w:before="0" w:beforeAutospacing="0" w:after="0" w:afterAutospacing="0" w:line="360" w:lineRule="auto"/>
        <w:ind w:left="426"/>
        <w:jc w:val="both"/>
        <w:textAlignment w:val="baseline"/>
        <w:rPr>
          <w:rFonts w:ascii="Palatino Linotype" w:hAnsi="Palatino Linotype"/>
          <w:color w:val="000000"/>
          <w:sz w:val="22"/>
        </w:rPr>
      </w:pPr>
      <w:r w:rsidRPr="00220302">
        <w:rPr>
          <w:rFonts w:ascii="Palatino Linotype" w:hAnsi="Palatino Linotype"/>
          <w:color w:val="000000"/>
          <w:sz w:val="22"/>
        </w:rPr>
        <w:t>El lugar y</w:t>
      </w:r>
    </w:p>
    <w:p w14:paraId="0650053D" w14:textId="77777777" w:rsidR="00D47B55" w:rsidRPr="00220302" w:rsidRDefault="00D47B55" w:rsidP="00285FD2">
      <w:pPr>
        <w:pStyle w:val="NormalWeb"/>
        <w:numPr>
          <w:ilvl w:val="0"/>
          <w:numId w:val="9"/>
        </w:numPr>
        <w:spacing w:before="0" w:beforeAutospacing="0" w:after="0" w:afterAutospacing="0" w:line="360" w:lineRule="auto"/>
        <w:ind w:left="426"/>
        <w:jc w:val="both"/>
        <w:textAlignment w:val="baseline"/>
        <w:rPr>
          <w:rFonts w:ascii="Palatino Linotype" w:hAnsi="Palatino Linotype"/>
          <w:color w:val="000000"/>
          <w:sz w:val="22"/>
        </w:rPr>
      </w:pPr>
      <w:r w:rsidRPr="00220302">
        <w:rPr>
          <w:rFonts w:ascii="Palatino Linotype" w:hAnsi="Palatino Linotype"/>
          <w:color w:val="000000"/>
          <w:sz w:val="22"/>
        </w:rPr>
        <w:t>La forma </w:t>
      </w:r>
    </w:p>
    <w:p w14:paraId="46E5A6C3" w14:textId="77777777" w:rsidR="00D47B55" w:rsidRPr="00220302" w:rsidRDefault="00D47B55" w:rsidP="00285FD2">
      <w:pPr>
        <w:spacing w:line="360" w:lineRule="auto"/>
        <w:ind w:left="426"/>
        <w:rPr>
          <w:sz w:val="22"/>
        </w:rPr>
      </w:pPr>
    </w:p>
    <w:p w14:paraId="4962F496" w14:textId="7D681F99" w:rsidR="00D47B55" w:rsidRPr="00220302" w:rsidRDefault="00D47B55" w:rsidP="00774591">
      <w:pPr>
        <w:pStyle w:val="NormalWeb"/>
        <w:spacing w:before="0" w:beforeAutospacing="0" w:after="0" w:afterAutospacing="0" w:line="360" w:lineRule="auto"/>
        <w:ind w:left="426"/>
        <w:jc w:val="both"/>
        <w:rPr>
          <w:sz w:val="22"/>
        </w:rPr>
      </w:pPr>
      <w:r w:rsidRPr="00220302">
        <w:rPr>
          <w:rFonts w:ascii="Palatino Linotype" w:hAnsi="Palatino Linotype"/>
          <w:color w:val="000000"/>
          <w:sz w:val="22"/>
        </w:rPr>
        <w:t>Asimismo, se establece que la fuente de la información deberá ser:</w:t>
      </w:r>
    </w:p>
    <w:p w14:paraId="744E09B6" w14:textId="77777777" w:rsidR="00D47B55" w:rsidRPr="00220302" w:rsidRDefault="00D47B55" w:rsidP="00285FD2">
      <w:pPr>
        <w:pStyle w:val="NormalWeb"/>
        <w:numPr>
          <w:ilvl w:val="0"/>
          <w:numId w:val="10"/>
        </w:numPr>
        <w:spacing w:before="0" w:beforeAutospacing="0" w:after="0" w:afterAutospacing="0" w:line="360" w:lineRule="auto"/>
        <w:ind w:left="426"/>
        <w:jc w:val="both"/>
        <w:textAlignment w:val="baseline"/>
        <w:rPr>
          <w:rFonts w:ascii="Palatino Linotype" w:hAnsi="Palatino Linotype"/>
          <w:color w:val="000000"/>
          <w:sz w:val="22"/>
        </w:rPr>
      </w:pPr>
      <w:r w:rsidRPr="00220302">
        <w:rPr>
          <w:rFonts w:ascii="Palatino Linotype" w:hAnsi="Palatino Linotype"/>
          <w:color w:val="000000"/>
          <w:sz w:val="22"/>
        </w:rPr>
        <w:t>Precisa</w:t>
      </w:r>
    </w:p>
    <w:p w14:paraId="70D7888B" w14:textId="77777777" w:rsidR="00D47B55" w:rsidRPr="00220302" w:rsidRDefault="00D47B55" w:rsidP="00285FD2">
      <w:pPr>
        <w:pStyle w:val="NormalWeb"/>
        <w:numPr>
          <w:ilvl w:val="0"/>
          <w:numId w:val="10"/>
        </w:numPr>
        <w:spacing w:before="0" w:beforeAutospacing="0" w:after="0" w:afterAutospacing="0" w:line="360" w:lineRule="auto"/>
        <w:ind w:left="426"/>
        <w:jc w:val="both"/>
        <w:textAlignment w:val="baseline"/>
        <w:rPr>
          <w:rFonts w:ascii="Palatino Linotype" w:hAnsi="Palatino Linotype"/>
          <w:color w:val="000000"/>
          <w:sz w:val="22"/>
        </w:rPr>
      </w:pPr>
      <w:r w:rsidRPr="00220302">
        <w:rPr>
          <w:rFonts w:ascii="Palatino Linotype" w:hAnsi="Palatino Linotype"/>
          <w:color w:val="000000"/>
          <w:sz w:val="22"/>
        </w:rPr>
        <w:t>Concreta</w:t>
      </w:r>
    </w:p>
    <w:p w14:paraId="179E3F66" w14:textId="77777777" w:rsidR="00D47B55" w:rsidRPr="00220302" w:rsidRDefault="00D47B55" w:rsidP="00285FD2">
      <w:pPr>
        <w:pStyle w:val="NormalWeb"/>
        <w:numPr>
          <w:ilvl w:val="0"/>
          <w:numId w:val="10"/>
        </w:numPr>
        <w:spacing w:before="0" w:beforeAutospacing="0" w:after="0" w:afterAutospacing="0" w:line="360" w:lineRule="auto"/>
        <w:ind w:left="426" w:right="1276"/>
        <w:jc w:val="both"/>
        <w:textAlignment w:val="baseline"/>
        <w:rPr>
          <w:rFonts w:ascii="Palatino Linotype" w:hAnsi="Palatino Linotype"/>
          <w:color w:val="000000"/>
          <w:sz w:val="22"/>
        </w:rPr>
      </w:pPr>
      <w:r w:rsidRPr="00220302">
        <w:rPr>
          <w:rFonts w:ascii="Palatino Linotype" w:hAnsi="Palatino Linotype"/>
          <w:b/>
          <w:bCs/>
          <w:color w:val="000000"/>
          <w:sz w:val="22"/>
        </w:rPr>
        <w:lastRenderedPageBreak/>
        <w:t>Y no debe implicar que el solicitante realice una búsqueda en toda la información que se encuentre disponible</w:t>
      </w:r>
      <w:r w:rsidRPr="00220302">
        <w:rPr>
          <w:rFonts w:ascii="Palatino Linotype" w:hAnsi="Palatino Linotype"/>
          <w:color w:val="000000"/>
          <w:sz w:val="22"/>
        </w:rPr>
        <w:t>.</w:t>
      </w:r>
    </w:p>
    <w:p w14:paraId="2CF2EC1F" w14:textId="77777777" w:rsidR="00D47B55" w:rsidRPr="00220302" w:rsidRDefault="00D47B55" w:rsidP="00D47B55"/>
    <w:p w14:paraId="79671C9B" w14:textId="6F5F10D1" w:rsidR="005761C0" w:rsidRPr="00220302" w:rsidRDefault="00D47B55" w:rsidP="00D317A3">
      <w:pPr>
        <w:pStyle w:val="NormalWeb"/>
        <w:spacing w:before="0" w:beforeAutospacing="0" w:after="0" w:afterAutospacing="0" w:line="360" w:lineRule="auto"/>
        <w:jc w:val="both"/>
        <w:rPr>
          <w:sz w:val="22"/>
        </w:rPr>
      </w:pPr>
      <w:r w:rsidRPr="00220302">
        <w:rPr>
          <w:rFonts w:ascii="Palatino Linotype" w:hAnsi="Palatino Linotype"/>
          <w:color w:val="000000"/>
          <w:sz w:val="22"/>
        </w:rPr>
        <w:t xml:space="preserve">Imperativos legales que establecen el procedimiento que debe seguir el </w:t>
      </w:r>
      <w:r w:rsidRPr="00220302">
        <w:rPr>
          <w:rFonts w:ascii="Palatino Linotype" w:hAnsi="Palatino Linotype"/>
          <w:b/>
          <w:bCs/>
          <w:color w:val="000000"/>
          <w:sz w:val="22"/>
        </w:rPr>
        <w:t>Sujeto Obligado</w:t>
      </w:r>
      <w:r w:rsidRPr="00220302">
        <w:rPr>
          <w:rFonts w:ascii="Palatino Linotype" w:hAnsi="Palatino Linotype"/>
          <w:color w:val="000000"/>
          <w:sz w:val="22"/>
        </w:rPr>
        <w:t xml:space="preserve"> para que pueda tomarse como válida su orientación sobre la forma en que puede consultar la información requerida, y que, en el caso en concreto, no acontece; ello porque el </w:t>
      </w:r>
      <w:r w:rsidRPr="00220302">
        <w:rPr>
          <w:rFonts w:ascii="Palatino Linotype" w:hAnsi="Palatino Linotype"/>
          <w:b/>
          <w:bCs/>
          <w:color w:val="000000"/>
          <w:sz w:val="22"/>
        </w:rPr>
        <w:t>Sujeto Obligado</w:t>
      </w:r>
      <w:r w:rsidRPr="00220302">
        <w:rPr>
          <w:rFonts w:ascii="Palatino Linotype" w:hAnsi="Palatino Linotype"/>
          <w:color w:val="000000"/>
          <w:sz w:val="22"/>
        </w:rPr>
        <w:t xml:space="preserve"> se limitó a indicar las direcciones electrónicas que conducen a ordenamientos legales, sin que señalara puntualmente los </w:t>
      </w:r>
      <w:r w:rsidR="00D317A3" w:rsidRPr="00220302">
        <w:rPr>
          <w:rFonts w:ascii="Palatino Linotype" w:hAnsi="Palatino Linotype"/>
          <w:color w:val="000000"/>
          <w:sz w:val="22"/>
        </w:rPr>
        <w:t xml:space="preserve">numerales </w:t>
      </w:r>
      <w:r w:rsidRPr="00220302">
        <w:rPr>
          <w:rFonts w:ascii="Palatino Linotype" w:hAnsi="Palatino Linotype"/>
          <w:color w:val="000000"/>
          <w:sz w:val="22"/>
        </w:rPr>
        <w:t>en los que se localiza la información requerida, lo que implica que  la fuente no es precisa; no es concreta, sino por el contrario ésta resulta abstracta y genera incertidumbre entre el cúmulo de información que se observa en la página; y por último, su fuente implica que el solicitante realice una búsqueda en toda la información que se encuentra disponible, lo que a todas luces transgrede el numeral citado.</w:t>
      </w:r>
    </w:p>
    <w:p w14:paraId="49AF2D24" w14:textId="77777777" w:rsidR="00D317A3" w:rsidRPr="00220302" w:rsidRDefault="00D317A3" w:rsidP="00D317A3">
      <w:pPr>
        <w:pStyle w:val="NormalWeb"/>
        <w:spacing w:before="0" w:beforeAutospacing="0" w:after="0" w:afterAutospacing="0" w:line="360" w:lineRule="auto"/>
        <w:jc w:val="both"/>
        <w:rPr>
          <w:sz w:val="22"/>
        </w:rPr>
      </w:pPr>
    </w:p>
    <w:p w14:paraId="03C16D42" w14:textId="04EA134F" w:rsidR="005761C0" w:rsidRPr="00220302" w:rsidRDefault="005761C0" w:rsidP="00285FD2">
      <w:pPr>
        <w:pStyle w:val="NormalWeb"/>
        <w:spacing w:before="0" w:beforeAutospacing="0" w:after="240" w:afterAutospacing="0" w:line="360" w:lineRule="auto"/>
        <w:ind w:right="49"/>
        <w:jc w:val="both"/>
        <w:rPr>
          <w:rFonts w:ascii="Palatino Linotype" w:hAnsi="Palatino Linotype"/>
          <w:color w:val="000000"/>
          <w:sz w:val="22"/>
        </w:rPr>
      </w:pPr>
      <w:r w:rsidRPr="00220302">
        <w:rPr>
          <w:rFonts w:ascii="Palatino Linotype" w:hAnsi="Palatino Linotype"/>
          <w:color w:val="000000"/>
          <w:sz w:val="22"/>
        </w:rPr>
        <w:t>Ahora bien, es de resaltar que la Ley de Fiscalización Superior del Estado d</w:t>
      </w:r>
      <w:r w:rsidR="006135CE" w:rsidRPr="00220302">
        <w:rPr>
          <w:rFonts w:ascii="Palatino Linotype" w:hAnsi="Palatino Linotype"/>
          <w:color w:val="000000"/>
          <w:sz w:val="22"/>
        </w:rPr>
        <w:t>e México, en su Capítulo Cuarto, establece que la Comisión de Vigilancia del Órgano Superior de Fiscalización da seguimiento a los resultados que se obtienen de las auditorías y se reportan en los informes, de la siguiente manera:</w:t>
      </w:r>
    </w:p>
    <w:p w14:paraId="2C6F7BF8" w14:textId="7B3C47D6" w:rsidR="005761C0" w:rsidRPr="00220302" w:rsidRDefault="006135CE" w:rsidP="006135CE">
      <w:pPr>
        <w:pStyle w:val="NormalWeb"/>
        <w:spacing w:before="0" w:beforeAutospacing="0" w:after="240" w:afterAutospacing="0" w:line="276" w:lineRule="auto"/>
        <w:ind w:left="567" w:right="900"/>
        <w:jc w:val="both"/>
        <w:rPr>
          <w:rFonts w:ascii="Palatino Linotype" w:hAnsi="Palatino Linotype"/>
          <w:i/>
          <w:sz w:val="22"/>
        </w:rPr>
      </w:pPr>
      <w:r w:rsidRPr="00220302">
        <w:rPr>
          <w:rFonts w:ascii="Palatino Linotype" w:hAnsi="Palatino Linotype"/>
          <w:i/>
          <w:sz w:val="22"/>
        </w:rPr>
        <w:t>“</w:t>
      </w:r>
      <w:r w:rsidR="005761C0" w:rsidRPr="00220302">
        <w:rPr>
          <w:rFonts w:ascii="Palatino Linotype" w:hAnsi="Palatino Linotype"/>
          <w:i/>
          <w:sz w:val="22"/>
        </w:rPr>
        <w:t>Artículo 50.</w:t>
      </w:r>
      <w:r w:rsidRPr="00220302">
        <w:rPr>
          <w:rFonts w:ascii="Palatino Linotype" w:hAnsi="Palatino Linotype"/>
          <w:i/>
          <w:sz w:val="22"/>
        </w:rPr>
        <w:t>-…</w:t>
      </w:r>
    </w:p>
    <w:p w14:paraId="5CAEC8D1" w14:textId="77777777" w:rsidR="005761C0" w:rsidRPr="00220302" w:rsidRDefault="005761C0" w:rsidP="005761C0">
      <w:pPr>
        <w:pStyle w:val="NormalWeb"/>
        <w:spacing w:before="0" w:beforeAutospacing="0" w:after="240" w:afterAutospacing="0" w:line="276" w:lineRule="auto"/>
        <w:ind w:left="567" w:right="900"/>
        <w:jc w:val="both"/>
        <w:rPr>
          <w:rFonts w:ascii="Palatino Linotype" w:hAnsi="Palatino Linotype"/>
          <w:b/>
          <w:i/>
          <w:sz w:val="22"/>
          <w:u w:val="single"/>
        </w:rPr>
      </w:pPr>
      <w:r w:rsidRPr="00220302">
        <w:rPr>
          <w:rFonts w:ascii="Palatino Linotype" w:hAnsi="Palatino Linotype"/>
          <w:b/>
          <w:i/>
          <w:sz w:val="22"/>
          <w:u w:val="single"/>
        </w:rPr>
        <w:t xml:space="preserve">La Comisión dará seguimiento a los informes emitidos por el Órgano Superior, que incluirán de forma cualitativa y cuantitativa las observaciones y recomendaciones así como a los procedimientos resarcitorios y demás acciones promovidas, por el OSFEM de la siguiente forma: </w:t>
      </w:r>
    </w:p>
    <w:p w14:paraId="126ED5DE" w14:textId="77777777" w:rsidR="005761C0" w:rsidRPr="00220302" w:rsidRDefault="005761C0" w:rsidP="005761C0">
      <w:pPr>
        <w:pStyle w:val="NormalWeb"/>
        <w:spacing w:before="0" w:beforeAutospacing="0" w:after="240" w:afterAutospacing="0" w:line="276" w:lineRule="auto"/>
        <w:ind w:left="567" w:right="900"/>
        <w:jc w:val="both"/>
        <w:rPr>
          <w:rFonts w:ascii="Palatino Linotype" w:hAnsi="Palatino Linotype"/>
          <w:i/>
          <w:sz w:val="22"/>
        </w:rPr>
      </w:pPr>
      <w:r w:rsidRPr="00220302">
        <w:rPr>
          <w:rFonts w:ascii="Palatino Linotype" w:hAnsi="Palatino Linotype"/>
          <w:i/>
          <w:sz w:val="22"/>
        </w:rPr>
        <w:t xml:space="preserve">a) Número de auditorías, tipo de auditoria, alcance y planeación de la misma. </w:t>
      </w:r>
    </w:p>
    <w:p w14:paraId="0356E3C3" w14:textId="77777777" w:rsidR="005761C0" w:rsidRPr="00220302" w:rsidRDefault="005761C0" w:rsidP="005761C0">
      <w:pPr>
        <w:pStyle w:val="NormalWeb"/>
        <w:spacing w:before="0" w:beforeAutospacing="0" w:after="240" w:afterAutospacing="0" w:line="276" w:lineRule="auto"/>
        <w:ind w:left="567" w:right="900"/>
        <w:jc w:val="both"/>
        <w:rPr>
          <w:rFonts w:ascii="Palatino Linotype" w:hAnsi="Palatino Linotype"/>
          <w:i/>
          <w:sz w:val="22"/>
        </w:rPr>
      </w:pPr>
      <w:r w:rsidRPr="00220302">
        <w:rPr>
          <w:rFonts w:ascii="Palatino Linotype" w:hAnsi="Palatino Linotype"/>
          <w:i/>
          <w:sz w:val="22"/>
        </w:rPr>
        <w:t xml:space="preserve">b) La identificación de la entidad fiscalizable. </w:t>
      </w:r>
    </w:p>
    <w:p w14:paraId="513CADDA" w14:textId="77777777" w:rsidR="005761C0" w:rsidRPr="00220302" w:rsidRDefault="005761C0" w:rsidP="005761C0">
      <w:pPr>
        <w:pStyle w:val="NormalWeb"/>
        <w:spacing w:before="0" w:beforeAutospacing="0" w:after="240" w:afterAutospacing="0" w:line="276" w:lineRule="auto"/>
        <w:ind w:left="567" w:right="900"/>
        <w:jc w:val="both"/>
        <w:rPr>
          <w:rFonts w:ascii="Palatino Linotype" w:hAnsi="Palatino Linotype"/>
          <w:i/>
          <w:sz w:val="22"/>
        </w:rPr>
      </w:pPr>
      <w:r w:rsidRPr="00220302">
        <w:rPr>
          <w:rFonts w:ascii="Palatino Linotype" w:hAnsi="Palatino Linotype"/>
          <w:i/>
          <w:sz w:val="22"/>
        </w:rPr>
        <w:lastRenderedPageBreak/>
        <w:t xml:space="preserve">c) Las observaciones resarcitorias y el seguimiento de los mismos hasta su total conclusión. </w:t>
      </w:r>
    </w:p>
    <w:p w14:paraId="63D7AF42" w14:textId="77777777" w:rsidR="005761C0" w:rsidRPr="00220302" w:rsidRDefault="005761C0" w:rsidP="005761C0">
      <w:pPr>
        <w:pStyle w:val="NormalWeb"/>
        <w:spacing w:before="0" w:beforeAutospacing="0" w:after="240" w:afterAutospacing="0" w:line="276" w:lineRule="auto"/>
        <w:ind w:left="567" w:right="900"/>
        <w:jc w:val="both"/>
        <w:rPr>
          <w:rFonts w:ascii="Palatino Linotype" w:hAnsi="Palatino Linotype"/>
          <w:i/>
          <w:sz w:val="22"/>
        </w:rPr>
      </w:pPr>
      <w:r w:rsidRPr="00220302">
        <w:rPr>
          <w:rFonts w:ascii="Palatino Linotype" w:hAnsi="Palatino Linotype"/>
          <w:i/>
          <w:sz w:val="22"/>
        </w:rPr>
        <w:t xml:space="preserve">d) El comportamiento de la entidad fiscalizable respecto a las observaciones realizadas. </w:t>
      </w:r>
    </w:p>
    <w:p w14:paraId="689F4DE9" w14:textId="646B6784" w:rsidR="005761C0" w:rsidRPr="00220302" w:rsidRDefault="005761C0" w:rsidP="005761C0">
      <w:pPr>
        <w:pStyle w:val="NormalWeb"/>
        <w:spacing w:before="0" w:beforeAutospacing="0" w:after="240" w:afterAutospacing="0" w:line="276" w:lineRule="auto"/>
        <w:ind w:left="567" w:right="900"/>
        <w:jc w:val="both"/>
        <w:rPr>
          <w:rFonts w:ascii="Palatino Linotype" w:hAnsi="Palatino Linotype"/>
          <w:i/>
          <w:sz w:val="22"/>
        </w:rPr>
      </w:pPr>
      <w:r w:rsidRPr="00220302">
        <w:rPr>
          <w:rFonts w:ascii="Palatino Linotype" w:hAnsi="Palatino Linotype"/>
          <w:i/>
          <w:sz w:val="22"/>
        </w:rPr>
        <w:t xml:space="preserve">e) El cumplimiento de los programas auditados mediante auditoria del desempeño. </w:t>
      </w:r>
    </w:p>
    <w:p w14:paraId="4A8EA0E7" w14:textId="77777777" w:rsidR="005761C0" w:rsidRPr="00220302" w:rsidRDefault="005761C0" w:rsidP="00D317A3">
      <w:pPr>
        <w:pStyle w:val="NormalWeb"/>
        <w:spacing w:before="0" w:beforeAutospacing="0" w:after="240" w:afterAutospacing="0" w:line="276" w:lineRule="auto"/>
        <w:ind w:left="567" w:right="900"/>
        <w:jc w:val="both"/>
        <w:rPr>
          <w:rFonts w:ascii="Palatino Linotype" w:hAnsi="Palatino Linotype"/>
          <w:i/>
          <w:sz w:val="22"/>
        </w:rPr>
      </w:pPr>
      <w:r w:rsidRPr="00220302">
        <w:rPr>
          <w:rFonts w:ascii="Palatino Linotype" w:hAnsi="Palatino Linotype"/>
          <w:i/>
          <w:sz w:val="22"/>
        </w:rPr>
        <w:t xml:space="preserve">Artículo 51.- El informe a que se refiere el artículo anterior, deberá contener como mínimo lo siguiente: </w:t>
      </w:r>
    </w:p>
    <w:p w14:paraId="3DC3386D" w14:textId="77777777" w:rsidR="005761C0" w:rsidRPr="00220302" w:rsidRDefault="005761C0" w:rsidP="00D317A3">
      <w:pPr>
        <w:pStyle w:val="NormalWeb"/>
        <w:spacing w:before="0" w:beforeAutospacing="0" w:after="240" w:afterAutospacing="0" w:line="276" w:lineRule="auto"/>
        <w:ind w:left="567" w:right="900"/>
        <w:jc w:val="both"/>
        <w:rPr>
          <w:rFonts w:ascii="Palatino Linotype" w:hAnsi="Palatino Linotype"/>
          <w:i/>
          <w:sz w:val="22"/>
        </w:rPr>
      </w:pPr>
      <w:r w:rsidRPr="00220302">
        <w:rPr>
          <w:rFonts w:ascii="Palatino Linotype" w:hAnsi="Palatino Linotype"/>
          <w:i/>
          <w:sz w:val="22"/>
        </w:rPr>
        <w:t xml:space="preserve">I. El resultado de la revisión de la respectiva cuenta pública; </w:t>
      </w:r>
    </w:p>
    <w:p w14:paraId="0C7E799D" w14:textId="77777777" w:rsidR="005761C0" w:rsidRPr="00220302" w:rsidRDefault="005761C0" w:rsidP="00D317A3">
      <w:pPr>
        <w:pStyle w:val="NormalWeb"/>
        <w:spacing w:before="0" w:beforeAutospacing="0" w:after="240" w:afterAutospacing="0" w:line="276" w:lineRule="auto"/>
        <w:ind w:left="567" w:right="900"/>
        <w:jc w:val="both"/>
        <w:rPr>
          <w:rFonts w:ascii="Palatino Linotype" w:hAnsi="Palatino Linotype"/>
          <w:i/>
          <w:sz w:val="22"/>
        </w:rPr>
      </w:pPr>
      <w:r w:rsidRPr="00220302">
        <w:rPr>
          <w:rFonts w:ascii="Palatino Linotype" w:hAnsi="Palatino Linotype"/>
          <w:i/>
          <w:sz w:val="22"/>
        </w:rPr>
        <w:t xml:space="preserve">II. El apartado correspondiente a la fiscalización y verificación del cumplimiento de los programas, respecto de la consecución de sus objetivos y metas, así como de la satisfacción de las necesidades correspondientes; </w:t>
      </w:r>
    </w:p>
    <w:p w14:paraId="36B03D7A" w14:textId="6B0C423E" w:rsidR="005761C0" w:rsidRPr="00220302" w:rsidRDefault="005761C0" w:rsidP="00D317A3">
      <w:pPr>
        <w:pStyle w:val="NormalWeb"/>
        <w:spacing w:before="0" w:beforeAutospacing="0" w:after="240" w:afterAutospacing="0" w:line="276" w:lineRule="auto"/>
        <w:ind w:left="567" w:right="900"/>
        <w:jc w:val="both"/>
        <w:rPr>
          <w:rFonts w:ascii="Palatino Linotype" w:hAnsi="Palatino Linotype"/>
          <w:i/>
          <w:sz w:val="22"/>
        </w:rPr>
      </w:pPr>
      <w:r w:rsidRPr="00220302">
        <w:rPr>
          <w:rFonts w:ascii="Palatino Linotype" w:hAnsi="Palatino Linotype"/>
          <w:i/>
          <w:sz w:val="22"/>
        </w:rPr>
        <w:t>III. Los resultados de la gestión financiera;</w:t>
      </w:r>
    </w:p>
    <w:p w14:paraId="0AAAC4AA" w14:textId="560B1EC7" w:rsidR="00D317A3" w:rsidRPr="00220302" w:rsidRDefault="00D317A3" w:rsidP="00D317A3">
      <w:pPr>
        <w:pStyle w:val="NormalWeb"/>
        <w:spacing w:after="240" w:line="276" w:lineRule="auto"/>
        <w:ind w:left="567" w:right="900"/>
        <w:jc w:val="both"/>
        <w:rPr>
          <w:rFonts w:ascii="Palatino Linotype" w:hAnsi="Palatino Linotype"/>
          <w:i/>
          <w:color w:val="000000"/>
          <w:sz w:val="22"/>
        </w:rPr>
      </w:pPr>
      <w:r w:rsidRPr="00220302">
        <w:rPr>
          <w:rFonts w:ascii="Palatino Linotype" w:hAnsi="Palatino Linotype"/>
          <w:i/>
          <w:color w:val="000000"/>
          <w:sz w:val="22"/>
        </w:rPr>
        <w:t>IV. La comprobación de que las entidades fiscalizadas, se ajustaron a lo dispuesto en las respectivas leyes de ingresos, presupuestos de egresos y en las demás normas aplicables en la materia;</w:t>
      </w:r>
    </w:p>
    <w:p w14:paraId="54476594" w14:textId="77777777" w:rsidR="00D317A3" w:rsidRPr="00220302" w:rsidRDefault="00D317A3" w:rsidP="00D317A3">
      <w:pPr>
        <w:pStyle w:val="NormalWeb"/>
        <w:spacing w:after="240" w:line="276" w:lineRule="auto"/>
        <w:ind w:left="567" w:right="900"/>
        <w:jc w:val="both"/>
        <w:rPr>
          <w:rFonts w:ascii="Palatino Linotype" w:hAnsi="Palatino Linotype"/>
          <w:i/>
          <w:color w:val="000000"/>
          <w:sz w:val="22"/>
        </w:rPr>
      </w:pPr>
      <w:r w:rsidRPr="00220302">
        <w:rPr>
          <w:rFonts w:ascii="Palatino Linotype" w:hAnsi="Palatino Linotype"/>
          <w:i/>
          <w:color w:val="000000"/>
          <w:sz w:val="22"/>
        </w:rPr>
        <w:t>V. En su caso, el análisis de las desviaciones presupuestales;</w:t>
      </w:r>
    </w:p>
    <w:p w14:paraId="5210C4F8" w14:textId="77777777" w:rsidR="00D317A3" w:rsidRPr="00220302" w:rsidRDefault="00D317A3" w:rsidP="00D317A3">
      <w:pPr>
        <w:pStyle w:val="NormalWeb"/>
        <w:spacing w:after="240" w:line="276" w:lineRule="auto"/>
        <w:ind w:left="567" w:right="900"/>
        <w:jc w:val="both"/>
        <w:rPr>
          <w:rFonts w:ascii="Palatino Linotype" w:hAnsi="Palatino Linotype"/>
          <w:i/>
          <w:color w:val="000000"/>
          <w:sz w:val="22"/>
        </w:rPr>
      </w:pPr>
      <w:r w:rsidRPr="00220302">
        <w:rPr>
          <w:rFonts w:ascii="Palatino Linotype" w:hAnsi="Palatino Linotype"/>
          <w:i/>
          <w:color w:val="000000"/>
          <w:sz w:val="22"/>
        </w:rPr>
        <w:t>VI. Los comentarios de los auditados;</w:t>
      </w:r>
    </w:p>
    <w:p w14:paraId="68612EA4" w14:textId="77777777" w:rsidR="00D317A3" w:rsidRPr="00220302" w:rsidRDefault="00D317A3" w:rsidP="00D317A3">
      <w:pPr>
        <w:pStyle w:val="NormalWeb"/>
        <w:spacing w:after="240" w:line="276" w:lineRule="auto"/>
        <w:ind w:left="567" w:right="900"/>
        <w:jc w:val="both"/>
        <w:rPr>
          <w:rFonts w:ascii="Palatino Linotype" w:hAnsi="Palatino Linotype"/>
          <w:i/>
          <w:color w:val="000000"/>
          <w:sz w:val="22"/>
        </w:rPr>
      </w:pPr>
      <w:r w:rsidRPr="00220302">
        <w:rPr>
          <w:rFonts w:ascii="Palatino Linotype" w:hAnsi="Palatino Linotype"/>
          <w:i/>
          <w:color w:val="000000"/>
          <w:sz w:val="22"/>
        </w:rPr>
        <w:t>VII. Las irregularidades que se detecten en el uso y manejo de los recursos; y</w:t>
      </w:r>
    </w:p>
    <w:p w14:paraId="73472D88" w14:textId="77777777" w:rsidR="00D317A3" w:rsidRPr="00220302" w:rsidRDefault="00D317A3" w:rsidP="00D317A3">
      <w:pPr>
        <w:pStyle w:val="NormalWeb"/>
        <w:spacing w:after="240" w:line="276" w:lineRule="auto"/>
        <w:ind w:left="567" w:right="900"/>
        <w:jc w:val="both"/>
        <w:rPr>
          <w:rFonts w:ascii="Palatino Linotype" w:hAnsi="Palatino Linotype"/>
          <w:i/>
          <w:color w:val="000000"/>
          <w:sz w:val="22"/>
        </w:rPr>
      </w:pPr>
      <w:r w:rsidRPr="00220302">
        <w:rPr>
          <w:rFonts w:ascii="Palatino Linotype" w:hAnsi="Palatino Linotype"/>
          <w:i/>
          <w:color w:val="000000"/>
          <w:sz w:val="22"/>
        </w:rPr>
        <w:t>VIII. Las observaciones y recomendaciones que se deriven de la revisión.</w:t>
      </w:r>
    </w:p>
    <w:p w14:paraId="1CAEAFF0" w14:textId="384595A3" w:rsidR="00D317A3" w:rsidRPr="00220302" w:rsidRDefault="00D317A3" w:rsidP="00D317A3">
      <w:pPr>
        <w:pStyle w:val="NormalWeb"/>
        <w:spacing w:after="240" w:line="276" w:lineRule="auto"/>
        <w:ind w:left="567" w:right="900"/>
        <w:jc w:val="both"/>
        <w:rPr>
          <w:rFonts w:ascii="Palatino Linotype" w:hAnsi="Palatino Linotype"/>
          <w:i/>
          <w:color w:val="000000"/>
          <w:sz w:val="22"/>
        </w:rPr>
      </w:pPr>
      <w:r w:rsidRPr="00220302">
        <w:rPr>
          <w:rFonts w:ascii="Palatino Linotype" w:hAnsi="Palatino Linotype"/>
          <w:i/>
          <w:color w:val="000000"/>
          <w:sz w:val="22"/>
        </w:rPr>
        <w:t>Para el caso de las revisiones contemporáneas, el Órgano Superior deberá informar a la Comisión sobre los resultados obtenidos de las mismas, en un plazo no mayor a noventa días hábiles, contados a partir del día hábil siguiente a aquél en que reciba la solicitud.</w:t>
      </w:r>
    </w:p>
    <w:p w14:paraId="432DEBA3" w14:textId="3DEFB551" w:rsidR="00D317A3" w:rsidRPr="00220302" w:rsidRDefault="00D317A3" w:rsidP="00D317A3">
      <w:pPr>
        <w:pStyle w:val="NormalWeb"/>
        <w:spacing w:after="240" w:line="276" w:lineRule="auto"/>
        <w:ind w:left="567" w:right="900"/>
        <w:jc w:val="both"/>
        <w:rPr>
          <w:rFonts w:ascii="Palatino Linotype" w:hAnsi="Palatino Linotype"/>
          <w:i/>
          <w:color w:val="000000"/>
          <w:sz w:val="22"/>
        </w:rPr>
      </w:pPr>
      <w:r w:rsidRPr="00220302">
        <w:rPr>
          <w:rFonts w:ascii="Palatino Linotype" w:hAnsi="Palatino Linotype"/>
          <w:i/>
          <w:color w:val="000000"/>
          <w:sz w:val="22"/>
        </w:rPr>
        <w:t>El informe de resultados deberá elaborarse considerando los principios de contabilidad gubernamental y las disposiciones legales aplicables.</w:t>
      </w:r>
    </w:p>
    <w:p w14:paraId="5709C24F" w14:textId="61FB3559" w:rsidR="00D317A3" w:rsidRPr="00220302" w:rsidRDefault="00D317A3" w:rsidP="00D317A3">
      <w:pPr>
        <w:pStyle w:val="NormalWeb"/>
        <w:spacing w:after="240" w:line="276" w:lineRule="auto"/>
        <w:ind w:left="567" w:right="900"/>
        <w:jc w:val="both"/>
        <w:rPr>
          <w:rFonts w:ascii="Palatino Linotype" w:hAnsi="Palatino Linotype"/>
          <w:i/>
          <w:color w:val="000000"/>
          <w:sz w:val="22"/>
        </w:rPr>
      </w:pPr>
      <w:r w:rsidRPr="00220302">
        <w:rPr>
          <w:rFonts w:ascii="Palatino Linotype" w:hAnsi="Palatino Linotype"/>
          <w:i/>
          <w:color w:val="000000"/>
          <w:sz w:val="22"/>
        </w:rPr>
        <w:lastRenderedPageBreak/>
        <w:t>Artículo 52. El Órgano Superior en el informe de resultados, dará cuenta por medio de la Comisión, a la Legislatura de los pliegos de las observaciones que hubiere formulado, así como de los procedimientos que las autoridades competentes hubieren iniciado para el fincamiento de responsabilidades y la imposición de sanciones.</w:t>
      </w:r>
    </w:p>
    <w:p w14:paraId="223330DD" w14:textId="744A1356" w:rsidR="005761C0" w:rsidRPr="00220302" w:rsidRDefault="00D317A3" w:rsidP="00285FD2">
      <w:pPr>
        <w:pStyle w:val="NormalWeb"/>
        <w:spacing w:before="0" w:beforeAutospacing="0" w:after="240" w:afterAutospacing="0" w:line="360" w:lineRule="auto"/>
        <w:ind w:right="49"/>
        <w:jc w:val="both"/>
        <w:rPr>
          <w:rFonts w:ascii="Palatino Linotype" w:hAnsi="Palatino Linotype"/>
          <w:color w:val="000000"/>
          <w:sz w:val="22"/>
        </w:rPr>
      </w:pPr>
      <w:r w:rsidRPr="00220302">
        <w:rPr>
          <w:rFonts w:ascii="Palatino Linotype" w:hAnsi="Palatino Linotype"/>
          <w:color w:val="000000"/>
          <w:sz w:val="22"/>
        </w:rPr>
        <w:t>De ahí que cobre relevancia que el requerimiento del particular se encuentra enfocado a conocer el estado de las auditorías de los años 2022 y 2023, es decir, la situación en la que se encuentra derivado de su realización, por ejemplo: Inicio de un procedimiento de responsabilidades administrativas, procedimiento admini</w:t>
      </w:r>
      <w:r w:rsidR="006135CE" w:rsidRPr="00220302">
        <w:rPr>
          <w:rFonts w:ascii="Palatino Linotype" w:hAnsi="Palatino Linotype"/>
          <w:color w:val="000000"/>
          <w:sz w:val="22"/>
        </w:rPr>
        <w:t xml:space="preserve">strativo resarcitorio, etcétera, por lo que se refuerza la premisa señalada en líneas argumentativas anteriores, esto es, que lo remitido en respuesta por el </w:t>
      </w:r>
      <w:r w:rsidR="006135CE" w:rsidRPr="00220302">
        <w:rPr>
          <w:rFonts w:ascii="Palatino Linotype" w:hAnsi="Palatino Linotype"/>
          <w:b/>
          <w:color w:val="000000"/>
          <w:sz w:val="22"/>
        </w:rPr>
        <w:t>Sujeto Obligado</w:t>
      </w:r>
      <w:r w:rsidR="006135CE" w:rsidRPr="00220302">
        <w:rPr>
          <w:rFonts w:ascii="Palatino Linotype" w:hAnsi="Palatino Linotype"/>
          <w:color w:val="000000"/>
          <w:sz w:val="22"/>
        </w:rPr>
        <w:t xml:space="preserve"> no colma. </w:t>
      </w:r>
    </w:p>
    <w:p w14:paraId="3920F7C5" w14:textId="1CF89238" w:rsidR="00027666" w:rsidRPr="00220302" w:rsidRDefault="00027666" w:rsidP="00285FD2">
      <w:pPr>
        <w:pStyle w:val="NormalWeb"/>
        <w:spacing w:before="0" w:beforeAutospacing="0" w:after="240" w:afterAutospacing="0" w:line="360" w:lineRule="auto"/>
        <w:ind w:right="49"/>
        <w:jc w:val="both"/>
        <w:rPr>
          <w:rFonts w:ascii="Palatino Linotype" w:hAnsi="Palatino Linotype"/>
          <w:color w:val="000000"/>
          <w:sz w:val="22"/>
        </w:rPr>
      </w:pPr>
      <w:r w:rsidRPr="00220302">
        <w:rPr>
          <w:rFonts w:ascii="Palatino Linotype" w:hAnsi="Palatino Linotype"/>
          <w:color w:val="000000"/>
          <w:sz w:val="22"/>
        </w:rPr>
        <w:t xml:space="preserve">Finalmente, es de resaltar que el requerimiento de información únicamente versa en proporcionar </w:t>
      </w:r>
      <w:r w:rsidRPr="00220302">
        <w:rPr>
          <w:rFonts w:ascii="Palatino Linotype" w:hAnsi="Palatino Linotype"/>
          <w:b/>
          <w:color w:val="000000"/>
          <w:sz w:val="22"/>
        </w:rPr>
        <w:t>el estatus o estado de las auditorías</w:t>
      </w:r>
      <w:r w:rsidRPr="00220302">
        <w:rPr>
          <w:rFonts w:ascii="Palatino Linotype" w:hAnsi="Palatino Linotype"/>
          <w:color w:val="000000"/>
          <w:sz w:val="22"/>
        </w:rPr>
        <w:t xml:space="preserve">, no así la documentación generada por dicha auditoría, por lo que a juicio de este Instituto es dable afirmar que con la entrega de esta información no se afecta el curso de la investigación o sustanciación de los procedimientos que se encuentren en trámite a la fecha de la solicitud, por lo que para atender este requerimiento de información, bastará con que el </w:t>
      </w:r>
      <w:r w:rsidRPr="00220302">
        <w:rPr>
          <w:rFonts w:ascii="Palatino Linotype" w:hAnsi="Palatino Linotype"/>
          <w:b/>
          <w:color w:val="000000"/>
          <w:sz w:val="22"/>
        </w:rPr>
        <w:t>Sujeto Obligado</w:t>
      </w:r>
      <w:r w:rsidRPr="00220302">
        <w:rPr>
          <w:rFonts w:ascii="Palatino Linotype" w:hAnsi="Palatino Linotype"/>
          <w:color w:val="000000"/>
          <w:sz w:val="22"/>
        </w:rPr>
        <w:t xml:space="preserve"> haga entrega del documento donde conste el estado de las auditorías a la fecha de la solicitud.</w:t>
      </w:r>
    </w:p>
    <w:p w14:paraId="6BCBEAAD" w14:textId="7A8BA429" w:rsidR="00027666" w:rsidRPr="00220302" w:rsidRDefault="00027666" w:rsidP="00027666">
      <w:pPr>
        <w:pStyle w:val="NormalWeb"/>
        <w:spacing w:before="0" w:beforeAutospacing="0" w:after="240" w:afterAutospacing="0" w:line="360" w:lineRule="auto"/>
        <w:ind w:right="49"/>
        <w:jc w:val="both"/>
        <w:rPr>
          <w:rFonts w:ascii="Palatino Linotype" w:hAnsi="Palatino Linotype"/>
          <w:color w:val="000000"/>
          <w:sz w:val="22"/>
        </w:rPr>
      </w:pPr>
      <w:r w:rsidRPr="00220302">
        <w:rPr>
          <w:rFonts w:ascii="Palatino Linotype" w:hAnsi="Palatino Linotype"/>
          <w:color w:val="000000"/>
          <w:sz w:val="22"/>
        </w:rPr>
        <w:t xml:space="preserve">Ello en virtud de que  el particular, al no ser experto en la materia, omitió señalar de manera concreta el o los documentos a los que pretende acceder, no obstante, es obligación de los Sujetos Obligados dar a las solicitudes una interpretación que les dé una expresión documental, ya que para que el derecho de acceso a la información pública de los particulares se satisfaga completamente, es necesario que se les brinde el acceso a datos, registros y todo tipo de información pública que conste en documentos, ya sea generados o que se encuentre en posesión de las autoridades, por tal motivo, privilegiando el principio de máxima publicidad, en el presente caso, se deberá proceder a la entrega del soporte </w:t>
      </w:r>
      <w:r w:rsidRPr="00220302">
        <w:rPr>
          <w:rFonts w:ascii="Palatino Linotype" w:hAnsi="Palatino Linotype"/>
          <w:color w:val="000000"/>
          <w:sz w:val="22"/>
        </w:rPr>
        <w:lastRenderedPageBreak/>
        <w:t>documental en donde conste la información que brinde respuesta a la solicitud, así el particular podrá buscar conforme a su interés.</w:t>
      </w:r>
    </w:p>
    <w:p w14:paraId="08F6E949" w14:textId="77777777" w:rsidR="00027666" w:rsidRPr="00220302" w:rsidRDefault="00027666" w:rsidP="00027666">
      <w:pPr>
        <w:pStyle w:val="NormalWeb"/>
        <w:spacing w:before="240" w:beforeAutospacing="0" w:after="240" w:afterAutospacing="0" w:line="360" w:lineRule="auto"/>
        <w:jc w:val="both"/>
        <w:rPr>
          <w:sz w:val="22"/>
        </w:rPr>
      </w:pPr>
      <w:r w:rsidRPr="00220302">
        <w:rPr>
          <w:rFonts w:ascii="Palatino Linotype" w:hAnsi="Palatino Linotype"/>
          <w:color w:val="000000"/>
          <w:sz w:val="22"/>
        </w:rPr>
        <w:t>Como sustento a lo anterior resulta aplicable el Criterio 16/17, emitido por el Instituto Nacional de Transparencia, Acceso a la Información y Protección de Datos Personales, INAI, establece lo siguiente: </w:t>
      </w:r>
    </w:p>
    <w:p w14:paraId="03604182" w14:textId="77777777" w:rsidR="00027666" w:rsidRPr="00220302" w:rsidRDefault="00027666" w:rsidP="00027666">
      <w:pPr>
        <w:pStyle w:val="NormalWeb"/>
        <w:spacing w:before="0" w:beforeAutospacing="0" w:after="120" w:afterAutospacing="0"/>
        <w:ind w:left="851" w:right="902"/>
        <w:jc w:val="both"/>
        <w:rPr>
          <w:sz w:val="22"/>
        </w:rPr>
      </w:pPr>
      <w:r w:rsidRPr="00220302">
        <w:rPr>
          <w:color w:val="000000"/>
          <w:sz w:val="22"/>
        </w:rPr>
        <w:t> “</w:t>
      </w:r>
      <w:r w:rsidRPr="00220302">
        <w:rPr>
          <w:rFonts w:ascii="Palatino Linotype" w:hAnsi="Palatino Linotype"/>
          <w:b/>
          <w:bCs/>
          <w:i/>
          <w:iCs/>
          <w:color w:val="000000"/>
          <w:sz w:val="22"/>
        </w:rPr>
        <w:t xml:space="preserve">Expresión documental. </w:t>
      </w:r>
      <w:r w:rsidRPr="00220302">
        <w:rPr>
          <w:rFonts w:ascii="Palatino Linotype" w:hAnsi="Palatino Linotype"/>
          <w:i/>
          <w:iCs/>
          <w:color w:val="000000"/>
          <w:sz w:val="22"/>
        </w:rPr>
        <w:t>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14:paraId="1EBDBD3E" w14:textId="77777777" w:rsidR="00027666" w:rsidRPr="00220302" w:rsidRDefault="00027666" w:rsidP="00027666">
      <w:pPr>
        <w:rPr>
          <w:sz w:val="22"/>
        </w:rPr>
      </w:pPr>
    </w:p>
    <w:p w14:paraId="127B710C" w14:textId="24AC93BB" w:rsidR="00027666" w:rsidRPr="00220302" w:rsidRDefault="00027666" w:rsidP="00027666">
      <w:pPr>
        <w:pStyle w:val="NormalWeb"/>
        <w:spacing w:before="0" w:beforeAutospacing="0" w:after="0" w:afterAutospacing="0" w:line="360" w:lineRule="auto"/>
        <w:jc w:val="both"/>
        <w:rPr>
          <w:rFonts w:ascii="Palatino Linotype" w:hAnsi="Palatino Linotype"/>
          <w:color w:val="000000"/>
          <w:sz w:val="22"/>
        </w:rPr>
      </w:pPr>
      <w:r w:rsidRPr="00220302">
        <w:rPr>
          <w:rFonts w:ascii="Palatino Linotype" w:hAnsi="Palatino Linotype"/>
          <w:color w:val="000000"/>
          <w:sz w:val="22"/>
        </w:rPr>
        <w:t>Asimismo, es pertinente mencionar que, el artículo 18 de Ley de Transparencia y Acceso a la Información Pública del Estado de México y Municipios establece que los Sujetos Obligados tienen el ineludible compromiso de documentar todos los actos que deriven de sus atribuciones, funciones y competencias considerando desde su origen la eventual publicidad de la información como a continuación se observa:</w:t>
      </w:r>
    </w:p>
    <w:p w14:paraId="0BAC3385" w14:textId="77777777" w:rsidR="00027666" w:rsidRPr="00220302" w:rsidRDefault="00027666" w:rsidP="00027666">
      <w:pPr>
        <w:pStyle w:val="NormalWeb"/>
        <w:spacing w:before="0" w:beforeAutospacing="0" w:after="0" w:afterAutospacing="0" w:line="360" w:lineRule="auto"/>
        <w:jc w:val="both"/>
        <w:rPr>
          <w:rFonts w:ascii="Palatino Linotype" w:hAnsi="Palatino Linotype"/>
          <w:color w:val="000000"/>
          <w:sz w:val="22"/>
        </w:rPr>
      </w:pPr>
    </w:p>
    <w:p w14:paraId="74738C4D" w14:textId="77777777" w:rsidR="00027666" w:rsidRPr="00220302" w:rsidRDefault="00027666" w:rsidP="00027666">
      <w:pPr>
        <w:pStyle w:val="NormalWeb"/>
        <w:spacing w:before="0" w:beforeAutospacing="0" w:after="0" w:afterAutospacing="0"/>
        <w:ind w:left="567" w:right="630"/>
        <w:jc w:val="both"/>
      </w:pPr>
      <w:r w:rsidRPr="00220302">
        <w:rPr>
          <w:rFonts w:ascii="Palatino Linotype" w:hAnsi="Palatino Linotype"/>
          <w:i/>
          <w:iCs/>
          <w:color w:val="000000"/>
          <w:sz w:val="22"/>
          <w:szCs w:val="22"/>
        </w:rPr>
        <w:t>Artículo 18. Los sujetos obligados deberán documentar todo acto que derive del ejercicio de sus facultades, competencias o funciones, considerando desde su origen la eventual publicidad y reutilización de la información que generen.</w:t>
      </w:r>
    </w:p>
    <w:p w14:paraId="591CBA97" w14:textId="399AEC2B" w:rsidR="00E96F5D" w:rsidRPr="00220302" w:rsidRDefault="00014B04">
      <w:pPr>
        <w:spacing w:before="240" w:after="240" w:line="360" w:lineRule="auto"/>
        <w:ind w:right="49"/>
        <w:jc w:val="both"/>
        <w:rPr>
          <w:rFonts w:ascii="Palatino Linotype" w:eastAsia="Palatino Linotype" w:hAnsi="Palatino Linotype" w:cs="Palatino Linotype"/>
          <w:sz w:val="22"/>
        </w:rPr>
      </w:pPr>
      <w:r w:rsidRPr="00220302">
        <w:rPr>
          <w:rFonts w:ascii="Palatino Linotype" w:eastAsia="Palatino Linotype" w:hAnsi="Palatino Linotype" w:cs="Palatino Linotype"/>
          <w:sz w:val="22"/>
        </w:rPr>
        <w:t xml:space="preserve">Es por todo lo anterior que esta autoridad estima que las razones o motivos de inconformidad hechos valer por </w:t>
      </w:r>
      <w:r w:rsidRPr="00220302">
        <w:rPr>
          <w:rFonts w:ascii="Palatino Linotype" w:eastAsia="Palatino Linotype" w:hAnsi="Palatino Linotype" w:cs="Palatino Linotype"/>
          <w:b/>
          <w:sz w:val="22"/>
        </w:rPr>
        <w:t>la parte</w:t>
      </w:r>
      <w:r w:rsidRPr="00220302">
        <w:rPr>
          <w:rFonts w:ascii="Palatino Linotype" w:eastAsia="Palatino Linotype" w:hAnsi="Palatino Linotype" w:cs="Palatino Linotype"/>
          <w:sz w:val="22"/>
        </w:rPr>
        <w:t xml:space="preserve"> </w:t>
      </w:r>
      <w:r w:rsidRPr="00220302">
        <w:rPr>
          <w:rFonts w:ascii="Palatino Linotype" w:eastAsia="Palatino Linotype" w:hAnsi="Palatino Linotype" w:cs="Palatino Linotype"/>
          <w:b/>
          <w:sz w:val="22"/>
        </w:rPr>
        <w:t>Recurrente</w:t>
      </w:r>
      <w:r w:rsidRPr="00220302">
        <w:rPr>
          <w:rFonts w:ascii="Palatino Linotype" w:eastAsia="Palatino Linotype" w:hAnsi="Palatino Linotype" w:cs="Palatino Linotype"/>
          <w:sz w:val="22"/>
        </w:rPr>
        <w:t xml:space="preserve"> devienen </w:t>
      </w:r>
      <w:r w:rsidRPr="00220302">
        <w:rPr>
          <w:rFonts w:ascii="Palatino Linotype" w:eastAsia="Palatino Linotype" w:hAnsi="Palatino Linotype" w:cs="Palatino Linotype"/>
          <w:b/>
          <w:sz w:val="22"/>
        </w:rPr>
        <w:t>fundados</w:t>
      </w:r>
      <w:r w:rsidRPr="00220302">
        <w:rPr>
          <w:rFonts w:ascii="Palatino Linotype" w:eastAsia="Palatino Linotype" w:hAnsi="Palatino Linotype" w:cs="Palatino Linotype"/>
          <w:sz w:val="22"/>
        </w:rPr>
        <w:t>; por lo que, lo procedente es </w:t>
      </w:r>
      <w:r w:rsidRPr="00220302">
        <w:rPr>
          <w:rFonts w:ascii="Palatino Linotype" w:eastAsia="Palatino Linotype" w:hAnsi="Palatino Linotype" w:cs="Palatino Linotype"/>
          <w:b/>
          <w:sz w:val="22"/>
        </w:rPr>
        <w:t>REVOCAR</w:t>
      </w:r>
      <w:r w:rsidR="00F84762" w:rsidRPr="00220302">
        <w:rPr>
          <w:rFonts w:ascii="Palatino Linotype" w:eastAsia="Palatino Linotype" w:hAnsi="Palatino Linotype" w:cs="Palatino Linotype"/>
          <w:color w:val="FF0000"/>
          <w:sz w:val="22"/>
        </w:rPr>
        <w:t xml:space="preserve"> </w:t>
      </w:r>
      <w:r w:rsidRPr="00220302">
        <w:rPr>
          <w:rFonts w:ascii="Palatino Linotype" w:eastAsia="Palatino Linotype" w:hAnsi="Palatino Linotype" w:cs="Palatino Linotype"/>
          <w:sz w:val="22"/>
        </w:rPr>
        <w:t xml:space="preserve">la respuesta del </w:t>
      </w:r>
      <w:r w:rsidRPr="00220302">
        <w:rPr>
          <w:rFonts w:ascii="Palatino Linotype" w:eastAsia="Palatino Linotype" w:hAnsi="Palatino Linotype" w:cs="Palatino Linotype"/>
          <w:b/>
          <w:sz w:val="22"/>
        </w:rPr>
        <w:t xml:space="preserve">Sujeto Obligado y ordenar la entrega </w:t>
      </w:r>
      <w:r w:rsidRPr="00220302">
        <w:rPr>
          <w:rFonts w:ascii="Palatino Linotype" w:eastAsia="Palatino Linotype" w:hAnsi="Palatino Linotype" w:cs="Palatino Linotype"/>
          <w:sz w:val="22"/>
        </w:rPr>
        <w:t xml:space="preserve">de lo siguiente, en versión pública de ser procedente, conforme al considerando quinto, el documento o documentos donde conste o se pueda advertir la siguiente información: </w:t>
      </w:r>
    </w:p>
    <w:p w14:paraId="3E2F1816" w14:textId="4425F40A" w:rsidR="005675C0" w:rsidRPr="00220302" w:rsidRDefault="005675C0">
      <w:pPr>
        <w:spacing w:before="240" w:after="240" w:line="276" w:lineRule="auto"/>
        <w:ind w:left="567" w:right="900"/>
        <w:jc w:val="both"/>
        <w:rPr>
          <w:rFonts w:ascii="Palatino Linotype" w:eastAsia="Palatino Linotype" w:hAnsi="Palatino Linotype" w:cs="Palatino Linotype"/>
          <w:b/>
          <w:i/>
          <w:sz w:val="22"/>
          <w:szCs w:val="22"/>
        </w:rPr>
      </w:pPr>
      <w:r w:rsidRPr="00220302">
        <w:rPr>
          <w:rFonts w:ascii="Palatino Linotype" w:eastAsia="Palatino Linotype" w:hAnsi="Palatino Linotype" w:cs="Palatino Linotype"/>
          <w:b/>
          <w:i/>
          <w:sz w:val="22"/>
          <w:szCs w:val="22"/>
        </w:rPr>
        <w:lastRenderedPageBreak/>
        <w:t xml:space="preserve">1. </w:t>
      </w:r>
      <w:r w:rsidR="00285FD2" w:rsidRPr="00220302">
        <w:rPr>
          <w:rFonts w:ascii="Palatino Linotype" w:eastAsia="Palatino Linotype" w:hAnsi="Palatino Linotype" w:cs="Palatino Linotype"/>
          <w:b/>
          <w:i/>
          <w:sz w:val="22"/>
          <w:szCs w:val="22"/>
        </w:rPr>
        <w:t>Documento donde conste el estado</w:t>
      </w:r>
      <w:r w:rsidR="00774591" w:rsidRPr="00220302">
        <w:rPr>
          <w:rFonts w:ascii="Palatino Linotype" w:eastAsia="Palatino Linotype" w:hAnsi="Palatino Linotype" w:cs="Palatino Linotype"/>
          <w:b/>
          <w:i/>
          <w:sz w:val="22"/>
          <w:szCs w:val="22"/>
        </w:rPr>
        <w:t>, al 12 de marzo de 2024,</w:t>
      </w:r>
      <w:r w:rsidR="00285FD2" w:rsidRPr="00220302">
        <w:rPr>
          <w:rFonts w:ascii="Palatino Linotype" w:eastAsia="Palatino Linotype" w:hAnsi="Palatino Linotype" w:cs="Palatino Linotype"/>
          <w:b/>
          <w:i/>
          <w:sz w:val="22"/>
          <w:szCs w:val="22"/>
        </w:rPr>
        <w:t xml:space="preserve"> de las auditorías realizadas por el OSFEM de conformidad con el Programa Anual de Auditorías de los años 2022 y 2023</w:t>
      </w:r>
      <w:r w:rsidRPr="00220302">
        <w:rPr>
          <w:rFonts w:ascii="Palatino Linotype" w:eastAsia="Palatino Linotype" w:hAnsi="Palatino Linotype" w:cs="Palatino Linotype"/>
          <w:b/>
          <w:i/>
          <w:sz w:val="22"/>
          <w:szCs w:val="22"/>
        </w:rPr>
        <w:t xml:space="preserve">. </w:t>
      </w:r>
    </w:p>
    <w:p w14:paraId="2FBBC6AE" w14:textId="70EA5CFB" w:rsidR="00285FD2" w:rsidRPr="00220302" w:rsidRDefault="00285FD2" w:rsidP="00285FD2">
      <w:pPr>
        <w:spacing w:before="240" w:after="240" w:line="360" w:lineRule="auto"/>
        <w:ind w:right="49"/>
        <w:jc w:val="both"/>
        <w:rPr>
          <w:rFonts w:ascii="Palatino Linotype" w:eastAsia="Palatino Linotype" w:hAnsi="Palatino Linotype" w:cs="Palatino Linotype"/>
          <w:sz w:val="22"/>
          <w:szCs w:val="22"/>
          <w:lang w:val="es-ES"/>
        </w:rPr>
      </w:pPr>
      <w:r w:rsidRPr="00220302">
        <w:rPr>
          <w:rFonts w:ascii="Palatino Linotype" w:eastAsia="Palatino Linotype" w:hAnsi="Palatino Linotype" w:cs="Palatino Linotype"/>
          <w:b/>
          <w:sz w:val="22"/>
          <w:szCs w:val="22"/>
          <w:lang w:val="es-ES"/>
        </w:rPr>
        <w:t xml:space="preserve">Quinto. Versión Pública. </w:t>
      </w:r>
      <w:r w:rsidRPr="00220302">
        <w:rPr>
          <w:rFonts w:ascii="Palatino Linotype" w:eastAsia="Palatino Linotype" w:hAnsi="Palatino Linotype" w:cs="Palatino Linotype"/>
          <w:sz w:val="22"/>
          <w:szCs w:val="22"/>
          <w:lang w:val="es-ES"/>
        </w:rPr>
        <w:t xml:space="preserve">Finalmente para la entrega de los soportes documentales que deberá proporcionar el sujeto obligado para dar satisfacción de la derecho humano de acceso a la información del particular, deberá considerar que ello no es absoluto, sino que encuentra como excepciones que la información sobre la cual se peticiona el acceso, contenga datos que deban ser clasificados en los términos que la misma Ley de la Materia señala, el </w:t>
      </w:r>
      <w:r w:rsidRPr="00220302">
        <w:rPr>
          <w:rFonts w:ascii="Palatino Linotype" w:eastAsia="Palatino Linotype" w:hAnsi="Palatino Linotype" w:cs="Palatino Linotype"/>
          <w:b/>
          <w:sz w:val="22"/>
          <w:szCs w:val="22"/>
          <w:lang w:val="es-ES"/>
        </w:rPr>
        <w:t>Sujeto Obligado</w:t>
      </w:r>
      <w:r w:rsidRPr="00220302">
        <w:rPr>
          <w:rFonts w:ascii="Palatino Linotype" w:eastAsia="Palatino Linotype" w:hAnsi="Palatino Linotype" w:cs="Palatino Linotype"/>
          <w:sz w:val="22"/>
          <w:szCs w:val="22"/>
          <w:lang w:val="es-ES"/>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51C1CE03" w14:textId="77777777" w:rsidR="00285FD2" w:rsidRPr="00220302" w:rsidRDefault="00285FD2" w:rsidP="00285FD2">
      <w:pPr>
        <w:spacing w:before="240" w:after="240" w:line="360" w:lineRule="auto"/>
        <w:ind w:right="50"/>
        <w:jc w:val="both"/>
        <w:rPr>
          <w:rFonts w:ascii="Palatino Linotype" w:eastAsia="Palatino Linotype" w:hAnsi="Palatino Linotype" w:cs="Palatino Linotype"/>
          <w:sz w:val="22"/>
          <w:szCs w:val="22"/>
          <w:lang w:val="es-ES"/>
        </w:rPr>
      </w:pPr>
      <w:r w:rsidRPr="00220302">
        <w:rPr>
          <w:rFonts w:ascii="Palatino Linotype" w:eastAsia="Palatino Linotype" w:hAnsi="Palatino Linotype" w:cs="Palatino Linotype"/>
          <w:sz w:val="22"/>
          <w:szCs w:val="22"/>
          <w:lang w:val="es-ES"/>
        </w:rPr>
        <w:t>Lo anterior, de conformidad a lo que señalan los artículos 3 fracciones IX, XX, XXI y XLV, 91, 132 fracciones II y III, y 143 fracción I de la Ley de Transparencia y Acceso a la Información Pública del Estado de México y Municipios que establecen:</w:t>
      </w:r>
    </w:p>
    <w:p w14:paraId="130929E6" w14:textId="77777777" w:rsidR="00285FD2" w:rsidRPr="00220302" w:rsidRDefault="00285FD2" w:rsidP="00285FD2">
      <w:pPr>
        <w:spacing w:before="120" w:after="120"/>
        <w:ind w:left="567" w:right="902"/>
        <w:jc w:val="both"/>
        <w:rPr>
          <w:rFonts w:ascii="Palatino Linotype" w:eastAsia="Palatino Linotype" w:hAnsi="Palatino Linotype" w:cs="Palatino Linotype"/>
          <w:i/>
          <w:sz w:val="22"/>
          <w:szCs w:val="22"/>
          <w:lang w:val="es-ES"/>
        </w:rPr>
      </w:pPr>
      <w:r w:rsidRPr="00220302">
        <w:rPr>
          <w:rFonts w:ascii="Palatino Linotype" w:eastAsia="Palatino Linotype" w:hAnsi="Palatino Linotype" w:cs="Palatino Linotype"/>
          <w:i/>
          <w:sz w:val="22"/>
          <w:szCs w:val="22"/>
          <w:lang w:val="es-ES"/>
        </w:rPr>
        <w:t>“</w:t>
      </w:r>
      <w:r w:rsidRPr="00220302">
        <w:rPr>
          <w:rFonts w:ascii="Palatino Linotype" w:eastAsia="Palatino Linotype" w:hAnsi="Palatino Linotype" w:cs="Palatino Linotype"/>
          <w:b/>
          <w:i/>
          <w:sz w:val="22"/>
          <w:szCs w:val="22"/>
          <w:lang w:val="es-ES"/>
        </w:rPr>
        <w:t>Artículo 3</w:t>
      </w:r>
      <w:r w:rsidRPr="00220302">
        <w:rPr>
          <w:rFonts w:ascii="Palatino Linotype" w:eastAsia="Palatino Linotype" w:hAnsi="Palatino Linotype" w:cs="Palatino Linotype"/>
          <w:i/>
          <w:sz w:val="22"/>
          <w:szCs w:val="22"/>
          <w:lang w:val="es-ES"/>
        </w:rPr>
        <w:t>. Para los efectos de la presente Ley se entenderá por:</w:t>
      </w:r>
    </w:p>
    <w:p w14:paraId="61992A1B" w14:textId="77777777" w:rsidR="00285FD2" w:rsidRPr="00220302" w:rsidRDefault="00285FD2" w:rsidP="00285FD2">
      <w:pPr>
        <w:spacing w:before="120" w:after="120"/>
        <w:ind w:left="567" w:right="902"/>
        <w:jc w:val="both"/>
        <w:rPr>
          <w:rFonts w:ascii="Palatino Linotype" w:eastAsia="Palatino Linotype" w:hAnsi="Palatino Linotype" w:cs="Palatino Linotype"/>
          <w:i/>
          <w:sz w:val="22"/>
          <w:szCs w:val="22"/>
          <w:lang w:val="es-ES"/>
        </w:rPr>
      </w:pPr>
      <w:r w:rsidRPr="00220302">
        <w:rPr>
          <w:rFonts w:ascii="Palatino Linotype" w:eastAsia="Palatino Linotype" w:hAnsi="Palatino Linotype" w:cs="Palatino Linotype"/>
          <w:i/>
          <w:sz w:val="22"/>
          <w:szCs w:val="22"/>
          <w:lang w:val="es-ES"/>
        </w:rPr>
        <w:t>[…]</w:t>
      </w:r>
    </w:p>
    <w:p w14:paraId="4BF12793" w14:textId="77777777" w:rsidR="00285FD2" w:rsidRPr="00220302" w:rsidRDefault="00285FD2" w:rsidP="00285FD2">
      <w:pPr>
        <w:spacing w:before="120" w:after="120"/>
        <w:ind w:left="567" w:right="902"/>
        <w:jc w:val="both"/>
        <w:rPr>
          <w:rFonts w:ascii="Palatino Linotype" w:eastAsia="Palatino Linotype" w:hAnsi="Palatino Linotype" w:cs="Palatino Linotype"/>
          <w:i/>
          <w:sz w:val="22"/>
          <w:szCs w:val="22"/>
          <w:lang w:val="es-ES"/>
        </w:rPr>
      </w:pPr>
      <w:r w:rsidRPr="00220302">
        <w:rPr>
          <w:rFonts w:ascii="Palatino Linotype" w:eastAsia="Palatino Linotype" w:hAnsi="Palatino Linotype" w:cs="Palatino Linotype"/>
          <w:b/>
          <w:i/>
          <w:sz w:val="22"/>
          <w:szCs w:val="22"/>
          <w:lang w:val="es-ES"/>
        </w:rPr>
        <w:t>IX. Datos personales:</w:t>
      </w:r>
      <w:r w:rsidRPr="00220302">
        <w:rPr>
          <w:rFonts w:ascii="Palatino Linotype" w:eastAsia="Palatino Linotype" w:hAnsi="Palatino Linotype" w:cs="Palatino Linotype"/>
          <w:i/>
          <w:sz w:val="22"/>
          <w:szCs w:val="22"/>
          <w:lang w:val="es-ES"/>
        </w:rPr>
        <w:t xml:space="preserve"> La información concerniente a una persona, identificada o identificable según lo dispuesto por la Ley de Protección de Datos Personales del Estado de México; </w:t>
      </w:r>
    </w:p>
    <w:p w14:paraId="7D87FD1A" w14:textId="77777777" w:rsidR="00285FD2" w:rsidRPr="00220302" w:rsidRDefault="00285FD2" w:rsidP="00285FD2">
      <w:pPr>
        <w:spacing w:before="120" w:after="120"/>
        <w:ind w:left="567" w:right="902"/>
        <w:jc w:val="both"/>
        <w:rPr>
          <w:rFonts w:ascii="Palatino Linotype" w:eastAsia="Palatino Linotype" w:hAnsi="Palatino Linotype" w:cs="Palatino Linotype"/>
          <w:i/>
          <w:sz w:val="22"/>
          <w:szCs w:val="22"/>
          <w:lang w:val="es-ES"/>
        </w:rPr>
      </w:pPr>
      <w:r w:rsidRPr="00220302">
        <w:rPr>
          <w:rFonts w:ascii="Palatino Linotype" w:eastAsia="Palatino Linotype" w:hAnsi="Palatino Linotype" w:cs="Palatino Linotype"/>
          <w:b/>
          <w:i/>
          <w:sz w:val="22"/>
          <w:szCs w:val="22"/>
          <w:lang w:val="es-ES"/>
        </w:rPr>
        <w:t>XX. Información clasificada</w:t>
      </w:r>
      <w:r w:rsidRPr="00220302">
        <w:rPr>
          <w:rFonts w:ascii="Palatino Linotype" w:eastAsia="Palatino Linotype" w:hAnsi="Palatino Linotype" w:cs="Palatino Linotype"/>
          <w:i/>
          <w:sz w:val="22"/>
          <w:szCs w:val="22"/>
          <w:lang w:val="es-ES"/>
        </w:rPr>
        <w:t>: Aquella considerada por la presente Ley como reservada o confidencial;</w:t>
      </w:r>
    </w:p>
    <w:p w14:paraId="6505D251" w14:textId="77777777" w:rsidR="00285FD2" w:rsidRPr="00220302" w:rsidRDefault="00285FD2" w:rsidP="00285FD2">
      <w:pPr>
        <w:spacing w:before="120" w:after="120"/>
        <w:ind w:left="567" w:right="902"/>
        <w:jc w:val="both"/>
        <w:rPr>
          <w:rFonts w:ascii="Palatino Linotype" w:eastAsia="Palatino Linotype" w:hAnsi="Palatino Linotype" w:cs="Palatino Linotype"/>
          <w:i/>
          <w:sz w:val="22"/>
          <w:szCs w:val="22"/>
          <w:lang w:val="es-ES"/>
        </w:rPr>
      </w:pPr>
      <w:r w:rsidRPr="00220302">
        <w:rPr>
          <w:rFonts w:ascii="Palatino Linotype" w:eastAsia="Palatino Linotype" w:hAnsi="Palatino Linotype" w:cs="Palatino Linotype"/>
          <w:b/>
          <w:i/>
          <w:sz w:val="22"/>
          <w:szCs w:val="22"/>
          <w:lang w:val="es-ES"/>
        </w:rPr>
        <w:t>XXI. Información confidencial:</w:t>
      </w:r>
      <w:r w:rsidRPr="00220302">
        <w:rPr>
          <w:rFonts w:ascii="Palatino Linotype" w:eastAsia="Palatino Linotype" w:hAnsi="Palatino Linotype" w:cs="Palatino Linotype"/>
          <w:i/>
          <w:sz w:val="22"/>
          <w:szCs w:val="22"/>
          <w:lang w:val="es-E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B6261A4" w14:textId="77777777" w:rsidR="00285FD2" w:rsidRPr="00220302" w:rsidRDefault="00285FD2" w:rsidP="00285FD2">
      <w:pPr>
        <w:spacing w:before="120" w:after="120"/>
        <w:ind w:left="567" w:right="902"/>
        <w:jc w:val="both"/>
        <w:rPr>
          <w:rFonts w:ascii="Palatino Linotype" w:eastAsia="Palatino Linotype" w:hAnsi="Palatino Linotype" w:cs="Palatino Linotype"/>
          <w:i/>
          <w:sz w:val="22"/>
          <w:szCs w:val="22"/>
          <w:lang w:val="es-ES"/>
        </w:rPr>
      </w:pPr>
      <w:r w:rsidRPr="00220302">
        <w:rPr>
          <w:rFonts w:ascii="Palatino Linotype" w:eastAsia="Palatino Linotype" w:hAnsi="Palatino Linotype" w:cs="Palatino Linotype"/>
          <w:b/>
          <w:i/>
          <w:sz w:val="22"/>
          <w:szCs w:val="22"/>
          <w:lang w:val="es-ES"/>
        </w:rPr>
        <w:t>XLV. Versión pública:</w:t>
      </w:r>
      <w:r w:rsidRPr="00220302">
        <w:rPr>
          <w:rFonts w:ascii="Palatino Linotype" w:eastAsia="Palatino Linotype" w:hAnsi="Palatino Linotype" w:cs="Palatino Linotype"/>
          <w:i/>
          <w:sz w:val="22"/>
          <w:szCs w:val="22"/>
          <w:lang w:val="es-ES"/>
        </w:rPr>
        <w:t xml:space="preserve"> Documento en el que se elimine, suprime o borra la información clasificada como reservada o confidencial para permitir su acceso.</w:t>
      </w:r>
    </w:p>
    <w:p w14:paraId="78489FD9" w14:textId="77777777" w:rsidR="00285FD2" w:rsidRPr="00220302" w:rsidRDefault="00285FD2" w:rsidP="00285FD2">
      <w:pPr>
        <w:spacing w:before="120" w:after="120"/>
        <w:ind w:left="567" w:right="902"/>
        <w:jc w:val="both"/>
        <w:rPr>
          <w:rFonts w:ascii="Palatino Linotype" w:eastAsia="Palatino Linotype" w:hAnsi="Palatino Linotype" w:cs="Palatino Linotype"/>
          <w:i/>
          <w:sz w:val="22"/>
          <w:szCs w:val="22"/>
          <w:lang w:val="es-ES"/>
        </w:rPr>
      </w:pPr>
      <w:r w:rsidRPr="00220302">
        <w:rPr>
          <w:rFonts w:ascii="Palatino Linotype" w:eastAsia="Palatino Linotype" w:hAnsi="Palatino Linotype" w:cs="Palatino Linotype"/>
          <w:i/>
          <w:sz w:val="22"/>
          <w:szCs w:val="22"/>
          <w:lang w:val="es-ES"/>
        </w:rPr>
        <w:t>[…]</w:t>
      </w:r>
    </w:p>
    <w:p w14:paraId="15294EC8" w14:textId="77777777" w:rsidR="00285FD2" w:rsidRPr="00220302" w:rsidRDefault="00285FD2" w:rsidP="00285FD2">
      <w:pPr>
        <w:spacing w:before="120" w:after="120"/>
        <w:ind w:left="567" w:right="902"/>
        <w:jc w:val="both"/>
        <w:rPr>
          <w:rFonts w:ascii="Palatino Linotype" w:eastAsia="Palatino Linotype" w:hAnsi="Palatino Linotype" w:cs="Palatino Linotype"/>
          <w:i/>
          <w:sz w:val="22"/>
          <w:szCs w:val="22"/>
          <w:lang w:val="es-ES"/>
        </w:rPr>
      </w:pPr>
      <w:r w:rsidRPr="00220302">
        <w:rPr>
          <w:rFonts w:ascii="Palatino Linotype" w:eastAsia="Palatino Linotype" w:hAnsi="Palatino Linotype" w:cs="Palatino Linotype"/>
          <w:b/>
          <w:i/>
          <w:sz w:val="22"/>
          <w:szCs w:val="22"/>
          <w:lang w:val="es-ES"/>
        </w:rPr>
        <w:lastRenderedPageBreak/>
        <w:t xml:space="preserve">Artículo 91. </w:t>
      </w:r>
      <w:r w:rsidRPr="00220302">
        <w:rPr>
          <w:rFonts w:ascii="Palatino Linotype" w:eastAsia="Palatino Linotype" w:hAnsi="Palatino Linotype" w:cs="Palatino Linotype"/>
          <w:i/>
          <w:sz w:val="22"/>
          <w:szCs w:val="22"/>
          <w:lang w:val="es-ES"/>
        </w:rPr>
        <w:t>El acceso a la información pública será restringido excepcionalmente, cuando ésta sea clasificada como reservada o confidencial.</w:t>
      </w:r>
    </w:p>
    <w:p w14:paraId="6CC00760" w14:textId="77777777" w:rsidR="00285FD2" w:rsidRPr="00220302" w:rsidRDefault="00285FD2" w:rsidP="00285FD2">
      <w:pPr>
        <w:spacing w:before="120" w:after="120"/>
        <w:ind w:left="567" w:right="902"/>
        <w:jc w:val="both"/>
        <w:rPr>
          <w:rFonts w:ascii="Palatino Linotype" w:eastAsia="Palatino Linotype" w:hAnsi="Palatino Linotype" w:cs="Palatino Linotype"/>
          <w:i/>
          <w:sz w:val="22"/>
          <w:szCs w:val="22"/>
          <w:lang w:val="es-ES"/>
        </w:rPr>
      </w:pPr>
      <w:r w:rsidRPr="00220302">
        <w:rPr>
          <w:rFonts w:ascii="Palatino Linotype" w:eastAsia="Palatino Linotype" w:hAnsi="Palatino Linotype" w:cs="Palatino Linotype"/>
          <w:b/>
          <w:i/>
          <w:sz w:val="22"/>
          <w:szCs w:val="22"/>
          <w:lang w:val="es-ES"/>
        </w:rPr>
        <w:t xml:space="preserve">Artículo 132. </w:t>
      </w:r>
      <w:r w:rsidRPr="00220302">
        <w:rPr>
          <w:rFonts w:ascii="Palatino Linotype" w:eastAsia="Palatino Linotype" w:hAnsi="Palatino Linotype" w:cs="Palatino Linotype"/>
          <w:i/>
          <w:sz w:val="22"/>
          <w:szCs w:val="22"/>
          <w:lang w:val="es-ES"/>
        </w:rPr>
        <w:t>La clasificación de la información se llevará a cabo en el momento en que:</w:t>
      </w:r>
    </w:p>
    <w:p w14:paraId="1DE7DAF9" w14:textId="77777777" w:rsidR="00285FD2" w:rsidRPr="00220302" w:rsidRDefault="00285FD2" w:rsidP="00285FD2">
      <w:pPr>
        <w:spacing w:before="120" w:after="120"/>
        <w:ind w:left="567" w:right="902"/>
        <w:jc w:val="both"/>
        <w:rPr>
          <w:rFonts w:ascii="Palatino Linotype" w:eastAsia="Palatino Linotype" w:hAnsi="Palatino Linotype" w:cs="Palatino Linotype"/>
          <w:i/>
          <w:sz w:val="22"/>
          <w:szCs w:val="22"/>
          <w:lang w:val="es-ES"/>
        </w:rPr>
      </w:pPr>
      <w:r w:rsidRPr="00220302">
        <w:rPr>
          <w:rFonts w:ascii="Palatino Linotype" w:eastAsia="Palatino Linotype" w:hAnsi="Palatino Linotype" w:cs="Palatino Linotype"/>
          <w:b/>
          <w:i/>
          <w:sz w:val="22"/>
          <w:szCs w:val="22"/>
          <w:lang w:val="es-ES"/>
        </w:rPr>
        <w:t>I</w:t>
      </w:r>
      <w:r w:rsidRPr="00220302">
        <w:rPr>
          <w:rFonts w:ascii="Palatino Linotype" w:eastAsia="Palatino Linotype" w:hAnsi="Palatino Linotype" w:cs="Palatino Linotype"/>
          <w:i/>
          <w:sz w:val="22"/>
          <w:szCs w:val="22"/>
          <w:lang w:val="es-ES"/>
        </w:rPr>
        <w:t>. Se reciba una solicitud de acceso a la información;</w:t>
      </w:r>
    </w:p>
    <w:p w14:paraId="62C847EA" w14:textId="77777777" w:rsidR="00285FD2" w:rsidRPr="00220302" w:rsidRDefault="00285FD2" w:rsidP="00285FD2">
      <w:pPr>
        <w:spacing w:before="120" w:after="120"/>
        <w:ind w:left="567" w:right="902"/>
        <w:jc w:val="both"/>
        <w:rPr>
          <w:rFonts w:ascii="Palatino Linotype" w:eastAsia="Palatino Linotype" w:hAnsi="Palatino Linotype" w:cs="Palatino Linotype"/>
          <w:i/>
          <w:sz w:val="22"/>
          <w:szCs w:val="22"/>
          <w:lang w:val="es-ES"/>
        </w:rPr>
      </w:pPr>
      <w:r w:rsidRPr="00220302">
        <w:rPr>
          <w:rFonts w:ascii="Palatino Linotype" w:eastAsia="Palatino Linotype" w:hAnsi="Palatino Linotype" w:cs="Palatino Linotype"/>
          <w:b/>
          <w:i/>
          <w:sz w:val="22"/>
          <w:szCs w:val="22"/>
          <w:lang w:val="es-ES"/>
        </w:rPr>
        <w:t>II</w:t>
      </w:r>
      <w:r w:rsidRPr="00220302">
        <w:rPr>
          <w:rFonts w:ascii="Palatino Linotype" w:eastAsia="Palatino Linotype" w:hAnsi="Palatino Linotype" w:cs="Palatino Linotype"/>
          <w:i/>
          <w:sz w:val="22"/>
          <w:szCs w:val="22"/>
          <w:lang w:val="es-ES"/>
        </w:rPr>
        <w:t>. Se determine mediante resolución de autoridad competente; o</w:t>
      </w:r>
    </w:p>
    <w:p w14:paraId="387BC475" w14:textId="77777777" w:rsidR="00285FD2" w:rsidRPr="00220302" w:rsidRDefault="00285FD2" w:rsidP="00285FD2">
      <w:pPr>
        <w:spacing w:before="120" w:after="120"/>
        <w:ind w:left="567" w:right="902"/>
        <w:jc w:val="both"/>
        <w:rPr>
          <w:rFonts w:ascii="Palatino Linotype" w:eastAsia="Palatino Linotype" w:hAnsi="Palatino Linotype" w:cs="Palatino Linotype"/>
          <w:i/>
          <w:sz w:val="22"/>
          <w:szCs w:val="22"/>
          <w:lang w:val="es-ES"/>
        </w:rPr>
      </w:pPr>
      <w:r w:rsidRPr="00220302">
        <w:rPr>
          <w:rFonts w:ascii="Palatino Linotype" w:eastAsia="Palatino Linotype" w:hAnsi="Palatino Linotype" w:cs="Palatino Linotype"/>
          <w:b/>
          <w:i/>
          <w:sz w:val="22"/>
          <w:szCs w:val="22"/>
          <w:lang w:val="es-ES"/>
        </w:rPr>
        <w:t>III</w:t>
      </w:r>
      <w:r w:rsidRPr="00220302">
        <w:rPr>
          <w:rFonts w:ascii="Palatino Linotype" w:eastAsia="Palatino Linotype" w:hAnsi="Palatino Linotype" w:cs="Palatino Linotype"/>
          <w:i/>
          <w:sz w:val="22"/>
          <w:szCs w:val="22"/>
          <w:lang w:val="es-ES"/>
        </w:rPr>
        <w:t>. Se generen versiones públicas para dar cumplimiento a las obligaciones de transparencia previstas en esta Ley.</w:t>
      </w:r>
    </w:p>
    <w:p w14:paraId="7F2C9E48" w14:textId="77777777" w:rsidR="00285FD2" w:rsidRPr="00220302" w:rsidRDefault="00285FD2" w:rsidP="00285FD2">
      <w:pPr>
        <w:spacing w:before="120" w:after="120"/>
        <w:ind w:left="567" w:right="902"/>
        <w:jc w:val="both"/>
        <w:rPr>
          <w:rFonts w:ascii="Palatino Linotype" w:eastAsia="Palatino Linotype" w:hAnsi="Palatino Linotype" w:cs="Palatino Linotype"/>
          <w:i/>
          <w:sz w:val="22"/>
          <w:szCs w:val="22"/>
          <w:lang w:val="es-ES"/>
        </w:rPr>
      </w:pPr>
      <w:r w:rsidRPr="00220302">
        <w:rPr>
          <w:rFonts w:ascii="Palatino Linotype" w:eastAsia="Palatino Linotype" w:hAnsi="Palatino Linotype" w:cs="Palatino Linotype"/>
          <w:i/>
          <w:sz w:val="22"/>
          <w:szCs w:val="22"/>
          <w:lang w:val="es-ES"/>
        </w:rPr>
        <w:t>[…]</w:t>
      </w:r>
    </w:p>
    <w:p w14:paraId="6DC131EE" w14:textId="77777777" w:rsidR="00285FD2" w:rsidRPr="00220302" w:rsidRDefault="00285FD2" w:rsidP="00285FD2">
      <w:pPr>
        <w:spacing w:before="120" w:after="120"/>
        <w:ind w:left="567" w:right="902"/>
        <w:jc w:val="both"/>
        <w:rPr>
          <w:rFonts w:ascii="Palatino Linotype" w:eastAsia="Palatino Linotype" w:hAnsi="Palatino Linotype" w:cs="Palatino Linotype"/>
          <w:i/>
          <w:sz w:val="22"/>
          <w:szCs w:val="22"/>
          <w:lang w:val="es-ES"/>
        </w:rPr>
      </w:pPr>
      <w:r w:rsidRPr="00220302">
        <w:rPr>
          <w:rFonts w:ascii="Palatino Linotype" w:eastAsia="Palatino Linotype" w:hAnsi="Palatino Linotype" w:cs="Palatino Linotype"/>
          <w:b/>
          <w:i/>
          <w:sz w:val="22"/>
          <w:szCs w:val="22"/>
          <w:lang w:val="es-ES"/>
        </w:rPr>
        <w:t>Artículo 143</w:t>
      </w:r>
      <w:r w:rsidRPr="00220302">
        <w:rPr>
          <w:rFonts w:ascii="Palatino Linotype" w:eastAsia="Palatino Linotype" w:hAnsi="Palatino Linotype" w:cs="Palatino Linotype"/>
          <w:i/>
          <w:sz w:val="22"/>
          <w:szCs w:val="22"/>
          <w:lang w:val="es-ES"/>
        </w:rPr>
        <w:t>. Para los efectos de esta Ley se considera información confidencial, la clasificada como tal, de manera permanente, por su naturaleza, cuando:</w:t>
      </w:r>
    </w:p>
    <w:p w14:paraId="27A56861" w14:textId="77777777" w:rsidR="00285FD2" w:rsidRPr="00220302" w:rsidRDefault="00285FD2" w:rsidP="00285FD2">
      <w:pPr>
        <w:spacing w:before="120" w:after="120"/>
        <w:ind w:left="567" w:right="902"/>
        <w:jc w:val="both"/>
        <w:rPr>
          <w:rFonts w:ascii="Palatino Linotype" w:eastAsia="Palatino Linotype" w:hAnsi="Palatino Linotype" w:cs="Palatino Linotype"/>
          <w:i/>
          <w:sz w:val="22"/>
          <w:szCs w:val="22"/>
          <w:lang w:val="es-ES"/>
        </w:rPr>
      </w:pPr>
      <w:r w:rsidRPr="00220302">
        <w:rPr>
          <w:rFonts w:ascii="Palatino Linotype" w:eastAsia="Palatino Linotype" w:hAnsi="Palatino Linotype" w:cs="Palatino Linotype"/>
          <w:b/>
          <w:i/>
          <w:sz w:val="22"/>
          <w:szCs w:val="22"/>
          <w:lang w:val="es-ES"/>
        </w:rPr>
        <w:t>I.</w:t>
      </w:r>
      <w:r w:rsidRPr="00220302">
        <w:rPr>
          <w:rFonts w:ascii="Palatino Linotype" w:eastAsia="Palatino Linotype" w:hAnsi="Palatino Linotype" w:cs="Palatino Linotype"/>
          <w:i/>
          <w:sz w:val="22"/>
          <w:szCs w:val="22"/>
          <w:lang w:val="es-ES"/>
        </w:rPr>
        <w:t xml:space="preserve"> Se refiera a la información privada y los datos personales concernientes a una persona física o jurídico colectiva identificada o identificable;</w:t>
      </w:r>
    </w:p>
    <w:p w14:paraId="0FA220E4" w14:textId="77777777" w:rsidR="00285FD2" w:rsidRPr="00220302" w:rsidRDefault="00285FD2" w:rsidP="00285FD2">
      <w:pPr>
        <w:spacing w:before="120" w:after="120"/>
        <w:ind w:left="567" w:right="902"/>
        <w:jc w:val="both"/>
        <w:rPr>
          <w:rFonts w:ascii="Palatino Linotype" w:eastAsia="Palatino Linotype" w:hAnsi="Palatino Linotype" w:cs="Palatino Linotype"/>
          <w:i/>
          <w:sz w:val="22"/>
          <w:szCs w:val="22"/>
          <w:lang w:val="es-ES"/>
        </w:rPr>
      </w:pPr>
      <w:r w:rsidRPr="00220302">
        <w:rPr>
          <w:rFonts w:ascii="Palatino Linotype" w:eastAsia="Palatino Linotype" w:hAnsi="Palatino Linotype" w:cs="Palatino Linotype"/>
          <w:b/>
          <w:i/>
          <w:sz w:val="22"/>
          <w:szCs w:val="22"/>
          <w:lang w:val="es-ES"/>
        </w:rPr>
        <w:t>II.</w:t>
      </w:r>
      <w:r w:rsidRPr="00220302">
        <w:rPr>
          <w:rFonts w:ascii="Palatino Linotype" w:eastAsia="Palatino Linotype" w:hAnsi="Palatino Linotype" w:cs="Palatino Linotype"/>
          <w:i/>
          <w:sz w:val="22"/>
          <w:szCs w:val="22"/>
          <w:lang w:val="es-ES"/>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59D48186" w14:textId="77777777" w:rsidR="00285FD2" w:rsidRPr="00220302" w:rsidRDefault="00285FD2" w:rsidP="00285FD2">
      <w:pPr>
        <w:spacing w:before="120" w:after="120"/>
        <w:ind w:left="567" w:right="902"/>
        <w:jc w:val="both"/>
        <w:rPr>
          <w:rFonts w:ascii="Palatino Linotype" w:eastAsia="Palatino Linotype" w:hAnsi="Palatino Linotype" w:cs="Palatino Linotype"/>
          <w:i/>
          <w:sz w:val="22"/>
          <w:szCs w:val="22"/>
          <w:lang w:val="es-ES"/>
        </w:rPr>
      </w:pPr>
      <w:r w:rsidRPr="00220302">
        <w:rPr>
          <w:rFonts w:ascii="Palatino Linotype" w:eastAsia="Palatino Linotype" w:hAnsi="Palatino Linotype" w:cs="Palatino Linotype"/>
          <w:b/>
          <w:i/>
          <w:sz w:val="22"/>
          <w:szCs w:val="22"/>
          <w:lang w:val="es-ES"/>
        </w:rPr>
        <w:t>III</w:t>
      </w:r>
      <w:r w:rsidRPr="00220302">
        <w:rPr>
          <w:rFonts w:ascii="Palatino Linotype" w:eastAsia="Palatino Linotype" w:hAnsi="Palatino Linotype" w:cs="Palatino Linotype"/>
          <w:i/>
          <w:sz w:val="22"/>
          <w:szCs w:val="22"/>
          <w:lang w:val="es-ES"/>
        </w:rPr>
        <w:t>. La que presenten los particulares a los sujetos obligados, de conformidad con lo dispuesto por las leyes o los tratados internacionales.</w:t>
      </w:r>
    </w:p>
    <w:p w14:paraId="4879E272" w14:textId="77777777" w:rsidR="00285FD2" w:rsidRPr="00220302" w:rsidRDefault="00285FD2" w:rsidP="00285FD2">
      <w:pPr>
        <w:spacing w:before="120" w:after="120"/>
        <w:ind w:left="567" w:right="902"/>
        <w:jc w:val="both"/>
        <w:rPr>
          <w:rFonts w:ascii="Palatino Linotype" w:eastAsia="Palatino Linotype" w:hAnsi="Palatino Linotype" w:cs="Palatino Linotype"/>
          <w:i/>
          <w:sz w:val="22"/>
          <w:szCs w:val="22"/>
          <w:lang w:val="es-ES"/>
        </w:rPr>
      </w:pPr>
      <w:r w:rsidRPr="00220302">
        <w:rPr>
          <w:rFonts w:ascii="Palatino Linotype" w:eastAsia="Palatino Linotype" w:hAnsi="Palatino Linotype" w:cs="Palatino Linotype"/>
          <w:i/>
          <w:sz w:val="22"/>
          <w:szCs w:val="22"/>
          <w:lang w:val="es-ES"/>
        </w:rPr>
        <w:t>La información confidencial no estará sujeta a temporalidad alguna y sólo podrán tener acceso a ella los titulares de la misma, sus representantes y los servidores públicos facultados para ello.</w:t>
      </w:r>
    </w:p>
    <w:p w14:paraId="06F1176B" w14:textId="77777777" w:rsidR="00285FD2" w:rsidRPr="00220302" w:rsidRDefault="00285FD2" w:rsidP="00285FD2">
      <w:pPr>
        <w:spacing w:before="120" w:after="120"/>
        <w:ind w:left="567" w:right="902"/>
        <w:jc w:val="both"/>
        <w:rPr>
          <w:rFonts w:ascii="Palatino Linotype" w:eastAsia="Palatino Linotype" w:hAnsi="Palatino Linotype" w:cs="Palatino Linotype"/>
          <w:i/>
          <w:sz w:val="22"/>
          <w:szCs w:val="22"/>
          <w:lang w:val="es-ES"/>
        </w:rPr>
      </w:pPr>
      <w:r w:rsidRPr="00220302">
        <w:rPr>
          <w:rFonts w:ascii="Palatino Linotype" w:eastAsia="Palatino Linotype" w:hAnsi="Palatino Linotype" w:cs="Palatino Linotype"/>
          <w:i/>
          <w:sz w:val="22"/>
          <w:szCs w:val="22"/>
          <w:lang w:val="es-ES"/>
        </w:rPr>
        <w:t>No se considerará confidencial la información que se encuentre en los registros públicos o en fuentes de acceso público, ni tampoco la que sea considerada por la presente ley como información pública.”</w:t>
      </w:r>
    </w:p>
    <w:p w14:paraId="6A1C1BD7" w14:textId="77777777" w:rsidR="00285FD2" w:rsidRPr="00220302" w:rsidRDefault="00285FD2" w:rsidP="00285FD2">
      <w:pPr>
        <w:spacing w:before="240" w:after="240" w:line="360" w:lineRule="auto"/>
        <w:jc w:val="both"/>
        <w:rPr>
          <w:rFonts w:ascii="Palatino Linotype" w:eastAsia="Palatino Linotype" w:hAnsi="Palatino Linotype" w:cs="Palatino Linotype"/>
          <w:sz w:val="22"/>
          <w:szCs w:val="22"/>
          <w:lang w:val="es-ES"/>
        </w:rPr>
      </w:pPr>
      <w:r w:rsidRPr="00220302">
        <w:rPr>
          <w:rFonts w:ascii="Palatino Linotype" w:eastAsia="Palatino Linotype" w:hAnsi="Palatino Linotype" w:cs="Palatino Linotype"/>
          <w:sz w:val="22"/>
          <w:szCs w:val="22"/>
          <w:lang w:val="es-ES"/>
        </w:rPr>
        <w:t xml:space="preserve">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w:t>
      </w:r>
      <w:r w:rsidRPr="00220302">
        <w:rPr>
          <w:rFonts w:ascii="Palatino Linotype" w:eastAsia="Palatino Linotype" w:hAnsi="Palatino Linotype" w:cs="Palatino Linotype"/>
          <w:sz w:val="22"/>
          <w:szCs w:val="22"/>
          <w:lang w:val="es-ES"/>
        </w:rPr>
        <w:lastRenderedPageBreak/>
        <w:t>posean, desclasificarán y generarán, en su caso, versiones públicas de expedientes o documentos que contengan partes o secciones clasificadas.</w:t>
      </w:r>
    </w:p>
    <w:p w14:paraId="5364FB3E" w14:textId="77777777" w:rsidR="00285FD2" w:rsidRPr="00220302" w:rsidRDefault="00285FD2" w:rsidP="00285FD2">
      <w:pPr>
        <w:spacing w:line="360" w:lineRule="auto"/>
        <w:jc w:val="both"/>
        <w:rPr>
          <w:rFonts w:ascii="Palatino Linotype" w:eastAsia="Palatino Linotype" w:hAnsi="Palatino Linotype" w:cs="Palatino Linotype"/>
          <w:sz w:val="22"/>
          <w:szCs w:val="22"/>
          <w:lang w:val="es-ES"/>
        </w:rPr>
      </w:pPr>
      <w:r w:rsidRPr="00220302">
        <w:rPr>
          <w:rFonts w:ascii="Palatino Linotype" w:eastAsia="Palatino Linotype" w:hAnsi="Palatino Linotype" w:cs="Palatino Linotype"/>
          <w:sz w:val="22"/>
          <w:szCs w:val="22"/>
          <w:lang w:val="es-ES"/>
        </w:rPr>
        <w:t>Entorno a lo que aquí nos interesa,</w:t>
      </w:r>
      <w:r w:rsidRPr="00220302">
        <w:rPr>
          <w:rFonts w:ascii="Palatino Linotype" w:eastAsia="Palatino Linotype" w:hAnsi="Palatino Linotype" w:cs="Palatino Linotype"/>
          <w:color w:val="000000"/>
          <w:sz w:val="22"/>
          <w:szCs w:val="22"/>
          <w:lang w:val="es-ES"/>
        </w:rPr>
        <w:t xml:space="preserve"> los Lineamientos Quincuagésimo, Quincuagésimo primero, Quincuagésimo segundo, Quincuagésimo tercero, Quincuagésimo cuarto y Quincuagésimo quinto</w:t>
      </w:r>
      <w:r w:rsidRPr="00220302">
        <w:rPr>
          <w:rFonts w:ascii="Palatino Linotype" w:eastAsia="Palatino Linotype" w:hAnsi="Palatino Linotype" w:cs="Palatino Linotype"/>
          <w:sz w:val="22"/>
          <w:szCs w:val="22"/>
          <w:lang w:val="es-ES"/>
        </w:rPr>
        <w:t xml:space="preserve"> señalan las formalidades que deberá llevar el acuerdo de clasificación que deberá emitir el </w:t>
      </w:r>
      <w:r w:rsidRPr="00220302">
        <w:rPr>
          <w:rFonts w:ascii="Palatino Linotype" w:eastAsia="Palatino Linotype" w:hAnsi="Palatino Linotype" w:cs="Palatino Linotype"/>
          <w:b/>
          <w:sz w:val="22"/>
          <w:szCs w:val="22"/>
          <w:lang w:val="es-ES"/>
        </w:rPr>
        <w:t>Sujeto Obligado</w:t>
      </w:r>
      <w:r w:rsidRPr="00220302">
        <w:rPr>
          <w:rFonts w:ascii="Palatino Linotype" w:eastAsia="Palatino Linotype" w:hAnsi="Palatino Linotype" w:cs="Palatino Linotype"/>
          <w:sz w:val="22"/>
          <w:szCs w:val="22"/>
          <w:lang w:val="es-ES"/>
        </w:rPr>
        <w:t>, siendo estas las siguientes:</w:t>
      </w:r>
    </w:p>
    <w:p w14:paraId="64076831" w14:textId="77777777" w:rsidR="00285FD2" w:rsidRPr="00220302" w:rsidRDefault="00285FD2" w:rsidP="00285FD2">
      <w:pPr>
        <w:spacing w:line="360" w:lineRule="auto"/>
        <w:jc w:val="both"/>
        <w:rPr>
          <w:rFonts w:ascii="Palatino Linotype" w:eastAsia="Palatino Linotype" w:hAnsi="Palatino Linotype" w:cs="Palatino Linotype"/>
          <w:sz w:val="22"/>
          <w:szCs w:val="22"/>
          <w:lang w:val="es-ES"/>
        </w:rPr>
      </w:pPr>
    </w:p>
    <w:p w14:paraId="0B350482" w14:textId="77777777" w:rsidR="00285FD2" w:rsidRPr="00220302" w:rsidRDefault="00285FD2" w:rsidP="00285FD2">
      <w:pPr>
        <w:spacing w:line="276" w:lineRule="auto"/>
        <w:ind w:left="567"/>
        <w:jc w:val="both"/>
        <w:rPr>
          <w:rFonts w:ascii="Palatino Linotype" w:eastAsia="Palatino Linotype" w:hAnsi="Palatino Linotype" w:cs="Palatino Linotype"/>
          <w:i/>
          <w:sz w:val="22"/>
          <w:szCs w:val="22"/>
          <w:lang w:val="es-ES"/>
        </w:rPr>
      </w:pPr>
      <w:r w:rsidRPr="00220302">
        <w:rPr>
          <w:rFonts w:ascii="Palatino Linotype" w:eastAsia="Palatino Linotype" w:hAnsi="Palatino Linotype" w:cs="Palatino Linotype"/>
          <w:i/>
          <w:sz w:val="22"/>
          <w:szCs w:val="22"/>
          <w:lang w:val="es-ES"/>
        </w:rPr>
        <w:t xml:space="preserve">“CAPÍTULO VIII </w:t>
      </w:r>
    </w:p>
    <w:p w14:paraId="0BFAA780" w14:textId="77777777" w:rsidR="00285FD2" w:rsidRPr="00220302" w:rsidRDefault="00285FD2" w:rsidP="00285FD2">
      <w:pPr>
        <w:spacing w:line="276" w:lineRule="auto"/>
        <w:ind w:left="567"/>
        <w:jc w:val="both"/>
        <w:rPr>
          <w:rFonts w:ascii="Palatino Linotype" w:eastAsia="Palatino Linotype" w:hAnsi="Palatino Linotype" w:cs="Palatino Linotype"/>
          <w:i/>
          <w:sz w:val="22"/>
          <w:szCs w:val="22"/>
          <w:lang w:val="es-ES"/>
        </w:rPr>
      </w:pPr>
      <w:r w:rsidRPr="00220302">
        <w:rPr>
          <w:rFonts w:ascii="Palatino Linotype" w:eastAsia="Palatino Linotype" w:hAnsi="Palatino Linotype" w:cs="Palatino Linotype"/>
          <w:i/>
          <w:sz w:val="22"/>
          <w:szCs w:val="22"/>
          <w:lang w:val="es-ES"/>
        </w:rPr>
        <w:t xml:space="preserve">DE LOS ELEMENTOS PARA LA CLASIFICACIÓN </w:t>
      </w:r>
    </w:p>
    <w:p w14:paraId="29F89CCA" w14:textId="77777777" w:rsidR="00285FD2" w:rsidRPr="00220302" w:rsidRDefault="00285FD2" w:rsidP="00285FD2">
      <w:pPr>
        <w:spacing w:line="276" w:lineRule="auto"/>
        <w:ind w:left="567" w:right="900"/>
        <w:jc w:val="both"/>
        <w:rPr>
          <w:rFonts w:ascii="Palatino Linotype" w:eastAsia="Palatino Linotype" w:hAnsi="Palatino Linotype" w:cs="Palatino Linotype"/>
          <w:i/>
          <w:sz w:val="22"/>
          <w:szCs w:val="22"/>
          <w:lang w:val="es-ES"/>
        </w:rPr>
      </w:pPr>
      <w:r w:rsidRPr="00220302">
        <w:rPr>
          <w:rFonts w:ascii="Palatino Linotype" w:eastAsia="Palatino Linotype" w:hAnsi="Palatino Linotype" w:cs="Palatino Linotype"/>
          <w:b/>
          <w:i/>
          <w:sz w:val="22"/>
          <w:szCs w:val="22"/>
          <w:lang w:val="es-ES"/>
        </w:rPr>
        <w:t>Quincuagésimo.</w:t>
      </w:r>
      <w:r w:rsidRPr="00220302">
        <w:rPr>
          <w:rFonts w:ascii="Palatino Linotype" w:eastAsia="Palatino Linotype" w:hAnsi="Palatino Linotype" w:cs="Palatino Linotype"/>
          <w:i/>
          <w:sz w:val="22"/>
          <w:szCs w:val="22"/>
          <w:lang w:val="es-ES"/>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41A3A934" w14:textId="77777777" w:rsidR="00285FD2" w:rsidRPr="00220302" w:rsidRDefault="00285FD2" w:rsidP="00285FD2">
      <w:pPr>
        <w:spacing w:line="276" w:lineRule="auto"/>
        <w:ind w:left="567" w:right="900"/>
        <w:jc w:val="both"/>
        <w:rPr>
          <w:rFonts w:ascii="Palatino Linotype" w:eastAsia="Palatino Linotype" w:hAnsi="Palatino Linotype" w:cs="Palatino Linotype"/>
          <w:i/>
          <w:sz w:val="22"/>
          <w:szCs w:val="22"/>
          <w:lang w:val="es-ES"/>
        </w:rPr>
      </w:pPr>
      <w:r w:rsidRPr="00220302">
        <w:rPr>
          <w:rFonts w:ascii="Palatino Linotype" w:eastAsia="Palatino Linotype" w:hAnsi="Palatino Linotype" w:cs="Palatino Linotype"/>
          <w:b/>
          <w:i/>
          <w:sz w:val="22"/>
          <w:szCs w:val="22"/>
          <w:lang w:val="es-ES"/>
        </w:rPr>
        <w:t>Quincuagésimo primero.</w:t>
      </w:r>
      <w:r w:rsidRPr="00220302">
        <w:rPr>
          <w:rFonts w:ascii="Palatino Linotype" w:eastAsia="Palatino Linotype" w:hAnsi="Palatino Linotype" w:cs="Palatino Linotype"/>
          <w:i/>
          <w:sz w:val="22"/>
          <w:szCs w:val="22"/>
          <w:lang w:val="es-ES"/>
        </w:rPr>
        <w:t xml:space="preserve"> Toda acta del Comité de Transparencia deberá contener: </w:t>
      </w:r>
    </w:p>
    <w:p w14:paraId="3E9F1618" w14:textId="77777777" w:rsidR="00285FD2" w:rsidRPr="00220302" w:rsidRDefault="00285FD2" w:rsidP="00285FD2">
      <w:pPr>
        <w:numPr>
          <w:ilvl w:val="1"/>
          <w:numId w:val="11"/>
        </w:num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lang w:val="es-ES"/>
        </w:rPr>
      </w:pPr>
      <w:r w:rsidRPr="00220302">
        <w:rPr>
          <w:rFonts w:ascii="Palatino Linotype" w:eastAsia="Palatino Linotype" w:hAnsi="Palatino Linotype" w:cs="Palatino Linotype"/>
          <w:i/>
          <w:color w:val="000000"/>
          <w:sz w:val="22"/>
          <w:szCs w:val="22"/>
          <w:lang w:val="es-ES"/>
        </w:rPr>
        <w:t xml:space="preserve">El número de sesión y fecha; </w:t>
      </w:r>
    </w:p>
    <w:p w14:paraId="781F6743" w14:textId="77777777" w:rsidR="00285FD2" w:rsidRPr="00220302" w:rsidRDefault="00285FD2" w:rsidP="00285FD2">
      <w:pPr>
        <w:numPr>
          <w:ilvl w:val="1"/>
          <w:numId w:val="11"/>
        </w:numPr>
        <w:pBdr>
          <w:top w:val="nil"/>
          <w:left w:val="nil"/>
          <w:bottom w:val="nil"/>
          <w:right w:val="nil"/>
          <w:between w:val="nil"/>
        </w:pBdr>
        <w:spacing w:line="276" w:lineRule="auto"/>
        <w:ind w:left="426" w:right="900"/>
        <w:jc w:val="both"/>
        <w:rPr>
          <w:rFonts w:ascii="Palatino Linotype" w:eastAsia="Palatino Linotype" w:hAnsi="Palatino Linotype" w:cs="Palatino Linotype"/>
          <w:i/>
          <w:color w:val="000000"/>
          <w:sz w:val="22"/>
          <w:szCs w:val="22"/>
          <w:lang w:val="es-ES"/>
        </w:rPr>
      </w:pPr>
      <w:r w:rsidRPr="00220302">
        <w:rPr>
          <w:rFonts w:ascii="Palatino Linotype" w:eastAsia="Palatino Linotype" w:hAnsi="Palatino Linotype" w:cs="Palatino Linotype"/>
          <w:i/>
          <w:color w:val="000000"/>
          <w:sz w:val="22"/>
          <w:szCs w:val="22"/>
          <w:lang w:val="es-ES"/>
        </w:rPr>
        <w:t xml:space="preserve">El nombre del área que solicitó la clasificación de información; </w:t>
      </w:r>
    </w:p>
    <w:p w14:paraId="67C97FA8" w14:textId="77777777" w:rsidR="00285FD2" w:rsidRPr="00220302" w:rsidRDefault="00285FD2" w:rsidP="00285FD2">
      <w:pPr>
        <w:numPr>
          <w:ilvl w:val="1"/>
          <w:numId w:val="11"/>
        </w:numPr>
        <w:pBdr>
          <w:top w:val="nil"/>
          <w:left w:val="nil"/>
          <w:bottom w:val="nil"/>
          <w:right w:val="nil"/>
          <w:between w:val="nil"/>
        </w:pBdr>
        <w:spacing w:line="276" w:lineRule="auto"/>
        <w:ind w:left="426" w:right="900"/>
        <w:jc w:val="both"/>
        <w:rPr>
          <w:rFonts w:ascii="Palatino Linotype" w:eastAsia="Palatino Linotype" w:hAnsi="Palatino Linotype" w:cs="Palatino Linotype"/>
          <w:i/>
          <w:color w:val="000000"/>
          <w:sz w:val="22"/>
          <w:szCs w:val="22"/>
          <w:lang w:val="es-ES"/>
        </w:rPr>
      </w:pPr>
      <w:r w:rsidRPr="00220302">
        <w:rPr>
          <w:rFonts w:ascii="Palatino Linotype" w:eastAsia="Palatino Linotype" w:hAnsi="Palatino Linotype" w:cs="Palatino Linotype"/>
          <w:i/>
          <w:color w:val="000000"/>
          <w:sz w:val="22"/>
          <w:szCs w:val="22"/>
          <w:lang w:val="es-ES"/>
        </w:rPr>
        <w:t xml:space="preserve">La fundamentación legal y motivación correspondiente; </w:t>
      </w:r>
    </w:p>
    <w:p w14:paraId="383335DC" w14:textId="77777777" w:rsidR="00285FD2" w:rsidRPr="00220302" w:rsidRDefault="00285FD2" w:rsidP="00285FD2">
      <w:pPr>
        <w:numPr>
          <w:ilvl w:val="1"/>
          <w:numId w:val="11"/>
        </w:numPr>
        <w:pBdr>
          <w:top w:val="nil"/>
          <w:left w:val="nil"/>
          <w:bottom w:val="nil"/>
          <w:right w:val="nil"/>
          <w:between w:val="nil"/>
        </w:pBdr>
        <w:spacing w:line="276" w:lineRule="auto"/>
        <w:ind w:left="426" w:right="900"/>
        <w:jc w:val="both"/>
        <w:rPr>
          <w:rFonts w:ascii="Palatino Linotype" w:eastAsia="Palatino Linotype" w:hAnsi="Palatino Linotype" w:cs="Palatino Linotype"/>
          <w:i/>
          <w:color w:val="000000"/>
          <w:sz w:val="22"/>
          <w:szCs w:val="22"/>
          <w:lang w:val="es-ES"/>
        </w:rPr>
      </w:pPr>
      <w:r w:rsidRPr="00220302">
        <w:rPr>
          <w:rFonts w:ascii="Palatino Linotype" w:eastAsia="Palatino Linotype" w:hAnsi="Palatino Linotype" w:cs="Palatino Linotype"/>
          <w:i/>
          <w:color w:val="000000"/>
          <w:sz w:val="22"/>
          <w:szCs w:val="22"/>
          <w:lang w:val="es-ES"/>
        </w:rPr>
        <w:t xml:space="preserve">La resolución o resoluciones aprobadas; y </w:t>
      </w:r>
    </w:p>
    <w:p w14:paraId="1FA60CFE" w14:textId="77777777" w:rsidR="00285FD2" w:rsidRPr="00220302" w:rsidRDefault="00285FD2" w:rsidP="00285FD2">
      <w:pPr>
        <w:numPr>
          <w:ilvl w:val="1"/>
          <w:numId w:val="11"/>
        </w:numPr>
        <w:pBdr>
          <w:top w:val="nil"/>
          <w:left w:val="nil"/>
          <w:bottom w:val="nil"/>
          <w:right w:val="nil"/>
          <w:between w:val="nil"/>
        </w:pBdr>
        <w:spacing w:line="276" w:lineRule="auto"/>
        <w:ind w:left="426" w:right="900"/>
        <w:jc w:val="both"/>
        <w:rPr>
          <w:rFonts w:ascii="Palatino Linotype" w:eastAsia="Palatino Linotype" w:hAnsi="Palatino Linotype" w:cs="Palatino Linotype"/>
          <w:i/>
          <w:color w:val="000000"/>
          <w:sz w:val="22"/>
          <w:szCs w:val="22"/>
          <w:lang w:val="es-ES"/>
        </w:rPr>
      </w:pPr>
      <w:r w:rsidRPr="00220302">
        <w:rPr>
          <w:rFonts w:ascii="Palatino Linotype" w:eastAsia="Palatino Linotype" w:hAnsi="Palatino Linotype" w:cs="Palatino Linotype"/>
          <w:i/>
          <w:color w:val="000000"/>
          <w:sz w:val="22"/>
          <w:szCs w:val="22"/>
          <w:lang w:val="es-ES"/>
        </w:rPr>
        <w:t xml:space="preserve">La rúbrica o firma digital de cada integrante del Comité de Transparencia. </w:t>
      </w:r>
    </w:p>
    <w:p w14:paraId="404D3E78" w14:textId="77777777" w:rsidR="00285FD2" w:rsidRPr="00220302" w:rsidRDefault="00285FD2" w:rsidP="00285FD2">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lang w:val="es-ES"/>
        </w:rPr>
      </w:pPr>
      <w:r w:rsidRPr="00220302">
        <w:rPr>
          <w:rFonts w:ascii="Palatino Linotype" w:eastAsia="Palatino Linotype" w:hAnsi="Palatino Linotype" w:cs="Palatino Linotype"/>
          <w:i/>
          <w:color w:val="000000"/>
          <w:sz w:val="22"/>
          <w:szCs w:val="22"/>
          <w:lang w:val="es-ES"/>
        </w:rPr>
        <w:t xml:space="preserve">Las resoluciones del Comité en las que se haya determinado confirmar o modificar la clasificación de información pública como reservada, deberán incluir, cuando menos: </w:t>
      </w:r>
    </w:p>
    <w:p w14:paraId="6E626565" w14:textId="77777777" w:rsidR="00285FD2" w:rsidRPr="00220302" w:rsidRDefault="00285FD2" w:rsidP="00285FD2">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lang w:val="es-ES"/>
        </w:rPr>
      </w:pPr>
      <w:r w:rsidRPr="00220302">
        <w:rPr>
          <w:rFonts w:ascii="Palatino Linotype" w:eastAsia="Palatino Linotype" w:hAnsi="Palatino Linotype" w:cs="Palatino Linotype"/>
          <w:i/>
          <w:color w:val="000000"/>
          <w:sz w:val="22"/>
          <w:szCs w:val="22"/>
          <w:lang w:val="es-ES"/>
        </w:rPr>
        <w:t>I. Los motivos y razonamientos que sustenten la confirmación o modificación de la prueba de daño;</w:t>
      </w:r>
    </w:p>
    <w:p w14:paraId="4FD8D1CC" w14:textId="77777777" w:rsidR="00285FD2" w:rsidRPr="00220302" w:rsidRDefault="00285FD2" w:rsidP="00285FD2">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lang w:val="es-ES"/>
        </w:rPr>
      </w:pPr>
      <w:r w:rsidRPr="00220302">
        <w:rPr>
          <w:rFonts w:ascii="Palatino Linotype" w:eastAsia="Palatino Linotype" w:hAnsi="Palatino Linotype" w:cs="Palatino Linotype"/>
          <w:i/>
          <w:color w:val="000000"/>
          <w:sz w:val="22"/>
          <w:szCs w:val="22"/>
          <w:lang w:val="es-ES"/>
        </w:rPr>
        <w:t xml:space="preserve">II. Descripción de las partes o secciones reservadas, en caso de clasificación parcial; </w:t>
      </w:r>
    </w:p>
    <w:p w14:paraId="4BF54D8F" w14:textId="77777777" w:rsidR="00285FD2" w:rsidRPr="00220302" w:rsidRDefault="00285FD2" w:rsidP="00285FD2">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lang w:val="es-ES"/>
        </w:rPr>
      </w:pPr>
      <w:r w:rsidRPr="00220302">
        <w:rPr>
          <w:rFonts w:ascii="Palatino Linotype" w:eastAsia="Palatino Linotype" w:hAnsi="Palatino Linotype" w:cs="Palatino Linotype"/>
          <w:i/>
          <w:color w:val="000000"/>
          <w:sz w:val="22"/>
          <w:szCs w:val="22"/>
          <w:lang w:val="es-ES"/>
        </w:rPr>
        <w:t xml:space="preserve">III. El periodo por el que mantendrá su clasificación y fecha de expiración; y </w:t>
      </w:r>
    </w:p>
    <w:p w14:paraId="1CAD479C" w14:textId="77777777" w:rsidR="00285FD2" w:rsidRPr="00220302" w:rsidRDefault="00285FD2" w:rsidP="00285FD2">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lang w:val="es-ES"/>
        </w:rPr>
      </w:pPr>
      <w:r w:rsidRPr="00220302">
        <w:rPr>
          <w:rFonts w:ascii="Palatino Linotype" w:eastAsia="Palatino Linotype" w:hAnsi="Palatino Linotype" w:cs="Palatino Linotype"/>
          <w:i/>
          <w:color w:val="000000"/>
          <w:sz w:val="22"/>
          <w:szCs w:val="22"/>
          <w:lang w:val="es-ES"/>
        </w:rPr>
        <w:t xml:space="preserve">IV. El nombre del titular y área encargada de realizar la versión pública del documento, en su caso. </w:t>
      </w:r>
    </w:p>
    <w:p w14:paraId="3EA0EB49" w14:textId="77777777" w:rsidR="00285FD2" w:rsidRPr="00220302" w:rsidRDefault="00285FD2" w:rsidP="00285FD2">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lang w:val="es-ES"/>
        </w:rPr>
      </w:pPr>
      <w:r w:rsidRPr="00220302">
        <w:rPr>
          <w:rFonts w:ascii="Palatino Linotype" w:eastAsia="Palatino Linotype" w:hAnsi="Palatino Linotype" w:cs="Palatino Linotype"/>
          <w:i/>
          <w:color w:val="000000"/>
          <w:sz w:val="22"/>
          <w:szCs w:val="22"/>
          <w:lang w:val="es-ES"/>
        </w:rPr>
        <w:t xml:space="preserve">En los casos en que se clasifique la información como reservada siempre se entregará o anexará la prueba de daño con la respuesta al solicitante. </w:t>
      </w:r>
    </w:p>
    <w:p w14:paraId="3E6F3187" w14:textId="77777777" w:rsidR="00285FD2" w:rsidRPr="00220302" w:rsidRDefault="00285FD2" w:rsidP="00285FD2">
      <w:pPr>
        <w:pBdr>
          <w:top w:val="nil"/>
          <w:left w:val="nil"/>
          <w:bottom w:val="nil"/>
          <w:right w:val="nil"/>
          <w:between w:val="nil"/>
        </w:pBdr>
        <w:spacing w:line="276" w:lineRule="auto"/>
        <w:ind w:left="567" w:right="900"/>
        <w:jc w:val="both"/>
        <w:rPr>
          <w:rFonts w:ascii="Palatino Linotype" w:eastAsia="Palatino Linotype" w:hAnsi="Palatino Linotype" w:cs="Palatino Linotype"/>
          <w:b/>
          <w:i/>
          <w:color w:val="000000"/>
          <w:sz w:val="22"/>
          <w:szCs w:val="22"/>
          <w:lang w:val="es-ES"/>
        </w:rPr>
      </w:pPr>
      <w:r w:rsidRPr="00220302">
        <w:rPr>
          <w:rFonts w:ascii="Palatino Linotype" w:eastAsia="Palatino Linotype" w:hAnsi="Palatino Linotype" w:cs="Palatino Linotype"/>
          <w:b/>
          <w:i/>
          <w:color w:val="000000"/>
          <w:sz w:val="22"/>
          <w:szCs w:val="22"/>
          <w:lang w:val="es-ES"/>
        </w:rPr>
        <w:t xml:space="preserve">En los casos de resoluciones del Comité de Transparencia en las que se confirme la clasificación de información confidencial solo se deberán de </w:t>
      </w:r>
      <w:r w:rsidRPr="00220302">
        <w:rPr>
          <w:rFonts w:ascii="Palatino Linotype" w:eastAsia="Palatino Linotype" w:hAnsi="Palatino Linotype" w:cs="Palatino Linotype"/>
          <w:b/>
          <w:i/>
          <w:color w:val="000000"/>
          <w:sz w:val="22"/>
          <w:szCs w:val="22"/>
          <w:lang w:val="es-ES"/>
        </w:rPr>
        <w:lastRenderedPageBreak/>
        <w:t>identificar los tipos de datos protegidos, de conformidad con el lineamiento trigésimo octavo.</w:t>
      </w:r>
    </w:p>
    <w:p w14:paraId="4ACBD1FF" w14:textId="77777777" w:rsidR="00285FD2" w:rsidRPr="00220302" w:rsidRDefault="00285FD2" w:rsidP="00285FD2">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lang w:val="es-ES"/>
        </w:rPr>
      </w:pPr>
      <w:r w:rsidRPr="00220302">
        <w:rPr>
          <w:rFonts w:ascii="Palatino Linotype" w:eastAsia="Palatino Linotype" w:hAnsi="Palatino Linotype" w:cs="Palatino Linotype"/>
          <w:b/>
          <w:i/>
          <w:color w:val="000000"/>
          <w:sz w:val="22"/>
          <w:szCs w:val="22"/>
          <w:lang w:val="es-ES"/>
        </w:rPr>
        <w:t xml:space="preserve">Quincuagésimo segundo. </w:t>
      </w:r>
      <w:r w:rsidRPr="00220302">
        <w:rPr>
          <w:rFonts w:ascii="Palatino Linotype" w:eastAsia="Palatino Linotype" w:hAnsi="Palatino Linotype" w:cs="Palatino Linotype"/>
          <w:i/>
          <w:color w:val="000000"/>
          <w:sz w:val="22"/>
          <w:szCs w:val="22"/>
          <w:lang w:val="es-ES"/>
        </w:rPr>
        <w:t>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08440832" w14:textId="77777777" w:rsidR="00285FD2" w:rsidRPr="00220302" w:rsidRDefault="00285FD2" w:rsidP="00285FD2">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lang w:val="es-ES"/>
        </w:rPr>
      </w:pPr>
      <w:r w:rsidRPr="00220302">
        <w:rPr>
          <w:rFonts w:ascii="Palatino Linotype" w:eastAsia="Palatino Linotype" w:hAnsi="Palatino Linotype" w:cs="Palatino Linotype"/>
          <w:i/>
          <w:color w:val="000000"/>
          <w:sz w:val="22"/>
          <w:szCs w:val="22"/>
          <w:lang w:val="es-ES"/>
        </w:rPr>
        <w:t>En el caso específico de la clasificación y elaboración de versiones públicas de documentos que contengan información confidencial, las áreas de los sujetos obligados deberán:</w:t>
      </w:r>
    </w:p>
    <w:p w14:paraId="34FB1080" w14:textId="77777777" w:rsidR="00285FD2" w:rsidRPr="00220302" w:rsidRDefault="00285FD2" w:rsidP="00285FD2">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lang w:val="es-ES"/>
        </w:rPr>
      </w:pPr>
      <w:r w:rsidRPr="00220302">
        <w:rPr>
          <w:rFonts w:ascii="Palatino Linotype" w:eastAsia="Palatino Linotype" w:hAnsi="Palatino Linotype" w:cs="Palatino Linotype"/>
          <w:i/>
          <w:color w:val="000000"/>
          <w:sz w:val="22"/>
          <w:szCs w:val="22"/>
          <w:lang w:val="es-ES"/>
        </w:rPr>
        <w:t>I. Fijar la fecha en que se elaboró la versión pública y la fecha en la cual el Comité de</w:t>
      </w:r>
    </w:p>
    <w:p w14:paraId="1EB4CA08" w14:textId="77777777" w:rsidR="00285FD2" w:rsidRPr="00220302" w:rsidRDefault="00285FD2" w:rsidP="00285FD2">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lang w:val="es-ES"/>
        </w:rPr>
      </w:pPr>
      <w:r w:rsidRPr="00220302">
        <w:rPr>
          <w:rFonts w:ascii="Palatino Linotype" w:eastAsia="Palatino Linotype" w:hAnsi="Palatino Linotype" w:cs="Palatino Linotype"/>
          <w:i/>
          <w:color w:val="000000"/>
          <w:sz w:val="22"/>
          <w:szCs w:val="22"/>
          <w:lang w:val="es-ES"/>
        </w:rPr>
        <w:t>Transparencia confirmó dicha versión;</w:t>
      </w:r>
    </w:p>
    <w:p w14:paraId="18B74BFB" w14:textId="77777777" w:rsidR="00285FD2" w:rsidRPr="00220302" w:rsidRDefault="00285FD2" w:rsidP="00285FD2">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lang w:val="es-ES"/>
        </w:rPr>
      </w:pPr>
      <w:r w:rsidRPr="00220302">
        <w:rPr>
          <w:rFonts w:ascii="Palatino Linotype" w:eastAsia="Palatino Linotype" w:hAnsi="Palatino Linotype" w:cs="Palatino Linotype"/>
          <w:i/>
          <w:color w:val="000000"/>
          <w:sz w:val="22"/>
          <w:szCs w:val="22"/>
          <w:lang w:val="es-ES"/>
        </w:rPr>
        <w:t>II. Señalar dentro del documento el tipo de información confidencial que fue testada en cada caso específico, de conformidad con el lineamiento trigésimo octavo; y</w:t>
      </w:r>
    </w:p>
    <w:p w14:paraId="4AEAA311" w14:textId="77777777" w:rsidR="00285FD2" w:rsidRPr="00220302" w:rsidRDefault="00285FD2" w:rsidP="00285FD2">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lang w:val="es-ES"/>
        </w:rPr>
      </w:pPr>
      <w:r w:rsidRPr="00220302">
        <w:rPr>
          <w:rFonts w:ascii="Palatino Linotype" w:eastAsia="Palatino Linotype" w:hAnsi="Palatino Linotype" w:cs="Palatino Linotype"/>
          <w:i/>
          <w:color w:val="000000"/>
          <w:sz w:val="22"/>
          <w:szCs w:val="22"/>
          <w:lang w:val="es-ES"/>
        </w:rPr>
        <w:t>III. Señalar las personas o instancias autorizadas a acceder a la información clasificada.</w:t>
      </w:r>
    </w:p>
    <w:p w14:paraId="267E9693" w14:textId="77777777" w:rsidR="00285FD2" w:rsidRPr="00220302" w:rsidRDefault="00285FD2" w:rsidP="00285FD2">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lang w:val="es-ES"/>
        </w:rPr>
      </w:pPr>
      <w:r w:rsidRPr="00220302">
        <w:rPr>
          <w:rFonts w:ascii="Palatino Linotype" w:eastAsia="Palatino Linotype" w:hAnsi="Palatino Linotype" w:cs="Palatino Linotype"/>
          <w:i/>
          <w:color w:val="000000"/>
          <w:sz w:val="22"/>
          <w:szCs w:val="22"/>
          <w:lang w:val="es-ES"/>
        </w:rPr>
        <w:t>En los documentos de difusión electrónica, señalar en la primera hoja y en el nombre del archivo, que la versión pública corresponde a un documento que contiene información confidencial.</w:t>
      </w:r>
      <w:r w:rsidRPr="00220302">
        <w:rPr>
          <w:noProof/>
          <w:sz w:val="22"/>
          <w:szCs w:val="22"/>
        </w:rPr>
        <w:drawing>
          <wp:anchor distT="0" distB="0" distL="114300" distR="114300" simplePos="0" relativeHeight="251659264" behindDoc="0" locked="0" layoutInCell="1" hidden="0" allowOverlap="1" wp14:anchorId="5D3CE8FA" wp14:editId="04C2A673">
            <wp:simplePos x="0" y="0"/>
            <wp:positionH relativeFrom="column">
              <wp:posOffset>377190</wp:posOffset>
            </wp:positionH>
            <wp:positionV relativeFrom="paragraph">
              <wp:posOffset>798830</wp:posOffset>
            </wp:positionV>
            <wp:extent cx="4568190" cy="330200"/>
            <wp:effectExtent l="0" t="0" r="0" b="0"/>
            <wp:wrapTopAndBottom distT="0" distB="0"/>
            <wp:docPr id="6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0"/>
                    <a:srcRect/>
                    <a:stretch>
                      <a:fillRect/>
                    </a:stretch>
                  </pic:blipFill>
                  <pic:spPr>
                    <a:xfrm>
                      <a:off x="0" y="0"/>
                      <a:ext cx="4568190" cy="330200"/>
                    </a:xfrm>
                    <a:prstGeom prst="rect">
                      <a:avLst/>
                    </a:prstGeom>
                    <a:ln/>
                  </pic:spPr>
                </pic:pic>
              </a:graphicData>
            </a:graphic>
          </wp:anchor>
        </w:drawing>
      </w:r>
    </w:p>
    <w:p w14:paraId="61633F3F" w14:textId="77777777" w:rsidR="00285FD2" w:rsidRPr="00220302" w:rsidRDefault="00285FD2" w:rsidP="00285FD2">
      <w:pPr>
        <w:pBdr>
          <w:top w:val="nil"/>
          <w:left w:val="nil"/>
          <w:bottom w:val="nil"/>
          <w:right w:val="nil"/>
          <w:between w:val="nil"/>
        </w:pBdr>
        <w:spacing w:line="276" w:lineRule="auto"/>
        <w:ind w:left="567" w:right="900"/>
        <w:jc w:val="both"/>
        <w:rPr>
          <w:rFonts w:ascii="Palatino Linotype" w:eastAsia="Palatino Linotype" w:hAnsi="Palatino Linotype" w:cs="Palatino Linotype"/>
          <w:b/>
          <w:i/>
          <w:color w:val="000000"/>
          <w:sz w:val="22"/>
          <w:szCs w:val="22"/>
          <w:lang w:val="es-ES"/>
        </w:rPr>
      </w:pPr>
      <w:r w:rsidRPr="00220302">
        <w:rPr>
          <w:rFonts w:ascii="Palatino Linotype" w:eastAsia="Palatino Linotype" w:hAnsi="Palatino Linotype" w:cs="Palatino Linotype"/>
          <w:b/>
          <w:i/>
          <w:noProof/>
          <w:color w:val="000000"/>
          <w:sz w:val="22"/>
          <w:szCs w:val="22"/>
        </w:rPr>
        <w:lastRenderedPageBreak/>
        <w:drawing>
          <wp:inline distT="0" distB="0" distL="0" distR="0" wp14:anchorId="3A784545" wp14:editId="33064A73">
            <wp:extent cx="4576404" cy="5139653"/>
            <wp:effectExtent l="0" t="0" r="0" b="0"/>
            <wp:docPr id="82"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1"/>
                    <a:srcRect/>
                    <a:stretch>
                      <a:fillRect/>
                    </a:stretch>
                  </pic:blipFill>
                  <pic:spPr>
                    <a:xfrm>
                      <a:off x="0" y="0"/>
                      <a:ext cx="4576404" cy="5139653"/>
                    </a:xfrm>
                    <a:prstGeom prst="rect">
                      <a:avLst/>
                    </a:prstGeom>
                    <a:ln/>
                  </pic:spPr>
                </pic:pic>
              </a:graphicData>
            </a:graphic>
          </wp:inline>
        </w:drawing>
      </w:r>
    </w:p>
    <w:p w14:paraId="377E366B" w14:textId="77777777" w:rsidR="00285FD2" w:rsidRPr="00220302" w:rsidRDefault="00285FD2" w:rsidP="00285FD2">
      <w:pPr>
        <w:pBdr>
          <w:top w:val="nil"/>
          <w:left w:val="nil"/>
          <w:bottom w:val="nil"/>
          <w:right w:val="nil"/>
          <w:between w:val="nil"/>
        </w:pBdr>
        <w:spacing w:line="276" w:lineRule="auto"/>
        <w:ind w:left="567" w:right="900"/>
        <w:jc w:val="both"/>
        <w:rPr>
          <w:rFonts w:ascii="Palatino Linotype" w:eastAsia="Palatino Linotype" w:hAnsi="Palatino Linotype" w:cs="Palatino Linotype"/>
          <w:b/>
          <w:i/>
          <w:color w:val="000000"/>
          <w:sz w:val="22"/>
          <w:szCs w:val="22"/>
          <w:lang w:val="es-ES"/>
        </w:rPr>
      </w:pPr>
    </w:p>
    <w:p w14:paraId="7FFA7B3D" w14:textId="77777777" w:rsidR="00285FD2" w:rsidRPr="00220302" w:rsidRDefault="00285FD2" w:rsidP="00285FD2">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lang w:val="es-ES"/>
        </w:rPr>
      </w:pPr>
      <w:r w:rsidRPr="00220302">
        <w:rPr>
          <w:rFonts w:ascii="Palatino Linotype" w:eastAsia="Palatino Linotype" w:hAnsi="Palatino Linotype" w:cs="Palatino Linotype"/>
          <w:b/>
          <w:i/>
          <w:color w:val="000000"/>
          <w:sz w:val="22"/>
          <w:szCs w:val="22"/>
          <w:lang w:val="es-ES"/>
        </w:rPr>
        <w:t xml:space="preserve">Quincuagésimo cuarto. </w:t>
      </w:r>
      <w:r w:rsidRPr="00220302">
        <w:rPr>
          <w:rFonts w:ascii="Palatino Linotype" w:eastAsia="Palatino Linotype" w:hAnsi="Palatino Linotype" w:cs="Palatino Linotype"/>
          <w:i/>
          <w:color w:val="000000"/>
          <w:sz w:val="22"/>
          <w:szCs w:val="22"/>
          <w:lang w:val="es-ES"/>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4756C13B" w14:textId="77777777" w:rsidR="00285FD2" w:rsidRPr="00220302" w:rsidRDefault="00285FD2" w:rsidP="00285FD2">
      <w:pPr>
        <w:pBdr>
          <w:top w:val="nil"/>
          <w:left w:val="nil"/>
          <w:bottom w:val="nil"/>
          <w:right w:val="nil"/>
          <w:between w:val="nil"/>
        </w:pBdr>
        <w:spacing w:line="276" w:lineRule="auto"/>
        <w:ind w:left="567" w:right="900"/>
        <w:jc w:val="both"/>
        <w:rPr>
          <w:rFonts w:ascii="Palatino Linotype" w:eastAsia="Palatino Linotype" w:hAnsi="Palatino Linotype" w:cs="Palatino Linotype"/>
          <w:b/>
          <w:i/>
          <w:color w:val="000000"/>
          <w:sz w:val="22"/>
          <w:szCs w:val="22"/>
          <w:lang w:val="es-ES"/>
        </w:rPr>
      </w:pPr>
    </w:p>
    <w:p w14:paraId="663FC7D4" w14:textId="77777777" w:rsidR="00285FD2" w:rsidRPr="00220302" w:rsidRDefault="00285FD2" w:rsidP="00285FD2">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lang w:val="es-ES"/>
        </w:rPr>
      </w:pPr>
      <w:r w:rsidRPr="00220302">
        <w:rPr>
          <w:rFonts w:ascii="Palatino Linotype" w:eastAsia="Palatino Linotype" w:hAnsi="Palatino Linotype" w:cs="Palatino Linotype"/>
          <w:b/>
          <w:i/>
          <w:color w:val="000000"/>
          <w:sz w:val="22"/>
          <w:szCs w:val="22"/>
          <w:lang w:val="es-ES"/>
        </w:rPr>
        <w:t xml:space="preserve">Quincuagésimo quinto. </w:t>
      </w:r>
      <w:r w:rsidRPr="00220302">
        <w:rPr>
          <w:rFonts w:ascii="Palatino Linotype" w:eastAsia="Palatino Linotype" w:hAnsi="Palatino Linotype" w:cs="Palatino Linotype"/>
          <w:i/>
          <w:color w:val="000000"/>
          <w:sz w:val="22"/>
          <w:szCs w:val="22"/>
          <w:lang w:val="es-ES"/>
        </w:rPr>
        <w:t xml:space="preserve">Cada área del sujeto obligado podrá designar formalmente a una o más personas como responsables del </w:t>
      </w:r>
      <w:proofErr w:type="spellStart"/>
      <w:r w:rsidRPr="00220302">
        <w:rPr>
          <w:rFonts w:ascii="Palatino Linotype" w:eastAsia="Palatino Linotype" w:hAnsi="Palatino Linotype" w:cs="Palatino Linotype"/>
          <w:i/>
          <w:color w:val="000000"/>
          <w:sz w:val="22"/>
          <w:szCs w:val="22"/>
          <w:lang w:val="es-ES"/>
        </w:rPr>
        <w:t>testado</w:t>
      </w:r>
      <w:proofErr w:type="spellEnd"/>
      <w:r w:rsidRPr="00220302">
        <w:rPr>
          <w:rFonts w:ascii="Palatino Linotype" w:eastAsia="Palatino Linotype" w:hAnsi="Palatino Linotype" w:cs="Palatino Linotype"/>
          <w:i/>
          <w:color w:val="000000"/>
          <w:sz w:val="22"/>
          <w:szCs w:val="22"/>
          <w:lang w:val="es-ES"/>
        </w:rPr>
        <w:t xml:space="preserve">, que sean encargadas de la adecuada elaboración o supervisión de las versiones públicas de los documentos o expedientes, verificando que cumplan con los requisitos señalados en las Leyes </w:t>
      </w:r>
      <w:r w:rsidRPr="00220302">
        <w:rPr>
          <w:rFonts w:ascii="Palatino Linotype" w:eastAsia="Palatino Linotype" w:hAnsi="Palatino Linotype" w:cs="Palatino Linotype"/>
          <w:i/>
          <w:color w:val="000000"/>
          <w:sz w:val="22"/>
          <w:szCs w:val="22"/>
          <w:lang w:val="es-ES"/>
        </w:rPr>
        <w:lastRenderedPageBreak/>
        <w:t xml:space="preserve">Generales, los presentes Lineamientos y demás normativa aplicable antes de su confirmación por el Comité de Transparencia.”  (Énfasis añadido) </w:t>
      </w:r>
    </w:p>
    <w:p w14:paraId="37E1F039" w14:textId="77777777" w:rsidR="00285FD2" w:rsidRPr="00220302" w:rsidRDefault="00285FD2" w:rsidP="00285FD2">
      <w:pPr>
        <w:spacing w:line="360" w:lineRule="auto"/>
        <w:jc w:val="both"/>
        <w:rPr>
          <w:rFonts w:ascii="Palatino Linotype" w:eastAsia="Palatino Linotype" w:hAnsi="Palatino Linotype" w:cs="Palatino Linotype"/>
          <w:color w:val="FF0000"/>
          <w:sz w:val="22"/>
          <w:szCs w:val="22"/>
          <w:lang w:val="es-ES"/>
        </w:rPr>
      </w:pPr>
    </w:p>
    <w:p w14:paraId="71C99D3C" w14:textId="080A38D6" w:rsidR="00285FD2" w:rsidRPr="00220302" w:rsidRDefault="00285FD2" w:rsidP="00285FD2">
      <w:pPr>
        <w:spacing w:line="360" w:lineRule="auto"/>
        <w:jc w:val="both"/>
        <w:rPr>
          <w:rFonts w:ascii="Palatino Linotype" w:eastAsia="Palatino Linotype" w:hAnsi="Palatino Linotype" w:cs="Palatino Linotype"/>
          <w:sz w:val="22"/>
          <w:szCs w:val="22"/>
        </w:rPr>
      </w:pPr>
      <w:r w:rsidRPr="00220302">
        <w:rPr>
          <w:rFonts w:ascii="Palatino Linotype" w:eastAsia="Palatino Linotype" w:hAnsi="Palatino Linotype" w:cs="Palatino Linotype"/>
          <w:sz w:val="22"/>
          <w:szCs w:val="22"/>
          <w:lang w:val="es-ES"/>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220302">
        <w:rPr>
          <w:rFonts w:ascii="Palatino Linotype" w:eastAsia="Palatino Linotype" w:hAnsi="Palatino Linotype" w:cs="Palatino Linotype"/>
          <w:b/>
          <w:sz w:val="22"/>
          <w:szCs w:val="22"/>
          <w:lang w:val="es-ES"/>
        </w:rPr>
        <w:t>Sujeto Obligado</w:t>
      </w:r>
      <w:r w:rsidRPr="00220302">
        <w:rPr>
          <w:rFonts w:ascii="Palatino Linotype" w:eastAsia="Palatino Linotype" w:hAnsi="Palatino Linotype" w:cs="Palatino Linotype"/>
          <w:sz w:val="22"/>
          <w:szCs w:val="22"/>
          <w:lang w:val="es-ES"/>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58D0B16A" w14:textId="77777777" w:rsidR="000C5996" w:rsidRPr="00220302" w:rsidRDefault="000C5996" w:rsidP="000C5996">
      <w:pPr>
        <w:pBdr>
          <w:top w:val="nil"/>
          <w:left w:val="nil"/>
          <w:bottom w:val="nil"/>
          <w:right w:val="nil"/>
          <w:between w:val="nil"/>
        </w:pBdr>
        <w:spacing w:before="240" w:line="360" w:lineRule="auto"/>
        <w:jc w:val="both"/>
        <w:rPr>
          <w:rFonts w:ascii="Palatino Linotype" w:eastAsia="Palatino Linotype" w:hAnsi="Palatino Linotype" w:cs="Palatino Linotype"/>
          <w:color w:val="000000"/>
          <w:sz w:val="22"/>
          <w:szCs w:val="22"/>
        </w:rPr>
      </w:pPr>
      <w:r w:rsidRPr="00220302">
        <w:rPr>
          <w:rFonts w:ascii="Palatino Linotype" w:hAnsi="Palatino Linotype"/>
          <w:color w:val="000000"/>
          <w:sz w:val="22"/>
        </w:rPr>
        <w:t xml:space="preserve">No obstante, </w:t>
      </w:r>
      <w:r w:rsidRPr="00220302">
        <w:rPr>
          <w:rFonts w:ascii="Palatino Linotype" w:eastAsia="Palatino Linotype" w:hAnsi="Palatino Linotype" w:cs="Palatino Linotype"/>
          <w:color w:val="000000"/>
          <w:sz w:val="22"/>
          <w:szCs w:val="22"/>
        </w:rPr>
        <w:t xml:space="preserve">para el caso de que la información a entregar en cumplimiento a la presente resolución contenga información de procedimientos administrativos en trámite, el </w:t>
      </w:r>
      <w:r w:rsidRPr="00220302">
        <w:rPr>
          <w:rFonts w:ascii="Palatino Linotype" w:eastAsia="Palatino Linotype" w:hAnsi="Palatino Linotype" w:cs="Palatino Linotype"/>
          <w:b/>
          <w:color w:val="000000"/>
          <w:sz w:val="22"/>
          <w:szCs w:val="22"/>
        </w:rPr>
        <w:t>Sujeto Obligado</w:t>
      </w:r>
      <w:r w:rsidRPr="00220302">
        <w:rPr>
          <w:rFonts w:ascii="Palatino Linotype" w:eastAsia="Palatino Linotype" w:hAnsi="Palatino Linotype" w:cs="Palatino Linotype"/>
          <w:color w:val="000000"/>
          <w:sz w:val="22"/>
          <w:szCs w:val="22"/>
        </w:rPr>
        <w:t xml:space="preserve"> deberá emitir el Acuerdo del Comité de Transparencia, donde clasifique de manera fundada y motivada estos soportes documentales, ello en términos de los artículos 49, fracciones II y VIII, 140 fracci</w:t>
      </w:r>
      <w:r w:rsidRPr="00220302">
        <w:rPr>
          <w:rFonts w:ascii="Palatino Linotype" w:eastAsia="Palatino Linotype" w:hAnsi="Palatino Linotype" w:cs="Palatino Linotype"/>
          <w:sz w:val="22"/>
          <w:szCs w:val="22"/>
        </w:rPr>
        <w:t>ón VIII, así como</w:t>
      </w:r>
      <w:r w:rsidRPr="00220302">
        <w:rPr>
          <w:rFonts w:ascii="Palatino Linotype" w:eastAsia="Palatino Linotype" w:hAnsi="Palatino Linotype" w:cs="Palatino Linotype"/>
          <w:color w:val="000000"/>
          <w:sz w:val="22"/>
          <w:szCs w:val="22"/>
        </w:rPr>
        <w:t xml:space="preserve"> 141 de la Ley de Transparencia y Acceso a la Información Pública del Estado de México y Municipios.</w:t>
      </w:r>
    </w:p>
    <w:p w14:paraId="19A662B8" w14:textId="77777777" w:rsidR="000C5996" w:rsidRPr="00220302" w:rsidRDefault="000C5996" w:rsidP="000C5996">
      <w:pPr>
        <w:pBdr>
          <w:top w:val="nil"/>
          <w:left w:val="nil"/>
          <w:bottom w:val="nil"/>
          <w:right w:val="nil"/>
          <w:between w:val="nil"/>
        </w:pBdr>
        <w:spacing w:before="240" w:line="360" w:lineRule="auto"/>
        <w:jc w:val="both"/>
        <w:rPr>
          <w:color w:val="000000"/>
          <w:sz w:val="22"/>
          <w:szCs w:val="22"/>
        </w:rPr>
      </w:pPr>
      <w:r w:rsidRPr="00220302">
        <w:rPr>
          <w:rFonts w:ascii="Palatino Linotype" w:eastAsia="Palatino Linotype" w:hAnsi="Palatino Linotype" w:cs="Palatino Linotype"/>
          <w:color w:val="000000"/>
          <w:sz w:val="22"/>
          <w:szCs w:val="22"/>
        </w:rPr>
        <w:t xml:space="preserve">Bajo este contexto, se considera que en el supuesto de que la información se encuentre en el supuesto antes establecido, el </w:t>
      </w:r>
      <w:r w:rsidRPr="00220302">
        <w:rPr>
          <w:rFonts w:ascii="Palatino Linotype" w:eastAsia="Palatino Linotype" w:hAnsi="Palatino Linotype" w:cs="Palatino Linotype"/>
          <w:b/>
          <w:color w:val="000000"/>
          <w:sz w:val="22"/>
          <w:szCs w:val="22"/>
        </w:rPr>
        <w:t>Sujeto Obligado</w:t>
      </w:r>
      <w:r w:rsidRPr="00220302">
        <w:rPr>
          <w:rFonts w:ascii="Palatino Linotype" w:eastAsia="Palatino Linotype" w:hAnsi="Palatino Linotype" w:cs="Palatino Linotype"/>
          <w:color w:val="000000"/>
          <w:sz w:val="22"/>
          <w:szCs w:val="22"/>
        </w:rPr>
        <w:t xml:space="preserve"> deberá clasificar las observaciones, emitiendo en su caso el acuerdo correspondiente</w:t>
      </w:r>
      <w:r w:rsidRPr="00220302">
        <w:rPr>
          <w:rFonts w:ascii="Palatino Linotype" w:eastAsia="Palatino Linotype" w:hAnsi="Palatino Linotype" w:cs="Palatino Linotype"/>
          <w:b/>
          <w:color w:val="000000"/>
          <w:sz w:val="22"/>
          <w:szCs w:val="22"/>
        </w:rPr>
        <w:t>,</w:t>
      </w:r>
      <w:r w:rsidRPr="00220302">
        <w:rPr>
          <w:rFonts w:ascii="Palatino Linotype" w:eastAsia="Palatino Linotype" w:hAnsi="Palatino Linotype" w:cs="Palatino Linotype"/>
          <w:color w:val="000000"/>
          <w:sz w:val="22"/>
          <w:szCs w:val="22"/>
        </w:rPr>
        <w:t xml:space="preserve"> luego entonces, para realizar la reserva de la información, no basta con invocar alguna de las causales previstas en la Ley de transparencia local. En sentido contrario, dicha valoración debe realizarse a través de lo que se conoce como </w:t>
      </w:r>
      <w:r w:rsidRPr="00220302">
        <w:rPr>
          <w:rFonts w:ascii="Palatino Linotype" w:eastAsia="Palatino Linotype" w:hAnsi="Palatino Linotype" w:cs="Palatino Linotype"/>
          <w:b/>
          <w:i/>
          <w:color w:val="000000"/>
          <w:sz w:val="22"/>
          <w:szCs w:val="22"/>
        </w:rPr>
        <w:t xml:space="preserve">“prueba de daño”, </w:t>
      </w:r>
      <w:r w:rsidRPr="00220302">
        <w:rPr>
          <w:rFonts w:ascii="Palatino Linotype" w:eastAsia="Palatino Linotype" w:hAnsi="Palatino Linotype" w:cs="Palatino Linotype"/>
          <w:color w:val="000000"/>
          <w:sz w:val="22"/>
          <w:szCs w:val="22"/>
        </w:rPr>
        <w:t xml:space="preserve">que consiste en exponer los argumentos y razones, basados en elementos objetivos o verificables, a partir de los cuales se derive que la </w:t>
      </w:r>
      <w:r w:rsidRPr="00220302">
        <w:rPr>
          <w:rFonts w:ascii="Palatino Linotype" w:eastAsia="Palatino Linotype" w:hAnsi="Palatino Linotype" w:cs="Palatino Linotype"/>
          <w:color w:val="000000"/>
          <w:sz w:val="22"/>
          <w:szCs w:val="22"/>
        </w:rPr>
        <w:lastRenderedPageBreak/>
        <w:t xml:space="preserve">divulgación de información, en particular, puede afectar, poner en riesgo o dañar el interés protegido. Asimismo, ésta no debe basarse en meras especulaciones o suposiciones, sino en elementos objetivos que deban evaluar que existe un </w:t>
      </w:r>
      <w:r w:rsidRPr="00220302">
        <w:rPr>
          <w:rFonts w:ascii="Palatino Linotype" w:eastAsia="Palatino Linotype" w:hAnsi="Palatino Linotype" w:cs="Palatino Linotype"/>
          <w:sz w:val="22"/>
          <w:szCs w:val="22"/>
        </w:rPr>
        <w:t>riesgo</w:t>
      </w:r>
      <w:r w:rsidRPr="00220302">
        <w:rPr>
          <w:rFonts w:ascii="Palatino Linotype" w:eastAsia="Palatino Linotype" w:hAnsi="Palatino Linotype" w:cs="Palatino Linotype"/>
          <w:color w:val="000000"/>
          <w:sz w:val="22"/>
          <w:szCs w:val="22"/>
        </w:rPr>
        <w:t xml:space="preserve"> actual e inminente.</w:t>
      </w:r>
    </w:p>
    <w:p w14:paraId="1F25DB00" w14:textId="77777777" w:rsidR="000C5996" w:rsidRPr="00220302" w:rsidRDefault="000C5996" w:rsidP="000C5996">
      <w:pPr>
        <w:spacing w:line="360" w:lineRule="auto"/>
        <w:rPr>
          <w:sz w:val="22"/>
          <w:szCs w:val="22"/>
        </w:rPr>
      </w:pPr>
    </w:p>
    <w:p w14:paraId="0A4F64A6" w14:textId="77777777" w:rsidR="000C5996" w:rsidRPr="00220302" w:rsidRDefault="000C5996" w:rsidP="000C5996">
      <w:pPr>
        <w:pBdr>
          <w:top w:val="nil"/>
          <w:left w:val="nil"/>
          <w:bottom w:val="nil"/>
          <w:right w:val="nil"/>
          <w:between w:val="nil"/>
        </w:pBdr>
        <w:spacing w:line="360" w:lineRule="auto"/>
        <w:jc w:val="both"/>
        <w:rPr>
          <w:color w:val="000000"/>
          <w:sz w:val="22"/>
          <w:szCs w:val="22"/>
        </w:rPr>
      </w:pPr>
      <w:r w:rsidRPr="00220302">
        <w:rPr>
          <w:rFonts w:ascii="Palatino Linotype" w:eastAsia="Palatino Linotype" w:hAnsi="Palatino Linotype" w:cs="Palatino Linotype"/>
          <w:color w:val="000000"/>
          <w:sz w:val="22"/>
          <w:szCs w:val="22"/>
        </w:rPr>
        <w:t xml:space="preserve">Adicionalmente los artículos 129 y 134 último párrafo de la Ley Estatal y 104 y 108 último párrafo de la Ley General, respectivamente, determinan que se debe realizar un análisis caso por caso, aplicando la prueba de daño. Esto implica que la motivación, que acredite la correspondencia entre el supuesto de hecho y la hipótesis normativa señalando las razones, motivos o circunstancias es una parte del acuerdo y otra parte, distinta, es la que corresponde a la prueba de daño, la que debe aplicarse caso por caso, esto es, no se puede hacer una prueba de daño de un expediente completo, </w:t>
      </w:r>
      <w:r w:rsidRPr="00220302">
        <w:rPr>
          <w:rFonts w:ascii="Palatino Linotype" w:eastAsia="Palatino Linotype" w:hAnsi="Palatino Linotype" w:cs="Palatino Linotype"/>
          <w:b/>
          <w:color w:val="000000"/>
          <w:sz w:val="22"/>
          <w:szCs w:val="22"/>
          <w:u w:val="single"/>
        </w:rPr>
        <w:t>sino de cada uno de los documentos que lo integran</w:t>
      </w:r>
      <w:r w:rsidRPr="00220302">
        <w:rPr>
          <w:rFonts w:ascii="Palatino Linotype" w:eastAsia="Palatino Linotype" w:hAnsi="Palatino Linotype" w:cs="Palatino Linotype"/>
          <w:color w:val="000000"/>
          <w:sz w:val="22"/>
          <w:szCs w:val="22"/>
        </w:rPr>
        <w:t>.</w:t>
      </w:r>
    </w:p>
    <w:p w14:paraId="22D4D906" w14:textId="77777777" w:rsidR="000C5996" w:rsidRPr="00220302" w:rsidRDefault="000C5996" w:rsidP="000C5996">
      <w:pPr>
        <w:spacing w:line="360" w:lineRule="auto"/>
        <w:rPr>
          <w:sz w:val="22"/>
          <w:szCs w:val="22"/>
        </w:rPr>
      </w:pPr>
    </w:p>
    <w:p w14:paraId="5A966ECE" w14:textId="77777777" w:rsidR="000C5996" w:rsidRPr="00220302" w:rsidRDefault="000C5996" w:rsidP="000C5996">
      <w:pPr>
        <w:pBdr>
          <w:top w:val="nil"/>
          <w:left w:val="nil"/>
          <w:bottom w:val="nil"/>
          <w:right w:val="nil"/>
          <w:between w:val="nil"/>
        </w:pBdr>
        <w:spacing w:line="360" w:lineRule="auto"/>
        <w:jc w:val="both"/>
        <w:rPr>
          <w:color w:val="000000"/>
          <w:sz w:val="22"/>
          <w:szCs w:val="22"/>
        </w:rPr>
      </w:pPr>
      <w:r w:rsidRPr="00220302">
        <w:rPr>
          <w:rFonts w:ascii="Palatino Linotype" w:eastAsia="Palatino Linotype" w:hAnsi="Palatino Linotype" w:cs="Palatino Linotype"/>
          <w:color w:val="000000"/>
          <w:sz w:val="22"/>
          <w:szCs w:val="22"/>
        </w:rPr>
        <w:t>Para aplicar la prueba de daño, se deberán de precisar las razones objetivas por las que la apertura genera una afectación, acreditando que:</w:t>
      </w:r>
    </w:p>
    <w:p w14:paraId="5825B471" w14:textId="77777777" w:rsidR="000C5996" w:rsidRPr="00220302" w:rsidRDefault="000C5996" w:rsidP="000C5996"/>
    <w:p w14:paraId="39884A90" w14:textId="77777777" w:rsidR="000C5996" w:rsidRPr="00220302" w:rsidRDefault="000C5996" w:rsidP="000C5996">
      <w:pPr>
        <w:pBdr>
          <w:top w:val="nil"/>
          <w:left w:val="nil"/>
          <w:bottom w:val="nil"/>
          <w:right w:val="nil"/>
          <w:between w:val="nil"/>
        </w:pBdr>
        <w:spacing w:after="240" w:line="360" w:lineRule="auto"/>
        <w:ind w:left="567" w:right="851"/>
        <w:jc w:val="both"/>
        <w:rPr>
          <w:color w:val="000000"/>
          <w:sz w:val="22"/>
          <w:szCs w:val="22"/>
        </w:rPr>
      </w:pPr>
      <w:r w:rsidRPr="00220302">
        <w:rPr>
          <w:rFonts w:ascii="Palatino Linotype" w:eastAsia="Palatino Linotype" w:hAnsi="Palatino Linotype" w:cs="Palatino Linotype"/>
          <w:color w:val="000000"/>
          <w:sz w:val="22"/>
          <w:szCs w:val="22"/>
        </w:rPr>
        <w:t>I. La divulgación de la información representa un riesgo real, demostrable e identificable del perjuicio significativo al interés público o a la seguridad pública; </w:t>
      </w:r>
    </w:p>
    <w:p w14:paraId="3CA1454A" w14:textId="77777777" w:rsidR="000C5996" w:rsidRPr="00220302" w:rsidRDefault="000C5996" w:rsidP="000C5996">
      <w:pPr>
        <w:pBdr>
          <w:top w:val="nil"/>
          <w:left w:val="nil"/>
          <w:bottom w:val="nil"/>
          <w:right w:val="nil"/>
          <w:between w:val="nil"/>
        </w:pBdr>
        <w:spacing w:after="240" w:line="360" w:lineRule="auto"/>
        <w:ind w:left="567" w:right="851"/>
        <w:jc w:val="both"/>
        <w:rPr>
          <w:color w:val="000000"/>
          <w:sz w:val="22"/>
          <w:szCs w:val="22"/>
        </w:rPr>
      </w:pPr>
      <w:r w:rsidRPr="00220302">
        <w:rPr>
          <w:rFonts w:ascii="Palatino Linotype" w:eastAsia="Palatino Linotype" w:hAnsi="Palatino Linotype" w:cs="Palatino Linotype"/>
          <w:color w:val="000000"/>
          <w:sz w:val="22"/>
          <w:szCs w:val="22"/>
        </w:rPr>
        <w:t>II. El riesgo de perjuicio que supondría la divulgación supera el interés público general de que se difunda; y </w:t>
      </w:r>
    </w:p>
    <w:p w14:paraId="11EBEC98" w14:textId="77777777" w:rsidR="000C5996" w:rsidRPr="00220302" w:rsidRDefault="000C5996" w:rsidP="000C5996">
      <w:pPr>
        <w:pBdr>
          <w:top w:val="nil"/>
          <w:left w:val="nil"/>
          <w:bottom w:val="nil"/>
          <w:right w:val="nil"/>
          <w:between w:val="nil"/>
        </w:pBdr>
        <w:spacing w:after="240" w:line="360" w:lineRule="auto"/>
        <w:ind w:left="567" w:right="851"/>
        <w:jc w:val="both"/>
        <w:rPr>
          <w:color w:val="000000"/>
          <w:sz w:val="22"/>
          <w:szCs w:val="22"/>
        </w:rPr>
      </w:pPr>
      <w:r w:rsidRPr="00220302">
        <w:rPr>
          <w:rFonts w:ascii="Palatino Linotype" w:eastAsia="Palatino Linotype" w:hAnsi="Palatino Linotype" w:cs="Palatino Linotype"/>
          <w:color w:val="000000"/>
          <w:sz w:val="22"/>
          <w:szCs w:val="22"/>
        </w:rPr>
        <w:t>III. La limitación se adecua al principio de proporcionalidad y representa el medio menos restrictivo disponible para evitar el perjuicio. </w:t>
      </w:r>
    </w:p>
    <w:p w14:paraId="22E04C5A" w14:textId="77777777" w:rsidR="000C5996" w:rsidRPr="00220302" w:rsidRDefault="000C5996" w:rsidP="000C5996">
      <w:pPr>
        <w:pBdr>
          <w:top w:val="nil"/>
          <w:left w:val="nil"/>
          <w:bottom w:val="nil"/>
          <w:right w:val="nil"/>
          <w:between w:val="nil"/>
        </w:pBdr>
        <w:spacing w:line="360" w:lineRule="auto"/>
        <w:jc w:val="both"/>
        <w:rPr>
          <w:color w:val="000000"/>
          <w:sz w:val="22"/>
          <w:szCs w:val="22"/>
        </w:rPr>
      </w:pPr>
      <w:r w:rsidRPr="00220302">
        <w:rPr>
          <w:rFonts w:ascii="Palatino Linotype" w:eastAsia="Palatino Linotype" w:hAnsi="Palatino Linotype" w:cs="Palatino Linotype"/>
          <w:color w:val="000000"/>
          <w:sz w:val="22"/>
          <w:szCs w:val="22"/>
        </w:rPr>
        <w:t xml:space="preserve">Por lo que entonces, el primer supuesto de la prueba de daño consiste en acreditar que la entrega de la información provoca tres aspectos concurrentes: 1) la contingencia o proximidad de un daño, un perjuicio o lesión que tiene existencia objetiva, que se puede </w:t>
      </w:r>
      <w:r w:rsidRPr="00220302">
        <w:rPr>
          <w:rFonts w:ascii="Palatino Linotype" w:eastAsia="Palatino Linotype" w:hAnsi="Palatino Linotype" w:cs="Palatino Linotype"/>
          <w:color w:val="000000"/>
          <w:sz w:val="22"/>
          <w:szCs w:val="22"/>
        </w:rPr>
        <w:lastRenderedPageBreak/>
        <w:t>manifestar, declarar o probar mediante cualquier género de demostración a partir de proporcionar datos necesarios para reconocer el daño, perjuicio o lesión que provocaría a un interés público o a la seguridad pública.</w:t>
      </w:r>
    </w:p>
    <w:p w14:paraId="11DDD6F7" w14:textId="77777777" w:rsidR="000C5996" w:rsidRPr="00220302" w:rsidRDefault="000C5996" w:rsidP="000C5996">
      <w:pPr>
        <w:spacing w:line="360" w:lineRule="auto"/>
        <w:rPr>
          <w:sz w:val="22"/>
          <w:szCs w:val="22"/>
        </w:rPr>
      </w:pPr>
    </w:p>
    <w:p w14:paraId="068C730A" w14:textId="77777777" w:rsidR="000C5996" w:rsidRPr="00220302" w:rsidRDefault="000C5996" w:rsidP="000C5996">
      <w:pPr>
        <w:pBdr>
          <w:top w:val="nil"/>
          <w:left w:val="nil"/>
          <w:bottom w:val="nil"/>
          <w:right w:val="nil"/>
          <w:between w:val="nil"/>
        </w:pBdr>
        <w:spacing w:line="360" w:lineRule="auto"/>
        <w:jc w:val="both"/>
        <w:rPr>
          <w:color w:val="000000"/>
          <w:sz w:val="22"/>
          <w:szCs w:val="22"/>
        </w:rPr>
      </w:pPr>
      <w:r w:rsidRPr="00220302">
        <w:rPr>
          <w:rFonts w:ascii="Palatino Linotype" w:eastAsia="Palatino Linotype" w:hAnsi="Palatino Linotype" w:cs="Palatino Linotype"/>
          <w:color w:val="000000"/>
          <w:sz w:val="22"/>
          <w:szCs w:val="22"/>
        </w:rPr>
        <w:t>Identificado ese riesgo, se debe demostrar que el mismo supera el interés público general porque se difunda dicha información. </w:t>
      </w:r>
    </w:p>
    <w:p w14:paraId="5525E7AD" w14:textId="77777777" w:rsidR="000C5996" w:rsidRPr="00220302" w:rsidRDefault="000C5996" w:rsidP="000C5996">
      <w:pPr>
        <w:spacing w:line="360" w:lineRule="auto"/>
        <w:rPr>
          <w:sz w:val="22"/>
          <w:szCs w:val="22"/>
        </w:rPr>
      </w:pPr>
    </w:p>
    <w:p w14:paraId="2A35B5A9" w14:textId="77777777" w:rsidR="000C5996" w:rsidRPr="00220302" w:rsidRDefault="000C5996" w:rsidP="000C5996">
      <w:pPr>
        <w:pBdr>
          <w:top w:val="nil"/>
          <w:left w:val="nil"/>
          <w:bottom w:val="nil"/>
          <w:right w:val="nil"/>
          <w:between w:val="nil"/>
        </w:pBdr>
        <w:spacing w:line="360" w:lineRule="auto"/>
        <w:jc w:val="both"/>
        <w:rPr>
          <w:color w:val="000000"/>
          <w:sz w:val="22"/>
          <w:szCs w:val="22"/>
        </w:rPr>
      </w:pPr>
      <w:r w:rsidRPr="00220302">
        <w:rPr>
          <w:rFonts w:ascii="Palatino Linotype" w:eastAsia="Palatino Linotype" w:hAnsi="Palatino Linotype" w:cs="Palatino Linotype"/>
          <w:color w:val="000000"/>
          <w:sz w:val="22"/>
          <w:szCs w:val="22"/>
        </w:rPr>
        <w:t xml:space="preserve">Y, por último,  que la limitación es acorde con el principio de proporcionalidad, para ello, se sugiere emplear los tres juicios propuestos por la Corte Constitucional Colombiana, siguiendo el principio de ponderación propuesto por el Tribunal Constitucional Alemán, el juicio de idoneidad, que la medida adoptada sea la idónea para el ejercicio del derecho; de necesidad, que sea </w:t>
      </w:r>
      <w:r w:rsidRPr="00220302">
        <w:rPr>
          <w:rFonts w:ascii="Palatino Linotype" w:eastAsia="Palatino Linotype" w:hAnsi="Palatino Linotype" w:cs="Palatino Linotype"/>
          <w:sz w:val="22"/>
          <w:szCs w:val="22"/>
        </w:rPr>
        <w:t>necesaria</w:t>
      </w:r>
      <w:r w:rsidRPr="00220302">
        <w:rPr>
          <w:rFonts w:ascii="Palatino Linotype" w:eastAsia="Palatino Linotype" w:hAnsi="Palatino Linotype" w:cs="Palatino Linotype"/>
          <w:color w:val="000000"/>
          <w:sz w:val="22"/>
          <w:szCs w:val="22"/>
        </w:rPr>
        <w:t xml:space="preserve"> para que el derecho que prevalece se ejerza y el de estricta proporcionalidad esto es, que el derecho que prevalezca sea en la dimensión estrictamente proporcional al derecho que retrocede.</w:t>
      </w:r>
    </w:p>
    <w:p w14:paraId="6986D7C1" w14:textId="77777777" w:rsidR="000C5996" w:rsidRPr="00220302" w:rsidRDefault="000C5996" w:rsidP="000C5996">
      <w:pPr>
        <w:pBdr>
          <w:top w:val="nil"/>
          <w:left w:val="nil"/>
          <w:bottom w:val="nil"/>
          <w:right w:val="nil"/>
          <w:between w:val="nil"/>
        </w:pBdr>
        <w:spacing w:line="360" w:lineRule="auto"/>
        <w:jc w:val="both"/>
        <w:rPr>
          <w:color w:val="000000"/>
          <w:sz w:val="22"/>
          <w:szCs w:val="22"/>
        </w:rPr>
      </w:pPr>
      <w:r w:rsidRPr="00220302">
        <w:rPr>
          <w:rFonts w:ascii="Palatino Linotype" w:eastAsia="Palatino Linotype" w:hAnsi="Palatino Linotype" w:cs="Palatino Linotype"/>
          <w:color w:val="000000"/>
          <w:sz w:val="22"/>
          <w:szCs w:val="22"/>
        </w:rPr>
        <w:t>Es así, que al configurarse tales requisitos, se otorga certidumbre jurídica y se protege la esfera más íntima del derecho humano constitucional y convencionalmente reconocido. </w:t>
      </w:r>
    </w:p>
    <w:p w14:paraId="750FEC43" w14:textId="77777777" w:rsidR="000C5996" w:rsidRPr="00220302" w:rsidRDefault="000C5996" w:rsidP="000C5996">
      <w:pPr>
        <w:pBdr>
          <w:top w:val="nil"/>
          <w:left w:val="nil"/>
          <w:bottom w:val="nil"/>
          <w:right w:val="nil"/>
          <w:between w:val="nil"/>
        </w:pBdr>
        <w:spacing w:before="240" w:line="360" w:lineRule="auto"/>
        <w:jc w:val="both"/>
        <w:rPr>
          <w:color w:val="000000"/>
          <w:sz w:val="22"/>
          <w:szCs w:val="22"/>
        </w:rPr>
      </w:pPr>
      <w:r w:rsidRPr="00220302">
        <w:rPr>
          <w:rFonts w:ascii="Palatino Linotype" w:eastAsia="Palatino Linotype" w:hAnsi="Palatino Linotype" w:cs="Palatino Linotype"/>
          <w:color w:val="000000"/>
          <w:sz w:val="22"/>
          <w:szCs w:val="22"/>
        </w:rPr>
        <w:t>En virtud de lo anterior, se desprende que los Acuerdos de Reserva deberán de cumplir los siguientes parámetros de forma y fondo:</w:t>
      </w:r>
    </w:p>
    <w:p w14:paraId="7EE7CEC8" w14:textId="77777777" w:rsidR="000C5996" w:rsidRPr="00220302" w:rsidRDefault="000C5996" w:rsidP="000C5996">
      <w:pPr>
        <w:numPr>
          <w:ilvl w:val="0"/>
          <w:numId w:val="12"/>
        </w:numPr>
        <w:pBdr>
          <w:top w:val="nil"/>
          <w:left w:val="nil"/>
          <w:bottom w:val="nil"/>
          <w:right w:val="nil"/>
          <w:between w:val="nil"/>
        </w:pBdr>
        <w:spacing w:before="240" w:line="276" w:lineRule="auto"/>
        <w:jc w:val="both"/>
        <w:rPr>
          <w:rFonts w:ascii="Palatino Linotype" w:eastAsia="Palatino Linotype" w:hAnsi="Palatino Linotype" w:cs="Palatino Linotype"/>
          <w:color w:val="000000"/>
          <w:sz w:val="22"/>
          <w:szCs w:val="22"/>
        </w:rPr>
      </w:pPr>
      <w:r w:rsidRPr="00220302">
        <w:rPr>
          <w:rFonts w:ascii="Palatino Linotype" w:eastAsia="Palatino Linotype" w:hAnsi="Palatino Linotype" w:cs="Palatino Linotype"/>
          <w:color w:val="000000"/>
          <w:sz w:val="22"/>
          <w:szCs w:val="22"/>
        </w:rPr>
        <w:t>Número de folio de la solicitud</w:t>
      </w:r>
    </w:p>
    <w:p w14:paraId="1DF4C605" w14:textId="77777777" w:rsidR="000C5996" w:rsidRPr="00220302" w:rsidRDefault="000C5996" w:rsidP="000C5996">
      <w:pPr>
        <w:numPr>
          <w:ilvl w:val="0"/>
          <w:numId w:val="12"/>
        </w:numPr>
        <w:pBdr>
          <w:top w:val="nil"/>
          <w:left w:val="nil"/>
          <w:bottom w:val="nil"/>
          <w:right w:val="nil"/>
          <w:between w:val="nil"/>
        </w:pBdr>
        <w:spacing w:before="240" w:line="276" w:lineRule="auto"/>
        <w:jc w:val="both"/>
        <w:rPr>
          <w:rFonts w:ascii="Palatino Linotype" w:eastAsia="Palatino Linotype" w:hAnsi="Palatino Linotype" w:cs="Palatino Linotype"/>
          <w:color w:val="000000"/>
          <w:sz w:val="22"/>
          <w:szCs w:val="22"/>
        </w:rPr>
      </w:pPr>
      <w:r w:rsidRPr="00220302">
        <w:rPr>
          <w:rFonts w:ascii="Palatino Linotype" w:eastAsia="Palatino Linotype" w:hAnsi="Palatino Linotype" w:cs="Palatino Linotype"/>
          <w:color w:val="000000"/>
          <w:sz w:val="22"/>
          <w:szCs w:val="22"/>
        </w:rPr>
        <w:t>Referencia a la información solicitada</w:t>
      </w:r>
    </w:p>
    <w:p w14:paraId="525D6EEE" w14:textId="77777777" w:rsidR="000C5996" w:rsidRPr="00220302" w:rsidRDefault="000C5996" w:rsidP="000C5996">
      <w:pPr>
        <w:numPr>
          <w:ilvl w:val="0"/>
          <w:numId w:val="12"/>
        </w:numPr>
        <w:pBdr>
          <w:top w:val="nil"/>
          <w:left w:val="nil"/>
          <w:bottom w:val="nil"/>
          <w:right w:val="nil"/>
          <w:between w:val="nil"/>
        </w:pBdr>
        <w:spacing w:before="240" w:line="276" w:lineRule="auto"/>
        <w:jc w:val="both"/>
        <w:rPr>
          <w:rFonts w:ascii="Palatino Linotype" w:eastAsia="Palatino Linotype" w:hAnsi="Palatino Linotype" w:cs="Palatino Linotype"/>
          <w:color w:val="000000"/>
          <w:sz w:val="22"/>
          <w:szCs w:val="22"/>
        </w:rPr>
      </w:pPr>
      <w:r w:rsidRPr="00220302">
        <w:rPr>
          <w:rFonts w:ascii="Palatino Linotype" w:eastAsia="Palatino Linotype" w:hAnsi="Palatino Linotype" w:cs="Palatino Linotype"/>
          <w:color w:val="000000"/>
          <w:sz w:val="22"/>
          <w:szCs w:val="22"/>
        </w:rPr>
        <w:t>Causal aplicable del artículo 113 de la Ley General, vinculándola con el Lineamiento específico del presente ordenamiento y, cuando corresponda, el supuesto normativo que expresamente le otorga el carácter de información reservada</w:t>
      </w:r>
    </w:p>
    <w:p w14:paraId="65757461" w14:textId="77777777" w:rsidR="000C5996" w:rsidRPr="00220302" w:rsidRDefault="000C5996" w:rsidP="000C5996">
      <w:pPr>
        <w:numPr>
          <w:ilvl w:val="0"/>
          <w:numId w:val="12"/>
        </w:numPr>
        <w:pBdr>
          <w:top w:val="nil"/>
          <w:left w:val="nil"/>
          <w:bottom w:val="nil"/>
          <w:right w:val="nil"/>
          <w:between w:val="nil"/>
        </w:pBdr>
        <w:spacing w:before="240" w:line="276" w:lineRule="auto"/>
        <w:jc w:val="both"/>
        <w:rPr>
          <w:rFonts w:ascii="Palatino Linotype" w:eastAsia="Palatino Linotype" w:hAnsi="Palatino Linotype" w:cs="Palatino Linotype"/>
          <w:color w:val="000000"/>
          <w:sz w:val="22"/>
          <w:szCs w:val="22"/>
        </w:rPr>
      </w:pPr>
      <w:r w:rsidRPr="00220302">
        <w:rPr>
          <w:rFonts w:ascii="Palatino Linotype" w:eastAsia="Palatino Linotype" w:hAnsi="Palatino Linotype" w:cs="Palatino Linotype"/>
          <w:color w:val="000000"/>
          <w:sz w:val="22"/>
          <w:szCs w:val="22"/>
        </w:rPr>
        <w:t>Fundamento y motivación legal</w:t>
      </w:r>
    </w:p>
    <w:p w14:paraId="65FE97DC" w14:textId="77777777" w:rsidR="000C5996" w:rsidRPr="00220302" w:rsidRDefault="000C5996" w:rsidP="000C5996">
      <w:pPr>
        <w:numPr>
          <w:ilvl w:val="0"/>
          <w:numId w:val="12"/>
        </w:numPr>
        <w:pBdr>
          <w:top w:val="nil"/>
          <w:left w:val="nil"/>
          <w:bottom w:val="nil"/>
          <w:right w:val="nil"/>
          <w:between w:val="nil"/>
        </w:pBdr>
        <w:spacing w:before="240" w:line="276" w:lineRule="auto"/>
        <w:jc w:val="both"/>
        <w:rPr>
          <w:rFonts w:ascii="Palatino Linotype" w:eastAsia="Palatino Linotype" w:hAnsi="Palatino Linotype" w:cs="Palatino Linotype"/>
          <w:color w:val="000000"/>
          <w:sz w:val="22"/>
          <w:szCs w:val="22"/>
        </w:rPr>
      </w:pPr>
      <w:r w:rsidRPr="00220302">
        <w:rPr>
          <w:rFonts w:ascii="Palatino Linotype" w:eastAsia="Palatino Linotype" w:hAnsi="Palatino Linotype" w:cs="Palatino Linotype"/>
          <w:color w:val="000000"/>
          <w:sz w:val="22"/>
          <w:szCs w:val="22"/>
        </w:rPr>
        <w:lastRenderedPageBreak/>
        <w:t>Conexión entre los fundamentos y motivos que dieron origen a la reserva de la información</w:t>
      </w:r>
    </w:p>
    <w:p w14:paraId="7314BEF7" w14:textId="77777777" w:rsidR="000C5996" w:rsidRPr="00220302" w:rsidRDefault="000C5996" w:rsidP="000C5996">
      <w:pPr>
        <w:pBdr>
          <w:top w:val="nil"/>
          <w:left w:val="nil"/>
          <w:bottom w:val="nil"/>
          <w:right w:val="nil"/>
          <w:between w:val="nil"/>
        </w:pBdr>
        <w:spacing w:before="240" w:line="276" w:lineRule="auto"/>
        <w:jc w:val="both"/>
        <w:rPr>
          <w:color w:val="000000"/>
          <w:sz w:val="22"/>
          <w:szCs w:val="22"/>
        </w:rPr>
      </w:pPr>
      <w:r w:rsidRPr="00220302">
        <w:rPr>
          <w:rFonts w:ascii="Palatino Linotype" w:eastAsia="Palatino Linotype" w:hAnsi="Palatino Linotype" w:cs="Palatino Linotype"/>
          <w:b/>
          <w:color w:val="000000"/>
          <w:sz w:val="22"/>
          <w:szCs w:val="22"/>
        </w:rPr>
        <w:t>Prueba de daño </w:t>
      </w:r>
    </w:p>
    <w:p w14:paraId="7DEF0715" w14:textId="77777777" w:rsidR="000C5996" w:rsidRPr="00220302" w:rsidRDefault="000C5996" w:rsidP="000C5996">
      <w:pPr>
        <w:numPr>
          <w:ilvl w:val="0"/>
          <w:numId w:val="13"/>
        </w:numPr>
        <w:pBdr>
          <w:top w:val="nil"/>
          <w:left w:val="nil"/>
          <w:bottom w:val="nil"/>
          <w:right w:val="nil"/>
          <w:between w:val="nil"/>
        </w:pBdr>
        <w:spacing w:before="240" w:line="276" w:lineRule="auto"/>
        <w:jc w:val="both"/>
        <w:rPr>
          <w:rFonts w:ascii="Palatino Linotype" w:eastAsia="Palatino Linotype" w:hAnsi="Palatino Linotype" w:cs="Palatino Linotype"/>
          <w:color w:val="000000"/>
          <w:sz w:val="22"/>
          <w:szCs w:val="22"/>
        </w:rPr>
      </w:pPr>
      <w:r w:rsidRPr="00220302">
        <w:rPr>
          <w:rFonts w:ascii="Palatino Linotype" w:eastAsia="Palatino Linotype" w:hAnsi="Palatino Linotype" w:cs="Palatino Linotype"/>
          <w:color w:val="000000"/>
          <w:sz w:val="22"/>
          <w:szCs w:val="22"/>
        </w:rPr>
        <w:t>Riesgo real, demostrable e identificable (modo, tiempo y lugar)</w:t>
      </w:r>
    </w:p>
    <w:p w14:paraId="55EFAC7C" w14:textId="77777777" w:rsidR="000C5996" w:rsidRPr="00220302" w:rsidRDefault="000C5996" w:rsidP="000C5996">
      <w:pPr>
        <w:numPr>
          <w:ilvl w:val="0"/>
          <w:numId w:val="13"/>
        </w:numPr>
        <w:pBdr>
          <w:top w:val="nil"/>
          <w:left w:val="nil"/>
          <w:bottom w:val="nil"/>
          <w:right w:val="nil"/>
          <w:between w:val="nil"/>
        </w:pBdr>
        <w:spacing w:before="240" w:line="276" w:lineRule="auto"/>
        <w:jc w:val="both"/>
        <w:rPr>
          <w:rFonts w:ascii="Palatino Linotype" w:eastAsia="Palatino Linotype" w:hAnsi="Palatino Linotype" w:cs="Palatino Linotype"/>
          <w:color w:val="000000"/>
          <w:sz w:val="22"/>
          <w:szCs w:val="22"/>
        </w:rPr>
      </w:pPr>
      <w:r w:rsidRPr="00220302">
        <w:rPr>
          <w:rFonts w:ascii="Palatino Linotype" w:eastAsia="Palatino Linotype" w:hAnsi="Palatino Linotype" w:cs="Palatino Linotype"/>
          <w:color w:val="000000"/>
          <w:sz w:val="22"/>
          <w:szCs w:val="22"/>
        </w:rPr>
        <w:t>Temporalidad de la reserva de la información</w:t>
      </w:r>
    </w:p>
    <w:p w14:paraId="66B8F4A0" w14:textId="77777777" w:rsidR="000C5996" w:rsidRPr="00220302" w:rsidRDefault="000C5996" w:rsidP="000C5996">
      <w:pPr>
        <w:numPr>
          <w:ilvl w:val="0"/>
          <w:numId w:val="13"/>
        </w:numPr>
        <w:pBdr>
          <w:top w:val="nil"/>
          <w:left w:val="nil"/>
          <w:bottom w:val="nil"/>
          <w:right w:val="nil"/>
          <w:between w:val="nil"/>
        </w:pBdr>
        <w:spacing w:before="240" w:line="276" w:lineRule="auto"/>
        <w:jc w:val="both"/>
        <w:rPr>
          <w:rFonts w:ascii="Palatino Linotype" w:eastAsia="Palatino Linotype" w:hAnsi="Palatino Linotype" w:cs="Palatino Linotype"/>
          <w:color w:val="000000"/>
        </w:rPr>
      </w:pPr>
      <w:r w:rsidRPr="00220302">
        <w:rPr>
          <w:rFonts w:ascii="Palatino Linotype" w:eastAsia="Palatino Linotype" w:hAnsi="Palatino Linotype" w:cs="Palatino Linotype"/>
          <w:color w:val="000000"/>
          <w:sz w:val="22"/>
          <w:szCs w:val="22"/>
        </w:rPr>
        <w:t>Autoridades competentes </w:t>
      </w:r>
    </w:p>
    <w:p w14:paraId="608D8753" w14:textId="77777777" w:rsidR="000C5996" w:rsidRPr="00220302" w:rsidRDefault="000C5996" w:rsidP="000C5996">
      <w:pPr>
        <w:pBdr>
          <w:top w:val="nil"/>
          <w:left w:val="nil"/>
          <w:bottom w:val="nil"/>
          <w:right w:val="nil"/>
          <w:between w:val="nil"/>
        </w:pBdr>
        <w:spacing w:before="240" w:line="360" w:lineRule="auto"/>
        <w:jc w:val="both"/>
        <w:rPr>
          <w:color w:val="000000"/>
          <w:sz w:val="22"/>
          <w:szCs w:val="22"/>
        </w:rPr>
      </w:pPr>
      <w:r w:rsidRPr="00220302">
        <w:rPr>
          <w:rFonts w:ascii="Palatino Linotype" w:eastAsia="Palatino Linotype" w:hAnsi="Palatino Linotype" w:cs="Palatino Linotype"/>
          <w:color w:val="000000"/>
          <w:sz w:val="22"/>
          <w:szCs w:val="22"/>
        </w:rPr>
        <w:t>En razón de lo anterior, se destaca que la pauta metodológica necesaria para clasificar la información como reservada se desprende inicialmente de identificar las causales aplicables, por ello, resulta oportuno realizar un análisis integral del numeral 140 de la Ley de Transparencia y Acceso a la Información Pública del Estado de México y Municipios, porción normativa que dispone a la literalidad lo siguiente: </w:t>
      </w:r>
    </w:p>
    <w:p w14:paraId="308D55E4" w14:textId="77777777" w:rsidR="000C5996" w:rsidRPr="00220302" w:rsidRDefault="000C5996" w:rsidP="000C5996">
      <w:pPr>
        <w:pBdr>
          <w:top w:val="nil"/>
          <w:left w:val="nil"/>
          <w:bottom w:val="nil"/>
          <w:right w:val="nil"/>
          <w:between w:val="nil"/>
        </w:pBdr>
        <w:spacing w:before="240" w:after="160" w:line="276" w:lineRule="auto"/>
        <w:ind w:left="851" w:right="851"/>
        <w:jc w:val="both"/>
        <w:rPr>
          <w:color w:val="000000"/>
        </w:rPr>
      </w:pPr>
      <w:r w:rsidRPr="00220302">
        <w:rPr>
          <w:rFonts w:ascii="Palatino Linotype" w:eastAsia="Palatino Linotype" w:hAnsi="Palatino Linotype" w:cs="Palatino Linotype"/>
          <w:i/>
          <w:color w:val="000000"/>
          <w:sz w:val="22"/>
          <w:szCs w:val="22"/>
        </w:rPr>
        <w:t xml:space="preserve"> “Artículo 140. El acceso a la información pública será restringido excepcionalmente, cuando por razones de interés público, ésta sea clasificada como reservada, conforme a los criterios siguientes: </w:t>
      </w:r>
    </w:p>
    <w:p w14:paraId="3924E465" w14:textId="77777777" w:rsidR="000C5996" w:rsidRPr="00220302" w:rsidRDefault="000C5996" w:rsidP="000C5996">
      <w:pPr>
        <w:pBdr>
          <w:top w:val="nil"/>
          <w:left w:val="nil"/>
          <w:bottom w:val="nil"/>
          <w:right w:val="nil"/>
          <w:between w:val="nil"/>
        </w:pBdr>
        <w:spacing w:before="240" w:after="160" w:line="276" w:lineRule="auto"/>
        <w:ind w:left="851" w:right="851"/>
        <w:jc w:val="both"/>
        <w:rPr>
          <w:color w:val="000000"/>
        </w:rPr>
      </w:pPr>
      <w:r w:rsidRPr="00220302">
        <w:rPr>
          <w:rFonts w:ascii="Palatino Linotype" w:eastAsia="Palatino Linotype" w:hAnsi="Palatino Linotype" w:cs="Palatino Linotype"/>
          <w:i/>
          <w:color w:val="000000"/>
          <w:sz w:val="22"/>
          <w:szCs w:val="22"/>
        </w:rPr>
        <w:t>I. Comprometa la seguridad pública y cuente con un propósito genuino y un efecto demostrable; </w:t>
      </w:r>
    </w:p>
    <w:p w14:paraId="575AC4FE" w14:textId="77777777" w:rsidR="000C5996" w:rsidRPr="00220302" w:rsidRDefault="000C5996" w:rsidP="000C5996">
      <w:pPr>
        <w:pBdr>
          <w:top w:val="nil"/>
          <w:left w:val="nil"/>
          <w:bottom w:val="nil"/>
          <w:right w:val="nil"/>
          <w:between w:val="nil"/>
        </w:pBdr>
        <w:spacing w:before="240" w:after="160" w:line="276" w:lineRule="auto"/>
        <w:ind w:left="851" w:right="851"/>
        <w:jc w:val="both"/>
        <w:rPr>
          <w:color w:val="000000"/>
        </w:rPr>
      </w:pPr>
      <w:bookmarkStart w:id="8" w:name="_heading=h.4d34og8" w:colFirst="0" w:colLast="0"/>
      <w:bookmarkEnd w:id="8"/>
      <w:r w:rsidRPr="00220302">
        <w:rPr>
          <w:rFonts w:ascii="Palatino Linotype" w:eastAsia="Palatino Linotype" w:hAnsi="Palatino Linotype" w:cs="Palatino Linotype"/>
          <w:i/>
          <w:color w:val="000000"/>
          <w:sz w:val="22"/>
          <w:szCs w:val="22"/>
        </w:rPr>
        <w:t>II. Pueda menoscabar la conducción de las negociaciones y relaciones internacionales; </w:t>
      </w:r>
    </w:p>
    <w:p w14:paraId="504416FE" w14:textId="77777777" w:rsidR="000C5996" w:rsidRPr="00220302" w:rsidRDefault="000C5996" w:rsidP="000C5996">
      <w:pPr>
        <w:pBdr>
          <w:top w:val="nil"/>
          <w:left w:val="nil"/>
          <w:bottom w:val="nil"/>
          <w:right w:val="nil"/>
          <w:between w:val="nil"/>
        </w:pBdr>
        <w:spacing w:before="240" w:after="160" w:line="276" w:lineRule="auto"/>
        <w:ind w:left="851" w:right="851"/>
        <w:jc w:val="both"/>
        <w:rPr>
          <w:color w:val="000000"/>
        </w:rPr>
      </w:pPr>
      <w:r w:rsidRPr="00220302">
        <w:rPr>
          <w:rFonts w:ascii="Palatino Linotype" w:eastAsia="Palatino Linotype" w:hAnsi="Palatino Linotype" w:cs="Palatino Linotype"/>
          <w:i/>
          <w:color w:val="000000"/>
          <w:sz w:val="22"/>
          <w:szCs w:val="22"/>
        </w:rPr>
        <w:t>III. Se entregue a la Entidad expresamente con ese carácter o el de confidencialidad por otro u otros sujetos de derecho internacional, excepto cuando se trate de violaciones graves de derechos humanos o delitos de lesa humanidad de conformidad con el derecho internacional; </w:t>
      </w:r>
    </w:p>
    <w:p w14:paraId="5F32FC7E" w14:textId="77777777" w:rsidR="000C5996" w:rsidRPr="00220302" w:rsidRDefault="000C5996" w:rsidP="000C5996">
      <w:pPr>
        <w:pBdr>
          <w:top w:val="nil"/>
          <w:left w:val="nil"/>
          <w:bottom w:val="nil"/>
          <w:right w:val="nil"/>
          <w:between w:val="nil"/>
        </w:pBdr>
        <w:spacing w:before="240" w:after="160" w:line="276" w:lineRule="auto"/>
        <w:ind w:left="851" w:right="851"/>
        <w:jc w:val="both"/>
        <w:rPr>
          <w:color w:val="000000"/>
        </w:rPr>
      </w:pPr>
      <w:r w:rsidRPr="00220302">
        <w:rPr>
          <w:rFonts w:ascii="Palatino Linotype" w:eastAsia="Palatino Linotype" w:hAnsi="Palatino Linotype" w:cs="Palatino Linotype"/>
          <w:i/>
          <w:color w:val="000000"/>
          <w:sz w:val="22"/>
          <w:szCs w:val="22"/>
        </w:rPr>
        <w:t>IV. Ponga en riesgo la vida, la seguridad o la salud de una persona física; </w:t>
      </w:r>
    </w:p>
    <w:p w14:paraId="420D4F08" w14:textId="77777777" w:rsidR="000C5996" w:rsidRPr="00220302" w:rsidRDefault="000C5996" w:rsidP="000C5996">
      <w:pPr>
        <w:pBdr>
          <w:top w:val="nil"/>
          <w:left w:val="nil"/>
          <w:bottom w:val="nil"/>
          <w:right w:val="nil"/>
          <w:between w:val="nil"/>
        </w:pBdr>
        <w:spacing w:before="240" w:after="160" w:line="276" w:lineRule="auto"/>
        <w:ind w:left="851" w:right="851"/>
        <w:jc w:val="both"/>
        <w:rPr>
          <w:color w:val="000000"/>
        </w:rPr>
      </w:pPr>
      <w:r w:rsidRPr="00220302">
        <w:rPr>
          <w:rFonts w:ascii="Palatino Linotype" w:eastAsia="Palatino Linotype" w:hAnsi="Palatino Linotype" w:cs="Palatino Linotype"/>
          <w:i/>
          <w:color w:val="000000"/>
          <w:sz w:val="22"/>
          <w:szCs w:val="22"/>
        </w:rPr>
        <w:t>V. Aquella cuya divulgación obstruya o pueda causar un serio perjuicio a: </w:t>
      </w:r>
    </w:p>
    <w:p w14:paraId="139DB6E8" w14:textId="77777777" w:rsidR="000C5996" w:rsidRPr="00220302" w:rsidRDefault="000C5996" w:rsidP="000C5996">
      <w:pPr>
        <w:pBdr>
          <w:top w:val="nil"/>
          <w:left w:val="nil"/>
          <w:bottom w:val="nil"/>
          <w:right w:val="nil"/>
          <w:between w:val="nil"/>
        </w:pBdr>
        <w:spacing w:before="240" w:after="160" w:line="276" w:lineRule="auto"/>
        <w:ind w:left="851" w:right="851"/>
        <w:jc w:val="both"/>
        <w:rPr>
          <w:color w:val="000000"/>
        </w:rPr>
      </w:pPr>
      <w:r w:rsidRPr="00220302">
        <w:rPr>
          <w:rFonts w:ascii="Palatino Linotype" w:eastAsia="Palatino Linotype" w:hAnsi="Palatino Linotype" w:cs="Palatino Linotype"/>
          <w:i/>
          <w:color w:val="000000"/>
          <w:sz w:val="22"/>
          <w:szCs w:val="22"/>
        </w:rPr>
        <w:lastRenderedPageBreak/>
        <w:t>1. Las actividades de fiscalización, verificación, inspección, comprobación y auditoría sobre el cumplimiento de las Leyes; o </w:t>
      </w:r>
    </w:p>
    <w:p w14:paraId="247EA352" w14:textId="77777777" w:rsidR="000C5996" w:rsidRPr="00220302" w:rsidRDefault="000C5996" w:rsidP="000C5996">
      <w:pPr>
        <w:pBdr>
          <w:top w:val="nil"/>
          <w:left w:val="nil"/>
          <w:bottom w:val="nil"/>
          <w:right w:val="nil"/>
          <w:between w:val="nil"/>
        </w:pBdr>
        <w:spacing w:before="240" w:after="160" w:line="276" w:lineRule="auto"/>
        <w:ind w:left="851" w:right="851"/>
        <w:jc w:val="both"/>
        <w:rPr>
          <w:color w:val="000000"/>
        </w:rPr>
      </w:pPr>
      <w:r w:rsidRPr="00220302">
        <w:rPr>
          <w:rFonts w:ascii="Palatino Linotype" w:eastAsia="Palatino Linotype" w:hAnsi="Palatino Linotype" w:cs="Palatino Linotype"/>
          <w:i/>
          <w:color w:val="000000"/>
          <w:sz w:val="22"/>
          <w:szCs w:val="22"/>
        </w:rPr>
        <w:t>2. La recaudación de las contribuciones. </w:t>
      </w:r>
    </w:p>
    <w:p w14:paraId="294C4DBE" w14:textId="77777777" w:rsidR="000C5996" w:rsidRPr="00220302" w:rsidRDefault="000C5996" w:rsidP="000C5996">
      <w:pPr>
        <w:pBdr>
          <w:top w:val="nil"/>
          <w:left w:val="nil"/>
          <w:bottom w:val="nil"/>
          <w:right w:val="nil"/>
          <w:between w:val="nil"/>
        </w:pBdr>
        <w:spacing w:before="240" w:after="160" w:line="276" w:lineRule="auto"/>
        <w:ind w:left="851" w:right="851"/>
        <w:jc w:val="both"/>
        <w:rPr>
          <w:color w:val="000000"/>
        </w:rPr>
      </w:pPr>
      <w:r w:rsidRPr="00220302">
        <w:rPr>
          <w:rFonts w:ascii="Palatino Linotype" w:eastAsia="Palatino Linotype" w:hAnsi="Palatino Linotype" w:cs="Palatino Linotype"/>
          <w:i/>
          <w:color w:val="000000"/>
          <w:sz w:val="22"/>
          <w:szCs w:val="22"/>
        </w:rPr>
        <w:t>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w:t>
      </w:r>
    </w:p>
    <w:p w14:paraId="6F4F3A67" w14:textId="77777777" w:rsidR="000C5996" w:rsidRPr="00220302" w:rsidRDefault="000C5996" w:rsidP="000C5996">
      <w:pPr>
        <w:pBdr>
          <w:top w:val="nil"/>
          <w:left w:val="nil"/>
          <w:bottom w:val="nil"/>
          <w:right w:val="nil"/>
          <w:between w:val="nil"/>
        </w:pBdr>
        <w:spacing w:before="240" w:after="160" w:line="276" w:lineRule="auto"/>
        <w:ind w:left="851" w:right="851"/>
        <w:jc w:val="both"/>
        <w:rPr>
          <w:color w:val="000000"/>
        </w:rPr>
      </w:pPr>
      <w:r w:rsidRPr="00220302">
        <w:rPr>
          <w:rFonts w:ascii="Palatino Linotype" w:eastAsia="Palatino Linotype" w:hAnsi="Palatino Linotype" w:cs="Palatino Linotype"/>
          <w:i/>
          <w:color w:val="000000"/>
          <w:sz w:val="22"/>
          <w:szCs w:val="22"/>
        </w:rPr>
        <w:t>VII. La que contengan las opiniones, recomendaciones o puntos de vista que formen parte del proceso deliberativo de los servidores públicos, hasta en tanto sea adoptada la decisión definitiva, la cual deberá estar documentada; </w:t>
      </w:r>
    </w:p>
    <w:p w14:paraId="4D806D17" w14:textId="77777777" w:rsidR="000C5996" w:rsidRPr="00220302" w:rsidRDefault="000C5996" w:rsidP="000C5996">
      <w:pPr>
        <w:pBdr>
          <w:top w:val="nil"/>
          <w:left w:val="nil"/>
          <w:bottom w:val="nil"/>
          <w:right w:val="nil"/>
          <w:between w:val="nil"/>
        </w:pBdr>
        <w:spacing w:before="240" w:after="160" w:line="276" w:lineRule="auto"/>
        <w:ind w:left="851" w:right="851"/>
        <w:jc w:val="both"/>
        <w:rPr>
          <w:color w:val="000000"/>
        </w:rPr>
      </w:pPr>
      <w:r w:rsidRPr="00220302">
        <w:rPr>
          <w:rFonts w:ascii="Palatino Linotype" w:eastAsia="Palatino Linotype" w:hAnsi="Palatino Linotype" w:cs="Palatino Linotype"/>
          <w:i/>
          <w:color w:val="000000"/>
          <w:sz w:val="22"/>
          <w:szCs w:val="22"/>
        </w:rPr>
        <w:t>VIII. Vulnere la conducción de los expedientes judiciales o de los procedimientos administrativos seguidos en forma de juicio, en tanto no hayan quedado firmes; </w:t>
      </w:r>
    </w:p>
    <w:p w14:paraId="52E5E5F1" w14:textId="77777777" w:rsidR="000C5996" w:rsidRPr="00220302" w:rsidRDefault="000C5996" w:rsidP="000C5996">
      <w:pPr>
        <w:pBdr>
          <w:top w:val="nil"/>
          <w:left w:val="nil"/>
          <w:bottom w:val="nil"/>
          <w:right w:val="nil"/>
          <w:between w:val="nil"/>
        </w:pBdr>
        <w:spacing w:before="240" w:after="160" w:line="276" w:lineRule="auto"/>
        <w:ind w:left="851" w:right="851"/>
        <w:jc w:val="both"/>
        <w:rPr>
          <w:color w:val="000000"/>
        </w:rPr>
      </w:pPr>
      <w:r w:rsidRPr="00220302">
        <w:rPr>
          <w:rFonts w:ascii="Palatino Linotype" w:eastAsia="Palatino Linotype" w:hAnsi="Palatino Linotype" w:cs="Palatino Linotype"/>
          <w:i/>
          <w:color w:val="000000"/>
          <w:sz w:val="22"/>
          <w:szCs w:val="22"/>
        </w:rPr>
        <w:t>IX. Se encuentre contenida dentro de las investigaciones de hechos que la Ley señale como delitos y se tramiten ante el Ministerio Público; </w:t>
      </w:r>
    </w:p>
    <w:p w14:paraId="58B33F8B" w14:textId="77777777" w:rsidR="000C5996" w:rsidRPr="00220302" w:rsidRDefault="000C5996" w:rsidP="000C5996">
      <w:pPr>
        <w:pBdr>
          <w:top w:val="nil"/>
          <w:left w:val="nil"/>
          <w:bottom w:val="nil"/>
          <w:right w:val="nil"/>
          <w:between w:val="nil"/>
        </w:pBdr>
        <w:spacing w:before="240" w:after="160" w:line="276" w:lineRule="auto"/>
        <w:ind w:left="851" w:right="851"/>
        <w:jc w:val="both"/>
        <w:rPr>
          <w:color w:val="000000"/>
        </w:rPr>
      </w:pPr>
      <w:r w:rsidRPr="00220302">
        <w:rPr>
          <w:rFonts w:ascii="Palatino Linotype" w:eastAsia="Palatino Linotype" w:hAnsi="Palatino Linotype" w:cs="Palatino Linotype"/>
          <w:i/>
          <w:color w:val="000000"/>
          <w:sz w:val="22"/>
          <w:szCs w:val="22"/>
        </w:rPr>
        <w:t>X. El daño que pueda producirse con la publicación de la información sea mayor que el interés público de conocer la información de referencia, siempre que esté directamente relacionado con procesos o procedimientos administrativos o judiciales que no hayan quedado firmes; </w:t>
      </w:r>
    </w:p>
    <w:p w14:paraId="6F998E09" w14:textId="77777777" w:rsidR="000C5996" w:rsidRPr="00220302" w:rsidRDefault="000C5996" w:rsidP="000C5996">
      <w:pPr>
        <w:pBdr>
          <w:top w:val="nil"/>
          <w:left w:val="nil"/>
          <w:bottom w:val="nil"/>
          <w:right w:val="nil"/>
          <w:between w:val="nil"/>
        </w:pBdr>
        <w:spacing w:before="240" w:after="160" w:line="276" w:lineRule="auto"/>
        <w:ind w:left="851" w:right="851"/>
        <w:jc w:val="both"/>
        <w:rPr>
          <w:color w:val="000000"/>
        </w:rPr>
      </w:pPr>
      <w:r w:rsidRPr="00220302">
        <w:rPr>
          <w:rFonts w:ascii="Palatino Linotype" w:eastAsia="Palatino Linotype" w:hAnsi="Palatino Linotype" w:cs="Palatino Linotype"/>
          <w:i/>
          <w:color w:val="000000"/>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 </w:t>
      </w:r>
    </w:p>
    <w:p w14:paraId="70EAE79A" w14:textId="77777777" w:rsidR="000C5996" w:rsidRPr="00220302" w:rsidRDefault="000C5996" w:rsidP="000C5996">
      <w:pPr>
        <w:pBdr>
          <w:top w:val="nil"/>
          <w:left w:val="nil"/>
          <w:bottom w:val="nil"/>
          <w:right w:val="nil"/>
          <w:between w:val="nil"/>
        </w:pBdr>
        <w:spacing w:before="240" w:after="160" w:line="276" w:lineRule="auto"/>
        <w:ind w:left="851" w:right="851"/>
        <w:jc w:val="both"/>
        <w:rPr>
          <w:color w:val="000000"/>
        </w:rPr>
      </w:pPr>
      <w:r w:rsidRPr="00220302">
        <w:rPr>
          <w:rFonts w:ascii="Palatino Linotype" w:eastAsia="Palatino Linotype" w:hAnsi="Palatino Linotype" w:cs="Palatino Linotype"/>
          <w:i/>
          <w:color w:val="000000"/>
          <w:sz w:val="22"/>
          <w:szCs w:val="22"/>
        </w:rPr>
        <w:t xml:space="preserve">XI. Las que por disposición expresa de una ley tengan tal carácter, siempre que sean acordes con las bases, principios y disposiciones establecidos en esta Ley y no la contravengan; así como las previstas en tratados internacionales.” </w:t>
      </w:r>
    </w:p>
    <w:p w14:paraId="7EC3F45B" w14:textId="77777777" w:rsidR="000C5996" w:rsidRPr="00220302" w:rsidRDefault="000C5996" w:rsidP="000C5996">
      <w:pPr>
        <w:pBdr>
          <w:top w:val="nil"/>
          <w:left w:val="nil"/>
          <w:bottom w:val="nil"/>
          <w:right w:val="nil"/>
          <w:between w:val="nil"/>
        </w:pBdr>
        <w:spacing w:before="240" w:line="360" w:lineRule="auto"/>
        <w:jc w:val="both"/>
        <w:rPr>
          <w:color w:val="000000"/>
          <w:sz w:val="22"/>
          <w:szCs w:val="22"/>
        </w:rPr>
      </w:pPr>
      <w:r w:rsidRPr="00220302">
        <w:rPr>
          <w:rFonts w:ascii="Palatino Linotype" w:eastAsia="Palatino Linotype" w:hAnsi="Palatino Linotype" w:cs="Palatino Linotype"/>
          <w:color w:val="000000"/>
          <w:sz w:val="22"/>
          <w:szCs w:val="22"/>
        </w:rPr>
        <w:lastRenderedPageBreak/>
        <w:t xml:space="preserve">En virtud de lo anterior, resulta competencia del </w:t>
      </w:r>
      <w:r w:rsidRPr="00220302">
        <w:rPr>
          <w:rFonts w:ascii="Palatino Linotype" w:eastAsia="Palatino Linotype" w:hAnsi="Palatino Linotype" w:cs="Palatino Linotype"/>
          <w:b/>
          <w:color w:val="000000"/>
          <w:sz w:val="22"/>
          <w:szCs w:val="22"/>
        </w:rPr>
        <w:t xml:space="preserve">Sujeto Obligado </w:t>
      </w:r>
      <w:r w:rsidRPr="00220302">
        <w:rPr>
          <w:rFonts w:ascii="Palatino Linotype" w:eastAsia="Palatino Linotype" w:hAnsi="Palatino Linotype" w:cs="Palatino Linotype"/>
          <w:color w:val="000000"/>
          <w:sz w:val="22"/>
          <w:szCs w:val="22"/>
        </w:rPr>
        <w:t>apreciar el contenido de la información en cita, a efecto de valorar la posible actualización de una causal de reserva, y en consecuencia, determinar su procedencia conforme a la pauta metodológica referida con anterioridad, esto, observando la restricción que en términos del numeral 142 de la Ley de Transparencia local no podrá invocarse bajo los siguientes supuestos normativos:</w:t>
      </w:r>
    </w:p>
    <w:p w14:paraId="3E82392D" w14:textId="77777777" w:rsidR="000C5996" w:rsidRPr="00220302" w:rsidRDefault="000C5996" w:rsidP="000C5996">
      <w:pPr>
        <w:pBdr>
          <w:top w:val="nil"/>
          <w:left w:val="nil"/>
          <w:bottom w:val="nil"/>
          <w:right w:val="nil"/>
          <w:between w:val="nil"/>
        </w:pBdr>
        <w:spacing w:before="240" w:after="160" w:line="276" w:lineRule="auto"/>
        <w:ind w:left="851" w:right="851"/>
        <w:jc w:val="both"/>
        <w:rPr>
          <w:color w:val="000000"/>
        </w:rPr>
      </w:pPr>
      <w:r w:rsidRPr="00220302">
        <w:rPr>
          <w:rFonts w:ascii="Palatino Linotype" w:eastAsia="Palatino Linotype" w:hAnsi="Palatino Linotype" w:cs="Palatino Linotype"/>
          <w:i/>
          <w:color w:val="000000"/>
          <w:sz w:val="22"/>
          <w:szCs w:val="22"/>
        </w:rPr>
        <w:t>“Artículo 142. Bajo ninguna circunstancia podrá invocarse el carácter de reservado cuando:</w:t>
      </w:r>
    </w:p>
    <w:p w14:paraId="24D83F67" w14:textId="77777777" w:rsidR="000C5996" w:rsidRPr="00220302" w:rsidRDefault="000C5996" w:rsidP="000C5996">
      <w:pPr>
        <w:pBdr>
          <w:top w:val="nil"/>
          <w:left w:val="nil"/>
          <w:bottom w:val="nil"/>
          <w:right w:val="nil"/>
          <w:between w:val="nil"/>
        </w:pBdr>
        <w:spacing w:before="240" w:after="160" w:line="276" w:lineRule="auto"/>
        <w:ind w:left="851" w:right="851"/>
        <w:jc w:val="both"/>
        <w:rPr>
          <w:color w:val="000000"/>
        </w:rPr>
      </w:pPr>
      <w:r w:rsidRPr="00220302">
        <w:rPr>
          <w:rFonts w:ascii="Palatino Linotype" w:eastAsia="Palatino Linotype" w:hAnsi="Palatino Linotype" w:cs="Palatino Linotype"/>
          <w:i/>
          <w:color w:val="000000"/>
          <w:sz w:val="22"/>
          <w:szCs w:val="22"/>
        </w:rPr>
        <w:t> I. Se trate de violaciones graves de derechos humanos, calificada así por autoridad competente; </w:t>
      </w:r>
    </w:p>
    <w:p w14:paraId="170513E8" w14:textId="77777777" w:rsidR="000C5996" w:rsidRPr="00220302" w:rsidRDefault="000C5996" w:rsidP="000C5996">
      <w:pPr>
        <w:pBdr>
          <w:top w:val="nil"/>
          <w:left w:val="nil"/>
          <w:bottom w:val="nil"/>
          <w:right w:val="nil"/>
          <w:between w:val="nil"/>
        </w:pBdr>
        <w:spacing w:before="240" w:after="160" w:line="276" w:lineRule="auto"/>
        <w:ind w:left="851" w:right="851"/>
        <w:jc w:val="both"/>
        <w:rPr>
          <w:color w:val="000000"/>
        </w:rPr>
      </w:pPr>
      <w:r w:rsidRPr="00220302">
        <w:rPr>
          <w:rFonts w:ascii="Palatino Linotype" w:eastAsia="Palatino Linotype" w:hAnsi="Palatino Linotype" w:cs="Palatino Linotype"/>
          <w:i/>
          <w:color w:val="000000"/>
          <w:sz w:val="22"/>
          <w:szCs w:val="22"/>
        </w:rPr>
        <w:t>II. Se trate de la investigación de posibles violaciones graves de derechos humanos aun cuando no exista pronunciamiento previo de autoridad competente, cuando se determine, a partir de criterios cuantitativos y cualitativos la trascendencia social de las violaciones; </w:t>
      </w:r>
    </w:p>
    <w:p w14:paraId="38D97BAE" w14:textId="77777777" w:rsidR="000C5996" w:rsidRPr="00220302" w:rsidRDefault="000C5996" w:rsidP="000C5996">
      <w:pPr>
        <w:pBdr>
          <w:top w:val="nil"/>
          <w:left w:val="nil"/>
          <w:bottom w:val="nil"/>
          <w:right w:val="nil"/>
          <w:between w:val="nil"/>
        </w:pBdr>
        <w:spacing w:before="240" w:after="160" w:line="276" w:lineRule="auto"/>
        <w:ind w:left="851" w:right="851"/>
        <w:jc w:val="both"/>
        <w:rPr>
          <w:color w:val="000000"/>
        </w:rPr>
      </w:pPr>
      <w:r w:rsidRPr="00220302">
        <w:rPr>
          <w:rFonts w:ascii="Palatino Linotype" w:eastAsia="Palatino Linotype" w:hAnsi="Palatino Linotype" w:cs="Palatino Linotype"/>
          <w:i/>
          <w:color w:val="000000"/>
          <w:sz w:val="22"/>
          <w:szCs w:val="22"/>
        </w:rPr>
        <w:t>III. Se trate de delitos de lesa humanidad conforme a los tratados ratificados por el Senado de la República, las resoluciones emitidas por organismos internacionales cuya competencia sea reconocida por el Estado Mexicano, así como en las disposiciones jurídicas aplicables; y </w:t>
      </w:r>
    </w:p>
    <w:p w14:paraId="0A6A983B" w14:textId="77777777" w:rsidR="000C5996" w:rsidRPr="00220302" w:rsidRDefault="000C5996" w:rsidP="000C5996">
      <w:pPr>
        <w:pBdr>
          <w:top w:val="nil"/>
          <w:left w:val="nil"/>
          <w:bottom w:val="nil"/>
          <w:right w:val="nil"/>
          <w:between w:val="nil"/>
        </w:pBdr>
        <w:spacing w:before="240" w:after="160" w:line="276" w:lineRule="auto"/>
        <w:ind w:left="851" w:right="851"/>
        <w:jc w:val="both"/>
        <w:rPr>
          <w:color w:val="000000"/>
        </w:rPr>
      </w:pPr>
      <w:r w:rsidRPr="00220302">
        <w:rPr>
          <w:rFonts w:ascii="Palatino Linotype" w:eastAsia="Palatino Linotype" w:hAnsi="Palatino Linotype" w:cs="Palatino Linotype"/>
          <w:i/>
          <w:color w:val="000000"/>
          <w:sz w:val="22"/>
          <w:szCs w:val="22"/>
        </w:rPr>
        <w:t xml:space="preserve">IV. Se trate de información relacionada con actos de corrupción de conformidad con las disposiciones jurídicas aplicables.” </w:t>
      </w:r>
    </w:p>
    <w:p w14:paraId="66AF7583" w14:textId="4841F920" w:rsidR="000C5996" w:rsidRPr="00220302" w:rsidRDefault="00014B04">
      <w:pPr>
        <w:spacing w:before="240" w:after="240" w:line="360" w:lineRule="auto"/>
        <w:jc w:val="both"/>
        <w:rPr>
          <w:rFonts w:ascii="Palatino Linotype" w:eastAsia="Palatino Linotype" w:hAnsi="Palatino Linotype" w:cs="Palatino Linotype"/>
          <w:sz w:val="22"/>
          <w:szCs w:val="22"/>
        </w:rPr>
      </w:pPr>
      <w:r w:rsidRPr="00220302">
        <w:rPr>
          <w:rFonts w:ascii="Palatino Linotype" w:eastAsia="Palatino Linotype" w:hAnsi="Palatino Linotype" w:cs="Palatino Linotype"/>
          <w:sz w:val="22"/>
          <w:szCs w:val="22"/>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08218644" w14:textId="77777777" w:rsidR="00E96F5D" w:rsidRPr="00220302" w:rsidRDefault="00014B04">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bookmarkStart w:id="9" w:name="_heading=h.ijv98pntcd5s" w:colFirst="0" w:colLast="0"/>
      <w:bookmarkEnd w:id="9"/>
      <w:r w:rsidRPr="00220302">
        <w:rPr>
          <w:rFonts w:ascii="Palatino Linotype" w:eastAsia="Palatino Linotype" w:hAnsi="Palatino Linotype" w:cs="Palatino Linotype"/>
          <w:b/>
          <w:sz w:val="22"/>
          <w:szCs w:val="22"/>
        </w:rPr>
        <w:t>III. R E S U E L V E</w:t>
      </w:r>
    </w:p>
    <w:p w14:paraId="0928999A" w14:textId="77777777" w:rsidR="00E96F5D" w:rsidRPr="00220302" w:rsidRDefault="00014B04">
      <w:pPr>
        <w:spacing w:before="240" w:after="240" w:line="360" w:lineRule="auto"/>
        <w:jc w:val="both"/>
        <w:rPr>
          <w:rFonts w:ascii="Palatino Linotype" w:eastAsia="Palatino Linotype" w:hAnsi="Palatino Linotype" w:cs="Palatino Linotype"/>
          <w:sz w:val="22"/>
          <w:szCs w:val="22"/>
        </w:rPr>
      </w:pPr>
      <w:bookmarkStart w:id="10" w:name="_heading=h.26in1rg" w:colFirst="0" w:colLast="0"/>
      <w:bookmarkEnd w:id="10"/>
      <w:r w:rsidRPr="00220302">
        <w:rPr>
          <w:rFonts w:ascii="Palatino Linotype" w:eastAsia="Palatino Linotype" w:hAnsi="Palatino Linotype" w:cs="Palatino Linotype"/>
          <w:b/>
          <w:sz w:val="22"/>
          <w:szCs w:val="22"/>
        </w:rPr>
        <w:lastRenderedPageBreak/>
        <w:t xml:space="preserve">Primero. </w:t>
      </w:r>
      <w:r w:rsidRPr="00220302">
        <w:rPr>
          <w:rFonts w:ascii="Palatino Linotype" w:eastAsia="Palatino Linotype" w:hAnsi="Palatino Linotype" w:cs="Palatino Linotype"/>
          <w:sz w:val="22"/>
          <w:szCs w:val="22"/>
        </w:rPr>
        <w:t xml:space="preserve">Resultan </w:t>
      </w:r>
      <w:r w:rsidRPr="00220302">
        <w:rPr>
          <w:rFonts w:ascii="Palatino Linotype" w:eastAsia="Palatino Linotype" w:hAnsi="Palatino Linotype" w:cs="Palatino Linotype"/>
          <w:b/>
          <w:sz w:val="22"/>
          <w:szCs w:val="22"/>
        </w:rPr>
        <w:t>fundadas</w:t>
      </w:r>
      <w:r w:rsidRPr="00220302">
        <w:rPr>
          <w:rFonts w:ascii="Palatino Linotype" w:eastAsia="Palatino Linotype" w:hAnsi="Palatino Linotype" w:cs="Palatino Linotype"/>
          <w:sz w:val="22"/>
          <w:szCs w:val="22"/>
        </w:rPr>
        <w:t xml:space="preserve"> las razones o motivos de inconformidad hechos valer por </w:t>
      </w:r>
      <w:r w:rsidRPr="00220302">
        <w:rPr>
          <w:rFonts w:ascii="Palatino Linotype" w:eastAsia="Palatino Linotype" w:hAnsi="Palatino Linotype" w:cs="Palatino Linotype"/>
          <w:b/>
          <w:sz w:val="22"/>
          <w:szCs w:val="22"/>
        </w:rPr>
        <w:t>la parte Recurrente</w:t>
      </w:r>
      <w:r w:rsidRPr="00220302">
        <w:rPr>
          <w:rFonts w:ascii="Palatino Linotype" w:eastAsia="Palatino Linotype" w:hAnsi="Palatino Linotype" w:cs="Palatino Linotype"/>
          <w:sz w:val="22"/>
          <w:szCs w:val="22"/>
        </w:rPr>
        <w:t xml:space="preserve"> en el recurso de revisión </w:t>
      </w:r>
      <w:r w:rsidR="00285FD2" w:rsidRPr="00220302">
        <w:rPr>
          <w:rFonts w:ascii="Palatino Linotype" w:eastAsia="Palatino Linotype" w:hAnsi="Palatino Linotype" w:cs="Palatino Linotype"/>
          <w:b/>
          <w:sz w:val="22"/>
          <w:szCs w:val="22"/>
        </w:rPr>
        <w:t>01769/INFOEM/IP/RR/2024</w:t>
      </w:r>
      <w:r w:rsidRPr="00220302">
        <w:rPr>
          <w:rFonts w:ascii="Palatino Linotype" w:eastAsia="Palatino Linotype" w:hAnsi="Palatino Linotype" w:cs="Palatino Linotype"/>
          <w:sz w:val="22"/>
          <w:szCs w:val="22"/>
        </w:rPr>
        <w:t xml:space="preserve">; por lo que, en términos del </w:t>
      </w:r>
      <w:r w:rsidRPr="00220302">
        <w:rPr>
          <w:rFonts w:ascii="Palatino Linotype" w:eastAsia="Palatino Linotype" w:hAnsi="Palatino Linotype" w:cs="Palatino Linotype"/>
          <w:b/>
          <w:sz w:val="22"/>
          <w:szCs w:val="22"/>
        </w:rPr>
        <w:t>Considerando</w:t>
      </w:r>
      <w:r w:rsidRPr="00220302">
        <w:rPr>
          <w:rFonts w:ascii="Palatino Linotype" w:eastAsia="Palatino Linotype" w:hAnsi="Palatino Linotype" w:cs="Palatino Linotype"/>
          <w:sz w:val="22"/>
          <w:szCs w:val="22"/>
        </w:rPr>
        <w:t xml:space="preserve"> </w:t>
      </w:r>
      <w:r w:rsidRPr="00220302">
        <w:rPr>
          <w:rFonts w:ascii="Palatino Linotype" w:eastAsia="Palatino Linotype" w:hAnsi="Palatino Linotype" w:cs="Palatino Linotype"/>
          <w:b/>
          <w:sz w:val="22"/>
          <w:szCs w:val="22"/>
        </w:rPr>
        <w:t xml:space="preserve">Cuarto </w:t>
      </w:r>
      <w:r w:rsidRPr="00220302">
        <w:rPr>
          <w:rFonts w:ascii="Palatino Linotype" w:eastAsia="Palatino Linotype" w:hAnsi="Palatino Linotype" w:cs="Palatino Linotype"/>
          <w:sz w:val="22"/>
          <w:szCs w:val="22"/>
        </w:rPr>
        <w:t xml:space="preserve">de esta resolución, se </w:t>
      </w:r>
      <w:r w:rsidRPr="00220302">
        <w:rPr>
          <w:rFonts w:ascii="Palatino Linotype" w:eastAsia="Palatino Linotype" w:hAnsi="Palatino Linotype" w:cs="Palatino Linotype"/>
          <w:b/>
          <w:color w:val="000000"/>
          <w:sz w:val="22"/>
          <w:szCs w:val="22"/>
        </w:rPr>
        <w:t>REVOCA</w:t>
      </w:r>
      <w:r w:rsidRPr="00220302">
        <w:rPr>
          <w:rFonts w:ascii="Palatino Linotype" w:eastAsia="Palatino Linotype" w:hAnsi="Palatino Linotype" w:cs="Palatino Linotype"/>
          <w:b/>
          <w:sz w:val="22"/>
          <w:szCs w:val="22"/>
        </w:rPr>
        <w:t xml:space="preserve"> </w:t>
      </w:r>
      <w:r w:rsidRPr="00220302">
        <w:rPr>
          <w:rFonts w:ascii="Palatino Linotype" w:eastAsia="Palatino Linotype" w:hAnsi="Palatino Linotype" w:cs="Palatino Linotype"/>
          <w:sz w:val="22"/>
          <w:szCs w:val="22"/>
        </w:rPr>
        <w:t xml:space="preserve">la respuesta emitida por el </w:t>
      </w:r>
      <w:r w:rsidRPr="00220302">
        <w:rPr>
          <w:rFonts w:ascii="Palatino Linotype" w:eastAsia="Palatino Linotype" w:hAnsi="Palatino Linotype" w:cs="Palatino Linotype"/>
          <w:b/>
          <w:sz w:val="22"/>
          <w:szCs w:val="22"/>
        </w:rPr>
        <w:t xml:space="preserve">Sujeto Obligado. </w:t>
      </w:r>
    </w:p>
    <w:p w14:paraId="75995394" w14:textId="77777777" w:rsidR="00E96F5D" w:rsidRPr="00220302" w:rsidRDefault="00014B04">
      <w:pPr>
        <w:spacing w:before="240" w:after="240" w:line="360" w:lineRule="auto"/>
        <w:ind w:right="49"/>
        <w:jc w:val="both"/>
        <w:rPr>
          <w:rFonts w:ascii="Palatino Linotype" w:eastAsia="Palatino Linotype" w:hAnsi="Palatino Linotype" w:cs="Palatino Linotype"/>
          <w:b/>
          <w:color w:val="FF0000"/>
          <w:sz w:val="22"/>
        </w:rPr>
      </w:pPr>
      <w:r w:rsidRPr="00220302">
        <w:rPr>
          <w:rFonts w:ascii="Palatino Linotype" w:eastAsia="Palatino Linotype" w:hAnsi="Palatino Linotype" w:cs="Palatino Linotype"/>
          <w:b/>
          <w:sz w:val="22"/>
        </w:rPr>
        <w:t xml:space="preserve">Segundo. </w:t>
      </w:r>
      <w:r w:rsidRPr="00220302">
        <w:rPr>
          <w:rFonts w:ascii="Palatino Linotype" w:eastAsia="Palatino Linotype" w:hAnsi="Palatino Linotype" w:cs="Palatino Linotype"/>
          <w:sz w:val="22"/>
        </w:rPr>
        <w:t xml:space="preserve">Se </w:t>
      </w:r>
      <w:r w:rsidRPr="00220302">
        <w:rPr>
          <w:rFonts w:ascii="Palatino Linotype" w:eastAsia="Palatino Linotype" w:hAnsi="Palatino Linotype" w:cs="Palatino Linotype"/>
          <w:b/>
          <w:sz w:val="22"/>
        </w:rPr>
        <w:t xml:space="preserve">Ordena </w:t>
      </w:r>
      <w:r w:rsidRPr="00220302">
        <w:rPr>
          <w:rFonts w:ascii="Palatino Linotype" w:eastAsia="Palatino Linotype" w:hAnsi="Palatino Linotype" w:cs="Palatino Linotype"/>
          <w:sz w:val="22"/>
        </w:rPr>
        <w:t xml:space="preserve">al </w:t>
      </w:r>
      <w:r w:rsidRPr="00220302">
        <w:rPr>
          <w:rFonts w:ascii="Palatino Linotype" w:eastAsia="Palatino Linotype" w:hAnsi="Palatino Linotype" w:cs="Palatino Linotype"/>
          <w:b/>
          <w:sz w:val="22"/>
        </w:rPr>
        <w:t>Sujeto Obligado</w:t>
      </w:r>
      <w:r w:rsidR="005675C0" w:rsidRPr="00220302">
        <w:rPr>
          <w:rFonts w:ascii="Palatino Linotype" w:eastAsia="Palatino Linotype" w:hAnsi="Palatino Linotype" w:cs="Palatino Linotype"/>
          <w:sz w:val="22"/>
        </w:rPr>
        <w:t xml:space="preserve"> haga entrega</w:t>
      </w:r>
      <w:r w:rsidRPr="00220302">
        <w:rPr>
          <w:rFonts w:ascii="Palatino Linotype" w:eastAsia="Palatino Linotype" w:hAnsi="Palatino Linotype" w:cs="Palatino Linotype"/>
          <w:sz w:val="22"/>
        </w:rPr>
        <w:t xml:space="preserve">, en </w:t>
      </w:r>
      <w:r w:rsidRPr="00220302">
        <w:rPr>
          <w:rFonts w:ascii="Palatino Linotype" w:eastAsia="Palatino Linotype" w:hAnsi="Palatino Linotype" w:cs="Palatino Linotype"/>
          <w:b/>
          <w:color w:val="000000"/>
          <w:sz w:val="22"/>
        </w:rPr>
        <w:t>versión pública de ser procedente,</w:t>
      </w:r>
      <w:r w:rsidRPr="00220302">
        <w:rPr>
          <w:rFonts w:ascii="Palatino Linotype" w:eastAsia="Palatino Linotype" w:hAnsi="Palatino Linotype" w:cs="Palatino Linotype"/>
          <w:color w:val="000000"/>
          <w:sz w:val="22"/>
        </w:rPr>
        <w:t xml:space="preserve"> </w:t>
      </w:r>
      <w:r w:rsidRPr="00220302">
        <w:rPr>
          <w:rFonts w:ascii="Palatino Linotype" w:eastAsia="Palatino Linotype" w:hAnsi="Palatino Linotype" w:cs="Palatino Linotype"/>
          <w:sz w:val="22"/>
        </w:rPr>
        <w:t>a</w:t>
      </w:r>
      <w:r w:rsidRPr="00220302">
        <w:rPr>
          <w:rFonts w:ascii="Palatino Linotype" w:eastAsia="Palatino Linotype" w:hAnsi="Palatino Linotype" w:cs="Palatino Linotype"/>
          <w:b/>
          <w:sz w:val="22"/>
        </w:rPr>
        <w:t xml:space="preserve"> la parte Recurrente,</w:t>
      </w:r>
      <w:r w:rsidRPr="00220302">
        <w:rPr>
          <w:rFonts w:ascii="Palatino Linotype" w:eastAsia="Palatino Linotype" w:hAnsi="Palatino Linotype" w:cs="Palatino Linotype"/>
          <w:sz w:val="22"/>
        </w:rPr>
        <w:t xml:space="preserve"> vía </w:t>
      </w:r>
      <w:r w:rsidRPr="00220302">
        <w:rPr>
          <w:rFonts w:ascii="Palatino Linotype" w:eastAsia="Palatino Linotype" w:hAnsi="Palatino Linotype" w:cs="Palatino Linotype"/>
          <w:b/>
          <w:sz w:val="22"/>
        </w:rPr>
        <w:t xml:space="preserve">SAIMEX, </w:t>
      </w:r>
      <w:r w:rsidRPr="00220302">
        <w:rPr>
          <w:rFonts w:ascii="Palatino Linotype" w:eastAsia="Palatino Linotype" w:hAnsi="Palatino Linotype" w:cs="Palatino Linotype"/>
          <w:sz w:val="22"/>
        </w:rPr>
        <w:t xml:space="preserve">en términos de los </w:t>
      </w:r>
      <w:r w:rsidRPr="00220302">
        <w:rPr>
          <w:rFonts w:ascii="Palatino Linotype" w:eastAsia="Palatino Linotype" w:hAnsi="Palatino Linotype" w:cs="Palatino Linotype"/>
          <w:b/>
          <w:sz w:val="22"/>
        </w:rPr>
        <w:t>Considerandos</w:t>
      </w:r>
      <w:r w:rsidRPr="00220302">
        <w:rPr>
          <w:rFonts w:ascii="Palatino Linotype" w:eastAsia="Palatino Linotype" w:hAnsi="Palatino Linotype" w:cs="Palatino Linotype"/>
          <w:sz w:val="22"/>
        </w:rPr>
        <w:t xml:space="preserve"> </w:t>
      </w:r>
      <w:r w:rsidRPr="00220302">
        <w:rPr>
          <w:rFonts w:ascii="Palatino Linotype" w:eastAsia="Palatino Linotype" w:hAnsi="Palatino Linotype" w:cs="Palatino Linotype"/>
          <w:b/>
          <w:sz w:val="22"/>
        </w:rPr>
        <w:t xml:space="preserve">Cuarto y Quinto </w:t>
      </w:r>
      <w:r w:rsidRPr="00220302">
        <w:rPr>
          <w:rFonts w:ascii="Palatino Linotype" w:eastAsia="Palatino Linotype" w:hAnsi="Palatino Linotype" w:cs="Palatino Linotype"/>
          <w:sz w:val="22"/>
        </w:rPr>
        <w:t xml:space="preserve">de la presente resolución, </w:t>
      </w:r>
      <w:r w:rsidR="005675C0" w:rsidRPr="00220302">
        <w:rPr>
          <w:rFonts w:ascii="Palatino Linotype" w:eastAsia="Palatino Linotype" w:hAnsi="Palatino Linotype" w:cs="Palatino Linotype"/>
          <w:sz w:val="22"/>
        </w:rPr>
        <w:t>de lo siguiente:</w:t>
      </w:r>
      <w:r w:rsidRPr="00220302">
        <w:rPr>
          <w:rFonts w:ascii="Palatino Linotype" w:eastAsia="Palatino Linotype" w:hAnsi="Palatino Linotype" w:cs="Palatino Linotype"/>
          <w:b/>
          <w:sz w:val="22"/>
        </w:rPr>
        <w:t xml:space="preserve"> </w:t>
      </w:r>
    </w:p>
    <w:p w14:paraId="16283C2B" w14:textId="0AEB9860" w:rsidR="00E96F5D" w:rsidRPr="00220302" w:rsidRDefault="00774591" w:rsidP="00774591">
      <w:pPr>
        <w:pStyle w:val="Prrafodelista"/>
        <w:numPr>
          <w:ilvl w:val="0"/>
          <w:numId w:val="7"/>
        </w:numPr>
        <w:spacing w:before="240" w:after="240" w:line="276" w:lineRule="auto"/>
        <w:ind w:left="567" w:right="900" w:hanging="141"/>
        <w:jc w:val="both"/>
        <w:rPr>
          <w:rFonts w:ascii="Palatino Linotype" w:eastAsia="Palatino Linotype" w:hAnsi="Palatino Linotype" w:cs="Palatino Linotype"/>
          <w:b/>
          <w:i/>
          <w:sz w:val="22"/>
          <w:szCs w:val="22"/>
        </w:rPr>
      </w:pPr>
      <w:r w:rsidRPr="00220302">
        <w:rPr>
          <w:rFonts w:ascii="Palatino Linotype" w:eastAsia="Palatino Linotype" w:hAnsi="Palatino Linotype" w:cs="Palatino Linotype"/>
          <w:b/>
          <w:i/>
          <w:sz w:val="22"/>
          <w:szCs w:val="22"/>
        </w:rPr>
        <w:t>Documento donde conste el estado, al 12 de marzo de 2024, de las auditorías realizadas por el OSFEM de conformidad con el Programa Anual de Auditorías de los años 2022 y 2023.</w:t>
      </w:r>
    </w:p>
    <w:p w14:paraId="20990A93" w14:textId="77777777" w:rsidR="00E96F5D" w:rsidRPr="00220302" w:rsidRDefault="00014B04">
      <w:pPr>
        <w:pBdr>
          <w:top w:val="nil"/>
          <w:left w:val="nil"/>
          <w:bottom w:val="nil"/>
          <w:right w:val="nil"/>
          <w:between w:val="nil"/>
        </w:pBdr>
        <w:spacing w:after="240" w:line="276" w:lineRule="auto"/>
        <w:ind w:left="567" w:right="900"/>
        <w:jc w:val="both"/>
        <w:rPr>
          <w:rFonts w:ascii="Palatino Linotype" w:eastAsia="Palatino Linotype" w:hAnsi="Palatino Linotype" w:cs="Palatino Linotype"/>
          <w:i/>
          <w:color w:val="000000"/>
          <w:sz w:val="22"/>
          <w:szCs w:val="22"/>
        </w:rPr>
      </w:pPr>
      <w:r w:rsidRPr="00220302">
        <w:rPr>
          <w:rFonts w:ascii="Palatino Linotype" w:eastAsia="Palatino Linotype" w:hAnsi="Palatino Linotype" w:cs="Palatino Linotype"/>
          <w:i/>
          <w:color w:val="000000"/>
          <w:sz w:val="22"/>
          <w:szCs w:val="22"/>
        </w:rPr>
        <w:t xml:space="preserve">Debiendo acompañar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w:t>
      </w:r>
      <w:r w:rsidRPr="00220302">
        <w:rPr>
          <w:rFonts w:ascii="Palatino Linotype" w:eastAsia="Palatino Linotype" w:hAnsi="Palatino Linotype" w:cs="Palatino Linotype"/>
          <w:b/>
          <w:i/>
          <w:color w:val="000000"/>
          <w:sz w:val="22"/>
          <w:szCs w:val="22"/>
        </w:rPr>
        <w:t>la parte Recurrente</w:t>
      </w:r>
      <w:r w:rsidRPr="00220302">
        <w:rPr>
          <w:rFonts w:ascii="Palatino Linotype" w:eastAsia="Palatino Linotype" w:hAnsi="Palatino Linotype" w:cs="Palatino Linotype"/>
          <w:i/>
          <w:color w:val="000000"/>
          <w:sz w:val="22"/>
          <w:szCs w:val="22"/>
        </w:rPr>
        <w:t>.</w:t>
      </w:r>
    </w:p>
    <w:p w14:paraId="2A3771C9" w14:textId="77777777" w:rsidR="00E96F5D" w:rsidRPr="00220302" w:rsidRDefault="00014B04">
      <w:pPr>
        <w:spacing w:before="240" w:after="240" w:line="360" w:lineRule="auto"/>
        <w:jc w:val="both"/>
        <w:rPr>
          <w:rFonts w:ascii="Palatino Linotype" w:eastAsia="Palatino Linotype" w:hAnsi="Palatino Linotype" w:cs="Palatino Linotype"/>
          <w:sz w:val="22"/>
          <w:szCs w:val="22"/>
        </w:rPr>
      </w:pPr>
      <w:r w:rsidRPr="00220302">
        <w:rPr>
          <w:rFonts w:ascii="Palatino Linotype" w:eastAsia="Palatino Linotype" w:hAnsi="Palatino Linotype" w:cs="Palatino Linotype"/>
          <w:b/>
          <w:sz w:val="22"/>
          <w:szCs w:val="22"/>
        </w:rPr>
        <w:t xml:space="preserve">Tercero.  Notifíquese vía SAIMEX, </w:t>
      </w:r>
      <w:r w:rsidRPr="00220302">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C14F154" w14:textId="77777777" w:rsidR="00E96F5D" w:rsidRPr="00220302" w:rsidRDefault="00014B04">
      <w:pPr>
        <w:spacing w:before="240" w:after="240" w:line="360" w:lineRule="auto"/>
        <w:jc w:val="both"/>
        <w:rPr>
          <w:rFonts w:ascii="Palatino Linotype" w:eastAsia="Palatino Linotype" w:hAnsi="Palatino Linotype" w:cs="Palatino Linotype"/>
          <w:sz w:val="22"/>
          <w:szCs w:val="22"/>
        </w:rPr>
      </w:pPr>
      <w:r w:rsidRPr="00220302">
        <w:rPr>
          <w:rFonts w:ascii="Palatino Linotype" w:eastAsia="Palatino Linotype" w:hAnsi="Palatino Linotype" w:cs="Palatino Linotype"/>
          <w:b/>
          <w:sz w:val="22"/>
          <w:szCs w:val="22"/>
        </w:rPr>
        <w:t xml:space="preserve">Cuarto. </w:t>
      </w:r>
      <w:r w:rsidRPr="00220302">
        <w:rPr>
          <w:rFonts w:ascii="Palatino Linotype" w:eastAsia="Palatino Linotype" w:hAnsi="Palatino Linotype" w:cs="Palatino Linotype"/>
          <w:sz w:val="22"/>
          <w:szCs w:val="22"/>
        </w:rPr>
        <w:t xml:space="preserve">De conformidad con el artículo 198 de la Ley de Transparencia y Acceso a la Información Pública del Estado de México y Municipios, de considerarlo procedente, el </w:t>
      </w:r>
      <w:r w:rsidRPr="00220302">
        <w:rPr>
          <w:rFonts w:ascii="Palatino Linotype" w:eastAsia="Palatino Linotype" w:hAnsi="Palatino Linotype" w:cs="Palatino Linotype"/>
          <w:sz w:val="22"/>
          <w:szCs w:val="22"/>
        </w:rPr>
        <w:lastRenderedPageBreak/>
        <w:t>Sujeto Obligado de manera fundada y motivada, podrá solicitar una ampliación de plazo para el cumplimiento de la presente resolución.</w:t>
      </w:r>
    </w:p>
    <w:p w14:paraId="3A7AFE08" w14:textId="77777777" w:rsidR="00E96F5D" w:rsidRPr="00220302" w:rsidRDefault="00014B04">
      <w:pPr>
        <w:spacing w:before="240" w:after="240" w:line="360" w:lineRule="auto"/>
        <w:jc w:val="both"/>
        <w:rPr>
          <w:rFonts w:ascii="Palatino Linotype" w:eastAsia="Palatino Linotype" w:hAnsi="Palatino Linotype" w:cs="Palatino Linotype"/>
          <w:sz w:val="22"/>
          <w:szCs w:val="22"/>
        </w:rPr>
      </w:pPr>
      <w:bookmarkStart w:id="11" w:name="_heading=h.17dp8vu" w:colFirst="0" w:colLast="0"/>
      <w:bookmarkEnd w:id="11"/>
      <w:r w:rsidRPr="00220302">
        <w:rPr>
          <w:rFonts w:ascii="Palatino Linotype" w:eastAsia="Palatino Linotype" w:hAnsi="Palatino Linotype" w:cs="Palatino Linotype"/>
          <w:b/>
          <w:sz w:val="22"/>
          <w:szCs w:val="22"/>
        </w:rPr>
        <w:t xml:space="preserve">Quinto. Notifíquese vía SAIMEX, </w:t>
      </w:r>
      <w:r w:rsidRPr="00220302">
        <w:rPr>
          <w:rFonts w:ascii="Palatino Linotype" w:eastAsia="Palatino Linotype" w:hAnsi="Palatino Linotype" w:cs="Palatino Linotype"/>
          <w:sz w:val="22"/>
          <w:szCs w:val="22"/>
        </w:rPr>
        <w:t>a</w:t>
      </w:r>
      <w:r w:rsidRPr="00220302">
        <w:rPr>
          <w:rFonts w:ascii="Palatino Linotype" w:eastAsia="Palatino Linotype" w:hAnsi="Palatino Linotype" w:cs="Palatino Linotype"/>
          <w:b/>
          <w:sz w:val="22"/>
          <w:szCs w:val="22"/>
        </w:rPr>
        <w:t xml:space="preserve"> la parte Recurrente</w:t>
      </w:r>
      <w:r w:rsidRPr="00220302">
        <w:rPr>
          <w:rFonts w:ascii="Palatino Linotype" w:eastAsia="Palatino Linotype" w:hAnsi="Palatino Linotype" w:cs="Palatino Linotype"/>
          <w:sz w:val="22"/>
          <w:szCs w:val="22"/>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1B703C92" w14:textId="77777777" w:rsidR="00E96F5D" w:rsidRDefault="00014B04">
      <w:pPr>
        <w:spacing w:line="360" w:lineRule="auto"/>
        <w:jc w:val="both"/>
        <w:rPr>
          <w:rFonts w:ascii="Palatino Linotype" w:eastAsia="Palatino Linotype" w:hAnsi="Palatino Linotype" w:cs="Palatino Linotype"/>
        </w:rPr>
      </w:pPr>
      <w:r w:rsidRPr="00220302">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w:t>
      </w:r>
      <w:r w:rsidR="000B5149" w:rsidRPr="00220302">
        <w:rPr>
          <w:rFonts w:ascii="Palatino Linotype" w:eastAsia="Palatino Linotype" w:hAnsi="Palatino Linotype" w:cs="Palatino Linotype"/>
        </w:rPr>
        <w:t>M</w:t>
      </w:r>
      <w:r w:rsidR="00285FD2" w:rsidRPr="00220302">
        <w:rPr>
          <w:rFonts w:ascii="Palatino Linotype" w:eastAsia="Palatino Linotype" w:hAnsi="Palatino Linotype" w:cs="Palatino Linotype"/>
        </w:rPr>
        <w:t>ÍREZ PEÑA; EN LA VIGÉSIMA NOVENA</w:t>
      </w:r>
      <w:r w:rsidRPr="00220302">
        <w:rPr>
          <w:rFonts w:ascii="Palatino Linotype" w:eastAsia="Palatino Linotype" w:hAnsi="Palatino Linotype" w:cs="Palatino Linotype"/>
        </w:rPr>
        <w:t xml:space="preserve"> SESIÓN ORDINARIA, CELEBRADA EL </w:t>
      </w:r>
      <w:r w:rsidR="00285FD2" w:rsidRPr="00220302">
        <w:rPr>
          <w:rFonts w:ascii="Palatino Linotype" w:eastAsia="Palatino Linotype" w:hAnsi="Palatino Linotype" w:cs="Palatino Linotype"/>
        </w:rPr>
        <w:t>VEINTIUNO</w:t>
      </w:r>
      <w:r w:rsidR="000B5149" w:rsidRPr="00220302">
        <w:rPr>
          <w:rFonts w:ascii="Palatino Linotype" w:eastAsia="Palatino Linotype" w:hAnsi="Palatino Linotype" w:cs="Palatino Linotype"/>
        </w:rPr>
        <w:t xml:space="preserve"> DE AGOST</w:t>
      </w:r>
      <w:r w:rsidRPr="00220302">
        <w:rPr>
          <w:rFonts w:ascii="Palatino Linotype" w:eastAsia="Palatino Linotype" w:hAnsi="Palatino Linotype" w:cs="Palatino Linotype"/>
        </w:rPr>
        <w:t>O DE DOS MIL VEINTICUATRO, ANTE EL SECRETARIO TÉCNICO DEL PLENO ALEXIS TAPIA RAMÍREZ.</w:t>
      </w:r>
      <w:r>
        <w:rPr>
          <w:rFonts w:ascii="Palatino Linotype" w:eastAsia="Palatino Linotype" w:hAnsi="Palatino Linotype" w:cs="Palatino Linotype"/>
        </w:rPr>
        <w:t xml:space="preserve"> </w:t>
      </w:r>
    </w:p>
    <w:p w14:paraId="3BD06157" w14:textId="77777777" w:rsidR="00E96F5D" w:rsidRDefault="00E96F5D">
      <w:pPr>
        <w:rPr>
          <w:rFonts w:ascii="Palatino Linotype" w:eastAsia="Palatino Linotype" w:hAnsi="Palatino Linotype" w:cs="Palatino Linotype"/>
        </w:rPr>
      </w:pPr>
    </w:p>
    <w:p w14:paraId="44331834" w14:textId="77777777" w:rsidR="00E96F5D" w:rsidRDefault="00E96F5D">
      <w:pPr>
        <w:rPr>
          <w:rFonts w:ascii="Palatino Linotype" w:eastAsia="Palatino Linotype" w:hAnsi="Palatino Linotype" w:cs="Palatino Linotype"/>
        </w:rPr>
      </w:pPr>
    </w:p>
    <w:p w14:paraId="7734554F" w14:textId="77777777" w:rsidR="00E96F5D" w:rsidRDefault="00E96F5D">
      <w:pPr>
        <w:spacing w:line="360" w:lineRule="auto"/>
        <w:jc w:val="both"/>
        <w:rPr>
          <w:rFonts w:ascii="Palatino Linotype" w:eastAsia="Palatino Linotype" w:hAnsi="Palatino Linotype" w:cs="Palatino Linotype"/>
        </w:rPr>
      </w:pPr>
      <w:bookmarkStart w:id="12" w:name="_heading=h.3rdcrjn" w:colFirst="0" w:colLast="0"/>
      <w:bookmarkEnd w:id="12"/>
    </w:p>
    <w:p w14:paraId="2DB9B069" w14:textId="77777777" w:rsidR="00E96F5D" w:rsidRDefault="00E96F5D">
      <w:pPr>
        <w:spacing w:line="360" w:lineRule="auto"/>
        <w:jc w:val="both"/>
        <w:rPr>
          <w:rFonts w:ascii="Palatino Linotype" w:eastAsia="Palatino Linotype" w:hAnsi="Palatino Linotype" w:cs="Palatino Linotype"/>
        </w:rPr>
      </w:pPr>
    </w:p>
    <w:p w14:paraId="47B17799" w14:textId="77777777" w:rsidR="00E96F5D" w:rsidRDefault="00E96F5D">
      <w:pPr>
        <w:spacing w:line="360" w:lineRule="auto"/>
        <w:jc w:val="both"/>
        <w:rPr>
          <w:rFonts w:ascii="Palatino Linotype" w:eastAsia="Palatino Linotype" w:hAnsi="Palatino Linotype" w:cs="Palatino Linotype"/>
        </w:rPr>
      </w:pPr>
    </w:p>
    <w:p w14:paraId="7E45FF0C" w14:textId="77777777" w:rsidR="00E96F5D" w:rsidRDefault="00E96F5D">
      <w:pPr>
        <w:spacing w:line="360" w:lineRule="auto"/>
        <w:jc w:val="both"/>
        <w:rPr>
          <w:rFonts w:ascii="Palatino Linotype" w:eastAsia="Palatino Linotype" w:hAnsi="Palatino Linotype" w:cs="Palatino Linotype"/>
        </w:rPr>
      </w:pPr>
      <w:bookmarkStart w:id="13" w:name="_heading=h.1t3h5sf" w:colFirst="0" w:colLast="0"/>
      <w:bookmarkEnd w:id="13"/>
    </w:p>
    <w:p w14:paraId="5E5660B9" w14:textId="77777777" w:rsidR="00E96F5D" w:rsidRDefault="00E96F5D">
      <w:pPr>
        <w:spacing w:line="360" w:lineRule="auto"/>
        <w:jc w:val="both"/>
        <w:rPr>
          <w:rFonts w:ascii="Palatino Linotype" w:eastAsia="Palatino Linotype" w:hAnsi="Palatino Linotype" w:cs="Palatino Linotype"/>
        </w:rPr>
      </w:pPr>
    </w:p>
    <w:p w14:paraId="32C992AB" w14:textId="77777777" w:rsidR="00E96F5D" w:rsidRDefault="00E96F5D">
      <w:pPr>
        <w:spacing w:line="360" w:lineRule="auto"/>
        <w:jc w:val="both"/>
        <w:rPr>
          <w:rFonts w:ascii="Palatino Linotype" w:eastAsia="Palatino Linotype" w:hAnsi="Palatino Linotype" w:cs="Palatino Linotype"/>
        </w:rPr>
      </w:pPr>
    </w:p>
    <w:p w14:paraId="7A0C6E74" w14:textId="77777777" w:rsidR="00E96F5D" w:rsidRDefault="00E96F5D">
      <w:pPr>
        <w:spacing w:line="360" w:lineRule="auto"/>
        <w:jc w:val="both"/>
        <w:rPr>
          <w:rFonts w:ascii="Palatino Linotype" w:eastAsia="Palatino Linotype" w:hAnsi="Palatino Linotype" w:cs="Palatino Linotype"/>
        </w:rPr>
      </w:pPr>
    </w:p>
    <w:p w14:paraId="49F64B28" w14:textId="77777777" w:rsidR="00E96F5D" w:rsidRDefault="00E96F5D">
      <w:pPr>
        <w:spacing w:line="360" w:lineRule="auto"/>
        <w:jc w:val="both"/>
        <w:rPr>
          <w:rFonts w:ascii="Palatino Linotype" w:eastAsia="Palatino Linotype" w:hAnsi="Palatino Linotype" w:cs="Palatino Linotype"/>
        </w:rPr>
      </w:pPr>
    </w:p>
    <w:p w14:paraId="08AE107B" w14:textId="77777777" w:rsidR="00E96F5D" w:rsidRDefault="00E96F5D">
      <w:pPr>
        <w:spacing w:line="360" w:lineRule="auto"/>
        <w:jc w:val="both"/>
        <w:rPr>
          <w:rFonts w:ascii="Palatino Linotype" w:eastAsia="Palatino Linotype" w:hAnsi="Palatino Linotype" w:cs="Palatino Linotype"/>
        </w:rPr>
      </w:pPr>
    </w:p>
    <w:p w14:paraId="18BAF516" w14:textId="77777777" w:rsidR="00E96F5D" w:rsidRDefault="00E96F5D">
      <w:pPr>
        <w:spacing w:line="360" w:lineRule="auto"/>
        <w:jc w:val="both"/>
        <w:rPr>
          <w:rFonts w:ascii="Palatino Linotype" w:eastAsia="Palatino Linotype" w:hAnsi="Palatino Linotype" w:cs="Palatino Linotype"/>
        </w:rPr>
      </w:pPr>
    </w:p>
    <w:p w14:paraId="5758FB86" w14:textId="77777777" w:rsidR="00E96F5D" w:rsidRDefault="00E96F5D">
      <w:pPr>
        <w:spacing w:line="360" w:lineRule="auto"/>
        <w:jc w:val="both"/>
        <w:rPr>
          <w:rFonts w:ascii="Palatino Linotype" w:eastAsia="Palatino Linotype" w:hAnsi="Palatino Linotype" w:cs="Palatino Linotype"/>
        </w:rPr>
      </w:pPr>
    </w:p>
    <w:p w14:paraId="0BB615CE" w14:textId="77777777" w:rsidR="00E96F5D" w:rsidRDefault="00E96F5D">
      <w:pPr>
        <w:spacing w:line="360" w:lineRule="auto"/>
        <w:jc w:val="both"/>
        <w:rPr>
          <w:rFonts w:ascii="Palatino Linotype" w:eastAsia="Palatino Linotype" w:hAnsi="Palatino Linotype" w:cs="Palatino Linotype"/>
        </w:rPr>
      </w:pPr>
    </w:p>
    <w:p w14:paraId="636F364F" w14:textId="77777777" w:rsidR="00E96F5D" w:rsidRDefault="00E96F5D">
      <w:pPr>
        <w:spacing w:line="360" w:lineRule="auto"/>
        <w:jc w:val="both"/>
        <w:rPr>
          <w:rFonts w:ascii="Palatino Linotype" w:eastAsia="Palatino Linotype" w:hAnsi="Palatino Linotype" w:cs="Palatino Linotype"/>
        </w:rPr>
      </w:pPr>
    </w:p>
    <w:p w14:paraId="3C835090" w14:textId="77777777" w:rsidR="00E96F5D" w:rsidRDefault="00E96F5D">
      <w:pPr>
        <w:spacing w:line="360" w:lineRule="auto"/>
        <w:jc w:val="both"/>
        <w:rPr>
          <w:rFonts w:ascii="Palatino Linotype" w:eastAsia="Palatino Linotype" w:hAnsi="Palatino Linotype" w:cs="Palatino Linotype"/>
        </w:rPr>
      </w:pPr>
    </w:p>
    <w:p w14:paraId="14B67251" w14:textId="77777777" w:rsidR="00E96F5D" w:rsidRDefault="00E96F5D">
      <w:pPr>
        <w:spacing w:line="360" w:lineRule="auto"/>
        <w:jc w:val="both"/>
        <w:rPr>
          <w:rFonts w:ascii="Palatino Linotype" w:eastAsia="Palatino Linotype" w:hAnsi="Palatino Linotype" w:cs="Palatino Linotype"/>
        </w:rPr>
      </w:pPr>
    </w:p>
    <w:p w14:paraId="364C4446" w14:textId="77777777" w:rsidR="00E96F5D" w:rsidRDefault="00E96F5D">
      <w:pPr>
        <w:spacing w:line="360" w:lineRule="auto"/>
        <w:jc w:val="both"/>
        <w:rPr>
          <w:rFonts w:ascii="Palatino Linotype" w:eastAsia="Palatino Linotype" w:hAnsi="Palatino Linotype" w:cs="Palatino Linotype"/>
        </w:rPr>
      </w:pPr>
    </w:p>
    <w:p w14:paraId="26E409C6" w14:textId="77777777" w:rsidR="00E96F5D" w:rsidRDefault="00E96F5D">
      <w:pPr>
        <w:spacing w:line="360" w:lineRule="auto"/>
        <w:jc w:val="both"/>
        <w:rPr>
          <w:rFonts w:ascii="Palatino Linotype" w:eastAsia="Palatino Linotype" w:hAnsi="Palatino Linotype" w:cs="Palatino Linotype"/>
        </w:rPr>
      </w:pPr>
    </w:p>
    <w:p w14:paraId="1557AA54" w14:textId="77777777" w:rsidR="00E96F5D" w:rsidRDefault="00E96F5D">
      <w:pPr>
        <w:spacing w:line="360" w:lineRule="auto"/>
        <w:jc w:val="both"/>
        <w:rPr>
          <w:rFonts w:ascii="Palatino Linotype" w:eastAsia="Palatino Linotype" w:hAnsi="Palatino Linotype" w:cs="Palatino Linotype"/>
        </w:rPr>
      </w:pPr>
    </w:p>
    <w:p w14:paraId="5F2E113C" w14:textId="77777777" w:rsidR="00E96F5D" w:rsidRDefault="00E96F5D">
      <w:pPr>
        <w:spacing w:line="360" w:lineRule="auto"/>
        <w:jc w:val="both"/>
        <w:rPr>
          <w:rFonts w:ascii="Palatino Linotype" w:eastAsia="Palatino Linotype" w:hAnsi="Palatino Linotype" w:cs="Palatino Linotype"/>
        </w:rPr>
      </w:pPr>
    </w:p>
    <w:p w14:paraId="055817E5" w14:textId="77777777" w:rsidR="00E96F5D" w:rsidRDefault="00E96F5D">
      <w:pPr>
        <w:spacing w:line="360" w:lineRule="auto"/>
        <w:jc w:val="both"/>
        <w:rPr>
          <w:rFonts w:ascii="Palatino Linotype" w:eastAsia="Palatino Linotype" w:hAnsi="Palatino Linotype" w:cs="Palatino Linotype"/>
        </w:rPr>
      </w:pPr>
    </w:p>
    <w:p w14:paraId="1F9971A7" w14:textId="77777777" w:rsidR="00E96F5D" w:rsidRDefault="00E96F5D">
      <w:pPr>
        <w:spacing w:line="360" w:lineRule="auto"/>
        <w:jc w:val="both"/>
        <w:rPr>
          <w:rFonts w:ascii="Palatino Linotype" w:eastAsia="Palatino Linotype" w:hAnsi="Palatino Linotype" w:cs="Palatino Linotype"/>
        </w:rPr>
      </w:pPr>
    </w:p>
    <w:p w14:paraId="5CA9D5C1" w14:textId="77777777" w:rsidR="00E96F5D" w:rsidRDefault="00E96F5D">
      <w:pPr>
        <w:spacing w:line="360" w:lineRule="auto"/>
        <w:jc w:val="both"/>
        <w:rPr>
          <w:rFonts w:ascii="Palatino Linotype" w:eastAsia="Palatino Linotype" w:hAnsi="Palatino Linotype" w:cs="Palatino Linotype"/>
        </w:rPr>
      </w:pPr>
    </w:p>
    <w:p w14:paraId="7A7A2EE4" w14:textId="77777777" w:rsidR="00E96F5D" w:rsidRDefault="00E96F5D">
      <w:pPr>
        <w:spacing w:line="360" w:lineRule="auto"/>
        <w:jc w:val="both"/>
        <w:rPr>
          <w:rFonts w:ascii="Palatino Linotype" w:eastAsia="Palatino Linotype" w:hAnsi="Palatino Linotype" w:cs="Palatino Linotype"/>
        </w:rPr>
      </w:pPr>
    </w:p>
    <w:sectPr w:rsidR="00E96F5D">
      <w:headerReference w:type="default" r:id="rId22"/>
      <w:footerReference w:type="default" r:id="rId23"/>
      <w:headerReference w:type="first" r:id="rId24"/>
      <w:footerReference w:type="first" r:id="rId25"/>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1F7C3" w14:textId="77777777" w:rsidR="00F71424" w:rsidRDefault="00F71424">
      <w:r>
        <w:separator/>
      </w:r>
    </w:p>
  </w:endnote>
  <w:endnote w:type="continuationSeparator" w:id="0">
    <w:p w14:paraId="0D381C89" w14:textId="77777777" w:rsidR="00F71424" w:rsidRDefault="00F71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AB10" w14:textId="77777777" w:rsidR="00B3037E" w:rsidRDefault="00B3037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3E4135">
      <w:rPr>
        <w:rFonts w:ascii="Palatino Linotype" w:eastAsia="Palatino Linotype" w:hAnsi="Palatino Linotype" w:cs="Palatino Linotype"/>
        <w:b/>
        <w:noProof/>
        <w:color w:val="000000"/>
        <w:sz w:val="20"/>
        <w:szCs w:val="20"/>
      </w:rPr>
      <w:t>46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3E4135">
      <w:rPr>
        <w:rFonts w:ascii="Palatino Linotype" w:eastAsia="Palatino Linotype" w:hAnsi="Palatino Linotype" w:cs="Palatino Linotype"/>
        <w:b/>
        <w:noProof/>
        <w:color w:val="000000"/>
        <w:sz w:val="20"/>
        <w:szCs w:val="20"/>
      </w:rPr>
      <w:t>48</w:t>
    </w:r>
    <w:r>
      <w:rPr>
        <w:rFonts w:ascii="Palatino Linotype" w:eastAsia="Palatino Linotype" w:hAnsi="Palatino Linotype" w:cs="Palatino Linotype"/>
        <w:b/>
        <w:color w:val="000000"/>
        <w:sz w:val="20"/>
        <w:szCs w:val="20"/>
      </w:rPr>
      <w:fldChar w:fldCharType="end"/>
    </w:r>
  </w:p>
  <w:p w14:paraId="22758804" w14:textId="77777777" w:rsidR="00B3037E" w:rsidRDefault="00B3037E">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B571E" w14:textId="77777777" w:rsidR="00B3037E" w:rsidRDefault="00B3037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E7551">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E7551">
      <w:rPr>
        <w:rFonts w:ascii="Palatino Linotype" w:eastAsia="Palatino Linotype" w:hAnsi="Palatino Linotype" w:cs="Palatino Linotype"/>
        <w:b/>
        <w:noProof/>
        <w:color w:val="000000"/>
        <w:sz w:val="20"/>
        <w:szCs w:val="20"/>
      </w:rPr>
      <w:t>48</w:t>
    </w:r>
    <w:r>
      <w:rPr>
        <w:rFonts w:ascii="Palatino Linotype" w:eastAsia="Palatino Linotype" w:hAnsi="Palatino Linotype" w:cs="Palatino Linotype"/>
        <w:b/>
        <w:color w:val="000000"/>
        <w:sz w:val="20"/>
        <w:szCs w:val="20"/>
      </w:rPr>
      <w:fldChar w:fldCharType="end"/>
    </w:r>
  </w:p>
  <w:p w14:paraId="0819CDD4" w14:textId="77777777" w:rsidR="00B3037E" w:rsidRDefault="00B3037E">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2F4EE" w14:textId="77777777" w:rsidR="00F71424" w:rsidRDefault="00F71424">
      <w:r>
        <w:separator/>
      </w:r>
    </w:p>
  </w:footnote>
  <w:footnote w:type="continuationSeparator" w:id="0">
    <w:p w14:paraId="7EE1887C" w14:textId="77777777" w:rsidR="00F71424" w:rsidRDefault="00F71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13932" w14:textId="77777777" w:rsidR="00B3037E" w:rsidRDefault="00B3037E">
    <w:pPr>
      <w:rPr>
        <w:rFonts w:ascii="Cambria" w:eastAsia="Cambria" w:hAnsi="Cambria" w:cs="Cambria"/>
        <w:color w:val="000000"/>
      </w:rPr>
    </w:pPr>
    <w:r>
      <w:rPr>
        <w:noProof/>
      </w:rPr>
      <w:drawing>
        <wp:anchor distT="0" distB="0" distL="0" distR="0" simplePos="0" relativeHeight="251658240" behindDoc="1" locked="0" layoutInCell="1" hidden="0" allowOverlap="1" wp14:anchorId="047D3BFB" wp14:editId="5372C19B">
          <wp:simplePos x="0" y="0"/>
          <wp:positionH relativeFrom="column">
            <wp:posOffset>-1080113</wp:posOffset>
          </wp:positionH>
          <wp:positionV relativeFrom="paragraph">
            <wp:posOffset>-488289</wp:posOffset>
          </wp:positionV>
          <wp:extent cx="7809865" cy="10165715"/>
          <wp:effectExtent l="0" t="0" r="0" b="0"/>
          <wp:wrapNone/>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d"/>
      <w:tblW w:w="7087" w:type="dxa"/>
      <w:tblInd w:w="3261" w:type="dxa"/>
      <w:tblLayout w:type="fixed"/>
      <w:tblLook w:val="0400" w:firstRow="0" w:lastRow="0" w:firstColumn="0" w:lastColumn="0" w:noHBand="0" w:noVBand="1"/>
    </w:tblPr>
    <w:tblGrid>
      <w:gridCol w:w="2489"/>
      <w:gridCol w:w="4598"/>
    </w:tblGrid>
    <w:tr w:rsidR="00B3037E" w14:paraId="6CA1E581" w14:textId="77777777">
      <w:tc>
        <w:tcPr>
          <w:tcW w:w="2489" w:type="dxa"/>
          <w:shd w:val="clear" w:color="auto" w:fill="auto"/>
        </w:tcPr>
        <w:p w14:paraId="11DC0434" w14:textId="77777777" w:rsidR="00B3037E" w:rsidRDefault="00B3037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4099F03B" w14:textId="77777777" w:rsidR="00B3037E" w:rsidRDefault="00B3037E">
          <w:pPr>
            <w:ind w:right="175"/>
            <w:jc w:val="both"/>
            <w:rPr>
              <w:rFonts w:ascii="Palatino Linotype" w:eastAsia="Palatino Linotype" w:hAnsi="Palatino Linotype" w:cs="Palatino Linotype"/>
              <w:b/>
              <w:sz w:val="22"/>
              <w:szCs w:val="22"/>
            </w:rPr>
          </w:pPr>
          <w:r w:rsidRPr="007E2F65">
            <w:rPr>
              <w:rFonts w:ascii="Palatino Linotype" w:eastAsia="Palatino Linotype" w:hAnsi="Palatino Linotype" w:cs="Palatino Linotype"/>
              <w:b/>
              <w:sz w:val="22"/>
              <w:szCs w:val="22"/>
            </w:rPr>
            <w:t>01769/INFOEM/IP/RR/2024</w:t>
          </w:r>
        </w:p>
      </w:tc>
    </w:tr>
    <w:tr w:rsidR="00B3037E" w14:paraId="253BD07B" w14:textId="77777777">
      <w:trPr>
        <w:trHeight w:val="228"/>
      </w:trPr>
      <w:tc>
        <w:tcPr>
          <w:tcW w:w="2489" w:type="dxa"/>
          <w:shd w:val="clear" w:color="auto" w:fill="auto"/>
          <w:vAlign w:val="center"/>
        </w:tcPr>
        <w:p w14:paraId="19EE74C3" w14:textId="77777777" w:rsidR="00B3037E" w:rsidRDefault="00B3037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6C0209B8" w14:textId="77777777" w:rsidR="00B3037E" w:rsidRDefault="00B3037E" w:rsidP="00BE0383">
          <w:pPr>
            <w:ind w:left="-45" w:right="452"/>
            <w:jc w:val="both"/>
            <w:rPr>
              <w:rFonts w:ascii="Palatino Linotype" w:eastAsia="Palatino Linotype" w:hAnsi="Palatino Linotype" w:cs="Palatino Linotype"/>
              <w:b/>
              <w:sz w:val="22"/>
              <w:szCs w:val="22"/>
            </w:rPr>
          </w:pPr>
          <w:r w:rsidRPr="007E2F65">
            <w:rPr>
              <w:rFonts w:ascii="Palatino Linotype" w:eastAsia="Palatino Linotype" w:hAnsi="Palatino Linotype" w:cs="Palatino Linotype"/>
              <w:b/>
              <w:sz w:val="22"/>
              <w:szCs w:val="22"/>
            </w:rPr>
            <w:t>Poder Legislativo</w:t>
          </w:r>
        </w:p>
      </w:tc>
    </w:tr>
    <w:tr w:rsidR="00B3037E" w14:paraId="02770325" w14:textId="77777777">
      <w:tc>
        <w:tcPr>
          <w:tcW w:w="2489" w:type="dxa"/>
          <w:shd w:val="clear" w:color="auto" w:fill="auto"/>
          <w:vAlign w:val="center"/>
        </w:tcPr>
        <w:p w14:paraId="02B9C33F" w14:textId="77777777" w:rsidR="00B3037E" w:rsidRDefault="00B3037E">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2B840315" w14:textId="77777777" w:rsidR="00B3037E" w:rsidRDefault="00B3037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AC043A3" w14:textId="77777777" w:rsidR="00B3037E" w:rsidRDefault="00B3037E">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5C83" w14:textId="77777777" w:rsidR="00B3037E" w:rsidRDefault="00B3037E">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747A44B3" wp14:editId="11AA8EBA">
          <wp:simplePos x="0" y="0"/>
          <wp:positionH relativeFrom="column">
            <wp:posOffset>-1079491</wp:posOffset>
          </wp:positionH>
          <wp:positionV relativeFrom="paragraph">
            <wp:posOffset>-328921</wp:posOffset>
          </wp:positionV>
          <wp:extent cx="7809865" cy="10165715"/>
          <wp:effectExtent l="0" t="0" r="0" b="0"/>
          <wp:wrapNone/>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e"/>
      <w:tblW w:w="6945" w:type="dxa"/>
      <w:tblInd w:w="3261" w:type="dxa"/>
      <w:tblLayout w:type="fixed"/>
      <w:tblLook w:val="0400" w:firstRow="0" w:lastRow="0" w:firstColumn="0" w:lastColumn="0" w:noHBand="0" w:noVBand="1"/>
    </w:tblPr>
    <w:tblGrid>
      <w:gridCol w:w="2551"/>
      <w:gridCol w:w="4394"/>
    </w:tblGrid>
    <w:tr w:rsidR="00B3037E" w14:paraId="552A5555" w14:textId="77777777">
      <w:tc>
        <w:tcPr>
          <w:tcW w:w="2551" w:type="dxa"/>
          <w:shd w:val="clear" w:color="auto" w:fill="auto"/>
          <w:vAlign w:val="center"/>
        </w:tcPr>
        <w:p w14:paraId="16E2E6AF" w14:textId="77777777" w:rsidR="00B3037E" w:rsidRDefault="00B3037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19B879EE" w14:textId="77777777" w:rsidR="00B3037E" w:rsidRDefault="00B3037E">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017</w:t>
          </w:r>
          <w:r w:rsidRPr="00BE0383">
            <w:rPr>
              <w:rFonts w:ascii="Palatino Linotype" w:eastAsia="Palatino Linotype" w:hAnsi="Palatino Linotype" w:cs="Palatino Linotype"/>
              <w:b/>
              <w:sz w:val="22"/>
              <w:szCs w:val="22"/>
            </w:rPr>
            <w:t>69/INFOEM/IP/RR/2024</w:t>
          </w:r>
        </w:p>
      </w:tc>
    </w:tr>
    <w:tr w:rsidR="00B3037E" w14:paraId="162660C7" w14:textId="77777777">
      <w:trPr>
        <w:trHeight w:val="130"/>
      </w:trPr>
      <w:tc>
        <w:tcPr>
          <w:tcW w:w="2551" w:type="dxa"/>
          <w:shd w:val="clear" w:color="auto" w:fill="auto"/>
          <w:vAlign w:val="center"/>
        </w:tcPr>
        <w:p w14:paraId="54188EB8" w14:textId="77777777" w:rsidR="00B3037E" w:rsidRDefault="00B3037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4D2817D0" w14:textId="75A28E4A" w:rsidR="00B3037E" w:rsidRDefault="001C4150">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XXXXXXXXXXX XXXXXXX </w:t>
          </w:r>
        </w:p>
      </w:tc>
    </w:tr>
    <w:tr w:rsidR="00B3037E" w14:paraId="19A026A1" w14:textId="77777777">
      <w:trPr>
        <w:trHeight w:val="228"/>
      </w:trPr>
      <w:tc>
        <w:tcPr>
          <w:tcW w:w="2551" w:type="dxa"/>
          <w:shd w:val="clear" w:color="auto" w:fill="auto"/>
          <w:vAlign w:val="center"/>
        </w:tcPr>
        <w:p w14:paraId="595B8071" w14:textId="77777777" w:rsidR="00B3037E" w:rsidRDefault="00B3037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265B5A33" w14:textId="77777777" w:rsidR="00B3037E" w:rsidRDefault="00B3037E" w:rsidP="00BE0383">
          <w:pPr>
            <w:ind w:left="-45" w:right="168"/>
            <w:jc w:val="both"/>
            <w:rPr>
              <w:rFonts w:ascii="Palatino Linotype" w:eastAsia="Palatino Linotype" w:hAnsi="Palatino Linotype" w:cs="Palatino Linotype"/>
              <w:b/>
              <w:sz w:val="22"/>
              <w:szCs w:val="22"/>
            </w:rPr>
          </w:pPr>
          <w:r w:rsidRPr="007E2F65">
            <w:rPr>
              <w:rFonts w:ascii="Palatino Linotype" w:eastAsia="Palatino Linotype" w:hAnsi="Palatino Linotype" w:cs="Palatino Linotype"/>
              <w:b/>
              <w:sz w:val="22"/>
              <w:szCs w:val="22"/>
            </w:rPr>
            <w:t>Poder Legislativo</w:t>
          </w:r>
        </w:p>
      </w:tc>
    </w:tr>
    <w:tr w:rsidR="00B3037E" w14:paraId="14D0E314" w14:textId="77777777">
      <w:tc>
        <w:tcPr>
          <w:tcW w:w="2551" w:type="dxa"/>
          <w:shd w:val="clear" w:color="auto" w:fill="auto"/>
          <w:vAlign w:val="center"/>
        </w:tcPr>
        <w:p w14:paraId="2FF6A8A2" w14:textId="77777777" w:rsidR="00B3037E" w:rsidRDefault="00B3037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24B026E5" w14:textId="77777777" w:rsidR="00B3037E" w:rsidRDefault="00B3037E">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CA43F79" w14:textId="77777777" w:rsidR="00B3037E" w:rsidRDefault="00B3037E">
    <w:pPr>
      <w:pBdr>
        <w:top w:val="nil"/>
        <w:left w:val="nil"/>
        <w:bottom w:val="nil"/>
        <w:right w:val="nil"/>
        <w:between w:val="nil"/>
      </w:pBdr>
      <w:tabs>
        <w:tab w:val="center" w:pos="4252"/>
        <w:tab w:val="right" w:pos="8504"/>
      </w:tabs>
      <w:rPr>
        <w:rFonts w:ascii="Cambria" w:eastAsia="Cambria" w:hAnsi="Cambria" w:cs="Cambria"/>
        <w:color w:val="000000"/>
      </w:rPr>
    </w:pPr>
  </w:p>
  <w:p w14:paraId="3423CA31" w14:textId="77777777" w:rsidR="00B3037E" w:rsidRDefault="00B303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103"/>
    <w:multiLevelType w:val="multilevel"/>
    <w:tmpl w:val="7E6A2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755A05"/>
    <w:multiLevelType w:val="multilevel"/>
    <w:tmpl w:val="584A8CF8"/>
    <w:lvl w:ilvl="0">
      <w:start w:val="1"/>
      <w:numFmt w:val="decimal"/>
      <w:lvlText w:val="%1."/>
      <w:lvlJc w:val="left"/>
      <w:pPr>
        <w:ind w:left="786"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6C0CDC"/>
    <w:multiLevelType w:val="multilevel"/>
    <w:tmpl w:val="1E10A0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E0D03E7"/>
    <w:multiLevelType w:val="multilevel"/>
    <w:tmpl w:val="CDB091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ED4DBF"/>
    <w:multiLevelType w:val="hybridMultilevel"/>
    <w:tmpl w:val="9B10542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15:restartNumberingAfterBreak="0">
    <w:nsid w:val="2F103171"/>
    <w:multiLevelType w:val="multilevel"/>
    <w:tmpl w:val="11B47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0C0661"/>
    <w:multiLevelType w:val="multilevel"/>
    <w:tmpl w:val="B1F6C7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4A2457"/>
    <w:multiLevelType w:val="multilevel"/>
    <w:tmpl w:val="AC748A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AD33414"/>
    <w:multiLevelType w:val="multilevel"/>
    <w:tmpl w:val="528EA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470BBC"/>
    <w:multiLevelType w:val="multilevel"/>
    <w:tmpl w:val="C7083BDE"/>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61537298"/>
    <w:multiLevelType w:val="multilevel"/>
    <w:tmpl w:val="DEA285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77331F2F"/>
    <w:multiLevelType w:val="hybridMultilevel"/>
    <w:tmpl w:val="FC2A632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2" w15:restartNumberingAfterBreak="0">
    <w:nsid w:val="7D707FC8"/>
    <w:multiLevelType w:val="multilevel"/>
    <w:tmpl w:val="D7F0B29C"/>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
  </w:num>
  <w:num w:numId="2">
    <w:abstractNumId w:val="6"/>
  </w:num>
  <w:num w:numId="3">
    <w:abstractNumId w:val="10"/>
  </w:num>
  <w:num w:numId="4">
    <w:abstractNumId w:val="9"/>
  </w:num>
  <w:num w:numId="5">
    <w:abstractNumId w:val="0"/>
  </w:num>
  <w:num w:numId="6">
    <w:abstractNumId w:val="1"/>
  </w:num>
  <w:num w:numId="7">
    <w:abstractNumId w:val="11"/>
  </w:num>
  <w:num w:numId="8">
    <w:abstractNumId w:val="4"/>
  </w:num>
  <w:num w:numId="9">
    <w:abstractNumId w:val="5"/>
    <w:lvlOverride w:ilvl="0">
      <w:lvl w:ilvl="0">
        <w:numFmt w:val="lowerLetter"/>
        <w:lvlText w:val="%1."/>
        <w:lvlJc w:val="left"/>
      </w:lvl>
    </w:lvlOverride>
  </w:num>
  <w:num w:numId="10">
    <w:abstractNumId w:val="8"/>
    <w:lvlOverride w:ilvl="0">
      <w:lvl w:ilvl="0">
        <w:numFmt w:val="lowerLetter"/>
        <w:lvlText w:val="%1."/>
        <w:lvlJc w:val="left"/>
      </w:lvl>
    </w:lvlOverride>
  </w:num>
  <w:num w:numId="11">
    <w:abstractNumId w:val="12"/>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5D"/>
    <w:rsid w:val="00014B04"/>
    <w:rsid w:val="00027666"/>
    <w:rsid w:val="00044A9B"/>
    <w:rsid w:val="00073ED6"/>
    <w:rsid w:val="000B5149"/>
    <w:rsid w:val="000C5996"/>
    <w:rsid w:val="001A10A5"/>
    <w:rsid w:val="001B6DF2"/>
    <w:rsid w:val="001C4150"/>
    <w:rsid w:val="00220302"/>
    <w:rsid w:val="00230ACD"/>
    <w:rsid w:val="00285FD2"/>
    <w:rsid w:val="002942BA"/>
    <w:rsid w:val="002F57C8"/>
    <w:rsid w:val="0031606E"/>
    <w:rsid w:val="00367CF9"/>
    <w:rsid w:val="003B4D23"/>
    <w:rsid w:val="003E4135"/>
    <w:rsid w:val="00412BB4"/>
    <w:rsid w:val="00436F4B"/>
    <w:rsid w:val="004517FF"/>
    <w:rsid w:val="004715F6"/>
    <w:rsid w:val="004E0801"/>
    <w:rsid w:val="004F2540"/>
    <w:rsid w:val="005236B3"/>
    <w:rsid w:val="00555BA5"/>
    <w:rsid w:val="005675C0"/>
    <w:rsid w:val="005761C0"/>
    <w:rsid w:val="006135CE"/>
    <w:rsid w:val="006354C1"/>
    <w:rsid w:val="00651DBC"/>
    <w:rsid w:val="00652C76"/>
    <w:rsid w:val="006720EB"/>
    <w:rsid w:val="006E7551"/>
    <w:rsid w:val="00774591"/>
    <w:rsid w:val="00776485"/>
    <w:rsid w:val="007E2F65"/>
    <w:rsid w:val="0083156B"/>
    <w:rsid w:val="00947613"/>
    <w:rsid w:val="009536D5"/>
    <w:rsid w:val="00986D0F"/>
    <w:rsid w:val="009F1399"/>
    <w:rsid w:val="00A254B4"/>
    <w:rsid w:val="00B3037E"/>
    <w:rsid w:val="00BC2DFC"/>
    <w:rsid w:val="00BD44DC"/>
    <w:rsid w:val="00BE0383"/>
    <w:rsid w:val="00C67AA2"/>
    <w:rsid w:val="00C719E4"/>
    <w:rsid w:val="00C84F81"/>
    <w:rsid w:val="00D13499"/>
    <w:rsid w:val="00D13F9E"/>
    <w:rsid w:val="00D317A3"/>
    <w:rsid w:val="00D33831"/>
    <w:rsid w:val="00D42E35"/>
    <w:rsid w:val="00D47025"/>
    <w:rsid w:val="00D47B55"/>
    <w:rsid w:val="00D6410C"/>
    <w:rsid w:val="00E12C73"/>
    <w:rsid w:val="00E36726"/>
    <w:rsid w:val="00E73468"/>
    <w:rsid w:val="00E96F5D"/>
    <w:rsid w:val="00EB4583"/>
    <w:rsid w:val="00F21C88"/>
    <w:rsid w:val="00F62FBB"/>
    <w:rsid w:val="00F71424"/>
    <w:rsid w:val="00F84762"/>
    <w:rsid w:val="00FE02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88623"/>
  <w15:docId w15:val="{18A57868-0EA2-4F26-B8CF-71751E5A2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B55"/>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style>
  <w:style w:type="table" w:customStyle="1" w:styleId="a0">
    <w:basedOn w:val="TableNormal4"/>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basedOn w:val="Normal"/>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a1">
    <w:basedOn w:val="TableNormal4"/>
    <w:tblPr>
      <w:tblStyleRowBandSize w:val="1"/>
      <w:tblStyleColBandSize w:val="1"/>
      <w:tblCellMar>
        <w:left w:w="115" w:type="dxa"/>
        <w:right w:w="115" w:type="dxa"/>
      </w:tblCellMar>
    </w:tblPr>
  </w:style>
  <w:style w:type="table" w:customStyle="1" w:styleId="a2">
    <w:basedOn w:val="TableNormal4"/>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9C2C49"/>
    <w:rPr>
      <w:color w:val="0000FF"/>
      <w:u w:val="single"/>
    </w:r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D134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16907">
      <w:bodyDiv w:val="1"/>
      <w:marLeft w:val="0"/>
      <w:marRight w:val="0"/>
      <w:marTop w:val="0"/>
      <w:marBottom w:val="0"/>
      <w:divBdr>
        <w:top w:val="none" w:sz="0" w:space="0" w:color="auto"/>
        <w:left w:val="none" w:sz="0" w:space="0" w:color="auto"/>
        <w:bottom w:val="none" w:sz="0" w:space="0" w:color="auto"/>
        <w:right w:val="none" w:sz="0" w:space="0" w:color="auto"/>
      </w:divBdr>
    </w:div>
    <w:div w:id="578977643">
      <w:bodyDiv w:val="1"/>
      <w:marLeft w:val="0"/>
      <w:marRight w:val="0"/>
      <w:marTop w:val="0"/>
      <w:marBottom w:val="0"/>
      <w:divBdr>
        <w:top w:val="none" w:sz="0" w:space="0" w:color="auto"/>
        <w:left w:val="none" w:sz="0" w:space="0" w:color="auto"/>
        <w:bottom w:val="none" w:sz="0" w:space="0" w:color="auto"/>
        <w:right w:val="none" w:sz="0" w:space="0" w:color="auto"/>
      </w:divBdr>
    </w:div>
    <w:div w:id="969437669">
      <w:bodyDiv w:val="1"/>
      <w:marLeft w:val="0"/>
      <w:marRight w:val="0"/>
      <w:marTop w:val="0"/>
      <w:marBottom w:val="0"/>
      <w:divBdr>
        <w:top w:val="none" w:sz="0" w:space="0" w:color="auto"/>
        <w:left w:val="none" w:sz="0" w:space="0" w:color="auto"/>
        <w:bottom w:val="none" w:sz="0" w:space="0" w:color="auto"/>
        <w:right w:val="none" w:sz="0" w:space="0" w:color="auto"/>
      </w:divBdr>
    </w:div>
    <w:div w:id="1419013273">
      <w:bodyDiv w:val="1"/>
      <w:marLeft w:val="0"/>
      <w:marRight w:val="0"/>
      <w:marTop w:val="0"/>
      <w:marBottom w:val="0"/>
      <w:divBdr>
        <w:top w:val="none" w:sz="0" w:space="0" w:color="auto"/>
        <w:left w:val="none" w:sz="0" w:space="0" w:color="auto"/>
        <w:bottom w:val="none" w:sz="0" w:space="0" w:color="auto"/>
        <w:right w:val="none" w:sz="0" w:space="0" w:color="auto"/>
      </w:divBdr>
    </w:div>
    <w:div w:id="1564292010">
      <w:bodyDiv w:val="1"/>
      <w:marLeft w:val="0"/>
      <w:marRight w:val="0"/>
      <w:marTop w:val="0"/>
      <w:marBottom w:val="0"/>
      <w:divBdr>
        <w:top w:val="none" w:sz="0" w:space="0" w:color="auto"/>
        <w:left w:val="none" w:sz="0" w:space="0" w:color="auto"/>
        <w:bottom w:val="none" w:sz="0" w:space="0" w:color="auto"/>
        <w:right w:val="none" w:sz="0" w:space="0" w:color="auto"/>
      </w:divBdr>
    </w:div>
    <w:div w:id="1612975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hyperlink" Target="https://www.osfem.gob.mx/informes/resultados/2021.html" TargetMode="External"/><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Q9IQXWGekzW4HWnoiw4bFgWbA==">CgMxLjAyCWguMWZvYjl0ZTIIaC5namRneHMyCWguM2R5NnZrbTIJaC4zMGowemxsMgloLjJzOGV5bzEyCGgudHlqY3d0MgloLjN6bnlzaDcyCWguMmV0OTJwMDIJaC40ZDM0b2c4Mg5oLmlqdjk4cG50Y2Q1czIJaC4yNmluMXJnMgloLjE3ZHA4dnUyCWguM3JkY3JqbjIJaC4xdDNoNXNmOAByITE4dnYzRGhrTjdwN3BFcXZIZ2JLdVNWRHBqNURra2dUbA==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11191</Words>
  <Characters>61551</Characters>
  <Application>Microsoft Office Word</Application>
  <DocSecurity>0</DocSecurity>
  <Lines>512</Lines>
  <Paragraphs>145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Maricela Villagómez Martínez</cp:lastModifiedBy>
  <cp:revision>2</cp:revision>
  <cp:lastPrinted>2024-08-23T06:02:00Z</cp:lastPrinted>
  <dcterms:created xsi:type="dcterms:W3CDTF">2024-08-27T17:09:00Z</dcterms:created>
  <dcterms:modified xsi:type="dcterms:W3CDTF">2024-08-27T17:09:00Z</dcterms:modified>
</cp:coreProperties>
</file>