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D1BEC" w14:textId="77777777" w:rsidR="00140F7C" w:rsidRDefault="00140F7C">
      <w:pPr>
        <w:widowControl w:val="0"/>
        <w:pBdr>
          <w:top w:val="nil"/>
          <w:left w:val="nil"/>
          <w:bottom w:val="nil"/>
          <w:right w:val="nil"/>
          <w:between w:val="nil"/>
        </w:pBdr>
        <w:spacing w:line="276" w:lineRule="auto"/>
      </w:pPr>
    </w:p>
    <w:p w14:paraId="57450C44" w14:textId="77777777" w:rsidR="00140F7C" w:rsidRDefault="00140F7C">
      <w:pPr>
        <w:tabs>
          <w:tab w:val="left" w:pos="3465"/>
        </w:tabs>
        <w:spacing w:line="360" w:lineRule="auto"/>
        <w:jc w:val="both"/>
        <w:rPr>
          <w:rFonts w:ascii="Palatino Linotype" w:eastAsia="Palatino Linotype" w:hAnsi="Palatino Linotype" w:cs="Palatino Linotype"/>
          <w:color w:val="000000"/>
        </w:rPr>
      </w:pPr>
    </w:p>
    <w:p w14:paraId="0EF47D40" w14:textId="77777777" w:rsidR="00140F7C" w:rsidRDefault="00AF35BD">
      <w:pPr>
        <w:tabs>
          <w:tab w:val="left" w:pos="3465"/>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de México; de </w:t>
      </w:r>
      <w:r>
        <w:rPr>
          <w:rFonts w:ascii="Palatino Linotype" w:eastAsia="Palatino Linotype" w:hAnsi="Palatino Linotype" w:cs="Palatino Linotype"/>
        </w:rPr>
        <w:t>tres (03) de abril de dos mil veinticuatro</w:t>
      </w:r>
      <w:r>
        <w:rPr>
          <w:rFonts w:ascii="Palatino Linotype" w:eastAsia="Palatino Linotype" w:hAnsi="Palatino Linotype" w:cs="Palatino Linotype"/>
          <w:color w:val="000000"/>
        </w:rPr>
        <w:t>.</w:t>
      </w:r>
    </w:p>
    <w:p w14:paraId="5475ACFB" w14:textId="77777777" w:rsidR="00140F7C" w:rsidRDefault="00140F7C">
      <w:pPr>
        <w:tabs>
          <w:tab w:val="left" w:pos="3465"/>
        </w:tabs>
        <w:spacing w:line="360" w:lineRule="auto"/>
        <w:jc w:val="both"/>
        <w:rPr>
          <w:rFonts w:ascii="Palatino Linotype" w:eastAsia="Palatino Linotype" w:hAnsi="Palatino Linotype" w:cs="Palatino Linotype"/>
          <w:color w:val="000000"/>
        </w:rPr>
      </w:pPr>
    </w:p>
    <w:p w14:paraId="417A03E2" w14:textId="5F045255" w:rsidR="00140F7C" w:rsidRDefault="00AF35B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VISTO</w:t>
      </w:r>
      <w:r>
        <w:rPr>
          <w:rFonts w:ascii="Palatino Linotype" w:eastAsia="Palatino Linotype" w:hAnsi="Palatino Linotype" w:cs="Palatino Linotype"/>
          <w:color w:val="000000"/>
        </w:rPr>
        <w:t xml:space="preserve"> el expediente electrónico formado con motivo del recurso de revisión</w:t>
      </w:r>
      <w:r>
        <w:rPr>
          <w:rFonts w:ascii="Palatino Linotype" w:eastAsia="Palatino Linotype" w:hAnsi="Palatino Linotype" w:cs="Palatino Linotype"/>
          <w:b/>
          <w:color w:val="000000"/>
        </w:rPr>
        <w:t xml:space="preserve"> 15048/INFOEM/IP/RR/2022,</w:t>
      </w:r>
      <w:r>
        <w:rPr>
          <w:rFonts w:ascii="Palatino Linotype" w:eastAsia="Palatino Linotype" w:hAnsi="Palatino Linotype" w:cs="Palatino Linotype"/>
          <w:color w:val="000000"/>
        </w:rPr>
        <w:t xml:space="preserve"> promovidos por </w:t>
      </w:r>
      <w:r w:rsidR="00A076D3">
        <w:rPr>
          <w:rFonts w:ascii="Palatino Linotype" w:eastAsia="Palatino Linotype" w:hAnsi="Palatino Linotype" w:cs="Palatino Linotype"/>
          <w:b/>
          <w:color w:val="000000"/>
        </w:rPr>
        <w:t xml:space="preserve">XXX </w:t>
      </w:r>
      <w:proofErr w:type="spellStart"/>
      <w:r w:rsidR="00A076D3">
        <w:rPr>
          <w:rFonts w:ascii="Palatino Linotype" w:eastAsia="Palatino Linotype" w:hAnsi="Palatino Linotype" w:cs="Palatino Linotype"/>
          <w:b/>
          <w:color w:val="000000"/>
        </w:rPr>
        <w:t>XXX</w:t>
      </w:r>
      <w:proofErr w:type="spellEnd"/>
      <w:r w:rsidR="00A076D3">
        <w:rPr>
          <w:rFonts w:ascii="Palatino Linotype" w:eastAsia="Palatino Linotype" w:hAnsi="Palatino Linotype" w:cs="Palatino Linotype"/>
          <w:b/>
          <w:color w:val="000000"/>
        </w:rPr>
        <w:t>,</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en su calidad de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en contra de las respuestas de la </w:t>
      </w:r>
      <w:r>
        <w:rPr>
          <w:rFonts w:ascii="Palatino Linotype" w:eastAsia="Palatino Linotype" w:hAnsi="Palatino Linotype" w:cs="Palatino Linotype"/>
          <w:b/>
          <w:color w:val="000000"/>
        </w:rPr>
        <w:t>Junta de Caminos del Estado de México</w:t>
      </w:r>
      <w:r>
        <w:rPr>
          <w:rFonts w:ascii="Palatino Linotype" w:eastAsia="Palatino Linotype" w:hAnsi="Palatino Linotype" w:cs="Palatino Linotype"/>
          <w:color w:val="000000"/>
        </w:rPr>
        <w:t>, en adelante, el</w:t>
      </w:r>
      <w:r>
        <w:rPr>
          <w:rFonts w:ascii="Palatino Linotype" w:eastAsia="Palatino Linotype" w:hAnsi="Palatino Linotype" w:cs="Palatino Linotype"/>
          <w:b/>
          <w:color w:val="000000"/>
        </w:rPr>
        <w:t xml:space="preserve"> SUJETO OBLIGADO</w:t>
      </w:r>
      <w:r>
        <w:rPr>
          <w:rFonts w:ascii="Palatino Linotype" w:eastAsia="Palatino Linotype" w:hAnsi="Palatino Linotype" w:cs="Palatino Linotype"/>
          <w:color w:val="000000"/>
        </w:rPr>
        <w:t>,</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se procede a dictar la presente resolución, con base en los siguientes: </w:t>
      </w:r>
    </w:p>
    <w:p w14:paraId="00F3C1C2" w14:textId="77777777" w:rsidR="00140F7C" w:rsidRDefault="00AF35BD">
      <w:pPr>
        <w:tabs>
          <w:tab w:val="left" w:pos="5031"/>
        </w:tabs>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b/>
      </w:r>
    </w:p>
    <w:p w14:paraId="225CDBFC" w14:textId="77777777" w:rsidR="00140F7C" w:rsidRDefault="00AF35BD">
      <w:pPr>
        <w:pStyle w:val="Ttulo1"/>
        <w:spacing w:before="0" w:line="360" w:lineRule="auto"/>
        <w:jc w:val="center"/>
        <w:rPr>
          <w:rFonts w:ascii="Palatino Linotype" w:eastAsia="Palatino Linotype" w:hAnsi="Palatino Linotype" w:cs="Palatino Linotype"/>
          <w:b/>
          <w:color w:val="000000"/>
          <w:sz w:val="24"/>
          <w:szCs w:val="24"/>
        </w:rPr>
      </w:pPr>
      <w:bookmarkStart w:id="0" w:name="_heading=h.gjdgxs" w:colFirst="0" w:colLast="0"/>
      <w:bookmarkEnd w:id="0"/>
      <w:r>
        <w:rPr>
          <w:rFonts w:ascii="Palatino Linotype" w:eastAsia="Palatino Linotype" w:hAnsi="Palatino Linotype" w:cs="Palatino Linotype"/>
          <w:b/>
          <w:color w:val="000000"/>
          <w:sz w:val="24"/>
          <w:szCs w:val="24"/>
        </w:rPr>
        <w:t>A N T E C E D E N T E S</w:t>
      </w:r>
    </w:p>
    <w:p w14:paraId="5F702857" w14:textId="77777777" w:rsidR="00140F7C" w:rsidRDefault="00140F7C">
      <w:pPr>
        <w:rPr>
          <w:rFonts w:ascii="Palatino Linotype" w:eastAsia="Palatino Linotype" w:hAnsi="Palatino Linotype" w:cs="Palatino Linotype"/>
        </w:rPr>
      </w:pPr>
    </w:p>
    <w:p w14:paraId="6CC8761F" w14:textId="77777777" w:rsidR="00140F7C" w:rsidRDefault="00AF35BD">
      <w:pPr>
        <w:numPr>
          <w:ilvl w:val="0"/>
          <w:numId w:val="5"/>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veintinueve (29) de agosto de dos mil veintidós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EL PARTICULAR</w:t>
      </w:r>
      <w:r>
        <w:rPr>
          <w:rFonts w:ascii="Palatino Linotype" w:eastAsia="Palatino Linotype" w:hAnsi="Palatino Linotype" w:cs="Palatino Linotype"/>
          <w:color w:val="000000"/>
        </w:rPr>
        <w:t xml:space="preserve"> presentó,</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a través del SAIMEX, la solicitud de información pública registrada con el </w:t>
      </w:r>
      <w:proofErr w:type="gramStart"/>
      <w:r>
        <w:rPr>
          <w:rFonts w:ascii="Palatino Linotype" w:eastAsia="Palatino Linotype" w:hAnsi="Palatino Linotype" w:cs="Palatino Linotype"/>
          <w:color w:val="000000"/>
        </w:rPr>
        <w:t xml:space="preserve">número </w:t>
      </w:r>
      <w:r>
        <w:rPr>
          <w:rFonts w:ascii="Palatino Linotype" w:eastAsia="Palatino Linotype" w:hAnsi="Palatino Linotype" w:cs="Palatino Linotype"/>
          <w:b/>
          <w:color w:val="000000"/>
        </w:rPr>
        <w:t> 00069</w:t>
      </w:r>
      <w:proofErr w:type="gramEnd"/>
      <w:r>
        <w:rPr>
          <w:rFonts w:ascii="Palatino Linotype" w:eastAsia="Palatino Linotype" w:hAnsi="Palatino Linotype" w:cs="Palatino Linotype"/>
          <w:b/>
          <w:color w:val="000000"/>
        </w:rPr>
        <w:t>/JC/IP/2022,</w:t>
      </w:r>
      <w:r>
        <w:rPr>
          <w:rFonts w:ascii="Palatino Linotype" w:eastAsia="Palatino Linotype" w:hAnsi="Palatino Linotype" w:cs="Palatino Linotype"/>
          <w:color w:val="000000"/>
        </w:rPr>
        <w:t xml:space="preserve"> mediante la cual requirió lo siguiente:</w:t>
      </w:r>
    </w:p>
    <w:p w14:paraId="6168639E" w14:textId="77777777" w:rsidR="00140F7C" w:rsidRDefault="00140F7C">
      <w:pPr>
        <w:pBdr>
          <w:top w:val="nil"/>
          <w:left w:val="nil"/>
          <w:bottom w:val="nil"/>
          <w:right w:val="nil"/>
          <w:between w:val="nil"/>
        </w:pBdr>
        <w:spacing w:line="276" w:lineRule="auto"/>
        <w:ind w:left="567" w:right="567"/>
        <w:jc w:val="both"/>
        <w:rPr>
          <w:rFonts w:ascii="Palatino Linotype" w:eastAsia="Palatino Linotype" w:hAnsi="Palatino Linotype" w:cs="Palatino Linotype"/>
          <w:i/>
          <w:color w:val="000000"/>
          <w:sz w:val="22"/>
          <w:szCs w:val="22"/>
        </w:rPr>
      </w:pPr>
    </w:p>
    <w:p w14:paraId="7CC29503" w14:textId="77777777" w:rsidR="00140F7C" w:rsidRDefault="00AF35BD">
      <w:pPr>
        <w:pBdr>
          <w:top w:val="nil"/>
          <w:left w:val="nil"/>
          <w:bottom w:val="nil"/>
          <w:right w:val="nil"/>
          <w:between w:val="nil"/>
        </w:pBdr>
        <w:spacing w:line="276" w:lineRule="auto"/>
        <w:ind w:left="567"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 xml:space="preserve">Que por medio del presente ocurso, con fundamento en lo establecido en los artículos 8, y 85 fracción V; artículo XXIV de la Declaración Americana de los Deberes y Derechos del Hombre; solicito respetuosamente se me entregue de forma clara, precisa y completa la información pública en lo que a continuación se cita en el numeral romano I. I.- Documentación completa y gasto total detallado de la obra o gasto que realizó el Gobierno del Estado de México a través de la Junta Local; y se llevó a cabo el mantenimiento del concreto hidráulico en las partes dañadas en el tramo carretero de Calimaya - San Andrés, en el Municipio de Calimaya en el mes de mayo y junio de 2022. La anterior </w:t>
      </w:r>
      <w:r>
        <w:rPr>
          <w:rFonts w:ascii="Palatino Linotype" w:eastAsia="Palatino Linotype" w:hAnsi="Palatino Linotype" w:cs="Palatino Linotype"/>
          <w:i/>
          <w:color w:val="000000"/>
          <w:sz w:val="22"/>
          <w:szCs w:val="22"/>
        </w:rPr>
        <w:lastRenderedPageBreak/>
        <w:t>petición conforme lo establece el, artículo 4, 7, 9 y 15 de la Ley de Transparencia y Acceso a la Información Pública del Estado de México y Municipios.</w:t>
      </w:r>
    </w:p>
    <w:p w14:paraId="4FDB9484" w14:textId="77777777" w:rsidR="00140F7C" w:rsidRDefault="00AF35BD">
      <w:pPr>
        <w:numPr>
          <w:ilvl w:val="0"/>
          <w:numId w:val="5"/>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hace constar que la entonces </w:t>
      </w:r>
      <w:r>
        <w:rPr>
          <w:rFonts w:ascii="Palatino Linotype" w:eastAsia="Palatino Linotype" w:hAnsi="Palatino Linotype" w:cs="Palatino Linotype"/>
          <w:b/>
          <w:color w:val="000000"/>
        </w:rPr>
        <w:t>SOLICITANTE</w:t>
      </w:r>
      <w:r>
        <w:rPr>
          <w:rFonts w:ascii="Palatino Linotype" w:eastAsia="Palatino Linotype" w:hAnsi="Palatino Linotype" w:cs="Palatino Linotype"/>
          <w:color w:val="000000"/>
        </w:rPr>
        <w:t xml:space="preserve"> señaló como modalidad de entrega de la información</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i/>
          <w:color w:val="000000"/>
        </w:rPr>
        <w:t>A través del SAIMEX.</w:t>
      </w:r>
    </w:p>
    <w:p w14:paraId="35DD72AE" w14:textId="77777777" w:rsidR="00140F7C" w:rsidRDefault="00140F7C">
      <w:pPr>
        <w:pBdr>
          <w:top w:val="nil"/>
          <w:left w:val="nil"/>
          <w:bottom w:val="nil"/>
          <w:right w:val="nil"/>
          <w:between w:val="nil"/>
        </w:pBdr>
        <w:tabs>
          <w:tab w:val="left" w:pos="284"/>
          <w:tab w:val="left" w:pos="426"/>
        </w:tabs>
        <w:spacing w:line="360" w:lineRule="auto"/>
        <w:jc w:val="both"/>
        <w:rPr>
          <w:rFonts w:ascii="Palatino Linotype" w:eastAsia="Palatino Linotype" w:hAnsi="Palatino Linotype" w:cs="Palatino Linotype"/>
          <w:b/>
          <w:color w:val="000000"/>
        </w:rPr>
      </w:pPr>
    </w:p>
    <w:p w14:paraId="0B85582D" w14:textId="77777777" w:rsidR="00140F7C" w:rsidRDefault="00AF35BD">
      <w:pPr>
        <w:numPr>
          <w:ilvl w:val="0"/>
          <w:numId w:val="5"/>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veinte (20) de septiembre de dos mil veintidós,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dio respuesta a las solicitudes de información en los siguientes términos:</w:t>
      </w:r>
    </w:p>
    <w:p w14:paraId="15947D75" w14:textId="77777777" w:rsidR="00140F7C" w:rsidRDefault="00140F7C">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14:paraId="7C9DB370" w14:textId="77777777" w:rsidR="00140F7C" w:rsidRDefault="00140F7C">
      <w:pPr>
        <w:tabs>
          <w:tab w:val="left" w:pos="284"/>
          <w:tab w:val="left" w:pos="426"/>
          <w:tab w:val="left" w:pos="8222"/>
        </w:tabs>
        <w:spacing w:line="276" w:lineRule="auto"/>
        <w:ind w:left="567" w:right="567"/>
        <w:jc w:val="right"/>
        <w:rPr>
          <w:rFonts w:ascii="Palatino Linotype" w:eastAsia="Palatino Linotype" w:hAnsi="Palatino Linotype" w:cs="Palatino Linotype"/>
          <w:i/>
          <w:color w:val="000000"/>
          <w:sz w:val="22"/>
          <w:szCs w:val="22"/>
        </w:rPr>
      </w:pPr>
    </w:p>
    <w:p w14:paraId="48F9C9E5" w14:textId="77777777" w:rsidR="00140F7C" w:rsidRDefault="00140F7C">
      <w:pPr>
        <w:tabs>
          <w:tab w:val="left" w:pos="284"/>
          <w:tab w:val="left" w:pos="426"/>
          <w:tab w:val="left" w:pos="8222"/>
        </w:tabs>
        <w:spacing w:line="276" w:lineRule="auto"/>
        <w:ind w:left="567" w:right="567"/>
        <w:jc w:val="right"/>
        <w:rPr>
          <w:rFonts w:ascii="Palatino Linotype" w:eastAsia="Palatino Linotype" w:hAnsi="Palatino Linotype" w:cs="Palatino Linotype"/>
          <w:i/>
          <w:color w:val="000000"/>
          <w:sz w:val="22"/>
          <w:szCs w:val="22"/>
        </w:rPr>
      </w:pPr>
    </w:p>
    <w:tbl>
      <w:tblPr>
        <w:tblStyle w:val="a0"/>
        <w:tblW w:w="10500" w:type="dxa"/>
        <w:jc w:val="center"/>
        <w:tblInd w:w="0" w:type="dxa"/>
        <w:tblLayout w:type="fixed"/>
        <w:tblLook w:val="0400" w:firstRow="0" w:lastRow="0" w:firstColumn="0" w:lastColumn="0" w:noHBand="0" w:noVBand="1"/>
      </w:tblPr>
      <w:tblGrid>
        <w:gridCol w:w="10500"/>
      </w:tblGrid>
      <w:tr w:rsidR="00140F7C" w14:paraId="2991E382" w14:textId="77777777">
        <w:trPr>
          <w:trHeight w:val="300"/>
          <w:jc w:val="center"/>
        </w:trPr>
        <w:tc>
          <w:tcPr>
            <w:tcW w:w="10500" w:type="dxa"/>
            <w:vAlign w:val="center"/>
          </w:tcPr>
          <w:p w14:paraId="31C339EC" w14:textId="77777777" w:rsidR="00140F7C" w:rsidRDefault="00AF35BD">
            <w:pPr>
              <w:tabs>
                <w:tab w:val="left" w:pos="284"/>
                <w:tab w:val="left" w:pos="426"/>
                <w:tab w:val="left" w:pos="7938"/>
              </w:tabs>
              <w:ind w:left="567" w:right="1467"/>
              <w:jc w:val="right"/>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Metepec, México a 20 de </w:t>
            </w:r>
            <w:proofErr w:type="gramStart"/>
            <w:r>
              <w:rPr>
                <w:rFonts w:ascii="Palatino Linotype" w:eastAsia="Palatino Linotype" w:hAnsi="Palatino Linotype" w:cs="Palatino Linotype"/>
                <w:i/>
                <w:color w:val="000000"/>
                <w:sz w:val="22"/>
                <w:szCs w:val="22"/>
              </w:rPr>
              <w:t>Septiembre</w:t>
            </w:r>
            <w:proofErr w:type="gramEnd"/>
            <w:r>
              <w:rPr>
                <w:rFonts w:ascii="Palatino Linotype" w:eastAsia="Palatino Linotype" w:hAnsi="Palatino Linotype" w:cs="Palatino Linotype"/>
                <w:i/>
                <w:color w:val="000000"/>
                <w:sz w:val="22"/>
                <w:szCs w:val="22"/>
              </w:rPr>
              <w:t xml:space="preserve"> de 2022</w:t>
            </w:r>
          </w:p>
        </w:tc>
      </w:tr>
      <w:tr w:rsidR="00140F7C" w14:paraId="7674C685" w14:textId="77777777">
        <w:trPr>
          <w:trHeight w:val="300"/>
          <w:jc w:val="center"/>
        </w:trPr>
        <w:tc>
          <w:tcPr>
            <w:tcW w:w="10500" w:type="dxa"/>
            <w:vAlign w:val="center"/>
          </w:tcPr>
          <w:p w14:paraId="5CD1C4B9" w14:textId="77777777" w:rsidR="00140F7C" w:rsidRDefault="00AF35BD">
            <w:pPr>
              <w:tabs>
                <w:tab w:val="left" w:pos="284"/>
                <w:tab w:val="left" w:pos="426"/>
                <w:tab w:val="left" w:pos="7938"/>
              </w:tabs>
              <w:ind w:left="567" w:right="1467"/>
              <w:jc w:val="right"/>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Nombre del solicitante: C. Solicitante</w:t>
            </w:r>
          </w:p>
        </w:tc>
      </w:tr>
      <w:tr w:rsidR="00140F7C" w14:paraId="487FCC23" w14:textId="77777777">
        <w:trPr>
          <w:trHeight w:val="300"/>
          <w:jc w:val="center"/>
        </w:trPr>
        <w:tc>
          <w:tcPr>
            <w:tcW w:w="10500" w:type="dxa"/>
            <w:vAlign w:val="center"/>
          </w:tcPr>
          <w:p w14:paraId="78F0C9EF" w14:textId="77777777" w:rsidR="00140F7C" w:rsidRDefault="00AF35BD">
            <w:pPr>
              <w:tabs>
                <w:tab w:val="left" w:pos="284"/>
                <w:tab w:val="left" w:pos="426"/>
                <w:tab w:val="left" w:pos="7938"/>
              </w:tabs>
              <w:ind w:left="567" w:right="1467"/>
              <w:jc w:val="right"/>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Folio de la solicitud: 00069/JC/IP/2022</w:t>
            </w:r>
          </w:p>
        </w:tc>
      </w:tr>
      <w:tr w:rsidR="00140F7C" w14:paraId="192409AD" w14:textId="77777777">
        <w:trPr>
          <w:trHeight w:val="150"/>
          <w:jc w:val="center"/>
        </w:trPr>
        <w:tc>
          <w:tcPr>
            <w:tcW w:w="10500" w:type="dxa"/>
            <w:vAlign w:val="center"/>
          </w:tcPr>
          <w:p w14:paraId="69C72D5C" w14:textId="77777777" w:rsidR="00140F7C" w:rsidRDefault="00140F7C">
            <w:pPr>
              <w:tabs>
                <w:tab w:val="left" w:pos="284"/>
                <w:tab w:val="left" w:pos="567"/>
                <w:tab w:val="left" w:pos="7938"/>
              </w:tabs>
              <w:ind w:left="567" w:right="1467"/>
              <w:jc w:val="right"/>
              <w:rPr>
                <w:rFonts w:ascii="Palatino Linotype" w:eastAsia="Palatino Linotype" w:hAnsi="Palatino Linotype" w:cs="Palatino Linotype"/>
                <w:i/>
                <w:color w:val="000000"/>
                <w:sz w:val="22"/>
                <w:szCs w:val="22"/>
              </w:rPr>
            </w:pPr>
          </w:p>
        </w:tc>
      </w:tr>
      <w:tr w:rsidR="00140F7C" w14:paraId="448C1EE8" w14:textId="77777777">
        <w:trPr>
          <w:trHeight w:val="375"/>
          <w:jc w:val="center"/>
        </w:trPr>
        <w:tc>
          <w:tcPr>
            <w:tcW w:w="10500" w:type="dxa"/>
            <w:vAlign w:val="center"/>
          </w:tcPr>
          <w:p w14:paraId="1693F0DD" w14:textId="77777777" w:rsidR="00140F7C" w:rsidRDefault="00140F7C">
            <w:pPr>
              <w:tabs>
                <w:tab w:val="left" w:pos="284"/>
                <w:tab w:val="left" w:pos="426"/>
                <w:tab w:val="left" w:pos="7938"/>
              </w:tabs>
              <w:ind w:right="1467"/>
              <w:rPr>
                <w:rFonts w:ascii="Palatino Linotype" w:eastAsia="Palatino Linotype" w:hAnsi="Palatino Linotype" w:cs="Palatino Linotype"/>
                <w:i/>
                <w:color w:val="000000"/>
                <w:sz w:val="22"/>
                <w:szCs w:val="22"/>
              </w:rPr>
            </w:pPr>
          </w:p>
        </w:tc>
      </w:tr>
      <w:tr w:rsidR="00140F7C" w14:paraId="358ACD73" w14:textId="77777777">
        <w:trPr>
          <w:trHeight w:val="150"/>
          <w:jc w:val="center"/>
        </w:trPr>
        <w:tc>
          <w:tcPr>
            <w:tcW w:w="10500" w:type="dxa"/>
            <w:vAlign w:val="center"/>
          </w:tcPr>
          <w:p w14:paraId="4E8A9534" w14:textId="77777777" w:rsidR="00140F7C" w:rsidRDefault="00AF35BD">
            <w:pPr>
              <w:tabs>
                <w:tab w:val="left" w:pos="709"/>
                <w:tab w:val="left" w:pos="851"/>
                <w:tab w:val="left" w:pos="7938"/>
              </w:tabs>
              <w:ind w:left="1418" w:right="14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Se adjunta oficio de respuesta de la Unidad de Transparencia No. 0472/2022; oficio de respuesta del Residente Regional Toluca No. 220C0101000400T/0816/JAHG/2022; oficio de respuesta del </w:t>
            </w:r>
            <w:proofErr w:type="gramStart"/>
            <w:r>
              <w:rPr>
                <w:rFonts w:ascii="Palatino Linotype" w:eastAsia="Palatino Linotype" w:hAnsi="Palatino Linotype" w:cs="Palatino Linotype"/>
                <w:i/>
                <w:color w:val="000000"/>
                <w:sz w:val="22"/>
                <w:szCs w:val="22"/>
              </w:rPr>
              <w:t>Director</w:t>
            </w:r>
            <w:proofErr w:type="gramEnd"/>
            <w:r>
              <w:rPr>
                <w:rFonts w:ascii="Palatino Linotype" w:eastAsia="Palatino Linotype" w:hAnsi="Palatino Linotype" w:cs="Palatino Linotype"/>
                <w:i/>
                <w:color w:val="000000"/>
                <w:sz w:val="22"/>
                <w:szCs w:val="22"/>
              </w:rPr>
              <w:t xml:space="preserve"> de Conservación de Caminos No. 220C0101020000L/1177/2022 y acta de </w:t>
            </w:r>
            <w:proofErr w:type="spellStart"/>
            <w:r>
              <w:rPr>
                <w:rFonts w:ascii="Palatino Linotype" w:eastAsia="Palatino Linotype" w:hAnsi="Palatino Linotype" w:cs="Palatino Linotype"/>
                <w:i/>
                <w:color w:val="000000"/>
                <w:sz w:val="22"/>
                <w:szCs w:val="22"/>
              </w:rPr>
              <w:t>a</w:t>
            </w:r>
            <w:proofErr w:type="spellEnd"/>
            <w:r>
              <w:rPr>
                <w:rFonts w:ascii="Palatino Linotype" w:eastAsia="Palatino Linotype" w:hAnsi="Palatino Linotype" w:cs="Palatino Linotype"/>
                <w:i/>
                <w:color w:val="000000"/>
                <w:sz w:val="22"/>
                <w:szCs w:val="22"/>
              </w:rPr>
              <w:t xml:space="preserve"> Trigésima Séptima Sesión Extraordinaria del ejercicio 2022, del Comité de Transparencia de la Junta de Caminos del Estado de México.</w:t>
            </w:r>
          </w:p>
        </w:tc>
      </w:tr>
      <w:tr w:rsidR="00140F7C" w14:paraId="5F9E766F" w14:textId="77777777">
        <w:trPr>
          <w:trHeight w:val="375"/>
          <w:jc w:val="center"/>
        </w:trPr>
        <w:tc>
          <w:tcPr>
            <w:tcW w:w="10500" w:type="dxa"/>
            <w:vAlign w:val="center"/>
          </w:tcPr>
          <w:p w14:paraId="28F87B49" w14:textId="77777777" w:rsidR="00140F7C" w:rsidRDefault="00140F7C">
            <w:pPr>
              <w:tabs>
                <w:tab w:val="left" w:pos="709"/>
                <w:tab w:val="left" w:pos="851"/>
                <w:tab w:val="left" w:pos="7938"/>
              </w:tabs>
              <w:ind w:right="1467"/>
              <w:jc w:val="both"/>
              <w:rPr>
                <w:rFonts w:ascii="Palatino Linotype" w:eastAsia="Palatino Linotype" w:hAnsi="Palatino Linotype" w:cs="Palatino Linotype"/>
                <w:i/>
                <w:color w:val="000000"/>
                <w:sz w:val="22"/>
                <w:szCs w:val="22"/>
              </w:rPr>
            </w:pPr>
          </w:p>
        </w:tc>
      </w:tr>
      <w:tr w:rsidR="00140F7C" w14:paraId="73C4A05F" w14:textId="77777777">
        <w:trPr>
          <w:trHeight w:val="150"/>
          <w:jc w:val="center"/>
        </w:trPr>
        <w:tc>
          <w:tcPr>
            <w:tcW w:w="10500" w:type="dxa"/>
            <w:vAlign w:val="center"/>
          </w:tcPr>
          <w:p w14:paraId="5D327523" w14:textId="77777777" w:rsidR="00140F7C" w:rsidRDefault="00AF35BD">
            <w:pPr>
              <w:tabs>
                <w:tab w:val="left" w:pos="284"/>
                <w:tab w:val="left" w:pos="426"/>
                <w:tab w:val="left" w:pos="7938"/>
              </w:tabs>
              <w:ind w:left="567" w:right="1467"/>
              <w:jc w:val="right"/>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tc>
      </w:tr>
      <w:tr w:rsidR="00140F7C" w14:paraId="6A88977D" w14:textId="77777777">
        <w:trPr>
          <w:trHeight w:val="225"/>
          <w:jc w:val="center"/>
        </w:trPr>
        <w:tc>
          <w:tcPr>
            <w:tcW w:w="10500" w:type="dxa"/>
            <w:vAlign w:val="center"/>
          </w:tcPr>
          <w:p w14:paraId="5949427D" w14:textId="77777777" w:rsidR="00140F7C" w:rsidRDefault="00140F7C">
            <w:pPr>
              <w:tabs>
                <w:tab w:val="left" w:pos="284"/>
                <w:tab w:val="left" w:pos="426"/>
                <w:tab w:val="left" w:pos="7938"/>
              </w:tabs>
              <w:ind w:left="567" w:right="1467"/>
              <w:jc w:val="right"/>
              <w:rPr>
                <w:rFonts w:ascii="Palatino Linotype" w:eastAsia="Palatino Linotype" w:hAnsi="Palatino Linotype" w:cs="Palatino Linotype"/>
                <w:i/>
                <w:color w:val="000000"/>
                <w:sz w:val="22"/>
                <w:szCs w:val="22"/>
              </w:rPr>
            </w:pPr>
          </w:p>
        </w:tc>
      </w:tr>
      <w:tr w:rsidR="00140F7C" w14:paraId="4FD0C619" w14:textId="77777777">
        <w:trPr>
          <w:trHeight w:val="150"/>
          <w:jc w:val="center"/>
        </w:trPr>
        <w:tc>
          <w:tcPr>
            <w:tcW w:w="10500" w:type="dxa"/>
            <w:vAlign w:val="center"/>
          </w:tcPr>
          <w:p w14:paraId="15288DB3" w14:textId="77777777" w:rsidR="00140F7C" w:rsidRDefault="00AF35BD">
            <w:pPr>
              <w:tabs>
                <w:tab w:val="left" w:pos="284"/>
                <w:tab w:val="left" w:pos="426"/>
                <w:tab w:val="left" w:pos="7938"/>
              </w:tabs>
              <w:ind w:left="567" w:right="1467"/>
              <w:jc w:val="right"/>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ING. ARTURO RENÉ JUÁREZ GARCÍA” </w:t>
            </w:r>
            <w:r>
              <w:rPr>
                <w:rFonts w:ascii="Palatino Linotype" w:eastAsia="Palatino Linotype" w:hAnsi="Palatino Linotype" w:cs="Palatino Linotype"/>
                <w:color w:val="000000"/>
                <w:sz w:val="22"/>
                <w:szCs w:val="22"/>
              </w:rPr>
              <w:t>(sic)</w:t>
            </w:r>
          </w:p>
        </w:tc>
      </w:tr>
    </w:tbl>
    <w:p w14:paraId="174C7E28" w14:textId="77777777" w:rsidR="00140F7C" w:rsidRDefault="00140F7C">
      <w:pPr>
        <w:pBdr>
          <w:top w:val="nil"/>
          <w:left w:val="nil"/>
          <w:bottom w:val="nil"/>
          <w:right w:val="nil"/>
          <w:between w:val="nil"/>
        </w:pBdr>
        <w:tabs>
          <w:tab w:val="left" w:pos="567"/>
          <w:tab w:val="left" w:pos="7938"/>
        </w:tabs>
        <w:spacing w:line="276" w:lineRule="auto"/>
        <w:ind w:left="567" w:right="1467"/>
        <w:jc w:val="both"/>
        <w:rPr>
          <w:rFonts w:ascii="Palatino Linotype" w:eastAsia="Palatino Linotype" w:hAnsi="Palatino Linotype" w:cs="Palatino Linotype"/>
          <w:color w:val="000000"/>
          <w:sz w:val="22"/>
          <w:szCs w:val="22"/>
        </w:rPr>
      </w:pPr>
    </w:p>
    <w:p w14:paraId="6C908C89" w14:textId="77777777" w:rsidR="00140F7C" w:rsidRDefault="00140F7C">
      <w:pPr>
        <w:pBdr>
          <w:top w:val="nil"/>
          <w:left w:val="nil"/>
          <w:bottom w:val="nil"/>
          <w:right w:val="nil"/>
          <w:between w:val="nil"/>
        </w:pBdr>
        <w:tabs>
          <w:tab w:val="left" w:pos="567"/>
          <w:tab w:val="left" w:pos="8222"/>
        </w:tabs>
        <w:spacing w:line="276" w:lineRule="auto"/>
        <w:ind w:left="567"/>
        <w:jc w:val="both"/>
        <w:rPr>
          <w:rFonts w:ascii="Palatino Linotype" w:eastAsia="Palatino Linotype" w:hAnsi="Palatino Linotype" w:cs="Palatino Linotype"/>
          <w:color w:val="000000"/>
          <w:sz w:val="22"/>
          <w:szCs w:val="22"/>
        </w:rPr>
      </w:pPr>
    </w:p>
    <w:p w14:paraId="006C52F8" w14:textId="77777777" w:rsidR="00140F7C" w:rsidRDefault="00AF35BD">
      <w:pPr>
        <w:numPr>
          <w:ilvl w:val="0"/>
          <w:numId w:val="5"/>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Acompañando al acuse de respuesta,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los archivos electrónicos cuyo contenido se describe a continuación:</w:t>
      </w:r>
    </w:p>
    <w:p w14:paraId="56B7967C" w14:textId="77777777" w:rsidR="00140F7C" w:rsidRDefault="00AF35BD">
      <w:pPr>
        <w:pBdr>
          <w:top w:val="nil"/>
          <w:left w:val="nil"/>
          <w:bottom w:val="nil"/>
          <w:right w:val="nil"/>
          <w:between w:val="nil"/>
        </w:pBdr>
        <w:tabs>
          <w:tab w:val="left" w:pos="284"/>
          <w:tab w:val="left" w:pos="426"/>
        </w:tabs>
        <w:spacing w:line="276" w:lineRule="auto"/>
        <w:ind w:left="567" w:right="616"/>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w:t>
      </w:r>
      <w:r>
        <w:rPr>
          <w:rFonts w:ascii="Palatino Linotype" w:eastAsia="Palatino Linotype" w:hAnsi="Palatino Linotype" w:cs="Palatino Linotype"/>
          <w:b/>
          <w:i/>
          <w:color w:val="000000"/>
          <w:sz w:val="22"/>
          <w:szCs w:val="22"/>
        </w:rPr>
        <w:t>Oficio de respuesta 0474_2022.pdf</w:t>
      </w:r>
      <w:r>
        <w:rPr>
          <w:rFonts w:ascii="Palatino Linotype" w:eastAsia="Palatino Linotype" w:hAnsi="Palatino Linotype" w:cs="Palatino Linotype"/>
          <w:b/>
          <w:color w:val="000000"/>
          <w:sz w:val="22"/>
          <w:szCs w:val="22"/>
        </w:rPr>
        <w:t>”</w:t>
      </w:r>
    </w:p>
    <w:p w14:paraId="5C14FB32" w14:textId="77777777" w:rsidR="00140F7C" w:rsidRDefault="00140F7C">
      <w:pPr>
        <w:pBdr>
          <w:top w:val="nil"/>
          <w:left w:val="nil"/>
          <w:bottom w:val="nil"/>
          <w:right w:val="nil"/>
          <w:between w:val="nil"/>
        </w:pBdr>
        <w:tabs>
          <w:tab w:val="left" w:pos="284"/>
          <w:tab w:val="left" w:pos="426"/>
        </w:tabs>
        <w:spacing w:line="276" w:lineRule="auto"/>
        <w:ind w:left="567" w:right="616"/>
        <w:jc w:val="both"/>
        <w:rPr>
          <w:rFonts w:ascii="Palatino Linotype" w:eastAsia="Palatino Linotype" w:hAnsi="Palatino Linotype" w:cs="Palatino Linotype"/>
          <w:b/>
          <w:color w:val="000000"/>
          <w:sz w:val="22"/>
          <w:szCs w:val="22"/>
        </w:rPr>
      </w:pPr>
    </w:p>
    <w:p w14:paraId="2BF5A4E7" w14:textId="77777777" w:rsidR="00140F7C" w:rsidRDefault="00AF35BD">
      <w:pPr>
        <w:pBdr>
          <w:top w:val="nil"/>
          <w:left w:val="nil"/>
          <w:bottom w:val="nil"/>
          <w:right w:val="nil"/>
          <w:between w:val="nil"/>
        </w:pBdr>
        <w:tabs>
          <w:tab w:val="left" w:pos="284"/>
          <w:tab w:val="left" w:pos="426"/>
        </w:tabs>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número </w:t>
      </w:r>
      <w:r>
        <w:rPr>
          <w:rFonts w:ascii="Palatino Linotype" w:eastAsia="Palatino Linotype" w:hAnsi="Palatino Linotype" w:cs="Palatino Linotype"/>
          <w:b/>
          <w:color w:val="000000"/>
          <w:sz w:val="22"/>
          <w:szCs w:val="22"/>
        </w:rPr>
        <w:t>0474/2022</w:t>
      </w:r>
      <w:r>
        <w:rPr>
          <w:rFonts w:ascii="Palatino Linotype" w:eastAsia="Palatino Linotype" w:hAnsi="Palatino Linotype" w:cs="Palatino Linotype"/>
          <w:color w:val="000000"/>
          <w:sz w:val="22"/>
          <w:szCs w:val="22"/>
        </w:rPr>
        <w:t xml:space="preserve">, del 20 de septiembre de dos mil veintidós, suscrito por el </w:t>
      </w:r>
      <w:proofErr w:type="gramStart"/>
      <w:r>
        <w:rPr>
          <w:rFonts w:ascii="Palatino Linotype" w:eastAsia="Palatino Linotype" w:hAnsi="Palatino Linotype" w:cs="Palatino Linotype"/>
          <w:color w:val="000000"/>
          <w:sz w:val="22"/>
          <w:szCs w:val="22"/>
        </w:rPr>
        <w:t>Jefe</w:t>
      </w:r>
      <w:proofErr w:type="gramEnd"/>
      <w:r>
        <w:rPr>
          <w:rFonts w:ascii="Palatino Linotype" w:eastAsia="Palatino Linotype" w:hAnsi="Palatino Linotype" w:cs="Palatino Linotype"/>
          <w:color w:val="000000"/>
          <w:sz w:val="22"/>
          <w:szCs w:val="22"/>
        </w:rPr>
        <w:t xml:space="preserve"> de la Unidad de Planeación y Tecnologías de la Información y </w:t>
      </w:r>
      <w:r>
        <w:rPr>
          <w:rFonts w:ascii="Palatino Linotype" w:eastAsia="Palatino Linotype" w:hAnsi="Palatino Linotype" w:cs="Palatino Linotype"/>
          <w:color w:val="000000"/>
          <w:sz w:val="22"/>
          <w:szCs w:val="22"/>
        </w:rPr>
        <w:lastRenderedPageBreak/>
        <w:t xml:space="preserve">Comunicación y Titular de la Unidad de Transparencia, mediante el cual informa que se anexa en archivo adjunto la respuesta proporcionada por el </w:t>
      </w:r>
      <w:r>
        <w:rPr>
          <w:rFonts w:ascii="Palatino Linotype" w:eastAsia="Palatino Linotype" w:hAnsi="Palatino Linotype" w:cs="Palatino Linotype"/>
          <w:sz w:val="22"/>
          <w:szCs w:val="22"/>
        </w:rPr>
        <w:t>Residente</w:t>
      </w:r>
      <w:r>
        <w:rPr>
          <w:rFonts w:ascii="Palatino Linotype" w:eastAsia="Palatino Linotype" w:hAnsi="Palatino Linotype" w:cs="Palatino Linotype"/>
          <w:color w:val="000000"/>
          <w:sz w:val="22"/>
          <w:szCs w:val="22"/>
        </w:rPr>
        <w:t xml:space="preserve"> Regional Toluca. </w:t>
      </w:r>
    </w:p>
    <w:p w14:paraId="09C3EF70" w14:textId="77777777" w:rsidR="00140F7C" w:rsidRDefault="00140F7C">
      <w:pPr>
        <w:pBdr>
          <w:top w:val="nil"/>
          <w:left w:val="nil"/>
          <w:bottom w:val="nil"/>
          <w:right w:val="nil"/>
          <w:between w:val="nil"/>
        </w:pBdr>
        <w:tabs>
          <w:tab w:val="left" w:pos="284"/>
          <w:tab w:val="left" w:pos="426"/>
        </w:tabs>
        <w:spacing w:line="276" w:lineRule="auto"/>
        <w:ind w:left="567" w:right="616"/>
        <w:jc w:val="both"/>
        <w:rPr>
          <w:rFonts w:ascii="Palatino Linotype" w:eastAsia="Palatino Linotype" w:hAnsi="Palatino Linotype" w:cs="Palatino Linotype"/>
          <w:color w:val="000000"/>
          <w:sz w:val="22"/>
          <w:szCs w:val="22"/>
        </w:rPr>
      </w:pPr>
    </w:p>
    <w:p w14:paraId="3CC55409" w14:textId="77777777" w:rsidR="00140F7C" w:rsidRDefault="00AF35BD">
      <w:pPr>
        <w:pBdr>
          <w:top w:val="nil"/>
          <w:left w:val="nil"/>
          <w:bottom w:val="nil"/>
          <w:right w:val="nil"/>
          <w:between w:val="nil"/>
        </w:pBdr>
        <w:tabs>
          <w:tab w:val="left" w:pos="284"/>
          <w:tab w:val="left" w:pos="426"/>
        </w:tabs>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número </w:t>
      </w:r>
      <w:r>
        <w:rPr>
          <w:rFonts w:ascii="Palatino Linotype" w:eastAsia="Palatino Linotype" w:hAnsi="Palatino Linotype" w:cs="Palatino Linotype"/>
          <w:b/>
          <w:color w:val="000000"/>
          <w:sz w:val="22"/>
          <w:szCs w:val="22"/>
        </w:rPr>
        <w:t>220C0101000400T/0818/JAHG/2022</w:t>
      </w:r>
      <w:r>
        <w:rPr>
          <w:rFonts w:ascii="Palatino Linotype" w:eastAsia="Palatino Linotype" w:hAnsi="Palatino Linotype" w:cs="Palatino Linotype"/>
          <w:color w:val="000000"/>
          <w:sz w:val="22"/>
          <w:szCs w:val="22"/>
        </w:rPr>
        <w:t xml:space="preserve">, del 29 de agosto de dos mil veintidós, suscrito por el Residente Regional, en el que hace del conocimiento que no cuenta con la información que se solicita, derivado de que los trabajos en mención son supervisados por la coordinación de Proyectos y Programas Especiales en la Dirección de Conservación de caminos. </w:t>
      </w:r>
    </w:p>
    <w:p w14:paraId="7935A785" w14:textId="77777777" w:rsidR="00140F7C" w:rsidRDefault="00140F7C">
      <w:pPr>
        <w:pBdr>
          <w:top w:val="nil"/>
          <w:left w:val="nil"/>
          <w:bottom w:val="nil"/>
          <w:right w:val="nil"/>
          <w:between w:val="nil"/>
        </w:pBdr>
        <w:tabs>
          <w:tab w:val="left" w:pos="284"/>
          <w:tab w:val="left" w:pos="426"/>
        </w:tabs>
        <w:spacing w:line="276" w:lineRule="auto"/>
        <w:ind w:left="567" w:right="616"/>
        <w:jc w:val="both"/>
        <w:rPr>
          <w:rFonts w:ascii="Palatino Linotype" w:eastAsia="Palatino Linotype" w:hAnsi="Palatino Linotype" w:cs="Palatino Linotype"/>
          <w:color w:val="000000"/>
          <w:sz w:val="22"/>
          <w:szCs w:val="22"/>
        </w:rPr>
      </w:pPr>
    </w:p>
    <w:p w14:paraId="1A6899BF" w14:textId="77777777" w:rsidR="00140F7C" w:rsidRDefault="00AF35BD">
      <w:pPr>
        <w:pBdr>
          <w:top w:val="nil"/>
          <w:left w:val="nil"/>
          <w:bottom w:val="nil"/>
          <w:right w:val="nil"/>
          <w:between w:val="nil"/>
        </w:pBdr>
        <w:tabs>
          <w:tab w:val="left" w:pos="284"/>
          <w:tab w:val="left" w:pos="426"/>
        </w:tabs>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número </w:t>
      </w:r>
      <w:r>
        <w:rPr>
          <w:rFonts w:ascii="Palatino Linotype" w:eastAsia="Palatino Linotype" w:hAnsi="Palatino Linotype" w:cs="Palatino Linotype"/>
          <w:b/>
          <w:color w:val="000000"/>
          <w:sz w:val="22"/>
          <w:szCs w:val="22"/>
        </w:rPr>
        <w:t>220C0101020000L/11792022</w:t>
      </w:r>
      <w:r>
        <w:rPr>
          <w:rFonts w:ascii="Palatino Linotype" w:eastAsia="Palatino Linotype" w:hAnsi="Palatino Linotype" w:cs="Palatino Linotype"/>
          <w:color w:val="000000"/>
          <w:sz w:val="22"/>
          <w:szCs w:val="22"/>
        </w:rPr>
        <w:t xml:space="preserve">, del 15 de septiembre de dos mil veintidós, Suscrito por el Director de Conservación de Caminos, por medio del cual informa que la información requerida corresponde al camino identificado como 211km 12.5 (Toluca-Metepec)- Calimaya- Zaragoza y el cual forma parte de la red estatal de caminos, mismo que está siendo rehabilitado a través del proyecto denominado “Rehabilitación y conservación de una red carretera libre peaje con longitud de 1,637.8 km con residencia en Tejupilco, Ixtapan de la Sal y Toluca, bajo esquema de Asociación </w:t>
      </w:r>
      <w:r>
        <w:rPr>
          <w:rFonts w:ascii="Palatino Linotype" w:eastAsia="Palatino Linotype" w:hAnsi="Palatino Linotype" w:cs="Palatino Linotype"/>
          <w:sz w:val="22"/>
          <w:szCs w:val="22"/>
        </w:rPr>
        <w:t>Público</w:t>
      </w:r>
      <w:r>
        <w:rPr>
          <w:rFonts w:ascii="Palatino Linotype" w:eastAsia="Palatino Linotype" w:hAnsi="Palatino Linotype" w:cs="Palatino Linotype"/>
          <w:color w:val="000000"/>
          <w:sz w:val="22"/>
          <w:szCs w:val="22"/>
        </w:rPr>
        <w:t xml:space="preserve"> Privada (APP), así mismo comunica que en la Trigésima Séptima Sesión Extraordinaria del ejercicio dos mil veintidós el Comité de Transparencia aprobó la inexistencia, debido a que la información solicitada no obra en los archivos de la Dirección de Conservación de Caminos. </w:t>
      </w:r>
    </w:p>
    <w:p w14:paraId="39DEF4C0" w14:textId="77777777" w:rsidR="00140F7C" w:rsidRDefault="00140F7C">
      <w:pPr>
        <w:pBdr>
          <w:top w:val="nil"/>
          <w:left w:val="nil"/>
          <w:bottom w:val="nil"/>
          <w:right w:val="nil"/>
          <w:between w:val="nil"/>
        </w:pBdr>
        <w:tabs>
          <w:tab w:val="left" w:pos="284"/>
          <w:tab w:val="left" w:pos="426"/>
        </w:tabs>
        <w:spacing w:line="276" w:lineRule="auto"/>
        <w:ind w:left="567" w:right="616"/>
        <w:jc w:val="both"/>
        <w:rPr>
          <w:rFonts w:ascii="Palatino Linotype" w:eastAsia="Palatino Linotype" w:hAnsi="Palatino Linotype" w:cs="Palatino Linotype"/>
          <w:color w:val="000000"/>
          <w:sz w:val="22"/>
          <w:szCs w:val="22"/>
        </w:rPr>
      </w:pPr>
    </w:p>
    <w:p w14:paraId="396044B7" w14:textId="77777777" w:rsidR="00140F7C" w:rsidRDefault="00AF35BD">
      <w:pPr>
        <w:pBdr>
          <w:top w:val="nil"/>
          <w:left w:val="nil"/>
          <w:bottom w:val="nil"/>
          <w:right w:val="nil"/>
          <w:between w:val="nil"/>
        </w:pBdr>
        <w:tabs>
          <w:tab w:val="left" w:pos="284"/>
          <w:tab w:val="left" w:pos="426"/>
        </w:tabs>
        <w:spacing w:line="276" w:lineRule="auto"/>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w:t>
      </w:r>
      <w:r>
        <w:rPr>
          <w:rFonts w:ascii="Palatino Linotype" w:eastAsia="Palatino Linotype" w:hAnsi="Palatino Linotype" w:cs="Palatino Linotype"/>
          <w:b/>
          <w:i/>
          <w:color w:val="000000"/>
          <w:sz w:val="22"/>
          <w:szCs w:val="22"/>
        </w:rPr>
        <w:t>37a. sesión extraordinaria 2022.pdf</w:t>
      </w:r>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color w:val="000000"/>
          <w:sz w:val="22"/>
          <w:szCs w:val="22"/>
        </w:rPr>
        <w:t>Acta de la Trigésima Séptima Sesión Extraordinaria del Ejercicio 2022 del Comité de Transparencia.</w:t>
      </w:r>
    </w:p>
    <w:p w14:paraId="3D38E797" w14:textId="77777777" w:rsidR="00140F7C" w:rsidRDefault="00140F7C">
      <w:pPr>
        <w:tabs>
          <w:tab w:val="left" w:pos="567"/>
        </w:tabs>
        <w:spacing w:line="276" w:lineRule="auto"/>
        <w:ind w:right="616"/>
        <w:jc w:val="both"/>
        <w:rPr>
          <w:rFonts w:ascii="Palatino Linotype" w:eastAsia="Palatino Linotype" w:hAnsi="Palatino Linotype" w:cs="Palatino Linotype"/>
          <w:color w:val="000000"/>
          <w:sz w:val="22"/>
          <w:szCs w:val="22"/>
        </w:rPr>
      </w:pPr>
    </w:p>
    <w:p w14:paraId="4B194DCB" w14:textId="77777777" w:rsidR="00140F7C" w:rsidRDefault="00AF35BD">
      <w:pPr>
        <w:numPr>
          <w:ilvl w:val="0"/>
          <w:numId w:val="5"/>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veinticuatro (24) de septiembre de dos mil veintidós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EL PARTICULAR</w:t>
      </w:r>
      <w:r>
        <w:rPr>
          <w:rFonts w:ascii="Palatino Linotype" w:eastAsia="Palatino Linotype" w:hAnsi="Palatino Linotype" w:cs="Palatino Linotype"/>
          <w:color w:val="000000"/>
        </w:rPr>
        <w:t xml:space="preserve"> impugnó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mediante el recurso de revisión </w:t>
      </w:r>
      <w:r>
        <w:rPr>
          <w:rFonts w:ascii="Palatino Linotype" w:eastAsia="Palatino Linotype" w:hAnsi="Palatino Linotype" w:cs="Palatino Linotype"/>
          <w:b/>
          <w:color w:val="000000"/>
        </w:rPr>
        <w:t>15048/INFOEM/IP/RR/2022,</w:t>
      </w:r>
      <w:r>
        <w:rPr>
          <w:rFonts w:ascii="Palatino Linotype" w:eastAsia="Palatino Linotype" w:hAnsi="Palatino Linotype" w:cs="Palatino Linotype"/>
          <w:color w:val="000000"/>
        </w:rPr>
        <w:t xml:space="preserve"> en las que refirió lo siguiente:</w:t>
      </w:r>
    </w:p>
    <w:p w14:paraId="24CA3898" w14:textId="77777777" w:rsidR="00140F7C" w:rsidRDefault="00140F7C">
      <w:pPr>
        <w:pBdr>
          <w:top w:val="nil"/>
          <w:left w:val="nil"/>
          <w:bottom w:val="nil"/>
          <w:right w:val="nil"/>
          <w:between w:val="nil"/>
        </w:pBdr>
        <w:tabs>
          <w:tab w:val="left" w:pos="284"/>
          <w:tab w:val="left" w:pos="426"/>
          <w:tab w:val="left" w:pos="8222"/>
        </w:tabs>
        <w:spacing w:line="276" w:lineRule="auto"/>
        <w:ind w:left="567"/>
        <w:jc w:val="both"/>
        <w:rPr>
          <w:rFonts w:ascii="Palatino Linotype" w:eastAsia="Palatino Linotype" w:hAnsi="Palatino Linotype" w:cs="Palatino Linotype"/>
          <w:color w:val="000000"/>
          <w:sz w:val="22"/>
          <w:szCs w:val="22"/>
        </w:rPr>
      </w:pPr>
    </w:p>
    <w:p w14:paraId="7CE9DC82" w14:textId="77777777" w:rsidR="00140F7C" w:rsidRDefault="00AF35BD">
      <w:pPr>
        <w:pBdr>
          <w:top w:val="nil"/>
          <w:left w:val="nil"/>
          <w:bottom w:val="nil"/>
          <w:right w:val="nil"/>
          <w:between w:val="nil"/>
        </w:pBdr>
        <w:tabs>
          <w:tab w:val="left" w:pos="426"/>
          <w:tab w:val="left" w:pos="8222"/>
        </w:tabs>
        <w:spacing w:line="276" w:lineRule="auto"/>
        <w:ind w:left="567"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Acto impugnado:</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i/>
          <w:color w:val="000000"/>
          <w:sz w:val="22"/>
          <w:szCs w:val="22"/>
        </w:rPr>
        <w:t>“00069/JC/IP/2022”</w:t>
      </w:r>
      <w:r>
        <w:rPr>
          <w:rFonts w:ascii="Palatino Linotype" w:eastAsia="Palatino Linotype" w:hAnsi="Palatino Linotype" w:cs="Palatino Linotype"/>
          <w:color w:val="000000"/>
          <w:sz w:val="22"/>
          <w:szCs w:val="22"/>
        </w:rPr>
        <w:t xml:space="preserve"> (Sic)</w:t>
      </w:r>
    </w:p>
    <w:p w14:paraId="32BD5765" w14:textId="77777777" w:rsidR="00140F7C" w:rsidRDefault="00AF35BD">
      <w:pPr>
        <w:pBdr>
          <w:top w:val="nil"/>
          <w:left w:val="nil"/>
          <w:bottom w:val="nil"/>
          <w:right w:val="nil"/>
          <w:between w:val="nil"/>
        </w:pBdr>
        <w:tabs>
          <w:tab w:val="left" w:pos="426"/>
          <w:tab w:val="left" w:pos="8222"/>
        </w:tabs>
        <w:spacing w:line="276" w:lineRule="auto"/>
        <w:ind w:left="567"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Razones o motivos de la inconformidad:</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i/>
          <w:color w:val="000000"/>
          <w:sz w:val="22"/>
          <w:szCs w:val="22"/>
        </w:rPr>
        <w:t>“La Junta de Caminos del Gobierno del Estado de México si realizó los trabajos en el Municipio de Calimaya.”</w:t>
      </w:r>
      <w:r>
        <w:rPr>
          <w:rFonts w:ascii="Palatino Linotype" w:eastAsia="Palatino Linotype" w:hAnsi="Palatino Linotype" w:cs="Palatino Linotype"/>
          <w:color w:val="000000"/>
          <w:sz w:val="22"/>
          <w:szCs w:val="22"/>
        </w:rPr>
        <w:t xml:space="preserve"> (Sic)</w:t>
      </w:r>
    </w:p>
    <w:p w14:paraId="24CE9463" w14:textId="77777777" w:rsidR="00140F7C" w:rsidRDefault="00140F7C">
      <w:pPr>
        <w:pBdr>
          <w:top w:val="nil"/>
          <w:left w:val="nil"/>
          <w:bottom w:val="nil"/>
          <w:right w:val="nil"/>
          <w:between w:val="nil"/>
        </w:pBdr>
        <w:tabs>
          <w:tab w:val="left" w:pos="426"/>
          <w:tab w:val="left" w:pos="8222"/>
        </w:tabs>
        <w:spacing w:line="276" w:lineRule="auto"/>
        <w:ind w:left="567"/>
        <w:jc w:val="both"/>
        <w:rPr>
          <w:rFonts w:ascii="Palatino Linotype" w:eastAsia="Palatino Linotype" w:hAnsi="Palatino Linotype" w:cs="Palatino Linotype"/>
          <w:b/>
          <w:color w:val="000000"/>
          <w:sz w:val="22"/>
          <w:szCs w:val="22"/>
        </w:rPr>
      </w:pPr>
    </w:p>
    <w:p w14:paraId="241F5383" w14:textId="77777777" w:rsidR="00140F7C" w:rsidRDefault="00AF35BD">
      <w:pPr>
        <w:numPr>
          <w:ilvl w:val="0"/>
          <w:numId w:val="5"/>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registró el recurso de revisión bajo el número de expediente al rubro indicado; asimismo, con fundamento en lo dispuesto por el artículo 185, fracción I, de la Ley de Transparencia y Acceso a la Información Pública del Estado de México y Municipios, se turnó a la </w:t>
      </w:r>
      <w:r>
        <w:rPr>
          <w:rFonts w:ascii="Palatino Linotype" w:eastAsia="Palatino Linotype" w:hAnsi="Palatino Linotype" w:cs="Palatino Linotype"/>
          <w:b/>
          <w:color w:val="000000"/>
        </w:rPr>
        <w:t>Comisionadas María del Rosario Mejía Ayala</w:t>
      </w:r>
      <w:r>
        <w:rPr>
          <w:rFonts w:ascii="Palatino Linotype" w:eastAsia="Palatino Linotype" w:hAnsi="Palatino Linotype" w:cs="Palatino Linotype"/>
          <w:color w:val="000000"/>
        </w:rPr>
        <w:t>, con el objeto de su análisis.</w:t>
      </w:r>
    </w:p>
    <w:p w14:paraId="60D38F3F" w14:textId="77777777" w:rsidR="00140F7C" w:rsidRDefault="00140F7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2F2B48BE" w14:textId="77777777" w:rsidR="00140F7C" w:rsidRDefault="00AF35BD">
      <w:pPr>
        <w:numPr>
          <w:ilvl w:val="0"/>
          <w:numId w:val="5"/>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Comisionada Ponente, con fundamento en lo dispuesto por el artículo 185, fracción II, de la Ley de Transparencia y Acceso a la Información Pública del Estado de México y Municipios, a través del acuerdo de admisión del treinta (30) de septiembre, se puso a disposición de las partes el expediente electrónico, vía SAIMEX,</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a efecto de que en un plazo máximo de siete días manifestaran lo que a su derecho convinieran, ofrecieran pruebas y alegatos según corresponda a los casos concretos, de esta forma para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presentara el informe justificado correspondiente</w:t>
      </w:r>
    </w:p>
    <w:p w14:paraId="2A92673C" w14:textId="77777777" w:rsidR="00140F7C" w:rsidRDefault="00140F7C">
      <w:pPr>
        <w:pBdr>
          <w:top w:val="nil"/>
          <w:left w:val="nil"/>
          <w:bottom w:val="nil"/>
          <w:right w:val="nil"/>
          <w:between w:val="nil"/>
        </w:pBdr>
        <w:tabs>
          <w:tab w:val="left" w:pos="426"/>
        </w:tabs>
        <w:spacing w:line="360" w:lineRule="auto"/>
        <w:ind w:firstLine="708"/>
        <w:jc w:val="both"/>
        <w:rPr>
          <w:rFonts w:ascii="Palatino Linotype" w:eastAsia="Palatino Linotype" w:hAnsi="Palatino Linotype" w:cs="Palatino Linotype"/>
          <w:color w:val="000000"/>
        </w:rPr>
      </w:pPr>
    </w:p>
    <w:p w14:paraId="4D8F23D7" w14:textId="77777777" w:rsidR="00140F7C" w:rsidRDefault="00AF35BD">
      <w:pPr>
        <w:numPr>
          <w:ilvl w:val="0"/>
          <w:numId w:val="5"/>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rPr>
        <w:t>veinte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20</w:t>
      </w:r>
      <w:r>
        <w:rPr>
          <w:rFonts w:ascii="Palatino Linotype" w:eastAsia="Palatino Linotype" w:hAnsi="Palatino Linotype" w:cs="Palatino Linotype"/>
          <w:color w:val="000000"/>
        </w:rPr>
        <w:t>) de marzo de dos mil veinticuatro, se notificó el informe justificado de siete (07) de octubre de dos mil veintidós, a través de los archivos electrónicos cuyo contenido se resume a continuación:</w:t>
      </w:r>
    </w:p>
    <w:p w14:paraId="075ECE0B" w14:textId="77777777" w:rsidR="00140F7C" w:rsidRDefault="00140F7C">
      <w:pPr>
        <w:tabs>
          <w:tab w:val="left" w:pos="567"/>
        </w:tabs>
        <w:spacing w:line="276" w:lineRule="auto"/>
        <w:ind w:right="616"/>
        <w:jc w:val="both"/>
        <w:rPr>
          <w:rFonts w:ascii="Palatino Linotype" w:eastAsia="Palatino Linotype" w:hAnsi="Palatino Linotype" w:cs="Palatino Linotype"/>
          <w:b/>
          <w:color w:val="000000"/>
          <w:sz w:val="22"/>
          <w:szCs w:val="22"/>
        </w:rPr>
      </w:pPr>
    </w:p>
    <w:p w14:paraId="5B1334CA" w14:textId="77777777" w:rsidR="00140F7C" w:rsidRDefault="00AF35BD">
      <w:pPr>
        <w:pBdr>
          <w:top w:val="nil"/>
          <w:left w:val="nil"/>
          <w:bottom w:val="nil"/>
          <w:right w:val="nil"/>
          <w:between w:val="nil"/>
        </w:pBdr>
        <w:tabs>
          <w:tab w:val="left" w:pos="567"/>
        </w:tabs>
        <w:spacing w:line="276" w:lineRule="auto"/>
        <w:ind w:left="567" w:right="616"/>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rPr>
        <w:t>“</w:t>
      </w:r>
      <w:hyperlink r:id="rId8">
        <w:r>
          <w:rPr>
            <w:rFonts w:eastAsia="Calibri"/>
            <w:b/>
            <w:color w:val="000000"/>
          </w:rPr>
          <w:t>Oficio 0509_2022 RR-15048.pdf</w:t>
        </w:r>
      </w:hyperlink>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de cuyo contenido se desprende un documento de cuarenta y cuatro fojas, en el</w:t>
      </w:r>
      <w:r>
        <w:rPr>
          <w:rFonts w:ascii="Palatino Linotype" w:eastAsia="Palatino Linotype" w:hAnsi="Palatino Linotype" w:cs="Palatino Linotype"/>
          <w:color w:val="000000"/>
          <w:sz w:val="22"/>
          <w:szCs w:val="22"/>
        </w:rPr>
        <w:t xml:space="preserve"> que se reitera la inexistencia de la información, así mismo reitera que el tramo carretero de Calimaya- San Andrés, forma parte de la estructura vial primaria libre peaje, identificado como 211 km 12.5 (Toluca- Metepec –Tenango)-Calimaya-Zaragoza, considerado para su rehabilitación y </w:t>
      </w:r>
      <w:r>
        <w:rPr>
          <w:rFonts w:ascii="Palatino Linotype" w:eastAsia="Palatino Linotype" w:hAnsi="Palatino Linotype" w:cs="Palatino Linotype"/>
          <w:color w:val="000000"/>
          <w:sz w:val="22"/>
          <w:szCs w:val="22"/>
        </w:rPr>
        <w:lastRenderedPageBreak/>
        <w:t>conservación de una red carretera libre peaje con longitud de 1,637.8 km con residencia en Tejupilco, Ixtapan de la Sal y Toluca, dicho proyecto consta de 82 caminos que se han dividido en segmentos, siendo estos un conjunto de caminos que serán rehabilitados y conservados en su tiempo determinado, donde cada segmento es objeto de una medición mensual por Estándar de Desempeño y cada segmento bebe cubrir con la totalidad de los estándares que le serán aplicables para su activación y dicho pago.</w:t>
      </w:r>
    </w:p>
    <w:p w14:paraId="0ADD1D73" w14:textId="77777777" w:rsidR="00140F7C" w:rsidRDefault="00140F7C">
      <w:pPr>
        <w:pBdr>
          <w:top w:val="nil"/>
          <w:left w:val="nil"/>
          <w:bottom w:val="nil"/>
          <w:right w:val="nil"/>
          <w:between w:val="nil"/>
        </w:pBdr>
        <w:tabs>
          <w:tab w:val="left" w:pos="567"/>
        </w:tabs>
        <w:spacing w:line="276" w:lineRule="auto"/>
        <w:ind w:left="567" w:right="616"/>
        <w:jc w:val="both"/>
        <w:rPr>
          <w:rFonts w:ascii="Palatino Linotype" w:eastAsia="Palatino Linotype" w:hAnsi="Palatino Linotype" w:cs="Palatino Linotype"/>
          <w:color w:val="000000"/>
          <w:sz w:val="22"/>
          <w:szCs w:val="22"/>
        </w:rPr>
      </w:pPr>
    </w:p>
    <w:p w14:paraId="5FBF861D" w14:textId="77777777" w:rsidR="00140F7C" w:rsidRDefault="00AF35BD">
      <w:pPr>
        <w:numPr>
          <w:ilvl w:val="0"/>
          <w:numId w:val="5"/>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doce (12) de diciembre de dos mil veintidós,</w:t>
      </w:r>
      <w:r>
        <w:rPr>
          <w:rFonts w:ascii="Palatino Linotype" w:eastAsia="Palatino Linotype" w:hAnsi="Palatino Linotype" w:cs="Palatino Linotype"/>
          <w:color w:val="000000"/>
        </w:rPr>
        <w:t xml:space="preserve"> con fundamento en el artículo 181, tercer párrafo, de la Ley de Transparencia y Acceso a la Información Pública del Estado de México y Municipios se notificó que el plazo de treinta (30) días para resolver los recursos de revisión acumulados sería ampliado por un periodo de 15 días hábiles adicionales.</w:t>
      </w:r>
    </w:p>
    <w:p w14:paraId="5188EF5C" w14:textId="77777777" w:rsidR="00140F7C" w:rsidRDefault="00140F7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0D537AAF" w14:textId="77777777" w:rsidR="00140F7C" w:rsidRDefault="00AF35BD">
      <w:pPr>
        <w:numPr>
          <w:ilvl w:val="0"/>
          <w:numId w:val="5"/>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Este 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6965261" w14:textId="77777777" w:rsidR="00140F7C" w:rsidRDefault="00140F7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5FE34607" w14:textId="77777777" w:rsidR="00140F7C" w:rsidRDefault="00AF35BD">
      <w:pPr>
        <w:numPr>
          <w:ilvl w:val="0"/>
          <w:numId w:val="5"/>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ello, es menester precisar </w:t>
      </w:r>
      <w:proofErr w:type="gramStart"/>
      <w:r>
        <w:rPr>
          <w:rFonts w:ascii="Palatino Linotype" w:eastAsia="Palatino Linotype" w:hAnsi="Palatino Linotype" w:cs="Palatino Linotype"/>
          <w:color w:val="000000"/>
        </w:rPr>
        <w:t>que</w:t>
      </w:r>
      <w:proofErr w:type="gramEnd"/>
      <w:r>
        <w:rPr>
          <w:rFonts w:ascii="Palatino Linotype" w:eastAsia="Palatino Linotype" w:hAnsi="Palatino Linotype" w:cs="Palatino Linotype"/>
          <w:color w:val="000000"/>
        </w:rPr>
        <w:t xml:space="preserv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w:t>
      </w:r>
      <w:r>
        <w:rPr>
          <w:rFonts w:ascii="Palatino Linotype" w:eastAsia="Palatino Linotype" w:hAnsi="Palatino Linotype" w:cs="Palatino Linotype"/>
          <w:color w:val="000000"/>
        </w:rPr>
        <w:lastRenderedPageBreak/>
        <w:t>parámetros establecidos por diversos órganos jurisdiccionales federales, aplicables también en procedimientos análogos, como el que nos ocupa.</w:t>
      </w:r>
    </w:p>
    <w:p w14:paraId="2D025EE0" w14:textId="77777777" w:rsidR="00140F7C" w:rsidRDefault="00140F7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4EFE732B" w14:textId="77777777" w:rsidR="00140F7C" w:rsidRDefault="00AF35BD">
      <w:pPr>
        <w:numPr>
          <w:ilvl w:val="0"/>
          <w:numId w:val="5"/>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2951084" w14:textId="77777777" w:rsidR="00140F7C" w:rsidRDefault="00140F7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BA74DE6" w14:textId="77777777" w:rsidR="00140F7C" w:rsidRDefault="00AF35BD">
      <w:pPr>
        <w:numPr>
          <w:ilvl w:val="0"/>
          <w:numId w:val="5"/>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C64685D" w14:textId="77777777" w:rsidR="00140F7C" w:rsidRDefault="00140F7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1304A2B6" w14:textId="77777777" w:rsidR="00140F7C" w:rsidRDefault="00AF35BD">
      <w:pPr>
        <w:numPr>
          <w:ilvl w:val="0"/>
          <w:numId w:val="5"/>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ello, excepcionalmente, si un asunto es resuelto con posterioridad a los plazos señalados por la norma debe analizarse la razonabilidad de dicha dilación atendiendo a los siguientes criterios:</w:t>
      </w:r>
    </w:p>
    <w:p w14:paraId="33E2DB50" w14:textId="77777777" w:rsidR="00140F7C" w:rsidRDefault="00AF35BD">
      <w:pPr>
        <w:numPr>
          <w:ilvl w:val="1"/>
          <w:numId w:val="4"/>
        </w:num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Complejidad del Asunto:</w:t>
      </w:r>
      <w:r>
        <w:rPr>
          <w:rFonts w:ascii="Palatino Linotype" w:eastAsia="Palatino Linotype" w:hAnsi="Palatino Linotype" w:cs="Palatino Linotype"/>
          <w:color w:val="000000"/>
        </w:rPr>
        <w:t xml:space="preserve"> La complejidad de la prueba, la pluralidad de sujetos procesales, el tiempo transcurrido, las características y contexto del recurso.</w:t>
      </w:r>
    </w:p>
    <w:p w14:paraId="21045292" w14:textId="77777777" w:rsidR="00140F7C" w:rsidRDefault="00AF35BD">
      <w:pPr>
        <w:numPr>
          <w:ilvl w:val="1"/>
          <w:numId w:val="4"/>
        </w:num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Actividad Procesal del interesado:</w:t>
      </w:r>
      <w:r>
        <w:rPr>
          <w:rFonts w:ascii="Palatino Linotype" w:eastAsia="Palatino Linotype" w:hAnsi="Palatino Linotype" w:cs="Palatino Linotype"/>
          <w:color w:val="000000"/>
        </w:rPr>
        <w:t xml:space="preserve"> Acciones u omisiones del interesado.</w:t>
      </w:r>
    </w:p>
    <w:p w14:paraId="3DE081F5" w14:textId="77777777" w:rsidR="00140F7C" w:rsidRDefault="00AF35BD">
      <w:pPr>
        <w:numPr>
          <w:ilvl w:val="1"/>
          <w:numId w:val="4"/>
        </w:num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Conducta de la Autoridad:</w:t>
      </w:r>
      <w:r>
        <w:rPr>
          <w:rFonts w:ascii="Palatino Linotype" w:eastAsia="Palatino Linotype" w:hAnsi="Palatino Linotype" w:cs="Palatino Linotype"/>
          <w:color w:val="000000"/>
        </w:rPr>
        <w:t xml:space="preserve"> Las Acciones u omisiones realizadas en el procedimiento. Así como si la autoridad actuó con la debida diligencia.</w:t>
      </w:r>
    </w:p>
    <w:p w14:paraId="68E66274" w14:textId="77777777" w:rsidR="00140F7C" w:rsidRDefault="00AF35BD">
      <w:pPr>
        <w:numPr>
          <w:ilvl w:val="1"/>
          <w:numId w:val="4"/>
        </w:num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La afectación generada en la situación jurídica de la persona involucrada en el proceso: </w:t>
      </w:r>
      <w:r>
        <w:rPr>
          <w:rFonts w:ascii="Palatino Linotype" w:eastAsia="Palatino Linotype" w:hAnsi="Palatino Linotype" w:cs="Palatino Linotype"/>
          <w:color w:val="000000"/>
        </w:rPr>
        <w:t>Violación a sus derechos humanos.</w:t>
      </w:r>
    </w:p>
    <w:p w14:paraId="695BDCCC" w14:textId="77777777" w:rsidR="00140F7C" w:rsidRDefault="00140F7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04326417" w14:textId="77777777" w:rsidR="00140F7C" w:rsidRDefault="00AF35BD">
      <w:pPr>
        <w:numPr>
          <w:ilvl w:val="0"/>
          <w:numId w:val="5"/>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C368200" w14:textId="77777777" w:rsidR="00140F7C" w:rsidRDefault="00140F7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22603F4" w14:textId="77777777" w:rsidR="00140F7C" w:rsidRDefault="00AF35BD">
      <w:pPr>
        <w:numPr>
          <w:ilvl w:val="0"/>
          <w:numId w:val="5"/>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Argumento que encuentra sustento en la jurisprudencia P. /J. 32/92 emitida por el Pleno de la Suprema Corte de Justicia de la Nación de rubro </w:t>
      </w:r>
      <w:r>
        <w:rPr>
          <w:rFonts w:ascii="Palatino Linotype" w:eastAsia="Palatino Linotype" w:hAnsi="Palatino Linotype" w:cs="Palatino Linotype"/>
          <w:i/>
          <w:color w:val="000000"/>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i/>
          <w:color w:val="000000"/>
          <w:vertAlign w:val="superscript"/>
        </w:rPr>
        <w:footnoteReference w:id="1"/>
      </w:r>
      <w:r>
        <w:rPr>
          <w:rFonts w:ascii="Palatino Linotype" w:eastAsia="Palatino Linotype" w:hAnsi="Palatino Linotype" w:cs="Palatino Linotype"/>
          <w:color w:val="000000"/>
        </w:rPr>
        <w:t>, visible en la Gaceta del Seminario Judicial de la Federación con el registro digital 205635.</w:t>
      </w:r>
    </w:p>
    <w:p w14:paraId="37728C32" w14:textId="77777777" w:rsidR="00140F7C" w:rsidRDefault="00140F7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40792B03" w14:textId="77777777" w:rsidR="00140F7C" w:rsidRDefault="00AF35BD">
      <w:pPr>
        <w:numPr>
          <w:ilvl w:val="0"/>
          <w:numId w:val="5"/>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  </w:t>
      </w:r>
    </w:p>
    <w:p w14:paraId="0373EB8F" w14:textId="77777777" w:rsidR="00140F7C" w:rsidRDefault="00140F7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11207BC8" w14:textId="77777777" w:rsidR="00140F7C" w:rsidRDefault="00AF35BD">
      <w:pPr>
        <w:numPr>
          <w:ilvl w:val="0"/>
          <w:numId w:val="5"/>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26396F4A" w14:textId="77777777" w:rsidR="00140F7C" w:rsidRDefault="00140F7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046F363D" w14:textId="77777777" w:rsidR="00140F7C" w:rsidRDefault="00AF35BD">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“PLAZO RAZONABLE PARA RESOLVER. DIMENSIÓN Y EFECTOS DE ESTE CONCEPTO CUANDO SE ADUCE EXCESIVA CARGA DE TRABAJO.” consultable en el Seminario Judicial de la Federación y su gaceta, con el registro digital 2002351.</w:t>
      </w:r>
    </w:p>
    <w:p w14:paraId="39807929" w14:textId="77777777" w:rsidR="00140F7C" w:rsidRDefault="00140F7C">
      <w:pPr>
        <w:spacing w:line="360" w:lineRule="auto"/>
        <w:ind w:left="567"/>
        <w:jc w:val="both"/>
        <w:rPr>
          <w:rFonts w:ascii="Palatino Linotype" w:eastAsia="Palatino Linotype" w:hAnsi="Palatino Linotype" w:cs="Palatino Linotype"/>
        </w:rPr>
      </w:pPr>
    </w:p>
    <w:p w14:paraId="10B4D9D0" w14:textId="77777777" w:rsidR="00140F7C" w:rsidRDefault="00AF35BD">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“PLAZO RAZONABLE PARA RESOLVER. CONCEPTO Y ELEMENTOS QUE LO INTEGRAN A LA LUZ DEL DERECHO INTERNACIONAL DE LOS DERECHOS HUMANOS.”, visible en el Seminario Judicial de la Federación y su gaceta, con el registro digital 2002350.</w:t>
      </w:r>
    </w:p>
    <w:p w14:paraId="0514B1B8" w14:textId="77777777" w:rsidR="00140F7C" w:rsidRDefault="00140F7C">
      <w:pPr>
        <w:pBdr>
          <w:top w:val="nil"/>
          <w:left w:val="nil"/>
          <w:bottom w:val="nil"/>
          <w:right w:val="nil"/>
          <w:between w:val="nil"/>
        </w:pBdr>
        <w:spacing w:line="276" w:lineRule="auto"/>
        <w:ind w:left="567" w:right="567"/>
        <w:jc w:val="both"/>
        <w:rPr>
          <w:rFonts w:ascii="Palatino Linotype" w:eastAsia="Palatino Linotype" w:hAnsi="Palatino Linotype" w:cs="Palatino Linotype"/>
          <w:b/>
          <w:i/>
          <w:sz w:val="22"/>
          <w:szCs w:val="22"/>
        </w:rPr>
      </w:pPr>
    </w:p>
    <w:p w14:paraId="05F29951" w14:textId="77777777" w:rsidR="00140F7C" w:rsidRDefault="00140F7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46F0781D" w14:textId="77777777" w:rsidR="00140F7C" w:rsidRDefault="00AF35BD">
      <w:pPr>
        <w:numPr>
          <w:ilvl w:val="0"/>
          <w:numId w:val="5"/>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14:paraId="123CD983" w14:textId="77777777" w:rsidR="00140F7C" w:rsidRDefault="00140F7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43713C6C" w14:textId="77777777" w:rsidR="00140F7C" w:rsidRDefault="00AF35BD">
      <w:pPr>
        <w:numPr>
          <w:ilvl w:val="0"/>
          <w:numId w:val="5"/>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diecinueve (19) de marzo de dos mil veinticuatro,</w:t>
      </w:r>
      <w:r>
        <w:rPr>
          <w:rFonts w:ascii="Palatino Linotype" w:eastAsia="Palatino Linotype" w:hAnsi="Palatino Linotype" w:cs="Palatino Linotype"/>
          <w:color w:val="000000"/>
        </w:rPr>
        <w:t xml:space="preserve"> la Comisionada Ponente decretó el cierre del periodo de instrucción, por lo que ordenó </w:t>
      </w:r>
      <w:r>
        <w:rPr>
          <w:rFonts w:ascii="Palatino Linotype" w:eastAsia="Palatino Linotype" w:hAnsi="Palatino Linotype" w:cs="Palatino Linotype"/>
        </w:rPr>
        <w:t>turnar</w:t>
      </w:r>
      <w:r>
        <w:rPr>
          <w:rFonts w:ascii="Palatino Linotype" w:eastAsia="Palatino Linotype" w:hAnsi="Palatino Linotype" w:cs="Palatino Linotype"/>
          <w:color w:val="000000"/>
        </w:rPr>
        <w:t xml:space="preserve"> el expediente para su resolución, misma que ahora se pronuncia; y ----------------------------------------</w:t>
      </w:r>
    </w:p>
    <w:p w14:paraId="6A27E029" w14:textId="77777777" w:rsidR="00140F7C" w:rsidRDefault="00140F7C">
      <w:pPr>
        <w:tabs>
          <w:tab w:val="left" w:pos="3374"/>
        </w:tabs>
        <w:spacing w:line="360" w:lineRule="auto"/>
        <w:rPr>
          <w:rFonts w:ascii="Palatino Linotype" w:eastAsia="Palatino Linotype" w:hAnsi="Palatino Linotype" w:cs="Palatino Linotype"/>
        </w:rPr>
      </w:pPr>
    </w:p>
    <w:p w14:paraId="16CF7870" w14:textId="77777777" w:rsidR="00140F7C" w:rsidRDefault="00AF35BD">
      <w:pPr>
        <w:pStyle w:val="Ttulo1"/>
        <w:spacing w:before="0"/>
        <w:jc w:val="center"/>
        <w:rPr>
          <w:rFonts w:ascii="Palatino Linotype" w:eastAsia="Palatino Linotype" w:hAnsi="Palatino Linotype" w:cs="Palatino Linotype"/>
          <w:b/>
          <w:color w:val="000000"/>
          <w:sz w:val="24"/>
          <w:szCs w:val="24"/>
        </w:rPr>
      </w:pPr>
      <w:bookmarkStart w:id="1" w:name="_heading=h.30j0zll" w:colFirst="0" w:colLast="0"/>
      <w:bookmarkEnd w:id="1"/>
      <w:r>
        <w:rPr>
          <w:rFonts w:ascii="Palatino Linotype" w:eastAsia="Palatino Linotype" w:hAnsi="Palatino Linotype" w:cs="Palatino Linotype"/>
          <w:b/>
          <w:color w:val="000000"/>
          <w:sz w:val="24"/>
          <w:szCs w:val="24"/>
        </w:rPr>
        <w:t>C O N S I D E R A N D O</w:t>
      </w:r>
    </w:p>
    <w:p w14:paraId="304C179C" w14:textId="77777777" w:rsidR="00140F7C" w:rsidRDefault="00140F7C">
      <w:pPr>
        <w:rPr>
          <w:rFonts w:ascii="Palatino Linotype" w:eastAsia="Palatino Linotype" w:hAnsi="Palatino Linotype" w:cs="Palatino Linotype"/>
          <w:color w:val="000000"/>
        </w:rPr>
      </w:pPr>
    </w:p>
    <w:p w14:paraId="72329AFA" w14:textId="77777777" w:rsidR="00140F7C" w:rsidRDefault="00AF35BD">
      <w:pPr>
        <w:pStyle w:val="Ttulo2"/>
        <w:spacing w:before="0"/>
        <w:rPr>
          <w:rFonts w:ascii="Palatino Linotype" w:eastAsia="Palatino Linotype" w:hAnsi="Palatino Linotype" w:cs="Palatino Linotype"/>
          <w:b/>
          <w:color w:val="000000"/>
          <w:sz w:val="24"/>
          <w:szCs w:val="24"/>
        </w:rPr>
      </w:pPr>
      <w:bookmarkStart w:id="2" w:name="_heading=h.1fob9te" w:colFirst="0" w:colLast="0"/>
      <w:bookmarkEnd w:id="2"/>
      <w:r>
        <w:rPr>
          <w:rFonts w:ascii="Palatino Linotype" w:eastAsia="Palatino Linotype" w:hAnsi="Palatino Linotype" w:cs="Palatino Linotype"/>
          <w:b/>
          <w:color w:val="000000"/>
          <w:sz w:val="24"/>
          <w:szCs w:val="24"/>
        </w:rPr>
        <w:t>PRIMERO. De la competencia</w:t>
      </w:r>
    </w:p>
    <w:p w14:paraId="1A706AD3" w14:textId="77777777" w:rsidR="00140F7C" w:rsidRDefault="00140F7C">
      <w:pPr>
        <w:rPr>
          <w:rFonts w:ascii="Palatino Linotype" w:eastAsia="Palatino Linotype" w:hAnsi="Palatino Linotype" w:cs="Palatino Linotype"/>
          <w:color w:val="000000"/>
        </w:rPr>
      </w:pPr>
    </w:p>
    <w:p w14:paraId="65BED9D2" w14:textId="77777777" w:rsidR="00140F7C" w:rsidRDefault="00AF35BD">
      <w:pPr>
        <w:numPr>
          <w:ilvl w:val="0"/>
          <w:numId w:val="5"/>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w:t>
      </w:r>
      <w:r>
        <w:rPr>
          <w:rFonts w:ascii="Palatino Linotype" w:eastAsia="Palatino Linotype" w:hAnsi="Palatino Linotype" w:cs="Palatino Linotype"/>
          <w:color w:val="000000"/>
        </w:rPr>
        <w:lastRenderedPageBreak/>
        <w:t>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65B73DD4" w14:textId="77777777" w:rsidR="00140F7C" w:rsidRDefault="00140F7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p>
    <w:p w14:paraId="41CBE779" w14:textId="77777777" w:rsidR="00140F7C" w:rsidRDefault="00AF35BD">
      <w:pPr>
        <w:pStyle w:val="Ttulo2"/>
        <w:tabs>
          <w:tab w:val="left" w:pos="426"/>
        </w:tabs>
        <w:spacing w:before="0"/>
        <w:rPr>
          <w:rFonts w:ascii="Palatino Linotype" w:eastAsia="Palatino Linotype" w:hAnsi="Palatino Linotype" w:cs="Palatino Linotype"/>
          <w:b/>
          <w:color w:val="000000"/>
          <w:sz w:val="24"/>
          <w:szCs w:val="24"/>
        </w:rPr>
      </w:pPr>
      <w:bookmarkStart w:id="3" w:name="_heading=h.3znysh7" w:colFirst="0" w:colLast="0"/>
      <w:bookmarkEnd w:id="3"/>
      <w:r>
        <w:rPr>
          <w:rFonts w:ascii="Palatino Linotype" w:eastAsia="Palatino Linotype" w:hAnsi="Palatino Linotype" w:cs="Palatino Linotype"/>
          <w:b/>
          <w:color w:val="000000"/>
          <w:sz w:val="24"/>
          <w:szCs w:val="24"/>
        </w:rPr>
        <w:t>SEGUNDO. De la oportunidad y procedencia.</w:t>
      </w:r>
    </w:p>
    <w:p w14:paraId="467BF7A8" w14:textId="77777777" w:rsidR="00140F7C" w:rsidRDefault="00140F7C">
      <w:pPr>
        <w:rPr>
          <w:rFonts w:ascii="Palatino Linotype" w:eastAsia="Palatino Linotype" w:hAnsi="Palatino Linotype" w:cs="Palatino Linotype"/>
          <w:color w:val="000000"/>
        </w:rPr>
      </w:pPr>
    </w:p>
    <w:p w14:paraId="1CD8B4AF" w14:textId="77777777" w:rsidR="00140F7C" w:rsidRDefault="00AF35BD">
      <w:pPr>
        <w:numPr>
          <w:ilvl w:val="0"/>
          <w:numId w:val="5"/>
        </w:numPr>
        <w:tabs>
          <w:tab w:val="left" w:pos="567"/>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Los medios de impugnación fueron presentados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entregó respuesta el veinte (20) de septiembre de dos mil veintidós, el plazo para interponer el recurso de revisión transcurrió del veintiuno (21) de septiembre al once (11) de octubre de dos mil veintidós. Por lo que si el particular interpuso el recurso de revisión el veintiséis (26) de septiembre de dos mil veintidós,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se encuentra dentro del periodo establecido por la Ley.</w:t>
      </w:r>
    </w:p>
    <w:p w14:paraId="40987072" w14:textId="77777777" w:rsidR="00140F7C" w:rsidRDefault="00140F7C">
      <w:pPr>
        <w:tabs>
          <w:tab w:val="left" w:pos="426"/>
        </w:tabs>
        <w:spacing w:line="360" w:lineRule="auto"/>
        <w:ind w:right="49"/>
        <w:jc w:val="both"/>
        <w:rPr>
          <w:rFonts w:ascii="Palatino Linotype" w:eastAsia="Palatino Linotype" w:hAnsi="Palatino Linotype" w:cs="Palatino Linotype"/>
          <w:color w:val="000000"/>
        </w:rPr>
      </w:pPr>
    </w:p>
    <w:p w14:paraId="331E9B35" w14:textId="77777777" w:rsidR="00140F7C" w:rsidRDefault="00AF35BD">
      <w:pPr>
        <w:numPr>
          <w:ilvl w:val="0"/>
          <w:numId w:val="5"/>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Consecuencia de lo anterior, este Órgano Garante advierte que los escritos contienen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los presentes recursos de revisión acumulados.</w:t>
      </w:r>
    </w:p>
    <w:p w14:paraId="38351945" w14:textId="77777777" w:rsidR="00140F7C" w:rsidRDefault="00140F7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8173DD0" w14:textId="77777777" w:rsidR="00140F7C" w:rsidRDefault="00AF35BD">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bookmarkStart w:id="4" w:name="_heading=h.2et92p0" w:colFirst="0" w:colLast="0"/>
      <w:bookmarkEnd w:id="4"/>
      <w:r>
        <w:rPr>
          <w:rFonts w:ascii="Palatino Linotype" w:eastAsia="Palatino Linotype" w:hAnsi="Palatino Linotype" w:cs="Palatino Linotype"/>
          <w:b/>
          <w:color w:val="000000"/>
        </w:rPr>
        <w:t xml:space="preserve">TERCERO. Del planteamiento de la </w:t>
      </w:r>
      <w:r>
        <w:rPr>
          <w:rFonts w:ascii="Palatino Linotype" w:eastAsia="Palatino Linotype" w:hAnsi="Palatino Linotype" w:cs="Palatino Linotype"/>
          <w:b/>
          <w:i/>
          <w:color w:val="000000"/>
        </w:rPr>
        <w:t>Litis</w:t>
      </w:r>
      <w:r>
        <w:rPr>
          <w:rFonts w:ascii="Palatino Linotype" w:eastAsia="Palatino Linotype" w:hAnsi="Palatino Linotype" w:cs="Palatino Linotype"/>
          <w:b/>
          <w:color w:val="000000"/>
        </w:rPr>
        <w:t>.</w:t>
      </w:r>
    </w:p>
    <w:p w14:paraId="5EAB34EB" w14:textId="77777777" w:rsidR="00140F7C" w:rsidRDefault="00140F7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91A0BD6" w14:textId="77777777" w:rsidR="00140F7C" w:rsidRDefault="00AF35BD">
      <w:pPr>
        <w:numPr>
          <w:ilvl w:val="0"/>
          <w:numId w:val="5"/>
        </w:numPr>
        <w:pBdr>
          <w:top w:val="nil"/>
          <w:left w:val="nil"/>
          <w:bottom w:val="nil"/>
          <w:right w:val="nil"/>
          <w:between w:val="nil"/>
        </w:pBdr>
        <w:tabs>
          <w:tab w:val="left" w:pos="567"/>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 través de la solicitud de información, se desprende que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solicitó del mantenimiento del concreto hidráulico del tramo carretero de Calimaya - San Andrés, en el Municipio de Calimaya, lo siguiente:</w:t>
      </w:r>
    </w:p>
    <w:p w14:paraId="2745033C" w14:textId="77777777" w:rsidR="00140F7C" w:rsidRDefault="00140F7C">
      <w:pPr>
        <w:pBdr>
          <w:top w:val="nil"/>
          <w:left w:val="nil"/>
          <w:bottom w:val="nil"/>
          <w:right w:val="nil"/>
          <w:between w:val="nil"/>
        </w:pBdr>
        <w:tabs>
          <w:tab w:val="left" w:pos="567"/>
        </w:tabs>
        <w:spacing w:line="360" w:lineRule="auto"/>
        <w:ind w:right="49"/>
        <w:jc w:val="both"/>
        <w:rPr>
          <w:rFonts w:ascii="Palatino Linotype" w:eastAsia="Palatino Linotype" w:hAnsi="Palatino Linotype" w:cs="Palatino Linotype"/>
          <w:color w:val="000000"/>
        </w:rPr>
      </w:pPr>
    </w:p>
    <w:p w14:paraId="1D99DD41" w14:textId="77777777" w:rsidR="00140F7C" w:rsidRDefault="00AF35BD">
      <w:pPr>
        <w:numPr>
          <w:ilvl w:val="0"/>
          <w:numId w:val="1"/>
        </w:numPr>
        <w:pBdr>
          <w:top w:val="nil"/>
          <w:left w:val="nil"/>
          <w:bottom w:val="nil"/>
          <w:right w:val="nil"/>
          <w:between w:val="nil"/>
        </w:pBdr>
        <w:tabs>
          <w:tab w:val="left" w:pos="567"/>
        </w:tabs>
        <w:spacing w:line="276" w:lineRule="auto"/>
        <w:ind w:left="567"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Documentación completa de mayo y junio de dos mil veintidós.</w:t>
      </w:r>
    </w:p>
    <w:p w14:paraId="32C9D2E4" w14:textId="77777777" w:rsidR="00140F7C" w:rsidRDefault="00AF35BD">
      <w:pPr>
        <w:numPr>
          <w:ilvl w:val="0"/>
          <w:numId w:val="1"/>
        </w:numPr>
        <w:pBdr>
          <w:top w:val="nil"/>
          <w:left w:val="nil"/>
          <w:bottom w:val="nil"/>
          <w:right w:val="nil"/>
          <w:between w:val="nil"/>
        </w:pBdr>
        <w:tabs>
          <w:tab w:val="left" w:pos="567"/>
        </w:tabs>
        <w:spacing w:line="276" w:lineRule="auto"/>
        <w:ind w:left="567"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Gasto total detallado que se realizó en mayo y junio de dos mil veintidós.</w:t>
      </w:r>
    </w:p>
    <w:p w14:paraId="03AC4B39" w14:textId="77777777" w:rsidR="00140F7C" w:rsidRDefault="00AF35BD">
      <w:pPr>
        <w:pBdr>
          <w:top w:val="nil"/>
          <w:left w:val="nil"/>
          <w:bottom w:val="nil"/>
          <w:right w:val="nil"/>
          <w:between w:val="nil"/>
        </w:pBdr>
        <w:tabs>
          <w:tab w:val="left" w:pos="567"/>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b/>
      </w:r>
    </w:p>
    <w:p w14:paraId="03CE8DBF" w14:textId="77777777" w:rsidR="00140F7C" w:rsidRDefault="00AF35BD">
      <w:pPr>
        <w:numPr>
          <w:ilvl w:val="0"/>
          <w:numId w:val="5"/>
        </w:numPr>
        <w:pBdr>
          <w:top w:val="nil"/>
          <w:left w:val="nil"/>
          <w:bottom w:val="nil"/>
          <w:right w:val="nil"/>
          <w:between w:val="nil"/>
        </w:pBdr>
        <w:tabs>
          <w:tab w:val="left" w:pos="567"/>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respuesta,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remitió diversos documentos electrónicos, cuyo contenido medular desprende que la información requerida corresponde al camino identificado como 211km 12.5 (Toluca-Metepec)- Calimaya- Zaragoza y el cual forma parte de la red estatal de caminos, mismo que está siendo rehabilitado a través del proyecto denominado “Rehabilitación y conservación de una red carretera libre peaje con longitud de 1,637.8 km con residencia en Tejupilco, Ixtapan de la Sal y Toluca, bajo esquema de Asociación Publico Privada (APP), así mismo comunica que en la Trigésima Séptima Sesión Extraordinaria del ejercicio dos mil veintidós el Comité de Transparencia aprobó la inexistencia, debido a que la información solicitada no obra en los archivos de la Dirección de Conservación de Caminos. </w:t>
      </w:r>
    </w:p>
    <w:p w14:paraId="2620892B" w14:textId="77777777" w:rsidR="00140F7C" w:rsidRDefault="00140F7C">
      <w:pPr>
        <w:pBdr>
          <w:top w:val="nil"/>
          <w:left w:val="nil"/>
          <w:bottom w:val="nil"/>
          <w:right w:val="nil"/>
          <w:between w:val="nil"/>
        </w:pBdr>
        <w:tabs>
          <w:tab w:val="left" w:pos="567"/>
        </w:tabs>
        <w:spacing w:line="360" w:lineRule="auto"/>
        <w:ind w:right="49"/>
        <w:jc w:val="both"/>
        <w:rPr>
          <w:rFonts w:ascii="Palatino Linotype" w:eastAsia="Palatino Linotype" w:hAnsi="Palatino Linotype" w:cs="Palatino Linotype"/>
          <w:color w:val="000000"/>
        </w:rPr>
      </w:pPr>
    </w:p>
    <w:p w14:paraId="493AF39D" w14:textId="77777777" w:rsidR="00140F7C" w:rsidRDefault="00AF35BD">
      <w:pPr>
        <w:numPr>
          <w:ilvl w:val="0"/>
          <w:numId w:val="5"/>
        </w:numPr>
        <w:pBdr>
          <w:top w:val="nil"/>
          <w:left w:val="nil"/>
          <w:bottom w:val="nil"/>
          <w:right w:val="nil"/>
          <w:between w:val="nil"/>
        </w:pBdr>
        <w:tabs>
          <w:tab w:val="left" w:pos="567"/>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EL PARTICULAR</w:t>
      </w:r>
      <w:r>
        <w:rPr>
          <w:rFonts w:ascii="Palatino Linotype" w:eastAsia="Palatino Linotype" w:hAnsi="Palatino Linotype" w:cs="Palatino Linotype"/>
          <w:color w:val="000000"/>
        </w:rPr>
        <w:t xml:space="preserve"> impugnó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mediante recurso de revisión, y en los que señaló como razones o motivos de la inconformidad que</w:t>
      </w:r>
      <w:r>
        <w:rPr>
          <w:rFonts w:ascii="Palatino Linotype" w:eastAsia="Palatino Linotype" w:hAnsi="Palatino Linotype" w:cs="Palatino Linotype"/>
          <w:i/>
          <w:color w:val="000000"/>
        </w:rPr>
        <w:t xml:space="preserve">, “la Junta de Caminos del Gobierno del Estado de México si realizó los trabajos en el Municipio de Calimaya.” </w:t>
      </w:r>
      <w:r>
        <w:rPr>
          <w:rFonts w:ascii="Palatino Linotype" w:eastAsia="Palatino Linotype" w:hAnsi="Palatino Linotype" w:cs="Palatino Linotype"/>
          <w:color w:val="000000"/>
        </w:rPr>
        <w:t>(sic)</w:t>
      </w:r>
    </w:p>
    <w:p w14:paraId="75A0A254" w14:textId="77777777" w:rsidR="00140F7C" w:rsidRDefault="00140F7C">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p>
    <w:p w14:paraId="2E80579E" w14:textId="77777777" w:rsidR="00140F7C" w:rsidRDefault="00AF35BD">
      <w:pPr>
        <w:numPr>
          <w:ilvl w:val="0"/>
          <w:numId w:val="5"/>
        </w:numPr>
        <w:pBdr>
          <w:top w:val="nil"/>
          <w:left w:val="nil"/>
          <w:bottom w:val="nil"/>
          <w:right w:val="nil"/>
          <w:between w:val="nil"/>
        </w:pBdr>
        <w:tabs>
          <w:tab w:val="left" w:pos="567"/>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En ese sentido, este Órgano Garante advierte que las razones o motivos de inconformidad manifestados por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sugieren que la respuesta proporcionada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no cumplió con los principios contendidos en el artículo 11 de la Ley de Transparencia y Acceso a la Información Pública del Estado de México y Municipios, los cuales señalan que en la generación, publicación y entrega de información se deberá garantizar que ésta sea </w:t>
      </w:r>
      <w:r>
        <w:rPr>
          <w:rFonts w:ascii="Palatino Linotype" w:eastAsia="Palatino Linotype" w:hAnsi="Palatino Linotype" w:cs="Palatino Linotype"/>
          <w:b/>
          <w:color w:val="000000"/>
        </w:rPr>
        <w:t xml:space="preserve">oportuna. </w:t>
      </w:r>
    </w:p>
    <w:p w14:paraId="0CAE1FD8" w14:textId="77777777" w:rsidR="00140F7C" w:rsidRDefault="00140F7C">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p>
    <w:p w14:paraId="0F0853F9" w14:textId="77777777" w:rsidR="00140F7C" w:rsidRDefault="00AF35BD">
      <w:pPr>
        <w:numPr>
          <w:ilvl w:val="0"/>
          <w:numId w:val="5"/>
        </w:numPr>
        <w:pBdr>
          <w:top w:val="nil"/>
          <w:left w:val="nil"/>
          <w:bottom w:val="nil"/>
          <w:right w:val="nil"/>
          <w:between w:val="nil"/>
        </w:pBdr>
        <w:tabs>
          <w:tab w:val="left" w:pos="567"/>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 la </w:t>
      </w:r>
      <w:r>
        <w:rPr>
          <w:rFonts w:ascii="Palatino Linotype" w:eastAsia="Palatino Linotype" w:hAnsi="Palatino Linotype" w:cs="Palatino Linotype"/>
          <w:i/>
          <w:color w:val="000000"/>
        </w:rPr>
        <w:t>Litis</w:t>
      </w:r>
      <w:r>
        <w:rPr>
          <w:rFonts w:ascii="Palatino Linotype" w:eastAsia="Palatino Linotype" w:hAnsi="Palatino Linotype" w:cs="Palatino Linotype"/>
          <w:color w:val="000000"/>
        </w:rPr>
        <w:t xml:space="preserve"> a resolver en el presente recurso se circunscribe en determinar si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colma el derecho de acceso a la información ejercido por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o, </w:t>
      </w:r>
      <w:proofErr w:type="gramStart"/>
      <w:r>
        <w:rPr>
          <w:rFonts w:ascii="Palatino Linotype" w:eastAsia="Palatino Linotype" w:hAnsi="Palatino Linotype" w:cs="Palatino Linotype"/>
          <w:color w:val="000000"/>
        </w:rPr>
        <w:t>si</w:t>
      </w:r>
      <w:proofErr w:type="gramEnd"/>
      <w:r>
        <w:rPr>
          <w:rFonts w:ascii="Palatino Linotype" w:eastAsia="Palatino Linotype" w:hAnsi="Palatino Linotype" w:cs="Palatino Linotype"/>
          <w:color w:val="000000"/>
        </w:rPr>
        <w:t xml:space="preserve"> por el contrario, se actualizan las causales de procedencia del recurso de revisión establecidas en el artículo 179 fracción I de la Ley de Transparencia y Acceso a la Información Pública del Estado de México y Municipios, y que se transcriben a continuación:</w:t>
      </w:r>
    </w:p>
    <w:p w14:paraId="4D8A3B44" w14:textId="77777777" w:rsidR="00140F7C" w:rsidRDefault="00140F7C">
      <w:pPr>
        <w:pBdr>
          <w:top w:val="nil"/>
          <w:left w:val="nil"/>
          <w:bottom w:val="nil"/>
          <w:right w:val="nil"/>
          <w:between w:val="nil"/>
        </w:pBdr>
        <w:tabs>
          <w:tab w:val="left" w:pos="426"/>
        </w:tabs>
        <w:ind w:left="851" w:right="567"/>
        <w:jc w:val="both"/>
        <w:rPr>
          <w:rFonts w:ascii="Palatino Linotype" w:eastAsia="Palatino Linotype" w:hAnsi="Palatino Linotype" w:cs="Palatino Linotype"/>
          <w:i/>
          <w:color w:val="000000"/>
          <w:sz w:val="22"/>
          <w:szCs w:val="22"/>
        </w:rPr>
      </w:pPr>
    </w:p>
    <w:p w14:paraId="4B10884D" w14:textId="77777777" w:rsidR="00140F7C" w:rsidRDefault="00AF35BD">
      <w:pPr>
        <w:pBdr>
          <w:top w:val="nil"/>
          <w:left w:val="nil"/>
          <w:bottom w:val="nil"/>
          <w:right w:val="nil"/>
          <w:between w:val="nil"/>
        </w:pBdr>
        <w:tabs>
          <w:tab w:val="left" w:pos="426"/>
        </w:tabs>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14:paraId="5449E1B1" w14:textId="77777777" w:rsidR="00140F7C" w:rsidRDefault="00AF35BD">
      <w:pPr>
        <w:pBdr>
          <w:top w:val="nil"/>
          <w:left w:val="nil"/>
          <w:bottom w:val="nil"/>
          <w:right w:val="nil"/>
          <w:between w:val="nil"/>
        </w:pBdr>
        <w:tabs>
          <w:tab w:val="left" w:pos="426"/>
        </w:tabs>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La negativa a la información solicitada;</w:t>
      </w:r>
    </w:p>
    <w:p w14:paraId="31641679" w14:textId="77777777" w:rsidR="00140F7C" w:rsidRDefault="00AF35BD">
      <w:pPr>
        <w:pBdr>
          <w:top w:val="nil"/>
          <w:left w:val="nil"/>
          <w:bottom w:val="nil"/>
          <w:right w:val="nil"/>
          <w:between w:val="nil"/>
        </w:pBdr>
        <w:tabs>
          <w:tab w:val="left" w:pos="426"/>
        </w:tabs>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67BEEB42" w14:textId="77777777" w:rsidR="00140F7C" w:rsidRDefault="00140F7C">
      <w:pPr>
        <w:spacing w:line="360" w:lineRule="auto"/>
        <w:ind w:right="1134"/>
        <w:jc w:val="both"/>
        <w:rPr>
          <w:rFonts w:ascii="Palatino Linotype" w:eastAsia="Palatino Linotype" w:hAnsi="Palatino Linotype" w:cs="Palatino Linotype"/>
          <w:i/>
        </w:rPr>
      </w:pPr>
    </w:p>
    <w:p w14:paraId="225431DF" w14:textId="77777777" w:rsidR="00140F7C" w:rsidRDefault="00AF35BD">
      <w:pPr>
        <w:keepNext/>
        <w:keepLines/>
        <w:spacing w:before="40" w:line="360" w:lineRule="auto"/>
        <w:rPr>
          <w:rFonts w:ascii="Palatino Linotype" w:eastAsia="Palatino Linotype" w:hAnsi="Palatino Linotype" w:cs="Palatino Linotype"/>
          <w:b/>
          <w:color w:val="000000"/>
        </w:rPr>
      </w:pPr>
      <w:bookmarkStart w:id="5" w:name="_heading=h.tyjcwt" w:colFirst="0" w:colLast="0"/>
      <w:bookmarkEnd w:id="5"/>
      <w:r>
        <w:rPr>
          <w:rFonts w:ascii="Palatino Linotype" w:eastAsia="Palatino Linotype" w:hAnsi="Palatino Linotype" w:cs="Palatino Linotype"/>
          <w:b/>
          <w:color w:val="000000"/>
        </w:rPr>
        <w:t>CUARTO. Del estudio y resolución del asunto.</w:t>
      </w:r>
    </w:p>
    <w:p w14:paraId="130A0B43" w14:textId="77777777" w:rsidR="00140F7C" w:rsidRDefault="00AF35BD">
      <w:pPr>
        <w:tabs>
          <w:tab w:val="left" w:pos="426"/>
        </w:tabs>
        <w:spacing w:after="240" w:line="360" w:lineRule="auto"/>
        <w:ind w:right="51"/>
        <w:jc w:val="both"/>
        <w:rPr>
          <w:rFonts w:ascii="Palatino Linotype" w:eastAsia="Palatino Linotype" w:hAnsi="Palatino Linotype" w:cs="Palatino Linotype"/>
          <w:b/>
        </w:rPr>
      </w:pPr>
      <w:bookmarkStart w:id="6" w:name="_heading=h.3dy6vkm" w:colFirst="0" w:colLast="0"/>
      <w:bookmarkEnd w:id="6"/>
      <w:r>
        <w:rPr>
          <w:rFonts w:ascii="Palatino Linotype" w:eastAsia="Palatino Linotype" w:hAnsi="Palatino Linotype" w:cs="Palatino Linotype"/>
          <w:b/>
          <w:color w:val="000000"/>
        </w:rPr>
        <w:t>I. Del Derecho de Acceso a la Información.</w:t>
      </w:r>
    </w:p>
    <w:p w14:paraId="035EB540" w14:textId="77777777" w:rsidR="00140F7C" w:rsidRDefault="00AF35BD">
      <w:pPr>
        <w:numPr>
          <w:ilvl w:val="0"/>
          <w:numId w:val="5"/>
        </w:numPr>
        <w:pBdr>
          <w:top w:val="nil"/>
          <w:left w:val="nil"/>
          <w:bottom w:val="nil"/>
          <w:right w:val="nil"/>
          <w:between w:val="nil"/>
        </w:pBdr>
        <w:tabs>
          <w:tab w:val="left" w:pos="567"/>
        </w:tabs>
        <w:spacing w:before="240" w:after="240"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w:t>
      </w:r>
      <w:r>
        <w:rPr>
          <w:rFonts w:ascii="Palatino Linotype" w:eastAsia="Palatino Linotype" w:hAnsi="Palatino Linotype" w:cs="Palatino Linotype"/>
          <w:color w:val="000000"/>
        </w:rPr>
        <w:lastRenderedPageBreak/>
        <w:t>sexto de la Constitución Política de los Estados Unidos Mexicanos y en el artículo quinto de la Particular del Estado de México.</w:t>
      </w:r>
    </w:p>
    <w:p w14:paraId="635C1CA8" w14:textId="77777777" w:rsidR="00140F7C" w:rsidRDefault="00140F7C">
      <w:pPr>
        <w:tabs>
          <w:tab w:val="left" w:pos="567"/>
        </w:tabs>
        <w:spacing w:before="240" w:line="360" w:lineRule="auto"/>
        <w:ind w:right="49"/>
        <w:jc w:val="both"/>
        <w:rPr>
          <w:rFonts w:ascii="Palatino Linotype" w:eastAsia="Palatino Linotype" w:hAnsi="Palatino Linotype" w:cs="Palatino Linotype"/>
          <w:color w:val="000000"/>
        </w:rPr>
      </w:pPr>
    </w:p>
    <w:p w14:paraId="5FC45303" w14:textId="77777777" w:rsidR="00140F7C" w:rsidRDefault="00AF35BD">
      <w:pPr>
        <w:numPr>
          <w:ilvl w:val="0"/>
          <w:numId w:val="5"/>
        </w:numPr>
        <w:tabs>
          <w:tab w:val="left" w:pos="284"/>
          <w:tab w:val="left" w:pos="567"/>
        </w:tabs>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Definiendo el Derecho de Acceso a la Información Pública como: </w:t>
      </w:r>
      <w:r>
        <w:rPr>
          <w:rFonts w:ascii="Palatino Linotype" w:eastAsia="Palatino Linotype" w:hAnsi="Palatino Linotype" w:cs="Palatino Linotype"/>
          <w:i/>
          <w:color w:val="000000"/>
        </w:rPr>
        <w:t>La igualdad de oportunidades para recibir, buscar e impartir información</w:t>
      </w:r>
      <w:r>
        <w:rPr>
          <w:rFonts w:ascii="Palatino Linotype" w:eastAsia="Palatino Linotype" w:hAnsi="Palatino Linotype" w:cs="Palatino Linotype"/>
          <w:i/>
          <w:color w:val="000000"/>
          <w:vertAlign w:val="superscript"/>
        </w:rPr>
        <w:footnoteReference w:id="2"/>
      </w:r>
      <w:r>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i/>
          <w:color w:val="000000"/>
          <w:vertAlign w:val="superscript"/>
        </w:rPr>
        <w:footnoteReference w:id="3"/>
      </w:r>
      <w:r>
        <w:rPr>
          <w:rFonts w:ascii="Palatino Linotype" w:eastAsia="Palatino Linotype" w:hAnsi="Palatino Linotype" w:cs="Palatino Linotype"/>
          <w:color w:val="000000"/>
        </w:rPr>
        <w:t>que se constituye como una herramienta fundamental para ejercer</w:t>
      </w:r>
      <w:r>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Pr>
          <w:rFonts w:ascii="Palatino Linotype" w:eastAsia="Palatino Linotype" w:hAnsi="Palatino Linotype" w:cs="Palatino Linotype"/>
          <w:i/>
          <w:color w:val="000000"/>
          <w:vertAlign w:val="superscript"/>
        </w:rPr>
        <w:footnoteReference w:id="4"/>
      </w:r>
      <w:r>
        <w:rPr>
          <w:rFonts w:ascii="Palatino Linotype" w:eastAsia="Palatino Linotype" w:hAnsi="Palatino Linotype" w:cs="Palatino Linotype"/>
          <w:color w:val="000000"/>
        </w:rPr>
        <w:t>fomentando</w:t>
      </w:r>
      <w:r>
        <w:rPr>
          <w:rFonts w:ascii="Palatino Linotype" w:eastAsia="Palatino Linotype" w:hAnsi="Palatino Linotype" w:cs="Palatino Linotype"/>
          <w:i/>
          <w:color w:val="000000"/>
        </w:rPr>
        <w:t xml:space="preserve"> la transparencia de las actividades estatales y </w:t>
      </w:r>
      <w:r>
        <w:rPr>
          <w:rFonts w:ascii="Palatino Linotype" w:eastAsia="Palatino Linotype" w:hAnsi="Palatino Linotype" w:cs="Palatino Linotype"/>
          <w:color w:val="000000"/>
        </w:rPr>
        <w:t>promoviendo</w:t>
      </w:r>
      <w:r>
        <w:rPr>
          <w:rFonts w:ascii="Palatino Linotype" w:eastAsia="Palatino Linotype" w:hAnsi="Palatino Linotype" w:cs="Palatino Linotype"/>
          <w:i/>
          <w:color w:val="000000"/>
        </w:rPr>
        <w:t xml:space="preserve"> la responsabilidad de los funcionarios sobre su gestión pública,</w:t>
      </w:r>
      <w:r>
        <w:rPr>
          <w:rFonts w:ascii="Palatino Linotype" w:eastAsia="Palatino Linotype" w:hAnsi="Palatino Linotype" w:cs="Palatino Linotype"/>
          <w:i/>
          <w:color w:val="000000"/>
          <w:vertAlign w:val="superscript"/>
        </w:rPr>
        <w:footnoteReference w:id="5"/>
      </w:r>
      <w:r>
        <w:rPr>
          <w:rFonts w:ascii="Palatino Linotype" w:eastAsia="Palatino Linotype" w:hAnsi="Palatino Linotype" w:cs="Palatino Linotype"/>
          <w:color w:val="000000"/>
        </w:rPr>
        <w:t>que permite</w:t>
      </w:r>
      <w:r>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09B18F35" w14:textId="77777777" w:rsidR="00140F7C" w:rsidRDefault="00140F7C">
      <w:pPr>
        <w:tabs>
          <w:tab w:val="left" w:pos="284"/>
          <w:tab w:val="left" w:pos="567"/>
        </w:tabs>
        <w:spacing w:line="360" w:lineRule="auto"/>
        <w:jc w:val="both"/>
        <w:rPr>
          <w:rFonts w:ascii="Palatino Linotype" w:eastAsia="Palatino Linotype" w:hAnsi="Palatino Linotype" w:cs="Palatino Linotype"/>
        </w:rPr>
      </w:pPr>
    </w:p>
    <w:p w14:paraId="7BCF940E" w14:textId="77777777" w:rsidR="00140F7C" w:rsidRDefault="00AF35BD">
      <w:pPr>
        <w:numPr>
          <w:ilvl w:val="0"/>
          <w:numId w:val="5"/>
        </w:numPr>
        <w:tabs>
          <w:tab w:val="left" w:pos="567"/>
        </w:tabs>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656FD8F1" w14:textId="77777777" w:rsidR="00140F7C" w:rsidRDefault="00140F7C">
      <w:pPr>
        <w:rPr>
          <w:rFonts w:ascii="Palatino Linotype" w:eastAsia="Palatino Linotype" w:hAnsi="Palatino Linotype" w:cs="Palatino Linotype"/>
        </w:rPr>
      </w:pPr>
    </w:p>
    <w:p w14:paraId="0EE27922" w14:textId="77777777" w:rsidR="00140F7C" w:rsidRDefault="00AF35BD">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xml:space="preserve"> </w:t>
      </w:r>
    </w:p>
    <w:p w14:paraId="214DD031" w14:textId="77777777" w:rsidR="00140F7C" w:rsidRDefault="00AF35BD">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41389C2D" w14:textId="77777777" w:rsidR="00140F7C" w:rsidRDefault="00AF35BD">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3CC42EA" w14:textId="77777777" w:rsidR="00140F7C" w:rsidRDefault="00AF35BD">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E2FD94F" w14:textId="77777777" w:rsidR="00140F7C" w:rsidRDefault="00140F7C">
      <w:pPr>
        <w:ind w:left="567" w:right="616"/>
        <w:jc w:val="both"/>
        <w:rPr>
          <w:rFonts w:ascii="Palatino Linotype" w:eastAsia="Palatino Linotype" w:hAnsi="Palatino Linotype" w:cs="Palatino Linotype"/>
          <w:i/>
          <w:sz w:val="22"/>
          <w:szCs w:val="22"/>
        </w:rPr>
      </w:pPr>
    </w:p>
    <w:p w14:paraId="4CB07E6B" w14:textId="77777777" w:rsidR="00140F7C" w:rsidRDefault="00AF35BD">
      <w:pPr>
        <w:tabs>
          <w:tab w:val="left" w:pos="567"/>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(Énfasis añadido)</w:t>
      </w:r>
    </w:p>
    <w:p w14:paraId="29EEBD18" w14:textId="77777777" w:rsidR="00140F7C" w:rsidRDefault="00140F7C">
      <w:pPr>
        <w:rPr>
          <w:rFonts w:ascii="Palatino Linotype" w:eastAsia="Palatino Linotype" w:hAnsi="Palatino Linotype" w:cs="Palatino Linotype"/>
        </w:rPr>
      </w:pPr>
    </w:p>
    <w:p w14:paraId="46D8FC9D" w14:textId="77777777" w:rsidR="00140F7C" w:rsidRDefault="00AF35BD">
      <w:pPr>
        <w:numPr>
          <w:ilvl w:val="0"/>
          <w:numId w:val="5"/>
        </w:numPr>
        <w:tabs>
          <w:tab w:val="left" w:pos="567"/>
        </w:tabs>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0D5FE409" w14:textId="77777777" w:rsidR="00140F7C" w:rsidRDefault="00140F7C">
      <w:pPr>
        <w:tabs>
          <w:tab w:val="left" w:pos="284"/>
          <w:tab w:val="left" w:pos="567"/>
        </w:tabs>
        <w:spacing w:line="360" w:lineRule="auto"/>
        <w:jc w:val="both"/>
        <w:rPr>
          <w:rFonts w:ascii="Palatino Linotype" w:eastAsia="Palatino Linotype" w:hAnsi="Palatino Linotype" w:cs="Palatino Linotype"/>
        </w:rPr>
      </w:pPr>
    </w:p>
    <w:p w14:paraId="32BBEE4F" w14:textId="77777777" w:rsidR="00140F7C" w:rsidRDefault="00AF35BD">
      <w:pPr>
        <w:numPr>
          <w:ilvl w:val="0"/>
          <w:numId w:val="5"/>
        </w:numPr>
        <w:tabs>
          <w:tab w:val="left" w:pos="567"/>
        </w:tabs>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6EB219A6" w14:textId="77777777" w:rsidR="00140F7C" w:rsidRDefault="00140F7C">
      <w:pPr>
        <w:tabs>
          <w:tab w:val="left" w:pos="284"/>
          <w:tab w:val="left" w:pos="567"/>
        </w:tabs>
        <w:spacing w:line="360" w:lineRule="auto"/>
        <w:jc w:val="both"/>
        <w:rPr>
          <w:rFonts w:ascii="Palatino Linotype" w:eastAsia="Palatino Linotype" w:hAnsi="Palatino Linotype" w:cs="Palatino Linotype"/>
        </w:rPr>
      </w:pPr>
    </w:p>
    <w:p w14:paraId="418EE40D" w14:textId="77777777" w:rsidR="00140F7C" w:rsidRDefault="00AF35BD">
      <w:pPr>
        <w:ind w:left="567" w:right="567"/>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Constitución Política de los Estados Unidos Mexicanos</w:t>
      </w:r>
    </w:p>
    <w:p w14:paraId="21CF8C2F" w14:textId="77777777" w:rsidR="00140F7C" w:rsidRDefault="00140F7C">
      <w:pPr>
        <w:ind w:left="567" w:right="567"/>
        <w:jc w:val="center"/>
        <w:rPr>
          <w:rFonts w:ascii="Palatino Linotype" w:eastAsia="Palatino Linotype" w:hAnsi="Palatino Linotype" w:cs="Palatino Linotype"/>
          <w:b/>
          <w:i/>
          <w:sz w:val="22"/>
          <w:szCs w:val="22"/>
        </w:rPr>
      </w:pPr>
    </w:p>
    <w:p w14:paraId="3241A92A" w14:textId="77777777" w:rsidR="00140F7C" w:rsidRDefault="00AF35BD">
      <w:pPr>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6.-</w:t>
      </w:r>
    </w:p>
    <w:p w14:paraId="1C036BAE" w14:textId="77777777" w:rsidR="00140F7C" w:rsidRDefault="00AF35BD">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A46A743" w14:textId="77777777" w:rsidR="00140F7C" w:rsidRDefault="00AF35BD">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lo dispuesto en el presente artículo se observará lo siguiente:</w:t>
      </w:r>
    </w:p>
    <w:p w14:paraId="138B7FE6" w14:textId="77777777" w:rsidR="00140F7C" w:rsidRDefault="00AF35BD">
      <w:pPr>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el ejercicio del derecho de acceso a la información</w:t>
      </w:r>
      <w:r>
        <w:rPr>
          <w:rFonts w:ascii="Palatino Linotype" w:eastAsia="Palatino Linotype" w:hAnsi="Palatino Linotype" w:cs="Palatino Linotype"/>
          <w:i/>
          <w:sz w:val="22"/>
          <w:szCs w:val="22"/>
        </w:rPr>
        <w:t xml:space="preserve">, la Federación y </w:t>
      </w:r>
      <w:r>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14:paraId="69B643C3" w14:textId="77777777" w:rsidR="00140F7C" w:rsidRDefault="00AF35BD">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rPr>
        <w:tab/>
        <w:t>Toda la información en posesión de cualquier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autoridad</w:t>
      </w:r>
      <w:r>
        <w:rPr>
          <w:rFonts w:ascii="Palatino Linotype" w:eastAsia="Palatino Linotype" w:hAnsi="Palatino Linotype" w:cs="Palatino Linotype"/>
          <w:i/>
          <w:sz w:val="22"/>
          <w:szCs w:val="22"/>
        </w:rPr>
        <w:t xml:space="preserve">, entidad, órgano y organismo de los Poderes Ejecutivo, Legislativo y Judicial, órganos autónomos, </w:t>
      </w:r>
      <w:r>
        <w:rPr>
          <w:rFonts w:ascii="Palatino Linotype" w:eastAsia="Palatino Linotype" w:hAnsi="Palatino Linotype" w:cs="Palatino Linotype"/>
          <w:i/>
          <w:sz w:val="22"/>
          <w:szCs w:val="22"/>
        </w:rPr>
        <w:lastRenderedPageBreak/>
        <w:t xml:space="preserve">partidos políticos, fideicomisos y fondos públicos, así como de cualquier persona física, moral o sindicato que reciba y ejerza recursos públicos o realice actos de autoridad en el ámbito federal, estatal y </w:t>
      </w:r>
      <w:r>
        <w:rPr>
          <w:rFonts w:ascii="Palatino Linotype" w:eastAsia="Palatino Linotype" w:hAnsi="Palatino Linotype" w:cs="Palatino Linotype"/>
          <w:b/>
          <w:i/>
          <w:sz w:val="22"/>
          <w:szCs w:val="22"/>
        </w:rPr>
        <w:t>municipal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10528C4D" w14:textId="77777777" w:rsidR="00140F7C" w:rsidRDefault="00140F7C">
      <w:pPr>
        <w:tabs>
          <w:tab w:val="left" w:pos="567"/>
        </w:tabs>
        <w:ind w:left="567" w:right="567"/>
        <w:jc w:val="both"/>
        <w:rPr>
          <w:rFonts w:ascii="Palatino Linotype" w:eastAsia="Palatino Linotype" w:hAnsi="Palatino Linotype" w:cs="Palatino Linotype"/>
          <w:b/>
          <w:i/>
          <w:sz w:val="22"/>
          <w:szCs w:val="22"/>
        </w:rPr>
      </w:pPr>
    </w:p>
    <w:p w14:paraId="49DD0E22" w14:textId="77777777" w:rsidR="00140F7C" w:rsidRDefault="00AF35BD">
      <w:pPr>
        <w:ind w:left="567" w:right="567"/>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Constitución Política del Estado Libre y Soberano de México</w:t>
      </w:r>
    </w:p>
    <w:p w14:paraId="407415FA" w14:textId="77777777" w:rsidR="00140F7C" w:rsidRDefault="00140F7C">
      <w:pPr>
        <w:ind w:left="567" w:right="567"/>
        <w:jc w:val="center"/>
        <w:rPr>
          <w:rFonts w:ascii="Palatino Linotype" w:eastAsia="Palatino Linotype" w:hAnsi="Palatino Linotype" w:cs="Palatino Linotype"/>
          <w:b/>
          <w:i/>
          <w:sz w:val="22"/>
          <w:szCs w:val="22"/>
        </w:rPr>
      </w:pPr>
    </w:p>
    <w:p w14:paraId="407BF9AD" w14:textId="77777777" w:rsidR="00140F7C" w:rsidRDefault="00AF35BD">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w:t>
      </w:r>
      <w:r>
        <w:rPr>
          <w:rFonts w:ascii="Palatino Linotype" w:eastAsia="Palatino Linotype" w:hAnsi="Palatino Linotype" w:cs="Palatino Linotype"/>
          <w:i/>
          <w:sz w:val="22"/>
          <w:szCs w:val="22"/>
        </w:rPr>
        <w:t>.-</w:t>
      </w:r>
    </w:p>
    <w:p w14:paraId="6F26443A" w14:textId="77777777" w:rsidR="00140F7C" w:rsidRDefault="00AF35BD">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A1451DE" w14:textId="77777777" w:rsidR="00140F7C" w:rsidRDefault="00AF35BD">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Pr>
          <w:rFonts w:ascii="Palatino Linotype" w:eastAsia="Palatino Linotype" w:hAnsi="Palatino Linotype" w:cs="Palatino Linotype"/>
          <w:i/>
          <w:sz w:val="22"/>
          <w:szCs w:val="22"/>
        </w:rPr>
        <w:t>.</w:t>
      </w:r>
    </w:p>
    <w:p w14:paraId="68958198" w14:textId="77777777" w:rsidR="00140F7C" w:rsidRDefault="00AF35BD">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A999D27" w14:textId="77777777" w:rsidR="00140F7C" w:rsidRDefault="00AF35BD">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Este derecho se regirá por los principios y bases siguientes</w:t>
      </w:r>
      <w:r>
        <w:rPr>
          <w:rFonts w:ascii="Palatino Linotype" w:eastAsia="Palatino Linotype" w:hAnsi="Palatino Linotype" w:cs="Palatino Linotype"/>
          <w:i/>
          <w:sz w:val="22"/>
          <w:szCs w:val="22"/>
        </w:rPr>
        <w:t>:</w:t>
      </w:r>
    </w:p>
    <w:p w14:paraId="022EC174" w14:textId="77777777" w:rsidR="00140F7C" w:rsidRDefault="00AF35BD">
      <w:pPr>
        <w:tabs>
          <w:tab w:val="left" w:pos="284"/>
          <w:tab w:val="left" w:pos="567"/>
        </w:tabs>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I. Toda la información en posesión de cualquier autoridad, entidad, órgano y organismos de los</w:t>
      </w:r>
      <w:r>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Pr>
          <w:rFonts w:ascii="Palatino Linotype" w:eastAsia="Palatino Linotype" w:hAnsi="Palatino Linotype" w:cs="Palatino Linotype"/>
          <w:b/>
          <w:i/>
          <w:sz w:val="22"/>
          <w:szCs w:val="22"/>
        </w:rPr>
        <w:t>municipales</w:t>
      </w:r>
      <w:r>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Pr>
          <w:rFonts w:ascii="Palatino Linotype" w:eastAsia="Palatino Linotype" w:hAnsi="Palatino Linotype" w:cs="Palatino Linotype"/>
          <w:b/>
          <w:i/>
          <w:sz w:val="22"/>
          <w:szCs w:val="22"/>
        </w:rPr>
        <w:t>En la interpretación de este derecho deberá prevalecer el principio de máxima publicidad</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sujetos obligados deberán documentar todo acto que derive del ejercicio de sus facultades, competencias o funciones</w:t>
      </w:r>
      <w:r>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56C04246" w14:textId="77777777" w:rsidR="00140F7C" w:rsidRDefault="00AF35BD">
      <w:pPr>
        <w:tabs>
          <w:tab w:val="left" w:pos="567"/>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(Énfasis añadido)</w:t>
      </w:r>
    </w:p>
    <w:p w14:paraId="28BB6E0C" w14:textId="77777777" w:rsidR="00140F7C" w:rsidRDefault="00140F7C">
      <w:pPr>
        <w:tabs>
          <w:tab w:val="left" w:pos="284"/>
          <w:tab w:val="left" w:pos="567"/>
        </w:tabs>
        <w:spacing w:line="360" w:lineRule="auto"/>
        <w:jc w:val="both"/>
        <w:rPr>
          <w:rFonts w:ascii="Palatino Linotype" w:eastAsia="Palatino Linotype" w:hAnsi="Palatino Linotype" w:cs="Palatino Linotype"/>
        </w:rPr>
      </w:pPr>
    </w:p>
    <w:p w14:paraId="39797B15" w14:textId="77777777" w:rsidR="00140F7C" w:rsidRDefault="00AF35BD">
      <w:pPr>
        <w:numPr>
          <w:ilvl w:val="0"/>
          <w:numId w:val="5"/>
        </w:numPr>
        <w:tabs>
          <w:tab w:val="left" w:pos="567"/>
        </w:tabs>
        <w:spacing w:line="360" w:lineRule="auto"/>
        <w:ind w:left="0" w:firstLine="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Según </w:t>
      </w:r>
      <w:r>
        <w:rPr>
          <w:rFonts w:ascii="Palatino Linotype" w:eastAsia="Palatino Linotype" w:hAnsi="Palatino Linotype" w:cs="Palatino Linotype"/>
        </w:rPr>
        <w:t xml:space="preserve">el artículo 150 de la Ley de Transparencia del Estado, la solicitud es la garantía primaria del Derecho de Acceso a la Información, además, establece que se regirá </w:t>
      </w:r>
      <w:r>
        <w:rPr>
          <w:rFonts w:ascii="Palatino Linotype" w:eastAsia="Palatino Linotype" w:hAnsi="Palatino Linotype" w:cs="Palatino Linotype"/>
          <w:i/>
        </w:rPr>
        <w:t>por los principios de simplicidad, rapidez gratuidad del procedimiento, auxilio y orientación a los particulares</w:t>
      </w:r>
      <w:r>
        <w:rPr>
          <w:rFonts w:ascii="Palatino Linotype" w:eastAsia="Palatino Linotype" w:hAnsi="Palatino Linotype" w:cs="Palatino Linotype"/>
        </w:rPr>
        <w:t>, contemplando el derecho de las personas con discapacidad y hablantes de lengua indígena.</w:t>
      </w:r>
    </w:p>
    <w:p w14:paraId="04739B5D" w14:textId="77777777" w:rsidR="00140F7C" w:rsidRDefault="00140F7C">
      <w:pPr>
        <w:tabs>
          <w:tab w:val="left" w:pos="284"/>
          <w:tab w:val="left" w:pos="567"/>
        </w:tabs>
        <w:spacing w:line="360" w:lineRule="auto"/>
        <w:jc w:val="both"/>
        <w:rPr>
          <w:rFonts w:ascii="Palatino Linotype" w:eastAsia="Palatino Linotype" w:hAnsi="Palatino Linotype" w:cs="Palatino Linotype"/>
          <w:i/>
        </w:rPr>
      </w:pPr>
    </w:p>
    <w:p w14:paraId="621C043E" w14:textId="77777777" w:rsidR="00140F7C" w:rsidRDefault="00AF35BD">
      <w:pPr>
        <w:numPr>
          <w:ilvl w:val="0"/>
          <w:numId w:val="5"/>
        </w:numPr>
        <w:tabs>
          <w:tab w:val="left" w:pos="567"/>
        </w:tabs>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entonces, se procede analizar, en primer lugar,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14:paraId="67DBA6F9" w14:textId="77777777" w:rsidR="00140F7C" w:rsidRDefault="00140F7C">
      <w:pPr>
        <w:tabs>
          <w:tab w:val="left" w:pos="284"/>
          <w:tab w:val="left" w:pos="567"/>
        </w:tabs>
        <w:spacing w:line="360" w:lineRule="auto"/>
        <w:jc w:val="both"/>
        <w:rPr>
          <w:rFonts w:ascii="Palatino Linotype" w:eastAsia="Palatino Linotype" w:hAnsi="Palatino Linotype" w:cs="Palatino Linotype"/>
          <w:i/>
        </w:rPr>
      </w:pPr>
    </w:p>
    <w:p w14:paraId="70A1803C" w14:textId="77777777" w:rsidR="00140F7C" w:rsidRDefault="00AF35BD">
      <w:pPr>
        <w:tabs>
          <w:tab w:val="left" w:pos="426"/>
        </w:tabs>
        <w:spacing w:line="360" w:lineRule="auto"/>
        <w:ind w:right="616"/>
        <w:rPr>
          <w:rFonts w:ascii="Palatino Linotype" w:eastAsia="Palatino Linotype" w:hAnsi="Palatino Linotype" w:cs="Palatino Linotype"/>
          <w:b/>
        </w:rPr>
      </w:pPr>
      <w:r>
        <w:rPr>
          <w:rFonts w:ascii="Palatino Linotype" w:eastAsia="Palatino Linotype" w:hAnsi="Palatino Linotype" w:cs="Palatino Linotype"/>
          <w:b/>
        </w:rPr>
        <w:t>II. De la información solicitada y la respuesta del SUJETO OBLIGADO.</w:t>
      </w:r>
    </w:p>
    <w:p w14:paraId="7EC17F92" w14:textId="77777777" w:rsidR="00140F7C" w:rsidRDefault="00140F7C">
      <w:pPr>
        <w:tabs>
          <w:tab w:val="left" w:pos="567"/>
        </w:tabs>
        <w:spacing w:line="360" w:lineRule="auto"/>
        <w:jc w:val="both"/>
        <w:rPr>
          <w:rFonts w:ascii="Palatino Linotype" w:eastAsia="Palatino Linotype" w:hAnsi="Palatino Linotype" w:cs="Palatino Linotype"/>
        </w:rPr>
      </w:pPr>
    </w:p>
    <w:p w14:paraId="6047F4F4" w14:textId="77777777" w:rsidR="00140F7C" w:rsidRDefault="00AF35BD">
      <w:pPr>
        <w:numPr>
          <w:ilvl w:val="0"/>
          <w:numId w:val="5"/>
        </w:numPr>
        <w:tabs>
          <w:tab w:val="left" w:pos="567"/>
        </w:tabs>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del </w:t>
      </w:r>
      <w:r>
        <w:rPr>
          <w:rFonts w:ascii="Palatino Linotype" w:eastAsia="Palatino Linotype" w:hAnsi="Palatino Linotype" w:cs="Palatino Linotype"/>
          <w:i/>
        </w:rPr>
        <w:t>Planteamiento de la Litis</w:t>
      </w:r>
      <w:r>
        <w:rPr>
          <w:rFonts w:ascii="Palatino Linotype" w:eastAsia="Palatino Linotype" w:hAnsi="Palatino Linotype" w:cs="Palatino Linotype"/>
        </w:rPr>
        <w:t>,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438D2AA7" w14:textId="77777777" w:rsidR="00140F7C" w:rsidRDefault="00140F7C">
      <w:pPr>
        <w:tabs>
          <w:tab w:val="left" w:pos="567"/>
        </w:tabs>
        <w:spacing w:line="360" w:lineRule="auto"/>
        <w:jc w:val="both"/>
        <w:rPr>
          <w:rFonts w:ascii="Palatino Linotype" w:eastAsia="Palatino Linotype" w:hAnsi="Palatino Linotype" w:cs="Palatino Linotype"/>
        </w:rPr>
      </w:pPr>
    </w:p>
    <w:p w14:paraId="19AA25BB" w14:textId="77777777" w:rsidR="00140F7C" w:rsidRDefault="00AF35BD">
      <w:pPr>
        <w:numPr>
          <w:ilvl w:val="0"/>
          <w:numId w:val="5"/>
        </w:numPr>
        <w:tabs>
          <w:tab w:val="left" w:pos="567"/>
        </w:tabs>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derivado del análisis del recurso de revisión materia del presente estudio, es pertinente reiterar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solicitó </w:t>
      </w:r>
      <w:r>
        <w:rPr>
          <w:rFonts w:ascii="Palatino Linotype" w:eastAsia="Palatino Linotype" w:hAnsi="Palatino Linotype" w:cs="Palatino Linotype"/>
          <w:color w:val="000000"/>
        </w:rPr>
        <w:t>del mantenimiento del concreto hidráulico del tramo carretero de Calimaya - San Andrés, lo siguiente:</w:t>
      </w:r>
    </w:p>
    <w:p w14:paraId="2F764157" w14:textId="77777777" w:rsidR="00140F7C" w:rsidRDefault="00140F7C">
      <w:pPr>
        <w:tabs>
          <w:tab w:val="left" w:pos="567"/>
        </w:tabs>
        <w:spacing w:line="360" w:lineRule="auto"/>
        <w:jc w:val="both"/>
        <w:rPr>
          <w:rFonts w:ascii="Palatino Linotype" w:eastAsia="Palatino Linotype" w:hAnsi="Palatino Linotype" w:cs="Palatino Linotype"/>
        </w:rPr>
      </w:pPr>
    </w:p>
    <w:p w14:paraId="66B5683E" w14:textId="77777777" w:rsidR="00140F7C" w:rsidRDefault="00AF35BD">
      <w:pPr>
        <w:numPr>
          <w:ilvl w:val="0"/>
          <w:numId w:val="1"/>
        </w:numPr>
        <w:tabs>
          <w:tab w:val="left" w:pos="2565"/>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Documentación completa de mayo y junio de dos mil veintidós.</w:t>
      </w:r>
    </w:p>
    <w:p w14:paraId="586CF0DB" w14:textId="77777777" w:rsidR="00140F7C" w:rsidRDefault="00AF35BD">
      <w:pPr>
        <w:numPr>
          <w:ilvl w:val="0"/>
          <w:numId w:val="1"/>
        </w:numPr>
        <w:tabs>
          <w:tab w:val="left" w:pos="2565"/>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Gasto total detallado que se realizó en mayo y junio de dos mil veintidós.</w:t>
      </w:r>
    </w:p>
    <w:p w14:paraId="6660F5B2" w14:textId="77777777" w:rsidR="00140F7C" w:rsidRDefault="00140F7C">
      <w:pPr>
        <w:tabs>
          <w:tab w:val="left" w:pos="2565"/>
        </w:tabs>
        <w:spacing w:line="360" w:lineRule="auto"/>
        <w:jc w:val="both"/>
        <w:rPr>
          <w:rFonts w:ascii="Palatino Linotype" w:eastAsia="Palatino Linotype" w:hAnsi="Palatino Linotype" w:cs="Palatino Linotype"/>
        </w:rPr>
      </w:pPr>
    </w:p>
    <w:p w14:paraId="30BE9C56" w14:textId="77777777" w:rsidR="00140F7C" w:rsidRDefault="00AF35BD">
      <w:pPr>
        <w:numPr>
          <w:ilvl w:val="0"/>
          <w:numId w:val="5"/>
        </w:numPr>
        <w:tabs>
          <w:tab w:val="left" w:pos="567"/>
        </w:tabs>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diversos documentos electrónicos, </w:t>
      </w:r>
      <w:r>
        <w:rPr>
          <w:rFonts w:ascii="Palatino Linotype" w:eastAsia="Palatino Linotype" w:hAnsi="Palatino Linotype" w:cs="Palatino Linotype"/>
          <w:color w:val="000000"/>
        </w:rPr>
        <w:t xml:space="preserve">cuyo contenido medular desprende que la información requerida corresponde al camino identificado como 211km 12.5 (Toluca-Metepec)- Calimaya- Zaragoza y el cual forma parte de la red estatal de caminos, mismo que está siendo rehabilitado a través del proyecto denominado “Rehabilitación y conservación de una red carretera libre peaje con longitud de 1,637.8 km con residencia en Tejupilco, Ixtapan de la Sal y Toluca, bajo esquema de Asociación Publico Privada (APP), así mismo comunica que en la Trigésima Séptima Sesión Extraordinaria del ejercicio dos mil veintidós el Comité de Transparencia aprobó la inexistencia, debido a que la información solicitada no obra en los archivos de la Dirección de Conservación de Caminos. </w:t>
      </w:r>
    </w:p>
    <w:p w14:paraId="1B804D96" w14:textId="77777777" w:rsidR="00140F7C" w:rsidRDefault="00140F7C">
      <w:pPr>
        <w:tabs>
          <w:tab w:val="left" w:pos="567"/>
        </w:tabs>
        <w:spacing w:line="360" w:lineRule="auto"/>
        <w:jc w:val="both"/>
        <w:rPr>
          <w:rFonts w:ascii="Palatino Linotype" w:eastAsia="Palatino Linotype" w:hAnsi="Palatino Linotype" w:cs="Palatino Linotype"/>
          <w:b/>
        </w:rPr>
      </w:pPr>
    </w:p>
    <w:p w14:paraId="242D2BC4" w14:textId="77777777" w:rsidR="00140F7C" w:rsidRDefault="00AF35BD">
      <w:pPr>
        <w:numPr>
          <w:ilvl w:val="0"/>
          <w:numId w:val="5"/>
        </w:numPr>
        <w:tabs>
          <w:tab w:val="left" w:pos="567"/>
        </w:tabs>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b/>
          <w:color w:val="000000"/>
        </w:rPr>
        <w:t>EL PARTICULAR</w:t>
      </w:r>
      <w:r>
        <w:rPr>
          <w:rFonts w:ascii="Palatino Linotype" w:eastAsia="Palatino Linotype" w:hAnsi="Palatino Linotype" w:cs="Palatino Linotype"/>
          <w:color w:val="000000"/>
        </w:rPr>
        <w:t xml:space="preserve"> impugnó las respuestas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mediante el presente recurso de revisión, y en los que señaló por agravios que, “</w:t>
      </w:r>
      <w:r>
        <w:rPr>
          <w:rFonts w:ascii="Palatino Linotype" w:eastAsia="Palatino Linotype" w:hAnsi="Palatino Linotype" w:cs="Palatino Linotype"/>
          <w:i/>
          <w:color w:val="000000"/>
        </w:rPr>
        <w:t>la Junta de Caminos del Gobierno del Estado de México si realizó los trabajos en el Municipio de Calimaya.</w:t>
      </w:r>
      <w:r>
        <w:rPr>
          <w:rFonts w:ascii="Palatino Linotype" w:eastAsia="Palatino Linotype" w:hAnsi="Palatino Linotype" w:cs="Palatino Linotype"/>
          <w:color w:val="000000"/>
        </w:rPr>
        <w:t>” (sic)</w:t>
      </w:r>
    </w:p>
    <w:p w14:paraId="73F4C17C" w14:textId="77777777" w:rsidR="00140F7C" w:rsidRDefault="00140F7C">
      <w:pPr>
        <w:pBdr>
          <w:top w:val="nil"/>
          <w:left w:val="nil"/>
          <w:bottom w:val="nil"/>
          <w:right w:val="nil"/>
          <w:between w:val="nil"/>
        </w:pBdr>
        <w:ind w:left="720"/>
        <w:rPr>
          <w:rFonts w:ascii="Palatino Linotype" w:eastAsia="Palatino Linotype" w:hAnsi="Palatino Linotype" w:cs="Palatino Linotype"/>
          <w:color w:val="000000"/>
        </w:rPr>
      </w:pPr>
    </w:p>
    <w:p w14:paraId="0FAFB699" w14:textId="77777777" w:rsidR="00140F7C" w:rsidRDefault="00AF35BD">
      <w:pPr>
        <w:numPr>
          <w:ilvl w:val="0"/>
          <w:numId w:val="5"/>
        </w:numPr>
        <w:tabs>
          <w:tab w:val="left" w:pos="567"/>
        </w:tabs>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En </w:t>
      </w:r>
      <w:proofErr w:type="gramStart"/>
      <w:r>
        <w:rPr>
          <w:rFonts w:ascii="Palatino Linotype" w:eastAsia="Palatino Linotype" w:hAnsi="Palatino Linotype" w:cs="Palatino Linotype"/>
        </w:rPr>
        <w:t>consecuencia</w:t>
      </w:r>
      <w:proofErr w:type="gramEnd"/>
      <w:r>
        <w:rPr>
          <w:rFonts w:ascii="Palatino Linotype" w:eastAsia="Palatino Linotype" w:hAnsi="Palatino Linotype" w:cs="Palatino Linotype"/>
        </w:rPr>
        <w:t xml:space="preserve"> de lo anterior, se procederá a analizar el marco legal de lo solicitado, así como el contenido de los documentos proveídos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así determinar si, mediante su informe justificado, la Junta de Caminos del Estado de México, colmó el derecho de acceso a la información ejercido por </w:t>
      </w:r>
      <w:r>
        <w:rPr>
          <w:rFonts w:ascii="Palatino Linotype" w:eastAsia="Palatino Linotype" w:hAnsi="Palatino Linotype" w:cs="Palatino Linotype"/>
          <w:b/>
        </w:rPr>
        <w:t>EL PARTICULAR</w:t>
      </w:r>
      <w:r>
        <w:rPr>
          <w:rFonts w:ascii="Palatino Linotype" w:eastAsia="Palatino Linotype" w:hAnsi="Palatino Linotype" w:cs="Palatino Linotype"/>
        </w:rPr>
        <w:t xml:space="preserve"> o, si por el contrario, procede el ordenar la entrega de la información.</w:t>
      </w:r>
    </w:p>
    <w:p w14:paraId="62FCCB7E" w14:textId="77777777" w:rsidR="00140F7C" w:rsidRDefault="00140F7C">
      <w:pPr>
        <w:pBdr>
          <w:top w:val="nil"/>
          <w:left w:val="nil"/>
          <w:bottom w:val="nil"/>
          <w:right w:val="nil"/>
          <w:between w:val="nil"/>
        </w:pBdr>
        <w:ind w:left="720"/>
        <w:rPr>
          <w:rFonts w:ascii="Palatino Linotype" w:eastAsia="Palatino Linotype" w:hAnsi="Palatino Linotype" w:cs="Palatino Linotype"/>
          <w:color w:val="000000"/>
        </w:rPr>
      </w:pPr>
    </w:p>
    <w:p w14:paraId="17179EA8" w14:textId="77777777" w:rsidR="00140F7C" w:rsidRDefault="00AF35BD">
      <w:pPr>
        <w:numPr>
          <w:ilvl w:val="0"/>
          <w:numId w:val="5"/>
        </w:numPr>
        <w:tabs>
          <w:tab w:val="left" w:pos="567"/>
        </w:tabs>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color w:val="000000"/>
        </w:rPr>
        <w:t xml:space="preserve">En primer lugar, es de precisar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a través del</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Director de Conservación de Caminos, manifiesta que la información requerida corresponde al camino identificado como 211km 12.5 (Toluca-Metepec)- Calimaya- Zaragoza y el cual forma parte de la red estatal de caminos, mismo que está siendo rehabilitado a través del proyecto denominado “Rehabilitación y conservación de una red carretera libre peaje con longitud de 1,637.8 km con residencia en Tejupilco, Ixtapan de la Sal y Toluca”.</w:t>
      </w:r>
    </w:p>
    <w:p w14:paraId="002E4C81" w14:textId="77777777" w:rsidR="00140F7C" w:rsidRDefault="00140F7C">
      <w:pPr>
        <w:pBdr>
          <w:top w:val="nil"/>
          <w:left w:val="nil"/>
          <w:bottom w:val="nil"/>
          <w:right w:val="nil"/>
          <w:between w:val="nil"/>
        </w:pBdr>
        <w:ind w:left="720"/>
        <w:rPr>
          <w:rFonts w:ascii="Palatino Linotype" w:eastAsia="Palatino Linotype" w:hAnsi="Palatino Linotype" w:cs="Palatino Linotype"/>
          <w:b/>
          <w:color w:val="000000"/>
        </w:rPr>
      </w:pPr>
    </w:p>
    <w:p w14:paraId="0B39B08E" w14:textId="77777777" w:rsidR="00140F7C" w:rsidRDefault="00AF35BD">
      <w:pPr>
        <w:keepNext/>
        <w:keepLines/>
        <w:numPr>
          <w:ilvl w:val="0"/>
          <w:numId w:val="5"/>
        </w:numPr>
        <w:tabs>
          <w:tab w:val="left" w:pos="567"/>
        </w:tabs>
        <w:spacing w:before="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Ahora bien, de la consulta a la página de la </w:t>
      </w:r>
      <w:r>
        <w:rPr>
          <w:rFonts w:ascii="Palatino Linotype" w:eastAsia="Palatino Linotype" w:hAnsi="Palatino Linotype" w:cs="Palatino Linotype"/>
          <w:b/>
          <w:color w:val="000000"/>
        </w:rPr>
        <w:t>Junta de Caminos del Estado de México</w:t>
      </w:r>
      <w:r>
        <w:rPr>
          <w:rFonts w:ascii="Palatino Linotype" w:eastAsia="Palatino Linotype" w:hAnsi="Palatino Linotype" w:cs="Palatino Linotype"/>
          <w:color w:val="000000"/>
        </w:rPr>
        <w:t xml:space="preserve">, se identificó el Proyecto de Asociación </w:t>
      </w:r>
      <w:r>
        <w:rPr>
          <w:rFonts w:ascii="Palatino Linotype" w:eastAsia="Palatino Linotype" w:hAnsi="Palatino Linotype" w:cs="Palatino Linotype"/>
        </w:rPr>
        <w:t>Público</w:t>
      </w:r>
      <w:r>
        <w:rPr>
          <w:rFonts w:ascii="Palatino Linotype" w:eastAsia="Palatino Linotype" w:hAnsi="Palatino Linotype" w:cs="Palatino Linotype"/>
          <w:color w:val="000000"/>
        </w:rPr>
        <w:t xml:space="preserve"> Privada del Sur del Estado de México, en función del Decreto 120, por el que se autorizaron los financiamientos y las obligaciones a cargo del Estado, con motivo del "Proyecto Rehabilitación y Conservación de una red carretera libre de peaje con una longitud de 1,637 km, con residencia en Tejupilco, Ixtapan de la Sal y Toluca", como se muestra a continuación. </w:t>
      </w:r>
      <w:r>
        <w:rPr>
          <w:noProof/>
          <w:lang w:val="es-MX" w:eastAsia="es-MX"/>
        </w:rPr>
        <mc:AlternateContent>
          <mc:Choice Requires="wpg">
            <w:drawing>
              <wp:anchor distT="0" distB="0" distL="114300" distR="114300" simplePos="0" relativeHeight="251658240" behindDoc="0" locked="0" layoutInCell="1" hidden="0" allowOverlap="1" wp14:anchorId="57FE2047" wp14:editId="4B293216">
                <wp:simplePos x="0" y="0"/>
                <wp:positionH relativeFrom="column">
                  <wp:posOffset>292100</wp:posOffset>
                </wp:positionH>
                <wp:positionV relativeFrom="paragraph">
                  <wp:posOffset>1993900</wp:posOffset>
                </wp:positionV>
                <wp:extent cx="5143500" cy="5543550"/>
                <wp:effectExtent l="0" t="0" r="0" b="0"/>
                <wp:wrapNone/>
                <wp:docPr id="23" name="Conector recto de flecha 23"/>
                <wp:cNvGraphicFramePr/>
                <a:graphic xmlns:a="http://schemas.openxmlformats.org/drawingml/2006/main">
                  <a:graphicData uri="http://schemas.microsoft.com/office/word/2010/wordprocessingShape">
                    <wps:wsp>
                      <wps:cNvCnPr/>
                      <wps:spPr>
                        <a:xfrm rot="10800000" flipH="1">
                          <a:off x="2779013" y="1012988"/>
                          <a:ext cx="5133975" cy="553402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w:drawing>
              <wp:anchor allowOverlap="1" behindDoc="0" distB="0" distT="0" distL="114300" distR="114300" hidden="0" layoutInCell="1" locked="0" relativeHeight="0" simplePos="0">
                <wp:simplePos x="0" y="0"/>
                <wp:positionH relativeFrom="column">
                  <wp:posOffset>292100</wp:posOffset>
                </wp:positionH>
                <wp:positionV relativeFrom="paragraph">
                  <wp:posOffset>1993900</wp:posOffset>
                </wp:positionV>
                <wp:extent cx="5143500" cy="5543550"/>
                <wp:effectExtent b="0" l="0" r="0" t="0"/>
                <wp:wrapNone/>
                <wp:docPr id="23"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5143500" cy="5543550"/>
                        </a:xfrm>
                        <a:prstGeom prst="rect"/>
                        <a:ln/>
                      </pic:spPr>
                    </pic:pic>
                  </a:graphicData>
                </a:graphic>
              </wp:anchor>
            </w:drawing>
          </mc:Fallback>
        </mc:AlternateContent>
      </w:r>
    </w:p>
    <w:p w14:paraId="3F36FA33" w14:textId="77777777" w:rsidR="00140F7C" w:rsidRDefault="00AF35BD">
      <w:pPr>
        <w:keepNext/>
        <w:keepLines/>
        <w:tabs>
          <w:tab w:val="left" w:pos="567"/>
        </w:tabs>
        <w:spacing w:before="240" w:line="360" w:lineRule="auto"/>
        <w:ind w:left="567" w:right="616"/>
        <w:jc w:val="both"/>
        <w:rPr>
          <w:rFonts w:ascii="Palatino Linotype" w:eastAsia="Palatino Linotype" w:hAnsi="Palatino Linotype" w:cs="Palatino Linotype"/>
          <w:color w:val="000000"/>
        </w:rPr>
      </w:pPr>
      <w:r>
        <w:rPr>
          <w:rFonts w:ascii="Palatino Linotype" w:eastAsia="Palatino Linotype" w:hAnsi="Palatino Linotype" w:cs="Palatino Linotype"/>
          <w:b/>
          <w:noProof/>
          <w:lang w:val="es-MX" w:eastAsia="es-MX"/>
        </w:rPr>
        <w:lastRenderedPageBreak/>
        <w:drawing>
          <wp:inline distT="0" distB="0" distL="0" distR="0" wp14:anchorId="06735E39" wp14:editId="12F25739">
            <wp:extent cx="4772025" cy="6239510"/>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772025" cy="6239510"/>
                    </a:xfrm>
                    <a:prstGeom prst="rect">
                      <a:avLst/>
                    </a:prstGeom>
                    <a:ln/>
                  </pic:spPr>
                </pic:pic>
              </a:graphicData>
            </a:graphic>
          </wp:inline>
        </w:drawing>
      </w:r>
    </w:p>
    <w:p w14:paraId="3B294ABD" w14:textId="77777777" w:rsidR="00140F7C" w:rsidRDefault="00140F7C">
      <w:pPr>
        <w:rPr>
          <w:rFonts w:ascii="Palatino Linotype" w:eastAsia="Palatino Linotype" w:hAnsi="Palatino Linotype" w:cs="Palatino Linotype"/>
          <w:color w:val="000000"/>
        </w:rPr>
      </w:pPr>
    </w:p>
    <w:p w14:paraId="3A250582" w14:textId="77777777" w:rsidR="00140F7C" w:rsidRDefault="00AF35BD">
      <w:pPr>
        <w:keepNext/>
        <w:keepLines/>
        <w:numPr>
          <w:ilvl w:val="0"/>
          <w:numId w:val="5"/>
        </w:numPr>
        <w:tabs>
          <w:tab w:val="left" w:pos="567"/>
        </w:tabs>
        <w:spacing w:before="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En dicho tenor, se trae a contexto el Análisis de Costo-Beneficio del Proyecto de rehabilitación y conservación de una red carretera libre peaje con longitud de 1,637.8 km con residencia en Tejupilco, Ixtapan de la Sal y Toluca para el periodo 2020-2031, en el que se muestran los municipios por los que se extiende la red, sírvase de referencia la siguiente imagen:</w:t>
      </w:r>
    </w:p>
    <w:p w14:paraId="395125B1" w14:textId="77777777" w:rsidR="00140F7C" w:rsidRDefault="00140F7C">
      <w:pPr>
        <w:keepNext/>
        <w:keepLines/>
        <w:tabs>
          <w:tab w:val="left" w:pos="567"/>
        </w:tabs>
        <w:spacing w:before="240" w:line="360" w:lineRule="auto"/>
        <w:jc w:val="both"/>
        <w:rPr>
          <w:rFonts w:ascii="Palatino Linotype" w:eastAsia="Palatino Linotype" w:hAnsi="Palatino Linotype" w:cs="Palatino Linotype"/>
          <w:color w:val="000000"/>
        </w:rPr>
      </w:pPr>
    </w:p>
    <w:p w14:paraId="791FCC7E" w14:textId="77777777" w:rsidR="00140F7C" w:rsidRDefault="00AF35BD">
      <w:pPr>
        <w:pBdr>
          <w:top w:val="nil"/>
          <w:left w:val="nil"/>
          <w:bottom w:val="nil"/>
          <w:right w:val="nil"/>
          <w:between w:val="nil"/>
        </w:pBdr>
        <w:ind w:left="567"/>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drawing>
          <wp:inline distT="0" distB="0" distL="0" distR="0" wp14:anchorId="7608E71E" wp14:editId="4E9759B1">
            <wp:extent cx="4810125" cy="3028950"/>
            <wp:effectExtent l="19050" t="19050" r="19050" b="1905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810125" cy="3028950"/>
                    </a:xfrm>
                    <a:prstGeom prst="rect">
                      <a:avLst/>
                    </a:prstGeom>
                    <a:ln w="19050">
                      <a:solidFill>
                        <a:srgbClr val="000000"/>
                      </a:solidFill>
                      <a:prstDash val="solid"/>
                    </a:ln>
                  </pic:spPr>
                </pic:pic>
              </a:graphicData>
            </a:graphic>
          </wp:inline>
        </w:drawing>
      </w:r>
    </w:p>
    <w:p w14:paraId="53F4EBC4" w14:textId="77777777" w:rsidR="00140F7C" w:rsidRDefault="00140F7C">
      <w:pPr>
        <w:rPr>
          <w:rFonts w:ascii="Palatino Linotype" w:eastAsia="Palatino Linotype" w:hAnsi="Palatino Linotype" w:cs="Palatino Linotype"/>
          <w:color w:val="000000"/>
        </w:rPr>
      </w:pPr>
    </w:p>
    <w:p w14:paraId="7605B0EA" w14:textId="77777777" w:rsidR="00140F7C" w:rsidRDefault="00AF35BD">
      <w:pPr>
        <w:keepNext/>
        <w:keepLines/>
        <w:numPr>
          <w:ilvl w:val="0"/>
          <w:numId w:val="5"/>
        </w:numPr>
        <w:tabs>
          <w:tab w:val="left" w:pos="567"/>
        </w:tabs>
        <w:spacing w:before="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Así mismo establece que los </w:t>
      </w:r>
      <w:r>
        <w:rPr>
          <w:rFonts w:ascii="Palatino Linotype" w:eastAsia="Palatino Linotype" w:hAnsi="Palatino Linotype" w:cs="Palatino Linotype"/>
        </w:rPr>
        <w:t>costos, de rehabilitación Inicial y los de mantenimiento para el proyecto se estimaron a partir del proyecto básico realizado, utilizando el modelo de gestión vial HDM-4. El monto de inversión por Rehabilitación Inicial es de 4,665.5 millones de pesos de 2019 en flujos corrientes. Por otro lado, el monto de mantenimiento a lo largo de todo el proyecto es de 4,203.5 millones de pesos de 2019 en flujos corrientes. Así, el costo total del proyecto es de 8,869.0 millones de pesos de 2019.Estos costos se dividen por capítulo y tipo de camino de acuerdo a la siguiente tabla:</w:t>
      </w:r>
    </w:p>
    <w:p w14:paraId="536104BB" w14:textId="77777777" w:rsidR="00140F7C" w:rsidRDefault="00140F7C">
      <w:pPr>
        <w:keepNext/>
        <w:keepLines/>
        <w:tabs>
          <w:tab w:val="left" w:pos="567"/>
        </w:tabs>
        <w:spacing w:before="240" w:line="360" w:lineRule="auto"/>
        <w:jc w:val="both"/>
        <w:rPr>
          <w:rFonts w:ascii="Palatino Linotype" w:eastAsia="Palatino Linotype" w:hAnsi="Palatino Linotype" w:cs="Palatino Linotype"/>
          <w:color w:val="000000"/>
        </w:rPr>
      </w:pPr>
    </w:p>
    <w:p w14:paraId="4BFF605C" w14:textId="77777777" w:rsidR="00140F7C" w:rsidRDefault="00AF35BD">
      <w:pPr>
        <w:keepNext/>
        <w:keepLines/>
        <w:tabs>
          <w:tab w:val="left" w:pos="567"/>
        </w:tabs>
        <w:spacing w:before="240" w:line="360" w:lineRule="auto"/>
        <w:ind w:left="567"/>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drawing>
          <wp:inline distT="0" distB="0" distL="0" distR="0" wp14:anchorId="1F58B571" wp14:editId="2935773C">
            <wp:extent cx="4743450" cy="3575685"/>
            <wp:effectExtent l="19050" t="19050" r="19050" b="1905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743450" cy="3575685"/>
                    </a:xfrm>
                    <a:prstGeom prst="rect">
                      <a:avLst/>
                    </a:prstGeom>
                    <a:ln w="19050">
                      <a:solidFill>
                        <a:srgbClr val="000000"/>
                      </a:solidFill>
                      <a:prstDash val="solid"/>
                    </a:ln>
                  </pic:spPr>
                </pic:pic>
              </a:graphicData>
            </a:graphic>
          </wp:inline>
        </w:drawing>
      </w:r>
    </w:p>
    <w:p w14:paraId="1F208EE1" w14:textId="77777777" w:rsidR="00140F7C" w:rsidRDefault="00140F7C">
      <w:pPr>
        <w:pBdr>
          <w:top w:val="nil"/>
          <w:left w:val="nil"/>
          <w:bottom w:val="nil"/>
          <w:right w:val="nil"/>
          <w:between w:val="nil"/>
        </w:pBdr>
        <w:ind w:left="720"/>
        <w:rPr>
          <w:rFonts w:ascii="Palatino Linotype" w:eastAsia="Palatino Linotype" w:hAnsi="Palatino Linotype" w:cs="Palatino Linotype"/>
          <w:color w:val="000000"/>
        </w:rPr>
      </w:pPr>
    </w:p>
    <w:p w14:paraId="3F15FEF7" w14:textId="77777777" w:rsidR="00140F7C" w:rsidRDefault="00AF35BD">
      <w:pPr>
        <w:keepNext/>
        <w:keepLines/>
        <w:numPr>
          <w:ilvl w:val="0"/>
          <w:numId w:val="5"/>
        </w:numPr>
        <w:tabs>
          <w:tab w:val="left" w:pos="567"/>
        </w:tabs>
        <w:spacing w:before="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En la distribución de los tramos objeto de estudio por residencia, se identificó</w:t>
      </w:r>
      <w:r>
        <w:rPr>
          <w:rFonts w:ascii="Palatino Linotype" w:eastAsia="Palatino Linotype" w:hAnsi="Palatino Linotype" w:cs="Palatino Linotype"/>
          <w:color w:val="000000"/>
        </w:rPr>
        <w:t xml:space="preserve"> que el camino 211km 12.5 (Toluca-Metepec)- Calimaya- Zaragoza, tiene el número de tramo </w:t>
      </w:r>
      <w:r>
        <w:rPr>
          <w:rFonts w:ascii="Palatino Linotype" w:eastAsia="Palatino Linotype" w:hAnsi="Palatino Linotype" w:cs="Palatino Linotype"/>
        </w:rPr>
        <w:t xml:space="preserve">TL0211, como a continuación se muestra. </w:t>
      </w:r>
    </w:p>
    <w:p w14:paraId="49E33088" w14:textId="77777777" w:rsidR="00140F7C" w:rsidRDefault="00140F7C">
      <w:pPr>
        <w:keepNext/>
        <w:keepLines/>
        <w:tabs>
          <w:tab w:val="left" w:pos="567"/>
        </w:tabs>
        <w:spacing w:before="240" w:line="360" w:lineRule="auto"/>
        <w:jc w:val="both"/>
        <w:rPr>
          <w:rFonts w:ascii="Palatino Linotype" w:eastAsia="Palatino Linotype" w:hAnsi="Palatino Linotype" w:cs="Palatino Linotype"/>
          <w:color w:val="000000"/>
        </w:rPr>
      </w:pPr>
    </w:p>
    <w:p w14:paraId="2BC9B357" w14:textId="77777777" w:rsidR="00140F7C" w:rsidRDefault="00AF35BD">
      <w:pPr>
        <w:keepNext/>
        <w:keepLines/>
        <w:tabs>
          <w:tab w:val="left" w:pos="567"/>
        </w:tabs>
        <w:spacing w:before="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drawing>
          <wp:inline distT="0" distB="0" distL="0" distR="0" wp14:anchorId="032C01B5" wp14:editId="4A4A261D">
            <wp:extent cx="4210050" cy="1600200"/>
            <wp:effectExtent l="19050" t="19050" r="19050" b="1905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210050" cy="1600200"/>
                    </a:xfrm>
                    <a:prstGeom prst="rect">
                      <a:avLst/>
                    </a:prstGeom>
                    <a:ln w="19050">
                      <a:solidFill>
                        <a:srgbClr val="000000"/>
                      </a:solidFill>
                      <a:prstDash val="solid"/>
                    </a:ln>
                  </pic:spPr>
                </pic:pic>
              </a:graphicData>
            </a:graphic>
          </wp:inline>
        </w:drawing>
      </w:r>
    </w:p>
    <w:p w14:paraId="73F1D397" w14:textId="77777777" w:rsidR="00140F7C" w:rsidRDefault="00140F7C">
      <w:pPr>
        <w:keepNext/>
        <w:keepLines/>
        <w:tabs>
          <w:tab w:val="left" w:pos="567"/>
        </w:tabs>
        <w:spacing w:before="240" w:line="360" w:lineRule="auto"/>
        <w:jc w:val="center"/>
        <w:rPr>
          <w:rFonts w:ascii="Palatino Linotype" w:eastAsia="Palatino Linotype" w:hAnsi="Palatino Linotype" w:cs="Palatino Linotype"/>
          <w:color w:val="000000"/>
        </w:rPr>
      </w:pPr>
    </w:p>
    <w:p w14:paraId="1F4F3088" w14:textId="77777777" w:rsidR="00140F7C" w:rsidRDefault="00AF35BD">
      <w:pPr>
        <w:keepNext/>
        <w:keepLines/>
        <w:numPr>
          <w:ilvl w:val="0"/>
          <w:numId w:val="5"/>
        </w:numPr>
        <w:tabs>
          <w:tab w:val="left" w:pos="567"/>
        </w:tabs>
        <w:spacing w:before="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razón de lo anterior se localizó el contrato número SCEM-JC-DC-2020-APP-001-C, del nueve (09) de septiembre de dos mil veintidós, cuya unidad contratante es la Junta de Caminos del Estado de México, mismo que corresponde a la Rehabilitación y conservación de una red carretera libre peaje con longitud de 1,637.8 km con residencia en Tejupilco, Ixtapan de la Sal y Toluca, en el que se contempla la forma de pago de la contraprestación,</w:t>
      </w:r>
      <w:r>
        <w:rPr>
          <w:rFonts w:ascii="Palatino Linotype" w:eastAsia="Palatino Linotype" w:hAnsi="Palatino Linotype" w:cs="Palatino Linotype"/>
        </w:rPr>
        <w:t xml:space="preserve">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por rubro y texto, dispone lo siguiente: </w:t>
      </w:r>
    </w:p>
    <w:p w14:paraId="3C05A1CE" w14:textId="77777777" w:rsidR="00140F7C" w:rsidRDefault="00140F7C">
      <w:pPr>
        <w:keepNext/>
        <w:keepLines/>
        <w:tabs>
          <w:tab w:val="left" w:pos="567"/>
        </w:tabs>
        <w:spacing w:before="240" w:line="360" w:lineRule="auto"/>
        <w:jc w:val="both"/>
        <w:rPr>
          <w:rFonts w:ascii="Palatino Linotype" w:eastAsia="Palatino Linotype" w:hAnsi="Palatino Linotype" w:cs="Palatino Linotype"/>
          <w:color w:val="000000"/>
        </w:rPr>
      </w:pPr>
    </w:p>
    <w:p w14:paraId="3F1D31DB" w14:textId="77777777" w:rsidR="00140F7C" w:rsidRDefault="00AF35BD">
      <w:pPr>
        <w:keepNext/>
        <w:keepLines/>
        <w:tabs>
          <w:tab w:val="left" w:pos="567"/>
        </w:tabs>
        <w:spacing w:before="240" w:line="276" w:lineRule="auto"/>
        <w:ind w:left="567" w:right="616"/>
        <w:jc w:val="both"/>
        <w:rPr>
          <w:rFonts w:ascii="Palatino Linotype" w:eastAsia="Palatino Linotype" w:hAnsi="Palatino Linotype" w:cs="Palatino Linotype"/>
          <w:b/>
          <w:i/>
          <w:color w:val="000000"/>
        </w:rPr>
      </w:pPr>
      <w:r>
        <w:rPr>
          <w:rFonts w:ascii="Palatino Linotype" w:eastAsia="Palatino Linotype" w:hAnsi="Palatino Linotype" w:cs="Palatino Linotype"/>
          <w:i/>
        </w:rPr>
        <w:t>“</w:t>
      </w:r>
      <w:r>
        <w:rPr>
          <w:rFonts w:ascii="Palatino Linotype" w:eastAsia="Palatino Linotype" w:hAnsi="Palatino Linotype" w:cs="Palatino Linotype"/>
          <w:b/>
          <w:i/>
        </w:rPr>
        <w:t>CUARTA. FORMA DE PAGO DE LA CONTRAPRESTACIÓN.</w:t>
      </w:r>
    </w:p>
    <w:p w14:paraId="5E0E661D" w14:textId="77777777" w:rsidR="00140F7C" w:rsidRDefault="00AF35BD">
      <w:pPr>
        <w:keepNext/>
        <w:keepLines/>
        <w:tabs>
          <w:tab w:val="left" w:pos="567"/>
        </w:tabs>
        <w:spacing w:before="240" w:line="276" w:lineRule="auto"/>
        <w:ind w:left="567" w:right="616"/>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4.1. Fecha de Inicio de Pago. </w:t>
      </w:r>
    </w:p>
    <w:p w14:paraId="69705248" w14:textId="77777777" w:rsidR="00140F7C" w:rsidRDefault="00AF35BD">
      <w:pPr>
        <w:keepNext/>
        <w:keepLines/>
        <w:tabs>
          <w:tab w:val="left" w:pos="567"/>
        </w:tabs>
        <w:spacing w:before="24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El DESARROLLADOR sólo tendrá derecho a recibir pagos conforme al presente Contrato hasta que concluya con la Rehabilitación Inicial de cada Segmento.</w:t>
      </w:r>
    </w:p>
    <w:p w14:paraId="151175A4" w14:textId="77777777" w:rsidR="00140F7C" w:rsidRDefault="00AF35BD">
      <w:pPr>
        <w:keepNext/>
        <w:keepLines/>
        <w:tabs>
          <w:tab w:val="left" w:pos="567"/>
        </w:tabs>
        <w:spacing w:before="24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A partir de la primera fecha de cumplimiento de segmento, el DESARROLLADOR tendrá derecho a recibir, mensualmente, los PM1; en el entendido, sin embargo,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si la primera Fecha de Cumplimiento de Segmento es anterior a la primera Fecha Programada de Cumplimiento del Segmento señalada en la Propuesta del Desarrollador, el primer pago mensual será a partir de esta última.</w:t>
      </w:r>
    </w:p>
    <w:p w14:paraId="59DAD41E" w14:textId="77777777" w:rsidR="00140F7C" w:rsidRDefault="00AF35BD">
      <w:pPr>
        <w:keepNext/>
        <w:keepLines/>
        <w:tabs>
          <w:tab w:val="left" w:pos="567"/>
        </w:tabs>
        <w:spacing w:before="24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Cada PM, se calculará conforme a lo señalado en el Anexo G (Mecanismo de pago) y solo se </w:t>
      </w:r>
      <w:proofErr w:type="gramStart"/>
      <w:r>
        <w:rPr>
          <w:rFonts w:ascii="Palatino Linotype" w:eastAsia="Palatino Linotype" w:hAnsi="Palatino Linotype" w:cs="Palatino Linotype"/>
          <w:i/>
        </w:rPr>
        <w:t>pagaran</w:t>
      </w:r>
      <w:proofErr w:type="gramEnd"/>
      <w:r>
        <w:rPr>
          <w:rFonts w:ascii="Palatino Linotype" w:eastAsia="Palatino Linotype" w:hAnsi="Palatino Linotype" w:cs="Palatino Linotype"/>
          <w:i/>
        </w:rPr>
        <w:t xml:space="preserve"> los servicios prestados en los segmentos activos.</w:t>
      </w:r>
    </w:p>
    <w:p w14:paraId="3B085DF0" w14:textId="77777777" w:rsidR="00140F7C" w:rsidRDefault="00AF35BD">
      <w:pPr>
        <w:keepNext/>
        <w:keepLines/>
        <w:tabs>
          <w:tab w:val="left" w:pos="567"/>
        </w:tabs>
        <w:spacing w:before="24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La junta deberá de pagar el desarrollador de cada PM, dentro de los 20 (veinte) días naturales siguientes a la fecha en que el DESARROLLADOR presente a la Junta la factura respectiva.</w:t>
      </w:r>
    </w:p>
    <w:p w14:paraId="4B088E43" w14:textId="77777777" w:rsidR="00140F7C" w:rsidRDefault="00AF35BD">
      <w:pPr>
        <w:keepNext/>
        <w:keepLines/>
        <w:tabs>
          <w:tab w:val="left" w:pos="567"/>
        </w:tabs>
        <w:spacing w:before="24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Para efectos de la presente clausula se entenderá como fecha de presentación de facturas, la fecha en que la Junta haya aprobado la factura correspondiente, previa recepción y aprobación de la estipulación mensual por pago de Supervisor.”</w:t>
      </w:r>
    </w:p>
    <w:p w14:paraId="22468485" w14:textId="77777777" w:rsidR="00140F7C" w:rsidRDefault="00140F7C">
      <w:pPr>
        <w:keepNext/>
        <w:keepLines/>
        <w:tabs>
          <w:tab w:val="left" w:pos="567"/>
        </w:tabs>
        <w:spacing w:before="240" w:line="276" w:lineRule="auto"/>
        <w:ind w:left="567" w:right="616"/>
        <w:jc w:val="both"/>
        <w:rPr>
          <w:rFonts w:ascii="Palatino Linotype" w:eastAsia="Palatino Linotype" w:hAnsi="Palatino Linotype" w:cs="Palatino Linotype"/>
          <w:i/>
          <w:color w:val="000000"/>
        </w:rPr>
      </w:pPr>
    </w:p>
    <w:p w14:paraId="0656B68A" w14:textId="77777777" w:rsidR="00140F7C" w:rsidRDefault="00AF35BD">
      <w:pPr>
        <w:keepNext/>
        <w:keepLines/>
        <w:numPr>
          <w:ilvl w:val="0"/>
          <w:numId w:val="5"/>
        </w:numPr>
        <w:tabs>
          <w:tab w:val="left" w:pos="567"/>
        </w:tabs>
        <w:spacing w:before="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En congruencias con las disposiciones expuestas, es necesario traer a colación lo manifestado por el </w:t>
      </w:r>
      <w:proofErr w:type="gramStart"/>
      <w:r>
        <w:rPr>
          <w:rFonts w:ascii="Palatino Linotype" w:eastAsia="Palatino Linotype" w:hAnsi="Palatino Linotype" w:cs="Palatino Linotype"/>
          <w:color w:val="000000"/>
        </w:rPr>
        <w:t>Director</w:t>
      </w:r>
      <w:proofErr w:type="gramEnd"/>
      <w:r>
        <w:rPr>
          <w:rFonts w:ascii="Palatino Linotype" w:eastAsia="Palatino Linotype" w:hAnsi="Palatino Linotype" w:cs="Palatino Linotype"/>
          <w:color w:val="000000"/>
        </w:rPr>
        <w:t xml:space="preserve"> de Conservación de Caminos en función de que hace alusión que dicho proyecto consta de un paquete de 82 caminos, los cuales fueron divididos en segmentos, siendo así un conjunto de camino, cada segmento es objeto de una medición mensual por Estándar de Desempeño y cada segmento debe cumplir con la totalidad de los estándares que le sean aplicables para activación y </w:t>
      </w:r>
      <w:r>
        <w:rPr>
          <w:rFonts w:ascii="Palatino Linotype" w:eastAsia="Palatino Linotype" w:hAnsi="Palatino Linotype" w:cs="Palatino Linotype"/>
          <w:b/>
          <w:color w:val="000000"/>
        </w:rPr>
        <w:t xml:space="preserve">derecho a pago. </w:t>
      </w:r>
      <w:r>
        <w:rPr>
          <w:rFonts w:ascii="Palatino Linotype" w:eastAsia="Palatino Linotype" w:hAnsi="Palatino Linotype" w:cs="Palatino Linotype"/>
          <w:color w:val="000000"/>
        </w:rPr>
        <w:t>Así mismo refiere que no se ha llevado a cabo el proceso de entrega por parte del Desarrollador de los segmentos rehabilitados parcial o total del tramo carretero Calimaya- San Andrés en el municipio de Calimaya y consecuentemente no se ha generado un “gasto”, con efecto de ello no se ha generado documental alguna al estar en periodo inicial de rehabilitación que comprende un lapso de 2 años, de los 12 de duración del proyecto. De lo antes referido se ilustra de conformidad con los siguientes extractos:</w:t>
      </w:r>
    </w:p>
    <w:p w14:paraId="47A585E7" w14:textId="77777777" w:rsidR="00140F7C" w:rsidRDefault="00140F7C">
      <w:pPr>
        <w:keepNext/>
        <w:keepLines/>
        <w:tabs>
          <w:tab w:val="left" w:pos="567"/>
        </w:tabs>
        <w:spacing w:before="240" w:line="360" w:lineRule="auto"/>
        <w:jc w:val="both"/>
        <w:rPr>
          <w:rFonts w:ascii="Palatino Linotype" w:eastAsia="Palatino Linotype" w:hAnsi="Palatino Linotype" w:cs="Palatino Linotype"/>
          <w:color w:val="000000"/>
        </w:rPr>
      </w:pPr>
    </w:p>
    <w:p w14:paraId="340ECA7B" w14:textId="77777777" w:rsidR="00140F7C" w:rsidRDefault="00AF35BD">
      <w:pPr>
        <w:keepNext/>
        <w:keepLines/>
        <w:tabs>
          <w:tab w:val="left" w:pos="567"/>
        </w:tabs>
        <w:spacing w:before="240" w:line="360" w:lineRule="auto"/>
        <w:ind w:left="567"/>
        <w:jc w:val="both"/>
        <w:rPr>
          <w:rFonts w:ascii="Palatino Linotype" w:eastAsia="Palatino Linotype" w:hAnsi="Palatino Linotype" w:cs="Palatino Linotype"/>
          <w:color w:val="000000"/>
        </w:rPr>
      </w:pPr>
      <w:r>
        <w:rPr>
          <w:rFonts w:ascii="Palatino Linotype" w:eastAsia="Palatino Linotype" w:hAnsi="Palatino Linotype" w:cs="Palatino Linotype"/>
          <w:noProof/>
          <w:lang w:val="es-MX" w:eastAsia="es-MX"/>
        </w:rPr>
        <w:drawing>
          <wp:inline distT="0" distB="0" distL="0" distR="0" wp14:anchorId="19A50A92" wp14:editId="6B9339F6">
            <wp:extent cx="4714875" cy="857250"/>
            <wp:effectExtent l="19050" t="19050" r="19050" b="1905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714875" cy="857250"/>
                    </a:xfrm>
                    <a:prstGeom prst="rect">
                      <a:avLst/>
                    </a:prstGeom>
                    <a:ln w="19050">
                      <a:solidFill>
                        <a:srgbClr val="000000"/>
                      </a:solidFill>
                      <a:prstDash val="solid"/>
                    </a:ln>
                  </pic:spPr>
                </pic:pic>
              </a:graphicData>
            </a:graphic>
          </wp:inline>
        </w:drawing>
      </w:r>
    </w:p>
    <w:p w14:paraId="367AA92D" w14:textId="77777777" w:rsidR="00140F7C" w:rsidRDefault="00AF35BD">
      <w:pPr>
        <w:keepNext/>
        <w:keepLines/>
        <w:tabs>
          <w:tab w:val="left" w:pos="567"/>
        </w:tabs>
        <w:spacing w:before="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lang w:val="es-MX" w:eastAsia="es-MX"/>
        </w:rPr>
        <w:drawing>
          <wp:inline distT="0" distB="0" distL="0" distR="0" wp14:anchorId="0A2371AE" wp14:editId="0CCCD57D">
            <wp:extent cx="4686300" cy="1181100"/>
            <wp:effectExtent l="19050" t="19050" r="19050" b="19050"/>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4686300" cy="1181100"/>
                    </a:xfrm>
                    <a:prstGeom prst="rect">
                      <a:avLst/>
                    </a:prstGeom>
                    <a:ln w="19050">
                      <a:solidFill>
                        <a:srgbClr val="000000"/>
                      </a:solidFill>
                      <a:prstDash val="solid"/>
                    </a:ln>
                  </pic:spPr>
                </pic:pic>
              </a:graphicData>
            </a:graphic>
          </wp:inline>
        </w:drawing>
      </w:r>
    </w:p>
    <w:p w14:paraId="1AB8EAAF" w14:textId="77777777" w:rsidR="00140F7C" w:rsidRDefault="00AF35BD">
      <w:pPr>
        <w:keepNext/>
        <w:keepLines/>
        <w:numPr>
          <w:ilvl w:val="0"/>
          <w:numId w:val="5"/>
        </w:numPr>
        <w:tabs>
          <w:tab w:val="left" w:pos="567"/>
        </w:tabs>
        <w:spacing w:before="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Respecto el presente punto, se localizaron diversas notas periodísticas, la cuales se titulan de la siguiente manera:</w:t>
      </w:r>
    </w:p>
    <w:p w14:paraId="430FEC0E" w14:textId="77777777" w:rsidR="00140F7C" w:rsidRDefault="00140F7C">
      <w:pPr>
        <w:keepNext/>
        <w:keepLines/>
        <w:tabs>
          <w:tab w:val="left" w:pos="567"/>
        </w:tabs>
        <w:spacing w:before="240" w:line="276" w:lineRule="auto"/>
        <w:jc w:val="both"/>
        <w:rPr>
          <w:rFonts w:ascii="Palatino Linotype" w:eastAsia="Palatino Linotype" w:hAnsi="Palatino Linotype" w:cs="Palatino Linotype"/>
          <w:color w:val="000000"/>
        </w:rPr>
      </w:pPr>
    </w:p>
    <w:p w14:paraId="54DF9C91" w14:textId="77777777" w:rsidR="00140F7C" w:rsidRDefault="00AF35BD">
      <w:pPr>
        <w:keepNext/>
        <w:keepLines/>
        <w:tabs>
          <w:tab w:val="left" w:pos="567"/>
        </w:tabs>
        <w:spacing w:before="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“Inauguran pavimentación del Programa App de los Caminos del Sur en Calimaya”,</w:t>
      </w:r>
      <w:r>
        <w:rPr>
          <w:rFonts w:ascii="Palatino Linotype" w:eastAsia="Palatino Linotype" w:hAnsi="Palatino Linotype" w:cs="Palatino Linotype"/>
          <w:i/>
          <w:sz w:val="22"/>
          <w:szCs w:val="22"/>
        </w:rPr>
        <w:t xml:space="preserve"> localizada en la página electrónica</w:t>
      </w:r>
      <w:r>
        <w:rPr>
          <w:rFonts w:ascii="Palatino Linotype" w:eastAsia="Palatino Linotype" w:hAnsi="Palatino Linotype" w:cs="Palatino Linotype"/>
          <w:i/>
          <w:color w:val="0563C1"/>
          <w:sz w:val="22"/>
          <w:szCs w:val="22"/>
          <w:u w:val="single"/>
        </w:rPr>
        <w:t xml:space="preserve"> </w:t>
      </w:r>
      <w:hyperlink r:id="rId16">
        <w:r>
          <w:rPr>
            <w:rFonts w:ascii="Palatino Linotype" w:eastAsia="Palatino Linotype" w:hAnsi="Palatino Linotype" w:cs="Palatino Linotype"/>
            <w:i/>
            <w:color w:val="0563C1"/>
            <w:sz w:val="22"/>
            <w:szCs w:val="22"/>
            <w:u w:val="single"/>
          </w:rPr>
          <w:t>https://www.comunicacionxxi.com.mx/blogs/post/inauguran-pavimentacion-programa-app-caminos-del-sur-calimaya</w:t>
        </w:r>
      </w:hyperlink>
      <w:r>
        <w:rPr>
          <w:rFonts w:ascii="Palatino Linotype" w:eastAsia="Palatino Linotype" w:hAnsi="Palatino Linotype" w:cs="Palatino Linotype"/>
          <w:i/>
          <w:sz w:val="22"/>
          <w:szCs w:val="22"/>
        </w:rPr>
        <w:t xml:space="preserve">, del cuatro (04) de febrero de dos mil veintitrés, de la cual se desprende que el alcalde Oscar Hernández Meza acompañado del subsecretario de Gobierno, Ignacio Beltrán García y la diputada local, Karla Aguilar Talavera, inauguraron de manera </w:t>
      </w:r>
      <w:proofErr w:type="spellStart"/>
      <w:r>
        <w:rPr>
          <w:rFonts w:ascii="Palatino Linotype" w:eastAsia="Palatino Linotype" w:hAnsi="Palatino Linotype" w:cs="Palatino Linotype"/>
          <w:i/>
          <w:sz w:val="22"/>
          <w:szCs w:val="22"/>
        </w:rPr>
        <w:t>oficvial</w:t>
      </w:r>
      <w:proofErr w:type="spellEnd"/>
      <w:r>
        <w:rPr>
          <w:rFonts w:ascii="Palatino Linotype" w:eastAsia="Palatino Linotype" w:hAnsi="Palatino Linotype" w:cs="Palatino Linotype"/>
          <w:i/>
          <w:sz w:val="22"/>
          <w:szCs w:val="22"/>
        </w:rPr>
        <w:t xml:space="preserve"> la pavimentación del programa App de los Caminos del Sur.</w:t>
      </w:r>
    </w:p>
    <w:p w14:paraId="21864B75" w14:textId="77777777" w:rsidR="00140F7C" w:rsidRDefault="00AF35BD">
      <w:pPr>
        <w:keepNext/>
        <w:keepLines/>
        <w:tabs>
          <w:tab w:val="left" w:pos="567"/>
        </w:tabs>
        <w:spacing w:before="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su discurso, Hernández Meza agradeció a la Junta Local de Caminos por el eficiente trabajo realizado en esta área, lo cual mejora la movilidad entre éste y los municipios vecinos.</w:t>
      </w:r>
    </w:p>
    <w:p w14:paraId="380986BF" w14:textId="77777777" w:rsidR="00140F7C" w:rsidRDefault="00AF35BD">
      <w:pPr>
        <w:keepNext/>
        <w:keepLines/>
        <w:tabs>
          <w:tab w:val="left" w:pos="567"/>
        </w:tabs>
        <w:spacing w:before="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caminos incluidos en este programa son Calimaya-San Felipe </w:t>
      </w:r>
      <w:proofErr w:type="spellStart"/>
      <w:r>
        <w:rPr>
          <w:rFonts w:ascii="Palatino Linotype" w:eastAsia="Palatino Linotype" w:hAnsi="Palatino Linotype" w:cs="Palatino Linotype"/>
          <w:i/>
          <w:sz w:val="22"/>
          <w:szCs w:val="22"/>
        </w:rPr>
        <w:t>Tlalmimilolpan</w:t>
      </w:r>
      <w:proofErr w:type="spellEnd"/>
      <w:r>
        <w:rPr>
          <w:rFonts w:ascii="Palatino Linotype" w:eastAsia="Palatino Linotype" w:hAnsi="Palatino Linotype" w:cs="Palatino Linotype"/>
          <w:i/>
          <w:sz w:val="22"/>
          <w:szCs w:val="22"/>
        </w:rPr>
        <w:t xml:space="preserve"> y Calimaya -Zaragoza Km 12.5 (Toluca – Metepec – Tenango), el cual beneficia </w:t>
      </w:r>
      <w:proofErr w:type="spellStart"/>
      <w:r>
        <w:rPr>
          <w:rFonts w:ascii="Palatino Linotype" w:eastAsia="Palatino Linotype" w:hAnsi="Palatino Linotype" w:cs="Palatino Linotype"/>
          <w:i/>
          <w:sz w:val="22"/>
          <w:szCs w:val="22"/>
        </w:rPr>
        <w:t>ámpliamente</w:t>
      </w:r>
      <w:proofErr w:type="spellEnd"/>
      <w:r>
        <w:rPr>
          <w:rFonts w:ascii="Palatino Linotype" w:eastAsia="Palatino Linotype" w:hAnsi="Palatino Linotype" w:cs="Palatino Linotype"/>
          <w:i/>
          <w:sz w:val="22"/>
          <w:szCs w:val="22"/>
        </w:rPr>
        <w:t xml:space="preserve"> a las familias que ahora pueden realizar sus trayectos más rápidos y seguros.”</w:t>
      </w:r>
    </w:p>
    <w:p w14:paraId="60830C8D" w14:textId="77777777" w:rsidR="00140F7C" w:rsidRDefault="00AF35BD">
      <w:pPr>
        <w:keepNext/>
        <w:keepLines/>
        <w:tabs>
          <w:tab w:val="left" w:pos="567"/>
        </w:tabs>
        <w:spacing w:before="240" w:line="276" w:lineRule="auto"/>
        <w:ind w:left="567" w:right="616"/>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sz w:val="22"/>
          <w:szCs w:val="22"/>
        </w:rPr>
        <w:t>“Calimaya favorecido con “Caminos del Sur””,</w:t>
      </w:r>
      <w:r>
        <w:rPr>
          <w:rFonts w:ascii="Palatino Linotype" w:eastAsia="Palatino Linotype" w:hAnsi="Palatino Linotype" w:cs="Palatino Linotype"/>
          <w:i/>
          <w:sz w:val="22"/>
          <w:szCs w:val="22"/>
        </w:rPr>
        <w:t xml:space="preserve"> localizada en la página electrónica </w:t>
      </w:r>
      <w:hyperlink r:id="rId17">
        <w:r>
          <w:rPr>
            <w:rFonts w:ascii="Palatino Linotype" w:eastAsia="Palatino Linotype" w:hAnsi="Palatino Linotype" w:cs="Palatino Linotype"/>
            <w:i/>
            <w:color w:val="0563C1"/>
            <w:sz w:val="22"/>
            <w:szCs w:val="22"/>
            <w:u w:val="single"/>
          </w:rPr>
          <w:t>https://cadenapolitica.com/2023/02/07/calimaya-favorecido-con-caminos-del-sur</w:t>
        </w:r>
      </w:hyperlink>
      <w:r>
        <w:rPr>
          <w:rFonts w:ascii="Palatino Linotype" w:eastAsia="Palatino Linotype" w:hAnsi="Palatino Linotype" w:cs="Palatino Linotype"/>
          <w:i/>
          <w:sz w:val="22"/>
          <w:szCs w:val="22"/>
        </w:rPr>
        <w:t xml:space="preserve">,  del siete (07) de febrero de dos mil veintitrés, de la cual se desprende </w:t>
      </w:r>
      <w:r>
        <w:rPr>
          <w:rFonts w:ascii="Palatino Linotype" w:eastAsia="Palatino Linotype" w:hAnsi="Palatino Linotype" w:cs="Palatino Linotype"/>
          <w:i/>
          <w:color w:val="404040"/>
          <w:sz w:val="22"/>
          <w:szCs w:val="22"/>
        </w:rPr>
        <w:t xml:space="preserve"> que con la asistencia del subsecretario de Gobierno, Ignacio </w:t>
      </w:r>
      <w:proofErr w:type="spellStart"/>
      <w:r>
        <w:rPr>
          <w:rFonts w:ascii="Palatino Linotype" w:eastAsia="Palatino Linotype" w:hAnsi="Palatino Linotype" w:cs="Palatino Linotype"/>
          <w:i/>
          <w:color w:val="404040"/>
          <w:sz w:val="22"/>
          <w:szCs w:val="22"/>
        </w:rPr>
        <w:t>Beltran</w:t>
      </w:r>
      <w:proofErr w:type="spellEnd"/>
      <w:r>
        <w:rPr>
          <w:rFonts w:ascii="Palatino Linotype" w:eastAsia="Palatino Linotype" w:hAnsi="Palatino Linotype" w:cs="Palatino Linotype"/>
          <w:i/>
          <w:color w:val="404040"/>
          <w:sz w:val="22"/>
          <w:szCs w:val="22"/>
        </w:rPr>
        <w:t xml:space="preserve"> García, el presidente municipal Óscar Hernández Meza e integrantes del cabildo, inauguraron de manera formal la  pavimentación del “Programa APP de los Caminos del Sur”.</w:t>
      </w:r>
    </w:p>
    <w:p w14:paraId="1E855BC9" w14:textId="77777777" w:rsidR="00140F7C" w:rsidRDefault="00AF35BD">
      <w:pPr>
        <w:keepNext/>
        <w:keepLines/>
        <w:tabs>
          <w:tab w:val="left" w:pos="567"/>
        </w:tabs>
        <w:spacing w:before="240" w:line="276" w:lineRule="auto"/>
        <w:ind w:left="567" w:right="616"/>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Con presupuesto de este programa, Calimaya resultó beneficiado y ahora se tienen vías de comunicación en óptimas condiciones, toda vez que garantizan seguridad y una mayor agilidad.</w:t>
      </w:r>
    </w:p>
    <w:p w14:paraId="7D1EEA55" w14:textId="77777777" w:rsidR="00140F7C" w:rsidRDefault="00AF35BD">
      <w:pPr>
        <w:keepNext/>
        <w:keepLines/>
        <w:tabs>
          <w:tab w:val="left" w:pos="567"/>
        </w:tabs>
        <w:spacing w:before="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noProof/>
          <w:sz w:val="22"/>
          <w:szCs w:val="22"/>
          <w:lang w:val="es-MX" w:eastAsia="es-MX"/>
        </w:rPr>
        <w:lastRenderedPageBreak/>
        <w:drawing>
          <wp:inline distT="0" distB="0" distL="0" distR="0" wp14:anchorId="2926D582" wp14:editId="51D99F70">
            <wp:extent cx="4743450" cy="2847975"/>
            <wp:effectExtent l="19050" t="19050" r="19050" b="19050"/>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4743450" cy="2847975"/>
                    </a:xfrm>
                    <a:prstGeom prst="rect">
                      <a:avLst/>
                    </a:prstGeom>
                    <a:ln w="19050">
                      <a:solidFill>
                        <a:srgbClr val="000000"/>
                      </a:solidFill>
                      <a:prstDash val="solid"/>
                    </a:ln>
                  </pic:spPr>
                </pic:pic>
              </a:graphicData>
            </a:graphic>
          </wp:inline>
        </w:drawing>
      </w:r>
    </w:p>
    <w:p w14:paraId="2610C78D" w14:textId="77777777" w:rsidR="00140F7C" w:rsidRDefault="00AF35BD">
      <w:pPr>
        <w:keepNext/>
        <w:keepLines/>
        <w:tabs>
          <w:tab w:val="left" w:pos="567"/>
        </w:tabs>
        <w:spacing w:before="240" w:line="276" w:lineRule="auto"/>
        <w:ind w:left="567" w:right="616"/>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Por esta obra, el alcalde Oscar Hernández Meza, destacó el respaldo del gobierno estatal, al tiempo en que recalcó que la rehabilitación de los caminos, Calimaya – San Felipe </w:t>
      </w:r>
      <w:proofErr w:type="spellStart"/>
      <w:r>
        <w:rPr>
          <w:rFonts w:ascii="Palatino Linotype" w:eastAsia="Palatino Linotype" w:hAnsi="Palatino Linotype" w:cs="Palatino Linotype"/>
          <w:i/>
          <w:color w:val="404040"/>
          <w:sz w:val="22"/>
          <w:szCs w:val="22"/>
        </w:rPr>
        <w:t>Tlalmimilolpan</w:t>
      </w:r>
      <w:proofErr w:type="spellEnd"/>
      <w:r>
        <w:rPr>
          <w:rFonts w:ascii="Palatino Linotype" w:eastAsia="Palatino Linotype" w:hAnsi="Palatino Linotype" w:cs="Palatino Linotype"/>
          <w:i/>
          <w:color w:val="404040"/>
          <w:sz w:val="22"/>
          <w:szCs w:val="22"/>
        </w:rPr>
        <w:t xml:space="preserve"> y Km 12.5 (Toluca – Metepec – Tenango) Calimaya – Zaragoza, viene a favorecer la </w:t>
      </w:r>
      <w:proofErr w:type="gramStart"/>
      <w:r>
        <w:rPr>
          <w:rFonts w:ascii="Palatino Linotype" w:eastAsia="Palatino Linotype" w:hAnsi="Palatino Linotype" w:cs="Palatino Linotype"/>
          <w:i/>
          <w:color w:val="404040"/>
          <w:sz w:val="22"/>
          <w:szCs w:val="22"/>
        </w:rPr>
        <w:t>conectividad  entre</w:t>
      </w:r>
      <w:proofErr w:type="gramEnd"/>
      <w:r>
        <w:rPr>
          <w:rFonts w:ascii="Palatino Linotype" w:eastAsia="Palatino Linotype" w:hAnsi="Palatino Linotype" w:cs="Palatino Linotype"/>
          <w:i/>
          <w:color w:val="404040"/>
          <w:sz w:val="22"/>
          <w:szCs w:val="22"/>
        </w:rPr>
        <w:t xml:space="preserve"> varias localidades.”</w:t>
      </w:r>
    </w:p>
    <w:p w14:paraId="6CC42BAF" w14:textId="77777777" w:rsidR="00140F7C" w:rsidRDefault="00140F7C">
      <w:pPr>
        <w:keepNext/>
        <w:keepLines/>
        <w:tabs>
          <w:tab w:val="left" w:pos="567"/>
        </w:tabs>
        <w:spacing w:before="240" w:line="276" w:lineRule="auto"/>
        <w:ind w:left="567" w:right="616"/>
        <w:jc w:val="both"/>
        <w:rPr>
          <w:rFonts w:ascii="Palatino Linotype" w:eastAsia="Palatino Linotype" w:hAnsi="Palatino Linotype" w:cs="Palatino Linotype"/>
          <w:i/>
          <w:color w:val="404040"/>
          <w:sz w:val="22"/>
          <w:szCs w:val="22"/>
        </w:rPr>
      </w:pPr>
    </w:p>
    <w:p w14:paraId="3CCCD302" w14:textId="77777777" w:rsidR="00140F7C" w:rsidRDefault="00AF35BD">
      <w:pPr>
        <w:keepNext/>
        <w:keepLines/>
        <w:numPr>
          <w:ilvl w:val="0"/>
          <w:numId w:val="5"/>
        </w:numPr>
        <w:tabs>
          <w:tab w:val="left" w:pos="567"/>
        </w:tabs>
        <w:spacing w:before="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razón de que el día tres (03) de febrero de dos mil </w:t>
      </w:r>
      <w:proofErr w:type="gramStart"/>
      <w:r>
        <w:rPr>
          <w:rFonts w:ascii="Palatino Linotype" w:eastAsia="Palatino Linotype" w:hAnsi="Palatino Linotype" w:cs="Palatino Linotype"/>
          <w:color w:val="000000"/>
        </w:rPr>
        <w:t>veintitrés  se</w:t>
      </w:r>
      <w:proofErr w:type="gramEnd"/>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inauguró</w:t>
      </w:r>
      <w:r>
        <w:rPr>
          <w:rFonts w:ascii="Palatino Linotype" w:eastAsia="Palatino Linotype" w:hAnsi="Palatino Linotype" w:cs="Palatino Linotype"/>
          <w:color w:val="000000"/>
        </w:rPr>
        <w:t xml:space="preserve"> de forma oficial la pavimentación del tramo carretero Calimaya-San Felipe </w:t>
      </w:r>
      <w:proofErr w:type="spellStart"/>
      <w:r>
        <w:rPr>
          <w:rFonts w:ascii="Palatino Linotype" w:eastAsia="Palatino Linotype" w:hAnsi="Palatino Linotype" w:cs="Palatino Linotype"/>
          <w:color w:val="000000"/>
        </w:rPr>
        <w:t>Tlalmimilolpan</w:t>
      </w:r>
      <w:proofErr w:type="spellEnd"/>
      <w:r>
        <w:rPr>
          <w:rFonts w:ascii="Palatino Linotype" w:eastAsia="Palatino Linotype" w:hAnsi="Palatino Linotype" w:cs="Palatino Linotype"/>
          <w:color w:val="000000"/>
        </w:rPr>
        <w:t xml:space="preserve"> y Calimaya -Zaragoza Km 12.5 (Toluca – Metepec – Tenango), en efecto a la fecha de la solicitud, no había realizado ningún pago en razón de que la habilitación del tramo en comentó aún no había iniciado. </w:t>
      </w:r>
      <w:r>
        <w:rPr>
          <w:rFonts w:ascii="Palatino Linotype" w:eastAsia="Palatino Linotype" w:hAnsi="Palatino Linotype" w:cs="Palatino Linotype"/>
        </w:rPr>
        <w:t xml:space="preserve">Encontrándonos ante un hecho negativo, destacando entonces que el Pleno de este Organismo Garante, ha sostenido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18C7C613" w14:textId="77777777" w:rsidR="00140F7C" w:rsidRDefault="00140F7C">
      <w:pPr>
        <w:spacing w:line="276" w:lineRule="auto"/>
        <w:ind w:left="567" w:right="900"/>
        <w:jc w:val="both"/>
        <w:rPr>
          <w:rFonts w:ascii="Palatino Linotype" w:eastAsia="Palatino Linotype" w:hAnsi="Palatino Linotype" w:cs="Palatino Linotype"/>
          <w:i/>
          <w:sz w:val="22"/>
          <w:szCs w:val="22"/>
        </w:rPr>
      </w:pPr>
    </w:p>
    <w:p w14:paraId="43069248" w14:textId="77777777" w:rsidR="00140F7C" w:rsidRDefault="00AF35BD">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HECHOS NEGATIVOS, NO SON SUSCEPTIBLES DE DEMOSTRACIÓN</w:t>
      </w:r>
      <w:r>
        <w:rPr>
          <w:rFonts w:ascii="Palatino Linotype" w:eastAsia="Palatino Linotype" w:hAnsi="Palatino Linotype" w:cs="Palatino Linotype"/>
          <w:i/>
          <w:sz w:val="22"/>
          <w:szCs w:val="22"/>
        </w:rPr>
        <w:t>.</w:t>
      </w:r>
    </w:p>
    <w:p w14:paraId="6E26A3A7" w14:textId="77777777" w:rsidR="00140F7C" w:rsidRDefault="00AF35BD">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Tratándose de un hecho negativo, el Juez no tiene </w:t>
      </w:r>
      <w:proofErr w:type="spellStart"/>
      <w:r>
        <w:rPr>
          <w:rFonts w:ascii="Palatino Linotype" w:eastAsia="Palatino Linotype" w:hAnsi="Palatino Linotype" w:cs="Palatino Linotype"/>
          <w:i/>
          <w:sz w:val="22"/>
          <w:szCs w:val="22"/>
        </w:rPr>
        <w:t>por que</w:t>
      </w:r>
      <w:proofErr w:type="spellEnd"/>
      <w:r>
        <w:rPr>
          <w:rFonts w:ascii="Palatino Linotype" w:eastAsia="Palatino Linotype" w:hAnsi="Palatino Linotype" w:cs="Palatino Linotype"/>
          <w:i/>
          <w:sz w:val="22"/>
          <w:szCs w:val="22"/>
        </w:rPr>
        <w:t xml:space="preserve"> invocar prueba alguna de la que se desprenda, ya que es bien sabido que esta clase de hechos no son susceptibles de demostración.</w:t>
      </w:r>
    </w:p>
    <w:p w14:paraId="5B613327" w14:textId="77777777" w:rsidR="00140F7C" w:rsidRDefault="00AF35BD">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Amparo en revisión 2022/61. José García </w:t>
      </w:r>
      <w:proofErr w:type="gramStart"/>
      <w:r>
        <w:rPr>
          <w:rFonts w:ascii="Palatino Linotype" w:eastAsia="Palatino Linotype" w:hAnsi="Palatino Linotype" w:cs="Palatino Linotype"/>
          <w:i/>
          <w:sz w:val="22"/>
          <w:szCs w:val="22"/>
        </w:rPr>
        <w:t>Florín</w:t>
      </w:r>
      <w:proofErr w:type="gramEnd"/>
      <w:r>
        <w:rPr>
          <w:rFonts w:ascii="Palatino Linotype" w:eastAsia="Palatino Linotype" w:hAnsi="Palatino Linotype" w:cs="Palatino Linotype"/>
          <w:i/>
          <w:sz w:val="22"/>
          <w:szCs w:val="22"/>
        </w:rPr>
        <w:t xml:space="preserve"> (Menor). 9 de octubre de 1961. Cinco votos. Ponente: José Rivera Pérez Campos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3AF4582E" w14:textId="77777777" w:rsidR="00140F7C" w:rsidRDefault="00140F7C">
      <w:pPr>
        <w:spacing w:line="360" w:lineRule="auto"/>
        <w:jc w:val="both"/>
        <w:rPr>
          <w:rFonts w:ascii="Palatino Linotype" w:eastAsia="Palatino Linotype" w:hAnsi="Palatino Linotype" w:cs="Palatino Linotype"/>
        </w:rPr>
      </w:pPr>
    </w:p>
    <w:p w14:paraId="4AE79D99" w14:textId="77777777" w:rsidR="00140F7C" w:rsidRDefault="00AF35BD">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Además, y de conformidad con lo establecido en el artículo 12 de la Ley de Transparencia y Acceso a la Información Pública del Estado de México y Municipios, anteriormente invocado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sólo proporcionará la información que obra en sus archivos, lo que a contrario sensu significa que no se está obligado a proporcionar lo que no obre en sus archivos.</w:t>
      </w:r>
    </w:p>
    <w:p w14:paraId="3295DBF6" w14:textId="77777777" w:rsidR="00140F7C" w:rsidRDefault="00140F7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A243CFE" w14:textId="77777777" w:rsidR="00140F7C" w:rsidRDefault="00AF35BD">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Aunado a lo anterior, este Pleno considera necesario dejar claro que, al haber existido un pronunciamiento por parte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1B44A0D6" w14:textId="77777777" w:rsidR="00140F7C" w:rsidRDefault="00140F7C">
      <w:pPr>
        <w:spacing w:line="360" w:lineRule="auto"/>
        <w:jc w:val="both"/>
        <w:rPr>
          <w:rFonts w:ascii="Palatino Linotype" w:eastAsia="Palatino Linotype" w:hAnsi="Palatino Linotype" w:cs="Palatino Linotype"/>
        </w:rPr>
      </w:pPr>
    </w:p>
    <w:p w14:paraId="32DAECF0" w14:textId="77777777" w:rsidR="00140F7C" w:rsidRDefault="00AF35BD">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w:t>
      </w:r>
      <w:r>
        <w:rPr>
          <w:rFonts w:ascii="Palatino Linotype" w:eastAsia="Palatino Linotype" w:hAnsi="Palatino Linotype" w:cs="Palatino Linotype"/>
          <w:i/>
          <w:sz w:val="22"/>
          <w:szCs w:val="22"/>
        </w:rPr>
        <w:lastRenderedPageBreak/>
        <w:t>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3C079B3" w14:textId="77777777" w:rsidR="00140F7C" w:rsidRDefault="00140F7C">
      <w:pPr>
        <w:ind w:left="567" w:right="900"/>
        <w:jc w:val="both"/>
        <w:rPr>
          <w:rFonts w:ascii="Palatino Linotype" w:eastAsia="Palatino Linotype" w:hAnsi="Palatino Linotype" w:cs="Palatino Linotype"/>
          <w:i/>
          <w:sz w:val="22"/>
          <w:szCs w:val="22"/>
        </w:rPr>
      </w:pPr>
    </w:p>
    <w:p w14:paraId="5A097894" w14:textId="77777777" w:rsidR="00140F7C" w:rsidRDefault="00AF35BD">
      <w:pPr>
        <w:keepNext/>
        <w:keepLines/>
        <w:numPr>
          <w:ilvl w:val="0"/>
          <w:numId w:val="5"/>
        </w:numPr>
        <w:pBdr>
          <w:top w:val="nil"/>
          <w:left w:val="nil"/>
          <w:bottom w:val="nil"/>
          <w:right w:val="nil"/>
          <w:between w:val="nil"/>
        </w:pBdr>
        <w:tabs>
          <w:tab w:val="left" w:pos="567"/>
        </w:tabs>
        <w:spacing w:before="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222222"/>
          <w:sz w:val="22"/>
          <w:szCs w:val="22"/>
        </w:rPr>
        <w:t xml:space="preserve">Lo anterior, corresponde a las obligaciones comunes de transparencia que los </w:t>
      </w:r>
      <w:r>
        <w:rPr>
          <w:rFonts w:ascii="Palatino Linotype" w:eastAsia="Palatino Linotype" w:hAnsi="Palatino Linotype" w:cs="Palatino Linotype"/>
          <w:b/>
          <w:color w:val="222222"/>
          <w:sz w:val="22"/>
          <w:szCs w:val="22"/>
        </w:rPr>
        <w:t>SUJETOS OBLIGADOS</w:t>
      </w:r>
      <w:r>
        <w:rPr>
          <w:rFonts w:ascii="Palatino Linotype" w:eastAsia="Palatino Linotype" w:hAnsi="Palatino Linotype" w:cs="Palatino Linotype"/>
          <w:color w:val="222222"/>
          <w:sz w:val="22"/>
          <w:szCs w:val="22"/>
        </w:rPr>
        <w:t xml:space="preserve"> deben publicar de manera permanente y actualizada en los medios digitales correspondientes, a saber, el portal de Información Pública de Oficio Mexiquense, esto, debido a la fracción XXIX, del artículo 92 de la Ley de la materia, pues a la letra, dispone lo siguiente: </w:t>
      </w:r>
    </w:p>
    <w:p w14:paraId="3863BA94" w14:textId="77777777" w:rsidR="00140F7C" w:rsidRDefault="00140F7C">
      <w:pPr>
        <w:spacing w:line="360" w:lineRule="auto"/>
        <w:jc w:val="both"/>
        <w:rPr>
          <w:rFonts w:ascii="Palatino Linotype" w:eastAsia="Palatino Linotype" w:hAnsi="Palatino Linotype" w:cs="Palatino Linotype"/>
          <w:color w:val="222222"/>
          <w:sz w:val="22"/>
          <w:szCs w:val="22"/>
        </w:rPr>
      </w:pPr>
    </w:p>
    <w:p w14:paraId="64F9A06C" w14:textId="77777777" w:rsidR="00140F7C" w:rsidRDefault="00AF35BD">
      <w:pPr>
        <w:spacing w:line="360" w:lineRule="auto"/>
        <w:jc w:val="center"/>
        <w:rPr>
          <w:rFonts w:ascii="Palatino Linotype" w:eastAsia="Palatino Linotype" w:hAnsi="Palatino Linotype" w:cs="Palatino Linotype"/>
          <w:b/>
          <w:color w:val="222222"/>
          <w:sz w:val="22"/>
          <w:szCs w:val="22"/>
        </w:rPr>
      </w:pPr>
      <w:r>
        <w:rPr>
          <w:rFonts w:ascii="Palatino Linotype" w:eastAsia="Palatino Linotype" w:hAnsi="Palatino Linotype" w:cs="Palatino Linotype"/>
          <w:b/>
          <w:color w:val="222222"/>
          <w:sz w:val="22"/>
          <w:szCs w:val="22"/>
        </w:rPr>
        <w:t>“Capítulo II</w:t>
      </w:r>
    </w:p>
    <w:p w14:paraId="578C3536" w14:textId="77777777" w:rsidR="00140F7C" w:rsidRDefault="00AF35BD">
      <w:pPr>
        <w:spacing w:line="360" w:lineRule="auto"/>
        <w:jc w:val="center"/>
        <w:rPr>
          <w:rFonts w:ascii="Palatino Linotype" w:eastAsia="Palatino Linotype" w:hAnsi="Palatino Linotype" w:cs="Palatino Linotype"/>
          <w:b/>
          <w:color w:val="222222"/>
          <w:sz w:val="22"/>
          <w:szCs w:val="22"/>
        </w:rPr>
      </w:pPr>
      <w:r>
        <w:rPr>
          <w:rFonts w:ascii="Palatino Linotype" w:eastAsia="Palatino Linotype" w:hAnsi="Palatino Linotype" w:cs="Palatino Linotype"/>
          <w:b/>
          <w:color w:val="222222"/>
          <w:sz w:val="22"/>
          <w:szCs w:val="22"/>
        </w:rPr>
        <w:t>De las Obligaciones de Transparencia Comunes</w:t>
      </w:r>
    </w:p>
    <w:p w14:paraId="38E23AA0" w14:textId="77777777" w:rsidR="00140F7C" w:rsidRDefault="00140F7C">
      <w:pPr>
        <w:spacing w:line="360" w:lineRule="auto"/>
        <w:jc w:val="center"/>
        <w:rPr>
          <w:rFonts w:ascii="Palatino Linotype" w:eastAsia="Palatino Linotype" w:hAnsi="Palatino Linotype" w:cs="Palatino Linotype"/>
          <w:b/>
          <w:i/>
          <w:color w:val="222222"/>
          <w:sz w:val="22"/>
          <w:szCs w:val="22"/>
        </w:rPr>
      </w:pPr>
    </w:p>
    <w:p w14:paraId="59EFD614" w14:textId="77777777" w:rsidR="00140F7C" w:rsidRDefault="00AF35BD">
      <w:pPr>
        <w:spacing w:line="360" w:lineRule="auto"/>
        <w:ind w:left="567" w:right="53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b/>
          <w:i/>
          <w:color w:val="222222"/>
          <w:sz w:val="22"/>
          <w:szCs w:val="22"/>
        </w:rPr>
        <w:t>Artículo 92.</w:t>
      </w:r>
      <w:r>
        <w:rPr>
          <w:rFonts w:ascii="Palatino Linotype" w:eastAsia="Palatino Linotype" w:hAnsi="Palatino Linotype" w:cs="Palatino Linotype"/>
          <w:i/>
          <w:color w:val="222222"/>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0F4A1D1" w14:textId="77777777" w:rsidR="00140F7C" w:rsidRDefault="00140F7C">
      <w:pPr>
        <w:spacing w:line="360" w:lineRule="auto"/>
        <w:ind w:left="567" w:right="539"/>
        <w:jc w:val="both"/>
        <w:rPr>
          <w:rFonts w:ascii="Palatino Linotype" w:eastAsia="Palatino Linotype" w:hAnsi="Palatino Linotype" w:cs="Palatino Linotype"/>
          <w:i/>
          <w:color w:val="222222"/>
          <w:sz w:val="22"/>
          <w:szCs w:val="22"/>
        </w:rPr>
      </w:pPr>
    </w:p>
    <w:p w14:paraId="23F0C5FD" w14:textId="77777777" w:rsidR="00140F7C" w:rsidRDefault="00AF35BD">
      <w:pPr>
        <w:spacing w:line="360" w:lineRule="auto"/>
        <w:ind w:left="567" w:right="539"/>
        <w:jc w:val="both"/>
        <w:rPr>
          <w:rFonts w:ascii="Palatino Linotype" w:eastAsia="Palatino Linotype" w:hAnsi="Palatino Linotype" w:cs="Palatino Linotype"/>
          <w:b/>
          <w:i/>
          <w:color w:val="222222"/>
          <w:sz w:val="22"/>
          <w:szCs w:val="22"/>
        </w:rPr>
      </w:pPr>
      <w:r>
        <w:rPr>
          <w:rFonts w:ascii="Palatino Linotype" w:eastAsia="Palatino Linotype" w:hAnsi="Palatino Linotype" w:cs="Palatino Linotype"/>
          <w:b/>
          <w:i/>
          <w:color w:val="222222"/>
          <w:sz w:val="22"/>
          <w:szCs w:val="22"/>
        </w:rPr>
        <w:t xml:space="preserve">I a XXVIII… </w:t>
      </w:r>
    </w:p>
    <w:p w14:paraId="66E84670" w14:textId="77777777" w:rsidR="00140F7C" w:rsidRDefault="00AF35BD">
      <w:pPr>
        <w:spacing w:line="360" w:lineRule="auto"/>
        <w:ind w:left="567" w:right="53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b/>
          <w:i/>
          <w:color w:val="222222"/>
          <w:sz w:val="22"/>
          <w:szCs w:val="22"/>
        </w:rPr>
        <w:t xml:space="preserve">XXIX. </w:t>
      </w:r>
      <w:r>
        <w:rPr>
          <w:rFonts w:ascii="Palatino Linotype" w:eastAsia="Palatino Linotype" w:hAnsi="Palatino Linotype" w:cs="Palatino Linotype"/>
          <w:i/>
          <w:color w:val="222222"/>
          <w:sz w:val="22"/>
          <w:szCs w:val="22"/>
        </w:rPr>
        <w:t xml:space="preserve">La información sobre los procesos y resultados sobre procedimientos de adjudicación directa, invitación restringida y licitación de cualquier naturaleza, </w:t>
      </w:r>
      <w:r>
        <w:rPr>
          <w:rFonts w:ascii="Palatino Linotype" w:eastAsia="Palatino Linotype" w:hAnsi="Palatino Linotype" w:cs="Palatino Linotype"/>
          <w:i/>
          <w:color w:val="222222"/>
          <w:sz w:val="22"/>
          <w:szCs w:val="22"/>
        </w:rPr>
        <w:lastRenderedPageBreak/>
        <w:t xml:space="preserve">incluyendo la versión pública del expediente respectivo y de los contratos celebrados, </w:t>
      </w:r>
      <w:r>
        <w:rPr>
          <w:rFonts w:ascii="Palatino Linotype" w:eastAsia="Palatino Linotype" w:hAnsi="Palatino Linotype" w:cs="Palatino Linotype"/>
          <w:b/>
          <w:i/>
          <w:color w:val="222222"/>
          <w:sz w:val="22"/>
          <w:szCs w:val="22"/>
        </w:rPr>
        <w:t>que deberán contener, por los menos</w:t>
      </w:r>
      <w:r>
        <w:rPr>
          <w:rFonts w:ascii="Palatino Linotype" w:eastAsia="Palatino Linotype" w:hAnsi="Palatino Linotype" w:cs="Palatino Linotype"/>
          <w:i/>
          <w:color w:val="222222"/>
          <w:sz w:val="22"/>
          <w:szCs w:val="22"/>
        </w:rPr>
        <w:t xml:space="preserve">, lo siguiente:  </w:t>
      </w:r>
    </w:p>
    <w:p w14:paraId="77E3141F" w14:textId="77777777" w:rsidR="00140F7C" w:rsidRDefault="00140F7C">
      <w:pPr>
        <w:spacing w:line="360" w:lineRule="auto"/>
        <w:ind w:left="567" w:right="539"/>
        <w:jc w:val="both"/>
        <w:rPr>
          <w:rFonts w:ascii="Palatino Linotype" w:eastAsia="Palatino Linotype" w:hAnsi="Palatino Linotype" w:cs="Palatino Linotype"/>
          <w:i/>
          <w:color w:val="222222"/>
          <w:sz w:val="22"/>
          <w:szCs w:val="22"/>
        </w:rPr>
      </w:pPr>
    </w:p>
    <w:p w14:paraId="5D87D681" w14:textId="77777777" w:rsidR="00140F7C" w:rsidRDefault="00AF35BD">
      <w:pPr>
        <w:spacing w:line="360" w:lineRule="auto"/>
        <w:ind w:left="567" w:right="53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a) De licitaciones públicas o procedimientos de invitación restringida:</w:t>
      </w:r>
    </w:p>
    <w:p w14:paraId="3F3D0CC6" w14:textId="77777777" w:rsidR="00140F7C" w:rsidRDefault="00AF35BD">
      <w:pPr>
        <w:spacing w:line="360" w:lineRule="auto"/>
        <w:ind w:left="567" w:right="53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1) La convocatoria o invitación emitida, así como los fundamentos legales aplicados para llevarla a cabo;  </w:t>
      </w:r>
    </w:p>
    <w:p w14:paraId="241FCFB7" w14:textId="77777777" w:rsidR="00140F7C" w:rsidRDefault="00AF35BD">
      <w:pPr>
        <w:spacing w:line="360" w:lineRule="auto"/>
        <w:ind w:left="567" w:right="53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2) Los nombres de los participantes o invitados; </w:t>
      </w:r>
    </w:p>
    <w:p w14:paraId="73705367" w14:textId="77777777" w:rsidR="00140F7C" w:rsidRDefault="00AF35BD">
      <w:pPr>
        <w:spacing w:line="360" w:lineRule="auto"/>
        <w:ind w:left="567" w:right="53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3) El nombre del ganador y las razones que lo justifican;  </w:t>
      </w:r>
    </w:p>
    <w:p w14:paraId="373C91E7" w14:textId="77777777" w:rsidR="00140F7C" w:rsidRDefault="00AF35BD">
      <w:pPr>
        <w:spacing w:line="360" w:lineRule="auto"/>
        <w:ind w:left="567" w:right="53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4) El área solicitante y la responsable de su ejecución;  </w:t>
      </w:r>
    </w:p>
    <w:p w14:paraId="29B60B95" w14:textId="77777777" w:rsidR="00140F7C" w:rsidRDefault="00AF35BD">
      <w:pPr>
        <w:spacing w:line="360" w:lineRule="auto"/>
        <w:ind w:left="567" w:right="53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5) Las convocatorias e invitaciones emitidas;  </w:t>
      </w:r>
    </w:p>
    <w:p w14:paraId="47E7239A" w14:textId="77777777" w:rsidR="00140F7C" w:rsidRDefault="00AF35BD">
      <w:pPr>
        <w:spacing w:line="360" w:lineRule="auto"/>
        <w:ind w:left="567" w:right="53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6) Los dictámenes y fallo de adjudicación; </w:t>
      </w:r>
    </w:p>
    <w:p w14:paraId="094DA7EF" w14:textId="77777777" w:rsidR="00140F7C" w:rsidRDefault="00AF35BD">
      <w:pPr>
        <w:spacing w:line="360" w:lineRule="auto"/>
        <w:ind w:left="567" w:right="53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 7) El contrato y, en su caso, sus anexos;  </w:t>
      </w:r>
    </w:p>
    <w:p w14:paraId="03303F44" w14:textId="77777777" w:rsidR="00140F7C" w:rsidRDefault="00AF35BD">
      <w:pPr>
        <w:spacing w:line="360" w:lineRule="auto"/>
        <w:ind w:left="567" w:right="53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8) Los mecanismos de vigilancia y supervisión, incluyendo en su caso, los estudios de impacto urbano y ambiental, según corresponda;  </w:t>
      </w:r>
    </w:p>
    <w:p w14:paraId="6CF7B318" w14:textId="77777777" w:rsidR="00140F7C" w:rsidRDefault="00AF35BD">
      <w:pPr>
        <w:spacing w:line="360" w:lineRule="auto"/>
        <w:ind w:left="567" w:right="53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9) La partida presupuestal, de conformidad con el clasificador por objeto del gasto, en el caso de ser aplicable;  </w:t>
      </w:r>
    </w:p>
    <w:p w14:paraId="759EA40B" w14:textId="77777777" w:rsidR="00140F7C" w:rsidRDefault="00AF35BD">
      <w:pPr>
        <w:spacing w:line="360" w:lineRule="auto"/>
        <w:ind w:left="567" w:right="53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10) Origen de los recursos especificando si son federales, estatales o municipales, así como el tipo de fondo de participación o aportación respectiva;  </w:t>
      </w:r>
    </w:p>
    <w:p w14:paraId="6208225F" w14:textId="77777777" w:rsidR="00140F7C" w:rsidRDefault="00AF35BD">
      <w:pPr>
        <w:spacing w:line="360" w:lineRule="auto"/>
        <w:ind w:left="567" w:right="53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11) Los convenios modificatorios que, en su caso, sean firmados, precisando el objeto y la fecha de celebración;  </w:t>
      </w:r>
    </w:p>
    <w:p w14:paraId="6D1B7166" w14:textId="77777777" w:rsidR="00140F7C" w:rsidRDefault="00AF35BD">
      <w:pPr>
        <w:spacing w:line="360" w:lineRule="auto"/>
        <w:ind w:left="567" w:right="53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12) Los informes de avance físico y financiero sobre las obras o servicios</w:t>
      </w:r>
    </w:p>
    <w:p w14:paraId="50DA3C8E" w14:textId="77777777" w:rsidR="00140F7C" w:rsidRDefault="00AF35BD">
      <w:pPr>
        <w:spacing w:line="360" w:lineRule="auto"/>
        <w:ind w:left="567" w:right="53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13) El convenio de terminación; y </w:t>
      </w:r>
    </w:p>
    <w:p w14:paraId="5F520001" w14:textId="77777777" w:rsidR="00140F7C" w:rsidRDefault="00AF35BD">
      <w:pPr>
        <w:spacing w:line="360" w:lineRule="auto"/>
        <w:ind w:left="567" w:right="53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14) El finiquito.</w:t>
      </w:r>
    </w:p>
    <w:p w14:paraId="67D72032" w14:textId="77777777" w:rsidR="00140F7C" w:rsidRDefault="00140F7C">
      <w:pPr>
        <w:spacing w:line="360" w:lineRule="auto"/>
        <w:ind w:left="567" w:right="539"/>
        <w:jc w:val="both"/>
        <w:rPr>
          <w:rFonts w:ascii="Palatino Linotype" w:eastAsia="Palatino Linotype" w:hAnsi="Palatino Linotype" w:cs="Palatino Linotype"/>
          <w:i/>
          <w:color w:val="222222"/>
          <w:sz w:val="22"/>
          <w:szCs w:val="22"/>
        </w:rPr>
      </w:pPr>
    </w:p>
    <w:p w14:paraId="42FB0557" w14:textId="77777777" w:rsidR="00140F7C" w:rsidRDefault="00AF35BD">
      <w:pPr>
        <w:spacing w:line="360" w:lineRule="auto"/>
        <w:ind w:left="567" w:right="53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B) …</w:t>
      </w:r>
    </w:p>
    <w:p w14:paraId="3308B904" w14:textId="77777777" w:rsidR="00140F7C" w:rsidRDefault="00AF35BD">
      <w:pPr>
        <w:spacing w:line="360" w:lineRule="auto"/>
        <w:ind w:left="567" w:right="53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XXX a LII … “</w:t>
      </w:r>
    </w:p>
    <w:p w14:paraId="70AEA332" w14:textId="77777777" w:rsidR="00140F7C" w:rsidRDefault="00AF35BD">
      <w:pPr>
        <w:spacing w:line="360" w:lineRule="auto"/>
        <w:ind w:left="567" w:right="539"/>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color w:val="222222"/>
          <w:sz w:val="22"/>
          <w:szCs w:val="22"/>
        </w:rPr>
        <w:t xml:space="preserve"> (Énfasis añadido)</w:t>
      </w:r>
    </w:p>
    <w:p w14:paraId="76B79FB6" w14:textId="77777777" w:rsidR="00140F7C" w:rsidRDefault="00AF35BD">
      <w:pPr>
        <w:keepNext/>
        <w:keepLines/>
        <w:numPr>
          <w:ilvl w:val="0"/>
          <w:numId w:val="5"/>
        </w:numPr>
        <w:pBdr>
          <w:top w:val="nil"/>
          <w:left w:val="nil"/>
          <w:bottom w:val="nil"/>
          <w:right w:val="nil"/>
          <w:between w:val="nil"/>
        </w:pBdr>
        <w:tabs>
          <w:tab w:val="left" w:pos="567"/>
        </w:tabs>
        <w:spacing w:before="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En congruencia con la disposición expuesta, es necesario recordar </w:t>
      </w:r>
      <w:proofErr w:type="gramStart"/>
      <w:r>
        <w:rPr>
          <w:rFonts w:ascii="Palatino Linotype" w:eastAsia="Palatino Linotype" w:hAnsi="Palatino Linotype" w:cs="Palatino Linotype"/>
          <w:color w:val="000000"/>
        </w:rPr>
        <w:t>que  se</w:t>
      </w:r>
      <w:proofErr w:type="gramEnd"/>
      <w:r>
        <w:rPr>
          <w:rFonts w:ascii="Palatino Linotype" w:eastAsia="Palatino Linotype" w:hAnsi="Palatino Linotype" w:cs="Palatino Linotype"/>
          <w:color w:val="000000"/>
        </w:rPr>
        <w:t xml:space="preserve"> localizó el contrato número SCEM-JC-DC-2020-APP-001-C, del nueve (09) de septiembre de dos mil veintidós, cuya unidad contratante es la Junta de Caminos del Estado de México, mismo que corresponde a la Rehabilitación y conservación de una red carretera libre peaje con longitud de 1,637.8 km con residencia en Tejupilco, Ixtapan de la Sal y Toluca, sírvase de referencia lo siguiente:</w:t>
      </w:r>
    </w:p>
    <w:p w14:paraId="7D76EE58" w14:textId="77777777" w:rsidR="00140F7C" w:rsidRDefault="00140F7C">
      <w:pPr>
        <w:keepNext/>
        <w:keepLines/>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14:paraId="56A28F18" w14:textId="77777777" w:rsidR="00140F7C" w:rsidRDefault="00AF35BD">
      <w:pPr>
        <w:keepNext/>
        <w:keepLines/>
        <w:pBdr>
          <w:top w:val="nil"/>
          <w:left w:val="nil"/>
          <w:bottom w:val="nil"/>
          <w:right w:val="nil"/>
          <w:between w:val="nil"/>
        </w:pBdr>
        <w:tabs>
          <w:tab w:val="left" w:pos="567"/>
        </w:tabs>
        <w:spacing w:line="360" w:lineRule="auto"/>
        <w:ind w:left="567"/>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drawing>
          <wp:inline distT="0" distB="0" distL="0" distR="0" wp14:anchorId="24C662E8" wp14:editId="69CD223D">
            <wp:extent cx="4772025" cy="4352925"/>
            <wp:effectExtent l="19050" t="19050" r="19050" b="1905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4772025" cy="4352925"/>
                    </a:xfrm>
                    <a:prstGeom prst="rect">
                      <a:avLst/>
                    </a:prstGeom>
                    <a:ln w="19050">
                      <a:solidFill>
                        <a:srgbClr val="000000"/>
                      </a:solidFill>
                      <a:prstDash val="solid"/>
                    </a:ln>
                  </pic:spPr>
                </pic:pic>
              </a:graphicData>
            </a:graphic>
          </wp:inline>
        </w:drawing>
      </w:r>
    </w:p>
    <w:p w14:paraId="35585F91" w14:textId="77777777" w:rsidR="00140F7C" w:rsidRDefault="00140F7C">
      <w:pPr>
        <w:keepNext/>
        <w:keepLines/>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14:paraId="1A56FAF8" w14:textId="77777777" w:rsidR="00140F7C" w:rsidRDefault="00AF35BD">
      <w:pPr>
        <w:keepNext/>
        <w:keepLines/>
        <w:numPr>
          <w:ilvl w:val="0"/>
          <w:numId w:val="5"/>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En tales circunstancias podemos colegir que el </w:t>
      </w:r>
      <w:r>
        <w:rPr>
          <w:rFonts w:ascii="Palatino Linotype" w:eastAsia="Palatino Linotype" w:hAnsi="Palatino Linotype" w:cs="Palatino Linotype"/>
          <w:b/>
        </w:rPr>
        <w:t>SUJETO</w:t>
      </w:r>
      <w:r>
        <w:rPr>
          <w:rFonts w:ascii="Palatino Linotype" w:eastAsia="Palatino Linotype" w:hAnsi="Palatino Linotype" w:cs="Palatino Linotype"/>
          <w:b/>
          <w:color w:val="000000"/>
        </w:rPr>
        <w:t xml:space="preserve"> OBLIGADO</w:t>
      </w:r>
      <w:r>
        <w:rPr>
          <w:rFonts w:ascii="Palatino Linotype" w:eastAsia="Palatino Linotype" w:hAnsi="Palatino Linotype" w:cs="Palatino Linotype"/>
          <w:color w:val="000000"/>
        </w:rPr>
        <w:t xml:space="preserve"> cuenta con el Contrato que comprende el tramo carretero solicitado, así mismo, </w:t>
      </w:r>
      <w:r>
        <w:rPr>
          <w:rFonts w:ascii="Palatino Linotype" w:eastAsia="Palatino Linotype" w:hAnsi="Palatino Linotype" w:cs="Palatino Linotype"/>
          <w:color w:val="000000"/>
          <w:sz w:val="22"/>
          <w:szCs w:val="22"/>
        </w:rPr>
        <w:t xml:space="preserve">conforme a la determinación expuesta, es necesario advertir que se deberá hacer entrega de todos aquellos documentos identificados como anexos y que obren en el expediente en comento, situación que cobra sustento legal del criterio de interpretación para Sujetos Obligados con clave de control SO/017/2017, emitido por el Pleno del Órgano Garante Nacional, mismo que por rubro y texto, dispone lo siguiente: </w:t>
      </w:r>
    </w:p>
    <w:p w14:paraId="15E6C5E7" w14:textId="77777777" w:rsidR="00140F7C" w:rsidRDefault="00140F7C">
      <w:pPr>
        <w:spacing w:line="360" w:lineRule="auto"/>
        <w:ind w:right="-28"/>
        <w:jc w:val="both"/>
        <w:rPr>
          <w:rFonts w:ascii="Palatino Linotype" w:eastAsia="Palatino Linotype" w:hAnsi="Palatino Linotype" w:cs="Palatino Linotype"/>
          <w:sz w:val="22"/>
          <w:szCs w:val="22"/>
        </w:rPr>
      </w:pPr>
    </w:p>
    <w:p w14:paraId="5142DF2C" w14:textId="77777777" w:rsidR="00140F7C" w:rsidRDefault="00AF35BD">
      <w:pPr>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Anexos de los documentos solicitados. </w:t>
      </w:r>
      <w:r>
        <w:rPr>
          <w:rFonts w:ascii="Palatino Linotype" w:eastAsia="Palatino Linotype" w:hAnsi="Palatino Linotype" w:cs="Palatino Linotype"/>
          <w:i/>
          <w:sz w:val="22"/>
          <w:szCs w:val="22"/>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14:paraId="0D7873ED" w14:textId="77777777" w:rsidR="00140F7C" w:rsidRDefault="00140F7C">
      <w:pPr>
        <w:spacing w:line="276" w:lineRule="auto"/>
        <w:ind w:left="567" w:right="539"/>
        <w:jc w:val="both"/>
        <w:rPr>
          <w:rFonts w:ascii="Palatino Linotype" w:eastAsia="Palatino Linotype" w:hAnsi="Palatino Linotype" w:cs="Palatino Linotype"/>
          <w:b/>
          <w:i/>
          <w:sz w:val="22"/>
          <w:szCs w:val="22"/>
        </w:rPr>
      </w:pPr>
    </w:p>
    <w:p w14:paraId="610415E0" w14:textId="77777777" w:rsidR="00140F7C" w:rsidRDefault="00140F7C">
      <w:pPr>
        <w:spacing w:line="276" w:lineRule="auto"/>
        <w:rPr>
          <w:rFonts w:ascii="Palatino Linotype" w:eastAsia="Palatino Linotype" w:hAnsi="Palatino Linotype" w:cs="Palatino Linotype"/>
          <w:color w:val="000000"/>
          <w:sz w:val="22"/>
          <w:szCs w:val="22"/>
        </w:rPr>
      </w:pPr>
    </w:p>
    <w:p w14:paraId="74C816DA" w14:textId="77777777" w:rsidR="00140F7C" w:rsidRDefault="00AF35BD">
      <w:pPr>
        <w:numPr>
          <w:ilvl w:val="0"/>
          <w:numId w:val="5"/>
        </w:numPr>
        <w:tabs>
          <w:tab w:val="left" w:pos="567"/>
        </w:tabs>
        <w:spacing w:line="360" w:lineRule="auto"/>
        <w:ind w:left="0" w:right="51" w:firstLine="0"/>
        <w:jc w:val="both"/>
        <w:rPr>
          <w:rFonts w:ascii="Palatino Linotype" w:eastAsia="Palatino Linotype" w:hAnsi="Palatino Linotype" w:cs="Palatino Linotype"/>
          <w:highlight w:val="white"/>
        </w:rPr>
      </w:pPr>
      <w:r>
        <w:rPr>
          <w:rFonts w:ascii="Palatino Linotype" w:eastAsia="Palatino Linotype" w:hAnsi="Palatino Linotype" w:cs="Palatino Linotype"/>
          <w:color w:val="000000"/>
          <w:highlight w:val="white"/>
        </w:rPr>
        <w:t xml:space="preserve">En consecuencia, se </w:t>
      </w:r>
      <w:r>
        <w:rPr>
          <w:rFonts w:ascii="Palatino Linotype" w:eastAsia="Palatino Linotype" w:hAnsi="Palatino Linotype" w:cs="Palatino Linotype"/>
          <w:b/>
          <w:color w:val="000000"/>
          <w:highlight w:val="white"/>
        </w:rPr>
        <w:t>ordena</w:t>
      </w:r>
      <w:r>
        <w:rPr>
          <w:rFonts w:ascii="Palatino Linotype" w:eastAsia="Palatino Linotype" w:hAnsi="Palatino Linotype" w:cs="Palatino Linotype"/>
          <w:color w:val="000000"/>
          <w:highlight w:val="white"/>
        </w:rPr>
        <w:t xml:space="preserve"> al </w:t>
      </w:r>
      <w:r>
        <w:rPr>
          <w:rFonts w:ascii="Palatino Linotype" w:eastAsia="Palatino Linotype" w:hAnsi="Palatino Linotype" w:cs="Palatino Linotype"/>
          <w:b/>
          <w:color w:val="000000"/>
          <w:highlight w:val="white"/>
        </w:rPr>
        <w:t>SUJETO OBLIGADO</w:t>
      </w:r>
      <w:r>
        <w:rPr>
          <w:rFonts w:ascii="Palatino Linotype" w:eastAsia="Palatino Linotype" w:hAnsi="Palatino Linotype" w:cs="Palatino Linotype"/>
          <w:color w:val="000000"/>
          <w:highlight w:val="white"/>
        </w:rPr>
        <w:t xml:space="preserve"> entregar, en versión pública, el expediente completo, en el que conste o se advierta la rehabilitación y/o mantenimiento del concreto hidráulico del tramo carretero de Calimaya - San Andrés, en términos del considerando Quinto. </w:t>
      </w:r>
    </w:p>
    <w:p w14:paraId="3B21994A" w14:textId="77777777" w:rsidR="00140F7C" w:rsidRDefault="00140F7C">
      <w:pPr>
        <w:tabs>
          <w:tab w:val="left" w:pos="0"/>
        </w:tabs>
        <w:spacing w:line="360" w:lineRule="auto"/>
        <w:ind w:right="49"/>
        <w:jc w:val="both"/>
        <w:rPr>
          <w:rFonts w:ascii="Palatino Linotype" w:eastAsia="Palatino Linotype" w:hAnsi="Palatino Linotype" w:cs="Palatino Linotype"/>
          <w:i/>
        </w:rPr>
      </w:pPr>
    </w:p>
    <w:p w14:paraId="13027B89" w14:textId="77777777" w:rsidR="00140F7C" w:rsidRDefault="00AF35BD">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QUINTO. VERSIÓN PÚBLICA.</w:t>
      </w:r>
    </w:p>
    <w:p w14:paraId="6149ED77" w14:textId="77777777" w:rsidR="00140F7C" w:rsidRDefault="00140F7C">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color w:val="000000"/>
        </w:rPr>
      </w:pPr>
    </w:p>
    <w:p w14:paraId="6C27DEFF" w14:textId="77777777" w:rsidR="00140F7C" w:rsidRDefault="00AF35BD">
      <w:pPr>
        <w:keepNext/>
        <w:keepLines/>
        <w:numPr>
          <w:ilvl w:val="0"/>
          <w:numId w:val="3"/>
        </w:numPr>
        <w:spacing w:line="360" w:lineRule="auto"/>
        <w:ind w:left="284" w:firstLine="0"/>
        <w:rPr>
          <w:rFonts w:ascii="Palatino Linotype" w:eastAsia="Palatino Linotype" w:hAnsi="Palatino Linotype" w:cs="Palatino Linotype"/>
          <w:b/>
          <w:color w:val="000000"/>
        </w:rPr>
      </w:pPr>
      <w:bookmarkStart w:id="7" w:name="_heading=h.1t3h5sf" w:colFirst="0" w:colLast="0"/>
      <w:bookmarkEnd w:id="7"/>
      <w:r>
        <w:rPr>
          <w:rFonts w:ascii="Palatino Linotype" w:eastAsia="Palatino Linotype" w:hAnsi="Palatino Linotype" w:cs="Palatino Linotype"/>
          <w:b/>
          <w:color w:val="000000"/>
        </w:rPr>
        <w:t>Nociones generales.</w:t>
      </w:r>
    </w:p>
    <w:p w14:paraId="50A2C4A3" w14:textId="77777777" w:rsidR="00140F7C" w:rsidRDefault="00AF35BD">
      <w:pPr>
        <w:numPr>
          <w:ilvl w:val="0"/>
          <w:numId w:val="5"/>
        </w:numPr>
        <w:tabs>
          <w:tab w:val="left" w:pos="567"/>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Debe destacarse que, debido a la naturaleza de la información solicitada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eventualmente pudiera obrar datos personales susceptibles de protegerse,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0F5E7F8E" w14:textId="77777777" w:rsidR="00140F7C" w:rsidRDefault="00140F7C">
      <w:pPr>
        <w:spacing w:line="360" w:lineRule="auto"/>
        <w:ind w:right="49"/>
        <w:jc w:val="both"/>
        <w:rPr>
          <w:rFonts w:ascii="Palatino Linotype" w:eastAsia="Palatino Linotype" w:hAnsi="Palatino Linotype" w:cs="Palatino Linotype"/>
          <w:color w:val="000000"/>
        </w:rPr>
      </w:pPr>
    </w:p>
    <w:p w14:paraId="37501200" w14:textId="77777777" w:rsidR="00140F7C" w:rsidRDefault="00AF35BD">
      <w:pPr>
        <w:numPr>
          <w:ilvl w:val="0"/>
          <w:numId w:val="5"/>
        </w:numPr>
        <w:tabs>
          <w:tab w:val="left" w:pos="567"/>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 pasa desapercibido para este Órgano Garante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15CF524F" w14:textId="77777777" w:rsidR="00140F7C" w:rsidRDefault="00140F7C">
      <w:pPr>
        <w:spacing w:line="360" w:lineRule="auto"/>
        <w:ind w:right="49"/>
        <w:jc w:val="both"/>
        <w:rPr>
          <w:rFonts w:ascii="Palatino Linotype" w:eastAsia="Palatino Linotype" w:hAnsi="Palatino Linotype" w:cs="Palatino Linotype"/>
          <w:color w:val="000000"/>
        </w:rPr>
      </w:pPr>
    </w:p>
    <w:tbl>
      <w:tblPr>
        <w:tblStyle w:val="a1"/>
        <w:tblW w:w="882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6990"/>
      </w:tblGrid>
      <w:tr w:rsidR="00140F7C" w14:paraId="5C7AA7E1" w14:textId="77777777" w:rsidTr="00140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D955F0A" w14:textId="77777777" w:rsidR="00140F7C" w:rsidRDefault="00AF35BD">
            <w:pP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 Requisitos previos.</w:t>
            </w:r>
          </w:p>
        </w:tc>
        <w:tc>
          <w:tcPr>
            <w:tcW w:w="6990" w:type="dxa"/>
          </w:tcPr>
          <w:p w14:paraId="766BE144" w14:textId="77777777" w:rsidR="00140F7C" w:rsidRDefault="00AF35BD">
            <w:pPr>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b w:val="0"/>
                <w:color w:val="000000"/>
                <w:sz w:val="22"/>
                <w:szCs w:val="22"/>
              </w:rPr>
              <w:t xml:space="preserve">Los artículos 100 y 122 de la Ley Estatal y de la Ley General, respectivamente, señalan </w:t>
            </w:r>
            <w:proofErr w:type="gramStart"/>
            <w:r>
              <w:rPr>
                <w:rFonts w:ascii="Palatino Linotype" w:eastAsia="Palatino Linotype" w:hAnsi="Palatino Linotype" w:cs="Palatino Linotype"/>
                <w:b w:val="0"/>
                <w:color w:val="000000"/>
                <w:sz w:val="22"/>
                <w:szCs w:val="22"/>
              </w:rPr>
              <w:t>que</w:t>
            </w:r>
            <w:proofErr w:type="gramEnd"/>
            <w:r>
              <w:rPr>
                <w:rFonts w:ascii="Palatino Linotype" w:eastAsia="Palatino Linotype" w:hAnsi="Palatino Linotype" w:cs="Palatino Linotype"/>
                <w:b w:val="0"/>
                <w:color w:val="000000"/>
                <w:sz w:val="22"/>
                <w:szCs w:val="22"/>
              </w:rPr>
              <w:t xml:space="preserve"> si los Sujetos Obligados determinan que la información actualiza alguno de los supuestos de clasificación, es deber de los titulares de las áreas proponer su clasificación y no del Comité de Transparencia. </w:t>
            </w:r>
          </w:p>
          <w:p w14:paraId="23ADD75B" w14:textId="77777777" w:rsidR="00140F7C" w:rsidRDefault="00AF35BD">
            <w:pPr>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b w:val="0"/>
                <w:color w:val="000000"/>
                <w:sz w:val="22"/>
                <w:szCs w:val="22"/>
              </w:rPr>
              <w:t>Al hacerlo tienen que precisar de qué información se trata, señalando el supuesto de clasificación (confidencialidad o reserva).</w:t>
            </w:r>
          </w:p>
          <w:p w14:paraId="5F2B7607" w14:textId="77777777" w:rsidR="00140F7C" w:rsidRDefault="00AF35BD">
            <w:pPr>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b w:val="0"/>
                <w:color w:val="000000"/>
                <w:sz w:val="22"/>
                <w:szCs w:val="22"/>
              </w:rPr>
              <w:t>Además, se debe señalar el procedimiento, de los tres que establecen los artículos 132 y 106 de la Ley Estatal y General, respectivamente.</w:t>
            </w:r>
          </w:p>
          <w:p w14:paraId="215BDEAF" w14:textId="77777777" w:rsidR="00140F7C" w:rsidRDefault="00AF35BD">
            <w:pPr>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r>
              <w:rPr>
                <w:rFonts w:ascii="Palatino Linotype" w:eastAsia="Palatino Linotype" w:hAnsi="Palatino Linotype" w:cs="Palatino Linotype"/>
                <w:b w:val="0"/>
                <w:color w:val="000000"/>
                <w:sz w:val="22"/>
                <w:szCs w:val="22"/>
              </w:rPr>
              <w:t xml:space="preserve">El último de estos requisitos previos consiste en que no se pueden emitir acuerdos de carácter general ni particular, esto es, </w:t>
            </w:r>
            <w:r>
              <w:rPr>
                <w:rFonts w:ascii="Palatino Linotype" w:eastAsia="Palatino Linotype" w:hAnsi="Palatino Linotype" w:cs="Palatino Linotype"/>
                <w:b w:val="0"/>
                <w:color w:val="000000"/>
                <w:sz w:val="22"/>
                <w:szCs w:val="22"/>
                <w:u w:val="single"/>
              </w:rPr>
              <w:t>no se puede hacer un acuerdo para clasificar de manera general todos los documentos de un expediente o área, sin</w:t>
            </w:r>
            <w:r>
              <w:rPr>
                <w:rFonts w:ascii="Palatino Linotype" w:eastAsia="Palatino Linotype" w:hAnsi="Palatino Linotype" w:cs="Palatino Linotype"/>
                <w:b w:val="0"/>
                <w:color w:val="000000"/>
                <w:sz w:val="22"/>
                <w:szCs w:val="22"/>
              </w:rPr>
              <w:t xml:space="preserve"> individualizar su análisis y tampoco se puede hacer un acuerdo por cada dato que se vaya a clasificar dentro de un documento con diez datos, por ejemplo, susceptibles de ser clasificados.</w:t>
            </w:r>
          </w:p>
        </w:tc>
      </w:tr>
      <w:tr w:rsidR="00140F7C" w14:paraId="5DB64C07" w14:textId="77777777" w:rsidTr="00140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8874771" w14:textId="77777777" w:rsidR="00140F7C" w:rsidRDefault="00AF35BD">
            <w:pP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b) Supuestos de clasificación.</w:t>
            </w:r>
          </w:p>
        </w:tc>
        <w:tc>
          <w:tcPr>
            <w:tcW w:w="6990" w:type="dxa"/>
          </w:tcPr>
          <w:p w14:paraId="28CC98B0" w14:textId="77777777" w:rsidR="00140F7C" w:rsidRDefault="00AF35BD">
            <w:pPr>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14:paraId="4C0A5B39" w14:textId="77777777" w:rsidR="00140F7C" w:rsidRDefault="00AF35BD">
            <w:pPr>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w:t>
            </w:r>
            <w:r>
              <w:rPr>
                <w:rFonts w:ascii="Palatino Linotype" w:eastAsia="Palatino Linotype" w:hAnsi="Palatino Linotype" w:cs="Palatino Linotype"/>
                <w:color w:val="000000"/>
                <w:sz w:val="22"/>
                <w:szCs w:val="22"/>
              </w:rPr>
              <w:lastRenderedPageBreak/>
              <w:t>cumple con esta condición y no se pueden ampliar las excepciones o supuestos de clasificación aduciendo analogía o mayoría de razón.</w:t>
            </w:r>
          </w:p>
          <w:p w14:paraId="445A77E4" w14:textId="77777777" w:rsidR="00140F7C" w:rsidRDefault="00AF35B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140F7C" w14:paraId="50F999E0" w14:textId="77777777" w:rsidTr="00140F7C">
        <w:tc>
          <w:tcPr>
            <w:cnfStyle w:val="001000000000" w:firstRow="0" w:lastRow="0" w:firstColumn="1" w:lastColumn="0" w:oddVBand="0" w:evenVBand="0" w:oddHBand="0" w:evenHBand="0" w:firstRowFirstColumn="0" w:firstRowLastColumn="0" w:lastRowFirstColumn="0" w:lastRowLastColumn="0"/>
            <w:tcW w:w="1838" w:type="dxa"/>
          </w:tcPr>
          <w:p w14:paraId="358F9F75" w14:textId="77777777" w:rsidR="00140F7C" w:rsidRDefault="00AF35BD">
            <w:pP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c) Formalidades para emitir el acuerdo de clasificación.</w:t>
            </w:r>
          </w:p>
        </w:tc>
        <w:tc>
          <w:tcPr>
            <w:tcW w:w="6990" w:type="dxa"/>
          </w:tcPr>
          <w:p w14:paraId="61E50918" w14:textId="77777777" w:rsidR="00140F7C" w:rsidRDefault="00AF35BD">
            <w:pPr>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14:paraId="2A9AC366" w14:textId="77777777" w:rsidR="00140F7C" w:rsidRDefault="00AF35BD">
            <w:pPr>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Es necesario que </w:t>
            </w:r>
            <w:r>
              <w:rPr>
                <w:rFonts w:ascii="Palatino Linotype" w:eastAsia="Palatino Linotype" w:hAnsi="Palatino Linotype" w:cs="Palatino Linotype"/>
                <w:b/>
                <w:color w:val="000000"/>
                <w:sz w:val="22"/>
                <w:szCs w:val="22"/>
                <w:u w:val="single"/>
              </w:rPr>
              <w:t>el acto reúna con los requisitos elementales</w:t>
            </w:r>
            <w:r>
              <w:rPr>
                <w:rFonts w:ascii="Palatino Linotype" w:eastAsia="Palatino Linotype" w:hAnsi="Palatino Linotype" w:cs="Palatino Linotype"/>
                <w:color w:val="000000"/>
                <w:sz w:val="22"/>
                <w:szCs w:val="22"/>
              </w:rPr>
              <w:t>, entre ellos, que la autoridad que va a emitir el acto de autoridad sea la legalmente facultada para ello.</w:t>
            </w:r>
          </w:p>
          <w:p w14:paraId="0E46E631" w14:textId="77777777" w:rsidR="00140F7C" w:rsidRDefault="00AF35B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140F7C" w14:paraId="19EE4076" w14:textId="77777777" w:rsidTr="00140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291096F" w14:textId="77777777" w:rsidR="00140F7C" w:rsidRDefault="00140F7C">
            <w:pPr>
              <w:rPr>
                <w:rFonts w:ascii="Palatino Linotype" w:eastAsia="Palatino Linotype" w:hAnsi="Palatino Linotype" w:cs="Palatino Linotype"/>
                <w:sz w:val="22"/>
                <w:szCs w:val="22"/>
              </w:rPr>
            </w:pPr>
          </w:p>
          <w:p w14:paraId="61239FBE" w14:textId="77777777" w:rsidR="00140F7C" w:rsidRDefault="00AF35BD">
            <w:pPr>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d) Requisitos de fondo del acuerdo de clasificación. </w:t>
            </w:r>
          </w:p>
        </w:tc>
        <w:tc>
          <w:tcPr>
            <w:tcW w:w="6990" w:type="dxa"/>
          </w:tcPr>
          <w:p w14:paraId="2EB4339C" w14:textId="77777777" w:rsidR="00140F7C" w:rsidRDefault="00AF35BD">
            <w:pPr>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color w:val="000000"/>
                <w:sz w:val="22"/>
                <w:szCs w:val="22"/>
              </w:rPr>
              <w:t>Sujetos Obligados</w:t>
            </w:r>
            <w:r>
              <w:rPr>
                <w:rFonts w:ascii="Palatino Linotype" w:eastAsia="Palatino Linotype" w:hAnsi="Palatino Linotype" w:cs="Palatino Linotype"/>
                <w:color w:val="000000"/>
                <w:sz w:val="22"/>
                <w:szCs w:val="22"/>
              </w:rPr>
              <w:t xml:space="preserve">, por lo que deberán fundar y motivar debidamente la clasificación. </w:t>
            </w:r>
          </w:p>
          <w:p w14:paraId="522CBD9D" w14:textId="77777777" w:rsidR="00140F7C" w:rsidRDefault="00AF35BD">
            <w:pPr>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lo anterior, se desprende </w:t>
            </w:r>
            <w:proofErr w:type="gramStart"/>
            <w:r>
              <w:rPr>
                <w:rFonts w:ascii="Palatino Linotype" w:eastAsia="Palatino Linotype" w:hAnsi="Palatino Linotype" w:cs="Palatino Linotype"/>
                <w:color w:val="000000"/>
                <w:sz w:val="22"/>
                <w:szCs w:val="22"/>
              </w:rPr>
              <w:t>que</w:t>
            </w:r>
            <w:proofErr w:type="gramEnd"/>
            <w:r>
              <w:rPr>
                <w:rFonts w:ascii="Palatino Linotype" w:eastAsia="Palatino Linotype" w:hAnsi="Palatino Linotype" w:cs="Palatino Linotype"/>
                <w:color w:val="000000"/>
                <w:sz w:val="22"/>
                <w:szCs w:val="22"/>
              </w:rPr>
              <w:t xml:space="preserve"> para una correcta </w:t>
            </w:r>
            <w:r>
              <w:rPr>
                <w:rFonts w:ascii="Palatino Linotype" w:eastAsia="Palatino Linotype" w:hAnsi="Palatino Linotype" w:cs="Palatino Linotype"/>
                <w:b/>
                <w:color w:val="000000"/>
                <w:sz w:val="22"/>
                <w:szCs w:val="22"/>
              </w:rPr>
              <w:t>clasificación total o parcial</w:t>
            </w:r>
            <w:r>
              <w:rPr>
                <w:rFonts w:ascii="Palatino Linotype" w:eastAsia="Palatino Linotype" w:hAnsi="Palatino Linotype" w:cs="Palatino Linotype"/>
                <w:color w:val="000000"/>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97316FD" w14:textId="77777777" w:rsidR="00140F7C" w:rsidRDefault="00AF35BD">
            <w:pPr>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w:t>
            </w:r>
            <w:r>
              <w:rPr>
                <w:rFonts w:ascii="Palatino Linotype" w:eastAsia="Palatino Linotype" w:hAnsi="Palatino Linotype" w:cs="Palatino Linotype"/>
                <w:color w:val="000000"/>
                <w:sz w:val="22"/>
                <w:szCs w:val="22"/>
              </w:rPr>
              <w:lastRenderedPageBreak/>
              <w:t>fundamentos de derecho. De este modo, la persona que se sienta afectada pueda impugnar la decisión, permitiéndole una real y auténtica defensa.</w:t>
            </w:r>
          </w:p>
          <w:p w14:paraId="6F45B16A" w14:textId="77777777" w:rsidR="00140F7C" w:rsidRDefault="00AF35BD">
            <w:pPr>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mismo sentido, el numeral trigésimo tercero fracción V de los Lineamientos Generales, precisa que para motivar la clasificación se deben acreditar las circunstancias de tiempo, modo y lugar.</w:t>
            </w:r>
          </w:p>
          <w:p w14:paraId="5FB4109D" w14:textId="77777777" w:rsidR="00140F7C" w:rsidRDefault="00AF35BD">
            <w:pPr>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Ahora bien, </w:t>
            </w:r>
            <w:r>
              <w:rPr>
                <w:rFonts w:ascii="Palatino Linotype" w:eastAsia="Palatino Linotype" w:hAnsi="Palatino Linotype" w:cs="Palatino Linotype"/>
                <w:b/>
                <w:color w:val="000000"/>
                <w:sz w:val="22"/>
                <w:szCs w:val="22"/>
                <w:u w:val="single"/>
              </w:rPr>
              <w:t>para cada caso además de fundar y motivar</w:t>
            </w:r>
            <w:r>
              <w:rPr>
                <w:rFonts w:ascii="Palatino Linotype" w:eastAsia="Palatino Linotype" w:hAnsi="Palatino Linotype" w:cs="Palatino Linotype"/>
                <w:color w:val="000000"/>
                <w:sz w:val="22"/>
                <w:szCs w:val="22"/>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140F7C" w14:paraId="361A10EC" w14:textId="77777777" w:rsidTr="00140F7C">
        <w:tc>
          <w:tcPr>
            <w:cnfStyle w:val="001000000000" w:firstRow="0" w:lastRow="0" w:firstColumn="1" w:lastColumn="0" w:oddVBand="0" w:evenVBand="0" w:oddHBand="0" w:evenHBand="0" w:firstRowFirstColumn="0" w:firstRowLastColumn="0" w:lastRowFirstColumn="0" w:lastRowLastColumn="0"/>
            <w:tcW w:w="1838" w:type="dxa"/>
          </w:tcPr>
          <w:p w14:paraId="642BB825" w14:textId="77777777" w:rsidR="00140F7C" w:rsidRDefault="00AF35BD">
            <w:pPr>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val="0"/>
                <w:sz w:val="22"/>
                <w:szCs w:val="22"/>
              </w:rPr>
              <w:lastRenderedPageBreak/>
              <w:t>e</w:t>
            </w:r>
            <w:r>
              <w:rPr>
                <w:rFonts w:ascii="Palatino Linotype" w:eastAsia="Palatino Linotype" w:hAnsi="Palatino Linotype" w:cs="Palatino Linotype"/>
                <w:sz w:val="22"/>
                <w:szCs w:val="22"/>
              </w:rPr>
              <w:t xml:space="preserve">) Condiciones especiales de la clasificación de la información como confidencial. </w:t>
            </w:r>
          </w:p>
        </w:tc>
        <w:tc>
          <w:tcPr>
            <w:tcW w:w="6990" w:type="dxa"/>
          </w:tcPr>
          <w:p w14:paraId="7C445601" w14:textId="77777777" w:rsidR="00140F7C" w:rsidRDefault="00AF35BD">
            <w:pPr>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artículos 148 y 120 de la Ley Estatal y de la Ley General, respectivamente, establecen </w:t>
            </w:r>
            <w:proofErr w:type="gramStart"/>
            <w:r>
              <w:rPr>
                <w:rFonts w:ascii="Palatino Linotype" w:eastAsia="Palatino Linotype" w:hAnsi="Palatino Linotype" w:cs="Palatino Linotype"/>
                <w:color w:val="000000"/>
                <w:sz w:val="22"/>
                <w:szCs w:val="22"/>
              </w:rPr>
              <w:t>que</w:t>
            </w:r>
            <w:proofErr w:type="gramEnd"/>
            <w:r>
              <w:rPr>
                <w:rFonts w:ascii="Palatino Linotype" w:eastAsia="Palatino Linotype" w:hAnsi="Palatino Linotype" w:cs="Palatino Linotype"/>
                <w:color w:val="000000"/>
                <w:sz w:val="22"/>
                <w:szCs w:val="22"/>
              </w:rPr>
              <w:t xml:space="preserve"> aun tratándose de datos personales, se podrán proporcionar, incluso sin solicitar el consentimiento de su titular. </w:t>
            </w:r>
          </w:p>
          <w:p w14:paraId="64A45A26" w14:textId="77777777" w:rsidR="00140F7C" w:rsidRDefault="00AF35BD">
            <w:pPr>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0235254" w14:textId="77777777" w:rsidR="00140F7C" w:rsidRDefault="00AF35BD">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2107EE40" w14:textId="77777777" w:rsidR="00140F7C" w:rsidRDefault="00140F7C">
      <w:pPr>
        <w:tabs>
          <w:tab w:val="left" w:pos="426"/>
        </w:tabs>
        <w:spacing w:before="240" w:after="240" w:line="276" w:lineRule="auto"/>
        <w:ind w:right="567"/>
        <w:jc w:val="both"/>
        <w:rPr>
          <w:rFonts w:ascii="Palatino Linotype" w:eastAsia="Palatino Linotype" w:hAnsi="Palatino Linotype" w:cs="Palatino Linotype"/>
          <w:i/>
          <w:color w:val="000000"/>
          <w:sz w:val="22"/>
          <w:szCs w:val="22"/>
        </w:rPr>
      </w:pPr>
    </w:p>
    <w:p w14:paraId="484BCFC9" w14:textId="77777777" w:rsidR="00140F7C" w:rsidRDefault="00AF35BD">
      <w:pPr>
        <w:tabs>
          <w:tab w:val="left" w:pos="567"/>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SÉPTIMO. Decisión</w:t>
      </w:r>
    </w:p>
    <w:p w14:paraId="1F6F3740" w14:textId="77777777" w:rsidR="00140F7C" w:rsidRDefault="00140F7C">
      <w:pPr>
        <w:tabs>
          <w:tab w:val="left" w:pos="567"/>
        </w:tabs>
        <w:spacing w:line="360" w:lineRule="auto"/>
        <w:jc w:val="both"/>
        <w:rPr>
          <w:rFonts w:ascii="Palatino Linotype" w:eastAsia="Palatino Linotype" w:hAnsi="Palatino Linotype" w:cs="Palatino Linotype"/>
          <w:b/>
        </w:rPr>
      </w:pPr>
    </w:p>
    <w:p w14:paraId="08A754F1" w14:textId="77777777" w:rsidR="00140F7C" w:rsidRDefault="00AF35BD">
      <w:pPr>
        <w:numPr>
          <w:ilvl w:val="0"/>
          <w:numId w:val="5"/>
        </w:numPr>
        <w:tabs>
          <w:tab w:val="left" w:pos="567"/>
        </w:tabs>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Una vez analizado el marco legal de la información solicitada, se estableció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no colmó en su totalidad el derecho de acceso a la información ejercido por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a través de la </w:t>
      </w:r>
      <w:r>
        <w:rPr>
          <w:rFonts w:ascii="Palatino Linotype" w:eastAsia="Palatino Linotype" w:hAnsi="Palatino Linotype" w:cs="Palatino Linotype"/>
          <w:color w:val="000000"/>
        </w:rPr>
        <w:lastRenderedPageBreak/>
        <w:t xml:space="preserve">solicitud </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color w:val="000000"/>
        </w:rPr>
        <w:t> 00069/JC/IP/2022</w:t>
      </w:r>
      <w:r>
        <w:rPr>
          <w:rFonts w:ascii="Palatino Linotype" w:eastAsia="Palatino Linotype" w:hAnsi="Palatino Linotype" w:cs="Palatino Linotype"/>
          <w:color w:val="000000"/>
        </w:rPr>
        <w:t xml:space="preserve">, por lo que este Órgano </w:t>
      </w:r>
      <w:r>
        <w:rPr>
          <w:rFonts w:ascii="Palatino Linotype" w:eastAsia="Palatino Linotype" w:hAnsi="Palatino Linotype" w:cs="Palatino Linotype"/>
        </w:rPr>
        <w:t>Resolutor</w:t>
      </w:r>
      <w:r>
        <w:rPr>
          <w:rFonts w:ascii="Palatino Linotype" w:eastAsia="Palatino Linotype" w:hAnsi="Palatino Linotype" w:cs="Palatino Linotype"/>
          <w:color w:val="000000"/>
        </w:rPr>
        <w:t xml:space="preserve"> resulta dable ordenar la entrega de la información requerida. </w:t>
      </w:r>
    </w:p>
    <w:p w14:paraId="167247FE" w14:textId="77777777" w:rsidR="00140F7C" w:rsidRDefault="00140F7C">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14:paraId="394095B8" w14:textId="77777777" w:rsidR="00140F7C" w:rsidRDefault="00AF35BD">
      <w:pPr>
        <w:numPr>
          <w:ilvl w:val="0"/>
          <w:numId w:val="5"/>
        </w:numPr>
        <w:pBdr>
          <w:top w:val="nil"/>
          <w:left w:val="nil"/>
          <w:bottom w:val="nil"/>
          <w:right w:val="nil"/>
          <w:between w:val="nil"/>
        </w:pBdr>
        <w:tabs>
          <w:tab w:val="left" w:pos="567"/>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tanto, en consecuencia y en mérito de lo expuesto en líneas anteriores, resultan fundadas las razones o motivos de inconformidad hechos valer por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dentro del recurso de revisión </w:t>
      </w:r>
      <w:r>
        <w:rPr>
          <w:rFonts w:ascii="Palatino Linotype" w:eastAsia="Palatino Linotype" w:hAnsi="Palatino Linotype" w:cs="Palatino Linotype"/>
          <w:b/>
          <w:color w:val="000000"/>
        </w:rPr>
        <w:t>15048/INFOEM/IP/RR/2022</w:t>
      </w:r>
      <w:r>
        <w:rPr>
          <w:rFonts w:ascii="Palatino Linotype" w:eastAsia="Palatino Linotype" w:hAnsi="Palatino Linotype" w:cs="Palatino Linotype"/>
          <w:color w:val="000000"/>
        </w:rPr>
        <w:t xml:space="preserve">; por ello, y con fundamento en la fracción III del numeral 186 de la Ley de Transparencia y Acceso a la Información Pública del Estado de México y Municipios, se </w:t>
      </w:r>
      <w:r>
        <w:rPr>
          <w:rFonts w:ascii="Palatino Linotype" w:eastAsia="Palatino Linotype" w:hAnsi="Palatino Linotype" w:cs="Palatino Linotype"/>
          <w:b/>
          <w:color w:val="000000"/>
        </w:rPr>
        <w:t xml:space="preserve">REVOCA </w:t>
      </w:r>
      <w:proofErr w:type="gramStart"/>
      <w:r>
        <w:rPr>
          <w:rFonts w:ascii="Palatino Linotype" w:eastAsia="Palatino Linotype" w:hAnsi="Palatino Linotype" w:cs="Palatino Linotype"/>
          <w:color w:val="000000"/>
        </w:rPr>
        <w:t>las respuesta</w:t>
      </w:r>
      <w:proofErr w:type="gramEnd"/>
      <w:r>
        <w:rPr>
          <w:rFonts w:ascii="Palatino Linotype" w:eastAsia="Palatino Linotype" w:hAnsi="Palatino Linotype" w:cs="Palatino Linotype"/>
          <w:color w:val="000000"/>
        </w:rPr>
        <w:t xml:space="preserve"> a las solicitud de información número </w:t>
      </w:r>
      <w:r>
        <w:rPr>
          <w:rFonts w:ascii="Palatino Linotype" w:eastAsia="Palatino Linotype" w:hAnsi="Palatino Linotype" w:cs="Palatino Linotype"/>
          <w:b/>
          <w:color w:val="000000"/>
        </w:rPr>
        <w:t>00069/JC/IP/2022</w:t>
      </w:r>
    </w:p>
    <w:p w14:paraId="7DBC8164" w14:textId="77777777" w:rsidR="00140F7C" w:rsidRDefault="00140F7C">
      <w:pPr>
        <w:pBdr>
          <w:top w:val="nil"/>
          <w:left w:val="nil"/>
          <w:bottom w:val="nil"/>
          <w:right w:val="nil"/>
          <w:between w:val="nil"/>
        </w:pBdr>
        <w:tabs>
          <w:tab w:val="left" w:pos="567"/>
        </w:tabs>
        <w:spacing w:line="360" w:lineRule="auto"/>
        <w:ind w:right="51"/>
        <w:jc w:val="both"/>
        <w:rPr>
          <w:rFonts w:ascii="Palatino Linotype" w:eastAsia="Palatino Linotype" w:hAnsi="Palatino Linotype" w:cs="Palatino Linotype"/>
          <w:color w:val="000000"/>
        </w:rPr>
      </w:pPr>
    </w:p>
    <w:p w14:paraId="43BCD975" w14:textId="77777777" w:rsidR="00140F7C" w:rsidRDefault="00AF35BD">
      <w:pPr>
        <w:numPr>
          <w:ilvl w:val="0"/>
          <w:numId w:val="5"/>
        </w:numPr>
        <w:pBdr>
          <w:top w:val="nil"/>
          <w:left w:val="nil"/>
          <w:bottom w:val="nil"/>
          <w:right w:val="nil"/>
          <w:between w:val="nil"/>
        </w:pBdr>
        <w:tabs>
          <w:tab w:val="left" w:pos="426"/>
        </w:tabs>
        <w:spacing w:after="240"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anteriormente expuesto y fundado, este </w:t>
      </w:r>
      <w:r>
        <w:rPr>
          <w:rFonts w:ascii="Palatino Linotype" w:eastAsia="Palatino Linotype" w:hAnsi="Palatino Linotype" w:cs="Palatino Linotype"/>
          <w:b/>
          <w:color w:val="000000"/>
        </w:rPr>
        <w:t>ÓRGANO GARANTE</w:t>
      </w:r>
      <w:r>
        <w:rPr>
          <w:rFonts w:ascii="Palatino Linotype" w:eastAsia="Palatino Linotype" w:hAnsi="Palatino Linotype" w:cs="Palatino Linotype"/>
          <w:color w:val="000000"/>
        </w:rPr>
        <w:t xml:space="preserve"> emite los siguientes: -------------------------------------------------------------------------------------------------------------------------------------------------------------------------------------------------------------------------------------------------------------------------------------------------------------------------</w:t>
      </w:r>
    </w:p>
    <w:p w14:paraId="3EEF285C" w14:textId="77777777" w:rsidR="00140F7C" w:rsidRDefault="00140F7C">
      <w:pPr>
        <w:tabs>
          <w:tab w:val="left" w:pos="567"/>
        </w:tabs>
        <w:spacing w:line="360" w:lineRule="auto"/>
        <w:jc w:val="both"/>
        <w:rPr>
          <w:rFonts w:ascii="Palatino Linotype" w:eastAsia="Palatino Linotype" w:hAnsi="Palatino Linotype" w:cs="Palatino Linotype"/>
        </w:rPr>
      </w:pPr>
    </w:p>
    <w:p w14:paraId="77EC1681" w14:textId="77777777" w:rsidR="00140F7C" w:rsidRDefault="00AF35BD">
      <w:pPr>
        <w:pStyle w:val="Ttulo1"/>
        <w:spacing w:before="0" w:line="360" w:lineRule="auto"/>
        <w:jc w:val="center"/>
        <w:rPr>
          <w:rFonts w:ascii="Palatino Linotype" w:eastAsia="Palatino Linotype" w:hAnsi="Palatino Linotype" w:cs="Palatino Linotype"/>
          <w:b/>
          <w:color w:val="000000"/>
          <w:sz w:val="24"/>
          <w:szCs w:val="24"/>
        </w:rPr>
      </w:pPr>
      <w:bookmarkStart w:id="8" w:name="_heading=h.4d34og8" w:colFirst="0" w:colLast="0"/>
      <w:bookmarkEnd w:id="8"/>
      <w:r>
        <w:rPr>
          <w:rFonts w:ascii="Palatino Linotype" w:eastAsia="Palatino Linotype" w:hAnsi="Palatino Linotype" w:cs="Palatino Linotype"/>
          <w:b/>
          <w:color w:val="000000"/>
          <w:sz w:val="24"/>
          <w:szCs w:val="24"/>
        </w:rPr>
        <w:t xml:space="preserve">R E S O L U T I V O S </w:t>
      </w:r>
    </w:p>
    <w:p w14:paraId="37283ED6" w14:textId="77777777" w:rsidR="00140F7C" w:rsidRDefault="00AF35BD">
      <w:pPr>
        <w:spacing w:before="240" w:after="360" w:line="360" w:lineRule="auto"/>
        <w:jc w:val="both"/>
        <w:rPr>
          <w:rFonts w:ascii="Palatino Linotype" w:eastAsia="Palatino Linotype" w:hAnsi="Palatino Linotype" w:cs="Palatino Linotype"/>
          <w:b/>
        </w:rPr>
      </w:pPr>
      <w:bookmarkStart w:id="9" w:name="_heading=h.2s8eyo1" w:colFirst="0" w:colLast="0"/>
      <w:bookmarkEnd w:id="9"/>
      <w:r>
        <w:rPr>
          <w:rFonts w:ascii="Palatino Linotype" w:eastAsia="Palatino Linotype" w:hAnsi="Palatino Linotype" w:cs="Palatino Linotype"/>
          <w:b/>
        </w:rPr>
        <w:t>PRIMERO</w:t>
      </w:r>
      <w:r>
        <w:rPr>
          <w:rFonts w:ascii="Palatino Linotype" w:eastAsia="Palatino Linotype" w:hAnsi="Palatino Linotype" w:cs="Palatino Linotype"/>
        </w:rPr>
        <w:t>. Resultan fundadas las razones o motivos de inconformidad hechos valer en el Recurso de Revisión</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color w:val="000000"/>
        </w:rPr>
        <w:t>15048/INFOEM/IP/RR/2022</w:t>
      </w:r>
      <w:r>
        <w:rPr>
          <w:rFonts w:ascii="Palatino Linotype" w:eastAsia="Palatino Linotype" w:hAnsi="Palatino Linotype" w:cs="Palatino Linotype"/>
          <w:sz w:val="22"/>
          <w:szCs w:val="22"/>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 los Considerandos </w:t>
      </w:r>
      <w:r>
        <w:rPr>
          <w:rFonts w:ascii="Palatino Linotype" w:eastAsia="Palatino Linotype" w:hAnsi="Palatino Linotype" w:cs="Palatino Linotype"/>
          <w:b/>
        </w:rPr>
        <w:t xml:space="preserve">CUARTO y QUINTO </w:t>
      </w:r>
      <w:r>
        <w:rPr>
          <w:rFonts w:ascii="Palatino Linotype" w:eastAsia="Palatino Linotype" w:hAnsi="Palatino Linotype" w:cs="Palatino Linotype"/>
        </w:rPr>
        <w:t xml:space="preserve">de la presente resolución. </w:t>
      </w:r>
    </w:p>
    <w:p w14:paraId="1DFF67D8" w14:textId="77777777" w:rsidR="00140F7C" w:rsidRPr="00747FE9" w:rsidRDefault="00AF35BD">
      <w:pPr>
        <w:tabs>
          <w:tab w:val="left" w:pos="567"/>
        </w:tabs>
        <w:spacing w:line="360" w:lineRule="auto"/>
        <w:jc w:val="both"/>
        <w:rPr>
          <w:rFonts w:ascii="Palatino Linotype" w:eastAsia="Palatino Linotype" w:hAnsi="Palatino Linotype" w:cs="Palatino Linotype"/>
          <w:b/>
          <w:sz w:val="22"/>
          <w:szCs w:val="22"/>
        </w:rPr>
      </w:pPr>
      <w:bookmarkStart w:id="10" w:name="_heading=h.17dp8vu" w:colFirst="0" w:colLast="0"/>
      <w:bookmarkEnd w:id="10"/>
      <w:r>
        <w:rPr>
          <w:rFonts w:ascii="Palatino Linotype" w:eastAsia="Palatino Linotype" w:hAnsi="Palatino Linotype" w:cs="Palatino Linotype"/>
          <w:b/>
        </w:rPr>
        <w:t xml:space="preserve">SEGUNDO.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color w:val="000000"/>
        </w:rPr>
        <w:t xml:space="preserve">REVOCA </w:t>
      </w:r>
      <w:r>
        <w:rPr>
          <w:rFonts w:ascii="Palatino Linotype" w:eastAsia="Palatino Linotype" w:hAnsi="Palatino Linotype" w:cs="Palatino Linotype"/>
          <w:color w:val="000000"/>
        </w:rPr>
        <w:t>la respu</w:t>
      </w:r>
      <w:r>
        <w:rPr>
          <w:rFonts w:ascii="Palatino Linotype" w:eastAsia="Palatino Linotype" w:hAnsi="Palatino Linotype" w:cs="Palatino Linotype"/>
          <w:highlight w:val="white"/>
        </w:rPr>
        <w:t xml:space="preserve">esta emitida por la </w:t>
      </w:r>
      <w:r>
        <w:rPr>
          <w:rFonts w:ascii="Palatino Linotype" w:eastAsia="Palatino Linotype" w:hAnsi="Palatino Linotype" w:cs="Palatino Linotype"/>
          <w:b/>
          <w:highlight w:val="white"/>
        </w:rPr>
        <w:t>Junta de Caminos del Estado de México</w:t>
      </w:r>
      <w:r>
        <w:rPr>
          <w:rFonts w:ascii="Palatino Linotype" w:eastAsia="Palatino Linotype" w:hAnsi="Palatino Linotype" w:cs="Palatino Linotype"/>
          <w:highlight w:val="white"/>
        </w:rPr>
        <w:t xml:space="preserve"> a la solicitud</w:t>
      </w:r>
      <w:r>
        <w:rPr>
          <w:rFonts w:ascii="Palatino Linotype" w:eastAsia="Palatino Linotype" w:hAnsi="Palatino Linotype" w:cs="Palatino Linotype"/>
          <w:b/>
          <w:sz w:val="22"/>
          <w:szCs w:val="22"/>
          <w:highlight w:val="white"/>
        </w:rPr>
        <w:t xml:space="preserve"> </w:t>
      </w:r>
      <w:r>
        <w:rPr>
          <w:rFonts w:ascii="Palatino Linotype" w:eastAsia="Palatino Linotype" w:hAnsi="Palatino Linotype" w:cs="Palatino Linotype"/>
          <w:b/>
          <w:highlight w:val="white"/>
        </w:rPr>
        <w:t xml:space="preserve">00069/JC/IP/2022 </w:t>
      </w:r>
      <w:r>
        <w:rPr>
          <w:rFonts w:ascii="Palatino Linotype" w:eastAsia="Palatino Linotype" w:hAnsi="Palatino Linotype" w:cs="Palatino Linotype"/>
          <w:highlight w:val="white"/>
        </w:rPr>
        <w:t>y se</w:t>
      </w:r>
      <w:r>
        <w:rPr>
          <w:rFonts w:ascii="Palatino Linotype" w:eastAsia="Palatino Linotype" w:hAnsi="Palatino Linotype" w:cs="Palatino Linotype"/>
          <w:b/>
          <w:highlight w:val="white"/>
        </w:rPr>
        <w:t xml:space="preserve"> ORDENA </w:t>
      </w:r>
      <w:r>
        <w:rPr>
          <w:rFonts w:ascii="Palatino Linotype" w:eastAsia="Palatino Linotype" w:hAnsi="Palatino Linotype" w:cs="Palatino Linotype"/>
          <w:highlight w:val="white"/>
        </w:rPr>
        <w:t xml:space="preserve">entregar vía Sistema de </w:t>
      </w:r>
      <w:r>
        <w:rPr>
          <w:rFonts w:ascii="Palatino Linotype" w:eastAsia="Palatino Linotype" w:hAnsi="Palatino Linotype" w:cs="Palatino Linotype"/>
          <w:highlight w:val="white"/>
        </w:rPr>
        <w:lastRenderedPageBreak/>
        <w:t xml:space="preserve">Accesos a la Información Mexiquense (SAIMEX), en versión pública, la siguiente </w:t>
      </w:r>
      <w:r w:rsidRPr="00747FE9">
        <w:rPr>
          <w:rFonts w:ascii="Palatino Linotype" w:eastAsia="Palatino Linotype" w:hAnsi="Palatino Linotype" w:cs="Palatino Linotype"/>
        </w:rPr>
        <w:t>información:</w:t>
      </w:r>
    </w:p>
    <w:p w14:paraId="6A3F839C" w14:textId="77777777" w:rsidR="00140F7C" w:rsidRPr="00747FE9" w:rsidRDefault="00140F7C">
      <w:pPr>
        <w:tabs>
          <w:tab w:val="left" w:pos="567"/>
        </w:tabs>
        <w:spacing w:line="360" w:lineRule="auto"/>
        <w:jc w:val="both"/>
        <w:rPr>
          <w:rFonts w:ascii="Palatino Linotype" w:eastAsia="Palatino Linotype" w:hAnsi="Palatino Linotype" w:cs="Palatino Linotype"/>
        </w:rPr>
      </w:pPr>
    </w:p>
    <w:p w14:paraId="21A8F614" w14:textId="44C67E69" w:rsidR="00140F7C" w:rsidRDefault="00747FE9" w:rsidP="00747FE9">
      <w:pPr>
        <w:pBdr>
          <w:top w:val="nil"/>
          <w:left w:val="nil"/>
          <w:bottom w:val="nil"/>
          <w:right w:val="nil"/>
          <w:between w:val="nil"/>
        </w:pBdr>
        <w:tabs>
          <w:tab w:val="left" w:pos="851"/>
          <w:tab w:val="left" w:pos="1134"/>
        </w:tabs>
        <w:spacing w:line="360" w:lineRule="auto"/>
        <w:ind w:left="851" w:right="900"/>
        <w:jc w:val="both"/>
        <w:rPr>
          <w:rFonts w:ascii="Palatino Linotype" w:eastAsia="Palatino Linotype" w:hAnsi="Palatino Linotype" w:cs="Palatino Linotype"/>
          <w:color w:val="000000"/>
          <w:highlight w:val="yellow"/>
        </w:rPr>
      </w:pPr>
      <w:r w:rsidRPr="00747FE9">
        <w:rPr>
          <w:rFonts w:ascii="Palatino Linotype" w:eastAsia="Palatino Linotype" w:hAnsi="Palatino Linotype" w:cs="Palatino Linotype"/>
          <w:b/>
          <w:bCs/>
        </w:rPr>
        <w:t>a)</w:t>
      </w:r>
      <w:r>
        <w:rPr>
          <w:rFonts w:ascii="Palatino Linotype" w:eastAsia="Palatino Linotype" w:hAnsi="Palatino Linotype" w:cs="Palatino Linotype"/>
        </w:rPr>
        <w:t xml:space="preserve"> </w:t>
      </w:r>
      <w:r w:rsidR="00AF35BD" w:rsidRPr="00747FE9">
        <w:rPr>
          <w:rFonts w:ascii="Palatino Linotype" w:eastAsia="Palatino Linotype" w:hAnsi="Palatino Linotype" w:cs="Palatino Linotype"/>
        </w:rPr>
        <w:t xml:space="preserve">Expediente </w:t>
      </w:r>
      <w:r w:rsidR="00AF35BD">
        <w:rPr>
          <w:rFonts w:ascii="Palatino Linotype" w:eastAsia="Palatino Linotype" w:hAnsi="Palatino Linotype" w:cs="Palatino Linotype"/>
          <w:highlight w:val="white"/>
        </w:rPr>
        <w:t xml:space="preserve">completo, en </w:t>
      </w:r>
      <w:r w:rsidR="00AF35BD">
        <w:rPr>
          <w:rFonts w:ascii="Palatino Linotype" w:eastAsia="Palatino Linotype" w:hAnsi="Palatino Linotype" w:cs="Palatino Linotype"/>
          <w:color w:val="000000"/>
          <w:highlight w:val="white"/>
        </w:rPr>
        <w:t>el que conste o se advierta la rehabilitación y/o mantenimiento del concreto hidráulico del tramo carretero de Calimaya - San Andrés</w:t>
      </w:r>
      <w:r w:rsidR="00AF35BD">
        <w:rPr>
          <w:rFonts w:ascii="Palatino Linotype" w:eastAsia="Palatino Linotype" w:hAnsi="Palatino Linotype" w:cs="Palatino Linotype"/>
          <w:highlight w:val="white"/>
        </w:rPr>
        <w:t xml:space="preserve"> al veintinueve (29) de agosto de dos mil veintidós.</w:t>
      </w:r>
    </w:p>
    <w:p w14:paraId="69F52126" w14:textId="77777777" w:rsidR="00140F7C" w:rsidRDefault="00140F7C">
      <w:pPr>
        <w:tabs>
          <w:tab w:val="left" w:pos="851"/>
          <w:tab w:val="left" w:pos="1134"/>
        </w:tabs>
        <w:spacing w:line="360" w:lineRule="auto"/>
        <w:ind w:left="567" w:right="900"/>
        <w:jc w:val="both"/>
        <w:rPr>
          <w:rFonts w:ascii="Palatino Linotype" w:eastAsia="Palatino Linotype" w:hAnsi="Palatino Linotype" w:cs="Palatino Linotype"/>
        </w:rPr>
      </w:pPr>
    </w:p>
    <w:p w14:paraId="7C059E5F" w14:textId="77777777" w:rsidR="00140F7C" w:rsidRDefault="00AF35B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w:t>
      </w:r>
    </w:p>
    <w:p w14:paraId="7E998E1B" w14:textId="77777777" w:rsidR="00140F7C" w:rsidRDefault="00140F7C">
      <w:pPr>
        <w:spacing w:line="360" w:lineRule="auto"/>
        <w:jc w:val="both"/>
        <w:rPr>
          <w:rFonts w:ascii="Palatino Linotype" w:eastAsia="Palatino Linotype" w:hAnsi="Palatino Linotype" w:cs="Palatino Linotype"/>
          <w:color w:val="000000"/>
        </w:rPr>
      </w:pPr>
    </w:p>
    <w:p w14:paraId="63ED9BB7" w14:textId="77777777" w:rsidR="00140F7C" w:rsidRDefault="00AF35B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TERCERO.</w:t>
      </w:r>
      <w:r>
        <w:rPr>
          <w:rFonts w:ascii="Palatino Linotype" w:eastAsia="Palatino Linotype" w:hAnsi="Palatino Linotype" w:cs="Palatino Linotype"/>
          <w:color w:val="000000"/>
        </w:rPr>
        <w:t xml:space="preserve"> Notifíquese al Titular de la Unidad de Transparencia </w:t>
      </w:r>
      <w:r>
        <w:rPr>
          <w:rFonts w:ascii="Palatino Linotype" w:eastAsia="Palatino Linotype" w:hAnsi="Palatino Linotype" w:cs="Palatino Linotype"/>
          <w:color w:val="222222"/>
        </w:rPr>
        <w:t xml:space="preserve">del </w:t>
      </w:r>
      <w:r>
        <w:rPr>
          <w:rFonts w:ascii="Palatino Linotype" w:eastAsia="Palatino Linotype" w:hAnsi="Palatino Linotype" w:cs="Palatino Linotype"/>
          <w:b/>
          <w:color w:val="222222"/>
        </w:rPr>
        <w:t xml:space="preserve">SUJETO OBLIGADO </w:t>
      </w:r>
      <w:r>
        <w:rPr>
          <w:rFonts w:ascii="Palatino Linotype" w:eastAsia="Palatino Linotype" w:hAnsi="Palatino Linotype" w:cs="Palatino Linotype"/>
          <w:color w:val="222222"/>
        </w:rPr>
        <w:t xml:space="preserve">la presente resolución, vía Sistema de Acceso a la Información Mexiquense </w:t>
      </w:r>
      <w:r>
        <w:rPr>
          <w:rFonts w:ascii="Palatino Linotype" w:eastAsia="Palatino Linotype" w:hAnsi="Palatino Linotype" w:cs="Palatino Linotype"/>
          <w:b/>
          <w:color w:val="222222"/>
        </w:rPr>
        <w:t xml:space="preserve">(SAIMEX), </w:t>
      </w:r>
      <w:r>
        <w:rPr>
          <w:rFonts w:ascii="Palatino Linotype" w:eastAsia="Palatino Linotype" w:hAnsi="Palatino Linotype" w:cs="Palatino Linotype"/>
          <w:color w:val="222222"/>
        </w:rPr>
        <w:t xml:space="preserve">para que conforme al artículo 186, último párrafo, 189, segundo párrafo, y 194 de la Ley de Transparencia y Acceso a la Información Pública del Estado de México y Municipios dé cumplimiento a lo ordenado dentro </w:t>
      </w:r>
      <w:r w:rsidRPr="00747FE9">
        <w:rPr>
          <w:rFonts w:ascii="Palatino Linotype" w:eastAsia="Palatino Linotype" w:hAnsi="Palatino Linotype" w:cs="Palatino Linotype"/>
          <w:b/>
          <w:bCs/>
          <w:color w:val="222222"/>
        </w:rPr>
        <w:t>del plazo de diez días hábiles</w:t>
      </w:r>
      <w:r>
        <w:rPr>
          <w:rFonts w:ascii="Palatino Linotype" w:eastAsia="Palatino Linotype" w:hAnsi="Palatino Linotype" w:cs="Palatino Linotype"/>
          <w:color w:val="222222"/>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w:t>
      </w:r>
      <w:r>
        <w:rPr>
          <w:rFonts w:ascii="Palatino Linotype" w:eastAsia="Palatino Linotype" w:hAnsi="Palatino Linotype" w:cs="Palatino Linotype"/>
          <w:color w:val="222222"/>
        </w:rPr>
        <w:lastRenderedPageBreak/>
        <w:t>fracción III; 214, 215 y 216 de la Ley  de Transparencia y Acceso a la Información Pública del Estado de México y Municipios.</w:t>
      </w:r>
    </w:p>
    <w:p w14:paraId="2D7BA9B4" w14:textId="77777777" w:rsidR="00140F7C" w:rsidRDefault="00140F7C">
      <w:pPr>
        <w:spacing w:line="360" w:lineRule="auto"/>
        <w:jc w:val="both"/>
        <w:rPr>
          <w:rFonts w:ascii="Palatino Linotype" w:eastAsia="Palatino Linotype" w:hAnsi="Palatino Linotype" w:cs="Palatino Linotype"/>
          <w:b/>
        </w:rPr>
      </w:pPr>
    </w:p>
    <w:p w14:paraId="7C2A1948" w14:textId="77777777" w:rsidR="00140F7C" w:rsidRDefault="00AF35BD">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CUARTO. Notifíquese al RECURRENTE</w:t>
      </w:r>
      <w:r>
        <w:rPr>
          <w:rFonts w:ascii="Palatino Linotype" w:eastAsia="Palatino Linotype" w:hAnsi="Palatino Linotype" w:cs="Palatino Linotype"/>
        </w:rPr>
        <w:t xml:space="preserve"> la presente resolución vía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7618D684" w14:textId="77777777" w:rsidR="00140F7C" w:rsidRPr="00A076D3" w:rsidRDefault="00AF35BD">
      <w:pPr>
        <w:tabs>
          <w:tab w:val="left" w:pos="8080"/>
        </w:tabs>
        <w:spacing w:before="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QUINTO.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sidRPr="00A076D3">
        <w:rPr>
          <w:rFonts w:ascii="Palatino Linotype" w:eastAsia="Palatino Linotype" w:hAnsi="Palatino Linotype" w:cs="Palatino Linotype"/>
        </w:rPr>
        <w:t>procedente, el</w:t>
      </w:r>
      <w:r w:rsidRPr="00A076D3">
        <w:rPr>
          <w:rFonts w:ascii="Palatino Linotype" w:eastAsia="Palatino Linotype" w:hAnsi="Palatino Linotype" w:cs="Palatino Linotype"/>
          <w:b/>
        </w:rPr>
        <w:t xml:space="preserve"> SUJETO OBLIGADO </w:t>
      </w:r>
      <w:r w:rsidRPr="00A076D3">
        <w:rPr>
          <w:rFonts w:ascii="Palatino Linotype" w:eastAsia="Palatino Linotype" w:hAnsi="Palatino Linotype" w:cs="Palatino Linotype"/>
        </w:rPr>
        <w:t>de manera fundada y motivada, podrá solicitar una ampliación de plazo para el cumplimiento de la presente resolución.</w:t>
      </w:r>
    </w:p>
    <w:p w14:paraId="0974E8F6" w14:textId="77777777" w:rsidR="00140F7C" w:rsidRDefault="00692D3B" w:rsidP="00692D3B">
      <w:pPr>
        <w:tabs>
          <w:tab w:val="left" w:pos="8080"/>
        </w:tabs>
        <w:spacing w:before="240" w:line="360" w:lineRule="auto"/>
        <w:ind w:right="49"/>
        <w:jc w:val="both"/>
        <w:rPr>
          <w:rFonts w:ascii="Palatino Linotype" w:eastAsia="Palatino Linotype" w:hAnsi="Palatino Linotype" w:cs="Palatino Linotype"/>
        </w:rPr>
      </w:pPr>
      <w:r w:rsidRPr="00A076D3">
        <w:rPr>
          <w:rFonts w:ascii="Palatino Linotype" w:eastAsia="Palatino Linotype" w:hAnsi="Palatino Linotype" w:cs="Palatino Linotype"/>
          <w:b/>
        </w:rPr>
        <w:t xml:space="preserve">SEXTO. </w:t>
      </w:r>
      <w:r w:rsidRPr="00A076D3">
        <w:rPr>
          <w:rFonts w:ascii="Palatino Linotype" w:eastAsia="Palatino Linotype" w:hAnsi="Palatino Linotype" w:cs="Palatino Linotype"/>
        </w:rPr>
        <w:t xml:space="preserve">Se hace del conocimiento de </w:t>
      </w:r>
      <w:r w:rsidRPr="00A076D3">
        <w:rPr>
          <w:rFonts w:ascii="Palatino Linotype" w:eastAsia="Palatino Linotype" w:hAnsi="Palatino Linotype" w:cs="Palatino Linotype"/>
          <w:b/>
        </w:rPr>
        <w:t>EL RECURRENTE</w:t>
      </w:r>
      <w:r w:rsidRPr="00A076D3">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6519CA3B" w14:textId="77777777" w:rsidR="00692D3B" w:rsidRPr="00692D3B" w:rsidRDefault="00692D3B" w:rsidP="00692D3B">
      <w:pPr>
        <w:tabs>
          <w:tab w:val="left" w:pos="8080"/>
        </w:tabs>
        <w:spacing w:before="240"/>
        <w:ind w:right="49"/>
        <w:jc w:val="both"/>
        <w:rPr>
          <w:rFonts w:ascii="Palatino Linotype" w:eastAsia="Palatino Linotype" w:hAnsi="Palatino Linotype" w:cs="Palatino Linotype"/>
        </w:rPr>
      </w:pPr>
    </w:p>
    <w:p w14:paraId="2970215C" w14:textId="4963B89E" w:rsidR="00140F7C" w:rsidRDefault="00AF35BD">
      <w:pPr>
        <w:spacing w:line="360" w:lineRule="auto"/>
        <w:ind w:right="48"/>
        <w:jc w:val="both"/>
        <w:rPr>
          <w:rFonts w:ascii="Palatino Linotype" w:eastAsia="Palatino Linotype" w:hAnsi="Palatino Linotype" w:cs="Palatino Linotype"/>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w:t>
      </w:r>
      <w:r w:rsidR="004E70EA">
        <w:rPr>
          <w:rFonts w:ascii="Palatino Linotype" w:eastAsia="Palatino Linotype" w:hAnsi="Palatino Linotype" w:cs="Palatino Linotype"/>
        </w:rPr>
        <w:t>ÉCIMA PRIMERA</w:t>
      </w:r>
      <w:r>
        <w:rPr>
          <w:rFonts w:ascii="Palatino Linotype" w:eastAsia="Palatino Linotype" w:hAnsi="Palatino Linotype" w:cs="Palatino Linotype"/>
        </w:rPr>
        <w:t xml:space="preserve"> SESIÓN ORDINARIA CELEBRADA EL </w:t>
      </w:r>
      <w:r w:rsidR="004E70EA">
        <w:rPr>
          <w:rFonts w:ascii="Palatino Linotype" w:eastAsia="Palatino Linotype" w:hAnsi="Palatino Linotype" w:cs="Palatino Linotype"/>
        </w:rPr>
        <w:t>TRES</w:t>
      </w:r>
      <w:r>
        <w:rPr>
          <w:rFonts w:ascii="Palatino Linotype" w:eastAsia="Palatino Linotype" w:hAnsi="Palatino Linotype" w:cs="Palatino Linotype"/>
        </w:rPr>
        <w:t xml:space="preserve"> (</w:t>
      </w:r>
      <w:r w:rsidR="004E70EA">
        <w:rPr>
          <w:rFonts w:ascii="Palatino Linotype" w:eastAsia="Palatino Linotype" w:hAnsi="Palatino Linotype" w:cs="Palatino Linotype"/>
        </w:rPr>
        <w:t>03</w:t>
      </w:r>
      <w:r>
        <w:rPr>
          <w:rFonts w:ascii="Palatino Linotype" w:eastAsia="Palatino Linotype" w:hAnsi="Palatino Linotype" w:cs="Palatino Linotype"/>
        </w:rPr>
        <w:t xml:space="preserve">) DE ABRIL DE DOS MIL VEINTICUATRO, ANTE EL SECRETARIO TÉCNICO DEL PLENO ALEXIS TAPIA RAMÍREZ. </w:t>
      </w:r>
    </w:p>
    <w:p w14:paraId="4DBC9DCA" w14:textId="77777777" w:rsidR="00140F7C" w:rsidRDefault="00140F7C">
      <w:pPr>
        <w:tabs>
          <w:tab w:val="left" w:pos="426"/>
        </w:tabs>
        <w:spacing w:after="240" w:line="360" w:lineRule="auto"/>
        <w:ind w:right="51"/>
        <w:jc w:val="both"/>
        <w:rPr>
          <w:rFonts w:ascii="Palatino Linotype" w:eastAsia="Palatino Linotype" w:hAnsi="Palatino Linotype" w:cs="Palatino Linotype"/>
          <w:color w:val="000000"/>
        </w:rPr>
      </w:pPr>
    </w:p>
    <w:sectPr w:rsidR="00140F7C">
      <w:headerReference w:type="even" r:id="rId20"/>
      <w:headerReference w:type="default" r:id="rId21"/>
      <w:footerReference w:type="default" r:id="rId22"/>
      <w:headerReference w:type="first" r:id="rId23"/>
      <w:footerReference w:type="first" r:id="rId24"/>
      <w:pgSz w:w="12240" w:h="15840"/>
      <w:pgMar w:top="958" w:right="1701" w:bottom="1560"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FA7AB" w14:textId="77777777" w:rsidR="00DF74A3" w:rsidRDefault="00DF74A3">
      <w:r>
        <w:separator/>
      </w:r>
    </w:p>
  </w:endnote>
  <w:endnote w:type="continuationSeparator" w:id="0">
    <w:p w14:paraId="49FFA30A" w14:textId="77777777" w:rsidR="00DF74A3" w:rsidRDefault="00DF7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9CA58" w14:textId="77777777" w:rsidR="00140F7C" w:rsidRDefault="00AF35BD">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9A715F">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9A715F">
      <w:rPr>
        <w:rFonts w:ascii="Palatino Linotype" w:eastAsia="Palatino Linotype" w:hAnsi="Palatino Linotype" w:cs="Palatino Linotype"/>
        <w:noProof/>
        <w:color w:val="000000"/>
        <w:sz w:val="20"/>
        <w:szCs w:val="20"/>
      </w:rPr>
      <w:t>39</w:t>
    </w:r>
    <w:r>
      <w:rPr>
        <w:rFonts w:ascii="Palatino Linotype" w:eastAsia="Palatino Linotype" w:hAnsi="Palatino Linotype" w:cs="Palatino Linotype"/>
        <w:color w:val="000000"/>
        <w:sz w:val="20"/>
        <w:szCs w:val="20"/>
      </w:rPr>
      <w:fldChar w:fldCharType="end"/>
    </w:r>
  </w:p>
  <w:p w14:paraId="752471B9" w14:textId="77777777" w:rsidR="00140F7C" w:rsidRDefault="00140F7C">
    <w:pPr>
      <w:pBdr>
        <w:top w:val="nil"/>
        <w:left w:val="nil"/>
        <w:bottom w:val="nil"/>
        <w:right w:val="nil"/>
        <w:between w:val="nil"/>
      </w:pBdr>
      <w:tabs>
        <w:tab w:val="center" w:pos="4419"/>
        <w:tab w:val="right" w:pos="8838"/>
      </w:tabs>
      <w:rPr>
        <w:rFonts w:eastAsia="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46DBE" w14:textId="77777777" w:rsidR="00140F7C" w:rsidRDefault="00AF35BD">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9A715F">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9A715F">
      <w:rPr>
        <w:rFonts w:ascii="Palatino Linotype" w:eastAsia="Palatino Linotype" w:hAnsi="Palatino Linotype" w:cs="Palatino Linotype"/>
        <w:noProof/>
        <w:color w:val="000000"/>
        <w:sz w:val="20"/>
        <w:szCs w:val="20"/>
      </w:rPr>
      <w:t>39</w:t>
    </w:r>
    <w:r>
      <w:rPr>
        <w:rFonts w:ascii="Palatino Linotype" w:eastAsia="Palatino Linotype" w:hAnsi="Palatino Linotype" w:cs="Palatino Linotype"/>
        <w:color w:val="000000"/>
        <w:sz w:val="20"/>
        <w:szCs w:val="20"/>
      </w:rPr>
      <w:fldChar w:fldCharType="end"/>
    </w:r>
  </w:p>
  <w:p w14:paraId="52E2D5C2" w14:textId="77777777" w:rsidR="00140F7C" w:rsidRDefault="00140F7C">
    <w:pPr>
      <w:pBdr>
        <w:top w:val="nil"/>
        <w:left w:val="nil"/>
        <w:bottom w:val="nil"/>
        <w:right w:val="nil"/>
        <w:between w:val="nil"/>
      </w:pBdr>
      <w:tabs>
        <w:tab w:val="center" w:pos="4419"/>
        <w:tab w:val="right" w:pos="8838"/>
      </w:tabs>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5CDA1" w14:textId="77777777" w:rsidR="00DF74A3" w:rsidRDefault="00DF74A3">
      <w:r>
        <w:separator/>
      </w:r>
    </w:p>
  </w:footnote>
  <w:footnote w:type="continuationSeparator" w:id="0">
    <w:p w14:paraId="4A787F14" w14:textId="77777777" w:rsidR="00DF74A3" w:rsidRDefault="00DF74A3">
      <w:r>
        <w:continuationSeparator/>
      </w:r>
    </w:p>
  </w:footnote>
  <w:footnote w:id="1">
    <w:p w14:paraId="74873343" w14:textId="77777777" w:rsidR="00140F7C" w:rsidRDefault="00AF35BD">
      <w:pPr>
        <w:jc w:val="both"/>
        <w:rPr>
          <w:sz w:val="20"/>
          <w:szCs w:val="20"/>
        </w:rPr>
      </w:pPr>
      <w:r>
        <w:rPr>
          <w:vertAlign w:val="superscript"/>
        </w:rPr>
        <w:footnoteRef/>
      </w:r>
      <w:r>
        <w:t xml:space="preserve"> “</w:t>
      </w:r>
      <w:r>
        <w:rPr>
          <w:i/>
          <w:sz w:val="20"/>
          <w:szCs w:val="20"/>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sz w:val="20"/>
          <w:szCs w:val="20"/>
        </w:rPr>
        <w:t>”</w:t>
      </w:r>
    </w:p>
  </w:footnote>
  <w:footnote w:id="2">
    <w:p w14:paraId="01C67539" w14:textId="77777777" w:rsidR="00140F7C" w:rsidRDefault="00AF35BD">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Convención Americana sobre Derechos Humanos. Artículo 13.</w:t>
      </w:r>
    </w:p>
  </w:footnote>
  <w:footnote w:id="3">
    <w:p w14:paraId="358BC421" w14:textId="77777777" w:rsidR="00140F7C" w:rsidRDefault="00AF35BD">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Constitución Política de los Estados Unidos Mexicanos. Artículo sexto, sección A, fracción I.</w:t>
      </w:r>
    </w:p>
  </w:footnote>
  <w:footnote w:id="4">
    <w:p w14:paraId="4DEFF736" w14:textId="77777777" w:rsidR="00140F7C" w:rsidRDefault="00AF35BD">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Corte Interamericana de Derechos Humanos. Caso Claude Reyes y otros vs. Chile. Sentencia de 19 de septiembre de 2006. Serie C. No. 151. Párr. 86.</w:t>
      </w:r>
    </w:p>
  </w:footnote>
  <w:footnote w:id="5">
    <w:p w14:paraId="09EBBF91" w14:textId="77777777" w:rsidR="00140F7C" w:rsidRDefault="00AF35BD">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Ibídem. Parr. 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BBB0D" w14:textId="77777777" w:rsidR="00140F7C" w:rsidRDefault="00DF74A3">
    <w:pPr>
      <w:pBdr>
        <w:top w:val="nil"/>
        <w:left w:val="nil"/>
        <w:bottom w:val="nil"/>
        <w:right w:val="nil"/>
        <w:between w:val="nil"/>
      </w:pBdr>
      <w:tabs>
        <w:tab w:val="center" w:pos="4419"/>
        <w:tab w:val="right" w:pos="8838"/>
      </w:tabs>
      <w:rPr>
        <w:rFonts w:eastAsia="Calibri"/>
        <w:color w:val="000000"/>
      </w:rPr>
    </w:pPr>
    <w:r>
      <w:rPr>
        <w:rFonts w:eastAsia="Calibri"/>
        <w:color w:val="000000"/>
      </w:rPr>
      <w:pict w14:anchorId="331713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609.4pt;height:793.75pt;z-index:-251657728;mso-position-horizontal:center;mso-position-horizontal-relative:margin;mso-position-vertical:center;mso-position-vertical-relative:margin">
          <v:imagedata r:id="rId1" o:title="image9"/>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F807E" w14:textId="77777777" w:rsidR="00140F7C" w:rsidRDefault="00140F7C">
    <w:pPr>
      <w:widowControl w:val="0"/>
      <w:pBdr>
        <w:top w:val="nil"/>
        <w:left w:val="nil"/>
        <w:bottom w:val="nil"/>
        <w:right w:val="nil"/>
        <w:between w:val="nil"/>
      </w:pBdr>
      <w:spacing w:line="276" w:lineRule="auto"/>
      <w:rPr>
        <w:rFonts w:eastAsia="Calibri"/>
        <w:color w:val="000000"/>
        <w:sz w:val="20"/>
        <w:szCs w:val="20"/>
      </w:rPr>
    </w:pPr>
  </w:p>
  <w:tbl>
    <w:tblPr>
      <w:tblStyle w:val="a2"/>
      <w:tblW w:w="6519" w:type="dxa"/>
      <w:tblInd w:w="2694" w:type="dxa"/>
      <w:tblLayout w:type="fixed"/>
      <w:tblLook w:val="0400" w:firstRow="0" w:lastRow="0" w:firstColumn="0" w:lastColumn="0" w:noHBand="0" w:noVBand="1"/>
    </w:tblPr>
    <w:tblGrid>
      <w:gridCol w:w="2976"/>
      <w:gridCol w:w="3543"/>
    </w:tblGrid>
    <w:tr w:rsidR="00140F7C" w14:paraId="134C7F6C" w14:textId="77777777">
      <w:trPr>
        <w:trHeight w:val="227"/>
      </w:trPr>
      <w:tc>
        <w:tcPr>
          <w:tcW w:w="2976" w:type="dxa"/>
          <w:vAlign w:val="center"/>
        </w:tcPr>
        <w:p w14:paraId="1C9150AB" w14:textId="77777777" w:rsidR="00140F7C" w:rsidRDefault="00AF35BD">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vAlign w:val="center"/>
        </w:tcPr>
        <w:p w14:paraId="0DD0835F" w14:textId="77777777" w:rsidR="00140F7C" w:rsidRDefault="00AF35B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15048/INFOEM/IP/RR/2022</w:t>
          </w:r>
        </w:p>
      </w:tc>
    </w:tr>
    <w:tr w:rsidR="00140F7C" w14:paraId="518CE210" w14:textId="77777777">
      <w:trPr>
        <w:trHeight w:val="242"/>
      </w:trPr>
      <w:tc>
        <w:tcPr>
          <w:tcW w:w="2976" w:type="dxa"/>
          <w:vAlign w:val="center"/>
        </w:tcPr>
        <w:p w14:paraId="78C116A4" w14:textId="77777777" w:rsidR="00140F7C" w:rsidRDefault="00AF35BD">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vAlign w:val="center"/>
        </w:tcPr>
        <w:p w14:paraId="228E8B90" w14:textId="77777777" w:rsidR="00140F7C" w:rsidRDefault="00AF35BD">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Junta de Caminos del Estado de México</w:t>
          </w:r>
        </w:p>
      </w:tc>
    </w:tr>
    <w:tr w:rsidR="00140F7C" w14:paraId="6A3AF75A" w14:textId="77777777">
      <w:trPr>
        <w:trHeight w:val="342"/>
      </w:trPr>
      <w:tc>
        <w:tcPr>
          <w:tcW w:w="2976" w:type="dxa"/>
          <w:vAlign w:val="center"/>
        </w:tcPr>
        <w:p w14:paraId="24C955FB" w14:textId="77777777" w:rsidR="00140F7C" w:rsidRDefault="00AF35BD">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543" w:type="dxa"/>
          <w:vAlign w:val="center"/>
        </w:tcPr>
        <w:p w14:paraId="5AF453AD" w14:textId="77777777" w:rsidR="00140F7C" w:rsidRDefault="00AF35B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María del Rosario Mejía Ayala</w:t>
          </w:r>
        </w:p>
      </w:tc>
    </w:tr>
  </w:tbl>
  <w:p w14:paraId="733019EC" w14:textId="77777777" w:rsidR="00140F7C" w:rsidRDefault="00DF74A3">
    <w:pPr>
      <w:pBdr>
        <w:top w:val="nil"/>
        <w:left w:val="nil"/>
        <w:bottom w:val="nil"/>
        <w:right w:val="nil"/>
        <w:between w:val="nil"/>
      </w:pBdr>
      <w:tabs>
        <w:tab w:val="center" w:pos="4419"/>
        <w:tab w:val="right" w:pos="8838"/>
        <w:tab w:val="left" w:pos="6005"/>
      </w:tabs>
      <w:rPr>
        <w:rFonts w:eastAsia="Calibri"/>
        <w:color w:val="000000"/>
        <w:sz w:val="14"/>
        <w:szCs w:val="14"/>
      </w:rPr>
    </w:pPr>
    <w:r>
      <w:rPr>
        <w:rFonts w:eastAsia="Calibri"/>
        <w:color w:val="000000"/>
        <w:sz w:val="14"/>
        <w:szCs w:val="14"/>
      </w:rPr>
      <w:pict w14:anchorId="17449B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82.3pt;margin-top:-110.1pt;width:609.4pt;height:793.75pt;z-index:-251659776;mso-position-horizontal:absolute;mso-position-horizontal-relative:margin;mso-position-vertical:absolute;mso-position-vertical-relative:margin">
          <v:imagedata r:id="rId1" o:title="image9"/>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0B2D7" w14:textId="77777777" w:rsidR="00140F7C" w:rsidRDefault="00140F7C">
    <w:pPr>
      <w:widowControl w:val="0"/>
      <w:pBdr>
        <w:top w:val="nil"/>
        <w:left w:val="nil"/>
        <w:bottom w:val="nil"/>
        <w:right w:val="nil"/>
        <w:between w:val="nil"/>
      </w:pBdr>
      <w:spacing w:line="276" w:lineRule="auto"/>
      <w:rPr>
        <w:rFonts w:eastAsia="Calibri"/>
        <w:color w:val="000000"/>
      </w:rPr>
    </w:pPr>
  </w:p>
  <w:tbl>
    <w:tblPr>
      <w:tblStyle w:val="a3"/>
      <w:tblW w:w="10345" w:type="dxa"/>
      <w:tblInd w:w="2552" w:type="dxa"/>
      <w:tblLayout w:type="fixed"/>
      <w:tblLook w:val="0400" w:firstRow="0" w:lastRow="0" w:firstColumn="0" w:lastColumn="0" w:noHBand="0" w:noVBand="1"/>
    </w:tblPr>
    <w:tblGrid>
      <w:gridCol w:w="2977"/>
      <w:gridCol w:w="3684"/>
      <w:gridCol w:w="3684"/>
    </w:tblGrid>
    <w:tr w:rsidR="00140F7C" w14:paraId="2C8CE308" w14:textId="77777777">
      <w:trPr>
        <w:trHeight w:val="227"/>
      </w:trPr>
      <w:tc>
        <w:tcPr>
          <w:tcW w:w="2977" w:type="dxa"/>
          <w:vAlign w:val="center"/>
        </w:tcPr>
        <w:p w14:paraId="2849AE89" w14:textId="77777777" w:rsidR="00140F7C" w:rsidRDefault="00AF35BD">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4" w:type="dxa"/>
          <w:vAlign w:val="center"/>
        </w:tcPr>
        <w:p w14:paraId="2DB97BBD" w14:textId="77777777" w:rsidR="00140F7C" w:rsidRDefault="00AF35B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15048/INFOEM/IP/RR/2022</w:t>
          </w:r>
        </w:p>
      </w:tc>
      <w:tc>
        <w:tcPr>
          <w:tcW w:w="3684" w:type="dxa"/>
        </w:tcPr>
        <w:p w14:paraId="3FCCBD74" w14:textId="77777777" w:rsidR="00140F7C" w:rsidRDefault="00140F7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r>
    <w:tr w:rsidR="00140F7C" w14:paraId="28065D06" w14:textId="77777777">
      <w:trPr>
        <w:trHeight w:val="242"/>
      </w:trPr>
      <w:tc>
        <w:tcPr>
          <w:tcW w:w="2977" w:type="dxa"/>
          <w:vAlign w:val="center"/>
        </w:tcPr>
        <w:p w14:paraId="33EE8638" w14:textId="77777777" w:rsidR="00140F7C" w:rsidRDefault="00AF35BD">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Recurrente:             </w:t>
          </w:r>
        </w:p>
      </w:tc>
      <w:tc>
        <w:tcPr>
          <w:tcW w:w="3684" w:type="dxa"/>
        </w:tcPr>
        <w:p w14:paraId="609FE3CA" w14:textId="738910F6" w:rsidR="00140F7C" w:rsidRDefault="00A076D3">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XXX </w:t>
          </w:r>
          <w:proofErr w:type="spellStart"/>
          <w:r>
            <w:rPr>
              <w:rFonts w:ascii="Palatino Linotype" w:eastAsia="Palatino Linotype" w:hAnsi="Palatino Linotype" w:cs="Palatino Linotype"/>
              <w:b/>
              <w:color w:val="000000"/>
              <w:sz w:val="22"/>
              <w:szCs w:val="22"/>
            </w:rPr>
            <w:t>XXX</w:t>
          </w:r>
          <w:proofErr w:type="spellEnd"/>
        </w:p>
      </w:tc>
      <w:tc>
        <w:tcPr>
          <w:tcW w:w="3684" w:type="dxa"/>
        </w:tcPr>
        <w:p w14:paraId="70F2A73A" w14:textId="77777777" w:rsidR="00140F7C" w:rsidRDefault="00140F7C">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b/>
              <w:color w:val="000000"/>
              <w:sz w:val="22"/>
              <w:szCs w:val="22"/>
            </w:rPr>
          </w:pPr>
        </w:p>
      </w:tc>
    </w:tr>
    <w:tr w:rsidR="00140F7C" w14:paraId="5DFA87D0" w14:textId="77777777">
      <w:trPr>
        <w:trHeight w:val="342"/>
      </w:trPr>
      <w:tc>
        <w:tcPr>
          <w:tcW w:w="2977" w:type="dxa"/>
          <w:vAlign w:val="center"/>
        </w:tcPr>
        <w:p w14:paraId="172B79E3" w14:textId="77777777" w:rsidR="00140F7C" w:rsidRDefault="00AF35BD">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4" w:type="dxa"/>
          <w:vAlign w:val="center"/>
        </w:tcPr>
        <w:p w14:paraId="79EFB09C" w14:textId="77777777" w:rsidR="00140F7C" w:rsidRDefault="00AF35BD">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Junta de Caminos del Estado de México</w:t>
          </w:r>
        </w:p>
      </w:tc>
      <w:tc>
        <w:tcPr>
          <w:tcW w:w="3684" w:type="dxa"/>
        </w:tcPr>
        <w:p w14:paraId="7B5744E2" w14:textId="77777777" w:rsidR="00140F7C" w:rsidRDefault="00140F7C">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2"/>
              <w:szCs w:val="22"/>
            </w:rPr>
          </w:pPr>
        </w:p>
      </w:tc>
    </w:tr>
    <w:tr w:rsidR="00140F7C" w14:paraId="4EDF6ABD" w14:textId="77777777">
      <w:trPr>
        <w:trHeight w:val="342"/>
      </w:trPr>
      <w:tc>
        <w:tcPr>
          <w:tcW w:w="2977" w:type="dxa"/>
          <w:vAlign w:val="center"/>
        </w:tcPr>
        <w:p w14:paraId="6F391E30" w14:textId="77777777" w:rsidR="00140F7C" w:rsidRDefault="00AF35BD">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4" w:type="dxa"/>
          <w:vAlign w:val="center"/>
        </w:tcPr>
        <w:p w14:paraId="7D47F94A" w14:textId="77777777" w:rsidR="00140F7C" w:rsidRDefault="00AF35B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1"/>
              <w:szCs w:val="21"/>
            </w:rPr>
            <w:t>María del Rosario Mejía Ayala</w:t>
          </w:r>
        </w:p>
      </w:tc>
      <w:tc>
        <w:tcPr>
          <w:tcW w:w="3684" w:type="dxa"/>
        </w:tcPr>
        <w:p w14:paraId="4D3394C7" w14:textId="77777777" w:rsidR="00140F7C" w:rsidRDefault="00140F7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1"/>
              <w:szCs w:val="21"/>
            </w:rPr>
          </w:pPr>
        </w:p>
      </w:tc>
    </w:tr>
  </w:tbl>
  <w:p w14:paraId="6C0EA355" w14:textId="77777777" w:rsidR="00140F7C" w:rsidRDefault="00DF74A3">
    <w:pPr>
      <w:pBdr>
        <w:top w:val="nil"/>
        <w:left w:val="nil"/>
        <w:bottom w:val="nil"/>
        <w:right w:val="nil"/>
        <w:between w:val="nil"/>
      </w:pBdr>
      <w:tabs>
        <w:tab w:val="center" w:pos="4419"/>
        <w:tab w:val="right" w:pos="8838"/>
      </w:tabs>
      <w:rPr>
        <w:rFonts w:eastAsia="Calibri"/>
        <w:color w:val="000000"/>
        <w:sz w:val="16"/>
        <w:szCs w:val="16"/>
      </w:rPr>
    </w:pPr>
    <w:r>
      <w:rPr>
        <w:rFonts w:eastAsia="Calibri"/>
        <w:color w:val="000000"/>
        <w:sz w:val="16"/>
        <w:szCs w:val="16"/>
      </w:rPr>
      <w:pict w14:anchorId="3E058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84.55pt;margin-top:-132.2pt;width:609.4pt;height:793.75pt;z-index:-251658752;mso-position-horizontal:absolute;mso-position-horizontal-relative:margin;mso-position-vertical:absolute;mso-position-vertical-relative:margin">
          <v:imagedata r:id="rId1" o:title="image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0578B"/>
    <w:multiLevelType w:val="multilevel"/>
    <w:tmpl w:val="57BAE5A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8247ED"/>
    <w:multiLevelType w:val="multilevel"/>
    <w:tmpl w:val="1C90046E"/>
    <w:lvl w:ilvl="0">
      <w:start w:val="1"/>
      <w:numFmt w:val="decimal"/>
      <w:lvlText w:val="%1."/>
      <w:lvlJc w:val="left"/>
      <w:pPr>
        <w:ind w:left="107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1B32958"/>
    <w:multiLevelType w:val="multilevel"/>
    <w:tmpl w:val="833ABC46"/>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upperRoman"/>
      <w:lvlText w:val="%4."/>
      <w:lvlJc w:val="right"/>
      <w:pPr>
        <w:ind w:left="3240" w:hanging="72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F066568"/>
    <w:multiLevelType w:val="multilevel"/>
    <w:tmpl w:val="0F2EBC88"/>
    <w:lvl w:ilvl="0">
      <w:start w:val="1"/>
      <w:numFmt w:val="lowerLetter"/>
      <w:lvlText w:val="%1)"/>
      <w:lvlJc w:val="left"/>
      <w:pPr>
        <w:ind w:left="1287" w:hanging="360"/>
      </w:pPr>
      <w:rPr>
        <w:b/>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15:restartNumberingAfterBreak="0">
    <w:nsid w:val="68497E65"/>
    <w:multiLevelType w:val="multilevel"/>
    <w:tmpl w:val="7220C2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57902046">
    <w:abstractNumId w:val="4"/>
  </w:num>
  <w:num w:numId="2" w16cid:durableId="1351180957">
    <w:abstractNumId w:val="3"/>
  </w:num>
  <w:num w:numId="3" w16cid:durableId="279653774">
    <w:abstractNumId w:val="0"/>
  </w:num>
  <w:num w:numId="4" w16cid:durableId="705905317">
    <w:abstractNumId w:val="2"/>
  </w:num>
  <w:num w:numId="5" w16cid:durableId="8573068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F7C"/>
    <w:rsid w:val="00140F7C"/>
    <w:rsid w:val="0040409B"/>
    <w:rsid w:val="0044256C"/>
    <w:rsid w:val="004E70EA"/>
    <w:rsid w:val="00692D3B"/>
    <w:rsid w:val="00747FE9"/>
    <w:rsid w:val="009A715F"/>
    <w:rsid w:val="00A076D3"/>
    <w:rsid w:val="00AF35BD"/>
    <w:rsid w:val="00DF74A3"/>
    <w:rsid w:val="00FB57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5E598"/>
  <w15:docId w15:val="{65C7B9A9-D0B5-4327-A72E-966AADE23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B62"/>
    <w:rPr>
      <w:rFonts w:eastAsiaTheme="minorEastAsia"/>
      <w:lang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rPr>
      <w:rFonts w:eastAsiaTheme="minorEastAsia"/>
      <w:lang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pPr>
    <w:rPr>
      <w:rFonts w:ascii="Arial" w:hAnsi="Arial" w:cs="Arial"/>
      <w:color w:val="000000"/>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rPr>
      <w:rFonts w:eastAsiaTheme="minorEastAsia"/>
      <w:lang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rPr>
      <w:rFonts w:eastAsiaTheme="minorEastAsia"/>
      <w:lang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Hipervnculo151">
    <w:name w:val="Hipervínculo151"/>
    <w:basedOn w:val="Fuentedeprrafopredeter"/>
    <w:uiPriority w:val="99"/>
    <w:unhideWhenUsed/>
    <w:rsid w:val="00984E7E"/>
    <w:rPr>
      <w:color w:val="0000FF"/>
      <w:u w:val="single"/>
    </w:rPr>
  </w:style>
  <w:style w:type="table" w:customStyle="1" w:styleId="Tablanormal12">
    <w:name w:val="Tabla normal 12"/>
    <w:basedOn w:val="Tablanormal"/>
    <w:next w:val="Tablanormal1"/>
    <w:uiPriority w:val="41"/>
    <w:rsid w:val="00751B3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51B3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3">
    <w:name w:val="Tabla normal 13"/>
    <w:basedOn w:val="Tablanormal"/>
    <w:next w:val="Tablanormal1"/>
    <w:uiPriority w:val="41"/>
    <w:rsid w:val="00681C08"/>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2111">
    <w:name w:val="Tabla con cuadrícula2111"/>
    <w:basedOn w:val="Tablanormal"/>
    <w:next w:val="Tablaconcuadrcula"/>
    <w:uiPriority w:val="39"/>
    <w:rsid w:val="00C101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97528.page"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cadenapolitica.com/2023/02/07/calimaya-favorecido-con-caminos-del-su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municacionxxi.com.mx/blogs/post/inauguran-pavimentacion-programa-app-caminos-del-sur-calimay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Q78XB6/AD/JvIzYdQwtUGGKfSw==">CgMxLjAyCGguZ2pkZ3hzMgloLjMwajB6bGwyCWguMWZvYjl0ZTIJaC4zem55c2g3MgloLjJldDkycDAyCGgudHlqY3d0MgloLjNkeTZ2a20yCWguMXQzaDVzZjIJaC40ZDM0b2c4MgloLjJzOGV5bzEyCWguMTdkcDh2dTgAciExQTl6Y2VkYkNCdDlRbWlRbHNpZHh5UjN2c2NxelV3V2Q=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7898</Words>
  <Characters>43442</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Mig</dc:creator>
  <cp:lastModifiedBy>inf03m612@outlook.com</cp:lastModifiedBy>
  <cp:revision>5</cp:revision>
  <dcterms:created xsi:type="dcterms:W3CDTF">2024-04-02T23:29:00Z</dcterms:created>
  <dcterms:modified xsi:type="dcterms:W3CDTF">2024-05-16T20:36:00Z</dcterms:modified>
</cp:coreProperties>
</file>