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625CDB" w:rsidRDefault="00AE3DA7" w:rsidP="00625CDB">
          <w:pPr>
            <w:pStyle w:val="TtulodeTDC"/>
            <w:spacing w:before="0" w:line="240" w:lineRule="auto"/>
            <w:rPr>
              <w:rFonts w:ascii="Palatino Linotype" w:hAnsi="Palatino Linotype"/>
              <w:color w:val="auto"/>
              <w:sz w:val="24"/>
              <w:szCs w:val="24"/>
              <w:lang w:val="es-ES"/>
            </w:rPr>
          </w:pPr>
          <w:r w:rsidRPr="00625CDB">
            <w:rPr>
              <w:rFonts w:ascii="Palatino Linotype" w:hAnsi="Palatino Linotype"/>
              <w:color w:val="auto"/>
              <w:sz w:val="24"/>
              <w:szCs w:val="24"/>
              <w:lang w:val="es-ES"/>
            </w:rPr>
            <w:t>Contenido</w:t>
          </w:r>
        </w:p>
        <w:p w14:paraId="3EB312A7" w14:textId="77777777" w:rsidR="00AA6EA9" w:rsidRPr="00625CDB" w:rsidRDefault="00AA6EA9" w:rsidP="00625CDB">
          <w:pPr>
            <w:spacing w:line="240" w:lineRule="auto"/>
            <w:rPr>
              <w:sz w:val="16"/>
              <w:szCs w:val="16"/>
              <w:lang w:val="es-ES" w:eastAsia="es-MX"/>
            </w:rPr>
          </w:pPr>
        </w:p>
        <w:p w14:paraId="0C9DB976" w14:textId="77777777" w:rsidR="00625CDB" w:rsidRDefault="00AE3DA7">
          <w:pPr>
            <w:pStyle w:val="TDC1"/>
            <w:tabs>
              <w:tab w:val="right" w:leader="dot" w:pos="9034"/>
            </w:tabs>
            <w:rPr>
              <w:rFonts w:asciiTheme="minorHAnsi" w:eastAsiaTheme="minorEastAsia" w:hAnsiTheme="minorHAnsi" w:cstheme="minorBidi"/>
              <w:noProof/>
              <w:szCs w:val="22"/>
              <w:lang w:eastAsia="es-MX"/>
            </w:rPr>
          </w:pPr>
          <w:r w:rsidRPr="00625CDB">
            <w:rPr>
              <w:sz w:val="16"/>
              <w:szCs w:val="16"/>
            </w:rPr>
            <w:fldChar w:fldCharType="begin"/>
          </w:r>
          <w:r w:rsidRPr="00625CDB">
            <w:rPr>
              <w:sz w:val="16"/>
              <w:szCs w:val="16"/>
            </w:rPr>
            <w:instrText xml:space="preserve"> TOC \o "1-3" \h \z \u </w:instrText>
          </w:r>
          <w:r w:rsidRPr="00625CDB">
            <w:rPr>
              <w:sz w:val="16"/>
              <w:szCs w:val="16"/>
            </w:rPr>
            <w:fldChar w:fldCharType="separate"/>
          </w:r>
          <w:hyperlink w:anchor="_Toc174558414" w:history="1">
            <w:r w:rsidR="00625CDB" w:rsidRPr="00B66643">
              <w:rPr>
                <w:rStyle w:val="Hipervnculo"/>
                <w:noProof/>
              </w:rPr>
              <w:t>ANTECEDENTES</w:t>
            </w:r>
            <w:r w:rsidR="00625CDB">
              <w:rPr>
                <w:noProof/>
                <w:webHidden/>
              </w:rPr>
              <w:tab/>
            </w:r>
            <w:r w:rsidR="00625CDB">
              <w:rPr>
                <w:noProof/>
                <w:webHidden/>
              </w:rPr>
              <w:fldChar w:fldCharType="begin"/>
            </w:r>
            <w:r w:rsidR="00625CDB">
              <w:rPr>
                <w:noProof/>
                <w:webHidden/>
              </w:rPr>
              <w:instrText xml:space="preserve"> PAGEREF _Toc174558414 \h </w:instrText>
            </w:r>
            <w:r w:rsidR="00625CDB">
              <w:rPr>
                <w:noProof/>
                <w:webHidden/>
              </w:rPr>
            </w:r>
            <w:r w:rsidR="00625CDB">
              <w:rPr>
                <w:noProof/>
                <w:webHidden/>
              </w:rPr>
              <w:fldChar w:fldCharType="separate"/>
            </w:r>
            <w:r w:rsidR="00A026E4">
              <w:rPr>
                <w:noProof/>
                <w:webHidden/>
              </w:rPr>
              <w:t>1</w:t>
            </w:r>
            <w:r w:rsidR="00625CDB">
              <w:rPr>
                <w:noProof/>
                <w:webHidden/>
              </w:rPr>
              <w:fldChar w:fldCharType="end"/>
            </w:r>
          </w:hyperlink>
        </w:p>
        <w:p w14:paraId="19E0A2E2" w14:textId="77777777" w:rsidR="00625CDB" w:rsidRDefault="00B6587C">
          <w:pPr>
            <w:pStyle w:val="TDC2"/>
            <w:rPr>
              <w:rFonts w:asciiTheme="minorHAnsi" w:eastAsiaTheme="minorEastAsia" w:hAnsiTheme="minorHAnsi" w:cstheme="minorBidi"/>
              <w:noProof/>
              <w:szCs w:val="22"/>
              <w:lang w:eastAsia="es-MX"/>
            </w:rPr>
          </w:pPr>
          <w:hyperlink w:anchor="_Toc174558415" w:history="1">
            <w:r w:rsidR="00625CDB" w:rsidRPr="00B66643">
              <w:rPr>
                <w:rStyle w:val="Hipervnculo"/>
                <w:noProof/>
              </w:rPr>
              <w:t>DE LA SOLICITUD DE INFORMACIÓN</w:t>
            </w:r>
            <w:r w:rsidR="00625CDB">
              <w:rPr>
                <w:noProof/>
                <w:webHidden/>
              </w:rPr>
              <w:tab/>
            </w:r>
            <w:r w:rsidR="00625CDB">
              <w:rPr>
                <w:noProof/>
                <w:webHidden/>
              </w:rPr>
              <w:fldChar w:fldCharType="begin"/>
            </w:r>
            <w:r w:rsidR="00625CDB">
              <w:rPr>
                <w:noProof/>
                <w:webHidden/>
              </w:rPr>
              <w:instrText xml:space="preserve"> PAGEREF _Toc174558415 \h </w:instrText>
            </w:r>
            <w:r w:rsidR="00625CDB">
              <w:rPr>
                <w:noProof/>
                <w:webHidden/>
              </w:rPr>
            </w:r>
            <w:r w:rsidR="00625CDB">
              <w:rPr>
                <w:noProof/>
                <w:webHidden/>
              </w:rPr>
              <w:fldChar w:fldCharType="separate"/>
            </w:r>
            <w:r w:rsidR="00A026E4">
              <w:rPr>
                <w:noProof/>
                <w:webHidden/>
              </w:rPr>
              <w:t>1</w:t>
            </w:r>
            <w:r w:rsidR="00625CDB">
              <w:rPr>
                <w:noProof/>
                <w:webHidden/>
              </w:rPr>
              <w:fldChar w:fldCharType="end"/>
            </w:r>
          </w:hyperlink>
        </w:p>
        <w:p w14:paraId="59D588B9" w14:textId="77777777" w:rsidR="00625CDB" w:rsidRDefault="00B6587C">
          <w:pPr>
            <w:pStyle w:val="TDC3"/>
            <w:rPr>
              <w:rFonts w:asciiTheme="minorHAnsi" w:eastAsiaTheme="minorEastAsia" w:hAnsiTheme="minorHAnsi" w:cstheme="minorBidi"/>
              <w:noProof/>
              <w:szCs w:val="22"/>
              <w:lang w:eastAsia="es-MX"/>
            </w:rPr>
          </w:pPr>
          <w:hyperlink w:anchor="_Toc174558416" w:history="1">
            <w:r w:rsidR="00625CDB" w:rsidRPr="00B66643">
              <w:rPr>
                <w:rStyle w:val="Hipervnculo"/>
                <w:noProof/>
              </w:rPr>
              <w:t>a) Solicitud de información</w:t>
            </w:r>
            <w:r w:rsidR="00625CDB">
              <w:rPr>
                <w:noProof/>
                <w:webHidden/>
              </w:rPr>
              <w:tab/>
            </w:r>
            <w:r w:rsidR="00625CDB">
              <w:rPr>
                <w:noProof/>
                <w:webHidden/>
              </w:rPr>
              <w:fldChar w:fldCharType="begin"/>
            </w:r>
            <w:r w:rsidR="00625CDB">
              <w:rPr>
                <w:noProof/>
                <w:webHidden/>
              </w:rPr>
              <w:instrText xml:space="preserve"> PAGEREF _Toc174558416 \h </w:instrText>
            </w:r>
            <w:r w:rsidR="00625CDB">
              <w:rPr>
                <w:noProof/>
                <w:webHidden/>
              </w:rPr>
            </w:r>
            <w:r w:rsidR="00625CDB">
              <w:rPr>
                <w:noProof/>
                <w:webHidden/>
              </w:rPr>
              <w:fldChar w:fldCharType="separate"/>
            </w:r>
            <w:r w:rsidR="00A026E4">
              <w:rPr>
                <w:noProof/>
                <w:webHidden/>
              </w:rPr>
              <w:t>1</w:t>
            </w:r>
            <w:r w:rsidR="00625CDB">
              <w:rPr>
                <w:noProof/>
                <w:webHidden/>
              </w:rPr>
              <w:fldChar w:fldCharType="end"/>
            </w:r>
          </w:hyperlink>
        </w:p>
        <w:p w14:paraId="6FEB0C21" w14:textId="77777777" w:rsidR="00625CDB" w:rsidRDefault="00B6587C">
          <w:pPr>
            <w:pStyle w:val="TDC3"/>
            <w:rPr>
              <w:rFonts w:asciiTheme="minorHAnsi" w:eastAsiaTheme="minorEastAsia" w:hAnsiTheme="minorHAnsi" w:cstheme="minorBidi"/>
              <w:noProof/>
              <w:szCs w:val="22"/>
              <w:lang w:eastAsia="es-MX"/>
            </w:rPr>
          </w:pPr>
          <w:hyperlink w:anchor="_Toc174558417" w:history="1">
            <w:r w:rsidR="00625CDB" w:rsidRPr="00B66643">
              <w:rPr>
                <w:rStyle w:val="Hipervnculo"/>
                <w:noProof/>
              </w:rPr>
              <w:t xml:space="preserve">b) </w:t>
            </w:r>
            <w:r w:rsidR="00625CDB" w:rsidRPr="00B66643">
              <w:rPr>
                <w:rStyle w:val="Hipervnculo"/>
                <w:noProof/>
                <w:lang w:val="es-ES"/>
              </w:rPr>
              <w:t xml:space="preserve">Respuesta </w:t>
            </w:r>
            <w:r w:rsidR="00625CDB" w:rsidRPr="00B66643">
              <w:rPr>
                <w:rStyle w:val="Hipervnculo"/>
                <w:rFonts w:eastAsia="Calibri"/>
                <w:noProof/>
                <w:lang w:eastAsia="en-US"/>
              </w:rPr>
              <w:t>del Sujeto Obligado</w:t>
            </w:r>
            <w:r w:rsidR="00625CDB">
              <w:rPr>
                <w:noProof/>
                <w:webHidden/>
              </w:rPr>
              <w:tab/>
            </w:r>
            <w:r w:rsidR="00625CDB">
              <w:rPr>
                <w:noProof/>
                <w:webHidden/>
              </w:rPr>
              <w:fldChar w:fldCharType="begin"/>
            </w:r>
            <w:r w:rsidR="00625CDB">
              <w:rPr>
                <w:noProof/>
                <w:webHidden/>
              </w:rPr>
              <w:instrText xml:space="preserve"> PAGEREF _Toc174558417 \h </w:instrText>
            </w:r>
            <w:r w:rsidR="00625CDB">
              <w:rPr>
                <w:noProof/>
                <w:webHidden/>
              </w:rPr>
            </w:r>
            <w:r w:rsidR="00625CDB">
              <w:rPr>
                <w:noProof/>
                <w:webHidden/>
              </w:rPr>
              <w:fldChar w:fldCharType="separate"/>
            </w:r>
            <w:r w:rsidR="00A026E4">
              <w:rPr>
                <w:noProof/>
                <w:webHidden/>
              </w:rPr>
              <w:t>3</w:t>
            </w:r>
            <w:r w:rsidR="00625CDB">
              <w:rPr>
                <w:noProof/>
                <w:webHidden/>
              </w:rPr>
              <w:fldChar w:fldCharType="end"/>
            </w:r>
          </w:hyperlink>
        </w:p>
        <w:p w14:paraId="273D2F8C" w14:textId="77777777" w:rsidR="00625CDB" w:rsidRDefault="00B6587C">
          <w:pPr>
            <w:pStyle w:val="TDC2"/>
            <w:rPr>
              <w:rFonts w:asciiTheme="minorHAnsi" w:eastAsiaTheme="minorEastAsia" w:hAnsiTheme="minorHAnsi" w:cstheme="minorBidi"/>
              <w:noProof/>
              <w:szCs w:val="22"/>
              <w:lang w:eastAsia="es-MX"/>
            </w:rPr>
          </w:pPr>
          <w:hyperlink w:anchor="_Toc174558418" w:history="1">
            <w:r w:rsidR="00625CDB" w:rsidRPr="00B66643">
              <w:rPr>
                <w:rStyle w:val="Hipervnculo"/>
                <w:noProof/>
              </w:rPr>
              <w:t>DEL RECURSO DE REVISIÓN</w:t>
            </w:r>
            <w:r w:rsidR="00625CDB">
              <w:rPr>
                <w:noProof/>
                <w:webHidden/>
              </w:rPr>
              <w:tab/>
            </w:r>
            <w:r w:rsidR="00625CDB">
              <w:rPr>
                <w:noProof/>
                <w:webHidden/>
              </w:rPr>
              <w:fldChar w:fldCharType="begin"/>
            </w:r>
            <w:r w:rsidR="00625CDB">
              <w:rPr>
                <w:noProof/>
                <w:webHidden/>
              </w:rPr>
              <w:instrText xml:space="preserve"> PAGEREF _Toc174558418 \h </w:instrText>
            </w:r>
            <w:r w:rsidR="00625CDB">
              <w:rPr>
                <w:noProof/>
                <w:webHidden/>
              </w:rPr>
            </w:r>
            <w:r w:rsidR="00625CDB">
              <w:rPr>
                <w:noProof/>
                <w:webHidden/>
              </w:rPr>
              <w:fldChar w:fldCharType="separate"/>
            </w:r>
            <w:r w:rsidR="00A026E4">
              <w:rPr>
                <w:noProof/>
                <w:webHidden/>
              </w:rPr>
              <w:t>5</w:t>
            </w:r>
            <w:r w:rsidR="00625CDB">
              <w:rPr>
                <w:noProof/>
                <w:webHidden/>
              </w:rPr>
              <w:fldChar w:fldCharType="end"/>
            </w:r>
          </w:hyperlink>
        </w:p>
        <w:p w14:paraId="7155D484" w14:textId="77777777" w:rsidR="00625CDB" w:rsidRDefault="00B6587C">
          <w:pPr>
            <w:pStyle w:val="TDC3"/>
            <w:rPr>
              <w:rFonts w:asciiTheme="minorHAnsi" w:eastAsiaTheme="minorEastAsia" w:hAnsiTheme="minorHAnsi" w:cstheme="minorBidi"/>
              <w:noProof/>
              <w:szCs w:val="22"/>
              <w:lang w:eastAsia="es-MX"/>
            </w:rPr>
          </w:pPr>
          <w:hyperlink w:anchor="_Toc174558419" w:history="1">
            <w:r w:rsidR="00625CDB" w:rsidRPr="00B66643">
              <w:rPr>
                <w:rStyle w:val="Hipervnculo"/>
                <w:noProof/>
              </w:rPr>
              <w:t>a) Interposición del Recurso de Revisión</w:t>
            </w:r>
            <w:r w:rsidR="00625CDB">
              <w:rPr>
                <w:noProof/>
                <w:webHidden/>
              </w:rPr>
              <w:tab/>
            </w:r>
            <w:r w:rsidR="00625CDB">
              <w:rPr>
                <w:noProof/>
                <w:webHidden/>
              </w:rPr>
              <w:fldChar w:fldCharType="begin"/>
            </w:r>
            <w:r w:rsidR="00625CDB">
              <w:rPr>
                <w:noProof/>
                <w:webHidden/>
              </w:rPr>
              <w:instrText xml:space="preserve"> PAGEREF _Toc174558419 \h </w:instrText>
            </w:r>
            <w:r w:rsidR="00625CDB">
              <w:rPr>
                <w:noProof/>
                <w:webHidden/>
              </w:rPr>
            </w:r>
            <w:r w:rsidR="00625CDB">
              <w:rPr>
                <w:noProof/>
                <w:webHidden/>
              </w:rPr>
              <w:fldChar w:fldCharType="separate"/>
            </w:r>
            <w:r w:rsidR="00A026E4">
              <w:rPr>
                <w:noProof/>
                <w:webHidden/>
              </w:rPr>
              <w:t>5</w:t>
            </w:r>
            <w:r w:rsidR="00625CDB">
              <w:rPr>
                <w:noProof/>
                <w:webHidden/>
              </w:rPr>
              <w:fldChar w:fldCharType="end"/>
            </w:r>
          </w:hyperlink>
        </w:p>
        <w:p w14:paraId="04C6B0D0" w14:textId="77777777" w:rsidR="00625CDB" w:rsidRDefault="00B6587C">
          <w:pPr>
            <w:pStyle w:val="TDC3"/>
            <w:rPr>
              <w:rFonts w:asciiTheme="minorHAnsi" w:eastAsiaTheme="minorEastAsia" w:hAnsiTheme="minorHAnsi" w:cstheme="minorBidi"/>
              <w:noProof/>
              <w:szCs w:val="22"/>
              <w:lang w:eastAsia="es-MX"/>
            </w:rPr>
          </w:pPr>
          <w:hyperlink w:anchor="_Toc174558420" w:history="1">
            <w:r w:rsidR="00625CDB" w:rsidRPr="00B66643">
              <w:rPr>
                <w:rStyle w:val="Hipervnculo"/>
                <w:noProof/>
              </w:rPr>
              <w:t>b) Turno del Recurso de Revisión</w:t>
            </w:r>
            <w:r w:rsidR="00625CDB">
              <w:rPr>
                <w:noProof/>
                <w:webHidden/>
              </w:rPr>
              <w:tab/>
            </w:r>
            <w:r w:rsidR="00625CDB">
              <w:rPr>
                <w:noProof/>
                <w:webHidden/>
              </w:rPr>
              <w:fldChar w:fldCharType="begin"/>
            </w:r>
            <w:r w:rsidR="00625CDB">
              <w:rPr>
                <w:noProof/>
                <w:webHidden/>
              </w:rPr>
              <w:instrText xml:space="preserve"> PAGEREF _Toc174558420 \h </w:instrText>
            </w:r>
            <w:r w:rsidR="00625CDB">
              <w:rPr>
                <w:noProof/>
                <w:webHidden/>
              </w:rPr>
            </w:r>
            <w:r w:rsidR="00625CDB">
              <w:rPr>
                <w:noProof/>
                <w:webHidden/>
              </w:rPr>
              <w:fldChar w:fldCharType="separate"/>
            </w:r>
            <w:r w:rsidR="00A026E4">
              <w:rPr>
                <w:noProof/>
                <w:webHidden/>
              </w:rPr>
              <w:t>10</w:t>
            </w:r>
            <w:r w:rsidR="00625CDB">
              <w:rPr>
                <w:noProof/>
                <w:webHidden/>
              </w:rPr>
              <w:fldChar w:fldCharType="end"/>
            </w:r>
          </w:hyperlink>
        </w:p>
        <w:p w14:paraId="5579BB8E" w14:textId="77777777" w:rsidR="00625CDB" w:rsidRDefault="00B6587C">
          <w:pPr>
            <w:pStyle w:val="TDC3"/>
            <w:rPr>
              <w:rFonts w:asciiTheme="minorHAnsi" w:eastAsiaTheme="minorEastAsia" w:hAnsiTheme="minorHAnsi" w:cstheme="minorBidi"/>
              <w:noProof/>
              <w:szCs w:val="22"/>
              <w:lang w:eastAsia="es-MX"/>
            </w:rPr>
          </w:pPr>
          <w:hyperlink w:anchor="_Toc174558421" w:history="1">
            <w:r w:rsidR="00625CDB" w:rsidRPr="00B66643">
              <w:rPr>
                <w:rStyle w:val="Hipervnculo"/>
                <w:noProof/>
              </w:rPr>
              <w:t>c) Admisión del Recurso de Revisión</w:t>
            </w:r>
            <w:r w:rsidR="00625CDB">
              <w:rPr>
                <w:noProof/>
                <w:webHidden/>
              </w:rPr>
              <w:tab/>
            </w:r>
            <w:r w:rsidR="00625CDB">
              <w:rPr>
                <w:noProof/>
                <w:webHidden/>
              </w:rPr>
              <w:fldChar w:fldCharType="begin"/>
            </w:r>
            <w:r w:rsidR="00625CDB">
              <w:rPr>
                <w:noProof/>
                <w:webHidden/>
              </w:rPr>
              <w:instrText xml:space="preserve"> PAGEREF _Toc174558421 \h </w:instrText>
            </w:r>
            <w:r w:rsidR="00625CDB">
              <w:rPr>
                <w:noProof/>
                <w:webHidden/>
              </w:rPr>
            </w:r>
            <w:r w:rsidR="00625CDB">
              <w:rPr>
                <w:noProof/>
                <w:webHidden/>
              </w:rPr>
              <w:fldChar w:fldCharType="separate"/>
            </w:r>
            <w:r w:rsidR="00A026E4">
              <w:rPr>
                <w:noProof/>
                <w:webHidden/>
              </w:rPr>
              <w:t>10</w:t>
            </w:r>
            <w:r w:rsidR="00625CDB">
              <w:rPr>
                <w:noProof/>
                <w:webHidden/>
              </w:rPr>
              <w:fldChar w:fldCharType="end"/>
            </w:r>
          </w:hyperlink>
        </w:p>
        <w:p w14:paraId="3A1D25EE" w14:textId="77777777" w:rsidR="00625CDB" w:rsidRDefault="00B6587C">
          <w:pPr>
            <w:pStyle w:val="TDC3"/>
            <w:rPr>
              <w:rFonts w:asciiTheme="minorHAnsi" w:eastAsiaTheme="minorEastAsia" w:hAnsiTheme="minorHAnsi" w:cstheme="minorBidi"/>
              <w:noProof/>
              <w:szCs w:val="22"/>
              <w:lang w:eastAsia="es-MX"/>
            </w:rPr>
          </w:pPr>
          <w:hyperlink w:anchor="_Toc174558422" w:history="1">
            <w:r w:rsidR="00625CDB" w:rsidRPr="00B66643">
              <w:rPr>
                <w:rStyle w:val="Hipervnculo"/>
                <w:noProof/>
              </w:rPr>
              <w:t>d) Informe Justificado del Sujeto Obligado</w:t>
            </w:r>
            <w:r w:rsidR="00625CDB">
              <w:rPr>
                <w:noProof/>
                <w:webHidden/>
              </w:rPr>
              <w:tab/>
            </w:r>
            <w:r w:rsidR="00625CDB">
              <w:rPr>
                <w:noProof/>
                <w:webHidden/>
              </w:rPr>
              <w:fldChar w:fldCharType="begin"/>
            </w:r>
            <w:r w:rsidR="00625CDB">
              <w:rPr>
                <w:noProof/>
                <w:webHidden/>
              </w:rPr>
              <w:instrText xml:space="preserve"> PAGEREF _Toc174558422 \h </w:instrText>
            </w:r>
            <w:r w:rsidR="00625CDB">
              <w:rPr>
                <w:noProof/>
                <w:webHidden/>
              </w:rPr>
            </w:r>
            <w:r w:rsidR="00625CDB">
              <w:rPr>
                <w:noProof/>
                <w:webHidden/>
              </w:rPr>
              <w:fldChar w:fldCharType="separate"/>
            </w:r>
            <w:r w:rsidR="00A026E4">
              <w:rPr>
                <w:noProof/>
                <w:webHidden/>
              </w:rPr>
              <w:t>10</w:t>
            </w:r>
            <w:r w:rsidR="00625CDB">
              <w:rPr>
                <w:noProof/>
                <w:webHidden/>
              </w:rPr>
              <w:fldChar w:fldCharType="end"/>
            </w:r>
          </w:hyperlink>
        </w:p>
        <w:p w14:paraId="0B44F228" w14:textId="77777777" w:rsidR="00625CDB" w:rsidRDefault="00B6587C">
          <w:pPr>
            <w:pStyle w:val="TDC3"/>
            <w:rPr>
              <w:rFonts w:asciiTheme="minorHAnsi" w:eastAsiaTheme="minorEastAsia" w:hAnsiTheme="minorHAnsi" w:cstheme="minorBidi"/>
              <w:noProof/>
              <w:szCs w:val="22"/>
              <w:lang w:eastAsia="es-MX"/>
            </w:rPr>
          </w:pPr>
          <w:hyperlink w:anchor="_Toc174558423" w:history="1">
            <w:r w:rsidR="00625CDB" w:rsidRPr="00B66643">
              <w:rPr>
                <w:rStyle w:val="Hipervnculo"/>
                <w:rFonts w:eastAsia="Calibri"/>
                <w:bCs/>
                <w:noProof/>
                <w:lang w:eastAsia="en-US"/>
              </w:rPr>
              <w:t>e)</w:t>
            </w:r>
            <w:r w:rsidR="00625CDB" w:rsidRPr="00B66643">
              <w:rPr>
                <w:rStyle w:val="Hipervnculo"/>
                <w:noProof/>
              </w:rPr>
              <w:t xml:space="preserve"> </w:t>
            </w:r>
            <w:r w:rsidR="00625CDB" w:rsidRPr="00B66643">
              <w:rPr>
                <w:rStyle w:val="Hipervnculo"/>
                <w:noProof/>
                <w:lang w:val="es-ES"/>
              </w:rPr>
              <w:t>Manifestaciones de la Parte Recurrente</w:t>
            </w:r>
            <w:r w:rsidR="00625CDB">
              <w:rPr>
                <w:noProof/>
                <w:webHidden/>
              </w:rPr>
              <w:tab/>
            </w:r>
            <w:r w:rsidR="00625CDB">
              <w:rPr>
                <w:noProof/>
                <w:webHidden/>
              </w:rPr>
              <w:fldChar w:fldCharType="begin"/>
            </w:r>
            <w:r w:rsidR="00625CDB">
              <w:rPr>
                <w:noProof/>
                <w:webHidden/>
              </w:rPr>
              <w:instrText xml:space="preserve"> PAGEREF _Toc174558423 \h </w:instrText>
            </w:r>
            <w:r w:rsidR="00625CDB">
              <w:rPr>
                <w:noProof/>
                <w:webHidden/>
              </w:rPr>
            </w:r>
            <w:r w:rsidR="00625CDB">
              <w:rPr>
                <w:noProof/>
                <w:webHidden/>
              </w:rPr>
              <w:fldChar w:fldCharType="separate"/>
            </w:r>
            <w:r w:rsidR="00A026E4">
              <w:rPr>
                <w:noProof/>
                <w:webHidden/>
              </w:rPr>
              <w:t>10</w:t>
            </w:r>
            <w:r w:rsidR="00625CDB">
              <w:rPr>
                <w:noProof/>
                <w:webHidden/>
              </w:rPr>
              <w:fldChar w:fldCharType="end"/>
            </w:r>
          </w:hyperlink>
        </w:p>
        <w:p w14:paraId="6F0AA213" w14:textId="77777777" w:rsidR="00625CDB" w:rsidRDefault="00B6587C">
          <w:pPr>
            <w:pStyle w:val="TDC3"/>
            <w:rPr>
              <w:rFonts w:asciiTheme="minorHAnsi" w:eastAsiaTheme="minorEastAsia" w:hAnsiTheme="minorHAnsi" w:cstheme="minorBidi"/>
              <w:noProof/>
              <w:szCs w:val="22"/>
              <w:lang w:eastAsia="es-MX"/>
            </w:rPr>
          </w:pPr>
          <w:hyperlink w:anchor="_Toc174558424" w:history="1">
            <w:r w:rsidR="00625CDB" w:rsidRPr="00B66643">
              <w:rPr>
                <w:rStyle w:val="Hipervnculo"/>
                <w:rFonts w:eastAsia="Calibri"/>
                <w:noProof/>
              </w:rPr>
              <w:t>f) Ampliación de plazo para resolver el Recurso de Revisión</w:t>
            </w:r>
            <w:r w:rsidR="00625CDB">
              <w:rPr>
                <w:noProof/>
                <w:webHidden/>
              </w:rPr>
              <w:tab/>
            </w:r>
            <w:r w:rsidR="00625CDB">
              <w:rPr>
                <w:noProof/>
                <w:webHidden/>
              </w:rPr>
              <w:fldChar w:fldCharType="begin"/>
            </w:r>
            <w:r w:rsidR="00625CDB">
              <w:rPr>
                <w:noProof/>
                <w:webHidden/>
              </w:rPr>
              <w:instrText xml:space="preserve"> PAGEREF _Toc174558424 \h </w:instrText>
            </w:r>
            <w:r w:rsidR="00625CDB">
              <w:rPr>
                <w:noProof/>
                <w:webHidden/>
              </w:rPr>
            </w:r>
            <w:r w:rsidR="00625CDB">
              <w:rPr>
                <w:noProof/>
                <w:webHidden/>
              </w:rPr>
              <w:fldChar w:fldCharType="separate"/>
            </w:r>
            <w:r w:rsidR="00A026E4">
              <w:rPr>
                <w:noProof/>
                <w:webHidden/>
              </w:rPr>
              <w:t>10</w:t>
            </w:r>
            <w:r w:rsidR="00625CDB">
              <w:rPr>
                <w:noProof/>
                <w:webHidden/>
              </w:rPr>
              <w:fldChar w:fldCharType="end"/>
            </w:r>
          </w:hyperlink>
        </w:p>
        <w:p w14:paraId="05F89FED" w14:textId="77777777" w:rsidR="00625CDB" w:rsidRDefault="00B6587C">
          <w:pPr>
            <w:pStyle w:val="TDC3"/>
            <w:rPr>
              <w:rFonts w:asciiTheme="minorHAnsi" w:eastAsiaTheme="minorEastAsia" w:hAnsiTheme="minorHAnsi" w:cstheme="minorBidi"/>
              <w:noProof/>
              <w:szCs w:val="22"/>
              <w:lang w:eastAsia="es-MX"/>
            </w:rPr>
          </w:pPr>
          <w:hyperlink w:anchor="_Toc174558425" w:history="1">
            <w:r w:rsidR="00625CDB" w:rsidRPr="00B66643">
              <w:rPr>
                <w:rStyle w:val="Hipervnculo"/>
                <w:noProof/>
              </w:rPr>
              <w:t>g) Cierre de instrucción</w:t>
            </w:r>
            <w:r w:rsidR="00625CDB">
              <w:rPr>
                <w:noProof/>
                <w:webHidden/>
              </w:rPr>
              <w:tab/>
            </w:r>
            <w:r w:rsidR="00625CDB">
              <w:rPr>
                <w:noProof/>
                <w:webHidden/>
              </w:rPr>
              <w:fldChar w:fldCharType="begin"/>
            </w:r>
            <w:r w:rsidR="00625CDB">
              <w:rPr>
                <w:noProof/>
                <w:webHidden/>
              </w:rPr>
              <w:instrText xml:space="preserve"> PAGEREF _Toc174558425 \h </w:instrText>
            </w:r>
            <w:r w:rsidR="00625CDB">
              <w:rPr>
                <w:noProof/>
                <w:webHidden/>
              </w:rPr>
            </w:r>
            <w:r w:rsidR="00625CDB">
              <w:rPr>
                <w:noProof/>
                <w:webHidden/>
              </w:rPr>
              <w:fldChar w:fldCharType="separate"/>
            </w:r>
            <w:r w:rsidR="00A026E4">
              <w:rPr>
                <w:noProof/>
                <w:webHidden/>
              </w:rPr>
              <w:t>14</w:t>
            </w:r>
            <w:r w:rsidR="00625CDB">
              <w:rPr>
                <w:noProof/>
                <w:webHidden/>
              </w:rPr>
              <w:fldChar w:fldCharType="end"/>
            </w:r>
          </w:hyperlink>
        </w:p>
        <w:p w14:paraId="2E1C05AA" w14:textId="77777777" w:rsidR="00625CDB" w:rsidRDefault="00B6587C">
          <w:pPr>
            <w:pStyle w:val="TDC1"/>
            <w:tabs>
              <w:tab w:val="right" w:leader="dot" w:pos="9034"/>
            </w:tabs>
            <w:rPr>
              <w:rFonts w:asciiTheme="minorHAnsi" w:eastAsiaTheme="minorEastAsia" w:hAnsiTheme="minorHAnsi" w:cstheme="minorBidi"/>
              <w:noProof/>
              <w:szCs w:val="22"/>
              <w:lang w:eastAsia="es-MX"/>
            </w:rPr>
          </w:pPr>
          <w:hyperlink w:anchor="_Toc174558426" w:history="1">
            <w:r w:rsidR="00625CDB" w:rsidRPr="00B66643">
              <w:rPr>
                <w:rStyle w:val="Hipervnculo"/>
                <w:rFonts w:eastAsiaTheme="minorHAnsi"/>
                <w:noProof/>
                <w:lang w:eastAsia="en-US"/>
              </w:rPr>
              <w:t>CONSIDERANDOS</w:t>
            </w:r>
            <w:r w:rsidR="00625CDB">
              <w:rPr>
                <w:noProof/>
                <w:webHidden/>
              </w:rPr>
              <w:tab/>
            </w:r>
            <w:r w:rsidR="00625CDB">
              <w:rPr>
                <w:noProof/>
                <w:webHidden/>
              </w:rPr>
              <w:fldChar w:fldCharType="begin"/>
            </w:r>
            <w:r w:rsidR="00625CDB">
              <w:rPr>
                <w:noProof/>
                <w:webHidden/>
              </w:rPr>
              <w:instrText xml:space="preserve"> PAGEREF _Toc174558426 \h </w:instrText>
            </w:r>
            <w:r w:rsidR="00625CDB">
              <w:rPr>
                <w:noProof/>
                <w:webHidden/>
              </w:rPr>
            </w:r>
            <w:r w:rsidR="00625CDB">
              <w:rPr>
                <w:noProof/>
                <w:webHidden/>
              </w:rPr>
              <w:fldChar w:fldCharType="separate"/>
            </w:r>
            <w:r w:rsidR="00A026E4">
              <w:rPr>
                <w:noProof/>
                <w:webHidden/>
              </w:rPr>
              <w:t>14</w:t>
            </w:r>
            <w:r w:rsidR="00625CDB">
              <w:rPr>
                <w:noProof/>
                <w:webHidden/>
              </w:rPr>
              <w:fldChar w:fldCharType="end"/>
            </w:r>
          </w:hyperlink>
        </w:p>
        <w:p w14:paraId="041217F0" w14:textId="77777777" w:rsidR="00625CDB" w:rsidRDefault="00B6587C">
          <w:pPr>
            <w:pStyle w:val="TDC2"/>
            <w:rPr>
              <w:rFonts w:asciiTheme="minorHAnsi" w:eastAsiaTheme="minorEastAsia" w:hAnsiTheme="minorHAnsi" w:cstheme="minorBidi"/>
              <w:noProof/>
              <w:szCs w:val="22"/>
              <w:lang w:eastAsia="es-MX"/>
            </w:rPr>
          </w:pPr>
          <w:hyperlink w:anchor="_Toc174558427" w:history="1">
            <w:r w:rsidR="00625CDB" w:rsidRPr="00B66643">
              <w:rPr>
                <w:rStyle w:val="Hipervnculo"/>
                <w:rFonts w:eastAsia="Batang"/>
                <w:noProof/>
              </w:rPr>
              <w:t>PRIMERO. Procedibilidad</w:t>
            </w:r>
            <w:r w:rsidR="00625CDB">
              <w:rPr>
                <w:noProof/>
                <w:webHidden/>
              </w:rPr>
              <w:tab/>
            </w:r>
            <w:r w:rsidR="00625CDB">
              <w:rPr>
                <w:noProof/>
                <w:webHidden/>
              </w:rPr>
              <w:fldChar w:fldCharType="begin"/>
            </w:r>
            <w:r w:rsidR="00625CDB">
              <w:rPr>
                <w:noProof/>
                <w:webHidden/>
              </w:rPr>
              <w:instrText xml:space="preserve"> PAGEREF _Toc174558427 \h </w:instrText>
            </w:r>
            <w:r w:rsidR="00625CDB">
              <w:rPr>
                <w:noProof/>
                <w:webHidden/>
              </w:rPr>
            </w:r>
            <w:r w:rsidR="00625CDB">
              <w:rPr>
                <w:noProof/>
                <w:webHidden/>
              </w:rPr>
              <w:fldChar w:fldCharType="separate"/>
            </w:r>
            <w:r w:rsidR="00A026E4">
              <w:rPr>
                <w:noProof/>
                <w:webHidden/>
              </w:rPr>
              <w:t>14</w:t>
            </w:r>
            <w:r w:rsidR="00625CDB">
              <w:rPr>
                <w:noProof/>
                <w:webHidden/>
              </w:rPr>
              <w:fldChar w:fldCharType="end"/>
            </w:r>
          </w:hyperlink>
        </w:p>
        <w:p w14:paraId="452D091C" w14:textId="77777777" w:rsidR="00625CDB" w:rsidRDefault="00B6587C">
          <w:pPr>
            <w:pStyle w:val="TDC3"/>
            <w:rPr>
              <w:rFonts w:asciiTheme="minorHAnsi" w:eastAsiaTheme="minorEastAsia" w:hAnsiTheme="minorHAnsi" w:cstheme="minorBidi"/>
              <w:noProof/>
              <w:szCs w:val="22"/>
              <w:lang w:eastAsia="es-MX"/>
            </w:rPr>
          </w:pPr>
          <w:hyperlink w:anchor="_Toc174558428" w:history="1">
            <w:r w:rsidR="00625CDB" w:rsidRPr="00B66643">
              <w:rPr>
                <w:rStyle w:val="Hipervnculo"/>
                <w:noProof/>
              </w:rPr>
              <w:t>a) Competencia del Instituto</w:t>
            </w:r>
            <w:r w:rsidR="00625CDB">
              <w:rPr>
                <w:noProof/>
                <w:webHidden/>
              </w:rPr>
              <w:tab/>
            </w:r>
            <w:r w:rsidR="00625CDB">
              <w:rPr>
                <w:noProof/>
                <w:webHidden/>
              </w:rPr>
              <w:fldChar w:fldCharType="begin"/>
            </w:r>
            <w:r w:rsidR="00625CDB">
              <w:rPr>
                <w:noProof/>
                <w:webHidden/>
              </w:rPr>
              <w:instrText xml:space="preserve"> PAGEREF _Toc174558428 \h </w:instrText>
            </w:r>
            <w:r w:rsidR="00625CDB">
              <w:rPr>
                <w:noProof/>
                <w:webHidden/>
              </w:rPr>
            </w:r>
            <w:r w:rsidR="00625CDB">
              <w:rPr>
                <w:noProof/>
                <w:webHidden/>
              </w:rPr>
              <w:fldChar w:fldCharType="separate"/>
            </w:r>
            <w:r w:rsidR="00A026E4">
              <w:rPr>
                <w:noProof/>
                <w:webHidden/>
              </w:rPr>
              <w:t>14</w:t>
            </w:r>
            <w:r w:rsidR="00625CDB">
              <w:rPr>
                <w:noProof/>
                <w:webHidden/>
              </w:rPr>
              <w:fldChar w:fldCharType="end"/>
            </w:r>
          </w:hyperlink>
        </w:p>
        <w:p w14:paraId="6BC3567A" w14:textId="77777777" w:rsidR="00625CDB" w:rsidRDefault="00B6587C">
          <w:pPr>
            <w:pStyle w:val="TDC3"/>
            <w:rPr>
              <w:rFonts w:asciiTheme="minorHAnsi" w:eastAsiaTheme="minorEastAsia" w:hAnsiTheme="minorHAnsi" w:cstheme="minorBidi"/>
              <w:noProof/>
              <w:szCs w:val="22"/>
              <w:lang w:eastAsia="es-MX"/>
            </w:rPr>
          </w:pPr>
          <w:hyperlink w:anchor="_Toc174558429" w:history="1">
            <w:r w:rsidR="00625CDB" w:rsidRPr="00B66643">
              <w:rPr>
                <w:rStyle w:val="Hipervnculo"/>
                <w:noProof/>
              </w:rPr>
              <w:t>b) Legitimidad de la parte recurrente</w:t>
            </w:r>
            <w:r w:rsidR="00625CDB">
              <w:rPr>
                <w:noProof/>
                <w:webHidden/>
              </w:rPr>
              <w:tab/>
            </w:r>
            <w:r w:rsidR="00625CDB">
              <w:rPr>
                <w:noProof/>
                <w:webHidden/>
              </w:rPr>
              <w:fldChar w:fldCharType="begin"/>
            </w:r>
            <w:r w:rsidR="00625CDB">
              <w:rPr>
                <w:noProof/>
                <w:webHidden/>
              </w:rPr>
              <w:instrText xml:space="preserve"> PAGEREF _Toc174558429 \h </w:instrText>
            </w:r>
            <w:r w:rsidR="00625CDB">
              <w:rPr>
                <w:noProof/>
                <w:webHidden/>
              </w:rPr>
            </w:r>
            <w:r w:rsidR="00625CDB">
              <w:rPr>
                <w:noProof/>
                <w:webHidden/>
              </w:rPr>
              <w:fldChar w:fldCharType="separate"/>
            </w:r>
            <w:r w:rsidR="00A026E4">
              <w:rPr>
                <w:noProof/>
                <w:webHidden/>
              </w:rPr>
              <w:t>15</w:t>
            </w:r>
            <w:r w:rsidR="00625CDB">
              <w:rPr>
                <w:noProof/>
                <w:webHidden/>
              </w:rPr>
              <w:fldChar w:fldCharType="end"/>
            </w:r>
          </w:hyperlink>
        </w:p>
        <w:p w14:paraId="3FD98852" w14:textId="77777777" w:rsidR="00625CDB" w:rsidRDefault="00B6587C">
          <w:pPr>
            <w:pStyle w:val="TDC3"/>
            <w:rPr>
              <w:rFonts w:asciiTheme="minorHAnsi" w:eastAsiaTheme="minorEastAsia" w:hAnsiTheme="minorHAnsi" w:cstheme="minorBidi"/>
              <w:noProof/>
              <w:szCs w:val="22"/>
              <w:lang w:eastAsia="es-MX"/>
            </w:rPr>
          </w:pPr>
          <w:hyperlink w:anchor="_Toc174558430" w:history="1">
            <w:r w:rsidR="00625CDB" w:rsidRPr="00B66643">
              <w:rPr>
                <w:rStyle w:val="Hipervnculo"/>
                <w:rFonts w:eastAsia="Calibri"/>
                <w:noProof/>
                <w:lang w:eastAsia="es-ES_tradnl"/>
              </w:rPr>
              <w:t>c) Plazo para interponer el recurso</w:t>
            </w:r>
            <w:r w:rsidR="00625CDB">
              <w:rPr>
                <w:noProof/>
                <w:webHidden/>
              </w:rPr>
              <w:tab/>
            </w:r>
            <w:r w:rsidR="00625CDB">
              <w:rPr>
                <w:noProof/>
                <w:webHidden/>
              </w:rPr>
              <w:fldChar w:fldCharType="begin"/>
            </w:r>
            <w:r w:rsidR="00625CDB">
              <w:rPr>
                <w:noProof/>
                <w:webHidden/>
              </w:rPr>
              <w:instrText xml:space="preserve"> PAGEREF _Toc174558430 \h </w:instrText>
            </w:r>
            <w:r w:rsidR="00625CDB">
              <w:rPr>
                <w:noProof/>
                <w:webHidden/>
              </w:rPr>
            </w:r>
            <w:r w:rsidR="00625CDB">
              <w:rPr>
                <w:noProof/>
                <w:webHidden/>
              </w:rPr>
              <w:fldChar w:fldCharType="separate"/>
            </w:r>
            <w:r w:rsidR="00A026E4">
              <w:rPr>
                <w:noProof/>
                <w:webHidden/>
              </w:rPr>
              <w:t>15</w:t>
            </w:r>
            <w:r w:rsidR="00625CDB">
              <w:rPr>
                <w:noProof/>
                <w:webHidden/>
              </w:rPr>
              <w:fldChar w:fldCharType="end"/>
            </w:r>
          </w:hyperlink>
        </w:p>
        <w:p w14:paraId="174F9153" w14:textId="77777777" w:rsidR="00625CDB" w:rsidRDefault="00B6587C">
          <w:pPr>
            <w:pStyle w:val="TDC3"/>
            <w:rPr>
              <w:rFonts w:asciiTheme="minorHAnsi" w:eastAsiaTheme="minorEastAsia" w:hAnsiTheme="minorHAnsi" w:cstheme="minorBidi"/>
              <w:noProof/>
              <w:szCs w:val="22"/>
              <w:lang w:eastAsia="es-MX"/>
            </w:rPr>
          </w:pPr>
          <w:hyperlink w:anchor="_Toc174558431" w:history="1">
            <w:r w:rsidR="00625CDB" w:rsidRPr="00B66643">
              <w:rPr>
                <w:rStyle w:val="Hipervnculo"/>
                <w:rFonts w:eastAsia="Calibri"/>
                <w:noProof/>
                <w:lang w:eastAsia="es-ES_tradnl"/>
              </w:rPr>
              <w:t>d) Causal de procedencia</w:t>
            </w:r>
            <w:r w:rsidR="00625CDB">
              <w:rPr>
                <w:noProof/>
                <w:webHidden/>
              </w:rPr>
              <w:tab/>
            </w:r>
            <w:r w:rsidR="00625CDB">
              <w:rPr>
                <w:noProof/>
                <w:webHidden/>
              </w:rPr>
              <w:fldChar w:fldCharType="begin"/>
            </w:r>
            <w:r w:rsidR="00625CDB">
              <w:rPr>
                <w:noProof/>
                <w:webHidden/>
              </w:rPr>
              <w:instrText xml:space="preserve"> PAGEREF _Toc174558431 \h </w:instrText>
            </w:r>
            <w:r w:rsidR="00625CDB">
              <w:rPr>
                <w:noProof/>
                <w:webHidden/>
              </w:rPr>
            </w:r>
            <w:r w:rsidR="00625CDB">
              <w:rPr>
                <w:noProof/>
                <w:webHidden/>
              </w:rPr>
              <w:fldChar w:fldCharType="separate"/>
            </w:r>
            <w:r w:rsidR="00A026E4">
              <w:rPr>
                <w:noProof/>
                <w:webHidden/>
              </w:rPr>
              <w:t>15</w:t>
            </w:r>
            <w:r w:rsidR="00625CDB">
              <w:rPr>
                <w:noProof/>
                <w:webHidden/>
              </w:rPr>
              <w:fldChar w:fldCharType="end"/>
            </w:r>
          </w:hyperlink>
        </w:p>
        <w:p w14:paraId="6286E754" w14:textId="77777777" w:rsidR="00625CDB" w:rsidRDefault="00B6587C">
          <w:pPr>
            <w:pStyle w:val="TDC3"/>
            <w:rPr>
              <w:rFonts w:asciiTheme="minorHAnsi" w:eastAsiaTheme="minorEastAsia" w:hAnsiTheme="minorHAnsi" w:cstheme="minorBidi"/>
              <w:noProof/>
              <w:szCs w:val="22"/>
              <w:lang w:eastAsia="es-MX"/>
            </w:rPr>
          </w:pPr>
          <w:hyperlink w:anchor="_Toc174558432" w:history="1">
            <w:r w:rsidR="00625CDB" w:rsidRPr="00B66643">
              <w:rPr>
                <w:rStyle w:val="Hipervnculo"/>
                <w:noProof/>
              </w:rPr>
              <w:t>e) Requisitos formales para la interposición del recurso</w:t>
            </w:r>
            <w:r w:rsidR="00625CDB">
              <w:rPr>
                <w:noProof/>
                <w:webHidden/>
              </w:rPr>
              <w:tab/>
            </w:r>
            <w:r w:rsidR="00625CDB">
              <w:rPr>
                <w:noProof/>
                <w:webHidden/>
              </w:rPr>
              <w:fldChar w:fldCharType="begin"/>
            </w:r>
            <w:r w:rsidR="00625CDB">
              <w:rPr>
                <w:noProof/>
                <w:webHidden/>
              </w:rPr>
              <w:instrText xml:space="preserve"> PAGEREF _Toc174558432 \h </w:instrText>
            </w:r>
            <w:r w:rsidR="00625CDB">
              <w:rPr>
                <w:noProof/>
                <w:webHidden/>
              </w:rPr>
            </w:r>
            <w:r w:rsidR="00625CDB">
              <w:rPr>
                <w:noProof/>
                <w:webHidden/>
              </w:rPr>
              <w:fldChar w:fldCharType="separate"/>
            </w:r>
            <w:r w:rsidR="00A026E4">
              <w:rPr>
                <w:noProof/>
                <w:webHidden/>
              </w:rPr>
              <w:t>15</w:t>
            </w:r>
            <w:r w:rsidR="00625CDB">
              <w:rPr>
                <w:noProof/>
                <w:webHidden/>
              </w:rPr>
              <w:fldChar w:fldCharType="end"/>
            </w:r>
          </w:hyperlink>
        </w:p>
        <w:p w14:paraId="6C657AF9" w14:textId="77777777" w:rsidR="00625CDB" w:rsidRDefault="00B6587C">
          <w:pPr>
            <w:pStyle w:val="TDC2"/>
            <w:rPr>
              <w:rFonts w:asciiTheme="minorHAnsi" w:eastAsiaTheme="minorEastAsia" w:hAnsiTheme="minorHAnsi" w:cstheme="minorBidi"/>
              <w:noProof/>
              <w:szCs w:val="22"/>
              <w:lang w:eastAsia="es-MX"/>
            </w:rPr>
          </w:pPr>
          <w:hyperlink w:anchor="_Toc174558433" w:history="1">
            <w:r w:rsidR="00625CDB" w:rsidRPr="00B66643">
              <w:rPr>
                <w:rStyle w:val="Hipervnculo"/>
                <w:noProof/>
              </w:rPr>
              <w:t>SEGUNDO. Estudio de Fondo</w:t>
            </w:r>
            <w:r w:rsidR="00625CDB">
              <w:rPr>
                <w:noProof/>
                <w:webHidden/>
              </w:rPr>
              <w:tab/>
            </w:r>
            <w:r w:rsidR="00625CDB">
              <w:rPr>
                <w:noProof/>
                <w:webHidden/>
              </w:rPr>
              <w:fldChar w:fldCharType="begin"/>
            </w:r>
            <w:r w:rsidR="00625CDB">
              <w:rPr>
                <w:noProof/>
                <w:webHidden/>
              </w:rPr>
              <w:instrText xml:space="preserve"> PAGEREF _Toc174558433 \h </w:instrText>
            </w:r>
            <w:r w:rsidR="00625CDB">
              <w:rPr>
                <w:noProof/>
                <w:webHidden/>
              </w:rPr>
            </w:r>
            <w:r w:rsidR="00625CDB">
              <w:rPr>
                <w:noProof/>
                <w:webHidden/>
              </w:rPr>
              <w:fldChar w:fldCharType="separate"/>
            </w:r>
            <w:r w:rsidR="00A026E4">
              <w:rPr>
                <w:noProof/>
                <w:webHidden/>
              </w:rPr>
              <w:t>16</w:t>
            </w:r>
            <w:r w:rsidR="00625CDB">
              <w:rPr>
                <w:noProof/>
                <w:webHidden/>
              </w:rPr>
              <w:fldChar w:fldCharType="end"/>
            </w:r>
          </w:hyperlink>
        </w:p>
        <w:p w14:paraId="0C2B8D29" w14:textId="77777777" w:rsidR="00625CDB" w:rsidRDefault="00B6587C">
          <w:pPr>
            <w:pStyle w:val="TDC3"/>
            <w:rPr>
              <w:rFonts w:asciiTheme="minorHAnsi" w:eastAsiaTheme="minorEastAsia" w:hAnsiTheme="minorHAnsi" w:cstheme="minorBidi"/>
              <w:noProof/>
              <w:szCs w:val="22"/>
              <w:lang w:eastAsia="es-MX"/>
            </w:rPr>
          </w:pPr>
          <w:hyperlink w:anchor="_Toc174558434" w:history="1">
            <w:r w:rsidR="00625CDB" w:rsidRPr="00B66643">
              <w:rPr>
                <w:rStyle w:val="Hipervnculo"/>
                <w:noProof/>
              </w:rPr>
              <w:t>a) Mandato de transparencia y responsabilidad del Sujeto Obligado</w:t>
            </w:r>
            <w:r w:rsidR="00625CDB">
              <w:rPr>
                <w:noProof/>
                <w:webHidden/>
              </w:rPr>
              <w:tab/>
            </w:r>
            <w:r w:rsidR="00625CDB">
              <w:rPr>
                <w:noProof/>
                <w:webHidden/>
              </w:rPr>
              <w:fldChar w:fldCharType="begin"/>
            </w:r>
            <w:r w:rsidR="00625CDB">
              <w:rPr>
                <w:noProof/>
                <w:webHidden/>
              </w:rPr>
              <w:instrText xml:space="preserve"> PAGEREF _Toc174558434 \h </w:instrText>
            </w:r>
            <w:r w:rsidR="00625CDB">
              <w:rPr>
                <w:noProof/>
                <w:webHidden/>
              </w:rPr>
            </w:r>
            <w:r w:rsidR="00625CDB">
              <w:rPr>
                <w:noProof/>
                <w:webHidden/>
              </w:rPr>
              <w:fldChar w:fldCharType="separate"/>
            </w:r>
            <w:r w:rsidR="00A026E4">
              <w:rPr>
                <w:noProof/>
                <w:webHidden/>
              </w:rPr>
              <w:t>16</w:t>
            </w:r>
            <w:r w:rsidR="00625CDB">
              <w:rPr>
                <w:noProof/>
                <w:webHidden/>
              </w:rPr>
              <w:fldChar w:fldCharType="end"/>
            </w:r>
          </w:hyperlink>
        </w:p>
        <w:p w14:paraId="7DD3042E" w14:textId="77777777" w:rsidR="00625CDB" w:rsidRDefault="00B6587C">
          <w:pPr>
            <w:pStyle w:val="TDC3"/>
            <w:rPr>
              <w:rFonts w:asciiTheme="minorHAnsi" w:eastAsiaTheme="minorEastAsia" w:hAnsiTheme="minorHAnsi" w:cstheme="minorBidi"/>
              <w:noProof/>
              <w:szCs w:val="22"/>
              <w:lang w:eastAsia="es-MX"/>
            </w:rPr>
          </w:pPr>
          <w:hyperlink w:anchor="_Toc174558435" w:history="1">
            <w:r w:rsidR="00625CDB" w:rsidRPr="00B66643">
              <w:rPr>
                <w:rStyle w:val="Hipervnculo"/>
                <w:rFonts w:eastAsia="Calibri"/>
                <w:noProof/>
                <w:lang w:eastAsia="es-ES_tradnl"/>
              </w:rPr>
              <w:t>b) Controversia a resolver</w:t>
            </w:r>
            <w:r w:rsidR="00625CDB">
              <w:rPr>
                <w:noProof/>
                <w:webHidden/>
              </w:rPr>
              <w:tab/>
            </w:r>
            <w:r w:rsidR="00625CDB">
              <w:rPr>
                <w:noProof/>
                <w:webHidden/>
              </w:rPr>
              <w:fldChar w:fldCharType="begin"/>
            </w:r>
            <w:r w:rsidR="00625CDB">
              <w:rPr>
                <w:noProof/>
                <w:webHidden/>
              </w:rPr>
              <w:instrText xml:space="preserve"> PAGEREF _Toc174558435 \h </w:instrText>
            </w:r>
            <w:r w:rsidR="00625CDB">
              <w:rPr>
                <w:noProof/>
                <w:webHidden/>
              </w:rPr>
            </w:r>
            <w:r w:rsidR="00625CDB">
              <w:rPr>
                <w:noProof/>
                <w:webHidden/>
              </w:rPr>
              <w:fldChar w:fldCharType="separate"/>
            </w:r>
            <w:r w:rsidR="00A026E4">
              <w:rPr>
                <w:noProof/>
                <w:webHidden/>
              </w:rPr>
              <w:t>19</w:t>
            </w:r>
            <w:r w:rsidR="00625CDB">
              <w:rPr>
                <w:noProof/>
                <w:webHidden/>
              </w:rPr>
              <w:fldChar w:fldCharType="end"/>
            </w:r>
          </w:hyperlink>
        </w:p>
        <w:p w14:paraId="235451F2" w14:textId="77777777" w:rsidR="00625CDB" w:rsidRDefault="00B6587C">
          <w:pPr>
            <w:pStyle w:val="TDC3"/>
            <w:rPr>
              <w:rFonts w:asciiTheme="minorHAnsi" w:eastAsiaTheme="minorEastAsia" w:hAnsiTheme="minorHAnsi" w:cstheme="minorBidi"/>
              <w:noProof/>
              <w:szCs w:val="22"/>
              <w:lang w:eastAsia="es-MX"/>
            </w:rPr>
          </w:pPr>
          <w:hyperlink w:anchor="_Toc174558436" w:history="1">
            <w:r w:rsidR="00625CDB" w:rsidRPr="00B66643">
              <w:rPr>
                <w:rStyle w:val="Hipervnculo"/>
                <w:noProof/>
              </w:rPr>
              <w:t>c) Estudio de la controversia</w:t>
            </w:r>
            <w:r w:rsidR="00625CDB">
              <w:rPr>
                <w:noProof/>
                <w:webHidden/>
              </w:rPr>
              <w:tab/>
            </w:r>
            <w:r w:rsidR="00625CDB">
              <w:rPr>
                <w:noProof/>
                <w:webHidden/>
              </w:rPr>
              <w:fldChar w:fldCharType="begin"/>
            </w:r>
            <w:r w:rsidR="00625CDB">
              <w:rPr>
                <w:noProof/>
                <w:webHidden/>
              </w:rPr>
              <w:instrText xml:space="preserve"> PAGEREF _Toc174558436 \h </w:instrText>
            </w:r>
            <w:r w:rsidR="00625CDB">
              <w:rPr>
                <w:noProof/>
                <w:webHidden/>
              </w:rPr>
            </w:r>
            <w:r w:rsidR="00625CDB">
              <w:rPr>
                <w:noProof/>
                <w:webHidden/>
              </w:rPr>
              <w:fldChar w:fldCharType="separate"/>
            </w:r>
            <w:r w:rsidR="00A026E4">
              <w:rPr>
                <w:noProof/>
                <w:webHidden/>
              </w:rPr>
              <w:t>20</w:t>
            </w:r>
            <w:r w:rsidR="00625CDB">
              <w:rPr>
                <w:noProof/>
                <w:webHidden/>
              </w:rPr>
              <w:fldChar w:fldCharType="end"/>
            </w:r>
          </w:hyperlink>
        </w:p>
        <w:p w14:paraId="74D886DB" w14:textId="77777777" w:rsidR="00625CDB" w:rsidRDefault="00B6587C">
          <w:pPr>
            <w:pStyle w:val="TDC3"/>
            <w:rPr>
              <w:rFonts w:asciiTheme="minorHAnsi" w:eastAsiaTheme="minorEastAsia" w:hAnsiTheme="minorHAnsi" w:cstheme="minorBidi"/>
              <w:noProof/>
              <w:szCs w:val="22"/>
              <w:lang w:eastAsia="es-MX"/>
            </w:rPr>
          </w:pPr>
          <w:hyperlink w:anchor="_Toc174558437" w:history="1">
            <w:r w:rsidR="00625CDB" w:rsidRPr="00B66643">
              <w:rPr>
                <w:rStyle w:val="Hipervnculo"/>
                <w:rFonts w:eastAsia="Calibri"/>
                <w:noProof/>
              </w:rPr>
              <w:t xml:space="preserve">d) </w:t>
            </w:r>
            <w:r w:rsidR="00625CDB" w:rsidRPr="00B66643">
              <w:rPr>
                <w:rStyle w:val="Hipervnculo"/>
                <w:noProof/>
              </w:rPr>
              <w:t>Conclusión</w:t>
            </w:r>
            <w:r w:rsidR="00625CDB">
              <w:rPr>
                <w:noProof/>
                <w:webHidden/>
              </w:rPr>
              <w:tab/>
            </w:r>
            <w:r w:rsidR="00625CDB">
              <w:rPr>
                <w:noProof/>
                <w:webHidden/>
              </w:rPr>
              <w:fldChar w:fldCharType="begin"/>
            </w:r>
            <w:r w:rsidR="00625CDB">
              <w:rPr>
                <w:noProof/>
                <w:webHidden/>
              </w:rPr>
              <w:instrText xml:space="preserve"> PAGEREF _Toc174558437 \h </w:instrText>
            </w:r>
            <w:r w:rsidR="00625CDB">
              <w:rPr>
                <w:noProof/>
                <w:webHidden/>
              </w:rPr>
            </w:r>
            <w:r w:rsidR="00625CDB">
              <w:rPr>
                <w:noProof/>
                <w:webHidden/>
              </w:rPr>
              <w:fldChar w:fldCharType="separate"/>
            </w:r>
            <w:r w:rsidR="00A026E4">
              <w:rPr>
                <w:noProof/>
                <w:webHidden/>
              </w:rPr>
              <w:t>33</w:t>
            </w:r>
            <w:r w:rsidR="00625CDB">
              <w:rPr>
                <w:noProof/>
                <w:webHidden/>
              </w:rPr>
              <w:fldChar w:fldCharType="end"/>
            </w:r>
          </w:hyperlink>
        </w:p>
        <w:p w14:paraId="0C82FD7A" w14:textId="56FB793E" w:rsidR="009B2945" w:rsidRPr="00625CDB" w:rsidRDefault="00B6587C" w:rsidP="00625CDB">
          <w:pPr>
            <w:pStyle w:val="TDC1"/>
            <w:tabs>
              <w:tab w:val="right" w:leader="dot" w:pos="9034"/>
            </w:tabs>
            <w:rPr>
              <w:b/>
              <w:bCs/>
              <w:lang w:val="es-ES"/>
            </w:rPr>
          </w:pPr>
          <w:hyperlink w:anchor="_Toc174558438" w:history="1">
            <w:r w:rsidR="00625CDB" w:rsidRPr="00B66643">
              <w:rPr>
                <w:rStyle w:val="Hipervnculo"/>
                <w:noProof/>
              </w:rPr>
              <w:t>RESUELVE</w:t>
            </w:r>
            <w:r w:rsidR="00625CDB">
              <w:rPr>
                <w:noProof/>
                <w:webHidden/>
              </w:rPr>
              <w:tab/>
            </w:r>
            <w:r w:rsidR="00625CDB">
              <w:rPr>
                <w:noProof/>
                <w:webHidden/>
              </w:rPr>
              <w:fldChar w:fldCharType="begin"/>
            </w:r>
            <w:r w:rsidR="00625CDB">
              <w:rPr>
                <w:noProof/>
                <w:webHidden/>
              </w:rPr>
              <w:instrText xml:space="preserve"> PAGEREF _Toc174558438 \h </w:instrText>
            </w:r>
            <w:r w:rsidR="00625CDB">
              <w:rPr>
                <w:noProof/>
                <w:webHidden/>
              </w:rPr>
            </w:r>
            <w:r w:rsidR="00625CDB">
              <w:rPr>
                <w:noProof/>
                <w:webHidden/>
              </w:rPr>
              <w:fldChar w:fldCharType="separate"/>
            </w:r>
            <w:r w:rsidR="00A026E4">
              <w:rPr>
                <w:noProof/>
                <w:webHidden/>
              </w:rPr>
              <w:t>34</w:t>
            </w:r>
            <w:r w:rsidR="00625CDB">
              <w:rPr>
                <w:noProof/>
                <w:webHidden/>
              </w:rPr>
              <w:fldChar w:fldCharType="end"/>
            </w:r>
          </w:hyperlink>
          <w:r w:rsidR="00AE3DA7" w:rsidRPr="00625CDB">
            <w:rPr>
              <w:b/>
              <w:bCs/>
              <w:sz w:val="16"/>
              <w:szCs w:val="16"/>
              <w:lang w:val="es-ES"/>
            </w:rPr>
            <w:fldChar w:fldCharType="end"/>
          </w:r>
        </w:p>
      </w:sdtContent>
    </w:sdt>
    <w:p w14:paraId="603A07E2" w14:textId="77777777" w:rsidR="00646436" w:rsidRPr="00625CDB" w:rsidRDefault="00646436" w:rsidP="00625CDB">
      <w:pPr>
        <w:rPr>
          <w:rFonts w:cs="Tahoma"/>
          <w:szCs w:val="22"/>
        </w:rPr>
        <w:sectPr w:rsidR="00646436" w:rsidRPr="00625CDB"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548E325" w:rsidR="00775BFC" w:rsidRPr="00625CDB" w:rsidRDefault="00775BFC" w:rsidP="00625CDB">
      <w:pPr>
        <w:rPr>
          <w:b/>
          <w:bCs/>
          <w:szCs w:val="22"/>
        </w:rPr>
      </w:pPr>
      <w:r w:rsidRPr="00625CDB">
        <w:rPr>
          <w:szCs w:val="22"/>
        </w:rPr>
        <w:lastRenderedPageBreak/>
        <w:t xml:space="preserve">Resolución del Pleno del Instituto de Transparencia, Acceso a la Información Pública y Protección de Datos Personales del Estado de México y Municipios, con domicilio en Metepec, Estado de México, </w:t>
      </w:r>
      <w:r w:rsidR="000217E2" w:rsidRPr="00625CDB">
        <w:rPr>
          <w:b/>
          <w:bCs/>
          <w:szCs w:val="22"/>
        </w:rPr>
        <w:t>el</w:t>
      </w:r>
      <w:r w:rsidRPr="00625CDB">
        <w:rPr>
          <w:b/>
          <w:bCs/>
          <w:szCs w:val="22"/>
        </w:rPr>
        <w:t xml:space="preserve"> </w:t>
      </w:r>
      <w:r w:rsidR="0027446D" w:rsidRPr="00625CDB">
        <w:rPr>
          <w:b/>
          <w:bCs/>
          <w:szCs w:val="22"/>
        </w:rPr>
        <w:t>catorce</w:t>
      </w:r>
      <w:r w:rsidR="00ED7170" w:rsidRPr="00625CDB">
        <w:rPr>
          <w:b/>
          <w:bCs/>
          <w:szCs w:val="22"/>
        </w:rPr>
        <w:t xml:space="preserve"> de </w:t>
      </w:r>
      <w:r w:rsidR="00E33714" w:rsidRPr="00625CDB">
        <w:rPr>
          <w:b/>
          <w:bCs/>
          <w:szCs w:val="22"/>
        </w:rPr>
        <w:t>agosto</w:t>
      </w:r>
      <w:r w:rsidR="00ED7170" w:rsidRPr="00625CDB">
        <w:rPr>
          <w:b/>
          <w:bCs/>
          <w:szCs w:val="22"/>
        </w:rPr>
        <w:t xml:space="preserve"> de dos mil veinticuatro.</w:t>
      </w:r>
    </w:p>
    <w:p w14:paraId="0AF3AAC4" w14:textId="77777777" w:rsidR="00775BFC" w:rsidRPr="00625CDB" w:rsidRDefault="00775BFC" w:rsidP="00625CDB">
      <w:pPr>
        <w:rPr>
          <w:szCs w:val="22"/>
        </w:rPr>
      </w:pPr>
    </w:p>
    <w:p w14:paraId="40EAE038" w14:textId="3E6EE8A5" w:rsidR="00775BFC" w:rsidRPr="00625CDB" w:rsidRDefault="00775BFC" w:rsidP="00625CDB">
      <w:pPr>
        <w:rPr>
          <w:szCs w:val="22"/>
        </w:rPr>
      </w:pPr>
      <w:r w:rsidRPr="00625CDB">
        <w:rPr>
          <w:b/>
          <w:szCs w:val="22"/>
        </w:rPr>
        <w:t xml:space="preserve">VISTO </w:t>
      </w:r>
      <w:r w:rsidRPr="00625CDB">
        <w:rPr>
          <w:szCs w:val="22"/>
        </w:rPr>
        <w:t xml:space="preserve">el expediente formado con motivo del Recurso de Revisión </w:t>
      </w:r>
      <w:r w:rsidR="0027446D" w:rsidRPr="00625CDB">
        <w:rPr>
          <w:rFonts w:eastAsia="Calibri"/>
          <w:b/>
          <w:szCs w:val="22"/>
          <w:lang w:eastAsia="en-US"/>
        </w:rPr>
        <w:t>01792/INFOEM/IP/RR/2024</w:t>
      </w:r>
      <w:r w:rsidRPr="00625CDB">
        <w:rPr>
          <w:rFonts w:eastAsia="Calibri"/>
          <w:szCs w:val="22"/>
          <w:lang w:eastAsia="en-US"/>
        </w:rPr>
        <w:t xml:space="preserve"> </w:t>
      </w:r>
      <w:r w:rsidRPr="00625CDB">
        <w:rPr>
          <w:szCs w:val="22"/>
        </w:rPr>
        <w:t xml:space="preserve">interpuesto por </w:t>
      </w:r>
      <w:r w:rsidR="0027446D" w:rsidRPr="00625CDB">
        <w:rPr>
          <w:b/>
          <w:bCs/>
          <w:szCs w:val="22"/>
        </w:rPr>
        <w:t>una persona que no se identificó</w:t>
      </w:r>
      <w:r w:rsidRPr="00625CDB">
        <w:rPr>
          <w:szCs w:val="22"/>
        </w:rPr>
        <w:t xml:space="preserve">, a quien en lo subsecuente se le denominará </w:t>
      </w:r>
      <w:r w:rsidRPr="00625CDB">
        <w:rPr>
          <w:b/>
          <w:bCs/>
          <w:szCs w:val="22"/>
        </w:rPr>
        <w:t>LA PARTE RECURRENTE</w:t>
      </w:r>
      <w:r w:rsidRPr="00625CDB">
        <w:rPr>
          <w:szCs w:val="22"/>
        </w:rPr>
        <w:t>, en contra de la respuesta emitida por</w:t>
      </w:r>
      <w:r w:rsidR="00A0449B" w:rsidRPr="00625CDB">
        <w:rPr>
          <w:szCs w:val="22"/>
        </w:rPr>
        <w:t xml:space="preserve"> </w:t>
      </w:r>
      <w:r w:rsidR="000748DF" w:rsidRPr="00625CDB">
        <w:rPr>
          <w:szCs w:val="22"/>
        </w:rPr>
        <w:t>l</w:t>
      </w:r>
      <w:r w:rsidR="002268D4" w:rsidRPr="00625CDB">
        <w:rPr>
          <w:szCs w:val="22"/>
        </w:rPr>
        <w:t>a</w:t>
      </w:r>
      <w:r w:rsidR="000748DF" w:rsidRPr="00625CDB">
        <w:rPr>
          <w:szCs w:val="22"/>
        </w:rPr>
        <w:t xml:space="preserve"> </w:t>
      </w:r>
      <w:r w:rsidR="0027446D" w:rsidRPr="00625CDB">
        <w:rPr>
          <w:b/>
          <w:bCs/>
          <w:szCs w:val="22"/>
        </w:rPr>
        <w:t>Partido Revolucionario Institucional</w:t>
      </w:r>
      <w:r w:rsidRPr="00625CDB">
        <w:rPr>
          <w:szCs w:val="22"/>
        </w:rPr>
        <w:t xml:space="preserve">, en adelante </w:t>
      </w:r>
      <w:r w:rsidRPr="00625CDB">
        <w:rPr>
          <w:b/>
          <w:bCs/>
          <w:szCs w:val="22"/>
        </w:rPr>
        <w:t>EL SUJETO OBLIGADO</w:t>
      </w:r>
      <w:r w:rsidRPr="00625CDB">
        <w:rPr>
          <w:rFonts w:eastAsia="Calibri"/>
          <w:szCs w:val="22"/>
          <w:lang w:eastAsia="en-US"/>
        </w:rPr>
        <w:t xml:space="preserve">, </w:t>
      </w:r>
      <w:r w:rsidRPr="00625CDB">
        <w:rPr>
          <w:szCs w:val="22"/>
        </w:rPr>
        <w:t>se emite la presente Resolución con base en los Antecedentes y Considerandos que se exponen a continuación:</w:t>
      </w:r>
    </w:p>
    <w:p w14:paraId="2116968C" w14:textId="77777777" w:rsidR="00775BFC" w:rsidRPr="00625CDB" w:rsidRDefault="00775BFC" w:rsidP="00625CDB">
      <w:pPr>
        <w:rPr>
          <w:szCs w:val="22"/>
        </w:rPr>
      </w:pPr>
    </w:p>
    <w:p w14:paraId="5A444FB6" w14:textId="639D3567" w:rsidR="00664420" w:rsidRPr="00625CDB" w:rsidRDefault="00664420" w:rsidP="00625CDB">
      <w:pPr>
        <w:pStyle w:val="Ttulo1"/>
        <w:rPr>
          <w:szCs w:val="22"/>
        </w:rPr>
      </w:pPr>
      <w:bookmarkStart w:id="3" w:name="_Toc174558414"/>
      <w:r w:rsidRPr="00625CDB">
        <w:rPr>
          <w:szCs w:val="22"/>
        </w:rPr>
        <w:t>ANTECEDENTES</w:t>
      </w:r>
      <w:bookmarkEnd w:id="3"/>
    </w:p>
    <w:p w14:paraId="7CE9E53D" w14:textId="77777777" w:rsidR="00E37A3F" w:rsidRPr="00625CDB" w:rsidRDefault="00E37A3F" w:rsidP="00625CDB">
      <w:pPr>
        <w:rPr>
          <w:szCs w:val="22"/>
        </w:rPr>
      </w:pPr>
    </w:p>
    <w:p w14:paraId="09B2D38F" w14:textId="6E49D146" w:rsidR="00664420" w:rsidRPr="00625CDB" w:rsidRDefault="00E37A3F" w:rsidP="00625CDB">
      <w:pPr>
        <w:pStyle w:val="Ttulo2"/>
        <w:rPr>
          <w:szCs w:val="22"/>
        </w:rPr>
      </w:pPr>
      <w:bookmarkStart w:id="4" w:name="_Toc174558415"/>
      <w:r w:rsidRPr="00625CDB">
        <w:rPr>
          <w:szCs w:val="22"/>
        </w:rPr>
        <w:t>DE LA SOLICITUD DE INFORMACIÓN</w:t>
      </w:r>
      <w:bookmarkEnd w:id="4"/>
    </w:p>
    <w:p w14:paraId="7B7535DF" w14:textId="77777777" w:rsidR="00E37A3F" w:rsidRPr="00625CDB" w:rsidRDefault="00E37A3F" w:rsidP="00625CDB">
      <w:pPr>
        <w:rPr>
          <w:szCs w:val="22"/>
        </w:rPr>
      </w:pPr>
    </w:p>
    <w:p w14:paraId="2C6AD1A5" w14:textId="0405B3CD" w:rsidR="00664420" w:rsidRPr="00625CDB" w:rsidRDefault="00E37A3F" w:rsidP="00625CDB">
      <w:pPr>
        <w:pStyle w:val="Ttulo3"/>
        <w:rPr>
          <w:szCs w:val="22"/>
        </w:rPr>
      </w:pPr>
      <w:bookmarkStart w:id="5" w:name="_Toc174558416"/>
      <w:r w:rsidRPr="00625CDB">
        <w:rPr>
          <w:szCs w:val="22"/>
        </w:rPr>
        <w:t xml:space="preserve">a) </w:t>
      </w:r>
      <w:r w:rsidR="006B10B0" w:rsidRPr="00625CDB">
        <w:rPr>
          <w:szCs w:val="22"/>
        </w:rPr>
        <w:t>S</w:t>
      </w:r>
      <w:r w:rsidR="00664420" w:rsidRPr="00625CDB">
        <w:rPr>
          <w:szCs w:val="22"/>
        </w:rPr>
        <w:t xml:space="preserve">olicitud de </w:t>
      </w:r>
      <w:r w:rsidR="006B10B0" w:rsidRPr="00625CDB">
        <w:rPr>
          <w:szCs w:val="22"/>
        </w:rPr>
        <w:t>i</w:t>
      </w:r>
      <w:r w:rsidR="00664420" w:rsidRPr="00625CDB">
        <w:rPr>
          <w:szCs w:val="22"/>
        </w:rPr>
        <w:t>nformación</w:t>
      </w:r>
      <w:bookmarkEnd w:id="5"/>
    </w:p>
    <w:p w14:paraId="06DCD29D" w14:textId="64F987C1" w:rsidR="009A2D78" w:rsidRPr="00625CDB" w:rsidRDefault="006B10B0" w:rsidP="00625CDB">
      <w:pPr>
        <w:pStyle w:val="Prrafodelista"/>
        <w:tabs>
          <w:tab w:val="left" w:pos="851"/>
        </w:tabs>
        <w:ind w:left="0"/>
        <w:contextualSpacing w:val="0"/>
        <w:rPr>
          <w:rFonts w:cs="Tahoma"/>
          <w:szCs w:val="22"/>
        </w:rPr>
      </w:pPr>
      <w:r w:rsidRPr="00625CDB">
        <w:rPr>
          <w:rFonts w:cs="Tahoma"/>
          <w:szCs w:val="22"/>
        </w:rPr>
        <w:t>El</w:t>
      </w:r>
      <w:r w:rsidR="00664420" w:rsidRPr="00625CDB">
        <w:rPr>
          <w:rFonts w:cs="Tahoma"/>
          <w:szCs w:val="22"/>
        </w:rPr>
        <w:t xml:space="preserve"> </w:t>
      </w:r>
      <w:r w:rsidR="0027446D" w:rsidRPr="00625CDB">
        <w:rPr>
          <w:rFonts w:cs="Tahoma"/>
          <w:b/>
          <w:bCs/>
          <w:szCs w:val="22"/>
        </w:rPr>
        <w:t>once</w:t>
      </w:r>
      <w:r w:rsidR="000748DF" w:rsidRPr="00625CDB">
        <w:rPr>
          <w:rFonts w:cs="Tahoma"/>
          <w:b/>
          <w:bCs/>
          <w:szCs w:val="22"/>
        </w:rPr>
        <w:t xml:space="preserve"> de marzo</w:t>
      </w:r>
      <w:r w:rsidR="00664420" w:rsidRPr="00625CDB">
        <w:rPr>
          <w:rFonts w:cs="Tahoma"/>
          <w:b/>
          <w:bCs/>
          <w:szCs w:val="22"/>
        </w:rPr>
        <w:t xml:space="preserve"> de dos mil </w:t>
      </w:r>
      <w:r w:rsidR="004B56B4" w:rsidRPr="00625CDB">
        <w:rPr>
          <w:rFonts w:cs="Tahoma"/>
          <w:b/>
          <w:bCs/>
          <w:szCs w:val="22"/>
        </w:rPr>
        <w:t>veinticuatro</w:t>
      </w:r>
      <w:r w:rsidR="00664420" w:rsidRPr="00625CDB">
        <w:rPr>
          <w:rFonts w:cs="Tahoma"/>
          <w:szCs w:val="22"/>
        </w:rPr>
        <w:t xml:space="preserve">, </w:t>
      </w:r>
      <w:r w:rsidRPr="00625CDB">
        <w:rPr>
          <w:b/>
          <w:bCs/>
          <w:szCs w:val="22"/>
        </w:rPr>
        <w:t>LA PARTE RECURRENTE</w:t>
      </w:r>
      <w:r w:rsidR="00664420" w:rsidRPr="00625CDB">
        <w:rPr>
          <w:rFonts w:cs="Tahoma"/>
          <w:szCs w:val="22"/>
        </w:rPr>
        <w:t xml:space="preserve"> presentó una solicitud de acceso a la información pública </w:t>
      </w:r>
      <w:r w:rsidR="001F3515" w:rsidRPr="00625CDB">
        <w:rPr>
          <w:rFonts w:cs="Tahoma"/>
          <w:szCs w:val="22"/>
        </w:rPr>
        <w:t xml:space="preserve">ante el </w:t>
      </w:r>
      <w:r w:rsidR="001F3515" w:rsidRPr="00625CDB">
        <w:rPr>
          <w:rFonts w:cs="Tahoma"/>
          <w:b/>
          <w:bCs/>
          <w:szCs w:val="22"/>
        </w:rPr>
        <w:t>SUJETO OBLIGADO</w:t>
      </w:r>
      <w:r w:rsidR="001F3515" w:rsidRPr="00625CDB">
        <w:rPr>
          <w:rFonts w:cs="Tahoma"/>
          <w:szCs w:val="22"/>
        </w:rPr>
        <w:t xml:space="preserve">, </w:t>
      </w:r>
      <w:r w:rsidR="00664420" w:rsidRPr="00625CDB">
        <w:rPr>
          <w:rFonts w:cs="Tahoma"/>
          <w:szCs w:val="22"/>
        </w:rPr>
        <w:t>a través del Sistema de Acceso a la Información Mexiquense</w:t>
      </w:r>
      <w:r w:rsidRPr="00625CDB">
        <w:rPr>
          <w:rFonts w:cs="Tahoma"/>
          <w:szCs w:val="22"/>
        </w:rPr>
        <w:t xml:space="preserve"> </w:t>
      </w:r>
      <w:r w:rsidR="009A2D78" w:rsidRPr="00625CDB">
        <w:rPr>
          <w:rFonts w:cs="Tahoma"/>
          <w:szCs w:val="22"/>
        </w:rPr>
        <w:t>(</w:t>
      </w:r>
      <w:r w:rsidRPr="00625CDB">
        <w:rPr>
          <w:rFonts w:cs="Tahoma"/>
          <w:b/>
          <w:szCs w:val="22"/>
        </w:rPr>
        <w:t>SAIMEX</w:t>
      </w:r>
      <w:r w:rsidR="009A2D78" w:rsidRPr="00625CDB">
        <w:rPr>
          <w:rFonts w:cs="Tahoma"/>
          <w:szCs w:val="22"/>
        </w:rPr>
        <w:t>). Dicha solicitud quedó</w:t>
      </w:r>
      <w:r w:rsidRPr="00625CDB">
        <w:rPr>
          <w:rFonts w:cs="Tahoma"/>
          <w:szCs w:val="22"/>
        </w:rPr>
        <w:t xml:space="preserve"> registrada c</w:t>
      </w:r>
      <w:r w:rsidR="00664420" w:rsidRPr="00625CDB">
        <w:rPr>
          <w:rFonts w:cs="Tahoma"/>
          <w:szCs w:val="22"/>
        </w:rPr>
        <w:t>on el número de folio</w:t>
      </w:r>
      <w:r w:rsidR="00664420" w:rsidRPr="00625CDB">
        <w:rPr>
          <w:rFonts w:cs="Tahoma"/>
          <w:b/>
          <w:bCs/>
          <w:szCs w:val="22"/>
        </w:rPr>
        <w:t xml:space="preserve"> </w:t>
      </w:r>
      <w:r w:rsidR="0027446D" w:rsidRPr="00625CDB">
        <w:rPr>
          <w:rFonts w:cs="Tahoma"/>
          <w:b/>
          <w:bCs/>
          <w:szCs w:val="22"/>
        </w:rPr>
        <w:t>00024/PRI/IP/2024</w:t>
      </w:r>
      <w:r w:rsidR="002A3601" w:rsidRPr="00625CDB">
        <w:rPr>
          <w:rFonts w:cs="Tahoma"/>
          <w:szCs w:val="22"/>
        </w:rPr>
        <w:t xml:space="preserve"> y en ella </w:t>
      </w:r>
      <w:r w:rsidR="009A2D78" w:rsidRPr="00625CDB">
        <w:rPr>
          <w:rFonts w:cs="Tahoma"/>
          <w:szCs w:val="22"/>
        </w:rPr>
        <w:t>se requirió la siguiente información:</w:t>
      </w:r>
    </w:p>
    <w:p w14:paraId="0459D6AC" w14:textId="77777777" w:rsidR="00664420" w:rsidRPr="00625CDB" w:rsidRDefault="00664420" w:rsidP="00625CDB">
      <w:pPr>
        <w:tabs>
          <w:tab w:val="left" w:pos="4667"/>
        </w:tabs>
        <w:ind w:left="567" w:right="567"/>
        <w:rPr>
          <w:rFonts w:cs="Tahoma"/>
          <w:b/>
          <w:bCs/>
          <w:szCs w:val="22"/>
        </w:rPr>
      </w:pPr>
    </w:p>
    <w:p w14:paraId="49DFA1EE" w14:textId="2F177C10" w:rsidR="00BB7B48" w:rsidRPr="00625CDB" w:rsidRDefault="0027446D" w:rsidP="00625CDB">
      <w:pPr>
        <w:ind w:left="851" w:right="822"/>
        <w:rPr>
          <w:szCs w:val="22"/>
        </w:rPr>
      </w:pPr>
      <w:r w:rsidRPr="00625CDB">
        <w:rPr>
          <w:rFonts w:eastAsiaTheme="majorEastAsia" w:cstheme="majorBidi"/>
          <w:i/>
          <w:kern w:val="28"/>
          <w:szCs w:val="22"/>
        </w:rPr>
        <w:t xml:space="preserve">1. Resultados de cada uno de los procedimientos de licitación pública e invitación a cuando menos tres personas realizadas durante el ejercicio fiscal 2023; 2. Resultados de cada uno de los procedimientos de adjudicación directa realizados durante en el ejercicio fiscal 2023; 3. Resultados de cada uno de los procedimientos de licitación </w:t>
      </w:r>
      <w:r w:rsidRPr="00625CDB">
        <w:rPr>
          <w:rFonts w:eastAsiaTheme="majorEastAsia" w:cstheme="majorBidi"/>
          <w:i/>
          <w:kern w:val="28"/>
          <w:szCs w:val="22"/>
        </w:rPr>
        <w:lastRenderedPageBreak/>
        <w:t xml:space="preserve">pública e invitación a cuando menos tres personas realizadas durante el ejercicio fiscal 2022; 4. Resultados de cada uno de los procedimientos de adjudicación directa realizados durante en el ejercicio fiscal 2022; 5. Resultados de cada uno de los procedimientos de licitación pública e invitación a cuando menos tres personas realizadas durante el ejercicio fiscal 2021; 6. Resultados de cada uno de los procedimientos de adjudicación directa realizados durante en el ejercicio fiscal 2021. Lo anterior, conforme a la estructura señalada en el artículo 92 fracción XIX de la Ley de Transparencia y Acceso a la Información Pública del Estado de México y Municipios. “La información sobre los procesos y resultados sobre procedimientos de adjudicación directa, invitación restringida y licitación de cualquier naturaleza, incluyendo la versión pública del expediente respectivo y de los contratos celebrados, que deberán contener, por los menos, lo siguiente: a) De licitaciones públicas o procedimientos de invitación restringida: 1. La convocatoria o invitación emitida, así como los fundamentos legales aplicados para llevarla a cabo; 2. Los nombres de los participantes o invitados; 3. El nombre del ganador y las razones que lo justifican; 4. El área solicitante y la responsable de su ejecución; Las convocatorias e invitaciones emitidas; Los dictámenes y fallo de adjudicación; 5. El contrato y, en su caso, sus anexos; Los mecanismos de vigilancia y supervisión, incluyendo en su caso, los estudios de impacto urbano y ambiental, según corresponda; 6. La partida presupuestal, de conformidad con el clasificador por objeto del gasto, en el caso de ser aplicable; 7. Origen de los recursos especificando si son federales, estatales o municipales, así como el tipo de fondo de participación o aportación respectiva; 8. Los convenios modificatorios que, en su caso, sean firmados, precisando el objeto y la fecha de celebración; 9. Los informes de avance físico y financiero sobre las obras o servicios contratados; 10. El convenio de terminación; y 11. El finiquito. b) De las </w:t>
      </w:r>
      <w:r w:rsidRPr="00625CDB">
        <w:rPr>
          <w:rFonts w:eastAsiaTheme="majorEastAsia" w:cstheme="majorBidi"/>
          <w:i/>
          <w:kern w:val="28"/>
          <w:szCs w:val="22"/>
        </w:rPr>
        <w:lastRenderedPageBreak/>
        <w:t>adjudicaciones directas: 1. La propuesta enviada por el participante; 2. Los motivos y fundamentos legales aplicados para llevarla a cabo; 3. La autorización del ejercicio de la opción; 4. En su caso, las cotizaciones consideradas, especificando los nombres de los proveedores y sus montos; 5. El nombre de la persona física o jurídica colectiva adjudicada; 6. La unidad administrativa solicitante y la responsable de su ejecución; 7. El número, fecha, el monto del contrato y el plazo de entrega o de ejecución de los servicios u obra; 8. Los mecanismos de vigilancia y supervisión, incluyendo, en su caso, los estudios de impacto urbano y ambiental, según corresponda; 9. Los informes de avance sobre las obras o servicios contratados; 10. El convenio de terminación; y 11. El finiquito.”</w:t>
      </w:r>
    </w:p>
    <w:p w14:paraId="211DB020" w14:textId="77777777" w:rsidR="00BB7B48" w:rsidRPr="00625CDB" w:rsidRDefault="00BB7B48" w:rsidP="00625CDB">
      <w:pPr>
        <w:tabs>
          <w:tab w:val="left" w:pos="4667"/>
        </w:tabs>
        <w:ind w:right="567"/>
        <w:rPr>
          <w:rFonts w:cs="Tahoma"/>
          <w:bCs/>
          <w:szCs w:val="22"/>
        </w:rPr>
      </w:pPr>
    </w:p>
    <w:p w14:paraId="0BD6321D" w14:textId="21D5D84C" w:rsidR="00664420" w:rsidRPr="00625CDB" w:rsidRDefault="009A2D78" w:rsidP="00625CDB">
      <w:pPr>
        <w:tabs>
          <w:tab w:val="left" w:pos="4667"/>
        </w:tabs>
        <w:ind w:left="567" w:right="567"/>
        <w:rPr>
          <w:rFonts w:cs="Tahoma"/>
          <w:bCs/>
          <w:i/>
          <w:szCs w:val="22"/>
        </w:rPr>
      </w:pPr>
      <w:r w:rsidRPr="00625CDB">
        <w:rPr>
          <w:rFonts w:cs="Tahoma"/>
          <w:b/>
          <w:bCs/>
          <w:szCs w:val="22"/>
        </w:rPr>
        <w:t>Modalidad de entrega</w:t>
      </w:r>
      <w:r w:rsidRPr="00625CDB">
        <w:rPr>
          <w:rFonts w:cs="Tahoma"/>
          <w:bCs/>
          <w:szCs w:val="22"/>
        </w:rPr>
        <w:t>: a</w:t>
      </w:r>
      <w:r w:rsidR="00664420" w:rsidRPr="00625CDB">
        <w:rPr>
          <w:rFonts w:cs="Tahoma"/>
          <w:bCs/>
          <w:i/>
          <w:szCs w:val="22"/>
        </w:rPr>
        <w:t xml:space="preserve"> través del SAIMEX</w:t>
      </w:r>
      <w:r w:rsidRPr="00625CDB">
        <w:rPr>
          <w:rFonts w:cs="Tahoma"/>
          <w:bCs/>
          <w:i/>
          <w:szCs w:val="22"/>
        </w:rPr>
        <w:t>.</w:t>
      </w:r>
    </w:p>
    <w:p w14:paraId="23D7A976" w14:textId="77777777" w:rsidR="000748DF" w:rsidRPr="00625CDB" w:rsidRDefault="000748DF" w:rsidP="00625CDB">
      <w:pPr>
        <w:tabs>
          <w:tab w:val="left" w:pos="4667"/>
        </w:tabs>
        <w:ind w:left="567" w:right="567"/>
        <w:rPr>
          <w:rFonts w:cs="Tahoma"/>
          <w:bCs/>
          <w:szCs w:val="22"/>
        </w:rPr>
      </w:pPr>
    </w:p>
    <w:p w14:paraId="3212BA4D" w14:textId="594B934B" w:rsidR="00664420" w:rsidRPr="00625CDB" w:rsidRDefault="000748DF" w:rsidP="00625CDB">
      <w:pPr>
        <w:pStyle w:val="Ttulo3"/>
        <w:rPr>
          <w:szCs w:val="22"/>
        </w:rPr>
      </w:pPr>
      <w:bookmarkStart w:id="6" w:name="_Toc174558417"/>
      <w:r w:rsidRPr="00625CDB">
        <w:rPr>
          <w:szCs w:val="22"/>
        </w:rPr>
        <w:t xml:space="preserve">b) </w:t>
      </w:r>
      <w:r w:rsidR="00664420" w:rsidRPr="00625CDB">
        <w:rPr>
          <w:szCs w:val="22"/>
          <w:lang w:val="es-ES"/>
        </w:rPr>
        <w:t xml:space="preserve">Respuesta </w:t>
      </w:r>
      <w:r w:rsidR="00664420" w:rsidRPr="00625CDB">
        <w:rPr>
          <w:rFonts w:eastAsia="Calibri"/>
          <w:szCs w:val="22"/>
          <w:lang w:eastAsia="en-US"/>
        </w:rPr>
        <w:t>del Sujeto Obligado</w:t>
      </w:r>
      <w:bookmarkEnd w:id="6"/>
    </w:p>
    <w:p w14:paraId="79199CC1" w14:textId="53C53692" w:rsidR="00664420" w:rsidRPr="00625CDB" w:rsidRDefault="00664420" w:rsidP="00625CDB">
      <w:pPr>
        <w:pStyle w:val="Sinespaciado"/>
        <w:spacing w:line="360" w:lineRule="auto"/>
        <w:rPr>
          <w:szCs w:val="22"/>
          <w:lang w:val="es-ES"/>
        </w:rPr>
      </w:pPr>
      <w:r w:rsidRPr="00625CDB">
        <w:rPr>
          <w:szCs w:val="22"/>
          <w:lang w:val="es-ES"/>
        </w:rPr>
        <w:t xml:space="preserve">El </w:t>
      </w:r>
      <w:r w:rsidR="0027446D" w:rsidRPr="00625CDB">
        <w:rPr>
          <w:rFonts w:eastAsia="Calibri" w:cs="Arial"/>
          <w:b/>
          <w:bCs/>
          <w:szCs w:val="22"/>
          <w:lang w:val="es-ES" w:eastAsia="en-US"/>
        </w:rPr>
        <w:t>veintidós</w:t>
      </w:r>
      <w:r w:rsidR="000748DF" w:rsidRPr="00625CDB">
        <w:rPr>
          <w:rFonts w:eastAsia="Calibri" w:cs="Arial"/>
          <w:b/>
          <w:bCs/>
          <w:szCs w:val="22"/>
          <w:lang w:val="es-ES" w:eastAsia="en-US"/>
        </w:rPr>
        <w:t xml:space="preserve"> de marzo </w:t>
      </w:r>
      <w:r w:rsidR="000748DF" w:rsidRPr="00625CDB">
        <w:rPr>
          <w:rFonts w:eastAsia="Calibri" w:cs="Arial"/>
          <w:b/>
          <w:szCs w:val="22"/>
          <w:lang w:val="es-ES" w:eastAsia="en-US"/>
        </w:rPr>
        <w:t>de dos mil veinticuatro</w:t>
      </w:r>
      <w:r w:rsidR="00983EEF" w:rsidRPr="00625CDB">
        <w:rPr>
          <w:b/>
          <w:szCs w:val="22"/>
          <w:lang w:val="es-ES"/>
        </w:rPr>
        <w:t xml:space="preserve">, </w:t>
      </w:r>
      <w:r w:rsidR="00F07EE6" w:rsidRPr="00625CDB">
        <w:rPr>
          <w:szCs w:val="22"/>
          <w:lang w:val="es-ES"/>
        </w:rPr>
        <w:t>l</w:t>
      </w:r>
      <w:r w:rsidR="002268D4" w:rsidRPr="00625CDB">
        <w:rPr>
          <w:szCs w:val="22"/>
          <w:lang w:val="es-ES"/>
        </w:rPr>
        <w:t>a</w:t>
      </w:r>
      <w:r w:rsidR="00F07EE6" w:rsidRPr="00625CDB">
        <w:rPr>
          <w:szCs w:val="22"/>
          <w:lang w:val="es-ES"/>
        </w:rPr>
        <w:t xml:space="preserve"> Titular de la Unidad de Transparencia del </w:t>
      </w:r>
      <w:r w:rsidR="00F07EE6" w:rsidRPr="00625CDB">
        <w:rPr>
          <w:b/>
          <w:szCs w:val="22"/>
          <w:lang w:val="es-ES"/>
        </w:rPr>
        <w:t>SUJETO OBLIGADO</w:t>
      </w:r>
      <w:r w:rsidR="00F07EE6" w:rsidRPr="00625CDB">
        <w:rPr>
          <w:szCs w:val="22"/>
          <w:lang w:val="es-ES"/>
        </w:rPr>
        <w:t xml:space="preserve"> notificó la siguiente respuesta a través del </w:t>
      </w:r>
      <w:r w:rsidRPr="00625CDB">
        <w:rPr>
          <w:szCs w:val="22"/>
          <w:lang w:val="es-ES"/>
        </w:rPr>
        <w:t>SAIMEX</w:t>
      </w:r>
      <w:r w:rsidR="00F07EE6" w:rsidRPr="00625CDB">
        <w:rPr>
          <w:szCs w:val="22"/>
          <w:lang w:val="es-ES"/>
        </w:rPr>
        <w:t>:</w:t>
      </w:r>
    </w:p>
    <w:p w14:paraId="669F7EFD" w14:textId="77777777" w:rsidR="00664420" w:rsidRPr="00625CDB" w:rsidRDefault="00664420" w:rsidP="00625CDB">
      <w:pPr>
        <w:tabs>
          <w:tab w:val="left" w:pos="4667"/>
        </w:tabs>
        <w:ind w:left="567" w:right="567"/>
        <w:rPr>
          <w:rFonts w:cs="Tahoma"/>
          <w:b/>
          <w:bCs/>
          <w:szCs w:val="22"/>
        </w:rPr>
      </w:pPr>
    </w:p>
    <w:p w14:paraId="3E63450B" w14:textId="77777777" w:rsidR="0027446D" w:rsidRPr="00625CDB" w:rsidRDefault="0027446D" w:rsidP="00625CDB">
      <w:pPr>
        <w:autoSpaceDE w:val="0"/>
        <w:autoSpaceDN w:val="0"/>
        <w:adjustRightInd w:val="0"/>
        <w:ind w:left="567" w:right="539"/>
        <w:jc w:val="right"/>
        <w:rPr>
          <w:rFonts w:eastAsiaTheme="majorEastAsia" w:cstheme="majorBidi"/>
          <w:i/>
          <w:kern w:val="28"/>
          <w:szCs w:val="22"/>
        </w:rPr>
      </w:pPr>
      <w:r w:rsidRPr="00625CDB">
        <w:rPr>
          <w:rFonts w:eastAsiaTheme="majorEastAsia" w:cstheme="majorBidi"/>
          <w:i/>
          <w:kern w:val="28"/>
          <w:szCs w:val="22"/>
        </w:rPr>
        <w:t>Folio de la solicitud: 00024/PRI/IP/2024</w:t>
      </w:r>
    </w:p>
    <w:p w14:paraId="6284EAE0" w14:textId="77777777" w:rsidR="0027446D" w:rsidRPr="00625CDB" w:rsidRDefault="0027446D" w:rsidP="00625CDB">
      <w:pPr>
        <w:autoSpaceDE w:val="0"/>
        <w:autoSpaceDN w:val="0"/>
        <w:adjustRightInd w:val="0"/>
        <w:ind w:left="567" w:right="539"/>
        <w:rPr>
          <w:rFonts w:eastAsiaTheme="majorEastAsia" w:cstheme="majorBidi"/>
          <w:i/>
          <w:kern w:val="28"/>
          <w:szCs w:val="22"/>
        </w:rPr>
      </w:pPr>
    </w:p>
    <w:p w14:paraId="015C9137" w14:textId="10B3F32E" w:rsidR="0027446D" w:rsidRPr="00625CDB" w:rsidRDefault="0027446D" w:rsidP="00625CDB">
      <w:pPr>
        <w:autoSpaceDE w:val="0"/>
        <w:autoSpaceDN w:val="0"/>
        <w:adjustRightInd w:val="0"/>
        <w:ind w:left="567" w:right="539"/>
        <w:rPr>
          <w:rFonts w:eastAsiaTheme="majorEastAsia" w:cstheme="majorBidi"/>
          <w:i/>
          <w:kern w:val="28"/>
          <w:szCs w:val="22"/>
        </w:rPr>
      </w:pPr>
      <w:r w:rsidRPr="00625CDB">
        <w:rPr>
          <w:rFonts w:eastAsiaTheme="majorEastAsia" w:cstheme="majorBidi"/>
          <w:i/>
          <w:kern w:val="28"/>
          <w:szCs w:val="22"/>
        </w:rPr>
        <w:t>C. SOLICITANTE DE INFORMACIÓN P R E S E N T E Estimado Ciudadano: Sirva este medio para hacerle llegar un cordial saludo, al tiempo que con fundamento en el artículo 6 de la Constitución Política de los Estados Unidos Mexicanos y 5 de la Constitución Política del Estado Libre y Soberano de México fracciones IV, XIV, XVIII, XX, XXIV, XXXIX, XLI y XLIV. Se envía respuesta a la solicitud de información número 00024/PRI/IP/2024, en archivo adjunto.</w:t>
      </w:r>
    </w:p>
    <w:p w14:paraId="2ABCBCF1" w14:textId="77777777" w:rsidR="0027446D" w:rsidRPr="00625CDB" w:rsidRDefault="0027446D" w:rsidP="00625CDB">
      <w:pPr>
        <w:autoSpaceDE w:val="0"/>
        <w:autoSpaceDN w:val="0"/>
        <w:adjustRightInd w:val="0"/>
        <w:ind w:left="567" w:right="539"/>
        <w:rPr>
          <w:rFonts w:eastAsiaTheme="majorEastAsia" w:cstheme="majorBidi"/>
          <w:i/>
          <w:kern w:val="28"/>
          <w:szCs w:val="22"/>
        </w:rPr>
      </w:pPr>
    </w:p>
    <w:p w14:paraId="573B92C4" w14:textId="33F3CAED" w:rsidR="0027446D" w:rsidRPr="00625CDB" w:rsidRDefault="0027446D" w:rsidP="00625CDB">
      <w:pPr>
        <w:autoSpaceDE w:val="0"/>
        <w:autoSpaceDN w:val="0"/>
        <w:adjustRightInd w:val="0"/>
        <w:ind w:left="567" w:right="539"/>
        <w:rPr>
          <w:rFonts w:eastAsiaTheme="majorEastAsia" w:cstheme="majorBidi"/>
          <w:i/>
          <w:kern w:val="28"/>
          <w:szCs w:val="22"/>
        </w:rPr>
      </w:pPr>
      <w:r w:rsidRPr="00625CDB">
        <w:rPr>
          <w:rFonts w:eastAsiaTheme="majorEastAsia" w:cstheme="majorBidi"/>
          <w:i/>
          <w:kern w:val="28"/>
          <w:szCs w:val="22"/>
        </w:rPr>
        <w:t>ATENTAMENTE</w:t>
      </w:r>
    </w:p>
    <w:p w14:paraId="75642CED" w14:textId="2702DC42" w:rsidR="000748DF" w:rsidRPr="00625CDB" w:rsidRDefault="0027446D" w:rsidP="00625CDB">
      <w:pPr>
        <w:autoSpaceDE w:val="0"/>
        <w:autoSpaceDN w:val="0"/>
        <w:adjustRightInd w:val="0"/>
        <w:ind w:left="567" w:right="539"/>
        <w:rPr>
          <w:rFonts w:eastAsiaTheme="majorEastAsia" w:cstheme="majorBidi"/>
          <w:i/>
          <w:kern w:val="28"/>
          <w:szCs w:val="22"/>
        </w:rPr>
      </w:pPr>
      <w:r w:rsidRPr="00625CDB">
        <w:rPr>
          <w:rFonts w:eastAsiaTheme="majorEastAsia" w:cstheme="majorBidi"/>
          <w:i/>
          <w:kern w:val="28"/>
          <w:szCs w:val="22"/>
        </w:rPr>
        <w:t xml:space="preserve">Mtra. Norma </w:t>
      </w:r>
      <w:proofErr w:type="spellStart"/>
      <w:r w:rsidRPr="00625CDB">
        <w:rPr>
          <w:rFonts w:eastAsiaTheme="majorEastAsia" w:cstheme="majorBidi"/>
          <w:i/>
          <w:kern w:val="28"/>
          <w:szCs w:val="22"/>
        </w:rPr>
        <w:t>Aransasu</w:t>
      </w:r>
      <w:proofErr w:type="spellEnd"/>
      <w:r w:rsidRPr="00625CDB">
        <w:rPr>
          <w:rFonts w:eastAsiaTheme="majorEastAsia" w:cstheme="majorBidi"/>
          <w:i/>
          <w:kern w:val="28"/>
          <w:szCs w:val="22"/>
        </w:rPr>
        <w:t xml:space="preserve"> Valdés Pedraza</w:t>
      </w:r>
    </w:p>
    <w:p w14:paraId="33C8A878" w14:textId="77777777" w:rsidR="0027446D" w:rsidRPr="00625CDB" w:rsidRDefault="0027446D" w:rsidP="00625CDB">
      <w:pPr>
        <w:autoSpaceDE w:val="0"/>
        <w:autoSpaceDN w:val="0"/>
        <w:adjustRightInd w:val="0"/>
        <w:ind w:right="-28"/>
        <w:rPr>
          <w:rFonts w:cs="Tahoma"/>
          <w:bCs/>
          <w:szCs w:val="22"/>
        </w:rPr>
      </w:pPr>
    </w:p>
    <w:p w14:paraId="2211D1AB" w14:textId="19D85FAE" w:rsidR="00983EEF" w:rsidRPr="00625CDB" w:rsidRDefault="00F07EE6" w:rsidP="00625CDB">
      <w:pPr>
        <w:autoSpaceDE w:val="0"/>
        <w:autoSpaceDN w:val="0"/>
        <w:adjustRightInd w:val="0"/>
        <w:ind w:right="-28"/>
        <w:rPr>
          <w:rFonts w:cs="Tahoma"/>
          <w:bCs/>
          <w:szCs w:val="22"/>
          <w:lang w:val="es-ES"/>
        </w:rPr>
      </w:pPr>
      <w:r w:rsidRPr="00625CDB">
        <w:rPr>
          <w:rFonts w:cs="Tahoma"/>
          <w:bCs/>
          <w:szCs w:val="22"/>
          <w:lang w:val="es-ES"/>
        </w:rPr>
        <w:t xml:space="preserve">Asimismo, </w:t>
      </w:r>
      <w:r w:rsidRPr="00625CDB">
        <w:rPr>
          <w:rFonts w:cs="Tahoma"/>
          <w:b/>
          <w:szCs w:val="22"/>
          <w:lang w:val="es-ES"/>
        </w:rPr>
        <w:t xml:space="preserve">EL SUJETO OBLIGADO </w:t>
      </w:r>
      <w:r w:rsidRPr="00625CDB">
        <w:rPr>
          <w:rFonts w:cs="Tahoma"/>
          <w:bCs/>
          <w:szCs w:val="22"/>
          <w:lang w:val="es-ES"/>
        </w:rPr>
        <w:t xml:space="preserve">adjuntó a su respuesta </w:t>
      </w:r>
      <w:r w:rsidR="004252F1" w:rsidRPr="00625CDB">
        <w:rPr>
          <w:rFonts w:cs="Tahoma"/>
          <w:bCs/>
          <w:szCs w:val="22"/>
          <w:lang w:val="es-ES"/>
        </w:rPr>
        <w:t xml:space="preserve">el </w:t>
      </w:r>
      <w:r w:rsidRPr="00625CDB">
        <w:rPr>
          <w:rFonts w:cs="Tahoma"/>
          <w:bCs/>
          <w:szCs w:val="22"/>
          <w:lang w:val="es-ES"/>
        </w:rPr>
        <w:t>archivo electrónico</w:t>
      </w:r>
      <w:r w:rsidR="004252F1" w:rsidRPr="00625CDB">
        <w:rPr>
          <w:rFonts w:cs="Tahoma"/>
          <w:bCs/>
          <w:szCs w:val="22"/>
          <w:lang w:val="es-ES"/>
        </w:rPr>
        <w:t xml:space="preserve"> </w:t>
      </w:r>
      <w:r w:rsidR="0027446D" w:rsidRPr="00625CDB">
        <w:rPr>
          <w:rFonts w:cs="Arial"/>
          <w:b/>
          <w:bCs/>
          <w:iCs/>
          <w:szCs w:val="22"/>
        </w:rPr>
        <w:t xml:space="preserve">solicitud 24.pdf </w:t>
      </w:r>
      <w:r w:rsidRPr="00625CDB">
        <w:rPr>
          <w:rFonts w:cs="Tahoma"/>
          <w:bCs/>
          <w:szCs w:val="22"/>
          <w:lang w:val="es-ES"/>
        </w:rPr>
        <w:t xml:space="preserve">que </w:t>
      </w:r>
      <w:r w:rsidR="002268D4" w:rsidRPr="00625CDB">
        <w:rPr>
          <w:rFonts w:cs="Tahoma"/>
          <w:bCs/>
          <w:szCs w:val="22"/>
          <w:lang w:val="es-ES"/>
        </w:rPr>
        <w:t>contiene</w:t>
      </w:r>
      <w:r w:rsidR="00082A7D" w:rsidRPr="00625CDB">
        <w:rPr>
          <w:rFonts w:cs="Tahoma"/>
          <w:bCs/>
          <w:szCs w:val="22"/>
          <w:lang w:val="es-ES"/>
        </w:rPr>
        <w:t>:</w:t>
      </w:r>
    </w:p>
    <w:p w14:paraId="227E78E4" w14:textId="77777777" w:rsidR="005856CA" w:rsidRPr="00625CDB" w:rsidRDefault="005856CA" w:rsidP="00625CDB">
      <w:pPr>
        <w:autoSpaceDE w:val="0"/>
        <w:autoSpaceDN w:val="0"/>
        <w:adjustRightInd w:val="0"/>
        <w:ind w:right="-28"/>
        <w:rPr>
          <w:rFonts w:cs="Tahoma"/>
          <w:bCs/>
          <w:szCs w:val="22"/>
          <w:lang w:val="es-ES"/>
        </w:rPr>
      </w:pPr>
    </w:p>
    <w:p w14:paraId="6E37F918" w14:textId="18F8128B" w:rsidR="00A0449B" w:rsidRPr="00625CDB" w:rsidRDefault="0027446D" w:rsidP="00625CDB">
      <w:pPr>
        <w:autoSpaceDE w:val="0"/>
        <w:autoSpaceDN w:val="0"/>
        <w:adjustRightInd w:val="0"/>
        <w:ind w:left="567" w:right="539"/>
        <w:rPr>
          <w:rFonts w:cs="Tahoma"/>
          <w:bCs/>
          <w:szCs w:val="22"/>
          <w:lang w:val="es-ES"/>
        </w:rPr>
      </w:pPr>
      <w:r w:rsidRPr="00625CDB">
        <w:rPr>
          <w:rFonts w:cs="Tahoma"/>
          <w:bCs/>
          <w:szCs w:val="22"/>
          <w:lang w:val="es-ES"/>
        </w:rPr>
        <w:t>Archivo constante de 6 páginas en las que se contiene:</w:t>
      </w:r>
    </w:p>
    <w:p w14:paraId="2F1061A3" w14:textId="77777777" w:rsidR="005856CA" w:rsidRPr="00625CDB" w:rsidRDefault="005856CA" w:rsidP="00625CDB">
      <w:pPr>
        <w:autoSpaceDE w:val="0"/>
        <w:autoSpaceDN w:val="0"/>
        <w:adjustRightInd w:val="0"/>
        <w:ind w:left="567" w:right="539"/>
        <w:rPr>
          <w:rFonts w:cs="Tahoma"/>
          <w:bCs/>
          <w:i/>
          <w:szCs w:val="22"/>
          <w:lang w:val="es-ES"/>
        </w:rPr>
      </w:pPr>
    </w:p>
    <w:p w14:paraId="3BACFE79" w14:textId="154BF8C6" w:rsidR="0027446D" w:rsidRPr="00625CDB" w:rsidRDefault="002268D4" w:rsidP="00625CDB">
      <w:pPr>
        <w:autoSpaceDE w:val="0"/>
        <w:autoSpaceDN w:val="0"/>
        <w:adjustRightInd w:val="0"/>
        <w:ind w:left="567" w:right="539"/>
        <w:rPr>
          <w:rFonts w:cs="Tahoma"/>
          <w:bCs/>
          <w:i/>
          <w:szCs w:val="22"/>
          <w:lang w:val="es-ES"/>
        </w:rPr>
      </w:pPr>
      <w:r w:rsidRPr="00625CDB">
        <w:rPr>
          <w:rFonts w:cs="Tahoma"/>
          <w:bCs/>
          <w:i/>
          <w:szCs w:val="22"/>
          <w:lang w:val="es-ES"/>
        </w:rPr>
        <w:t>“</w:t>
      </w:r>
      <w:r w:rsidR="0027446D" w:rsidRPr="00625CDB">
        <w:rPr>
          <w:rFonts w:cs="Tahoma"/>
          <w:bCs/>
          <w:i/>
          <w:szCs w:val="22"/>
          <w:lang w:val="es-ES"/>
        </w:rPr>
        <w:t>Página 1. Oficio SJT/UT/0030/2024, de fecha 22 de marzo de 2024, suscrito por la Titular de la Unidad de Transparencia, dirigido al solicitante, en el que le indica que se envía respuesta a la solicitud de información.</w:t>
      </w:r>
    </w:p>
    <w:p w14:paraId="1E939262" w14:textId="1E6373E6" w:rsidR="0027446D" w:rsidRPr="00625CDB" w:rsidRDefault="0027446D" w:rsidP="00625CDB">
      <w:pPr>
        <w:autoSpaceDE w:val="0"/>
        <w:autoSpaceDN w:val="0"/>
        <w:adjustRightInd w:val="0"/>
        <w:ind w:left="567" w:right="539"/>
        <w:rPr>
          <w:rFonts w:cs="Tahoma"/>
          <w:bCs/>
          <w:i/>
          <w:szCs w:val="22"/>
          <w:lang w:val="es-ES"/>
        </w:rPr>
      </w:pPr>
    </w:p>
    <w:p w14:paraId="6861FE2B" w14:textId="7FBA7DAD" w:rsidR="0027446D" w:rsidRPr="00625CDB" w:rsidRDefault="0027446D" w:rsidP="00625CDB">
      <w:pPr>
        <w:autoSpaceDE w:val="0"/>
        <w:autoSpaceDN w:val="0"/>
        <w:adjustRightInd w:val="0"/>
        <w:ind w:left="567" w:right="539"/>
        <w:rPr>
          <w:rFonts w:cs="Tahoma"/>
          <w:bCs/>
          <w:i/>
          <w:szCs w:val="22"/>
          <w:lang w:val="es-ES"/>
        </w:rPr>
      </w:pPr>
      <w:r w:rsidRPr="00625CDB">
        <w:rPr>
          <w:rFonts w:cs="Tahoma"/>
          <w:bCs/>
          <w:i/>
          <w:szCs w:val="22"/>
          <w:lang w:val="es-ES"/>
        </w:rPr>
        <w:t>Páginas 2 - 4. Oficio CDE/PRI/SFA/DGT/019/2024, de fecha 21 de marzo de 2024, suscrito por el Funcionario Partidista Habilitado de la Secretaría de Finanzas y Administración del CDE del PRI en el Estado de México, en el que informa:</w:t>
      </w:r>
    </w:p>
    <w:p w14:paraId="3074609E" w14:textId="77777777" w:rsidR="00407FE2" w:rsidRPr="00625CDB" w:rsidRDefault="00407FE2" w:rsidP="00625CDB">
      <w:pPr>
        <w:autoSpaceDE w:val="0"/>
        <w:autoSpaceDN w:val="0"/>
        <w:adjustRightInd w:val="0"/>
        <w:ind w:left="567" w:right="539"/>
        <w:rPr>
          <w:rFonts w:cs="Tahoma"/>
          <w:bCs/>
          <w:i/>
          <w:szCs w:val="22"/>
          <w:lang w:val="es-ES"/>
        </w:rPr>
      </w:pPr>
    </w:p>
    <w:p w14:paraId="5DEA085B" w14:textId="45A04C23" w:rsidR="0027446D" w:rsidRPr="00625CDB" w:rsidRDefault="00EA27F7" w:rsidP="00625CDB">
      <w:pPr>
        <w:autoSpaceDE w:val="0"/>
        <w:autoSpaceDN w:val="0"/>
        <w:adjustRightInd w:val="0"/>
        <w:ind w:left="567" w:right="539"/>
        <w:rPr>
          <w:rFonts w:cs="Tahoma"/>
          <w:bCs/>
          <w:i/>
          <w:szCs w:val="22"/>
          <w:lang w:val="es-ES"/>
        </w:rPr>
      </w:pPr>
      <w:r w:rsidRPr="00625CDB">
        <w:rPr>
          <w:rFonts w:cs="Tahoma"/>
          <w:bCs/>
          <w:i/>
          <w:szCs w:val="22"/>
          <w:lang w:val="es-ES"/>
        </w:rPr>
        <w:t>…se hace de su conocimiento que este Instituto Político, en sus estatus no se encuentra facultado para realizar concursos de licitación; lo anterior de conformidad con lo dispuesto en los artículos 82, numeral 2 y 356, numeral 1 y 2 del Reglamento de Fiscalización del Instituto Nacional Electoral, toda vez que los proveedores para poder realizar operaciones con los Partidos Políticos únicamente estos deben estar registrados ante el Registro Nacional de Proveedores del Instituto Nacional Electoral.</w:t>
      </w:r>
    </w:p>
    <w:p w14:paraId="3195BCB9" w14:textId="03C0DAF4" w:rsidR="00EA27F7" w:rsidRPr="00625CDB" w:rsidRDefault="00EA27F7" w:rsidP="00625CDB">
      <w:pPr>
        <w:autoSpaceDE w:val="0"/>
        <w:autoSpaceDN w:val="0"/>
        <w:adjustRightInd w:val="0"/>
        <w:ind w:left="567" w:right="539"/>
        <w:rPr>
          <w:rFonts w:cs="Tahoma"/>
          <w:bCs/>
          <w:i/>
          <w:szCs w:val="22"/>
          <w:lang w:val="es-ES"/>
        </w:rPr>
      </w:pPr>
      <w:r w:rsidRPr="00625CDB">
        <w:rPr>
          <w:rFonts w:cs="Tahoma"/>
          <w:bCs/>
          <w:i/>
          <w:szCs w:val="22"/>
          <w:lang w:val="es-ES"/>
        </w:rPr>
        <w:t>…</w:t>
      </w:r>
    </w:p>
    <w:p w14:paraId="189C6FAD" w14:textId="6B688AD6" w:rsidR="00EA27F7" w:rsidRPr="00625CDB" w:rsidRDefault="00EA27F7" w:rsidP="00625CDB">
      <w:pPr>
        <w:autoSpaceDE w:val="0"/>
        <w:autoSpaceDN w:val="0"/>
        <w:adjustRightInd w:val="0"/>
        <w:ind w:left="567" w:right="539"/>
        <w:rPr>
          <w:rFonts w:cs="Tahoma"/>
          <w:b/>
          <w:i/>
          <w:szCs w:val="22"/>
          <w:lang w:val="es-ES"/>
        </w:rPr>
      </w:pPr>
      <w:r w:rsidRPr="00625CDB">
        <w:rPr>
          <w:rFonts w:cs="Tahoma"/>
          <w:bCs/>
          <w:i/>
          <w:szCs w:val="22"/>
          <w:lang w:val="es-ES"/>
        </w:rPr>
        <w:lastRenderedPageBreak/>
        <w:t xml:space="preserve">Por otra parte, cabe señalar que de acuerdo a la tabla de aplicabilidad publicada el 29 de marzo de 2023, aprobada por el Instituto de Transparencia y Acceso a la Información Pública del Estado de México y Municipios, al Partido Revolucionario </w:t>
      </w:r>
      <w:r w:rsidR="00D9769C" w:rsidRPr="00625CDB">
        <w:rPr>
          <w:rFonts w:cs="Tahoma"/>
          <w:bCs/>
          <w:i/>
          <w:szCs w:val="22"/>
          <w:lang w:val="es-ES"/>
        </w:rPr>
        <w:t>Institucional</w:t>
      </w:r>
      <w:r w:rsidRPr="00625CDB">
        <w:rPr>
          <w:rFonts w:cs="Tahoma"/>
          <w:bCs/>
          <w:i/>
          <w:szCs w:val="22"/>
          <w:lang w:val="es-ES"/>
        </w:rPr>
        <w:t xml:space="preserve"> no le es aplicable la</w:t>
      </w:r>
      <w:r w:rsidR="00D9769C" w:rsidRPr="00625CDB">
        <w:rPr>
          <w:rFonts w:cs="Tahoma"/>
          <w:bCs/>
          <w:i/>
          <w:szCs w:val="22"/>
          <w:lang w:val="es-ES"/>
        </w:rPr>
        <w:t xml:space="preserve"> </w:t>
      </w:r>
      <w:r w:rsidRPr="00625CDB">
        <w:rPr>
          <w:rFonts w:cs="Tahoma"/>
          <w:bCs/>
          <w:i/>
          <w:szCs w:val="22"/>
          <w:lang w:val="es-ES"/>
        </w:rPr>
        <w:t>fracción XXIX la cual se refiere a “</w:t>
      </w:r>
      <w:r w:rsidRPr="00625CDB">
        <w:rPr>
          <w:rFonts w:cs="Tahoma"/>
          <w:b/>
          <w:i/>
          <w:szCs w:val="22"/>
          <w:lang w:val="es-ES"/>
        </w:rPr>
        <w:t>Resultados de procedimientos de licitación pública e invitación a cuando menos tres personas realiza”.</w:t>
      </w:r>
    </w:p>
    <w:p w14:paraId="1F345EA7" w14:textId="77777777" w:rsidR="00EA27F7" w:rsidRPr="00625CDB" w:rsidRDefault="00EA27F7" w:rsidP="00625CDB">
      <w:pPr>
        <w:autoSpaceDE w:val="0"/>
        <w:autoSpaceDN w:val="0"/>
        <w:adjustRightInd w:val="0"/>
        <w:ind w:left="567" w:right="539"/>
        <w:rPr>
          <w:rFonts w:cs="Tahoma"/>
          <w:b/>
          <w:i/>
          <w:szCs w:val="22"/>
          <w:lang w:val="es-ES"/>
        </w:rPr>
      </w:pPr>
    </w:p>
    <w:p w14:paraId="630FB9C8" w14:textId="20A2F6B2" w:rsidR="0027446D" w:rsidRPr="00625CDB" w:rsidRDefault="00EA27F7" w:rsidP="00625CDB">
      <w:pPr>
        <w:autoSpaceDE w:val="0"/>
        <w:autoSpaceDN w:val="0"/>
        <w:adjustRightInd w:val="0"/>
        <w:ind w:left="567" w:right="539"/>
        <w:rPr>
          <w:rFonts w:cs="Tahoma"/>
          <w:bCs/>
          <w:i/>
          <w:szCs w:val="22"/>
          <w:lang w:val="es-ES"/>
        </w:rPr>
      </w:pPr>
      <w:r w:rsidRPr="00625CDB">
        <w:rPr>
          <w:rFonts w:cs="Tahoma"/>
          <w:bCs/>
          <w:i/>
          <w:szCs w:val="22"/>
          <w:lang w:val="es-ES"/>
        </w:rPr>
        <w:t>En lo que corresponde a las adjudicaciones directas, la información requerida es de carácter público y se encuentra debidamente publicada en tiempo y forma en la página oficial de internet de Información Pública de Oficio Mexiquense “</w:t>
      </w:r>
      <w:proofErr w:type="spellStart"/>
      <w:r w:rsidRPr="00625CDB">
        <w:rPr>
          <w:rFonts w:cs="Tahoma"/>
          <w:bCs/>
          <w:i/>
          <w:szCs w:val="22"/>
          <w:lang w:val="es-ES"/>
        </w:rPr>
        <w:t>Ipomex</w:t>
      </w:r>
      <w:proofErr w:type="spellEnd"/>
      <w:r w:rsidRPr="00625CDB">
        <w:rPr>
          <w:rFonts w:cs="Tahoma"/>
          <w:bCs/>
          <w:i/>
          <w:szCs w:val="22"/>
          <w:lang w:val="es-ES"/>
        </w:rPr>
        <w:t xml:space="preserve">” y/o en el siguiente link: </w:t>
      </w:r>
      <w:hyperlink r:id="rId14" w:history="1">
        <w:r w:rsidRPr="00625CDB">
          <w:rPr>
            <w:rStyle w:val="Hipervnculo"/>
            <w:rFonts w:cs="Tahoma"/>
            <w:bCs/>
            <w:i/>
            <w:color w:val="auto"/>
            <w:szCs w:val="22"/>
            <w:lang w:val="es-ES"/>
          </w:rPr>
          <w:t>https://www.ipomex.org.mx/ipo3/lgt/indice/PRI/art_100_iv.web</w:t>
        </w:r>
      </w:hyperlink>
      <w:r w:rsidRPr="00625CDB">
        <w:rPr>
          <w:rFonts w:cs="Tahoma"/>
          <w:bCs/>
          <w:i/>
          <w:szCs w:val="22"/>
          <w:lang w:val="es-ES"/>
        </w:rPr>
        <w:t xml:space="preserve"> </w:t>
      </w:r>
    </w:p>
    <w:p w14:paraId="19702709" w14:textId="77777777" w:rsidR="008E3EAD" w:rsidRPr="00625CDB" w:rsidRDefault="008E3EAD" w:rsidP="00625CDB">
      <w:pPr>
        <w:autoSpaceDE w:val="0"/>
        <w:autoSpaceDN w:val="0"/>
        <w:adjustRightInd w:val="0"/>
        <w:ind w:left="567" w:right="539"/>
        <w:rPr>
          <w:rFonts w:cs="Tahoma"/>
          <w:bCs/>
          <w:i/>
          <w:szCs w:val="22"/>
          <w:lang w:val="es-ES"/>
        </w:rPr>
      </w:pPr>
    </w:p>
    <w:p w14:paraId="3EA2067D" w14:textId="39E29EF1" w:rsidR="0027446D" w:rsidRPr="00625CDB" w:rsidRDefault="00EA27F7" w:rsidP="00625CDB">
      <w:pPr>
        <w:autoSpaceDE w:val="0"/>
        <w:autoSpaceDN w:val="0"/>
        <w:adjustRightInd w:val="0"/>
        <w:ind w:left="567" w:right="539"/>
        <w:rPr>
          <w:rFonts w:cs="Tahoma"/>
          <w:bCs/>
          <w:i/>
          <w:szCs w:val="22"/>
          <w:lang w:val="es-ES"/>
        </w:rPr>
      </w:pPr>
      <w:r w:rsidRPr="00625CDB">
        <w:rPr>
          <w:rFonts w:cs="Tahoma"/>
          <w:bCs/>
          <w:i/>
          <w:szCs w:val="22"/>
          <w:lang w:val="es-ES"/>
        </w:rPr>
        <w:t xml:space="preserve">Páginas 5 y 6, oficio SJT/0109/2024 de fecha 13 de marzo de 2024, dirigido al Secretario de Finanzas y Administración del Comité Directivo del PRI en el Estado de México, suscrito por la Secretaria Jurídica y de Transparencia, en el que le informa de la solicitud de información, y le solicita girar sus apreciables instrucciones a quien corresponda, a efecto de efectuar la búsqueda de la información y proporcionarla en el término referido. </w:t>
      </w:r>
    </w:p>
    <w:p w14:paraId="721D387C" w14:textId="77777777" w:rsidR="004252F1" w:rsidRPr="00625CDB" w:rsidRDefault="004252F1" w:rsidP="00625CDB">
      <w:pPr>
        <w:autoSpaceDE w:val="0"/>
        <w:autoSpaceDN w:val="0"/>
        <w:adjustRightInd w:val="0"/>
        <w:ind w:right="-28"/>
        <w:rPr>
          <w:rFonts w:cs="Tahoma"/>
          <w:bCs/>
          <w:szCs w:val="22"/>
          <w:lang w:val="es-ES"/>
        </w:rPr>
      </w:pPr>
    </w:p>
    <w:p w14:paraId="5A5DAB9E" w14:textId="77777777" w:rsidR="00E37A3F" w:rsidRPr="00625CDB" w:rsidRDefault="00E37A3F" w:rsidP="00625CDB">
      <w:pPr>
        <w:pStyle w:val="Ttulo2"/>
        <w:jc w:val="left"/>
        <w:rPr>
          <w:szCs w:val="22"/>
        </w:rPr>
      </w:pPr>
      <w:bookmarkStart w:id="7" w:name="_Toc174558418"/>
      <w:r w:rsidRPr="00625CDB">
        <w:rPr>
          <w:szCs w:val="22"/>
        </w:rPr>
        <w:t>DEL RECURSO DE REVISIÓN</w:t>
      </w:r>
      <w:bookmarkEnd w:id="7"/>
    </w:p>
    <w:p w14:paraId="0B17CD08" w14:textId="77777777" w:rsidR="00664420" w:rsidRPr="00625CDB" w:rsidRDefault="00664420" w:rsidP="00625CDB">
      <w:pPr>
        <w:autoSpaceDE w:val="0"/>
        <w:autoSpaceDN w:val="0"/>
        <w:adjustRightInd w:val="0"/>
        <w:ind w:right="-28"/>
        <w:rPr>
          <w:rFonts w:cs="Tahoma"/>
          <w:bCs/>
          <w:szCs w:val="22"/>
          <w:lang w:val="es-ES"/>
        </w:rPr>
      </w:pPr>
    </w:p>
    <w:p w14:paraId="2B216813" w14:textId="61ADBB2B" w:rsidR="00664420" w:rsidRPr="00625CDB" w:rsidRDefault="006E25BC" w:rsidP="00625CDB">
      <w:pPr>
        <w:pStyle w:val="Ttulo3"/>
        <w:rPr>
          <w:szCs w:val="22"/>
        </w:rPr>
      </w:pPr>
      <w:bookmarkStart w:id="8" w:name="_Toc174558419"/>
      <w:r w:rsidRPr="00625CDB">
        <w:rPr>
          <w:szCs w:val="22"/>
        </w:rPr>
        <w:t xml:space="preserve">a) </w:t>
      </w:r>
      <w:r w:rsidR="00664420" w:rsidRPr="00625CDB">
        <w:rPr>
          <w:szCs w:val="22"/>
        </w:rPr>
        <w:t>Interposición del Recurso de Revisión</w:t>
      </w:r>
      <w:bookmarkEnd w:id="8"/>
    </w:p>
    <w:p w14:paraId="6279C622" w14:textId="0ABFFC2E" w:rsidR="00664420" w:rsidRPr="00625CDB" w:rsidRDefault="00664420" w:rsidP="00625CDB">
      <w:pPr>
        <w:autoSpaceDE w:val="0"/>
        <w:autoSpaceDN w:val="0"/>
        <w:adjustRightInd w:val="0"/>
        <w:ind w:right="-28"/>
        <w:rPr>
          <w:rFonts w:cs="Tahoma"/>
          <w:szCs w:val="22"/>
        </w:rPr>
      </w:pPr>
      <w:r w:rsidRPr="00625CDB">
        <w:rPr>
          <w:rFonts w:cs="Tahoma"/>
          <w:szCs w:val="22"/>
        </w:rPr>
        <w:t xml:space="preserve">El </w:t>
      </w:r>
      <w:r w:rsidR="00EA27F7" w:rsidRPr="00625CDB">
        <w:rPr>
          <w:rFonts w:cs="Tahoma"/>
          <w:b/>
          <w:bCs/>
          <w:szCs w:val="22"/>
        </w:rPr>
        <w:t>ocho</w:t>
      </w:r>
      <w:r w:rsidR="004252F1" w:rsidRPr="00625CDB">
        <w:rPr>
          <w:rFonts w:cs="Tahoma"/>
          <w:b/>
          <w:bCs/>
          <w:szCs w:val="22"/>
        </w:rPr>
        <w:t xml:space="preserve"> de abril</w:t>
      </w:r>
      <w:r w:rsidRPr="00625CDB">
        <w:rPr>
          <w:rFonts w:cs="Tahoma"/>
          <w:b/>
          <w:bCs/>
          <w:szCs w:val="22"/>
        </w:rPr>
        <w:t xml:space="preserve"> de dos mil </w:t>
      </w:r>
      <w:r w:rsidR="00E810F7" w:rsidRPr="00625CDB">
        <w:rPr>
          <w:rFonts w:cs="Tahoma"/>
          <w:b/>
          <w:bCs/>
          <w:szCs w:val="22"/>
        </w:rPr>
        <w:t>veinticuatro</w:t>
      </w:r>
      <w:r w:rsidRPr="00625CDB">
        <w:rPr>
          <w:rFonts w:cs="Tahoma"/>
          <w:szCs w:val="22"/>
        </w:rPr>
        <w:t xml:space="preserve"> </w:t>
      </w:r>
      <w:r w:rsidR="00F75D23" w:rsidRPr="00625CDB">
        <w:rPr>
          <w:rFonts w:cs="Tahoma"/>
          <w:b/>
          <w:bCs/>
          <w:szCs w:val="22"/>
        </w:rPr>
        <w:t>LA PARTE RECURRENTE</w:t>
      </w:r>
      <w:r w:rsidR="00F75D23" w:rsidRPr="00625CDB">
        <w:rPr>
          <w:rFonts w:cs="Tahoma"/>
          <w:szCs w:val="22"/>
        </w:rPr>
        <w:t xml:space="preserve"> interpuso el recurso de revisión en contra de la respuesta emitida por el </w:t>
      </w:r>
      <w:r w:rsidR="00F75D23" w:rsidRPr="00625CDB">
        <w:rPr>
          <w:rFonts w:cs="Tahoma"/>
          <w:b/>
          <w:bCs/>
          <w:szCs w:val="22"/>
        </w:rPr>
        <w:t>SUJETO OBLIGADO</w:t>
      </w:r>
      <w:r w:rsidR="00953430" w:rsidRPr="00625CDB">
        <w:rPr>
          <w:rFonts w:cs="Tahoma"/>
          <w:szCs w:val="22"/>
        </w:rPr>
        <w:t xml:space="preserve">, mismo que fue registrado en el SAIMEX con el número de expediente </w:t>
      </w:r>
      <w:r w:rsidR="0027446D" w:rsidRPr="00625CDB">
        <w:rPr>
          <w:rFonts w:cs="Tahoma"/>
          <w:b/>
          <w:bCs/>
          <w:szCs w:val="22"/>
        </w:rPr>
        <w:t>01792/INFOEM/IP/RR/2024</w:t>
      </w:r>
      <w:r w:rsidR="00953430" w:rsidRPr="00625CDB">
        <w:rPr>
          <w:rFonts w:cs="Tahoma"/>
          <w:szCs w:val="22"/>
        </w:rPr>
        <w:t>, y en el cual manifiesta lo siguiente</w:t>
      </w:r>
      <w:r w:rsidRPr="00625CDB">
        <w:rPr>
          <w:rFonts w:cs="Tahoma"/>
          <w:szCs w:val="22"/>
        </w:rPr>
        <w:t>:</w:t>
      </w:r>
    </w:p>
    <w:p w14:paraId="74B30008" w14:textId="77777777" w:rsidR="00664420" w:rsidRPr="00625CDB" w:rsidRDefault="00664420" w:rsidP="00625CDB">
      <w:pPr>
        <w:tabs>
          <w:tab w:val="left" w:pos="4667"/>
        </w:tabs>
        <w:ind w:right="539"/>
        <w:rPr>
          <w:rFonts w:cs="Tahoma"/>
          <w:szCs w:val="22"/>
        </w:rPr>
      </w:pPr>
    </w:p>
    <w:p w14:paraId="12153283" w14:textId="77777777" w:rsidR="00664420" w:rsidRPr="00625CDB" w:rsidRDefault="00664420" w:rsidP="00625CDB">
      <w:pPr>
        <w:tabs>
          <w:tab w:val="left" w:pos="4667"/>
        </w:tabs>
        <w:ind w:left="567" w:right="539"/>
        <w:rPr>
          <w:rFonts w:cs="Tahoma"/>
          <w:b/>
          <w:iCs/>
          <w:szCs w:val="22"/>
        </w:rPr>
      </w:pPr>
      <w:r w:rsidRPr="00625CDB">
        <w:rPr>
          <w:rFonts w:cs="Tahoma"/>
          <w:b/>
          <w:iCs/>
          <w:szCs w:val="22"/>
        </w:rPr>
        <w:lastRenderedPageBreak/>
        <w:t>ACTO IMPUGNADO</w:t>
      </w:r>
      <w:r w:rsidRPr="00625CDB">
        <w:rPr>
          <w:rFonts w:cs="Tahoma"/>
          <w:b/>
          <w:iCs/>
          <w:szCs w:val="22"/>
        </w:rPr>
        <w:tab/>
      </w:r>
    </w:p>
    <w:p w14:paraId="6AE8EA9A" w14:textId="09431859" w:rsidR="00664420" w:rsidRPr="00625CDB" w:rsidRDefault="00EA27F7" w:rsidP="00625CDB">
      <w:pPr>
        <w:tabs>
          <w:tab w:val="left" w:pos="4667"/>
        </w:tabs>
        <w:ind w:left="567" w:right="539"/>
        <w:rPr>
          <w:rFonts w:cs="Tahoma"/>
          <w:bCs/>
          <w:i/>
          <w:szCs w:val="22"/>
        </w:rPr>
      </w:pPr>
      <w:r w:rsidRPr="00625CDB">
        <w:rPr>
          <w:rFonts w:cs="Tahoma"/>
          <w:bCs/>
          <w:i/>
          <w:szCs w:val="22"/>
        </w:rPr>
        <w:t xml:space="preserve">“Se niega proporcionar la información acerca de: 1. Resultados de cada uno de los procedimientos de licitación pública e invitación a cuando menos tres personas realizadas durante el ejercicio fiscal 2023 2. Resultados de cada uno de los procedimientos de adjudicación directa realizados durante en el ejercicio fiscal 2023 3. Resultados de cada uno de los procedimientos de licitación pública e invitación a cuando menos tres personas realizadas durante el ejercicio fiscal 2022 4. Resultados de cada uno de los procedimientos de adjudicación directa realizados durante en el ejercicio fiscal 2022 5. Resultados de cada uno de los procedimientos de licitación pública e invitación a cuando menos tres personas realizadas durante el ejercicio fiscal 2021 6. Resultados de cada uno de los procedimientos de adjudicación directa realizados durante en el ejercicio fiscal 2021 Lo anterior, conforme a la estructura señalada en el artículo 92 fracción XIX de la Ley de Transparencia y Acceso a la Información Pública del Estado de México y Municipios. </w:t>
      </w:r>
      <w:r w:rsidR="005856CA" w:rsidRPr="00625CDB">
        <w:rPr>
          <w:rFonts w:cs="Tahoma"/>
          <w:bCs/>
          <w:i/>
          <w:szCs w:val="22"/>
        </w:rPr>
        <w:t>"</w:t>
      </w:r>
    </w:p>
    <w:p w14:paraId="6238FEEF" w14:textId="77777777" w:rsidR="005856CA" w:rsidRPr="00625CDB" w:rsidRDefault="005856CA" w:rsidP="00625CDB">
      <w:pPr>
        <w:tabs>
          <w:tab w:val="left" w:pos="4667"/>
        </w:tabs>
        <w:ind w:left="567" w:right="539"/>
        <w:rPr>
          <w:rFonts w:cs="Tahoma"/>
          <w:b/>
          <w:iCs/>
          <w:szCs w:val="22"/>
        </w:rPr>
      </w:pPr>
    </w:p>
    <w:p w14:paraId="047D036B" w14:textId="77777777" w:rsidR="00664420" w:rsidRPr="00625CDB" w:rsidRDefault="00664420" w:rsidP="00625CDB">
      <w:pPr>
        <w:tabs>
          <w:tab w:val="left" w:pos="4667"/>
        </w:tabs>
        <w:ind w:left="567" w:right="539"/>
        <w:rPr>
          <w:rFonts w:cs="Tahoma"/>
          <w:b/>
          <w:iCs/>
          <w:szCs w:val="22"/>
        </w:rPr>
      </w:pPr>
      <w:r w:rsidRPr="00625CDB">
        <w:rPr>
          <w:rFonts w:cs="Tahoma"/>
          <w:b/>
          <w:iCs/>
          <w:szCs w:val="22"/>
        </w:rPr>
        <w:t>RAZONES O MOTIVOS DE LA INCONFORMIDAD</w:t>
      </w:r>
      <w:r w:rsidRPr="00625CDB">
        <w:rPr>
          <w:rFonts w:cs="Tahoma"/>
          <w:b/>
          <w:iCs/>
          <w:szCs w:val="22"/>
        </w:rPr>
        <w:tab/>
      </w:r>
    </w:p>
    <w:p w14:paraId="1DAE2563" w14:textId="67B78F68" w:rsidR="00953430" w:rsidRPr="00625CDB" w:rsidRDefault="00174FBE" w:rsidP="00625CDB">
      <w:pPr>
        <w:tabs>
          <w:tab w:val="left" w:pos="4667"/>
        </w:tabs>
        <w:ind w:left="567" w:right="539"/>
        <w:rPr>
          <w:rFonts w:cs="Tahoma"/>
          <w:bCs/>
          <w:i/>
          <w:szCs w:val="22"/>
        </w:rPr>
      </w:pPr>
      <w:r w:rsidRPr="00625CDB">
        <w:rPr>
          <w:rFonts w:cs="Tahoma"/>
          <w:bCs/>
          <w:i/>
          <w:szCs w:val="22"/>
        </w:rPr>
        <w:t xml:space="preserve">1. La negativa a la información solicitada; 2. La falta, deficiencia o insuficiencia de la fundamentación y/o motivación en la respuesta; Debido a que el partido político señala que: “(…) en sus estatutos no se encuentra facultado para realizar concursos de licitación; lo anterior de conformidad con lo dispuesto en los artículos 82, numeral 2 y 356, numeral 1 y 2 del Reglamento de Fiscalización del Instituto Nacional Electoral, toda vez que los proveedores para poder realizar operaciones con los Partidos Políticos únicamente estos deben estar registrados ante el Registro Nacional de Proveedores del Instituto Nacional Electoral. (…) Por otra parte, cabe señalar que de acuerdo a la tabla de aplicabilidad publicada el 29 de marzo de 2023, aprobada por el Instituto de Transparencia y Acceso a la Información Pública del Estado de México y Municipios, al Partido Revolucionario </w:t>
      </w:r>
      <w:r w:rsidRPr="00625CDB">
        <w:rPr>
          <w:rFonts w:cs="Tahoma"/>
          <w:bCs/>
          <w:i/>
          <w:szCs w:val="22"/>
        </w:rPr>
        <w:lastRenderedPageBreak/>
        <w:t xml:space="preserve">Institucional no le es aplicable la fracción XXIX, (…)”. Sin embargo, por principios de jerarquía de normas, no debe negarse la información, dado que la Tabla de aplicabilidad publicada el 29 de marzo de 2023, aprobada por el Instituto de Transparencia y Acceso a la Información Pública del Estado de México y Municipios es de rango inferior y contraviene a la Constitución Política de los Estados Unidos Mexicanos, la Constitución Política del Estado Libre y Soberano de México, la Ley General de Partidos Políticos, Ley General de Transparencia y Acceso a la Información Pública y la Ley de Transparencia y Acceso a la Información Pública del Estado de México y Municipios, conforme a los siguiente: Los partidos políticos son entidades de interés público, así lo marca el artículo 3 de la Ley General de Partidos Políticos (LGPP) y para su operación, de acuerdo con el artículo 65 del Código Electoral del Estado de México (CEEM), se les otorgan prerrogativas, que a la letra dice: “Los partidos políticos tendrán las siguientes prerrogativas: Gozar de financiamiento público para el ejercicio de sus actividades ordinarias y para su participación en las precampañas y campañas electorales de Gobernador, diputados y ayuntamientos del Estado. (…)”. Dado que los partidos políticos obtienen financiamiento en público, como ciudadanía que forma parte del Estado, nos es de interés su gestión dado que, en proporción con el artículo 134 de la Constitución Política de los Estados Unidos Mexicanos, la Constitución Política del Estado Libre y Soberano de México en su artículo 129 indica que: “Los recursos económicos del Estado, (…), se administrarán con eficiencia, eficacia, economía, transparencia y honradez, para cumplir con los objetivos y programas a los que estén destinados. Las adquisiciones, arrendamientos y enajenaciones de todo tipo de bienes, la prestación de servicios de cualquier naturaleza y la contratación de obra se llevarán a cabo y se adjudicarán por medio de licitaciones públicas mediante convocatoria pública, (…) a fin de asegurar al Gobierno del Estado y a los municipios, las mejores condiciones disponibles en cuanto a precio, calidad, financiamiento, oportunidad y demás </w:t>
      </w:r>
      <w:r w:rsidRPr="00625CDB">
        <w:rPr>
          <w:rFonts w:cs="Tahoma"/>
          <w:bCs/>
          <w:i/>
          <w:szCs w:val="22"/>
        </w:rPr>
        <w:lastRenderedPageBreak/>
        <w:t xml:space="preserve">circunstancias pertinentes. (…)”. En este sentido, la Ley General de Partidos Políticos en su artículo 30 numeral 1 indica que “Se considera información pública de los partidos políticos: (…) g) Los contratos y convenios suscritos para la adquisición, arrendamiento, concesiones y prestación de bienes y servicios; (…)”. Además, en el artículo 63 de la misma Ley marca que “1. Los gastos que realicen los partidos políticos, las coaliciones y los candidatos deberán reunir los siguientes requisitos: (…) e) Sujetar los gastos asociados a adquisiciones, a los criterios de legalidad, honestidad, eficiencia, eficacia, economía, racionalidad, austeridad, transparencia, control y rendición de cuentas”. Ahora bien, la Ley General de Transparencia y Acceso a la Información Pública en su artículo 19 indica que: “Se presume que la información debe existir si se refiere a las facultades, competencias y funciones que los ordenamientos jurídicos aplicables otorgan a los sujetos obligados. En los casos en que ciertas facultades, competencias o funciones no se hayan ejercido, se debe motivar la respuesta en función de las causas que motiven la inexistencia”. Así también indica esta misma ley, en su artículo 70: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 (…) XXVIII. La información sobre los resultados sobre procedimientos de adjudicación directa, invitación restringida y licitación de cualquier naturaleza, incluyendo la Versión Pública del Expediente respectivo y de los contratos celebrados, (…)”. Por su parte,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w:t>
      </w:r>
      <w:r w:rsidRPr="00625CDB">
        <w:rPr>
          <w:rFonts w:cs="Tahoma"/>
          <w:bCs/>
          <w:i/>
          <w:szCs w:val="22"/>
        </w:rPr>
        <w:lastRenderedPageBreak/>
        <w:t>indica: “Noveno. Las políticas de aplicabilidad de la información son las siguientes: II. La información derivada de las obligaciones de transparencia debe existir si se refiere a las facultades, competencias y funciones que los ordenamientos jurídicos y administrativos otorgan a los sujetos obligados, conforme lo señalado por el artículo 19 de la Ley General; en caso de que ciertas facultades, competencias o funciones no se hayan ejercido por parte del sujeto obligado y, en consecuencia, esté imposibilitado para publicar y actualizar alguna obligación de transparencia, no deberá incluirse como un rubro o fracción que no le aplica, sino que la información que deberá publicar y actualizar consiste en la exposición de los motivos y causas de la inexistencia de dicha información, y (…)”. Por último y no menos importante, el artículo 3 fracción XLI de la Ley de Transparencia y Acceso a la Información Pública del Estado de México y Municipios, define como sujetos obligados a los partidos políticos, a su vez en su artículo 92 señala: “Los sujetos obligados deberán poner a disposición del público de manera permanente y actualizada (…), en los respectivos medios electrónicos, de acuerdo con sus facultades, atribuciones, funciones u objeto social, según corresponda, la información, por lo menos, de los temas, documentos y políticas que a continuación se señalan: (…) XXIX. La información sobre los procesos y resultados sobre procedimientos de adjudicación directa, invitación restringida y licitación de cualquier naturaleza, incluyendo la versión pública del expediente respectivo y de los contratos celebrados, (…)”. Lo anterior, tiene consecuencias en la opacidad en el ejercicio de los recursos públicos, contraviniendo a lo señalado por el artículo 134 de la Constitución Política de los Estados Unidos Mexicanos, al no conocer si las compras públicas de los partidos políticos se realizaron bajo los esquemas de licitación pública, invitación restringida o adjudicación directa, según conviniera para garantizar el mejor precio, calidad, financiamiento y oportunidad para el Estado.</w:t>
      </w:r>
    </w:p>
    <w:p w14:paraId="48FE75EA" w14:textId="69E60C13" w:rsidR="00664420" w:rsidRPr="00625CDB" w:rsidRDefault="00664420" w:rsidP="00625CDB">
      <w:pPr>
        <w:tabs>
          <w:tab w:val="left" w:pos="4667"/>
        </w:tabs>
        <w:ind w:right="567"/>
        <w:rPr>
          <w:rFonts w:cs="Tahoma"/>
          <w:b/>
          <w:bCs/>
          <w:szCs w:val="22"/>
        </w:rPr>
      </w:pPr>
    </w:p>
    <w:p w14:paraId="6804DEF1" w14:textId="3C4F6CB5" w:rsidR="00664420" w:rsidRPr="00625CDB" w:rsidRDefault="006E25BC" w:rsidP="00625CDB">
      <w:pPr>
        <w:pStyle w:val="Ttulo3"/>
        <w:rPr>
          <w:szCs w:val="22"/>
        </w:rPr>
      </w:pPr>
      <w:bookmarkStart w:id="9" w:name="_Toc174558420"/>
      <w:r w:rsidRPr="00625CDB">
        <w:rPr>
          <w:szCs w:val="22"/>
        </w:rPr>
        <w:lastRenderedPageBreak/>
        <w:t>b</w:t>
      </w:r>
      <w:r w:rsidR="00664420" w:rsidRPr="00625CDB">
        <w:rPr>
          <w:szCs w:val="22"/>
        </w:rPr>
        <w:t>) Turno del Recurso de Revisión</w:t>
      </w:r>
      <w:bookmarkEnd w:id="9"/>
    </w:p>
    <w:p w14:paraId="1173671B" w14:textId="42F5F8DE" w:rsidR="00C72DAA" w:rsidRPr="00625CDB" w:rsidRDefault="00C72DAA" w:rsidP="00625CDB">
      <w:pPr>
        <w:rPr>
          <w:szCs w:val="22"/>
        </w:rPr>
      </w:pPr>
      <w:r w:rsidRPr="00625CDB">
        <w:rPr>
          <w:szCs w:val="22"/>
        </w:rPr>
        <w:t>Con fundamento en el artículo 185, fracción I de la Ley de Transparencia y Acceso a la Información Pública del Estado de México y Municipios, el</w:t>
      </w:r>
      <w:r w:rsidRPr="00625CDB">
        <w:rPr>
          <w:b/>
          <w:bCs/>
          <w:szCs w:val="22"/>
        </w:rPr>
        <w:t xml:space="preserve"> </w:t>
      </w:r>
      <w:r w:rsidR="00174FBE" w:rsidRPr="00625CDB">
        <w:rPr>
          <w:rFonts w:cs="Tahoma"/>
          <w:b/>
          <w:bCs/>
          <w:szCs w:val="22"/>
        </w:rPr>
        <w:t>ocho</w:t>
      </w:r>
      <w:r w:rsidR="004252F1" w:rsidRPr="00625CDB">
        <w:rPr>
          <w:rFonts w:cs="Tahoma"/>
          <w:b/>
          <w:bCs/>
          <w:szCs w:val="22"/>
        </w:rPr>
        <w:t xml:space="preserve"> de abril de dos mil veinticuatro</w:t>
      </w:r>
      <w:r w:rsidRPr="00625CDB">
        <w:rPr>
          <w:szCs w:val="22"/>
        </w:rPr>
        <w:t xml:space="preserve"> se turnó el recurso de revisión a través del</w:t>
      </w:r>
      <w:r w:rsidRPr="00625CDB">
        <w:rPr>
          <w:rFonts w:eastAsia="Arial Unicode MS"/>
          <w:szCs w:val="22"/>
        </w:rPr>
        <w:t xml:space="preserve"> </w:t>
      </w:r>
      <w:r w:rsidRPr="00625CDB">
        <w:rPr>
          <w:rFonts w:eastAsia="Arial Unicode MS"/>
          <w:bCs/>
          <w:szCs w:val="22"/>
        </w:rPr>
        <w:t>SAIMEX</w:t>
      </w:r>
      <w:r w:rsidRPr="00625CDB">
        <w:rPr>
          <w:szCs w:val="22"/>
        </w:rPr>
        <w:t xml:space="preserve"> a la </w:t>
      </w:r>
      <w:r w:rsidRPr="00625CDB">
        <w:rPr>
          <w:b/>
          <w:szCs w:val="22"/>
        </w:rPr>
        <w:t>Comisionada Sharon Cristina Morales Martínez</w:t>
      </w:r>
      <w:r w:rsidRPr="00625CDB">
        <w:rPr>
          <w:bCs/>
          <w:szCs w:val="22"/>
        </w:rPr>
        <w:t xml:space="preserve">, </w:t>
      </w:r>
      <w:r w:rsidRPr="00625CDB">
        <w:rPr>
          <w:szCs w:val="22"/>
        </w:rPr>
        <w:t xml:space="preserve">a efecto de decretar su admisión o desechamiento. </w:t>
      </w:r>
    </w:p>
    <w:p w14:paraId="18F305CB" w14:textId="77777777" w:rsidR="00664420" w:rsidRPr="00625CDB" w:rsidRDefault="00664420" w:rsidP="00625CDB">
      <w:pPr>
        <w:rPr>
          <w:rFonts w:eastAsia="Batang" w:cs="Tahoma"/>
          <w:bCs/>
          <w:szCs w:val="22"/>
        </w:rPr>
      </w:pPr>
    </w:p>
    <w:p w14:paraId="3E31EC2D" w14:textId="295256A1" w:rsidR="00664420" w:rsidRPr="00625CDB" w:rsidRDefault="006E25BC" w:rsidP="00625CDB">
      <w:pPr>
        <w:pStyle w:val="Ttulo3"/>
        <w:rPr>
          <w:szCs w:val="22"/>
        </w:rPr>
      </w:pPr>
      <w:bookmarkStart w:id="10" w:name="_Toc174558421"/>
      <w:r w:rsidRPr="00625CDB">
        <w:rPr>
          <w:szCs w:val="22"/>
        </w:rPr>
        <w:t>c</w:t>
      </w:r>
      <w:r w:rsidR="00664420" w:rsidRPr="00625CDB">
        <w:rPr>
          <w:szCs w:val="22"/>
        </w:rPr>
        <w:t>) Admisión del Recurso de Revisión</w:t>
      </w:r>
      <w:bookmarkEnd w:id="10"/>
    </w:p>
    <w:p w14:paraId="240447D5" w14:textId="6F09B496" w:rsidR="000E09C4" w:rsidRPr="00625CDB" w:rsidRDefault="000E09C4" w:rsidP="00625CDB">
      <w:pPr>
        <w:rPr>
          <w:rFonts w:cs="Arial"/>
          <w:szCs w:val="22"/>
        </w:rPr>
      </w:pPr>
      <w:r w:rsidRPr="00625CDB">
        <w:rPr>
          <w:rFonts w:cs="Arial"/>
          <w:szCs w:val="22"/>
        </w:rPr>
        <w:t xml:space="preserve">El </w:t>
      </w:r>
      <w:r w:rsidR="00174FBE" w:rsidRPr="00625CDB">
        <w:rPr>
          <w:rFonts w:cs="Arial"/>
          <w:b/>
          <w:bCs/>
          <w:szCs w:val="22"/>
        </w:rPr>
        <w:t>diez</w:t>
      </w:r>
      <w:r w:rsidR="004252F1" w:rsidRPr="00625CDB">
        <w:rPr>
          <w:rFonts w:cs="Arial"/>
          <w:b/>
          <w:bCs/>
          <w:szCs w:val="22"/>
        </w:rPr>
        <w:t xml:space="preserve"> de abril de dos mil veinticuatro</w:t>
      </w:r>
      <w:r w:rsidR="004252F1" w:rsidRPr="00625CDB">
        <w:rPr>
          <w:rFonts w:cs="Arial"/>
          <w:szCs w:val="22"/>
        </w:rPr>
        <w:t xml:space="preserve"> </w:t>
      </w:r>
      <w:r w:rsidRPr="00625CDB">
        <w:rPr>
          <w:rFonts w:cs="Arial"/>
          <w:szCs w:val="22"/>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625CDB">
        <w:rPr>
          <w:rFonts w:cs="Arial"/>
          <w:szCs w:val="22"/>
        </w:rPr>
        <w:t>, fracción II</w:t>
      </w:r>
      <w:r w:rsidRPr="00625CDB">
        <w:rPr>
          <w:rFonts w:cs="Arial"/>
          <w:szCs w:val="22"/>
        </w:rPr>
        <w:t xml:space="preserve"> de la Ley de Transparencia y Acceso a la Información Pública del Estado de México y Municipios.</w:t>
      </w:r>
    </w:p>
    <w:p w14:paraId="34EC3F86" w14:textId="77777777" w:rsidR="00D2790D" w:rsidRPr="00625CDB" w:rsidRDefault="00D2790D" w:rsidP="00625CDB">
      <w:pPr>
        <w:rPr>
          <w:rFonts w:cs="Arial"/>
          <w:szCs w:val="22"/>
        </w:rPr>
      </w:pPr>
    </w:p>
    <w:p w14:paraId="3B820F58" w14:textId="5EBF1699" w:rsidR="00865CF4" w:rsidRPr="00625CDB" w:rsidRDefault="006E25BC" w:rsidP="00625CDB">
      <w:pPr>
        <w:pStyle w:val="Ttulo3"/>
        <w:rPr>
          <w:szCs w:val="22"/>
        </w:rPr>
      </w:pPr>
      <w:bookmarkStart w:id="11" w:name="_Toc174558422"/>
      <w:r w:rsidRPr="00625CDB">
        <w:rPr>
          <w:szCs w:val="22"/>
        </w:rPr>
        <w:t>d</w:t>
      </w:r>
      <w:r w:rsidR="00D2790D" w:rsidRPr="00625CDB">
        <w:rPr>
          <w:szCs w:val="22"/>
        </w:rPr>
        <w:t xml:space="preserve">) </w:t>
      </w:r>
      <w:r w:rsidR="00865CF4" w:rsidRPr="00625CDB">
        <w:rPr>
          <w:szCs w:val="22"/>
        </w:rPr>
        <w:t>Informe Justificado del Sujeto Obligado</w:t>
      </w:r>
      <w:bookmarkEnd w:id="11"/>
    </w:p>
    <w:p w14:paraId="2ED62E5E" w14:textId="77777777" w:rsidR="00174FBE" w:rsidRPr="00625CDB" w:rsidRDefault="00174FBE" w:rsidP="00625CDB">
      <w:r w:rsidRPr="00625CDB">
        <w:rPr>
          <w:b/>
        </w:rPr>
        <w:t xml:space="preserve">EL SUJETO OBLIGADO </w:t>
      </w:r>
      <w:r w:rsidRPr="00625CDB">
        <w:t>no rindió su informe justificado dentro del término legalmente concedido para tal efecto.</w:t>
      </w:r>
    </w:p>
    <w:p w14:paraId="66BA6FC7" w14:textId="77777777" w:rsidR="00865CF4" w:rsidRPr="00625CDB" w:rsidRDefault="00865CF4" w:rsidP="00625CDB">
      <w:pPr>
        <w:rPr>
          <w:rFonts w:cs="Tahoma"/>
          <w:bCs/>
          <w:szCs w:val="22"/>
        </w:rPr>
      </w:pPr>
    </w:p>
    <w:p w14:paraId="755B7730" w14:textId="1B7170D8" w:rsidR="00664420" w:rsidRPr="00625CDB" w:rsidRDefault="00E810F7" w:rsidP="00625CDB">
      <w:pPr>
        <w:pStyle w:val="Ttulo3"/>
        <w:rPr>
          <w:szCs w:val="22"/>
          <w:lang w:val="es-ES"/>
        </w:rPr>
      </w:pPr>
      <w:bookmarkStart w:id="12" w:name="_Toc174558423"/>
      <w:r w:rsidRPr="00625CDB">
        <w:rPr>
          <w:rFonts w:eastAsia="Calibri"/>
          <w:bCs/>
          <w:szCs w:val="22"/>
          <w:lang w:eastAsia="en-US"/>
        </w:rPr>
        <w:t>e</w:t>
      </w:r>
      <w:r w:rsidR="00664420" w:rsidRPr="00625CDB">
        <w:rPr>
          <w:rFonts w:eastAsia="Calibri"/>
          <w:bCs/>
          <w:szCs w:val="22"/>
          <w:lang w:eastAsia="en-US"/>
        </w:rPr>
        <w:t>)</w:t>
      </w:r>
      <w:r w:rsidR="00664420" w:rsidRPr="00625CDB">
        <w:rPr>
          <w:szCs w:val="22"/>
        </w:rPr>
        <w:t xml:space="preserve"> </w:t>
      </w:r>
      <w:r w:rsidR="00865CF4" w:rsidRPr="00625CDB">
        <w:rPr>
          <w:szCs w:val="22"/>
          <w:lang w:val="es-ES"/>
        </w:rPr>
        <w:t>Manifestaciones de la Parte Recurrente</w:t>
      </w:r>
      <w:bookmarkEnd w:id="12"/>
    </w:p>
    <w:p w14:paraId="07CE6778" w14:textId="77777777" w:rsidR="00174FBE" w:rsidRPr="00625CDB" w:rsidRDefault="00174FBE" w:rsidP="00625CDB">
      <w:r w:rsidRPr="00625CDB">
        <w:rPr>
          <w:b/>
        </w:rPr>
        <w:t xml:space="preserve">LA PARTE RECURRENTE </w:t>
      </w:r>
      <w:r w:rsidRPr="00625CDB">
        <w:t>no realizó manifestación alguna dentro del término legalmente concedido para tal efecto, ni presentó pruebas o alegatos.</w:t>
      </w:r>
    </w:p>
    <w:p w14:paraId="6A02C863" w14:textId="77777777" w:rsidR="00174FBE" w:rsidRPr="00625CDB" w:rsidRDefault="00174FBE" w:rsidP="00625CDB">
      <w:pPr>
        <w:rPr>
          <w:lang w:val="es-ES"/>
        </w:rPr>
      </w:pPr>
    </w:p>
    <w:p w14:paraId="6B09022E" w14:textId="2E2EFD3D" w:rsidR="00664420" w:rsidRPr="00625CDB" w:rsidRDefault="00E810F7" w:rsidP="00625CDB">
      <w:pPr>
        <w:pStyle w:val="Ttulo3"/>
        <w:rPr>
          <w:rFonts w:eastAsia="Calibri"/>
          <w:szCs w:val="22"/>
        </w:rPr>
      </w:pPr>
      <w:bookmarkStart w:id="13" w:name="_Toc174558424"/>
      <w:r w:rsidRPr="00625CDB">
        <w:rPr>
          <w:rFonts w:eastAsia="Calibri"/>
          <w:szCs w:val="22"/>
        </w:rPr>
        <w:t>f</w:t>
      </w:r>
      <w:r w:rsidR="00664420" w:rsidRPr="00625CDB">
        <w:rPr>
          <w:rFonts w:eastAsia="Calibri"/>
          <w:szCs w:val="22"/>
        </w:rPr>
        <w:t>) Ampliación de plazo</w:t>
      </w:r>
      <w:r w:rsidR="00865CF4" w:rsidRPr="00625CDB">
        <w:rPr>
          <w:rFonts w:eastAsia="Calibri"/>
          <w:szCs w:val="22"/>
        </w:rPr>
        <w:t xml:space="preserve"> para resolver el Recurso de Revisión</w:t>
      </w:r>
      <w:bookmarkEnd w:id="13"/>
    </w:p>
    <w:p w14:paraId="10B20CA8" w14:textId="77745987" w:rsidR="00664420" w:rsidRPr="00625CDB" w:rsidRDefault="00865CF4" w:rsidP="00625CDB">
      <w:pPr>
        <w:tabs>
          <w:tab w:val="left" w:pos="3261"/>
        </w:tabs>
        <w:rPr>
          <w:rFonts w:eastAsia="Calibri" w:cs="Tahoma"/>
          <w:szCs w:val="22"/>
        </w:rPr>
      </w:pPr>
      <w:r w:rsidRPr="00625CDB">
        <w:rPr>
          <w:rFonts w:eastAsia="Calibri" w:cs="Tahoma"/>
          <w:szCs w:val="22"/>
        </w:rPr>
        <w:t xml:space="preserve">Con fundamento en lo dispuesto en el artículo 181, párrafo tercero, de la Ley de Transparencia y Acceso a la Información Pública del Estado de México y Municipios, </w:t>
      </w:r>
      <w:r w:rsidR="00E810F7" w:rsidRPr="00625CDB">
        <w:rPr>
          <w:rFonts w:eastAsia="Calibri" w:cs="Tahoma"/>
          <w:szCs w:val="22"/>
        </w:rPr>
        <w:t xml:space="preserve">el </w:t>
      </w:r>
      <w:r w:rsidR="00E810F7" w:rsidRPr="00625CDB">
        <w:rPr>
          <w:rFonts w:cs="Tahoma"/>
          <w:b/>
          <w:bCs/>
          <w:szCs w:val="22"/>
        </w:rPr>
        <w:t xml:space="preserve">once de junio de dos </w:t>
      </w:r>
      <w:r w:rsidR="00E810F7" w:rsidRPr="00625CDB">
        <w:rPr>
          <w:rFonts w:cs="Tahoma"/>
          <w:b/>
          <w:bCs/>
          <w:szCs w:val="22"/>
        </w:rPr>
        <w:lastRenderedPageBreak/>
        <w:t>mil veinticuatro</w:t>
      </w:r>
      <w:r w:rsidR="00E810F7" w:rsidRPr="00625CDB">
        <w:rPr>
          <w:rFonts w:cs="Tahoma"/>
          <w:szCs w:val="22"/>
        </w:rPr>
        <w:t xml:space="preserve"> </w:t>
      </w:r>
      <w:r w:rsidR="005723CB" w:rsidRPr="00625CDB">
        <w:rPr>
          <w:rFonts w:eastAsia="Calibri" w:cs="Tahoma"/>
          <w:szCs w:val="22"/>
        </w:rPr>
        <w:t xml:space="preserve">se </w:t>
      </w:r>
      <w:r w:rsidR="00664420" w:rsidRPr="00625CDB">
        <w:rPr>
          <w:rFonts w:eastAsia="Calibri" w:cs="Tahoma"/>
          <w:szCs w:val="22"/>
        </w:rPr>
        <w:t xml:space="preserve">acordó ampliar por un periodo razonable el plazo para resolver el </w:t>
      </w:r>
      <w:r w:rsidR="005723CB" w:rsidRPr="00625CDB">
        <w:rPr>
          <w:rFonts w:eastAsia="Calibri" w:cs="Tahoma"/>
          <w:szCs w:val="22"/>
        </w:rPr>
        <w:t xml:space="preserve">presente </w:t>
      </w:r>
      <w:r w:rsidR="00664420" w:rsidRPr="00625CDB">
        <w:rPr>
          <w:rFonts w:eastAsia="Calibri" w:cs="Tahoma"/>
          <w:szCs w:val="22"/>
        </w:rPr>
        <w:t xml:space="preserve">Recurso de Revisión; </w:t>
      </w:r>
      <w:r w:rsidR="005723CB" w:rsidRPr="00625CDB">
        <w:rPr>
          <w:rFonts w:eastAsia="Calibri" w:cs="Tahoma"/>
          <w:szCs w:val="22"/>
        </w:rPr>
        <w:t>acuerdo</w:t>
      </w:r>
      <w:r w:rsidR="00664420" w:rsidRPr="00625CDB">
        <w:rPr>
          <w:rFonts w:eastAsia="Calibri" w:cs="Tahoma"/>
          <w:szCs w:val="22"/>
        </w:rPr>
        <w:t xml:space="preserve"> que fue notificado a las partes </w:t>
      </w:r>
      <w:r w:rsidR="005723CB" w:rsidRPr="00625CDB">
        <w:rPr>
          <w:rFonts w:eastAsia="Calibri" w:cs="Tahoma"/>
          <w:szCs w:val="22"/>
        </w:rPr>
        <w:t>a través</w:t>
      </w:r>
      <w:r w:rsidR="00664420" w:rsidRPr="00625CDB">
        <w:rPr>
          <w:rFonts w:eastAsia="Calibri" w:cs="Tahoma"/>
          <w:szCs w:val="22"/>
        </w:rPr>
        <w:t xml:space="preserve"> </w:t>
      </w:r>
      <w:r w:rsidR="005723CB" w:rsidRPr="00625CDB">
        <w:rPr>
          <w:rFonts w:eastAsia="Calibri" w:cs="Tahoma"/>
          <w:szCs w:val="22"/>
        </w:rPr>
        <w:t>d</w:t>
      </w:r>
      <w:r w:rsidR="00664420" w:rsidRPr="00625CDB">
        <w:rPr>
          <w:rFonts w:eastAsia="Calibri" w:cs="Tahoma"/>
          <w:szCs w:val="22"/>
        </w:rPr>
        <w:t xml:space="preserve">el SAIMEX </w:t>
      </w:r>
      <w:r w:rsidR="00E810F7" w:rsidRPr="00625CDB">
        <w:rPr>
          <w:rFonts w:eastAsia="Calibri" w:cs="Tahoma"/>
          <w:szCs w:val="22"/>
        </w:rPr>
        <w:t>en la misma fecha referida</w:t>
      </w:r>
      <w:r w:rsidR="00664420" w:rsidRPr="00625CDB">
        <w:rPr>
          <w:rFonts w:eastAsia="Calibri" w:cs="Tahoma"/>
          <w:szCs w:val="22"/>
        </w:rPr>
        <w:t>.</w:t>
      </w:r>
    </w:p>
    <w:p w14:paraId="199C40A1" w14:textId="77777777" w:rsidR="00664420" w:rsidRPr="00625CDB" w:rsidRDefault="00664420" w:rsidP="00625CDB">
      <w:pPr>
        <w:tabs>
          <w:tab w:val="left" w:pos="3261"/>
        </w:tabs>
        <w:rPr>
          <w:rFonts w:eastAsia="Calibri" w:cs="Tahoma"/>
          <w:szCs w:val="22"/>
        </w:rPr>
      </w:pPr>
    </w:p>
    <w:p w14:paraId="1A6831CA" w14:textId="2E616716" w:rsidR="00664420" w:rsidRPr="00625CDB" w:rsidRDefault="005723CB" w:rsidP="00625CDB">
      <w:pPr>
        <w:pStyle w:val="paragraph"/>
        <w:spacing w:before="0" w:beforeAutospacing="0" w:after="0" w:afterAutospacing="0"/>
        <w:textAlignment w:val="baseline"/>
        <w:rPr>
          <w:rStyle w:val="eop"/>
          <w:rFonts w:cs="Segoe UI"/>
          <w:sz w:val="22"/>
          <w:szCs w:val="22"/>
        </w:rPr>
      </w:pPr>
      <w:r w:rsidRPr="00625CDB">
        <w:rPr>
          <w:rStyle w:val="eop"/>
          <w:rFonts w:cs="Segoe UI"/>
          <w:sz w:val="22"/>
          <w:szCs w:val="22"/>
        </w:rPr>
        <w:t>E</w:t>
      </w:r>
      <w:r w:rsidR="00664420" w:rsidRPr="00625CDB">
        <w:rPr>
          <w:rStyle w:val="eop"/>
          <w:rFonts w:cs="Segoe UI"/>
          <w:sz w:val="22"/>
          <w:szCs w:val="22"/>
        </w:rPr>
        <w:t>l plazo para emitir resolución en el presente asunto encuentra justificación en el alto número de recursos de revisión recibidos</w:t>
      </w:r>
      <w:r w:rsidRPr="00625CDB">
        <w:rPr>
          <w:rStyle w:val="eop"/>
          <w:rFonts w:cs="Segoe UI"/>
          <w:sz w:val="22"/>
          <w:szCs w:val="22"/>
        </w:rPr>
        <w:t xml:space="preserve"> por este Instituto</w:t>
      </w:r>
      <w:r w:rsidR="00664420" w:rsidRPr="00625CDB">
        <w:rPr>
          <w:rStyle w:val="eop"/>
          <w:rFonts w:cs="Segoe UI"/>
          <w:sz w:val="22"/>
          <w:szCs w:val="22"/>
        </w:rPr>
        <w:t>, circunstancia atípica que ha rebasado las capacidades técnicas y humanas del personal encargado de la proyección de las resoluciones a dichos medios de impugnación.</w:t>
      </w:r>
    </w:p>
    <w:p w14:paraId="2A4AC8EF" w14:textId="77777777" w:rsidR="00664420" w:rsidRPr="00625CDB" w:rsidRDefault="00664420" w:rsidP="00625CDB">
      <w:pPr>
        <w:pStyle w:val="paragraph"/>
        <w:spacing w:before="0" w:beforeAutospacing="0" w:after="0" w:afterAutospacing="0"/>
        <w:textAlignment w:val="baseline"/>
        <w:rPr>
          <w:rStyle w:val="eop"/>
          <w:rFonts w:cs="Segoe UI"/>
          <w:sz w:val="22"/>
          <w:szCs w:val="22"/>
        </w:rPr>
      </w:pPr>
    </w:p>
    <w:p w14:paraId="120B354B" w14:textId="2CC39431" w:rsidR="00664420" w:rsidRPr="00625CDB" w:rsidRDefault="005723CB" w:rsidP="00625CDB">
      <w:pPr>
        <w:pStyle w:val="paragraph"/>
        <w:spacing w:before="0" w:beforeAutospacing="0" w:after="0" w:afterAutospacing="0"/>
        <w:textAlignment w:val="baseline"/>
        <w:rPr>
          <w:rStyle w:val="eop"/>
          <w:rFonts w:cs="Segoe UI"/>
          <w:sz w:val="22"/>
          <w:szCs w:val="22"/>
        </w:rPr>
      </w:pPr>
      <w:r w:rsidRPr="00625CDB">
        <w:rPr>
          <w:rStyle w:val="eop"/>
          <w:rFonts w:cs="Segoe UI"/>
          <w:sz w:val="22"/>
          <w:szCs w:val="22"/>
        </w:rPr>
        <w:t>Es importante</w:t>
      </w:r>
      <w:r w:rsidR="00664420" w:rsidRPr="00625CDB">
        <w:rPr>
          <w:rStyle w:val="eop"/>
          <w:rFonts w:cs="Segoe UI"/>
          <w:sz w:val="22"/>
          <w:szCs w:val="22"/>
        </w:rPr>
        <w:t xml:space="preserv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53084820" w14:textId="77777777" w:rsidR="00664420" w:rsidRPr="00625CDB" w:rsidRDefault="00664420" w:rsidP="00625CDB">
      <w:pPr>
        <w:pStyle w:val="paragraph"/>
        <w:spacing w:before="0" w:beforeAutospacing="0" w:after="0" w:afterAutospacing="0"/>
        <w:textAlignment w:val="baseline"/>
        <w:rPr>
          <w:rStyle w:val="eop"/>
          <w:rFonts w:cs="Segoe UI"/>
          <w:sz w:val="22"/>
          <w:szCs w:val="22"/>
        </w:rPr>
      </w:pPr>
    </w:p>
    <w:p w14:paraId="163DD970" w14:textId="5C982D0D" w:rsidR="00664420" w:rsidRPr="00625CDB" w:rsidRDefault="00664420" w:rsidP="00625CDB">
      <w:pPr>
        <w:pStyle w:val="paragraph"/>
        <w:spacing w:before="0" w:beforeAutospacing="0" w:after="0" w:afterAutospacing="0"/>
        <w:textAlignment w:val="baseline"/>
        <w:rPr>
          <w:rStyle w:val="eop"/>
          <w:rFonts w:cs="Segoe UI"/>
          <w:sz w:val="22"/>
          <w:szCs w:val="22"/>
        </w:rPr>
      </w:pPr>
      <w:r w:rsidRPr="00625CDB">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r w:rsidR="005723CB" w:rsidRPr="00625CDB">
        <w:rPr>
          <w:rStyle w:val="eop"/>
          <w:rFonts w:cs="Segoe UI"/>
          <w:sz w:val="22"/>
          <w:szCs w:val="22"/>
        </w:rPr>
        <w:t xml:space="preserve"> </w:t>
      </w:r>
      <w:r w:rsidRPr="00625CDB">
        <w:rPr>
          <w:rStyle w:val="eop"/>
          <w:rFonts w:cs="Segoe UI"/>
          <w:sz w:val="22"/>
          <w:szCs w:val="22"/>
        </w:rPr>
        <w:t xml:space="preserve">En ese sentido, el legislador </w:t>
      </w:r>
      <w:r w:rsidR="005723CB" w:rsidRPr="00625CDB">
        <w:rPr>
          <w:rStyle w:val="eop"/>
          <w:rFonts w:cs="Segoe UI"/>
          <w:sz w:val="22"/>
          <w:szCs w:val="22"/>
        </w:rPr>
        <w:t>estableció</w:t>
      </w:r>
      <w:r w:rsidRPr="00625CDB">
        <w:rPr>
          <w:rStyle w:val="eop"/>
          <w:rFonts w:cs="Segoe UI"/>
          <w:sz w:val="22"/>
          <w:szCs w:val="22"/>
        </w:rPr>
        <w:t xml:space="preserve"> los términos procesales </w:t>
      </w:r>
      <w:r w:rsidR="005723CB" w:rsidRPr="00625CDB">
        <w:rPr>
          <w:rStyle w:val="eop"/>
          <w:rFonts w:cs="Segoe UI"/>
          <w:sz w:val="22"/>
          <w:szCs w:val="22"/>
        </w:rPr>
        <w:t>de forma general</w:t>
      </w:r>
      <w:r w:rsidRPr="00625CDB">
        <w:rPr>
          <w:rStyle w:val="eop"/>
          <w:rFonts w:cs="Segoe UI"/>
          <w:sz w:val="22"/>
          <w:szCs w:val="22"/>
        </w:rPr>
        <w:t>, sin que pudiera prever la variada gama de casos que son resueltos por los órganos jurisdiccionales o cuasi jurisdiccionales, tanto por la complejidad de los hechos, como por el número de casos que conocen.</w:t>
      </w:r>
    </w:p>
    <w:p w14:paraId="5DCB68D7" w14:textId="77777777" w:rsidR="00664420" w:rsidRPr="00625CDB" w:rsidRDefault="00664420" w:rsidP="00625CDB">
      <w:pPr>
        <w:pStyle w:val="paragraph"/>
        <w:spacing w:before="0" w:beforeAutospacing="0" w:after="0" w:afterAutospacing="0"/>
        <w:textAlignment w:val="baseline"/>
        <w:rPr>
          <w:rStyle w:val="eop"/>
          <w:rFonts w:cs="Segoe UI"/>
          <w:sz w:val="22"/>
          <w:szCs w:val="22"/>
        </w:rPr>
      </w:pPr>
    </w:p>
    <w:p w14:paraId="5F81E110" w14:textId="4B11413C" w:rsidR="00664420" w:rsidRPr="00625CDB" w:rsidRDefault="00664420" w:rsidP="00625CDB">
      <w:pPr>
        <w:pStyle w:val="paragraph"/>
        <w:spacing w:before="0" w:beforeAutospacing="0" w:after="0" w:afterAutospacing="0"/>
        <w:textAlignment w:val="baseline"/>
        <w:rPr>
          <w:rStyle w:val="eop"/>
          <w:rFonts w:cs="Segoe UI"/>
          <w:sz w:val="22"/>
          <w:szCs w:val="22"/>
        </w:rPr>
      </w:pPr>
      <w:r w:rsidRPr="00625CDB">
        <w:rPr>
          <w:rStyle w:val="eop"/>
          <w:rFonts w:cs="Segoe UI"/>
          <w:sz w:val="22"/>
          <w:szCs w:val="22"/>
        </w:rPr>
        <w:t>Por ello, excepcionalmente, si un asunto es resuelto con posterioridad a los plazos señalados por la norma</w:t>
      </w:r>
      <w:r w:rsidR="00BF091A" w:rsidRPr="00625CDB">
        <w:rPr>
          <w:rStyle w:val="eop"/>
          <w:rFonts w:cs="Segoe UI"/>
          <w:sz w:val="22"/>
          <w:szCs w:val="22"/>
        </w:rPr>
        <w:t>,</w:t>
      </w:r>
      <w:r w:rsidRPr="00625CDB">
        <w:rPr>
          <w:rStyle w:val="eop"/>
          <w:rFonts w:cs="Segoe UI"/>
          <w:sz w:val="22"/>
          <w:szCs w:val="22"/>
        </w:rPr>
        <w:t xml:space="preserve"> debe analizarse la razonabilidad del tiempo necesario para su resolución, atentos a los siguientes criterios:</w:t>
      </w:r>
    </w:p>
    <w:p w14:paraId="14A3FE4E" w14:textId="77777777" w:rsidR="00664420" w:rsidRPr="00625CDB" w:rsidRDefault="00664420" w:rsidP="00625CDB">
      <w:pPr>
        <w:pStyle w:val="paragraph"/>
        <w:spacing w:before="0" w:beforeAutospacing="0" w:after="0" w:afterAutospacing="0"/>
        <w:textAlignment w:val="baseline"/>
        <w:rPr>
          <w:rStyle w:val="eop"/>
          <w:rFonts w:cs="Segoe UI"/>
          <w:sz w:val="22"/>
          <w:szCs w:val="22"/>
        </w:rPr>
      </w:pPr>
    </w:p>
    <w:p w14:paraId="725FA17E" w14:textId="1C9900DC" w:rsidR="00664420" w:rsidRPr="00625CDB" w:rsidRDefault="00664420" w:rsidP="00625CDB">
      <w:pPr>
        <w:pStyle w:val="paragraph"/>
        <w:spacing w:before="0" w:beforeAutospacing="0" w:after="0" w:afterAutospacing="0"/>
        <w:ind w:left="567" w:right="539"/>
        <w:textAlignment w:val="baseline"/>
        <w:rPr>
          <w:rStyle w:val="eop"/>
          <w:rFonts w:cs="Segoe UI"/>
          <w:sz w:val="22"/>
          <w:szCs w:val="22"/>
        </w:rPr>
      </w:pPr>
      <w:r w:rsidRPr="00625CDB">
        <w:rPr>
          <w:rStyle w:val="eop"/>
          <w:rFonts w:cs="Segoe UI"/>
          <w:b/>
          <w:bCs/>
          <w:sz w:val="22"/>
          <w:szCs w:val="22"/>
        </w:rPr>
        <w:t>Complejidad del asunto:</w:t>
      </w:r>
      <w:r w:rsidRPr="00625CDB">
        <w:rPr>
          <w:rStyle w:val="eop"/>
          <w:rFonts w:cs="Segoe UI"/>
          <w:sz w:val="22"/>
          <w:szCs w:val="22"/>
        </w:rPr>
        <w:t xml:space="preserve"> La complejidad de la prueba, la pluralidad de sujetos procesales, el tiempo transcurrido, las características y contexto del recurso.</w:t>
      </w:r>
    </w:p>
    <w:p w14:paraId="59C35097" w14:textId="268F1B45" w:rsidR="00664420" w:rsidRPr="00625CDB" w:rsidRDefault="00664420" w:rsidP="00625CDB">
      <w:pPr>
        <w:pStyle w:val="paragraph"/>
        <w:spacing w:before="0" w:beforeAutospacing="0" w:after="0" w:afterAutospacing="0"/>
        <w:ind w:left="567" w:right="539"/>
        <w:textAlignment w:val="baseline"/>
        <w:rPr>
          <w:rStyle w:val="eop"/>
          <w:rFonts w:cs="Segoe UI"/>
          <w:sz w:val="22"/>
          <w:szCs w:val="22"/>
        </w:rPr>
      </w:pPr>
      <w:r w:rsidRPr="00625CDB">
        <w:rPr>
          <w:rStyle w:val="eop"/>
          <w:rFonts w:cs="Segoe UI"/>
          <w:b/>
          <w:bCs/>
          <w:sz w:val="22"/>
          <w:szCs w:val="22"/>
        </w:rPr>
        <w:t>Actividad Procesal del interesado:</w:t>
      </w:r>
      <w:r w:rsidRPr="00625CDB">
        <w:rPr>
          <w:rStyle w:val="eop"/>
          <w:rFonts w:cs="Segoe UI"/>
          <w:sz w:val="22"/>
          <w:szCs w:val="22"/>
        </w:rPr>
        <w:t xml:space="preserve"> Acciones u omisiones del interesado.</w:t>
      </w:r>
    </w:p>
    <w:p w14:paraId="34F78766" w14:textId="2037AF76" w:rsidR="00664420" w:rsidRPr="00625CDB" w:rsidRDefault="00664420" w:rsidP="00625CDB">
      <w:pPr>
        <w:pStyle w:val="paragraph"/>
        <w:spacing w:before="0" w:beforeAutospacing="0" w:after="0" w:afterAutospacing="0"/>
        <w:ind w:left="567" w:right="539"/>
        <w:textAlignment w:val="baseline"/>
        <w:rPr>
          <w:rStyle w:val="eop"/>
          <w:rFonts w:cs="Segoe UI"/>
          <w:sz w:val="22"/>
          <w:szCs w:val="22"/>
        </w:rPr>
      </w:pPr>
      <w:r w:rsidRPr="00625CDB">
        <w:rPr>
          <w:rStyle w:val="eop"/>
          <w:rFonts w:cs="Segoe UI"/>
          <w:b/>
          <w:bCs/>
          <w:sz w:val="22"/>
          <w:szCs w:val="22"/>
        </w:rPr>
        <w:t>Conducta de la Autoridad:</w:t>
      </w:r>
      <w:r w:rsidRPr="00625CDB">
        <w:rPr>
          <w:rStyle w:val="eop"/>
          <w:rFonts w:cs="Segoe UI"/>
          <w:sz w:val="22"/>
          <w:szCs w:val="22"/>
        </w:rPr>
        <w:t xml:space="preserve"> Las Acciones u omisiones realizadas en el</w:t>
      </w:r>
      <w:r w:rsidR="00BF091A" w:rsidRPr="00625CDB">
        <w:rPr>
          <w:rStyle w:val="eop"/>
          <w:rFonts w:cs="Segoe UI"/>
          <w:sz w:val="22"/>
          <w:szCs w:val="22"/>
        </w:rPr>
        <w:t xml:space="preserve"> </w:t>
      </w:r>
      <w:r w:rsidRPr="00625CDB">
        <w:rPr>
          <w:rStyle w:val="eop"/>
          <w:rFonts w:cs="Segoe UI"/>
          <w:sz w:val="22"/>
          <w:szCs w:val="22"/>
        </w:rPr>
        <w:t>procedimiento. Así como si la autoridad actuó con la debida diligencia.</w:t>
      </w:r>
    </w:p>
    <w:p w14:paraId="17122607" w14:textId="30536F04" w:rsidR="00664420" w:rsidRPr="00625CDB" w:rsidRDefault="00664420" w:rsidP="00625CDB">
      <w:pPr>
        <w:pStyle w:val="paragraph"/>
        <w:spacing w:before="0" w:beforeAutospacing="0" w:after="0" w:afterAutospacing="0"/>
        <w:ind w:left="567" w:right="539"/>
        <w:textAlignment w:val="baseline"/>
        <w:rPr>
          <w:rStyle w:val="eop"/>
          <w:rFonts w:cs="Segoe UI"/>
          <w:sz w:val="22"/>
          <w:szCs w:val="22"/>
        </w:rPr>
      </w:pPr>
      <w:r w:rsidRPr="00625CDB">
        <w:rPr>
          <w:rStyle w:val="eop"/>
          <w:rFonts w:cs="Segoe UI"/>
          <w:b/>
          <w:bCs/>
          <w:sz w:val="22"/>
          <w:szCs w:val="22"/>
        </w:rPr>
        <w:t>La afectación generada en la situación jurídica de la persona involucrada en el proceso:</w:t>
      </w:r>
      <w:r w:rsidRPr="00625CDB">
        <w:rPr>
          <w:rStyle w:val="eop"/>
          <w:rFonts w:cs="Segoe UI"/>
          <w:sz w:val="22"/>
          <w:szCs w:val="22"/>
        </w:rPr>
        <w:t xml:space="preserve"> Violación a sus derechos humanos.</w:t>
      </w:r>
    </w:p>
    <w:p w14:paraId="2E49A972" w14:textId="77777777" w:rsidR="00664420" w:rsidRPr="00625CDB" w:rsidRDefault="00664420" w:rsidP="00625CDB">
      <w:pPr>
        <w:pStyle w:val="paragraph"/>
        <w:spacing w:before="0" w:beforeAutospacing="0" w:after="0" w:afterAutospacing="0"/>
        <w:ind w:left="567" w:right="539"/>
        <w:textAlignment w:val="baseline"/>
        <w:rPr>
          <w:rStyle w:val="eop"/>
          <w:rFonts w:cs="Segoe UI"/>
          <w:sz w:val="22"/>
          <w:szCs w:val="22"/>
        </w:rPr>
      </w:pPr>
    </w:p>
    <w:p w14:paraId="5AF63827" w14:textId="77777777" w:rsidR="00664420" w:rsidRPr="00625CDB" w:rsidRDefault="00664420" w:rsidP="00625CDB">
      <w:pPr>
        <w:pStyle w:val="paragraph"/>
        <w:spacing w:before="0" w:beforeAutospacing="0" w:after="0" w:afterAutospacing="0"/>
        <w:textAlignment w:val="baseline"/>
        <w:rPr>
          <w:rStyle w:val="eop"/>
          <w:rFonts w:cs="Segoe UI"/>
          <w:sz w:val="22"/>
          <w:szCs w:val="22"/>
        </w:rPr>
      </w:pPr>
      <w:r w:rsidRPr="00625CDB">
        <w:rPr>
          <w:rStyle w:val="eop"/>
          <w:rFonts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2D523C9" w14:textId="77777777" w:rsidR="00664420" w:rsidRPr="00625CDB" w:rsidRDefault="00664420" w:rsidP="00625CDB">
      <w:pPr>
        <w:pStyle w:val="paragraph"/>
        <w:spacing w:before="0" w:beforeAutospacing="0" w:after="0" w:afterAutospacing="0"/>
        <w:textAlignment w:val="baseline"/>
        <w:rPr>
          <w:rStyle w:val="eop"/>
          <w:rFonts w:cs="Segoe UI"/>
          <w:sz w:val="22"/>
          <w:szCs w:val="22"/>
        </w:rPr>
      </w:pPr>
    </w:p>
    <w:p w14:paraId="35CA93E9" w14:textId="77777777" w:rsidR="00664420" w:rsidRPr="00625CDB" w:rsidRDefault="00664420" w:rsidP="00625CDB">
      <w:pPr>
        <w:pStyle w:val="paragraph"/>
        <w:spacing w:before="0" w:beforeAutospacing="0" w:after="0" w:afterAutospacing="0"/>
        <w:textAlignment w:val="baseline"/>
        <w:rPr>
          <w:rStyle w:val="eop"/>
          <w:rFonts w:cs="Segoe UI"/>
          <w:sz w:val="22"/>
          <w:szCs w:val="22"/>
        </w:rPr>
      </w:pPr>
      <w:r w:rsidRPr="00625CDB">
        <w:rPr>
          <w:rStyle w:val="eop"/>
          <w:rFonts w:cs="Segoe UI"/>
          <w:sz w:val="22"/>
          <w:szCs w:val="22"/>
        </w:rPr>
        <w:t>Argumento que encuentra sustento en la jurisprudencia P./J. 32/92 emitida por el Pleno de la Suprema Corte de Justicia de la Nación de rubro “</w:t>
      </w:r>
      <w:r w:rsidRPr="00625CDB">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625CDB">
        <w:rPr>
          <w:rStyle w:val="eop"/>
          <w:rFonts w:cs="Segoe UI"/>
          <w:sz w:val="22"/>
          <w:szCs w:val="22"/>
        </w:rPr>
        <w:t>.”, visible en la Gaceta del Seminario Judicial de la Federación con el registro digital 205635.</w:t>
      </w:r>
    </w:p>
    <w:p w14:paraId="37992CD5" w14:textId="77777777" w:rsidR="00664420" w:rsidRPr="00625CDB" w:rsidRDefault="00664420" w:rsidP="00625CDB">
      <w:pPr>
        <w:pStyle w:val="paragraph"/>
        <w:spacing w:before="0" w:beforeAutospacing="0" w:after="0" w:afterAutospacing="0"/>
        <w:textAlignment w:val="baseline"/>
        <w:rPr>
          <w:rStyle w:val="eop"/>
          <w:rFonts w:cs="Segoe UI"/>
          <w:sz w:val="22"/>
          <w:szCs w:val="22"/>
        </w:rPr>
      </w:pPr>
    </w:p>
    <w:p w14:paraId="0A59C365" w14:textId="5FE746C3" w:rsidR="00664420" w:rsidRPr="00625CDB" w:rsidRDefault="00664420" w:rsidP="00625CDB">
      <w:pPr>
        <w:pStyle w:val="paragraph"/>
        <w:spacing w:before="0" w:beforeAutospacing="0" w:after="0" w:afterAutospacing="0"/>
        <w:textAlignment w:val="baseline"/>
        <w:rPr>
          <w:rStyle w:val="eop"/>
          <w:rFonts w:cs="Segoe UI"/>
          <w:sz w:val="22"/>
          <w:szCs w:val="22"/>
        </w:rPr>
      </w:pPr>
      <w:r w:rsidRPr="00625CDB">
        <w:rPr>
          <w:rStyle w:val="eop"/>
          <w:rFonts w:cs="Segoe UI"/>
          <w:sz w:val="22"/>
          <w:szCs w:val="22"/>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w:t>
      </w:r>
      <w:r w:rsidRPr="00625CDB">
        <w:rPr>
          <w:rStyle w:val="eop"/>
          <w:rFonts w:cs="Segoe UI"/>
          <w:sz w:val="22"/>
          <w:szCs w:val="22"/>
        </w:rPr>
        <w:lastRenderedPageBreak/>
        <w:t>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0A9AF44" w14:textId="77777777" w:rsidR="00664420" w:rsidRPr="00625CDB" w:rsidRDefault="00664420" w:rsidP="00625CDB">
      <w:pPr>
        <w:pStyle w:val="paragraph"/>
        <w:spacing w:before="0" w:beforeAutospacing="0" w:after="0" w:afterAutospacing="0"/>
        <w:textAlignment w:val="baseline"/>
        <w:rPr>
          <w:rStyle w:val="eop"/>
          <w:rFonts w:cs="Segoe UI"/>
          <w:sz w:val="22"/>
          <w:szCs w:val="22"/>
        </w:rPr>
      </w:pPr>
    </w:p>
    <w:p w14:paraId="78B598AB" w14:textId="01D1B1AD" w:rsidR="00664420" w:rsidRPr="00625CDB" w:rsidRDefault="00664420" w:rsidP="00625CDB">
      <w:pPr>
        <w:pStyle w:val="paragraph"/>
        <w:spacing w:before="0" w:beforeAutospacing="0" w:after="0" w:afterAutospacing="0"/>
        <w:textAlignment w:val="baseline"/>
        <w:rPr>
          <w:rStyle w:val="eop"/>
          <w:rFonts w:cs="Segoe UI"/>
          <w:sz w:val="22"/>
          <w:szCs w:val="22"/>
        </w:rPr>
      </w:pPr>
      <w:r w:rsidRPr="00625CDB">
        <w:rPr>
          <w:rStyle w:val="eop"/>
          <w:rFonts w:cs="Segoe UI"/>
          <w:sz w:val="22"/>
          <w:szCs w:val="22"/>
        </w:rPr>
        <w:t>Al respecto</w:t>
      </w:r>
      <w:r w:rsidR="00BF091A" w:rsidRPr="00625CDB">
        <w:rPr>
          <w:rStyle w:val="eop"/>
          <w:rFonts w:cs="Segoe UI"/>
          <w:sz w:val="22"/>
          <w:szCs w:val="22"/>
        </w:rPr>
        <w:t>,</w:t>
      </w:r>
      <w:r w:rsidRPr="00625CDB">
        <w:rPr>
          <w:rStyle w:val="eop"/>
          <w:rFonts w:cs="Segoe UI"/>
          <w:sz w:val="22"/>
          <w:szCs w:val="22"/>
        </w:rPr>
        <w:t xml:space="preserve"> también son de considerar los criterios sostenidos por el Cuarto Tribunal Colegiado en Materia Administrativa del Primer Circuito, cuyos rubros y datos de identificación son los siguientes:</w:t>
      </w:r>
    </w:p>
    <w:p w14:paraId="69AED792" w14:textId="77777777" w:rsidR="00664420" w:rsidRPr="00625CDB" w:rsidRDefault="00664420" w:rsidP="00625CDB">
      <w:pPr>
        <w:pStyle w:val="paragraph"/>
        <w:spacing w:before="0" w:beforeAutospacing="0" w:after="0" w:afterAutospacing="0"/>
        <w:textAlignment w:val="baseline"/>
        <w:rPr>
          <w:rStyle w:val="eop"/>
          <w:rFonts w:cs="Segoe UI"/>
          <w:sz w:val="22"/>
          <w:szCs w:val="22"/>
        </w:rPr>
      </w:pPr>
    </w:p>
    <w:p w14:paraId="7390FB31" w14:textId="77777777" w:rsidR="00664420" w:rsidRPr="00625CDB" w:rsidRDefault="00664420" w:rsidP="00625CDB">
      <w:pPr>
        <w:pStyle w:val="paragraph"/>
        <w:spacing w:before="0" w:beforeAutospacing="0" w:after="0" w:afterAutospacing="0"/>
        <w:ind w:left="567" w:right="539"/>
        <w:textAlignment w:val="baseline"/>
        <w:rPr>
          <w:rStyle w:val="eop"/>
          <w:rFonts w:cs="Segoe UI"/>
          <w:sz w:val="22"/>
          <w:szCs w:val="22"/>
        </w:rPr>
      </w:pPr>
      <w:r w:rsidRPr="00625CDB">
        <w:rPr>
          <w:rStyle w:val="eop"/>
          <w:rFonts w:cs="Segoe UI"/>
          <w:b/>
          <w:bCs/>
          <w:sz w:val="22"/>
          <w:szCs w:val="22"/>
        </w:rPr>
        <w:t>“PLAZO RAZONABLE PARA RESOLVER. DIMENSIÓN Y EFECTOS DE ESTE CONCEPTO CUANDO SE ADUCE EXCESIVA CARGA DE TRABAJO.”</w:t>
      </w:r>
      <w:r w:rsidRPr="00625CDB">
        <w:rPr>
          <w:rStyle w:val="eop"/>
          <w:rFonts w:cs="Segoe UI"/>
          <w:sz w:val="22"/>
          <w:szCs w:val="22"/>
        </w:rPr>
        <w:t xml:space="preserve"> consultable en el Seminario Judicial de la Federación y su gaceta, con el registro digital 2002351.</w:t>
      </w:r>
    </w:p>
    <w:p w14:paraId="7D07BF4B" w14:textId="77777777" w:rsidR="00BF091A" w:rsidRPr="00625CDB" w:rsidRDefault="00BF091A" w:rsidP="00625CDB">
      <w:pPr>
        <w:pStyle w:val="paragraph"/>
        <w:spacing w:before="0" w:beforeAutospacing="0" w:after="0" w:afterAutospacing="0"/>
        <w:ind w:left="567" w:right="539"/>
        <w:textAlignment w:val="baseline"/>
        <w:rPr>
          <w:rStyle w:val="eop"/>
          <w:rFonts w:cs="Segoe UI"/>
          <w:sz w:val="22"/>
          <w:szCs w:val="22"/>
        </w:rPr>
      </w:pPr>
    </w:p>
    <w:p w14:paraId="1C016A02" w14:textId="77777777" w:rsidR="00664420" w:rsidRPr="00625CDB" w:rsidRDefault="00664420" w:rsidP="00625CDB">
      <w:pPr>
        <w:pStyle w:val="paragraph"/>
        <w:spacing w:before="0" w:beforeAutospacing="0" w:after="0" w:afterAutospacing="0"/>
        <w:ind w:left="567" w:right="539"/>
        <w:textAlignment w:val="baseline"/>
        <w:rPr>
          <w:rStyle w:val="eop"/>
          <w:rFonts w:cs="Segoe UI"/>
          <w:sz w:val="22"/>
          <w:szCs w:val="22"/>
        </w:rPr>
      </w:pPr>
      <w:r w:rsidRPr="00625CDB">
        <w:rPr>
          <w:rStyle w:val="eop"/>
          <w:rFonts w:cs="Segoe UI"/>
          <w:b/>
          <w:bCs/>
          <w:sz w:val="22"/>
          <w:szCs w:val="22"/>
        </w:rPr>
        <w:t>“PLAZO RAZONABLE PARA RESOLVER. CONCEPTO Y ELEMENTOS QUE LO INTEGRAN A LA LUZ DEL DERECHO INTERNACIONAL DE LOS DERECHOS HUMANOS</w:t>
      </w:r>
      <w:r w:rsidRPr="00625CDB">
        <w:rPr>
          <w:rStyle w:val="eop"/>
          <w:rFonts w:cs="Segoe UI"/>
          <w:sz w:val="22"/>
          <w:szCs w:val="22"/>
        </w:rPr>
        <w:t>.”, visible en el Seminario Judicial de la Federación y su gaceta, con el registro digital 2002350.</w:t>
      </w:r>
    </w:p>
    <w:p w14:paraId="7D4C9515" w14:textId="77777777" w:rsidR="00664420" w:rsidRPr="00625CDB" w:rsidRDefault="00664420" w:rsidP="00625CDB">
      <w:pPr>
        <w:pStyle w:val="paragraph"/>
        <w:spacing w:before="0" w:beforeAutospacing="0" w:after="0" w:afterAutospacing="0"/>
        <w:textAlignment w:val="baseline"/>
        <w:rPr>
          <w:rStyle w:val="eop"/>
          <w:rFonts w:cs="Segoe UI"/>
          <w:sz w:val="22"/>
          <w:szCs w:val="22"/>
        </w:rPr>
      </w:pPr>
    </w:p>
    <w:p w14:paraId="7E0035F8" w14:textId="7BFAED68" w:rsidR="00664420" w:rsidRPr="00625CDB" w:rsidRDefault="00664420" w:rsidP="00625CDB">
      <w:pPr>
        <w:pStyle w:val="paragraph"/>
        <w:spacing w:before="0" w:beforeAutospacing="0" w:after="0" w:afterAutospacing="0"/>
        <w:textAlignment w:val="baseline"/>
        <w:rPr>
          <w:rStyle w:val="eop"/>
          <w:rFonts w:cs="Segoe UI"/>
          <w:sz w:val="22"/>
          <w:szCs w:val="22"/>
        </w:rPr>
      </w:pPr>
      <w:r w:rsidRPr="00625CDB">
        <w:rPr>
          <w:rStyle w:val="eop"/>
          <w:rFonts w:cs="Segoe UI"/>
          <w:sz w:val="22"/>
          <w:szCs w:val="22"/>
        </w:rPr>
        <w:t xml:space="preserve">Por ello, este organismo garante comprometido con la tutela de los derechos humanos </w:t>
      </w:r>
      <w:r w:rsidR="00BF091A" w:rsidRPr="00625CDB">
        <w:rPr>
          <w:rStyle w:val="eop"/>
          <w:rFonts w:cs="Segoe UI"/>
          <w:sz w:val="22"/>
          <w:szCs w:val="22"/>
        </w:rPr>
        <w:t>confiados</w:t>
      </w:r>
      <w:r w:rsidRPr="00625CDB">
        <w:rPr>
          <w:rStyle w:val="eop"/>
          <w:rFonts w:cs="Segoe UI"/>
          <w:sz w:val="22"/>
          <w:szCs w:val="22"/>
        </w:rPr>
        <w:t xml:space="preserve"> señala que este exceso del plazo legal para resolver el asunto resulta de carácter excepcional.</w:t>
      </w:r>
    </w:p>
    <w:p w14:paraId="6923684C" w14:textId="77777777" w:rsidR="00664420" w:rsidRPr="00625CDB" w:rsidRDefault="00664420" w:rsidP="00625CDB">
      <w:pPr>
        <w:rPr>
          <w:rFonts w:cs="Tahoma"/>
          <w:szCs w:val="22"/>
        </w:rPr>
      </w:pPr>
    </w:p>
    <w:p w14:paraId="0E651988" w14:textId="08B9D45E" w:rsidR="00664420" w:rsidRPr="00625CDB" w:rsidRDefault="00E810F7" w:rsidP="00625CDB">
      <w:pPr>
        <w:pStyle w:val="Ttulo3"/>
        <w:rPr>
          <w:szCs w:val="22"/>
        </w:rPr>
      </w:pPr>
      <w:bookmarkStart w:id="14" w:name="_Toc174558425"/>
      <w:r w:rsidRPr="00625CDB">
        <w:rPr>
          <w:szCs w:val="22"/>
        </w:rPr>
        <w:lastRenderedPageBreak/>
        <w:t>g</w:t>
      </w:r>
      <w:r w:rsidR="00664420" w:rsidRPr="00625CDB">
        <w:rPr>
          <w:szCs w:val="22"/>
        </w:rPr>
        <w:t>) Cierre de instrucción</w:t>
      </w:r>
      <w:bookmarkEnd w:id="14"/>
    </w:p>
    <w:p w14:paraId="79AF95DC" w14:textId="143D5210" w:rsidR="00664420" w:rsidRPr="00625CDB" w:rsidRDefault="00BF091A" w:rsidP="00625CDB">
      <w:pPr>
        <w:rPr>
          <w:szCs w:val="22"/>
        </w:rPr>
      </w:pPr>
      <w:r w:rsidRPr="00625CDB">
        <w:rPr>
          <w:rFonts w:cs="Tahoma"/>
          <w:szCs w:val="22"/>
        </w:rPr>
        <w:t>Al no existir diligencias pendientes por desahogar</w:t>
      </w:r>
      <w:r w:rsidRPr="00625CDB">
        <w:rPr>
          <w:rFonts w:cs="Arial"/>
          <w:szCs w:val="22"/>
        </w:rPr>
        <w:t xml:space="preserve">, el </w:t>
      </w:r>
      <w:r w:rsidR="00174FBE" w:rsidRPr="00625CDB">
        <w:rPr>
          <w:rFonts w:cs="Tahoma"/>
          <w:b/>
          <w:bCs/>
          <w:szCs w:val="22"/>
        </w:rPr>
        <w:t>once de junio</w:t>
      </w:r>
      <w:r w:rsidR="00E810F7" w:rsidRPr="00625CDB">
        <w:rPr>
          <w:rFonts w:cs="Tahoma"/>
          <w:b/>
          <w:bCs/>
          <w:szCs w:val="22"/>
        </w:rPr>
        <w:t xml:space="preserve"> de dos mil veinticuatro</w:t>
      </w:r>
      <w:r w:rsidR="00E810F7" w:rsidRPr="00625CDB">
        <w:rPr>
          <w:rFonts w:cs="Tahoma"/>
          <w:szCs w:val="22"/>
        </w:rPr>
        <w:t xml:space="preserve"> </w:t>
      </w:r>
      <w:r w:rsidRPr="00625CDB">
        <w:rPr>
          <w:rFonts w:cs="Arial"/>
          <w:szCs w:val="22"/>
        </w:rPr>
        <w:t xml:space="preserve">la </w:t>
      </w:r>
      <w:r w:rsidRPr="00625CDB">
        <w:rPr>
          <w:rFonts w:cs="Arial"/>
          <w:b/>
          <w:bCs/>
          <w:szCs w:val="22"/>
        </w:rPr>
        <w:t xml:space="preserve">Comisionada </w:t>
      </w:r>
      <w:r w:rsidRPr="00625CDB">
        <w:rPr>
          <w:b/>
          <w:szCs w:val="22"/>
        </w:rPr>
        <w:t xml:space="preserve">Sharon Cristina Morales Martínez </w:t>
      </w:r>
      <w:r w:rsidRPr="00625CDB">
        <w:rPr>
          <w:rFonts w:cs="Arial"/>
          <w:szCs w:val="22"/>
        </w:rPr>
        <w:t>acordó el cierre de instrucción</w:t>
      </w:r>
      <w:r w:rsidR="0011350D" w:rsidRPr="00625CDB">
        <w:rPr>
          <w:rFonts w:cs="Arial"/>
          <w:szCs w:val="22"/>
        </w:rPr>
        <w:t xml:space="preserve"> y</w:t>
      </w:r>
      <w:r w:rsidRPr="00625CDB">
        <w:rPr>
          <w:rFonts w:cs="Arial"/>
          <w:szCs w:val="22"/>
        </w:rPr>
        <w:t xml:space="preserve"> </w:t>
      </w:r>
      <w:r w:rsidR="0011350D" w:rsidRPr="00625CDB">
        <w:rPr>
          <w:rFonts w:cs="Arial"/>
          <w:szCs w:val="22"/>
        </w:rPr>
        <w:t xml:space="preserve">la </w:t>
      </w:r>
      <w:r w:rsidRPr="00625CDB">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625CDB">
        <w:rPr>
          <w:szCs w:val="22"/>
        </w:rPr>
        <w:t>.</w:t>
      </w:r>
      <w:r w:rsidR="0011350D" w:rsidRPr="00625CDB">
        <w:rPr>
          <w:szCs w:val="22"/>
        </w:rPr>
        <w:t xml:space="preserve"> Dicho acuerdo </w:t>
      </w:r>
      <w:r w:rsidR="00664420" w:rsidRPr="00625CDB">
        <w:rPr>
          <w:rFonts w:cs="Tahoma"/>
          <w:szCs w:val="22"/>
        </w:rPr>
        <w:t xml:space="preserve">fue notificado a las partes el mismo día a través del </w:t>
      </w:r>
      <w:r w:rsidR="00664420" w:rsidRPr="00625CDB">
        <w:rPr>
          <w:rFonts w:cs="Tahoma"/>
          <w:szCs w:val="22"/>
          <w:lang w:val="es-ES"/>
        </w:rPr>
        <w:t>SAIMEX</w:t>
      </w:r>
      <w:r w:rsidR="00664420" w:rsidRPr="00625CDB">
        <w:rPr>
          <w:rFonts w:cs="Tahoma"/>
          <w:szCs w:val="22"/>
        </w:rPr>
        <w:t>.</w:t>
      </w:r>
    </w:p>
    <w:p w14:paraId="741683E3" w14:textId="77777777" w:rsidR="0011350D" w:rsidRPr="00625CDB" w:rsidRDefault="0011350D" w:rsidP="00625CDB">
      <w:pPr>
        <w:rPr>
          <w:rFonts w:cs="Tahoma"/>
          <w:szCs w:val="22"/>
        </w:rPr>
      </w:pPr>
    </w:p>
    <w:p w14:paraId="7A9629DE" w14:textId="77777777" w:rsidR="00664420" w:rsidRPr="00625CDB" w:rsidRDefault="00664420" w:rsidP="00625CDB">
      <w:pPr>
        <w:pStyle w:val="Ttulo1"/>
        <w:rPr>
          <w:rFonts w:eastAsiaTheme="minorHAnsi"/>
          <w:szCs w:val="22"/>
          <w:lang w:eastAsia="en-US"/>
        </w:rPr>
      </w:pPr>
      <w:bookmarkStart w:id="15" w:name="_Toc174558426"/>
      <w:r w:rsidRPr="00625CDB">
        <w:rPr>
          <w:rFonts w:eastAsiaTheme="minorHAnsi"/>
          <w:szCs w:val="22"/>
          <w:lang w:eastAsia="en-US"/>
        </w:rPr>
        <w:t>CONSIDERANDOS</w:t>
      </w:r>
      <w:bookmarkEnd w:id="15"/>
    </w:p>
    <w:p w14:paraId="6DD1243B" w14:textId="77777777" w:rsidR="00664420" w:rsidRPr="00625CDB" w:rsidRDefault="00664420" w:rsidP="00625CDB">
      <w:pPr>
        <w:contextualSpacing/>
        <w:jc w:val="center"/>
        <w:rPr>
          <w:rFonts w:eastAsiaTheme="minorHAnsi" w:cs="Tahoma"/>
          <w:b/>
          <w:szCs w:val="22"/>
          <w:lang w:eastAsia="en-US"/>
        </w:rPr>
      </w:pPr>
    </w:p>
    <w:p w14:paraId="0B67CB92" w14:textId="2E307D3B" w:rsidR="00664420" w:rsidRPr="00625CDB" w:rsidRDefault="00664420" w:rsidP="00625CDB">
      <w:pPr>
        <w:pStyle w:val="Ttulo2"/>
        <w:rPr>
          <w:rFonts w:eastAsia="Batang"/>
          <w:szCs w:val="22"/>
        </w:rPr>
      </w:pPr>
      <w:bookmarkStart w:id="16" w:name="_Toc174558427"/>
      <w:r w:rsidRPr="00625CDB">
        <w:rPr>
          <w:rFonts w:eastAsia="Batang"/>
          <w:szCs w:val="22"/>
        </w:rPr>
        <w:t xml:space="preserve">PRIMERO. </w:t>
      </w:r>
      <w:r w:rsidR="00BA55A8" w:rsidRPr="00625CDB">
        <w:rPr>
          <w:rFonts w:eastAsia="Batang"/>
          <w:szCs w:val="22"/>
        </w:rPr>
        <w:t>Procedibilidad</w:t>
      </w:r>
      <w:bookmarkEnd w:id="16"/>
    </w:p>
    <w:p w14:paraId="39C52BC1" w14:textId="56FCC20D" w:rsidR="00BA55A8" w:rsidRPr="00625CDB" w:rsidRDefault="00BA55A8" w:rsidP="00625CDB">
      <w:pPr>
        <w:pStyle w:val="Ttulo3"/>
        <w:rPr>
          <w:szCs w:val="22"/>
        </w:rPr>
      </w:pPr>
      <w:bookmarkStart w:id="17" w:name="_Toc174558428"/>
      <w:r w:rsidRPr="00625CDB">
        <w:rPr>
          <w:szCs w:val="22"/>
        </w:rPr>
        <w:t>a) Competencia</w:t>
      </w:r>
      <w:r w:rsidR="00150C49" w:rsidRPr="00625CDB">
        <w:rPr>
          <w:szCs w:val="22"/>
        </w:rPr>
        <w:t xml:space="preserve"> del Instituto</w:t>
      </w:r>
      <w:bookmarkEnd w:id="17"/>
    </w:p>
    <w:p w14:paraId="56E64942" w14:textId="6572EDF7" w:rsidR="0011350D" w:rsidRPr="00625CDB" w:rsidRDefault="0011350D" w:rsidP="00625CDB">
      <w:pPr>
        <w:rPr>
          <w:rFonts w:cs="Arial"/>
          <w:szCs w:val="22"/>
        </w:rPr>
      </w:pPr>
      <w:r w:rsidRPr="00625CDB">
        <w:rPr>
          <w:szCs w:val="22"/>
        </w:rPr>
        <w:t xml:space="preserve">Este Instituto de Transparencia, Acceso a la Información Pública y Protección de Datos Personales del Estado de México y Municipios es competente para conocer y resolver </w:t>
      </w:r>
      <w:r w:rsidR="005F65B7" w:rsidRPr="00625CDB">
        <w:rPr>
          <w:szCs w:val="22"/>
        </w:rPr>
        <w:t xml:space="preserve">el </w:t>
      </w:r>
      <w:r w:rsidRPr="00625CDB">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625CDB">
        <w:rPr>
          <w:rFonts w:cs="Arial"/>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625CDB" w:rsidRDefault="00DB1C09" w:rsidP="00625CDB">
      <w:pPr>
        <w:rPr>
          <w:rFonts w:cs="Arial"/>
          <w:szCs w:val="22"/>
        </w:rPr>
      </w:pPr>
    </w:p>
    <w:p w14:paraId="517A2DD6" w14:textId="4169BE4D" w:rsidR="00664420" w:rsidRPr="00625CDB" w:rsidRDefault="00BA55A8" w:rsidP="00625CDB">
      <w:pPr>
        <w:pStyle w:val="Ttulo3"/>
        <w:rPr>
          <w:szCs w:val="22"/>
        </w:rPr>
      </w:pPr>
      <w:bookmarkStart w:id="18" w:name="_Toc174558429"/>
      <w:r w:rsidRPr="00625CDB">
        <w:rPr>
          <w:szCs w:val="22"/>
        </w:rPr>
        <w:lastRenderedPageBreak/>
        <w:t>b)</w:t>
      </w:r>
      <w:r w:rsidR="00664420" w:rsidRPr="00625CDB">
        <w:rPr>
          <w:szCs w:val="22"/>
        </w:rPr>
        <w:t xml:space="preserve"> </w:t>
      </w:r>
      <w:r w:rsidR="00D91CB4" w:rsidRPr="00625CDB">
        <w:rPr>
          <w:szCs w:val="22"/>
        </w:rPr>
        <w:t>Legitimidad</w:t>
      </w:r>
      <w:r w:rsidRPr="00625CDB">
        <w:rPr>
          <w:szCs w:val="22"/>
        </w:rPr>
        <w:t xml:space="preserve"> de la parte recurrente</w:t>
      </w:r>
      <w:bookmarkEnd w:id="18"/>
    </w:p>
    <w:p w14:paraId="26FEA382" w14:textId="0B06695C" w:rsidR="00D91CB4" w:rsidRPr="00625CDB" w:rsidRDefault="00D91CB4" w:rsidP="00625CDB">
      <w:pPr>
        <w:rPr>
          <w:rFonts w:cs="Arial"/>
          <w:bCs/>
          <w:szCs w:val="22"/>
        </w:rPr>
      </w:pPr>
      <w:r w:rsidRPr="00625CDB">
        <w:rPr>
          <w:rFonts w:cs="Arial"/>
          <w:bCs/>
          <w:szCs w:val="22"/>
        </w:rPr>
        <w:t>El recurso de revisión fue interpuesto por parte legítima, ya que se presentó por la misma persona que formuló la solicitud de acceso a la Información Pública,</w:t>
      </w:r>
      <w:r w:rsidRPr="00625CDB">
        <w:rPr>
          <w:rFonts w:cs="Arial"/>
          <w:b/>
          <w:bCs/>
          <w:szCs w:val="22"/>
        </w:rPr>
        <w:t xml:space="preserve"> </w:t>
      </w:r>
      <w:r w:rsidRPr="00625CDB">
        <w:rPr>
          <w:rFonts w:cs="Arial"/>
          <w:szCs w:val="22"/>
        </w:rPr>
        <w:t>debido a que los datos de acceso</w:t>
      </w:r>
      <w:r w:rsidRPr="00625CDB">
        <w:rPr>
          <w:rFonts w:cs="Arial"/>
          <w:b/>
          <w:bCs/>
          <w:szCs w:val="22"/>
        </w:rPr>
        <w:t xml:space="preserve"> </w:t>
      </w:r>
      <w:r w:rsidRPr="00625CDB">
        <w:rPr>
          <w:rFonts w:cs="Arial"/>
          <w:szCs w:val="22"/>
        </w:rPr>
        <w:t>SAIMEX</w:t>
      </w:r>
      <w:r w:rsidRPr="00625CDB">
        <w:rPr>
          <w:rFonts w:eastAsia="Calibri" w:cs="Arial"/>
          <w:szCs w:val="22"/>
          <w:lang w:eastAsia="en-US"/>
        </w:rPr>
        <w:t xml:space="preserve"> son personales e irrepetibles.</w:t>
      </w:r>
    </w:p>
    <w:p w14:paraId="2C367810" w14:textId="77777777" w:rsidR="00D91CB4" w:rsidRPr="00625CDB" w:rsidRDefault="00D91CB4" w:rsidP="00625CDB">
      <w:pPr>
        <w:rPr>
          <w:szCs w:val="22"/>
        </w:rPr>
      </w:pPr>
    </w:p>
    <w:p w14:paraId="496490FC" w14:textId="1A5F3FDB" w:rsidR="00D91CB4" w:rsidRPr="00625CDB" w:rsidRDefault="00BA55A8" w:rsidP="00625CDB">
      <w:pPr>
        <w:pStyle w:val="Ttulo3"/>
        <w:rPr>
          <w:rFonts w:eastAsia="Calibri"/>
          <w:szCs w:val="22"/>
          <w:lang w:eastAsia="es-ES_tradnl"/>
        </w:rPr>
      </w:pPr>
      <w:bookmarkStart w:id="19" w:name="_Toc174558430"/>
      <w:r w:rsidRPr="00625CDB">
        <w:rPr>
          <w:rFonts w:eastAsia="Calibri"/>
          <w:szCs w:val="22"/>
          <w:lang w:eastAsia="es-ES_tradnl"/>
        </w:rPr>
        <w:t>c)</w:t>
      </w:r>
      <w:r w:rsidR="00664420" w:rsidRPr="00625CDB">
        <w:rPr>
          <w:rFonts w:eastAsia="Calibri"/>
          <w:szCs w:val="22"/>
          <w:lang w:eastAsia="es-ES_tradnl"/>
        </w:rPr>
        <w:t xml:space="preserve"> </w:t>
      </w:r>
      <w:r w:rsidR="00D91CB4" w:rsidRPr="00625CDB">
        <w:rPr>
          <w:rFonts w:eastAsia="Calibri"/>
          <w:szCs w:val="22"/>
          <w:lang w:eastAsia="es-ES_tradnl"/>
        </w:rPr>
        <w:t>Plazo para interponer el recurso</w:t>
      </w:r>
      <w:bookmarkEnd w:id="19"/>
    </w:p>
    <w:p w14:paraId="106D37EE" w14:textId="046B66B5" w:rsidR="00D91CB4" w:rsidRPr="00625CDB" w:rsidRDefault="00D91CB4" w:rsidP="00625CDB">
      <w:pPr>
        <w:rPr>
          <w:rFonts w:eastAsiaTheme="minorEastAsia" w:cs="Arial"/>
          <w:szCs w:val="22"/>
          <w:lang w:val="es-ES_tradnl"/>
        </w:rPr>
      </w:pPr>
      <w:r w:rsidRPr="00625CDB">
        <w:rPr>
          <w:rFonts w:cs="Arial"/>
          <w:b/>
          <w:szCs w:val="22"/>
        </w:rPr>
        <w:t>EL SUJETO OBLIGADO</w:t>
      </w:r>
      <w:r w:rsidRPr="00625CDB">
        <w:rPr>
          <w:rFonts w:cs="Arial"/>
          <w:szCs w:val="22"/>
        </w:rPr>
        <w:t xml:space="preserve"> notificó la respuesta a la solicitud de acceso a la Información Pública el </w:t>
      </w:r>
      <w:r w:rsidR="00174FBE" w:rsidRPr="00625CDB">
        <w:rPr>
          <w:rFonts w:cs="Tahoma"/>
          <w:b/>
          <w:bCs/>
          <w:szCs w:val="22"/>
        </w:rPr>
        <w:t>veintidós</w:t>
      </w:r>
      <w:r w:rsidR="0096663A" w:rsidRPr="00625CDB">
        <w:rPr>
          <w:rFonts w:cs="Tahoma"/>
          <w:b/>
          <w:bCs/>
          <w:szCs w:val="22"/>
        </w:rPr>
        <w:t xml:space="preserve"> de marzo</w:t>
      </w:r>
      <w:r w:rsidR="00DE285A" w:rsidRPr="00625CDB">
        <w:rPr>
          <w:rFonts w:cs="Tahoma"/>
          <w:b/>
          <w:bCs/>
          <w:szCs w:val="22"/>
        </w:rPr>
        <w:t xml:space="preserve"> de dos mil veinticuatro</w:t>
      </w:r>
      <w:r w:rsidR="00DE285A" w:rsidRPr="00625CDB">
        <w:rPr>
          <w:rFonts w:cs="Tahoma"/>
          <w:szCs w:val="22"/>
        </w:rPr>
        <w:t xml:space="preserve"> </w:t>
      </w:r>
      <w:r w:rsidR="00A53315" w:rsidRPr="00625CDB">
        <w:rPr>
          <w:rFonts w:cs="Arial"/>
          <w:szCs w:val="22"/>
        </w:rPr>
        <w:t xml:space="preserve">y el recurso </w:t>
      </w:r>
      <w:r w:rsidR="00A53315" w:rsidRPr="00625CDB">
        <w:rPr>
          <w:rFonts w:eastAsia="Palatino Linotype" w:cs="Palatino Linotype"/>
          <w:szCs w:val="22"/>
        </w:rPr>
        <w:t xml:space="preserve">que nos ocupa se </w:t>
      </w:r>
      <w:r w:rsidR="006A61F1" w:rsidRPr="00625CDB">
        <w:rPr>
          <w:rFonts w:eastAsia="Palatino Linotype" w:cs="Palatino Linotype"/>
          <w:szCs w:val="22"/>
        </w:rPr>
        <w:t>tuvo por presentado</w:t>
      </w:r>
      <w:r w:rsidR="00A53315" w:rsidRPr="00625CDB">
        <w:rPr>
          <w:rFonts w:eastAsia="Palatino Linotype" w:cs="Palatino Linotype"/>
          <w:szCs w:val="22"/>
        </w:rPr>
        <w:t xml:space="preserve"> el </w:t>
      </w:r>
      <w:r w:rsidR="00174FBE" w:rsidRPr="00625CDB">
        <w:rPr>
          <w:rFonts w:cs="Tahoma"/>
          <w:b/>
          <w:bCs/>
          <w:szCs w:val="22"/>
        </w:rPr>
        <w:t>ocho</w:t>
      </w:r>
      <w:r w:rsidR="0096663A" w:rsidRPr="00625CDB">
        <w:rPr>
          <w:rFonts w:cs="Tahoma"/>
          <w:b/>
          <w:bCs/>
          <w:szCs w:val="22"/>
        </w:rPr>
        <w:t xml:space="preserve"> de abril</w:t>
      </w:r>
      <w:r w:rsidR="00DE285A" w:rsidRPr="00625CDB">
        <w:rPr>
          <w:rFonts w:cs="Tahoma"/>
          <w:b/>
          <w:bCs/>
          <w:szCs w:val="22"/>
        </w:rPr>
        <w:t xml:space="preserve"> de dos mil veinticuatro</w:t>
      </w:r>
      <w:r w:rsidR="00A53315" w:rsidRPr="00625CDB">
        <w:rPr>
          <w:rFonts w:eastAsia="Palatino Linotype" w:cs="Palatino Linotype"/>
          <w:bCs/>
          <w:szCs w:val="22"/>
        </w:rPr>
        <w:t>;</w:t>
      </w:r>
      <w:r w:rsidR="00A53315" w:rsidRPr="00625CDB">
        <w:rPr>
          <w:rFonts w:eastAsia="Palatino Linotype" w:cs="Palatino Linotype"/>
          <w:szCs w:val="22"/>
        </w:rPr>
        <w:t xml:space="preserve"> por lo tanto, éste se encuentra dentro del margen temporal previsto en el artículo 178 de la </w:t>
      </w:r>
      <w:r w:rsidR="00A53315" w:rsidRPr="00625CDB">
        <w:rPr>
          <w:rFonts w:cs="Arial"/>
          <w:szCs w:val="22"/>
        </w:rPr>
        <w:t xml:space="preserve">Ley de Transparencia y Acceso a la Información Pública del Estado de México y Municipios, </w:t>
      </w:r>
      <w:r w:rsidR="00A53315" w:rsidRPr="00625CDB">
        <w:rPr>
          <w:rFonts w:eastAsia="Calibri"/>
          <w:szCs w:val="22"/>
          <w:lang w:eastAsia="es-ES_tradnl"/>
        </w:rPr>
        <w:t xml:space="preserve">el cual </w:t>
      </w:r>
      <w:r w:rsidRPr="00625CDB">
        <w:rPr>
          <w:rFonts w:cs="Arial"/>
          <w:szCs w:val="22"/>
        </w:rPr>
        <w:t xml:space="preserve">transcurrió del </w:t>
      </w:r>
      <w:r w:rsidR="00174FBE" w:rsidRPr="00625CDB">
        <w:rPr>
          <w:rFonts w:cs="Tahoma"/>
          <w:b/>
          <w:bCs/>
          <w:szCs w:val="22"/>
        </w:rPr>
        <w:t xml:space="preserve">uno al diecinueve de </w:t>
      </w:r>
      <w:r w:rsidR="00DE285A" w:rsidRPr="00625CDB">
        <w:rPr>
          <w:rFonts w:cs="Tahoma"/>
          <w:b/>
          <w:bCs/>
          <w:szCs w:val="22"/>
        </w:rPr>
        <w:t>abril de dos mil veinticuatro</w:t>
      </w:r>
      <w:r w:rsidRPr="00625CDB">
        <w:rPr>
          <w:rFonts w:cs="Arial"/>
          <w:szCs w:val="22"/>
        </w:rPr>
        <w:t xml:space="preserve">, </w:t>
      </w:r>
      <w:r w:rsidRPr="00625CDB">
        <w:rPr>
          <w:rFonts w:eastAsiaTheme="minorEastAsia" w:cs="Arial"/>
          <w:szCs w:val="22"/>
          <w:lang w:val="es-ES_tradnl"/>
        </w:rPr>
        <w:t xml:space="preserve">sin contemplar en el cómputo los días </w:t>
      </w:r>
      <w:bookmarkStart w:id="20" w:name="_Hlk62134391"/>
      <w:r w:rsidRPr="00625CDB">
        <w:rPr>
          <w:rFonts w:eastAsiaTheme="minorEastAsia" w:cs="Arial"/>
          <w:szCs w:val="22"/>
          <w:lang w:val="es-ES_tradnl"/>
        </w:rPr>
        <w:t>sábados</w:t>
      </w:r>
      <w:r w:rsidR="00CB7E9A" w:rsidRPr="00625CDB">
        <w:rPr>
          <w:rFonts w:eastAsiaTheme="minorEastAsia" w:cs="Arial"/>
          <w:szCs w:val="22"/>
          <w:lang w:val="es-ES_tradnl"/>
        </w:rPr>
        <w:t xml:space="preserve">, </w:t>
      </w:r>
      <w:r w:rsidRPr="00625CDB">
        <w:rPr>
          <w:rFonts w:eastAsiaTheme="minorEastAsia" w:cs="Arial"/>
          <w:szCs w:val="22"/>
          <w:lang w:val="es-ES_tradnl"/>
        </w:rPr>
        <w:t>domingos</w:t>
      </w:r>
      <w:r w:rsidR="00CB7E9A" w:rsidRPr="00625CDB">
        <w:rPr>
          <w:rFonts w:eastAsiaTheme="minorEastAsia" w:cs="Arial"/>
          <w:szCs w:val="22"/>
          <w:lang w:val="es-ES_tradnl"/>
        </w:rPr>
        <w:t xml:space="preserve"> y aquellos</w:t>
      </w:r>
      <w:r w:rsidRPr="00625CDB">
        <w:rPr>
          <w:rFonts w:eastAsiaTheme="minorEastAsia" w:cs="Arial"/>
          <w:szCs w:val="22"/>
          <w:lang w:val="es-ES_tradnl"/>
        </w:rPr>
        <w:t xml:space="preserve"> considerados como días inhábiles</w:t>
      </w:r>
      <w:r w:rsidR="00CB7E9A" w:rsidRPr="00625CDB">
        <w:rPr>
          <w:rFonts w:eastAsiaTheme="minorEastAsia" w:cs="Arial"/>
          <w:szCs w:val="22"/>
          <w:lang w:val="es-ES_tradnl"/>
        </w:rPr>
        <w:t xml:space="preserve"> </w:t>
      </w:r>
      <w:r w:rsidRPr="00625CDB">
        <w:rPr>
          <w:rFonts w:eastAsiaTheme="minorEastAsia" w:cs="Arial"/>
          <w:szCs w:val="22"/>
          <w:lang w:val="es-ES_tradnl"/>
        </w:rPr>
        <w:t xml:space="preserve">en términos del </w:t>
      </w:r>
      <w:bookmarkEnd w:id="20"/>
      <w:r w:rsidRPr="00625CDB">
        <w:rPr>
          <w:rFonts w:eastAsiaTheme="minorEastAsia" w:cs="Arial"/>
          <w:szCs w:val="22"/>
          <w:lang w:val="es-ES_tradnl"/>
        </w:rPr>
        <w:t>Calendario oficia</w:t>
      </w:r>
      <w:r w:rsidR="00CB7E9A" w:rsidRPr="00625CDB">
        <w:rPr>
          <w:rFonts w:eastAsiaTheme="minorEastAsia" w:cs="Arial"/>
          <w:szCs w:val="22"/>
          <w:lang w:val="es-ES_tradnl"/>
        </w:rPr>
        <w:t>l en Materia de Transparencia, Acceso a la Información Pública y Protección de Datos Personales del Estado de México y Municipios, así como de labores del Instituto.</w:t>
      </w:r>
    </w:p>
    <w:p w14:paraId="49076992" w14:textId="77777777" w:rsidR="00D91CB4" w:rsidRPr="00625CDB" w:rsidRDefault="00D91CB4" w:rsidP="00625CDB">
      <w:pPr>
        <w:rPr>
          <w:rFonts w:eastAsia="Palatino Linotype" w:cs="Palatino Linotype"/>
          <w:szCs w:val="22"/>
        </w:rPr>
      </w:pPr>
    </w:p>
    <w:p w14:paraId="46C0EB3A" w14:textId="661B968D" w:rsidR="00A53315" w:rsidRPr="00625CDB" w:rsidRDefault="00BA55A8" w:rsidP="00625CDB">
      <w:pPr>
        <w:pStyle w:val="Ttulo3"/>
        <w:rPr>
          <w:rFonts w:eastAsia="Calibri"/>
          <w:szCs w:val="22"/>
          <w:lang w:eastAsia="es-ES_tradnl"/>
        </w:rPr>
      </w:pPr>
      <w:bookmarkStart w:id="21" w:name="_Toc174558431"/>
      <w:r w:rsidRPr="00625CDB">
        <w:rPr>
          <w:rFonts w:eastAsia="Calibri"/>
          <w:szCs w:val="22"/>
          <w:lang w:eastAsia="es-ES_tradnl"/>
        </w:rPr>
        <w:t>d)</w:t>
      </w:r>
      <w:r w:rsidR="00D91CB4" w:rsidRPr="00625CDB">
        <w:rPr>
          <w:rFonts w:eastAsia="Calibri"/>
          <w:szCs w:val="22"/>
          <w:lang w:eastAsia="es-ES_tradnl"/>
        </w:rPr>
        <w:t xml:space="preserve"> </w:t>
      </w:r>
      <w:r w:rsidR="00174FBE" w:rsidRPr="00625CDB">
        <w:rPr>
          <w:rFonts w:eastAsia="Calibri"/>
          <w:szCs w:val="22"/>
          <w:lang w:eastAsia="es-ES_tradnl"/>
        </w:rPr>
        <w:t>Causal de procedencia</w:t>
      </w:r>
      <w:bookmarkEnd w:id="21"/>
    </w:p>
    <w:p w14:paraId="190404A6" w14:textId="2016F89E" w:rsidR="00BA55A8" w:rsidRPr="00625CDB" w:rsidRDefault="00BA55A8" w:rsidP="00625CDB">
      <w:pPr>
        <w:rPr>
          <w:szCs w:val="22"/>
        </w:rPr>
      </w:pPr>
      <w:r w:rsidRPr="00625CDB">
        <w:rPr>
          <w:rFonts w:cs="Arial"/>
          <w:szCs w:val="22"/>
        </w:rPr>
        <w:t xml:space="preserve">Resulta procedente la interposición del recurso de revisión, ya que </w:t>
      </w:r>
      <w:r w:rsidRPr="00625CDB">
        <w:rPr>
          <w:rFonts w:eastAsia="Calibri" w:cs="Tahoma"/>
          <w:szCs w:val="22"/>
          <w:lang w:eastAsia="es-MX"/>
        </w:rPr>
        <w:t>se actualiza la causal de procedencia señalada en el artículo 179, fracci</w:t>
      </w:r>
      <w:r w:rsidR="008E3EAD" w:rsidRPr="00625CDB">
        <w:rPr>
          <w:rFonts w:eastAsia="Calibri" w:cs="Tahoma"/>
          <w:szCs w:val="22"/>
          <w:lang w:eastAsia="es-MX"/>
        </w:rPr>
        <w:t>ón</w:t>
      </w:r>
      <w:r w:rsidR="00EE1B1C" w:rsidRPr="00625CDB">
        <w:rPr>
          <w:rFonts w:eastAsia="Calibri" w:cs="Tahoma"/>
          <w:szCs w:val="22"/>
          <w:lang w:eastAsia="es-MX"/>
        </w:rPr>
        <w:t xml:space="preserve"> I</w:t>
      </w:r>
      <w:r w:rsidRPr="00625CDB">
        <w:rPr>
          <w:rFonts w:cs="Arial"/>
          <w:szCs w:val="22"/>
        </w:rPr>
        <w:t xml:space="preserve"> de la </w:t>
      </w:r>
      <w:r w:rsidRPr="00625CDB">
        <w:rPr>
          <w:szCs w:val="22"/>
        </w:rPr>
        <w:t>Ley de Transparencia y Acceso a la Información Pública del Estado de México y Municipios.</w:t>
      </w:r>
    </w:p>
    <w:p w14:paraId="0EFF7141" w14:textId="77777777" w:rsidR="00362A11" w:rsidRPr="00625CDB" w:rsidRDefault="00362A11" w:rsidP="00625CDB">
      <w:pPr>
        <w:rPr>
          <w:szCs w:val="22"/>
        </w:rPr>
      </w:pPr>
    </w:p>
    <w:p w14:paraId="2284D7EB" w14:textId="3EE1D036" w:rsidR="00BA55A8" w:rsidRPr="00625CDB" w:rsidRDefault="00362A11" w:rsidP="00625CDB">
      <w:pPr>
        <w:pStyle w:val="Ttulo3"/>
        <w:rPr>
          <w:szCs w:val="22"/>
        </w:rPr>
      </w:pPr>
      <w:bookmarkStart w:id="22" w:name="_Toc174558432"/>
      <w:r w:rsidRPr="00625CDB">
        <w:rPr>
          <w:szCs w:val="22"/>
        </w:rPr>
        <w:t>e) Requisitos formales para la interposición del recurso</w:t>
      </w:r>
      <w:bookmarkEnd w:id="22"/>
    </w:p>
    <w:p w14:paraId="442B9FCC" w14:textId="77777777" w:rsidR="00174FBE" w:rsidRPr="00625CDB" w:rsidRDefault="00174FBE" w:rsidP="00625CDB">
      <w:pPr>
        <w:rPr>
          <w:szCs w:val="22"/>
        </w:rPr>
      </w:pPr>
      <w:r w:rsidRPr="00625CDB">
        <w:rPr>
          <w:szCs w:val="22"/>
        </w:rPr>
        <w:t xml:space="preserve">Es importante mencionar que, de la revisión del expediente electrónico del SAIMEX, se observa que </w:t>
      </w:r>
      <w:r w:rsidRPr="00625CDB">
        <w:rPr>
          <w:b/>
          <w:szCs w:val="22"/>
        </w:rPr>
        <w:t>LA PARTE RECURRENTE</w:t>
      </w:r>
      <w:r w:rsidRPr="00625CDB">
        <w:rPr>
          <w:szCs w:val="22"/>
        </w:rPr>
        <w:t xml:space="preserve"> no proporcionó su nombre para ser identificado, lo </w:t>
      </w:r>
      <w:r w:rsidRPr="00625CDB">
        <w:rPr>
          <w:szCs w:val="22"/>
        </w:rPr>
        <w:lastRenderedPageBreak/>
        <w:t xml:space="preserve">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625CDB">
        <w:rPr>
          <w:b/>
          <w:szCs w:val="22"/>
          <w:u w:val="single"/>
        </w:rPr>
        <w:t>el nombre no es un requisito indispensable</w:t>
      </w:r>
      <w:r w:rsidRPr="00625CDB">
        <w:rPr>
          <w:szCs w:val="22"/>
        </w:rPr>
        <w:t xml:space="preserve"> para que las y los ciudadanos ejerzan el derecho de acceso a la información pública. </w:t>
      </w:r>
    </w:p>
    <w:p w14:paraId="589E3DA2" w14:textId="77777777" w:rsidR="00174FBE" w:rsidRPr="00625CDB" w:rsidRDefault="00174FBE" w:rsidP="00625CDB">
      <w:pPr>
        <w:rPr>
          <w:szCs w:val="22"/>
        </w:rPr>
      </w:pPr>
    </w:p>
    <w:p w14:paraId="49AF589A" w14:textId="77777777" w:rsidR="00174FBE" w:rsidRPr="00625CDB" w:rsidRDefault="00174FBE" w:rsidP="00625CDB">
      <w:pPr>
        <w:rPr>
          <w:szCs w:val="22"/>
        </w:rPr>
      </w:pPr>
      <w:r w:rsidRPr="00625CDB">
        <w:rPr>
          <w:szCs w:val="22"/>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625CDB">
        <w:rPr>
          <w:b/>
          <w:szCs w:val="22"/>
        </w:rPr>
        <w:t>LA PARTE RECURRENTE;</w:t>
      </w:r>
      <w:r w:rsidRPr="00625CDB">
        <w:rPr>
          <w:szCs w:val="22"/>
        </w:rPr>
        <w:t xml:space="preserve"> por lo que, en el presente caso, al haber sido presentado el recurso de revisión vía SAIMEX, dicho requisito resulta innecesario.</w:t>
      </w:r>
    </w:p>
    <w:p w14:paraId="3A121826" w14:textId="77777777" w:rsidR="00C461EC" w:rsidRPr="00625CDB" w:rsidRDefault="00C461EC" w:rsidP="00625CDB">
      <w:pPr>
        <w:rPr>
          <w:bCs/>
          <w:szCs w:val="22"/>
          <w:lang w:val="es-ES_tradnl"/>
        </w:rPr>
      </w:pPr>
    </w:p>
    <w:p w14:paraId="457548E9" w14:textId="3F7AF03B" w:rsidR="00C71CEF" w:rsidRPr="00625CDB" w:rsidRDefault="00C71CEF" w:rsidP="00625CDB">
      <w:pPr>
        <w:pStyle w:val="Ttulo2"/>
        <w:rPr>
          <w:szCs w:val="22"/>
        </w:rPr>
      </w:pPr>
      <w:bookmarkStart w:id="23" w:name="_Toc174558433"/>
      <w:r w:rsidRPr="00625CDB">
        <w:rPr>
          <w:szCs w:val="22"/>
        </w:rPr>
        <w:t>SEGUNDO. Estudio de Fondo</w:t>
      </w:r>
      <w:bookmarkEnd w:id="23"/>
    </w:p>
    <w:p w14:paraId="2A308F59" w14:textId="0FF373F0" w:rsidR="00C049E2" w:rsidRPr="00625CDB" w:rsidRDefault="00C71CEF" w:rsidP="00625CDB">
      <w:pPr>
        <w:pStyle w:val="Ttulo3"/>
        <w:rPr>
          <w:szCs w:val="22"/>
        </w:rPr>
      </w:pPr>
      <w:bookmarkStart w:id="24" w:name="_Toc174558434"/>
      <w:r w:rsidRPr="00625CDB">
        <w:rPr>
          <w:szCs w:val="22"/>
        </w:rPr>
        <w:t>a</w:t>
      </w:r>
      <w:r w:rsidR="00C049E2" w:rsidRPr="00625CDB">
        <w:rPr>
          <w:szCs w:val="22"/>
        </w:rPr>
        <w:t>) Mandato de transparencia y responsabilidad del Sujeto Obligado</w:t>
      </w:r>
      <w:bookmarkEnd w:id="24"/>
    </w:p>
    <w:p w14:paraId="6901A889" w14:textId="59EEDAE1" w:rsidR="00C049E2" w:rsidRPr="00625CDB" w:rsidRDefault="00C049E2" w:rsidP="00625CDB">
      <w:pPr>
        <w:rPr>
          <w:rFonts w:eastAsia="Palatino Linotype"/>
          <w:szCs w:val="22"/>
        </w:rPr>
      </w:pPr>
      <w:r w:rsidRPr="00625CDB">
        <w:rPr>
          <w:rFonts w:eastAsia="Palatino Linotype"/>
          <w:szCs w:val="22"/>
        </w:rPr>
        <w:t xml:space="preserve">El </w:t>
      </w:r>
      <w:r w:rsidR="00717E59" w:rsidRPr="00625CDB">
        <w:rPr>
          <w:rFonts w:eastAsia="Palatino Linotype"/>
          <w:szCs w:val="22"/>
        </w:rPr>
        <w:t>d</w:t>
      </w:r>
      <w:r w:rsidRPr="00625CDB">
        <w:rPr>
          <w:rFonts w:eastAsia="Palatino Linotype"/>
          <w:szCs w:val="22"/>
        </w:rPr>
        <w:t xml:space="preserve">erecho de </w:t>
      </w:r>
      <w:r w:rsidR="00717E59" w:rsidRPr="00625CDB">
        <w:rPr>
          <w:rFonts w:eastAsia="Palatino Linotype"/>
          <w:szCs w:val="22"/>
        </w:rPr>
        <w:t>a</w:t>
      </w:r>
      <w:r w:rsidRPr="00625CDB">
        <w:rPr>
          <w:rFonts w:eastAsia="Palatino Linotype"/>
          <w:szCs w:val="22"/>
        </w:rPr>
        <w:t xml:space="preserve">cceso a la </w:t>
      </w:r>
      <w:r w:rsidR="00717E59" w:rsidRPr="00625CDB">
        <w:rPr>
          <w:rFonts w:eastAsia="Palatino Linotype"/>
          <w:szCs w:val="22"/>
        </w:rPr>
        <w:t>i</w:t>
      </w:r>
      <w:r w:rsidRPr="00625CDB">
        <w:rPr>
          <w:rFonts w:eastAsia="Palatino Linotype"/>
          <w:szCs w:val="22"/>
        </w:rPr>
        <w:t xml:space="preserve">nformación </w:t>
      </w:r>
      <w:r w:rsidR="00717E59" w:rsidRPr="00625CDB">
        <w:rPr>
          <w:rFonts w:eastAsia="Palatino Linotype"/>
          <w:szCs w:val="22"/>
        </w:rPr>
        <w:t>p</w:t>
      </w:r>
      <w:r w:rsidRPr="00625CDB">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625CDB">
        <w:rPr>
          <w:rFonts w:eastAsia="Palatino Linotype"/>
          <w:szCs w:val="22"/>
        </w:rPr>
        <w:t>:</w:t>
      </w:r>
    </w:p>
    <w:p w14:paraId="7FAB8D32" w14:textId="77777777" w:rsidR="00C049E2" w:rsidRPr="00625CDB" w:rsidRDefault="00C049E2" w:rsidP="00625CDB">
      <w:pPr>
        <w:rPr>
          <w:rFonts w:eastAsia="Palatino Linotype"/>
          <w:szCs w:val="22"/>
        </w:rPr>
      </w:pPr>
    </w:p>
    <w:p w14:paraId="05320813" w14:textId="77777777" w:rsidR="00C049E2" w:rsidRPr="00625CDB" w:rsidRDefault="00C049E2" w:rsidP="00625CDB">
      <w:pPr>
        <w:spacing w:line="240" w:lineRule="auto"/>
        <w:ind w:left="567" w:right="539"/>
        <w:rPr>
          <w:rFonts w:eastAsia="Palatino Linotype"/>
          <w:b/>
          <w:i/>
          <w:szCs w:val="22"/>
        </w:rPr>
      </w:pPr>
      <w:r w:rsidRPr="00625CDB">
        <w:rPr>
          <w:rFonts w:eastAsia="Palatino Linotype"/>
          <w:b/>
          <w:i/>
          <w:szCs w:val="22"/>
        </w:rPr>
        <w:t>Constitución Política de los Estados Unidos Mexicanos</w:t>
      </w:r>
    </w:p>
    <w:p w14:paraId="6B6C67B6" w14:textId="77777777" w:rsidR="00C049E2" w:rsidRPr="00625CDB" w:rsidRDefault="00C049E2" w:rsidP="00625CDB">
      <w:pPr>
        <w:spacing w:line="240" w:lineRule="auto"/>
        <w:ind w:left="567" w:right="539"/>
        <w:rPr>
          <w:rFonts w:eastAsia="Palatino Linotype"/>
          <w:b/>
          <w:i/>
          <w:szCs w:val="22"/>
        </w:rPr>
      </w:pPr>
      <w:r w:rsidRPr="00625CDB">
        <w:rPr>
          <w:rFonts w:eastAsia="Palatino Linotype"/>
          <w:b/>
          <w:i/>
          <w:szCs w:val="22"/>
        </w:rPr>
        <w:t>“Artículo 6.</w:t>
      </w:r>
    </w:p>
    <w:p w14:paraId="38D3B4C4" w14:textId="77777777" w:rsidR="00C049E2" w:rsidRPr="00625CDB" w:rsidRDefault="00C049E2" w:rsidP="00625CDB">
      <w:pPr>
        <w:spacing w:line="240" w:lineRule="auto"/>
        <w:ind w:left="567" w:right="539"/>
        <w:rPr>
          <w:rFonts w:eastAsia="Palatino Linotype"/>
          <w:i/>
          <w:szCs w:val="22"/>
        </w:rPr>
      </w:pPr>
      <w:r w:rsidRPr="00625CDB">
        <w:rPr>
          <w:rFonts w:eastAsia="Palatino Linotype"/>
          <w:i/>
          <w:szCs w:val="22"/>
        </w:rPr>
        <w:t>(…)</w:t>
      </w:r>
    </w:p>
    <w:p w14:paraId="2CCAA297" w14:textId="6602827B" w:rsidR="00C049E2" w:rsidRPr="00625CDB" w:rsidRDefault="00C049E2" w:rsidP="00625CDB">
      <w:pPr>
        <w:spacing w:line="240" w:lineRule="auto"/>
        <w:ind w:left="567" w:right="539"/>
        <w:rPr>
          <w:rFonts w:eastAsia="Palatino Linotype"/>
          <w:i/>
          <w:szCs w:val="22"/>
        </w:rPr>
      </w:pPr>
      <w:r w:rsidRPr="00625CDB">
        <w:rPr>
          <w:rFonts w:eastAsia="Palatino Linotype"/>
          <w:i/>
          <w:szCs w:val="22"/>
        </w:rPr>
        <w:t>Para efectos de lo dispuesto en el presente artículo se observará lo siguiente:</w:t>
      </w:r>
    </w:p>
    <w:p w14:paraId="74CC3718" w14:textId="77777777" w:rsidR="00C049E2" w:rsidRPr="00625CDB" w:rsidRDefault="00C049E2" w:rsidP="00625CDB">
      <w:pPr>
        <w:spacing w:line="240" w:lineRule="auto"/>
        <w:ind w:left="567" w:right="539"/>
        <w:rPr>
          <w:rFonts w:eastAsia="Palatino Linotype"/>
          <w:b/>
          <w:i/>
          <w:szCs w:val="22"/>
        </w:rPr>
      </w:pPr>
      <w:r w:rsidRPr="00625CDB">
        <w:rPr>
          <w:rFonts w:eastAsia="Palatino Linotype"/>
          <w:b/>
          <w:i/>
          <w:szCs w:val="22"/>
        </w:rPr>
        <w:lastRenderedPageBreak/>
        <w:t>A</w:t>
      </w:r>
      <w:r w:rsidRPr="00625CDB">
        <w:rPr>
          <w:rFonts w:eastAsia="Palatino Linotype"/>
          <w:i/>
          <w:szCs w:val="22"/>
        </w:rPr>
        <w:t xml:space="preserve">. </w:t>
      </w:r>
      <w:r w:rsidRPr="00625CDB">
        <w:rPr>
          <w:rFonts w:eastAsia="Palatino Linotype"/>
          <w:b/>
          <w:i/>
          <w:szCs w:val="22"/>
        </w:rPr>
        <w:t>Para el ejercicio del derecho de acceso a la información</w:t>
      </w:r>
      <w:r w:rsidRPr="00625CDB">
        <w:rPr>
          <w:rFonts w:eastAsia="Palatino Linotype"/>
          <w:i/>
          <w:szCs w:val="22"/>
        </w:rPr>
        <w:t xml:space="preserve">, la Federación y </w:t>
      </w:r>
      <w:r w:rsidRPr="00625CDB">
        <w:rPr>
          <w:rFonts w:eastAsia="Palatino Linotype"/>
          <w:b/>
          <w:i/>
          <w:szCs w:val="22"/>
        </w:rPr>
        <w:t>las entidades federativas, en el ámbito de sus respectivas competencias, se regirán por los siguientes principios y bases:</w:t>
      </w:r>
    </w:p>
    <w:p w14:paraId="596A956B" w14:textId="77777777" w:rsidR="00C049E2" w:rsidRPr="00625CDB" w:rsidRDefault="00C049E2" w:rsidP="00625CDB">
      <w:pPr>
        <w:spacing w:line="240" w:lineRule="auto"/>
        <w:ind w:left="567" w:right="539"/>
        <w:rPr>
          <w:rFonts w:eastAsia="Palatino Linotype"/>
          <w:i/>
          <w:szCs w:val="22"/>
        </w:rPr>
      </w:pPr>
      <w:r w:rsidRPr="00625CDB">
        <w:rPr>
          <w:rFonts w:eastAsia="Palatino Linotype"/>
          <w:b/>
          <w:i/>
          <w:szCs w:val="22"/>
        </w:rPr>
        <w:t xml:space="preserve">I. </w:t>
      </w:r>
      <w:r w:rsidRPr="00625CDB">
        <w:rPr>
          <w:rFonts w:eastAsia="Palatino Linotype"/>
          <w:b/>
          <w:i/>
          <w:szCs w:val="22"/>
        </w:rPr>
        <w:tab/>
        <w:t>Toda la información en posesión de cualquier</w:t>
      </w:r>
      <w:r w:rsidRPr="00625CDB">
        <w:rPr>
          <w:rFonts w:eastAsia="Palatino Linotype"/>
          <w:i/>
          <w:szCs w:val="22"/>
        </w:rPr>
        <w:t xml:space="preserve"> </w:t>
      </w:r>
      <w:r w:rsidRPr="00625CDB">
        <w:rPr>
          <w:rFonts w:eastAsia="Palatino Linotype"/>
          <w:b/>
          <w:i/>
          <w:szCs w:val="22"/>
        </w:rPr>
        <w:t>autoridad</w:t>
      </w:r>
      <w:r w:rsidRPr="00625CDB">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625CDB">
        <w:rPr>
          <w:rFonts w:eastAsia="Palatino Linotype"/>
          <w:b/>
          <w:i/>
          <w:szCs w:val="22"/>
        </w:rPr>
        <w:t>municipal</w:t>
      </w:r>
      <w:r w:rsidRPr="00625CDB">
        <w:rPr>
          <w:rFonts w:eastAsia="Palatino Linotype"/>
          <w:i/>
          <w:szCs w:val="22"/>
        </w:rPr>
        <w:t xml:space="preserve">, </w:t>
      </w:r>
      <w:r w:rsidRPr="00625CDB">
        <w:rPr>
          <w:rFonts w:eastAsia="Palatino Linotype"/>
          <w:b/>
          <w:i/>
          <w:szCs w:val="22"/>
        </w:rPr>
        <w:t>es pública</w:t>
      </w:r>
      <w:r w:rsidRPr="00625CDB">
        <w:rPr>
          <w:rFonts w:eastAsia="Palatino Linotype"/>
          <w:i/>
          <w:szCs w:val="22"/>
        </w:rPr>
        <w:t xml:space="preserve"> y sólo podrá ser reservada temporalmente por razones de interés público y seguridad nacional, en los términos que fijen las leyes. </w:t>
      </w:r>
      <w:r w:rsidRPr="00625CDB">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625CDB">
        <w:rPr>
          <w:rFonts w:eastAsia="Palatino Linotype"/>
          <w:i/>
          <w:szCs w:val="22"/>
        </w:rPr>
        <w:t>, la ley determinará los supuestos específicos bajo los cuales procederá la declaración de inexistencia de la información.”</w:t>
      </w:r>
    </w:p>
    <w:p w14:paraId="68F313E4" w14:textId="77777777" w:rsidR="00C049E2" w:rsidRPr="00625CDB" w:rsidRDefault="00C049E2" w:rsidP="00625CDB">
      <w:pPr>
        <w:spacing w:line="240" w:lineRule="auto"/>
        <w:ind w:left="567" w:right="539"/>
        <w:rPr>
          <w:rFonts w:eastAsia="Palatino Linotype"/>
          <w:b/>
          <w:i/>
          <w:szCs w:val="22"/>
        </w:rPr>
      </w:pPr>
    </w:p>
    <w:p w14:paraId="504F12DB" w14:textId="77777777" w:rsidR="00C049E2" w:rsidRPr="00625CDB" w:rsidRDefault="00C049E2" w:rsidP="00625CDB">
      <w:pPr>
        <w:spacing w:line="240" w:lineRule="auto"/>
        <w:ind w:left="567" w:right="539"/>
        <w:rPr>
          <w:rFonts w:eastAsia="Palatino Linotype"/>
          <w:b/>
          <w:i/>
          <w:szCs w:val="22"/>
        </w:rPr>
      </w:pPr>
      <w:r w:rsidRPr="00625CDB">
        <w:rPr>
          <w:rFonts w:eastAsia="Palatino Linotype"/>
          <w:b/>
          <w:i/>
          <w:szCs w:val="22"/>
        </w:rPr>
        <w:t>Constitución Política del Estado Libre y Soberano de México</w:t>
      </w:r>
    </w:p>
    <w:p w14:paraId="04932D29" w14:textId="77777777" w:rsidR="00C049E2" w:rsidRPr="00625CDB" w:rsidRDefault="00C049E2" w:rsidP="00625CDB">
      <w:pPr>
        <w:spacing w:line="240" w:lineRule="auto"/>
        <w:ind w:left="567" w:right="539"/>
        <w:rPr>
          <w:rFonts w:eastAsia="Palatino Linotype"/>
          <w:i/>
          <w:szCs w:val="22"/>
        </w:rPr>
      </w:pPr>
      <w:r w:rsidRPr="00625CDB">
        <w:rPr>
          <w:rFonts w:eastAsia="Palatino Linotype"/>
          <w:b/>
          <w:i/>
          <w:szCs w:val="22"/>
        </w:rPr>
        <w:t>“Artículo 5</w:t>
      </w:r>
      <w:r w:rsidRPr="00625CDB">
        <w:rPr>
          <w:rFonts w:eastAsia="Palatino Linotype"/>
          <w:i/>
          <w:szCs w:val="22"/>
        </w:rPr>
        <w:t xml:space="preserve">.- </w:t>
      </w:r>
    </w:p>
    <w:p w14:paraId="1D3829F4" w14:textId="77777777" w:rsidR="00C049E2" w:rsidRPr="00625CDB" w:rsidRDefault="00C049E2" w:rsidP="00625CDB">
      <w:pPr>
        <w:spacing w:line="240" w:lineRule="auto"/>
        <w:ind w:left="567" w:right="539"/>
        <w:rPr>
          <w:rFonts w:eastAsia="Palatino Linotype"/>
          <w:i/>
          <w:szCs w:val="22"/>
        </w:rPr>
      </w:pPr>
      <w:r w:rsidRPr="00625CDB">
        <w:rPr>
          <w:rFonts w:eastAsia="Palatino Linotype"/>
          <w:i/>
          <w:szCs w:val="22"/>
        </w:rPr>
        <w:t>(…)</w:t>
      </w:r>
    </w:p>
    <w:p w14:paraId="0EAE47FD" w14:textId="77777777" w:rsidR="00C049E2" w:rsidRPr="00625CDB" w:rsidRDefault="00C049E2" w:rsidP="00625CDB">
      <w:pPr>
        <w:spacing w:line="240" w:lineRule="auto"/>
        <w:ind w:left="567" w:right="539"/>
        <w:rPr>
          <w:rFonts w:eastAsia="Palatino Linotype"/>
          <w:i/>
          <w:szCs w:val="22"/>
        </w:rPr>
      </w:pPr>
      <w:r w:rsidRPr="00625CDB">
        <w:rPr>
          <w:rFonts w:eastAsia="Palatino Linotype"/>
          <w:b/>
          <w:i/>
          <w:szCs w:val="22"/>
        </w:rPr>
        <w:t>El derecho a la información será garantizado por el Estado. La ley establecerá las previsiones que permitan asegurar la protección, el respeto y la difusión de este derecho</w:t>
      </w:r>
      <w:r w:rsidRPr="00625CDB">
        <w:rPr>
          <w:rFonts w:eastAsia="Palatino Linotype"/>
          <w:i/>
          <w:szCs w:val="22"/>
        </w:rPr>
        <w:t>.</w:t>
      </w:r>
    </w:p>
    <w:p w14:paraId="4F0C804A" w14:textId="77777777" w:rsidR="00C049E2" w:rsidRPr="00625CDB" w:rsidRDefault="00C049E2" w:rsidP="00625CDB">
      <w:pPr>
        <w:spacing w:line="240" w:lineRule="auto"/>
        <w:ind w:left="567" w:right="539"/>
        <w:rPr>
          <w:rFonts w:eastAsia="Palatino Linotype"/>
          <w:i/>
          <w:szCs w:val="22"/>
        </w:rPr>
      </w:pPr>
      <w:r w:rsidRPr="00625CDB">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625CDB" w:rsidRDefault="00C049E2" w:rsidP="00625CDB">
      <w:pPr>
        <w:spacing w:line="240" w:lineRule="auto"/>
        <w:ind w:left="567" w:right="539"/>
        <w:rPr>
          <w:rFonts w:eastAsia="Palatino Linotype"/>
          <w:i/>
          <w:szCs w:val="22"/>
        </w:rPr>
      </w:pPr>
      <w:r w:rsidRPr="00625CDB">
        <w:rPr>
          <w:rFonts w:eastAsia="Palatino Linotype"/>
          <w:b/>
          <w:i/>
          <w:szCs w:val="22"/>
        </w:rPr>
        <w:t>Este derecho se regirá por los principios y bases siguientes</w:t>
      </w:r>
      <w:r w:rsidRPr="00625CDB">
        <w:rPr>
          <w:rFonts w:eastAsia="Palatino Linotype"/>
          <w:i/>
          <w:szCs w:val="22"/>
        </w:rPr>
        <w:t>:</w:t>
      </w:r>
    </w:p>
    <w:p w14:paraId="4A3E8CBA" w14:textId="77777777" w:rsidR="00C049E2" w:rsidRPr="00625CDB" w:rsidRDefault="00C049E2" w:rsidP="00625CDB">
      <w:pPr>
        <w:spacing w:line="240" w:lineRule="auto"/>
        <w:ind w:left="567" w:right="539"/>
        <w:rPr>
          <w:rFonts w:eastAsia="Palatino Linotype"/>
          <w:i/>
          <w:szCs w:val="22"/>
        </w:rPr>
      </w:pPr>
      <w:r w:rsidRPr="00625CDB">
        <w:rPr>
          <w:rFonts w:eastAsia="Palatino Linotype"/>
          <w:b/>
          <w:i/>
          <w:szCs w:val="22"/>
        </w:rPr>
        <w:t>I. Toda la información en posesión de cualquier autoridad, entidad, órgano y organismos de los</w:t>
      </w:r>
      <w:r w:rsidRPr="00625CDB">
        <w:rPr>
          <w:rFonts w:eastAsia="Palatino Linotype"/>
          <w:i/>
          <w:szCs w:val="22"/>
        </w:rPr>
        <w:t xml:space="preserve"> Poderes Ejecutivo, Legislativo y Judicial, órganos autónomos, partidos políticos, fideicomisos y fondos públicos estatales y </w:t>
      </w:r>
      <w:r w:rsidRPr="00625CDB">
        <w:rPr>
          <w:rFonts w:eastAsia="Palatino Linotype"/>
          <w:b/>
          <w:i/>
          <w:szCs w:val="22"/>
        </w:rPr>
        <w:t>municipales</w:t>
      </w:r>
      <w:r w:rsidRPr="00625CDB">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625CDB">
        <w:rPr>
          <w:rFonts w:eastAsia="Palatino Linotype"/>
          <w:b/>
          <w:i/>
          <w:szCs w:val="22"/>
        </w:rPr>
        <w:t>es pública</w:t>
      </w:r>
      <w:r w:rsidRPr="00625CDB">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625CDB">
        <w:rPr>
          <w:rFonts w:eastAsia="Palatino Linotype"/>
          <w:b/>
          <w:i/>
          <w:szCs w:val="22"/>
        </w:rPr>
        <w:t>En la interpretación de este derecho deberá prevalecer el principio de máxima publicidad</w:t>
      </w:r>
      <w:r w:rsidRPr="00625CDB">
        <w:rPr>
          <w:rFonts w:eastAsia="Palatino Linotype"/>
          <w:i/>
          <w:szCs w:val="22"/>
        </w:rPr>
        <w:t xml:space="preserve">. </w:t>
      </w:r>
      <w:r w:rsidRPr="00625CDB">
        <w:rPr>
          <w:rFonts w:eastAsia="Palatino Linotype"/>
          <w:b/>
          <w:i/>
          <w:szCs w:val="22"/>
        </w:rPr>
        <w:t>Los sujetos obligados deberán documentar todo acto que derive del ejercicio de sus facultades, competencias o funciones</w:t>
      </w:r>
      <w:r w:rsidRPr="00625CDB">
        <w:rPr>
          <w:rFonts w:eastAsia="Palatino Linotype"/>
          <w:i/>
          <w:szCs w:val="22"/>
        </w:rPr>
        <w:t>, la ley determinará los supuestos específicos bajo los cuales procederá la declaración de inexistencia de la información.”</w:t>
      </w:r>
    </w:p>
    <w:p w14:paraId="5CA98E37" w14:textId="77777777" w:rsidR="00C049E2" w:rsidRPr="00625CDB" w:rsidRDefault="00C049E2" w:rsidP="00625CDB">
      <w:pPr>
        <w:rPr>
          <w:rFonts w:eastAsia="Palatino Linotype"/>
          <w:b/>
          <w:i/>
          <w:szCs w:val="22"/>
        </w:rPr>
      </w:pPr>
    </w:p>
    <w:p w14:paraId="6FC1BB3B" w14:textId="3BF4A33D" w:rsidR="00C049E2" w:rsidRPr="00625CDB" w:rsidRDefault="00717E59" w:rsidP="00625CDB">
      <w:pPr>
        <w:rPr>
          <w:rFonts w:eastAsia="Palatino Linotype"/>
          <w:i/>
          <w:szCs w:val="22"/>
        </w:rPr>
      </w:pPr>
      <w:r w:rsidRPr="00625CDB">
        <w:rPr>
          <w:rFonts w:eastAsia="Palatino Linotype"/>
          <w:szCs w:val="22"/>
        </w:rPr>
        <w:lastRenderedPageBreak/>
        <w:t xml:space="preserve">Asimismo, </w:t>
      </w:r>
      <w:r w:rsidR="00C049E2" w:rsidRPr="00625CDB">
        <w:rPr>
          <w:rFonts w:eastAsia="Palatino Linotype"/>
          <w:szCs w:val="22"/>
        </w:rPr>
        <w:t>el artículo 150 de la Ley de Transparencia y Acceso a la Información Pública del Estado de México y Municipios</w:t>
      </w:r>
      <w:r w:rsidR="00057B2D" w:rsidRPr="00625CDB">
        <w:rPr>
          <w:rFonts w:eastAsia="Palatino Linotype"/>
          <w:szCs w:val="22"/>
        </w:rPr>
        <w:t xml:space="preserve"> </w:t>
      </w:r>
      <w:r w:rsidR="00E9335C" w:rsidRPr="00625CDB">
        <w:rPr>
          <w:rFonts w:eastAsia="Palatino Linotype"/>
          <w:szCs w:val="22"/>
        </w:rPr>
        <w:t xml:space="preserve">indica </w:t>
      </w:r>
      <w:r w:rsidR="00057B2D" w:rsidRPr="00625CDB">
        <w:rPr>
          <w:rFonts w:eastAsia="Palatino Linotype"/>
          <w:szCs w:val="22"/>
        </w:rPr>
        <w:t>que</w:t>
      </w:r>
      <w:r w:rsidR="00C049E2" w:rsidRPr="00625CDB">
        <w:rPr>
          <w:rFonts w:eastAsia="Palatino Linotype"/>
          <w:szCs w:val="22"/>
        </w:rPr>
        <w:t xml:space="preserve"> la solicitud es la garantía primaria del Derecho de Acceso a la Información, además, establece que se regirá </w:t>
      </w:r>
      <w:r w:rsidR="00C049E2" w:rsidRPr="00625CDB">
        <w:rPr>
          <w:rFonts w:eastAsia="Palatino Linotype"/>
          <w:i/>
          <w:szCs w:val="22"/>
        </w:rPr>
        <w:t>por los principios de simplicidad, rapidez</w:t>
      </w:r>
      <w:r w:rsidR="005F65B7" w:rsidRPr="00625CDB">
        <w:rPr>
          <w:rFonts w:eastAsia="Palatino Linotype"/>
          <w:i/>
          <w:szCs w:val="22"/>
        </w:rPr>
        <w:t>,</w:t>
      </w:r>
      <w:r w:rsidR="00C049E2" w:rsidRPr="00625CDB">
        <w:rPr>
          <w:rFonts w:eastAsia="Palatino Linotype"/>
          <w:i/>
          <w:szCs w:val="22"/>
        </w:rPr>
        <w:t xml:space="preserve"> gratuidad del procedimiento, auxilio y orientación a los particulare</w:t>
      </w:r>
      <w:r w:rsidR="001A58B3" w:rsidRPr="00625CDB">
        <w:rPr>
          <w:rFonts w:eastAsia="Palatino Linotype"/>
          <w:i/>
          <w:szCs w:val="22"/>
        </w:rPr>
        <w:t>s.</w:t>
      </w:r>
    </w:p>
    <w:p w14:paraId="033466A6" w14:textId="77777777" w:rsidR="001A58B3" w:rsidRPr="00625CDB" w:rsidRDefault="001A58B3" w:rsidP="00625CDB">
      <w:pPr>
        <w:rPr>
          <w:rFonts w:eastAsia="Palatino Linotype"/>
          <w:i/>
          <w:szCs w:val="22"/>
        </w:rPr>
      </w:pPr>
    </w:p>
    <w:p w14:paraId="04ADA10B" w14:textId="574A944A" w:rsidR="001A58B3" w:rsidRPr="00625CDB" w:rsidRDefault="00233F17" w:rsidP="00625CDB">
      <w:pPr>
        <w:rPr>
          <w:rFonts w:eastAsia="Palatino Linotype" w:cs="Palatino Linotype"/>
          <w:i/>
          <w:szCs w:val="22"/>
        </w:rPr>
      </w:pPr>
      <w:r w:rsidRPr="00625CDB">
        <w:rPr>
          <w:rFonts w:eastAsia="Palatino Linotype" w:cs="Palatino Linotype"/>
          <w:szCs w:val="22"/>
        </w:rPr>
        <w:t xml:space="preserve">Por su parte, el artículo 4 de </w:t>
      </w:r>
      <w:r w:rsidR="001A58B3" w:rsidRPr="00625CDB">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625CDB">
        <w:rPr>
          <w:rFonts w:eastAsia="Palatino Linotype" w:cs="Palatino Linotype"/>
          <w:szCs w:val="22"/>
        </w:rPr>
        <w:t>.</w:t>
      </w:r>
    </w:p>
    <w:p w14:paraId="1407DBB8" w14:textId="77777777" w:rsidR="001A58B3" w:rsidRPr="00625CDB" w:rsidRDefault="001A58B3" w:rsidP="00625CDB">
      <w:pPr>
        <w:rPr>
          <w:rFonts w:eastAsia="Palatino Linotype" w:cs="Palatino Linotype"/>
          <w:szCs w:val="22"/>
        </w:rPr>
      </w:pPr>
    </w:p>
    <w:p w14:paraId="7552AA79" w14:textId="5C52E4A4" w:rsidR="001A58B3" w:rsidRPr="00625CDB" w:rsidRDefault="001A58B3" w:rsidP="00625CDB">
      <w:pPr>
        <w:rPr>
          <w:rFonts w:eastAsia="Palatino Linotype" w:cs="Palatino Linotype"/>
          <w:szCs w:val="22"/>
        </w:rPr>
      </w:pPr>
      <w:r w:rsidRPr="00625CDB">
        <w:rPr>
          <w:rFonts w:eastAsia="Palatino Linotype" w:cs="Palatino Linotype"/>
          <w:szCs w:val="22"/>
        </w:rPr>
        <w:t xml:space="preserve">Esto es, que los Sujetos Obligados </w:t>
      </w:r>
      <w:r w:rsidR="00FA5957" w:rsidRPr="00625CDB">
        <w:rPr>
          <w:rFonts w:eastAsia="Palatino Linotype" w:cs="Palatino Linotype"/>
          <w:szCs w:val="22"/>
        </w:rPr>
        <w:t>deben</w:t>
      </w:r>
      <w:r w:rsidRPr="00625CDB">
        <w:rPr>
          <w:rFonts w:eastAsia="Palatino Linotype" w:cs="Palatino Linotype"/>
          <w:szCs w:val="22"/>
        </w:rPr>
        <w:t xml:space="preserve"> atender las solicitudes de acceso a la información pública que se les </w:t>
      </w:r>
      <w:r w:rsidR="00FA5957" w:rsidRPr="00625CDB">
        <w:rPr>
          <w:rFonts w:eastAsia="Palatino Linotype" w:cs="Palatino Linotype"/>
          <w:szCs w:val="22"/>
        </w:rPr>
        <w:t>sean realizadas,</w:t>
      </w:r>
      <w:r w:rsidRPr="00625CDB">
        <w:rPr>
          <w:rFonts w:eastAsia="Palatino Linotype" w:cs="Palatino Linotype"/>
          <w:szCs w:val="22"/>
        </w:rPr>
        <w:t xml:space="preserve"> y proporcionar la información pública que obre en su poder</w:t>
      </w:r>
      <w:r w:rsidR="00FA5957" w:rsidRPr="00625CDB">
        <w:rPr>
          <w:rFonts w:eastAsia="Palatino Linotype" w:cs="Palatino Linotype"/>
          <w:szCs w:val="22"/>
        </w:rPr>
        <w:t>,</w:t>
      </w:r>
      <w:r w:rsidRPr="00625CDB">
        <w:rPr>
          <w:rFonts w:eastAsia="Palatino Linotype" w:cs="Palatino Linotype"/>
          <w:szCs w:val="22"/>
        </w:rPr>
        <w:t xml:space="preserve"> conforme </w:t>
      </w:r>
      <w:r w:rsidR="00FA5957" w:rsidRPr="00625CDB">
        <w:rPr>
          <w:rFonts w:eastAsia="Palatino Linotype" w:cs="Palatino Linotype"/>
          <w:szCs w:val="22"/>
        </w:rPr>
        <w:t>a</w:t>
      </w:r>
      <w:r w:rsidRPr="00625CDB">
        <w:rPr>
          <w:rFonts w:eastAsia="Palatino Linotype" w:cs="Palatino Linotype"/>
          <w:szCs w:val="22"/>
        </w:rPr>
        <w:t xml:space="preserve">l estado </w:t>
      </w:r>
      <w:r w:rsidR="00FA5957" w:rsidRPr="00625CDB">
        <w:rPr>
          <w:rFonts w:eastAsia="Palatino Linotype" w:cs="Palatino Linotype"/>
          <w:szCs w:val="22"/>
        </w:rPr>
        <w:t xml:space="preserve">en </w:t>
      </w:r>
      <w:r w:rsidRPr="00625CDB">
        <w:rPr>
          <w:rFonts w:eastAsia="Palatino Linotype" w:cs="Palatino Linotype"/>
          <w:szCs w:val="22"/>
        </w:rPr>
        <w:t>que se encuentr</w:t>
      </w:r>
      <w:r w:rsidR="00FA5957" w:rsidRPr="00625CDB">
        <w:rPr>
          <w:rFonts w:eastAsia="Palatino Linotype" w:cs="Palatino Linotype"/>
          <w:szCs w:val="22"/>
        </w:rPr>
        <w:t>e, sin que sea necesario</w:t>
      </w:r>
      <w:r w:rsidRPr="00625CDB">
        <w:rPr>
          <w:rFonts w:eastAsia="Palatino Linotype" w:cs="Palatino Linotype"/>
          <w:szCs w:val="22"/>
        </w:rPr>
        <w:t xml:space="preserve"> </w:t>
      </w:r>
      <w:r w:rsidR="00FA5957" w:rsidRPr="00625CDB">
        <w:rPr>
          <w:rFonts w:eastAsia="Palatino Linotype" w:cs="Palatino Linotype"/>
          <w:szCs w:val="22"/>
        </w:rPr>
        <w:t>procesar</w:t>
      </w:r>
      <w:r w:rsidRPr="00625CDB">
        <w:rPr>
          <w:rFonts w:eastAsia="Palatino Linotype" w:cs="Palatino Linotype"/>
          <w:szCs w:val="22"/>
        </w:rPr>
        <w:t xml:space="preserve"> la misma, ni presentarla conforme al interés del solicitante; </w:t>
      </w:r>
      <w:r w:rsidR="00FA5957" w:rsidRPr="00625CDB">
        <w:rPr>
          <w:rFonts w:eastAsia="Palatino Linotype" w:cs="Palatino Linotype"/>
          <w:szCs w:val="22"/>
        </w:rPr>
        <w:t>tal y como</w:t>
      </w:r>
      <w:r w:rsidRPr="00625CDB">
        <w:rPr>
          <w:rFonts w:eastAsia="Palatino Linotype" w:cs="Palatino Linotype"/>
          <w:szCs w:val="22"/>
        </w:rPr>
        <w:t xml:space="preserve"> lo establece el artículo 12 de la Ley de Transparencia y Acceso a la Información Pública del Estado de México y Municipios</w:t>
      </w:r>
      <w:r w:rsidR="00970EB3" w:rsidRPr="00625CDB">
        <w:rPr>
          <w:rFonts w:eastAsia="Palatino Linotype" w:cs="Palatino Linotype"/>
          <w:szCs w:val="22"/>
        </w:rPr>
        <w:t>.</w:t>
      </w:r>
    </w:p>
    <w:p w14:paraId="73245195" w14:textId="77777777" w:rsidR="00970EB3" w:rsidRPr="00625CDB" w:rsidRDefault="00970EB3" w:rsidP="00625CDB">
      <w:pPr>
        <w:rPr>
          <w:rFonts w:eastAsia="Palatino Linotype" w:cs="Palatino Linotype"/>
          <w:szCs w:val="22"/>
        </w:rPr>
      </w:pPr>
    </w:p>
    <w:p w14:paraId="7F62D4DF" w14:textId="775730E1" w:rsidR="001A58B3" w:rsidRPr="00625CDB" w:rsidRDefault="001A58B3" w:rsidP="00625CDB">
      <w:pPr>
        <w:rPr>
          <w:rFonts w:eastAsia="Palatino Linotype" w:cs="Palatino Linotype"/>
          <w:szCs w:val="22"/>
        </w:rPr>
      </w:pPr>
      <w:r w:rsidRPr="00625CDB">
        <w:rPr>
          <w:rFonts w:eastAsia="Palatino Linotype" w:cs="Palatino Linotype"/>
          <w:szCs w:val="22"/>
        </w:rPr>
        <w:t>Es decir, que todo sujeto obligado que genere, recopile, administre, procese, archive, posea o conserven, son responsables de la misma</w:t>
      </w:r>
      <w:r w:rsidR="00970EB3" w:rsidRPr="00625CDB">
        <w:rPr>
          <w:rFonts w:eastAsia="Palatino Linotype" w:cs="Palatino Linotype"/>
          <w:szCs w:val="22"/>
        </w:rPr>
        <w:t>,</w:t>
      </w:r>
      <w:r w:rsidRPr="00625CDB">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625CDB">
        <w:rPr>
          <w:rFonts w:eastAsia="Palatino Linotype" w:cs="Palatino Linotype"/>
          <w:szCs w:val="22"/>
        </w:rPr>
        <w:t>o</w:t>
      </w:r>
      <w:r w:rsidRPr="00625CDB">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625CDB" w:rsidRDefault="001A58B3" w:rsidP="00625CDB">
      <w:pPr>
        <w:rPr>
          <w:rFonts w:eastAsia="Palatino Linotype" w:cs="Palatino Linotype"/>
          <w:szCs w:val="22"/>
        </w:rPr>
      </w:pPr>
    </w:p>
    <w:p w14:paraId="04E42DFE" w14:textId="573F1198" w:rsidR="001A58B3" w:rsidRPr="00625CDB" w:rsidRDefault="001A58B3" w:rsidP="00625CDB">
      <w:pPr>
        <w:rPr>
          <w:rFonts w:eastAsia="Palatino Linotype" w:cs="Palatino Linotype"/>
          <w:szCs w:val="22"/>
        </w:rPr>
      </w:pPr>
      <w:r w:rsidRPr="00625CDB">
        <w:rPr>
          <w:rFonts w:eastAsia="Palatino Linotype" w:cs="Palatino Linotype"/>
          <w:szCs w:val="22"/>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625CDB">
        <w:rPr>
          <w:rFonts w:eastAsia="Palatino Linotype" w:cs="Palatino Linotype"/>
          <w:szCs w:val="22"/>
        </w:rPr>
        <w:t>, s</w:t>
      </w:r>
      <w:r w:rsidRPr="00625CDB">
        <w:rPr>
          <w:rFonts w:eastAsia="Palatino Linotype" w:cs="Palatino Linotype"/>
          <w:szCs w:val="22"/>
        </w:rPr>
        <w:t xml:space="preserve">iempre y cuando no se trate de información reservada o </w:t>
      </w:r>
      <w:r w:rsidR="00331F35" w:rsidRPr="00625CDB">
        <w:rPr>
          <w:rFonts w:eastAsia="Palatino Linotype" w:cs="Palatino Linotype"/>
          <w:szCs w:val="22"/>
        </w:rPr>
        <w:t>confidencial.</w:t>
      </w:r>
    </w:p>
    <w:p w14:paraId="40C5219F" w14:textId="77777777" w:rsidR="001A58B3" w:rsidRPr="00625CDB" w:rsidRDefault="001A58B3" w:rsidP="00625CDB">
      <w:pPr>
        <w:rPr>
          <w:rFonts w:eastAsia="Palatino Linotype" w:cs="Palatino Linotype"/>
          <w:szCs w:val="22"/>
        </w:rPr>
      </w:pPr>
    </w:p>
    <w:p w14:paraId="51A0E8B4" w14:textId="676DCA47" w:rsidR="00664420" w:rsidRPr="00625CDB" w:rsidRDefault="00C71CEF" w:rsidP="00625CDB">
      <w:pPr>
        <w:pStyle w:val="Ttulo3"/>
        <w:rPr>
          <w:rFonts w:eastAsia="Calibri"/>
          <w:szCs w:val="22"/>
          <w:lang w:eastAsia="es-ES_tradnl"/>
        </w:rPr>
      </w:pPr>
      <w:bookmarkStart w:id="25" w:name="_heading=h.2s8eyo1" w:colFirst="0" w:colLast="0"/>
      <w:bookmarkStart w:id="26" w:name="_Toc174558435"/>
      <w:bookmarkEnd w:id="25"/>
      <w:r w:rsidRPr="00625CDB">
        <w:rPr>
          <w:rFonts w:eastAsia="Calibri"/>
          <w:szCs w:val="22"/>
          <w:lang w:eastAsia="es-ES_tradnl"/>
        </w:rPr>
        <w:t>b)</w:t>
      </w:r>
      <w:r w:rsidR="00A53315" w:rsidRPr="00625CDB">
        <w:rPr>
          <w:rFonts w:eastAsia="Calibri"/>
          <w:szCs w:val="22"/>
          <w:lang w:eastAsia="es-ES_tradnl"/>
        </w:rPr>
        <w:t xml:space="preserve"> </w:t>
      </w:r>
      <w:r w:rsidR="00A21A20" w:rsidRPr="00625CDB">
        <w:rPr>
          <w:rFonts w:eastAsia="Calibri"/>
          <w:szCs w:val="22"/>
          <w:lang w:eastAsia="es-ES_tradnl"/>
        </w:rPr>
        <w:t>Controversia a resolver</w:t>
      </w:r>
      <w:bookmarkEnd w:id="26"/>
    </w:p>
    <w:p w14:paraId="5DAE2A65" w14:textId="382C31A9" w:rsidR="00664420" w:rsidRPr="00625CDB" w:rsidRDefault="00664420" w:rsidP="00625CDB">
      <w:pPr>
        <w:rPr>
          <w:rFonts w:eastAsia="Calibri"/>
          <w:szCs w:val="22"/>
          <w:lang w:eastAsia="es-ES_tradnl"/>
        </w:rPr>
      </w:pPr>
      <w:r w:rsidRPr="00625CDB">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625CDB">
        <w:rPr>
          <w:rFonts w:eastAsia="Calibri"/>
          <w:b/>
          <w:bCs/>
          <w:szCs w:val="22"/>
          <w:lang w:eastAsia="es-ES_tradnl"/>
        </w:rPr>
        <w:t>LA PARTE RECURRENTE</w:t>
      </w:r>
      <w:r w:rsidRPr="00625CDB">
        <w:rPr>
          <w:rFonts w:eastAsia="Calibri"/>
          <w:szCs w:val="22"/>
          <w:lang w:eastAsia="es-ES_tradnl"/>
        </w:rPr>
        <w:t xml:space="preserve"> solicitó lo siguiente:</w:t>
      </w:r>
    </w:p>
    <w:p w14:paraId="6328D20E" w14:textId="4D080659" w:rsidR="00C70B3F" w:rsidRPr="00625CDB" w:rsidRDefault="00C70B3F" w:rsidP="00625CDB">
      <w:pPr>
        <w:tabs>
          <w:tab w:val="left" w:pos="4962"/>
        </w:tabs>
        <w:rPr>
          <w:rFonts w:cs="Tahoma"/>
          <w:bCs/>
          <w:iCs/>
          <w:szCs w:val="22"/>
        </w:rPr>
      </w:pPr>
    </w:p>
    <w:p w14:paraId="69A3D9E8" w14:textId="7372E220" w:rsidR="008E3EAD" w:rsidRPr="00625CDB" w:rsidRDefault="008E3EAD" w:rsidP="00625CDB">
      <w:pPr>
        <w:tabs>
          <w:tab w:val="left" w:pos="4962"/>
        </w:tabs>
        <w:contextualSpacing/>
        <w:rPr>
          <w:rFonts w:cs="Tahoma"/>
          <w:bCs/>
          <w:iCs/>
          <w:szCs w:val="22"/>
        </w:rPr>
      </w:pPr>
      <w:r w:rsidRPr="00625CDB">
        <w:rPr>
          <w:rFonts w:cs="Tahoma"/>
          <w:bCs/>
          <w:iCs/>
          <w:szCs w:val="22"/>
        </w:rPr>
        <w:t xml:space="preserve">1. Resultados de cada uno de los procedimientos de licitación pública e invitación a cuando menos tres personas realizadas durante el ejercicio fiscal 2021, 2022 y 2023; </w:t>
      </w:r>
    </w:p>
    <w:p w14:paraId="5E80D67D" w14:textId="18BBC7B0" w:rsidR="008E3EAD" w:rsidRPr="00625CDB" w:rsidRDefault="008E3EAD" w:rsidP="00625CDB">
      <w:pPr>
        <w:tabs>
          <w:tab w:val="left" w:pos="4962"/>
        </w:tabs>
        <w:contextualSpacing/>
        <w:rPr>
          <w:rFonts w:cs="Tahoma"/>
          <w:bCs/>
          <w:iCs/>
          <w:szCs w:val="22"/>
        </w:rPr>
      </w:pPr>
      <w:r w:rsidRPr="00625CDB">
        <w:rPr>
          <w:rFonts w:cs="Tahoma"/>
          <w:bCs/>
          <w:iCs/>
          <w:szCs w:val="22"/>
        </w:rPr>
        <w:t xml:space="preserve">2. Resultados de cada uno de los procedimientos de adjudicación directa realizados durante en el ejercicio fiscal 2021, 2022 y 2023; </w:t>
      </w:r>
    </w:p>
    <w:p w14:paraId="6D4AF1DD" w14:textId="77777777" w:rsidR="008E3EAD" w:rsidRPr="00625CDB" w:rsidRDefault="008E3EAD" w:rsidP="00625CDB">
      <w:pPr>
        <w:tabs>
          <w:tab w:val="left" w:pos="4962"/>
        </w:tabs>
        <w:contextualSpacing/>
        <w:rPr>
          <w:rFonts w:cs="Tahoma"/>
          <w:bCs/>
          <w:iCs/>
          <w:szCs w:val="22"/>
        </w:rPr>
      </w:pPr>
    </w:p>
    <w:p w14:paraId="1324DD36" w14:textId="14FD2F12" w:rsidR="000820ED" w:rsidRPr="00625CDB" w:rsidRDefault="008E3EAD" w:rsidP="00625CDB">
      <w:pPr>
        <w:tabs>
          <w:tab w:val="left" w:pos="4962"/>
        </w:tabs>
        <w:contextualSpacing/>
        <w:rPr>
          <w:rFonts w:cs="Tahoma"/>
          <w:bCs/>
          <w:iCs/>
          <w:szCs w:val="22"/>
        </w:rPr>
      </w:pPr>
      <w:r w:rsidRPr="00625CDB">
        <w:rPr>
          <w:rFonts w:cs="Tahoma"/>
          <w:bCs/>
          <w:iCs/>
          <w:szCs w:val="22"/>
        </w:rPr>
        <w:t xml:space="preserve">Lo anterior, conforme a la estructura señalada en el artículo 92 fracción XIX de la Ley de Transparencia y Acceso a la Información Pública del Estado de México y Municipios. </w:t>
      </w:r>
    </w:p>
    <w:p w14:paraId="4E7881A7" w14:textId="77777777" w:rsidR="008E3EAD" w:rsidRPr="00625CDB" w:rsidRDefault="008E3EAD" w:rsidP="00625CDB">
      <w:pPr>
        <w:tabs>
          <w:tab w:val="left" w:pos="4962"/>
        </w:tabs>
        <w:contextualSpacing/>
        <w:rPr>
          <w:rFonts w:eastAsiaTheme="minorHAnsi" w:cs="Tahoma"/>
          <w:bCs/>
          <w:iCs/>
          <w:szCs w:val="22"/>
          <w:lang w:eastAsia="en-US"/>
        </w:rPr>
      </w:pPr>
    </w:p>
    <w:p w14:paraId="32BCEBA4" w14:textId="7818E4C2" w:rsidR="000820ED" w:rsidRPr="00625CDB" w:rsidRDefault="00664420" w:rsidP="00625CDB">
      <w:pPr>
        <w:tabs>
          <w:tab w:val="left" w:pos="4962"/>
        </w:tabs>
        <w:contextualSpacing/>
        <w:rPr>
          <w:rFonts w:eastAsiaTheme="minorHAnsi" w:cs="Tahoma"/>
          <w:bCs/>
          <w:iCs/>
          <w:szCs w:val="22"/>
          <w:lang w:eastAsia="en-US"/>
        </w:rPr>
      </w:pPr>
      <w:r w:rsidRPr="00625CDB">
        <w:rPr>
          <w:rFonts w:eastAsiaTheme="minorHAnsi" w:cs="Tahoma"/>
          <w:bCs/>
          <w:iCs/>
          <w:szCs w:val="22"/>
          <w:lang w:eastAsia="en-US"/>
        </w:rPr>
        <w:t>En respuesta,</w:t>
      </w:r>
      <w:r w:rsidR="000820ED" w:rsidRPr="00625CDB">
        <w:rPr>
          <w:rFonts w:eastAsiaTheme="minorHAnsi" w:cs="Tahoma"/>
          <w:bCs/>
          <w:iCs/>
          <w:szCs w:val="22"/>
          <w:lang w:eastAsia="en-US"/>
        </w:rPr>
        <w:t xml:space="preserve"> conforme a las constancias que obran en</w:t>
      </w:r>
      <w:r w:rsidR="00837517" w:rsidRPr="00625CDB">
        <w:rPr>
          <w:rFonts w:eastAsiaTheme="minorHAnsi" w:cs="Tahoma"/>
          <w:bCs/>
          <w:iCs/>
          <w:szCs w:val="22"/>
          <w:lang w:eastAsia="en-US"/>
        </w:rPr>
        <w:t xml:space="preserve"> el</w:t>
      </w:r>
      <w:r w:rsidR="000820ED" w:rsidRPr="00625CDB">
        <w:rPr>
          <w:rFonts w:eastAsiaTheme="minorHAnsi" w:cs="Tahoma"/>
          <w:bCs/>
          <w:iCs/>
          <w:szCs w:val="22"/>
          <w:lang w:eastAsia="en-US"/>
        </w:rPr>
        <w:t xml:space="preserve"> SAIMEX,</w:t>
      </w:r>
      <w:r w:rsidRPr="00625CDB">
        <w:rPr>
          <w:rFonts w:eastAsiaTheme="minorHAnsi" w:cs="Tahoma"/>
          <w:bCs/>
          <w:iCs/>
          <w:szCs w:val="22"/>
          <w:lang w:eastAsia="en-US"/>
        </w:rPr>
        <w:t xml:space="preserve"> </w:t>
      </w:r>
      <w:r w:rsidR="005D5A50" w:rsidRPr="00625CDB">
        <w:rPr>
          <w:rFonts w:eastAsiaTheme="minorHAnsi" w:cs="Tahoma"/>
          <w:b/>
          <w:iCs/>
          <w:szCs w:val="22"/>
          <w:lang w:eastAsia="en-US"/>
        </w:rPr>
        <w:t>EL SUJETO OBLIGADO</w:t>
      </w:r>
      <w:r w:rsidRPr="00625CDB">
        <w:rPr>
          <w:rFonts w:eastAsiaTheme="minorHAnsi" w:cs="Tahoma"/>
          <w:bCs/>
          <w:iCs/>
          <w:szCs w:val="22"/>
          <w:lang w:eastAsia="en-US"/>
        </w:rPr>
        <w:t xml:space="preserve"> se pronunció </w:t>
      </w:r>
      <w:r w:rsidR="000820ED" w:rsidRPr="00625CDB">
        <w:rPr>
          <w:rFonts w:eastAsiaTheme="minorHAnsi" w:cs="Tahoma"/>
          <w:bCs/>
          <w:iCs/>
          <w:szCs w:val="22"/>
          <w:lang w:eastAsia="en-US"/>
        </w:rPr>
        <w:t>a través de</w:t>
      </w:r>
      <w:r w:rsidR="0094710D" w:rsidRPr="00625CDB">
        <w:rPr>
          <w:rFonts w:eastAsiaTheme="minorHAnsi" w:cs="Tahoma"/>
          <w:bCs/>
          <w:iCs/>
          <w:szCs w:val="22"/>
          <w:lang w:eastAsia="en-US"/>
        </w:rPr>
        <w:t xml:space="preserve">l Secretario de Finanzas y Administración del CDE del PRI en el Estado de México, </w:t>
      </w:r>
      <w:r w:rsidR="000820ED" w:rsidRPr="00625CDB">
        <w:rPr>
          <w:rFonts w:eastAsiaTheme="minorHAnsi" w:cs="Tahoma"/>
          <w:bCs/>
          <w:iCs/>
          <w:szCs w:val="22"/>
          <w:lang w:eastAsia="en-US"/>
        </w:rPr>
        <w:t>quién</w:t>
      </w:r>
      <w:r w:rsidR="00D64B5C" w:rsidRPr="00625CDB">
        <w:rPr>
          <w:rFonts w:eastAsiaTheme="minorHAnsi" w:cs="Tahoma"/>
          <w:bCs/>
          <w:iCs/>
          <w:szCs w:val="22"/>
          <w:lang w:eastAsia="en-US"/>
        </w:rPr>
        <w:t xml:space="preserve"> refiri</w:t>
      </w:r>
      <w:r w:rsidR="000820ED" w:rsidRPr="00625CDB">
        <w:rPr>
          <w:rFonts w:eastAsiaTheme="minorHAnsi" w:cs="Tahoma"/>
          <w:bCs/>
          <w:iCs/>
          <w:szCs w:val="22"/>
          <w:lang w:eastAsia="en-US"/>
        </w:rPr>
        <w:t>ó</w:t>
      </w:r>
      <w:r w:rsidR="00D64B5C" w:rsidRPr="00625CDB">
        <w:rPr>
          <w:rFonts w:eastAsiaTheme="minorHAnsi" w:cs="Tahoma"/>
          <w:bCs/>
          <w:iCs/>
          <w:szCs w:val="22"/>
          <w:lang w:eastAsia="en-US"/>
        </w:rPr>
        <w:t xml:space="preserve"> </w:t>
      </w:r>
      <w:r w:rsidR="000820ED" w:rsidRPr="00625CDB">
        <w:rPr>
          <w:rFonts w:eastAsiaTheme="minorHAnsi" w:cs="Tahoma"/>
          <w:bCs/>
          <w:iCs/>
          <w:szCs w:val="22"/>
          <w:lang w:eastAsia="en-US"/>
        </w:rPr>
        <w:t xml:space="preserve">que </w:t>
      </w:r>
      <w:r w:rsidR="0094710D" w:rsidRPr="00625CDB">
        <w:rPr>
          <w:rFonts w:eastAsiaTheme="minorHAnsi" w:cs="Tahoma"/>
          <w:bCs/>
          <w:iCs/>
          <w:szCs w:val="22"/>
          <w:lang w:eastAsia="en-US"/>
        </w:rPr>
        <w:t xml:space="preserve">en sus estatutos no se encuentra facultado para realizar concursos de licitación; lo anterior de conformidad con lo dispuesto en los artículos 82, numeral 2 y 356, numeral 1 y 2 del Reglamento de Fiscalización del Instituto Nacional </w:t>
      </w:r>
      <w:r w:rsidR="0094710D" w:rsidRPr="00625CDB">
        <w:rPr>
          <w:rFonts w:eastAsiaTheme="minorHAnsi" w:cs="Tahoma"/>
          <w:bCs/>
          <w:iCs/>
          <w:szCs w:val="22"/>
          <w:lang w:eastAsia="en-US"/>
        </w:rPr>
        <w:lastRenderedPageBreak/>
        <w:t>Electoral, toda vez que los proveedores para poder realizar operaciones con los Partidos Políticos únicamente estos deben estar registrados ante el Registro Nacional de Proveedores del Instituto Nacional Electoral. (…) Por otra parte, cabe señalar que de acuerdo a la tabla de aplicabilidad publicada el 29 de marzo de 2023, aprobada por el Instituto de Transparencia y Acceso a la Información Pública del Estado de México y Municipios, al Partido Revolucionario Institucional no le es aplicable la fracción XXIX</w:t>
      </w:r>
      <w:r w:rsidR="00D9769C" w:rsidRPr="00625CDB">
        <w:rPr>
          <w:rFonts w:eastAsiaTheme="minorHAnsi" w:cs="Tahoma"/>
          <w:bCs/>
          <w:iCs/>
          <w:szCs w:val="22"/>
          <w:lang w:eastAsia="en-US"/>
        </w:rPr>
        <w:t>, en lo que corresponde a las adjudicaciones directas, la información requerida es de carácter público y se encuentra debidamente publicada en tiempo y forma en la página oficial de internet de Información Pública de Oficio Mexiquense “</w:t>
      </w:r>
      <w:proofErr w:type="spellStart"/>
      <w:r w:rsidR="00D9769C" w:rsidRPr="00625CDB">
        <w:rPr>
          <w:rFonts w:eastAsiaTheme="minorHAnsi" w:cs="Tahoma"/>
          <w:bCs/>
          <w:iCs/>
          <w:szCs w:val="22"/>
          <w:lang w:eastAsia="en-US"/>
        </w:rPr>
        <w:t>Ipomex</w:t>
      </w:r>
      <w:proofErr w:type="spellEnd"/>
      <w:r w:rsidR="00D9769C" w:rsidRPr="00625CDB">
        <w:rPr>
          <w:rFonts w:eastAsiaTheme="minorHAnsi" w:cs="Tahoma"/>
          <w:bCs/>
          <w:iCs/>
          <w:szCs w:val="22"/>
          <w:lang w:eastAsia="en-US"/>
        </w:rPr>
        <w:t>” y/o en el siguiente link: https://www.ipomex.org.mx/ipo3/lgt/indice/PRI/art_100_iv.web</w:t>
      </w:r>
      <w:r w:rsidR="000A57F7" w:rsidRPr="00625CDB">
        <w:rPr>
          <w:rFonts w:eastAsiaTheme="minorHAnsi" w:cs="Tahoma"/>
          <w:bCs/>
          <w:iCs/>
          <w:szCs w:val="22"/>
          <w:lang w:eastAsia="en-US"/>
        </w:rPr>
        <w:t>.</w:t>
      </w:r>
    </w:p>
    <w:p w14:paraId="264167C5" w14:textId="77777777" w:rsidR="00D64B5C" w:rsidRPr="00625CDB" w:rsidRDefault="00D64B5C" w:rsidP="00625CDB">
      <w:pPr>
        <w:tabs>
          <w:tab w:val="left" w:pos="4962"/>
        </w:tabs>
        <w:contextualSpacing/>
        <w:rPr>
          <w:rFonts w:eastAsiaTheme="minorHAnsi" w:cs="Tahoma"/>
          <w:bCs/>
          <w:iCs/>
          <w:szCs w:val="22"/>
          <w:lang w:eastAsia="en-US"/>
        </w:rPr>
      </w:pPr>
    </w:p>
    <w:p w14:paraId="31DD81D7" w14:textId="7C7821A2" w:rsidR="00664420" w:rsidRPr="00625CDB" w:rsidRDefault="00CF7586" w:rsidP="00625CDB">
      <w:pPr>
        <w:tabs>
          <w:tab w:val="left" w:pos="4962"/>
        </w:tabs>
        <w:contextualSpacing/>
        <w:rPr>
          <w:rFonts w:eastAsiaTheme="minorHAnsi" w:cs="Tahoma"/>
          <w:bCs/>
          <w:iCs/>
          <w:szCs w:val="22"/>
          <w:lang w:eastAsia="en-US"/>
        </w:rPr>
      </w:pPr>
      <w:r w:rsidRPr="00625CDB">
        <w:rPr>
          <w:rFonts w:eastAsiaTheme="minorHAnsi" w:cs="Tahoma"/>
          <w:bCs/>
          <w:iCs/>
          <w:szCs w:val="22"/>
          <w:lang w:eastAsia="en-US"/>
        </w:rPr>
        <w:t xml:space="preserve">Ahora bien, en la interposición del presente recurso </w:t>
      </w:r>
      <w:r w:rsidRPr="00625CDB">
        <w:rPr>
          <w:rFonts w:eastAsiaTheme="minorHAnsi" w:cs="Tahoma"/>
          <w:b/>
          <w:iCs/>
          <w:szCs w:val="22"/>
          <w:lang w:eastAsia="en-US"/>
        </w:rPr>
        <w:t>LA PARTE RECURRENTE</w:t>
      </w:r>
      <w:r w:rsidR="00664420" w:rsidRPr="00625CDB">
        <w:rPr>
          <w:rFonts w:eastAsiaTheme="minorHAnsi" w:cs="Tahoma"/>
          <w:bCs/>
          <w:iCs/>
          <w:szCs w:val="22"/>
          <w:lang w:eastAsia="en-US"/>
        </w:rPr>
        <w:t xml:space="preserve"> se inconformó de</w:t>
      </w:r>
      <w:r w:rsidR="00B03AB8" w:rsidRPr="00625CDB">
        <w:rPr>
          <w:rFonts w:eastAsiaTheme="minorHAnsi" w:cs="Tahoma"/>
          <w:bCs/>
          <w:iCs/>
          <w:szCs w:val="22"/>
          <w:lang w:eastAsia="en-US"/>
        </w:rPr>
        <w:t xml:space="preserve"> que no se le proporcionó la información solicitada</w:t>
      </w:r>
      <w:r w:rsidR="00D9769C" w:rsidRPr="00625CDB">
        <w:rPr>
          <w:rFonts w:eastAsiaTheme="minorHAnsi" w:cs="Tahoma"/>
          <w:bCs/>
          <w:iCs/>
          <w:szCs w:val="22"/>
          <w:lang w:eastAsia="en-US"/>
        </w:rPr>
        <w:t xml:space="preserve"> respecto a las licitaciones</w:t>
      </w:r>
      <w:r w:rsidR="0094710D" w:rsidRPr="00625CDB">
        <w:rPr>
          <w:rFonts w:eastAsiaTheme="minorHAnsi" w:cs="Tahoma"/>
          <w:bCs/>
          <w:iCs/>
          <w:szCs w:val="22"/>
          <w:lang w:eastAsia="en-US"/>
        </w:rPr>
        <w:t>.</w:t>
      </w:r>
    </w:p>
    <w:p w14:paraId="570E4E2F" w14:textId="77777777" w:rsidR="00BC67B0" w:rsidRPr="00625CDB" w:rsidRDefault="00BC67B0" w:rsidP="00625CDB">
      <w:pPr>
        <w:tabs>
          <w:tab w:val="left" w:pos="4962"/>
        </w:tabs>
        <w:contextualSpacing/>
        <w:rPr>
          <w:rFonts w:eastAsiaTheme="minorHAnsi" w:cs="Tahoma"/>
          <w:bCs/>
          <w:iCs/>
          <w:szCs w:val="22"/>
          <w:lang w:eastAsia="en-US"/>
        </w:rPr>
      </w:pPr>
    </w:p>
    <w:p w14:paraId="2C7A9299" w14:textId="4105BEAF" w:rsidR="00BC67B0" w:rsidRPr="00625CDB" w:rsidRDefault="00BC67B0" w:rsidP="00625CDB">
      <w:pPr>
        <w:tabs>
          <w:tab w:val="left" w:pos="4962"/>
        </w:tabs>
        <w:rPr>
          <w:lang w:val="es-ES"/>
        </w:rPr>
      </w:pPr>
      <w:r w:rsidRPr="00625CDB">
        <w:rPr>
          <w:lang w:val="es-ES"/>
        </w:rPr>
        <w:t xml:space="preserve">Abierta la etapa de instrucción, </w:t>
      </w:r>
      <w:r w:rsidRPr="00625CDB">
        <w:rPr>
          <w:b/>
          <w:lang w:val="es-ES"/>
        </w:rPr>
        <w:t>EL SUJETO OBLIGADO</w:t>
      </w:r>
      <w:r w:rsidRPr="00625CDB">
        <w:rPr>
          <w:lang w:val="es-ES"/>
        </w:rPr>
        <w:t xml:space="preserve"> </w:t>
      </w:r>
      <w:r w:rsidR="0094710D" w:rsidRPr="00625CDB">
        <w:rPr>
          <w:lang w:val="es-ES"/>
        </w:rPr>
        <w:t xml:space="preserve">no </w:t>
      </w:r>
      <w:r w:rsidRPr="00625CDB">
        <w:rPr>
          <w:lang w:val="es-ES"/>
        </w:rPr>
        <w:t>rindió su Informe Justificado</w:t>
      </w:r>
      <w:r w:rsidR="00227FB3" w:rsidRPr="00625CDB">
        <w:rPr>
          <w:lang w:val="es-ES"/>
        </w:rPr>
        <w:t xml:space="preserve">; </w:t>
      </w:r>
      <w:r w:rsidRPr="00625CDB">
        <w:rPr>
          <w:lang w:val="es-ES"/>
        </w:rPr>
        <w:t xml:space="preserve">así como la parte recurrente </w:t>
      </w:r>
      <w:r w:rsidR="0094710D" w:rsidRPr="00625CDB">
        <w:rPr>
          <w:lang w:val="es-ES"/>
        </w:rPr>
        <w:t xml:space="preserve">no </w:t>
      </w:r>
      <w:r w:rsidRPr="00625CDB">
        <w:rPr>
          <w:lang w:val="es-ES"/>
        </w:rPr>
        <w:t xml:space="preserve">realizó las manifestaciones que a su derecho </w:t>
      </w:r>
      <w:r w:rsidR="00FF1BB7" w:rsidRPr="00625CDB">
        <w:rPr>
          <w:lang w:val="es-ES"/>
        </w:rPr>
        <w:t>conviniera</w:t>
      </w:r>
      <w:r w:rsidR="0094710D" w:rsidRPr="00625CDB">
        <w:rPr>
          <w:lang w:val="es-ES"/>
        </w:rPr>
        <w:t>.</w:t>
      </w:r>
    </w:p>
    <w:p w14:paraId="3E7B17AC" w14:textId="77777777" w:rsidR="0094710D" w:rsidRPr="00625CDB" w:rsidRDefault="0094710D" w:rsidP="00625CDB">
      <w:pPr>
        <w:tabs>
          <w:tab w:val="left" w:pos="4962"/>
        </w:tabs>
        <w:rPr>
          <w:lang w:val="es-ES"/>
        </w:rPr>
      </w:pPr>
    </w:p>
    <w:p w14:paraId="1435A67C" w14:textId="5B3F2CE8" w:rsidR="001C1AE4" w:rsidRPr="00625CDB" w:rsidRDefault="001C1AE4" w:rsidP="00625CDB">
      <w:pPr>
        <w:rPr>
          <w:rFonts w:eastAsia="Palatino Linotype" w:cs="Palatino Linotype"/>
          <w:szCs w:val="22"/>
        </w:rPr>
      </w:pPr>
      <w:r w:rsidRPr="00625CDB">
        <w:rPr>
          <w:rFonts w:eastAsia="Palatino Linotype" w:cs="Palatino Linotype"/>
          <w:szCs w:val="22"/>
        </w:rPr>
        <w:t xml:space="preserve">Bajo las premisas anteriores, se concluye que la controversia a dilucidar en el presente medio de impugnación será </w:t>
      </w:r>
      <w:r w:rsidR="00EE1B1C" w:rsidRPr="00625CDB">
        <w:rPr>
          <w:rFonts w:eastAsia="Palatino Linotype" w:cs="Palatino Linotype"/>
          <w:b/>
        </w:rPr>
        <w:t xml:space="preserve">verificar si la </w:t>
      </w:r>
      <w:r w:rsidR="002B3577" w:rsidRPr="00625CDB">
        <w:rPr>
          <w:rFonts w:eastAsia="Palatino Linotype" w:cs="Palatino Linotype"/>
          <w:b/>
        </w:rPr>
        <w:t xml:space="preserve">información proporcionada en </w:t>
      </w:r>
      <w:r w:rsidR="00EE1B1C" w:rsidRPr="00625CDB">
        <w:rPr>
          <w:rFonts w:eastAsia="Palatino Linotype" w:cs="Palatino Linotype"/>
          <w:b/>
        </w:rPr>
        <w:t xml:space="preserve">respuesta por </w:t>
      </w:r>
      <w:r w:rsidR="002B3577" w:rsidRPr="00625CDB">
        <w:rPr>
          <w:rFonts w:eastAsia="Palatino Linotype" w:cs="Palatino Linotype"/>
          <w:b/>
        </w:rPr>
        <w:t xml:space="preserve">EL SUJETO OBLIGADO </w:t>
      </w:r>
      <w:r w:rsidR="00EE1B1C" w:rsidRPr="00625CDB">
        <w:rPr>
          <w:rFonts w:eastAsia="Palatino Linotype" w:cs="Palatino Linotype"/>
          <w:b/>
        </w:rPr>
        <w:t xml:space="preserve">es adecuada y suficiente para satisfacer el derecho de acceso a la información pública </w:t>
      </w:r>
      <w:r w:rsidR="00EE1B1C" w:rsidRPr="00625CDB">
        <w:rPr>
          <w:rFonts w:eastAsia="Palatino Linotype" w:cs="Palatino Linotype"/>
        </w:rPr>
        <w:t xml:space="preserve">de </w:t>
      </w:r>
      <w:r w:rsidR="002B3577" w:rsidRPr="00625CDB">
        <w:rPr>
          <w:rFonts w:eastAsia="Palatino Linotype" w:cs="Palatino Linotype"/>
          <w:b/>
        </w:rPr>
        <w:t>LA PARTE RECURRENTE</w:t>
      </w:r>
      <w:r w:rsidRPr="00625CDB">
        <w:rPr>
          <w:rFonts w:eastAsia="Palatino Linotype" w:cs="Palatino Linotype"/>
          <w:szCs w:val="22"/>
        </w:rPr>
        <w:t>.</w:t>
      </w:r>
    </w:p>
    <w:p w14:paraId="2B9C19AB" w14:textId="77777777" w:rsidR="00EE1B1C" w:rsidRPr="00625CDB" w:rsidRDefault="00EE1B1C" w:rsidP="00625CDB">
      <w:pPr>
        <w:rPr>
          <w:rFonts w:eastAsia="Palatino Linotype" w:cs="Palatino Linotype"/>
          <w:szCs w:val="22"/>
        </w:rPr>
      </w:pPr>
    </w:p>
    <w:p w14:paraId="414FD2D5" w14:textId="4408E416" w:rsidR="00664420" w:rsidRPr="00625CDB" w:rsidRDefault="00A21A20" w:rsidP="00625CDB">
      <w:pPr>
        <w:pStyle w:val="Ttulo3"/>
        <w:rPr>
          <w:szCs w:val="22"/>
        </w:rPr>
      </w:pPr>
      <w:bookmarkStart w:id="27" w:name="_Toc174558436"/>
      <w:r w:rsidRPr="00625CDB">
        <w:rPr>
          <w:szCs w:val="22"/>
        </w:rPr>
        <w:t>c)</w:t>
      </w:r>
      <w:r w:rsidR="00664420" w:rsidRPr="00625CDB">
        <w:rPr>
          <w:szCs w:val="22"/>
        </w:rPr>
        <w:t xml:space="preserve"> </w:t>
      </w:r>
      <w:r w:rsidRPr="00625CDB">
        <w:rPr>
          <w:szCs w:val="22"/>
        </w:rPr>
        <w:t>Estudio de la controversia</w:t>
      </w:r>
      <w:bookmarkEnd w:id="27"/>
    </w:p>
    <w:p w14:paraId="7CE637A7" w14:textId="3976DAB9" w:rsidR="00FF1BB7" w:rsidRPr="00625CDB" w:rsidRDefault="00FF1BB7" w:rsidP="00625CDB">
      <w:pPr>
        <w:pBdr>
          <w:top w:val="nil"/>
          <w:left w:val="nil"/>
          <w:bottom w:val="nil"/>
          <w:right w:val="nil"/>
          <w:between w:val="nil"/>
        </w:pBdr>
        <w:ind w:right="49"/>
        <w:rPr>
          <w:rFonts w:eastAsia="Palatino Linotype" w:cs="Palatino Linotype"/>
        </w:rPr>
      </w:pPr>
      <w:r w:rsidRPr="00625CDB">
        <w:rPr>
          <w:rFonts w:eastAsia="Palatino Linotype" w:cs="Palatino Linotype"/>
        </w:rPr>
        <w:t xml:space="preserve">Dicho lo anterior, se procede a contextualizar la información solicitada, para ello, en principio es de recordar que la </w:t>
      </w:r>
      <w:r w:rsidR="000E5D1F" w:rsidRPr="00625CDB">
        <w:rPr>
          <w:rFonts w:eastAsia="Palatino Linotype" w:cs="Palatino Linotype"/>
          <w:b/>
          <w:bCs/>
        </w:rPr>
        <w:t>PARTE RECURRENTE</w:t>
      </w:r>
      <w:r w:rsidRPr="00625CDB">
        <w:rPr>
          <w:rFonts w:eastAsia="Palatino Linotype" w:cs="Palatino Linotype"/>
        </w:rPr>
        <w:t xml:space="preserve">, requiere obtener información relacionada con </w:t>
      </w:r>
      <w:r w:rsidRPr="00625CDB">
        <w:rPr>
          <w:rFonts w:eastAsia="Palatino Linotype" w:cs="Palatino Linotype"/>
          <w:b/>
        </w:rPr>
        <w:lastRenderedPageBreak/>
        <w:t xml:space="preserve">los resultados de cada uno de los procedimientos de licitación pública, invitación restringida y adjudicación directa de los años dos mil veintiuno, dos mil veintidós y dos mil veintitrés, de conformidad con lo que establece </w:t>
      </w:r>
      <w:r w:rsidRPr="00625CDB">
        <w:rPr>
          <w:rFonts w:eastAsia="Palatino Linotype" w:cs="Palatino Linotype"/>
        </w:rPr>
        <w:t xml:space="preserve">el artículo 92 fracción XXIX de la Ley de Transparencia y Acceso a la Información Pública del Estado de México y Municipios. </w:t>
      </w:r>
    </w:p>
    <w:p w14:paraId="26F20013" w14:textId="77777777" w:rsidR="00FF1BB7" w:rsidRPr="00625CDB" w:rsidRDefault="00FF1BB7" w:rsidP="00625CDB">
      <w:pPr>
        <w:pBdr>
          <w:top w:val="nil"/>
          <w:left w:val="nil"/>
          <w:bottom w:val="nil"/>
          <w:right w:val="nil"/>
          <w:between w:val="nil"/>
        </w:pBdr>
        <w:ind w:right="49"/>
        <w:rPr>
          <w:rFonts w:eastAsia="Palatino Linotype" w:cs="Palatino Linotype"/>
        </w:rPr>
      </w:pPr>
    </w:p>
    <w:p w14:paraId="2CF99CDD" w14:textId="77777777" w:rsidR="00FF1BB7" w:rsidRPr="00625CDB" w:rsidRDefault="00FF1BB7" w:rsidP="00625CDB">
      <w:pPr>
        <w:pBdr>
          <w:top w:val="nil"/>
          <w:left w:val="nil"/>
          <w:bottom w:val="nil"/>
          <w:right w:val="nil"/>
          <w:between w:val="nil"/>
        </w:pBdr>
        <w:ind w:right="49"/>
        <w:rPr>
          <w:rFonts w:eastAsia="Palatino Linotype" w:cs="Palatino Linotype"/>
        </w:rPr>
      </w:pPr>
      <w:r w:rsidRPr="00625CDB">
        <w:rPr>
          <w:rFonts w:eastAsia="Palatino Linotype" w:cs="Palatino Linotype"/>
        </w:rPr>
        <w:t xml:space="preserve">En ese sentido, es menester mencionar que, de conformidad que la Ley que regula los procedimientos de adquisición, arrendamientos y servicios que se adjudicarán, establece en su artículo 1 lo siguiente: </w:t>
      </w:r>
    </w:p>
    <w:p w14:paraId="7F039A74" w14:textId="77777777" w:rsidR="00FF1BB7" w:rsidRPr="00625CDB" w:rsidRDefault="00FF1BB7" w:rsidP="00625CDB">
      <w:pPr>
        <w:pBdr>
          <w:top w:val="nil"/>
          <w:left w:val="nil"/>
          <w:bottom w:val="nil"/>
          <w:right w:val="nil"/>
          <w:between w:val="nil"/>
        </w:pBdr>
        <w:ind w:right="49"/>
        <w:rPr>
          <w:rFonts w:eastAsia="Palatino Linotype" w:cs="Palatino Linotype"/>
        </w:rPr>
      </w:pPr>
    </w:p>
    <w:p w14:paraId="484961FB" w14:textId="77777777" w:rsidR="00FF1BB7" w:rsidRPr="00625CDB" w:rsidRDefault="00FF1BB7" w:rsidP="00625CDB">
      <w:pPr>
        <w:pBdr>
          <w:top w:val="nil"/>
          <w:left w:val="nil"/>
          <w:bottom w:val="nil"/>
          <w:right w:val="nil"/>
          <w:between w:val="nil"/>
        </w:pBdr>
        <w:ind w:left="567" w:right="709"/>
        <w:rPr>
          <w:rFonts w:eastAsia="Palatino Linotype" w:cs="Palatino Linotype"/>
          <w:i/>
        </w:rPr>
      </w:pPr>
      <w:r w:rsidRPr="00625CDB">
        <w:rPr>
          <w:rFonts w:eastAsia="Palatino Linotype" w:cs="Palatino Linotype"/>
          <w:b/>
          <w:bCs/>
          <w:i/>
        </w:rPr>
        <w:t>Artículo 1.-</w:t>
      </w:r>
      <w:r w:rsidRPr="00625CDB">
        <w:rPr>
          <w:rFonts w:eastAsia="Palatino Linotype" w:cs="Palatino Linotype"/>
          <w:i/>
        </w:rPr>
        <w:t xml:space="preserve"> Esta Ley tiene por objeto regular los actos relativos a la planeación, programación, presupuestación, ejecución y control de la adquisición, enajenación y arrendamiento de bienes, y la contratación de servicios de cualquier naturaleza, que realicen: </w:t>
      </w:r>
    </w:p>
    <w:p w14:paraId="4240AE2E" w14:textId="77777777" w:rsidR="00FF1BB7" w:rsidRPr="00625CDB" w:rsidRDefault="00FF1BB7" w:rsidP="00625CDB">
      <w:pPr>
        <w:pBdr>
          <w:top w:val="nil"/>
          <w:left w:val="nil"/>
          <w:bottom w:val="nil"/>
          <w:right w:val="nil"/>
          <w:between w:val="nil"/>
        </w:pBdr>
        <w:ind w:left="567" w:right="709"/>
        <w:rPr>
          <w:rFonts w:eastAsia="Palatino Linotype" w:cs="Palatino Linotype"/>
          <w:b/>
          <w:i/>
        </w:rPr>
      </w:pPr>
      <w:r w:rsidRPr="00625CDB">
        <w:rPr>
          <w:rFonts w:eastAsia="Palatino Linotype" w:cs="Palatino Linotype"/>
          <w:b/>
          <w:i/>
        </w:rPr>
        <w:t xml:space="preserve">I. Las secretarías y las unidades administrativas del Poder Ejecutivo del Estado. </w:t>
      </w:r>
    </w:p>
    <w:p w14:paraId="4666E5F0" w14:textId="77777777" w:rsidR="00FF1BB7" w:rsidRPr="00625CDB" w:rsidRDefault="00FF1BB7" w:rsidP="00625CDB">
      <w:pPr>
        <w:pBdr>
          <w:top w:val="nil"/>
          <w:left w:val="nil"/>
          <w:bottom w:val="nil"/>
          <w:right w:val="nil"/>
          <w:between w:val="nil"/>
        </w:pBdr>
        <w:ind w:left="567" w:right="709"/>
        <w:rPr>
          <w:rFonts w:eastAsia="Palatino Linotype" w:cs="Palatino Linotype"/>
          <w:b/>
          <w:i/>
        </w:rPr>
      </w:pPr>
      <w:r w:rsidRPr="00625CDB">
        <w:rPr>
          <w:rFonts w:eastAsia="Palatino Linotype" w:cs="Palatino Linotype"/>
          <w:b/>
          <w:i/>
        </w:rPr>
        <w:t xml:space="preserve">II. Derogada. </w:t>
      </w:r>
    </w:p>
    <w:p w14:paraId="7490101C" w14:textId="77777777" w:rsidR="00FF1BB7" w:rsidRPr="00625CDB" w:rsidRDefault="00FF1BB7" w:rsidP="00625CDB">
      <w:pPr>
        <w:pBdr>
          <w:top w:val="nil"/>
          <w:left w:val="nil"/>
          <w:bottom w:val="nil"/>
          <w:right w:val="nil"/>
          <w:between w:val="nil"/>
        </w:pBdr>
        <w:ind w:left="567" w:right="709"/>
        <w:rPr>
          <w:rFonts w:eastAsia="Palatino Linotype" w:cs="Palatino Linotype"/>
          <w:b/>
          <w:i/>
        </w:rPr>
      </w:pPr>
      <w:r w:rsidRPr="00625CDB">
        <w:rPr>
          <w:rFonts w:eastAsia="Palatino Linotype" w:cs="Palatino Linotype"/>
          <w:b/>
          <w:i/>
        </w:rPr>
        <w:t xml:space="preserve">III. Los ayuntamientos de los municipios del Estado. </w:t>
      </w:r>
    </w:p>
    <w:p w14:paraId="3BFA6229" w14:textId="77777777" w:rsidR="004F05CE" w:rsidRPr="00625CDB" w:rsidRDefault="00FF1BB7" w:rsidP="00625CDB">
      <w:pPr>
        <w:pBdr>
          <w:top w:val="nil"/>
          <w:left w:val="nil"/>
          <w:bottom w:val="nil"/>
          <w:right w:val="nil"/>
          <w:between w:val="nil"/>
        </w:pBdr>
        <w:ind w:left="567" w:right="709"/>
        <w:rPr>
          <w:rFonts w:eastAsia="Palatino Linotype" w:cs="Palatino Linotype"/>
          <w:b/>
          <w:i/>
        </w:rPr>
      </w:pPr>
      <w:r w:rsidRPr="00625CDB">
        <w:rPr>
          <w:rFonts w:eastAsia="Palatino Linotype" w:cs="Palatino Linotype"/>
          <w:b/>
          <w:i/>
        </w:rPr>
        <w:t xml:space="preserve">IV. Los organismos auxiliares y fideicomisos públicos, de carácter estatal o municipal. </w:t>
      </w:r>
    </w:p>
    <w:p w14:paraId="55C6FFE7" w14:textId="54D2F47E" w:rsidR="00FF1BB7" w:rsidRPr="00625CDB" w:rsidRDefault="00FF1BB7" w:rsidP="00625CDB">
      <w:pPr>
        <w:pBdr>
          <w:top w:val="nil"/>
          <w:left w:val="nil"/>
          <w:bottom w:val="nil"/>
          <w:right w:val="nil"/>
          <w:between w:val="nil"/>
        </w:pBdr>
        <w:ind w:left="567" w:right="709"/>
        <w:rPr>
          <w:rFonts w:eastAsia="Palatino Linotype" w:cs="Palatino Linotype"/>
          <w:b/>
          <w:i/>
        </w:rPr>
      </w:pPr>
      <w:r w:rsidRPr="00625CDB">
        <w:rPr>
          <w:rFonts w:eastAsia="Palatino Linotype" w:cs="Palatino Linotype"/>
          <w:b/>
          <w:i/>
        </w:rPr>
        <w:t xml:space="preserve">V. Los tribunales administrativos. </w:t>
      </w:r>
    </w:p>
    <w:p w14:paraId="4E5412F7" w14:textId="77777777" w:rsidR="00FF1BB7" w:rsidRPr="00625CDB" w:rsidRDefault="00FF1BB7" w:rsidP="00625CDB">
      <w:pPr>
        <w:pBdr>
          <w:top w:val="nil"/>
          <w:left w:val="nil"/>
          <w:bottom w:val="nil"/>
          <w:right w:val="nil"/>
          <w:between w:val="nil"/>
        </w:pBdr>
        <w:ind w:left="567" w:right="709"/>
        <w:rPr>
          <w:rFonts w:eastAsia="Palatino Linotype" w:cs="Palatino Linotype"/>
          <w:i/>
        </w:rPr>
      </w:pPr>
    </w:p>
    <w:p w14:paraId="0A68639A" w14:textId="77777777" w:rsidR="00FF1BB7" w:rsidRPr="00625CDB" w:rsidRDefault="00FF1BB7" w:rsidP="00625CDB">
      <w:pPr>
        <w:pBdr>
          <w:top w:val="nil"/>
          <w:left w:val="nil"/>
          <w:bottom w:val="nil"/>
          <w:right w:val="nil"/>
          <w:between w:val="nil"/>
        </w:pBdr>
        <w:ind w:left="567" w:right="709"/>
        <w:rPr>
          <w:rFonts w:eastAsia="Palatino Linotype" w:cs="Palatino Linotype"/>
          <w:i/>
        </w:rPr>
      </w:pPr>
      <w:r w:rsidRPr="00625CDB">
        <w:rPr>
          <w:rFonts w:eastAsia="Palatino Linotype" w:cs="Palatino Linotype"/>
          <w:i/>
        </w:rPr>
        <w:t xml:space="preserve">Los actos a los que se refiere este artículo que se realicen con cargo total o parcial a fondos del Gobierno del Estado de México, se estarán a lo dispuesto por esta Ley. Los actos a que se refiere este artículo que se realicen con cargo total o parcial a fondos del Gobierno Federal, estarán a lo dispuesto por la legislación federal. </w:t>
      </w:r>
    </w:p>
    <w:p w14:paraId="61C1C490" w14:textId="77777777" w:rsidR="00FF1BB7" w:rsidRPr="00625CDB" w:rsidRDefault="00FF1BB7" w:rsidP="00625CDB">
      <w:pPr>
        <w:pBdr>
          <w:top w:val="nil"/>
          <w:left w:val="nil"/>
          <w:bottom w:val="nil"/>
          <w:right w:val="nil"/>
          <w:between w:val="nil"/>
        </w:pBdr>
        <w:ind w:left="567" w:right="709"/>
        <w:rPr>
          <w:rFonts w:eastAsia="Palatino Linotype" w:cs="Palatino Linotype"/>
          <w:i/>
        </w:rPr>
      </w:pPr>
    </w:p>
    <w:p w14:paraId="619EBC4D" w14:textId="77777777" w:rsidR="00FF1BB7" w:rsidRPr="00625CDB" w:rsidRDefault="00FF1BB7" w:rsidP="00625CDB">
      <w:pPr>
        <w:pBdr>
          <w:top w:val="nil"/>
          <w:left w:val="nil"/>
          <w:bottom w:val="nil"/>
          <w:right w:val="nil"/>
          <w:between w:val="nil"/>
        </w:pBdr>
        <w:ind w:left="567" w:right="709"/>
        <w:rPr>
          <w:rFonts w:eastAsia="Palatino Linotype" w:cs="Palatino Linotype"/>
          <w:i/>
        </w:rPr>
      </w:pPr>
      <w:r w:rsidRPr="00625CDB">
        <w:rPr>
          <w:rFonts w:eastAsia="Palatino Linotype" w:cs="Palatino Linotype"/>
          <w:i/>
        </w:rPr>
        <w:lastRenderedPageBreak/>
        <w:t xml:space="preserve">También serán aplicables las disposiciones de esta Ley a los particulares que participen en los procedimientos, operaciones o contratos regulados en esta Ley. </w:t>
      </w:r>
    </w:p>
    <w:p w14:paraId="21AAB6B5" w14:textId="77777777" w:rsidR="00FF1BB7" w:rsidRPr="00625CDB" w:rsidRDefault="00FF1BB7" w:rsidP="00625CDB">
      <w:pPr>
        <w:pBdr>
          <w:top w:val="nil"/>
          <w:left w:val="nil"/>
          <w:bottom w:val="nil"/>
          <w:right w:val="nil"/>
          <w:between w:val="nil"/>
        </w:pBdr>
        <w:ind w:left="567" w:right="709"/>
        <w:rPr>
          <w:rFonts w:eastAsia="Palatino Linotype" w:cs="Palatino Linotype"/>
          <w:i/>
        </w:rPr>
      </w:pPr>
    </w:p>
    <w:p w14:paraId="2D300456" w14:textId="77777777" w:rsidR="00FF1BB7" w:rsidRPr="00625CDB" w:rsidRDefault="00FF1BB7" w:rsidP="00625CDB">
      <w:pPr>
        <w:pBdr>
          <w:top w:val="nil"/>
          <w:left w:val="nil"/>
          <w:bottom w:val="nil"/>
          <w:right w:val="nil"/>
          <w:between w:val="nil"/>
        </w:pBdr>
        <w:ind w:left="567" w:right="709"/>
        <w:rPr>
          <w:rFonts w:eastAsia="Palatino Linotype" w:cs="Palatino Linotype"/>
          <w:i/>
        </w:rPr>
      </w:pPr>
      <w:r w:rsidRPr="00625CDB">
        <w:rPr>
          <w:rFonts w:eastAsia="Palatino Linotype" w:cs="Palatino Linotype"/>
          <w:i/>
        </w:rPr>
        <w:t xml:space="preserve">Los poderes Legislativo y Judicial, así como los organismos autónomos aplicarán las disposiciones de esta Ley en lo que no se oponga a los ordenamientos legales que los regulan, sujetándose a sus propios órganos de control. </w:t>
      </w:r>
    </w:p>
    <w:p w14:paraId="26233521" w14:textId="77777777" w:rsidR="00FF1BB7" w:rsidRPr="00625CDB" w:rsidRDefault="00FF1BB7" w:rsidP="00625CDB">
      <w:pPr>
        <w:pBdr>
          <w:top w:val="nil"/>
          <w:left w:val="nil"/>
          <w:bottom w:val="nil"/>
          <w:right w:val="nil"/>
          <w:between w:val="nil"/>
        </w:pBdr>
        <w:ind w:left="567" w:right="709"/>
        <w:rPr>
          <w:rFonts w:eastAsia="Palatino Linotype" w:cs="Palatino Linotype"/>
          <w:i/>
        </w:rPr>
      </w:pPr>
    </w:p>
    <w:p w14:paraId="2FB9FD52" w14:textId="77777777" w:rsidR="00FF1BB7" w:rsidRPr="00625CDB" w:rsidRDefault="00FF1BB7" w:rsidP="00625CDB">
      <w:pPr>
        <w:pBdr>
          <w:top w:val="nil"/>
          <w:left w:val="nil"/>
          <w:bottom w:val="nil"/>
          <w:right w:val="nil"/>
          <w:between w:val="nil"/>
        </w:pBdr>
        <w:ind w:left="567" w:right="709"/>
        <w:rPr>
          <w:rFonts w:eastAsia="Palatino Linotype" w:cs="Palatino Linotype"/>
          <w:i/>
        </w:rPr>
      </w:pPr>
      <w:r w:rsidRPr="00625CDB">
        <w:rPr>
          <w:rFonts w:eastAsia="Palatino Linotype" w:cs="Palatino Linotype"/>
          <w:i/>
        </w:rPr>
        <w:t xml:space="preserve">No será aplicable lo dispuesto por esta Ley en los actos objeto del mismo, derivados de convenios celebrados entre dependencias, entidades y ayuntamientos, entre sí o con los de otros estados o de la Federación, excepto cuando sea parte un particular en los procedimientos o contratos respectivos. </w:t>
      </w:r>
    </w:p>
    <w:p w14:paraId="0D37ED76" w14:textId="77777777" w:rsidR="00FF1BB7" w:rsidRPr="00625CDB" w:rsidRDefault="00FF1BB7" w:rsidP="00625CDB">
      <w:pPr>
        <w:pBdr>
          <w:top w:val="nil"/>
          <w:left w:val="nil"/>
          <w:bottom w:val="nil"/>
          <w:right w:val="nil"/>
          <w:between w:val="nil"/>
        </w:pBdr>
        <w:ind w:left="567" w:right="709"/>
        <w:rPr>
          <w:rFonts w:eastAsia="Palatino Linotype" w:cs="Palatino Linotype"/>
          <w:i/>
        </w:rPr>
      </w:pPr>
    </w:p>
    <w:p w14:paraId="359D83F6" w14:textId="77777777" w:rsidR="00FF1BB7" w:rsidRPr="00625CDB" w:rsidRDefault="00FF1BB7" w:rsidP="00625CDB">
      <w:pPr>
        <w:pBdr>
          <w:top w:val="nil"/>
          <w:left w:val="nil"/>
          <w:bottom w:val="nil"/>
          <w:right w:val="nil"/>
          <w:between w:val="nil"/>
        </w:pBdr>
        <w:ind w:left="567" w:right="709"/>
        <w:rPr>
          <w:rFonts w:eastAsia="Palatino Linotype" w:cs="Palatino Linotype"/>
          <w:i/>
        </w:rPr>
      </w:pPr>
      <w:r w:rsidRPr="00625CDB">
        <w:rPr>
          <w:rFonts w:eastAsia="Palatino Linotype" w:cs="Palatino Linotype"/>
          <w:i/>
        </w:rPr>
        <w:t>Tampoco serán aplicables las disposiciones de esta Ley en los actos que realicen los fideicomisos públicos en los que el Gobierno del Estado no sea fideicomitente único.</w:t>
      </w:r>
    </w:p>
    <w:p w14:paraId="76DC41C4" w14:textId="77777777" w:rsidR="00FF1BB7" w:rsidRPr="00625CDB" w:rsidRDefault="00FF1BB7" w:rsidP="00625CDB">
      <w:pPr>
        <w:pBdr>
          <w:top w:val="nil"/>
          <w:left w:val="nil"/>
          <w:bottom w:val="nil"/>
          <w:right w:val="nil"/>
          <w:between w:val="nil"/>
        </w:pBdr>
        <w:ind w:right="49"/>
        <w:rPr>
          <w:rFonts w:eastAsia="Palatino Linotype" w:cs="Palatino Linotype"/>
        </w:rPr>
      </w:pPr>
    </w:p>
    <w:p w14:paraId="7AD3EE64" w14:textId="77777777" w:rsidR="00FF1BB7" w:rsidRPr="00625CDB" w:rsidRDefault="00FF1BB7" w:rsidP="00625CDB">
      <w:pPr>
        <w:pBdr>
          <w:top w:val="nil"/>
          <w:left w:val="nil"/>
          <w:bottom w:val="nil"/>
          <w:right w:val="nil"/>
          <w:between w:val="nil"/>
        </w:pBdr>
        <w:ind w:right="49"/>
        <w:rPr>
          <w:rFonts w:eastAsia="Palatino Linotype" w:cs="Palatino Linotype"/>
        </w:rPr>
      </w:pPr>
      <w:r w:rsidRPr="00625CDB">
        <w:rPr>
          <w:rFonts w:eastAsia="Palatino Linotype" w:cs="Palatino Linotype"/>
        </w:rPr>
        <w:t xml:space="preserve">De lo anterior, se advierte que, la Ley de Contratación regulara únicamente los procedimientos que lleven a cabo las secretarías, las unidades administrativas del Poder Ejecutivo, los ayuntamientos de los municipios, los organismos auxiliares y fideicomisos y, los tribunales administrativos, no obstante, no refiere algo de los partidos políticos. </w:t>
      </w:r>
    </w:p>
    <w:p w14:paraId="2F6D6BA3" w14:textId="77777777" w:rsidR="00FF1BB7" w:rsidRPr="00625CDB" w:rsidRDefault="00FF1BB7" w:rsidP="00625CDB">
      <w:pPr>
        <w:pBdr>
          <w:top w:val="nil"/>
          <w:left w:val="nil"/>
          <w:bottom w:val="nil"/>
          <w:right w:val="nil"/>
          <w:between w:val="nil"/>
        </w:pBdr>
        <w:ind w:right="49"/>
        <w:rPr>
          <w:rFonts w:eastAsia="Palatino Linotype" w:cs="Palatino Linotype"/>
        </w:rPr>
      </w:pPr>
    </w:p>
    <w:p w14:paraId="13C7290E" w14:textId="77777777" w:rsidR="00FF1BB7" w:rsidRPr="00625CDB" w:rsidRDefault="00FF1BB7" w:rsidP="00625CDB">
      <w:pPr>
        <w:pBdr>
          <w:top w:val="nil"/>
          <w:left w:val="nil"/>
          <w:bottom w:val="nil"/>
          <w:right w:val="nil"/>
          <w:between w:val="nil"/>
        </w:pBdr>
        <w:ind w:right="49"/>
        <w:rPr>
          <w:rFonts w:eastAsia="Palatino Linotype" w:cs="Palatino Linotype"/>
        </w:rPr>
      </w:pPr>
      <w:r w:rsidRPr="00625CDB">
        <w:rPr>
          <w:rFonts w:eastAsia="Palatino Linotype" w:cs="Palatino Linotype"/>
        </w:rPr>
        <w:t xml:space="preserve">Por otro lado, la Ley General de Partidos Políticos establece en su artículo 50 que, estos tienen derecho a recibir, para desarrollar sus actividades, financiamiento público que se destinará para el sostenimiento de actividades ordinarias permanentes, gastos de procesos electorales y para actividades específicas. </w:t>
      </w:r>
    </w:p>
    <w:p w14:paraId="5A7EB395" w14:textId="77777777" w:rsidR="00FF1BB7" w:rsidRPr="00625CDB" w:rsidRDefault="00FF1BB7" w:rsidP="00625CDB">
      <w:pPr>
        <w:pBdr>
          <w:top w:val="nil"/>
          <w:left w:val="nil"/>
          <w:bottom w:val="nil"/>
          <w:right w:val="nil"/>
          <w:between w:val="nil"/>
        </w:pBdr>
        <w:ind w:right="49"/>
        <w:rPr>
          <w:rFonts w:eastAsia="Palatino Linotype" w:cs="Palatino Linotype"/>
        </w:rPr>
      </w:pPr>
    </w:p>
    <w:p w14:paraId="49BC4F7E" w14:textId="77777777" w:rsidR="00FF1BB7" w:rsidRPr="00625CDB" w:rsidRDefault="00FF1BB7" w:rsidP="00625CDB">
      <w:pPr>
        <w:pBdr>
          <w:top w:val="nil"/>
          <w:left w:val="nil"/>
          <w:bottom w:val="nil"/>
          <w:right w:val="nil"/>
          <w:between w:val="nil"/>
        </w:pBdr>
        <w:ind w:right="49"/>
        <w:rPr>
          <w:rFonts w:eastAsia="Palatino Linotype" w:cs="Palatino Linotype"/>
        </w:rPr>
      </w:pPr>
      <w:r w:rsidRPr="00625CDB">
        <w:rPr>
          <w:rFonts w:eastAsia="Palatino Linotype" w:cs="Palatino Linotype"/>
        </w:rPr>
        <w:lastRenderedPageBreak/>
        <w:t xml:space="preserve">Ahora bien, en lo que respecta a las obligaciones de los Partidos Políticos en materia de transparencia, la Ley General de Partidos Políticos menciona que: </w:t>
      </w:r>
    </w:p>
    <w:p w14:paraId="584271FC" w14:textId="77777777" w:rsidR="00FF1BB7" w:rsidRPr="00625CDB" w:rsidRDefault="00FF1BB7" w:rsidP="00625CDB">
      <w:pPr>
        <w:pBdr>
          <w:top w:val="nil"/>
          <w:left w:val="nil"/>
          <w:bottom w:val="nil"/>
          <w:right w:val="nil"/>
          <w:between w:val="nil"/>
        </w:pBdr>
        <w:ind w:right="49"/>
        <w:rPr>
          <w:rFonts w:eastAsia="Palatino Linotype" w:cs="Palatino Linotype"/>
        </w:rPr>
      </w:pPr>
    </w:p>
    <w:p w14:paraId="081BA8E4" w14:textId="77777777" w:rsidR="00FF1BB7" w:rsidRPr="00625CDB" w:rsidRDefault="00FF1BB7" w:rsidP="00625CDB">
      <w:pPr>
        <w:pBdr>
          <w:top w:val="nil"/>
          <w:left w:val="nil"/>
          <w:bottom w:val="nil"/>
          <w:right w:val="nil"/>
          <w:between w:val="nil"/>
        </w:pBdr>
        <w:ind w:left="567" w:right="709"/>
        <w:rPr>
          <w:rFonts w:eastAsia="Palatino Linotype" w:cs="Palatino Linotype"/>
          <w:i/>
        </w:rPr>
      </w:pPr>
      <w:r w:rsidRPr="00625CDB">
        <w:rPr>
          <w:rFonts w:eastAsia="Palatino Linotype" w:cs="Palatino Linotype"/>
          <w:b/>
          <w:i/>
        </w:rPr>
        <w:t>Artículo 30. 1.</w:t>
      </w:r>
      <w:r w:rsidRPr="00625CDB">
        <w:rPr>
          <w:rFonts w:eastAsia="Palatino Linotype" w:cs="Palatino Linotype"/>
          <w:i/>
        </w:rPr>
        <w:t xml:space="preserve"> Se considera información pública de los partidos políticos:</w:t>
      </w:r>
    </w:p>
    <w:p w14:paraId="282AEC3A" w14:textId="77777777" w:rsidR="00FF1BB7" w:rsidRPr="00625CDB" w:rsidRDefault="00FF1BB7" w:rsidP="00625CDB">
      <w:pPr>
        <w:pBdr>
          <w:top w:val="nil"/>
          <w:left w:val="nil"/>
          <w:bottom w:val="nil"/>
          <w:right w:val="nil"/>
          <w:between w:val="nil"/>
        </w:pBdr>
        <w:ind w:left="567" w:right="709"/>
        <w:rPr>
          <w:rFonts w:eastAsia="Palatino Linotype" w:cs="Palatino Linotype"/>
          <w:i/>
        </w:rPr>
      </w:pPr>
      <w:r w:rsidRPr="00625CDB">
        <w:rPr>
          <w:rFonts w:eastAsia="Palatino Linotype" w:cs="Palatino Linotype"/>
          <w:i/>
        </w:rPr>
        <w:t>…</w:t>
      </w:r>
    </w:p>
    <w:p w14:paraId="11B525CB" w14:textId="77777777" w:rsidR="00FF1BB7" w:rsidRPr="00625CDB" w:rsidRDefault="00FF1BB7" w:rsidP="00625CDB">
      <w:pPr>
        <w:pBdr>
          <w:top w:val="nil"/>
          <w:left w:val="nil"/>
          <w:bottom w:val="nil"/>
          <w:right w:val="nil"/>
          <w:between w:val="nil"/>
        </w:pBdr>
        <w:ind w:left="567" w:right="709"/>
        <w:rPr>
          <w:rFonts w:eastAsia="Palatino Linotype" w:cs="Palatino Linotype"/>
          <w:i/>
        </w:rPr>
      </w:pPr>
      <w:r w:rsidRPr="00625CDB">
        <w:rPr>
          <w:rFonts w:eastAsia="Palatino Linotype" w:cs="Palatino Linotype"/>
          <w:i/>
        </w:rPr>
        <w:t>g) Los contratos y convenios suscritos para la adquisición, arrendamiento, concesiones y prestación de bienes y servicios;</w:t>
      </w:r>
    </w:p>
    <w:p w14:paraId="6D77A37A" w14:textId="77777777" w:rsidR="00FF1BB7" w:rsidRPr="00625CDB" w:rsidRDefault="00FF1BB7" w:rsidP="00625CDB">
      <w:pPr>
        <w:pBdr>
          <w:top w:val="nil"/>
          <w:left w:val="nil"/>
          <w:bottom w:val="nil"/>
          <w:right w:val="nil"/>
          <w:between w:val="nil"/>
        </w:pBdr>
        <w:ind w:left="567" w:right="709"/>
        <w:rPr>
          <w:rFonts w:eastAsia="Palatino Linotype" w:cs="Palatino Linotype"/>
          <w:i/>
        </w:rPr>
      </w:pPr>
      <w:r w:rsidRPr="00625CDB">
        <w:rPr>
          <w:rFonts w:eastAsia="Palatino Linotype" w:cs="Palatino Linotype"/>
          <w:i/>
        </w:rPr>
        <w:t>…</w:t>
      </w:r>
    </w:p>
    <w:p w14:paraId="21C76B25" w14:textId="77777777" w:rsidR="00FF1BB7" w:rsidRPr="00625CDB" w:rsidRDefault="00FF1BB7" w:rsidP="00625CDB">
      <w:pPr>
        <w:pBdr>
          <w:top w:val="nil"/>
          <w:left w:val="nil"/>
          <w:bottom w:val="nil"/>
          <w:right w:val="nil"/>
          <w:between w:val="nil"/>
        </w:pBdr>
        <w:ind w:right="49"/>
        <w:rPr>
          <w:rFonts w:eastAsia="Palatino Linotype" w:cs="Palatino Linotype"/>
        </w:rPr>
      </w:pPr>
    </w:p>
    <w:p w14:paraId="7A662C9A" w14:textId="77777777" w:rsidR="00FF1BB7" w:rsidRPr="00625CDB" w:rsidRDefault="00FF1BB7" w:rsidP="00625CDB">
      <w:pPr>
        <w:pBdr>
          <w:top w:val="nil"/>
          <w:left w:val="nil"/>
          <w:bottom w:val="nil"/>
          <w:right w:val="nil"/>
          <w:between w:val="nil"/>
        </w:pBdr>
        <w:ind w:right="49"/>
        <w:rPr>
          <w:rFonts w:eastAsia="Palatino Linotype" w:cs="Palatino Linotype"/>
        </w:rPr>
      </w:pPr>
      <w:r w:rsidRPr="00625CDB">
        <w:rPr>
          <w:rFonts w:eastAsia="Palatino Linotype" w:cs="Palatino Linotype"/>
        </w:rPr>
        <w:t>De ello, se advierte, que es información pública de los partidos políticos, los contratos y convenios para la adquisición de arrendamientos, concesiones y prestación de bienes y servicios, no obstante, no se establece que sus bienes o la contratación de servicios sean adquiridos a través de un procedimiento de licitación pública, invitación restringida o adjudicación directa.</w:t>
      </w:r>
    </w:p>
    <w:p w14:paraId="3CC9F8B2" w14:textId="77777777" w:rsidR="00FF1BB7" w:rsidRPr="00625CDB" w:rsidRDefault="00FF1BB7" w:rsidP="00625CDB">
      <w:pPr>
        <w:pBdr>
          <w:top w:val="nil"/>
          <w:left w:val="nil"/>
          <w:bottom w:val="nil"/>
          <w:right w:val="nil"/>
          <w:between w:val="nil"/>
        </w:pBdr>
        <w:ind w:right="49"/>
        <w:rPr>
          <w:rFonts w:eastAsia="Palatino Linotype" w:cs="Palatino Linotype"/>
        </w:rPr>
      </w:pPr>
    </w:p>
    <w:p w14:paraId="2B569C1B" w14:textId="116567A7" w:rsidR="00FF1BB7" w:rsidRPr="00625CDB" w:rsidRDefault="00FF1BB7" w:rsidP="00625CDB">
      <w:pPr>
        <w:pBdr>
          <w:top w:val="nil"/>
          <w:left w:val="nil"/>
          <w:bottom w:val="nil"/>
          <w:right w:val="nil"/>
          <w:between w:val="nil"/>
        </w:pBdr>
        <w:ind w:right="49"/>
        <w:rPr>
          <w:rFonts w:eastAsia="Palatino Linotype" w:cs="Palatino Linotype"/>
          <w:b/>
          <w:u w:val="single"/>
        </w:rPr>
      </w:pPr>
      <w:r w:rsidRPr="00625CDB">
        <w:rPr>
          <w:rFonts w:eastAsia="Palatino Linotype" w:cs="Palatino Linotype"/>
          <w:b/>
          <w:u w:val="single"/>
        </w:rPr>
        <w:t xml:space="preserve">Aunado a ello, es de destacar que, la Ley General de Partidos Políticos tampoco precisa la facultad de los mismos para llevar a cabo procedimientos de adquisición de bienes y servicios, situación que tampoco se logra advertir en los Estatutos del Partido Revolucionario Institucional. </w:t>
      </w:r>
    </w:p>
    <w:p w14:paraId="34AF90AD" w14:textId="77777777" w:rsidR="00FF1BB7" w:rsidRPr="00625CDB" w:rsidRDefault="00FF1BB7" w:rsidP="00625CDB">
      <w:pPr>
        <w:pBdr>
          <w:top w:val="nil"/>
          <w:left w:val="nil"/>
          <w:bottom w:val="nil"/>
          <w:right w:val="nil"/>
          <w:between w:val="nil"/>
        </w:pBdr>
        <w:ind w:right="49"/>
        <w:rPr>
          <w:rFonts w:eastAsia="Palatino Linotype" w:cs="Palatino Linotype"/>
        </w:rPr>
      </w:pPr>
    </w:p>
    <w:p w14:paraId="4E4E00A8" w14:textId="77777777" w:rsidR="00FF1BB7" w:rsidRPr="00625CDB" w:rsidRDefault="00FF1BB7" w:rsidP="00625CDB">
      <w:pPr>
        <w:pBdr>
          <w:top w:val="nil"/>
          <w:left w:val="nil"/>
          <w:bottom w:val="nil"/>
          <w:right w:val="nil"/>
          <w:between w:val="nil"/>
        </w:pBdr>
        <w:ind w:right="49"/>
        <w:rPr>
          <w:rFonts w:eastAsia="Palatino Linotype" w:cs="Palatino Linotype"/>
        </w:rPr>
      </w:pPr>
      <w:r w:rsidRPr="00625CDB">
        <w:rPr>
          <w:rFonts w:eastAsia="Palatino Linotype" w:cs="Palatino Linotype"/>
        </w:rPr>
        <w:t xml:space="preserve">En ese sentido, es necesario traer a colación que, la Ley General de Transparencia y Acceso a la Información Pública, así como la Ley de Transparencia y Acceso a la Información Pública del Estado de México y Municipios; establecen dentro de las obligaciones de transparencia común de los Sujetos Obligados lo referente a los procedimientos de licitación pública, invitación restringida y adjudicación directa, no obstante, los partidos políticos cuentan con </w:t>
      </w:r>
      <w:r w:rsidRPr="00625CDB">
        <w:rPr>
          <w:rFonts w:eastAsia="Palatino Linotype" w:cs="Palatino Linotype"/>
        </w:rPr>
        <w:lastRenderedPageBreak/>
        <w:t xml:space="preserve">obligaciones de transparencia específicas que para el caso de nuestra Entidad, se encuentran establecidas en el artículo 100 de la Ley en la materia que a la letra establece: </w:t>
      </w:r>
    </w:p>
    <w:p w14:paraId="217C15A2" w14:textId="77777777" w:rsidR="00FF1BB7" w:rsidRPr="00625CDB" w:rsidRDefault="00FF1BB7" w:rsidP="00625CDB">
      <w:pPr>
        <w:pBdr>
          <w:top w:val="nil"/>
          <w:left w:val="nil"/>
          <w:bottom w:val="nil"/>
          <w:right w:val="nil"/>
          <w:between w:val="nil"/>
        </w:pBdr>
        <w:ind w:right="49"/>
        <w:rPr>
          <w:rFonts w:eastAsia="Palatino Linotype" w:cs="Palatino Linotype"/>
        </w:rPr>
      </w:pPr>
    </w:p>
    <w:p w14:paraId="3056B135" w14:textId="77777777" w:rsidR="00FF1BB7" w:rsidRPr="00625CDB" w:rsidRDefault="00FF1BB7" w:rsidP="00625CDB">
      <w:pPr>
        <w:pBdr>
          <w:top w:val="nil"/>
          <w:left w:val="nil"/>
          <w:bottom w:val="nil"/>
          <w:right w:val="nil"/>
          <w:between w:val="nil"/>
        </w:pBdr>
        <w:ind w:left="567" w:right="709"/>
        <w:rPr>
          <w:rFonts w:eastAsia="Palatino Linotype" w:cs="Palatino Linotype"/>
          <w:i/>
        </w:rPr>
      </w:pPr>
      <w:r w:rsidRPr="00625CDB">
        <w:rPr>
          <w:rFonts w:eastAsia="Palatino Linotype" w:cs="Palatino Linotype"/>
          <w:b/>
          <w:i/>
        </w:rPr>
        <w:t>Artículo 100.</w:t>
      </w:r>
      <w:r w:rsidRPr="00625CDB">
        <w:rPr>
          <w:rFonts w:eastAsia="Palatino Linotype" w:cs="Palatino Linotype"/>
          <w:i/>
        </w:rPr>
        <w:t xml:space="preserve"> Los partidos políticos nacionales acreditados para participar en elecciones locales y los partidos locales, en cuanto hace a sus órganos directivos estatales y municipales, las agrupaciones políticas y las personas jurídicas colectivas constituidas en asociación civil creadas por los ciudadanos que pretendan postular su candidatura independiente, según corresponda, deberán poner a disposición del público y actualizar la siguiente información: </w:t>
      </w:r>
    </w:p>
    <w:p w14:paraId="08D9116E" w14:textId="77777777" w:rsidR="00FF1BB7" w:rsidRPr="00625CDB" w:rsidRDefault="00FF1BB7" w:rsidP="00625CDB">
      <w:pPr>
        <w:pBdr>
          <w:top w:val="nil"/>
          <w:left w:val="nil"/>
          <w:bottom w:val="nil"/>
          <w:right w:val="nil"/>
          <w:between w:val="nil"/>
        </w:pBdr>
        <w:ind w:left="567" w:right="709"/>
        <w:rPr>
          <w:rFonts w:eastAsia="Palatino Linotype" w:cs="Palatino Linotype"/>
          <w:i/>
        </w:rPr>
      </w:pPr>
      <w:r w:rsidRPr="00625CDB">
        <w:rPr>
          <w:rFonts w:eastAsia="Palatino Linotype" w:cs="Palatino Linotype"/>
          <w:i/>
        </w:rPr>
        <w:t xml:space="preserve">I. El padrón de afiliados o militantes de los partidos políticos estatales, que contendrá exclusivamente: apellidos, nombre o nombres, fechas de afiliación y entidad de residencia; </w:t>
      </w:r>
    </w:p>
    <w:p w14:paraId="0A7E4DE7" w14:textId="77777777" w:rsidR="00FF1BB7" w:rsidRPr="00625CDB" w:rsidRDefault="00FF1BB7" w:rsidP="00625CDB">
      <w:pPr>
        <w:pBdr>
          <w:top w:val="nil"/>
          <w:left w:val="nil"/>
          <w:bottom w:val="nil"/>
          <w:right w:val="nil"/>
          <w:between w:val="nil"/>
        </w:pBdr>
        <w:ind w:left="567" w:right="709"/>
        <w:rPr>
          <w:rFonts w:eastAsia="Palatino Linotype" w:cs="Palatino Linotype"/>
          <w:i/>
        </w:rPr>
      </w:pPr>
      <w:r w:rsidRPr="00625CDB">
        <w:rPr>
          <w:rFonts w:eastAsia="Palatino Linotype" w:cs="Palatino Linotype"/>
          <w:i/>
        </w:rPr>
        <w:t xml:space="preserve">II. Los acuerdos y resoluciones de los órganos de dirección de los partidos políticos; </w:t>
      </w:r>
    </w:p>
    <w:p w14:paraId="2A7F5F73" w14:textId="77777777" w:rsidR="00FF1BB7" w:rsidRPr="00625CDB" w:rsidRDefault="00FF1BB7" w:rsidP="00625CDB">
      <w:pPr>
        <w:pBdr>
          <w:top w:val="nil"/>
          <w:left w:val="nil"/>
          <w:bottom w:val="nil"/>
          <w:right w:val="nil"/>
          <w:between w:val="nil"/>
        </w:pBdr>
        <w:ind w:left="567" w:right="709"/>
        <w:rPr>
          <w:rFonts w:eastAsia="Palatino Linotype" w:cs="Palatino Linotype"/>
          <w:i/>
        </w:rPr>
      </w:pPr>
      <w:r w:rsidRPr="00625CDB">
        <w:rPr>
          <w:rFonts w:eastAsia="Palatino Linotype" w:cs="Palatino Linotype"/>
          <w:i/>
        </w:rPr>
        <w:t xml:space="preserve">III. Los convenios de participación entre partidos políticos con organizaciones de la sociedad civil; </w:t>
      </w:r>
    </w:p>
    <w:p w14:paraId="737D9205" w14:textId="77777777" w:rsidR="00FF1BB7" w:rsidRPr="00625CDB" w:rsidRDefault="00FF1BB7" w:rsidP="00625CDB">
      <w:pPr>
        <w:pBdr>
          <w:top w:val="nil"/>
          <w:left w:val="nil"/>
          <w:bottom w:val="nil"/>
          <w:right w:val="nil"/>
          <w:between w:val="nil"/>
        </w:pBdr>
        <w:ind w:left="567" w:right="709"/>
        <w:rPr>
          <w:rFonts w:eastAsia="Palatino Linotype" w:cs="Palatino Linotype"/>
          <w:b/>
          <w:i/>
          <w:u w:val="single"/>
        </w:rPr>
      </w:pPr>
      <w:r w:rsidRPr="00625CDB">
        <w:rPr>
          <w:rFonts w:eastAsia="Palatino Linotype" w:cs="Palatino Linotype"/>
          <w:b/>
          <w:i/>
          <w:u w:val="single"/>
        </w:rPr>
        <w:t xml:space="preserve">IV. Contratos y convenios para la adquisición o arrendamiento de bienes y servicios; </w:t>
      </w:r>
    </w:p>
    <w:p w14:paraId="3357C274" w14:textId="77777777" w:rsidR="00FF1BB7" w:rsidRPr="00625CDB" w:rsidRDefault="00FF1BB7" w:rsidP="00625CDB">
      <w:pPr>
        <w:pBdr>
          <w:top w:val="nil"/>
          <w:left w:val="nil"/>
          <w:bottom w:val="nil"/>
          <w:right w:val="nil"/>
          <w:between w:val="nil"/>
        </w:pBdr>
        <w:ind w:left="567" w:right="709"/>
        <w:rPr>
          <w:rFonts w:eastAsia="Palatino Linotype" w:cs="Palatino Linotype"/>
          <w:i/>
        </w:rPr>
      </w:pPr>
      <w:r w:rsidRPr="00625CDB">
        <w:rPr>
          <w:rFonts w:eastAsia="Palatino Linotype" w:cs="Palatino Linotype"/>
          <w:i/>
        </w:rPr>
        <w:t>V. Las minutas de las sesiones de los partidos políticos;</w:t>
      </w:r>
    </w:p>
    <w:p w14:paraId="48CBA0B3" w14:textId="77777777" w:rsidR="00FF1BB7" w:rsidRPr="00625CDB" w:rsidRDefault="00FF1BB7" w:rsidP="00625CDB">
      <w:pPr>
        <w:pBdr>
          <w:top w:val="nil"/>
          <w:left w:val="nil"/>
          <w:bottom w:val="nil"/>
          <w:right w:val="nil"/>
          <w:between w:val="nil"/>
        </w:pBdr>
        <w:ind w:left="567" w:right="709"/>
        <w:rPr>
          <w:rFonts w:eastAsia="Palatino Linotype" w:cs="Palatino Linotype"/>
          <w:i/>
        </w:rPr>
      </w:pPr>
      <w:r w:rsidRPr="00625CDB">
        <w:rPr>
          <w:rFonts w:eastAsia="Palatino Linotype" w:cs="Palatino Linotype"/>
          <w:i/>
        </w:rPr>
        <w:t xml:space="preserve">VI. Los responsables de los órganos internos de finanzas de los partidos políticos; </w:t>
      </w:r>
    </w:p>
    <w:p w14:paraId="46E0D495" w14:textId="77777777" w:rsidR="00FF1BB7" w:rsidRPr="00625CDB" w:rsidRDefault="00FF1BB7" w:rsidP="00625CDB">
      <w:pPr>
        <w:pBdr>
          <w:top w:val="nil"/>
          <w:left w:val="nil"/>
          <w:bottom w:val="nil"/>
          <w:right w:val="nil"/>
          <w:between w:val="nil"/>
        </w:pBdr>
        <w:ind w:left="567" w:right="709"/>
        <w:rPr>
          <w:rFonts w:eastAsia="Palatino Linotype" w:cs="Palatino Linotype"/>
          <w:i/>
        </w:rPr>
      </w:pPr>
      <w:r w:rsidRPr="00625CDB">
        <w:rPr>
          <w:rFonts w:eastAsia="Palatino Linotype" w:cs="Palatino Linotype"/>
          <w:i/>
        </w:rPr>
        <w:t xml:space="preserve">VII. Las organizaciones sociales adherentes o similares de algún partido político; </w:t>
      </w:r>
    </w:p>
    <w:p w14:paraId="3A484500" w14:textId="77777777" w:rsidR="00FF1BB7" w:rsidRPr="00625CDB" w:rsidRDefault="00FF1BB7" w:rsidP="00625CDB">
      <w:pPr>
        <w:pBdr>
          <w:top w:val="nil"/>
          <w:left w:val="nil"/>
          <w:bottom w:val="nil"/>
          <w:right w:val="nil"/>
          <w:between w:val="nil"/>
        </w:pBdr>
        <w:ind w:left="567" w:right="709"/>
        <w:rPr>
          <w:rFonts w:eastAsia="Palatino Linotype" w:cs="Palatino Linotype"/>
          <w:i/>
        </w:rPr>
      </w:pPr>
      <w:r w:rsidRPr="00625CDB">
        <w:rPr>
          <w:rFonts w:eastAsia="Palatino Linotype" w:cs="Palatino Linotype"/>
          <w:i/>
        </w:rPr>
        <w:t xml:space="preserve">VIII. Los montos de las cuotas ordinarias y extraordinarias aportadas por sus militantes; </w:t>
      </w:r>
    </w:p>
    <w:p w14:paraId="018BE7EC" w14:textId="77777777" w:rsidR="00FF1BB7" w:rsidRPr="00625CDB" w:rsidRDefault="00FF1BB7" w:rsidP="00625CDB">
      <w:pPr>
        <w:pBdr>
          <w:top w:val="nil"/>
          <w:left w:val="nil"/>
          <w:bottom w:val="nil"/>
          <w:right w:val="nil"/>
          <w:between w:val="nil"/>
        </w:pBdr>
        <w:ind w:left="567" w:right="709"/>
        <w:rPr>
          <w:rFonts w:eastAsia="Palatino Linotype" w:cs="Palatino Linotype"/>
          <w:i/>
        </w:rPr>
      </w:pPr>
      <w:r w:rsidRPr="00625CDB">
        <w:rPr>
          <w:rFonts w:eastAsia="Palatino Linotype" w:cs="Palatino Linotype"/>
          <w:i/>
        </w:rPr>
        <w:t xml:space="preserve">IX. Los montos autorizados de financiamiento privado, así como una relación de los nombres de las aportantes vinculados con los montos aportados; </w:t>
      </w:r>
    </w:p>
    <w:p w14:paraId="6F4CF0D2" w14:textId="77777777" w:rsidR="00FF1BB7" w:rsidRPr="00625CDB" w:rsidRDefault="00FF1BB7" w:rsidP="00625CDB">
      <w:pPr>
        <w:pBdr>
          <w:top w:val="nil"/>
          <w:left w:val="nil"/>
          <w:bottom w:val="nil"/>
          <w:right w:val="nil"/>
          <w:between w:val="nil"/>
        </w:pBdr>
        <w:ind w:left="567" w:right="709"/>
        <w:rPr>
          <w:rFonts w:eastAsia="Palatino Linotype" w:cs="Palatino Linotype"/>
          <w:i/>
        </w:rPr>
      </w:pPr>
      <w:r w:rsidRPr="00625CDB">
        <w:rPr>
          <w:rFonts w:eastAsia="Palatino Linotype" w:cs="Palatino Linotype"/>
          <w:i/>
        </w:rPr>
        <w:t xml:space="preserve">X. El listado de aportantes a las precampañas y campañas políticas; </w:t>
      </w:r>
    </w:p>
    <w:p w14:paraId="75BF88F2" w14:textId="77777777" w:rsidR="00FF1BB7" w:rsidRPr="00625CDB" w:rsidRDefault="00FF1BB7" w:rsidP="00625CDB">
      <w:pPr>
        <w:pBdr>
          <w:top w:val="nil"/>
          <w:left w:val="nil"/>
          <w:bottom w:val="nil"/>
          <w:right w:val="nil"/>
          <w:between w:val="nil"/>
        </w:pBdr>
        <w:ind w:left="567" w:right="709"/>
        <w:rPr>
          <w:rFonts w:eastAsia="Palatino Linotype" w:cs="Palatino Linotype"/>
          <w:i/>
        </w:rPr>
      </w:pPr>
      <w:r w:rsidRPr="00625CDB">
        <w:rPr>
          <w:rFonts w:eastAsia="Palatino Linotype" w:cs="Palatino Linotype"/>
          <w:i/>
        </w:rPr>
        <w:t xml:space="preserve">XI. El acta de la asamblea constitutiva de los partidos políticos locales; </w:t>
      </w:r>
    </w:p>
    <w:p w14:paraId="4FF59D6E" w14:textId="77777777" w:rsidR="00FF1BB7" w:rsidRPr="00625CDB" w:rsidRDefault="00FF1BB7" w:rsidP="00625CDB">
      <w:pPr>
        <w:pBdr>
          <w:top w:val="nil"/>
          <w:left w:val="nil"/>
          <w:bottom w:val="nil"/>
          <w:right w:val="nil"/>
          <w:between w:val="nil"/>
        </w:pBdr>
        <w:ind w:left="567" w:right="709"/>
        <w:rPr>
          <w:rFonts w:eastAsia="Palatino Linotype" w:cs="Palatino Linotype"/>
          <w:i/>
        </w:rPr>
      </w:pPr>
      <w:r w:rsidRPr="00625CDB">
        <w:rPr>
          <w:rFonts w:eastAsia="Palatino Linotype" w:cs="Palatino Linotype"/>
          <w:i/>
        </w:rPr>
        <w:t xml:space="preserve">XII. Las demarcaciones electorales en las que participen; </w:t>
      </w:r>
    </w:p>
    <w:p w14:paraId="1CA565FF" w14:textId="67B632BC" w:rsidR="00FF1BB7" w:rsidRPr="00625CDB" w:rsidRDefault="00FF1BB7" w:rsidP="00625CDB">
      <w:pPr>
        <w:pBdr>
          <w:top w:val="nil"/>
          <w:left w:val="nil"/>
          <w:bottom w:val="nil"/>
          <w:right w:val="nil"/>
          <w:between w:val="nil"/>
        </w:pBdr>
        <w:ind w:left="567" w:right="709"/>
        <w:rPr>
          <w:rFonts w:eastAsia="Palatino Linotype" w:cs="Palatino Linotype"/>
          <w:i/>
        </w:rPr>
      </w:pPr>
      <w:r w:rsidRPr="00625CDB">
        <w:rPr>
          <w:rFonts w:eastAsia="Palatino Linotype" w:cs="Palatino Linotype"/>
          <w:i/>
        </w:rPr>
        <w:lastRenderedPageBreak/>
        <w:t>XIII.</w:t>
      </w:r>
      <w:r w:rsidR="007F47DE" w:rsidRPr="00625CDB">
        <w:rPr>
          <w:rFonts w:eastAsia="Palatino Linotype" w:cs="Palatino Linotype"/>
          <w:i/>
        </w:rPr>
        <w:t xml:space="preserve"> </w:t>
      </w:r>
      <w:r w:rsidRPr="00625CDB">
        <w:rPr>
          <w:rFonts w:eastAsia="Palatino Linotype" w:cs="Palatino Linotype"/>
          <w:i/>
        </w:rPr>
        <w:t>Los tiempos que le corresponden en canales de radio y televisión;</w:t>
      </w:r>
    </w:p>
    <w:p w14:paraId="1046A3BC" w14:textId="77777777" w:rsidR="00FF1BB7" w:rsidRPr="00625CDB" w:rsidRDefault="00FF1BB7" w:rsidP="00625CDB">
      <w:pPr>
        <w:pBdr>
          <w:top w:val="nil"/>
          <w:left w:val="nil"/>
          <w:bottom w:val="nil"/>
          <w:right w:val="nil"/>
          <w:between w:val="nil"/>
        </w:pBdr>
        <w:ind w:right="49"/>
        <w:rPr>
          <w:rFonts w:eastAsia="Palatino Linotype" w:cs="Palatino Linotype"/>
        </w:rPr>
      </w:pPr>
    </w:p>
    <w:p w14:paraId="01040A57" w14:textId="291B983B" w:rsidR="00FF1BB7" w:rsidRPr="00625CDB" w:rsidRDefault="00FF1BB7" w:rsidP="00625CDB">
      <w:pPr>
        <w:ind w:right="134"/>
        <w:rPr>
          <w:rFonts w:eastAsia="Palatino Linotype" w:cs="Palatino Linotype"/>
        </w:rPr>
      </w:pPr>
      <w:r w:rsidRPr="00625CDB">
        <w:rPr>
          <w:rFonts w:eastAsia="Palatino Linotype" w:cs="Palatino Linotype"/>
        </w:rPr>
        <w:t xml:space="preserve">De lo anterior, se puede reafirmar que, los partidos políticos deberán hacer pública la información de los contratos y convenios de adquisición y arrendamiento de bienes, sin embargo, no se estipula que estos deban ser suscritos a través de la celebración de procedimientos de adjudicación directa, de licitaciones o de invitación restringida. </w:t>
      </w:r>
    </w:p>
    <w:p w14:paraId="130D5113" w14:textId="77777777" w:rsidR="00FF1BB7" w:rsidRPr="00625CDB" w:rsidRDefault="00FF1BB7" w:rsidP="00625CDB">
      <w:pPr>
        <w:ind w:right="134"/>
        <w:rPr>
          <w:rFonts w:eastAsia="Palatino Linotype" w:cs="Palatino Linotype"/>
        </w:rPr>
      </w:pPr>
    </w:p>
    <w:p w14:paraId="00EBF27D" w14:textId="2D573841" w:rsidR="00FF1BB7" w:rsidRPr="00625CDB" w:rsidRDefault="00FF1BB7" w:rsidP="00625CDB">
      <w:pPr>
        <w:ind w:right="134"/>
        <w:rPr>
          <w:rFonts w:eastAsia="Palatino Linotype" w:cs="Palatino Linotype"/>
        </w:rPr>
      </w:pPr>
      <w:r w:rsidRPr="00625CDB">
        <w:rPr>
          <w:rFonts w:eastAsia="Palatino Linotype" w:cs="Palatino Linotype"/>
        </w:rPr>
        <w:t xml:space="preserve">Dicho esto, en cuanto hace a los agravios hechos valer por la </w:t>
      </w:r>
      <w:r w:rsidRPr="00625CDB">
        <w:rPr>
          <w:rFonts w:eastAsia="Palatino Linotype" w:cs="Palatino Linotype"/>
          <w:b/>
          <w:bCs/>
        </w:rPr>
        <w:t>PARTE RECURRENTE</w:t>
      </w:r>
      <w:r w:rsidRPr="00625CDB">
        <w:rPr>
          <w:rFonts w:eastAsia="Palatino Linotype" w:cs="Palatino Linotype"/>
        </w:rPr>
        <w:t xml:space="preserve">, en relación con la respuesta del </w:t>
      </w:r>
      <w:r w:rsidRPr="00625CDB">
        <w:rPr>
          <w:rFonts w:eastAsia="Palatino Linotype" w:cs="Palatino Linotype"/>
          <w:b/>
          <w:bCs/>
        </w:rPr>
        <w:t>SUJETO OBLIGADO</w:t>
      </w:r>
      <w:r w:rsidRPr="00625CDB">
        <w:rPr>
          <w:rFonts w:eastAsia="Palatino Linotype" w:cs="Palatino Linotype"/>
        </w:rPr>
        <w:t xml:space="preserve">, es necesario señalar que las </w:t>
      </w:r>
      <w:r w:rsidRPr="00625CDB">
        <w:rPr>
          <w:rFonts w:eastAsia="Palatino Linotype" w:cs="Palatino Linotype"/>
          <w:b/>
        </w:rPr>
        <w:t>Tablas de Aplicabilidad son documentos que señalan de manera gráfica todos y cada uno de los artículos que por normatividad a cada SUJETO OBLIGADO le aplica respecto de la publicación de sus obligaciones de transparencia; siendo esto en total apego a la normatividad de cada SUJETO OBLIGADO.</w:t>
      </w:r>
      <w:r w:rsidRPr="00625CDB">
        <w:rPr>
          <w:rFonts w:eastAsia="Palatino Linotype" w:cs="Palatino Linotype"/>
        </w:rPr>
        <w:t xml:space="preserve"> Igualmente, para la determinación de la aplicabilidad de las obligaciones de transparencia comunes, se consideran las facultades, competencias y funciones que los ordenamientos jurídicos y administrativos otorgan a los Sujetos Obligados.</w:t>
      </w:r>
    </w:p>
    <w:p w14:paraId="76C2674E" w14:textId="77777777" w:rsidR="00FF1BB7" w:rsidRPr="00625CDB" w:rsidRDefault="00FF1BB7" w:rsidP="00625CDB">
      <w:pPr>
        <w:ind w:right="134"/>
        <w:rPr>
          <w:rFonts w:eastAsia="Palatino Linotype" w:cs="Palatino Linotype"/>
        </w:rPr>
      </w:pPr>
    </w:p>
    <w:p w14:paraId="739F9F99" w14:textId="602ADEE7" w:rsidR="00FF1BB7" w:rsidRPr="00625CDB" w:rsidRDefault="00FF1BB7" w:rsidP="00625CDB">
      <w:pPr>
        <w:ind w:right="134"/>
        <w:rPr>
          <w:rFonts w:eastAsia="Palatino Linotype" w:cs="Palatino Linotype"/>
        </w:rPr>
      </w:pPr>
      <w:r w:rsidRPr="00625CDB">
        <w:rPr>
          <w:rFonts w:eastAsia="Palatino Linotype" w:cs="Palatino Linotype"/>
        </w:rPr>
        <w:t>En ese sentido, dentro de las tablas de aplicabilidad del Partido multicitado, emitidas por el Instituto de Transparencia, Acceso a la Información Pública y Protección de Datos Personales del Estado de México y Municipios</w:t>
      </w:r>
      <w:r w:rsidR="007F47DE" w:rsidRPr="00625CDB">
        <w:rPr>
          <w:rFonts w:eastAsia="Palatino Linotype" w:cs="Palatino Linotype"/>
        </w:rPr>
        <w:t>,</w:t>
      </w:r>
      <w:r w:rsidRPr="00625CDB">
        <w:rPr>
          <w:rFonts w:eastAsia="Palatino Linotype" w:cs="Palatino Linotype"/>
        </w:rPr>
        <w:t xml:space="preserve"> se advierte lo siguiente:</w:t>
      </w:r>
    </w:p>
    <w:p w14:paraId="686DDA06" w14:textId="4991EEA2" w:rsidR="00FF1BB7" w:rsidRPr="00625CDB" w:rsidRDefault="00FF1BB7" w:rsidP="00625CDB">
      <w:pPr>
        <w:ind w:right="134"/>
        <w:rPr>
          <w:rFonts w:eastAsia="Palatino Linotype" w:cs="Palatino Linotype"/>
        </w:rPr>
      </w:pPr>
    </w:p>
    <w:p w14:paraId="3925CB53" w14:textId="79DAEC71" w:rsidR="00FF1BB7" w:rsidRPr="00625CDB" w:rsidRDefault="00FF1BB7" w:rsidP="00625CDB">
      <w:pPr>
        <w:ind w:right="134"/>
        <w:rPr>
          <w:rFonts w:eastAsia="Palatino Linotype" w:cs="Palatino Linotype"/>
        </w:rPr>
      </w:pPr>
      <w:r w:rsidRPr="00625CDB">
        <w:rPr>
          <w:noProof/>
          <w:lang w:eastAsia="es-MX"/>
        </w:rPr>
        <mc:AlternateContent>
          <mc:Choice Requires="wps">
            <w:drawing>
              <wp:anchor distT="0" distB="0" distL="114300" distR="114300" simplePos="0" relativeHeight="251659264" behindDoc="0" locked="0" layoutInCell="1" hidden="0" allowOverlap="1" wp14:anchorId="2961EF02" wp14:editId="7523C4E4">
                <wp:simplePos x="0" y="0"/>
                <wp:positionH relativeFrom="margin">
                  <wp:align>left</wp:align>
                </wp:positionH>
                <wp:positionV relativeFrom="paragraph">
                  <wp:posOffset>5232</wp:posOffset>
                </wp:positionV>
                <wp:extent cx="5701741" cy="1258215"/>
                <wp:effectExtent l="0" t="0" r="13335" b="18415"/>
                <wp:wrapNone/>
                <wp:docPr id="1956934703" name="Rectángulo: esquinas redondeadas 1956934703"/>
                <wp:cNvGraphicFramePr/>
                <a:graphic xmlns:a="http://schemas.openxmlformats.org/drawingml/2006/main">
                  <a:graphicData uri="http://schemas.microsoft.com/office/word/2010/wordprocessingShape">
                    <wps:wsp>
                      <wps:cNvSpPr/>
                      <wps:spPr>
                        <a:xfrm>
                          <a:off x="0" y="0"/>
                          <a:ext cx="5701741" cy="1258215"/>
                        </a:xfrm>
                        <a:prstGeom prst="roundRect">
                          <a:avLst>
                            <a:gd name="adj" fmla="val 16667"/>
                          </a:avLst>
                        </a:prstGeom>
                        <a:noFill/>
                        <a:ln w="19050" cap="flat" cmpd="sng">
                          <a:solidFill>
                            <a:srgbClr val="C00000"/>
                          </a:solidFill>
                          <a:prstDash val="solid"/>
                          <a:miter lim="800000"/>
                          <a:headEnd type="none" w="sm" len="sm"/>
                          <a:tailEnd type="none" w="sm" len="sm"/>
                        </a:ln>
                      </wps:spPr>
                      <wps:txbx>
                        <w:txbxContent>
                          <w:p w14:paraId="4F53A6ED" w14:textId="77777777" w:rsidR="00FF1BB7" w:rsidRDefault="00FF1BB7" w:rsidP="00FF1BB7">
                            <w:pPr>
                              <w:spacing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961EF02" id="Rectángulo: esquinas redondeadas 1956934703" o:spid="_x0000_s1026" style="position:absolute;left:0;text-align:left;margin-left:0;margin-top:.4pt;width:448.95pt;height:99.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" filled="f" strokecolor="#c00000" strokeweight="1.5pt">
                <v:stroke startarrowwidth="narrow" startarrowlength="short" endarrowwidth="narrow" endarrowlength="short" joinstyle="miter"/>
                <v:textbox inset="2.53958mm,2.53958mm,2.53958mm,2.53958mm">
                  <w:txbxContent>
                    <w:p w14:paraId="4F53A6ED" w14:textId="77777777" w:rsidR="00FF1BB7" w:rsidRDefault="00FF1BB7" w:rsidP="00FF1BB7">
                      <w:pPr>
                        <w:spacing w:line="240" w:lineRule="auto"/>
                        <w:textDirection w:val="btLr"/>
                      </w:pPr>
                    </w:p>
                  </w:txbxContent>
                </v:textbox>
                <w10:wrap anchorx="margin"/>
              </v:roundrect>
            </w:pict>
          </mc:Fallback>
        </mc:AlternateContent>
      </w:r>
      <w:r w:rsidRPr="00625CDB">
        <w:rPr>
          <w:noProof/>
          <w:lang w:eastAsia="es-MX"/>
          <w14:ligatures w14:val="standardContextual"/>
        </w:rPr>
        <w:drawing>
          <wp:inline distT="0" distB="0" distL="0" distR="0" wp14:anchorId="40462D83" wp14:editId="5EADA6AE">
            <wp:extent cx="5742940" cy="1273810"/>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1273810"/>
                    </a:xfrm>
                    <a:prstGeom prst="rect">
                      <a:avLst/>
                    </a:prstGeom>
                  </pic:spPr>
                </pic:pic>
              </a:graphicData>
            </a:graphic>
          </wp:inline>
        </w:drawing>
      </w:r>
    </w:p>
    <w:p w14:paraId="4DBA9D87" w14:textId="77777777" w:rsidR="00FF1BB7" w:rsidRPr="00625CDB" w:rsidRDefault="00FF1BB7" w:rsidP="00625CDB">
      <w:pPr>
        <w:pBdr>
          <w:top w:val="nil"/>
          <w:left w:val="nil"/>
          <w:bottom w:val="nil"/>
          <w:right w:val="nil"/>
          <w:between w:val="nil"/>
        </w:pBdr>
        <w:ind w:right="49"/>
        <w:rPr>
          <w:rFonts w:eastAsia="Palatino Linotype" w:cs="Palatino Linotype"/>
        </w:rPr>
      </w:pPr>
    </w:p>
    <w:p w14:paraId="503A3188" w14:textId="77777777" w:rsidR="00FF1BB7" w:rsidRPr="00625CDB" w:rsidRDefault="00FF1BB7" w:rsidP="00625CDB">
      <w:pPr>
        <w:jc w:val="center"/>
        <w:rPr>
          <w:rFonts w:eastAsia="Palatino Linotype" w:cs="Palatino Linotype"/>
        </w:rPr>
      </w:pPr>
      <w:r w:rsidRPr="00625CDB">
        <w:rPr>
          <w:rFonts w:eastAsia="Palatino Linotype" w:cs="Palatino Linotype"/>
        </w:rPr>
        <w:t>…</w:t>
      </w:r>
    </w:p>
    <w:p w14:paraId="638B0732" w14:textId="664284A0" w:rsidR="00FF1BB7" w:rsidRPr="00625CDB" w:rsidRDefault="00FF1BB7" w:rsidP="00625CDB">
      <w:pPr>
        <w:jc w:val="center"/>
        <w:rPr>
          <w:rFonts w:eastAsia="Palatino Linotype" w:cs="Palatino Linotype"/>
        </w:rPr>
      </w:pPr>
      <w:r w:rsidRPr="00625CDB">
        <w:rPr>
          <w:noProof/>
          <w:lang w:eastAsia="es-MX"/>
        </w:rPr>
        <mc:AlternateContent>
          <mc:Choice Requires="wps">
            <w:drawing>
              <wp:anchor distT="0" distB="0" distL="114300" distR="114300" simplePos="0" relativeHeight="251661312" behindDoc="0" locked="0" layoutInCell="1" hidden="0" allowOverlap="1" wp14:anchorId="68E3699A" wp14:editId="712E75F8">
                <wp:simplePos x="0" y="0"/>
                <wp:positionH relativeFrom="margin">
                  <wp:align>left</wp:align>
                </wp:positionH>
                <wp:positionV relativeFrom="paragraph">
                  <wp:posOffset>275565</wp:posOffset>
                </wp:positionV>
                <wp:extent cx="5781903" cy="1201141"/>
                <wp:effectExtent l="19050" t="19050" r="28575" b="18415"/>
                <wp:wrapNone/>
                <wp:docPr id="1956934700" name="Rectángulo: esquinas redondeadas 1956934700"/>
                <wp:cNvGraphicFramePr/>
                <a:graphic xmlns:a="http://schemas.openxmlformats.org/drawingml/2006/main">
                  <a:graphicData uri="http://schemas.microsoft.com/office/word/2010/wordprocessingShape">
                    <wps:wsp>
                      <wps:cNvSpPr/>
                      <wps:spPr>
                        <a:xfrm>
                          <a:off x="0" y="0"/>
                          <a:ext cx="5781903" cy="1201141"/>
                        </a:xfrm>
                        <a:prstGeom prst="roundRect">
                          <a:avLst>
                            <a:gd name="adj" fmla="val 16667"/>
                          </a:avLst>
                        </a:prstGeom>
                        <a:noFill/>
                        <a:ln w="28575" cap="flat" cmpd="sng">
                          <a:solidFill>
                            <a:srgbClr val="FF0000"/>
                          </a:solidFill>
                          <a:prstDash val="solid"/>
                          <a:miter lim="800000"/>
                          <a:headEnd type="none" w="sm" len="sm"/>
                          <a:tailEnd type="none" w="sm" len="sm"/>
                        </a:ln>
                      </wps:spPr>
                      <wps:txbx>
                        <w:txbxContent>
                          <w:p w14:paraId="0C0B7C0A" w14:textId="77777777" w:rsidR="00FF1BB7" w:rsidRDefault="00FF1BB7" w:rsidP="00FF1BB7">
                            <w:pPr>
                              <w:spacing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8E3699A" id="Rectángulo: esquinas redondeadas 1956934700" o:spid="_x0000_s1027" style="position:absolute;left:0;text-align:left;margin-left:0;margin-top:21.7pt;width:455.25pt;height:94.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" filled="f" strokecolor="red" strokeweight="2.25pt">
                <v:stroke startarrowwidth="narrow" startarrowlength="short" endarrowwidth="narrow" endarrowlength="short" joinstyle="miter"/>
                <v:textbox inset="2.53958mm,2.53958mm,2.53958mm,2.53958mm">
                  <w:txbxContent>
                    <w:p w14:paraId="0C0B7C0A" w14:textId="77777777" w:rsidR="00FF1BB7" w:rsidRDefault="00FF1BB7" w:rsidP="00FF1BB7">
                      <w:pPr>
                        <w:spacing w:line="240" w:lineRule="auto"/>
                        <w:textDirection w:val="btLr"/>
                      </w:pPr>
                    </w:p>
                  </w:txbxContent>
                </v:textbox>
                <w10:wrap anchorx="margin"/>
              </v:roundrect>
            </w:pict>
          </mc:Fallback>
        </mc:AlternateContent>
      </w:r>
      <w:r w:rsidRPr="00625CDB">
        <w:rPr>
          <w:noProof/>
          <w14:ligatures w14:val="standardContextual"/>
        </w:rPr>
        <w:t xml:space="preserve"> </w:t>
      </w:r>
      <w:r w:rsidRPr="00625CDB">
        <w:rPr>
          <w:noProof/>
          <w:lang w:eastAsia="es-MX"/>
          <w14:ligatures w14:val="standardContextual"/>
        </w:rPr>
        <w:drawing>
          <wp:inline distT="0" distB="0" distL="0" distR="0" wp14:anchorId="797B4D61" wp14:editId="6701CC72">
            <wp:extent cx="5742940" cy="1198245"/>
            <wp:effectExtent l="0" t="0" r="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42940" cy="1198245"/>
                    </a:xfrm>
                    <a:prstGeom prst="rect">
                      <a:avLst/>
                    </a:prstGeom>
                  </pic:spPr>
                </pic:pic>
              </a:graphicData>
            </a:graphic>
          </wp:inline>
        </w:drawing>
      </w:r>
    </w:p>
    <w:p w14:paraId="679FEC5E" w14:textId="410D9B74" w:rsidR="00FF1BB7" w:rsidRPr="00625CDB" w:rsidRDefault="00FF1BB7" w:rsidP="00625CDB">
      <w:pPr>
        <w:rPr>
          <w:rFonts w:eastAsia="Palatino Linotype" w:cs="Palatino Linotype"/>
        </w:rPr>
      </w:pPr>
    </w:p>
    <w:p w14:paraId="7D3BBEDE" w14:textId="77912C1A" w:rsidR="00FF1BB7" w:rsidRPr="00625CDB" w:rsidRDefault="00FF1BB7" w:rsidP="00625CDB">
      <w:pPr>
        <w:pBdr>
          <w:top w:val="nil"/>
          <w:left w:val="nil"/>
          <w:bottom w:val="nil"/>
          <w:right w:val="nil"/>
          <w:between w:val="nil"/>
        </w:pBdr>
        <w:ind w:right="49"/>
        <w:rPr>
          <w:rFonts w:eastAsia="Palatino Linotype" w:cs="Palatino Linotype"/>
        </w:rPr>
      </w:pPr>
      <w:r w:rsidRPr="00625CDB">
        <w:rPr>
          <w:rFonts w:eastAsia="Palatino Linotype" w:cs="Palatino Linotype"/>
        </w:rPr>
        <w:t xml:space="preserve">De lo anterior, se robustece que la información solicitada por el particular </w:t>
      </w:r>
      <w:r w:rsidRPr="00625CDB">
        <w:rPr>
          <w:rFonts w:eastAsia="Palatino Linotype" w:cs="Palatino Linotype"/>
          <w:b/>
        </w:rPr>
        <w:t>no forma parte de las obligaciones del Partido Revolucionario Institucional</w:t>
      </w:r>
      <w:r w:rsidRPr="00625CDB">
        <w:rPr>
          <w:rFonts w:eastAsia="Palatino Linotype" w:cs="Palatino Linotype"/>
        </w:rPr>
        <w:t xml:space="preserve">, ya que no se encontró precepto normativo que establezca que estos deban adquirir sus bienes o servicios a través de la celebración de procedimientos de </w:t>
      </w:r>
      <w:r w:rsidR="00780D69" w:rsidRPr="00625CDB">
        <w:rPr>
          <w:rFonts w:eastAsia="Palatino Linotype" w:cs="Palatino Linotype"/>
        </w:rPr>
        <w:t xml:space="preserve">adjudicación directa, </w:t>
      </w:r>
      <w:r w:rsidRPr="00625CDB">
        <w:rPr>
          <w:rFonts w:eastAsia="Palatino Linotype" w:cs="Palatino Linotype"/>
        </w:rPr>
        <w:t xml:space="preserve">licitación pública o invitación restringida. </w:t>
      </w:r>
    </w:p>
    <w:p w14:paraId="1755EA7E" w14:textId="56119FCA" w:rsidR="00780D69" w:rsidRPr="00625CDB" w:rsidRDefault="00780D69" w:rsidP="00625CDB">
      <w:pPr>
        <w:pBdr>
          <w:top w:val="nil"/>
          <w:left w:val="nil"/>
          <w:bottom w:val="nil"/>
          <w:right w:val="nil"/>
          <w:between w:val="nil"/>
        </w:pBdr>
        <w:ind w:right="49"/>
        <w:rPr>
          <w:rFonts w:eastAsia="Palatino Linotype" w:cs="Palatino Linotype"/>
        </w:rPr>
      </w:pPr>
    </w:p>
    <w:p w14:paraId="7D2BF52D" w14:textId="11C40703" w:rsidR="00780D69" w:rsidRPr="00625CDB" w:rsidRDefault="00780D69" w:rsidP="00625CDB">
      <w:pPr>
        <w:pBdr>
          <w:top w:val="nil"/>
          <w:left w:val="nil"/>
          <w:bottom w:val="nil"/>
          <w:right w:val="nil"/>
          <w:between w:val="nil"/>
        </w:pBdr>
        <w:ind w:right="49"/>
        <w:rPr>
          <w:rFonts w:eastAsia="Palatino Linotype" w:cs="Palatino Linotype"/>
        </w:rPr>
      </w:pPr>
      <w:r w:rsidRPr="00625CDB">
        <w:rPr>
          <w:rFonts w:eastAsia="Palatino Linotype" w:cs="Palatino Linotype"/>
        </w:rPr>
        <w:t xml:space="preserve">Hecho que se robustece, con la leyenda que obra en el Portal de </w:t>
      </w:r>
      <w:proofErr w:type="spellStart"/>
      <w:r w:rsidRPr="00625CDB">
        <w:rPr>
          <w:rFonts w:eastAsia="Palatino Linotype" w:cs="Palatino Linotype"/>
        </w:rPr>
        <w:t>Ipomex</w:t>
      </w:r>
      <w:proofErr w:type="spellEnd"/>
      <w:r w:rsidRPr="00625CDB">
        <w:rPr>
          <w:rFonts w:eastAsia="Palatino Linotype" w:cs="Palatino Linotype"/>
        </w:rPr>
        <w:t xml:space="preserve"> del </w:t>
      </w:r>
      <w:r w:rsidRPr="00625CDB">
        <w:rPr>
          <w:rFonts w:eastAsia="Palatino Linotype" w:cs="Palatino Linotype"/>
          <w:b/>
          <w:bCs/>
        </w:rPr>
        <w:t xml:space="preserve">SUJETO OBLIGADO, </w:t>
      </w:r>
      <w:r w:rsidRPr="00625CDB">
        <w:rPr>
          <w:rFonts w:eastAsia="Palatino Linotype" w:cs="Palatino Linotype"/>
        </w:rPr>
        <w:t>en el que se observa:</w:t>
      </w:r>
    </w:p>
    <w:p w14:paraId="284DB3E4" w14:textId="47FAF557" w:rsidR="00780D69" w:rsidRPr="00625CDB" w:rsidRDefault="00780D69" w:rsidP="00625CDB">
      <w:pPr>
        <w:pBdr>
          <w:top w:val="nil"/>
          <w:left w:val="nil"/>
          <w:bottom w:val="nil"/>
          <w:right w:val="nil"/>
          <w:between w:val="nil"/>
        </w:pBdr>
        <w:ind w:right="49"/>
        <w:rPr>
          <w:rFonts w:eastAsia="Palatino Linotype" w:cs="Palatino Linotype"/>
        </w:rPr>
      </w:pPr>
    </w:p>
    <w:p w14:paraId="01A2D756" w14:textId="4159208C" w:rsidR="00780D69" w:rsidRPr="00625CDB" w:rsidRDefault="00780D69" w:rsidP="00625CDB">
      <w:pPr>
        <w:pBdr>
          <w:top w:val="nil"/>
          <w:left w:val="nil"/>
          <w:bottom w:val="nil"/>
          <w:right w:val="nil"/>
          <w:between w:val="nil"/>
        </w:pBdr>
        <w:ind w:right="49"/>
        <w:rPr>
          <w:rFonts w:eastAsia="Palatino Linotype" w:cs="Palatino Linotype"/>
        </w:rPr>
      </w:pPr>
      <w:r w:rsidRPr="00625CDB">
        <w:rPr>
          <w:noProof/>
          <w:lang w:eastAsia="es-MX"/>
          <w14:ligatures w14:val="standardContextual"/>
        </w:rPr>
        <w:lastRenderedPageBreak/>
        <w:drawing>
          <wp:inline distT="0" distB="0" distL="0" distR="0" wp14:anchorId="56014394" wp14:editId="35986347">
            <wp:extent cx="5742940" cy="4645152"/>
            <wp:effectExtent l="0" t="0" r="0" b="31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43521" cy="4645622"/>
                    </a:xfrm>
                    <a:prstGeom prst="rect">
                      <a:avLst/>
                    </a:prstGeom>
                  </pic:spPr>
                </pic:pic>
              </a:graphicData>
            </a:graphic>
          </wp:inline>
        </w:drawing>
      </w:r>
    </w:p>
    <w:p w14:paraId="13427A8C" w14:textId="536E187C" w:rsidR="00780D69" w:rsidRPr="00625CDB" w:rsidRDefault="00780D69" w:rsidP="00625CDB">
      <w:pPr>
        <w:pBdr>
          <w:top w:val="nil"/>
          <w:left w:val="nil"/>
          <w:bottom w:val="nil"/>
          <w:right w:val="nil"/>
          <w:between w:val="nil"/>
        </w:pBdr>
        <w:ind w:right="49"/>
        <w:rPr>
          <w:rFonts w:eastAsia="Palatino Linotype" w:cs="Palatino Linotype"/>
        </w:rPr>
      </w:pPr>
    </w:p>
    <w:p w14:paraId="41AE3F50" w14:textId="1271897F" w:rsidR="00780D69" w:rsidRPr="00625CDB" w:rsidRDefault="00780D69" w:rsidP="00625CDB">
      <w:pPr>
        <w:pBdr>
          <w:top w:val="nil"/>
          <w:left w:val="nil"/>
          <w:bottom w:val="nil"/>
          <w:right w:val="nil"/>
          <w:between w:val="nil"/>
        </w:pBdr>
        <w:ind w:right="49"/>
        <w:rPr>
          <w:rFonts w:eastAsia="Palatino Linotype" w:cs="Palatino Linotype"/>
        </w:rPr>
      </w:pPr>
      <w:r w:rsidRPr="00625CDB">
        <w:rPr>
          <w:noProof/>
          <w:lang w:eastAsia="es-MX"/>
          <w14:ligatures w14:val="standardContextual"/>
        </w:rPr>
        <w:lastRenderedPageBreak/>
        <w:drawing>
          <wp:inline distT="0" distB="0" distL="0" distR="0" wp14:anchorId="28B478F9" wp14:editId="57F0F94B">
            <wp:extent cx="5742940" cy="4637837"/>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43785" cy="4638519"/>
                    </a:xfrm>
                    <a:prstGeom prst="rect">
                      <a:avLst/>
                    </a:prstGeom>
                  </pic:spPr>
                </pic:pic>
              </a:graphicData>
            </a:graphic>
          </wp:inline>
        </w:drawing>
      </w:r>
    </w:p>
    <w:p w14:paraId="16ABC20F" w14:textId="564065F5" w:rsidR="00780D69" w:rsidRPr="00625CDB" w:rsidRDefault="00780D69" w:rsidP="00625CDB">
      <w:pPr>
        <w:pBdr>
          <w:top w:val="nil"/>
          <w:left w:val="nil"/>
          <w:bottom w:val="nil"/>
          <w:right w:val="nil"/>
          <w:between w:val="nil"/>
        </w:pBdr>
        <w:ind w:right="49"/>
        <w:rPr>
          <w:rFonts w:eastAsia="Palatino Linotype" w:cs="Palatino Linotype"/>
        </w:rPr>
      </w:pPr>
    </w:p>
    <w:p w14:paraId="7F943DCB" w14:textId="02643A2F" w:rsidR="00780D69" w:rsidRPr="00625CDB" w:rsidRDefault="00780D69" w:rsidP="00625CDB">
      <w:pPr>
        <w:pBdr>
          <w:top w:val="nil"/>
          <w:left w:val="nil"/>
          <w:bottom w:val="nil"/>
          <w:right w:val="nil"/>
          <w:between w:val="nil"/>
        </w:pBdr>
        <w:ind w:right="49"/>
        <w:rPr>
          <w:rFonts w:eastAsia="Palatino Linotype" w:cs="Palatino Linotype"/>
        </w:rPr>
      </w:pPr>
      <w:r w:rsidRPr="00625CDB">
        <w:rPr>
          <w:rFonts w:eastAsia="Palatino Linotype" w:cs="Palatino Linotype"/>
        </w:rPr>
        <w:t xml:space="preserve">Ahora bien, por lo que corresponde a las adjudicaciones de los periodos del 2021 al 2023, se tiene que </w:t>
      </w:r>
      <w:r w:rsidRPr="00625CDB">
        <w:rPr>
          <w:rFonts w:eastAsia="Palatino Linotype" w:cs="Palatino Linotype"/>
          <w:b/>
          <w:bCs/>
        </w:rPr>
        <w:t xml:space="preserve">EL SUJETO OBLIGADO </w:t>
      </w:r>
      <w:r w:rsidRPr="00625CDB">
        <w:rPr>
          <w:rFonts w:eastAsia="Palatino Linotype" w:cs="Palatino Linotype"/>
        </w:rPr>
        <w:t>remitió un link, en el que, a su decir, se contiene la información peticionada.</w:t>
      </w:r>
    </w:p>
    <w:p w14:paraId="0F27608F" w14:textId="74B00F5C" w:rsidR="00780D69" w:rsidRPr="00625CDB" w:rsidRDefault="00780D69" w:rsidP="00625CDB">
      <w:pPr>
        <w:pBdr>
          <w:top w:val="nil"/>
          <w:left w:val="nil"/>
          <w:bottom w:val="nil"/>
          <w:right w:val="nil"/>
          <w:between w:val="nil"/>
        </w:pBdr>
        <w:ind w:right="49"/>
        <w:rPr>
          <w:rFonts w:eastAsia="Palatino Linotype" w:cs="Palatino Linotype"/>
        </w:rPr>
      </w:pPr>
    </w:p>
    <w:p w14:paraId="214A2C38" w14:textId="31FB8CDD" w:rsidR="00780D69" w:rsidRPr="00625CDB" w:rsidRDefault="00780D69" w:rsidP="00625CDB">
      <w:pPr>
        <w:pBdr>
          <w:top w:val="nil"/>
          <w:left w:val="nil"/>
          <w:bottom w:val="nil"/>
          <w:right w:val="nil"/>
          <w:between w:val="nil"/>
        </w:pBdr>
        <w:ind w:right="49"/>
      </w:pPr>
      <w:r w:rsidRPr="00625CDB">
        <w:rPr>
          <w:rFonts w:eastAsia="Palatino Linotype" w:cs="Palatino Linotype"/>
        </w:rPr>
        <w:t xml:space="preserve">Al respecto, esta ponencia resolutora, procedió a inspeccionar el link referido </w:t>
      </w:r>
      <w:r w:rsidRPr="00625CDB">
        <w:t>localizando lo siguiente:</w:t>
      </w:r>
    </w:p>
    <w:p w14:paraId="1A57C4C4" w14:textId="34245BCF" w:rsidR="00780D69" w:rsidRPr="00625CDB" w:rsidRDefault="00780D69" w:rsidP="00625CDB">
      <w:pPr>
        <w:pBdr>
          <w:top w:val="nil"/>
          <w:left w:val="nil"/>
          <w:bottom w:val="nil"/>
          <w:right w:val="nil"/>
          <w:between w:val="nil"/>
        </w:pBdr>
        <w:ind w:right="49"/>
      </w:pPr>
    </w:p>
    <w:p w14:paraId="71E2EE69" w14:textId="3EAE0BF4" w:rsidR="00780D69" w:rsidRPr="00625CDB" w:rsidRDefault="00780D69" w:rsidP="00625CDB">
      <w:pPr>
        <w:pBdr>
          <w:top w:val="nil"/>
          <w:left w:val="nil"/>
          <w:bottom w:val="nil"/>
          <w:right w:val="nil"/>
          <w:between w:val="nil"/>
        </w:pBdr>
        <w:ind w:right="49"/>
        <w:rPr>
          <w:rFonts w:eastAsia="Palatino Linotype" w:cs="Palatino Linotype"/>
        </w:rPr>
      </w:pPr>
      <w:r w:rsidRPr="00625CDB">
        <w:rPr>
          <w:noProof/>
          <w:lang w:eastAsia="es-MX"/>
          <w14:ligatures w14:val="standardContextual"/>
        </w:rPr>
        <w:lastRenderedPageBreak/>
        <w:drawing>
          <wp:inline distT="0" distB="0" distL="0" distR="0" wp14:anchorId="52F80DC4" wp14:editId="6DDFD2FC">
            <wp:extent cx="5741670" cy="169712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55582" cy="1701239"/>
                    </a:xfrm>
                    <a:prstGeom prst="rect">
                      <a:avLst/>
                    </a:prstGeom>
                  </pic:spPr>
                </pic:pic>
              </a:graphicData>
            </a:graphic>
          </wp:inline>
        </w:drawing>
      </w:r>
    </w:p>
    <w:p w14:paraId="360D539A" w14:textId="0C22415F" w:rsidR="00780D69" w:rsidRPr="00625CDB" w:rsidRDefault="00780D69" w:rsidP="00625CDB">
      <w:pPr>
        <w:pBdr>
          <w:top w:val="nil"/>
          <w:left w:val="nil"/>
          <w:bottom w:val="nil"/>
          <w:right w:val="nil"/>
          <w:between w:val="nil"/>
        </w:pBdr>
        <w:ind w:right="49"/>
        <w:rPr>
          <w:rFonts w:eastAsia="Palatino Linotype" w:cs="Palatino Linotype"/>
        </w:rPr>
      </w:pPr>
    </w:p>
    <w:p w14:paraId="19329F33" w14:textId="4D9C12FC" w:rsidR="00780D69" w:rsidRPr="00625CDB" w:rsidRDefault="00780D69" w:rsidP="00625CDB">
      <w:pPr>
        <w:pBdr>
          <w:top w:val="nil"/>
          <w:left w:val="nil"/>
          <w:bottom w:val="nil"/>
          <w:right w:val="nil"/>
          <w:between w:val="nil"/>
        </w:pBdr>
        <w:ind w:right="49"/>
        <w:rPr>
          <w:rFonts w:eastAsia="Palatino Linotype" w:cs="Palatino Linotype"/>
        </w:rPr>
      </w:pPr>
      <w:r w:rsidRPr="00625CDB">
        <w:rPr>
          <w:rFonts w:eastAsia="Palatino Linotype" w:cs="Palatino Linotype"/>
        </w:rPr>
        <w:t>Del que se observa que se refiere a la contratación y convenios devienes y servicios, de los periodos del 2018 al 2023.</w:t>
      </w:r>
    </w:p>
    <w:p w14:paraId="078E5720" w14:textId="77777777" w:rsidR="00780D69" w:rsidRPr="00625CDB" w:rsidRDefault="00780D69" w:rsidP="00625CDB">
      <w:pPr>
        <w:pBdr>
          <w:top w:val="nil"/>
          <w:left w:val="nil"/>
          <w:bottom w:val="nil"/>
          <w:right w:val="nil"/>
          <w:between w:val="nil"/>
        </w:pBdr>
        <w:ind w:right="49"/>
        <w:rPr>
          <w:rFonts w:eastAsia="Palatino Linotype" w:cs="Palatino Linotype"/>
        </w:rPr>
      </w:pPr>
    </w:p>
    <w:p w14:paraId="3953F826" w14:textId="0445DF26" w:rsidR="00CF4DA6" w:rsidRPr="00625CDB" w:rsidRDefault="00FF1BB7" w:rsidP="00625CDB">
      <w:pPr>
        <w:pBdr>
          <w:top w:val="nil"/>
          <w:left w:val="nil"/>
          <w:bottom w:val="nil"/>
          <w:right w:val="nil"/>
          <w:between w:val="nil"/>
        </w:pBdr>
        <w:ind w:right="49"/>
        <w:rPr>
          <w:rFonts w:eastAsia="Palatino Linotype" w:cs="Palatino Linotype"/>
        </w:rPr>
      </w:pPr>
      <w:r w:rsidRPr="00625CDB">
        <w:rPr>
          <w:rFonts w:eastAsia="Palatino Linotype" w:cs="Palatino Linotype"/>
        </w:rPr>
        <w:t>Dicho lo anterior, es de recordar que, quien dio atención a la solicitud de información promovida por el Recurrente fue el Funcionario Partidista Habilitado de la Secretaría de Finanzas y Administración del CDE del PRI en el Estado de México del Sujeto Obligado, quien es la unidad administrativa competente para conocer de la información requerida</w:t>
      </w:r>
      <w:r w:rsidR="00CF4DA6" w:rsidRPr="00625CDB">
        <w:rPr>
          <w:rFonts w:eastAsia="Palatino Linotype" w:cs="Palatino Linotype"/>
        </w:rPr>
        <w:t>, como se observa del contenido del estatuto a continuación:</w:t>
      </w:r>
    </w:p>
    <w:p w14:paraId="39E5E9FC" w14:textId="77777777" w:rsidR="00CF4DA6" w:rsidRPr="00625CDB" w:rsidRDefault="00CF4DA6" w:rsidP="00625CDB">
      <w:pPr>
        <w:pBdr>
          <w:top w:val="nil"/>
          <w:left w:val="nil"/>
          <w:bottom w:val="nil"/>
          <w:right w:val="nil"/>
          <w:between w:val="nil"/>
        </w:pBdr>
        <w:ind w:right="49"/>
        <w:rPr>
          <w:rFonts w:eastAsia="Palatino Linotype" w:cs="Palatino Linotype"/>
        </w:rPr>
      </w:pPr>
    </w:p>
    <w:p w14:paraId="14E12439" w14:textId="77777777" w:rsidR="00D35BCA" w:rsidRPr="00625CDB" w:rsidRDefault="000410A8" w:rsidP="00625CDB">
      <w:pPr>
        <w:pBdr>
          <w:top w:val="nil"/>
          <w:left w:val="nil"/>
          <w:bottom w:val="nil"/>
          <w:right w:val="nil"/>
          <w:between w:val="nil"/>
        </w:pBdr>
        <w:ind w:left="567" w:right="539"/>
        <w:rPr>
          <w:i/>
          <w:iCs/>
        </w:rPr>
      </w:pPr>
      <w:r w:rsidRPr="00625CDB">
        <w:rPr>
          <w:b/>
          <w:bCs/>
          <w:i/>
          <w:iCs/>
        </w:rPr>
        <w:t>Artículo 96</w:t>
      </w:r>
      <w:r w:rsidRPr="00625CDB">
        <w:rPr>
          <w:i/>
          <w:iCs/>
        </w:rPr>
        <w:t xml:space="preserve">. La Secretaría de Finanzas y Administración tendrá las atribuciones siguientes: </w:t>
      </w:r>
    </w:p>
    <w:p w14:paraId="120ADEBB" w14:textId="77777777" w:rsidR="00D35BCA" w:rsidRPr="00625CDB" w:rsidRDefault="000410A8" w:rsidP="00625CDB">
      <w:pPr>
        <w:pBdr>
          <w:top w:val="nil"/>
          <w:left w:val="nil"/>
          <w:bottom w:val="nil"/>
          <w:right w:val="nil"/>
          <w:between w:val="nil"/>
        </w:pBdr>
        <w:ind w:left="567" w:right="539"/>
        <w:rPr>
          <w:i/>
          <w:iCs/>
        </w:rPr>
      </w:pPr>
      <w:r w:rsidRPr="00625CDB">
        <w:rPr>
          <w:i/>
          <w:iCs/>
        </w:rPr>
        <w:t xml:space="preserve">I. Desarrollar acciones conducentes para el financiamiento del Partido; </w:t>
      </w:r>
    </w:p>
    <w:p w14:paraId="58AEFB17" w14:textId="77777777" w:rsidR="00D35BCA" w:rsidRPr="00625CDB" w:rsidRDefault="000410A8" w:rsidP="00625CDB">
      <w:pPr>
        <w:pBdr>
          <w:top w:val="nil"/>
          <w:left w:val="nil"/>
          <w:bottom w:val="nil"/>
          <w:right w:val="nil"/>
          <w:between w:val="nil"/>
        </w:pBdr>
        <w:ind w:left="567" w:right="539"/>
        <w:rPr>
          <w:i/>
          <w:iCs/>
        </w:rPr>
      </w:pPr>
      <w:r w:rsidRPr="00625CDB">
        <w:rPr>
          <w:i/>
          <w:iCs/>
        </w:rPr>
        <w:t xml:space="preserve">II. </w:t>
      </w:r>
      <w:r w:rsidRPr="00625CDB">
        <w:rPr>
          <w:b/>
          <w:bCs/>
          <w:i/>
          <w:iCs/>
          <w:u w:val="single"/>
        </w:rPr>
        <w:t>Administrar, controlar y resguardar los recursos locales y federales, así como el patrimonio del Partido</w:t>
      </w:r>
      <w:r w:rsidRPr="00625CDB">
        <w:rPr>
          <w:i/>
          <w:iCs/>
        </w:rPr>
        <w:t xml:space="preserve">; excepcionalmente, se podrá delegar dicha función en los 53 Comités Directivos de las entidades federativas, previo acuerdo de la persona titular de la Presidencia del Comité Ejecutivo Nacional; </w:t>
      </w:r>
    </w:p>
    <w:p w14:paraId="70A3C2B7" w14:textId="77777777" w:rsidR="00D35BCA" w:rsidRPr="00625CDB" w:rsidRDefault="000410A8" w:rsidP="00625CDB">
      <w:pPr>
        <w:pBdr>
          <w:top w:val="nil"/>
          <w:left w:val="nil"/>
          <w:bottom w:val="nil"/>
          <w:right w:val="nil"/>
          <w:between w:val="nil"/>
        </w:pBdr>
        <w:ind w:left="567" w:right="539"/>
        <w:rPr>
          <w:i/>
          <w:iCs/>
        </w:rPr>
      </w:pPr>
      <w:r w:rsidRPr="00625CDB">
        <w:rPr>
          <w:i/>
          <w:iCs/>
        </w:rPr>
        <w:t xml:space="preserve">III. Presentar al Consejo Político Nacional el informe anual de actividades, </w:t>
      </w:r>
      <w:r w:rsidRPr="00625CDB">
        <w:rPr>
          <w:b/>
          <w:bCs/>
          <w:i/>
          <w:iCs/>
          <w:u w:val="single"/>
        </w:rPr>
        <w:t>así como los estados financieros correspondientes;</w:t>
      </w:r>
      <w:r w:rsidRPr="00625CDB">
        <w:rPr>
          <w:i/>
          <w:iCs/>
        </w:rPr>
        <w:t xml:space="preserve"> </w:t>
      </w:r>
    </w:p>
    <w:p w14:paraId="09224D93" w14:textId="77777777" w:rsidR="00D35BCA" w:rsidRPr="00625CDB" w:rsidRDefault="000410A8" w:rsidP="00625CDB">
      <w:pPr>
        <w:pBdr>
          <w:top w:val="nil"/>
          <w:left w:val="nil"/>
          <w:bottom w:val="nil"/>
          <w:right w:val="nil"/>
          <w:between w:val="nil"/>
        </w:pBdr>
        <w:ind w:left="567" w:right="539"/>
        <w:rPr>
          <w:i/>
          <w:iCs/>
        </w:rPr>
      </w:pPr>
      <w:r w:rsidRPr="00625CDB">
        <w:rPr>
          <w:i/>
          <w:iCs/>
        </w:rPr>
        <w:lastRenderedPageBreak/>
        <w:t xml:space="preserve">IV. Desarrollar la normatividad financiera, administrativa, contable y en materia de resguardo y optimización de los recursos materiales del Comité Ejecutivo Nacional, así como asistir y apoyar a los Comités Directivos de las entidades federativas para el desarrollo de sus actividades financieras, administrativas y contables; </w:t>
      </w:r>
    </w:p>
    <w:p w14:paraId="0DB44CFF" w14:textId="77777777" w:rsidR="00D35BCA" w:rsidRPr="00625CDB" w:rsidRDefault="000410A8" w:rsidP="00625CDB">
      <w:pPr>
        <w:pBdr>
          <w:top w:val="nil"/>
          <w:left w:val="nil"/>
          <w:bottom w:val="nil"/>
          <w:right w:val="nil"/>
          <w:between w:val="nil"/>
        </w:pBdr>
        <w:ind w:left="567" w:right="539"/>
        <w:rPr>
          <w:i/>
          <w:iCs/>
        </w:rPr>
      </w:pPr>
      <w:r w:rsidRPr="00625CDB">
        <w:rPr>
          <w:i/>
          <w:iCs/>
        </w:rPr>
        <w:t xml:space="preserve">V. Promover la representación jurídica del Partido para los actos relativos al ámbito de su competencia; </w:t>
      </w:r>
    </w:p>
    <w:p w14:paraId="1C684A30" w14:textId="77777777" w:rsidR="00D35BCA" w:rsidRPr="00625CDB" w:rsidRDefault="000410A8" w:rsidP="00625CDB">
      <w:pPr>
        <w:pBdr>
          <w:top w:val="nil"/>
          <w:left w:val="nil"/>
          <w:bottom w:val="nil"/>
          <w:right w:val="nil"/>
          <w:between w:val="nil"/>
        </w:pBdr>
        <w:ind w:left="567" w:right="539"/>
        <w:rPr>
          <w:i/>
          <w:iCs/>
        </w:rPr>
      </w:pPr>
      <w:r w:rsidRPr="00625CDB">
        <w:rPr>
          <w:i/>
          <w:iCs/>
        </w:rPr>
        <w:t xml:space="preserve">VI. </w:t>
      </w:r>
      <w:r w:rsidRPr="00625CDB">
        <w:rPr>
          <w:b/>
          <w:bCs/>
          <w:i/>
          <w:iCs/>
          <w:u w:val="single"/>
        </w:rPr>
        <w:t>Administrar los recursos financieros, humanos y materiales del Partido</w:t>
      </w:r>
      <w:r w:rsidRPr="00625CDB">
        <w:rPr>
          <w:i/>
          <w:iCs/>
        </w:rPr>
        <w:t xml:space="preserve">; </w:t>
      </w:r>
    </w:p>
    <w:p w14:paraId="674FF5FB" w14:textId="77777777" w:rsidR="00D35BCA" w:rsidRPr="00625CDB" w:rsidRDefault="000410A8" w:rsidP="00625CDB">
      <w:pPr>
        <w:pBdr>
          <w:top w:val="nil"/>
          <w:left w:val="nil"/>
          <w:bottom w:val="nil"/>
          <w:right w:val="nil"/>
          <w:between w:val="nil"/>
        </w:pBdr>
        <w:ind w:left="567" w:right="539"/>
        <w:rPr>
          <w:i/>
          <w:iCs/>
        </w:rPr>
      </w:pPr>
      <w:r w:rsidRPr="00625CDB">
        <w:rPr>
          <w:i/>
          <w:iCs/>
        </w:rPr>
        <w:t xml:space="preserve">VII. </w:t>
      </w:r>
      <w:r w:rsidRPr="00625CDB">
        <w:rPr>
          <w:b/>
          <w:bCs/>
          <w:i/>
          <w:iCs/>
          <w:u w:val="single"/>
        </w:rPr>
        <w:t>Elaborar la información financiera y contable y ser responsable de su presentación ante las autoridades competentes;</w:t>
      </w:r>
      <w:r w:rsidRPr="00625CDB">
        <w:rPr>
          <w:i/>
          <w:iCs/>
        </w:rPr>
        <w:t xml:space="preserve"> </w:t>
      </w:r>
    </w:p>
    <w:p w14:paraId="6CF715DB" w14:textId="77777777" w:rsidR="00D35BCA" w:rsidRPr="00625CDB" w:rsidRDefault="000410A8" w:rsidP="00625CDB">
      <w:pPr>
        <w:pBdr>
          <w:top w:val="nil"/>
          <w:left w:val="nil"/>
          <w:bottom w:val="nil"/>
          <w:right w:val="nil"/>
          <w:between w:val="nil"/>
        </w:pBdr>
        <w:ind w:left="567" w:right="539"/>
        <w:rPr>
          <w:i/>
          <w:iCs/>
        </w:rPr>
      </w:pPr>
      <w:r w:rsidRPr="00625CDB">
        <w:rPr>
          <w:i/>
          <w:iCs/>
        </w:rPr>
        <w:t xml:space="preserve">VIII. </w:t>
      </w:r>
      <w:r w:rsidRPr="00625CDB">
        <w:rPr>
          <w:b/>
          <w:bCs/>
          <w:i/>
          <w:iCs/>
          <w:u w:val="single"/>
        </w:rPr>
        <w:t>Elaborar el proyecto de presupuesto del Comité Ejecutivo Nacional del Partido y someterlo a consideración de la Presidencia;</w:t>
      </w:r>
      <w:r w:rsidRPr="00625CDB">
        <w:rPr>
          <w:i/>
          <w:iCs/>
        </w:rPr>
        <w:t xml:space="preserve"> </w:t>
      </w:r>
    </w:p>
    <w:p w14:paraId="67DD4803" w14:textId="77777777" w:rsidR="00D35BCA" w:rsidRPr="00625CDB" w:rsidRDefault="000410A8" w:rsidP="00625CDB">
      <w:pPr>
        <w:pBdr>
          <w:top w:val="nil"/>
          <w:left w:val="nil"/>
          <w:bottom w:val="nil"/>
          <w:right w:val="nil"/>
          <w:between w:val="nil"/>
        </w:pBdr>
        <w:ind w:left="567" w:right="539"/>
        <w:rPr>
          <w:i/>
          <w:iCs/>
        </w:rPr>
      </w:pPr>
      <w:r w:rsidRPr="00625CDB">
        <w:rPr>
          <w:i/>
          <w:iCs/>
        </w:rPr>
        <w:t xml:space="preserve">IX. Presentar los informes de ingresos y egresos trimestrales, anuales, de precampaña y de campaña, de acuerdo con lo establecido en la legislación electoral federal y los Estatutos del Partido; </w:t>
      </w:r>
    </w:p>
    <w:p w14:paraId="0C15B5EB" w14:textId="77777777" w:rsidR="00D35BCA" w:rsidRPr="00625CDB" w:rsidRDefault="000410A8" w:rsidP="00625CDB">
      <w:pPr>
        <w:pBdr>
          <w:top w:val="nil"/>
          <w:left w:val="nil"/>
          <w:bottom w:val="nil"/>
          <w:right w:val="nil"/>
          <w:between w:val="nil"/>
        </w:pBdr>
        <w:ind w:left="567" w:right="539"/>
        <w:rPr>
          <w:i/>
          <w:iCs/>
        </w:rPr>
      </w:pPr>
      <w:r w:rsidRPr="00625CDB">
        <w:rPr>
          <w:i/>
          <w:iCs/>
        </w:rPr>
        <w:t xml:space="preserve">X. Establecer las normas, acuerdos y convenios necesarios con los Comités Directivos de las entidades federativas, para la salvaguarda del patrimonio y su adecuada administración; </w:t>
      </w:r>
    </w:p>
    <w:p w14:paraId="080D1FB2" w14:textId="77777777" w:rsidR="00D35BCA" w:rsidRPr="00625CDB" w:rsidRDefault="000410A8" w:rsidP="00625CDB">
      <w:pPr>
        <w:pBdr>
          <w:top w:val="nil"/>
          <w:left w:val="nil"/>
          <w:bottom w:val="nil"/>
          <w:right w:val="nil"/>
          <w:between w:val="nil"/>
        </w:pBdr>
        <w:ind w:left="567" w:right="539"/>
        <w:rPr>
          <w:i/>
          <w:iCs/>
        </w:rPr>
      </w:pPr>
      <w:r w:rsidRPr="00625CDB">
        <w:rPr>
          <w:i/>
          <w:iCs/>
        </w:rPr>
        <w:t xml:space="preserve">XI. Establecer, previo acuerdo con la persona titular de la Presidencia del Comité Ejecutivo Nacional las normas mínimas que garanticen que el financiamiento otorgado para actividades específicas como entidades de interés público, sea ejercido conforme a los porcentajes que establece la normatividad aplicable. Para el caso de la capacitación, promoción y desarrollo del liderazgo político de las mujeres, no podrá otorgárseles un porcentaje menor al establecido en la normatividad aplicable del financiamiento para las actividades ordinarias con el que cuente el Partido. En lo que corresponde a la capacitación, promoción y desarrollo del liderazgo político de las mujeres, no podrá otorgárseles un porcentaje menor al establecido en la normatividad aplicable, del financiamiento con el que </w:t>
      </w:r>
      <w:r w:rsidRPr="00625CDB">
        <w:rPr>
          <w:i/>
          <w:iCs/>
        </w:rPr>
        <w:lastRenderedPageBreak/>
        <w:t xml:space="preserve">cuente el Partido o coalición para las actividades ordinarias, así como para el desarrollo de precampañas y campañas para sus candidaturas federales o locales, de acuerdo con los topes de gastos por tipo de candidaturas para la obtención del voto. </w:t>
      </w:r>
    </w:p>
    <w:p w14:paraId="71860821" w14:textId="77777777" w:rsidR="00D35BCA" w:rsidRPr="00625CDB" w:rsidRDefault="000410A8" w:rsidP="00625CDB">
      <w:pPr>
        <w:pBdr>
          <w:top w:val="nil"/>
          <w:left w:val="nil"/>
          <w:bottom w:val="nil"/>
          <w:right w:val="nil"/>
          <w:between w:val="nil"/>
        </w:pBdr>
        <w:ind w:left="567" w:right="539"/>
        <w:rPr>
          <w:i/>
          <w:iCs/>
        </w:rPr>
      </w:pPr>
      <w:r w:rsidRPr="00625CDB">
        <w:rPr>
          <w:i/>
          <w:iCs/>
        </w:rPr>
        <w:t xml:space="preserve">XII. Proponer a la persona titular de la Presidencia del Comité Ejecutivo Nacional una terna para la designación de quien asumirá la Contraloría General por parte del Consejo Político Nacional, cuyos integrantes deberán cumplir con el perfil curricular requerido; </w:t>
      </w:r>
    </w:p>
    <w:p w14:paraId="281F61C2" w14:textId="77777777" w:rsidR="00D35BCA" w:rsidRPr="00625CDB" w:rsidRDefault="000410A8" w:rsidP="00625CDB">
      <w:pPr>
        <w:pBdr>
          <w:top w:val="nil"/>
          <w:left w:val="nil"/>
          <w:bottom w:val="nil"/>
          <w:right w:val="nil"/>
          <w:between w:val="nil"/>
        </w:pBdr>
        <w:ind w:left="567" w:right="539"/>
        <w:rPr>
          <w:i/>
          <w:iCs/>
        </w:rPr>
      </w:pPr>
      <w:r w:rsidRPr="00625CDB">
        <w:rPr>
          <w:i/>
          <w:iCs/>
        </w:rPr>
        <w:t xml:space="preserve">XIII. Atender en los ámbitos de su competencia, la relación con el Instituto Nacional Electoral, en concordancia con las áreas del Comité Ejecutivo Nacional que correspondan y coadyuvando con la representación del Partido ante el Instituto Nacional Electoral; </w:t>
      </w:r>
    </w:p>
    <w:p w14:paraId="38BC26B7" w14:textId="77777777" w:rsidR="00D35BCA" w:rsidRPr="00625CDB" w:rsidRDefault="000410A8" w:rsidP="00625CDB">
      <w:pPr>
        <w:pBdr>
          <w:top w:val="nil"/>
          <w:left w:val="nil"/>
          <w:bottom w:val="nil"/>
          <w:right w:val="nil"/>
          <w:between w:val="nil"/>
        </w:pBdr>
        <w:ind w:left="567" w:right="539"/>
        <w:rPr>
          <w:i/>
          <w:iCs/>
        </w:rPr>
      </w:pPr>
      <w:r w:rsidRPr="00625CDB">
        <w:rPr>
          <w:i/>
          <w:iCs/>
        </w:rPr>
        <w:t xml:space="preserve">XIV. Coadyuvar con la Comisión de Presupuesto y Fiscalización para el cumplimiento de lo establecido en los presentes Estatutos; </w:t>
      </w:r>
    </w:p>
    <w:p w14:paraId="412E3C3A" w14:textId="77777777" w:rsidR="00D35BCA" w:rsidRPr="00625CDB" w:rsidRDefault="000410A8" w:rsidP="00625CDB">
      <w:pPr>
        <w:pBdr>
          <w:top w:val="nil"/>
          <w:left w:val="nil"/>
          <w:bottom w:val="nil"/>
          <w:right w:val="nil"/>
          <w:between w:val="nil"/>
        </w:pBdr>
        <w:ind w:left="567" w:right="539"/>
        <w:rPr>
          <w:i/>
          <w:iCs/>
        </w:rPr>
      </w:pPr>
      <w:r w:rsidRPr="00625CDB">
        <w:rPr>
          <w:i/>
          <w:iCs/>
        </w:rPr>
        <w:t xml:space="preserve">XV. Establecer, desarrollar, administrar y controlar el registro patrimonial de los Comités Ejecutivo Nacional, Directivos de las entidades federativas, municipales, de demarcación territorial de la Ciudad de México y seccionales, en el caso de enajenación de bienes muebles se deberá solicitar autorización a la persona titular de la Presidencia del Comité Ejecutivo Nacional; </w:t>
      </w:r>
    </w:p>
    <w:p w14:paraId="39D58646" w14:textId="77777777" w:rsidR="00D35BCA" w:rsidRPr="00625CDB" w:rsidRDefault="000410A8" w:rsidP="00625CDB">
      <w:pPr>
        <w:pBdr>
          <w:top w:val="nil"/>
          <w:left w:val="nil"/>
          <w:bottom w:val="nil"/>
          <w:right w:val="nil"/>
          <w:between w:val="nil"/>
        </w:pBdr>
        <w:ind w:left="567" w:right="539"/>
        <w:rPr>
          <w:i/>
          <w:iCs/>
        </w:rPr>
      </w:pPr>
      <w:r w:rsidRPr="00625CDB">
        <w:rPr>
          <w:i/>
          <w:iCs/>
        </w:rPr>
        <w:t xml:space="preserve">XVI. Establecer las normas, acuerdos y convenios necesarios con los Comités Directivos de las entidades federativas, municipales, de demarcación territorial de la Ciudad de México y seccionales para salvaguardar los bienes muebles e inmuebles para su adecuado registro e inventario; </w:t>
      </w:r>
    </w:p>
    <w:p w14:paraId="6C418594" w14:textId="77777777" w:rsidR="00D35BCA" w:rsidRPr="00625CDB" w:rsidRDefault="000410A8" w:rsidP="00625CDB">
      <w:pPr>
        <w:pBdr>
          <w:top w:val="nil"/>
          <w:left w:val="nil"/>
          <w:bottom w:val="nil"/>
          <w:right w:val="nil"/>
          <w:between w:val="nil"/>
        </w:pBdr>
        <w:ind w:left="567" w:right="539"/>
        <w:rPr>
          <w:i/>
          <w:iCs/>
        </w:rPr>
      </w:pPr>
      <w:r w:rsidRPr="00625CDB">
        <w:rPr>
          <w:i/>
          <w:iCs/>
        </w:rPr>
        <w:t xml:space="preserve">XVII. Elaborar la normatividad administrativa en materia de adquisiciones; XVIII. Apoyar a la Secretaría Jurídica y de Transparencia en materia laboral, vinculada con la administración de recursos humanos; </w:t>
      </w:r>
    </w:p>
    <w:p w14:paraId="45EB9A83" w14:textId="77777777" w:rsidR="00D35BCA" w:rsidRPr="00625CDB" w:rsidRDefault="000410A8" w:rsidP="00625CDB">
      <w:pPr>
        <w:pBdr>
          <w:top w:val="nil"/>
          <w:left w:val="nil"/>
          <w:bottom w:val="nil"/>
          <w:right w:val="nil"/>
          <w:between w:val="nil"/>
        </w:pBdr>
        <w:ind w:left="567" w:right="539"/>
        <w:rPr>
          <w:i/>
          <w:iCs/>
        </w:rPr>
      </w:pPr>
      <w:r w:rsidRPr="00625CDB">
        <w:rPr>
          <w:i/>
          <w:iCs/>
        </w:rPr>
        <w:t xml:space="preserve">XIX. Celebrar los contratos con proveedores y prestadores de servicios necesarios para el adecuado funcionamiento del Comité Ejecutivo Nacional; </w:t>
      </w:r>
    </w:p>
    <w:p w14:paraId="053BA23D" w14:textId="77777777" w:rsidR="00D35BCA" w:rsidRPr="00625CDB" w:rsidRDefault="000410A8" w:rsidP="00625CDB">
      <w:pPr>
        <w:pBdr>
          <w:top w:val="nil"/>
          <w:left w:val="nil"/>
          <w:bottom w:val="nil"/>
          <w:right w:val="nil"/>
          <w:between w:val="nil"/>
        </w:pBdr>
        <w:ind w:left="567" w:right="539"/>
        <w:rPr>
          <w:i/>
          <w:iCs/>
        </w:rPr>
      </w:pPr>
      <w:r w:rsidRPr="00625CDB">
        <w:rPr>
          <w:i/>
          <w:iCs/>
        </w:rPr>
        <w:lastRenderedPageBreak/>
        <w:t xml:space="preserve">XX. Expedir los nombramientos y realizar los movimientos de altas y bajas del personal que propongan los titulares de las áreas y Secretarías que integran el Comité Ejecutivo Nacional y de los Comités Directivos de las entidades federativas; </w:t>
      </w:r>
    </w:p>
    <w:p w14:paraId="3258F5A5" w14:textId="77777777" w:rsidR="00D35BCA" w:rsidRPr="00625CDB" w:rsidRDefault="000410A8" w:rsidP="00625CDB">
      <w:pPr>
        <w:pBdr>
          <w:top w:val="nil"/>
          <w:left w:val="nil"/>
          <w:bottom w:val="nil"/>
          <w:right w:val="nil"/>
          <w:between w:val="nil"/>
        </w:pBdr>
        <w:ind w:left="567" w:right="539"/>
        <w:rPr>
          <w:i/>
          <w:iCs/>
        </w:rPr>
      </w:pPr>
      <w:r w:rsidRPr="00625CDB">
        <w:rPr>
          <w:i/>
          <w:iCs/>
        </w:rPr>
        <w:t xml:space="preserve">XXI. Realizar las certificaciones de los documentos privados, archivo, actas, acuerdos, resoluciones, declaraciones y demás actos relacionados con las actividades ordinarias del Partido que consten en su archivo, fuera de las realizadas en los procesos electorales; </w:t>
      </w:r>
    </w:p>
    <w:p w14:paraId="088DEEAA" w14:textId="77777777" w:rsidR="00D35BCA" w:rsidRPr="00625CDB" w:rsidRDefault="000410A8" w:rsidP="00625CDB">
      <w:pPr>
        <w:pBdr>
          <w:top w:val="nil"/>
          <w:left w:val="nil"/>
          <w:bottom w:val="nil"/>
          <w:right w:val="nil"/>
          <w:between w:val="nil"/>
        </w:pBdr>
        <w:ind w:left="567" w:right="539"/>
        <w:rPr>
          <w:i/>
          <w:iCs/>
        </w:rPr>
      </w:pPr>
      <w:r w:rsidRPr="00625CDB">
        <w:rPr>
          <w:i/>
          <w:iCs/>
        </w:rPr>
        <w:t xml:space="preserve">XXII. Ejecutar y supervisar el sistema contable en línea que, en su caso, implemente el Consejo General del Instituto Nacional Electoral; </w:t>
      </w:r>
    </w:p>
    <w:p w14:paraId="02ABEBBC" w14:textId="77777777" w:rsidR="00D35BCA" w:rsidRPr="00625CDB" w:rsidRDefault="000410A8" w:rsidP="00625CDB">
      <w:pPr>
        <w:pBdr>
          <w:top w:val="nil"/>
          <w:left w:val="nil"/>
          <w:bottom w:val="nil"/>
          <w:right w:val="nil"/>
          <w:between w:val="nil"/>
        </w:pBdr>
        <w:ind w:left="567" w:right="539"/>
        <w:rPr>
          <w:i/>
          <w:iCs/>
        </w:rPr>
      </w:pPr>
      <w:r w:rsidRPr="00625CDB">
        <w:rPr>
          <w:i/>
          <w:iCs/>
        </w:rPr>
        <w:t xml:space="preserve">XXIII. Supervisar la aplicación de los instrumentos jurídicos establecidos en materia de Finanzas y Administración, en el Comité Ejecutivo Nacional, para transparentar el cumplimiento, aplicación u omisión del ejercicio de las atribuciones de las áreas que lo integran; y </w:t>
      </w:r>
    </w:p>
    <w:p w14:paraId="09F97A45" w14:textId="33E210D1" w:rsidR="00CF4DA6" w:rsidRPr="00625CDB" w:rsidRDefault="000410A8" w:rsidP="00625CDB">
      <w:pPr>
        <w:pBdr>
          <w:top w:val="nil"/>
          <w:left w:val="nil"/>
          <w:bottom w:val="nil"/>
          <w:right w:val="nil"/>
          <w:between w:val="nil"/>
        </w:pBdr>
        <w:ind w:left="567" w:right="539"/>
        <w:rPr>
          <w:rFonts w:eastAsia="Palatino Linotype" w:cs="Palatino Linotype"/>
          <w:i/>
          <w:iCs/>
        </w:rPr>
      </w:pPr>
      <w:r w:rsidRPr="00625CDB">
        <w:rPr>
          <w:i/>
          <w:iCs/>
        </w:rPr>
        <w:t>XXIV. Las demás que le señalan estos Estatutos, el reglamento y las que la persona titular de la Presidencia del Comité Ejecutivo Nacional le confiera.</w:t>
      </w:r>
    </w:p>
    <w:p w14:paraId="4360F274" w14:textId="187F3B8E" w:rsidR="00FF1BB7" w:rsidRPr="00625CDB" w:rsidRDefault="00FF1BB7" w:rsidP="00625CDB">
      <w:pPr>
        <w:pBdr>
          <w:top w:val="nil"/>
          <w:left w:val="nil"/>
          <w:bottom w:val="nil"/>
          <w:right w:val="nil"/>
          <w:between w:val="nil"/>
        </w:pBdr>
        <w:ind w:right="49"/>
        <w:rPr>
          <w:rFonts w:eastAsia="Palatino Linotype" w:cs="Palatino Linotype"/>
        </w:rPr>
      </w:pPr>
      <w:r w:rsidRPr="00625CDB">
        <w:rPr>
          <w:rFonts w:eastAsia="Palatino Linotype" w:cs="Palatino Linotype"/>
        </w:rPr>
        <w:t xml:space="preserve"> </w:t>
      </w:r>
    </w:p>
    <w:p w14:paraId="794237E2" w14:textId="526E7BAD" w:rsidR="00FF1BB7" w:rsidRPr="00625CDB" w:rsidRDefault="00FF1BB7" w:rsidP="00625CDB">
      <w:pPr>
        <w:ind w:right="49"/>
        <w:rPr>
          <w:rFonts w:eastAsia="Palatino Linotype" w:cs="Palatino Linotype"/>
        </w:rPr>
      </w:pPr>
      <w:r w:rsidRPr="00625CDB">
        <w:rPr>
          <w:rFonts w:eastAsia="Palatino Linotype" w:cs="Palatino Linotype"/>
        </w:rPr>
        <w:t xml:space="preserve">Es así que, de conformidad con el artículo 12 de la Ley de Transparencia y Acceso a la Información Pública del Estado de México y Municipios, los sujetos obligados sólo deberán proporcionar la información que obre en sus archivos, en el estado en que esta se encuentre, </w:t>
      </w:r>
      <w:r w:rsidR="007F47DE" w:rsidRPr="00625CDB">
        <w:t>lo que a</w:t>
      </w:r>
      <w:r w:rsidR="007F47DE" w:rsidRPr="00625CDB">
        <w:rPr>
          <w:i/>
        </w:rPr>
        <w:t xml:space="preserve"> contrario sensu</w:t>
      </w:r>
      <w:r w:rsidR="007F47DE" w:rsidRPr="00625CDB">
        <w:t xml:space="preserve"> significa que no se está obligado a proporcionar lo que no obre en los mismos; </w:t>
      </w:r>
      <w:r w:rsidRPr="00625CDB">
        <w:rPr>
          <w:rFonts w:eastAsia="Palatino Linotype" w:cs="Palatino Linotype"/>
        </w:rPr>
        <w:t>asimismo, se precisa que conforme a lo establecido en el Criterio 31/10 emitido por el Instituto Nacional de Transparencia, Acceso a la Información Pública y Protección de Datos Personales INAI (anteriormente IFAI) que se procede a citar a continuación:</w:t>
      </w:r>
    </w:p>
    <w:p w14:paraId="7C66E0F1" w14:textId="77777777" w:rsidR="00FF1BB7" w:rsidRDefault="00FF1BB7" w:rsidP="00625CDB">
      <w:pPr>
        <w:ind w:right="49"/>
        <w:rPr>
          <w:rFonts w:eastAsia="Palatino Linotype" w:cs="Palatino Linotype"/>
        </w:rPr>
      </w:pPr>
    </w:p>
    <w:p w14:paraId="3A5D16FB" w14:textId="77777777" w:rsidR="00625CDB" w:rsidRPr="00625CDB" w:rsidRDefault="00625CDB" w:rsidP="00625CDB">
      <w:pPr>
        <w:ind w:right="49"/>
        <w:rPr>
          <w:rFonts w:eastAsia="Palatino Linotype" w:cs="Palatino Linotype"/>
        </w:rPr>
      </w:pPr>
    </w:p>
    <w:p w14:paraId="11D089E5" w14:textId="77777777" w:rsidR="00FF1BB7" w:rsidRPr="00625CDB" w:rsidRDefault="00FF1BB7" w:rsidP="00625CDB">
      <w:pPr>
        <w:tabs>
          <w:tab w:val="left" w:pos="8222"/>
        </w:tabs>
        <w:ind w:left="567" w:right="567"/>
        <w:rPr>
          <w:rFonts w:eastAsia="Palatino Linotype" w:cs="Palatino Linotype"/>
          <w:i/>
        </w:rPr>
      </w:pPr>
      <w:r w:rsidRPr="00625CDB">
        <w:rPr>
          <w:rFonts w:eastAsia="Palatino Linotype" w:cs="Palatino Linotype"/>
          <w:b/>
          <w:i/>
        </w:rPr>
        <w:lastRenderedPageBreak/>
        <w:t>“El Instituto Federal de Acceso a la Información y Protección de Datos no cuenta con facultades para pronunciarse respecto de la veracidad de los documentos proporcionados por los sujetos obligados.</w:t>
      </w:r>
      <w:r w:rsidRPr="00625CDB">
        <w:rPr>
          <w:rFonts w:eastAsia="Palatino Linotype" w:cs="Palatino Linotype"/>
          <w:i/>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0846D1EA" w14:textId="77777777" w:rsidR="00FF1BB7" w:rsidRPr="00625CDB" w:rsidRDefault="00FF1BB7" w:rsidP="00625CDB">
      <w:pPr>
        <w:tabs>
          <w:tab w:val="left" w:pos="8222"/>
        </w:tabs>
        <w:ind w:left="567" w:right="567"/>
        <w:rPr>
          <w:rFonts w:eastAsia="Palatino Linotype" w:cs="Palatino Linotype"/>
          <w:i/>
          <w:sz w:val="16"/>
        </w:rPr>
      </w:pPr>
    </w:p>
    <w:p w14:paraId="1FEFA892" w14:textId="42ECDCD9" w:rsidR="00FF1BB7" w:rsidRPr="00625CDB" w:rsidRDefault="00FF1BB7" w:rsidP="00625CDB">
      <w:pPr>
        <w:pBdr>
          <w:top w:val="nil"/>
          <w:left w:val="nil"/>
          <w:bottom w:val="nil"/>
          <w:right w:val="nil"/>
          <w:between w:val="nil"/>
        </w:pBdr>
        <w:rPr>
          <w:rFonts w:eastAsia="Palatino Linotype" w:cs="Palatino Linotype"/>
          <w:bCs/>
        </w:rPr>
      </w:pPr>
      <w:r w:rsidRPr="00625CDB">
        <w:rPr>
          <w:rFonts w:eastAsia="Palatino Linotype" w:cs="Palatino Linotype"/>
          <w:bCs/>
        </w:rPr>
        <w:t xml:space="preserve">Por lo que, este Organismo Garante carece de facultades para dudar de la veracidad de la información que </w:t>
      </w:r>
      <w:r w:rsidR="00D571D4" w:rsidRPr="00625CDB">
        <w:rPr>
          <w:rFonts w:eastAsia="Palatino Linotype" w:cs="Palatino Linotype"/>
          <w:b/>
        </w:rPr>
        <w:t>EL SUJETO OBLIGADO</w:t>
      </w:r>
      <w:r w:rsidR="00D571D4" w:rsidRPr="00625CDB">
        <w:rPr>
          <w:rFonts w:eastAsia="Palatino Linotype" w:cs="Palatino Linotype"/>
          <w:bCs/>
        </w:rPr>
        <w:t xml:space="preserve"> </w:t>
      </w:r>
      <w:r w:rsidRPr="00625CDB">
        <w:rPr>
          <w:rFonts w:eastAsia="Palatino Linotype" w:cs="Palatino Linotype"/>
          <w:bCs/>
        </w:rPr>
        <w:t xml:space="preserve">puso a disposición de </w:t>
      </w:r>
      <w:r w:rsidR="00D571D4" w:rsidRPr="00625CDB">
        <w:rPr>
          <w:rFonts w:eastAsia="Palatino Linotype" w:cs="Palatino Linotype"/>
          <w:b/>
        </w:rPr>
        <w:t>LA PARTE RECURRENTE</w:t>
      </w:r>
      <w:r w:rsidRPr="00625CDB">
        <w:rPr>
          <w:rFonts w:eastAsia="Palatino Linotype" w:cs="Palatino Linotype"/>
          <w:bCs/>
        </w:rPr>
        <w:t>.</w:t>
      </w:r>
    </w:p>
    <w:p w14:paraId="32CE57ED" w14:textId="310FE887" w:rsidR="007A7485" w:rsidRPr="00625CDB" w:rsidRDefault="007A7485" w:rsidP="00625CDB">
      <w:pPr>
        <w:spacing w:after="160"/>
        <w:rPr>
          <w:rFonts w:cs="Tahoma"/>
          <w:bCs/>
          <w:iCs/>
          <w:sz w:val="18"/>
          <w:szCs w:val="24"/>
        </w:rPr>
      </w:pPr>
    </w:p>
    <w:p w14:paraId="6CD05AC4" w14:textId="79850ADB" w:rsidR="00BD5A7C" w:rsidRPr="00625CDB" w:rsidRDefault="003A38DC" w:rsidP="00625CDB">
      <w:pPr>
        <w:pStyle w:val="Ttulo3"/>
        <w:rPr>
          <w:szCs w:val="22"/>
        </w:rPr>
      </w:pPr>
      <w:bookmarkStart w:id="28" w:name="_Toc165304079"/>
      <w:bookmarkStart w:id="29" w:name="_Toc174558437"/>
      <w:r w:rsidRPr="00625CDB">
        <w:rPr>
          <w:rFonts w:eastAsia="Calibri"/>
          <w:szCs w:val="22"/>
        </w:rPr>
        <w:t>d</w:t>
      </w:r>
      <w:r w:rsidR="00335CDF" w:rsidRPr="00625CDB">
        <w:rPr>
          <w:rFonts w:eastAsia="Calibri"/>
          <w:szCs w:val="22"/>
        </w:rPr>
        <w:t xml:space="preserve">) </w:t>
      </w:r>
      <w:bookmarkEnd w:id="28"/>
      <w:r w:rsidR="00BD5A7C" w:rsidRPr="00625CDB">
        <w:rPr>
          <w:szCs w:val="22"/>
        </w:rPr>
        <w:t>Conclusión</w:t>
      </w:r>
      <w:bookmarkEnd w:id="29"/>
    </w:p>
    <w:p w14:paraId="7D9C53BE" w14:textId="77777777" w:rsidR="007F47DE" w:rsidRPr="00625CDB" w:rsidRDefault="007F47DE" w:rsidP="00625CDB">
      <w:pPr>
        <w:rPr>
          <w:rFonts w:eastAsia="Calibri"/>
          <w:b/>
          <w:lang w:val="es-ES"/>
        </w:rPr>
      </w:pPr>
      <w:r w:rsidRPr="00625CDB">
        <w:rPr>
          <w:rFonts w:eastAsia="Calibri"/>
          <w:lang w:val="es-ES"/>
        </w:rPr>
        <w:t xml:space="preserve">Por lo anteriormente expuesto, se considera que las </w:t>
      </w:r>
      <w:r w:rsidRPr="00625CDB">
        <w:rPr>
          <w:rFonts w:cs="Arial"/>
          <w:lang w:val="es-ES"/>
        </w:rPr>
        <w:t xml:space="preserve">razones o motivos de inconformidad planteadas por </w:t>
      </w:r>
      <w:r w:rsidRPr="00625CDB">
        <w:rPr>
          <w:rFonts w:cs="Arial"/>
          <w:b/>
          <w:lang w:val="es-ES"/>
        </w:rPr>
        <w:t>EL RECURRENTE</w:t>
      </w:r>
      <w:r w:rsidRPr="00625CDB">
        <w:rPr>
          <w:b/>
          <w:lang w:val="es-ES"/>
        </w:rPr>
        <w:t xml:space="preserve"> </w:t>
      </w:r>
      <w:r w:rsidRPr="00625CDB">
        <w:rPr>
          <w:rFonts w:cs="Arial"/>
          <w:lang w:val="es-ES"/>
        </w:rPr>
        <w:t>resultan infundadas;</w:t>
      </w:r>
      <w:r w:rsidRPr="00625CDB">
        <w:rPr>
          <w:rFonts w:eastAsia="Calibri"/>
          <w:lang w:val="es-ES"/>
        </w:rPr>
        <w:t xml:space="preserve"> en consecuencia, este Órgano Garante determina </w:t>
      </w:r>
      <w:r w:rsidRPr="00625CDB">
        <w:rPr>
          <w:rFonts w:eastAsia="Calibri"/>
          <w:b/>
          <w:lang w:val="es-ES"/>
        </w:rPr>
        <w:t xml:space="preserve">CONFIRMAR </w:t>
      </w:r>
      <w:r w:rsidRPr="00625CDB">
        <w:rPr>
          <w:rFonts w:eastAsia="Calibri"/>
          <w:lang w:val="es-ES"/>
        </w:rPr>
        <w:t xml:space="preserve">la respuesta otorgada por el </w:t>
      </w:r>
      <w:r w:rsidRPr="00625CDB">
        <w:rPr>
          <w:rFonts w:eastAsia="Calibri"/>
          <w:b/>
          <w:lang w:val="es-ES"/>
        </w:rPr>
        <w:t xml:space="preserve">SUJETO OBLIGADO, </w:t>
      </w:r>
      <w:r w:rsidRPr="00625CDB">
        <w:rPr>
          <w:rFonts w:eastAsia="Calibri"/>
          <w:bCs/>
          <w:lang w:val="es-ES"/>
        </w:rPr>
        <w:t xml:space="preserve">en razón de que se entregó la información solicitada por </w:t>
      </w:r>
      <w:r w:rsidRPr="00625CDB">
        <w:rPr>
          <w:rFonts w:eastAsia="Calibri"/>
          <w:b/>
          <w:bCs/>
          <w:iCs/>
        </w:rPr>
        <w:t>LA PARTE RECURRENTE.</w:t>
      </w:r>
    </w:p>
    <w:p w14:paraId="11D800F6" w14:textId="26A99F3B" w:rsidR="00BC7CDB" w:rsidRPr="00625CDB" w:rsidRDefault="00BC7CDB" w:rsidP="00625CDB">
      <w:pPr>
        <w:ind w:right="-93"/>
        <w:rPr>
          <w:rFonts w:eastAsia="Calibri" w:cs="Tahoma"/>
          <w:bCs/>
          <w:sz w:val="16"/>
          <w:szCs w:val="22"/>
          <w:lang w:eastAsia="en-US"/>
        </w:rPr>
      </w:pPr>
    </w:p>
    <w:p w14:paraId="6C4C444E" w14:textId="16F1DC79" w:rsidR="00BD5A7C" w:rsidRPr="00625CDB" w:rsidRDefault="00BD5A7C" w:rsidP="00625CDB">
      <w:pPr>
        <w:ind w:right="-93"/>
        <w:rPr>
          <w:rFonts w:cs="Tahoma"/>
          <w:bCs/>
          <w:szCs w:val="22"/>
        </w:rPr>
      </w:pPr>
      <w:bookmarkStart w:id="30" w:name="_Hlk165381027"/>
      <w:r w:rsidRPr="00625CDB">
        <w:rPr>
          <w:rFonts w:cs="Tahoma"/>
          <w:bCs/>
          <w:szCs w:val="22"/>
        </w:rPr>
        <w:t xml:space="preserve">Así, con fundamento en lo establecido en los artículos 5, párrafos trigésimo segundo, trigésimo tercero y trigésimo cuarto, fracciones IV y V, de la Constitución Política del Estado Libre y </w:t>
      </w:r>
      <w:r w:rsidRPr="00625CDB">
        <w:rPr>
          <w:rFonts w:cs="Tahoma"/>
          <w:bCs/>
          <w:szCs w:val="22"/>
        </w:rPr>
        <w:lastRenderedPageBreak/>
        <w:t>Soberano de México; y en los artículos 2, fracción II, 9, 29, 36, fracciones I y II, 176, 178, 179, 186 y 188 de la Ley de Transparencia y Acceso a la Información Pública del Estado de México y Municipios, este Pleno:</w:t>
      </w:r>
    </w:p>
    <w:bookmarkEnd w:id="30"/>
    <w:p w14:paraId="7C13D1A0" w14:textId="77777777" w:rsidR="00BD5A7C" w:rsidRPr="00625CDB" w:rsidRDefault="00BD5A7C" w:rsidP="00625CDB">
      <w:pPr>
        <w:rPr>
          <w:szCs w:val="22"/>
        </w:rPr>
      </w:pPr>
    </w:p>
    <w:p w14:paraId="5C396097" w14:textId="684A0E4F" w:rsidR="00664420" w:rsidRPr="00625CDB" w:rsidRDefault="00664420" w:rsidP="00625CDB">
      <w:pPr>
        <w:pStyle w:val="Ttulo1"/>
        <w:rPr>
          <w:szCs w:val="22"/>
        </w:rPr>
      </w:pPr>
      <w:bookmarkStart w:id="31" w:name="_Toc174558438"/>
      <w:r w:rsidRPr="00625CDB">
        <w:rPr>
          <w:szCs w:val="22"/>
        </w:rPr>
        <w:t>RESUELVE</w:t>
      </w:r>
      <w:bookmarkEnd w:id="31"/>
    </w:p>
    <w:p w14:paraId="203B7093" w14:textId="77777777" w:rsidR="00664420" w:rsidRPr="00625CDB" w:rsidRDefault="00664420" w:rsidP="00625CDB">
      <w:pPr>
        <w:ind w:right="113"/>
        <w:rPr>
          <w:rFonts w:cs="Arial"/>
          <w:b/>
          <w:szCs w:val="22"/>
        </w:rPr>
      </w:pPr>
    </w:p>
    <w:p w14:paraId="582BFEA8" w14:textId="7AA9D3AF" w:rsidR="007F47DE" w:rsidRPr="00625CDB" w:rsidRDefault="007F47DE" w:rsidP="00625CDB">
      <w:pPr>
        <w:widowControl w:val="0"/>
        <w:rPr>
          <w:rFonts w:eastAsia="Calibri" w:cs="Tahoma"/>
          <w:bCs/>
          <w:szCs w:val="22"/>
          <w:lang w:eastAsia="en-US"/>
        </w:rPr>
      </w:pPr>
      <w:r w:rsidRPr="00625CDB">
        <w:rPr>
          <w:b/>
          <w:bCs/>
        </w:rPr>
        <w:t>PRIMERO.</w:t>
      </w:r>
      <w:r w:rsidRPr="00625CDB">
        <w:t xml:space="preserve"> </w:t>
      </w:r>
      <w:r w:rsidRPr="00625CDB">
        <w:rPr>
          <w:rFonts w:cs="Tahoma"/>
          <w:szCs w:val="22"/>
        </w:rPr>
        <w:t xml:space="preserve">Se </w:t>
      </w:r>
      <w:r w:rsidRPr="00625CDB">
        <w:rPr>
          <w:rFonts w:cs="Tahoma"/>
          <w:b/>
          <w:bCs/>
          <w:szCs w:val="22"/>
        </w:rPr>
        <w:t>CONFIRMA</w:t>
      </w:r>
      <w:r w:rsidRPr="00625CDB">
        <w:rPr>
          <w:rFonts w:cs="Tahoma"/>
          <w:szCs w:val="22"/>
        </w:rPr>
        <w:t xml:space="preserve"> la respuesta entregada por el </w:t>
      </w:r>
      <w:r w:rsidRPr="00625CDB">
        <w:rPr>
          <w:rFonts w:cs="Tahoma"/>
          <w:b/>
          <w:bCs/>
          <w:szCs w:val="22"/>
        </w:rPr>
        <w:t>SUJETO OBLIGADO</w:t>
      </w:r>
      <w:r w:rsidRPr="00625CDB">
        <w:rPr>
          <w:rFonts w:cs="Tahoma"/>
          <w:szCs w:val="22"/>
        </w:rPr>
        <w:t xml:space="preserve"> en la solicitud de información </w:t>
      </w:r>
      <w:r w:rsidRPr="00625CDB">
        <w:rPr>
          <w:rFonts w:cs="Tahoma"/>
          <w:b/>
          <w:bCs/>
        </w:rPr>
        <w:t>00024/PRI/IP/2024</w:t>
      </w:r>
      <w:r w:rsidRPr="00625CDB">
        <w:rPr>
          <w:rFonts w:cs="Tahoma"/>
          <w:bCs/>
          <w:szCs w:val="22"/>
        </w:rPr>
        <w:t xml:space="preserve">, </w:t>
      </w:r>
      <w:r w:rsidRPr="00625CDB">
        <w:rPr>
          <w:rFonts w:eastAsia="Calibri" w:cs="Tahoma"/>
          <w:bCs/>
          <w:szCs w:val="22"/>
          <w:lang w:eastAsia="en-US"/>
        </w:rPr>
        <w:t xml:space="preserve">por resultar </w:t>
      </w:r>
      <w:r w:rsidRPr="00625CDB">
        <w:rPr>
          <w:rFonts w:eastAsia="Calibri" w:cs="Tahoma"/>
          <w:b/>
          <w:szCs w:val="22"/>
          <w:lang w:eastAsia="en-US"/>
        </w:rPr>
        <w:t>IN</w:t>
      </w:r>
      <w:r w:rsidRPr="00625CDB">
        <w:rPr>
          <w:rFonts w:eastAsia="Calibri" w:cs="Tahoma"/>
          <w:b/>
          <w:bCs/>
          <w:szCs w:val="22"/>
          <w:lang w:eastAsia="en-US"/>
        </w:rPr>
        <w:t>FUNDADAS</w:t>
      </w:r>
      <w:r w:rsidRPr="00625CDB">
        <w:rPr>
          <w:rFonts w:eastAsia="Calibri" w:cs="Tahoma"/>
          <w:bCs/>
          <w:szCs w:val="22"/>
          <w:lang w:eastAsia="en-US"/>
        </w:rPr>
        <w:t xml:space="preserve"> las razones o motivos de inconformidad hechos valer por </w:t>
      </w:r>
      <w:r w:rsidRPr="00625CDB">
        <w:rPr>
          <w:rFonts w:eastAsia="Calibri" w:cs="Tahoma"/>
          <w:b/>
          <w:szCs w:val="22"/>
          <w:lang w:eastAsia="en-US"/>
        </w:rPr>
        <w:t>LA PARTE RECURRENTE</w:t>
      </w:r>
      <w:r w:rsidRPr="00625CDB">
        <w:rPr>
          <w:rFonts w:eastAsia="Calibri" w:cs="Tahoma"/>
          <w:bCs/>
          <w:szCs w:val="22"/>
          <w:lang w:eastAsia="en-US"/>
        </w:rPr>
        <w:t xml:space="preserve"> en el Recurso de Revisión </w:t>
      </w:r>
      <w:r w:rsidRPr="00625CDB">
        <w:rPr>
          <w:rFonts w:eastAsiaTheme="minorHAnsi" w:cstheme="minorBidi"/>
          <w:b/>
          <w:bCs/>
          <w:szCs w:val="22"/>
          <w:lang w:eastAsia="en-US"/>
        </w:rPr>
        <w:t>01792/INFOEM/IP/RR/2024</w:t>
      </w:r>
      <w:r w:rsidRPr="00625CDB">
        <w:rPr>
          <w:rFonts w:eastAsiaTheme="minorHAnsi" w:cstheme="minorBidi"/>
          <w:szCs w:val="22"/>
          <w:lang w:eastAsia="en-US"/>
        </w:rPr>
        <w:t>,</w:t>
      </w:r>
      <w:r w:rsidRPr="00625CDB">
        <w:rPr>
          <w:rFonts w:cs="Tahoma"/>
          <w:b/>
          <w:szCs w:val="22"/>
        </w:rPr>
        <w:t xml:space="preserve"> </w:t>
      </w:r>
      <w:r w:rsidRPr="00625CDB">
        <w:rPr>
          <w:rFonts w:eastAsia="Calibri" w:cs="Tahoma"/>
          <w:bCs/>
          <w:szCs w:val="22"/>
          <w:lang w:eastAsia="en-US"/>
        </w:rPr>
        <w:t xml:space="preserve">en términos del considerando </w:t>
      </w:r>
      <w:r w:rsidRPr="00625CDB">
        <w:rPr>
          <w:rFonts w:eastAsia="Calibri" w:cs="Tahoma"/>
          <w:b/>
          <w:szCs w:val="22"/>
          <w:lang w:eastAsia="en-US"/>
        </w:rPr>
        <w:t>SEGUNDO</w:t>
      </w:r>
      <w:r w:rsidRPr="00625CDB">
        <w:rPr>
          <w:rFonts w:eastAsia="Calibri" w:cs="Tahoma"/>
          <w:bCs/>
          <w:szCs w:val="22"/>
          <w:lang w:eastAsia="en-US"/>
        </w:rPr>
        <w:t xml:space="preserve"> de la presente Resolución.</w:t>
      </w:r>
    </w:p>
    <w:p w14:paraId="2AD552DE" w14:textId="77777777" w:rsidR="007F47DE" w:rsidRPr="00625CDB" w:rsidRDefault="007F47DE" w:rsidP="00625CDB">
      <w:pPr>
        <w:widowControl w:val="0"/>
        <w:rPr>
          <w:rFonts w:eastAsia="Calibri" w:cs="Tahoma"/>
          <w:bCs/>
          <w:szCs w:val="22"/>
          <w:lang w:eastAsia="en-US"/>
        </w:rPr>
      </w:pPr>
    </w:p>
    <w:p w14:paraId="54D8CE56" w14:textId="55819BDF" w:rsidR="007F47DE" w:rsidRPr="00625CDB" w:rsidRDefault="007F47DE" w:rsidP="00625CDB">
      <w:pPr>
        <w:ind w:right="-93"/>
      </w:pPr>
      <w:r w:rsidRPr="00625CDB">
        <w:rPr>
          <w:rFonts w:eastAsia="Calibri" w:cs="Tahoma"/>
          <w:b/>
          <w:bCs/>
          <w:szCs w:val="22"/>
          <w:lang w:eastAsia="en-US"/>
        </w:rPr>
        <w:t>SEGUNDO.</w:t>
      </w:r>
      <w:r w:rsidRPr="00625CDB">
        <w:rPr>
          <w:rFonts w:eastAsia="Calibri" w:cs="Tahoma"/>
          <w:szCs w:val="22"/>
          <w:lang w:eastAsia="es-MX"/>
        </w:rPr>
        <w:t xml:space="preserve"> </w:t>
      </w:r>
      <w:r w:rsidRPr="00625CDB">
        <w:t>Notifíquese la presente resolución mediante Sistema de Acceso a la Información Mexiquense</w:t>
      </w:r>
      <w:r w:rsidR="00021211" w:rsidRPr="00625CDB">
        <w:t xml:space="preserve"> </w:t>
      </w:r>
      <w:r w:rsidR="00021211" w:rsidRPr="00625CDB">
        <w:rPr>
          <w:b/>
          <w:bCs/>
        </w:rPr>
        <w:t>(SAIMEX)</w:t>
      </w:r>
      <w:r w:rsidRPr="00625CDB">
        <w:t xml:space="preserve"> al Titular de la Unidad de Transparencia del </w:t>
      </w:r>
      <w:r w:rsidRPr="00625CDB">
        <w:rPr>
          <w:b/>
          <w:bCs/>
        </w:rPr>
        <w:t>SUJETO OBLIGADO</w:t>
      </w:r>
      <w:r w:rsidRPr="00625CDB">
        <w:t>, para su conocimiento.</w:t>
      </w:r>
    </w:p>
    <w:p w14:paraId="1C70A238" w14:textId="77777777" w:rsidR="007F47DE" w:rsidRPr="00625CDB" w:rsidRDefault="007F47DE" w:rsidP="00625CDB">
      <w:pPr>
        <w:ind w:right="-93"/>
      </w:pPr>
    </w:p>
    <w:p w14:paraId="280C042E" w14:textId="77777777" w:rsidR="007F47DE" w:rsidRPr="00625CDB" w:rsidRDefault="007F47DE" w:rsidP="00625CDB">
      <w:r w:rsidRPr="00625CDB">
        <w:rPr>
          <w:b/>
          <w:bCs/>
        </w:rPr>
        <w:t>TERCERO.</w:t>
      </w:r>
      <w:r w:rsidRPr="00625CDB">
        <w:t xml:space="preserve"> Notifíquese a </w:t>
      </w:r>
      <w:r w:rsidRPr="00625CDB">
        <w:rPr>
          <w:b/>
          <w:bCs/>
        </w:rPr>
        <w:t>LA PARTE RECURRENTE</w:t>
      </w:r>
      <w:r w:rsidRPr="00625CDB">
        <w:t xml:space="preserve"> la presente resolución vía Sistema de Acceso a la Información Mexiquense (SAIMEX).</w:t>
      </w:r>
    </w:p>
    <w:p w14:paraId="70091746" w14:textId="77777777" w:rsidR="007F47DE" w:rsidRPr="00625CDB" w:rsidRDefault="007F47DE" w:rsidP="00625CDB"/>
    <w:p w14:paraId="27CECBF9" w14:textId="77777777" w:rsidR="007F47DE" w:rsidRPr="00625CDB" w:rsidRDefault="007F47DE" w:rsidP="00625CDB">
      <w:r w:rsidRPr="00625CDB">
        <w:rPr>
          <w:b/>
          <w:bCs/>
        </w:rPr>
        <w:t>CUARTO</w:t>
      </w:r>
      <w:r w:rsidRPr="00625CDB">
        <w:t xml:space="preserve">. Hágase del conocimiento a </w:t>
      </w:r>
      <w:r w:rsidRPr="00625CDB">
        <w:rPr>
          <w:b/>
          <w:bCs/>
        </w:rPr>
        <w:t>LA PARTE RECURRENTE</w:t>
      </w:r>
      <w:r w:rsidRPr="00625CDB">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BC8564F" w14:textId="77777777" w:rsidR="00FC3CE0" w:rsidRPr="00625CDB" w:rsidRDefault="00FC3CE0" w:rsidP="00625CDB">
      <w:pPr>
        <w:ind w:right="113"/>
        <w:rPr>
          <w:rFonts w:cs="Arial"/>
          <w:b/>
          <w:szCs w:val="22"/>
        </w:rPr>
      </w:pPr>
    </w:p>
    <w:p w14:paraId="719A5C63" w14:textId="699C531B" w:rsidR="00664420" w:rsidRPr="00625CDB" w:rsidRDefault="00664420" w:rsidP="00625CDB">
      <w:pPr>
        <w:rPr>
          <w:rFonts w:eastAsia="Palatino Linotype" w:cs="Palatino Linotype"/>
          <w:szCs w:val="22"/>
        </w:rPr>
      </w:pPr>
      <w:r w:rsidRPr="00625CDB">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336B4B" w:rsidRPr="00625CDB">
        <w:rPr>
          <w:rFonts w:eastAsia="Palatino Linotype" w:cs="Palatino Linotype"/>
          <w:szCs w:val="22"/>
        </w:rPr>
        <w:t xml:space="preserve">VIGÉSIMA </w:t>
      </w:r>
      <w:r w:rsidR="00184448" w:rsidRPr="00625CDB">
        <w:rPr>
          <w:rFonts w:eastAsia="Palatino Linotype" w:cs="Palatino Linotype"/>
          <w:szCs w:val="22"/>
        </w:rPr>
        <w:t>OCTAVA</w:t>
      </w:r>
      <w:r w:rsidR="00336B4B" w:rsidRPr="00625CDB">
        <w:rPr>
          <w:rFonts w:eastAsia="Palatino Linotype" w:cs="Palatino Linotype"/>
          <w:szCs w:val="22"/>
        </w:rPr>
        <w:t xml:space="preserve"> </w:t>
      </w:r>
      <w:r w:rsidRPr="00625CDB">
        <w:rPr>
          <w:rFonts w:eastAsia="Palatino Linotype" w:cs="Palatino Linotype"/>
          <w:szCs w:val="22"/>
        </w:rPr>
        <w:t xml:space="preserve">SESIÓN ORDINARIA, CELEBRADA EL </w:t>
      </w:r>
      <w:r w:rsidR="00184448" w:rsidRPr="00625CDB">
        <w:rPr>
          <w:rFonts w:eastAsia="Palatino Linotype" w:cs="Palatino Linotype"/>
          <w:szCs w:val="22"/>
        </w:rPr>
        <w:t>CATORCE</w:t>
      </w:r>
      <w:r w:rsidR="00E33714" w:rsidRPr="00625CDB">
        <w:rPr>
          <w:rFonts w:eastAsia="Palatino Linotype" w:cs="Palatino Linotype"/>
          <w:szCs w:val="22"/>
        </w:rPr>
        <w:t xml:space="preserve"> DE AGOSTO</w:t>
      </w:r>
      <w:r w:rsidR="00336B4B" w:rsidRPr="00625CDB">
        <w:rPr>
          <w:rFonts w:eastAsia="Palatino Linotype" w:cs="Palatino Linotype"/>
          <w:szCs w:val="22"/>
        </w:rPr>
        <w:t xml:space="preserve"> DE DOS MIL VEINTICUATRO, </w:t>
      </w:r>
      <w:r w:rsidRPr="00625CDB">
        <w:rPr>
          <w:rFonts w:eastAsia="Palatino Linotype" w:cs="Palatino Linotype"/>
          <w:szCs w:val="22"/>
        </w:rPr>
        <w:t>ANTE EL SECRETARIO TÉCNICO DEL PLENO, ALEXIS TAPIA RAMÍREZ.</w:t>
      </w:r>
    </w:p>
    <w:p w14:paraId="26F5FDEB" w14:textId="77777777" w:rsidR="008629A5" w:rsidRPr="00625CDB" w:rsidRDefault="008629A5" w:rsidP="00625CDB">
      <w:pPr>
        <w:ind w:right="-93"/>
      </w:pPr>
      <w:r w:rsidRPr="00625CDB">
        <w:rPr>
          <w:rFonts w:eastAsia="Palatino Linotype" w:cs="Palatino Linotype"/>
          <w:sz w:val="18"/>
          <w:szCs w:val="14"/>
        </w:rPr>
        <w:t>SCMM/AGZ/DEMF/PAG</w:t>
      </w:r>
    </w:p>
    <w:p w14:paraId="49D72DA3" w14:textId="77777777" w:rsidR="00664420" w:rsidRPr="00625CDB" w:rsidRDefault="00664420" w:rsidP="00625CDB">
      <w:pPr>
        <w:ind w:right="-93"/>
        <w:rPr>
          <w:rFonts w:eastAsia="Calibri" w:cs="Tahoma"/>
          <w:bCs/>
          <w:szCs w:val="22"/>
          <w:lang w:eastAsia="en-US"/>
        </w:rPr>
      </w:pPr>
    </w:p>
    <w:p w14:paraId="5EFEA0CD" w14:textId="77777777" w:rsidR="00664420" w:rsidRPr="00625CDB" w:rsidRDefault="00664420" w:rsidP="00625CDB">
      <w:pPr>
        <w:ind w:right="-93"/>
        <w:rPr>
          <w:rFonts w:eastAsia="Calibri" w:cs="Tahoma"/>
          <w:szCs w:val="22"/>
          <w:lang w:val="es-ES"/>
        </w:rPr>
      </w:pPr>
    </w:p>
    <w:p w14:paraId="696BC976" w14:textId="77777777" w:rsidR="00664420" w:rsidRPr="00625CDB" w:rsidRDefault="00664420" w:rsidP="00625CDB">
      <w:pPr>
        <w:ind w:right="-93"/>
        <w:rPr>
          <w:rFonts w:eastAsia="Calibri" w:cs="Tahoma"/>
          <w:bCs/>
          <w:szCs w:val="22"/>
          <w:lang w:val="es-ES" w:eastAsia="en-US"/>
        </w:rPr>
      </w:pPr>
    </w:p>
    <w:p w14:paraId="671CB0C5" w14:textId="77777777" w:rsidR="00664420" w:rsidRPr="00625CDB" w:rsidRDefault="00664420" w:rsidP="00625CDB">
      <w:pPr>
        <w:ind w:right="-93"/>
        <w:rPr>
          <w:rFonts w:eastAsia="Calibri" w:cs="Tahoma"/>
          <w:bCs/>
          <w:szCs w:val="22"/>
          <w:lang w:val="es-ES_tradnl" w:eastAsia="en-US"/>
        </w:rPr>
      </w:pPr>
    </w:p>
    <w:p w14:paraId="52B66DE7" w14:textId="77777777" w:rsidR="00664420" w:rsidRPr="00625CDB" w:rsidRDefault="00664420" w:rsidP="00625CDB">
      <w:pPr>
        <w:ind w:right="-93"/>
        <w:rPr>
          <w:rFonts w:eastAsia="Calibri" w:cs="Tahoma"/>
          <w:bCs/>
          <w:szCs w:val="22"/>
          <w:lang w:val="es-ES_tradnl" w:eastAsia="en-US"/>
        </w:rPr>
      </w:pPr>
    </w:p>
    <w:p w14:paraId="3BA305D1" w14:textId="77777777" w:rsidR="00664420" w:rsidRPr="00625CDB" w:rsidRDefault="00664420" w:rsidP="00625CDB">
      <w:pPr>
        <w:ind w:right="-93"/>
        <w:rPr>
          <w:rFonts w:eastAsia="Calibri" w:cs="Tahoma"/>
          <w:bCs/>
          <w:szCs w:val="22"/>
          <w:lang w:val="es-ES_tradnl" w:eastAsia="en-US"/>
        </w:rPr>
      </w:pPr>
    </w:p>
    <w:p w14:paraId="78230707" w14:textId="77777777" w:rsidR="00664420" w:rsidRPr="00625CDB" w:rsidRDefault="00664420" w:rsidP="00625CDB">
      <w:pPr>
        <w:ind w:right="-93"/>
        <w:rPr>
          <w:rFonts w:eastAsia="Calibri" w:cs="Tahoma"/>
          <w:bCs/>
          <w:szCs w:val="22"/>
          <w:lang w:val="es-ES_tradnl" w:eastAsia="en-US"/>
        </w:rPr>
      </w:pPr>
    </w:p>
    <w:p w14:paraId="72D18B28" w14:textId="77777777" w:rsidR="00664420" w:rsidRPr="00625CDB" w:rsidRDefault="00664420" w:rsidP="00625CDB">
      <w:pPr>
        <w:ind w:right="-93"/>
        <w:rPr>
          <w:rFonts w:eastAsia="Calibri" w:cs="Tahoma"/>
          <w:bCs/>
          <w:szCs w:val="22"/>
          <w:lang w:val="es-ES_tradnl" w:eastAsia="en-US"/>
        </w:rPr>
      </w:pPr>
    </w:p>
    <w:p w14:paraId="6BD461DC" w14:textId="77777777" w:rsidR="00664420" w:rsidRPr="00625CDB" w:rsidRDefault="00664420" w:rsidP="00625CDB">
      <w:pPr>
        <w:tabs>
          <w:tab w:val="center" w:pos="4568"/>
        </w:tabs>
        <w:ind w:right="-93"/>
        <w:rPr>
          <w:rFonts w:eastAsia="Calibri" w:cs="Tahoma"/>
          <w:bCs/>
          <w:szCs w:val="22"/>
          <w:lang w:eastAsia="en-US"/>
        </w:rPr>
      </w:pPr>
    </w:p>
    <w:p w14:paraId="4DBB1727" w14:textId="77777777" w:rsidR="00664420" w:rsidRPr="00625CDB" w:rsidRDefault="00664420" w:rsidP="00625CDB">
      <w:pPr>
        <w:tabs>
          <w:tab w:val="center" w:pos="4568"/>
        </w:tabs>
        <w:ind w:right="-93"/>
        <w:rPr>
          <w:rFonts w:eastAsia="Calibri" w:cs="Tahoma"/>
          <w:bCs/>
          <w:szCs w:val="22"/>
          <w:lang w:eastAsia="en-US"/>
        </w:rPr>
      </w:pPr>
    </w:p>
    <w:p w14:paraId="1D74121B" w14:textId="77777777" w:rsidR="00664420" w:rsidRPr="00625CDB" w:rsidRDefault="00664420" w:rsidP="00625CDB">
      <w:pPr>
        <w:tabs>
          <w:tab w:val="center" w:pos="4568"/>
        </w:tabs>
        <w:ind w:right="-93"/>
        <w:rPr>
          <w:rFonts w:eastAsia="Calibri" w:cs="Tahoma"/>
          <w:bCs/>
          <w:szCs w:val="22"/>
          <w:lang w:eastAsia="en-US"/>
        </w:rPr>
      </w:pPr>
    </w:p>
    <w:p w14:paraId="08E74E9C" w14:textId="77777777" w:rsidR="00664420" w:rsidRPr="00625CDB" w:rsidRDefault="00664420" w:rsidP="00625CDB">
      <w:pPr>
        <w:tabs>
          <w:tab w:val="center" w:pos="4568"/>
        </w:tabs>
        <w:ind w:right="-93"/>
        <w:rPr>
          <w:rFonts w:eastAsia="Calibri" w:cs="Tahoma"/>
          <w:bCs/>
          <w:szCs w:val="22"/>
          <w:lang w:eastAsia="en-US"/>
        </w:rPr>
      </w:pPr>
    </w:p>
    <w:p w14:paraId="2CBF5E03" w14:textId="77777777" w:rsidR="00664420" w:rsidRPr="00625CDB" w:rsidRDefault="00664420" w:rsidP="00625CDB">
      <w:pPr>
        <w:tabs>
          <w:tab w:val="center" w:pos="4568"/>
        </w:tabs>
        <w:ind w:right="-93"/>
        <w:rPr>
          <w:rFonts w:eastAsia="Calibri" w:cs="Tahoma"/>
          <w:bCs/>
          <w:szCs w:val="22"/>
          <w:lang w:eastAsia="en-US"/>
        </w:rPr>
      </w:pPr>
    </w:p>
    <w:p w14:paraId="44865A6D" w14:textId="77777777" w:rsidR="00664420" w:rsidRPr="00625CDB" w:rsidRDefault="00664420" w:rsidP="00625CDB">
      <w:pPr>
        <w:tabs>
          <w:tab w:val="center" w:pos="4568"/>
        </w:tabs>
        <w:ind w:right="-93"/>
        <w:rPr>
          <w:rFonts w:eastAsia="Calibri" w:cs="Tahoma"/>
          <w:bCs/>
          <w:szCs w:val="22"/>
          <w:lang w:eastAsia="en-US"/>
        </w:rPr>
      </w:pPr>
    </w:p>
    <w:p w14:paraId="7147F06B" w14:textId="77777777" w:rsidR="00664420" w:rsidRPr="00625CDB" w:rsidRDefault="00664420" w:rsidP="00625CDB">
      <w:pPr>
        <w:tabs>
          <w:tab w:val="center" w:pos="4568"/>
        </w:tabs>
        <w:ind w:right="-93"/>
        <w:rPr>
          <w:rFonts w:eastAsia="Calibri" w:cs="Tahoma"/>
          <w:bCs/>
          <w:szCs w:val="22"/>
          <w:lang w:eastAsia="en-US"/>
        </w:rPr>
      </w:pPr>
    </w:p>
    <w:p w14:paraId="6FDF3D7E" w14:textId="77777777" w:rsidR="00664420" w:rsidRPr="00625CDB" w:rsidRDefault="00664420" w:rsidP="00625CDB">
      <w:pPr>
        <w:tabs>
          <w:tab w:val="center" w:pos="4568"/>
        </w:tabs>
        <w:ind w:right="-93"/>
        <w:rPr>
          <w:rFonts w:eastAsia="Calibri" w:cs="Tahoma"/>
          <w:bCs/>
          <w:szCs w:val="22"/>
          <w:lang w:eastAsia="en-US"/>
        </w:rPr>
      </w:pPr>
    </w:p>
    <w:p w14:paraId="6246F818" w14:textId="77777777" w:rsidR="00664420" w:rsidRPr="00625CDB" w:rsidRDefault="00664420" w:rsidP="00625CDB">
      <w:pPr>
        <w:tabs>
          <w:tab w:val="center" w:pos="4568"/>
        </w:tabs>
        <w:ind w:right="-93"/>
        <w:rPr>
          <w:rFonts w:eastAsia="Calibri" w:cs="Tahoma"/>
          <w:bCs/>
          <w:szCs w:val="22"/>
          <w:lang w:eastAsia="en-US"/>
        </w:rPr>
      </w:pPr>
    </w:p>
    <w:p w14:paraId="57A88B28" w14:textId="77777777" w:rsidR="00664420" w:rsidRPr="00625CDB" w:rsidRDefault="00664420" w:rsidP="00625CDB">
      <w:pPr>
        <w:tabs>
          <w:tab w:val="center" w:pos="4568"/>
        </w:tabs>
        <w:ind w:right="-93"/>
        <w:rPr>
          <w:rFonts w:eastAsia="Calibri" w:cs="Tahoma"/>
          <w:bCs/>
          <w:szCs w:val="22"/>
          <w:lang w:eastAsia="en-US"/>
        </w:rPr>
      </w:pPr>
    </w:p>
    <w:p w14:paraId="77EF6095" w14:textId="77777777" w:rsidR="00664420" w:rsidRPr="00625CDB" w:rsidRDefault="00664420" w:rsidP="00625CDB">
      <w:pPr>
        <w:tabs>
          <w:tab w:val="center" w:pos="4568"/>
        </w:tabs>
        <w:ind w:right="-93"/>
        <w:rPr>
          <w:rFonts w:eastAsia="Calibri" w:cs="Tahoma"/>
          <w:bCs/>
          <w:szCs w:val="22"/>
          <w:lang w:eastAsia="en-US"/>
        </w:rPr>
      </w:pPr>
    </w:p>
    <w:p w14:paraId="35593947" w14:textId="77777777" w:rsidR="00664420" w:rsidRPr="00625CDB" w:rsidRDefault="00664420" w:rsidP="00625CDB">
      <w:pPr>
        <w:tabs>
          <w:tab w:val="center" w:pos="4568"/>
        </w:tabs>
        <w:ind w:right="-93"/>
        <w:rPr>
          <w:rFonts w:eastAsia="Calibri" w:cs="Tahoma"/>
          <w:bCs/>
          <w:szCs w:val="22"/>
          <w:lang w:eastAsia="en-US"/>
        </w:rPr>
      </w:pPr>
    </w:p>
    <w:p w14:paraId="3AF72A17" w14:textId="77777777" w:rsidR="00664420" w:rsidRPr="00625CDB" w:rsidRDefault="00664420" w:rsidP="00625CDB">
      <w:pPr>
        <w:tabs>
          <w:tab w:val="center" w:pos="4568"/>
        </w:tabs>
        <w:ind w:right="-93"/>
        <w:rPr>
          <w:rFonts w:eastAsia="Calibri" w:cs="Tahoma"/>
          <w:bCs/>
          <w:szCs w:val="22"/>
          <w:lang w:eastAsia="en-US"/>
        </w:rPr>
      </w:pPr>
    </w:p>
    <w:p w14:paraId="37169144" w14:textId="77777777" w:rsidR="00664420" w:rsidRPr="00625CDB" w:rsidRDefault="00664420" w:rsidP="00625CDB">
      <w:pPr>
        <w:tabs>
          <w:tab w:val="center" w:pos="4568"/>
        </w:tabs>
        <w:ind w:right="-93"/>
        <w:rPr>
          <w:rFonts w:eastAsia="Calibri" w:cs="Tahoma"/>
          <w:bCs/>
          <w:szCs w:val="22"/>
          <w:lang w:eastAsia="en-US"/>
        </w:rPr>
      </w:pPr>
    </w:p>
    <w:p w14:paraId="77CFC088" w14:textId="77777777" w:rsidR="00664420" w:rsidRPr="00625CDB" w:rsidRDefault="00664420" w:rsidP="00625CDB">
      <w:pPr>
        <w:tabs>
          <w:tab w:val="center" w:pos="4568"/>
        </w:tabs>
        <w:ind w:right="-93"/>
        <w:rPr>
          <w:rFonts w:eastAsia="Calibri" w:cs="Tahoma"/>
          <w:bCs/>
          <w:szCs w:val="22"/>
          <w:lang w:eastAsia="en-US"/>
        </w:rPr>
      </w:pPr>
    </w:p>
    <w:p w14:paraId="781A11A5" w14:textId="77777777" w:rsidR="00664420" w:rsidRPr="00625CDB" w:rsidRDefault="00664420" w:rsidP="00625CDB">
      <w:pPr>
        <w:tabs>
          <w:tab w:val="center" w:pos="4568"/>
        </w:tabs>
        <w:ind w:right="-93"/>
        <w:rPr>
          <w:rFonts w:eastAsia="Calibri" w:cs="Tahoma"/>
          <w:bCs/>
          <w:szCs w:val="22"/>
          <w:lang w:eastAsia="en-US"/>
        </w:rPr>
      </w:pPr>
    </w:p>
    <w:p w14:paraId="5B4ADFF3" w14:textId="77777777" w:rsidR="00A131AC" w:rsidRPr="00625CDB" w:rsidRDefault="00A131AC" w:rsidP="00625CDB"/>
    <w:sectPr w:rsidR="00A131AC" w:rsidRPr="00625CDB" w:rsidSect="00EE2AF2">
      <w:footerReference w:type="default" r:id="rId20"/>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00829" w14:textId="77777777" w:rsidR="00B6587C" w:rsidRDefault="00B6587C" w:rsidP="00664420">
      <w:pPr>
        <w:spacing w:line="240" w:lineRule="auto"/>
      </w:pPr>
      <w:r>
        <w:separator/>
      </w:r>
    </w:p>
  </w:endnote>
  <w:endnote w:type="continuationSeparator" w:id="0">
    <w:p w14:paraId="58FB9AA4" w14:textId="77777777" w:rsidR="00B6587C" w:rsidRDefault="00B6587C"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Noto Sans Symbols">
    <w:altName w:val="Times New Roman"/>
    <w:charset w:val="00"/>
    <w:family w:val="auto"/>
    <w:pitch w:val="default"/>
  </w:font>
  <w:font w:name="Aptos">
    <w:altName w:val="Arial"/>
    <w:charset w:val="00"/>
    <w:family w:val="auto"/>
    <w:pitch w:val="default"/>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893BA2" w:rsidRDefault="00893BA2">
    <w:pPr>
      <w:tabs>
        <w:tab w:val="center" w:pos="4550"/>
        <w:tab w:val="left" w:pos="5818"/>
      </w:tabs>
      <w:ind w:right="260"/>
      <w:jc w:val="right"/>
      <w:rPr>
        <w:color w:val="071320" w:themeColor="text2" w:themeShade="80"/>
        <w:sz w:val="24"/>
        <w:szCs w:val="24"/>
      </w:rPr>
    </w:pPr>
  </w:p>
  <w:p w14:paraId="1BCA7F23" w14:textId="77777777" w:rsidR="00893BA2" w:rsidRDefault="00893BA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893BA2" w:rsidRDefault="00893BA2">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A026E4" w:rsidRPr="00A026E4">
      <w:rPr>
        <w:noProof/>
        <w:color w:val="0A1D30" w:themeColor="text2" w:themeShade="BF"/>
        <w:sz w:val="24"/>
        <w:szCs w:val="24"/>
        <w:lang w:val="es-ES"/>
      </w:rPr>
      <w:t>35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A026E4" w:rsidRPr="00A026E4">
      <w:rPr>
        <w:noProof/>
        <w:color w:val="0A1D30" w:themeColor="text2" w:themeShade="BF"/>
        <w:sz w:val="24"/>
        <w:szCs w:val="24"/>
        <w:lang w:val="es-ES"/>
      </w:rPr>
      <w:t>37</w:t>
    </w:r>
    <w:r>
      <w:rPr>
        <w:color w:val="0A1D30" w:themeColor="text2" w:themeShade="BF"/>
        <w:sz w:val="24"/>
        <w:szCs w:val="24"/>
      </w:rPr>
      <w:fldChar w:fldCharType="end"/>
    </w:r>
  </w:p>
  <w:p w14:paraId="310E15C0" w14:textId="77777777" w:rsidR="00893BA2" w:rsidRDefault="00893B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E01FF" w14:textId="77777777" w:rsidR="00B6587C" w:rsidRDefault="00B6587C" w:rsidP="00664420">
      <w:pPr>
        <w:spacing w:line="240" w:lineRule="auto"/>
      </w:pPr>
      <w:r>
        <w:separator/>
      </w:r>
    </w:p>
  </w:footnote>
  <w:footnote w:type="continuationSeparator" w:id="0">
    <w:p w14:paraId="45724E86" w14:textId="77777777" w:rsidR="00B6587C" w:rsidRDefault="00B6587C"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93BA2" w:rsidRPr="00330DA7" w14:paraId="070A4B18" w14:textId="77777777" w:rsidTr="003F35FD">
      <w:trPr>
        <w:trHeight w:val="144"/>
        <w:jc w:val="right"/>
      </w:trPr>
      <w:tc>
        <w:tcPr>
          <w:tcW w:w="2727" w:type="dxa"/>
        </w:tcPr>
        <w:p w14:paraId="62B7493A" w14:textId="77777777" w:rsidR="00893BA2" w:rsidRPr="00330DA7" w:rsidRDefault="00893BA2"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2245156" w:rsidR="00893BA2" w:rsidRPr="00A90C72" w:rsidRDefault="0027446D" w:rsidP="000748DF">
          <w:pPr>
            <w:tabs>
              <w:tab w:val="right" w:pos="8838"/>
            </w:tabs>
            <w:ind w:left="-74" w:right="-105"/>
            <w:rPr>
              <w:rFonts w:eastAsia="Calibri" w:cs="Tahoma"/>
              <w:szCs w:val="22"/>
              <w:lang w:eastAsia="en-US"/>
            </w:rPr>
          </w:pPr>
          <w:r w:rsidRPr="0027446D">
            <w:rPr>
              <w:rFonts w:eastAsia="Calibri" w:cs="Tahoma"/>
              <w:szCs w:val="22"/>
              <w:lang w:eastAsia="en-US"/>
            </w:rPr>
            <w:t>01792/INFOEM/IP/RR/2024</w:t>
          </w:r>
        </w:p>
      </w:tc>
    </w:tr>
    <w:tr w:rsidR="00893BA2" w:rsidRPr="00330DA7" w14:paraId="4521E058" w14:textId="77777777" w:rsidTr="003F35FD">
      <w:trPr>
        <w:trHeight w:val="283"/>
        <w:jc w:val="right"/>
      </w:trPr>
      <w:tc>
        <w:tcPr>
          <w:tcW w:w="2727" w:type="dxa"/>
        </w:tcPr>
        <w:p w14:paraId="0B68C086" w14:textId="77777777" w:rsidR="00893BA2" w:rsidRPr="00330DA7" w:rsidRDefault="00893BA2"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23170A7" w:rsidR="00893BA2" w:rsidRPr="00952DD0" w:rsidRDefault="00177AE7" w:rsidP="003F35FD">
          <w:pPr>
            <w:tabs>
              <w:tab w:val="left" w:pos="2834"/>
              <w:tab w:val="right" w:pos="8838"/>
            </w:tabs>
            <w:ind w:left="-108" w:right="-105"/>
            <w:rPr>
              <w:rFonts w:eastAsia="Calibri" w:cs="Tahoma"/>
              <w:szCs w:val="22"/>
              <w:lang w:eastAsia="en-US"/>
            </w:rPr>
          </w:pPr>
          <w:r w:rsidRPr="00177AE7">
            <w:rPr>
              <w:rFonts w:eastAsia="Calibri" w:cs="Tahoma"/>
              <w:szCs w:val="22"/>
              <w:lang w:eastAsia="en-US"/>
            </w:rPr>
            <w:t>Partido Revolucionario Institucional</w:t>
          </w:r>
        </w:p>
      </w:tc>
    </w:tr>
    <w:tr w:rsidR="00893BA2" w:rsidRPr="00330DA7" w14:paraId="6331D9B6" w14:textId="77777777" w:rsidTr="003F35FD">
      <w:trPr>
        <w:trHeight w:val="283"/>
        <w:jc w:val="right"/>
      </w:trPr>
      <w:tc>
        <w:tcPr>
          <w:tcW w:w="2727" w:type="dxa"/>
        </w:tcPr>
        <w:p w14:paraId="3FA86BAE" w14:textId="36908BC7" w:rsidR="00893BA2" w:rsidRPr="00330DA7" w:rsidRDefault="00893BA2"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F0418F">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893BA2" w:rsidRPr="00EA66FC" w:rsidRDefault="00893BA2"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893BA2" w:rsidRPr="00443C6B" w:rsidRDefault="00893BA2"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893BA2" w:rsidRPr="00330DA7" w14:paraId="29CFF901" w14:textId="77777777" w:rsidTr="004B56B4">
      <w:trPr>
        <w:trHeight w:val="1435"/>
      </w:trPr>
      <w:tc>
        <w:tcPr>
          <w:tcW w:w="283" w:type="dxa"/>
          <w:shd w:val="clear" w:color="auto" w:fill="auto"/>
        </w:tcPr>
        <w:p w14:paraId="046B9F8F" w14:textId="56D2D896" w:rsidR="00893BA2" w:rsidRPr="00330DA7" w:rsidRDefault="00893BA2"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93BA2" w:rsidRPr="00330DA7" w14:paraId="04F272D2" w14:textId="77777777" w:rsidTr="004B56B4">
            <w:trPr>
              <w:trHeight w:val="144"/>
            </w:trPr>
            <w:tc>
              <w:tcPr>
                <w:tcW w:w="2727" w:type="dxa"/>
              </w:tcPr>
              <w:p w14:paraId="2FD4DBF6" w14:textId="77777777" w:rsidR="00893BA2" w:rsidRPr="00330DA7" w:rsidRDefault="00893BA2" w:rsidP="004B56B4">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18642786" w:rsidR="00893BA2" w:rsidRPr="00A90C72" w:rsidRDefault="0027446D" w:rsidP="000748DF">
                <w:pPr>
                  <w:tabs>
                    <w:tab w:val="right" w:pos="8838"/>
                  </w:tabs>
                  <w:ind w:left="-74" w:right="-105"/>
                  <w:rPr>
                    <w:rFonts w:eastAsia="Calibri" w:cs="Tahoma"/>
                    <w:szCs w:val="22"/>
                    <w:lang w:eastAsia="en-US"/>
                  </w:rPr>
                </w:pPr>
                <w:r w:rsidRPr="0027446D">
                  <w:rPr>
                    <w:rFonts w:eastAsia="Calibri" w:cs="Tahoma"/>
                    <w:szCs w:val="22"/>
                    <w:lang w:eastAsia="en-US"/>
                  </w:rPr>
                  <w:t>01792/INFOEM/IP/RR/2024</w:t>
                </w:r>
              </w:p>
            </w:tc>
            <w:tc>
              <w:tcPr>
                <w:tcW w:w="3402" w:type="dxa"/>
              </w:tcPr>
              <w:p w14:paraId="71DEA1CF" w14:textId="77777777" w:rsidR="00893BA2" w:rsidRDefault="00893BA2" w:rsidP="004B56B4">
                <w:pPr>
                  <w:tabs>
                    <w:tab w:val="right" w:pos="8838"/>
                  </w:tabs>
                  <w:ind w:left="-74" w:right="-105"/>
                  <w:rPr>
                    <w:rFonts w:eastAsia="Calibri" w:cs="Tahoma"/>
                    <w:szCs w:val="22"/>
                    <w:lang w:eastAsia="en-US"/>
                  </w:rPr>
                </w:pPr>
              </w:p>
            </w:tc>
          </w:tr>
          <w:tr w:rsidR="00893BA2" w:rsidRPr="00330DA7" w14:paraId="05C58951" w14:textId="77777777" w:rsidTr="004B56B4">
            <w:trPr>
              <w:trHeight w:val="144"/>
            </w:trPr>
            <w:tc>
              <w:tcPr>
                <w:tcW w:w="2727" w:type="dxa"/>
              </w:tcPr>
              <w:p w14:paraId="642B9610" w14:textId="77777777" w:rsidR="00893BA2" w:rsidRPr="00330DA7" w:rsidRDefault="00893BA2" w:rsidP="004B56B4">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1DC338AF" w:rsidR="00893BA2" w:rsidRPr="005F19B1" w:rsidRDefault="00893BA2" w:rsidP="004B56B4">
                <w:pPr>
                  <w:tabs>
                    <w:tab w:val="left" w:pos="3122"/>
                    <w:tab w:val="right" w:pos="8838"/>
                  </w:tabs>
                  <w:ind w:left="-105" w:right="-105"/>
                  <w:rPr>
                    <w:rFonts w:eastAsia="Calibri" w:cs="Tahoma"/>
                    <w:szCs w:val="22"/>
                    <w:lang w:eastAsia="en-US"/>
                  </w:rPr>
                </w:pPr>
              </w:p>
            </w:tc>
            <w:tc>
              <w:tcPr>
                <w:tcW w:w="3402" w:type="dxa"/>
              </w:tcPr>
              <w:p w14:paraId="73F47F53" w14:textId="77777777" w:rsidR="00893BA2" w:rsidRPr="005F19B1" w:rsidRDefault="00893BA2" w:rsidP="004B56B4">
                <w:pPr>
                  <w:tabs>
                    <w:tab w:val="left" w:pos="3122"/>
                    <w:tab w:val="right" w:pos="8838"/>
                  </w:tabs>
                  <w:ind w:left="-105" w:right="-105"/>
                  <w:rPr>
                    <w:rFonts w:eastAsia="Calibri" w:cs="Tahoma"/>
                    <w:szCs w:val="22"/>
                    <w:lang w:eastAsia="en-US"/>
                  </w:rPr>
                </w:pPr>
              </w:p>
            </w:tc>
          </w:tr>
          <w:bookmarkEnd w:id="2"/>
          <w:tr w:rsidR="00893BA2" w:rsidRPr="00330DA7" w14:paraId="00E6CDC1" w14:textId="77777777" w:rsidTr="004B56B4">
            <w:trPr>
              <w:trHeight w:val="283"/>
            </w:trPr>
            <w:tc>
              <w:tcPr>
                <w:tcW w:w="2727" w:type="dxa"/>
              </w:tcPr>
              <w:p w14:paraId="0631AD24" w14:textId="77777777" w:rsidR="00893BA2" w:rsidRPr="00330DA7" w:rsidRDefault="00893BA2" w:rsidP="004B56B4">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8DDF1EC" w:rsidR="00893BA2" w:rsidRPr="00952DD0" w:rsidRDefault="00177AE7" w:rsidP="004B56B4">
                <w:pPr>
                  <w:tabs>
                    <w:tab w:val="left" w:pos="2834"/>
                    <w:tab w:val="right" w:pos="8838"/>
                  </w:tabs>
                  <w:ind w:left="-108" w:right="-105"/>
                  <w:rPr>
                    <w:rFonts w:eastAsia="Calibri" w:cs="Tahoma"/>
                    <w:szCs w:val="22"/>
                    <w:lang w:eastAsia="en-US"/>
                  </w:rPr>
                </w:pPr>
                <w:r w:rsidRPr="00177AE7">
                  <w:rPr>
                    <w:rFonts w:eastAsia="Calibri" w:cs="Tahoma"/>
                    <w:szCs w:val="22"/>
                    <w:lang w:eastAsia="en-US"/>
                  </w:rPr>
                  <w:t>Partido Revolucionario Institucional</w:t>
                </w:r>
              </w:p>
            </w:tc>
            <w:tc>
              <w:tcPr>
                <w:tcW w:w="3402" w:type="dxa"/>
              </w:tcPr>
              <w:p w14:paraId="3A7DA319" w14:textId="77777777" w:rsidR="00893BA2" w:rsidRPr="00A90C72" w:rsidRDefault="00893BA2" w:rsidP="004B56B4">
                <w:pPr>
                  <w:tabs>
                    <w:tab w:val="left" w:pos="2834"/>
                    <w:tab w:val="right" w:pos="8838"/>
                  </w:tabs>
                  <w:ind w:left="-108" w:right="-105"/>
                  <w:rPr>
                    <w:rFonts w:eastAsia="Calibri" w:cs="Tahoma"/>
                    <w:szCs w:val="22"/>
                    <w:lang w:eastAsia="en-US"/>
                  </w:rPr>
                </w:pPr>
              </w:p>
            </w:tc>
          </w:tr>
          <w:tr w:rsidR="00893BA2" w:rsidRPr="00330DA7" w14:paraId="0F6CD8D2" w14:textId="77777777" w:rsidTr="004B56B4">
            <w:trPr>
              <w:trHeight w:val="283"/>
            </w:trPr>
            <w:tc>
              <w:tcPr>
                <w:tcW w:w="2727" w:type="dxa"/>
              </w:tcPr>
              <w:p w14:paraId="31700628" w14:textId="403FE060" w:rsidR="00893BA2" w:rsidRPr="00330DA7" w:rsidRDefault="00893BA2" w:rsidP="004B56B4">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F0418F">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893BA2" w:rsidRPr="00EA66FC" w:rsidRDefault="00893BA2" w:rsidP="004B56B4">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893BA2" w:rsidRPr="00330DA7" w:rsidRDefault="00893BA2" w:rsidP="004B56B4">
                <w:pPr>
                  <w:tabs>
                    <w:tab w:val="right" w:pos="8838"/>
                  </w:tabs>
                  <w:ind w:left="-108" w:right="-105"/>
                  <w:rPr>
                    <w:rFonts w:eastAsia="Calibri" w:cs="Tahoma"/>
                    <w:szCs w:val="22"/>
                    <w:lang w:eastAsia="en-US"/>
                  </w:rPr>
                </w:pPr>
              </w:p>
            </w:tc>
          </w:tr>
        </w:tbl>
        <w:p w14:paraId="5DC6AC61" w14:textId="77777777" w:rsidR="00893BA2" w:rsidRPr="00330DA7" w:rsidRDefault="00893BA2" w:rsidP="004B56B4">
          <w:pPr>
            <w:tabs>
              <w:tab w:val="right" w:pos="8838"/>
            </w:tabs>
            <w:ind w:left="-28"/>
            <w:rPr>
              <w:rFonts w:ascii="Arial" w:eastAsia="Calibri" w:hAnsi="Arial" w:cs="Arial"/>
              <w:b/>
              <w:szCs w:val="22"/>
              <w:lang w:eastAsia="en-US"/>
            </w:rPr>
          </w:pPr>
        </w:p>
      </w:tc>
    </w:tr>
  </w:tbl>
  <w:p w14:paraId="2A906731" w14:textId="77777777" w:rsidR="00893BA2" w:rsidRPr="00765661" w:rsidRDefault="00B6587C"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BE7E52"/>
    <w:multiLevelType w:val="hybridMultilevel"/>
    <w:tmpl w:val="AD30787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0FC82E06"/>
    <w:multiLevelType w:val="hybridMultilevel"/>
    <w:tmpl w:val="A28EBB4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8C2313"/>
    <w:multiLevelType w:val="hybridMultilevel"/>
    <w:tmpl w:val="8B76AE52"/>
    <w:lvl w:ilvl="0" w:tplc="DD62AE0A">
      <w:start w:val="1"/>
      <w:numFmt w:val="bullet"/>
      <w:lvlText w:val="-"/>
      <w:lvlJc w:val="left"/>
      <w:pPr>
        <w:ind w:left="720" w:hanging="360"/>
      </w:pPr>
      <w:rPr>
        <w:rFonts w:ascii="Verdana" w:hAnsi="Verdan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643811"/>
    <w:multiLevelType w:val="hybridMultilevel"/>
    <w:tmpl w:val="DC16E8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306F01"/>
    <w:multiLevelType w:val="hybridMultilevel"/>
    <w:tmpl w:val="85E076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6" w15:restartNumberingAfterBreak="0">
    <w:nsid w:val="34542CC3"/>
    <w:multiLevelType w:val="hybridMultilevel"/>
    <w:tmpl w:val="E75E7F46"/>
    <w:lvl w:ilvl="0" w:tplc="DD62AE0A">
      <w:start w:val="1"/>
      <w:numFmt w:val="bullet"/>
      <w:lvlText w:val="-"/>
      <w:lvlJc w:val="left"/>
      <w:pPr>
        <w:ind w:left="1211" w:hanging="360"/>
      </w:pPr>
      <w:rPr>
        <w:rFonts w:ascii="Verdana" w:hAnsi="Verdana"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7" w15:restartNumberingAfterBreak="0">
    <w:nsid w:val="34D51F9B"/>
    <w:multiLevelType w:val="hybridMultilevel"/>
    <w:tmpl w:val="668C695C"/>
    <w:lvl w:ilvl="0" w:tplc="8B443E64">
      <w:start w:val="1"/>
      <w:numFmt w:val="bullet"/>
      <w:lvlText w:val="-"/>
      <w:lvlJc w:val="left"/>
      <w:pPr>
        <w:ind w:left="720" w:hanging="360"/>
      </w:pPr>
      <w:rPr>
        <w:rFonts w:ascii="Microsoft Himalaya" w:hAnsi="Microsoft Himalay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66E6ADD"/>
    <w:multiLevelType w:val="multilevel"/>
    <w:tmpl w:val="D6841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C816A84"/>
    <w:multiLevelType w:val="hybridMultilevel"/>
    <w:tmpl w:val="BE44CBF8"/>
    <w:lvl w:ilvl="0" w:tplc="7480C6B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47391C7C"/>
    <w:multiLevelType w:val="hybridMultilevel"/>
    <w:tmpl w:val="DB2842F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BE711D1"/>
    <w:multiLevelType w:val="hybridMultilevel"/>
    <w:tmpl w:val="FE34CD7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0E93F26"/>
    <w:multiLevelType w:val="hybridMultilevel"/>
    <w:tmpl w:val="4260DF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3180F32"/>
    <w:multiLevelType w:val="hybridMultilevel"/>
    <w:tmpl w:val="547CB2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558D5010"/>
    <w:multiLevelType w:val="hybridMultilevel"/>
    <w:tmpl w:val="56CEAB5C"/>
    <w:lvl w:ilvl="0" w:tplc="8B443E64">
      <w:start w:val="1"/>
      <w:numFmt w:val="bullet"/>
      <w:lvlText w:val="-"/>
      <w:lvlJc w:val="left"/>
      <w:pPr>
        <w:ind w:left="720" w:hanging="360"/>
      </w:pPr>
      <w:rPr>
        <w:rFonts w:ascii="Microsoft Himalaya" w:hAnsi="Microsoft Himalay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6E3783F"/>
    <w:multiLevelType w:val="hybridMultilevel"/>
    <w:tmpl w:val="95F0A444"/>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2" w15:restartNumberingAfterBreak="0">
    <w:nsid w:val="63DC48AB"/>
    <w:multiLevelType w:val="hybridMultilevel"/>
    <w:tmpl w:val="74CC2D7E"/>
    <w:lvl w:ilvl="0" w:tplc="04090001">
      <w:start w:val="1"/>
      <w:numFmt w:val="bullet"/>
      <w:lvlText w:val=""/>
      <w:lvlJc w:val="left"/>
      <w:pPr>
        <w:ind w:left="1571" w:hanging="360"/>
      </w:pPr>
      <w:rPr>
        <w:rFonts w:ascii="Symbol" w:hAnsi="Symbol"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33" w15:restartNumberingAfterBreak="0">
    <w:nsid w:val="6C177C84"/>
    <w:multiLevelType w:val="hybridMultilevel"/>
    <w:tmpl w:val="5D1A1F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D28A0"/>
    <w:multiLevelType w:val="hybridMultilevel"/>
    <w:tmpl w:val="52C24CCA"/>
    <w:lvl w:ilvl="0" w:tplc="8B443E64">
      <w:start w:val="1"/>
      <w:numFmt w:val="bullet"/>
      <w:lvlText w:val="-"/>
      <w:lvlJc w:val="left"/>
      <w:pPr>
        <w:ind w:left="720" w:hanging="360"/>
      </w:pPr>
      <w:rPr>
        <w:rFonts w:ascii="Microsoft Himalaya" w:hAnsi="Microsoft Himalay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29C2155"/>
    <w:multiLevelType w:val="hybridMultilevel"/>
    <w:tmpl w:val="32EE5B24"/>
    <w:lvl w:ilvl="0" w:tplc="3FC2616E">
      <w:start w:val="3"/>
      <w:numFmt w:val="bullet"/>
      <w:lvlText w:val="-"/>
      <w:lvlJc w:val="left"/>
      <w:pPr>
        <w:ind w:left="1211" w:hanging="360"/>
      </w:pPr>
      <w:rPr>
        <w:rFonts w:ascii="Palatino Linotype" w:eastAsia="Times New Roman" w:hAnsi="Palatino Linotype" w:cs="Times New Roman"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37" w15:restartNumberingAfterBreak="0">
    <w:nsid w:val="74955974"/>
    <w:multiLevelType w:val="hybridMultilevel"/>
    <w:tmpl w:val="4AC256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1"/>
  </w:num>
  <w:num w:numId="2">
    <w:abstractNumId w:val="27"/>
  </w:num>
  <w:num w:numId="3">
    <w:abstractNumId w:val="35"/>
  </w:num>
  <w:num w:numId="4">
    <w:abstractNumId w:val="12"/>
  </w:num>
  <w:num w:numId="5">
    <w:abstractNumId w:val="4"/>
  </w:num>
  <w:num w:numId="6">
    <w:abstractNumId w:val="38"/>
  </w:num>
  <w:num w:numId="7">
    <w:abstractNumId w:val="24"/>
  </w:num>
  <w:num w:numId="8">
    <w:abstractNumId w:val="9"/>
  </w:num>
  <w:num w:numId="9">
    <w:abstractNumId w:val="23"/>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15"/>
  </w:num>
  <w:num w:numId="12">
    <w:abstractNumId w:val="14"/>
  </w:num>
  <w:num w:numId="13">
    <w:abstractNumId w:val="1"/>
  </w:num>
  <w:num w:numId="14">
    <w:abstractNumId w:val="6"/>
  </w:num>
  <w:num w:numId="15">
    <w:abstractNumId w:val="25"/>
  </w:num>
  <w:num w:numId="16">
    <w:abstractNumId w:val="32"/>
  </w:num>
  <w:num w:numId="17">
    <w:abstractNumId w:val="17"/>
  </w:num>
  <w:num w:numId="18">
    <w:abstractNumId w:val="13"/>
  </w:num>
  <w:num w:numId="19">
    <w:abstractNumId w:val="7"/>
  </w:num>
  <w:num w:numId="20">
    <w:abstractNumId w:val="31"/>
  </w:num>
  <w:num w:numId="21">
    <w:abstractNumId w:val="34"/>
  </w:num>
  <w:num w:numId="22">
    <w:abstractNumId w:val="26"/>
  </w:num>
  <w:num w:numId="23">
    <w:abstractNumId w:val="33"/>
  </w:num>
  <w:num w:numId="24">
    <w:abstractNumId w:val="22"/>
  </w:num>
  <w:num w:numId="25">
    <w:abstractNumId w:val="3"/>
  </w:num>
  <w:num w:numId="26">
    <w:abstractNumId w:val="2"/>
  </w:num>
  <w:num w:numId="27">
    <w:abstractNumId w:val="36"/>
  </w:num>
  <w:num w:numId="28">
    <w:abstractNumId w:val="16"/>
  </w:num>
  <w:num w:numId="29">
    <w:abstractNumId w:val="5"/>
  </w:num>
  <w:num w:numId="30">
    <w:abstractNumId w:val="18"/>
  </w:num>
  <w:num w:numId="31">
    <w:abstractNumId w:val="29"/>
  </w:num>
  <w:num w:numId="32">
    <w:abstractNumId w:val="28"/>
  </w:num>
  <w:num w:numId="33">
    <w:abstractNumId w:val="8"/>
  </w:num>
  <w:num w:numId="34">
    <w:abstractNumId w:val="39"/>
  </w:num>
  <w:num w:numId="35">
    <w:abstractNumId w:val="10"/>
  </w:num>
  <w:num w:numId="36">
    <w:abstractNumId w:val="19"/>
    <w:lvlOverride w:ilvl="0">
      <w:startOverride w:val="1"/>
    </w:lvlOverride>
    <w:lvlOverride w:ilvl="1"/>
    <w:lvlOverride w:ilvl="2"/>
    <w:lvlOverride w:ilvl="3"/>
    <w:lvlOverride w:ilvl="4"/>
    <w:lvlOverride w:ilvl="5"/>
    <w:lvlOverride w:ilvl="6"/>
    <w:lvlOverride w:ilvl="7"/>
    <w:lvlOverride w:ilvl="8"/>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7"/>
  </w:num>
  <w:num w:numId="40">
    <w:abstractNumId w:val="30"/>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21211"/>
    <w:rsid w:val="000217E2"/>
    <w:rsid w:val="000318BC"/>
    <w:rsid w:val="00036589"/>
    <w:rsid w:val="000410A8"/>
    <w:rsid w:val="00057B2D"/>
    <w:rsid w:val="000748DF"/>
    <w:rsid w:val="00080071"/>
    <w:rsid w:val="000820ED"/>
    <w:rsid w:val="00082A7D"/>
    <w:rsid w:val="00086B1B"/>
    <w:rsid w:val="000925BE"/>
    <w:rsid w:val="000931F8"/>
    <w:rsid w:val="0009706B"/>
    <w:rsid w:val="000A57F7"/>
    <w:rsid w:val="000D0D67"/>
    <w:rsid w:val="000E09C4"/>
    <w:rsid w:val="000E5D1F"/>
    <w:rsid w:val="0011350D"/>
    <w:rsid w:val="00113CFA"/>
    <w:rsid w:val="00122332"/>
    <w:rsid w:val="00124714"/>
    <w:rsid w:val="001259D3"/>
    <w:rsid w:val="00126BAB"/>
    <w:rsid w:val="0013398A"/>
    <w:rsid w:val="00134ED3"/>
    <w:rsid w:val="00141876"/>
    <w:rsid w:val="0014207B"/>
    <w:rsid w:val="00150C49"/>
    <w:rsid w:val="00174FBE"/>
    <w:rsid w:val="00177AE7"/>
    <w:rsid w:val="00184448"/>
    <w:rsid w:val="001A58B3"/>
    <w:rsid w:val="001B56C0"/>
    <w:rsid w:val="001C1234"/>
    <w:rsid w:val="001C1AE4"/>
    <w:rsid w:val="001C7688"/>
    <w:rsid w:val="001C7E98"/>
    <w:rsid w:val="001D0C50"/>
    <w:rsid w:val="001F3515"/>
    <w:rsid w:val="00207DEA"/>
    <w:rsid w:val="00224352"/>
    <w:rsid w:val="002268D4"/>
    <w:rsid w:val="00227FB3"/>
    <w:rsid w:val="00233005"/>
    <w:rsid w:val="00233F17"/>
    <w:rsid w:val="00241ACF"/>
    <w:rsid w:val="00242B28"/>
    <w:rsid w:val="0024744C"/>
    <w:rsid w:val="0027446D"/>
    <w:rsid w:val="002807DD"/>
    <w:rsid w:val="002A3601"/>
    <w:rsid w:val="002B1314"/>
    <w:rsid w:val="002B3577"/>
    <w:rsid w:val="002B7C6F"/>
    <w:rsid w:val="002D111C"/>
    <w:rsid w:val="002D2900"/>
    <w:rsid w:val="002E30AC"/>
    <w:rsid w:val="002E6DBB"/>
    <w:rsid w:val="00302476"/>
    <w:rsid w:val="00331F35"/>
    <w:rsid w:val="0033442A"/>
    <w:rsid w:val="00335CDF"/>
    <w:rsid w:val="00336B4B"/>
    <w:rsid w:val="00337570"/>
    <w:rsid w:val="00362A11"/>
    <w:rsid w:val="00367D79"/>
    <w:rsid w:val="00391EDF"/>
    <w:rsid w:val="003A36BE"/>
    <w:rsid w:val="003A38DC"/>
    <w:rsid w:val="003A40C1"/>
    <w:rsid w:val="003A7ED3"/>
    <w:rsid w:val="003B5D3E"/>
    <w:rsid w:val="003B62E6"/>
    <w:rsid w:val="003C1E36"/>
    <w:rsid w:val="003D37E4"/>
    <w:rsid w:val="003F35FD"/>
    <w:rsid w:val="003F5E69"/>
    <w:rsid w:val="00406F5A"/>
    <w:rsid w:val="00407FE2"/>
    <w:rsid w:val="0041385B"/>
    <w:rsid w:val="0041709A"/>
    <w:rsid w:val="004252F1"/>
    <w:rsid w:val="004326C1"/>
    <w:rsid w:val="00435F18"/>
    <w:rsid w:val="00441BFA"/>
    <w:rsid w:val="004427CC"/>
    <w:rsid w:val="00453B6D"/>
    <w:rsid w:val="00454FBD"/>
    <w:rsid w:val="00456D52"/>
    <w:rsid w:val="00464F6A"/>
    <w:rsid w:val="00475583"/>
    <w:rsid w:val="00497BFA"/>
    <w:rsid w:val="004A7CF3"/>
    <w:rsid w:val="004B56B4"/>
    <w:rsid w:val="004B70E5"/>
    <w:rsid w:val="004C1BD1"/>
    <w:rsid w:val="004C2719"/>
    <w:rsid w:val="004C629E"/>
    <w:rsid w:val="004D7988"/>
    <w:rsid w:val="004D7CD8"/>
    <w:rsid w:val="004E10F6"/>
    <w:rsid w:val="004E3D6D"/>
    <w:rsid w:val="004E5068"/>
    <w:rsid w:val="004F05CE"/>
    <w:rsid w:val="004F6E7A"/>
    <w:rsid w:val="004F7A00"/>
    <w:rsid w:val="0050792D"/>
    <w:rsid w:val="00513801"/>
    <w:rsid w:val="00523F48"/>
    <w:rsid w:val="005365FA"/>
    <w:rsid w:val="00546D39"/>
    <w:rsid w:val="00562CFB"/>
    <w:rsid w:val="00565088"/>
    <w:rsid w:val="005666D8"/>
    <w:rsid w:val="005723CB"/>
    <w:rsid w:val="00575400"/>
    <w:rsid w:val="005776E3"/>
    <w:rsid w:val="005856CA"/>
    <w:rsid w:val="00590892"/>
    <w:rsid w:val="005B18AF"/>
    <w:rsid w:val="005D5A50"/>
    <w:rsid w:val="005F5301"/>
    <w:rsid w:val="005F5C51"/>
    <w:rsid w:val="005F65B7"/>
    <w:rsid w:val="006067C7"/>
    <w:rsid w:val="006153F0"/>
    <w:rsid w:val="006159AD"/>
    <w:rsid w:val="00625CDB"/>
    <w:rsid w:val="00646436"/>
    <w:rsid w:val="0065172E"/>
    <w:rsid w:val="00664420"/>
    <w:rsid w:val="006A61F1"/>
    <w:rsid w:val="006A646A"/>
    <w:rsid w:val="006B10B0"/>
    <w:rsid w:val="006D42B5"/>
    <w:rsid w:val="006E23FF"/>
    <w:rsid w:val="006E25BC"/>
    <w:rsid w:val="006E2775"/>
    <w:rsid w:val="006E6BBC"/>
    <w:rsid w:val="006F64E7"/>
    <w:rsid w:val="006F7768"/>
    <w:rsid w:val="00713B7F"/>
    <w:rsid w:val="00717E59"/>
    <w:rsid w:val="0075086A"/>
    <w:rsid w:val="00760756"/>
    <w:rsid w:val="0077382A"/>
    <w:rsid w:val="00773E03"/>
    <w:rsid w:val="00775BFC"/>
    <w:rsid w:val="00780D69"/>
    <w:rsid w:val="007900FC"/>
    <w:rsid w:val="007A2AD8"/>
    <w:rsid w:val="007A3459"/>
    <w:rsid w:val="007A7485"/>
    <w:rsid w:val="007B034E"/>
    <w:rsid w:val="007B6074"/>
    <w:rsid w:val="007C17CC"/>
    <w:rsid w:val="007C6519"/>
    <w:rsid w:val="007D103E"/>
    <w:rsid w:val="007D1C55"/>
    <w:rsid w:val="007D317F"/>
    <w:rsid w:val="007E7192"/>
    <w:rsid w:val="007F107E"/>
    <w:rsid w:val="007F2531"/>
    <w:rsid w:val="007F47DE"/>
    <w:rsid w:val="007F5D06"/>
    <w:rsid w:val="00803A08"/>
    <w:rsid w:val="00805A6E"/>
    <w:rsid w:val="00806798"/>
    <w:rsid w:val="00807778"/>
    <w:rsid w:val="0082247D"/>
    <w:rsid w:val="00826371"/>
    <w:rsid w:val="00826A93"/>
    <w:rsid w:val="008363CB"/>
    <w:rsid w:val="00837517"/>
    <w:rsid w:val="008436D6"/>
    <w:rsid w:val="00843B59"/>
    <w:rsid w:val="008629A5"/>
    <w:rsid w:val="00865CF4"/>
    <w:rsid w:val="008669DA"/>
    <w:rsid w:val="0087567C"/>
    <w:rsid w:val="00876DBC"/>
    <w:rsid w:val="00877435"/>
    <w:rsid w:val="00890548"/>
    <w:rsid w:val="00893BA2"/>
    <w:rsid w:val="00896AF7"/>
    <w:rsid w:val="008A09B9"/>
    <w:rsid w:val="008A6003"/>
    <w:rsid w:val="008A6AB7"/>
    <w:rsid w:val="008A6F88"/>
    <w:rsid w:val="008B1E16"/>
    <w:rsid w:val="008B62FA"/>
    <w:rsid w:val="008C014C"/>
    <w:rsid w:val="008E1316"/>
    <w:rsid w:val="008E19A7"/>
    <w:rsid w:val="008E3EAD"/>
    <w:rsid w:val="008F6A6B"/>
    <w:rsid w:val="00910FD2"/>
    <w:rsid w:val="0091733B"/>
    <w:rsid w:val="00923307"/>
    <w:rsid w:val="00931437"/>
    <w:rsid w:val="0094710D"/>
    <w:rsid w:val="00953430"/>
    <w:rsid w:val="00955DCC"/>
    <w:rsid w:val="00960996"/>
    <w:rsid w:val="00964368"/>
    <w:rsid w:val="0096663A"/>
    <w:rsid w:val="00970EB3"/>
    <w:rsid w:val="00975CA6"/>
    <w:rsid w:val="00977BCC"/>
    <w:rsid w:val="00983EEF"/>
    <w:rsid w:val="009A2D78"/>
    <w:rsid w:val="009A7C10"/>
    <w:rsid w:val="009B2945"/>
    <w:rsid w:val="009B38F6"/>
    <w:rsid w:val="009D69F6"/>
    <w:rsid w:val="009E2DEE"/>
    <w:rsid w:val="009F797C"/>
    <w:rsid w:val="00A026E4"/>
    <w:rsid w:val="00A0449B"/>
    <w:rsid w:val="00A131AC"/>
    <w:rsid w:val="00A16D85"/>
    <w:rsid w:val="00A21A20"/>
    <w:rsid w:val="00A24D6A"/>
    <w:rsid w:val="00A32CA5"/>
    <w:rsid w:val="00A33BDB"/>
    <w:rsid w:val="00A36A99"/>
    <w:rsid w:val="00A45D1C"/>
    <w:rsid w:val="00A53315"/>
    <w:rsid w:val="00A64191"/>
    <w:rsid w:val="00A70EF0"/>
    <w:rsid w:val="00A71845"/>
    <w:rsid w:val="00A81896"/>
    <w:rsid w:val="00A81DC8"/>
    <w:rsid w:val="00A9208D"/>
    <w:rsid w:val="00AA364B"/>
    <w:rsid w:val="00AA4FA7"/>
    <w:rsid w:val="00AA6EA9"/>
    <w:rsid w:val="00AB1BE1"/>
    <w:rsid w:val="00AB497D"/>
    <w:rsid w:val="00AC2DB8"/>
    <w:rsid w:val="00AC3CA0"/>
    <w:rsid w:val="00AE0232"/>
    <w:rsid w:val="00AE3DA7"/>
    <w:rsid w:val="00AE6FFC"/>
    <w:rsid w:val="00AF03C4"/>
    <w:rsid w:val="00B03AB8"/>
    <w:rsid w:val="00B05F2B"/>
    <w:rsid w:val="00B22A80"/>
    <w:rsid w:val="00B23C0A"/>
    <w:rsid w:val="00B416E8"/>
    <w:rsid w:val="00B50E12"/>
    <w:rsid w:val="00B540DC"/>
    <w:rsid w:val="00B55F8F"/>
    <w:rsid w:val="00B562C2"/>
    <w:rsid w:val="00B60BFC"/>
    <w:rsid w:val="00B6587C"/>
    <w:rsid w:val="00B82086"/>
    <w:rsid w:val="00B83675"/>
    <w:rsid w:val="00BA55A8"/>
    <w:rsid w:val="00BB2ABF"/>
    <w:rsid w:val="00BB64F4"/>
    <w:rsid w:val="00BB7B48"/>
    <w:rsid w:val="00BC1D12"/>
    <w:rsid w:val="00BC2617"/>
    <w:rsid w:val="00BC67B0"/>
    <w:rsid w:val="00BC7CDB"/>
    <w:rsid w:val="00BD0200"/>
    <w:rsid w:val="00BD3F4F"/>
    <w:rsid w:val="00BD5A7C"/>
    <w:rsid w:val="00BE413E"/>
    <w:rsid w:val="00BE5FAE"/>
    <w:rsid w:val="00BE7A1B"/>
    <w:rsid w:val="00BF0221"/>
    <w:rsid w:val="00BF091A"/>
    <w:rsid w:val="00BF4236"/>
    <w:rsid w:val="00BF4EAD"/>
    <w:rsid w:val="00C049E2"/>
    <w:rsid w:val="00C05AB7"/>
    <w:rsid w:val="00C219BE"/>
    <w:rsid w:val="00C36795"/>
    <w:rsid w:val="00C461EC"/>
    <w:rsid w:val="00C507D4"/>
    <w:rsid w:val="00C67A70"/>
    <w:rsid w:val="00C70B3F"/>
    <w:rsid w:val="00C71CEF"/>
    <w:rsid w:val="00C72DAA"/>
    <w:rsid w:val="00C75036"/>
    <w:rsid w:val="00C80B14"/>
    <w:rsid w:val="00CA0426"/>
    <w:rsid w:val="00CB7E9A"/>
    <w:rsid w:val="00CC29E8"/>
    <w:rsid w:val="00CD0B92"/>
    <w:rsid w:val="00CD22FC"/>
    <w:rsid w:val="00CD3D41"/>
    <w:rsid w:val="00CD633E"/>
    <w:rsid w:val="00CE29D3"/>
    <w:rsid w:val="00CF2D8B"/>
    <w:rsid w:val="00CF3C01"/>
    <w:rsid w:val="00CF4DA6"/>
    <w:rsid w:val="00CF63D9"/>
    <w:rsid w:val="00CF7586"/>
    <w:rsid w:val="00D036D3"/>
    <w:rsid w:val="00D13782"/>
    <w:rsid w:val="00D201B7"/>
    <w:rsid w:val="00D27906"/>
    <w:rsid w:val="00D2790D"/>
    <w:rsid w:val="00D35BCA"/>
    <w:rsid w:val="00D51ECD"/>
    <w:rsid w:val="00D568DC"/>
    <w:rsid w:val="00D56ED8"/>
    <w:rsid w:val="00D571D4"/>
    <w:rsid w:val="00D6170E"/>
    <w:rsid w:val="00D64B5C"/>
    <w:rsid w:val="00D713EE"/>
    <w:rsid w:val="00D75EE6"/>
    <w:rsid w:val="00D91CB4"/>
    <w:rsid w:val="00D9769C"/>
    <w:rsid w:val="00DB024D"/>
    <w:rsid w:val="00DB1C09"/>
    <w:rsid w:val="00DB28CE"/>
    <w:rsid w:val="00DD1A53"/>
    <w:rsid w:val="00DD43D8"/>
    <w:rsid w:val="00DE1133"/>
    <w:rsid w:val="00DE285A"/>
    <w:rsid w:val="00DE656C"/>
    <w:rsid w:val="00DF039B"/>
    <w:rsid w:val="00E0279E"/>
    <w:rsid w:val="00E16BF5"/>
    <w:rsid w:val="00E33714"/>
    <w:rsid w:val="00E37A3F"/>
    <w:rsid w:val="00E37D3C"/>
    <w:rsid w:val="00E415FE"/>
    <w:rsid w:val="00E62E6A"/>
    <w:rsid w:val="00E727BA"/>
    <w:rsid w:val="00E810F7"/>
    <w:rsid w:val="00E83EF5"/>
    <w:rsid w:val="00E9137B"/>
    <w:rsid w:val="00E9335C"/>
    <w:rsid w:val="00EA27F7"/>
    <w:rsid w:val="00EC7E8F"/>
    <w:rsid w:val="00ED1788"/>
    <w:rsid w:val="00ED1C1E"/>
    <w:rsid w:val="00ED7170"/>
    <w:rsid w:val="00EE1B1C"/>
    <w:rsid w:val="00EE2AF2"/>
    <w:rsid w:val="00EE44F7"/>
    <w:rsid w:val="00EE69EA"/>
    <w:rsid w:val="00EE78BF"/>
    <w:rsid w:val="00EF1CA6"/>
    <w:rsid w:val="00F0418F"/>
    <w:rsid w:val="00F0679F"/>
    <w:rsid w:val="00F07EE6"/>
    <w:rsid w:val="00F33CC8"/>
    <w:rsid w:val="00F4124A"/>
    <w:rsid w:val="00F4481C"/>
    <w:rsid w:val="00F529B2"/>
    <w:rsid w:val="00F53E56"/>
    <w:rsid w:val="00F57C01"/>
    <w:rsid w:val="00F616E2"/>
    <w:rsid w:val="00F75A01"/>
    <w:rsid w:val="00F75D23"/>
    <w:rsid w:val="00FA3C3D"/>
    <w:rsid w:val="00FA5957"/>
    <w:rsid w:val="00FB1AF5"/>
    <w:rsid w:val="00FB5587"/>
    <w:rsid w:val="00FC1EAB"/>
    <w:rsid w:val="00FC3CE0"/>
    <w:rsid w:val="00FC406D"/>
    <w:rsid w:val="00FD06A8"/>
    <w:rsid w:val="00FE23C1"/>
    <w:rsid w:val="00FF1B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EA27F7"/>
    <w:rPr>
      <w:color w:val="605E5C"/>
      <w:shd w:val="clear" w:color="auto" w:fill="E1DFDD"/>
    </w:rPr>
  </w:style>
  <w:style w:type="character" w:styleId="Hipervnculovisitado">
    <w:name w:val="FollowedHyperlink"/>
    <w:basedOn w:val="Fuentedeprrafopredeter"/>
    <w:uiPriority w:val="99"/>
    <w:semiHidden/>
    <w:unhideWhenUsed/>
    <w:rsid w:val="00EA27F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032531">
      <w:bodyDiv w:val="1"/>
      <w:marLeft w:val="0"/>
      <w:marRight w:val="0"/>
      <w:marTop w:val="0"/>
      <w:marBottom w:val="0"/>
      <w:divBdr>
        <w:top w:val="none" w:sz="0" w:space="0" w:color="auto"/>
        <w:left w:val="none" w:sz="0" w:space="0" w:color="auto"/>
        <w:bottom w:val="none" w:sz="0" w:space="0" w:color="auto"/>
        <w:right w:val="none" w:sz="0" w:space="0" w:color="auto"/>
      </w:divBdr>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579554378">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pomex.org.mx/ipo3/lgt/indice/PRI/art_100_iv.web"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470F1FE6-BD2D-40B2-8996-B4C9BE5CD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37</Pages>
  <Words>8596</Words>
  <Characters>47283</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7</cp:revision>
  <cp:lastPrinted>2024-08-15T18:56:00Z</cp:lastPrinted>
  <dcterms:created xsi:type="dcterms:W3CDTF">2024-08-05T16:20:00Z</dcterms:created>
  <dcterms:modified xsi:type="dcterms:W3CDTF">2024-08-15T18:56:00Z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