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26D18" w14:textId="77777777" w:rsidR="00880140" w:rsidRDefault="00880140" w:rsidP="00FA7BA6">
      <w:pPr>
        <w:spacing w:line="360" w:lineRule="auto"/>
        <w:ind w:right="-28"/>
        <w:contextualSpacing/>
        <w:jc w:val="both"/>
        <w:rPr>
          <w:rFonts w:ascii="Palatino Linotype" w:hAnsi="Palatino Linotype" w:cs="Tahoma"/>
          <w:bCs/>
          <w:sz w:val="22"/>
          <w:szCs w:val="22"/>
        </w:rPr>
      </w:pPr>
    </w:p>
    <w:p w14:paraId="6195AD91" w14:textId="77777777" w:rsidR="00EE4BC7" w:rsidRPr="005E5189" w:rsidRDefault="00EE4BC7" w:rsidP="00FA7BA6">
      <w:pPr>
        <w:spacing w:line="360" w:lineRule="auto"/>
        <w:ind w:right="-28"/>
        <w:contextualSpacing/>
        <w:jc w:val="both"/>
        <w:rPr>
          <w:rFonts w:ascii="Palatino Linotype" w:hAnsi="Palatino Linotype" w:cs="Tahoma"/>
          <w:bCs/>
          <w:sz w:val="22"/>
          <w:szCs w:val="22"/>
        </w:rPr>
      </w:pPr>
      <w:r w:rsidRPr="00ED7C1C">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hAnsi="Palatino Linotype" w:cs="Tahoma"/>
          <w:bCs/>
          <w:sz w:val="22"/>
          <w:szCs w:val="22"/>
        </w:rPr>
        <w:t xml:space="preserve">once de diciembre </w:t>
      </w:r>
      <w:r w:rsidRPr="00ED7C1C">
        <w:rPr>
          <w:rFonts w:ascii="Palatino Linotype" w:hAnsi="Palatino Linotype" w:cs="Tahoma"/>
          <w:bCs/>
          <w:sz w:val="22"/>
          <w:szCs w:val="22"/>
        </w:rPr>
        <w:t>de dos mil veinticuatro.</w:t>
      </w:r>
    </w:p>
    <w:p w14:paraId="463080FF" w14:textId="77777777" w:rsidR="00EE4BC7" w:rsidRPr="00ED7C1C" w:rsidRDefault="00EE4BC7" w:rsidP="00FA7BA6">
      <w:pPr>
        <w:spacing w:line="360" w:lineRule="auto"/>
        <w:ind w:right="-28"/>
        <w:contextualSpacing/>
        <w:jc w:val="both"/>
        <w:rPr>
          <w:rFonts w:ascii="Palatino Linotype" w:hAnsi="Palatino Linotype"/>
          <w:noProof/>
          <w:sz w:val="22"/>
          <w:szCs w:val="22"/>
          <w:lang w:val="es-ES"/>
        </w:rPr>
      </w:pPr>
    </w:p>
    <w:p w14:paraId="4DD19100" w14:textId="1C09E62F" w:rsidR="00EE4BC7" w:rsidRPr="00ED7C1C" w:rsidRDefault="00EE4BC7" w:rsidP="00FA7BA6">
      <w:pPr>
        <w:spacing w:line="360" w:lineRule="auto"/>
        <w:ind w:right="-28"/>
        <w:contextualSpacing/>
        <w:jc w:val="both"/>
        <w:rPr>
          <w:rFonts w:ascii="Palatino Linotype" w:hAnsi="Palatino Linotype" w:cs="Tahoma"/>
          <w:bCs/>
          <w:sz w:val="22"/>
          <w:szCs w:val="22"/>
        </w:rPr>
      </w:pPr>
      <w:r w:rsidRPr="00ED7C1C">
        <w:rPr>
          <w:rFonts w:ascii="Palatino Linotype" w:hAnsi="Palatino Linotype" w:cs="Tahoma"/>
          <w:b/>
          <w:bCs/>
          <w:sz w:val="22"/>
          <w:szCs w:val="22"/>
        </w:rPr>
        <w:t xml:space="preserve">VISTO </w:t>
      </w:r>
      <w:r w:rsidRPr="00ED7C1C">
        <w:rPr>
          <w:rFonts w:ascii="Palatino Linotype" w:hAnsi="Palatino Linotype" w:cs="Tahoma"/>
          <w:bCs/>
          <w:sz w:val="22"/>
          <w:szCs w:val="22"/>
        </w:rPr>
        <w:t xml:space="preserve">el expediente conformado con motivo del Recurso de Revisión </w:t>
      </w:r>
      <w:r w:rsidRPr="00B0563A">
        <w:rPr>
          <w:rFonts w:ascii="Palatino Linotype" w:hAnsi="Palatino Linotype" w:cs="Tahoma"/>
          <w:b/>
          <w:bCs/>
          <w:color w:val="0D0D0D" w:themeColor="text1" w:themeTint="F2"/>
          <w:sz w:val="22"/>
          <w:szCs w:val="22"/>
        </w:rPr>
        <w:t>07256/INFOEM/IP/RR/2024</w:t>
      </w:r>
      <w:r w:rsidRPr="00ED7C1C">
        <w:rPr>
          <w:rFonts w:ascii="Palatino Linotype" w:hAnsi="Palatino Linotype" w:cs="Tahoma"/>
          <w:sz w:val="22"/>
          <w:szCs w:val="22"/>
        </w:rPr>
        <w:t>, interpuesto por</w:t>
      </w:r>
      <w:r>
        <w:rPr>
          <w:rFonts w:ascii="Palatino Linotype" w:hAnsi="Palatino Linotype" w:cs="Tahoma"/>
          <w:sz w:val="22"/>
          <w:szCs w:val="22"/>
        </w:rPr>
        <w:t xml:space="preserve"> </w:t>
      </w:r>
      <w:r w:rsidR="00FE4AFF" w:rsidRPr="00DE4313">
        <w:rPr>
          <w:rFonts w:ascii="Palatino Linotype" w:hAnsi="Palatino Linotype"/>
          <w:b/>
          <w:bCs/>
          <w:color w:val="000000" w:themeColor="text1"/>
          <w:sz w:val="22"/>
          <w:szCs w:val="22"/>
          <w:highlight w:val="black"/>
          <w:shd w:val="clear" w:color="auto" w:fill="000000" w:themeFill="text1"/>
          <w:lang w:eastAsia="es-MX"/>
        </w:rPr>
        <w:t>XXXXXXXXXXXXXXXXXXXXX</w:t>
      </w:r>
      <w:r w:rsidR="00B0563A">
        <w:rPr>
          <w:rFonts w:ascii="Palatino Linotype" w:hAnsi="Palatino Linotype"/>
          <w:b/>
          <w:bCs/>
          <w:sz w:val="22"/>
          <w:szCs w:val="22"/>
          <w:lang w:eastAsia="es-MX"/>
        </w:rPr>
        <w:t xml:space="preserve">, </w:t>
      </w:r>
      <w:r>
        <w:rPr>
          <w:rFonts w:ascii="Palatino Linotype" w:hAnsi="Palatino Linotype" w:cs="Tahoma"/>
          <w:sz w:val="22"/>
          <w:szCs w:val="22"/>
        </w:rPr>
        <w:t xml:space="preserve">en lo sucesivo </w:t>
      </w:r>
      <w:r w:rsidRPr="00ED7C1C">
        <w:rPr>
          <w:rFonts w:ascii="Palatino Linotype" w:hAnsi="Palatino Linotype" w:cs="Tahoma"/>
          <w:sz w:val="22"/>
          <w:szCs w:val="22"/>
        </w:rPr>
        <w:t>l</w:t>
      </w:r>
      <w:r>
        <w:rPr>
          <w:rFonts w:ascii="Palatino Linotype" w:hAnsi="Palatino Linotype" w:cs="Tahoma"/>
          <w:sz w:val="22"/>
          <w:szCs w:val="22"/>
        </w:rPr>
        <w:t>a</w:t>
      </w:r>
      <w:r w:rsidRPr="00ED7C1C">
        <w:rPr>
          <w:rFonts w:ascii="Palatino Linotype" w:hAnsi="Palatino Linotype" w:cs="Tahoma"/>
          <w:sz w:val="22"/>
          <w:szCs w:val="22"/>
        </w:rPr>
        <w:t xml:space="preserve"> Recurrente o Particular, en contra de la respuesta del Sujeto Obligado, </w:t>
      </w:r>
      <w:r w:rsidRPr="00B0563A">
        <w:rPr>
          <w:rFonts w:ascii="Palatino Linotype" w:hAnsi="Palatino Linotype"/>
          <w:b/>
          <w:color w:val="000000"/>
          <w:sz w:val="22"/>
          <w:szCs w:val="22"/>
        </w:rPr>
        <w:t>Ayuntamiento de Mexicalt</w:t>
      </w:r>
      <w:r w:rsidR="00FA7BA6" w:rsidRPr="00B0563A">
        <w:rPr>
          <w:rFonts w:ascii="Palatino Linotype" w:hAnsi="Palatino Linotype"/>
          <w:b/>
          <w:color w:val="000000"/>
          <w:sz w:val="22"/>
          <w:szCs w:val="22"/>
        </w:rPr>
        <w:t>z</w:t>
      </w:r>
      <w:r w:rsidRPr="00B0563A">
        <w:rPr>
          <w:rFonts w:ascii="Palatino Linotype" w:hAnsi="Palatino Linotype"/>
          <w:b/>
          <w:color w:val="000000"/>
          <w:sz w:val="22"/>
          <w:szCs w:val="22"/>
        </w:rPr>
        <w:t>ingo</w:t>
      </w:r>
      <w:r w:rsidRPr="00B0563A">
        <w:rPr>
          <w:rFonts w:ascii="Palatino Linotype" w:hAnsi="Palatino Linotype" w:cs="Tahoma"/>
          <w:b/>
          <w:sz w:val="22"/>
          <w:szCs w:val="22"/>
        </w:rPr>
        <w:t>,</w:t>
      </w:r>
      <w:r w:rsidRPr="00ED7C1C">
        <w:rPr>
          <w:rFonts w:ascii="Palatino Linotype" w:hAnsi="Palatino Linotype" w:cs="Tahoma"/>
          <w:sz w:val="22"/>
          <w:szCs w:val="22"/>
        </w:rPr>
        <w:t xml:space="preserve"> a la solicitud de acceso a la información pública</w:t>
      </w:r>
      <w:r w:rsidRPr="00ED7C1C">
        <w:rPr>
          <w:rFonts w:ascii="Palatino Linotype" w:hAnsi="Palatino Linotype" w:cs="Tahoma"/>
          <w:bCs/>
          <w:sz w:val="22"/>
          <w:szCs w:val="22"/>
        </w:rPr>
        <w:t xml:space="preserve"> con número de folio </w:t>
      </w:r>
      <w:r w:rsidRPr="00EE4BC7">
        <w:rPr>
          <w:rFonts w:ascii="Palatino Linotype" w:hAnsi="Palatino Linotype"/>
          <w:color w:val="000000" w:themeColor="text1"/>
          <w:sz w:val="22"/>
          <w:szCs w:val="22"/>
        </w:rPr>
        <w:t>00140/MEXICAL/IP/2024</w:t>
      </w:r>
      <w:r w:rsidRPr="00ED7C1C">
        <w:rPr>
          <w:rFonts w:ascii="Palatino Linotype" w:hAnsi="Palatino Linotype" w:cs="Tahoma"/>
          <w:bCs/>
          <w:sz w:val="22"/>
          <w:szCs w:val="22"/>
        </w:rPr>
        <w:t>, se emite la presente Resolución, con base en los Antecedentes y Considerandos que se exponen a continuación:</w:t>
      </w:r>
    </w:p>
    <w:p w14:paraId="7BB48915" w14:textId="77777777" w:rsidR="00EE4BC7" w:rsidRPr="00ED7C1C" w:rsidRDefault="00EE4BC7" w:rsidP="00FA7BA6">
      <w:pPr>
        <w:spacing w:line="360" w:lineRule="auto"/>
        <w:ind w:right="-28"/>
        <w:contextualSpacing/>
        <w:jc w:val="both"/>
        <w:rPr>
          <w:rFonts w:ascii="Palatino Linotype" w:hAnsi="Palatino Linotype" w:cs="Tahoma"/>
          <w:b/>
          <w:bCs/>
          <w:color w:val="0D0D0D" w:themeColor="text1" w:themeTint="F2"/>
          <w:sz w:val="22"/>
          <w:szCs w:val="22"/>
        </w:rPr>
      </w:pPr>
    </w:p>
    <w:p w14:paraId="57FBF3E5" w14:textId="77777777" w:rsidR="00EE4BC7" w:rsidRPr="00ED7C1C" w:rsidRDefault="00EE4BC7" w:rsidP="00FA7BA6">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ED7C1C">
        <w:rPr>
          <w:rFonts w:ascii="Palatino Linotype" w:hAnsi="Palatino Linotype" w:cs="Tahoma"/>
          <w:b/>
          <w:sz w:val="22"/>
          <w:szCs w:val="22"/>
        </w:rPr>
        <w:t>A N T E C E D E N T E S</w:t>
      </w:r>
    </w:p>
    <w:p w14:paraId="77C88F66" w14:textId="77777777" w:rsidR="00EE4BC7" w:rsidRPr="00ED7C1C" w:rsidRDefault="00EE4BC7" w:rsidP="00FA7BA6">
      <w:pPr>
        <w:tabs>
          <w:tab w:val="center" w:pos="4522"/>
          <w:tab w:val="left" w:pos="7245"/>
          <w:tab w:val="right" w:pos="9044"/>
        </w:tabs>
        <w:spacing w:line="360" w:lineRule="auto"/>
        <w:ind w:right="-28"/>
        <w:contextualSpacing/>
        <w:rPr>
          <w:rFonts w:ascii="Palatino Linotype" w:hAnsi="Palatino Linotype" w:cs="Tahoma"/>
          <w:b/>
          <w:sz w:val="22"/>
          <w:szCs w:val="22"/>
        </w:rPr>
      </w:pPr>
    </w:p>
    <w:p w14:paraId="64323BE1" w14:textId="77777777" w:rsidR="00EE4BC7" w:rsidRPr="00ED7C1C" w:rsidRDefault="00EE4BC7" w:rsidP="00FA7BA6">
      <w:pPr>
        <w:pStyle w:val="Prrafodelista"/>
        <w:tabs>
          <w:tab w:val="left" w:pos="567"/>
        </w:tabs>
        <w:spacing w:line="360" w:lineRule="auto"/>
        <w:ind w:left="0" w:right="-28"/>
        <w:jc w:val="both"/>
        <w:rPr>
          <w:rFonts w:ascii="Palatino Linotype" w:hAnsi="Palatino Linotype" w:cs="Tahoma"/>
          <w:b/>
          <w:szCs w:val="22"/>
        </w:rPr>
      </w:pPr>
      <w:r w:rsidRPr="00ED7C1C">
        <w:rPr>
          <w:rFonts w:ascii="Palatino Linotype" w:hAnsi="Palatino Linotype" w:cs="Tahoma"/>
          <w:b/>
          <w:szCs w:val="22"/>
        </w:rPr>
        <w:t>I. Presentación de la solicitud de información</w:t>
      </w:r>
    </w:p>
    <w:p w14:paraId="76302271" w14:textId="77777777" w:rsidR="00EE4BC7" w:rsidRPr="00ED7C1C" w:rsidRDefault="00EE4BC7" w:rsidP="00FA7BA6">
      <w:pPr>
        <w:pStyle w:val="Prrafodelista"/>
        <w:tabs>
          <w:tab w:val="left" w:pos="1050"/>
        </w:tabs>
        <w:spacing w:line="360" w:lineRule="auto"/>
        <w:ind w:left="0" w:right="-28"/>
        <w:jc w:val="both"/>
        <w:rPr>
          <w:rFonts w:ascii="Palatino Linotype" w:hAnsi="Palatino Linotype" w:cs="Tahoma"/>
          <w:szCs w:val="22"/>
        </w:rPr>
      </w:pPr>
    </w:p>
    <w:p w14:paraId="2FA644FC" w14:textId="1BAB5BC0" w:rsidR="00EE4BC7" w:rsidRPr="00ED7C1C" w:rsidRDefault="00EE4BC7" w:rsidP="00FA7BA6">
      <w:pPr>
        <w:autoSpaceDE w:val="0"/>
        <w:autoSpaceDN w:val="0"/>
        <w:adjustRightInd w:val="0"/>
        <w:spacing w:line="360" w:lineRule="auto"/>
        <w:contextualSpacing/>
        <w:jc w:val="both"/>
        <w:rPr>
          <w:rFonts w:ascii="Palatino Linotype" w:hAnsi="Palatino Linotype" w:cs="Tahoma"/>
          <w:sz w:val="22"/>
          <w:szCs w:val="22"/>
          <w:lang w:val="es-ES"/>
        </w:rPr>
      </w:pPr>
      <w:r w:rsidRPr="00ED7C1C">
        <w:rPr>
          <w:rFonts w:ascii="Palatino Linotype" w:hAnsi="Palatino Linotype" w:cs="Tahoma"/>
          <w:sz w:val="22"/>
          <w:szCs w:val="22"/>
        </w:rPr>
        <w:t xml:space="preserve">Con fecha </w:t>
      </w:r>
      <w:r>
        <w:rPr>
          <w:rFonts w:ascii="Palatino Linotype" w:hAnsi="Palatino Linotype" w:cs="Tahoma"/>
          <w:sz w:val="22"/>
          <w:szCs w:val="22"/>
        </w:rPr>
        <w:t xml:space="preserve">veinticuatro de octubre de dos mil veinticuatro, </w:t>
      </w:r>
      <w:r w:rsidRPr="00ED7C1C">
        <w:rPr>
          <w:rFonts w:ascii="Palatino Linotype" w:hAnsi="Palatino Linotype" w:cs="Tahoma"/>
          <w:sz w:val="22"/>
          <w:szCs w:val="22"/>
        </w:rPr>
        <w:t>l</w:t>
      </w:r>
      <w:r>
        <w:rPr>
          <w:rFonts w:ascii="Palatino Linotype" w:hAnsi="Palatino Linotype" w:cs="Tahoma"/>
          <w:sz w:val="22"/>
          <w:szCs w:val="22"/>
        </w:rPr>
        <w:t>a</w:t>
      </w:r>
      <w:r w:rsidRPr="00ED7C1C">
        <w:rPr>
          <w:rFonts w:ascii="Palatino Linotype" w:hAnsi="Palatino Linotype" w:cs="Tahoma"/>
          <w:sz w:val="22"/>
          <w:szCs w:val="22"/>
        </w:rPr>
        <w:t xml:space="preserve"> Particular presentó una solicitud de acceso a la información pública, a través del Sistema de Acceso a la Informa</w:t>
      </w:r>
      <w:r>
        <w:rPr>
          <w:rFonts w:ascii="Palatino Linotype" w:hAnsi="Palatino Linotype" w:cs="Tahoma"/>
          <w:sz w:val="22"/>
          <w:szCs w:val="22"/>
        </w:rPr>
        <w:t>ción Mexiquense (SAIMEX), ante e</w:t>
      </w:r>
      <w:r w:rsidRPr="00ED7C1C">
        <w:rPr>
          <w:rFonts w:ascii="Palatino Linotype" w:hAnsi="Palatino Linotype" w:cs="Tahoma"/>
          <w:sz w:val="22"/>
          <w:szCs w:val="22"/>
        </w:rPr>
        <w:t xml:space="preserve">l </w:t>
      </w:r>
      <w:r>
        <w:rPr>
          <w:rFonts w:ascii="Palatino Linotype" w:hAnsi="Palatino Linotype"/>
          <w:bCs/>
          <w:color w:val="000000"/>
          <w:sz w:val="22"/>
          <w:szCs w:val="22"/>
        </w:rPr>
        <w:t>Ayuntamiento de Mexicaltzingo</w:t>
      </w:r>
      <w:r w:rsidRPr="00ED7C1C">
        <w:rPr>
          <w:rFonts w:ascii="Palatino Linotype" w:hAnsi="Palatino Linotype" w:cs="Tahoma"/>
          <w:b/>
          <w:bCs/>
          <w:sz w:val="22"/>
          <w:szCs w:val="22"/>
        </w:rPr>
        <w:t xml:space="preserve">, </w:t>
      </w:r>
      <w:r w:rsidRPr="00ED7C1C">
        <w:rPr>
          <w:rFonts w:ascii="Palatino Linotype" w:hAnsi="Palatino Linotype" w:cs="Tahoma"/>
          <w:sz w:val="22"/>
          <w:szCs w:val="22"/>
          <w:lang w:val="es-ES"/>
        </w:rPr>
        <w:t>mediante la cual requirió lo siguiente:</w:t>
      </w:r>
    </w:p>
    <w:p w14:paraId="18B13BCF" w14:textId="77777777" w:rsidR="00EE4BC7" w:rsidRPr="00ED7C1C" w:rsidRDefault="00EE4BC7" w:rsidP="00FA7BA6">
      <w:pPr>
        <w:tabs>
          <w:tab w:val="left" w:pos="4667"/>
        </w:tabs>
        <w:spacing w:line="360" w:lineRule="auto"/>
        <w:ind w:right="567"/>
        <w:contextualSpacing/>
        <w:jc w:val="both"/>
        <w:rPr>
          <w:rFonts w:ascii="Palatino Linotype" w:hAnsi="Palatino Linotype" w:cs="Tahoma"/>
          <w:b/>
          <w:bCs/>
          <w:i/>
        </w:rPr>
      </w:pPr>
    </w:p>
    <w:p w14:paraId="625039E1" w14:textId="77777777" w:rsidR="00EE4BC7" w:rsidRPr="00B5689B" w:rsidRDefault="00EE4BC7" w:rsidP="00FA7BA6">
      <w:pPr>
        <w:tabs>
          <w:tab w:val="left" w:pos="4667"/>
        </w:tabs>
        <w:spacing w:line="360" w:lineRule="auto"/>
        <w:ind w:left="567" w:right="567"/>
        <w:contextualSpacing/>
        <w:jc w:val="both"/>
        <w:rPr>
          <w:rFonts w:ascii="Palatino Linotype" w:hAnsi="Palatino Linotype" w:cs="Tahoma"/>
          <w:b/>
          <w:bCs/>
          <w:i/>
        </w:rPr>
      </w:pPr>
      <w:bookmarkStart w:id="0" w:name="_Hlk182343885"/>
      <w:r w:rsidRPr="00B5689B">
        <w:rPr>
          <w:rFonts w:ascii="Palatino Linotype" w:hAnsi="Palatino Linotype" w:cs="Tahoma"/>
          <w:b/>
          <w:bCs/>
          <w:i/>
        </w:rPr>
        <w:t>“DESCRIPCIÓN CLARA Y PRECISA DE LA INFORMACIÓN SOLICITADA:</w:t>
      </w:r>
    </w:p>
    <w:p w14:paraId="5BF7F023" w14:textId="589E1FA6" w:rsidR="00EE4BC7" w:rsidRPr="00405782" w:rsidRDefault="00EE4BC7" w:rsidP="00FA7BA6">
      <w:pPr>
        <w:spacing w:line="360" w:lineRule="auto"/>
        <w:ind w:left="567" w:right="567"/>
        <w:contextualSpacing/>
        <w:jc w:val="both"/>
        <w:rPr>
          <w:rFonts w:ascii="Palatino Linotype" w:hAnsi="Palatino Linotype" w:cs="Tahoma"/>
          <w:bCs/>
          <w:i/>
        </w:rPr>
      </w:pPr>
      <w:r w:rsidRPr="00EE4BC7">
        <w:rPr>
          <w:rFonts w:ascii="Palatino Linotype" w:hAnsi="Palatino Linotype"/>
          <w:i/>
          <w:color w:val="000000"/>
        </w:rPr>
        <w:t>INFOREME EL FUNDAMENTO EN LA LEY PARA EL COBRO DE UNA SOLICTUD DE SAIMEX POR EL SECRETARIO Y CONTRALOR PORQUE NO DA INFORMACION PERO JUSTIFICA UN COSTO CUANDO NO SE LE SOLICITA COPIA CERTIFICADA SINO SIMPLE</w:t>
      </w:r>
      <w:r w:rsidRPr="00B5689B">
        <w:rPr>
          <w:rFonts w:ascii="Palatino Linotype" w:hAnsi="Palatino Linotype"/>
          <w:i/>
          <w:color w:val="000000"/>
        </w:rPr>
        <w:t>.</w:t>
      </w:r>
      <w:r w:rsidRPr="00B5689B">
        <w:rPr>
          <w:rFonts w:ascii="Palatino Linotype" w:hAnsi="Palatino Linotype" w:cs="Tahoma"/>
          <w:bCs/>
          <w:i/>
        </w:rPr>
        <w:t>” (Sic)</w:t>
      </w:r>
    </w:p>
    <w:bookmarkEnd w:id="0"/>
    <w:p w14:paraId="51C44B40" w14:textId="77777777" w:rsidR="00EE4BC7" w:rsidRPr="00B5689B" w:rsidRDefault="00EE4BC7" w:rsidP="00FA7BA6">
      <w:pPr>
        <w:tabs>
          <w:tab w:val="left" w:pos="4667"/>
        </w:tabs>
        <w:spacing w:line="360" w:lineRule="auto"/>
        <w:ind w:left="567" w:right="567"/>
        <w:contextualSpacing/>
        <w:jc w:val="both"/>
        <w:rPr>
          <w:rFonts w:ascii="Palatino Linotype" w:hAnsi="Palatino Linotype" w:cs="Tahoma"/>
          <w:bCs/>
          <w:i/>
        </w:rPr>
      </w:pPr>
    </w:p>
    <w:p w14:paraId="7287BC99" w14:textId="77777777" w:rsidR="00EE4BC7" w:rsidRPr="00B5689B" w:rsidRDefault="00EE4BC7" w:rsidP="00FA7BA6">
      <w:pPr>
        <w:tabs>
          <w:tab w:val="left" w:pos="4667"/>
        </w:tabs>
        <w:spacing w:line="360" w:lineRule="auto"/>
        <w:ind w:left="567" w:right="567"/>
        <w:contextualSpacing/>
        <w:jc w:val="both"/>
        <w:rPr>
          <w:rFonts w:ascii="Palatino Linotype" w:hAnsi="Palatino Linotype" w:cs="Tahoma"/>
          <w:b/>
          <w:bCs/>
          <w:i/>
        </w:rPr>
      </w:pPr>
      <w:r w:rsidRPr="00B5689B">
        <w:rPr>
          <w:rFonts w:ascii="Palatino Linotype" w:hAnsi="Palatino Linotype" w:cs="Tahoma"/>
          <w:b/>
          <w:bCs/>
          <w:i/>
        </w:rPr>
        <w:t xml:space="preserve">“Modalidad de Entrega: </w:t>
      </w:r>
    </w:p>
    <w:p w14:paraId="5C5B3E6E" w14:textId="77777777" w:rsidR="00EE4BC7" w:rsidRPr="00CD1650" w:rsidRDefault="00EE4BC7" w:rsidP="00FA7BA6">
      <w:pPr>
        <w:tabs>
          <w:tab w:val="left" w:pos="567"/>
        </w:tabs>
        <w:spacing w:line="360" w:lineRule="auto"/>
        <w:ind w:left="567" w:right="567"/>
        <w:contextualSpacing/>
        <w:jc w:val="both"/>
        <w:rPr>
          <w:rFonts w:ascii="Palatino Linotype" w:hAnsi="Palatino Linotype" w:cs="Tahoma"/>
          <w:bCs/>
          <w:i/>
        </w:rPr>
      </w:pPr>
      <w:r w:rsidRPr="00B5689B" w:rsidDel="006544EC">
        <w:rPr>
          <w:rFonts w:ascii="Palatino Linotype" w:hAnsi="Palatino Linotype" w:cs="Tahoma"/>
          <w:b/>
          <w:bCs/>
          <w:i/>
        </w:rPr>
        <w:t xml:space="preserve"> </w:t>
      </w:r>
      <w:r w:rsidRPr="00B5689B">
        <w:rPr>
          <w:rFonts w:ascii="Palatino Linotype" w:hAnsi="Palatino Linotype" w:cs="Tahoma"/>
          <w:bCs/>
          <w:i/>
        </w:rPr>
        <w:t>A través de SAIMEX</w:t>
      </w:r>
      <w:r w:rsidRPr="003D2169">
        <w:rPr>
          <w:rFonts w:ascii="Palatino Linotype" w:hAnsi="Palatino Linotype" w:cs="Tahoma"/>
          <w:bCs/>
          <w:i/>
        </w:rPr>
        <w:t xml:space="preserve">” </w:t>
      </w:r>
    </w:p>
    <w:p w14:paraId="3376DDC0" w14:textId="77777777" w:rsidR="00EE4BC7" w:rsidRDefault="00EE4BC7" w:rsidP="00FA7BA6">
      <w:pPr>
        <w:spacing w:line="360" w:lineRule="auto"/>
        <w:contextualSpacing/>
        <w:rPr>
          <w:rFonts w:ascii="Palatino Linotype" w:eastAsia="Calibri" w:hAnsi="Palatino Linotype" w:cs="Tahoma"/>
          <w:b/>
          <w:bCs/>
          <w:sz w:val="22"/>
          <w:szCs w:val="22"/>
        </w:rPr>
      </w:pPr>
      <w:bookmarkStart w:id="1" w:name="_Hlk16082333"/>
    </w:p>
    <w:p w14:paraId="2058E90F" w14:textId="3DEDDD05" w:rsidR="00EE4BC7" w:rsidRPr="007C37EC" w:rsidRDefault="00EE4BC7" w:rsidP="00FA7BA6">
      <w:pPr>
        <w:pStyle w:val="paragraph"/>
        <w:spacing w:before="0" w:beforeAutospacing="0" w:after="0" w:afterAutospacing="0" w:line="360" w:lineRule="auto"/>
        <w:ind w:right="-30"/>
        <w:contextualSpacing/>
        <w:jc w:val="both"/>
        <w:textAlignment w:val="baseline"/>
        <w:rPr>
          <w:rFonts w:ascii="Palatino Linotype" w:hAnsi="Palatino Linotype" w:cs="Tahoma"/>
          <w:b/>
          <w:sz w:val="22"/>
          <w:szCs w:val="22"/>
        </w:rPr>
      </w:pPr>
      <w:r w:rsidRPr="00A071B6">
        <w:rPr>
          <w:rFonts w:ascii="Palatino Linotype" w:hAnsi="Palatino Linotype" w:cs="Tahoma"/>
          <w:b/>
          <w:sz w:val="22"/>
          <w:szCs w:val="22"/>
        </w:rPr>
        <w:t>II.</w:t>
      </w:r>
      <w:r w:rsidRPr="00A071B6">
        <w:rPr>
          <w:rFonts w:ascii="Palatino Linotype" w:hAnsi="Palatino Linotype" w:cs="Tahoma"/>
          <w:b/>
          <w:bCs/>
          <w:sz w:val="22"/>
          <w:szCs w:val="22"/>
        </w:rPr>
        <w:t xml:space="preserve"> </w:t>
      </w:r>
      <w:r w:rsidRPr="007C37EC">
        <w:rPr>
          <w:rFonts w:ascii="Palatino Linotype" w:hAnsi="Palatino Linotype" w:cs="Tahoma"/>
          <w:b/>
          <w:sz w:val="22"/>
          <w:szCs w:val="22"/>
        </w:rPr>
        <w:t>Respuesta</w:t>
      </w:r>
      <w:r w:rsidRPr="007C37EC">
        <w:rPr>
          <w:rFonts w:ascii="Palatino Linotype" w:hAnsi="Palatino Linotype" w:cs="Tahoma"/>
          <w:b/>
          <w:bCs/>
          <w:sz w:val="22"/>
          <w:szCs w:val="22"/>
        </w:rPr>
        <w:t xml:space="preserve"> del Sujeto Obligado</w:t>
      </w:r>
    </w:p>
    <w:p w14:paraId="0DF1AE68" w14:textId="77777777" w:rsidR="00EE4BC7" w:rsidRPr="00ED7C1C" w:rsidRDefault="00EE4BC7" w:rsidP="00FA7BA6">
      <w:pPr>
        <w:tabs>
          <w:tab w:val="left" w:pos="4667"/>
        </w:tabs>
        <w:spacing w:line="360" w:lineRule="auto"/>
        <w:ind w:right="567"/>
        <w:contextualSpacing/>
        <w:jc w:val="both"/>
        <w:rPr>
          <w:rFonts w:ascii="Palatino Linotype" w:hAnsi="Palatino Linotype" w:cs="Tahoma"/>
          <w:b/>
          <w:bCs/>
          <w:sz w:val="22"/>
          <w:szCs w:val="24"/>
        </w:rPr>
      </w:pPr>
    </w:p>
    <w:bookmarkEnd w:id="1"/>
    <w:p w14:paraId="0BBC89FA" w14:textId="3390CDF8" w:rsidR="00EE4BC7" w:rsidRDefault="00EE4BC7" w:rsidP="00FA7BA6">
      <w:pPr>
        <w:autoSpaceDE w:val="0"/>
        <w:autoSpaceDN w:val="0"/>
        <w:adjustRightInd w:val="0"/>
        <w:spacing w:line="360" w:lineRule="auto"/>
        <w:contextualSpacing/>
        <w:jc w:val="both"/>
        <w:rPr>
          <w:rFonts w:ascii="Palatino Linotype" w:hAnsi="Palatino Linotype" w:cs="Tahoma"/>
          <w:sz w:val="22"/>
          <w:szCs w:val="22"/>
        </w:rPr>
      </w:pPr>
      <w:r>
        <w:rPr>
          <w:rFonts w:ascii="Palatino Linotype" w:hAnsi="Palatino Linotype" w:cs="Tahoma"/>
          <w:bCs/>
          <w:sz w:val="22"/>
          <w:szCs w:val="22"/>
        </w:rPr>
        <w:t xml:space="preserve">Con fecha quince </w:t>
      </w:r>
      <w:r w:rsidRPr="00ED7C1C">
        <w:rPr>
          <w:rFonts w:ascii="Palatino Linotype" w:hAnsi="Palatino Linotype" w:cs="Tahoma"/>
          <w:bCs/>
          <w:sz w:val="22"/>
          <w:szCs w:val="22"/>
        </w:rPr>
        <w:t xml:space="preserve">de </w:t>
      </w:r>
      <w:r>
        <w:rPr>
          <w:rFonts w:ascii="Palatino Linotype" w:hAnsi="Palatino Linotype" w:cs="Tahoma"/>
          <w:bCs/>
          <w:sz w:val="22"/>
          <w:szCs w:val="22"/>
        </w:rPr>
        <w:t xml:space="preserve">noviembre </w:t>
      </w:r>
      <w:r w:rsidRPr="00ED7C1C">
        <w:rPr>
          <w:rFonts w:ascii="Palatino Linotype" w:hAnsi="Palatino Linotype" w:cs="Tahoma"/>
          <w:bCs/>
          <w:sz w:val="22"/>
          <w:szCs w:val="22"/>
        </w:rPr>
        <w:t>de dos mil veinticuatro, el</w:t>
      </w:r>
      <w:r w:rsidRPr="00ED7C1C">
        <w:rPr>
          <w:rFonts w:ascii="Palatino Linotype" w:hAnsi="Palatino Linotype" w:cs="Tahoma"/>
          <w:b/>
          <w:sz w:val="22"/>
          <w:szCs w:val="22"/>
        </w:rPr>
        <w:t xml:space="preserve"> </w:t>
      </w:r>
      <w:r w:rsidRPr="00ED7C1C">
        <w:rPr>
          <w:rFonts w:ascii="Palatino Linotype" w:hAnsi="Palatino Linotype" w:cs="Tahoma"/>
          <w:sz w:val="22"/>
          <w:szCs w:val="22"/>
        </w:rPr>
        <w:t>Sujeto Obligado dio respuesta a la solicitud de acceso a la información a través del Sistema de Acceso a la Información Mexiquense (SAIMEX), por medio de</w:t>
      </w:r>
      <w:r>
        <w:rPr>
          <w:rFonts w:ascii="Palatino Linotype" w:hAnsi="Palatino Linotype" w:cs="Tahoma"/>
          <w:sz w:val="22"/>
          <w:szCs w:val="22"/>
        </w:rPr>
        <w:t xml:space="preserve">l oficio número PMM/SA/683/NOV/2024 del trece de noviembre de dos mil veinticuatro, suscrito por el Secretario del Ayuntamiento, dirigido al Titular de la Unidad de Información, Planeación, Programación, Evaluación, Transparencia y Acceso a la Información, a través del </w:t>
      </w:r>
      <w:r w:rsidRPr="006D4BF5">
        <w:rPr>
          <w:rFonts w:ascii="Palatino Linotype" w:hAnsi="Palatino Linotype" w:cs="Tahoma"/>
          <w:sz w:val="22"/>
          <w:szCs w:val="22"/>
        </w:rPr>
        <w:t>cual manifiesta y expone lo siguiente:</w:t>
      </w:r>
    </w:p>
    <w:p w14:paraId="3F0B97AE" w14:textId="77777777" w:rsidR="00EE4BC7" w:rsidRDefault="00EE4BC7" w:rsidP="00FA7BA6">
      <w:pPr>
        <w:autoSpaceDE w:val="0"/>
        <w:autoSpaceDN w:val="0"/>
        <w:adjustRightInd w:val="0"/>
        <w:spacing w:line="360" w:lineRule="auto"/>
        <w:contextualSpacing/>
        <w:jc w:val="both"/>
        <w:rPr>
          <w:rFonts w:ascii="Palatino Linotype" w:hAnsi="Palatino Linotype" w:cs="Tahoma"/>
          <w:sz w:val="22"/>
          <w:szCs w:val="22"/>
        </w:rPr>
      </w:pPr>
    </w:p>
    <w:p w14:paraId="45C2756D" w14:textId="6FD9BE85" w:rsidR="00FA7BA6" w:rsidRPr="00FA7BA6" w:rsidRDefault="00EE4BC7" w:rsidP="00FA7BA6">
      <w:pPr>
        <w:autoSpaceDE w:val="0"/>
        <w:autoSpaceDN w:val="0"/>
        <w:adjustRightInd w:val="0"/>
        <w:spacing w:line="360" w:lineRule="auto"/>
        <w:ind w:left="567" w:right="567"/>
        <w:contextualSpacing/>
        <w:jc w:val="both"/>
        <w:rPr>
          <w:rFonts w:ascii="Palatino Linotype" w:hAnsi="Palatino Linotype" w:cs="Tahoma"/>
          <w:i/>
          <w:iCs/>
        </w:rPr>
      </w:pPr>
      <w:r w:rsidRPr="00FA7BA6">
        <w:rPr>
          <w:rFonts w:ascii="Palatino Linotype" w:hAnsi="Palatino Linotype" w:cs="Tahoma"/>
          <w:i/>
          <w:iCs/>
        </w:rPr>
        <w:t>“…</w:t>
      </w:r>
    </w:p>
    <w:p w14:paraId="1D367B21" w14:textId="0A9799AB"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cs="Tahoma"/>
          <w:i/>
          <w:iCs/>
        </w:rPr>
      </w:pPr>
      <w:r w:rsidRPr="00FA7BA6">
        <w:rPr>
          <w:rFonts w:ascii="Palatino Linotype" w:hAnsi="Palatino Linotype" w:cs="Tahoma"/>
          <w:i/>
          <w:iCs/>
        </w:rPr>
        <w:t xml:space="preserve">No se puede contestar con exactitud su solicitud, ya que su servidor desconoce </w:t>
      </w:r>
      <w:r w:rsidR="00DE4313" w:rsidRPr="00FA7BA6">
        <w:rPr>
          <w:rFonts w:ascii="Palatino Linotype" w:hAnsi="Palatino Linotype" w:cs="Tahoma"/>
          <w:i/>
          <w:iCs/>
        </w:rPr>
        <w:t>qué</w:t>
      </w:r>
      <w:r w:rsidRPr="00FA7BA6">
        <w:rPr>
          <w:rFonts w:ascii="Palatino Linotype" w:hAnsi="Palatino Linotype" w:cs="Tahoma"/>
          <w:i/>
          <w:iCs/>
        </w:rPr>
        <w:t xml:space="preserve"> información solicitó y el volumen que implicaba tales documentos.</w:t>
      </w:r>
    </w:p>
    <w:p w14:paraId="626147B9" w14:textId="19DA7066"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cs="Tahoma"/>
          <w:i/>
          <w:iCs/>
        </w:rPr>
      </w:pPr>
      <w:r w:rsidRPr="00FA7BA6">
        <w:rPr>
          <w:rFonts w:ascii="Palatino Linotype" w:hAnsi="Palatino Linotype" w:cs="Tahoma"/>
          <w:i/>
          <w:iCs/>
        </w:rPr>
        <w:t>…”</w:t>
      </w:r>
    </w:p>
    <w:p w14:paraId="274E14E3" w14:textId="77777777" w:rsidR="00EE4BC7" w:rsidRPr="005C6FF4" w:rsidRDefault="00EE4BC7" w:rsidP="00FA7BA6">
      <w:pPr>
        <w:autoSpaceDE w:val="0"/>
        <w:autoSpaceDN w:val="0"/>
        <w:adjustRightInd w:val="0"/>
        <w:spacing w:line="360" w:lineRule="auto"/>
        <w:ind w:right="-28"/>
        <w:contextualSpacing/>
        <w:jc w:val="both"/>
        <w:rPr>
          <w:rFonts w:ascii="Palatino Linotype" w:hAnsi="Palatino Linotype" w:cs="Tahoma"/>
          <w:b/>
          <w:szCs w:val="22"/>
        </w:rPr>
      </w:pPr>
    </w:p>
    <w:p w14:paraId="79840F58" w14:textId="7011A452" w:rsidR="00EE4BC7" w:rsidRPr="00ED7C1C" w:rsidRDefault="00FA7BA6" w:rsidP="00FA7BA6">
      <w:pPr>
        <w:autoSpaceDE w:val="0"/>
        <w:autoSpaceDN w:val="0"/>
        <w:adjustRightInd w:val="0"/>
        <w:spacing w:line="360" w:lineRule="auto"/>
        <w:ind w:right="-28"/>
        <w:contextualSpacing/>
        <w:jc w:val="both"/>
        <w:rPr>
          <w:rFonts w:ascii="Palatino Linotype" w:hAnsi="Palatino Linotype" w:cs="Tahoma"/>
          <w:b/>
          <w:sz w:val="22"/>
          <w:szCs w:val="22"/>
        </w:rPr>
      </w:pPr>
      <w:r>
        <w:rPr>
          <w:rFonts w:ascii="Palatino Linotype" w:hAnsi="Palatino Linotype" w:cs="Tahoma"/>
          <w:b/>
          <w:sz w:val="22"/>
          <w:szCs w:val="22"/>
        </w:rPr>
        <w:t>III</w:t>
      </w:r>
      <w:r w:rsidR="00EE4BC7" w:rsidRPr="00ED7C1C">
        <w:rPr>
          <w:rFonts w:ascii="Palatino Linotype" w:hAnsi="Palatino Linotype" w:cs="Tahoma"/>
          <w:b/>
          <w:sz w:val="22"/>
          <w:szCs w:val="22"/>
        </w:rPr>
        <w:t>. Interposición del Recurso de Revisión</w:t>
      </w:r>
    </w:p>
    <w:p w14:paraId="5A4D9CBA" w14:textId="77777777" w:rsidR="00EE4BC7" w:rsidRPr="00ED7C1C" w:rsidRDefault="00EE4BC7" w:rsidP="00FA7BA6">
      <w:pPr>
        <w:autoSpaceDE w:val="0"/>
        <w:autoSpaceDN w:val="0"/>
        <w:adjustRightInd w:val="0"/>
        <w:spacing w:line="360" w:lineRule="auto"/>
        <w:ind w:right="-28"/>
        <w:contextualSpacing/>
        <w:jc w:val="both"/>
        <w:rPr>
          <w:rFonts w:ascii="Palatino Linotype" w:hAnsi="Palatino Linotype" w:cs="Tahoma"/>
          <w:sz w:val="22"/>
          <w:szCs w:val="22"/>
        </w:rPr>
      </w:pPr>
    </w:p>
    <w:p w14:paraId="6E826BDA" w14:textId="40FD816C" w:rsidR="00EE4BC7" w:rsidRPr="00ED7C1C" w:rsidRDefault="00EE4BC7" w:rsidP="00FA7BA6">
      <w:pPr>
        <w:spacing w:line="360" w:lineRule="auto"/>
        <w:contextualSpacing/>
        <w:jc w:val="both"/>
        <w:rPr>
          <w:rFonts w:ascii="Palatino Linotype" w:hAnsi="Palatino Linotype" w:cs="Tahoma"/>
          <w:bCs/>
          <w:sz w:val="22"/>
          <w:szCs w:val="22"/>
          <w:lang w:val="es-ES"/>
        </w:rPr>
      </w:pPr>
      <w:r w:rsidRPr="00ED7C1C">
        <w:rPr>
          <w:rFonts w:ascii="Palatino Linotype" w:hAnsi="Palatino Linotype" w:cs="Tahoma"/>
          <w:bCs/>
          <w:sz w:val="22"/>
          <w:szCs w:val="22"/>
          <w:lang w:val="es-ES"/>
        </w:rPr>
        <w:t xml:space="preserve">Con fecha </w:t>
      </w:r>
      <w:r w:rsidR="00FA7BA6">
        <w:rPr>
          <w:rFonts w:ascii="Palatino Linotype" w:hAnsi="Palatino Linotype" w:cs="Tahoma"/>
          <w:bCs/>
          <w:sz w:val="22"/>
          <w:szCs w:val="22"/>
          <w:lang w:val="es-ES"/>
        </w:rPr>
        <w:t>diecinueve</w:t>
      </w:r>
      <w:r>
        <w:rPr>
          <w:rFonts w:ascii="Palatino Linotype" w:hAnsi="Palatino Linotype" w:cs="Tahoma"/>
          <w:bCs/>
          <w:sz w:val="22"/>
          <w:szCs w:val="22"/>
          <w:lang w:val="es-ES"/>
        </w:rPr>
        <w:t xml:space="preserve"> de noviembre</w:t>
      </w:r>
      <w:r w:rsidRPr="00ED7C1C">
        <w:rPr>
          <w:rFonts w:ascii="Palatino Linotype" w:hAnsi="Palatino Linotype" w:cs="Tahoma"/>
          <w:bCs/>
          <w:sz w:val="22"/>
          <w:szCs w:val="22"/>
          <w:lang w:val="es-ES"/>
        </w:rPr>
        <w:t xml:space="preserve"> de dos mil veinticuatro </w:t>
      </w:r>
      <w:r w:rsidRPr="00ED7C1C">
        <w:rPr>
          <w:rFonts w:ascii="Palatino Linotype" w:hAnsi="Palatino Linotype" w:cs="Tahoma"/>
          <w:bCs/>
          <w:sz w:val="22"/>
          <w:szCs w:val="22"/>
        </w:rPr>
        <w:t xml:space="preserve">se recibió en este Instituto, a través del </w:t>
      </w:r>
      <w:r w:rsidRPr="00ED7C1C">
        <w:rPr>
          <w:rFonts w:ascii="Palatino Linotype" w:hAnsi="Palatino Linotype" w:cs="Tahoma"/>
          <w:bCs/>
          <w:sz w:val="22"/>
          <w:szCs w:val="22"/>
          <w:lang w:val="es-ES"/>
        </w:rPr>
        <w:t>Sistema de Acceso a la Información Mexiquense (SAIMEX)</w:t>
      </w:r>
      <w:r w:rsidRPr="00ED7C1C">
        <w:rPr>
          <w:rFonts w:ascii="Palatino Linotype" w:hAnsi="Palatino Linotype" w:cs="Tahoma"/>
          <w:bCs/>
          <w:sz w:val="22"/>
          <w:szCs w:val="22"/>
        </w:rPr>
        <w:t>, el Recurso de Revisión interpuesto por la parte Recurrente, en contra de la respuesta del Sujeto Obligado, en los siguientes términos:</w:t>
      </w:r>
    </w:p>
    <w:p w14:paraId="1C7073B2" w14:textId="77777777" w:rsidR="00EE4BC7" w:rsidRPr="00FA7BA6" w:rsidRDefault="00EE4BC7" w:rsidP="00FA7BA6">
      <w:pPr>
        <w:autoSpaceDE w:val="0"/>
        <w:autoSpaceDN w:val="0"/>
        <w:adjustRightInd w:val="0"/>
        <w:spacing w:line="360" w:lineRule="auto"/>
        <w:ind w:right="-28"/>
        <w:contextualSpacing/>
        <w:jc w:val="both"/>
        <w:rPr>
          <w:rFonts w:ascii="Palatino Linotype" w:hAnsi="Palatino Linotype" w:cs="Tahoma"/>
          <w:i/>
          <w:iCs/>
          <w:lang w:val="es-ES"/>
        </w:rPr>
      </w:pPr>
    </w:p>
    <w:p w14:paraId="211343EA" w14:textId="77777777" w:rsidR="00EE4BC7" w:rsidRPr="00FA7BA6" w:rsidRDefault="00EE4BC7" w:rsidP="00FA7BA6">
      <w:pPr>
        <w:tabs>
          <w:tab w:val="left" w:pos="4667"/>
        </w:tabs>
        <w:spacing w:line="360" w:lineRule="auto"/>
        <w:ind w:left="567" w:right="567"/>
        <w:contextualSpacing/>
        <w:jc w:val="both"/>
        <w:rPr>
          <w:rFonts w:ascii="Palatino Linotype" w:hAnsi="Palatino Linotype" w:cs="Tahoma"/>
          <w:b/>
          <w:bCs/>
          <w:i/>
          <w:iCs/>
        </w:rPr>
      </w:pPr>
      <w:r w:rsidRPr="00FA7BA6">
        <w:rPr>
          <w:rFonts w:ascii="Palatino Linotype" w:hAnsi="Palatino Linotype" w:cs="Tahoma"/>
          <w:b/>
          <w:bCs/>
          <w:i/>
          <w:iCs/>
        </w:rPr>
        <w:t>“ACTO IMPUGNADO</w:t>
      </w:r>
    </w:p>
    <w:p w14:paraId="7B213016" w14:textId="0EB3EC5C" w:rsidR="00EE4BC7" w:rsidRPr="00FA7BA6" w:rsidRDefault="00FA7BA6" w:rsidP="00FA7BA6">
      <w:pPr>
        <w:spacing w:line="360" w:lineRule="auto"/>
        <w:ind w:left="567" w:right="567"/>
        <w:contextualSpacing/>
        <w:jc w:val="both"/>
        <w:rPr>
          <w:rFonts w:ascii="Palatino Linotype" w:hAnsi="Palatino Linotype" w:cs="Tahoma"/>
          <w:bCs/>
          <w:i/>
          <w:iCs/>
        </w:rPr>
      </w:pPr>
      <w:r w:rsidRPr="00FA7BA6">
        <w:rPr>
          <w:rFonts w:ascii="Palatino Linotype" w:hAnsi="Palatino Linotype"/>
          <w:i/>
          <w:iCs/>
          <w:lang w:eastAsia="es-MX"/>
        </w:rPr>
        <w:lastRenderedPageBreak/>
        <w:t xml:space="preserve">NO ES LA INFORMACION QUE SOLICITE DEBERIAN SER MAS CONGRUENTES, </w:t>
      </w:r>
      <w:r w:rsidR="00DE4313" w:rsidRPr="00FA7BA6">
        <w:rPr>
          <w:rFonts w:ascii="Palatino Linotype" w:hAnsi="Palatino Linotype"/>
          <w:i/>
          <w:iCs/>
          <w:lang w:eastAsia="es-MX"/>
        </w:rPr>
        <w:t>PARTICULAR,</w:t>
      </w:r>
      <w:r w:rsidRPr="00FA7BA6">
        <w:rPr>
          <w:rFonts w:ascii="Palatino Linotype" w:hAnsi="Palatino Linotype"/>
          <w:i/>
          <w:iCs/>
          <w:lang w:eastAsia="es-MX"/>
        </w:rPr>
        <w:t xml:space="preserve"> PECULIAR EN LA SOLICTUD</w:t>
      </w:r>
      <w:r w:rsidR="00EE4BC7" w:rsidRPr="00FA7BA6">
        <w:rPr>
          <w:rFonts w:ascii="Palatino Linotype" w:hAnsi="Palatino Linotype" w:cs="Tahoma"/>
          <w:bCs/>
          <w:i/>
          <w:iCs/>
        </w:rPr>
        <w:t>” (Sic.)</w:t>
      </w:r>
    </w:p>
    <w:p w14:paraId="433EB227" w14:textId="77777777" w:rsidR="00EE4BC7" w:rsidRDefault="00EE4BC7" w:rsidP="00FA7BA6">
      <w:pPr>
        <w:tabs>
          <w:tab w:val="left" w:pos="4667"/>
        </w:tabs>
        <w:spacing w:line="360" w:lineRule="auto"/>
        <w:ind w:left="567" w:right="567"/>
        <w:contextualSpacing/>
        <w:jc w:val="both"/>
        <w:rPr>
          <w:rFonts w:ascii="Palatino Linotype" w:hAnsi="Palatino Linotype" w:cs="Tahoma"/>
          <w:bCs/>
          <w:i/>
          <w:iCs/>
        </w:rPr>
      </w:pPr>
    </w:p>
    <w:p w14:paraId="4B89AA4C" w14:textId="77777777" w:rsidR="00EF7206" w:rsidRDefault="00EF7206" w:rsidP="00FA7BA6">
      <w:pPr>
        <w:tabs>
          <w:tab w:val="left" w:pos="4667"/>
        </w:tabs>
        <w:spacing w:line="360" w:lineRule="auto"/>
        <w:ind w:left="567" w:right="567"/>
        <w:contextualSpacing/>
        <w:jc w:val="both"/>
        <w:rPr>
          <w:rFonts w:ascii="Palatino Linotype" w:hAnsi="Palatino Linotype" w:cs="Tahoma"/>
          <w:bCs/>
          <w:i/>
          <w:iCs/>
        </w:rPr>
      </w:pPr>
    </w:p>
    <w:p w14:paraId="56FC8922" w14:textId="77777777" w:rsidR="00EF7206" w:rsidRPr="00FA7BA6" w:rsidRDefault="00EF7206" w:rsidP="00FA7BA6">
      <w:pPr>
        <w:tabs>
          <w:tab w:val="left" w:pos="4667"/>
        </w:tabs>
        <w:spacing w:line="360" w:lineRule="auto"/>
        <w:ind w:left="567" w:right="567"/>
        <w:contextualSpacing/>
        <w:jc w:val="both"/>
        <w:rPr>
          <w:rFonts w:ascii="Palatino Linotype" w:hAnsi="Palatino Linotype" w:cs="Tahoma"/>
          <w:bCs/>
          <w:i/>
          <w:iCs/>
        </w:rPr>
      </w:pPr>
    </w:p>
    <w:p w14:paraId="57456D3D" w14:textId="77777777" w:rsidR="00EE4BC7" w:rsidRPr="00FA7BA6" w:rsidRDefault="00EE4BC7" w:rsidP="00FA7BA6">
      <w:pPr>
        <w:tabs>
          <w:tab w:val="left" w:pos="4667"/>
        </w:tabs>
        <w:spacing w:line="360" w:lineRule="auto"/>
        <w:ind w:left="567" w:right="567"/>
        <w:contextualSpacing/>
        <w:jc w:val="both"/>
        <w:rPr>
          <w:rFonts w:ascii="Palatino Linotype" w:hAnsi="Palatino Linotype" w:cs="Tahoma"/>
          <w:b/>
          <w:bCs/>
          <w:i/>
          <w:iCs/>
        </w:rPr>
      </w:pPr>
      <w:r w:rsidRPr="00FA7BA6">
        <w:rPr>
          <w:rFonts w:ascii="Palatino Linotype" w:hAnsi="Palatino Linotype" w:cs="Tahoma"/>
          <w:b/>
          <w:bCs/>
          <w:i/>
          <w:iCs/>
        </w:rPr>
        <w:t>“RAZONES O MOTIVOS DE LA INCONFORMIDAD</w:t>
      </w:r>
    </w:p>
    <w:p w14:paraId="1D7CACA8" w14:textId="54B13881" w:rsidR="00EE4BC7" w:rsidRPr="00FA7BA6" w:rsidRDefault="00FA7BA6" w:rsidP="00FA7BA6">
      <w:pPr>
        <w:spacing w:line="360" w:lineRule="auto"/>
        <w:ind w:left="567" w:right="567"/>
        <w:contextualSpacing/>
        <w:jc w:val="both"/>
        <w:rPr>
          <w:rFonts w:ascii="Palatino Linotype" w:hAnsi="Palatino Linotype"/>
          <w:i/>
          <w:iCs/>
          <w:lang w:eastAsia="es-MX"/>
        </w:rPr>
      </w:pPr>
      <w:r w:rsidRPr="00FA7BA6">
        <w:rPr>
          <w:rFonts w:ascii="Palatino Linotype" w:hAnsi="Palatino Linotype"/>
          <w:i/>
          <w:iCs/>
          <w:lang w:eastAsia="es-MX"/>
        </w:rPr>
        <w:t xml:space="preserve">NO ES LA INFORMACION QUE SOLICITE DEBERIAN SER MAS CONGRUENTES, </w:t>
      </w:r>
      <w:r w:rsidR="00DE4313" w:rsidRPr="00FA7BA6">
        <w:rPr>
          <w:rFonts w:ascii="Palatino Linotype" w:hAnsi="Palatino Linotype"/>
          <w:i/>
          <w:iCs/>
          <w:lang w:eastAsia="es-MX"/>
        </w:rPr>
        <w:t>PARTICULAR,</w:t>
      </w:r>
      <w:r w:rsidRPr="00FA7BA6">
        <w:rPr>
          <w:rFonts w:ascii="Palatino Linotype" w:hAnsi="Palatino Linotype"/>
          <w:i/>
          <w:iCs/>
          <w:lang w:eastAsia="es-MX"/>
        </w:rPr>
        <w:t xml:space="preserve"> PECULIAR EN LA SOLICTUD</w:t>
      </w:r>
      <w:r w:rsidR="00EE4BC7" w:rsidRPr="00FA7BA6">
        <w:rPr>
          <w:rFonts w:ascii="Palatino Linotype" w:hAnsi="Palatino Linotype"/>
          <w:i/>
          <w:iCs/>
          <w:color w:val="000000"/>
        </w:rPr>
        <w:t>.</w:t>
      </w:r>
      <w:r w:rsidR="00EE4BC7" w:rsidRPr="00FA7BA6">
        <w:rPr>
          <w:rFonts w:ascii="Palatino Linotype" w:hAnsi="Palatino Linotype" w:cs="Tahoma"/>
          <w:i/>
          <w:iCs/>
        </w:rPr>
        <w:t>” (Sic)</w:t>
      </w:r>
    </w:p>
    <w:p w14:paraId="52F8674C" w14:textId="77777777" w:rsidR="00EE4BC7" w:rsidRDefault="00EE4BC7" w:rsidP="00FA7BA6">
      <w:pPr>
        <w:spacing w:line="360" w:lineRule="auto"/>
        <w:ind w:right="-28"/>
        <w:contextualSpacing/>
        <w:jc w:val="both"/>
        <w:rPr>
          <w:rFonts w:ascii="Palatino Linotype" w:hAnsi="Palatino Linotype" w:cs="Tahoma"/>
          <w:b/>
          <w:sz w:val="22"/>
          <w:szCs w:val="22"/>
        </w:rPr>
      </w:pPr>
    </w:p>
    <w:p w14:paraId="1E9FA647" w14:textId="79199502" w:rsidR="00EE4BC7" w:rsidRPr="00ED7C1C" w:rsidRDefault="00FA7BA6" w:rsidP="00FA7BA6">
      <w:pPr>
        <w:spacing w:line="360" w:lineRule="auto"/>
        <w:ind w:right="-28"/>
        <w:contextualSpacing/>
        <w:jc w:val="both"/>
        <w:rPr>
          <w:rFonts w:ascii="Palatino Linotype" w:eastAsia="Batang" w:hAnsi="Palatino Linotype" w:cs="Tahoma"/>
          <w:b/>
          <w:bCs/>
          <w:sz w:val="22"/>
          <w:szCs w:val="22"/>
        </w:rPr>
      </w:pPr>
      <w:r>
        <w:rPr>
          <w:rFonts w:ascii="Palatino Linotype" w:hAnsi="Palatino Linotype" w:cs="Tahoma"/>
          <w:b/>
          <w:sz w:val="22"/>
          <w:szCs w:val="22"/>
        </w:rPr>
        <w:t>I</w:t>
      </w:r>
      <w:r w:rsidR="00EE4BC7" w:rsidRPr="00ED7C1C">
        <w:rPr>
          <w:rFonts w:ascii="Palatino Linotype" w:hAnsi="Palatino Linotype" w:cs="Tahoma"/>
          <w:b/>
          <w:sz w:val="22"/>
          <w:szCs w:val="22"/>
        </w:rPr>
        <w:t xml:space="preserve">V. </w:t>
      </w:r>
      <w:r w:rsidR="00EE4BC7" w:rsidRPr="00ED7C1C">
        <w:rPr>
          <w:rFonts w:ascii="Palatino Linotype" w:eastAsia="Batang" w:hAnsi="Palatino Linotype" w:cs="Tahoma"/>
          <w:b/>
          <w:bCs/>
          <w:sz w:val="22"/>
          <w:szCs w:val="22"/>
        </w:rPr>
        <w:t xml:space="preserve">Trámite del </w:t>
      </w:r>
      <w:r w:rsidR="00EE4BC7" w:rsidRPr="00ED7C1C">
        <w:rPr>
          <w:rFonts w:ascii="Palatino Linotype" w:hAnsi="Palatino Linotype" w:cs="Tahoma"/>
          <w:b/>
          <w:sz w:val="22"/>
          <w:szCs w:val="22"/>
        </w:rPr>
        <w:t xml:space="preserve">Recurso de Revisión </w:t>
      </w:r>
      <w:r w:rsidR="00EE4BC7" w:rsidRPr="00ED7C1C">
        <w:rPr>
          <w:rFonts w:ascii="Palatino Linotype" w:eastAsia="Batang" w:hAnsi="Palatino Linotype" w:cs="Tahoma"/>
          <w:b/>
          <w:bCs/>
          <w:sz w:val="22"/>
          <w:szCs w:val="22"/>
        </w:rPr>
        <w:t>ante el Instituto</w:t>
      </w:r>
    </w:p>
    <w:p w14:paraId="6DBAB932" w14:textId="77777777" w:rsidR="00EE4BC7" w:rsidRPr="00ED7C1C" w:rsidRDefault="00EE4BC7" w:rsidP="00FA7BA6">
      <w:pPr>
        <w:spacing w:line="360" w:lineRule="auto"/>
        <w:ind w:right="-28"/>
        <w:contextualSpacing/>
        <w:jc w:val="both"/>
        <w:rPr>
          <w:rFonts w:ascii="Palatino Linotype" w:eastAsia="Batang" w:hAnsi="Palatino Linotype" w:cs="Tahoma"/>
          <w:b/>
          <w:bCs/>
          <w:sz w:val="22"/>
          <w:szCs w:val="22"/>
        </w:rPr>
      </w:pPr>
    </w:p>
    <w:p w14:paraId="2F5FB757" w14:textId="5983565C" w:rsidR="00EE4BC7" w:rsidRPr="00ED7C1C" w:rsidRDefault="00EE4BC7" w:rsidP="00FA7BA6">
      <w:pPr>
        <w:spacing w:line="360" w:lineRule="auto"/>
        <w:ind w:right="-28"/>
        <w:contextualSpacing/>
        <w:jc w:val="both"/>
        <w:rPr>
          <w:rFonts w:ascii="Palatino Linotype" w:eastAsia="Calibri" w:hAnsi="Palatino Linotype" w:cs="Tahoma"/>
          <w:bCs/>
          <w:sz w:val="22"/>
          <w:szCs w:val="22"/>
          <w:lang w:eastAsia="en-US"/>
        </w:rPr>
      </w:pPr>
      <w:r w:rsidRPr="00ED7C1C">
        <w:rPr>
          <w:rFonts w:ascii="Palatino Linotype" w:eastAsia="Batang" w:hAnsi="Palatino Linotype" w:cs="Tahoma"/>
          <w:b/>
          <w:bCs/>
          <w:sz w:val="22"/>
          <w:szCs w:val="22"/>
        </w:rPr>
        <w:t xml:space="preserve">a) Turno del </w:t>
      </w:r>
      <w:r w:rsidRPr="00ED7C1C">
        <w:rPr>
          <w:rFonts w:ascii="Palatino Linotype" w:hAnsi="Palatino Linotype" w:cs="Tahoma"/>
          <w:b/>
          <w:sz w:val="22"/>
          <w:szCs w:val="22"/>
        </w:rPr>
        <w:t>Recurso de Revisión</w:t>
      </w:r>
      <w:r w:rsidRPr="00ED7C1C">
        <w:rPr>
          <w:rFonts w:ascii="Palatino Linotype" w:eastAsia="Batang" w:hAnsi="Palatino Linotype" w:cs="Tahoma"/>
          <w:b/>
          <w:bCs/>
          <w:sz w:val="22"/>
          <w:szCs w:val="22"/>
        </w:rPr>
        <w:t xml:space="preserve">. </w:t>
      </w:r>
      <w:r w:rsidRPr="00ED7C1C">
        <w:rPr>
          <w:rFonts w:ascii="Palatino Linotype" w:eastAsia="Batang" w:hAnsi="Palatino Linotype" w:cs="Tahoma"/>
          <w:bCs/>
          <w:sz w:val="22"/>
          <w:szCs w:val="22"/>
        </w:rPr>
        <w:t>El</w:t>
      </w:r>
      <w:r w:rsidR="00FA7BA6">
        <w:rPr>
          <w:rFonts w:ascii="Palatino Linotype" w:eastAsia="Batang" w:hAnsi="Palatino Linotype" w:cs="Tahoma"/>
          <w:bCs/>
          <w:sz w:val="22"/>
          <w:szCs w:val="22"/>
        </w:rPr>
        <w:t xml:space="preserve"> diecinueve</w:t>
      </w:r>
      <w:r>
        <w:rPr>
          <w:rFonts w:ascii="Palatino Linotype" w:eastAsia="Batang" w:hAnsi="Palatino Linotype" w:cs="Tahoma"/>
          <w:bCs/>
          <w:sz w:val="22"/>
          <w:szCs w:val="22"/>
        </w:rPr>
        <w:t xml:space="preserve"> de noviembre</w:t>
      </w:r>
      <w:r w:rsidRPr="00ED7C1C">
        <w:rPr>
          <w:rFonts w:ascii="Palatino Linotype" w:eastAsia="Batang" w:hAnsi="Palatino Linotype" w:cs="Tahoma"/>
          <w:bCs/>
          <w:sz w:val="22"/>
          <w:szCs w:val="22"/>
        </w:rPr>
        <w:t xml:space="preserve"> </w:t>
      </w:r>
      <w:r w:rsidRPr="00ED7C1C">
        <w:rPr>
          <w:rFonts w:ascii="Palatino Linotype" w:hAnsi="Palatino Linotype" w:cs="Tahoma"/>
          <w:sz w:val="22"/>
          <w:szCs w:val="22"/>
        </w:rPr>
        <w:t>de dos mil veinticuatro</w:t>
      </w:r>
      <w:r w:rsidRPr="00ED7C1C">
        <w:rPr>
          <w:rFonts w:ascii="Palatino Linotype" w:eastAsia="Batang" w:hAnsi="Palatino Linotype" w:cs="Tahoma"/>
          <w:bCs/>
          <w:sz w:val="22"/>
          <w:szCs w:val="22"/>
        </w:rPr>
        <w:t xml:space="preserve">, </w:t>
      </w:r>
      <w:r w:rsidRPr="00ED7C1C">
        <w:rPr>
          <w:rFonts w:ascii="Palatino Linotype" w:eastAsia="Calibri" w:hAnsi="Palatino Linotype" w:cs="Tahoma"/>
          <w:bCs/>
          <w:sz w:val="22"/>
          <w:szCs w:val="22"/>
          <w:lang w:eastAsia="en-US"/>
        </w:rPr>
        <w:t xml:space="preserve">el Sistema de Acceso a la Información Mexiquense (SAIMEX), asignó el número de expediente </w:t>
      </w:r>
      <w:r w:rsidRPr="00ED7C1C">
        <w:rPr>
          <w:rFonts w:ascii="Palatino Linotype" w:eastAsia="Calibri" w:hAnsi="Palatino Linotype" w:cs="Tahoma"/>
          <w:b/>
          <w:bCs/>
          <w:sz w:val="22"/>
          <w:szCs w:val="22"/>
          <w:lang w:eastAsia="en-US"/>
        </w:rPr>
        <w:t>0</w:t>
      </w:r>
      <w:r>
        <w:rPr>
          <w:rFonts w:ascii="Palatino Linotype" w:eastAsia="Calibri" w:hAnsi="Palatino Linotype" w:cs="Tahoma"/>
          <w:b/>
          <w:bCs/>
          <w:sz w:val="22"/>
          <w:szCs w:val="22"/>
          <w:lang w:eastAsia="en-US"/>
        </w:rPr>
        <w:t>7</w:t>
      </w:r>
      <w:r w:rsidR="00FA7BA6">
        <w:rPr>
          <w:rFonts w:ascii="Palatino Linotype" w:eastAsia="Calibri" w:hAnsi="Palatino Linotype" w:cs="Tahoma"/>
          <w:b/>
          <w:bCs/>
          <w:sz w:val="22"/>
          <w:szCs w:val="22"/>
          <w:lang w:eastAsia="en-US"/>
        </w:rPr>
        <w:t>25</w:t>
      </w:r>
      <w:r>
        <w:rPr>
          <w:rFonts w:ascii="Palatino Linotype" w:eastAsia="Calibri" w:hAnsi="Palatino Linotype" w:cs="Tahoma"/>
          <w:b/>
          <w:bCs/>
          <w:sz w:val="22"/>
          <w:szCs w:val="22"/>
          <w:lang w:eastAsia="en-US"/>
        </w:rPr>
        <w:t>6</w:t>
      </w:r>
      <w:r w:rsidRPr="00ED7C1C">
        <w:rPr>
          <w:rFonts w:ascii="Palatino Linotype" w:eastAsia="Calibri" w:hAnsi="Palatino Linotype" w:cs="Tahoma"/>
          <w:b/>
          <w:bCs/>
          <w:sz w:val="22"/>
          <w:szCs w:val="22"/>
          <w:lang w:eastAsia="en-US"/>
        </w:rPr>
        <w:t xml:space="preserve">/INFOEM/IP/RR/2024, </w:t>
      </w:r>
      <w:r w:rsidRPr="00ED7C1C">
        <w:rPr>
          <w:rFonts w:ascii="Palatino Linotype" w:eastAsia="Calibri" w:hAnsi="Palatino Linotype" w:cs="Tahoma"/>
          <w:bCs/>
          <w:sz w:val="22"/>
          <w:szCs w:val="22"/>
          <w:lang w:eastAsia="en-US"/>
        </w:rPr>
        <w:t xml:space="preserve">al Recurso de Revisión y lo turnó al Comisionado Ponente </w:t>
      </w:r>
      <w:r w:rsidRPr="00ED7C1C">
        <w:rPr>
          <w:rFonts w:ascii="Palatino Linotype" w:eastAsia="Calibri" w:hAnsi="Palatino Linotype" w:cs="Tahoma"/>
          <w:b/>
          <w:bCs/>
          <w:sz w:val="22"/>
          <w:szCs w:val="22"/>
          <w:lang w:eastAsia="en-US"/>
        </w:rPr>
        <w:t>Luis Gustavo Parra Noriega</w:t>
      </w:r>
      <w:r w:rsidRPr="00ED7C1C">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60947F8" w14:textId="77777777" w:rsidR="00EE4BC7" w:rsidRPr="00ED7C1C" w:rsidRDefault="00EE4BC7" w:rsidP="00FA7BA6">
      <w:pPr>
        <w:spacing w:line="360" w:lineRule="auto"/>
        <w:ind w:right="-28"/>
        <w:contextualSpacing/>
        <w:jc w:val="both"/>
        <w:rPr>
          <w:rFonts w:ascii="Palatino Linotype" w:eastAsia="Batang" w:hAnsi="Palatino Linotype" w:cs="Tahoma"/>
          <w:b/>
          <w:bCs/>
          <w:sz w:val="22"/>
          <w:szCs w:val="22"/>
        </w:rPr>
      </w:pPr>
    </w:p>
    <w:p w14:paraId="2D1AB3E3" w14:textId="7D176D10" w:rsidR="00EE4BC7" w:rsidRPr="00ED7C1C" w:rsidRDefault="00EE4BC7" w:rsidP="00FA7BA6">
      <w:pPr>
        <w:spacing w:line="360" w:lineRule="auto"/>
        <w:contextualSpacing/>
        <w:jc w:val="both"/>
        <w:rPr>
          <w:rFonts w:ascii="Palatino Linotype" w:hAnsi="Palatino Linotype" w:cs="Tahoma"/>
          <w:bCs/>
          <w:sz w:val="22"/>
          <w:szCs w:val="22"/>
        </w:rPr>
      </w:pPr>
      <w:r w:rsidRPr="00ED7C1C">
        <w:rPr>
          <w:rFonts w:ascii="Palatino Linotype" w:eastAsia="Batang" w:hAnsi="Palatino Linotype" w:cs="Tahoma"/>
          <w:b/>
          <w:bCs/>
          <w:sz w:val="22"/>
          <w:szCs w:val="22"/>
        </w:rPr>
        <w:t xml:space="preserve">b) Admisión del </w:t>
      </w:r>
      <w:r w:rsidRPr="00ED7C1C">
        <w:rPr>
          <w:rFonts w:ascii="Palatino Linotype" w:hAnsi="Palatino Linotype" w:cs="Tahoma"/>
          <w:b/>
          <w:sz w:val="22"/>
          <w:szCs w:val="22"/>
        </w:rPr>
        <w:t>Recurso de Revisión</w:t>
      </w:r>
      <w:r w:rsidRPr="00ED7C1C">
        <w:rPr>
          <w:rFonts w:ascii="Palatino Linotype" w:eastAsia="Batang" w:hAnsi="Palatino Linotype" w:cs="Tahoma"/>
          <w:b/>
          <w:bCs/>
          <w:sz w:val="22"/>
          <w:szCs w:val="22"/>
          <w:lang w:val="es-ES_tradnl"/>
        </w:rPr>
        <w:t xml:space="preserve">. </w:t>
      </w:r>
      <w:r w:rsidRPr="00ED7C1C">
        <w:rPr>
          <w:rFonts w:ascii="Palatino Linotype" w:eastAsia="Batang" w:hAnsi="Palatino Linotype" w:cs="Tahoma"/>
          <w:bCs/>
          <w:sz w:val="22"/>
          <w:szCs w:val="22"/>
          <w:lang w:val="es-ES_tradnl"/>
        </w:rPr>
        <w:t xml:space="preserve">El </w:t>
      </w:r>
      <w:r>
        <w:rPr>
          <w:rFonts w:ascii="Palatino Linotype" w:eastAsia="Batang" w:hAnsi="Palatino Linotype" w:cs="Tahoma"/>
          <w:bCs/>
          <w:sz w:val="22"/>
          <w:szCs w:val="22"/>
          <w:lang w:val="es-ES_tradnl"/>
        </w:rPr>
        <w:t>veinti</w:t>
      </w:r>
      <w:r w:rsidR="00FA7BA6">
        <w:rPr>
          <w:rFonts w:ascii="Palatino Linotype" w:eastAsia="Batang" w:hAnsi="Palatino Linotype" w:cs="Tahoma"/>
          <w:bCs/>
          <w:sz w:val="22"/>
          <w:szCs w:val="22"/>
          <w:lang w:val="es-ES_tradnl"/>
        </w:rPr>
        <w:t>dós</w:t>
      </w:r>
      <w:r>
        <w:rPr>
          <w:rFonts w:ascii="Palatino Linotype" w:eastAsia="Batang" w:hAnsi="Palatino Linotype" w:cs="Tahoma"/>
          <w:bCs/>
          <w:sz w:val="22"/>
          <w:szCs w:val="22"/>
          <w:lang w:val="es-ES_tradnl"/>
        </w:rPr>
        <w:t xml:space="preserve"> de noviembre</w:t>
      </w:r>
      <w:r w:rsidRPr="00ED7C1C">
        <w:rPr>
          <w:rFonts w:ascii="Palatino Linotype" w:eastAsia="Batang" w:hAnsi="Palatino Linotype" w:cs="Tahoma"/>
          <w:bCs/>
          <w:sz w:val="22"/>
          <w:szCs w:val="22"/>
          <w:lang w:val="es-ES_tradnl"/>
        </w:rPr>
        <w:t xml:space="preserv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Pr>
          <w:rFonts w:ascii="Palatino Linotype" w:eastAsia="Batang" w:hAnsi="Palatino Linotype" w:cs="Tahoma"/>
          <w:bCs/>
          <w:sz w:val="22"/>
          <w:szCs w:val="22"/>
          <w:lang w:val="es-ES_tradnl"/>
        </w:rPr>
        <w:t>mismo día</w:t>
      </w:r>
      <w:r w:rsidRPr="00ED7C1C">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7473C72E" w14:textId="77777777" w:rsidR="00EE4BC7" w:rsidRPr="00ED7C1C" w:rsidRDefault="00EE4BC7" w:rsidP="00FA7BA6">
      <w:pPr>
        <w:spacing w:line="360" w:lineRule="auto"/>
        <w:contextualSpacing/>
        <w:jc w:val="both"/>
        <w:rPr>
          <w:rFonts w:ascii="Palatino Linotype" w:hAnsi="Palatino Linotype" w:cs="Tahoma"/>
          <w:bCs/>
          <w:sz w:val="22"/>
          <w:szCs w:val="22"/>
        </w:rPr>
      </w:pPr>
    </w:p>
    <w:p w14:paraId="061DAC10" w14:textId="78073D77" w:rsidR="00FA7BA6" w:rsidRDefault="00FA7BA6" w:rsidP="00FA7BA6">
      <w:pPr>
        <w:autoSpaceDE w:val="0"/>
        <w:autoSpaceDN w:val="0"/>
        <w:adjustRightInd w:val="0"/>
        <w:spacing w:line="360" w:lineRule="auto"/>
        <w:contextualSpacing/>
        <w:jc w:val="both"/>
        <w:rPr>
          <w:rFonts w:ascii="Palatino Linotype" w:hAnsi="Palatino Linotype" w:cs="Tahoma"/>
          <w:sz w:val="22"/>
          <w:szCs w:val="22"/>
        </w:rPr>
      </w:pPr>
      <w:r>
        <w:rPr>
          <w:rFonts w:ascii="Palatino Linotype" w:eastAsia="Batang" w:hAnsi="Palatino Linotype" w:cs="Tahoma"/>
          <w:b/>
          <w:bCs/>
          <w:sz w:val="22"/>
          <w:szCs w:val="22"/>
        </w:rPr>
        <w:t xml:space="preserve">c) </w:t>
      </w:r>
      <w:r w:rsidRPr="005725F7">
        <w:rPr>
          <w:rFonts w:ascii="Palatino Linotype" w:eastAsia="Batang" w:hAnsi="Palatino Linotype" w:cs="Tahoma"/>
          <w:b/>
          <w:bCs/>
          <w:sz w:val="22"/>
          <w:szCs w:val="22"/>
        </w:rPr>
        <w:t xml:space="preserve">Informe Justificado. </w:t>
      </w:r>
      <w:r w:rsidRPr="005725F7">
        <w:rPr>
          <w:rFonts w:ascii="Palatino Linotype" w:eastAsia="Batang" w:hAnsi="Palatino Linotype" w:cs="Tahoma"/>
          <w:sz w:val="22"/>
          <w:szCs w:val="22"/>
        </w:rPr>
        <w:t xml:space="preserve">El </w:t>
      </w:r>
      <w:r>
        <w:rPr>
          <w:rFonts w:ascii="Palatino Linotype" w:eastAsia="Batang" w:hAnsi="Palatino Linotype" w:cs="Tahoma"/>
          <w:sz w:val="22"/>
          <w:szCs w:val="22"/>
        </w:rPr>
        <w:t>veintinueve de noviembre</w:t>
      </w:r>
      <w:r w:rsidRPr="005725F7">
        <w:rPr>
          <w:rFonts w:ascii="Palatino Linotype" w:eastAsia="Batang" w:hAnsi="Palatino Linotype" w:cs="Tahoma"/>
          <w:sz w:val="22"/>
          <w:szCs w:val="22"/>
        </w:rPr>
        <w:t xml:space="preserve"> de dos mil veinticuatro, se recibió, a través del Sistema de Acceso a la Información Mexiquense (SAIMEX), el Informe Justificado, </w:t>
      </w:r>
      <w:r w:rsidRPr="00ED7C1C">
        <w:rPr>
          <w:rFonts w:ascii="Palatino Linotype" w:hAnsi="Palatino Linotype" w:cs="Tahoma"/>
          <w:sz w:val="22"/>
          <w:szCs w:val="22"/>
        </w:rPr>
        <w:lastRenderedPageBreak/>
        <w:t>por medio de</w:t>
      </w:r>
      <w:r>
        <w:rPr>
          <w:rFonts w:ascii="Palatino Linotype" w:hAnsi="Palatino Linotype" w:cs="Tahoma"/>
          <w:sz w:val="22"/>
          <w:szCs w:val="22"/>
        </w:rPr>
        <w:t xml:space="preserve">l oficio número PMM/SA/712/NOV/2024 del veintisiete de noviembre de dos mil veinticuatro, suscrito por el Secretario del Ayuntamiento, dirigido al Titular de la Unidad de Información, Planeación, Programación, Evaluación, Transparencia y Acceso a la Información, a través del </w:t>
      </w:r>
      <w:r w:rsidRPr="006D4BF5">
        <w:rPr>
          <w:rFonts w:ascii="Palatino Linotype" w:hAnsi="Palatino Linotype" w:cs="Tahoma"/>
          <w:sz w:val="22"/>
          <w:szCs w:val="22"/>
        </w:rPr>
        <w:t>cual manifiesta y expone lo siguiente:</w:t>
      </w:r>
    </w:p>
    <w:p w14:paraId="1E81DE49" w14:textId="77777777" w:rsidR="00FA7BA6" w:rsidRDefault="00FA7BA6" w:rsidP="00FA7BA6">
      <w:pPr>
        <w:autoSpaceDE w:val="0"/>
        <w:autoSpaceDN w:val="0"/>
        <w:adjustRightInd w:val="0"/>
        <w:spacing w:line="360" w:lineRule="auto"/>
        <w:contextualSpacing/>
        <w:jc w:val="both"/>
        <w:rPr>
          <w:rFonts w:ascii="Palatino Linotype" w:hAnsi="Palatino Linotype" w:cs="Tahoma"/>
          <w:sz w:val="22"/>
          <w:szCs w:val="22"/>
        </w:rPr>
      </w:pPr>
    </w:p>
    <w:p w14:paraId="6D459CE2" w14:textId="66A6E292"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cs="Tahoma"/>
          <w:i/>
          <w:iCs/>
        </w:rPr>
      </w:pPr>
      <w:r w:rsidRPr="00FA7BA6">
        <w:rPr>
          <w:rFonts w:ascii="Palatino Linotype" w:hAnsi="Palatino Linotype" w:cs="Tahoma"/>
          <w:i/>
          <w:iCs/>
        </w:rPr>
        <w:t>“…</w:t>
      </w:r>
    </w:p>
    <w:p w14:paraId="0EC479D0" w14:textId="5C06A398"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i/>
          <w:iCs/>
          <w:color w:val="000000" w:themeColor="text1"/>
        </w:rPr>
      </w:pPr>
      <w:r w:rsidRPr="00FA7BA6">
        <w:rPr>
          <w:rFonts w:ascii="Palatino Linotype" w:hAnsi="Palatino Linotype" w:cs="Tahoma"/>
          <w:i/>
          <w:iCs/>
        </w:rPr>
        <w:t xml:space="preserve">Que, como se manifestó en la contestación con el oficio PMM/SA/683/NOV/2024, la solicitud </w:t>
      </w:r>
      <w:r w:rsidRPr="00FA7BA6">
        <w:rPr>
          <w:rFonts w:ascii="Palatino Linotype" w:hAnsi="Palatino Linotype"/>
          <w:i/>
          <w:iCs/>
          <w:color w:val="000000" w:themeColor="text1"/>
        </w:rPr>
        <w:t xml:space="preserve">00140/MEXICAL/IP/2024, no menciona la información solicitada, o el volumen en copias simples, ya que </w:t>
      </w:r>
      <w:r w:rsidRPr="00C96C84">
        <w:rPr>
          <w:rFonts w:ascii="Palatino Linotype" w:hAnsi="Palatino Linotype"/>
          <w:b/>
          <w:i/>
          <w:iCs/>
          <w:color w:val="000000" w:themeColor="text1"/>
        </w:rPr>
        <w:t xml:space="preserve">de acuerdo al artículo 174, último párrafo, de la Ley de Transparencia y Acceso a la Información del Estado de México y Municipios, que a la letra dice: La información deberá ser entregada sin costo, cuando implique la entrega de no </w:t>
      </w:r>
      <w:r w:rsidR="00DE4313" w:rsidRPr="00C96C84">
        <w:rPr>
          <w:rFonts w:ascii="Palatino Linotype" w:hAnsi="Palatino Linotype"/>
          <w:b/>
          <w:i/>
          <w:iCs/>
          <w:color w:val="000000" w:themeColor="text1"/>
        </w:rPr>
        <w:t>más</w:t>
      </w:r>
      <w:r w:rsidRPr="00C96C84">
        <w:rPr>
          <w:rFonts w:ascii="Palatino Linotype" w:hAnsi="Palatino Linotype"/>
          <w:b/>
          <w:i/>
          <w:iCs/>
          <w:color w:val="000000" w:themeColor="text1"/>
        </w:rPr>
        <w:t xml:space="preserve"> de veinte hojas simples</w:t>
      </w:r>
      <w:r w:rsidRPr="00FA7BA6">
        <w:rPr>
          <w:rFonts w:ascii="Palatino Linotype" w:hAnsi="Palatino Linotype"/>
          <w:i/>
          <w:iCs/>
          <w:color w:val="000000" w:themeColor="text1"/>
        </w:rPr>
        <w:t>…., por lo que, nos encontramos en estado de indefensión jurídica al carecer de mayor información para dar contestación con exactitud a la solicitud de información que refiere.</w:t>
      </w:r>
    </w:p>
    <w:p w14:paraId="6A5C7634" w14:textId="77777777"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i/>
          <w:iCs/>
          <w:color w:val="000000" w:themeColor="text1"/>
        </w:rPr>
      </w:pPr>
    </w:p>
    <w:p w14:paraId="5596C4FD" w14:textId="07CA0AA2"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i/>
          <w:iCs/>
          <w:color w:val="000000" w:themeColor="text1"/>
        </w:rPr>
      </w:pPr>
      <w:r w:rsidRPr="00FA7BA6">
        <w:rPr>
          <w:rFonts w:ascii="Palatino Linotype" w:hAnsi="Palatino Linotype"/>
          <w:i/>
          <w:iCs/>
          <w:color w:val="000000" w:themeColor="text1"/>
        </w:rPr>
        <w:t>Así mismo, he de mencionar que el secretario y el Contralor no tiene facultad para realzar cobros, solo general la orden de pago y el pago que se debe realizar en la Tesorería Municipal.</w:t>
      </w:r>
    </w:p>
    <w:p w14:paraId="330F6406" w14:textId="5FF593DA" w:rsidR="00FA7BA6" w:rsidRPr="00FA7BA6" w:rsidRDefault="00FA7BA6" w:rsidP="00FA7BA6">
      <w:pPr>
        <w:autoSpaceDE w:val="0"/>
        <w:autoSpaceDN w:val="0"/>
        <w:adjustRightInd w:val="0"/>
        <w:spacing w:line="360" w:lineRule="auto"/>
        <w:ind w:left="567" w:right="567"/>
        <w:contextualSpacing/>
        <w:jc w:val="both"/>
        <w:rPr>
          <w:rFonts w:ascii="Palatino Linotype" w:hAnsi="Palatino Linotype" w:cs="Tahoma"/>
          <w:i/>
          <w:iCs/>
        </w:rPr>
      </w:pPr>
      <w:r w:rsidRPr="00FA7BA6">
        <w:rPr>
          <w:rFonts w:ascii="Palatino Linotype" w:hAnsi="Palatino Linotype"/>
          <w:i/>
          <w:iCs/>
          <w:color w:val="000000" w:themeColor="text1"/>
        </w:rPr>
        <w:t>…”</w:t>
      </w:r>
    </w:p>
    <w:p w14:paraId="45BDE512" w14:textId="77777777" w:rsidR="00EE4BC7" w:rsidRDefault="00EE4BC7" w:rsidP="00FA7BA6">
      <w:pPr>
        <w:autoSpaceDE w:val="0"/>
        <w:autoSpaceDN w:val="0"/>
        <w:adjustRightInd w:val="0"/>
        <w:spacing w:line="360" w:lineRule="auto"/>
        <w:contextualSpacing/>
        <w:jc w:val="both"/>
        <w:rPr>
          <w:rFonts w:ascii="Palatino Linotype" w:hAnsi="Palatino Linotype" w:cs="Tahoma"/>
          <w:bCs/>
          <w:sz w:val="22"/>
          <w:szCs w:val="22"/>
        </w:rPr>
      </w:pPr>
    </w:p>
    <w:p w14:paraId="2109B49D" w14:textId="630E1142" w:rsidR="00EE4BC7" w:rsidRPr="0075643B" w:rsidRDefault="00EE4BC7" w:rsidP="00FA7BA6">
      <w:pPr>
        <w:autoSpaceDE w:val="0"/>
        <w:autoSpaceDN w:val="0"/>
        <w:adjustRightInd w:val="0"/>
        <w:spacing w:line="360" w:lineRule="auto"/>
        <w:contextualSpacing/>
        <w:jc w:val="both"/>
        <w:rPr>
          <w:rFonts w:ascii="Palatino Linotype" w:hAnsi="Palatino Linotype" w:cs="Tahoma"/>
          <w:b/>
          <w:bCs/>
          <w:sz w:val="22"/>
          <w:szCs w:val="22"/>
        </w:rPr>
      </w:pPr>
      <w:r>
        <w:rPr>
          <w:rFonts w:ascii="Palatino Linotype" w:hAnsi="Palatino Linotype" w:cs="Tahoma"/>
          <w:b/>
          <w:bCs/>
          <w:sz w:val="22"/>
          <w:szCs w:val="22"/>
        </w:rPr>
        <w:t>d</w:t>
      </w:r>
      <w:r w:rsidRPr="003859CF">
        <w:rPr>
          <w:rFonts w:ascii="Palatino Linotype" w:hAnsi="Palatino Linotype" w:cs="Tahoma"/>
          <w:b/>
          <w:bCs/>
          <w:sz w:val="22"/>
          <w:szCs w:val="22"/>
        </w:rPr>
        <w:t xml:space="preserve">) </w:t>
      </w:r>
      <w:r w:rsidRPr="00C07406">
        <w:rPr>
          <w:rFonts w:ascii="Palatino Linotype" w:hAnsi="Palatino Linotype" w:cs="Tahoma"/>
          <w:b/>
          <w:sz w:val="22"/>
          <w:szCs w:val="22"/>
        </w:rPr>
        <w:t>Cierre de instrucción.</w:t>
      </w:r>
      <w:r w:rsidRPr="00D47A95">
        <w:rPr>
          <w:rFonts w:ascii="Palatino Linotype" w:hAnsi="Palatino Linotype" w:cs="Tahoma"/>
          <w:b/>
          <w:sz w:val="22"/>
          <w:szCs w:val="22"/>
        </w:rPr>
        <w:t xml:space="preserve"> </w:t>
      </w:r>
      <w:r>
        <w:rPr>
          <w:rFonts w:ascii="Palatino Linotype" w:hAnsi="Palatino Linotype" w:cs="Tahoma"/>
          <w:sz w:val="22"/>
          <w:szCs w:val="22"/>
        </w:rPr>
        <w:t xml:space="preserve">El </w:t>
      </w:r>
      <w:r w:rsidR="00983851">
        <w:rPr>
          <w:rFonts w:ascii="Palatino Linotype" w:hAnsi="Palatino Linotype" w:cs="Tahoma"/>
          <w:sz w:val="22"/>
          <w:szCs w:val="22"/>
        </w:rPr>
        <w:t>diez</w:t>
      </w:r>
      <w:r w:rsidR="00FA7BA6">
        <w:rPr>
          <w:rFonts w:ascii="Palatino Linotype" w:hAnsi="Palatino Linotype" w:cs="Tahoma"/>
          <w:sz w:val="22"/>
          <w:szCs w:val="22"/>
        </w:rPr>
        <w:t xml:space="preserve"> </w:t>
      </w:r>
      <w:r>
        <w:rPr>
          <w:rFonts w:ascii="Palatino Linotype" w:hAnsi="Palatino Linotype" w:cs="Tahoma"/>
          <w:sz w:val="22"/>
          <w:szCs w:val="22"/>
        </w:rPr>
        <w:t>de diciembre de dos mil veinticuatro</w:t>
      </w:r>
      <w:r w:rsidRPr="00532FC1">
        <w:rPr>
          <w:rFonts w:ascii="Palatino Linotype" w:hAnsi="Palatino Linotype" w:cs="Tahoma"/>
          <w:sz w:val="22"/>
          <w:szCs w:val="22"/>
        </w:rPr>
        <w:t>, al</w:t>
      </w:r>
      <w:r w:rsidRPr="00D47A95">
        <w:rPr>
          <w:rFonts w:ascii="Palatino Linotype" w:hAnsi="Palatino Linotype" w:cs="Tahoma"/>
          <w:sz w:val="22"/>
          <w:szCs w:val="22"/>
        </w:rPr>
        <w:t xml:space="preserve">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Pr="00D47A95">
        <w:rPr>
          <w:rFonts w:ascii="Palatino Linotype" w:hAnsi="Palatino Linotype" w:cs="Tahoma"/>
          <w:sz w:val="22"/>
          <w:szCs w:val="22"/>
          <w:lang w:val="es-ES"/>
        </w:rPr>
        <w:t>Sistema de Acceso a la Información Mexiquense (SAIMEX)</w:t>
      </w:r>
      <w:r w:rsidRPr="00D47A95">
        <w:rPr>
          <w:rFonts w:ascii="Palatino Linotype" w:hAnsi="Palatino Linotype" w:cs="Tahoma"/>
          <w:sz w:val="22"/>
          <w:szCs w:val="22"/>
        </w:rPr>
        <w:t>.</w:t>
      </w:r>
    </w:p>
    <w:p w14:paraId="0C62B30B" w14:textId="77777777" w:rsidR="00EE4BC7" w:rsidRPr="00ED7C1C" w:rsidRDefault="00EE4BC7" w:rsidP="00FA7BA6">
      <w:pPr>
        <w:spacing w:line="360" w:lineRule="auto"/>
        <w:ind w:right="-28"/>
        <w:contextualSpacing/>
        <w:jc w:val="both"/>
        <w:rPr>
          <w:rFonts w:ascii="Palatino Linotype" w:hAnsi="Palatino Linotype" w:cs="Tahoma"/>
          <w:sz w:val="22"/>
          <w:szCs w:val="22"/>
          <w:lang w:val="es-ES"/>
        </w:rPr>
      </w:pPr>
    </w:p>
    <w:p w14:paraId="417B75D4" w14:textId="77777777" w:rsidR="00EE4BC7" w:rsidRDefault="00EE4BC7" w:rsidP="00FA7BA6">
      <w:pPr>
        <w:spacing w:line="360" w:lineRule="auto"/>
        <w:ind w:right="-28"/>
        <w:contextualSpacing/>
        <w:jc w:val="both"/>
        <w:rPr>
          <w:rFonts w:ascii="Palatino Linotype" w:hAnsi="Palatino Linotype" w:cs="Tahoma"/>
          <w:color w:val="000000"/>
          <w:sz w:val="22"/>
          <w:szCs w:val="22"/>
        </w:rPr>
      </w:pPr>
      <w:r w:rsidRPr="00ED7C1C">
        <w:rPr>
          <w:rFonts w:ascii="Palatino Linotype" w:hAnsi="Palatino Linotype" w:cs="Tahoma"/>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14:paraId="7E8EB489" w14:textId="77777777" w:rsidR="00EF7206" w:rsidRPr="00ED7C1C" w:rsidRDefault="00EF7206" w:rsidP="00FA7BA6">
      <w:pPr>
        <w:spacing w:line="360" w:lineRule="auto"/>
        <w:ind w:right="-28"/>
        <w:contextualSpacing/>
        <w:jc w:val="both"/>
        <w:rPr>
          <w:rFonts w:ascii="Palatino Linotype" w:hAnsi="Palatino Linotype" w:cs="Tahoma"/>
          <w:color w:val="000000"/>
          <w:sz w:val="22"/>
          <w:szCs w:val="22"/>
        </w:rPr>
      </w:pPr>
    </w:p>
    <w:p w14:paraId="38640EC6" w14:textId="77777777" w:rsidR="00EE4BC7" w:rsidRPr="00ED7C1C" w:rsidRDefault="00EE4BC7" w:rsidP="00FA7BA6">
      <w:pPr>
        <w:spacing w:line="360" w:lineRule="auto"/>
        <w:ind w:right="-28"/>
        <w:contextualSpacing/>
        <w:jc w:val="center"/>
        <w:rPr>
          <w:rFonts w:ascii="Palatino Linotype" w:hAnsi="Palatino Linotype" w:cs="Tahoma"/>
          <w:b/>
          <w:sz w:val="22"/>
          <w:szCs w:val="22"/>
          <w:lang w:val="es-ES"/>
        </w:rPr>
      </w:pPr>
      <w:r w:rsidRPr="00ED7C1C">
        <w:rPr>
          <w:rFonts w:ascii="Palatino Linotype" w:hAnsi="Palatino Linotype" w:cs="Tahoma"/>
          <w:b/>
          <w:sz w:val="22"/>
          <w:szCs w:val="22"/>
          <w:lang w:val="es-ES"/>
        </w:rPr>
        <w:t>C O N S I D E R A N D O S</w:t>
      </w:r>
    </w:p>
    <w:p w14:paraId="719783B7" w14:textId="77777777" w:rsidR="00EE4BC7" w:rsidRPr="00ED7C1C" w:rsidRDefault="00EE4BC7" w:rsidP="00FA7BA6">
      <w:pPr>
        <w:spacing w:line="360" w:lineRule="auto"/>
        <w:ind w:right="-28"/>
        <w:contextualSpacing/>
        <w:jc w:val="center"/>
        <w:rPr>
          <w:rFonts w:ascii="Palatino Linotype" w:hAnsi="Palatino Linotype" w:cs="Tahoma"/>
          <w:b/>
          <w:sz w:val="22"/>
          <w:szCs w:val="22"/>
          <w:lang w:val="es-ES"/>
        </w:rPr>
      </w:pPr>
    </w:p>
    <w:p w14:paraId="5CA4EFC0" w14:textId="77777777" w:rsidR="00EE4BC7" w:rsidRPr="00ED7C1C" w:rsidRDefault="00EE4BC7" w:rsidP="00FA7BA6">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ED7C1C">
        <w:rPr>
          <w:rFonts w:ascii="Palatino Linotype" w:eastAsia="Calibri" w:hAnsi="Palatino Linotype" w:cs="Tahoma"/>
          <w:b/>
          <w:color w:val="000000"/>
          <w:sz w:val="22"/>
          <w:szCs w:val="22"/>
          <w:lang w:val="es-ES" w:eastAsia="es-MX"/>
        </w:rPr>
        <w:t>PRIMERO</w:t>
      </w:r>
      <w:r w:rsidRPr="00ED7C1C">
        <w:rPr>
          <w:rFonts w:ascii="Palatino Linotype" w:eastAsia="Calibri" w:hAnsi="Palatino Linotype" w:cs="Tahoma"/>
          <w:color w:val="000000"/>
          <w:sz w:val="22"/>
          <w:szCs w:val="22"/>
          <w:lang w:val="es-ES" w:eastAsia="es-MX"/>
        </w:rPr>
        <w:t xml:space="preserve">. </w:t>
      </w:r>
      <w:r w:rsidRPr="00ED7C1C">
        <w:rPr>
          <w:rFonts w:ascii="Palatino Linotype" w:hAnsi="Palatino Linotype" w:cs="Tahoma"/>
          <w:b/>
          <w:sz w:val="22"/>
          <w:szCs w:val="22"/>
          <w:lang w:val="es-ES"/>
        </w:rPr>
        <w:t>Competencia</w:t>
      </w:r>
    </w:p>
    <w:p w14:paraId="3E8E84B9" w14:textId="77777777" w:rsidR="00EE4BC7" w:rsidRPr="00ED7C1C" w:rsidRDefault="00EE4BC7" w:rsidP="00FA7BA6">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7C867D3A" w14:textId="77777777" w:rsidR="00EE4BC7" w:rsidRPr="00ED7C1C" w:rsidRDefault="00EE4BC7" w:rsidP="00FA7BA6">
      <w:pPr>
        <w:spacing w:line="360" w:lineRule="auto"/>
        <w:ind w:right="-28"/>
        <w:contextualSpacing/>
        <w:jc w:val="both"/>
        <w:rPr>
          <w:rFonts w:ascii="Palatino Linotype" w:hAnsi="Palatino Linotype" w:cs="Tahoma"/>
          <w:color w:val="000000"/>
          <w:sz w:val="22"/>
          <w:szCs w:val="22"/>
        </w:rPr>
      </w:pPr>
      <w:r w:rsidRPr="00ED7C1C">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D7C1C">
        <w:rPr>
          <w:color w:val="000000"/>
        </w:rPr>
        <w:t xml:space="preserve"> 7°, </w:t>
      </w:r>
      <w:r w:rsidRPr="00ED7C1C">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4E7F19F9" w14:textId="77777777" w:rsidR="00EE4BC7" w:rsidRPr="00ED7C1C" w:rsidRDefault="00EE4BC7" w:rsidP="00FA7BA6">
      <w:pPr>
        <w:spacing w:line="360" w:lineRule="auto"/>
        <w:ind w:right="-28"/>
        <w:contextualSpacing/>
        <w:jc w:val="both"/>
        <w:rPr>
          <w:rFonts w:ascii="Palatino Linotype" w:hAnsi="Palatino Linotype" w:cs="Tahoma"/>
          <w:color w:val="000000"/>
          <w:sz w:val="22"/>
          <w:szCs w:val="22"/>
        </w:rPr>
      </w:pPr>
    </w:p>
    <w:p w14:paraId="7D1441B1" w14:textId="77777777" w:rsidR="00EE4BC7" w:rsidRPr="00ED7C1C" w:rsidRDefault="00EE4BC7" w:rsidP="00FA7BA6">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ED7C1C">
        <w:rPr>
          <w:rFonts w:ascii="Palatino Linotype" w:eastAsia="Calibri" w:hAnsi="Palatino Linotype" w:cs="Tahoma"/>
          <w:b/>
          <w:color w:val="000000"/>
          <w:sz w:val="22"/>
          <w:szCs w:val="22"/>
          <w:lang w:val="es-ES" w:eastAsia="es-MX"/>
        </w:rPr>
        <w:t>SEGUNDO. Causales de improcedencia y sobreseimiento</w:t>
      </w:r>
    </w:p>
    <w:p w14:paraId="0D291425" w14:textId="77777777" w:rsidR="00EE4BC7" w:rsidRPr="00ED7C1C" w:rsidRDefault="00EE4BC7" w:rsidP="00FA7BA6">
      <w:pPr>
        <w:autoSpaceDE w:val="0"/>
        <w:autoSpaceDN w:val="0"/>
        <w:adjustRightInd w:val="0"/>
        <w:spacing w:line="360" w:lineRule="auto"/>
        <w:contextualSpacing/>
        <w:jc w:val="both"/>
        <w:rPr>
          <w:rFonts w:ascii="Palatino Linotype" w:hAnsi="Palatino Linotype" w:cs="Tahoma"/>
          <w:sz w:val="22"/>
          <w:szCs w:val="22"/>
          <w:lang w:val="es-ES"/>
        </w:rPr>
      </w:pPr>
    </w:p>
    <w:p w14:paraId="7BF69832" w14:textId="77777777" w:rsidR="00EE4BC7" w:rsidRDefault="00EE4BC7" w:rsidP="00FA7BA6">
      <w:pPr>
        <w:autoSpaceDE w:val="0"/>
        <w:autoSpaceDN w:val="0"/>
        <w:adjustRightInd w:val="0"/>
        <w:spacing w:line="360" w:lineRule="auto"/>
        <w:contextualSpacing/>
        <w:jc w:val="both"/>
        <w:rPr>
          <w:rFonts w:ascii="Palatino Linotype" w:hAnsi="Palatino Linotype" w:cs="Tahoma"/>
          <w:sz w:val="22"/>
          <w:szCs w:val="22"/>
          <w:lang w:val="es-ES"/>
        </w:rPr>
      </w:pPr>
      <w:r w:rsidRPr="00ED7C1C">
        <w:rPr>
          <w:rFonts w:ascii="Palatino Linotype" w:hAnsi="Palatino Linotype" w:cs="Tahoma"/>
          <w:sz w:val="22"/>
          <w:szCs w:val="22"/>
          <w:lang w:val="es-ES"/>
        </w:rPr>
        <w:t xml:space="preserve">De las constancias que forma parte del Recurso de Revisión que se analiza, se advierte que previo al estudio del fondo de la </w:t>
      </w:r>
      <w:r w:rsidRPr="00ED7C1C">
        <w:rPr>
          <w:rFonts w:ascii="Palatino Linotype" w:hAnsi="Palatino Linotype" w:cs="Tahoma"/>
          <w:i/>
          <w:sz w:val="22"/>
          <w:szCs w:val="22"/>
          <w:lang w:val="es-ES"/>
        </w:rPr>
        <w:t>litis</w:t>
      </w:r>
      <w:r w:rsidRPr="00ED7C1C">
        <w:rPr>
          <w:rFonts w:ascii="Palatino Linotype" w:hAnsi="Palatino Linotype" w:cs="Tahoma"/>
          <w:sz w:val="22"/>
          <w:szCs w:val="22"/>
          <w:lang w:val="es-ES"/>
        </w:rPr>
        <w:t>, es necesario estudiar las causales de improcedencia, para determ</w:t>
      </w:r>
      <w:r>
        <w:rPr>
          <w:rFonts w:ascii="Palatino Linotype" w:hAnsi="Palatino Linotype" w:cs="Tahoma"/>
          <w:sz w:val="22"/>
          <w:szCs w:val="22"/>
          <w:lang w:val="es-ES"/>
        </w:rPr>
        <w:t>inar lo que en Derecho proceda.</w:t>
      </w:r>
    </w:p>
    <w:p w14:paraId="3E399E51" w14:textId="77777777" w:rsidR="00EE4BC7" w:rsidRPr="009879E2" w:rsidRDefault="00EE4BC7" w:rsidP="00FA7BA6">
      <w:pPr>
        <w:autoSpaceDE w:val="0"/>
        <w:autoSpaceDN w:val="0"/>
        <w:adjustRightInd w:val="0"/>
        <w:spacing w:line="360" w:lineRule="auto"/>
        <w:contextualSpacing/>
        <w:jc w:val="both"/>
        <w:rPr>
          <w:rFonts w:ascii="Palatino Linotype" w:hAnsi="Palatino Linotype" w:cs="Tahoma"/>
          <w:sz w:val="22"/>
          <w:szCs w:val="22"/>
          <w:lang w:val="es-ES"/>
        </w:rPr>
      </w:pPr>
    </w:p>
    <w:p w14:paraId="437B4F7C" w14:textId="77777777" w:rsidR="00EE4BC7" w:rsidRPr="00ED7C1C" w:rsidRDefault="00EE4BC7" w:rsidP="00FA7BA6">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ED7C1C">
        <w:rPr>
          <w:rFonts w:ascii="Palatino Linotype" w:eastAsia="Calibri" w:hAnsi="Palatino Linotype" w:cs="Tahoma"/>
          <w:b/>
          <w:color w:val="000000"/>
          <w:sz w:val="22"/>
          <w:szCs w:val="22"/>
          <w:lang w:val="es-ES" w:eastAsia="es-MX"/>
        </w:rPr>
        <w:t>Causales de improcedencia</w:t>
      </w:r>
    </w:p>
    <w:p w14:paraId="6CA51B84" w14:textId="77777777" w:rsidR="00EE4BC7" w:rsidRPr="00ED7C1C" w:rsidRDefault="00EE4BC7" w:rsidP="00FA7BA6">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151D7E22" w14:textId="77777777" w:rsidR="00EE4BC7" w:rsidRPr="00ED7C1C" w:rsidRDefault="00EE4BC7" w:rsidP="00FA7BA6">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ED7C1C">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77C967A" w14:textId="77777777" w:rsidR="00EE4BC7" w:rsidRPr="00ED7C1C" w:rsidRDefault="00EE4BC7" w:rsidP="00FA7BA6">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71A57BAB" w14:textId="77777777" w:rsidR="00EE4BC7" w:rsidRPr="00ED7C1C" w:rsidRDefault="00EE4BC7" w:rsidP="00FA7BA6">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ED7C1C">
        <w:rPr>
          <w:rFonts w:ascii="Palatino Linotype" w:hAnsi="Palatino Linotype" w:cs="Tahoma"/>
          <w:sz w:val="22"/>
          <w:szCs w:val="24"/>
        </w:rPr>
        <w:t>En el presente caso, </w:t>
      </w:r>
      <w:r w:rsidRPr="00ED7C1C">
        <w:rPr>
          <w:rFonts w:ascii="Palatino Linotype" w:hAnsi="Palatino Linotype" w:cs="Tahoma"/>
          <w:b/>
          <w:bCs/>
          <w:sz w:val="22"/>
          <w:szCs w:val="24"/>
        </w:rPr>
        <w:t>no se actualiza ninguna de las causales de improcedencia</w:t>
      </w:r>
      <w:r w:rsidRPr="00ED7C1C">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ED7C1C">
        <w:rPr>
          <w:rFonts w:ascii="Palatino Linotype" w:hAnsi="Palatino Linotype" w:cs="Tahoma"/>
          <w:sz w:val="22"/>
          <w:szCs w:val="22"/>
          <w:lang w:val="es-ES"/>
        </w:rPr>
        <w:t xml:space="preserve">además de que </w:t>
      </w:r>
      <w:r w:rsidRPr="00ED7C1C">
        <w:rPr>
          <w:rFonts w:ascii="Palatino Linotype" w:eastAsia="Calibri" w:hAnsi="Palatino Linotype" w:cs="Tahoma"/>
          <w:color w:val="000000"/>
          <w:sz w:val="22"/>
          <w:szCs w:val="22"/>
          <w:lang w:val="es-ES" w:eastAsia="es-MX"/>
        </w:rPr>
        <w:t>el medio de impugnación fue presentado en tiempo.</w:t>
      </w:r>
    </w:p>
    <w:p w14:paraId="7486358C" w14:textId="77777777" w:rsidR="00EE4BC7" w:rsidRPr="00ED7C1C" w:rsidRDefault="00EE4BC7" w:rsidP="00FA7BA6">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5BC12163" w14:textId="0DAF2384" w:rsidR="00EE4BC7" w:rsidRDefault="00EE4BC7" w:rsidP="00FA7BA6">
      <w:pPr>
        <w:widowControl w:val="0"/>
        <w:spacing w:line="360" w:lineRule="auto"/>
        <w:contextualSpacing/>
        <w:jc w:val="both"/>
        <w:rPr>
          <w:rFonts w:ascii="Palatino Linotype" w:hAnsi="Palatino Linotype"/>
          <w:color w:val="222222"/>
        </w:rPr>
      </w:pPr>
      <w:r>
        <w:rPr>
          <w:rFonts w:ascii="Palatino Linotype" w:hAnsi="Palatino Linotype" w:cs="Tahoma"/>
          <w:sz w:val="22"/>
          <w:szCs w:val="22"/>
        </w:rPr>
        <w:t>Asimismo, se actualiza la causal de procedencia del Recurso de Revisión señalada</w:t>
      </w:r>
      <w:r w:rsidR="00983851">
        <w:rPr>
          <w:rFonts w:ascii="Palatino Linotype" w:hAnsi="Palatino Linotype" w:cs="Tahoma"/>
          <w:sz w:val="22"/>
          <w:szCs w:val="22"/>
        </w:rPr>
        <w:t xml:space="preserve"> en el artículo 179, fracción VI</w:t>
      </w:r>
      <w:r>
        <w:rPr>
          <w:rFonts w:ascii="Palatino Linotype" w:hAnsi="Palatino Linotype" w:cs="Tahoma"/>
          <w:sz w:val="22"/>
          <w:szCs w:val="22"/>
        </w:rPr>
        <w:t xml:space="preserve">, de la Ley en cita, </w:t>
      </w:r>
      <w:r>
        <w:rPr>
          <w:rFonts w:ascii="Palatino Linotype" w:eastAsia="Calibri" w:hAnsi="Palatino Linotype" w:cs="Tahoma"/>
          <w:color w:val="000000"/>
          <w:sz w:val="22"/>
          <w:szCs w:val="22"/>
          <w:lang w:eastAsia="es-MX"/>
        </w:rPr>
        <w:t xml:space="preserve">pues el Recurrente se inconformó con </w:t>
      </w:r>
      <w:r>
        <w:rPr>
          <w:rFonts w:ascii="Palatino Linotype" w:hAnsi="Palatino Linotype" w:cs="Tahoma"/>
          <w:sz w:val="22"/>
          <w:szCs w:val="22"/>
        </w:rPr>
        <w:t>la entrega de información que no corresponde con lo solicitado.</w:t>
      </w:r>
    </w:p>
    <w:p w14:paraId="1B2AB19A" w14:textId="77777777" w:rsidR="00EE4BC7" w:rsidRPr="00ED7C1C" w:rsidRDefault="00EE4BC7" w:rsidP="00FA7BA6">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4FEC243B" w14:textId="79146A3E" w:rsidR="00EE4BC7" w:rsidRPr="006462A8" w:rsidRDefault="00880140" w:rsidP="00FA7BA6">
      <w:pPr>
        <w:spacing w:line="360" w:lineRule="auto"/>
        <w:contextualSpacing/>
        <w:jc w:val="both"/>
        <w:rPr>
          <w:rFonts w:ascii="Palatino Linotype" w:hAnsi="Palatino Linotype" w:cs="Tahoma"/>
          <w:sz w:val="22"/>
          <w:szCs w:val="22"/>
        </w:rPr>
      </w:pPr>
      <w:r>
        <w:rPr>
          <w:rFonts w:ascii="Palatino Linotype" w:hAnsi="Palatino Linotype" w:cs="Tahoma"/>
          <w:b/>
          <w:bCs/>
          <w:sz w:val="22"/>
          <w:szCs w:val="22"/>
        </w:rPr>
        <w:t>Causales de sobreseimiento</w:t>
      </w:r>
    </w:p>
    <w:p w14:paraId="3136C99F" w14:textId="77777777" w:rsidR="00EE4BC7" w:rsidRPr="006462A8" w:rsidRDefault="00EE4BC7" w:rsidP="00FA7BA6">
      <w:pPr>
        <w:spacing w:line="360" w:lineRule="auto"/>
        <w:contextualSpacing/>
        <w:jc w:val="both"/>
        <w:rPr>
          <w:rFonts w:ascii="Palatino Linotype" w:hAnsi="Palatino Linotype" w:cs="Tahoma"/>
          <w:sz w:val="22"/>
          <w:szCs w:val="22"/>
        </w:rPr>
      </w:pPr>
    </w:p>
    <w:p w14:paraId="1DE1989A" w14:textId="77777777" w:rsidR="00EE4BC7" w:rsidRPr="006462A8" w:rsidRDefault="00EE4BC7" w:rsidP="00FA7BA6">
      <w:pPr>
        <w:spacing w:line="360" w:lineRule="auto"/>
        <w:contextualSpacing/>
        <w:jc w:val="both"/>
        <w:rPr>
          <w:rFonts w:ascii="Palatino Linotype" w:hAnsi="Palatino Linotype" w:cs="Tahoma"/>
          <w:sz w:val="22"/>
          <w:szCs w:val="22"/>
        </w:rPr>
      </w:pPr>
      <w:r w:rsidRPr="006462A8">
        <w:rPr>
          <w:rFonts w:ascii="Palatino Linotype" w:hAnsi="Palatino Linotype" w:cs="Tahoma"/>
          <w:sz w:val="22"/>
          <w:szCs w:val="22"/>
        </w:rPr>
        <w:t>Por ser de previo y especial pronunciamiento, este Instituto analiza si se actualiza alguna causal de sobreseimiento.</w:t>
      </w:r>
    </w:p>
    <w:p w14:paraId="72A81C7E" w14:textId="77777777" w:rsidR="00EE4BC7" w:rsidRPr="006462A8" w:rsidRDefault="00EE4BC7" w:rsidP="00FA7BA6">
      <w:pPr>
        <w:spacing w:line="360" w:lineRule="auto"/>
        <w:contextualSpacing/>
        <w:jc w:val="both"/>
        <w:rPr>
          <w:rFonts w:ascii="Palatino Linotype" w:hAnsi="Palatino Linotype" w:cs="Tahoma"/>
          <w:sz w:val="22"/>
          <w:szCs w:val="22"/>
        </w:rPr>
      </w:pPr>
    </w:p>
    <w:p w14:paraId="3659F1BB" w14:textId="77777777" w:rsidR="00EE4BC7" w:rsidRPr="006462A8" w:rsidRDefault="00EE4BC7" w:rsidP="00FA7BA6">
      <w:pPr>
        <w:spacing w:line="360" w:lineRule="auto"/>
        <w:contextualSpacing/>
        <w:jc w:val="both"/>
        <w:rPr>
          <w:rFonts w:ascii="Palatino Linotype" w:hAnsi="Palatino Linotype" w:cs="Tahoma"/>
          <w:sz w:val="22"/>
          <w:szCs w:val="22"/>
        </w:rPr>
      </w:pPr>
      <w:r w:rsidRPr="006462A8">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39B5266" w14:textId="77777777" w:rsidR="00EE4BC7" w:rsidRPr="006462A8" w:rsidRDefault="00EE4BC7" w:rsidP="00FA7BA6">
      <w:pPr>
        <w:spacing w:line="360" w:lineRule="auto"/>
        <w:contextualSpacing/>
        <w:jc w:val="both"/>
        <w:rPr>
          <w:rFonts w:ascii="Palatino Linotype" w:hAnsi="Palatino Linotype" w:cs="Tahoma"/>
          <w:sz w:val="22"/>
          <w:szCs w:val="22"/>
        </w:rPr>
      </w:pPr>
    </w:p>
    <w:p w14:paraId="68B4E71F" w14:textId="77777777" w:rsidR="00EE4BC7" w:rsidRPr="006462A8" w:rsidRDefault="00EE4BC7" w:rsidP="00FA7BA6">
      <w:pPr>
        <w:tabs>
          <w:tab w:val="left" w:pos="4962"/>
        </w:tabs>
        <w:spacing w:line="360" w:lineRule="auto"/>
        <w:contextualSpacing/>
        <w:jc w:val="both"/>
        <w:rPr>
          <w:rFonts w:ascii="Palatino Linotype" w:hAnsi="Palatino Linotype" w:cs="Tahoma"/>
          <w:sz w:val="22"/>
          <w:szCs w:val="22"/>
        </w:rPr>
      </w:pPr>
      <w:r w:rsidRPr="006462A8">
        <w:rPr>
          <w:rFonts w:ascii="Palatino Linotype" w:hAnsi="Palatino Linotype" w:cs="Tahoma"/>
          <w:bCs/>
          <w:sz w:val="22"/>
          <w:szCs w:val="22"/>
        </w:rPr>
        <w:t xml:space="preserve">Por tales motivos, </w:t>
      </w:r>
      <w:r w:rsidRPr="006462A8">
        <w:rPr>
          <w:rFonts w:ascii="Palatino Linotype" w:hAnsi="Palatino Linotype" w:cs="Tahoma"/>
          <w:sz w:val="22"/>
          <w:szCs w:val="22"/>
        </w:rPr>
        <w:t xml:space="preserve">se considera procedente entrar al fondo del presente asunto. </w:t>
      </w:r>
    </w:p>
    <w:p w14:paraId="7F1388D1" w14:textId="77777777" w:rsidR="00EE4BC7" w:rsidRDefault="00EE4BC7" w:rsidP="00FA7BA6">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p>
    <w:p w14:paraId="2B74C418" w14:textId="77777777" w:rsidR="00EE4BC7" w:rsidRPr="00ED7C1C" w:rsidRDefault="00EE4BC7" w:rsidP="00FA7BA6">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ED7C1C">
        <w:rPr>
          <w:rFonts w:ascii="Palatino Linotype" w:eastAsia="Calibri" w:hAnsi="Palatino Linotype" w:cs="Tahoma"/>
          <w:b/>
          <w:iCs/>
          <w:sz w:val="22"/>
          <w:szCs w:val="22"/>
          <w:lang w:val="es-ES" w:eastAsia="es-ES_tradnl"/>
        </w:rPr>
        <w:t>TERCERO. Determinación de la Controversia</w:t>
      </w:r>
    </w:p>
    <w:p w14:paraId="3993A476" w14:textId="77777777" w:rsidR="00EE4BC7" w:rsidRPr="00ED7C1C" w:rsidRDefault="00EE4BC7" w:rsidP="00FA7BA6">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20A743E7" w14:textId="0A69CD57" w:rsidR="00EE4BC7" w:rsidRPr="00BF63F3" w:rsidRDefault="00EE4BC7" w:rsidP="00FA7BA6">
      <w:pPr>
        <w:tabs>
          <w:tab w:val="left" w:pos="4962"/>
        </w:tabs>
        <w:spacing w:line="360" w:lineRule="auto"/>
        <w:ind w:right="-28"/>
        <w:contextualSpacing/>
        <w:jc w:val="both"/>
        <w:rPr>
          <w:rFonts w:ascii="Palatino Linotype" w:eastAsia="Calibri" w:hAnsi="Palatino Linotype" w:cs="Tahoma"/>
          <w:iCs/>
          <w:szCs w:val="22"/>
          <w:lang w:val="es-ES" w:eastAsia="es-ES_tradnl"/>
        </w:rPr>
      </w:pPr>
      <w:r w:rsidRPr="00A0514B">
        <w:rPr>
          <w:rFonts w:ascii="Palatino Linotype" w:eastAsia="Calibri" w:hAnsi="Palatino Linotype" w:cs="Tahoma"/>
          <w:sz w:val="22"/>
          <w:szCs w:val="22"/>
          <w:lang w:val="es-ES" w:eastAsia="es-ES_tradnl"/>
        </w:rPr>
        <w:t xml:space="preserve">Una vez realizado el estudio de las constancias que integran el expediente en que se actúa, se desprende que </w:t>
      </w:r>
      <w:r w:rsidRPr="00A0514B">
        <w:rPr>
          <w:rFonts w:ascii="Palatino Linotype" w:eastAsia="Calibri" w:hAnsi="Palatino Linotype" w:cs="Tahoma"/>
          <w:bCs/>
          <w:sz w:val="22"/>
          <w:szCs w:val="22"/>
          <w:lang w:eastAsia="en-US"/>
        </w:rPr>
        <w:t>l</w:t>
      </w:r>
      <w:r>
        <w:rPr>
          <w:rFonts w:ascii="Palatino Linotype" w:eastAsia="Calibri" w:hAnsi="Palatino Linotype" w:cs="Tahoma"/>
          <w:bCs/>
          <w:sz w:val="22"/>
          <w:szCs w:val="22"/>
          <w:lang w:eastAsia="en-US"/>
        </w:rPr>
        <w:t>a</w:t>
      </w:r>
      <w:r w:rsidRPr="00A0514B">
        <w:rPr>
          <w:rFonts w:ascii="Palatino Linotype" w:eastAsia="Calibri" w:hAnsi="Palatino Linotype" w:cs="Tahoma"/>
          <w:bCs/>
          <w:sz w:val="22"/>
          <w:szCs w:val="22"/>
          <w:lang w:eastAsia="en-US"/>
        </w:rPr>
        <w:t xml:space="preserve"> Particular </w:t>
      </w:r>
      <w:r w:rsidRPr="00A0514B">
        <w:rPr>
          <w:rFonts w:ascii="Palatino Linotype" w:eastAsia="Calibri" w:hAnsi="Palatino Linotype" w:cs="Tahoma"/>
          <w:iCs/>
          <w:sz w:val="22"/>
          <w:szCs w:val="22"/>
          <w:lang w:val="es-ES" w:eastAsia="es-ES_tradnl"/>
        </w:rPr>
        <w:t>solicitó</w:t>
      </w:r>
      <w:r w:rsidR="00CD627B">
        <w:rPr>
          <w:rFonts w:ascii="Palatino Linotype" w:eastAsia="Calibri" w:hAnsi="Palatino Linotype" w:cs="Tahoma"/>
          <w:iCs/>
          <w:sz w:val="22"/>
          <w:szCs w:val="22"/>
          <w:lang w:val="es-ES" w:eastAsia="es-ES_tradnl"/>
        </w:rPr>
        <w:t>,</w:t>
      </w:r>
      <w:r w:rsidR="00983851">
        <w:rPr>
          <w:rFonts w:ascii="Palatino Linotype" w:eastAsia="Calibri" w:hAnsi="Palatino Linotype" w:cs="Tahoma"/>
          <w:iCs/>
          <w:sz w:val="22"/>
          <w:szCs w:val="22"/>
          <w:lang w:val="es-ES" w:eastAsia="es-ES_tradnl"/>
        </w:rPr>
        <w:t xml:space="preserve"> </w:t>
      </w:r>
      <w:r w:rsidR="00FA7BA6">
        <w:rPr>
          <w:rFonts w:ascii="Palatino Linotype" w:eastAsia="Calibri" w:hAnsi="Palatino Linotype" w:cs="Tahoma"/>
          <w:iCs/>
          <w:sz w:val="22"/>
          <w:szCs w:val="22"/>
          <w:lang w:val="es-ES" w:eastAsia="es-ES_tradnl"/>
        </w:rPr>
        <w:t>l</w:t>
      </w:r>
      <w:r w:rsidR="00983851">
        <w:rPr>
          <w:rFonts w:ascii="Palatino Linotype" w:eastAsia="Calibri" w:hAnsi="Palatino Linotype" w:cs="Tahoma"/>
          <w:iCs/>
          <w:sz w:val="22"/>
          <w:szCs w:val="22"/>
          <w:lang w:val="es-ES" w:eastAsia="es-ES_tradnl"/>
        </w:rPr>
        <w:t>os documentos que dieran cuenta del</w:t>
      </w:r>
      <w:r w:rsidR="00FA7BA6">
        <w:rPr>
          <w:rFonts w:ascii="Palatino Linotype" w:eastAsia="Calibri" w:hAnsi="Palatino Linotype" w:cs="Tahoma"/>
          <w:iCs/>
          <w:sz w:val="22"/>
          <w:szCs w:val="22"/>
          <w:lang w:val="es-ES" w:eastAsia="es-ES_tradnl"/>
        </w:rPr>
        <w:t xml:space="preserve"> fundamento legal para la procedencia del cobro de información </w:t>
      </w:r>
      <w:r w:rsidR="00CD627B">
        <w:rPr>
          <w:rFonts w:ascii="Palatino Linotype" w:eastAsia="Calibri" w:hAnsi="Palatino Linotype" w:cs="Tahoma"/>
          <w:iCs/>
          <w:sz w:val="22"/>
          <w:szCs w:val="22"/>
          <w:lang w:val="es-ES" w:eastAsia="es-ES_tradnl"/>
        </w:rPr>
        <w:t>por parte del Secretario del Ayuntamiento y del Contralor al tratarse de copias simples, al veinticuatro de octubre de dos mil veinticuatro.</w:t>
      </w:r>
    </w:p>
    <w:p w14:paraId="4BE4C817" w14:textId="77777777" w:rsidR="00EE4BC7" w:rsidRPr="00E6627D" w:rsidRDefault="00EE4BC7" w:rsidP="00FA7BA6">
      <w:pPr>
        <w:tabs>
          <w:tab w:val="left" w:pos="4962"/>
        </w:tabs>
        <w:spacing w:line="360" w:lineRule="auto"/>
        <w:ind w:right="-28"/>
        <w:contextualSpacing/>
        <w:jc w:val="both"/>
        <w:rPr>
          <w:rFonts w:ascii="Palatino Linotype" w:eastAsia="Calibri" w:hAnsi="Palatino Linotype" w:cs="Tahoma"/>
          <w:iCs/>
          <w:szCs w:val="22"/>
          <w:lang w:val="es-ES" w:eastAsia="es-ES_tradnl"/>
        </w:rPr>
      </w:pPr>
    </w:p>
    <w:p w14:paraId="22DCE5A9" w14:textId="4F53F9ED" w:rsidR="00EE4BC7" w:rsidRDefault="00EE4BC7" w:rsidP="00FA7BA6">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ED7C1C">
        <w:rPr>
          <w:rFonts w:ascii="Palatino Linotype" w:eastAsia="Calibri" w:hAnsi="Palatino Linotype" w:cs="Tahoma"/>
          <w:iCs/>
          <w:sz w:val="22"/>
          <w:szCs w:val="22"/>
          <w:lang w:val="es-ES" w:eastAsia="es-ES_tradnl"/>
        </w:rPr>
        <w:t xml:space="preserve">En respuesta, </w:t>
      </w:r>
      <w:r>
        <w:rPr>
          <w:rFonts w:ascii="Palatino Linotype" w:eastAsia="Calibri" w:hAnsi="Palatino Linotype" w:cs="Tahoma"/>
          <w:iCs/>
          <w:sz w:val="22"/>
          <w:szCs w:val="22"/>
          <w:lang w:val="es-ES" w:eastAsia="es-ES_tradnl"/>
        </w:rPr>
        <w:t>el Sujeto Obligado, a través de</w:t>
      </w:r>
      <w:r>
        <w:rPr>
          <w:rFonts w:ascii="Palatino Linotype" w:hAnsi="Palatino Linotype" w:cs="Tahoma"/>
          <w:sz w:val="22"/>
          <w:szCs w:val="22"/>
        </w:rPr>
        <w:t>l</w:t>
      </w:r>
      <w:r w:rsidRPr="0051263D">
        <w:rPr>
          <w:rFonts w:ascii="Palatino Linotype" w:hAnsi="Palatino Linotype" w:cs="Tahoma"/>
          <w:sz w:val="22"/>
          <w:szCs w:val="22"/>
        </w:rPr>
        <w:t xml:space="preserve"> </w:t>
      </w:r>
      <w:r w:rsidR="00CD627B">
        <w:rPr>
          <w:rFonts w:ascii="Palatino Linotype" w:hAnsi="Palatino Linotype" w:cs="Tahoma"/>
          <w:sz w:val="22"/>
          <w:szCs w:val="22"/>
        </w:rPr>
        <w:t>Secretario del Ayuntamiento</w:t>
      </w:r>
      <w:r>
        <w:rPr>
          <w:rFonts w:ascii="Palatino Linotype" w:hAnsi="Palatino Linotype" w:cs="Tahoma"/>
          <w:sz w:val="22"/>
          <w:szCs w:val="22"/>
        </w:rPr>
        <w:t>,</w:t>
      </w:r>
      <w:r w:rsidR="00CD627B">
        <w:rPr>
          <w:rFonts w:ascii="Palatino Linotype" w:hAnsi="Palatino Linotype" w:cs="Tahoma"/>
          <w:sz w:val="22"/>
          <w:szCs w:val="22"/>
        </w:rPr>
        <w:t xml:space="preserve"> indicó</w:t>
      </w:r>
      <w:r w:rsidR="002A7C1B">
        <w:rPr>
          <w:rFonts w:ascii="Palatino Linotype" w:hAnsi="Palatino Linotype" w:cs="Tahoma"/>
          <w:sz w:val="22"/>
          <w:szCs w:val="22"/>
        </w:rPr>
        <w:t xml:space="preserve"> que</w:t>
      </w:r>
      <w:r w:rsidR="00CD627B">
        <w:rPr>
          <w:rFonts w:ascii="Palatino Linotype" w:hAnsi="Palatino Linotype" w:cs="Tahoma"/>
          <w:sz w:val="22"/>
          <w:szCs w:val="22"/>
        </w:rPr>
        <w:t xml:space="preserve"> no podía contestar a la solicitud, en virtud de que desconocía la información requerida y la cantidad de documentos que daban cuenta de la información</w:t>
      </w:r>
      <w:r w:rsidRPr="00ED7C1C">
        <w:rPr>
          <w:rFonts w:ascii="Palatino Linotype" w:hAnsi="Palatino Linotype" w:cs="Tahoma"/>
          <w:bCs/>
          <w:iCs/>
          <w:sz w:val="22"/>
          <w:szCs w:val="22"/>
          <w:lang w:val="es-ES"/>
        </w:rPr>
        <w:t xml:space="preserve">; </w:t>
      </w:r>
      <w:r>
        <w:rPr>
          <w:rFonts w:ascii="Palatino Linotype" w:hAnsi="Palatino Linotype"/>
          <w:iCs/>
          <w:sz w:val="22"/>
          <w:szCs w:val="22"/>
        </w:rPr>
        <w:t>a</w:t>
      </w:r>
      <w:r w:rsidRPr="00ED7C1C">
        <w:rPr>
          <w:rFonts w:ascii="Palatino Linotype" w:hAnsi="Palatino Linotype"/>
          <w:iCs/>
          <w:sz w:val="22"/>
          <w:szCs w:val="22"/>
        </w:rPr>
        <w:t>nte dicha circunstancia, la parte Recurrente se inconformó de</w:t>
      </w:r>
      <w:r>
        <w:rPr>
          <w:rFonts w:ascii="Palatino Linotype" w:hAnsi="Palatino Linotype"/>
          <w:iCs/>
          <w:sz w:val="22"/>
          <w:szCs w:val="22"/>
        </w:rPr>
        <w:t xml:space="preserve"> la entrega de información que no corresponde con lo solicitado</w:t>
      </w:r>
      <w:r>
        <w:rPr>
          <w:rFonts w:ascii="Palatino Linotype" w:eastAsiaTheme="minorHAnsi" w:hAnsi="Palatino Linotype" w:cs="Tahoma"/>
          <w:bCs/>
          <w:iCs/>
          <w:color w:val="000000" w:themeColor="text1"/>
          <w:sz w:val="22"/>
          <w:szCs w:val="22"/>
          <w:lang w:val="es-ES" w:eastAsia="en-US"/>
        </w:rPr>
        <w:t>,</w:t>
      </w:r>
      <w:r w:rsidRPr="00ED7C1C">
        <w:rPr>
          <w:rFonts w:ascii="Palatino Linotype" w:eastAsiaTheme="minorHAnsi" w:hAnsi="Palatino Linotype" w:cs="Tahoma"/>
          <w:bCs/>
          <w:iCs/>
          <w:color w:val="000000" w:themeColor="text1"/>
          <w:sz w:val="22"/>
          <w:szCs w:val="22"/>
          <w:lang w:val="es-ES" w:eastAsia="en-US"/>
        </w:rPr>
        <w:t xml:space="preserve"> lo cual actualiza el supuesto previsto en el artículo 179, fracción V</w:t>
      </w:r>
      <w:r>
        <w:rPr>
          <w:rFonts w:ascii="Palatino Linotype" w:eastAsiaTheme="minorHAnsi" w:hAnsi="Palatino Linotype" w:cs="Tahoma"/>
          <w:bCs/>
          <w:iCs/>
          <w:color w:val="000000" w:themeColor="text1"/>
          <w:sz w:val="22"/>
          <w:szCs w:val="22"/>
          <w:lang w:val="es-ES" w:eastAsia="en-US"/>
        </w:rPr>
        <w:t>I</w:t>
      </w:r>
      <w:r w:rsidRPr="00ED7C1C">
        <w:rPr>
          <w:rFonts w:ascii="Palatino Linotype" w:eastAsiaTheme="minorHAnsi" w:hAnsi="Palatino Linotype" w:cs="Tahoma"/>
          <w:bCs/>
          <w:iCs/>
          <w:color w:val="000000" w:themeColor="text1"/>
          <w:sz w:val="22"/>
          <w:szCs w:val="22"/>
          <w:lang w:val="es-ES" w:eastAsia="en-US"/>
        </w:rPr>
        <w:t xml:space="preserve">, de la Ley de </w:t>
      </w:r>
      <w:r w:rsidRPr="00ED7C1C">
        <w:rPr>
          <w:rFonts w:ascii="Palatino Linotype" w:eastAsiaTheme="minorHAnsi" w:hAnsi="Palatino Linotype" w:cs="Tahoma"/>
          <w:bCs/>
          <w:iCs/>
          <w:color w:val="000000" w:themeColor="text1"/>
          <w:sz w:val="22"/>
          <w:szCs w:val="22"/>
          <w:lang w:val="es-ES" w:eastAsia="en-US"/>
        </w:rPr>
        <w:lastRenderedPageBreak/>
        <w:t>Transparencia y Acceso a la Información Pública del Estado de México y Municipios</w:t>
      </w:r>
      <w:r w:rsidRPr="00ED7C1C">
        <w:rPr>
          <w:rFonts w:ascii="Palatino Linotype" w:eastAsia="Calibri" w:hAnsi="Palatino Linotype" w:cs="Tahoma"/>
          <w:bCs/>
          <w:iCs/>
          <w:color w:val="000000"/>
          <w:sz w:val="22"/>
          <w:szCs w:val="22"/>
          <w:lang w:val="es-ES_tradnl" w:eastAsia="en-US"/>
        </w:rPr>
        <w:t xml:space="preserve">. </w:t>
      </w:r>
      <w:r w:rsidRPr="00ED7C1C">
        <w:rPr>
          <w:rFonts w:ascii="Palatino Linotype" w:eastAsiaTheme="minorHAnsi" w:hAnsi="Palatino Linotype" w:cs="Tahoma"/>
          <w:iCs/>
          <w:color w:val="000000" w:themeColor="text1"/>
          <w:sz w:val="22"/>
          <w:szCs w:val="22"/>
          <w:lang w:val="es-ES" w:eastAsia="en-US"/>
        </w:rPr>
        <w:t>Así las cosas, una vez admitido y notificado el Recurso de Revisión a las partes,</w:t>
      </w:r>
      <w:r>
        <w:rPr>
          <w:rFonts w:ascii="Palatino Linotype" w:eastAsiaTheme="minorHAnsi" w:hAnsi="Palatino Linotype" w:cs="Tahoma"/>
          <w:iCs/>
          <w:color w:val="000000" w:themeColor="text1"/>
          <w:sz w:val="22"/>
          <w:szCs w:val="22"/>
          <w:lang w:val="es-ES" w:eastAsia="en-US"/>
        </w:rPr>
        <w:t xml:space="preserve"> </w:t>
      </w:r>
      <w:r w:rsidR="00CD627B">
        <w:rPr>
          <w:rFonts w:ascii="Palatino Linotype" w:eastAsiaTheme="minorHAnsi" w:hAnsi="Palatino Linotype" w:cs="Tahoma"/>
          <w:iCs/>
          <w:color w:val="000000" w:themeColor="text1"/>
          <w:sz w:val="22"/>
          <w:szCs w:val="22"/>
          <w:lang w:val="es-ES" w:eastAsia="en-US"/>
        </w:rPr>
        <w:t xml:space="preserve">el Sujeto Obligado informó </w:t>
      </w:r>
      <w:r w:rsidR="00F51D18">
        <w:rPr>
          <w:rFonts w:ascii="Palatino Linotype" w:eastAsiaTheme="minorHAnsi" w:hAnsi="Palatino Linotype" w:cs="Tahoma"/>
          <w:iCs/>
          <w:color w:val="000000" w:themeColor="text1"/>
          <w:sz w:val="22"/>
          <w:szCs w:val="22"/>
          <w:lang w:val="es-ES" w:eastAsia="en-US"/>
        </w:rPr>
        <w:t>que con fundamento en el artículo 174 de la Ley de la materia, la información deberá ser entregada sin costo, cuando implicara la entrega de</w:t>
      </w:r>
      <w:r w:rsidR="00C96C84">
        <w:rPr>
          <w:rFonts w:ascii="Palatino Linotype" w:eastAsiaTheme="minorHAnsi" w:hAnsi="Palatino Linotype" w:cs="Tahoma"/>
          <w:iCs/>
          <w:color w:val="000000" w:themeColor="text1"/>
          <w:sz w:val="22"/>
          <w:szCs w:val="22"/>
          <w:lang w:val="es-ES" w:eastAsia="en-US"/>
        </w:rPr>
        <w:t xml:space="preserve"> no más de veinte hojas simples</w:t>
      </w:r>
      <w:r w:rsidR="00F51D18">
        <w:rPr>
          <w:rFonts w:ascii="Palatino Linotype" w:eastAsiaTheme="minorHAnsi" w:hAnsi="Palatino Linotype" w:cs="Tahoma"/>
          <w:iCs/>
          <w:color w:val="000000" w:themeColor="text1"/>
          <w:sz w:val="22"/>
          <w:szCs w:val="22"/>
          <w:lang w:val="es-ES" w:eastAsia="en-US"/>
        </w:rPr>
        <w:t>.</w:t>
      </w:r>
    </w:p>
    <w:p w14:paraId="0F634CEE" w14:textId="77777777" w:rsidR="00EE4BC7" w:rsidRDefault="00EE4BC7" w:rsidP="00FA7BA6">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p>
    <w:p w14:paraId="6F8AF357" w14:textId="4046E56C" w:rsidR="00EE4BC7" w:rsidRPr="00D25651" w:rsidRDefault="00EE4BC7" w:rsidP="00FA7BA6">
      <w:pPr>
        <w:tabs>
          <w:tab w:val="left" w:pos="4667"/>
        </w:tabs>
        <w:spacing w:line="360" w:lineRule="auto"/>
        <w:contextualSpacing/>
        <w:jc w:val="both"/>
        <w:rPr>
          <w:rFonts w:ascii="Palatino Linotype" w:hAnsi="Palatino Linotype" w:cs="Tahoma"/>
          <w:b/>
          <w:bCs/>
          <w:iCs/>
          <w:sz w:val="22"/>
          <w:szCs w:val="22"/>
          <w:lang w:val="es-ES"/>
        </w:rPr>
      </w:pPr>
      <w:r w:rsidRPr="00ED7C1C">
        <w:rPr>
          <w:rFonts w:ascii="Palatino Linotype" w:hAnsi="Palatino Linotype" w:cs="Tahoma"/>
          <w:iCs/>
          <w:sz w:val="22"/>
          <w:szCs w:val="22"/>
        </w:rPr>
        <w:t>Lo anterior, se desprende de las documentales que obran en el expediente de referencia, materia de la presente resolución, consistentes en: la solicitud de acceso a la información; la respuesta propor</w:t>
      </w:r>
      <w:r>
        <w:rPr>
          <w:rFonts w:ascii="Palatino Linotype" w:hAnsi="Palatino Linotype" w:cs="Tahoma"/>
          <w:iCs/>
          <w:sz w:val="22"/>
          <w:szCs w:val="22"/>
        </w:rPr>
        <w:t>cionada por el Sujeto Obligado,</w:t>
      </w:r>
      <w:r w:rsidR="00F51D18">
        <w:rPr>
          <w:rFonts w:ascii="Palatino Linotype" w:hAnsi="Palatino Linotype" w:cs="Tahoma"/>
          <w:iCs/>
          <w:sz w:val="22"/>
          <w:szCs w:val="22"/>
        </w:rPr>
        <w:t xml:space="preserve"> </w:t>
      </w:r>
      <w:r w:rsidRPr="00ED7C1C">
        <w:rPr>
          <w:rFonts w:ascii="Palatino Linotype" w:hAnsi="Palatino Linotype" w:cs="Tahoma"/>
          <w:iCs/>
          <w:sz w:val="22"/>
          <w:szCs w:val="22"/>
        </w:rPr>
        <w:t xml:space="preserve">el escrito </w:t>
      </w:r>
      <w:proofErr w:type="spellStart"/>
      <w:r w:rsidRPr="00ED7C1C">
        <w:rPr>
          <w:rFonts w:ascii="Palatino Linotype" w:hAnsi="Palatino Linotype" w:cs="Tahoma"/>
          <w:iCs/>
          <w:sz w:val="22"/>
          <w:szCs w:val="22"/>
        </w:rPr>
        <w:t>rec</w:t>
      </w:r>
      <w:bookmarkStart w:id="2" w:name="_GoBack"/>
      <w:bookmarkEnd w:id="2"/>
      <w:r w:rsidRPr="00ED7C1C">
        <w:rPr>
          <w:rFonts w:ascii="Palatino Linotype" w:hAnsi="Palatino Linotype" w:cs="Tahoma"/>
          <w:iCs/>
          <w:sz w:val="22"/>
          <w:szCs w:val="22"/>
        </w:rPr>
        <w:t>ursal</w:t>
      </w:r>
      <w:proofErr w:type="spellEnd"/>
      <w:r w:rsidR="00F51D18">
        <w:rPr>
          <w:rFonts w:ascii="Palatino Linotype" w:hAnsi="Palatino Linotype" w:cs="Tahoma"/>
          <w:iCs/>
          <w:sz w:val="22"/>
          <w:szCs w:val="22"/>
        </w:rPr>
        <w:t xml:space="preserve"> y el informe justificado</w:t>
      </w:r>
      <w:r w:rsidRPr="00ED7C1C">
        <w:rPr>
          <w:rFonts w:ascii="Palatino Linotype" w:hAnsi="Palatino Linotype" w:cs="Tahoma"/>
          <w:iCs/>
          <w:sz w:val="22"/>
          <w:szCs w:val="22"/>
        </w:rPr>
        <w:t xml:space="preserve">; </w:t>
      </w:r>
      <w:r w:rsidRPr="00ED7C1C">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p>
    <w:p w14:paraId="40A6493E" w14:textId="77777777" w:rsidR="00EE4BC7" w:rsidRPr="00ED7C1C" w:rsidRDefault="00EE4BC7" w:rsidP="00FA7BA6">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46549415" w14:textId="77777777" w:rsidR="00EE4BC7" w:rsidRPr="00ED7C1C" w:rsidRDefault="00EE4BC7" w:rsidP="00FA7BA6">
      <w:pPr>
        <w:spacing w:line="360" w:lineRule="auto"/>
        <w:ind w:right="-28"/>
        <w:contextualSpacing/>
        <w:jc w:val="both"/>
        <w:rPr>
          <w:rFonts w:ascii="Palatino Linotype" w:hAnsi="Palatino Linotype" w:cs="Tahoma"/>
          <w:b/>
          <w:sz w:val="22"/>
          <w:szCs w:val="22"/>
        </w:rPr>
      </w:pPr>
      <w:r w:rsidRPr="00ED7C1C">
        <w:rPr>
          <w:rFonts w:ascii="Palatino Linotype" w:hAnsi="Palatino Linotype" w:cs="Tahoma"/>
          <w:b/>
          <w:sz w:val="22"/>
          <w:szCs w:val="22"/>
          <w:lang w:val="es-ES"/>
        </w:rPr>
        <w:t xml:space="preserve">CUARTO. </w:t>
      </w:r>
      <w:r w:rsidRPr="00ED7C1C">
        <w:rPr>
          <w:rFonts w:ascii="Palatino Linotype" w:hAnsi="Palatino Linotype" w:cs="Tahoma"/>
          <w:b/>
          <w:sz w:val="22"/>
          <w:szCs w:val="22"/>
        </w:rPr>
        <w:t>Marco normativo aplicable en materia de transparencia y acceso a la información pública</w:t>
      </w:r>
    </w:p>
    <w:p w14:paraId="35C1CB30"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669CB6F1"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52338D5"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534811D4"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EE0D2AD"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61FEF676"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w:t>
      </w:r>
      <w:r w:rsidRPr="00ED7C1C">
        <w:rPr>
          <w:rFonts w:ascii="Palatino Linotype" w:hAnsi="Palatino Linotype" w:cs="Tahoma"/>
          <w:bCs/>
          <w:iCs/>
          <w:sz w:val="22"/>
          <w:szCs w:val="22"/>
        </w:rPr>
        <w:lastRenderedPageBreak/>
        <w:t>información referente a la intimidad de la vida privada y la imagen de las personas, con las excepciones que establezca la ley reglamentaria.</w:t>
      </w:r>
    </w:p>
    <w:p w14:paraId="0D41EEE0"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3575D155"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03EC6813"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1F614B3D"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72902EAF"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205BF360"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029470D6"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p>
    <w:p w14:paraId="13B975BF" w14:textId="77777777" w:rsidR="00EE4BC7" w:rsidRPr="00ED7C1C" w:rsidRDefault="00EE4BC7" w:rsidP="00FA7BA6">
      <w:pPr>
        <w:spacing w:line="360" w:lineRule="auto"/>
        <w:ind w:right="-28"/>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CE6D61D" w14:textId="77777777" w:rsidR="00EE4BC7" w:rsidRDefault="00EE4BC7" w:rsidP="00FA7BA6">
      <w:pPr>
        <w:spacing w:line="360" w:lineRule="auto"/>
        <w:ind w:right="-28"/>
        <w:contextualSpacing/>
        <w:jc w:val="both"/>
        <w:rPr>
          <w:rFonts w:ascii="Palatino Linotype" w:hAnsi="Palatino Linotype" w:cs="Tahoma"/>
          <w:b/>
          <w:sz w:val="22"/>
          <w:szCs w:val="22"/>
        </w:rPr>
      </w:pPr>
    </w:p>
    <w:p w14:paraId="4EB0EA14" w14:textId="77777777" w:rsidR="00EE4BC7" w:rsidRDefault="00EE4BC7" w:rsidP="00FA7BA6">
      <w:pPr>
        <w:spacing w:line="360" w:lineRule="auto"/>
        <w:ind w:right="-28"/>
        <w:contextualSpacing/>
        <w:jc w:val="both"/>
        <w:rPr>
          <w:rFonts w:ascii="Palatino Linotype" w:hAnsi="Palatino Linotype" w:cs="Tahoma"/>
          <w:b/>
          <w:sz w:val="22"/>
          <w:szCs w:val="22"/>
        </w:rPr>
      </w:pPr>
      <w:r w:rsidRPr="00ED7C1C">
        <w:rPr>
          <w:rFonts w:ascii="Palatino Linotype" w:hAnsi="Palatino Linotype" w:cs="Tahoma"/>
          <w:b/>
          <w:sz w:val="22"/>
          <w:szCs w:val="22"/>
        </w:rPr>
        <w:t>QUINTO. Estudio de Fondo</w:t>
      </w:r>
    </w:p>
    <w:p w14:paraId="7410EF68" w14:textId="77777777" w:rsidR="00EE4BC7" w:rsidRPr="00ED7C1C" w:rsidRDefault="00EE4BC7" w:rsidP="00FA7BA6">
      <w:pPr>
        <w:spacing w:line="360" w:lineRule="auto"/>
        <w:ind w:right="-28"/>
        <w:contextualSpacing/>
        <w:jc w:val="both"/>
        <w:rPr>
          <w:rFonts w:ascii="Palatino Linotype" w:hAnsi="Palatino Linotype" w:cs="Tahoma"/>
          <w:b/>
          <w:sz w:val="22"/>
          <w:szCs w:val="22"/>
        </w:rPr>
      </w:pPr>
    </w:p>
    <w:p w14:paraId="48BD696F" w14:textId="48AD0BDA" w:rsidR="00EE4BC7" w:rsidRDefault="00EE4BC7" w:rsidP="00FA7BA6">
      <w:pPr>
        <w:tabs>
          <w:tab w:val="left" w:pos="4962"/>
        </w:tabs>
        <w:spacing w:line="360" w:lineRule="auto"/>
        <w:contextualSpacing/>
        <w:jc w:val="both"/>
        <w:rPr>
          <w:rFonts w:ascii="Palatino Linotype" w:hAnsi="Palatino Linotype" w:cs="Tahoma"/>
          <w:bCs/>
          <w:iCs/>
          <w:sz w:val="22"/>
          <w:szCs w:val="22"/>
        </w:rPr>
      </w:pPr>
      <w:r w:rsidRPr="000D4CAB">
        <w:rPr>
          <w:rFonts w:ascii="Palatino Linotype" w:hAnsi="Palatino Linotype" w:cs="Tahoma"/>
          <w:bCs/>
          <w:iCs/>
          <w:sz w:val="22"/>
          <w:szCs w:val="22"/>
        </w:rPr>
        <w:t>Expuestas las posturas de las partes, se procede a</w:t>
      </w:r>
      <w:r>
        <w:rPr>
          <w:rFonts w:ascii="Palatino Linotype" w:hAnsi="Palatino Linotype" w:cs="Tahoma"/>
          <w:bCs/>
          <w:iCs/>
          <w:sz w:val="22"/>
          <w:szCs w:val="22"/>
        </w:rPr>
        <w:t xml:space="preserve"> realizar el</w:t>
      </w:r>
      <w:r w:rsidRPr="000D4CAB">
        <w:rPr>
          <w:rFonts w:ascii="Palatino Linotype" w:hAnsi="Palatino Linotype" w:cs="Tahoma"/>
          <w:bCs/>
          <w:iCs/>
          <w:sz w:val="22"/>
          <w:szCs w:val="22"/>
        </w:rPr>
        <w:t xml:space="preserve"> análisis del agravio hecho valer por l</w:t>
      </w:r>
      <w:r w:rsidR="00E05EE4">
        <w:rPr>
          <w:rFonts w:ascii="Palatino Linotype" w:hAnsi="Palatino Linotype" w:cs="Tahoma"/>
          <w:bCs/>
          <w:iCs/>
          <w:sz w:val="22"/>
          <w:szCs w:val="22"/>
        </w:rPr>
        <w:t>a</w:t>
      </w:r>
      <w:r w:rsidRPr="000D4CAB">
        <w:rPr>
          <w:rFonts w:ascii="Palatino Linotype" w:hAnsi="Palatino Linotype" w:cs="Tahoma"/>
          <w:bCs/>
          <w:iCs/>
          <w:sz w:val="22"/>
          <w:szCs w:val="22"/>
        </w:rPr>
        <w:t xml:space="preserve"> ahora Recurrente, concerniente </w:t>
      </w:r>
      <w:r>
        <w:rPr>
          <w:rFonts w:ascii="Palatino Linotype" w:hAnsi="Palatino Linotype" w:cs="Tahoma"/>
          <w:bCs/>
          <w:iCs/>
          <w:sz w:val="22"/>
          <w:szCs w:val="22"/>
        </w:rPr>
        <w:t>a la entrega de información que no corresponde con lo solicitado, por lo que en principio resulta necesario contextualizar la solicitud de información</w:t>
      </w:r>
      <w:r w:rsidR="00983851">
        <w:rPr>
          <w:rFonts w:ascii="Palatino Linotype" w:hAnsi="Palatino Linotype" w:cs="Tahoma"/>
          <w:bCs/>
          <w:iCs/>
          <w:sz w:val="22"/>
          <w:szCs w:val="22"/>
        </w:rPr>
        <w:t xml:space="preserve"> referente al cobro de</w:t>
      </w:r>
      <w:r w:rsidR="00E05EE4">
        <w:rPr>
          <w:rFonts w:ascii="Palatino Linotype" w:hAnsi="Palatino Linotype" w:cs="Tahoma"/>
          <w:bCs/>
          <w:iCs/>
          <w:sz w:val="22"/>
          <w:szCs w:val="22"/>
        </w:rPr>
        <w:t xml:space="preserve"> información.</w:t>
      </w:r>
    </w:p>
    <w:p w14:paraId="25829C85" w14:textId="77777777" w:rsidR="00EE4BC7" w:rsidRPr="00ED7C1C" w:rsidRDefault="00EE4BC7" w:rsidP="00FA7BA6">
      <w:pPr>
        <w:spacing w:line="360" w:lineRule="auto"/>
        <w:ind w:right="-28"/>
        <w:contextualSpacing/>
        <w:jc w:val="both"/>
        <w:rPr>
          <w:rFonts w:ascii="Palatino Linotype" w:eastAsia="Calibri" w:hAnsi="Palatino Linotype" w:cs="Tahoma"/>
          <w:bCs/>
          <w:sz w:val="22"/>
          <w:szCs w:val="22"/>
        </w:rPr>
      </w:pPr>
    </w:p>
    <w:p w14:paraId="0A2E7AA8" w14:textId="2E41C604" w:rsidR="002A7C1B" w:rsidRPr="002A7C1B" w:rsidRDefault="00E05EE4" w:rsidP="002A7C1B">
      <w:pPr>
        <w:spacing w:line="360" w:lineRule="auto"/>
        <w:ind w:right="-93"/>
        <w:jc w:val="both"/>
        <w:rPr>
          <w:rFonts w:ascii="Palatino Linotype" w:hAnsi="Palatino Linotype" w:cs="Tahoma"/>
          <w:sz w:val="22"/>
          <w:szCs w:val="22"/>
        </w:rPr>
      </w:pPr>
      <w:r>
        <w:rPr>
          <w:rFonts w:ascii="Palatino Linotype" w:eastAsia="Calibri" w:hAnsi="Palatino Linotype" w:cs="Tahoma"/>
          <w:bCs/>
          <w:sz w:val="22"/>
          <w:szCs w:val="22"/>
          <w:lang w:val="es-ES"/>
        </w:rPr>
        <w:lastRenderedPageBreak/>
        <w:t>Sobre el tema</w:t>
      </w:r>
      <w:r w:rsidR="00EE4BC7" w:rsidRPr="002A7C1B">
        <w:rPr>
          <w:rFonts w:ascii="Palatino Linotype" w:eastAsia="Calibri" w:hAnsi="Palatino Linotype" w:cs="Tahoma"/>
          <w:bCs/>
          <w:sz w:val="22"/>
          <w:szCs w:val="22"/>
          <w:lang w:val="es-ES"/>
        </w:rPr>
        <w:t xml:space="preserve">, </w:t>
      </w:r>
      <w:r w:rsidR="002A7C1B" w:rsidRPr="002A7C1B">
        <w:rPr>
          <w:rFonts w:ascii="Palatino Linotype" w:hAnsi="Palatino Linotype" w:cs="Tahoma"/>
          <w:sz w:val="22"/>
          <w:szCs w:val="22"/>
        </w:rPr>
        <w:t>el artículo 2°, fracción II, de la Ley de Transparencia y Acceso a la Información Pública del Estado de México y Municipios, establece como objetivo en materia de transparencia, el de proveer lo necesario para garantizar a toda persona el derecho de acceso a la información pública a través de procedimientos sencillos, expeditos, oportunos y gratuitos.</w:t>
      </w:r>
    </w:p>
    <w:p w14:paraId="342423BF" w14:textId="77777777" w:rsidR="002A7C1B" w:rsidRPr="002A7C1B" w:rsidRDefault="002A7C1B" w:rsidP="002A7C1B">
      <w:pPr>
        <w:spacing w:line="360" w:lineRule="auto"/>
        <w:ind w:right="-93"/>
        <w:jc w:val="both"/>
        <w:rPr>
          <w:rFonts w:ascii="Palatino Linotype" w:hAnsi="Palatino Linotype" w:cs="Tahoma"/>
          <w:sz w:val="22"/>
          <w:szCs w:val="22"/>
        </w:rPr>
      </w:pPr>
    </w:p>
    <w:p w14:paraId="697C3060" w14:textId="77777777" w:rsidR="002A7C1B" w:rsidRPr="002A7C1B" w:rsidRDefault="002A7C1B" w:rsidP="002A7C1B">
      <w:pPr>
        <w:spacing w:line="360" w:lineRule="auto"/>
        <w:ind w:right="-93"/>
        <w:jc w:val="both"/>
        <w:rPr>
          <w:rFonts w:ascii="Palatino Linotype" w:hAnsi="Palatino Linotype" w:cs="Tahoma"/>
          <w:sz w:val="22"/>
          <w:szCs w:val="22"/>
        </w:rPr>
      </w:pPr>
      <w:r w:rsidRPr="002A7C1B">
        <w:rPr>
          <w:rFonts w:ascii="Palatino Linotype" w:hAnsi="Palatino Linotype" w:cs="Tahoma"/>
          <w:sz w:val="22"/>
          <w:szCs w:val="22"/>
        </w:rPr>
        <w:t xml:space="preserve">Asimismo, el artículo 9°, fracción III, de la Ley de la materia, precisa que el </w:t>
      </w:r>
      <w:r w:rsidRPr="002A7C1B">
        <w:rPr>
          <w:rFonts w:ascii="Palatino Linotype" w:hAnsi="Palatino Linotype" w:cs="Tahoma"/>
          <w:b/>
          <w:sz w:val="22"/>
          <w:szCs w:val="22"/>
        </w:rPr>
        <w:t xml:space="preserve">Principio de Gratuidad </w:t>
      </w:r>
      <w:r w:rsidRPr="002A7C1B">
        <w:rPr>
          <w:rFonts w:ascii="Palatino Linotype" w:hAnsi="Palatino Linotype" w:cs="Tahoma"/>
          <w:sz w:val="22"/>
          <w:szCs w:val="22"/>
        </w:rPr>
        <w:t>consiste en que el acceso a la información pública no generará costo alguno para los solicitantes y sólo podrá requerirse el cobro correspondiente a la modalidad de reproducción y entrega solicitada.</w:t>
      </w:r>
    </w:p>
    <w:p w14:paraId="5C58B27B" w14:textId="77777777" w:rsidR="002A7C1B" w:rsidRPr="002A7C1B" w:rsidRDefault="002A7C1B" w:rsidP="002A7C1B">
      <w:pPr>
        <w:spacing w:line="360" w:lineRule="auto"/>
        <w:ind w:right="-93"/>
        <w:jc w:val="both"/>
        <w:rPr>
          <w:rFonts w:ascii="Palatino Linotype" w:hAnsi="Palatino Linotype" w:cs="Tahoma"/>
          <w:sz w:val="22"/>
          <w:szCs w:val="22"/>
        </w:rPr>
      </w:pPr>
    </w:p>
    <w:p w14:paraId="51C41032" w14:textId="77777777" w:rsidR="002A7C1B" w:rsidRPr="002A7C1B" w:rsidRDefault="002A7C1B" w:rsidP="002A7C1B">
      <w:pPr>
        <w:spacing w:line="360" w:lineRule="auto"/>
        <w:ind w:right="-93"/>
        <w:jc w:val="both"/>
        <w:rPr>
          <w:rFonts w:ascii="Palatino Linotype" w:hAnsi="Palatino Linotype" w:cs="Tahoma"/>
          <w:sz w:val="22"/>
          <w:szCs w:val="22"/>
        </w:rPr>
      </w:pPr>
      <w:r w:rsidRPr="002A7C1B">
        <w:rPr>
          <w:rFonts w:ascii="Palatino Linotype" w:hAnsi="Palatino Linotype" w:cs="Tahoma"/>
          <w:sz w:val="22"/>
          <w:szCs w:val="22"/>
        </w:rPr>
        <w:t xml:space="preserve">En ese orden de ideas, los artículos 17 y 150, del ordenamiento jurídico referido, prevén que la búsqueda y acceso a la información </w:t>
      </w:r>
      <w:r w:rsidRPr="002A7C1B">
        <w:rPr>
          <w:rFonts w:ascii="Palatino Linotype" w:hAnsi="Palatino Linotype" w:cs="Tahoma"/>
          <w:b/>
          <w:sz w:val="22"/>
          <w:szCs w:val="22"/>
        </w:rPr>
        <w:t>es gratuita</w:t>
      </w:r>
      <w:r w:rsidRPr="002A7C1B">
        <w:rPr>
          <w:rFonts w:ascii="Palatino Linotype" w:hAnsi="Palatino Linotype" w:cs="Tahoma"/>
          <w:sz w:val="22"/>
          <w:szCs w:val="22"/>
        </w:rPr>
        <w:t xml:space="preserve"> y sólo se cubrirán en su caso, los gastos de reproducción por la modalidad de entrega solicitada o por el envío, de conformidad con los derechos, productos y aprovechamientos establecidos en la legislación aplicable; además, toda vez que el procedimiento de acceso a la información es la garantía primaria del derecho en cuestión y se rige por los principios de simplicidad, rapidez, gratuidad, auxilio y orientación a los particulares, en virtud de que constituye el primer paso para integrar activamente a la ciudadanía en la acción gubernamental, ya que con la información proporcionada por medio de las políticas de transparencia, los ciudadanos son participes de las acciones de gobierno, lo que favorece la rendición de cuentas.</w:t>
      </w:r>
    </w:p>
    <w:p w14:paraId="69AE1D23" w14:textId="77777777" w:rsidR="002A7C1B" w:rsidRPr="002A7C1B" w:rsidRDefault="002A7C1B" w:rsidP="002A7C1B">
      <w:pPr>
        <w:spacing w:line="360" w:lineRule="auto"/>
        <w:ind w:right="-93"/>
        <w:jc w:val="both"/>
        <w:rPr>
          <w:rFonts w:ascii="Palatino Linotype" w:hAnsi="Palatino Linotype" w:cs="Tahoma"/>
          <w:sz w:val="22"/>
          <w:szCs w:val="22"/>
        </w:rPr>
      </w:pPr>
    </w:p>
    <w:p w14:paraId="57A0B2C9" w14:textId="77777777" w:rsidR="002A7C1B" w:rsidRPr="002A7C1B" w:rsidRDefault="002A7C1B" w:rsidP="002A7C1B">
      <w:pPr>
        <w:spacing w:line="360" w:lineRule="auto"/>
        <w:jc w:val="both"/>
        <w:rPr>
          <w:rFonts w:ascii="Palatino Linotype" w:hAnsi="Palatino Linotype" w:cs="Tahoma"/>
          <w:sz w:val="22"/>
          <w:szCs w:val="22"/>
        </w:rPr>
      </w:pPr>
      <w:r w:rsidRPr="002A7C1B">
        <w:rPr>
          <w:rFonts w:ascii="Palatino Linotype" w:hAnsi="Palatino Linotype" w:cs="Tahoma"/>
          <w:sz w:val="22"/>
          <w:szCs w:val="22"/>
        </w:rPr>
        <w:t xml:space="preserve">En ese orden de ideas, el artículo 174 de la Ley de la materia, establece que en los casos de existir costos para obtener la información, deberán cubrirse de manera previa y nunca deberán ser superiores a la suma de </w:t>
      </w:r>
      <w:r w:rsidRPr="002A7C1B">
        <w:rPr>
          <w:rFonts w:ascii="Palatino Linotype" w:hAnsi="Palatino Linotype" w:cs="Tahoma"/>
          <w:b/>
          <w:sz w:val="22"/>
          <w:szCs w:val="22"/>
        </w:rPr>
        <w:t>los costos de los materiales utilizados, envío y certificación, en su caso;</w:t>
      </w:r>
      <w:r w:rsidRPr="002A7C1B">
        <w:rPr>
          <w:rFonts w:ascii="Palatino Linotype" w:hAnsi="Palatino Linotype" w:cs="Tahoma"/>
          <w:sz w:val="22"/>
          <w:szCs w:val="22"/>
        </w:rPr>
        <w:t xml:space="preserve"> además, que dichos montos deberán permitir o facilitar el ejercicio del derecho de acceso a la información.</w:t>
      </w:r>
    </w:p>
    <w:p w14:paraId="4AF7B883" w14:textId="77777777" w:rsidR="002A7C1B" w:rsidRPr="002A7C1B" w:rsidRDefault="002A7C1B" w:rsidP="002A7C1B">
      <w:pPr>
        <w:spacing w:line="360" w:lineRule="auto"/>
        <w:jc w:val="both"/>
        <w:rPr>
          <w:rFonts w:ascii="Palatino Linotype" w:hAnsi="Palatino Linotype" w:cs="Tahoma"/>
          <w:sz w:val="22"/>
          <w:szCs w:val="22"/>
        </w:rPr>
      </w:pPr>
    </w:p>
    <w:p w14:paraId="59E00078" w14:textId="288A440B" w:rsidR="002A7C1B" w:rsidRDefault="002A7C1B" w:rsidP="002A7C1B">
      <w:pPr>
        <w:spacing w:line="360" w:lineRule="auto"/>
        <w:contextualSpacing/>
        <w:jc w:val="both"/>
        <w:rPr>
          <w:rFonts w:ascii="Palatino Linotype" w:hAnsi="Palatino Linotype" w:cs="Tahoma"/>
          <w:sz w:val="22"/>
          <w:szCs w:val="22"/>
        </w:rPr>
      </w:pPr>
      <w:r w:rsidRPr="002A7C1B">
        <w:rPr>
          <w:rFonts w:ascii="Palatino Linotype" w:hAnsi="Palatino Linotype" w:cs="Tahoma"/>
          <w:sz w:val="22"/>
          <w:szCs w:val="22"/>
        </w:rPr>
        <w:t>De tal manera, por regla general la entrega de la información solicitada en ejercicio del derecho de acceso a la información pública, deberá ser en completa congruencia con el Principio de Gratuidad y solamente en casos excepcionales, se procederá al cobro para la entrega de la información, lo cual ocurrirá en caso de que se tenga que generar un gasto por la reproducción, por la modalidad de entrega solicitada o por su env</w:t>
      </w:r>
      <w:r w:rsidR="00E05EE4">
        <w:rPr>
          <w:rFonts w:ascii="Palatino Linotype" w:hAnsi="Palatino Linotype" w:cs="Tahoma"/>
          <w:sz w:val="22"/>
          <w:szCs w:val="22"/>
        </w:rPr>
        <w:t>ío.</w:t>
      </w:r>
    </w:p>
    <w:p w14:paraId="5B4629B8" w14:textId="77777777" w:rsidR="00983851" w:rsidRPr="00983851" w:rsidRDefault="00983851" w:rsidP="002D46EE">
      <w:pPr>
        <w:spacing w:line="360" w:lineRule="auto"/>
        <w:contextualSpacing/>
        <w:rPr>
          <w:rFonts w:ascii="Palatino Linotype" w:eastAsia="Calibri" w:hAnsi="Palatino Linotype" w:cs="Tahoma"/>
          <w:bCs/>
          <w:sz w:val="22"/>
          <w:szCs w:val="22"/>
          <w:lang w:val="es-ES"/>
        </w:rPr>
      </w:pPr>
    </w:p>
    <w:p w14:paraId="69BAAAD3" w14:textId="4A8AA72D" w:rsidR="00EE4BC7" w:rsidRDefault="00EE4BC7" w:rsidP="00E05EE4">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536EF9">
        <w:rPr>
          <w:rFonts w:ascii="Palatino Linotype" w:eastAsia="Calibri" w:hAnsi="Palatino Linotype" w:cs="Tahoma"/>
          <w:bCs/>
          <w:sz w:val="22"/>
          <w:szCs w:val="22"/>
        </w:rPr>
        <w:t xml:space="preserve">Conforme a lo anterior, se logra vislumbrar </w:t>
      </w:r>
      <w:r>
        <w:rPr>
          <w:rFonts w:ascii="Palatino Linotype" w:eastAsia="Calibri" w:hAnsi="Palatino Linotype" w:cs="Tahoma"/>
          <w:bCs/>
          <w:sz w:val="22"/>
          <w:szCs w:val="22"/>
        </w:rPr>
        <w:t xml:space="preserve">que </w:t>
      </w:r>
      <w:r w:rsidRPr="00536EF9">
        <w:rPr>
          <w:rFonts w:ascii="Palatino Linotype" w:eastAsia="Calibri" w:hAnsi="Palatino Linotype" w:cs="Tahoma"/>
          <w:bCs/>
          <w:sz w:val="22"/>
          <w:szCs w:val="22"/>
        </w:rPr>
        <w:t>el Sujeto Obligado cuenta con competencia para conocer sobre lo solicitado, y que la pretensión de</w:t>
      </w:r>
      <w:r>
        <w:rPr>
          <w:rFonts w:ascii="Palatino Linotype" w:eastAsia="Calibri" w:hAnsi="Palatino Linotype" w:cs="Tahoma"/>
          <w:bCs/>
          <w:sz w:val="22"/>
          <w:szCs w:val="22"/>
        </w:rPr>
        <w:t xml:space="preserve"> </w:t>
      </w:r>
      <w:r w:rsidRPr="00536EF9">
        <w:rPr>
          <w:rFonts w:ascii="Palatino Linotype" w:eastAsia="Calibri" w:hAnsi="Palatino Linotype" w:cs="Tahoma"/>
          <w:bCs/>
          <w:sz w:val="22"/>
          <w:szCs w:val="22"/>
        </w:rPr>
        <w:t>l</w:t>
      </w:r>
      <w:r>
        <w:rPr>
          <w:rFonts w:ascii="Palatino Linotype" w:eastAsia="Calibri" w:hAnsi="Palatino Linotype" w:cs="Tahoma"/>
          <w:bCs/>
          <w:sz w:val="22"/>
          <w:szCs w:val="22"/>
        </w:rPr>
        <w:t xml:space="preserve">a </w:t>
      </w:r>
      <w:r w:rsidRPr="00536EF9">
        <w:rPr>
          <w:rFonts w:ascii="Palatino Linotype" w:eastAsia="Calibri" w:hAnsi="Palatino Linotype" w:cs="Tahoma"/>
          <w:bCs/>
          <w:sz w:val="22"/>
          <w:szCs w:val="22"/>
        </w:rPr>
        <w:t>ahora Recurrente es obtener</w:t>
      </w:r>
      <w:r>
        <w:rPr>
          <w:rFonts w:ascii="Palatino Linotype" w:eastAsia="Calibri" w:hAnsi="Palatino Linotype" w:cs="Tahoma"/>
          <w:bCs/>
          <w:sz w:val="22"/>
          <w:szCs w:val="22"/>
        </w:rPr>
        <w:t xml:space="preserve"> </w:t>
      </w:r>
      <w:r w:rsidR="00E05EE4">
        <w:rPr>
          <w:rFonts w:ascii="Palatino Linotype" w:eastAsia="Calibri" w:hAnsi="Palatino Linotype" w:cs="Tahoma"/>
          <w:iCs/>
          <w:sz w:val="22"/>
          <w:szCs w:val="22"/>
          <w:lang w:val="es-ES" w:eastAsia="es-ES_tradnl"/>
        </w:rPr>
        <w:t>l</w:t>
      </w:r>
      <w:r w:rsidR="00983851">
        <w:rPr>
          <w:rFonts w:ascii="Palatino Linotype" w:eastAsia="Calibri" w:hAnsi="Palatino Linotype" w:cs="Tahoma"/>
          <w:iCs/>
          <w:sz w:val="22"/>
          <w:szCs w:val="22"/>
          <w:lang w:val="es-ES" w:eastAsia="es-ES_tradnl"/>
        </w:rPr>
        <w:t>os documentos que den cuenta del</w:t>
      </w:r>
      <w:r w:rsidR="00E05EE4">
        <w:rPr>
          <w:rFonts w:ascii="Palatino Linotype" w:eastAsia="Calibri" w:hAnsi="Palatino Linotype" w:cs="Tahoma"/>
          <w:iCs/>
          <w:sz w:val="22"/>
          <w:szCs w:val="22"/>
          <w:lang w:val="es-ES" w:eastAsia="es-ES_tradnl"/>
        </w:rPr>
        <w:t xml:space="preserve"> fundamento legal para la procedencia del cobro de información al tratarse de copias simples, al veinticuatro de octubre de dos mil veinticuatro.</w:t>
      </w:r>
    </w:p>
    <w:p w14:paraId="7ACCE463" w14:textId="77777777" w:rsidR="00E05EE4" w:rsidRDefault="00E05EE4" w:rsidP="00E05EE4">
      <w:pPr>
        <w:tabs>
          <w:tab w:val="left" w:pos="4962"/>
        </w:tabs>
        <w:spacing w:line="360" w:lineRule="auto"/>
        <w:ind w:right="-28"/>
        <w:contextualSpacing/>
        <w:jc w:val="both"/>
        <w:rPr>
          <w:rFonts w:ascii="Palatino Linotype" w:eastAsia="Batang" w:hAnsi="Palatino Linotype" w:cs="Tahoma"/>
          <w:bCs/>
          <w:sz w:val="22"/>
          <w:szCs w:val="22"/>
        </w:rPr>
      </w:pPr>
    </w:p>
    <w:p w14:paraId="3938455B" w14:textId="76457FC7" w:rsidR="00EE4BC7" w:rsidRDefault="00EE4BC7" w:rsidP="00FA7BA6">
      <w:pPr>
        <w:spacing w:line="360" w:lineRule="auto"/>
        <w:ind w:right="-28"/>
        <w:contextualSpacing/>
        <w:jc w:val="both"/>
        <w:rPr>
          <w:rFonts w:ascii="Palatino Linotype" w:eastAsia="Batang" w:hAnsi="Palatino Linotype" w:cs="Tahoma"/>
          <w:bCs/>
          <w:sz w:val="22"/>
          <w:szCs w:val="22"/>
        </w:rPr>
      </w:pPr>
      <w:r w:rsidRPr="00991FA2">
        <w:rPr>
          <w:rFonts w:ascii="Palatino Linotype" w:eastAsia="Batang" w:hAnsi="Palatino Linotype" w:cs="Tahoma"/>
          <w:bCs/>
          <w:sz w:val="22"/>
          <w:szCs w:val="22"/>
        </w:rPr>
        <w:t xml:space="preserve">Ahora bien, </w:t>
      </w:r>
      <w:r w:rsidR="00983851">
        <w:rPr>
          <w:rFonts w:ascii="Palatino Linotype" w:eastAsia="Batang" w:hAnsi="Palatino Linotype" w:cs="Tahoma"/>
          <w:bCs/>
          <w:sz w:val="22"/>
          <w:szCs w:val="22"/>
        </w:rPr>
        <w:t xml:space="preserve">de las constancias que obran el expediente en que se actúa se logra vislumbrar que la solicitud de información fue remitida a la Secretaría del Ayuntamiento, por lo que </w:t>
      </w:r>
      <w:r>
        <w:rPr>
          <w:rFonts w:ascii="Palatino Linotype" w:eastAsia="Batang" w:hAnsi="Palatino Linotype" w:cs="Tahoma"/>
          <w:bCs/>
          <w:sz w:val="22"/>
          <w:szCs w:val="22"/>
        </w:rPr>
        <w:t xml:space="preserve">resulta necesario </w:t>
      </w:r>
      <w:r w:rsidRPr="00991FA2">
        <w:rPr>
          <w:rFonts w:ascii="Palatino Linotype" w:eastAsia="Batang" w:hAnsi="Palatino Linotype" w:cs="Tahoma"/>
          <w:bCs/>
          <w:sz w:val="22"/>
          <w:szCs w:val="22"/>
        </w:rPr>
        <w:t>hacer referencia, al procedimiento de búsqueda que deben de seguir los Sujetos Obligados para localizar la información, el cual se encuentra previsto en los artículos 160 y 162 de la Ley de Transparencia y Acceso a la Información Pública del Estado de México y Municip</w:t>
      </w:r>
      <w:r>
        <w:rPr>
          <w:rFonts w:ascii="Palatino Linotype" w:eastAsia="Batang" w:hAnsi="Palatino Linotype" w:cs="Tahoma"/>
          <w:bCs/>
          <w:sz w:val="22"/>
          <w:szCs w:val="22"/>
        </w:rPr>
        <w:t>ios, mismo que es el siguiente:</w:t>
      </w:r>
    </w:p>
    <w:p w14:paraId="3EC992B2" w14:textId="77777777" w:rsidR="00EE4BC7" w:rsidRDefault="00EE4BC7" w:rsidP="00FA7BA6">
      <w:pPr>
        <w:spacing w:line="360" w:lineRule="auto"/>
        <w:ind w:right="-28"/>
        <w:contextualSpacing/>
        <w:jc w:val="both"/>
        <w:rPr>
          <w:rFonts w:ascii="Palatino Linotype" w:eastAsia="Batang" w:hAnsi="Palatino Linotype" w:cs="Tahoma"/>
          <w:bCs/>
          <w:sz w:val="22"/>
          <w:szCs w:val="22"/>
        </w:rPr>
      </w:pPr>
    </w:p>
    <w:p w14:paraId="560D79F3" w14:textId="77777777" w:rsidR="00EE4BC7" w:rsidRDefault="00EE4BC7" w:rsidP="00FA7BA6">
      <w:pPr>
        <w:pStyle w:val="Prrafodelista"/>
        <w:numPr>
          <w:ilvl w:val="0"/>
          <w:numId w:val="1"/>
        </w:numPr>
        <w:spacing w:line="360" w:lineRule="auto"/>
        <w:ind w:right="-28"/>
        <w:jc w:val="both"/>
        <w:rPr>
          <w:rFonts w:ascii="Palatino Linotype" w:eastAsia="Batang" w:hAnsi="Palatino Linotype" w:cs="Tahoma"/>
          <w:bCs/>
          <w:szCs w:val="22"/>
        </w:rPr>
      </w:pPr>
      <w:r w:rsidRPr="00991FA2">
        <w:rPr>
          <w:rFonts w:ascii="Palatino Linotype" w:eastAsia="Batang" w:hAnsi="Palatino Linotype" w:cs="Tahoma"/>
          <w:bCs/>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E0C3D76" w14:textId="77777777" w:rsidR="00EE4BC7" w:rsidRDefault="00EE4BC7" w:rsidP="00FA7BA6">
      <w:pPr>
        <w:pStyle w:val="Prrafodelista"/>
        <w:spacing w:line="360" w:lineRule="auto"/>
        <w:ind w:right="-28"/>
        <w:jc w:val="both"/>
        <w:rPr>
          <w:rFonts w:ascii="Palatino Linotype" w:eastAsia="Batang" w:hAnsi="Palatino Linotype" w:cs="Tahoma"/>
          <w:bCs/>
          <w:szCs w:val="22"/>
        </w:rPr>
      </w:pPr>
    </w:p>
    <w:p w14:paraId="169EBE12" w14:textId="77777777" w:rsidR="00EE4BC7" w:rsidRPr="00991FA2" w:rsidRDefault="00EE4BC7" w:rsidP="00FA7BA6">
      <w:pPr>
        <w:pStyle w:val="Prrafodelista"/>
        <w:numPr>
          <w:ilvl w:val="0"/>
          <w:numId w:val="1"/>
        </w:numPr>
        <w:spacing w:line="360" w:lineRule="auto"/>
        <w:ind w:right="-28"/>
        <w:jc w:val="both"/>
        <w:rPr>
          <w:rFonts w:ascii="Palatino Linotype" w:eastAsia="Batang" w:hAnsi="Palatino Linotype" w:cs="Tahoma"/>
          <w:bCs/>
          <w:szCs w:val="22"/>
        </w:rPr>
      </w:pPr>
      <w:r w:rsidRPr="00991FA2">
        <w:rPr>
          <w:rFonts w:ascii="Palatino Linotype" w:eastAsia="Batang" w:hAnsi="Palatino Linotype" w:cs="Tahoma"/>
          <w:bCs/>
          <w:szCs w:val="22"/>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2EE8916" w14:textId="77777777" w:rsidR="00EE4BC7" w:rsidRPr="00991FA2" w:rsidRDefault="00EE4BC7" w:rsidP="00FA7BA6">
      <w:pPr>
        <w:spacing w:line="360" w:lineRule="auto"/>
        <w:ind w:right="-28"/>
        <w:contextualSpacing/>
        <w:jc w:val="both"/>
        <w:rPr>
          <w:rFonts w:ascii="Palatino Linotype" w:eastAsia="Batang" w:hAnsi="Palatino Linotype" w:cs="Tahoma"/>
          <w:bCs/>
          <w:sz w:val="22"/>
          <w:szCs w:val="22"/>
        </w:rPr>
      </w:pPr>
    </w:p>
    <w:p w14:paraId="2C2A458B" w14:textId="77777777" w:rsidR="00B25EC4" w:rsidRDefault="00EE4BC7" w:rsidP="00FA7BA6">
      <w:pPr>
        <w:spacing w:line="360" w:lineRule="auto"/>
        <w:ind w:right="-28"/>
        <w:contextualSpacing/>
        <w:jc w:val="both"/>
        <w:rPr>
          <w:rFonts w:ascii="Palatino Linotype" w:eastAsia="Batang" w:hAnsi="Palatino Linotype" w:cs="Tahoma"/>
          <w:bCs/>
          <w:sz w:val="22"/>
          <w:szCs w:val="22"/>
        </w:rPr>
      </w:pPr>
      <w:r w:rsidRPr="00D4683A">
        <w:rPr>
          <w:rFonts w:ascii="Palatino Linotype" w:eastAsia="Batang" w:hAnsi="Palatino Linotype" w:cs="Tahoma"/>
          <w:bCs/>
          <w:sz w:val="22"/>
          <w:szCs w:val="22"/>
        </w:rPr>
        <w:t>Así, a efecto de verificar que el Sujeto Obligado cumplió con dicho procedimiento, es necesario traer a colación los</w:t>
      </w:r>
      <w:r>
        <w:rPr>
          <w:rFonts w:ascii="Palatino Linotype" w:eastAsia="Batang" w:hAnsi="Palatino Linotype" w:cs="Tahoma"/>
          <w:bCs/>
          <w:sz w:val="22"/>
          <w:szCs w:val="22"/>
        </w:rPr>
        <w:t xml:space="preserve"> artículos </w:t>
      </w:r>
      <w:r w:rsidR="009E1D71">
        <w:rPr>
          <w:rFonts w:ascii="Palatino Linotype" w:eastAsia="Batang" w:hAnsi="Palatino Linotype" w:cs="Tahoma"/>
          <w:bCs/>
          <w:sz w:val="22"/>
          <w:szCs w:val="22"/>
        </w:rPr>
        <w:t>47 fracción II, numeral</w:t>
      </w:r>
      <w:r w:rsidR="00B25EC4">
        <w:rPr>
          <w:rFonts w:ascii="Palatino Linotype" w:eastAsia="Batang" w:hAnsi="Palatino Linotype" w:cs="Tahoma"/>
          <w:bCs/>
          <w:sz w:val="22"/>
          <w:szCs w:val="22"/>
        </w:rPr>
        <w:t>es 2 y 16, 76, 77 fracción IV</w:t>
      </w:r>
      <w:r w:rsidR="004117D1">
        <w:rPr>
          <w:rFonts w:ascii="Palatino Linotype" w:eastAsia="Batang" w:hAnsi="Palatino Linotype" w:cs="Tahoma"/>
          <w:bCs/>
          <w:sz w:val="22"/>
          <w:szCs w:val="22"/>
        </w:rPr>
        <w:t>,</w:t>
      </w:r>
      <w:r w:rsidR="00B25EC4">
        <w:rPr>
          <w:rFonts w:ascii="Palatino Linotype" w:eastAsia="Batang" w:hAnsi="Palatino Linotype" w:cs="Tahoma"/>
          <w:bCs/>
          <w:sz w:val="22"/>
          <w:szCs w:val="22"/>
        </w:rPr>
        <w:t xml:space="preserve"> 78, 79, 80, 213, 214, 215 Y 216 del Bando Municipal de Mexicaltzingo, dos mil veinticuatro, </w:t>
      </w:r>
      <w:r w:rsidR="009E1D71">
        <w:rPr>
          <w:rFonts w:ascii="Palatino Linotype" w:eastAsia="Batang" w:hAnsi="Palatino Linotype" w:cs="Tahoma"/>
          <w:bCs/>
          <w:sz w:val="22"/>
          <w:szCs w:val="22"/>
        </w:rPr>
        <w:t>en los cuales se establece que, para el despacho de los asuntos municipales, el Ayuntamiento se auxiliará de las dependencias de la administración pública municipal, entre otras la</w:t>
      </w:r>
      <w:r w:rsidR="00B25EC4">
        <w:rPr>
          <w:rFonts w:ascii="Palatino Linotype" w:eastAsia="Batang" w:hAnsi="Palatino Linotype" w:cs="Tahoma"/>
          <w:bCs/>
          <w:sz w:val="22"/>
          <w:szCs w:val="22"/>
        </w:rPr>
        <w:t>s siguientes:</w:t>
      </w:r>
    </w:p>
    <w:p w14:paraId="5173AD1F" w14:textId="77777777" w:rsidR="00B25EC4" w:rsidRDefault="00B25EC4" w:rsidP="00FA7BA6">
      <w:pPr>
        <w:spacing w:line="360" w:lineRule="auto"/>
        <w:ind w:right="-28"/>
        <w:contextualSpacing/>
        <w:jc w:val="both"/>
        <w:rPr>
          <w:rFonts w:ascii="Palatino Linotype" w:eastAsia="Batang" w:hAnsi="Palatino Linotype" w:cs="Tahoma"/>
          <w:bCs/>
          <w:sz w:val="22"/>
          <w:szCs w:val="22"/>
        </w:rPr>
      </w:pPr>
    </w:p>
    <w:p w14:paraId="794717AA" w14:textId="26129E22" w:rsidR="004117D1" w:rsidRPr="00065FB7" w:rsidRDefault="00B25EC4" w:rsidP="00B25EC4">
      <w:pPr>
        <w:pStyle w:val="Prrafodelista"/>
        <w:numPr>
          <w:ilvl w:val="0"/>
          <w:numId w:val="12"/>
        </w:numPr>
        <w:spacing w:line="360" w:lineRule="auto"/>
        <w:ind w:right="-28"/>
        <w:jc w:val="both"/>
        <w:rPr>
          <w:rFonts w:ascii="Palatino Linotype" w:eastAsia="Batang" w:hAnsi="Palatino Linotype" w:cs="Tahoma"/>
          <w:b/>
          <w:bCs/>
          <w:szCs w:val="22"/>
        </w:rPr>
      </w:pPr>
      <w:r w:rsidRPr="00065FB7">
        <w:rPr>
          <w:rFonts w:ascii="Palatino Linotype" w:eastAsia="Batang" w:hAnsi="Palatino Linotype" w:cs="Tahoma"/>
          <w:b/>
          <w:bCs/>
          <w:szCs w:val="22"/>
        </w:rPr>
        <w:t xml:space="preserve">Tesorería Municipal: </w:t>
      </w:r>
      <w:r w:rsidRPr="00065FB7">
        <w:rPr>
          <w:rFonts w:ascii="Palatino Linotype" w:hAnsi="Palatino Linotype"/>
        </w:rPr>
        <w:t>Órgano de la Administración Pública, autorizado para la recaudación de los impuestos y demás contribuciones de los particulares, de acuerdo con la Ley de Ingresos del Estado de México y Municipios, así como del Código Fina</w:t>
      </w:r>
      <w:r w:rsidR="00065FB7" w:rsidRPr="00065FB7">
        <w:rPr>
          <w:rFonts w:ascii="Palatino Linotype" w:hAnsi="Palatino Linotype"/>
        </w:rPr>
        <w:t>nciero y demás Leyes aplicables, además le corresponderá el ejercicio de diversas atribuciones entre otras las siguientes:</w:t>
      </w:r>
    </w:p>
    <w:p w14:paraId="3349326E" w14:textId="77777777" w:rsidR="00065FB7" w:rsidRPr="00065FB7" w:rsidRDefault="00065FB7" w:rsidP="00065FB7">
      <w:pPr>
        <w:pStyle w:val="Prrafodelista"/>
        <w:spacing w:line="360" w:lineRule="auto"/>
        <w:ind w:right="-28"/>
        <w:jc w:val="both"/>
        <w:rPr>
          <w:rFonts w:ascii="Palatino Linotype" w:eastAsia="Batang" w:hAnsi="Palatino Linotype" w:cs="Tahoma"/>
          <w:b/>
          <w:bCs/>
          <w:szCs w:val="22"/>
        </w:rPr>
      </w:pPr>
    </w:p>
    <w:p w14:paraId="5FFAC926" w14:textId="083FE5C6"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Administrar la Hacienda Pública Municipal, de conformidad con las disposiciones legales aplicables;</w:t>
      </w:r>
    </w:p>
    <w:p w14:paraId="165E8D56" w14:textId="34BF6C17"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Determinar, liquidar, recaudar, fiscalizar y administrar las contribuciones en los términos de los ordenamientos jurídicos aplicables y en su caso, aplicar el procedimiento administrativo de ejecución en términos de las disposiciones aplicables;</w:t>
      </w:r>
    </w:p>
    <w:p w14:paraId="2EA2881F" w14:textId="253D1A96"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Imponer las sanciones administrativas que procedan por infracciones a las disposiciones fiscales;</w:t>
      </w:r>
    </w:p>
    <w:p w14:paraId="3431B613" w14:textId="25701911"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lastRenderedPageBreak/>
        <w:t>Proporcionar oportunamente al Ayuntamiento todos los datos o informes que sean necesarios para la formulación del Presupuesto de Egresos Municipales, vigilando que se ajuste a las disposiciones de este Bando y otros ordenamientos aplicables;</w:t>
      </w:r>
    </w:p>
    <w:p w14:paraId="1A2062A8" w14:textId="05455105"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Proponer la política de ingresos de la Tesorería Municipal; y</w:t>
      </w:r>
    </w:p>
    <w:p w14:paraId="651F7B22" w14:textId="706070A6"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w:t>
      </w:r>
    </w:p>
    <w:p w14:paraId="2BC281D0" w14:textId="77777777" w:rsidR="00065FB7" w:rsidRDefault="00065FB7" w:rsidP="00065FB7">
      <w:pPr>
        <w:spacing w:line="360" w:lineRule="auto"/>
        <w:ind w:right="-28"/>
        <w:jc w:val="both"/>
        <w:rPr>
          <w:rFonts w:ascii="Palatino Linotype" w:eastAsia="Batang" w:hAnsi="Palatino Linotype" w:cs="Tahoma"/>
          <w:b/>
          <w:bCs/>
          <w:szCs w:val="22"/>
        </w:rPr>
      </w:pPr>
    </w:p>
    <w:p w14:paraId="68576C34" w14:textId="62134DD0" w:rsidR="00065FB7" w:rsidRPr="00065FB7" w:rsidRDefault="00065FB7" w:rsidP="00065FB7">
      <w:pPr>
        <w:pStyle w:val="Prrafodelista"/>
        <w:numPr>
          <w:ilvl w:val="0"/>
          <w:numId w:val="12"/>
        </w:numPr>
        <w:spacing w:line="360" w:lineRule="auto"/>
        <w:ind w:right="-28"/>
        <w:jc w:val="both"/>
        <w:rPr>
          <w:rFonts w:ascii="Palatino Linotype" w:eastAsia="Batang" w:hAnsi="Palatino Linotype" w:cs="Tahoma"/>
          <w:b/>
          <w:bCs/>
          <w:szCs w:val="22"/>
        </w:rPr>
      </w:pPr>
      <w:r w:rsidRPr="00065FB7">
        <w:rPr>
          <w:rFonts w:ascii="Palatino Linotype" w:hAnsi="Palatino Linotype"/>
          <w:b/>
        </w:rPr>
        <w:t xml:space="preserve">Dirección de la Unidad de Información, Planeación, Programación, Evaluación, Transparencia y Acceso a la Información: </w:t>
      </w:r>
      <w:r w:rsidRPr="00065FB7">
        <w:rPr>
          <w:rFonts w:ascii="Palatino Linotype" w:hAnsi="Palatino Linotype"/>
        </w:rPr>
        <w:t>La UIPPE es la Unidad administrativa que desarrolla las funciones de generación de información, planeación, programación y evaluación, referenciadas en el artículo 19 de la Ley de Planeación del Estado de México y Municipios, en conjunto con las áreas integrantes del ayuntamiento de Mexicaltzingo, responsable del acceso a la información pública y el vínculo entre el sujeto obligado y el particular, además de ser la encargada de recibir y atender las solicitudes de información pública que realice la ciudadanía.  además le corresponderá el ejercicio de diversas atribuciones entre otras las siguientes:</w:t>
      </w:r>
    </w:p>
    <w:p w14:paraId="5316D1B2" w14:textId="77777777" w:rsidR="00065FB7" w:rsidRPr="00065FB7" w:rsidRDefault="00065FB7" w:rsidP="00065FB7">
      <w:pPr>
        <w:pStyle w:val="Prrafodelista"/>
        <w:spacing w:line="360" w:lineRule="auto"/>
        <w:ind w:left="1080" w:right="-28"/>
        <w:jc w:val="both"/>
        <w:rPr>
          <w:rFonts w:ascii="Palatino Linotype" w:eastAsia="Batang" w:hAnsi="Palatino Linotype" w:cs="Tahoma"/>
          <w:b/>
          <w:bCs/>
          <w:szCs w:val="22"/>
        </w:rPr>
      </w:pPr>
    </w:p>
    <w:p w14:paraId="09C8D8C3" w14:textId="13EE73AE"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b/>
        </w:rPr>
        <w:t xml:space="preserve"> </w:t>
      </w:r>
      <w:r w:rsidRPr="00065FB7">
        <w:rPr>
          <w:rFonts w:ascii="Palatino Linotype" w:hAnsi="Palatino Linotype"/>
        </w:rPr>
        <w:t>Coordinar los programas y planes de trabajo de las diferentes áreas que integran el Ayuntamiento a efecto de elaborar los informes necesarios para la evaluación de la administración pública municipal;</w:t>
      </w:r>
    </w:p>
    <w:p w14:paraId="3DD8843F" w14:textId="56B60089"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lastRenderedPageBreak/>
        <w:t>Procesar, analizar, dar seguimiento y generar la información de los avances y cumplimiento de los objetivos y metas contenidos en el Plan de Desarrollo Municipal;</w:t>
      </w:r>
    </w:p>
    <w:p w14:paraId="1F3F5CAA" w14:textId="6937BE47"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Operar el sistema de Información Pública de Oficio Mexiquense (IPOMEX);</w:t>
      </w:r>
    </w:p>
    <w:p w14:paraId="1A8B88E2" w14:textId="056E5E79"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La recepción y trámite de las solicitudes de acceso a la información pública, a través del Sistema de Acceso a la Información Mexiquense (SAIMEX);</w:t>
      </w:r>
    </w:p>
    <w:p w14:paraId="762AF85C" w14:textId="7DD3060A"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Recabar, difundir y actualizar la Información relativa a las obligaciones de transparencia común y</w:t>
      </w:r>
      <w:r w:rsidR="00CE5E8E">
        <w:rPr>
          <w:rFonts w:ascii="Palatino Linotype" w:hAnsi="Palatino Linotype"/>
        </w:rPr>
        <w:t xml:space="preserve"> </w:t>
      </w:r>
      <w:r w:rsidRPr="00065FB7">
        <w:rPr>
          <w:rFonts w:ascii="Palatino Linotype" w:hAnsi="Palatino Linotype"/>
        </w:rPr>
        <w:t>específica a la que se refiere la Ley de Transparencia y Acceso a la Información Pública del Estado de México y Municipios, este Bando, la que determine el Instituto y las demás disposiciones de la</w:t>
      </w:r>
      <w:r w:rsidR="00CE5E8E">
        <w:rPr>
          <w:rFonts w:ascii="Palatino Linotype" w:hAnsi="Palatino Linotype"/>
        </w:rPr>
        <w:t xml:space="preserve"> </w:t>
      </w:r>
      <w:r w:rsidRPr="00065FB7">
        <w:rPr>
          <w:rFonts w:ascii="Palatino Linotype" w:hAnsi="Palatino Linotype"/>
        </w:rPr>
        <w:t>materia, así como propiciar que las áreas las actualicen periódicamente conforme a la normatividad aplicable;</w:t>
      </w:r>
    </w:p>
    <w:p w14:paraId="72037FAC" w14:textId="7C0EC16C"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Auxiliar a los particulares en la elaboración de solicitudes de acceso a la información y en su caso, orientarlo sobre los sujetos obligados competentes conforme a la normatividad aplicable; y</w:t>
      </w:r>
    </w:p>
    <w:p w14:paraId="4F90105A" w14:textId="48B061D8" w:rsidR="00065FB7" w:rsidRPr="00065FB7" w:rsidRDefault="00065FB7" w:rsidP="00065FB7">
      <w:pPr>
        <w:pStyle w:val="Prrafodelista"/>
        <w:numPr>
          <w:ilvl w:val="0"/>
          <w:numId w:val="14"/>
        </w:numPr>
        <w:spacing w:line="360" w:lineRule="auto"/>
        <w:ind w:right="-28"/>
        <w:jc w:val="both"/>
        <w:rPr>
          <w:rFonts w:ascii="Palatino Linotype" w:eastAsia="Batang" w:hAnsi="Palatino Linotype" w:cs="Tahoma"/>
          <w:b/>
          <w:bCs/>
          <w:szCs w:val="22"/>
        </w:rPr>
      </w:pPr>
      <w:r w:rsidRPr="00065FB7">
        <w:rPr>
          <w:rFonts w:ascii="Palatino Linotype" w:hAnsi="Palatino Linotype"/>
        </w:rPr>
        <w:t>Realizar, con efectividad, los trámites internos necesarios para la atención de las solicitudes de acceso a la información.</w:t>
      </w:r>
    </w:p>
    <w:p w14:paraId="567ACD97" w14:textId="77777777" w:rsidR="00EE4BC7" w:rsidRDefault="00EE4BC7" w:rsidP="00FA7BA6">
      <w:pPr>
        <w:spacing w:line="360" w:lineRule="auto"/>
        <w:ind w:right="-28"/>
        <w:contextualSpacing/>
        <w:jc w:val="both"/>
        <w:rPr>
          <w:rFonts w:ascii="Palatino Linotype" w:eastAsia="Batang" w:hAnsi="Palatino Linotype" w:cs="Tahoma"/>
          <w:bCs/>
          <w:sz w:val="22"/>
          <w:szCs w:val="22"/>
        </w:rPr>
      </w:pPr>
    </w:p>
    <w:p w14:paraId="7FF04AA7" w14:textId="77777777" w:rsidR="002D46EE" w:rsidRDefault="002D46EE" w:rsidP="00FA7BA6">
      <w:pPr>
        <w:spacing w:line="360" w:lineRule="auto"/>
        <w:ind w:right="-28"/>
        <w:contextualSpacing/>
        <w:jc w:val="both"/>
        <w:rPr>
          <w:rFonts w:ascii="Palatino Linotype" w:eastAsia="Batang" w:hAnsi="Palatino Linotype" w:cs="Tahoma"/>
          <w:bCs/>
          <w:sz w:val="22"/>
          <w:szCs w:val="22"/>
        </w:rPr>
      </w:pPr>
    </w:p>
    <w:p w14:paraId="402E066D" w14:textId="5366E195" w:rsidR="00EE4BC7" w:rsidRDefault="00EE4BC7" w:rsidP="00FA7BA6">
      <w:pPr>
        <w:spacing w:line="360" w:lineRule="auto"/>
        <w:ind w:right="-28"/>
        <w:contextualSpacing/>
        <w:jc w:val="both"/>
        <w:rPr>
          <w:rFonts w:ascii="Palatino Linotype" w:eastAsia="Batang" w:hAnsi="Palatino Linotype" w:cs="Tahoma"/>
          <w:bCs/>
          <w:sz w:val="22"/>
          <w:szCs w:val="22"/>
        </w:rPr>
      </w:pPr>
      <w:r w:rsidRPr="00CE5E8E">
        <w:rPr>
          <w:rFonts w:ascii="Palatino Linotype" w:eastAsia="Batang" w:hAnsi="Palatino Linotype" w:cs="Tahoma"/>
          <w:bCs/>
          <w:sz w:val="22"/>
          <w:szCs w:val="22"/>
        </w:rPr>
        <w:t>De tal circunstancia, se logra colegir que el Sujeto Obligado incumplió con el procedimiento de búsqueda establecido en el artículo 162 de la Ley de Transparencia y Acceso a la Información Pública del Esta</w:t>
      </w:r>
      <w:r w:rsidR="00065FB7" w:rsidRPr="00CE5E8E">
        <w:rPr>
          <w:rFonts w:ascii="Palatino Linotype" w:eastAsia="Batang" w:hAnsi="Palatino Linotype" w:cs="Tahoma"/>
          <w:bCs/>
          <w:sz w:val="22"/>
          <w:szCs w:val="22"/>
        </w:rPr>
        <w:t>do de México y Municipios, pues</w:t>
      </w:r>
      <w:r w:rsidR="00B77A4B" w:rsidRPr="00CE5E8E">
        <w:rPr>
          <w:rFonts w:ascii="Palatino Linotype" w:eastAsia="Batang" w:hAnsi="Palatino Linotype" w:cs="Tahoma"/>
          <w:bCs/>
          <w:sz w:val="22"/>
          <w:szCs w:val="22"/>
        </w:rPr>
        <w:t xml:space="preserve"> </w:t>
      </w:r>
      <w:r w:rsidRPr="00CE5E8E">
        <w:rPr>
          <w:rFonts w:ascii="Palatino Linotype" w:eastAsia="Batang" w:hAnsi="Palatino Linotype" w:cs="Tahoma"/>
          <w:bCs/>
          <w:sz w:val="22"/>
          <w:szCs w:val="22"/>
        </w:rPr>
        <w:t>el Sujeto Obligado</w:t>
      </w:r>
      <w:r w:rsidR="00B77A4B" w:rsidRPr="00CE5E8E">
        <w:rPr>
          <w:rFonts w:ascii="Palatino Linotype" w:eastAsia="Batang" w:hAnsi="Palatino Linotype" w:cs="Tahoma"/>
          <w:bCs/>
          <w:sz w:val="22"/>
          <w:szCs w:val="22"/>
        </w:rPr>
        <w:t xml:space="preserve"> </w:t>
      </w:r>
      <w:r w:rsidR="00065FB7" w:rsidRPr="00CE5E8E">
        <w:rPr>
          <w:rFonts w:ascii="Palatino Linotype" w:eastAsia="Batang" w:hAnsi="Palatino Linotype" w:cs="Tahoma"/>
          <w:bCs/>
          <w:sz w:val="22"/>
          <w:szCs w:val="22"/>
        </w:rPr>
        <w:t>omitió turnar</w:t>
      </w:r>
      <w:r w:rsidR="00B77A4B" w:rsidRPr="00CE5E8E">
        <w:rPr>
          <w:rFonts w:ascii="Palatino Linotype" w:eastAsia="Batang" w:hAnsi="Palatino Linotype" w:cs="Tahoma"/>
          <w:bCs/>
          <w:sz w:val="22"/>
          <w:szCs w:val="22"/>
        </w:rPr>
        <w:t xml:space="preserve"> </w:t>
      </w:r>
      <w:r w:rsidR="00065FB7" w:rsidRPr="00CE5E8E">
        <w:rPr>
          <w:rFonts w:ascii="Palatino Linotype" w:eastAsia="Batang" w:hAnsi="Palatino Linotype" w:cs="Tahoma"/>
          <w:bCs/>
          <w:sz w:val="22"/>
          <w:szCs w:val="22"/>
        </w:rPr>
        <w:t>la solicitud de información a la</w:t>
      </w:r>
      <w:r w:rsidR="00B77A4B" w:rsidRPr="00CE5E8E">
        <w:rPr>
          <w:rFonts w:ascii="Palatino Linotype" w:eastAsia="Batang" w:hAnsi="Palatino Linotype" w:cs="Tahoma"/>
          <w:bCs/>
          <w:sz w:val="22"/>
          <w:szCs w:val="22"/>
        </w:rPr>
        <w:t xml:space="preserve"> </w:t>
      </w:r>
      <w:r w:rsidR="00065FB7" w:rsidRPr="00CE5E8E">
        <w:rPr>
          <w:rFonts w:ascii="Palatino Linotype" w:eastAsia="Batang" w:hAnsi="Palatino Linotype" w:cs="Tahoma"/>
          <w:bCs/>
          <w:sz w:val="22"/>
          <w:szCs w:val="22"/>
        </w:rPr>
        <w:t xml:space="preserve">Tesorería Municipal y a la </w:t>
      </w:r>
      <w:r w:rsidR="00065FB7" w:rsidRPr="00CE5E8E">
        <w:rPr>
          <w:rFonts w:ascii="Palatino Linotype" w:hAnsi="Palatino Linotype"/>
          <w:sz w:val="22"/>
          <w:szCs w:val="22"/>
        </w:rPr>
        <w:t>Dirección de la Unidad de Información, Planeación, Programación, Evaluación, Transparencia y Acceso a la Información</w:t>
      </w:r>
      <w:r w:rsidRPr="00991FA2">
        <w:rPr>
          <w:rFonts w:ascii="Palatino Linotype" w:eastAsia="Batang" w:hAnsi="Palatino Linotype" w:cs="Tahoma"/>
          <w:bCs/>
          <w:sz w:val="22"/>
          <w:szCs w:val="22"/>
        </w:rPr>
        <w:t>, encargada</w:t>
      </w:r>
      <w:r w:rsidR="00B77A4B">
        <w:rPr>
          <w:rFonts w:ascii="Palatino Linotype" w:eastAsia="Batang" w:hAnsi="Palatino Linotype" w:cs="Tahoma"/>
          <w:bCs/>
          <w:sz w:val="22"/>
          <w:szCs w:val="22"/>
        </w:rPr>
        <w:t>s</w:t>
      </w:r>
      <w:r w:rsidRPr="00991FA2">
        <w:rPr>
          <w:rFonts w:ascii="Palatino Linotype" w:eastAsia="Batang" w:hAnsi="Palatino Linotype" w:cs="Tahoma"/>
          <w:bCs/>
          <w:sz w:val="22"/>
          <w:szCs w:val="22"/>
        </w:rPr>
        <w:t xml:space="preserve"> de </w:t>
      </w:r>
      <w:r>
        <w:rPr>
          <w:rFonts w:ascii="Palatino Linotype" w:eastAsia="Batang" w:hAnsi="Palatino Linotype" w:cs="Tahoma"/>
          <w:bCs/>
          <w:sz w:val="22"/>
          <w:szCs w:val="22"/>
        </w:rPr>
        <w:t>conocer sobre lo peticionado.</w:t>
      </w:r>
    </w:p>
    <w:p w14:paraId="40B96501" w14:textId="77777777" w:rsidR="00EE4BC7" w:rsidRDefault="00EE4BC7" w:rsidP="00FA7BA6">
      <w:pPr>
        <w:spacing w:line="360" w:lineRule="auto"/>
        <w:ind w:right="-28"/>
        <w:contextualSpacing/>
        <w:jc w:val="both"/>
        <w:rPr>
          <w:rFonts w:ascii="Palatino Linotype" w:hAnsi="Palatino Linotype" w:cs="Tahoma"/>
          <w:color w:val="0D0D0D" w:themeColor="text1" w:themeTint="F2"/>
          <w:sz w:val="22"/>
          <w:szCs w:val="22"/>
          <w:lang w:val="es-ES"/>
        </w:rPr>
      </w:pPr>
    </w:p>
    <w:p w14:paraId="5C38CECC" w14:textId="4624F1DB" w:rsidR="00B77A4B" w:rsidRDefault="00EE4BC7" w:rsidP="00FA7BA6">
      <w:pPr>
        <w:spacing w:line="360" w:lineRule="auto"/>
        <w:contextualSpacing/>
        <w:jc w:val="both"/>
        <w:rPr>
          <w:rFonts w:ascii="Palatino Linotype" w:eastAsiaTheme="minorHAnsi" w:hAnsi="Palatino Linotype" w:cs="Tahoma"/>
          <w:iCs/>
          <w:color w:val="000000" w:themeColor="text1"/>
          <w:sz w:val="22"/>
          <w:szCs w:val="22"/>
          <w:lang w:val="es-ES" w:eastAsia="en-US"/>
        </w:rPr>
      </w:pPr>
      <w:r>
        <w:rPr>
          <w:rFonts w:ascii="Palatino Linotype" w:eastAsia="Batang" w:hAnsi="Palatino Linotype" w:cs="Tahoma"/>
          <w:bCs/>
          <w:sz w:val="22"/>
          <w:szCs w:val="22"/>
        </w:rPr>
        <w:lastRenderedPageBreak/>
        <w:t xml:space="preserve">Sin menoscabar lo anterior, el Sujeto Obligado a través de la </w:t>
      </w:r>
      <w:r w:rsidR="00B77A4B">
        <w:rPr>
          <w:rFonts w:ascii="Palatino Linotype" w:eastAsia="Batang" w:hAnsi="Palatino Linotype" w:cs="Tahoma"/>
          <w:bCs/>
          <w:sz w:val="22"/>
          <w:szCs w:val="22"/>
        </w:rPr>
        <w:t>Secretaría del Ayuntamiento en respuesta</w:t>
      </w:r>
      <w:r>
        <w:rPr>
          <w:rFonts w:ascii="Palatino Linotype" w:eastAsia="Batang" w:hAnsi="Palatino Linotype" w:cs="Tahoma"/>
          <w:bCs/>
          <w:sz w:val="22"/>
          <w:szCs w:val="22"/>
        </w:rPr>
        <w:t>,</w:t>
      </w:r>
      <w:r w:rsidR="00B77A4B">
        <w:rPr>
          <w:rFonts w:ascii="Palatino Linotype" w:eastAsia="Batang" w:hAnsi="Palatino Linotype" w:cs="Tahoma"/>
          <w:bCs/>
          <w:sz w:val="22"/>
          <w:szCs w:val="22"/>
        </w:rPr>
        <w:t xml:space="preserve"> indicó que </w:t>
      </w:r>
      <w:r w:rsidR="00B77A4B">
        <w:rPr>
          <w:rFonts w:ascii="Palatino Linotype" w:hAnsi="Palatino Linotype" w:cs="Tahoma"/>
          <w:sz w:val="22"/>
          <w:szCs w:val="22"/>
        </w:rPr>
        <w:t xml:space="preserve">no podía contestar a la solicitud, en virtud de que desconocía la información requerida y la cantidad de documentos que daban cuenta de la información solicitada, </w:t>
      </w:r>
      <w:r w:rsidR="00CE5E8E">
        <w:rPr>
          <w:rFonts w:ascii="Palatino Linotype" w:hAnsi="Palatino Linotype" w:cs="Tahoma"/>
          <w:sz w:val="22"/>
          <w:szCs w:val="22"/>
        </w:rPr>
        <w:t>no obstante</w:t>
      </w:r>
      <w:r w:rsidR="00B77A4B">
        <w:rPr>
          <w:rFonts w:ascii="Palatino Linotype" w:hAnsi="Palatino Linotype" w:cs="Tahoma"/>
          <w:sz w:val="22"/>
          <w:szCs w:val="22"/>
        </w:rPr>
        <w:t xml:space="preserve"> mediante informe justificado, señaló </w:t>
      </w:r>
      <w:r w:rsidR="00B77A4B">
        <w:rPr>
          <w:rFonts w:ascii="Palatino Linotype" w:eastAsiaTheme="minorHAnsi" w:hAnsi="Palatino Linotype" w:cs="Tahoma"/>
          <w:iCs/>
          <w:color w:val="000000" w:themeColor="text1"/>
          <w:sz w:val="22"/>
          <w:szCs w:val="22"/>
          <w:lang w:val="es-ES" w:eastAsia="en-US"/>
        </w:rPr>
        <w:t>que con fundamento en el artículo 174 de la Ley de la materia, la información deberá ser entregada sin costo, cuando implicara la entrega de no más de veinte hojas simples.</w:t>
      </w:r>
    </w:p>
    <w:p w14:paraId="7A8B0AC7" w14:textId="77777777" w:rsidR="00B77A4B" w:rsidRDefault="00B77A4B" w:rsidP="00FA7BA6">
      <w:pPr>
        <w:spacing w:line="360" w:lineRule="auto"/>
        <w:contextualSpacing/>
        <w:jc w:val="both"/>
        <w:rPr>
          <w:rFonts w:ascii="Palatino Linotype" w:eastAsiaTheme="minorHAnsi" w:hAnsi="Palatino Linotype" w:cs="Tahoma"/>
          <w:iCs/>
          <w:color w:val="000000" w:themeColor="text1"/>
          <w:sz w:val="22"/>
          <w:szCs w:val="22"/>
          <w:lang w:val="es-ES" w:eastAsia="en-US"/>
        </w:rPr>
      </w:pPr>
    </w:p>
    <w:p w14:paraId="7DD4645A" w14:textId="17841CC7" w:rsidR="00BE42DA" w:rsidRDefault="00983851" w:rsidP="00FA7BA6">
      <w:pPr>
        <w:spacing w:line="360" w:lineRule="auto"/>
        <w:contextualSpacing/>
        <w:jc w:val="both"/>
        <w:rPr>
          <w:rFonts w:ascii="Palatino Linotype" w:hAnsi="Palatino Linotype" w:cs="Tahoma"/>
          <w:sz w:val="22"/>
          <w:szCs w:val="22"/>
        </w:rPr>
      </w:pPr>
      <w:r>
        <w:rPr>
          <w:rFonts w:ascii="Palatino Linotype" w:eastAsiaTheme="minorHAnsi" w:hAnsi="Palatino Linotype" w:cs="Tahoma"/>
          <w:iCs/>
          <w:color w:val="000000" w:themeColor="text1"/>
          <w:sz w:val="22"/>
          <w:szCs w:val="22"/>
          <w:lang w:val="es-ES" w:eastAsia="en-US"/>
        </w:rPr>
        <w:t>En este sentido</w:t>
      </w:r>
      <w:r w:rsidR="00B77A4B">
        <w:rPr>
          <w:rFonts w:ascii="Palatino Linotype" w:eastAsiaTheme="minorHAnsi" w:hAnsi="Palatino Linotype" w:cs="Tahoma"/>
          <w:iCs/>
          <w:color w:val="000000" w:themeColor="text1"/>
          <w:sz w:val="22"/>
          <w:szCs w:val="22"/>
          <w:lang w:val="es-ES" w:eastAsia="en-US"/>
        </w:rPr>
        <w:t>, se considera que si bien la Secretaría del Ayuntamiento indicó mediante informe justificado, que conforme al dispositivo legal invocado, la informació</w:t>
      </w:r>
      <w:r>
        <w:rPr>
          <w:rFonts w:ascii="Palatino Linotype" w:eastAsiaTheme="minorHAnsi" w:hAnsi="Palatino Linotype" w:cs="Tahoma"/>
          <w:iCs/>
          <w:color w:val="000000" w:themeColor="text1"/>
          <w:sz w:val="22"/>
          <w:szCs w:val="22"/>
          <w:lang w:val="es-ES" w:eastAsia="en-US"/>
        </w:rPr>
        <w:t xml:space="preserve">n debe ser entregada sin costo </w:t>
      </w:r>
      <w:r w:rsidR="00B77A4B">
        <w:rPr>
          <w:rFonts w:ascii="Palatino Linotype" w:eastAsiaTheme="minorHAnsi" w:hAnsi="Palatino Linotype" w:cs="Tahoma"/>
          <w:iCs/>
          <w:color w:val="000000" w:themeColor="text1"/>
          <w:sz w:val="22"/>
          <w:szCs w:val="22"/>
          <w:lang w:val="es-ES" w:eastAsia="en-US"/>
        </w:rPr>
        <w:t xml:space="preserve">cuando esta no implique la entrega de no </w:t>
      </w:r>
      <w:r w:rsidR="00BE42DA">
        <w:rPr>
          <w:rFonts w:ascii="Palatino Linotype" w:eastAsiaTheme="minorHAnsi" w:hAnsi="Palatino Linotype" w:cs="Tahoma"/>
          <w:iCs/>
          <w:color w:val="000000" w:themeColor="text1"/>
          <w:sz w:val="22"/>
          <w:szCs w:val="22"/>
          <w:lang w:val="es-ES" w:eastAsia="en-US"/>
        </w:rPr>
        <w:t>más</w:t>
      </w:r>
      <w:r w:rsidR="00B77A4B">
        <w:rPr>
          <w:rFonts w:ascii="Palatino Linotype" w:eastAsiaTheme="minorHAnsi" w:hAnsi="Palatino Linotype" w:cs="Tahoma"/>
          <w:iCs/>
          <w:color w:val="000000" w:themeColor="text1"/>
          <w:sz w:val="22"/>
          <w:szCs w:val="22"/>
          <w:lang w:val="es-ES" w:eastAsia="en-US"/>
        </w:rPr>
        <w:t xml:space="preserve"> de veinte</w:t>
      </w:r>
      <w:r w:rsidR="00BE42DA">
        <w:rPr>
          <w:rFonts w:ascii="Palatino Linotype" w:eastAsiaTheme="minorHAnsi" w:hAnsi="Palatino Linotype" w:cs="Tahoma"/>
          <w:iCs/>
          <w:color w:val="000000" w:themeColor="text1"/>
          <w:sz w:val="22"/>
          <w:szCs w:val="22"/>
          <w:lang w:val="es-ES" w:eastAsia="en-US"/>
        </w:rPr>
        <w:t xml:space="preserve"> hojas simples</w:t>
      </w:r>
      <w:r>
        <w:rPr>
          <w:rFonts w:ascii="Palatino Linotype" w:eastAsiaTheme="minorHAnsi" w:hAnsi="Palatino Linotype" w:cs="Tahoma"/>
          <w:iCs/>
          <w:color w:val="000000" w:themeColor="text1"/>
          <w:sz w:val="22"/>
          <w:szCs w:val="22"/>
          <w:lang w:val="es-ES" w:eastAsia="en-US"/>
        </w:rPr>
        <w:t>, lo cierto es que, no remitió</w:t>
      </w:r>
      <w:r w:rsidR="00BE42DA">
        <w:rPr>
          <w:rFonts w:ascii="Palatino Linotype" w:eastAsiaTheme="minorHAnsi" w:hAnsi="Palatino Linotype" w:cs="Tahoma"/>
          <w:iCs/>
          <w:color w:val="000000" w:themeColor="text1"/>
          <w:sz w:val="22"/>
          <w:szCs w:val="22"/>
          <w:lang w:val="es-ES" w:eastAsia="en-US"/>
        </w:rPr>
        <w:t xml:space="preserve"> los</w:t>
      </w:r>
      <w:r>
        <w:rPr>
          <w:rFonts w:ascii="Palatino Linotype" w:eastAsiaTheme="minorHAnsi" w:hAnsi="Palatino Linotype" w:cs="Tahoma"/>
          <w:iCs/>
          <w:color w:val="000000" w:themeColor="text1"/>
          <w:sz w:val="22"/>
          <w:szCs w:val="22"/>
          <w:lang w:val="es-ES" w:eastAsia="en-US"/>
        </w:rPr>
        <w:t xml:space="preserve"> documentos que dieran cuenta del</w:t>
      </w:r>
      <w:r w:rsidR="00BE42DA">
        <w:rPr>
          <w:rFonts w:ascii="Palatino Linotype" w:eastAsiaTheme="minorHAnsi" w:hAnsi="Palatino Linotype" w:cs="Tahoma"/>
          <w:iCs/>
          <w:color w:val="000000" w:themeColor="text1"/>
          <w:sz w:val="22"/>
          <w:szCs w:val="22"/>
          <w:lang w:val="es-ES" w:eastAsia="en-US"/>
        </w:rPr>
        <w:t xml:space="preserve"> </w:t>
      </w:r>
      <w:r>
        <w:rPr>
          <w:rFonts w:ascii="Palatino Linotype" w:eastAsiaTheme="minorHAnsi" w:hAnsi="Palatino Linotype" w:cs="Tahoma"/>
          <w:iCs/>
          <w:color w:val="000000" w:themeColor="text1"/>
          <w:sz w:val="22"/>
          <w:szCs w:val="22"/>
          <w:lang w:val="es-ES" w:eastAsia="en-US"/>
        </w:rPr>
        <w:t xml:space="preserve">fundamento </w:t>
      </w:r>
      <w:r w:rsidR="00BE42DA">
        <w:rPr>
          <w:rFonts w:ascii="Palatino Linotype" w:eastAsiaTheme="minorHAnsi" w:hAnsi="Palatino Linotype" w:cs="Tahoma"/>
          <w:iCs/>
          <w:color w:val="000000" w:themeColor="text1"/>
          <w:sz w:val="22"/>
          <w:szCs w:val="22"/>
          <w:lang w:val="es-ES" w:eastAsia="en-US"/>
        </w:rPr>
        <w:t>l</w:t>
      </w:r>
      <w:r>
        <w:rPr>
          <w:rFonts w:ascii="Palatino Linotype" w:eastAsiaTheme="minorHAnsi" w:hAnsi="Palatino Linotype" w:cs="Tahoma"/>
          <w:iCs/>
          <w:color w:val="000000" w:themeColor="text1"/>
          <w:sz w:val="22"/>
          <w:szCs w:val="22"/>
          <w:lang w:val="es-ES" w:eastAsia="en-US"/>
        </w:rPr>
        <w:t>egal que sustenta</w:t>
      </w:r>
      <w:r w:rsidR="00BE42DA">
        <w:rPr>
          <w:rFonts w:ascii="Palatino Linotype" w:eastAsiaTheme="minorHAnsi" w:hAnsi="Palatino Linotype" w:cs="Tahoma"/>
          <w:iCs/>
          <w:color w:val="000000" w:themeColor="text1"/>
          <w:sz w:val="22"/>
          <w:szCs w:val="22"/>
          <w:lang w:val="es-ES" w:eastAsia="en-US"/>
        </w:rPr>
        <w:t xml:space="preserve"> el cobro de información cuando así proceda, sumado a que </w:t>
      </w:r>
      <w:r w:rsidR="00526DC5">
        <w:rPr>
          <w:rFonts w:ascii="Palatino Linotype" w:hAnsi="Palatino Linotype" w:cs="Tahoma"/>
          <w:sz w:val="22"/>
          <w:szCs w:val="22"/>
        </w:rPr>
        <w:t xml:space="preserve">no se pronunciaron las áreas </w:t>
      </w:r>
      <w:r w:rsidR="00D62973">
        <w:rPr>
          <w:rFonts w:ascii="Palatino Linotype" w:hAnsi="Palatino Linotype" w:cs="Tahoma"/>
          <w:sz w:val="22"/>
          <w:szCs w:val="22"/>
        </w:rPr>
        <w:t>competentes para conocer sobre la información</w:t>
      </w:r>
      <w:r w:rsidR="00BE42DA">
        <w:rPr>
          <w:rFonts w:ascii="Palatino Linotype" w:hAnsi="Palatino Linotype" w:cs="Tahoma"/>
          <w:sz w:val="22"/>
          <w:szCs w:val="22"/>
        </w:rPr>
        <w:t>.</w:t>
      </w:r>
    </w:p>
    <w:p w14:paraId="15405696" w14:textId="77777777" w:rsidR="00BE42DA" w:rsidRDefault="00BE42DA" w:rsidP="00FA7BA6">
      <w:pPr>
        <w:spacing w:line="360" w:lineRule="auto"/>
        <w:contextualSpacing/>
        <w:jc w:val="both"/>
        <w:rPr>
          <w:rFonts w:ascii="Palatino Linotype" w:hAnsi="Palatino Linotype" w:cs="Tahoma"/>
          <w:sz w:val="22"/>
          <w:szCs w:val="22"/>
        </w:rPr>
      </w:pPr>
    </w:p>
    <w:p w14:paraId="37AC375F" w14:textId="2005B436" w:rsidR="00B77A4B" w:rsidRDefault="00BE42DA" w:rsidP="00FA7BA6">
      <w:pPr>
        <w:spacing w:line="360" w:lineRule="auto"/>
        <w:contextualSpacing/>
        <w:jc w:val="both"/>
        <w:rPr>
          <w:rFonts w:ascii="Palatino Linotype" w:eastAsia="Batang" w:hAnsi="Palatino Linotype" w:cs="Tahoma"/>
          <w:bCs/>
          <w:sz w:val="22"/>
          <w:szCs w:val="22"/>
        </w:rPr>
      </w:pPr>
      <w:r>
        <w:rPr>
          <w:rFonts w:ascii="Palatino Linotype" w:hAnsi="Palatino Linotype" w:cs="Tahoma"/>
          <w:sz w:val="22"/>
          <w:szCs w:val="22"/>
        </w:rPr>
        <w:t xml:space="preserve">En este contexto, si bien la ahora Recurrente desde su solicitud de información requirió el pronunciamiento de dos áreas específicas lo cierto es que, en el caso en concreto no se pronunció la Tesorería Municipal y la </w:t>
      </w:r>
      <w:r w:rsidRPr="00CE5E8E">
        <w:rPr>
          <w:rFonts w:ascii="Palatino Linotype" w:hAnsi="Palatino Linotype"/>
          <w:sz w:val="22"/>
          <w:szCs w:val="22"/>
        </w:rPr>
        <w:t>Dirección de la Unidad de Información, Planeación, Programación, Evaluación, Transparencia y Acceso a la Información</w:t>
      </w:r>
      <w:r>
        <w:rPr>
          <w:rFonts w:ascii="Palatino Linotype" w:hAnsi="Palatino Linotype"/>
          <w:sz w:val="22"/>
          <w:szCs w:val="22"/>
        </w:rPr>
        <w:t>, las cuales son las encargadas de determinar el cobro de derechos en materia de acceso a la información, así como la procedencia de entrega de la información de manera gratuita y en su caso con costo conforme a la normatividad aplicable.</w:t>
      </w:r>
    </w:p>
    <w:p w14:paraId="138D2721" w14:textId="77777777" w:rsidR="00EE4BC7" w:rsidRDefault="00EE4BC7" w:rsidP="00D62973">
      <w:pPr>
        <w:tabs>
          <w:tab w:val="left" w:pos="4962"/>
        </w:tabs>
        <w:spacing w:line="360" w:lineRule="auto"/>
        <w:ind w:right="-28"/>
        <w:contextualSpacing/>
        <w:rPr>
          <w:rFonts w:ascii="Palatino Linotype" w:hAnsi="Palatino Linotype" w:cs="Tahoma"/>
          <w:sz w:val="22"/>
          <w:szCs w:val="22"/>
        </w:rPr>
      </w:pPr>
    </w:p>
    <w:p w14:paraId="281451E2" w14:textId="41155E82" w:rsidR="00EE4BC7" w:rsidRPr="00BF63F3" w:rsidRDefault="00EE4BC7" w:rsidP="009F5D54">
      <w:pPr>
        <w:tabs>
          <w:tab w:val="left" w:pos="4962"/>
        </w:tabs>
        <w:spacing w:line="360" w:lineRule="auto"/>
        <w:ind w:right="-28"/>
        <w:contextualSpacing/>
        <w:jc w:val="both"/>
        <w:rPr>
          <w:rFonts w:ascii="Palatino Linotype" w:eastAsia="Calibri" w:hAnsi="Palatino Linotype" w:cs="Tahoma"/>
          <w:iCs/>
          <w:szCs w:val="22"/>
          <w:lang w:val="es-ES" w:eastAsia="es-ES_tradnl"/>
        </w:rPr>
      </w:pPr>
      <w:r>
        <w:rPr>
          <w:rFonts w:ascii="Palatino Linotype" w:hAnsi="Palatino Linotype" w:cs="Tahoma"/>
          <w:sz w:val="22"/>
          <w:szCs w:val="22"/>
        </w:rPr>
        <w:t>Conforme a lo expuesto</w:t>
      </w:r>
      <w:r w:rsidR="00983851">
        <w:rPr>
          <w:rFonts w:ascii="Palatino Linotype" w:hAnsi="Palatino Linotype" w:cs="Tahoma"/>
          <w:sz w:val="22"/>
          <w:szCs w:val="22"/>
        </w:rPr>
        <w:t xml:space="preserve">, se considera que </w:t>
      </w:r>
      <w:r>
        <w:rPr>
          <w:rFonts w:ascii="Palatino Linotype" w:hAnsi="Palatino Linotype" w:cs="Tahoma"/>
          <w:sz w:val="22"/>
          <w:szCs w:val="22"/>
        </w:rPr>
        <w:t xml:space="preserve">el Sujeto Obligado </w:t>
      </w:r>
      <w:r w:rsidR="00983851">
        <w:rPr>
          <w:rFonts w:ascii="Palatino Linotype" w:hAnsi="Palatino Linotype" w:cs="Tahoma"/>
          <w:sz w:val="22"/>
          <w:szCs w:val="22"/>
        </w:rPr>
        <w:t>omitió la entrega de los documentos que dieran cuenta d</w:t>
      </w:r>
      <w:r w:rsidR="00BE42DA">
        <w:rPr>
          <w:rFonts w:ascii="Palatino Linotype" w:hAnsi="Palatino Linotype" w:cs="Tahoma"/>
          <w:sz w:val="22"/>
          <w:szCs w:val="22"/>
        </w:rPr>
        <w:t>el fundamento legal que sustenta la entrega de información</w:t>
      </w:r>
      <w:r>
        <w:rPr>
          <w:rFonts w:ascii="Palatino Linotype" w:hAnsi="Palatino Linotype" w:cs="Tahoma"/>
          <w:sz w:val="22"/>
          <w:szCs w:val="22"/>
        </w:rPr>
        <w:t xml:space="preserve">, por lo que se considera que el agravio es </w:t>
      </w:r>
      <w:r w:rsidRPr="004C3106">
        <w:rPr>
          <w:rFonts w:ascii="Palatino Linotype" w:hAnsi="Palatino Linotype" w:cs="Tahoma"/>
          <w:b/>
          <w:sz w:val="22"/>
          <w:szCs w:val="22"/>
        </w:rPr>
        <w:t>FUNDADO</w:t>
      </w:r>
      <w:r>
        <w:rPr>
          <w:rFonts w:ascii="Palatino Linotype" w:hAnsi="Palatino Linotype" w:cs="Tahoma"/>
          <w:b/>
          <w:sz w:val="22"/>
          <w:szCs w:val="22"/>
        </w:rPr>
        <w:t>;</w:t>
      </w:r>
      <w:r w:rsidR="00EF7206">
        <w:rPr>
          <w:rFonts w:ascii="Palatino Linotype" w:hAnsi="Palatino Linotype" w:cs="Tahoma"/>
          <w:b/>
          <w:sz w:val="22"/>
          <w:szCs w:val="22"/>
        </w:rPr>
        <w:t xml:space="preserve"> </w:t>
      </w:r>
      <w:r w:rsidR="00EF7206" w:rsidRPr="00EF7206">
        <w:rPr>
          <w:rFonts w:ascii="Palatino Linotype" w:hAnsi="Palatino Linotype" w:cs="Tahoma"/>
          <w:bCs/>
          <w:sz w:val="22"/>
          <w:szCs w:val="22"/>
        </w:rPr>
        <w:t>p</w:t>
      </w:r>
      <w:r>
        <w:rPr>
          <w:rFonts w:ascii="Palatino Linotype" w:eastAsia="Palatino Linotype" w:hAnsi="Palatino Linotype" w:cs="Palatino Linotype"/>
          <w:sz w:val="22"/>
          <w:szCs w:val="22"/>
        </w:rPr>
        <w:t>or lo que a efecto de brindar atención al requerimiento</w:t>
      </w:r>
      <w:r>
        <w:rPr>
          <w:rFonts w:ascii="Palatino Linotype" w:hAnsi="Palatino Linotype" w:cs="Tahoma"/>
          <w:sz w:val="22"/>
          <w:szCs w:val="22"/>
        </w:rPr>
        <w:t xml:space="preserve"> de información, deberá realizar una búsqueda exhaustiva y razonable en la </w:t>
      </w:r>
      <w:r w:rsidR="00BE42DA">
        <w:rPr>
          <w:rFonts w:ascii="Palatino Linotype" w:hAnsi="Palatino Linotype" w:cs="Tahoma"/>
          <w:sz w:val="22"/>
          <w:szCs w:val="22"/>
        </w:rPr>
        <w:lastRenderedPageBreak/>
        <w:t xml:space="preserve">Tesorería Municipal y la </w:t>
      </w:r>
      <w:r w:rsidR="00BE42DA" w:rsidRPr="00CE5E8E">
        <w:rPr>
          <w:rFonts w:ascii="Palatino Linotype" w:hAnsi="Palatino Linotype"/>
          <w:sz w:val="22"/>
          <w:szCs w:val="22"/>
        </w:rPr>
        <w:t>Dirección de la Unidad de Información, Planeación, Programación, Evaluación, Transparencia y Acceso a la Información</w:t>
      </w:r>
      <w:r>
        <w:rPr>
          <w:rFonts w:ascii="Palatino Linotype" w:hAnsi="Palatino Linotype" w:cs="Tahoma"/>
          <w:sz w:val="22"/>
          <w:szCs w:val="22"/>
        </w:rPr>
        <w:t>, a efecto de que entregue</w:t>
      </w:r>
      <w:r w:rsidR="00BE42DA">
        <w:rPr>
          <w:rFonts w:ascii="Palatino Linotype" w:hAnsi="Palatino Linotype" w:cs="Tahoma"/>
          <w:sz w:val="22"/>
          <w:szCs w:val="22"/>
        </w:rPr>
        <w:t xml:space="preserve"> </w:t>
      </w:r>
      <w:r w:rsidR="00EF7206">
        <w:rPr>
          <w:rFonts w:ascii="Palatino Linotype" w:hAnsi="Palatino Linotype" w:cs="Tahoma"/>
          <w:sz w:val="22"/>
          <w:szCs w:val="22"/>
        </w:rPr>
        <w:t>los</w:t>
      </w:r>
      <w:r w:rsidR="00BE42DA">
        <w:rPr>
          <w:rFonts w:ascii="Palatino Linotype" w:hAnsi="Palatino Linotype" w:cs="Tahoma"/>
          <w:sz w:val="22"/>
          <w:szCs w:val="22"/>
        </w:rPr>
        <w:t xml:space="preserve"> fundamento</w:t>
      </w:r>
      <w:r w:rsidR="00EF7206">
        <w:rPr>
          <w:rFonts w:ascii="Palatino Linotype" w:hAnsi="Palatino Linotype" w:cs="Tahoma"/>
          <w:sz w:val="22"/>
          <w:szCs w:val="22"/>
        </w:rPr>
        <w:t>s</w:t>
      </w:r>
      <w:r w:rsidR="00BE42DA">
        <w:rPr>
          <w:rFonts w:ascii="Palatino Linotype" w:hAnsi="Palatino Linotype" w:cs="Tahoma"/>
          <w:sz w:val="22"/>
          <w:szCs w:val="22"/>
        </w:rPr>
        <w:t xml:space="preserve"> legal</w:t>
      </w:r>
      <w:r w:rsidR="00EF7206">
        <w:rPr>
          <w:rFonts w:ascii="Palatino Linotype" w:hAnsi="Palatino Linotype" w:cs="Tahoma"/>
          <w:sz w:val="22"/>
          <w:szCs w:val="22"/>
        </w:rPr>
        <w:t>es</w:t>
      </w:r>
      <w:r w:rsidR="00BE42DA">
        <w:rPr>
          <w:rFonts w:ascii="Palatino Linotype" w:hAnsi="Palatino Linotype" w:cs="Tahoma"/>
          <w:sz w:val="22"/>
          <w:szCs w:val="22"/>
        </w:rPr>
        <w:t xml:space="preserve"> que sustenta</w:t>
      </w:r>
      <w:r w:rsidR="00EF7206">
        <w:rPr>
          <w:rFonts w:ascii="Palatino Linotype" w:hAnsi="Palatino Linotype" w:cs="Tahoma"/>
          <w:sz w:val="22"/>
          <w:szCs w:val="22"/>
        </w:rPr>
        <w:t>n</w:t>
      </w:r>
      <w:r w:rsidR="00BE42DA">
        <w:rPr>
          <w:rFonts w:ascii="Palatino Linotype" w:hAnsi="Palatino Linotype" w:cs="Tahoma"/>
          <w:sz w:val="22"/>
          <w:szCs w:val="22"/>
        </w:rPr>
        <w:t xml:space="preserve"> el cobro de la información en materia de acceso a la información</w:t>
      </w:r>
      <w:r w:rsidR="00EF7206">
        <w:rPr>
          <w:rFonts w:ascii="Palatino Linotype" w:hAnsi="Palatino Linotype" w:cs="Tahoma"/>
          <w:sz w:val="22"/>
          <w:szCs w:val="22"/>
        </w:rPr>
        <w:t>,</w:t>
      </w:r>
      <w:r w:rsidR="009F5D54">
        <w:rPr>
          <w:rFonts w:ascii="Palatino Linotype" w:hAnsi="Palatino Linotype" w:cs="Tahoma"/>
          <w:sz w:val="22"/>
          <w:szCs w:val="22"/>
        </w:rPr>
        <w:t xml:space="preserve"> vigente al </w:t>
      </w:r>
      <w:r w:rsidR="00983851">
        <w:rPr>
          <w:rFonts w:ascii="Palatino Linotype" w:eastAsia="Calibri" w:hAnsi="Palatino Linotype" w:cs="Tahoma"/>
          <w:iCs/>
          <w:sz w:val="22"/>
          <w:szCs w:val="22"/>
          <w:lang w:val="es-ES" w:eastAsia="es-ES_tradnl"/>
        </w:rPr>
        <w:t>veinticuatro de octubre</w:t>
      </w:r>
      <w:r w:rsidR="00BE42DA">
        <w:rPr>
          <w:rFonts w:ascii="Palatino Linotype" w:eastAsia="Calibri" w:hAnsi="Palatino Linotype" w:cs="Tahoma"/>
          <w:iCs/>
          <w:sz w:val="22"/>
          <w:szCs w:val="22"/>
          <w:lang w:val="es-ES" w:eastAsia="es-ES_tradnl"/>
        </w:rPr>
        <w:t xml:space="preserve"> </w:t>
      </w:r>
      <w:r w:rsidR="009F5D54">
        <w:rPr>
          <w:rFonts w:ascii="Palatino Linotype" w:eastAsia="Calibri" w:hAnsi="Palatino Linotype" w:cs="Tahoma"/>
          <w:iCs/>
          <w:sz w:val="22"/>
          <w:szCs w:val="22"/>
          <w:lang w:val="es-ES" w:eastAsia="es-ES_tradnl"/>
        </w:rPr>
        <w:t>de dos mil veinticuatro.</w:t>
      </w:r>
    </w:p>
    <w:p w14:paraId="2E961090" w14:textId="77777777" w:rsidR="00EE4BC7" w:rsidRPr="00EF7206" w:rsidRDefault="00EE4BC7" w:rsidP="00FA7BA6">
      <w:pPr>
        <w:spacing w:line="360" w:lineRule="auto"/>
        <w:ind w:right="-28"/>
        <w:contextualSpacing/>
        <w:jc w:val="both"/>
        <w:rPr>
          <w:rFonts w:ascii="Palatino Linotype" w:eastAsia="Palatino Linotype" w:hAnsi="Palatino Linotype" w:cs="Palatino Linotype"/>
          <w:sz w:val="22"/>
          <w:szCs w:val="22"/>
          <w:lang w:val="es-ES"/>
        </w:rPr>
      </w:pPr>
    </w:p>
    <w:p w14:paraId="4E062666" w14:textId="77777777" w:rsidR="00EE4BC7" w:rsidRPr="004C3106" w:rsidRDefault="00EE4BC7" w:rsidP="00FA7BA6">
      <w:pPr>
        <w:spacing w:line="360" w:lineRule="auto"/>
        <w:ind w:right="-28"/>
        <w:contextualSpacing/>
        <w:jc w:val="both"/>
        <w:rPr>
          <w:rFonts w:ascii="Palatino Linotype" w:hAnsi="Palatino Linotype" w:cs="Tahoma"/>
          <w:sz w:val="22"/>
          <w:szCs w:val="22"/>
        </w:rPr>
      </w:pPr>
      <w:r>
        <w:rPr>
          <w:rFonts w:ascii="Palatino Linotype" w:eastAsia="Palatino Linotype" w:hAnsi="Palatino Linotype" w:cs="Palatino Linotype"/>
          <w:sz w:val="22"/>
          <w:szCs w:val="22"/>
        </w:rPr>
        <w:t>D</w:t>
      </w:r>
      <w:r w:rsidRPr="009F5EF8">
        <w:rPr>
          <w:rFonts w:ascii="Palatino Linotype" w:eastAsia="Palatino Linotype" w:hAnsi="Palatino Linotype" w:cs="Palatino Linotype"/>
          <w:sz w:val="22"/>
          <w:szCs w:val="22"/>
        </w:rPr>
        <w:t>icha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CFBF8D6" w14:textId="77777777" w:rsidR="00EE4BC7" w:rsidRPr="009F5EF8" w:rsidRDefault="00EE4BC7" w:rsidP="00FA7BA6">
      <w:pPr>
        <w:spacing w:line="360" w:lineRule="auto"/>
        <w:contextualSpacing/>
        <w:jc w:val="both"/>
        <w:rPr>
          <w:rFonts w:ascii="Palatino Linotype" w:eastAsia="Palatino Linotype" w:hAnsi="Palatino Linotype" w:cs="Palatino Linotype"/>
          <w:color w:val="000000"/>
          <w:sz w:val="22"/>
          <w:szCs w:val="22"/>
        </w:rPr>
      </w:pPr>
    </w:p>
    <w:p w14:paraId="49860528" w14:textId="77777777" w:rsidR="00EE4BC7" w:rsidRPr="009F5EF8" w:rsidRDefault="00EE4BC7" w:rsidP="00FA7BA6">
      <w:pPr>
        <w:spacing w:line="360" w:lineRule="auto"/>
        <w:contextualSpacing/>
        <w:jc w:val="both"/>
        <w:rPr>
          <w:rFonts w:ascii="Palatino Linotype" w:eastAsia="Palatino Linotype" w:hAnsi="Palatino Linotype" w:cs="Palatino Linotype"/>
          <w:sz w:val="22"/>
          <w:szCs w:val="22"/>
        </w:rPr>
      </w:pPr>
      <w:r w:rsidRPr="009F5EF8">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9F5EF8">
        <w:rPr>
          <w:rFonts w:ascii="Palatino Linotype" w:eastAsia="Palatino Linotype" w:hAnsi="Palatino Linotype" w:cs="Palatino Linotype"/>
          <w:i/>
          <w:sz w:val="22"/>
          <w:szCs w:val="22"/>
        </w:rPr>
        <w:t>ad hoc</w:t>
      </w:r>
      <w:r w:rsidRPr="009F5EF8">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35809A16" w14:textId="77777777" w:rsidR="00EE4BC7" w:rsidRDefault="00EE4BC7" w:rsidP="00FA7BA6">
      <w:pPr>
        <w:spacing w:line="360" w:lineRule="auto"/>
        <w:contextualSpacing/>
        <w:jc w:val="both"/>
        <w:rPr>
          <w:rFonts w:ascii="Palatino Linotype" w:eastAsia="Palatino Linotype" w:hAnsi="Palatino Linotype" w:cs="Palatino Linotype"/>
          <w:color w:val="000000"/>
          <w:sz w:val="22"/>
          <w:szCs w:val="22"/>
        </w:rPr>
      </w:pPr>
    </w:p>
    <w:p w14:paraId="21A40D91" w14:textId="77777777" w:rsidR="00EE4BC7" w:rsidRDefault="00EE4BC7" w:rsidP="00FA7BA6">
      <w:pPr>
        <w:spacing w:line="360" w:lineRule="auto"/>
        <w:contextualSpacing/>
        <w:jc w:val="both"/>
        <w:rPr>
          <w:rFonts w:ascii="Palatino Linotype" w:eastAsia="Palatino Linotype" w:hAnsi="Palatino Linotype" w:cs="Palatino Linotype"/>
          <w:sz w:val="22"/>
          <w:szCs w:val="22"/>
        </w:rPr>
      </w:pPr>
      <w:r w:rsidRPr="00ED7C1C">
        <w:rPr>
          <w:rFonts w:ascii="Palatino Linotype" w:hAnsi="Palatino Linotype" w:cs="Tahoma"/>
          <w:sz w:val="22"/>
          <w:szCs w:val="22"/>
          <w:lang w:val="es-ES"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w:t>
      </w:r>
      <w:r>
        <w:rPr>
          <w:rFonts w:ascii="Palatino Linotype" w:hAnsi="Palatino Linotype" w:cs="Tahoma"/>
          <w:sz w:val="22"/>
          <w:szCs w:val="22"/>
          <w:lang w:val="es-ES" w:eastAsia="es-MX"/>
        </w:rPr>
        <w:t>deberá proporcionar los documentos que den cuenta de lo requerido</w:t>
      </w:r>
      <w:r>
        <w:rPr>
          <w:rFonts w:ascii="Palatino Linotype" w:eastAsia="Palatino Linotype" w:hAnsi="Palatino Linotype" w:cs="Palatino Linotype"/>
          <w:sz w:val="22"/>
          <w:szCs w:val="22"/>
        </w:rPr>
        <w:t>.</w:t>
      </w:r>
    </w:p>
    <w:p w14:paraId="69B28E8D" w14:textId="77777777" w:rsidR="002D46EE" w:rsidRDefault="002D46EE" w:rsidP="00FA7BA6">
      <w:pPr>
        <w:spacing w:line="360" w:lineRule="auto"/>
        <w:contextualSpacing/>
        <w:jc w:val="both"/>
        <w:rPr>
          <w:rFonts w:ascii="Palatino Linotype" w:eastAsia="Palatino Linotype" w:hAnsi="Palatino Linotype" w:cs="Palatino Linotype"/>
          <w:sz w:val="22"/>
          <w:szCs w:val="22"/>
        </w:rPr>
      </w:pPr>
    </w:p>
    <w:p w14:paraId="0CD2A304" w14:textId="17B92DD4" w:rsidR="00EE4BC7" w:rsidRPr="00EF7206" w:rsidRDefault="002D46EE" w:rsidP="00EF7206">
      <w:pPr>
        <w:spacing w:line="360" w:lineRule="auto"/>
        <w:contextualSpacing/>
        <w:jc w:val="both"/>
        <w:rPr>
          <w:rFonts w:ascii="Palatino Linotype" w:hAnsi="Palatino Linotype" w:cs="Tahoma"/>
          <w:sz w:val="22"/>
          <w:szCs w:val="22"/>
        </w:rPr>
      </w:pPr>
      <w:r>
        <w:rPr>
          <w:rFonts w:ascii="Palatino Linotype" w:hAnsi="Palatino Linotype" w:cs="Tahoma"/>
          <w:sz w:val="22"/>
          <w:szCs w:val="22"/>
        </w:rPr>
        <w:t>Lo anterior toma sustento, pues el Código Financiero del Estado de México y Municipios,</w:t>
      </w:r>
      <w:r w:rsidR="00EF7206">
        <w:rPr>
          <w:rFonts w:ascii="Palatino Linotype" w:hAnsi="Palatino Linotype" w:cs="Tahoma"/>
          <w:sz w:val="22"/>
          <w:szCs w:val="22"/>
        </w:rPr>
        <w:t xml:space="preserve"> en su Capítulo Segundo, Sección Cuarta, establece los derechos por servicios, entre otros de acceso a la información pública, que corresponden a la expedición y reproducción de documentos; finalmente, este Instituto advierte que al solicitar fundamentos legales, estos se </w:t>
      </w:r>
      <w:r w:rsidR="00EF7206">
        <w:rPr>
          <w:rFonts w:ascii="Palatino Linotype" w:hAnsi="Palatino Linotype" w:cs="Tahoma"/>
          <w:sz w:val="22"/>
          <w:szCs w:val="22"/>
        </w:rPr>
        <w:lastRenderedPageBreak/>
        <w:t>encuentran en normas, las cuales no contienen información clasificable, por lo que, deberá entregarlos en versión íntegra.</w:t>
      </w:r>
    </w:p>
    <w:p w14:paraId="2ED2A71D" w14:textId="77777777" w:rsidR="00EF7206" w:rsidRPr="009F5EF8" w:rsidRDefault="00EF7206" w:rsidP="00FA7BA6">
      <w:pPr>
        <w:spacing w:line="360" w:lineRule="auto"/>
        <w:contextualSpacing/>
        <w:rPr>
          <w:rFonts w:ascii="Palatino Linotype" w:eastAsia="Palatino Linotype" w:hAnsi="Palatino Linotype" w:cs="Palatino Linotype"/>
          <w:b/>
          <w:sz w:val="22"/>
          <w:szCs w:val="22"/>
        </w:rPr>
      </w:pPr>
    </w:p>
    <w:p w14:paraId="07C496F7" w14:textId="77777777" w:rsidR="00EE4BC7" w:rsidRPr="00ED7C1C" w:rsidRDefault="00EE4BC7" w:rsidP="00FA7BA6">
      <w:pPr>
        <w:spacing w:line="360" w:lineRule="auto"/>
        <w:contextualSpacing/>
        <w:jc w:val="both"/>
        <w:rPr>
          <w:rFonts w:ascii="Palatino Linotype" w:hAnsi="Palatino Linotype" w:cs="Tahoma"/>
          <w:b/>
          <w:sz w:val="22"/>
          <w:szCs w:val="22"/>
        </w:rPr>
      </w:pPr>
      <w:r w:rsidRPr="00ED7C1C">
        <w:rPr>
          <w:rFonts w:ascii="Palatino Linotype" w:hAnsi="Palatino Linotype" w:cs="Tahoma"/>
          <w:b/>
          <w:sz w:val="22"/>
          <w:szCs w:val="22"/>
        </w:rPr>
        <w:t>SEXTO. Decisión</w:t>
      </w:r>
    </w:p>
    <w:p w14:paraId="1BE03249" w14:textId="77777777" w:rsidR="00EE4BC7" w:rsidRPr="00ED7C1C" w:rsidRDefault="00EE4BC7" w:rsidP="00FA7BA6">
      <w:pPr>
        <w:spacing w:line="360" w:lineRule="auto"/>
        <w:contextualSpacing/>
        <w:jc w:val="both"/>
        <w:rPr>
          <w:rFonts w:ascii="Palatino Linotype" w:hAnsi="Palatino Linotype" w:cs="Tahoma"/>
          <w:b/>
          <w:sz w:val="22"/>
          <w:szCs w:val="22"/>
        </w:rPr>
      </w:pPr>
      <w:r w:rsidRPr="00ED7C1C">
        <w:rPr>
          <w:rFonts w:ascii="Palatino Linotype" w:hAnsi="Palatino Linotype" w:cs="Tahoma"/>
          <w:b/>
          <w:sz w:val="22"/>
          <w:szCs w:val="22"/>
        </w:rPr>
        <w:t xml:space="preserve"> </w:t>
      </w:r>
    </w:p>
    <w:p w14:paraId="02F5E8F9" w14:textId="13F74057" w:rsidR="00EE4BC7" w:rsidRPr="00ED7C1C" w:rsidRDefault="00EE4BC7" w:rsidP="00FA7BA6">
      <w:pPr>
        <w:spacing w:line="360" w:lineRule="auto"/>
        <w:contextualSpacing/>
        <w:jc w:val="both"/>
        <w:rPr>
          <w:rFonts w:ascii="Palatino Linotype" w:hAnsi="Palatino Linotype" w:cs="Tahoma"/>
          <w:bCs/>
          <w:iCs/>
          <w:sz w:val="22"/>
          <w:szCs w:val="22"/>
        </w:rPr>
      </w:pPr>
      <w:r w:rsidRPr="00ED7C1C">
        <w:rPr>
          <w:rFonts w:ascii="Palatino Linotype" w:hAnsi="Palatino Linotype" w:cs="Arial"/>
          <w:sz w:val="22"/>
          <w:szCs w:val="22"/>
        </w:rPr>
        <w:t xml:space="preserve">Con </w:t>
      </w:r>
      <w:r w:rsidRPr="00ED7C1C">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009F5D54">
        <w:rPr>
          <w:rFonts w:ascii="Palatino Linotype" w:hAnsi="Palatino Linotype" w:cs="Tahoma"/>
          <w:b/>
          <w:sz w:val="22"/>
          <w:szCs w:val="22"/>
        </w:rPr>
        <w:t>REVO</w:t>
      </w:r>
      <w:r>
        <w:rPr>
          <w:rFonts w:ascii="Palatino Linotype" w:hAnsi="Palatino Linotype" w:cs="Tahoma"/>
          <w:b/>
          <w:sz w:val="22"/>
          <w:szCs w:val="22"/>
        </w:rPr>
        <w:t>CAR</w:t>
      </w:r>
      <w:r w:rsidRPr="00ED7C1C">
        <w:rPr>
          <w:rFonts w:ascii="Palatino Linotype" w:hAnsi="Palatino Linotype" w:cs="Tahoma"/>
          <w:sz w:val="22"/>
          <w:szCs w:val="22"/>
        </w:rPr>
        <w:t xml:space="preserve"> la respuesta otorgada a la solicitud de información</w:t>
      </w:r>
      <w:r w:rsidRPr="00ED7C1C">
        <w:rPr>
          <w:rFonts w:ascii="Palatino Linotype" w:hAnsi="Palatino Linotype" w:cs="Tahoma"/>
          <w:bCs/>
          <w:sz w:val="22"/>
          <w:szCs w:val="22"/>
        </w:rPr>
        <w:t xml:space="preserve">, a efecto de que previa búsqueda exhaustiva y razonable </w:t>
      </w:r>
      <w:r w:rsidRPr="00ED7C1C">
        <w:rPr>
          <w:rFonts w:ascii="Palatino Linotype" w:hAnsi="Palatino Linotype" w:cs="Tahoma"/>
          <w:sz w:val="22"/>
          <w:szCs w:val="22"/>
        </w:rPr>
        <w:t>en los archivos del</w:t>
      </w:r>
      <w:r w:rsidRPr="00ED7C1C">
        <w:rPr>
          <w:rFonts w:ascii="Palatino Linotype" w:hAnsi="Palatino Linotype" w:cs="Tahoma"/>
          <w:sz w:val="22"/>
          <w:szCs w:val="22"/>
          <w:lang w:val="es-ES"/>
        </w:rPr>
        <w:t xml:space="preserve"> Sujeto Obligado</w:t>
      </w:r>
      <w:r w:rsidRPr="00ED7C1C">
        <w:rPr>
          <w:rFonts w:ascii="Palatino Linotype" w:hAnsi="Palatino Linotype" w:cs="Tahoma"/>
          <w:bCs/>
          <w:sz w:val="22"/>
          <w:szCs w:val="22"/>
        </w:rPr>
        <w:t>, entregue, la información solicitada</w:t>
      </w:r>
      <w:r>
        <w:rPr>
          <w:rFonts w:ascii="Palatino Linotype" w:hAnsi="Palatino Linotype" w:cs="Tahoma"/>
          <w:bCs/>
          <w:sz w:val="22"/>
          <w:szCs w:val="22"/>
        </w:rPr>
        <w:t>.</w:t>
      </w:r>
      <w:r w:rsidRPr="00ED7C1C">
        <w:rPr>
          <w:rFonts w:ascii="Palatino Linotype" w:hAnsi="Palatino Linotype" w:cs="Tahoma"/>
          <w:bCs/>
          <w:iCs/>
          <w:sz w:val="22"/>
          <w:szCs w:val="22"/>
        </w:rPr>
        <w:t xml:space="preserve"> </w:t>
      </w:r>
    </w:p>
    <w:p w14:paraId="2EF752C1" w14:textId="77777777" w:rsidR="00EE4BC7" w:rsidRDefault="00EE4BC7" w:rsidP="00FA7BA6">
      <w:pPr>
        <w:spacing w:line="360" w:lineRule="auto"/>
        <w:contextualSpacing/>
        <w:jc w:val="both"/>
        <w:rPr>
          <w:rFonts w:ascii="Palatino Linotype" w:hAnsi="Palatino Linotype" w:cs="Tahoma"/>
          <w:b/>
          <w:bCs/>
          <w:sz w:val="22"/>
          <w:szCs w:val="22"/>
        </w:rPr>
      </w:pPr>
    </w:p>
    <w:p w14:paraId="612E75BA" w14:textId="77777777" w:rsidR="00EE4BC7" w:rsidRPr="00ED7C1C" w:rsidRDefault="00EE4BC7" w:rsidP="00FA7BA6">
      <w:pPr>
        <w:spacing w:line="360" w:lineRule="auto"/>
        <w:contextualSpacing/>
        <w:jc w:val="both"/>
        <w:rPr>
          <w:rFonts w:ascii="Palatino Linotype" w:hAnsi="Palatino Linotype" w:cs="Tahoma"/>
          <w:b/>
          <w:bCs/>
          <w:sz w:val="22"/>
          <w:szCs w:val="22"/>
        </w:rPr>
      </w:pPr>
      <w:r w:rsidRPr="00ED7C1C">
        <w:rPr>
          <w:rFonts w:ascii="Palatino Linotype" w:hAnsi="Palatino Linotype" w:cs="Tahoma"/>
          <w:b/>
          <w:bCs/>
          <w:sz w:val="22"/>
          <w:szCs w:val="22"/>
        </w:rPr>
        <w:t>Términos de la Resolución para conocimiento del Particular</w:t>
      </w:r>
    </w:p>
    <w:p w14:paraId="4E675994" w14:textId="77777777" w:rsidR="00EE4BC7" w:rsidRPr="00ED7C1C" w:rsidRDefault="00EE4BC7" w:rsidP="00FA7BA6">
      <w:pPr>
        <w:spacing w:line="360" w:lineRule="auto"/>
        <w:contextualSpacing/>
        <w:jc w:val="both"/>
        <w:rPr>
          <w:rFonts w:ascii="Palatino Linotype" w:hAnsi="Palatino Linotype" w:cs="Tahoma"/>
          <w:b/>
          <w:bCs/>
          <w:sz w:val="22"/>
          <w:szCs w:val="22"/>
        </w:rPr>
      </w:pPr>
      <w:r w:rsidRPr="00ED7C1C">
        <w:rPr>
          <w:rFonts w:ascii="Palatino Linotype" w:hAnsi="Palatino Linotype" w:cs="Tahoma"/>
          <w:b/>
          <w:bCs/>
          <w:sz w:val="22"/>
          <w:szCs w:val="22"/>
        </w:rPr>
        <w:t xml:space="preserve"> </w:t>
      </w:r>
    </w:p>
    <w:p w14:paraId="6DE46A04" w14:textId="779CA475" w:rsidR="00EE4BC7" w:rsidRPr="009879E2" w:rsidRDefault="00EE4BC7" w:rsidP="00FA7BA6">
      <w:pPr>
        <w:widowControl w:val="0"/>
        <w:spacing w:line="360" w:lineRule="auto"/>
        <w:contextualSpacing/>
        <w:jc w:val="both"/>
        <w:rPr>
          <w:rFonts w:ascii="Palatino Linotype" w:hAnsi="Palatino Linotype" w:cs="Tahoma"/>
          <w:bCs/>
          <w:iCs/>
          <w:sz w:val="22"/>
          <w:szCs w:val="22"/>
        </w:rPr>
      </w:pPr>
      <w:r w:rsidRPr="00ED7C1C">
        <w:rPr>
          <w:rFonts w:ascii="Palatino Linotype" w:hAnsi="Palatino Linotype" w:cs="Tahoma"/>
          <w:bCs/>
          <w:iCs/>
          <w:sz w:val="22"/>
          <w:szCs w:val="22"/>
        </w:rPr>
        <w:t>Se le hace del conocimiento al Particular, que, en el presente caso, se le concede</w:t>
      </w:r>
      <w:r>
        <w:rPr>
          <w:rFonts w:ascii="Palatino Linotype" w:hAnsi="Palatino Linotype" w:cs="Tahoma"/>
          <w:bCs/>
          <w:iCs/>
          <w:sz w:val="22"/>
          <w:szCs w:val="22"/>
        </w:rPr>
        <w:t xml:space="preserve"> </w:t>
      </w:r>
      <w:r w:rsidRPr="00ED7C1C">
        <w:rPr>
          <w:rFonts w:ascii="Palatino Linotype" w:hAnsi="Palatino Linotype" w:cs="Tahoma"/>
          <w:bCs/>
          <w:iCs/>
          <w:sz w:val="22"/>
          <w:szCs w:val="22"/>
        </w:rPr>
        <w:t xml:space="preserve">la razón, toda vez que, el Sujeto Obligado </w:t>
      </w:r>
      <w:r w:rsidR="00983851">
        <w:rPr>
          <w:rFonts w:ascii="Palatino Linotype" w:hAnsi="Palatino Linotype" w:cs="Tahoma"/>
          <w:bCs/>
          <w:iCs/>
          <w:sz w:val="22"/>
          <w:szCs w:val="22"/>
        </w:rPr>
        <w:t>omitió la entrega de la información solicitada</w:t>
      </w:r>
      <w:r w:rsidR="009F5D54">
        <w:rPr>
          <w:rFonts w:ascii="Palatino Linotype" w:hAnsi="Palatino Linotype" w:cs="Tahoma"/>
          <w:bCs/>
          <w:iCs/>
          <w:sz w:val="22"/>
          <w:szCs w:val="22"/>
        </w:rPr>
        <w:t xml:space="preserve">, sumado a que no se pronunciaron </w:t>
      </w:r>
      <w:r>
        <w:rPr>
          <w:rFonts w:ascii="Palatino Linotype" w:hAnsi="Palatino Linotype" w:cs="Tahoma"/>
          <w:bCs/>
          <w:iCs/>
          <w:sz w:val="22"/>
          <w:szCs w:val="22"/>
        </w:rPr>
        <w:t>l</w:t>
      </w:r>
      <w:r w:rsidR="009F5D54">
        <w:rPr>
          <w:rFonts w:ascii="Palatino Linotype" w:hAnsi="Palatino Linotype" w:cs="Tahoma"/>
          <w:bCs/>
          <w:iCs/>
          <w:sz w:val="22"/>
          <w:szCs w:val="22"/>
        </w:rPr>
        <w:t>as</w:t>
      </w:r>
      <w:r>
        <w:rPr>
          <w:rFonts w:ascii="Palatino Linotype" w:hAnsi="Palatino Linotype" w:cs="Tahoma"/>
          <w:bCs/>
          <w:iCs/>
          <w:sz w:val="22"/>
          <w:szCs w:val="22"/>
        </w:rPr>
        <w:t xml:space="preserve"> área</w:t>
      </w:r>
      <w:r w:rsidR="009F5D54">
        <w:rPr>
          <w:rFonts w:ascii="Palatino Linotype" w:hAnsi="Palatino Linotype" w:cs="Tahoma"/>
          <w:bCs/>
          <w:iCs/>
          <w:sz w:val="22"/>
          <w:szCs w:val="22"/>
        </w:rPr>
        <w:t>s</w:t>
      </w:r>
      <w:r>
        <w:rPr>
          <w:rFonts w:ascii="Palatino Linotype" w:hAnsi="Palatino Linotype" w:cs="Tahoma"/>
          <w:bCs/>
          <w:iCs/>
          <w:sz w:val="22"/>
          <w:szCs w:val="22"/>
        </w:rPr>
        <w:t xml:space="preserve"> competente</w:t>
      </w:r>
      <w:r w:rsidR="009F5D54">
        <w:rPr>
          <w:rFonts w:ascii="Palatino Linotype" w:hAnsi="Palatino Linotype" w:cs="Tahoma"/>
          <w:bCs/>
          <w:iCs/>
          <w:sz w:val="22"/>
          <w:szCs w:val="22"/>
        </w:rPr>
        <w:t>s</w:t>
      </w:r>
      <w:r w:rsidRPr="00ED7C1C">
        <w:rPr>
          <w:rFonts w:ascii="Palatino Linotype" w:hAnsi="Palatino Linotype" w:cs="Tahoma"/>
          <w:bCs/>
          <w:iCs/>
          <w:sz w:val="22"/>
          <w:szCs w:val="22"/>
        </w:rPr>
        <w:t xml:space="preserve">, por lo que deberá proporcionar </w:t>
      </w:r>
      <w:r>
        <w:rPr>
          <w:rFonts w:ascii="Palatino Linotype" w:hAnsi="Palatino Linotype" w:cs="Tahoma"/>
          <w:bCs/>
          <w:iCs/>
          <w:sz w:val="22"/>
          <w:szCs w:val="22"/>
        </w:rPr>
        <w:t>la</w:t>
      </w:r>
      <w:r w:rsidRPr="00ED7C1C">
        <w:rPr>
          <w:rFonts w:ascii="Palatino Linotype" w:hAnsi="Palatino Linotype" w:cs="Tahoma"/>
          <w:bCs/>
          <w:iCs/>
          <w:sz w:val="22"/>
          <w:szCs w:val="22"/>
        </w:rPr>
        <w:t xml:space="preserve"> información</w:t>
      </w:r>
      <w:r>
        <w:rPr>
          <w:rFonts w:ascii="Palatino Linotype" w:hAnsi="Palatino Linotype" w:cs="Tahoma"/>
          <w:bCs/>
          <w:iCs/>
          <w:sz w:val="22"/>
          <w:szCs w:val="22"/>
        </w:rPr>
        <w:t xml:space="preserve"> </w:t>
      </w:r>
      <w:r w:rsidR="00983851">
        <w:rPr>
          <w:rFonts w:ascii="Palatino Linotype" w:hAnsi="Palatino Linotype" w:cs="Tahoma"/>
          <w:bCs/>
          <w:iCs/>
          <w:sz w:val="22"/>
          <w:szCs w:val="22"/>
        </w:rPr>
        <w:t>solicitad</w:t>
      </w:r>
      <w:r>
        <w:rPr>
          <w:rFonts w:ascii="Palatino Linotype" w:hAnsi="Palatino Linotype" w:cs="Tahoma"/>
          <w:bCs/>
          <w:iCs/>
          <w:sz w:val="22"/>
          <w:szCs w:val="22"/>
        </w:rPr>
        <w:t>a</w:t>
      </w:r>
      <w:r w:rsidR="009F5D54">
        <w:rPr>
          <w:rFonts w:ascii="Palatino Linotype" w:hAnsi="Palatino Linotype" w:cs="Tahoma"/>
          <w:bCs/>
          <w:iCs/>
          <w:sz w:val="22"/>
          <w:szCs w:val="22"/>
        </w:rPr>
        <w:t xml:space="preserve">. </w:t>
      </w:r>
      <w:r w:rsidRPr="00FA265D">
        <w:rPr>
          <w:rFonts w:ascii="Palatino Linotype" w:eastAsia="Calibri" w:hAnsi="Palatino Linotype" w:cs="Tahoma"/>
          <w:bCs/>
          <w:iCs/>
          <w:sz w:val="22"/>
          <w:szCs w:val="22"/>
          <w:lang w:eastAsia="en-US"/>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7060BC13" w14:textId="77777777" w:rsidR="00EE4BC7" w:rsidRPr="00ED7C1C" w:rsidRDefault="00EE4BC7" w:rsidP="00FA7BA6">
      <w:pPr>
        <w:spacing w:line="360" w:lineRule="auto"/>
        <w:contextualSpacing/>
        <w:jc w:val="both"/>
        <w:rPr>
          <w:rFonts w:ascii="Palatino Linotype" w:hAnsi="Palatino Linotype"/>
          <w:sz w:val="22"/>
          <w:szCs w:val="22"/>
        </w:rPr>
      </w:pPr>
      <w:r w:rsidRPr="00ED7C1C">
        <w:rPr>
          <w:rFonts w:ascii="Palatino Linotype" w:hAnsi="Palatino Linotype"/>
          <w:sz w:val="22"/>
          <w:szCs w:val="22"/>
        </w:rPr>
        <w:t>Por lo expuesto y fundado, este Pleno:</w:t>
      </w:r>
    </w:p>
    <w:p w14:paraId="4A1C16DE" w14:textId="77777777" w:rsidR="00EE4BC7" w:rsidRDefault="00EE4BC7" w:rsidP="00FA7BA6">
      <w:pPr>
        <w:spacing w:line="360" w:lineRule="auto"/>
        <w:contextualSpacing/>
        <w:jc w:val="both"/>
        <w:rPr>
          <w:rFonts w:ascii="Palatino Linotype" w:hAnsi="Palatino Linotype"/>
          <w:sz w:val="22"/>
          <w:szCs w:val="22"/>
        </w:rPr>
      </w:pPr>
    </w:p>
    <w:p w14:paraId="32A62721" w14:textId="77777777" w:rsidR="00EE4BC7" w:rsidRPr="00ED7C1C" w:rsidRDefault="00EE4BC7" w:rsidP="00FA7BA6">
      <w:pPr>
        <w:spacing w:line="360" w:lineRule="auto"/>
        <w:contextualSpacing/>
        <w:jc w:val="center"/>
        <w:rPr>
          <w:rFonts w:ascii="Palatino Linotype" w:hAnsi="Palatino Linotype"/>
          <w:b/>
          <w:bCs/>
          <w:sz w:val="22"/>
          <w:szCs w:val="22"/>
        </w:rPr>
      </w:pPr>
      <w:r w:rsidRPr="00ED7C1C">
        <w:rPr>
          <w:rFonts w:ascii="Palatino Linotype" w:hAnsi="Palatino Linotype"/>
          <w:b/>
          <w:bCs/>
          <w:sz w:val="22"/>
          <w:szCs w:val="22"/>
        </w:rPr>
        <w:t>R E S U E L V E</w:t>
      </w:r>
    </w:p>
    <w:p w14:paraId="2B37E6B8" w14:textId="77777777" w:rsidR="00EE4BC7" w:rsidRPr="00ED7C1C" w:rsidRDefault="00EE4BC7" w:rsidP="00FA7BA6">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 </w:t>
      </w:r>
    </w:p>
    <w:p w14:paraId="1A9AF07F" w14:textId="66DEA61C" w:rsidR="00EE4BC7" w:rsidRPr="009879E2" w:rsidRDefault="00EE4BC7" w:rsidP="00FA7BA6">
      <w:pPr>
        <w:spacing w:line="360" w:lineRule="auto"/>
        <w:contextualSpacing/>
        <w:jc w:val="both"/>
        <w:rPr>
          <w:rFonts w:ascii="Palatino Linotype" w:hAnsi="Palatino Linotype"/>
          <w:sz w:val="22"/>
          <w:szCs w:val="22"/>
        </w:rPr>
      </w:pPr>
      <w:r w:rsidRPr="00ED7C1C">
        <w:rPr>
          <w:rFonts w:ascii="Palatino Linotype" w:hAnsi="Palatino Linotype"/>
          <w:b/>
          <w:bCs/>
          <w:sz w:val="22"/>
          <w:szCs w:val="22"/>
        </w:rPr>
        <w:t xml:space="preserve">PRIMERO. </w:t>
      </w:r>
      <w:r w:rsidRPr="00ED7C1C">
        <w:rPr>
          <w:rFonts w:ascii="Palatino Linotype" w:hAnsi="Palatino Linotype"/>
          <w:sz w:val="22"/>
          <w:szCs w:val="22"/>
        </w:rPr>
        <w:t xml:space="preserve">Se </w:t>
      </w:r>
      <w:r>
        <w:rPr>
          <w:rFonts w:ascii="Palatino Linotype" w:hAnsi="Palatino Linotype"/>
          <w:b/>
          <w:bCs/>
          <w:sz w:val="22"/>
          <w:szCs w:val="22"/>
        </w:rPr>
        <w:t>REVO</w:t>
      </w:r>
      <w:r w:rsidRPr="00ED7C1C">
        <w:rPr>
          <w:rFonts w:ascii="Palatino Linotype" w:hAnsi="Palatino Linotype"/>
          <w:b/>
          <w:bCs/>
          <w:sz w:val="22"/>
          <w:szCs w:val="22"/>
        </w:rPr>
        <w:t xml:space="preserve">CA </w:t>
      </w:r>
      <w:r w:rsidRPr="00ED7C1C">
        <w:rPr>
          <w:rFonts w:ascii="Palatino Linotype" w:hAnsi="Palatino Linotype"/>
          <w:bCs/>
          <w:sz w:val="22"/>
          <w:szCs w:val="22"/>
        </w:rPr>
        <w:t>la</w:t>
      </w:r>
      <w:r w:rsidRPr="00ED7C1C">
        <w:rPr>
          <w:rFonts w:ascii="Palatino Linotype" w:hAnsi="Palatino Linotype"/>
          <w:b/>
          <w:bCs/>
          <w:sz w:val="22"/>
          <w:szCs w:val="22"/>
        </w:rPr>
        <w:t xml:space="preserve"> </w:t>
      </w:r>
      <w:r>
        <w:rPr>
          <w:rFonts w:ascii="Palatino Linotype" w:hAnsi="Palatino Linotype"/>
          <w:sz w:val="22"/>
          <w:szCs w:val="22"/>
        </w:rPr>
        <w:t>respuesta entregada por e</w:t>
      </w:r>
      <w:r w:rsidRPr="00ED7C1C">
        <w:rPr>
          <w:rFonts w:ascii="Palatino Linotype" w:hAnsi="Palatino Linotype"/>
          <w:sz w:val="22"/>
          <w:szCs w:val="22"/>
        </w:rPr>
        <w:t xml:space="preserve">l </w:t>
      </w:r>
      <w:r w:rsidR="00983851">
        <w:rPr>
          <w:rFonts w:ascii="Palatino Linotype" w:hAnsi="Palatino Linotype"/>
          <w:bCs/>
          <w:color w:val="000000"/>
          <w:sz w:val="22"/>
          <w:szCs w:val="22"/>
        </w:rPr>
        <w:t>Ayuntamiento de Mexicalt</w:t>
      </w:r>
      <w:r w:rsidR="002D46EE">
        <w:rPr>
          <w:rFonts w:ascii="Palatino Linotype" w:hAnsi="Palatino Linotype"/>
          <w:bCs/>
          <w:color w:val="000000"/>
          <w:sz w:val="22"/>
          <w:szCs w:val="22"/>
        </w:rPr>
        <w:t>z</w:t>
      </w:r>
      <w:r w:rsidR="00983851">
        <w:rPr>
          <w:rFonts w:ascii="Palatino Linotype" w:hAnsi="Palatino Linotype"/>
          <w:bCs/>
          <w:color w:val="000000"/>
          <w:sz w:val="22"/>
          <w:szCs w:val="22"/>
        </w:rPr>
        <w:t>ingo</w:t>
      </w:r>
      <w:r w:rsidRPr="00ED7C1C">
        <w:rPr>
          <w:rFonts w:ascii="Palatino Linotype" w:hAnsi="Palatino Linotype" w:cs="Tahoma"/>
          <w:sz w:val="22"/>
          <w:szCs w:val="22"/>
        </w:rPr>
        <w:t>,</w:t>
      </w:r>
      <w:r w:rsidRPr="00ED7C1C">
        <w:rPr>
          <w:rFonts w:ascii="Palatino Linotype" w:hAnsi="Palatino Linotype"/>
          <w:sz w:val="22"/>
          <w:szCs w:val="22"/>
        </w:rPr>
        <w:t xml:space="preserve"> a la solicitud de información</w:t>
      </w:r>
      <w:r w:rsidRPr="00ED7C1C">
        <w:rPr>
          <w:rFonts w:ascii="Palatino Linotype" w:hAnsi="Palatino Linotype"/>
          <w:b/>
          <w:bCs/>
          <w:sz w:val="22"/>
          <w:szCs w:val="22"/>
        </w:rPr>
        <w:t xml:space="preserve"> </w:t>
      </w:r>
      <w:r w:rsidR="009F5D54" w:rsidRPr="00EE4BC7">
        <w:rPr>
          <w:rFonts w:ascii="Palatino Linotype" w:hAnsi="Palatino Linotype"/>
          <w:color w:val="000000" w:themeColor="text1"/>
          <w:sz w:val="22"/>
          <w:szCs w:val="22"/>
        </w:rPr>
        <w:t>00140/MEXICAL/IP/2024</w:t>
      </w:r>
      <w:r>
        <w:rPr>
          <w:rFonts w:ascii="Palatino Linotype" w:hAnsi="Palatino Linotype"/>
          <w:sz w:val="22"/>
          <w:szCs w:val="22"/>
        </w:rPr>
        <w:t xml:space="preserve">, por resultar </w:t>
      </w:r>
      <w:r w:rsidRPr="00ED7C1C">
        <w:rPr>
          <w:rFonts w:ascii="Palatino Linotype" w:hAnsi="Palatino Linotype"/>
          <w:b/>
          <w:bCs/>
          <w:sz w:val="22"/>
          <w:szCs w:val="22"/>
        </w:rPr>
        <w:t>FUNDADAS</w:t>
      </w:r>
      <w:r w:rsidRPr="00ED7C1C">
        <w:rPr>
          <w:rFonts w:ascii="Palatino Linotype" w:hAnsi="Palatino Linotype"/>
          <w:sz w:val="22"/>
          <w:szCs w:val="22"/>
        </w:rPr>
        <w:t xml:space="preserve"> las razones o </w:t>
      </w:r>
      <w:r w:rsidRPr="00ED7C1C">
        <w:rPr>
          <w:rFonts w:ascii="Palatino Linotype" w:hAnsi="Palatino Linotype"/>
          <w:sz w:val="22"/>
          <w:szCs w:val="22"/>
        </w:rPr>
        <w:lastRenderedPageBreak/>
        <w:t>motivos de inconformidad hechos valer por el Recurrente, en términos de los considerandos QUINTO y SEXTO de la presente Resolución.</w:t>
      </w:r>
    </w:p>
    <w:p w14:paraId="4508EED6" w14:textId="77777777" w:rsidR="00EE4BC7" w:rsidRPr="00ED7C1C" w:rsidRDefault="00EE4BC7" w:rsidP="00FA7BA6">
      <w:pPr>
        <w:spacing w:line="360" w:lineRule="auto"/>
        <w:contextualSpacing/>
        <w:jc w:val="both"/>
        <w:rPr>
          <w:rFonts w:ascii="Palatino Linotype" w:hAnsi="Palatino Linotype"/>
          <w:sz w:val="22"/>
          <w:szCs w:val="22"/>
        </w:rPr>
      </w:pPr>
    </w:p>
    <w:p w14:paraId="100320D9" w14:textId="024EBA51" w:rsidR="00EE4BC7" w:rsidRDefault="00EE4BC7" w:rsidP="009F5D54">
      <w:pPr>
        <w:tabs>
          <w:tab w:val="left" w:pos="4962"/>
        </w:tabs>
        <w:spacing w:line="360" w:lineRule="auto"/>
        <w:ind w:right="-28"/>
        <w:contextualSpacing/>
        <w:jc w:val="both"/>
        <w:rPr>
          <w:rFonts w:ascii="Palatino Linotype" w:hAnsi="Palatino Linotype" w:cs="Tahoma"/>
          <w:sz w:val="22"/>
          <w:szCs w:val="22"/>
        </w:rPr>
      </w:pPr>
      <w:r w:rsidRPr="00ED7C1C">
        <w:rPr>
          <w:rFonts w:ascii="Palatino Linotype" w:hAnsi="Palatino Linotype" w:cs="Tahoma"/>
          <w:b/>
          <w:bCs/>
          <w:sz w:val="22"/>
          <w:szCs w:val="22"/>
        </w:rPr>
        <w:t xml:space="preserve">SEGUNDO. </w:t>
      </w:r>
      <w:r w:rsidRPr="00ED7C1C">
        <w:rPr>
          <w:rFonts w:ascii="Palatino Linotype" w:hAnsi="Palatino Linotype" w:cs="Tahoma"/>
          <w:sz w:val="22"/>
          <w:szCs w:val="22"/>
        </w:rPr>
        <w:t xml:space="preserve">Se </w:t>
      </w:r>
      <w:r w:rsidRPr="00ED7C1C">
        <w:rPr>
          <w:rFonts w:ascii="Palatino Linotype" w:hAnsi="Palatino Linotype" w:cs="Tahoma"/>
          <w:b/>
          <w:sz w:val="22"/>
          <w:szCs w:val="22"/>
        </w:rPr>
        <w:t xml:space="preserve">ORDENA </w:t>
      </w:r>
      <w:r w:rsidRPr="00ED7C1C">
        <w:rPr>
          <w:rFonts w:ascii="Palatino Linotype" w:hAnsi="Palatino Linotype" w:cs="Tahoma"/>
          <w:sz w:val="22"/>
          <w:szCs w:val="22"/>
        </w:rPr>
        <w:t xml:space="preserve">al </w:t>
      </w:r>
      <w:r w:rsidRPr="00ED7C1C">
        <w:rPr>
          <w:rFonts w:ascii="Palatino Linotype" w:hAnsi="Palatino Linotype" w:cs="Tahoma"/>
          <w:color w:val="0C0C0C"/>
          <w:sz w:val="22"/>
          <w:szCs w:val="22"/>
        </w:rPr>
        <w:t>Sujeto Obligado</w:t>
      </w:r>
      <w:r w:rsidRPr="00ED7C1C">
        <w:rPr>
          <w:rFonts w:ascii="Palatino Linotype" w:hAnsi="Palatino Linotype" w:cs="Tahoma"/>
          <w:sz w:val="22"/>
          <w:szCs w:val="22"/>
        </w:rPr>
        <w:t xml:space="preserve">, a efecto de que previa búsqueda exhaustiva y razonable en todas las unidades administrativas competentes, entregue </w:t>
      </w:r>
      <w:r w:rsidRPr="00ED7C1C">
        <w:rPr>
          <w:rFonts w:ascii="Palatino Linotype" w:hAnsi="Palatino Linotype" w:cs="Tahoma"/>
          <w:bCs/>
          <w:iCs/>
          <w:sz w:val="22"/>
          <w:szCs w:val="22"/>
        </w:rPr>
        <w:t>a través del Sistema de Acceso a la I</w:t>
      </w:r>
      <w:r w:rsidR="009F5D54">
        <w:rPr>
          <w:rFonts w:ascii="Palatino Linotype" w:hAnsi="Palatino Linotype" w:cs="Tahoma"/>
          <w:bCs/>
          <w:iCs/>
          <w:sz w:val="22"/>
          <w:szCs w:val="22"/>
        </w:rPr>
        <w:t>nformación Mexiquense (SAIMEX)</w:t>
      </w:r>
      <w:r>
        <w:rPr>
          <w:rFonts w:ascii="Palatino Linotype" w:eastAsia="Calibri" w:hAnsi="Palatino Linotype" w:cs="Tahoma"/>
          <w:iCs/>
          <w:sz w:val="22"/>
          <w:szCs w:val="22"/>
          <w:lang w:val="es-ES" w:eastAsia="es-ES_tradnl"/>
        </w:rPr>
        <w:t>, lo</w:t>
      </w:r>
      <w:r w:rsidR="009F5D54">
        <w:rPr>
          <w:rFonts w:ascii="Palatino Linotype" w:eastAsia="Calibri" w:hAnsi="Palatino Linotype" w:cs="Tahoma"/>
          <w:iCs/>
          <w:sz w:val="22"/>
          <w:szCs w:val="22"/>
          <w:lang w:val="es-ES" w:eastAsia="es-ES_tradnl"/>
        </w:rPr>
        <w:t>s</w:t>
      </w:r>
      <w:r>
        <w:rPr>
          <w:rFonts w:ascii="Palatino Linotype" w:eastAsia="Calibri" w:hAnsi="Palatino Linotype" w:cs="Tahoma"/>
          <w:iCs/>
          <w:sz w:val="22"/>
          <w:szCs w:val="22"/>
          <w:lang w:val="es-ES" w:eastAsia="es-ES_tradnl"/>
        </w:rPr>
        <w:t xml:space="preserve"> documentos que den cuenta de lo siguiente:</w:t>
      </w:r>
    </w:p>
    <w:p w14:paraId="214E666E" w14:textId="77777777" w:rsidR="009F5D54" w:rsidRDefault="009F5D54" w:rsidP="009F5D54">
      <w:pPr>
        <w:tabs>
          <w:tab w:val="left" w:pos="4962"/>
        </w:tabs>
        <w:spacing w:line="360" w:lineRule="auto"/>
        <w:ind w:right="-28"/>
        <w:contextualSpacing/>
        <w:jc w:val="both"/>
        <w:rPr>
          <w:rFonts w:ascii="Palatino Linotype" w:hAnsi="Palatino Linotype" w:cs="Tahoma"/>
          <w:sz w:val="22"/>
          <w:szCs w:val="22"/>
        </w:rPr>
      </w:pPr>
    </w:p>
    <w:p w14:paraId="57BC5BDC" w14:textId="7C591E7D" w:rsidR="009F5D54" w:rsidRDefault="00EF7206" w:rsidP="009F5D54">
      <w:pPr>
        <w:pStyle w:val="Prrafodelista"/>
        <w:numPr>
          <w:ilvl w:val="0"/>
          <w:numId w:val="15"/>
        </w:numPr>
        <w:tabs>
          <w:tab w:val="left" w:pos="4962"/>
        </w:tabs>
        <w:spacing w:line="360" w:lineRule="auto"/>
        <w:ind w:right="-28"/>
        <w:jc w:val="both"/>
        <w:rPr>
          <w:rFonts w:ascii="Palatino Linotype" w:hAnsi="Palatino Linotype" w:cs="Tahoma"/>
          <w:szCs w:val="22"/>
        </w:rPr>
      </w:pPr>
      <w:r>
        <w:rPr>
          <w:rFonts w:ascii="Palatino Linotype" w:hAnsi="Palatino Linotype" w:cs="Tahoma"/>
          <w:szCs w:val="22"/>
        </w:rPr>
        <w:t>Los f</w:t>
      </w:r>
      <w:r w:rsidR="009F5D54">
        <w:rPr>
          <w:rFonts w:ascii="Palatino Linotype" w:hAnsi="Palatino Linotype" w:cs="Tahoma"/>
          <w:szCs w:val="22"/>
        </w:rPr>
        <w:t>undamento</w:t>
      </w:r>
      <w:r>
        <w:rPr>
          <w:rFonts w:ascii="Palatino Linotype" w:hAnsi="Palatino Linotype" w:cs="Tahoma"/>
          <w:szCs w:val="22"/>
        </w:rPr>
        <w:t>s</w:t>
      </w:r>
      <w:r w:rsidR="009F5D54">
        <w:rPr>
          <w:rFonts w:ascii="Palatino Linotype" w:hAnsi="Palatino Linotype" w:cs="Tahoma"/>
          <w:szCs w:val="22"/>
        </w:rPr>
        <w:t xml:space="preserve"> jurídico</w:t>
      </w:r>
      <w:r>
        <w:rPr>
          <w:rFonts w:ascii="Palatino Linotype" w:hAnsi="Palatino Linotype" w:cs="Tahoma"/>
          <w:szCs w:val="22"/>
        </w:rPr>
        <w:t>s</w:t>
      </w:r>
      <w:r w:rsidR="009F5D54">
        <w:rPr>
          <w:rFonts w:ascii="Palatino Linotype" w:hAnsi="Palatino Linotype" w:cs="Tahoma"/>
          <w:szCs w:val="22"/>
        </w:rPr>
        <w:t xml:space="preserve"> por el que se sustenta el cobro </w:t>
      </w:r>
      <w:r>
        <w:rPr>
          <w:rFonts w:ascii="Palatino Linotype" w:hAnsi="Palatino Linotype" w:cs="Tahoma"/>
          <w:szCs w:val="22"/>
        </w:rPr>
        <w:t>de la documentación</w:t>
      </w:r>
      <w:r w:rsidR="009F5D54">
        <w:rPr>
          <w:rFonts w:ascii="Palatino Linotype" w:hAnsi="Palatino Linotype" w:cs="Tahoma"/>
          <w:szCs w:val="22"/>
        </w:rPr>
        <w:t xml:space="preserve"> en materia de acceso a la información</w:t>
      </w:r>
      <w:r w:rsidR="00AB4C9A">
        <w:rPr>
          <w:rFonts w:ascii="Palatino Linotype" w:hAnsi="Palatino Linotype" w:cs="Tahoma"/>
          <w:szCs w:val="22"/>
        </w:rPr>
        <w:t xml:space="preserve"> pública</w:t>
      </w:r>
      <w:r w:rsidR="009F5D54">
        <w:rPr>
          <w:rFonts w:ascii="Palatino Linotype" w:hAnsi="Palatino Linotype" w:cs="Tahoma"/>
          <w:szCs w:val="22"/>
        </w:rPr>
        <w:t>, vigente</w:t>
      </w:r>
      <w:r w:rsidR="00AB4C9A">
        <w:rPr>
          <w:rFonts w:ascii="Palatino Linotype" w:hAnsi="Palatino Linotype" w:cs="Tahoma"/>
          <w:szCs w:val="22"/>
        </w:rPr>
        <w:t>s</w:t>
      </w:r>
      <w:r w:rsidR="009F5D54">
        <w:rPr>
          <w:rFonts w:ascii="Palatino Linotype" w:hAnsi="Palatino Linotype" w:cs="Tahoma"/>
          <w:szCs w:val="22"/>
        </w:rPr>
        <w:t xml:space="preserve"> al cuatro de noviembre de dos mil veinticuatro.</w:t>
      </w:r>
    </w:p>
    <w:p w14:paraId="74E1153B" w14:textId="77777777" w:rsidR="00EE4BC7" w:rsidRDefault="00EE4BC7" w:rsidP="00FA7BA6">
      <w:pPr>
        <w:spacing w:line="360" w:lineRule="auto"/>
        <w:contextualSpacing/>
        <w:jc w:val="both"/>
        <w:rPr>
          <w:rFonts w:ascii="Palatino Linotype" w:hAnsi="Palatino Linotype" w:cs="Tahoma"/>
          <w:b/>
          <w:bCs/>
          <w:iCs/>
          <w:sz w:val="22"/>
          <w:szCs w:val="22"/>
        </w:rPr>
      </w:pPr>
    </w:p>
    <w:p w14:paraId="79F86154" w14:textId="77777777" w:rsidR="00EE4BC7" w:rsidRPr="00ED7C1C" w:rsidRDefault="00EE4BC7" w:rsidP="00FA7BA6">
      <w:pPr>
        <w:spacing w:line="360" w:lineRule="auto"/>
        <w:contextualSpacing/>
        <w:jc w:val="both"/>
        <w:rPr>
          <w:rFonts w:ascii="Palatino Linotype" w:hAnsi="Palatino Linotype" w:cs="Tahoma"/>
          <w:bCs/>
          <w:iCs/>
          <w:sz w:val="22"/>
          <w:szCs w:val="22"/>
        </w:rPr>
      </w:pPr>
      <w:r w:rsidRPr="00ED7C1C">
        <w:rPr>
          <w:rFonts w:ascii="Palatino Linotype" w:hAnsi="Palatino Linotype" w:cs="Tahoma"/>
          <w:b/>
          <w:bCs/>
          <w:iCs/>
          <w:sz w:val="22"/>
          <w:szCs w:val="22"/>
        </w:rPr>
        <w:t>TERCERO</w:t>
      </w:r>
      <w:r w:rsidRPr="00ED7C1C">
        <w:rPr>
          <w:rFonts w:ascii="Palatino Linotype" w:hAnsi="Palatino Linotype" w:cs="Tahoma"/>
          <w:b/>
          <w:bCs/>
          <w:sz w:val="22"/>
          <w:szCs w:val="22"/>
        </w:rPr>
        <w:t xml:space="preserve">. </w:t>
      </w:r>
      <w:r w:rsidRPr="00ED7C1C">
        <w:rPr>
          <w:rFonts w:ascii="Palatino Linotype" w:hAnsi="Palatino Linotype" w:cs="Tahoma"/>
          <w:b/>
          <w:sz w:val="22"/>
          <w:szCs w:val="22"/>
        </w:rPr>
        <w:t xml:space="preserve">NOTIFÍQUESE POR SAIMEX </w:t>
      </w:r>
      <w:r w:rsidRPr="00ED7C1C">
        <w:rPr>
          <w:rFonts w:ascii="Palatino Linotype" w:hAnsi="Palatino Linotype" w:cs="Tahoma"/>
          <w:b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8BADF1B" w14:textId="77777777" w:rsidR="00EE4BC7" w:rsidRPr="00ED7C1C" w:rsidRDefault="00EE4BC7" w:rsidP="00FA7BA6">
      <w:pPr>
        <w:spacing w:line="360" w:lineRule="auto"/>
        <w:contextualSpacing/>
        <w:jc w:val="both"/>
        <w:rPr>
          <w:rFonts w:ascii="Palatino Linotype" w:hAnsi="Palatino Linotype" w:cs="Tahoma"/>
          <w:sz w:val="22"/>
          <w:szCs w:val="22"/>
        </w:rPr>
      </w:pPr>
    </w:p>
    <w:p w14:paraId="440DF7EF" w14:textId="77777777" w:rsidR="00EE4BC7" w:rsidRPr="00ED7C1C" w:rsidRDefault="00EE4BC7" w:rsidP="00FA7BA6">
      <w:pPr>
        <w:spacing w:line="360" w:lineRule="auto"/>
        <w:contextualSpacing/>
        <w:jc w:val="both"/>
        <w:rPr>
          <w:rFonts w:ascii="Palatino Linotype" w:hAnsi="Palatino Linotype" w:cs="Tahoma"/>
          <w:iCs/>
          <w:sz w:val="22"/>
          <w:szCs w:val="22"/>
        </w:rPr>
      </w:pPr>
      <w:r w:rsidRPr="00ED7C1C">
        <w:rPr>
          <w:rFonts w:ascii="Palatino Linotype" w:hAnsi="Palatino Linotype" w:cs="Tahoma"/>
          <w:iCs/>
          <w:sz w:val="22"/>
          <w:szCs w:val="22"/>
        </w:rPr>
        <w:t xml:space="preserve">De conformidad con el artículo 198 de la </w:t>
      </w:r>
      <w:r>
        <w:rPr>
          <w:rFonts w:ascii="Palatino Linotype" w:hAnsi="Palatino Linotype" w:cs="Tahoma"/>
          <w:bCs/>
          <w:sz w:val="22"/>
          <w:szCs w:val="22"/>
        </w:rPr>
        <w:t>Ley de la materia</w:t>
      </w:r>
      <w:r w:rsidRPr="00ED7C1C">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66ED5F98" w14:textId="77777777" w:rsidR="00EE4BC7" w:rsidRPr="00ED7C1C" w:rsidRDefault="00EE4BC7" w:rsidP="00FA7BA6">
      <w:pPr>
        <w:spacing w:line="360" w:lineRule="auto"/>
        <w:contextualSpacing/>
        <w:jc w:val="both"/>
        <w:rPr>
          <w:rFonts w:ascii="Palatino Linotype" w:hAnsi="Palatino Linotype" w:cs="Tahoma"/>
          <w:iCs/>
          <w:sz w:val="22"/>
          <w:szCs w:val="22"/>
        </w:rPr>
      </w:pPr>
    </w:p>
    <w:p w14:paraId="3B7926E8" w14:textId="77777777" w:rsidR="00EE4BC7" w:rsidRPr="00ED7C1C" w:rsidRDefault="00EE4BC7" w:rsidP="00FA7BA6">
      <w:pPr>
        <w:shd w:val="clear" w:color="auto" w:fill="FFFFFF"/>
        <w:spacing w:line="360" w:lineRule="auto"/>
        <w:ind w:right="-28"/>
        <w:contextualSpacing/>
        <w:jc w:val="both"/>
        <w:rPr>
          <w:rFonts w:ascii="Palatino Linotype" w:hAnsi="Palatino Linotype" w:cs="Tahoma"/>
          <w:sz w:val="22"/>
          <w:szCs w:val="22"/>
        </w:rPr>
      </w:pPr>
      <w:r w:rsidRPr="00ED7C1C">
        <w:rPr>
          <w:rFonts w:ascii="Palatino Linotype" w:hAnsi="Palatino Linotype" w:cs="Tahoma"/>
          <w:b/>
          <w:sz w:val="22"/>
          <w:szCs w:val="22"/>
        </w:rPr>
        <w:lastRenderedPageBreak/>
        <w:t>CUARTO</w:t>
      </w:r>
      <w:r w:rsidRPr="00ED7C1C">
        <w:rPr>
          <w:rFonts w:ascii="Palatino Linotype" w:hAnsi="Palatino Linotype" w:cs="Tahoma"/>
          <w:b/>
          <w:bCs/>
          <w:sz w:val="22"/>
          <w:szCs w:val="22"/>
        </w:rPr>
        <w:t xml:space="preserve">. </w:t>
      </w:r>
      <w:r w:rsidRPr="00ED7C1C">
        <w:rPr>
          <w:rFonts w:ascii="Palatino Linotype" w:hAnsi="Palatino Linotype" w:cs="Tahoma"/>
          <w:b/>
          <w:sz w:val="22"/>
          <w:szCs w:val="22"/>
        </w:rPr>
        <w:t>NOTIFÍQUESE POR SAIMEX</w:t>
      </w:r>
      <w:r w:rsidRPr="00ED7C1C">
        <w:rPr>
          <w:rFonts w:ascii="Palatino Linotype" w:hAnsi="Palatino Linotype" w:cs="Tahoma"/>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D66035" w14:textId="77777777" w:rsidR="00EE4BC7" w:rsidRPr="00ED7C1C" w:rsidRDefault="00EE4BC7" w:rsidP="00FA7BA6">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 </w:t>
      </w:r>
    </w:p>
    <w:p w14:paraId="0835A780" w14:textId="77777777" w:rsidR="00EE4BC7" w:rsidRPr="00734ED9" w:rsidRDefault="00EE4BC7" w:rsidP="00FA7BA6">
      <w:pPr>
        <w:spacing w:line="360" w:lineRule="auto"/>
        <w:contextualSpacing/>
        <w:jc w:val="both"/>
        <w:rPr>
          <w:rFonts w:ascii="Palatino Linotype" w:hAnsi="Palatino Linotype"/>
          <w:sz w:val="22"/>
          <w:szCs w:val="22"/>
        </w:rPr>
      </w:pPr>
      <w:r w:rsidRPr="00ED7C1C">
        <w:rPr>
          <w:rFonts w:ascii="Palatino Linotype" w:hAnsi="Palatino Linotype"/>
          <w:sz w:val="22"/>
          <w:szCs w:val="22"/>
        </w:rPr>
        <w:t xml:space="preserve">ASÍ LO RESUELVE, POR </w:t>
      </w:r>
      <w:r w:rsidRPr="00B0563A">
        <w:rPr>
          <w:rFonts w:ascii="Palatino Linotype" w:hAnsi="Palatino Linotype"/>
          <w:b/>
          <w:bCs/>
          <w:sz w:val="22"/>
          <w:szCs w:val="22"/>
        </w:rPr>
        <w:t xml:space="preserve">UNANIMIDAD </w:t>
      </w:r>
      <w:r w:rsidRPr="00ED7C1C">
        <w:rPr>
          <w:rFonts w:ascii="Palatino Linotype" w:hAnsi="Palatino Linotype"/>
          <w:sz w:val="22"/>
          <w:szCs w:val="22"/>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ascii="Palatino Linotype" w:hAnsi="Palatino Linotype"/>
          <w:sz w:val="22"/>
          <w:szCs w:val="22"/>
        </w:rPr>
        <w:t>CUADRAGÉSIMA TERCERA</w:t>
      </w:r>
      <w:r w:rsidRPr="00ED7C1C">
        <w:rPr>
          <w:rFonts w:ascii="Palatino Linotype" w:hAnsi="Palatino Linotype"/>
          <w:sz w:val="22"/>
          <w:szCs w:val="22"/>
        </w:rPr>
        <w:t xml:space="preserve"> SESIÓN ORDINARIA, CELEBRADA EL </w:t>
      </w:r>
      <w:r>
        <w:rPr>
          <w:rFonts w:ascii="Palatino Linotype" w:hAnsi="Palatino Linotype"/>
          <w:sz w:val="22"/>
          <w:szCs w:val="22"/>
        </w:rPr>
        <w:t>ONCE DE DICIEMBRE</w:t>
      </w:r>
      <w:r w:rsidRPr="00ED7C1C">
        <w:rPr>
          <w:rFonts w:ascii="Palatino Linotype" w:hAnsi="Palatino Linotype"/>
          <w:sz w:val="22"/>
          <w:szCs w:val="22"/>
        </w:rPr>
        <w:t xml:space="preserve"> DE DOS MIL VEINTICUATRO, ANTE EL SECRETARIO TÉCNICO DEL PLENO, ALEXIS TAPIA RAMÍREZ.</w:t>
      </w:r>
    </w:p>
    <w:p w14:paraId="0D678F9A" w14:textId="77777777" w:rsidR="00EE4BC7" w:rsidRDefault="00EE4BC7" w:rsidP="00FA7BA6">
      <w:pPr>
        <w:spacing w:line="360" w:lineRule="auto"/>
        <w:contextualSpacing/>
        <w:jc w:val="both"/>
      </w:pPr>
      <w:r w:rsidRPr="00C61C11">
        <w:rPr>
          <w:rFonts w:ascii="Palatino Linotype" w:hAnsi="Palatino Linotype" w:cs="Tahoma"/>
          <w:sz w:val="22"/>
          <w:szCs w:val="22"/>
        </w:rPr>
        <w:br w:type="page"/>
      </w:r>
    </w:p>
    <w:p w14:paraId="58FCBFF7" w14:textId="77777777" w:rsidR="00EE4BC7" w:rsidRDefault="00EE4BC7" w:rsidP="00FA7BA6">
      <w:pPr>
        <w:spacing w:line="360" w:lineRule="auto"/>
        <w:contextualSpacing/>
      </w:pPr>
    </w:p>
    <w:p w14:paraId="735D4955" w14:textId="77777777" w:rsidR="009C635A" w:rsidRDefault="009C635A" w:rsidP="00FA7BA6">
      <w:pPr>
        <w:spacing w:line="360" w:lineRule="auto"/>
        <w:contextualSpacing/>
      </w:pPr>
    </w:p>
    <w:sectPr w:rsidR="009C635A" w:rsidSect="00880140">
      <w:headerReference w:type="even" r:id="rId7"/>
      <w:headerReference w:type="default" r:id="rId8"/>
      <w:footerReference w:type="default" r:id="rId9"/>
      <w:headerReference w:type="first" r:id="rId10"/>
      <w:footerReference w:type="first" r:id="rId11"/>
      <w:pgSz w:w="12240" w:h="15840"/>
      <w:pgMar w:top="80" w:right="1608" w:bottom="1134" w:left="1588"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F67C" w14:textId="77777777" w:rsidR="00B31EDB" w:rsidRDefault="00B31EDB" w:rsidP="00EE4BC7">
      <w:r>
        <w:separator/>
      </w:r>
    </w:p>
  </w:endnote>
  <w:endnote w:type="continuationSeparator" w:id="0">
    <w:p w14:paraId="1FF398E1" w14:textId="77777777" w:rsidR="00B31EDB" w:rsidRDefault="00B31EDB" w:rsidP="00EE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61E5182C" w14:textId="77777777" w:rsidR="00BE42DA" w:rsidRPr="00C13895" w:rsidRDefault="00BE42DA">
            <w:pPr>
              <w:pStyle w:val="Piedepgina"/>
              <w:jc w:val="right"/>
              <w:rPr>
                <w:sz w:val="26"/>
                <w:szCs w:val="26"/>
              </w:rPr>
            </w:pPr>
          </w:p>
          <w:p w14:paraId="2CDD4540" w14:textId="77777777" w:rsidR="00BE42DA" w:rsidRDefault="00BE42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E4313">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E4313">
              <w:rPr>
                <w:b/>
                <w:bCs/>
                <w:noProof/>
              </w:rPr>
              <w:t>20</w:t>
            </w:r>
            <w:r>
              <w:rPr>
                <w:b/>
                <w:bCs/>
                <w:sz w:val="24"/>
                <w:szCs w:val="24"/>
              </w:rPr>
              <w:fldChar w:fldCharType="end"/>
            </w:r>
          </w:p>
        </w:sdtContent>
      </w:sdt>
    </w:sdtContent>
  </w:sdt>
  <w:p w14:paraId="3FB665FE" w14:textId="77777777" w:rsidR="00BE42DA" w:rsidRDefault="00BE42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78D1995B" w14:textId="77777777" w:rsidR="00BE42DA" w:rsidRDefault="00BE42DA">
            <w:pPr>
              <w:pStyle w:val="Piedepgina"/>
              <w:jc w:val="right"/>
            </w:pPr>
          </w:p>
          <w:p w14:paraId="1BF51E7D" w14:textId="77777777" w:rsidR="00BE42DA" w:rsidRDefault="00BE42DA">
            <w:pPr>
              <w:pStyle w:val="Piedepgina"/>
              <w:jc w:val="right"/>
            </w:pPr>
          </w:p>
          <w:p w14:paraId="259F6094" w14:textId="77777777" w:rsidR="00BE42DA" w:rsidRDefault="00BE42DA">
            <w:pPr>
              <w:pStyle w:val="Piedepgina"/>
              <w:jc w:val="right"/>
            </w:pPr>
          </w:p>
          <w:p w14:paraId="6E48C5F6" w14:textId="77777777" w:rsidR="00BE42DA" w:rsidRDefault="00BE42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E431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E4313">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95E10" w14:textId="77777777" w:rsidR="00B31EDB" w:rsidRDefault="00B31EDB" w:rsidP="00EE4BC7">
      <w:r>
        <w:separator/>
      </w:r>
    </w:p>
  </w:footnote>
  <w:footnote w:type="continuationSeparator" w:id="0">
    <w:p w14:paraId="1C9C1DB0" w14:textId="77777777" w:rsidR="00B31EDB" w:rsidRDefault="00B31EDB" w:rsidP="00EE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B6B8" w14:textId="77777777" w:rsidR="00BE42DA" w:rsidRDefault="00B31EDB">
    <w:pPr>
      <w:pStyle w:val="Encabezado"/>
    </w:pPr>
    <w:r>
      <w:rPr>
        <w:noProof/>
        <w:lang w:eastAsia="es-MX"/>
      </w:rPr>
      <w:pict w14:anchorId="52760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C15D" w14:textId="77777777" w:rsidR="00BE42DA" w:rsidRPr="009E6858" w:rsidRDefault="00B31EDB" w:rsidP="00D62973">
    <w:pPr>
      <w:tabs>
        <w:tab w:val="left" w:pos="3416"/>
      </w:tabs>
      <w:rPr>
        <w:sz w:val="22"/>
        <w:szCs w:val="22"/>
      </w:rPr>
    </w:pPr>
    <w:r>
      <w:rPr>
        <w:noProof/>
        <w:sz w:val="14"/>
        <w:lang w:eastAsia="es-MX"/>
      </w:rPr>
      <w:pict w14:anchorId="16184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BE42DA" w:rsidRPr="005C106F" w14:paraId="4DF76960" w14:textId="77777777" w:rsidTr="00D62973">
      <w:trPr>
        <w:trHeight w:val="70"/>
      </w:trPr>
      <w:tc>
        <w:tcPr>
          <w:tcW w:w="2268" w:type="dxa"/>
          <w:shd w:val="clear" w:color="auto" w:fill="auto"/>
        </w:tcPr>
        <w:p w14:paraId="4256F157" w14:textId="77777777" w:rsidR="00BE42DA" w:rsidRPr="005C106F" w:rsidRDefault="00BE42DA" w:rsidP="00D62973">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78"/>
            <w:gridCol w:w="4360"/>
          </w:tblGrid>
          <w:tr w:rsidR="00BE42DA" w14:paraId="501A5D80" w14:textId="77777777" w:rsidTr="00D62973">
            <w:trPr>
              <w:trHeight w:val="128"/>
            </w:trPr>
            <w:tc>
              <w:tcPr>
                <w:tcW w:w="3578" w:type="dxa"/>
                <w:vAlign w:val="bottom"/>
              </w:tcPr>
              <w:p w14:paraId="1C756775" w14:textId="77777777" w:rsidR="00BE42DA" w:rsidRPr="008B41A2" w:rsidRDefault="00BE42DA" w:rsidP="00D6297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360" w:type="dxa"/>
              </w:tcPr>
              <w:p w14:paraId="5F0EA69A" w14:textId="387E81AA" w:rsidR="00BE42DA" w:rsidRPr="00651A13" w:rsidRDefault="00BE42DA" w:rsidP="00D62973">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7256/INFOEM/IP/RR/2024</w:t>
                </w:r>
              </w:p>
            </w:tc>
          </w:tr>
          <w:tr w:rsidR="00BE42DA" w14:paraId="643569C5" w14:textId="77777777" w:rsidTr="00D62973">
            <w:trPr>
              <w:trHeight w:val="251"/>
            </w:trPr>
            <w:tc>
              <w:tcPr>
                <w:tcW w:w="3578" w:type="dxa"/>
              </w:tcPr>
              <w:p w14:paraId="1E81E57F" w14:textId="77777777" w:rsidR="00BE42DA" w:rsidRPr="008B41A2" w:rsidRDefault="00BE42DA" w:rsidP="00D6297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360" w:type="dxa"/>
              </w:tcPr>
              <w:p w14:paraId="784E057C" w14:textId="16E24246" w:rsidR="00BE42DA" w:rsidRPr="008B41A2" w:rsidRDefault="00BE42DA" w:rsidP="00D62973">
                <w:pPr>
                  <w:tabs>
                    <w:tab w:val="right" w:pos="8838"/>
                  </w:tabs>
                  <w:ind w:right="1008"/>
                  <w:jc w:val="both"/>
                  <w:rPr>
                    <w:rFonts w:ascii="Palatino Linotype" w:eastAsia="Calibri" w:hAnsi="Palatino Linotype" w:cs="Tahoma"/>
                    <w:sz w:val="22"/>
                    <w:szCs w:val="22"/>
                    <w:lang w:val="es-MX"/>
                  </w:rPr>
                </w:pPr>
                <w:r>
                  <w:rPr>
                    <w:rFonts w:ascii="Palatino Linotype" w:hAnsi="Palatino Linotype"/>
                    <w:bCs/>
                    <w:color w:val="000000"/>
                    <w:sz w:val="22"/>
                    <w:szCs w:val="22"/>
                  </w:rPr>
                  <w:t>Ayuntamiento de Mexicaltzingo</w:t>
                </w:r>
              </w:p>
            </w:tc>
          </w:tr>
          <w:tr w:rsidR="00BE42DA" w14:paraId="4169C850" w14:textId="77777777" w:rsidTr="00D62973">
            <w:trPr>
              <w:trHeight w:val="251"/>
            </w:trPr>
            <w:tc>
              <w:tcPr>
                <w:tcW w:w="3578" w:type="dxa"/>
              </w:tcPr>
              <w:p w14:paraId="702790FE" w14:textId="77777777" w:rsidR="00BE42DA" w:rsidRPr="008B41A2" w:rsidRDefault="00BE42DA" w:rsidP="00D62973">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360" w:type="dxa"/>
              </w:tcPr>
              <w:p w14:paraId="38F245BA" w14:textId="77777777" w:rsidR="00BE42DA" w:rsidRPr="008B41A2" w:rsidRDefault="00BE42DA" w:rsidP="00D62973">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12367371" w14:textId="77777777" w:rsidR="00BE42DA" w:rsidRPr="005C106F" w:rsidRDefault="00BE42DA" w:rsidP="00D62973">
          <w:pPr>
            <w:tabs>
              <w:tab w:val="right" w:pos="8838"/>
            </w:tabs>
            <w:ind w:left="-28"/>
            <w:rPr>
              <w:rFonts w:ascii="Arial" w:eastAsia="Calibri" w:hAnsi="Arial" w:cs="Arial"/>
              <w:b/>
            </w:rPr>
          </w:pPr>
        </w:p>
      </w:tc>
    </w:tr>
  </w:tbl>
  <w:p w14:paraId="279271FA" w14:textId="77777777" w:rsidR="00BE42DA" w:rsidRDefault="00BE42DA" w:rsidP="00D62973">
    <w:pPr>
      <w:pStyle w:val="Encabezado"/>
      <w:rPr>
        <w:sz w:val="14"/>
      </w:rPr>
    </w:pPr>
  </w:p>
  <w:p w14:paraId="382B3F17" w14:textId="77777777" w:rsidR="00BE42DA" w:rsidRPr="00443C6B" w:rsidRDefault="00BE42DA" w:rsidP="00D62973">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686"/>
      <w:gridCol w:w="3260"/>
    </w:tblGrid>
    <w:tr w:rsidR="00BE42DA" w:rsidRPr="00264223" w14:paraId="5370491A" w14:textId="77777777" w:rsidTr="00DE4313">
      <w:trPr>
        <w:trHeight w:val="302"/>
      </w:trPr>
      <w:tc>
        <w:tcPr>
          <w:tcW w:w="3686" w:type="dxa"/>
        </w:tcPr>
        <w:p w14:paraId="132F8EF0" w14:textId="77777777" w:rsidR="00BE42DA" w:rsidRPr="00D3618F" w:rsidRDefault="00BE42DA" w:rsidP="00D6297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260" w:type="dxa"/>
        </w:tcPr>
        <w:p w14:paraId="228B4204" w14:textId="5FBB3C52" w:rsidR="00BE42DA" w:rsidRPr="00651A13" w:rsidRDefault="00BE42DA" w:rsidP="00D62973">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7256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BE42DA" w:rsidRPr="00264223" w14:paraId="2C97A421" w14:textId="77777777" w:rsidTr="00DE4313">
      <w:trPr>
        <w:trHeight w:val="110"/>
      </w:trPr>
      <w:tc>
        <w:tcPr>
          <w:tcW w:w="3686" w:type="dxa"/>
        </w:tcPr>
        <w:p w14:paraId="15B14663" w14:textId="77777777" w:rsidR="00BE42DA" w:rsidRPr="00D3618F" w:rsidRDefault="00BE42DA" w:rsidP="00D6297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260" w:type="dxa"/>
          <w:tcBorders>
            <w:bottom w:val="single" w:sz="4" w:space="0" w:color="auto"/>
          </w:tcBorders>
          <w:shd w:val="clear" w:color="auto" w:fill="000000" w:themeFill="text1"/>
        </w:tcPr>
        <w:p w14:paraId="4CE5F292" w14:textId="3587C8E4" w:rsidR="00BE42DA" w:rsidRPr="00DE4313" w:rsidRDefault="00FE4AFF" w:rsidP="00D62973">
          <w:pPr>
            <w:jc w:val="both"/>
            <w:rPr>
              <w:rFonts w:ascii="Palatino Linotype" w:hAnsi="Palatino Linotype"/>
              <w:color w:val="000000" w:themeColor="text1"/>
              <w:sz w:val="22"/>
              <w:szCs w:val="22"/>
              <w:highlight w:val="black"/>
              <w:lang w:eastAsia="es-MX"/>
            </w:rPr>
          </w:pPr>
          <w:r w:rsidRPr="00DE4313">
            <w:rPr>
              <w:rFonts w:ascii="Palatino Linotype" w:hAnsi="Palatino Linotype"/>
              <w:color w:val="000000" w:themeColor="text1"/>
              <w:sz w:val="22"/>
              <w:szCs w:val="22"/>
              <w:highlight w:val="black"/>
              <w:shd w:val="clear" w:color="auto" w:fill="000000" w:themeFill="text1"/>
              <w:lang w:eastAsia="es-MX"/>
            </w:rPr>
            <w:t>XXXXXXXXXXXXXXXXXXXX</w:t>
          </w:r>
          <w:r w:rsidR="00BE42DA" w:rsidRPr="00DE4313">
            <w:rPr>
              <w:rFonts w:ascii="Palatino Linotype" w:hAnsi="Palatino Linotype"/>
              <w:color w:val="000000" w:themeColor="text1"/>
              <w:sz w:val="22"/>
              <w:szCs w:val="22"/>
              <w:highlight w:val="black"/>
              <w:lang w:eastAsia="es-MX"/>
            </w:rPr>
            <w:t xml:space="preserve"> </w:t>
          </w:r>
        </w:p>
      </w:tc>
    </w:tr>
    <w:tr w:rsidR="00BE42DA" w:rsidRPr="00264223" w14:paraId="7E6B19F7" w14:textId="77777777" w:rsidTr="00DE4313">
      <w:trPr>
        <w:trHeight w:val="248"/>
      </w:trPr>
      <w:tc>
        <w:tcPr>
          <w:tcW w:w="3686" w:type="dxa"/>
        </w:tcPr>
        <w:p w14:paraId="50805EB4" w14:textId="77777777" w:rsidR="00BE42DA" w:rsidRPr="00D3618F" w:rsidRDefault="00BE42DA" w:rsidP="00D6297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260" w:type="dxa"/>
          <w:tcBorders>
            <w:top w:val="single" w:sz="4" w:space="0" w:color="auto"/>
          </w:tcBorders>
        </w:tcPr>
        <w:p w14:paraId="67BDFBA0" w14:textId="6C1B5BBC" w:rsidR="00BE42DA" w:rsidRPr="008B44A7" w:rsidRDefault="00BE42DA" w:rsidP="00D62973">
          <w:pPr>
            <w:tabs>
              <w:tab w:val="right" w:pos="8838"/>
            </w:tabs>
            <w:jc w:val="both"/>
            <w:rPr>
              <w:rFonts w:ascii="Palatino Linotype" w:eastAsia="Calibri" w:hAnsi="Palatino Linotype" w:cs="Tahoma"/>
              <w:sz w:val="22"/>
              <w:szCs w:val="22"/>
              <w:lang w:val="es-MX" w:eastAsia="en-US"/>
            </w:rPr>
          </w:pPr>
          <w:r>
            <w:rPr>
              <w:rFonts w:ascii="Palatino Linotype" w:hAnsi="Palatino Linotype"/>
              <w:bCs/>
              <w:color w:val="000000"/>
              <w:sz w:val="22"/>
              <w:szCs w:val="22"/>
            </w:rPr>
            <w:t xml:space="preserve">Ayuntamiento de </w:t>
          </w:r>
          <w:proofErr w:type="spellStart"/>
          <w:r>
            <w:rPr>
              <w:rFonts w:ascii="Palatino Linotype" w:hAnsi="Palatino Linotype"/>
              <w:bCs/>
              <w:color w:val="000000"/>
              <w:sz w:val="22"/>
              <w:szCs w:val="22"/>
            </w:rPr>
            <w:t>Mexicalt</w:t>
          </w:r>
          <w:r w:rsidR="00DE4313">
            <w:rPr>
              <w:rFonts w:ascii="Palatino Linotype" w:hAnsi="Palatino Linotype"/>
              <w:bCs/>
              <w:color w:val="000000"/>
              <w:sz w:val="22"/>
              <w:szCs w:val="22"/>
            </w:rPr>
            <w:t>z</w:t>
          </w:r>
          <w:r>
            <w:rPr>
              <w:rFonts w:ascii="Palatino Linotype" w:hAnsi="Palatino Linotype"/>
              <w:bCs/>
              <w:color w:val="000000"/>
              <w:sz w:val="22"/>
              <w:szCs w:val="22"/>
            </w:rPr>
            <w:t>ingo</w:t>
          </w:r>
          <w:proofErr w:type="spellEnd"/>
        </w:p>
      </w:tc>
    </w:tr>
    <w:tr w:rsidR="00BE42DA" w:rsidRPr="00264223" w14:paraId="62B1509E" w14:textId="77777777" w:rsidTr="00D62973">
      <w:trPr>
        <w:trHeight w:val="248"/>
      </w:trPr>
      <w:tc>
        <w:tcPr>
          <w:tcW w:w="3686" w:type="dxa"/>
        </w:tcPr>
        <w:p w14:paraId="6DD007B2" w14:textId="77777777" w:rsidR="00BE42DA" w:rsidRPr="00D3618F" w:rsidRDefault="00BE42DA" w:rsidP="00D62973">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260" w:type="dxa"/>
        </w:tcPr>
        <w:p w14:paraId="60C43850" w14:textId="77777777" w:rsidR="00BE42DA" w:rsidRPr="00D3618F" w:rsidRDefault="00BE42DA" w:rsidP="00D62973">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476EAB65" w14:textId="77777777" w:rsidR="00BE42DA" w:rsidRDefault="00B31EDB" w:rsidP="00D62973">
    <w:pPr>
      <w:ind w:right="-312"/>
    </w:pPr>
    <w:r>
      <w:rPr>
        <w:noProof/>
        <w:lang w:eastAsia="es-MX"/>
      </w:rPr>
      <w:pict w14:anchorId="3D819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1D72"/>
    <w:multiLevelType w:val="hybridMultilevel"/>
    <w:tmpl w:val="B9103C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E00523E"/>
    <w:multiLevelType w:val="hybridMultilevel"/>
    <w:tmpl w:val="334426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3E56D80"/>
    <w:multiLevelType w:val="hybridMultilevel"/>
    <w:tmpl w:val="0E9A8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F45801"/>
    <w:multiLevelType w:val="hybridMultilevel"/>
    <w:tmpl w:val="BFCEC7E4"/>
    <w:lvl w:ilvl="0" w:tplc="0DD297E6">
      <w:start w:val="4"/>
      <w:numFmt w:val="bullet"/>
      <w:lvlText w:val="-"/>
      <w:lvlJc w:val="left"/>
      <w:pPr>
        <w:ind w:left="1080" w:hanging="360"/>
      </w:pPr>
      <w:rPr>
        <w:rFonts w:ascii="Palatino Linotype" w:eastAsia="Batang" w:hAnsi="Palatino Linotype" w:cs="Tahoma"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4690E81"/>
    <w:multiLevelType w:val="hybridMultilevel"/>
    <w:tmpl w:val="27F69192"/>
    <w:lvl w:ilvl="0" w:tplc="08D676DE">
      <w:numFmt w:val="bullet"/>
      <w:lvlText w:val="-"/>
      <w:lvlJc w:val="left"/>
      <w:pPr>
        <w:ind w:left="1080" w:hanging="360"/>
      </w:pPr>
      <w:rPr>
        <w:rFonts w:ascii="Palatino Linotype" w:eastAsia="Batang"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92C4055"/>
    <w:multiLevelType w:val="hybridMultilevel"/>
    <w:tmpl w:val="38928304"/>
    <w:lvl w:ilvl="0" w:tplc="544AF2B8">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7049CE"/>
    <w:multiLevelType w:val="hybridMultilevel"/>
    <w:tmpl w:val="384E7C4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202216"/>
    <w:multiLevelType w:val="hybridMultilevel"/>
    <w:tmpl w:val="68A28EAE"/>
    <w:lvl w:ilvl="0" w:tplc="FD8C6998">
      <w:start w:val="4"/>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C4F75"/>
    <w:multiLevelType w:val="hybridMultilevel"/>
    <w:tmpl w:val="384E7C4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B219D0"/>
    <w:multiLevelType w:val="hybridMultilevel"/>
    <w:tmpl w:val="2A0A212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6E392E"/>
    <w:multiLevelType w:val="hybridMultilevel"/>
    <w:tmpl w:val="661E2CF0"/>
    <w:lvl w:ilvl="0" w:tplc="2B7A3624">
      <w:start w:val="4"/>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931387"/>
    <w:multiLevelType w:val="hybridMultilevel"/>
    <w:tmpl w:val="AC2A4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DC566C"/>
    <w:multiLevelType w:val="hybridMultilevel"/>
    <w:tmpl w:val="B4D4AE66"/>
    <w:lvl w:ilvl="0" w:tplc="903E0726">
      <w:start w:val="4"/>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12"/>
  </w:num>
  <w:num w:numId="5">
    <w:abstractNumId w:val="6"/>
  </w:num>
  <w:num w:numId="6">
    <w:abstractNumId w:val="8"/>
  </w:num>
  <w:num w:numId="7">
    <w:abstractNumId w:val="14"/>
  </w:num>
  <w:num w:numId="8">
    <w:abstractNumId w:val="9"/>
  </w:num>
  <w:num w:numId="9">
    <w:abstractNumId w:val="3"/>
  </w:num>
  <w:num w:numId="10">
    <w:abstractNumId w:val="10"/>
  </w:num>
  <w:num w:numId="11">
    <w:abstractNumId w:val="5"/>
  </w:num>
  <w:num w:numId="12">
    <w:abstractNumId w:val="2"/>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C7"/>
    <w:rsid w:val="00065FB7"/>
    <w:rsid w:val="000D0C66"/>
    <w:rsid w:val="002A7C1B"/>
    <w:rsid w:val="002D46EE"/>
    <w:rsid w:val="004117D1"/>
    <w:rsid w:val="004F2F62"/>
    <w:rsid w:val="00525361"/>
    <w:rsid w:val="00526DC5"/>
    <w:rsid w:val="005505B1"/>
    <w:rsid w:val="006A20AC"/>
    <w:rsid w:val="0075375A"/>
    <w:rsid w:val="00773A95"/>
    <w:rsid w:val="00873245"/>
    <w:rsid w:val="00880140"/>
    <w:rsid w:val="00983851"/>
    <w:rsid w:val="009C635A"/>
    <w:rsid w:val="009E1D71"/>
    <w:rsid w:val="009F5D54"/>
    <w:rsid w:val="00AB4C9A"/>
    <w:rsid w:val="00B0563A"/>
    <w:rsid w:val="00B25EC4"/>
    <w:rsid w:val="00B31EDB"/>
    <w:rsid w:val="00B5475F"/>
    <w:rsid w:val="00B77A4B"/>
    <w:rsid w:val="00BE42DA"/>
    <w:rsid w:val="00C96C84"/>
    <w:rsid w:val="00CD627B"/>
    <w:rsid w:val="00CE5E8E"/>
    <w:rsid w:val="00D62973"/>
    <w:rsid w:val="00DE4313"/>
    <w:rsid w:val="00E05EE4"/>
    <w:rsid w:val="00EE4BC7"/>
    <w:rsid w:val="00EF7206"/>
    <w:rsid w:val="00F51D18"/>
    <w:rsid w:val="00F80148"/>
    <w:rsid w:val="00FA7BA6"/>
    <w:rsid w:val="00FE4A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BE2CBE"/>
  <w15:chartTrackingRefBased/>
  <w15:docId w15:val="{BBECD239-1D3E-454D-A32F-120D01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C7"/>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BC7"/>
    <w:pPr>
      <w:tabs>
        <w:tab w:val="center" w:pos="4419"/>
        <w:tab w:val="right" w:pos="8838"/>
      </w:tabs>
    </w:pPr>
  </w:style>
  <w:style w:type="character" w:customStyle="1" w:styleId="EncabezadoCar">
    <w:name w:val="Encabezado Car"/>
    <w:basedOn w:val="Fuentedeprrafopredeter"/>
    <w:link w:val="Encabezado"/>
    <w:uiPriority w:val="99"/>
    <w:rsid w:val="00EE4BC7"/>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EE4BC7"/>
    <w:pPr>
      <w:tabs>
        <w:tab w:val="center" w:pos="4419"/>
        <w:tab w:val="right" w:pos="8838"/>
      </w:tabs>
    </w:pPr>
  </w:style>
  <w:style w:type="character" w:customStyle="1" w:styleId="PiedepginaCar">
    <w:name w:val="Pie de página Car"/>
    <w:basedOn w:val="Fuentedeprrafopredeter"/>
    <w:link w:val="Piedepgina"/>
    <w:uiPriority w:val="99"/>
    <w:rsid w:val="00EE4BC7"/>
    <w:rPr>
      <w:rFonts w:ascii="Times New Roman" w:eastAsia="Times New Roman" w:hAnsi="Times New Roman" w:cs="Times New Roman"/>
      <w:kern w:val="0"/>
      <w:sz w:val="20"/>
      <w:szCs w:val="20"/>
      <w:lang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4BC7"/>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E4BC7"/>
    <w:rPr>
      <w:rFonts w:ascii="Century Gothic" w:eastAsia="Times New Roman" w:hAnsi="Century Gothic" w:cs="Times New Roman"/>
      <w:kern w:val="0"/>
      <w:szCs w:val="24"/>
      <w:lang w:eastAsia="es-ES"/>
      <w14:ligatures w14:val="none"/>
    </w:rPr>
  </w:style>
  <w:style w:type="table" w:styleId="Tablaconcuadrcula">
    <w:name w:val="Table Grid"/>
    <w:basedOn w:val="Tablanormal"/>
    <w:uiPriority w:val="39"/>
    <w:rsid w:val="00EE4BC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E4BC7"/>
    <w:pPr>
      <w:spacing w:before="100" w:beforeAutospacing="1" w:after="100" w:afterAutospacing="1"/>
    </w:pPr>
    <w:rPr>
      <w:sz w:val="24"/>
      <w:szCs w:val="24"/>
      <w:lang w:eastAsia="es-MX"/>
    </w:rPr>
  </w:style>
  <w:style w:type="character" w:customStyle="1" w:styleId="normaltextrun">
    <w:name w:val="normaltextrun"/>
    <w:basedOn w:val="Fuentedeprrafopredeter"/>
    <w:rsid w:val="00EE4BC7"/>
  </w:style>
  <w:style w:type="character" w:customStyle="1" w:styleId="eop">
    <w:name w:val="eop"/>
    <w:basedOn w:val="Fuentedeprrafopredeter"/>
    <w:rsid w:val="00EE4BC7"/>
  </w:style>
  <w:style w:type="character" w:styleId="Hipervnculo">
    <w:name w:val="Hyperlink"/>
    <w:basedOn w:val="Fuentedeprrafopredeter"/>
    <w:uiPriority w:val="99"/>
    <w:unhideWhenUsed/>
    <w:rsid w:val="00EE4B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4613</Words>
  <Characters>25373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5</cp:revision>
  <cp:lastPrinted>2024-12-13T06:03:00Z</cp:lastPrinted>
  <dcterms:created xsi:type="dcterms:W3CDTF">2024-12-13T06:03:00Z</dcterms:created>
  <dcterms:modified xsi:type="dcterms:W3CDTF">2025-02-04T18:51:00Z</dcterms:modified>
</cp:coreProperties>
</file>