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03" w:rsidRPr="002C3EC8" w:rsidRDefault="00667003" w:rsidP="00667003">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Resolución del Pleno del Instituto de Transparencia, Acceso a la</w:t>
      </w:r>
      <w:bookmarkStart w:id="0" w:name="_GoBack"/>
      <w:bookmarkEnd w:id="0"/>
      <w:r w:rsidRPr="002C3EC8">
        <w:rPr>
          <w:rFonts w:ascii="Palatino Linotype" w:eastAsia="Times New Roman" w:hAnsi="Palatino Linotype" w:cs="Arial"/>
          <w:color w:val="000000"/>
          <w:sz w:val="24"/>
          <w:szCs w:val="24"/>
          <w:lang w:eastAsia="es-MX"/>
        </w:rPr>
        <w:t xml:space="preserve">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096183">
        <w:rPr>
          <w:rFonts w:ascii="Palatino Linotype" w:eastAsia="Times New Roman" w:hAnsi="Palatino Linotype" w:cs="Arial"/>
          <w:color w:val="000000"/>
          <w:sz w:val="24"/>
          <w:szCs w:val="24"/>
          <w:lang w:eastAsia="es-MX"/>
        </w:rPr>
        <w:t>veintisiete</w:t>
      </w:r>
      <w:r w:rsidR="00CB624E">
        <w:rPr>
          <w:rFonts w:ascii="Palatino Linotype" w:eastAsia="Times New Roman" w:hAnsi="Palatino Linotype" w:cs="Arial"/>
          <w:color w:val="000000"/>
          <w:sz w:val="24"/>
          <w:szCs w:val="24"/>
          <w:lang w:eastAsia="es-MX"/>
        </w:rPr>
        <w:t xml:space="preserve"> de noviembre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667003" w:rsidRPr="002C3EC8" w:rsidRDefault="00667003" w:rsidP="0066700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C62DAF">
        <w:rPr>
          <w:rFonts w:ascii="Palatino Linotype" w:hAnsi="Palatino Linotype" w:cs="Arial"/>
          <w:b/>
          <w:sz w:val="24"/>
        </w:rPr>
        <w:t>0</w:t>
      </w:r>
      <w:r w:rsidR="00321E69">
        <w:rPr>
          <w:rFonts w:ascii="Palatino Linotype" w:hAnsi="Palatino Linotype" w:cs="Arial"/>
          <w:b/>
          <w:bCs/>
          <w:sz w:val="24"/>
          <w:lang w:eastAsia="es-MX"/>
        </w:rPr>
        <w:t>7180</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321E69">
        <w:rPr>
          <w:rFonts w:ascii="Palatino Linotype" w:hAnsi="Palatino Linotype"/>
          <w:b/>
          <w:sz w:val="24"/>
        </w:rPr>
        <w:t>Ayuntamiento de Tianguistenco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667003" w:rsidRPr="002C3EC8" w:rsidRDefault="00667003" w:rsidP="00667003">
      <w:pPr>
        <w:tabs>
          <w:tab w:val="left" w:pos="1701"/>
        </w:tabs>
        <w:spacing w:before="240" w:line="360" w:lineRule="auto"/>
        <w:jc w:val="both"/>
        <w:rPr>
          <w:rFonts w:ascii="Palatino Linotype" w:hAnsi="Palatino Linotype" w:cs="Arial"/>
          <w:b/>
          <w:sz w:val="24"/>
        </w:rPr>
      </w:pPr>
    </w:p>
    <w:p w:rsidR="00667003" w:rsidRPr="002C3EC8" w:rsidRDefault="00667003" w:rsidP="00667003">
      <w:pPr>
        <w:pStyle w:val="infoemcitas"/>
        <w:jc w:val="center"/>
        <w:rPr>
          <w:b/>
          <w:bCs/>
          <w:i w:val="0"/>
          <w:iCs/>
          <w:sz w:val="28"/>
          <w:szCs w:val="28"/>
        </w:rPr>
      </w:pPr>
      <w:r w:rsidRPr="002C3EC8">
        <w:rPr>
          <w:b/>
          <w:bCs/>
          <w:i w:val="0"/>
          <w:iCs/>
          <w:sz w:val="28"/>
          <w:szCs w:val="28"/>
        </w:rPr>
        <w:t>A N T E C E D E N T E S   D E L   A S U N T O</w:t>
      </w:r>
    </w:p>
    <w:p w:rsidR="00667003" w:rsidRPr="002C3EC8" w:rsidRDefault="00667003" w:rsidP="0066700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667003" w:rsidRPr="00D705FF" w:rsidRDefault="00667003" w:rsidP="00667003">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096183">
        <w:rPr>
          <w:rFonts w:ascii="Palatino Linotype" w:hAnsi="Palatino Linotype" w:cs="Arial"/>
          <w:b/>
          <w:sz w:val="24"/>
        </w:rPr>
        <w:t>treinta</w:t>
      </w:r>
      <w:r w:rsidR="00256F6D" w:rsidRPr="00256F6D">
        <w:rPr>
          <w:rFonts w:ascii="Palatino Linotype" w:hAnsi="Palatino Linotype" w:cs="Arial"/>
          <w:b/>
          <w:sz w:val="24"/>
        </w:rPr>
        <w:t xml:space="preserve"> de septiembre</w:t>
      </w:r>
      <w:r w:rsidRPr="00256F6D">
        <w:rPr>
          <w:rFonts w:ascii="Palatino Linotype" w:hAnsi="Palatino Linotype" w:cs="Arial"/>
          <w:b/>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096183">
        <w:rPr>
          <w:rFonts w:ascii="Palatino Linotype" w:hAnsi="Palatino Linotype" w:cs="Arial"/>
          <w:b/>
          <w:sz w:val="24"/>
        </w:rPr>
        <w:t>00115/TIANGUIS/IP/2024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667003" w:rsidRPr="001C7F6F" w:rsidRDefault="00667003" w:rsidP="00096183">
      <w:pPr>
        <w:pStyle w:val="INFOEM"/>
        <w:rPr>
          <w:lang w:val="es-ES_tradnl" w:eastAsia="es-ES"/>
        </w:rPr>
      </w:pPr>
      <w:r w:rsidRPr="00D705FF">
        <w:rPr>
          <w:lang w:val="es-ES_tradnl" w:eastAsia="es-ES"/>
        </w:rPr>
        <w:t>“</w:t>
      </w:r>
      <w:r w:rsidR="00096183" w:rsidRPr="00096183">
        <w:rPr>
          <w:lang w:val="es-ES_tradnl" w:eastAsia="es-ES"/>
        </w:rPr>
        <w:t>ultimo informe de gobierno</w:t>
      </w:r>
      <w:r w:rsidRPr="00D705FF">
        <w:rPr>
          <w:lang w:val="es-ES_tradnl" w:eastAsia="es-ES"/>
        </w:rPr>
        <w:t>” (sic)</w:t>
      </w:r>
    </w:p>
    <w:p w:rsidR="00667003" w:rsidRPr="002C3EC8" w:rsidRDefault="00667003" w:rsidP="00667003">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256F6D" w:rsidRDefault="00256F6D" w:rsidP="00256F6D">
      <w:pPr>
        <w:spacing w:before="240" w:line="360" w:lineRule="auto"/>
        <w:jc w:val="both"/>
        <w:rPr>
          <w:rFonts w:ascii="Palatino Linotype" w:hAnsi="Palatino Linotype" w:cs="Arial"/>
          <w:b/>
          <w:sz w:val="28"/>
        </w:rPr>
      </w:pPr>
    </w:p>
    <w:p w:rsidR="00256F6D" w:rsidRDefault="00667003" w:rsidP="00256F6D">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256F6D" w:rsidRPr="00256F6D">
        <w:rPr>
          <w:rFonts w:ascii="Palatino Linotype" w:hAnsi="Palatino Linotype" w:cs="Arial"/>
          <w:b/>
          <w:sz w:val="28"/>
        </w:rPr>
        <w:t xml:space="preserve"> </w:t>
      </w:r>
      <w:r w:rsidR="00256F6D">
        <w:rPr>
          <w:rFonts w:ascii="Palatino Linotype" w:hAnsi="Palatino Linotype" w:cs="Arial"/>
          <w:b/>
          <w:sz w:val="28"/>
        </w:rPr>
        <w:t>D</w:t>
      </w:r>
      <w:r w:rsidR="00256F6D">
        <w:rPr>
          <w:rFonts w:ascii="Palatino Linotype" w:hAnsi="Palatino Linotype" w:cs="Arial"/>
          <w:b/>
          <w:sz w:val="28"/>
          <w:szCs w:val="20"/>
        </w:rPr>
        <w:t xml:space="preserve">e </w:t>
      </w:r>
      <w:r w:rsidR="00096183">
        <w:rPr>
          <w:rFonts w:ascii="Palatino Linotype" w:hAnsi="Palatino Linotype" w:cs="Arial"/>
          <w:b/>
          <w:sz w:val="28"/>
          <w:szCs w:val="20"/>
        </w:rPr>
        <w:t>entrega de la información</w:t>
      </w:r>
      <w:r w:rsidR="00256F6D" w:rsidRPr="00165D6E">
        <w:rPr>
          <w:rFonts w:ascii="Palatino Linotype" w:hAnsi="Palatino Linotype" w:cs="Arial"/>
          <w:b/>
          <w:sz w:val="28"/>
          <w:szCs w:val="20"/>
        </w:rPr>
        <w:t>.</w:t>
      </w:r>
      <w:r>
        <w:rPr>
          <w:rFonts w:ascii="Palatino Linotype" w:hAnsi="Palatino Linotype" w:cs="Arial"/>
          <w:b/>
          <w:sz w:val="28"/>
        </w:rPr>
        <w:t xml:space="preserve"> </w:t>
      </w:r>
    </w:p>
    <w:p w:rsidR="00256F6D" w:rsidRPr="00256F6D" w:rsidRDefault="00256F6D" w:rsidP="00256F6D">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sidR="00096183">
        <w:rPr>
          <w:rFonts w:ascii="Palatino Linotype" w:hAnsi="Palatino Linotype" w:cs="Arial"/>
          <w:b/>
          <w:sz w:val="24"/>
        </w:rPr>
        <w:t>veintidós de octubre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rsidR="00256F6D" w:rsidRDefault="00256F6D" w:rsidP="00256F6D">
      <w:pPr>
        <w:spacing w:after="0" w:line="240" w:lineRule="auto"/>
        <w:ind w:left="567" w:right="567"/>
        <w:jc w:val="both"/>
        <w:rPr>
          <w:rFonts w:ascii="Palatino Linotype" w:hAnsi="Palatino Linotype" w:cs="Arial"/>
          <w:i/>
        </w:rPr>
      </w:pPr>
      <w:r>
        <w:rPr>
          <w:rFonts w:ascii="Palatino Linotype" w:hAnsi="Palatino Linotype" w:cs="Arial"/>
          <w:i/>
        </w:rPr>
        <w:t>“</w:t>
      </w:r>
      <w:r w:rsidR="00096183" w:rsidRPr="00096183">
        <w:rPr>
          <w:rFonts w:ascii="Palatino Linotype" w:hAnsi="Palatino Linotype" w:cs="Arial"/>
          <w:i/>
        </w:rPr>
        <w:t xml:space="preserve">DE CONFORMIDAD A LO DISPUESTO EN LOS ARTICULOS 12,1 50 Y 160 DE LA LEY DE TRANSPARENCIA Y ACCESO A LA INFORMACION PUBLICA DEL ESTADO DE MEXICO Y MUNICIPIOS, ENVIO RESPUESTA A SU SOLICITUD. </w:t>
      </w:r>
      <w:r w:rsidRPr="00667998">
        <w:rPr>
          <w:rFonts w:ascii="Palatino Linotype" w:hAnsi="Palatino Linotype" w:cs="Arial"/>
          <w:i/>
        </w:rPr>
        <w:t>“(Sic).</w:t>
      </w:r>
    </w:p>
    <w:p w:rsidR="00256F6D" w:rsidRDefault="00256F6D" w:rsidP="00256F6D">
      <w:pPr>
        <w:spacing w:after="0" w:line="360" w:lineRule="auto"/>
        <w:ind w:right="567"/>
        <w:jc w:val="both"/>
        <w:rPr>
          <w:rFonts w:ascii="Palatino Linotype" w:hAnsi="Palatino Linotype" w:cs="Arial"/>
          <w:sz w:val="24"/>
        </w:rPr>
      </w:pPr>
    </w:p>
    <w:p w:rsidR="00256F6D" w:rsidRPr="003750D2" w:rsidRDefault="00256F6D" w:rsidP="00096183">
      <w:pPr>
        <w:spacing w:after="0" w:line="360" w:lineRule="auto"/>
        <w:jc w:val="both"/>
        <w:rPr>
          <w:rFonts w:ascii="Palatino Linotype" w:hAnsi="Palatino Linotype" w:cs="Arial"/>
          <w:sz w:val="24"/>
        </w:rPr>
      </w:pPr>
      <w:r>
        <w:rPr>
          <w:rFonts w:ascii="Palatino Linotype" w:hAnsi="Palatino Linotype" w:cs="Arial"/>
          <w:sz w:val="24"/>
        </w:rPr>
        <w:t>Adicionalment</w:t>
      </w:r>
      <w:r w:rsidR="00096183">
        <w:rPr>
          <w:rFonts w:ascii="Palatino Linotype" w:hAnsi="Palatino Linotype" w:cs="Arial"/>
          <w:sz w:val="24"/>
        </w:rPr>
        <w:t>e, el Sujeto Obligado adjuntó los</w:t>
      </w:r>
      <w:r>
        <w:rPr>
          <w:rFonts w:ascii="Palatino Linotype" w:hAnsi="Palatino Linotype" w:cs="Arial"/>
          <w:sz w:val="24"/>
        </w:rPr>
        <w:t xml:space="preserve"> archivo</w:t>
      </w:r>
      <w:r w:rsidR="00096183">
        <w:rPr>
          <w:rFonts w:ascii="Palatino Linotype" w:hAnsi="Palatino Linotype" w:cs="Arial"/>
          <w:sz w:val="24"/>
        </w:rPr>
        <w:t>s</w:t>
      </w:r>
      <w:r>
        <w:rPr>
          <w:rFonts w:ascii="Palatino Linotype" w:hAnsi="Palatino Linotype" w:cs="Arial"/>
          <w:sz w:val="24"/>
        </w:rPr>
        <w:t xml:space="preserve"> electrónico</w:t>
      </w:r>
      <w:r w:rsidR="00096183">
        <w:rPr>
          <w:rFonts w:ascii="Palatino Linotype" w:hAnsi="Palatino Linotype" w:cs="Arial"/>
          <w:sz w:val="24"/>
        </w:rPr>
        <w:t>s</w:t>
      </w:r>
      <w:r>
        <w:rPr>
          <w:rFonts w:ascii="Palatino Linotype" w:hAnsi="Palatino Linotype" w:cs="Arial"/>
          <w:sz w:val="24"/>
        </w:rPr>
        <w:t xml:space="preserve"> denominado</w:t>
      </w:r>
      <w:r w:rsidR="00096183">
        <w:rPr>
          <w:rFonts w:ascii="Palatino Linotype" w:hAnsi="Palatino Linotype" w:cs="Arial"/>
          <w:sz w:val="24"/>
        </w:rPr>
        <w:t>s</w:t>
      </w:r>
      <w:r>
        <w:rPr>
          <w:rFonts w:ascii="Palatino Linotype" w:hAnsi="Palatino Linotype" w:cs="Arial"/>
          <w:sz w:val="24"/>
        </w:rPr>
        <w:t xml:space="preserve"> “</w:t>
      </w:r>
      <w:r w:rsidR="00096183" w:rsidRPr="00096183">
        <w:rPr>
          <w:rFonts w:ascii="Palatino Linotype" w:hAnsi="Palatino Linotype" w:cs="Arial"/>
          <w:b/>
          <w:i/>
          <w:sz w:val="24"/>
        </w:rPr>
        <w:t>RESPUESTA COMUNICACIÓN SOCIAL SOL 115 24.pdf</w:t>
      </w:r>
      <w:r w:rsidR="00096183">
        <w:rPr>
          <w:rFonts w:ascii="Palatino Linotype" w:hAnsi="Palatino Linotype" w:cs="Arial"/>
          <w:b/>
          <w:i/>
          <w:sz w:val="24"/>
        </w:rPr>
        <w:t>”, “</w:t>
      </w:r>
      <w:r w:rsidR="00096183" w:rsidRPr="00096183">
        <w:rPr>
          <w:rFonts w:ascii="Palatino Linotype" w:hAnsi="Palatino Linotype" w:cs="Arial"/>
          <w:b/>
          <w:i/>
          <w:sz w:val="24"/>
        </w:rPr>
        <w:t>SOL COMUNICACION SOC y AYTTO 115 24.pdf</w:t>
      </w:r>
      <w:r w:rsidR="00096183">
        <w:rPr>
          <w:rFonts w:ascii="Palatino Linotype" w:hAnsi="Palatino Linotype" w:cs="Arial"/>
          <w:b/>
          <w:i/>
          <w:sz w:val="24"/>
        </w:rPr>
        <w:t>”, “</w:t>
      </w:r>
      <w:r w:rsidR="00096183" w:rsidRPr="00096183">
        <w:rPr>
          <w:rFonts w:ascii="Palatino Linotype" w:hAnsi="Palatino Linotype" w:cs="Arial"/>
          <w:b/>
          <w:i/>
          <w:sz w:val="24"/>
        </w:rPr>
        <w:t>RESPUESTA CIUDADANO SOL 00115 24.pdf</w:t>
      </w:r>
      <w:r w:rsidR="00096183">
        <w:rPr>
          <w:rFonts w:ascii="Palatino Linotype" w:hAnsi="Palatino Linotype" w:cs="Arial"/>
          <w:b/>
          <w:i/>
          <w:sz w:val="24"/>
        </w:rPr>
        <w:t>” y “</w:t>
      </w:r>
      <w:r w:rsidR="00096183" w:rsidRPr="00096183">
        <w:rPr>
          <w:rFonts w:ascii="Palatino Linotype" w:hAnsi="Palatino Linotype" w:cs="Arial"/>
          <w:b/>
          <w:i/>
          <w:sz w:val="24"/>
        </w:rPr>
        <w:t>2023 SEGUNDO INFORME DE GOBIERNO.pdf</w:t>
      </w:r>
      <w:r>
        <w:rPr>
          <w:rFonts w:ascii="Palatino Linotype" w:hAnsi="Palatino Linotype" w:cs="Arial"/>
          <w:b/>
          <w:i/>
          <w:sz w:val="24"/>
        </w:rPr>
        <w:t xml:space="preserve">”, </w:t>
      </w:r>
      <w:r>
        <w:rPr>
          <w:rFonts w:ascii="Palatino Linotype" w:hAnsi="Palatino Linotype" w:cs="Arial"/>
          <w:sz w:val="24"/>
        </w:rPr>
        <w:t>mismo</w:t>
      </w:r>
      <w:r w:rsidR="00096183">
        <w:rPr>
          <w:rFonts w:ascii="Palatino Linotype" w:hAnsi="Palatino Linotype" w:cs="Arial"/>
          <w:sz w:val="24"/>
        </w:rPr>
        <w:t>s</w:t>
      </w:r>
      <w:r>
        <w:rPr>
          <w:rFonts w:ascii="Palatino Linotype" w:hAnsi="Palatino Linotype" w:cs="Arial"/>
          <w:sz w:val="24"/>
        </w:rPr>
        <w:t xml:space="preserve"> que no se reproduce</w:t>
      </w:r>
      <w:r w:rsidR="00096183">
        <w:rPr>
          <w:rFonts w:ascii="Palatino Linotype" w:hAnsi="Palatino Linotype" w:cs="Arial"/>
          <w:sz w:val="24"/>
        </w:rPr>
        <w:t>n</w:t>
      </w:r>
      <w:r>
        <w:rPr>
          <w:rFonts w:ascii="Palatino Linotype" w:hAnsi="Palatino Linotype" w:cs="Arial"/>
          <w:sz w:val="24"/>
        </w:rPr>
        <w:t xml:space="preserve"> por ser del conocimiento de las partes, sin embargo, será</w:t>
      </w:r>
      <w:r w:rsidR="00096183">
        <w:rPr>
          <w:rFonts w:ascii="Palatino Linotype" w:hAnsi="Palatino Linotype" w:cs="Arial"/>
          <w:sz w:val="24"/>
        </w:rPr>
        <w:t>n</w:t>
      </w:r>
      <w:r>
        <w:rPr>
          <w:rFonts w:ascii="Palatino Linotype" w:hAnsi="Palatino Linotype" w:cs="Arial"/>
          <w:sz w:val="24"/>
        </w:rPr>
        <w:t xml:space="preserve"> materia de estudio en el considerando respectivo. </w:t>
      </w:r>
    </w:p>
    <w:p w:rsidR="00256F6D" w:rsidRDefault="00256F6D" w:rsidP="00256F6D">
      <w:pPr>
        <w:spacing w:before="240" w:line="360" w:lineRule="auto"/>
        <w:jc w:val="both"/>
      </w:pPr>
    </w:p>
    <w:p w:rsidR="00667003" w:rsidRPr="002C3EC8" w:rsidRDefault="00CE2D2F" w:rsidP="00256F6D">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00667003" w:rsidRPr="002C3EC8">
        <w:rPr>
          <w:rFonts w:ascii="Palatino Linotype" w:hAnsi="Palatino Linotype"/>
          <w:b/>
          <w:sz w:val="28"/>
        </w:rPr>
        <w:t>Del recurso de revisión.</w:t>
      </w:r>
    </w:p>
    <w:p w:rsidR="00667003" w:rsidRDefault="00667003" w:rsidP="00667003">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096183">
        <w:rPr>
          <w:rFonts w:ascii="Palatino Linotype" w:hAnsi="Palatino Linotype" w:cs="Arial"/>
          <w:b/>
          <w:sz w:val="24"/>
        </w:rPr>
        <w:t>trece de noviembre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C62DAF">
        <w:rPr>
          <w:rFonts w:ascii="Palatino Linotype" w:hAnsi="Palatino Linotype" w:cs="Arial"/>
          <w:b/>
          <w:sz w:val="24"/>
          <w:szCs w:val="24"/>
        </w:rPr>
        <w:t>0</w:t>
      </w:r>
      <w:r w:rsidR="00321E69">
        <w:rPr>
          <w:rFonts w:ascii="Palatino Linotype" w:hAnsi="Palatino Linotype" w:cs="Arial"/>
          <w:b/>
          <w:sz w:val="24"/>
          <w:szCs w:val="24"/>
        </w:rPr>
        <w:t>7180</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667003"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667003" w:rsidRPr="007E4713" w:rsidRDefault="00667003" w:rsidP="00667003">
      <w:pPr>
        <w:pStyle w:val="Prrafodelista"/>
        <w:spacing w:before="240"/>
        <w:ind w:left="720"/>
        <w:jc w:val="both"/>
        <w:rPr>
          <w:rFonts w:ascii="Palatino Linotype" w:hAnsi="Palatino Linotype" w:cs="Arial"/>
          <w:i/>
        </w:rPr>
      </w:pPr>
      <w:r w:rsidRPr="007E4713">
        <w:rPr>
          <w:rFonts w:ascii="Palatino Linotype" w:hAnsi="Palatino Linotype" w:cs="Arial"/>
          <w:i/>
        </w:rPr>
        <w:lastRenderedPageBreak/>
        <w:t>“</w:t>
      </w:r>
      <w:r w:rsidR="00096183" w:rsidRPr="00096183">
        <w:rPr>
          <w:rFonts w:ascii="Palatino Linotype" w:hAnsi="Palatino Linotype" w:cs="Arial"/>
          <w:i/>
        </w:rPr>
        <w:t>Falta información</w:t>
      </w:r>
      <w:r>
        <w:rPr>
          <w:rFonts w:ascii="Palatino Linotype" w:hAnsi="Palatino Linotype" w:cs="Arial"/>
          <w:i/>
        </w:rPr>
        <w:t>” (sic)</w:t>
      </w:r>
    </w:p>
    <w:p w:rsidR="00667003" w:rsidRPr="0033050B"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667003" w:rsidRDefault="00667003" w:rsidP="00667003">
      <w:pPr>
        <w:pStyle w:val="INFOEM"/>
      </w:pPr>
      <w:r>
        <w:t>“</w:t>
      </w:r>
      <w:r w:rsidR="00096183" w:rsidRPr="00096183">
        <w:t>Información incompleta</w:t>
      </w:r>
      <w:r>
        <w:rPr>
          <w:rFonts w:cs="Arial"/>
        </w:rPr>
        <w:t>” (sic)</w:t>
      </w:r>
    </w:p>
    <w:p w:rsidR="00667003" w:rsidRDefault="00667003" w:rsidP="00667003">
      <w:pPr>
        <w:spacing w:before="240" w:line="360" w:lineRule="auto"/>
        <w:jc w:val="both"/>
        <w:rPr>
          <w:rFonts w:ascii="Palatino Linotype" w:hAnsi="Palatino Linotype" w:cs="Arial"/>
          <w:b/>
          <w:sz w:val="28"/>
        </w:rPr>
      </w:pPr>
    </w:p>
    <w:p w:rsidR="00667003" w:rsidRPr="002C3EC8" w:rsidRDefault="00256F6D" w:rsidP="00667003">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00667003" w:rsidRPr="002C3EC8">
        <w:rPr>
          <w:rFonts w:ascii="Palatino Linotype" w:hAnsi="Palatino Linotype" w:cs="Arial"/>
          <w:b/>
          <w:sz w:val="28"/>
          <w:szCs w:val="28"/>
        </w:rPr>
        <w:t>Del turno</w:t>
      </w:r>
      <w:r w:rsidR="00667003">
        <w:rPr>
          <w:rFonts w:ascii="Palatino Linotype" w:hAnsi="Palatino Linotype" w:cs="Arial"/>
          <w:b/>
          <w:sz w:val="28"/>
          <w:szCs w:val="28"/>
        </w:rPr>
        <w:t xml:space="preserve"> y admisión</w:t>
      </w:r>
      <w:r w:rsidR="00667003" w:rsidRPr="002C3EC8">
        <w:rPr>
          <w:rFonts w:ascii="Palatino Linotype" w:hAnsi="Palatino Linotype" w:cs="Arial"/>
          <w:b/>
          <w:sz w:val="28"/>
          <w:szCs w:val="28"/>
        </w:rPr>
        <w:t xml:space="preserve"> del recurso de revisión.</w:t>
      </w:r>
    </w:p>
    <w:p w:rsidR="00667003" w:rsidRPr="002C3EC8" w:rsidRDefault="00667003" w:rsidP="00667003">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096183">
        <w:rPr>
          <w:rFonts w:ascii="Palatino Linotype" w:hAnsi="Palatino Linotype"/>
          <w:b/>
          <w:sz w:val="24"/>
        </w:rPr>
        <w:t>catorce de noviembre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667003" w:rsidRPr="002C3EC8" w:rsidRDefault="00667003" w:rsidP="00667003">
      <w:pPr>
        <w:spacing w:before="240" w:line="360" w:lineRule="auto"/>
        <w:jc w:val="both"/>
        <w:rPr>
          <w:rFonts w:ascii="Palatino Linotype" w:hAnsi="Palatino Linotype" w:cs="Arial"/>
          <w:sz w:val="24"/>
          <w:szCs w:val="24"/>
        </w:rPr>
      </w:pPr>
    </w:p>
    <w:p w:rsidR="00256F6D" w:rsidRPr="002C5D52" w:rsidRDefault="00256F6D" w:rsidP="00256F6D">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256F6D" w:rsidRPr="00256F6D" w:rsidRDefault="00256F6D" w:rsidP="00256F6D">
      <w:pPr>
        <w:spacing w:line="360" w:lineRule="auto"/>
        <w:jc w:val="both"/>
        <w:rPr>
          <w:rFonts w:ascii="Palatino Linotype" w:hAnsi="Palatino Linotype"/>
          <w:sz w:val="24"/>
        </w:rPr>
      </w:pPr>
      <w:r w:rsidRPr="00256F6D">
        <w:rPr>
          <w:rFonts w:ascii="Palatino Linotype" w:hAnsi="Palatino Linotype" w:cs="Arial"/>
          <w:sz w:val="24"/>
        </w:rPr>
        <w:t>De las constancias que obran en el expediente electrónico del SAIMEX, se advierte que el Sujeto Obligado fue omiso al rendir su informe justificado. De igual manera, se advierte que el Recurrente</w:t>
      </w:r>
      <w:r w:rsidRPr="00256F6D">
        <w:rPr>
          <w:rFonts w:ascii="Palatino Linotype" w:hAnsi="Palatino Linotype" w:cs="Arial"/>
          <w:b/>
          <w:sz w:val="24"/>
        </w:rPr>
        <w:t>,</w:t>
      </w:r>
      <w:r w:rsidRPr="00256F6D">
        <w:rPr>
          <w:rFonts w:ascii="Palatino Linotype" w:hAnsi="Palatino Linotype" w:cs="Arial"/>
          <w:sz w:val="24"/>
        </w:rPr>
        <w:t xml:space="preserve"> omitió rendir dentro del término de Ley, las manifestaciones que a sus intereses conviniera.</w:t>
      </w:r>
    </w:p>
    <w:p w:rsidR="00256F6D" w:rsidRPr="00256F6D" w:rsidRDefault="00256F6D" w:rsidP="00256F6D">
      <w:pPr>
        <w:spacing w:line="360" w:lineRule="auto"/>
        <w:jc w:val="both"/>
        <w:rPr>
          <w:rFonts w:ascii="Palatino Linotype" w:hAnsi="Palatino Linotype" w:cs="Arial"/>
          <w:sz w:val="24"/>
        </w:rPr>
      </w:pPr>
    </w:p>
    <w:p w:rsidR="00256F6D" w:rsidRPr="00256F6D" w:rsidRDefault="00256F6D" w:rsidP="00256F6D">
      <w:pPr>
        <w:spacing w:line="360" w:lineRule="auto"/>
        <w:jc w:val="both"/>
        <w:rPr>
          <w:rFonts w:ascii="Palatino Linotype" w:hAnsi="Palatino Linotype" w:cs="Arial"/>
          <w:sz w:val="24"/>
        </w:rPr>
      </w:pPr>
      <w:r w:rsidRPr="00256F6D">
        <w:rPr>
          <w:rFonts w:ascii="Palatino Linotype" w:hAnsi="Palatino Linotype" w:cs="Arial"/>
          <w:sz w:val="24"/>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256F6D" w:rsidRDefault="00256F6D" w:rsidP="00256F6D">
      <w:pPr>
        <w:spacing w:line="360" w:lineRule="auto"/>
        <w:jc w:val="both"/>
        <w:rPr>
          <w:rFonts w:ascii="Palatino Linotype" w:eastAsia="Calibri" w:hAnsi="Palatino Linotype" w:cs="Arial"/>
          <w:b/>
          <w:sz w:val="28"/>
          <w:szCs w:val="28"/>
        </w:rPr>
      </w:pPr>
    </w:p>
    <w:p w:rsidR="00256F6D" w:rsidRDefault="00256F6D" w:rsidP="00256F6D">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256F6D" w:rsidRPr="00256F6D" w:rsidRDefault="00256F6D" w:rsidP="00256F6D">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096183">
        <w:rPr>
          <w:rFonts w:ascii="Palatino Linotype" w:eastAsia="Calibri" w:hAnsi="Palatino Linotype" w:cs="Arial"/>
          <w:b/>
          <w:sz w:val="24"/>
        </w:rPr>
        <w:t>veintisiete de noviembre</w:t>
      </w:r>
      <w:r w:rsidRPr="00256F6D">
        <w:rPr>
          <w:rFonts w:ascii="Palatino Linotype" w:eastAsia="Calibri" w:hAnsi="Palatino Linotype" w:cs="Arial"/>
          <w:b/>
          <w:sz w:val="24"/>
        </w:rPr>
        <w:t xml:space="preserve"> de dos mil veinticuatro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667003" w:rsidRDefault="00667003" w:rsidP="00667003">
      <w:pPr>
        <w:spacing w:before="240" w:line="360" w:lineRule="auto"/>
        <w:rPr>
          <w:rFonts w:ascii="Palatino Linotype" w:hAnsi="Palatino Linotype" w:cs="Arial"/>
          <w:b/>
          <w:sz w:val="28"/>
        </w:rPr>
      </w:pPr>
    </w:p>
    <w:p w:rsidR="00667003" w:rsidRPr="002C3EC8" w:rsidRDefault="00667003" w:rsidP="00667003">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667003" w:rsidRPr="002C3EC8" w:rsidRDefault="00667003" w:rsidP="0066700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C782A" w:rsidRPr="00DC782A" w:rsidRDefault="00DC782A" w:rsidP="00DC782A">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w:t>
      </w:r>
      <w:r w:rsidRPr="00DC782A">
        <w:rPr>
          <w:rFonts w:ascii="Palatino Linotype" w:hAnsi="Palatino Linotype" w:cs="Arial"/>
          <w:sz w:val="24"/>
        </w:rPr>
        <w:lastRenderedPageBreak/>
        <w:t xml:space="preserve">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DC782A" w:rsidRPr="002C3EC8" w:rsidRDefault="00DC782A" w:rsidP="00DC782A">
      <w:pPr>
        <w:spacing w:before="240" w:line="360" w:lineRule="auto"/>
        <w:jc w:val="both"/>
        <w:rPr>
          <w:rFonts w:ascii="Palatino Linotype" w:eastAsia="Calibri" w:hAnsi="Palatino Linotype"/>
          <w:b/>
          <w:color w:val="000000" w:themeColor="text1"/>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667003" w:rsidRPr="00821CCD" w:rsidRDefault="00667003" w:rsidP="00667003">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I. El sujeto obligado ante la cual se presentó la solicitud;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667003" w:rsidRPr="00821CCD" w:rsidRDefault="00667003" w:rsidP="00667003">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67003" w:rsidRPr="00821CCD" w:rsidTr="0067229B">
        <w:trPr>
          <w:trHeight w:val="1360"/>
        </w:trPr>
        <w:tc>
          <w:tcPr>
            <w:tcW w:w="7982" w:type="dxa"/>
          </w:tcPr>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67003" w:rsidRPr="00821CCD" w:rsidTr="0067229B">
        <w:trPr>
          <w:jc w:val="center"/>
        </w:trPr>
        <w:tc>
          <w:tcPr>
            <w:tcW w:w="8075" w:type="dxa"/>
          </w:tcPr>
          <w:p w:rsidR="00667003" w:rsidRPr="00821CCD" w:rsidRDefault="00667003" w:rsidP="0067229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rsidR="00667003"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67003" w:rsidRPr="002C3EC8" w:rsidRDefault="00667003" w:rsidP="0066700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D65EF" w:rsidRDefault="006D65EF" w:rsidP="00667003">
      <w:pPr>
        <w:tabs>
          <w:tab w:val="left" w:pos="709"/>
        </w:tabs>
        <w:spacing w:before="240" w:line="360" w:lineRule="auto"/>
        <w:ind w:right="51"/>
        <w:jc w:val="both"/>
        <w:rPr>
          <w:rFonts w:ascii="Palatino Linotype" w:hAnsi="Palatino Linotype"/>
          <w:b/>
          <w:sz w:val="28"/>
          <w:szCs w:val="28"/>
        </w:rPr>
      </w:pPr>
    </w:p>
    <w:p w:rsidR="00667003" w:rsidRPr="002C3EC8" w:rsidRDefault="00667003" w:rsidP="0066700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667003" w:rsidRPr="007379EE" w:rsidRDefault="00667003" w:rsidP="0066700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sidRPr="007379EE">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67003" w:rsidRDefault="00667003" w:rsidP="00667003">
      <w:pPr>
        <w:autoSpaceDE w:val="0"/>
        <w:autoSpaceDN w:val="0"/>
        <w:adjustRightInd w:val="0"/>
        <w:ind w:right="567"/>
        <w:rPr>
          <w:rFonts w:ascii="Palatino Linotype" w:eastAsia="Calibri" w:hAnsi="Palatino Linotype" w:cs="Arial"/>
        </w:rPr>
      </w:pPr>
    </w:p>
    <w:p w:rsidR="00667003" w:rsidRPr="00A779C7" w:rsidRDefault="00667003" w:rsidP="00667003">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667003" w:rsidRPr="002952BC" w:rsidRDefault="00096183" w:rsidP="006D65EF">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Último informe de gobierno</w:t>
      </w:r>
      <w:r w:rsidR="009E4572">
        <w:rPr>
          <w:rFonts w:ascii="Palatino Linotype" w:hAnsi="Palatino Linotype" w:cs="Tahoma"/>
          <w:bCs/>
        </w:rPr>
        <w:t xml:space="preserve">. </w:t>
      </w:r>
    </w:p>
    <w:p w:rsidR="00DC782A" w:rsidRDefault="00DC782A" w:rsidP="00667003">
      <w:pPr>
        <w:tabs>
          <w:tab w:val="left" w:pos="1828"/>
        </w:tabs>
        <w:spacing w:before="240" w:line="360" w:lineRule="auto"/>
        <w:jc w:val="both"/>
        <w:rPr>
          <w:rFonts w:ascii="Palatino Linotype" w:hAnsi="Palatino Linotype" w:cs="Arial"/>
          <w:sz w:val="24"/>
        </w:rPr>
      </w:pPr>
    </w:p>
    <w:p w:rsidR="00667003" w:rsidRDefault="00667003" w:rsidP="00667003">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096183">
        <w:rPr>
          <w:rFonts w:ascii="Palatino Linotype" w:hAnsi="Palatino Linotype" w:cs="Arial"/>
          <w:b/>
          <w:sz w:val="24"/>
        </w:rPr>
        <w:t>00115/TIANGUIS/IP/2024</w:t>
      </w:r>
      <w:r w:rsidRPr="00806096">
        <w:rPr>
          <w:rFonts w:ascii="Palatino Linotype" w:hAnsi="Palatino Linotype" w:cs="Arial"/>
          <w:b/>
          <w:sz w:val="24"/>
        </w:rPr>
        <w:t xml:space="preserve">; </w:t>
      </w:r>
      <w:r>
        <w:rPr>
          <w:rFonts w:ascii="Palatino Linotype" w:hAnsi="Palatino Linotype" w:cs="Arial"/>
          <w:sz w:val="24"/>
        </w:rPr>
        <w:t>por medio de</w:t>
      </w:r>
      <w:r w:rsidR="004559BD">
        <w:rPr>
          <w:rFonts w:ascii="Palatino Linotype" w:hAnsi="Palatino Linotype" w:cs="Arial"/>
          <w:sz w:val="24"/>
        </w:rPr>
        <w:t xml:space="preserve"> </w:t>
      </w:r>
      <w:r>
        <w:rPr>
          <w:rFonts w:ascii="Palatino Linotype" w:hAnsi="Palatino Linotype" w:cs="Arial"/>
          <w:sz w:val="24"/>
        </w:rPr>
        <w:t>l</w:t>
      </w:r>
      <w:r w:rsidR="004559BD">
        <w:rPr>
          <w:rFonts w:ascii="Palatino Linotype" w:hAnsi="Palatino Linotype" w:cs="Arial"/>
          <w:sz w:val="24"/>
        </w:rPr>
        <w:t>os</w:t>
      </w:r>
      <w:r>
        <w:rPr>
          <w:rFonts w:ascii="Palatino Linotype" w:eastAsia="Palatino Linotype" w:hAnsi="Palatino Linotype" w:cs="Palatino Linotype"/>
          <w:color w:val="000000"/>
          <w:sz w:val="24"/>
        </w:rPr>
        <w:t xml:space="preserve"> archivo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electrónico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denominado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w:t>
      </w:r>
    </w:p>
    <w:p w:rsidR="00096183" w:rsidRPr="00096183" w:rsidRDefault="00096183" w:rsidP="00096183">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96183">
        <w:rPr>
          <w:rFonts w:ascii="Palatino Linotype" w:eastAsia="Palatino Linotype" w:hAnsi="Palatino Linotype" w:cs="Palatino Linotype"/>
          <w:b/>
          <w:i/>
          <w:color w:val="000000"/>
        </w:rPr>
        <w:t>RESPUESTA COMUNICACIÓN SOCIAL SOL 115 24.pdf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una foja, en formato pdf, contiene el oficio número PMT/UCST/052/2024, de fecha tres de octubre de dos mil veinticuatro, firmado por el Jefe de Comunicación Social, en el que refiere remitir el último informe de gobierno, correspondiente a 2023. </w:t>
      </w:r>
    </w:p>
    <w:p w:rsidR="00096183" w:rsidRPr="00096183" w:rsidRDefault="00096183" w:rsidP="00096183">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96183">
        <w:rPr>
          <w:rFonts w:ascii="Palatino Linotype" w:eastAsia="Palatino Linotype" w:hAnsi="Palatino Linotype" w:cs="Palatino Linotype"/>
          <w:b/>
          <w:i/>
          <w:color w:val="000000"/>
        </w:rPr>
        <w:t>SOL COMUNICACION SOC y AYTTO 115 24.pdf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dos fojas, en formato pdf, contiene los oficios números PMT/UT/475/2024 y </w:t>
      </w:r>
      <w:r>
        <w:rPr>
          <w:rFonts w:ascii="Palatino Linotype" w:eastAsia="Palatino Linotype" w:hAnsi="Palatino Linotype" w:cs="Palatino Linotype"/>
          <w:color w:val="000000"/>
        </w:rPr>
        <w:lastRenderedPageBreak/>
        <w:t>PMT/UT/476/2024, de fecha dos de octubre de dos mil veinticuatro, firmado por el Titular de la Unidad de Transparencia, dirigido</w:t>
      </w:r>
      <w:r w:rsidR="00060018">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a la Coor</w:t>
      </w:r>
      <w:r w:rsidR="00060018">
        <w:rPr>
          <w:rFonts w:ascii="Palatino Linotype" w:eastAsia="Palatino Linotype" w:hAnsi="Palatino Linotype" w:cs="Palatino Linotype"/>
          <w:color w:val="000000"/>
        </w:rPr>
        <w:t>dinadora de Comunicación Social y al Secretario de Ayuntamiento, respectivamente,</w:t>
      </w:r>
      <w:r>
        <w:rPr>
          <w:rFonts w:ascii="Palatino Linotype" w:eastAsia="Palatino Linotype" w:hAnsi="Palatino Linotype" w:cs="Palatino Linotype"/>
          <w:color w:val="000000"/>
        </w:rPr>
        <w:t xml:space="preserve"> para que rinda</w:t>
      </w:r>
      <w:r w:rsidR="00060018">
        <w:rPr>
          <w:rFonts w:ascii="Palatino Linotype" w:eastAsia="Palatino Linotype" w:hAnsi="Palatino Linotype" w:cs="Palatino Linotype"/>
          <w:color w:val="000000"/>
        </w:rPr>
        <w:t>n</w:t>
      </w:r>
      <w:r>
        <w:rPr>
          <w:rFonts w:ascii="Palatino Linotype" w:eastAsia="Palatino Linotype" w:hAnsi="Palatino Linotype" w:cs="Palatino Linotype"/>
          <w:color w:val="000000"/>
        </w:rPr>
        <w:t xml:space="preserve"> respuesta en un plazo máximo de cinco días hábiles.</w:t>
      </w:r>
    </w:p>
    <w:p w:rsidR="00096183" w:rsidRPr="00096183" w:rsidRDefault="00096183" w:rsidP="00096183">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96183">
        <w:rPr>
          <w:rFonts w:ascii="Palatino Linotype" w:eastAsia="Palatino Linotype" w:hAnsi="Palatino Linotype" w:cs="Palatino Linotype"/>
          <w:b/>
          <w:i/>
          <w:color w:val="000000"/>
        </w:rPr>
        <w:t>RESPUESTA CIUDADANO SOL 00115 24.pdf</w:t>
      </w:r>
      <w:r>
        <w:rPr>
          <w:rFonts w:ascii="Palatino Linotype" w:eastAsia="Palatino Linotype" w:hAnsi="Palatino Linotype" w:cs="Palatino Linotype"/>
          <w:b/>
          <w:i/>
          <w:color w:val="000000"/>
        </w:rPr>
        <w:t>:</w:t>
      </w:r>
      <w:r w:rsidR="00060018">
        <w:rPr>
          <w:rFonts w:ascii="Palatino Linotype" w:eastAsia="Palatino Linotype" w:hAnsi="Palatino Linotype" w:cs="Palatino Linotype"/>
          <w:b/>
          <w:i/>
          <w:color w:val="000000"/>
        </w:rPr>
        <w:t xml:space="preserve"> </w:t>
      </w:r>
      <w:r w:rsidR="00060018">
        <w:rPr>
          <w:rFonts w:ascii="Palatino Linotype" w:eastAsia="Palatino Linotype" w:hAnsi="Palatino Linotype" w:cs="Palatino Linotype"/>
          <w:color w:val="000000"/>
        </w:rPr>
        <w:t xml:space="preserve">constante de cuatro fojas, en formato pdf, contiene el oficio número PMT/UT/512/2024, de fecha veintiuno de octubre de dos mil veinticuatro, firmado por el Titular de la Unidad de Transparencia, dirigido al Solicitante, por medio del cual remite respuesta a través de los archivos descritos. </w:t>
      </w:r>
    </w:p>
    <w:p w:rsidR="003A48AB" w:rsidRPr="00060018" w:rsidRDefault="00096183" w:rsidP="00096183">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96183">
        <w:rPr>
          <w:rFonts w:ascii="Palatino Linotype" w:eastAsia="Palatino Linotype" w:hAnsi="Palatino Linotype" w:cs="Palatino Linotype"/>
          <w:b/>
          <w:i/>
          <w:color w:val="000000"/>
        </w:rPr>
        <w:t>2023 SEGUNDO INFORME DE GOBIERNO.pdf</w:t>
      </w:r>
      <w:r w:rsidR="003A48AB">
        <w:rPr>
          <w:rFonts w:ascii="Palatino Linotype" w:eastAsia="Palatino Linotype" w:hAnsi="Palatino Linotype" w:cs="Palatino Linotype"/>
          <w:b/>
          <w:i/>
          <w:color w:val="000000"/>
        </w:rPr>
        <w:t xml:space="preserve">: </w:t>
      </w:r>
      <w:r w:rsidR="003A48AB">
        <w:rPr>
          <w:rFonts w:ascii="Palatino Linotype" w:eastAsia="Palatino Linotype" w:hAnsi="Palatino Linotype" w:cs="Palatino Linotype"/>
          <w:color w:val="000000"/>
        </w:rPr>
        <w:t xml:space="preserve">constante de </w:t>
      </w:r>
      <w:r w:rsidR="00060018">
        <w:rPr>
          <w:rFonts w:ascii="Palatino Linotype" w:eastAsia="Palatino Linotype" w:hAnsi="Palatino Linotype" w:cs="Palatino Linotype"/>
          <w:color w:val="000000"/>
        </w:rPr>
        <w:t>ciento noventa y cuatro</w:t>
      </w:r>
      <w:r w:rsidR="003A48AB">
        <w:rPr>
          <w:rFonts w:ascii="Palatino Linotype" w:eastAsia="Palatino Linotype" w:hAnsi="Palatino Linotype" w:cs="Palatino Linotype"/>
          <w:color w:val="000000"/>
        </w:rPr>
        <w:t xml:space="preserve"> fojas, en formato pdf, contiene </w:t>
      </w:r>
      <w:r w:rsidR="006D65EF">
        <w:rPr>
          <w:rFonts w:ascii="Palatino Linotype" w:eastAsia="Palatino Linotype" w:hAnsi="Palatino Linotype" w:cs="Palatino Linotype"/>
          <w:color w:val="000000"/>
        </w:rPr>
        <w:t xml:space="preserve">el </w:t>
      </w:r>
      <w:r w:rsidR="00060018">
        <w:rPr>
          <w:rFonts w:ascii="Palatino Linotype" w:eastAsia="Palatino Linotype" w:hAnsi="Palatino Linotype" w:cs="Palatino Linotype"/>
          <w:color w:val="000000"/>
        </w:rPr>
        <w:t>Segundo Informe de Gobierno, de fecha diciembre 2023, tal como se ilustra:</w:t>
      </w:r>
    </w:p>
    <w:p w:rsidR="00060018" w:rsidRPr="003A48AB" w:rsidRDefault="00060018" w:rsidP="00060018">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drawing>
          <wp:inline distT="0" distB="0" distL="0" distR="0">
            <wp:extent cx="3238500" cy="367129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8C12E5.tmp"/>
                    <pic:cNvPicPr/>
                  </pic:nvPicPr>
                  <pic:blipFill>
                    <a:blip r:embed="rId7">
                      <a:extLst>
                        <a:ext uri="{28A0092B-C50C-407E-A947-70E740481C1C}">
                          <a14:useLocalDpi xmlns:a14="http://schemas.microsoft.com/office/drawing/2010/main" val="0"/>
                        </a:ext>
                      </a:extLst>
                    </a:blip>
                    <a:stretch>
                      <a:fillRect/>
                    </a:stretch>
                  </pic:blipFill>
                  <pic:spPr>
                    <a:xfrm>
                      <a:off x="0" y="0"/>
                      <a:ext cx="3247530" cy="3681532"/>
                    </a:xfrm>
                    <a:prstGeom prst="rect">
                      <a:avLst/>
                    </a:prstGeom>
                  </pic:spPr>
                </pic:pic>
              </a:graphicData>
            </a:graphic>
          </wp:inline>
        </w:drawing>
      </w:r>
    </w:p>
    <w:p w:rsidR="00667003" w:rsidRPr="001D602A" w:rsidRDefault="00667003" w:rsidP="00C10F8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667003" w:rsidRDefault="00667003" w:rsidP="0047562A">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sidR="0047562A">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096183" w:rsidRPr="00096183">
        <w:rPr>
          <w:rFonts w:ascii="Palatino Linotype" w:hAnsi="Palatino Linotype"/>
          <w:i/>
        </w:rPr>
        <w:t>Información incompleta</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E94B77" w:rsidRDefault="00E94B77" w:rsidP="00667003">
      <w:pPr>
        <w:spacing w:line="360" w:lineRule="auto"/>
        <w:jc w:val="both"/>
        <w:rPr>
          <w:rFonts w:ascii="Palatino Linotype" w:hAnsi="Palatino Linotype"/>
          <w:sz w:val="24"/>
          <w:lang w:val="es-ES_tradnl"/>
        </w:rPr>
      </w:pPr>
    </w:p>
    <w:p w:rsidR="00DF5A5F" w:rsidRPr="00177253" w:rsidRDefault="00DF5A5F" w:rsidP="00DF5A5F">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177253">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DF5A5F" w:rsidRDefault="00DF5A5F" w:rsidP="00667003">
      <w:pPr>
        <w:pStyle w:val="Sinespaciado"/>
        <w:spacing w:line="360" w:lineRule="auto"/>
        <w:jc w:val="both"/>
        <w:rPr>
          <w:rFonts w:ascii="Palatino Linotype" w:eastAsia="Palatino Linotype" w:hAnsi="Palatino Linotype" w:cs="Palatino Linotype"/>
          <w:color w:val="000000"/>
          <w:lang w:val="es-ES_tradnl" w:eastAsia="es-MX"/>
        </w:rPr>
      </w:pPr>
    </w:p>
    <w:p w:rsidR="00750473" w:rsidRDefault="00667003" w:rsidP="00667003">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060018" w:rsidRPr="00177253" w:rsidRDefault="00060018" w:rsidP="00667003">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426"/>
      </w:tblGrid>
      <w:tr w:rsidR="00667003" w:rsidTr="00750473">
        <w:trPr>
          <w:trHeight w:val="408"/>
        </w:trPr>
        <w:tc>
          <w:tcPr>
            <w:tcW w:w="2962"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4654"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667003" w:rsidTr="00060018">
        <w:trPr>
          <w:trHeight w:val="753"/>
        </w:trPr>
        <w:tc>
          <w:tcPr>
            <w:tcW w:w="2962" w:type="dxa"/>
          </w:tcPr>
          <w:p w:rsidR="00667003" w:rsidRPr="00227D4D" w:rsidRDefault="00060018" w:rsidP="00060018">
            <w:pPr>
              <w:tabs>
                <w:tab w:val="left" w:pos="1828"/>
              </w:tabs>
              <w:jc w:val="both"/>
              <w:rPr>
                <w:rFonts w:ascii="Palatino Linotype" w:hAnsi="Palatino Linotype" w:cs="Tahoma"/>
                <w:bCs/>
                <w:sz w:val="24"/>
              </w:rPr>
            </w:pPr>
            <w:r>
              <w:rPr>
                <w:rFonts w:ascii="Palatino Linotype" w:hAnsi="Palatino Linotype" w:cs="Tahoma"/>
                <w:bCs/>
                <w:sz w:val="24"/>
              </w:rPr>
              <w:t>Último informe de gobierno</w:t>
            </w:r>
          </w:p>
        </w:tc>
        <w:tc>
          <w:tcPr>
            <w:tcW w:w="4654" w:type="dxa"/>
          </w:tcPr>
          <w:p w:rsidR="00E94B77" w:rsidRDefault="00060018" w:rsidP="00B10F71">
            <w:pPr>
              <w:jc w:val="both"/>
              <w:rPr>
                <w:rFonts w:ascii="Palatino Linotype" w:hAnsi="Palatino Linotype"/>
                <w:color w:val="000000"/>
              </w:rPr>
            </w:pPr>
            <w:r>
              <w:rPr>
                <w:rFonts w:ascii="Palatino Linotype" w:hAnsi="Palatino Linotype"/>
                <w:color w:val="000000"/>
              </w:rPr>
              <w:t>Segundo Informe de Gobierno</w:t>
            </w:r>
          </w:p>
          <w:p w:rsidR="00060018" w:rsidRPr="00E94B77" w:rsidRDefault="00060018" w:rsidP="00B10F71">
            <w:pPr>
              <w:jc w:val="both"/>
              <w:rPr>
                <w:rFonts w:ascii="Palatino Linotype" w:hAnsi="Palatino Linotype"/>
                <w:color w:val="000000"/>
              </w:rPr>
            </w:pPr>
          </w:p>
        </w:tc>
        <w:tc>
          <w:tcPr>
            <w:tcW w:w="1426" w:type="dxa"/>
          </w:tcPr>
          <w:p w:rsidR="00667003" w:rsidRPr="00B10F71" w:rsidRDefault="00060018" w:rsidP="0067229B">
            <w:pPr>
              <w:jc w:val="center"/>
              <w:rPr>
                <w:rFonts w:ascii="Palatino Linotype" w:hAnsi="Palatino Linotype"/>
                <w:b/>
                <w:i/>
              </w:rPr>
            </w:pPr>
            <w:r>
              <w:rPr>
                <w:rFonts w:ascii="Palatino Linotype" w:hAnsi="Palatino Linotype"/>
                <w:b/>
                <w:i/>
              </w:rPr>
              <w:t>Sí</w:t>
            </w:r>
          </w:p>
        </w:tc>
      </w:tr>
    </w:tbl>
    <w:p w:rsidR="00060018" w:rsidRDefault="00060018" w:rsidP="00667003">
      <w:pPr>
        <w:spacing w:after="0" w:line="360" w:lineRule="auto"/>
        <w:jc w:val="both"/>
        <w:rPr>
          <w:rFonts w:ascii="Palatino Linotype" w:hAnsi="Palatino Linotype"/>
          <w:color w:val="000000"/>
          <w:sz w:val="24"/>
          <w:szCs w:val="24"/>
        </w:rPr>
      </w:pPr>
    </w:p>
    <w:p w:rsidR="00060018" w:rsidRDefault="00060018" w:rsidP="00667003">
      <w:pPr>
        <w:spacing w:after="0" w:line="360" w:lineRule="auto"/>
        <w:jc w:val="both"/>
        <w:rPr>
          <w:rFonts w:ascii="Palatino Linotype" w:hAnsi="Palatino Linotype"/>
          <w:color w:val="000000"/>
          <w:sz w:val="24"/>
          <w:szCs w:val="24"/>
        </w:rPr>
      </w:pPr>
    </w:p>
    <w:p w:rsidR="00667003" w:rsidRPr="009E63DA" w:rsidRDefault="00667003" w:rsidP="00667003">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667003" w:rsidRPr="009E63DA" w:rsidRDefault="00667003" w:rsidP="00667003">
      <w:pPr>
        <w:spacing w:after="0" w:line="360" w:lineRule="auto"/>
        <w:jc w:val="both"/>
        <w:rPr>
          <w:rFonts w:ascii="Palatino Linotype" w:hAnsi="Palatino Linotype"/>
          <w:color w:val="000000"/>
          <w:sz w:val="24"/>
          <w:szCs w:val="24"/>
        </w:rPr>
      </w:pPr>
    </w:p>
    <w:p w:rsidR="00667003" w:rsidRPr="009E63DA" w:rsidRDefault="00667003" w:rsidP="00667003">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667003" w:rsidRPr="009E63DA" w:rsidRDefault="00667003" w:rsidP="00667003">
      <w:pPr>
        <w:spacing w:after="0" w:line="240" w:lineRule="auto"/>
        <w:ind w:left="567" w:right="567"/>
        <w:jc w:val="both"/>
        <w:rPr>
          <w:rFonts w:ascii="Palatino Linotype" w:hAnsi="Palatino Linotype"/>
          <w:i/>
        </w:rPr>
      </w:pPr>
    </w:p>
    <w:p w:rsidR="00667003" w:rsidRPr="009E63DA" w:rsidRDefault="00667003" w:rsidP="00667003">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750473" w:rsidP="00667003">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Por otro lado</w:t>
      </w:r>
      <w:r w:rsidR="00667003" w:rsidRPr="009E63DA">
        <w:rPr>
          <w:rFonts w:ascii="Palatino Linotype" w:hAnsi="Palatino Linotype" w:cs="Arial"/>
          <w:sz w:val="24"/>
          <w:szCs w:val="24"/>
        </w:rPr>
        <w:t xml:space="preserve">, en atención a lo dispuesto por los artículos 3, fracción XI y 12 </w:t>
      </w:r>
      <w:r w:rsidR="00667003" w:rsidRPr="009E63DA">
        <w:rPr>
          <w:rFonts w:ascii="Palatino Linotype" w:hAnsi="Palatino Linotype" w:cs="Arial"/>
          <w:bCs/>
          <w:sz w:val="24"/>
          <w:szCs w:val="24"/>
        </w:rPr>
        <w:t>de la Ley de Transparencia y Acceso a la Información Pública del Estado de México y Municipios</w:t>
      </w:r>
      <w:r w:rsidR="00667003" w:rsidRPr="009E63DA">
        <w:rPr>
          <w:rFonts w:ascii="Palatino Linotype" w:hAnsi="Palatino Linotype" w:cs="Arial"/>
          <w:sz w:val="24"/>
          <w:szCs w:val="24"/>
        </w:rPr>
        <w:t>, los cuales son del tenor literal siguiente:</w:t>
      </w:r>
    </w:p>
    <w:p w:rsidR="00667003" w:rsidRPr="009E63DA" w:rsidRDefault="00667003" w:rsidP="00667003">
      <w:pPr>
        <w:spacing w:after="0" w:line="240" w:lineRule="auto"/>
        <w:ind w:left="567" w:right="567"/>
        <w:jc w:val="both"/>
        <w:rPr>
          <w:rFonts w:ascii="Palatino Linotype" w:hAnsi="Palatino Linotype"/>
          <w:sz w:val="24"/>
          <w:szCs w:val="24"/>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u w:val="single"/>
        </w:rPr>
      </w:pPr>
      <w:r w:rsidRPr="009E63DA">
        <w:rPr>
          <w:rFonts w:ascii="Palatino Linotype" w:hAnsi="Palatino Linotype"/>
          <w:b/>
          <w:i/>
          <w:u w:val="single"/>
        </w:rPr>
        <w:t xml:space="preserve">Los sujetos obligados sólo proporcionarán la información pública que se les requiera y que obre en sus archivos y en el estado en que ésta se encuentre. </w:t>
      </w:r>
      <w:r w:rsidRPr="009E63DA">
        <w:rPr>
          <w:rFonts w:ascii="Palatino Linotype" w:hAnsi="Palatino Linotype"/>
          <w:b/>
          <w:i/>
          <w:u w:val="single"/>
        </w:rPr>
        <w:lastRenderedPageBreak/>
        <w:t>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667003" w:rsidP="00667003">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p>
    <w:p w:rsidR="00667003" w:rsidRPr="009E63DA" w:rsidRDefault="00667003" w:rsidP="00667003">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lastRenderedPageBreak/>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_tradnl" w:eastAsia="es-ES"/>
        </w:rPr>
      </w:pPr>
    </w:p>
    <w:p w:rsidR="00667003" w:rsidRPr="009E63DA" w:rsidRDefault="00667003" w:rsidP="00667003">
      <w:pPr>
        <w:spacing w:after="0" w:line="360" w:lineRule="auto"/>
        <w:ind w:left="851" w:right="850"/>
        <w:jc w:val="both"/>
        <w:rPr>
          <w:rFonts w:ascii="Palatino Linotype" w:eastAsia="Calibri" w:hAnsi="Palatino Linotype" w:cs="Arial"/>
          <w:color w:val="000000"/>
          <w:sz w:val="2"/>
          <w:szCs w:val="24"/>
          <w:lang w:val="es-ES_tradnl" w:eastAsia="es-MX"/>
        </w:rPr>
      </w:pPr>
    </w:p>
    <w:p w:rsidR="00667003" w:rsidRPr="009E63DA" w:rsidRDefault="00667003" w:rsidP="00667003">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67003" w:rsidRPr="009E63DA" w:rsidRDefault="00667003" w:rsidP="00667003">
      <w:pPr>
        <w:spacing w:after="0" w:line="240" w:lineRule="auto"/>
        <w:ind w:left="567" w:right="567"/>
        <w:jc w:val="both"/>
        <w:rPr>
          <w:rFonts w:ascii="Palatino Linotype" w:eastAsia="Calibri" w:hAnsi="Palatino Linotype" w:cs="Arial"/>
          <w:i/>
          <w:color w:val="000000"/>
          <w:sz w:val="2"/>
          <w:szCs w:val="24"/>
          <w:lang w:val="es-ES_tradnl" w:eastAsia="es-MX"/>
        </w:rPr>
      </w:pPr>
    </w:p>
    <w:p w:rsidR="00667003" w:rsidRPr="00F55BA2"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667003" w:rsidRPr="009E63DA" w:rsidRDefault="00667003" w:rsidP="00667003">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667003" w:rsidRPr="009E63DA" w:rsidRDefault="00667003" w:rsidP="00667003">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xml:space="preserve">; todo acto </w:t>
      </w:r>
      <w:r w:rsidRPr="009E63DA">
        <w:rPr>
          <w:rFonts w:ascii="Palatino Linotype" w:eastAsia="Times New Roman" w:hAnsi="Palatino Linotype" w:cs="Arial"/>
          <w:b/>
          <w:i/>
          <w:sz w:val="24"/>
          <w:szCs w:val="24"/>
          <w:u w:val="single"/>
          <w:lang w:val="es-ES" w:eastAsia="es-ES"/>
        </w:rPr>
        <w:lastRenderedPageBreak/>
        <w:t>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Rosendoevgueni Monterrey Chepov.” </w:t>
      </w:r>
      <w:r w:rsidRPr="009E63DA">
        <w:rPr>
          <w:rFonts w:ascii="Palatino Linotype" w:eastAsia="Times New Roman" w:hAnsi="Palatino Linotype" w:cs="Times New Roman"/>
          <w:b/>
          <w:i/>
          <w:sz w:val="24"/>
          <w:szCs w:val="24"/>
          <w:lang w:val="es-ES_tradnl" w:eastAsia="es-ES"/>
        </w:rPr>
        <w:t>(Sic)</w:t>
      </w: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w:t>
      </w:r>
      <w:r w:rsidRPr="009E63DA">
        <w:rPr>
          <w:rFonts w:ascii="Palatino Linotype" w:eastAsia="Times New Roman" w:hAnsi="Palatino Linotype" w:cs="Times New Roman"/>
          <w:sz w:val="24"/>
          <w:szCs w:val="24"/>
          <w:lang w:val="es-ES" w:eastAsia="es-ES"/>
        </w:rPr>
        <w:lastRenderedPageBreak/>
        <w:t xml:space="preserve">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sidR="00096183">
        <w:rPr>
          <w:rFonts w:ascii="Palatino Linotype" w:eastAsia="Times New Roman" w:hAnsi="Palatino Linotype" w:cs="Times New Roman"/>
          <w:b/>
          <w:sz w:val="24"/>
          <w:szCs w:val="24"/>
          <w:lang w:val="es-ES" w:eastAsia="es-ES"/>
        </w:rPr>
        <w:t>00115/TIANGUIS/IP/2024</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 xml:space="preserve">que ha sido materia del presente fallo. </w:t>
      </w:r>
    </w:p>
    <w:p w:rsidR="00667003" w:rsidRPr="009E63DA" w:rsidRDefault="00667003" w:rsidP="00667003">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667003" w:rsidRPr="009E63DA" w:rsidRDefault="00667003" w:rsidP="00667003">
      <w:pPr>
        <w:spacing w:after="0" w:line="360" w:lineRule="auto"/>
        <w:jc w:val="both"/>
        <w:rPr>
          <w:rFonts w:ascii="Palatino Linotype" w:eastAsia="Times New Roman" w:hAnsi="Palatino Linotype" w:cs="Times New Roman"/>
          <w:sz w:val="24"/>
          <w:szCs w:val="24"/>
          <w:lang w:eastAsia="es-ES"/>
        </w:rPr>
      </w:pPr>
    </w:p>
    <w:p w:rsidR="00667003" w:rsidRPr="009E63DA" w:rsidRDefault="00667003" w:rsidP="00667003">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667003" w:rsidRPr="009E63DA" w:rsidRDefault="00667003" w:rsidP="00667003">
      <w:pPr>
        <w:autoSpaceDE w:val="0"/>
        <w:autoSpaceDN w:val="0"/>
        <w:adjustRightInd w:val="0"/>
        <w:spacing w:after="0" w:line="360" w:lineRule="auto"/>
        <w:ind w:right="49"/>
        <w:jc w:val="both"/>
        <w:rPr>
          <w:rFonts w:ascii="Palatino Linotype" w:hAnsi="Palatino Linotype" w:cs="Arial"/>
          <w:sz w:val="28"/>
          <w:szCs w:val="28"/>
          <w:lang w:val="es-ES_tradnl"/>
        </w:rPr>
      </w:pPr>
    </w:p>
    <w:p w:rsidR="00667003" w:rsidRPr="009E63DA" w:rsidRDefault="00667003" w:rsidP="00667003">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sidR="00096183">
        <w:rPr>
          <w:rFonts w:ascii="Palatino Linotype" w:eastAsia="Times New Roman" w:hAnsi="Palatino Linotype" w:cs="Times New Roman"/>
          <w:b/>
          <w:sz w:val="24"/>
          <w:szCs w:val="24"/>
          <w:lang w:val="es-ES" w:eastAsia="es-ES"/>
        </w:rPr>
        <w:t>00115/TIANGUIS/IP/2024</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00350E4B">
        <w:rPr>
          <w:rFonts w:ascii="Palatino Linotype" w:eastAsia="Times New Roman" w:hAnsi="Palatino Linotype" w:cs="Arial"/>
          <w:sz w:val="24"/>
          <w:szCs w:val="24"/>
          <w:lang w:val="es-ES" w:eastAsia="es-ES"/>
        </w:rPr>
        <w:t xml:space="preserve"> de la presente resolución.</w:t>
      </w: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sidR="00350E4B">
        <w:rPr>
          <w:rFonts w:ascii="Palatino Linotype" w:eastAsia="Times New Roman" w:hAnsi="Palatino Linotype" w:cs="Arial"/>
          <w:b/>
          <w:sz w:val="24"/>
          <w:szCs w:val="24"/>
          <w:lang w:val="es-ES" w:eastAsia="es-ES"/>
        </w:rPr>
        <w:t xml:space="preserve">  </w:t>
      </w: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w:t>
      </w:r>
      <w:r w:rsidR="00F55BA2">
        <w:rPr>
          <w:rFonts w:ascii="Palatino Linotype" w:hAnsi="Palatino Linotype"/>
          <w:sz w:val="24"/>
        </w:rPr>
        <w:t xml:space="preserve">parte </w:t>
      </w:r>
      <w:r w:rsidR="00F55BA2" w:rsidRPr="009E63DA">
        <w:rPr>
          <w:rFonts w:ascii="Palatino Linotype" w:eastAsia="Times New Roman" w:hAnsi="Palatino Linotype" w:cs="Arial"/>
          <w:b/>
          <w:sz w:val="24"/>
          <w:szCs w:val="24"/>
          <w:lang w:val="es-ES" w:eastAsia="es-ES"/>
        </w:rPr>
        <w:t>RECURRENTE</w:t>
      </w:r>
      <w:r w:rsidRPr="009E63DA">
        <w:rPr>
          <w:rFonts w:ascii="Palatino Linotype" w:eastAsia="Times New Roman" w:hAnsi="Palatino Linotype" w:cs="Arial"/>
          <w:b/>
          <w:sz w:val="24"/>
          <w:szCs w:val="24"/>
          <w:lang w:val="es-ES" w:eastAsia="es-ES"/>
        </w:rPr>
        <w:t xml:space="preserv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667003" w:rsidRDefault="00667003" w:rsidP="00667003">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w:t>
      </w:r>
      <w:r w:rsidRPr="009E63DA">
        <w:rPr>
          <w:rFonts w:ascii="Palatino Linotype" w:eastAsia="Times New Roman" w:hAnsi="Palatino Linotype" w:cs="Arial"/>
          <w:sz w:val="24"/>
          <w:szCs w:val="24"/>
          <w:lang w:val="es-ES" w:eastAsia="es-ES"/>
        </w:rPr>
        <w:lastRenderedPageBreak/>
        <w:t xml:space="preserve">que la resolución le cause algún perjuicio podrá impugnarla vía juicio de amparo en los términos de las leyes aplicables. </w:t>
      </w:r>
    </w:p>
    <w:p w:rsidR="00667003" w:rsidRPr="009E63DA" w:rsidRDefault="00667003" w:rsidP="00C62DA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67003" w:rsidRDefault="00667003" w:rsidP="00C62DAF">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060018">
        <w:rPr>
          <w:rFonts w:ascii="Palatino Linotype" w:hAnsi="Palatino Linotype" w:cs="Arial"/>
          <w:sz w:val="24"/>
        </w:rPr>
        <w:t>CUADRAGÉSIMA PRIMERA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00750473" w:rsidRPr="00750473">
        <w:rPr>
          <w:rFonts w:ascii="Palatino Linotype" w:hAnsi="Palatino Linotype" w:cs="Arial"/>
          <w:sz w:val="24"/>
        </w:rPr>
        <w:t xml:space="preserve">EL </w:t>
      </w:r>
      <w:r w:rsidR="00060018">
        <w:rPr>
          <w:rFonts w:ascii="Palatino Linotype" w:hAnsi="Palatino Linotype" w:cs="Arial"/>
          <w:sz w:val="24"/>
        </w:rPr>
        <w:t>VEINTISIETE</w:t>
      </w:r>
      <w:r w:rsidR="00CB624E">
        <w:rPr>
          <w:rFonts w:ascii="Palatino Linotype" w:hAnsi="Palatino Linotype" w:cs="Arial"/>
          <w:sz w:val="24"/>
        </w:rPr>
        <w:t xml:space="preserve"> DE NOVIEMBRE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rsidR="00667003" w:rsidRDefault="00667003" w:rsidP="00C62DA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667003" w:rsidRDefault="00667003" w:rsidP="00C62DA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667003" w:rsidRDefault="00667003" w:rsidP="00C62DA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C62DAF" w:rsidRPr="00F444C4">
        <w:rPr>
          <w:rFonts w:ascii="Palatino Linotype" w:hAnsi="Palatino Linotype" w:cs="Arial"/>
          <w:lang w:val="es-ES_tradnl"/>
        </w:rPr>
        <w:t>----------------------------------------------------------------------------------------------------------------------------------------------------------------------------------------------------------------------------------------------------------------------------------------------------------------------------------------------------------------------------------------------------------------------------------------------------------------------------------------------------------------------------------------------------------------------------------------------------------------------------------------------------------------------------------------------------------------------------------------------------------------------------------------------------------------------------------------------------------------------------------------------------------------------------------------</w:t>
      </w:r>
    </w:p>
    <w:p w:rsidR="00667003" w:rsidRPr="00AB0A3C" w:rsidRDefault="00F55BA2" w:rsidP="00C62DAF">
      <w:pPr>
        <w:spacing w:after="0" w:line="360" w:lineRule="auto"/>
        <w:jc w:val="both"/>
        <w:rPr>
          <w:sz w:val="20"/>
        </w:rPr>
      </w:pPr>
      <w:r>
        <w:rPr>
          <w:rFonts w:ascii="Palatino Linotype" w:hAnsi="Palatino Linotype"/>
          <w:bCs/>
          <w:sz w:val="16"/>
          <w:szCs w:val="18"/>
        </w:rPr>
        <w:t>CCR/</w:t>
      </w:r>
      <w:r w:rsidR="002A6732">
        <w:rPr>
          <w:rFonts w:ascii="Palatino Linotype" w:hAnsi="Palatino Linotype"/>
          <w:bCs/>
          <w:sz w:val="16"/>
          <w:szCs w:val="18"/>
        </w:rPr>
        <w:t>LMST</w:t>
      </w:r>
    </w:p>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0E05D5" w:rsidRDefault="000E05D5"/>
    <w:sectPr w:rsidR="000E05D5" w:rsidSect="0067229B">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83" w:rsidRDefault="00096183" w:rsidP="00667003">
      <w:pPr>
        <w:spacing w:after="0" w:line="240" w:lineRule="auto"/>
      </w:pPr>
      <w:r>
        <w:separator/>
      </w:r>
    </w:p>
  </w:endnote>
  <w:endnote w:type="continuationSeparator" w:id="0">
    <w:p w:rsidR="00096183" w:rsidRDefault="00096183" w:rsidP="006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83" w:rsidRPr="000B69FA" w:rsidRDefault="00096183"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28A9">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228A9">
      <w:rPr>
        <w:rFonts w:ascii="Palatino Linotype" w:hAnsi="Palatino Linotype"/>
        <w:bCs/>
        <w:noProof/>
        <w:sz w:val="20"/>
      </w:rPr>
      <w:t>22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83" w:rsidRPr="000B69FA" w:rsidRDefault="00096183"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28A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228A9">
      <w:rPr>
        <w:rFonts w:ascii="Palatino Linotype" w:hAnsi="Palatino Linotype"/>
        <w:bCs/>
        <w:noProof/>
        <w:sz w:val="20"/>
      </w:rPr>
      <w:t>22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83" w:rsidRDefault="00096183" w:rsidP="00667003">
      <w:pPr>
        <w:spacing w:after="0" w:line="240" w:lineRule="auto"/>
      </w:pPr>
      <w:r>
        <w:separator/>
      </w:r>
    </w:p>
  </w:footnote>
  <w:footnote w:type="continuationSeparator" w:id="0">
    <w:p w:rsidR="00096183" w:rsidRDefault="00096183" w:rsidP="00667003">
      <w:pPr>
        <w:spacing w:after="0" w:line="240" w:lineRule="auto"/>
      </w:pPr>
      <w:r>
        <w:continuationSeparator/>
      </w:r>
    </w:p>
  </w:footnote>
  <w:footnote w:id="1">
    <w:p w:rsidR="00096183" w:rsidRPr="005552A8" w:rsidRDefault="00096183" w:rsidP="00667003">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096183" w:rsidRPr="005552A8" w:rsidRDefault="00096183" w:rsidP="0066700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83" w:rsidRDefault="00096183">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2946792" wp14:editId="62560655">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096183" w:rsidTr="0067229B">
      <w:trPr>
        <w:trHeight w:val="227"/>
      </w:trPr>
      <w:tc>
        <w:tcPr>
          <w:tcW w:w="5529" w:type="dxa"/>
          <w:hideMark/>
        </w:tcPr>
        <w:p w:rsidR="00096183" w:rsidRDefault="00096183"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096183" w:rsidRPr="00B4142F" w:rsidRDefault="00C62DAF"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96183">
            <w:rPr>
              <w:rFonts w:ascii="Palatino Linotype" w:hAnsi="Palatino Linotype" w:cs="Arial"/>
              <w:bCs/>
              <w:sz w:val="24"/>
              <w:lang w:eastAsia="es-MX"/>
            </w:rPr>
            <w:t>7180/INFOEM/IP/RR/2024</w:t>
          </w:r>
        </w:p>
      </w:tc>
    </w:tr>
    <w:tr w:rsidR="00096183" w:rsidTr="0067229B">
      <w:trPr>
        <w:trHeight w:val="242"/>
      </w:trPr>
      <w:tc>
        <w:tcPr>
          <w:tcW w:w="5529" w:type="dxa"/>
          <w:hideMark/>
        </w:tcPr>
        <w:p w:rsidR="00096183" w:rsidRDefault="00096183"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096183" w:rsidRPr="00F06FED" w:rsidRDefault="00096183" w:rsidP="0067229B">
          <w:pPr>
            <w:spacing w:after="120" w:line="256" w:lineRule="auto"/>
            <w:ind w:left="639" w:right="214"/>
            <w:jc w:val="both"/>
            <w:rPr>
              <w:rFonts w:ascii="Palatino Linotype" w:hAnsi="Palatino Linotype" w:cs="Arial"/>
            </w:rPr>
          </w:pPr>
          <w:r>
            <w:rPr>
              <w:rFonts w:ascii="Palatino Linotype" w:hAnsi="Palatino Linotype" w:cs="Arial"/>
              <w:szCs w:val="20"/>
            </w:rPr>
            <w:t>Ayuntamiento de Tianguistenco</w:t>
          </w:r>
        </w:p>
      </w:tc>
    </w:tr>
    <w:tr w:rsidR="00096183" w:rsidTr="0067229B">
      <w:trPr>
        <w:trHeight w:val="342"/>
      </w:trPr>
      <w:tc>
        <w:tcPr>
          <w:tcW w:w="5529" w:type="dxa"/>
          <w:hideMark/>
        </w:tcPr>
        <w:p w:rsidR="00096183" w:rsidRDefault="00096183"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096183" w:rsidRDefault="00096183" w:rsidP="0067229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096183" w:rsidRDefault="000961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096183" w:rsidTr="0067229B">
      <w:trPr>
        <w:trHeight w:val="227"/>
      </w:trPr>
      <w:tc>
        <w:tcPr>
          <w:tcW w:w="5529" w:type="dxa"/>
          <w:hideMark/>
        </w:tcPr>
        <w:p w:rsidR="00096183" w:rsidRDefault="00096183"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096183" w:rsidRPr="00B4142F" w:rsidRDefault="00C62DAF"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96183">
            <w:rPr>
              <w:rFonts w:ascii="Palatino Linotype" w:hAnsi="Palatino Linotype" w:cs="Arial"/>
              <w:bCs/>
              <w:sz w:val="24"/>
              <w:lang w:eastAsia="es-MX"/>
            </w:rPr>
            <w:t>7180/INFOEM/IP/RR/2024</w:t>
          </w:r>
        </w:p>
      </w:tc>
    </w:tr>
    <w:tr w:rsidR="00096183" w:rsidTr="0067229B">
      <w:trPr>
        <w:trHeight w:val="196"/>
      </w:trPr>
      <w:tc>
        <w:tcPr>
          <w:tcW w:w="5529" w:type="dxa"/>
          <w:hideMark/>
        </w:tcPr>
        <w:p w:rsidR="00096183" w:rsidRDefault="00096183"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096183" w:rsidRPr="00F06FED" w:rsidRDefault="00D228A9" w:rsidP="0067229B">
          <w:pPr>
            <w:spacing w:after="120" w:line="256" w:lineRule="auto"/>
            <w:ind w:left="639" w:right="214"/>
            <w:jc w:val="both"/>
            <w:rPr>
              <w:rFonts w:ascii="Palatino Linotype" w:hAnsi="Palatino Linotype" w:cs="Arial"/>
            </w:rPr>
          </w:pPr>
          <w:r>
            <w:rPr>
              <w:rFonts w:ascii="Palatino Linotype" w:hAnsi="Palatino Linotype" w:cs="Arial"/>
            </w:rPr>
            <w:t>XXXX</w:t>
          </w:r>
        </w:p>
      </w:tc>
    </w:tr>
    <w:tr w:rsidR="00096183" w:rsidTr="0067229B">
      <w:trPr>
        <w:trHeight w:val="242"/>
      </w:trPr>
      <w:tc>
        <w:tcPr>
          <w:tcW w:w="5529" w:type="dxa"/>
          <w:hideMark/>
        </w:tcPr>
        <w:p w:rsidR="00096183" w:rsidRDefault="00096183"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096183" w:rsidRDefault="00096183" w:rsidP="0067229B">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Tianguistenco</w:t>
          </w:r>
        </w:p>
      </w:tc>
    </w:tr>
    <w:tr w:rsidR="00096183" w:rsidTr="0067229B">
      <w:trPr>
        <w:trHeight w:val="342"/>
      </w:trPr>
      <w:tc>
        <w:tcPr>
          <w:tcW w:w="5529" w:type="dxa"/>
          <w:hideMark/>
        </w:tcPr>
        <w:p w:rsidR="00096183" w:rsidRDefault="00096183"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096183" w:rsidRDefault="00096183" w:rsidP="0067229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096183" w:rsidRDefault="0009618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3DD0DC" wp14:editId="73824390">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51254F03"/>
    <w:multiLevelType w:val="hybridMultilevel"/>
    <w:tmpl w:val="B5A8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0C2651"/>
    <w:multiLevelType w:val="hybridMultilevel"/>
    <w:tmpl w:val="FF54F0CC"/>
    <w:lvl w:ilvl="0" w:tplc="074AF7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5"/>
  </w:num>
  <w:num w:numId="3">
    <w:abstractNumId w:val="2"/>
  </w:num>
  <w:num w:numId="4">
    <w:abstractNumId w:val="7"/>
  </w:num>
  <w:num w:numId="5">
    <w:abstractNumId w:val="6"/>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03"/>
    <w:rsid w:val="00030214"/>
    <w:rsid w:val="00041AF1"/>
    <w:rsid w:val="00060018"/>
    <w:rsid w:val="00096183"/>
    <w:rsid w:val="000A1C27"/>
    <w:rsid w:val="000E05D5"/>
    <w:rsid w:val="00227D4D"/>
    <w:rsid w:val="0023274E"/>
    <w:rsid w:val="00232FB4"/>
    <w:rsid w:val="00256F6D"/>
    <w:rsid w:val="002A6732"/>
    <w:rsid w:val="00321E69"/>
    <w:rsid w:val="00346CC7"/>
    <w:rsid w:val="00350E4B"/>
    <w:rsid w:val="003A48AB"/>
    <w:rsid w:val="003C3020"/>
    <w:rsid w:val="00427171"/>
    <w:rsid w:val="004559BD"/>
    <w:rsid w:val="0047562A"/>
    <w:rsid w:val="004A070C"/>
    <w:rsid w:val="004E0196"/>
    <w:rsid w:val="005C1507"/>
    <w:rsid w:val="00667003"/>
    <w:rsid w:val="0067229B"/>
    <w:rsid w:val="006D65EF"/>
    <w:rsid w:val="00710CD4"/>
    <w:rsid w:val="00750473"/>
    <w:rsid w:val="00772CEA"/>
    <w:rsid w:val="00950E6D"/>
    <w:rsid w:val="009807AA"/>
    <w:rsid w:val="009E4572"/>
    <w:rsid w:val="00A008D9"/>
    <w:rsid w:val="00B10F71"/>
    <w:rsid w:val="00BA2CFE"/>
    <w:rsid w:val="00C10F85"/>
    <w:rsid w:val="00C62DAF"/>
    <w:rsid w:val="00CB624E"/>
    <w:rsid w:val="00CE2D2F"/>
    <w:rsid w:val="00D228A9"/>
    <w:rsid w:val="00D275D4"/>
    <w:rsid w:val="00DC782A"/>
    <w:rsid w:val="00DF5A5F"/>
    <w:rsid w:val="00E029A7"/>
    <w:rsid w:val="00E94B77"/>
    <w:rsid w:val="00F324D4"/>
    <w:rsid w:val="00F55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108ADD-8957-450F-B730-82BF407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00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00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00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0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700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6700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67003"/>
    <w:rPr>
      <w:color w:val="0563C1" w:themeColor="hyperlink"/>
      <w:u w:val="single"/>
    </w:rPr>
  </w:style>
  <w:style w:type="paragraph" w:styleId="Sinespaciado">
    <w:name w:val="No Spacing"/>
    <w:aliases w:val="Francesa,INAI"/>
    <w:link w:val="SinespaciadoCar"/>
    <w:uiPriority w:val="1"/>
    <w:qFormat/>
    <w:rsid w:val="0066700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67003"/>
    <w:rPr>
      <w:rFonts w:ascii="Times New Roman" w:eastAsia="Times New Roman" w:hAnsi="Times New Roman" w:cs="Times New Roman"/>
      <w:sz w:val="24"/>
      <w:szCs w:val="24"/>
      <w:lang w:eastAsia="es-ES"/>
    </w:rPr>
  </w:style>
  <w:style w:type="paragraph" w:customStyle="1" w:styleId="infoemcitas">
    <w:name w:val="infoem citas"/>
    <w:basedOn w:val="Normal"/>
    <w:qFormat/>
    <w:rsid w:val="00667003"/>
    <w:pPr>
      <w:spacing w:before="240" w:line="360" w:lineRule="auto"/>
      <w:ind w:left="851" w:right="851"/>
      <w:jc w:val="both"/>
    </w:pPr>
    <w:rPr>
      <w:rFonts w:ascii="Palatino Linotype" w:hAnsi="Palatino Linotype"/>
      <w:i/>
    </w:rPr>
  </w:style>
  <w:style w:type="paragraph" w:customStyle="1" w:styleId="INFOEM">
    <w:name w:val="INFOEM"/>
    <w:basedOn w:val="Normal"/>
    <w:qFormat/>
    <w:rsid w:val="00667003"/>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60061">
      <w:bodyDiv w:val="1"/>
      <w:marLeft w:val="0"/>
      <w:marRight w:val="0"/>
      <w:marTop w:val="0"/>
      <w:marBottom w:val="0"/>
      <w:divBdr>
        <w:top w:val="none" w:sz="0" w:space="0" w:color="auto"/>
        <w:left w:val="none" w:sz="0" w:space="0" w:color="auto"/>
        <w:bottom w:val="none" w:sz="0" w:space="0" w:color="auto"/>
        <w:right w:val="none" w:sz="0" w:space="0" w:color="auto"/>
      </w:divBdr>
    </w:div>
    <w:div w:id="15421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4576</Words>
  <Characters>25170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7</cp:revision>
  <dcterms:created xsi:type="dcterms:W3CDTF">2024-11-20T22:19:00Z</dcterms:created>
  <dcterms:modified xsi:type="dcterms:W3CDTF">2024-12-03T22:07:00Z</dcterms:modified>
</cp:coreProperties>
</file>