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03D12D5" w14:textId="77777777" w:rsidR="00342378" w:rsidRPr="00FB571A" w:rsidRDefault="00342378" w:rsidP="00903F17">
          <w:pPr>
            <w:pStyle w:val="TtuloTDC"/>
            <w:spacing w:before="0" w:line="360" w:lineRule="auto"/>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63737119" w14:textId="0F984B9A" w:rsidR="00A754ED" w:rsidRDefault="00342378">
          <w:pPr>
            <w:pStyle w:val="TDC1"/>
            <w:tabs>
              <w:tab w:val="right" w:leader="dot" w:pos="9034"/>
            </w:tabs>
            <w:rPr>
              <w:rFonts w:asciiTheme="minorHAnsi" w:eastAsiaTheme="minorEastAsia" w:hAnsiTheme="minorHAnsi" w:cstheme="minorBidi"/>
              <w:noProof/>
              <w:sz w:val="22"/>
              <w:szCs w:val="22"/>
              <w:lang w:eastAsia="es-MX"/>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15582977" w:history="1">
            <w:r w:rsidR="00A754ED" w:rsidRPr="00B63215">
              <w:rPr>
                <w:rStyle w:val="Hipervnculo"/>
                <w:rFonts w:ascii="Palatino Linotype" w:hAnsi="Palatino Linotype"/>
                <w:b/>
                <w:noProof/>
              </w:rPr>
              <w:t>A N T E C E D E N T E S</w:t>
            </w:r>
            <w:r w:rsidR="00A754ED">
              <w:rPr>
                <w:noProof/>
                <w:webHidden/>
              </w:rPr>
              <w:tab/>
            </w:r>
            <w:r w:rsidR="00A754ED">
              <w:rPr>
                <w:noProof/>
                <w:webHidden/>
              </w:rPr>
              <w:fldChar w:fldCharType="begin"/>
            </w:r>
            <w:r w:rsidR="00A754ED">
              <w:rPr>
                <w:noProof/>
                <w:webHidden/>
              </w:rPr>
              <w:instrText xml:space="preserve"> PAGEREF _Toc215582977 \h </w:instrText>
            </w:r>
            <w:r w:rsidR="00A754ED">
              <w:rPr>
                <w:noProof/>
                <w:webHidden/>
              </w:rPr>
            </w:r>
            <w:r w:rsidR="00A754ED">
              <w:rPr>
                <w:noProof/>
                <w:webHidden/>
              </w:rPr>
              <w:fldChar w:fldCharType="separate"/>
            </w:r>
            <w:r w:rsidR="00DA6119">
              <w:rPr>
                <w:noProof/>
                <w:webHidden/>
              </w:rPr>
              <w:t>2</w:t>
            </w:r>
            <w:r w:rsidR="00A754ED">
              <w:rPr>
                <w:noProof/>
                <w:webHidden/>
              </w:rPr>
              <w:fldChar w:fldCharType="end"/>
            </w:r>
          </w:hyperlink>
        </w:p>
        <w:p w14:paraId="5EC6B880" w14:textId="742F9F28"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78" w:history="1">
            <w:r w:rsidR="00A754ED" w:rsidRPr="00B63215">
              <w:rPr>
                <w:rStyle w:val="Hipervnculo"/>
                <w:rFonts w:ascii="Palatino Linotype" w:hAnsi="Palatino Linotype"/>
                <w:b/>
                <w:noProof/>
              </w:rPr>
              <w:t>I. Presentación de la solicitud de información</w:t>
            </w:r>
            <w:r w:rsidR="00A754ED">
              <w:rPr>
                <w:noProof/>
                <w:webHidden/>
              </w:rPr>
              <w:tab/>
            </w:r>
            <w:r w:rsidR="00A754ED">
              <w:rPr>
                <w:noProof/>
                <w:webHidden/>
              </w:rPr>
              <w:fldChar w:fldCharType="begin"/>
            </w:r>
            <w:r w:rsidR="00A754ED">
              <w:rPr>
                <w:noProof/>
                <w:webHidden/>
              </w:rPr>
              <w:instrText xml:space="preserve"> PAGEREF _Toc215582978 \h </w:instrText>
            </w:r>
            <w:r w:rsidR="00A754ED">
              <w:rPr>
                <w:noProof/>
                <w:webHidden/>
              </w:rPr>
            </w:r>
            <w:r w:rsidR="00A754ED">
              <w:rPr>
                <w:noProof/>
                <w:webHidden/>
              </w:rPr>
              <w:fldChar w:fldCharType="separate"/>
            </w:r>
            <w:r w:rsidR="00DA6119">
              <w:rPr>
                <w:noProof/>
                <w:webHidden/>
              </w:rPr>
              <w:t>2</w:t>
            </w:r>
            <w:r w:rsidR="00A754ED">
              <w:rPr>
                <w:noProof/>
                <w:webHidden/>
              </w:rPr>
              <w:fldChar w:fldCharType="end"/>
            </w:r>
          </w:hyperlink>
        </w:p>
        <w:p w14:paraId="08A10056" w14:textId="16E4BF1F"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79" w:history="1">
            <w:r w:rsidR="00A754ED" w:rsidRPr="00B63215">
              <w:rPr>
                <w:rStyle w:val="Hipervnculo"/>
                <w:rFonts w:ascii="Palatino Linotype" w:hAnsi="Palatino Linotype" w:cs="Tahoma"/>
                <w:b/>
                <w:noProof/>
              </w:rPr>
              <w:t>II. Respuesta del Sujeto Obligado</w:t>
            </w:r>
            <w:r w:rsidR="00A754ED">
              <w:rPr>
                <w:noProof/>
                <w:webHidden/>
              </w:rPr>
              <w:tab/>
            </w:r>
            <w:r w:rsidR="00A754ED">
              <w:rPr>
                <w:noProof/>
                <w:webHidden/>
              </w:rPr>
              <w:fldChar w:fldCharType="begin"/>
            </w:r>
            <w:r w:rsidR="00A754ED">
              <w:rPr>
                <w:noProof/>
                <w:webHidden/>
              </w:rPr>
              <w:instrText xml:space="preserve"> PAGEREF _Toc215582979 \h </w:instrText>
            </w:r>
            <w:r w:rsidR="00A754ED">
              <w:rPr>
                <w:noProof/>
                <w:webHidden/>
              </w:rPr>
            </w:r>
            <w:r w:rsidR="00A754ED">
              <w:rPr>
                <w:noProof/>
                <w:webHidden/>
              </w:rPr>
              <w:fldChar w:fldCharType="separate"/>
            </w:r>
            <w:r w:rsidR="00DA6119">
              <w:rPr>
                <w:noProof/>
                <w:webHidden/>
              </w:rPr>
              <w:t>2</w:t>
            </w:r>
            <w:r w:rsidR="00A754ED">
              <w:rPr>
                <w:noProof/>
                <w:webHidden/>
              </w:rPr>
              <w:fldChar w:fldCharType="end"/>
            </w:r>
          </w:hyperlink>
        </w:p>
        <w:p w14:paraId="2396A40F" w14:textId="4A5810FD"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80" w:history="1">
            <w:r w:rsidR="00A754ED" w:rsidRPr="00B63215">
              <w:rPr>
                <w:rStyle w:val="Hipervnculo"/>
                <w:rFonts w:ascii="Palatino Linotype" w:hAnsi="Palatino Linotype" w:cs="Tahoma"/>
                <w:b/>
                <w:noProof/>
              </w:rPr>
              <w:t>III. Interposición del Recurso de Revisión</w:t>
            </w:r>
            <w:r w:rsidR="00A754ED">
              <w:rPr>
                <w:noProof/>
                <w:webHidden/>
              </w:rPr>
              <w:tab/>
            </w:r>
            <w:r w:rsidR="00A754ED">
              <w:rPr>
                <w:noProof/>
                <w:webHidden/>
              </w:rPr>
              <w:fldChar w:fldCharType="begin"/>
            </w:r>
            <w:r w:rsidR="00A754ED">
              <w:rPr>
                <w:noProof/>
                <w:webHidden/>
              </w:rPr>
              <w:instrText xml:space="preserve"> PAGEREF _Toc215582980 \h </w:instrText>
            </w:r>
            <w:r w:rsidR="00A754ED">
              <w:rPr>
                <w:noProof/>
                <w:webHidden/>
              </w:rPr>
            </w:r>
            <w:r w:rsidR="00A754ED">
              <w:rPr>
                <w:noProof/>
                <w:webHidden/>
              </w:rPr>
              <w:fldChar w:fldCharType="separate"/>
            </w:r>
            <w:r w:rsidR="00DA6119">
              <w:rPr>
                <w:noProof/>
                <w:webHidden/>
              </w:rPr>
              <w:t>3</w:t>
            </w:r>
            <w:r w:rsidR="00A754ED">
              <w:rPr>
                <w:noProof/>
                <w:webHidden/>
              </w:rPr>
              <w:fldChar w:fldCharType="end"/>
            </w:r>
          </w:hyperlink>
        </w:p>
        <w:p w14:paraId="65208B7E" w14:textId="485946E0"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81" w:history="1">
            <w:r w:rsidR="00A754ED" w:rsidRPr="00B63215">
              <w:rPr>
                <w:rStyle w:val="Hipervnculo"/>
                <w:rFonts w:ascii="Palatino Linotype" w:hAnsi="Palatino Linotype"/>
                <w:b/>
                <w:noProof/>
              </w:rPr>
              <w:t>IV. Trámite del Recurso de Revisión ante el Instituto</w:t>
            </w:r>
            <w:r w:rsidR="00A754ED">
              <w:rPr>
                <w:noProof/>
                <w:webHidden/>
              </w:rPr>
              <w:tab/>
            </w:r>
            <w:r w:rsidR="00A754ED">
              <w:rPr>
                <w:noProof/>
                <w:webHidden/>
              </w:rPr>
              <w:fldChar w:fldCharType="begin"/>
            </w:r>
            <w:r w:rsidR="00A754ED">
              <w:rPr>
                <w:noProof/>
                <w:webHidden/>
              </w:rPr>
              <w:instrText xml:space="preserve"> PAGEREF _Toc215582981 \h </w:instrText>
            </w:r>
            <w:r w:rsidR="00A754ED">
              <w:rPr>
                <w:noProof/>
                <w:webHidden/>
              </w:rPr>
            </w:r>
            <w:r w:rsidR="00A754ED">
              <w:rPr>
                <w:noProof/>
                <w:webHidden/>
              </w:rPr>
              <w:fldChar w:fldCharType="separate"/>
            </w:r>
            <w:r w:rsidR="00DA6119">
              <w:rPr>
                <w:noProof/>
                <w:webHidden/>
              </w:rPr>
              <w:t>3</w:t>
            </w:r>
            <w:r w:rsidR="00A754ED">
              <w:rPr>
                <w:noProof/>
                <w:webHidden/>
              </w:rPr>
              <w:fldChar w:fldCharType="end"/>
            </w:r>
          </w:hyperlink>
        </w:p>
        <w:p w14:paraId="2C945BE2" w14:textId="56FE0F22" w:rsidR="00A754ED"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5582982" w:history="1">
            <w:r w:rsidR="00A754ED" w:rsidRPr="00B63215">
              <w:rPr>
                <w:rStyle w:val="Hipervnculo"/>
                <w:rFonts w:ascii="Palatino Linotype" w:hAnsi="Palatino Linotype"/>
                <w:b/>
                <w:noProof/>
              </w:rPr>
              <w:t>a) Turno del Recurso de Revisión</w:t>
            </w:r>
            <w:r w:rsidR="00A754ED" w:rsidRPr="00B63215">
              <w:rPr>
                <w:rStyle w:val="Hipervnculo"/>
                <w:rFonts w:ascii="Palatino Linotype" w:hAnsi="Palatino Linotype"/>
                <w:noProof/>
              </w:rPr>
              <w:t>.</w:t>
            </w:r>
            <w:r w:rsidR="00A754ED">
              <w:rPr>
                <w:noProof/>
                <w:webHidden/>
              </w:rPr>
              <w:tab/>
            </w:r>
            <w:r w:rsidR="00A754ED">
              <w:rPr>
                <w:noProof/>
                <w:webHidden/>
              </w:rPr>
              <w:fldChar w:fldCharType="begin"/>
            </w:r>
            <w:r w:rsidR="00A754ED">
              <w:rPr>
                <w:noProof/>
                <w:webHidden/>
              </w:rPr>
              <w:instrText xml:space="preserve"> PAGEREF _Toc215582982 \h </w:instrText>
            </w:r>
            <w:r w:rsidR="00A754ED">
              <w:rPr>
                <w:noProof/>
                <w:webHidden/>
              </w:rPr>
            </w:r>
            <w:r w:rsidR="00A754ED">
              <w:rPr>
                <w:noProof/>
                <w:webHidden/>
              </w:rPr>
              <w:fldChar w:fldCharType="separate"/>
            </w:r>
            <w:r w:rsidR="00DA6119">
              <w:rPr>
                <w:noProof/>
                <w:webHidden/>
              </w:rPr>
              <w:t>3</w:t>
            </w:r>
            <w:r w:rsidR="00A754ED">
              <w:rPr>
                <w:noProof/>
                <w:webHidden/>
              </w:rPr>
              <w:fldChar w:fldCharType="end"/>
            </w:r>
          </w:hyperlink>
        </w:p>
        <w:p w14:paraId="5295B149" w14:textId="0046CFC6" w:rsidR="00A754ED"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5582983" w:history="1">
            <w:r w:rsidR="00A754ED" w:rsidRPr="00B63215">
              <w:rPr>
                <w:rStyle w:val="Hipervnculo"/>
                <w:rFonts w:ascii="Palatino Linotype" w:hAnsi="Palatino Linotype"/>
                <w:b/>
                <w:noProof/>
              </w:rPr>
              <w:t>b) Admisión del Recurso de Revisión</w:t>
            </w:r>
            <w:r w:rsidR="00A754ED" w:rsidRPr="00B63215">
              <w:rPr>
                <w:rStyle w:val="Hipervnculo"/>
                <w:rFonts w:ascii="Palatino Linotype" w:hAnsi="Palatino Linotype"/>
                <w:noProof/>
              </w:rPr>
              <w:t>.</w:t>
            </w:r>
            <w:r w:rsidR="00A754ED">
              <w:rPr>
                <w:noProof/>
                <w:webHidden/>
              </w:rPr>
              <w:tab/>
            </w:r>
            <w:r w:rsidR="00A754ED">
              <w:rPr>
                <w:noProof/>
                <w:webHidden/>
              </w:rPr>
              <w:fldChar w:fldCharType="begin"/>
            </w:r>
            <w:r w:rsidR="00A754ED">
              <w:rPr>
                <w:noProof/>
                <w:webHidden/>
              </w:rPr>
              <w:instrText xml:space="preserve"> PAGEREF _Toc215582983 \h </w:instrText>
            </w:r>
            <w:r w:rsidR="00A754ED">
              <w:rPr>
                <w:noProof/>
                <w:webHidden/>
              </w:rPr>
            </w:r>
            <w:r w:rsidR="00A754ED">
              <w:rPr>
                <w:noProof/>
                <w:webHidden/>
              </w:rPr>
              <w:fldChar w:fldCharType="separate"/>
            </w:r>
            <w:r w:rsidR="00DA6119">
              <w:rPr>
                <w:noProof/>
                <w:webHidden/>
              </w:rPr>
              <w:t>4</w:t>
            </w:r>
            <w:r w:rsidR="00A754ED">
              <w:rPr>
                <w:noProof/>
                <w:webHidden/>
              </w:rPr>
              <w:fldChar w:fldCharType="end"/>
            </w:r>
          </w:hyperlink>
        </w:p>
        <w:p w14:paraId="53BF2299" w14:textId="612F4938" w:rsidR="00A754ED"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5582984" w:history="1">
            <w:r w:rsidR="00A754ED" w:rsidRPr="00B63215">
              <w:rPr>
                <w:rStyle w:val="Hipervnculo"/>
                <w:rFonts w:ascii="Palatino Linotype" w:hAnsi="Palatino Linotype"/>
                <w:b/>
                <w:noProof/>
              </w:rPr>
              <w:t>e) Cierre de instrucción</w:t>
            </w:r>
            <w:r w:rsidR="00A754ED">
              <w:rPr>
                <w:noProof/>
                <w:webHidden/>
              </w:rPr>
              <w:tab/>
            </w:r>
            <w:r w:rsidR="00A754ED">
              <w:rPr>
                <w:noProof/>
                <w:webHidden/>
              </w:rPr>
              <w:fldChar w:fldCharType="begin"/>
            </w:r>
            <w:r w:rsidR="00A754ED">
              <w:rPr>
                <w:noProof/>
                <w:webHidden/>
              </w:rPr>
              <w:instrText xml:space="preserve"> PAGEREF _Toc215582984 \h </w:instrText>
            </w:r>
            <w:r w:rsidR="00A754ED">
              <w:rPr>
                <w:noProof/>
                <w:webHidden/>
              </w:rPr>
            </w:r>
            <w:r w:rsidR="00A754ED">
              <w:rPr>
                <w:noProof/>
                <w:webHidden/>
              </w:rPr>
              <w:fldChar w:fldCharType="separate"/>
            </w:r>
            <w:r w:rsidR="00DA6119">
              <w:rPr>
                <w:noProof/>
                <w:webHidden/>
              </w:rPr>
              <w:t>4</w:t>
            </w:r>
            <w:r w:rsidR="00A754ED">
              <w:rPr>
                <w:noProof/>
                <w:webHidden/>
              </w:rPr>
              <w:fldChar w:fldCharType="end"/>
            </w:r>
          </w:hyperlink>
        </w:p>
        <w:p w14:paraId="669F22B1" w14:textId="5746EFEF" w:rsidR="00A754ED"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5582985" w:history="1">
            <w:r w:rsidR="00A754ED" w:rsidRPr="00B63215">
              <w:rPr>
                <w:rStyle w:val="Hipervnculo"/>
                <w:rFonts w:ascii="Palatino Linotype" w:hAnsi="Palatino Linotype"/>
                <w:b/>
                <w:noProof/>
              </w:rPr>
              <w:t>C O N S I D E R A N D O S</w:t>
            </w:r>
            <w:r w:rsidR="00A754ED">
              <w:rPr>
                <w:noProof/>
                <w:webHidden/>
              </w:rPr>
              <w:tab/>
            </w:r>
            <w:r w:rsidR="00A754ED">
              <w:rPr>
                <w:noProof/>
                <w:webHidden/>
              </w:rPr>
              <w:fldChar w:fldCharType="begin"/>
            </w:r>
            <w:r w:rsidR="00A754ED">
              <w:rPr>
                <w:noProof/>
                <w:webHidden/>
              </w:rPr>
              <w:instrText xml:space="preserve"> PAGEREF _Toc215582985 \h </w:instrText>
            </w:r>
            <w:r w:rsidR="00A754ED">
              <w:rPr>
                <w:noProof/>
                <w:webHidden/>
              </w:rPr>
            </w:r>
            <w:r w:rsidR="00A754ED">
              <w:rPr>
                <w:noProof/>
                <w:webHidden/>
              </w:rPr>
              <w:fldChar w:fldCharType="separate"/>
            </w:r>
            <w:r w:rsidR="00DA6119">
              <w:rPr>
                <w:noProof/>
                <w:webHidden/>
              </w:rPr>
              <w:t>4</w:t>
            </w:r>
            <w:r w:rsidR="00A754ED">
              <w:rPr>
                <w:noProof/>
                <w:webHidden/>
              </w:rPr>
              <w:fldChar w:fldCharType="end"/>
            </w:r>
          </w:hyperlink>
        </w:p>
        <w:p w14:paraId="0202DBB6" w14:textId="0CBF3C0A"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86" w:history="1">
            <w:r w:rsidR="00A754ED" w:rsidRPr="00B63215">
              <w:rPr>
                <w:rStyle w:val="Hipervnculo"/>
                <w:rFonts w:ascii="Palatino Linotype" w:eastAsia="Calibri" w:hAnsi="Palatino Linotype"/>
                <w:b/>
                <w:noProof/>
                <w:lang w:eastAsia="es-MX"/>
              </w:rPr>
              <w:t xml:space="preserve">PRIMERO. </w:t>
            </w:r>
            <w:r w:rsidR="00A754ED" w:rsidRPr="00B63215">
              <w:rPr>
                <w:rStyle w:val="Hipervnculo"/>
                <w:rFonts w:ascii="Palatino Linotype" w:hAnsi="Palatino Linotype"/>
                <w:b/>
                <w:noProof/>
              </w:rPr>
              <w:t>Competencia</w:t>
            </w:r>
            <w:r w:rsidR="00A754ED">
              <w:rPr>
                <w:noProof/>
                <w:webHidden/>
              </w:rPr>
              <w:tab/>
            </w:r>
            <w:r w:rsidR="00A754ED">
              <w:rPr>
                <w:noProof/>
                <w:webHidden/>
              </w:rPr>
              <w:fldChar w:fldCharType="begin"/>
            </w:r>
            <w:r w:rsidR="00A754ED">
              <w:rPr>
                <w:noProof/>
                <w:webHidden/>
              </w:rPr>
              <w:instrText xml:space="preserve"> PAGEREF _Toc215582986 \h </w:instrText>
            </w:r>
            <w:r w:rsidR="00A754ED">
              <w:rPr>
                <w:noProof/>
                <w:webHidden/>
              </w:rPr>
            </w:r>
            <w:r w:rsidR="00A754ED">
              <w:rPr>
                <w:noProof/>
                <w:webHidden/>
              </w:rPr>
              <w:fldChar w:fldCharType="separate"/>
            </w:r>
            <w:r w:rsidR="00DA6119">
              <w:rPr>
                <w:noProof/>
                <w:webHidden/>
              </w:rPr>
              <w:t>5</w:t>
            </w:r>
            <w:r w:rsidR="00A754ED">
              <w:rPr>
                <w:noProof/>
                <w:webHidden/>
              </w:rPr>
              <w:fldChar w:fldCharType="end"/>
            </w:r>
          </w:hyperlink>
        </w:p>
        <w:p w14:paraId="42B38ED0" w14:textId="110BC7EB"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87" w:history="1">
            <w:r w:rsidR="00A754ED" w:rsidRPr="00B63215">
              <w:rPr>
                <w:rStyle w:val="Hipervnculo"/>
                <w:rFonts w:ascii="Palatino Linotype" w:eastAsia="Calibri" w:hAnsi="Palatino Linotype"/>
                <w:b/>
                <w:noProof/>
                <w:lang w:eastAsia="es-MX"/>
              </w:rPr>
              <w:t>SEGUNDO. Causales de improcedencia y sobreseimiento</w:t>
            </w:r>
            <w:r w:rsidR="00A754ED">
              <w:rPr>
                <w:noProof/>
                <w:webHidden/>
              </w:rPr>
              <w:tab/>
            </w:r>
            <w:r w:rsidR="00A754ED">
              <w:rPr>
                <w:noProof/>
                <w:webHidden/>
              </w:rPr>
              <w:fldChar w:fldCharType="begin"/>
            </w:r>
            <w:r w:rsidR="00A754ED">
              <w:rPr>
                <w:noProof/>
                <w:webHidden/>
              </w:rPr>
              <w:instrText xml:space="preserve"> PAGEREF _Toc215582987 \h </w:instrText>
            </w:r>
            <w:r w:rsidR="00A754ED">
              <w:rPr>
                <w:noProof/>
                <w:webHidden/>
              </w:rPr>
            </w:r>
            <w:r w:rsidR="00A754ED">
              <w:rPr>
                <w:noProof/>
                <w:webHidden/>
              </w:rPr>
              <w:fldChar w:fldCharType="separate"/>
            </w:r>
            <w:r w:rsidR="00DA6119">
              <w:rPr>
                <w:noProof/>
                <w:webHidden/>
              </w:rPr>
              <w:t>5</w:t>
            </w:r>
            <w:r w:rsidR="00A754ED">
              <w:rPr>
                <w:noProof/>
                <w:webHidden/>
              </w:rPr>
              <w:fldChar w:fldCharType="end"/>
            </w:r>
          </w:hyperlink>
        </w:p>
        <w:p w14:paraId="7D7A9628" w14:textId="731AED10" w:rsidR="00A754ED"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5582988" w:history="1">
            <w:r w:rsidR="00A754ED" w:rsidRPr="00B63215">
              <w:rPr>
                <w:rStyle w:val="Hipervnculo"/>
                <w:rFonts w:ascii="Palatino Linotype" w:eastAsia="Calibri" w:hAnsi="Palatino Linotype" w:cs="Arial"/>
                <w:b/>
                <w:noProof/>
                <w:lang w:eastAsia="es-ES_tradnl"/>
              </w:rPr>
              <w:t>Causales de sobreseimiento</w:t>
            </w:r>
            <w:r w:rsidR="00A754ED">
              <w:rPr>
                <w:noProof/>
                <w:webHidden/>
              </w:rPr>
              <w:tab/>
            </w:r>
            <w:r w:rsidR="00A754ED">
              <w:rPr>
                <w:noProof/>
                <w:webHidden/>
              </w:rPr>
              <w:fldChar w:fldCharType="begin"/>
            </w:r>
            <w:r w:rsidR="00A754ED">
              <w:rPr>
                <w:noProof/>
                <w:webHidden/>
              </w:rPr>
              <w:instrText xml:space="preserve"> PAGEREF _Toc215582988 \h </w:instrText>
            </w:r>
            <w:r w:rsidR="00A754ED">
              <w:rPr>
                <w:noProof/>
                <w:webHidden/>
              </w:rPr>
            </w:r>
            <w:r w:rsidR="00A754ED">
              <w:rPr>
                <w:noProof/>
                <w:webHidden/>
              </w:rPr>
              <w:fldChar w:fldCharType="separate"/>
            </w:r>
            <w:r w:rsidR="00DA6119">
              <w:rPr>
                <w:noProof/>
                <w:webHidden/>
              </w:rPr>
              <w:t>6</w:t>
            </w:r>
            <w:r w:rsidR="00A754ED">
              <w:rPr>
                <w:noProof/>
                <w:webHidden/>
              </w:rPr>
              <w:fldChar w:fldCharType="end"/>
            </w:r>
          </w:hyperlink>
        </w:p>
        <w:p w14:paraId="62DF7025" w14:textId="4F0A2E2E"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89" w:history="1">
            <w:r w:rsidR="00A754ED" w:rsidRPr="00B63215">
              <w:rPr>
                <w:rStyle w:val="Hipervnculo"/>
                <w:rFonts w:ascii="Palatino Linotype" w:eastAsia="Calibri" w:hAnsi="Palatino Linotype"/>
                <w:b/>
                <w:noProof/>
                <w:lang w:eastAsia="es-ES_tradnl"/>
              </w:rPr>
              <w:t>TERCERO. Determinación de la Controversia</w:t>
            </w:r>
            <w:r w:rsidR="00A754ED">
              <w:rPr>
                <w:noProof/>
                <w:webHidden/>
              </w:rPr>
              <w:tab/>
            </w:r>
            <w:r w:rsidR="00A754ED">
              <w:rPr>
                <w:noProof/>
                <w:webHidden/>
              </w:rPr>
              <w:fldChar w:fldCharType="begin"/>
            </w:r>
            <w:r w:rsidR="00A754ED">
              <w:rPr>
                <w:noProof/>
                <w:webHidden/>
              </w:rPr>
              <w:instrText xml:space="preserve"> PAGEREF _Toc215582989 \h </w:instrText>
            </w:r>
            <w:r w:rsidR="00A754ED">
              <w:rPr>
                <w:noProof/>
                <w:webHidden/>
              </w:rPr>
            </w:r>
            <w:r w:rsidR="00A754ED">
              <w:rPr>
                <w:noProof/>
                <w:webHidden/>
              </w:rPr>
              <w:fldChar w:fldCharType="separate"/>
            </w:r>
            <w:r w:rsidR="00DA6119">
              <w:rPr>
                <w:noProof/>
                <w:webHidden/>
              </w:rPr>
              <w:t>6</w:t>
            </w:r>
            <w:r w:rsidR="00A754ED">
              <w:rPr>
                <w:noProof/>
                <w:webHidden/>
              </w:rPr>
              <w:fldChar w:fldCharType="end"/>
            </w:r>
          </w:hyperlink>
        </w:p>
        <w:p w14:paraId="30DE1FC6" w14:textId="0394C6E1"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90" w:history="1">
            <w:r w:rsidR="00A754ED" w:rsidRPr="00B63215">
              <w:rPr>
                <w:rStyle w:val="Hipervnculo"/>
                <w:rFonts w:ascii="Palatino Linotype" w:eastAsia="Calibri" w:hAnsi="Palatino Linotype" w:cs="Arial"/>
                <w:b/>
                <w:noProof/>
                <w:lang w:eastAsia="es-ES_tradnl"/>
              </w:rPr>
              <w:t>CUARTO. Marco normativo aplicable en materia de transparencia y acceso a la información pública</w:t>
            </w:r>
            <w:r w:rsidR="00A754ED">
              <w:rPr>
                <w:noProof/>
                <w:webHidden/>
              </w:rPr>
              <w:tab/>
            </w:r>
            <w:r w:rsidR="00A754ED">
              <w:rPr>
                <w:noProof/>
                <w:webHidden/>
              </w:rPr>
              <w:fldChar w:fldCharType="begin"/>
            </w:r>
            <w:r w:rsidR="00A754ED">
              <w:rPr>
                <w:noProof/>
                <w:webHidden/>
              </w:rPr>
              <w:instrText xml:space="preserve"> PAGEREF _Toc215582990 \h </w:instrText>
            </w:r>
            <w:r w:rsidR="00A754ED">
              <w:rPr>
                <w:noProof/>
                <w:webHidden/>
              </w:rPr>
            </w:r>
            <w:r w:rsidR="00A754ED">
              <w:rPr>
                <w:noProof/>
                <w:webHidden/>
              </w:rPr>
              <w:fldChar w:fldCharType="separate"/>
            </w:r>
            <w:r w:rsidR="00DA6119">
              <w:rPr>
                <w:noProof/>
                <w:webHidden/>
              </w:rPr>
              <w:t>7</w:t>
            </w:r>
            <w:r w:rsidR="00A754ED">
              <w:rPr>
                <w:noProof/>
                <w:webHidden/>
              </w:rPr>
              <w:fldChar w:fldCharType="end"/>
            </w:r>
          </w:hyperlink>
        </w:p>
        <w:p w14:paraId="5475AAB9" w14:textId="49DEA6D1"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91" w:history="1">
            <w:r w:rsidR="00A754ED" w:rsidRPr="00B63215">
              <w:rPr>
                <w:rStyle w:val="Hipervnculo"/>
                <w:rFonts w:ascii="Palatino Linotype" w:eastAsia="Calibri" w:hAnsi="Palatino Linotype"/>
                <w:b/>
                <w:noProof/>
                <w:lang w:eastAsia="es-ES_tradnl"/>
              </w:rPr>
              <w:t>QUINTO. Estudio de Fondo</w:t>
            </w:r>
            <w:r w:rsidR="00A754ED">
              <w:rPr>
                <w:noProof/>
                <w:webHidden/>
              </w:rPr>
              <w:tab/>
            </w:r>
            <w:r w:rsidR="00A754ED">
              <w:rPr>
                <w:noProof/>
                <w:webHidden/>
              </w:rPr>
              <w:fldChar w:fldCharType="begin"/>
            </w:r>
            <w:r w:rsidR="00A754ED">
              <w:rPr>
                <w:noProof/>
                <w:webHidden/>
              </w:rPr>
              <w:instrText xml:space="preserve"> PAGEREF _Toc215582991 \h </w:instrText>
            </w:r>
            <w:r w:rsidR="00A754ED">
              <w:rPr>
                <w:noProof/>
                <w:webHidden/>
              </w:rPr>
            </w:r>
            <w:r w:rsidR="00A754ED">
              <w:rPr>
                <w:noProof/>
                <w:webHidden/>
              </w:rPr>
              <w:fldChar w:fldCharType="separate"/>
            </w:r>
            <w:r w:rsidR="00DA6119">
              <w:rPr>
                <w:noProof/>
                <w:webHidden/>
              </w:rPr>
              <w:t>8</w:t>
            </w:r>
            <w:r w:rsidR="00A754ED">
              <w:rPr>
                <w:noProof/>
                <w:webHidden/>
              </w:rPr>
              <w:fldChar w:fldCharType="end"/>
            </w:r>
          </w:hyperlink>
        </w:p>
        <w:p w14:paraId="41235319" w14:textId="0853A958" w:rsidR="00A754ED"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582992" w:history="1">
            <w:r w:rsidR="00A754ED" w:rsidRPr="00B63215">
              <w:rPr>
                <w:rStyle w:val="Hipervnculo"/>
                <w:rFonts w:ascii="Palatino Linotype" w:hAnsi="Palatino Linotype"/>
                <w:b/>
                <w:noProof/>
              </w:rPr>
              <w:t>SEXTO. Decisión</w:t>
            </w:r>
            <w:r w:rsidR="00A754ED">
              <w:rPr>
                <w:noProof/>
                <w:webHidden/>
              </w:rPr>
              <w:tab/>
            </w:r>
            <w:r w:rsidR="00A754ED">
              <w:rPr>
                <w:noProof/>
                <w:webHidden/>
              </w:rPr>
              <w:fldChar w:fldCharType="begin"/>
            </w:r>
            <w:r w:rsidR="00A754ED">
              <w:rPr>
                <w:noProof/>
                <w:webHidden/>
              </w:rPr>
              <w:instrText xml:space="preserve"> PAGEREF _Toc215582992 \h </w:instrText>
            </w:r>
            <w:r w:rsidR="00A754ED">
              <w:rPr>
                <w:noProof/>
                <w:webHidden/>
              </w:rPr>
            </w:r>
            <w:r w:rsidR="00A754ED">
              <w:rPr>
                <w:noProof/>
                <w:webHidden/>
              </w:rPr>
              <w:fldChar w:fldCharType="separate"/>
            </w:r>
            <w:r w:rsidR="00DA6119">
              <w:rPr>
                <w:noProof/>
                <w:webHidden/>
              </w:rPr>
              <w:t>27</w:t>
            </w:r>
            <w:r w:rsidR="00A754ED">
              <w:rPr>
                <w:noProof/>
                <w:webHidden/>
              </w:rPr>
              <w:fldChar w:fldCharType="end"/>
            </w:r>
          </w:hyperlink>
        </w:p>
        <w:p w14:paraId="0337C266" w14:textId="4170E417" w:rsidR="00A754ED"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5582993" w:history="1">
            <w:r w:rsidR="00A754ED" w:rsidRPr="00B63215">
              <w:rPr>
                <w:rStyle w:val="Hipervnculo"/>
                <w:rFonts w:ascii="Palatino Linotype" w:eastAsia="Calibri" w:hAnsi="Palatino Linotype"/>
                <w:b/>
                <w:noProof/>
                <w:lang w:eastAsia="en-US"/>
              </w:rPr>
              <w:t>R E S U E L V E</w:t>
            </w:r>
            <w:r w:rsidR="00A754ED">
              <w:rPr>
                <w:noProof/>
                <w:webHidden/>
              </w:rPr>
              <w:tab/>
            </w:r>
            <w:r w:rsidR="00A754ED">
              <w:rPr>
                <w:noProof/>
                <w:webHidden/>
              </w:rPr>
              <w:fldChar w:fldCharType="begin"/>
            </w:r>
            <w:r w:rsidR="00A754ED">
              <w:rPr>
                <w:noProof/>
                <w:webHidden/>
              </w:rPr>
              <w:instrText xml:space="preserve"> PAGEREF _Toc215582993 \h </w:instrText>
            </w:r>
            <w:r w:rsidR="00A754ED">
              <w:rPr>
                <w:noProof/>
                <w:webHidden/>
              </w:rPr>
            </w:r>
            <w:r w:rsidR="00A754ED">
              <w:rPr>
                <w:noProof/>
                <w:webHidden/>
              </w:rPr>
              <w:fldChar w:fldCharType="separate"/>
            </w:r>
            <w:r w:rsidR="00DA6119">
              <w:rPr>
                <w:noProof/>
                <w:webHidden/>
              </w:rPr>
              <w:t>27</w:t>
            </w:r>
            <w:r w:rsidR="00A754ED">
              <w:rPr>
                <w:noProof/>
                <w:webHidden/>
              </w:rPr>
              <w:fldChar w:fldCharType="end"/>
            </w:r>
          </w:hyperlink>
        </w:p>
        <w:p w14:paraId="133ACF76" w14:textId="0D296E24" w:rsidR="00342378" w:rsidRPr="00FB571A" w:rsidRDefault="00342378" w:rsidP="00903F17">
          <w:pPr>
            <w:spacing w:line="360" w:lineRule="auto"/>
          </w:pPr>
          <w:r w:rsidRPr="00FB571A">
            <w:rPr>
              <w:rFonts w:ascii="Palatino Linotype" w:hAnsi="Palatino Linotype"/>
              <w:b/>
              <w:bCs/>
              <w:sz w:val="22"/>
              <w:szCs w:val="22"/>
              <w:lang w:val="es-ES"/>
            </w:rPr>
            <w:fldChar w:fldCharType="end"/>
          </w:r>
        </w:p>
      </w:sdtContent>
    </w:sdt>
    <w:p w14:paraId="52358BD4" w14:textId="77777777" w:rsidR="00ED76AF" w:rsidRPr="00FB571A" w:rsidRDefault="00ED76AF" w:rsidP="00903F17">
      <w:pPr>
        <w:tabs>
          <w:tab w:val="left" w:pos="3969"/>
        </w:tabs>
        <w:spacing w:line="360" w:lineRule="auto"/>
        <w:contextualSpacing/>
        <w:jc w:val="both"/>
        <w:rPr>
          <w:rFonts w:ascii="Palatino Linotype" w:hAnsi="Palatino Linotype" w:cs="Tahoma"/>
          <w:bCs/>
          <w:sz w:val="22"/>
          <w:szCs w:val="22"/>
        </w:rPr>
      </w:pPr>
    </w:p>
    <w:p w14:paraId="6B421310" w14:textId="22EB18B4" w:rsidR="00A754ED" w:rsidRDefault="00A754ED">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6A6B6AA0" w14:textId="2968552F" w:rsidR="00E35DF9" w:rsidRPr="00FB571A" w:rsidRDefault="00E35DF9" w:rsidP="00903F17">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F72546">
        <w:rPr>
          <w:rFonts w:ascii="Palatino Linotype" w:hAnsi="Palatino Linotype" w:cs="Tahoma"/>
          <w:bCs/>
          <w:sz w:val="22"/>
          <w:szCs w:val="22"/>
        </w:rPr>
        <w:t>diez de diciembre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5E67B21" w14:textId="77777777" w:rsidR="00E35DF9" w:rsidRPr="00FB571A" w:rsidRDefault="00E35DF9" w:rsidP="00903F17">
      <w:pPr>
        <w:spacing w:line="360" w:lineRule="auto"/>
        <w:contextualSpacing/>
        <w:jc w:val="both"/>
        <w:rPr>
          <w:rFonts w:ascii="Palatino Linotype" w:hAnsi="Palatino Linotype" w:cs="Tahoma"/>
          <w:bCs/>
          <w:sz w:val="22"/>
          <w:szCs w:val="22"/>
        </w:rPr>
      </w:pPr>
    </w:p>
    <w:p w14:paraId="660E7641" w14:textId="3EDC81DD" w:rsidR="00E35DF9" w:rsidRPr="00FB571A" w:rsidRDefault="00E35DF9" w:rsidP="00903F17">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F72546" w:rsidRPr="00DB1EB9">
        <w:rPr>
          <w:rFonts w:ascii="Palatino Linotype" w:hAnsi="Palatino Linotype" w:cs="Tahoma"/>
          <w:b/>
          <w:color w:val="0D0D0D" w:themeColor="text1" w:themeTint="F2"/>
          <w:sz w:val="22"/>
          <w:szCs w:val="22"/>
        </w:rPr>
        <w:t>12516</w:t>
      </w:r>
      <w:r w:rsidR="0089175F" w:rsidRPr="00DB1EB9">
        <w:rPr>
          <w:rFonts w:ascii="Palatino Linotype" w:hAnsi="Palatino Linotype" w:cs="Tahoma"/>
          <w:b/>
          <w:color w:val="0D0D0D" w:themeColor="text1" w:themeTint="F2"/>
          <w:sz w:val="22"/>
          <w:szCs w:val="22"/>
        </w:rPr>
        <w:t>/INFOEM/IP/RR/202</w:t>
      </w:r>
      <w:r w:rsidR="00CD10BF" w:rsidRPr="00DB1EB9">
        <w:rPr>
          <w:rFonts w:ascii="Palatino Linotype" w:hAnsi="Palatino Linotype" w:cs="Tahoma"/>
          <w:b/>
          <w:color w:val="0D0D0D" w:themeColor="text1" w:themeTint="F2"/>
          <w:sz w:val="22"/>
          <w:szCs w:val="22"/>
        </w:rPr>
        <w:t>5</w:t>
      </w:r>
      <w:r w:rsidR="0089175F" w:rsidRPr="00DB1EB9">
        <w:rPr>
          <w:rFonts w:ascii="Palatino Linotype" w:hAnsi="Palatino Linotype" w:cs="Tahoma"/>
          <w:b/>
          <w:color w:val="0D0D0D" w:themeColor="text1" w:themeTint="F2"/>
          <w:sz w:val="22"/>
          <w:szCs w:val="22"/>
        </w:rPr>
        <w:t>,</w:t>
      </w:r>
      <w:r w:rsidRPr="00903F17">
        <w:rPr>
          <w:rFonts w:ascii="Palatino Linotype" w:hAnsi="Palatino Linotype" w:cs="Tahoma"/>
          <w:color w:val="0D0D0D" w:themeColor="text1" w:themeTint="F2"/>
          <w:sz w:val="22"/>
          <w:szCs w:val="22"/>
        </w:rPr>
        <w:t xml:space="preserve"> interpuesto</w:t>
      </w:r>
      <w:r w:rsidR="00C74F5F" w:rsidRPr="00903F17">
        <w:rPr>
          <w:rFonts w:ascii="Palatino Linotype" w:hAnsi="Palatino Linotype" w:cs="Tahoma"/>
          <w:color w:val="0D0D0D" w:themeColor="text1" w:themeTint="F2"/>
          <w:sz w:val="22"/>
          <w:szCs w:val="22"/>
        </w:rPr>
        <w:t xml:space="preserve"> </w:t>
      </w:r>
      <w:r w:rsidR="007E4927" w:rsidRPr="00903F17">
        <w:rPr>
          <w:rFonts w:ascii="Palatino Linotype" w:hAnsi="Palatino Linotype" w:cs="Tahoma"/>
          <w:color w:val="0D0D0D" w:themeColor="text1" w:themeTint="F2"/>
          <w:sz w:val="22"/>
          <w:szCs w:val="22"/>
        </w:rPr>
        <w:t>por</w:t>
      </w:r>
      <w:r w:rsidR="00383BDB" w:rsidRPr="00903F17">
        <w:rPr>
          <w:rFonts w:ascii="Palatino Linotype" w:hAnsi="Palatino Linotype" w:cs="Tahoma"/>
          <w:color w:val="0D0D0D" w:themeColor="text1" w:themeTint="F2"/>
          <w:sz w:val="22"/>
          <w:szCs w:val="22"/>
        </w:rPr>
        <w:t xml:space="preserve"> </w:t>
      </w:r>
      <w:r w:rsidR="006A2F15">
        <w:rPr>
          <w:rFonts w:ascii="Palatino Linotype" w:hAnsi="Palatino Linotype" w:cs="Tahoma"/>
          <w:color w:val="0D0D0D" w:themeColor="text1" w:themeTint="F2"/>
          <w:sz w:val="22"/>
          <w:szCs w:val="22"/>
        </w:rPr>
        <w:t>la persona</w:t>
      </w:r>
      <w:r w:rsidR="00F770EE" w:rsidRPr="00903F17">
        <w:rPr>
          <w:rFonts w:ascii="Palatino Linotype" w:hAnsi="Palatino Linotype" w:cs="Tahoma"/>
          <w:color w:val="0D0D0D" w:themeColor="text1" w:themeTint="F2"/>
          <w:sz w:val="22"/>
          <w:szCs w:val="22"/>
        </w:rPr>
        <w:t xml:space="preserve"> </w:t>
      </w:r>
      <w:r w:rsidRPr="00903F17">
        <w:rPr>
          <w:rFonts w:ascii="Palatino Linotype" w:hAnsi="Palatino Linotype" w:cs="Tahoma"/>
          <w:color w:val="0D0D0D" w:themeColor="text1" w:themeTint="F2"/>
          <w:sz w:val="22"/>
          <w:szCs w:val="22"/>
        </w:rPr>
        <w:t>Recurrente o Particular, en contra de la respuesta del Sujeto Obligado</w:t>
      </w:r>
      <w:r w:rsidRPr="00903F17">
        <w:rPr>
          <w:rFonts w:ascii="Palatino Linotype" w:hAnsi="Palatino Linotype"/>
          <w:sz w:val="22"/>
          <w:szCs w:val="22"/>
        </w:rPr>
        <w:t xml:space="preserve"> </w:t>
      </w:r>
      <w:r w:rsidR="00F72546" w:rsidRPr="00DB1EB9">
        <w:rPr>
          <w:rFonts w:ascii="Palatino Linotype" w:eastAsia="Calibri" w:hAnsi="Palatino Linotype" w:cs="Tahoma"/>
          <w:b/>
          <w:sz w:val="22"/>
          <w:szCs w:val="22"/>
          <w:lang w:eastAsia="en-US"/>
        </w:rPr>
        <w:t>Ayuntamiento de Cocotitlán</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53DB9093" w14:textId="77777777" w:rsidR="00BB1F81" w:rsidRPr="00FB571A" w:rsidRDefault="00BB1F81" w:rsidP="00903F17">
      <w:pPr>
        <w:spacing w:line="360" w:lineRule="auto"/>
        <w:contextualSpacing/>
        <w:jc w:val="both"/>
        <w:rPr>
          <w:rFonts w:ascii="Palatino Linotype" w:hAnsi="Palatino Linotype" w:cs="Tahoma"/>
          <w:b/>
          <w:color w:val="0D0D0D" w:themeColor="text1" w:themeTint="F2"/>
          <w:sz w:val="18"/>
          <w:szCs w:val="22"/>
        </w:rPr>
      </w:pPr>
    </w:p>
    <w:p w14:paraId="29464600" w14:textId="77777777" w:rsidR="00E35DF9" w:rsidRPr="00FB571A" w:rsidRDefault="00E35DF9" w:rsidP="00903F17">
      <w:pPr>
        <w:pStyle w:val="Ttulo1"/>
        <w:spacing w:before="0" w:line="360" w:lineRule="auto"/>
        <w:jc w:val="center"/>
        <w:rPr>
          <w:rFonts w:ascii="Palatino Linotype" w:hAnsi="Palatino Linotype"/>
          <w:b/>
          <w:sz w:val="22"/>
          <w:szCs w:val="22"/>
        </w:rPr>
      </w:pPr>
      <w:bookmarkStart w:id="1" w:name="_Toc215582977"/>
      <w:r w:rsidRPr="00FB571A">
        <w:rPr>
          <w:rFonts w:ascii="Palatino Linotype" w:hAnsi="Palatino Linotype"/>
          <w:b/>
          <w:color w:val="auto"/>
          <w:sz w:val="22"/>
          <w:szCs w:val="22"/>
        </w:rPr>
        <w:t>A N T E C E D E N T E S</w:t>
      </w:r>
      <w:bookmarkEnd w:id="1"/>
    </w:p>
    <w:p w14:paraId="07F82560" w14:textId="77777777" w:rsidR="001E7B8B" w:rsidRPr="00FB571A" w:rsidRDefault="001E7B8B" w:rsidP="00903F17">
      <w:pPr>
        <w:pStyle w:val="Prrafodelista"/>
        <w:tabs>
          <w:tab w:val="left" w:pos="567"/>
        </w:tabs>
        <w:spacing w:line="360" w:lineRule="auto"/>
        <w:ind w:left="0"/>
        <w:jc w:val="both"/>
        <w:rPr>
          <w:rFonts w:ascii="Palatino Linotype" w:hAnsi="Palatino Linotype" w:cs="Tahoma"/>
          <w:b/>
          <w:szCs w:val="22"/>
        </w:rPr>
      </w:pPr>
    </w:p>
    <w:p w14:paraId="55BE9044" w14:textId="77777777" w:rsidR="00E35DF9" w:rsidRPr="00DB28B1" w:rsidRDefault="00E35DF9" w:rsidP="00903F17">
      <w:pPr>
        <w:pStyle w:val="Ttulo2"/>
        <w:spacing w:before="0" w:line="360" w:lineRule="auto"/>
        <w:rPr>
          <w:rFonts w:ascii="Palatino Linotype" w:hAnsi="Palatino Linotype"/>
          <w:b/>
          <w:color w:val="auto"/>
          <w:sz w:val="22"/>
          <w:szCs w:val="22"/>
        </w:rPr>
      </w:pPr>
      <w:bookmarkStart w:id="2" w:name="_Toc215582978"/>
      <w:r w:rsidRPr="00DB28B1">
        <w:rPr>
          <w:rFonts w:ascii="Palatino Linotype" w:hAnsi="Palatino Linotype"/>
          <w:b/>
          <w:color w:val="auto"/>
          <w:sz w:val="22"/>
          <w:szCs w:val="22"/>
        </w:rPr>
        <w:t>I. Presentación de la solicitud de información</w:t>
      </w:r>
      <w:bookmarkEnd w:id="2"/>
    </w:p>
    <w:p w14:paraId="0AB169FB" w14:textId="77777777" w:rsidR="00E35DF9" w:rsidRPr="00FB571A" w:rsidRDefault="00E35DF9" w:rsidP="00903F17">
      <w:pPr>
        <w:pStyle w:val="Prrafodelista"/>
        <w:tabs>
          <w:tab w:val="left" w:pos="567"/>
        </w:tabs>
        <w:spacing w:line="360" w:lineRule="auto"/>
        <w:ind w:left="0"/>
        <w:jc w:val="both"/>
        <w:rPr>
          <w:rFonts w:ascii="Palatino Linotype" w:hAnsi="Palatino Linotype" w:cs="Tahoma"/>
          <w:b/>
          <w:sz w:val="18"/>
          <w:szCs w:val="22"/>
        </w:rPr>
      </w:pPr>
    </w:p>
    <w:p w14:paraId="533B7D87" w14:textId="79849B0E" w:rsidR="00D807FB" w:rsidRDefault="00BB1F81" w:rsidP="00903F17">
      <w:pPr>
        <w:widowControl w:val="0"/>
        <w:tabs>
          <w:tab w:val="left" w:pos="567"/>
        </w:tabs>
        <w:spacing w:line="360" w:lineRule="auto"/>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F72546">
        <w:rPr>
          <w:rFonts w:ascii="Palatino Linotype" w:hAnsi="Palatino Linotype" w:cs="Tahoma"/>
          <w:sz w:val="22"/>
          <w:szCs w:val="22"/>
        </w:rPr>
        <w:t>primero de octubre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F72546">
        <w:rPr>
          <w:rFonts w:ascii="Palatino Linotype" w:hAnsi="Palatino Linotype" w:cs="Tahoma"/>
          <w:sz w:val="22"/>
          <w:szCs w:val="22"/>
        </w:rPr>
        <w:t>Ayuntamiento de Cocotitlán</w:t>
      </w:r>
      <w:r w:rsidR="00E35DF9" w:rsidRPr="00903F17">
        <w:rPr>
          <w:rFonts w:ascii="Palatino Linotype" w:hAnsi="Palatino Linotype" w:cs="Tahoma"/>
          <w:sz w:val="22"/>
          <w:szCs w:val="22"/>
        </w:rPr>
        <w:t xml:space="preserve">, </w:t>
      </w:r>
      <w:r w:rsidR="003A12F1" w:rsidRPr="00903F17">
        <w:rPr>
          <w:rFonts w:ascii="Palatino Linotype" w:hAnsi="Palatino Linotype" w:cs="Tahoma"/>
          <w:sz w:val="22"/>
          <w:szCs w:val="22"/>
        </w:rPr>
        <w:t xml:space="preserve">misma que fue registrada con el número de folio </w:t>
      </w:r>
      <w:r w:rsidR="00F72546" w:rsidRPr="00F72546">
        <w:rPr>
          <w:rFonts w:ascii="Palatino Linotype" w:hAnsi="Palatino Linotype" w:cs="Tahoma"/>
          <w:sz w:val="22"/>
          <w:szCs w:val="22"/>
        </w:rPr>
        <w:t>00416/COCOTIT/IP/2025</w:t>
      </w:r>
      <w:r w:rsidR="003A12F1" w:rsidRPr="00903F17">
        <w:rPr>
          <w:rFonts w:ascii="Palatino Linotype" w:hAnsi="Palatino Linotype" w:cs="Tahoma"/>
          <w:sz w:val="22"/>
          <w:szCs w:val="22"/>
        </w:rPr>
        <w:t>,</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C4B787D" w14:textId="77777777" w:rsidR="00634E2D" w:rsidRPr="00FB571A" w:rsidRDefault="00634E2D" w:rsidP="00903F17">
      <w:pPr>
        <w:tabs>
          <w:tab w:val="left" w:pos="567"/>
        </w:tabs>
        <w:spacing w:line="360" w:lineRule="auto"/>
        <w:contextualSpacing/>
        <w:jc w:val="both"/>
        <w:rPr>
          <w:rFonts w:ascii="Palatino Linotype" w:hAnsi="Palatino Linotype" w:cs="Tahoma"/>
          <w:sz w:val="22"/>
        </w:rPr>
      </w:pPr>
    </w:p>
    <w:p w14:paraId="665A2215" w14:textId="77777777" w:rsidR="00D807FB" w:rsidRPr="00FB571A" w:rsidRDefault="00D807FB" w:rsidP="00903F17">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ADA7531" w14:textId="59FE0C3B" w:rsidR="000F2B83" w:rsidRPr="00FB571A" w:rsidRDefault="004B553D" w:rsidP="00F72546">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F72546" w:rsidRPr="00F72546">
        <w:rPr>
          <w:rFonts w:ascii="Palatino Linotype" w:hAnsi="Palatino Linotype"/>
          <w:i/>
          <w:iCs/>
          <w:color w:val="000000"/>
          <w:sz w:val="20"/>
          <w:szCs w:val="20"/>
        </w:rPr>
        <w:t xml:space="preserve">Solicito los recibos de </w:t>
      </w:r>
      <w:proofErr w:type="spellStart"/>
      <w:r w:rsidR="00F72546" w:rsidRPr="00F72546">
        <w:rPr>
          <w:rFonts w:ascii="Palatino Linotype" w:hAnsi="Palatino Linotype"/>
          <w:i/>
          <w:iCs/>
          <w:color w:val="000000"/>
          <w:sz w:val="20"/>
          <w:szCs w:val="20"/>
        </w:rPr>
        <w:t>nomina</w:t>
      </w:r>
      <w:proofErr w:type="spellEnd"/>
      <w:r w:rsidR="00F72546" w:rsidRPr="00F72546">
        <w:rPr>
          <w:rFonts w:ascii="Palatino Linotype" w:hAnsi="Palatino Linotype"/>
          <w:i/>
          <w:iCs/>
          <w:color w:val="000000"/>
          <w:sz w:val="20"/>
          <w:szCs w:val="20"/>
        </w:rPr>
        <w:t xml:space="preserve"> de todos los regidores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19CEB26B" w14:textId="77777777" w:rsidR="007E4927" w:rsidRPr="00FB571A" w:rsidRDefault="007E4927" w:rsidP="00903F17">
      <w:pPr>
        <w:pStyle w:val="Prrafodelista"/>
        <w:tabs>
          <w:tab w:val="left" w:pos="567"/>
        </w:tabs>
        <w:spacing w:line="360" w:lineRule="auto"/>
        <w:ind w:left="567" w:right="539"/>
        <w:jc w:val="both"/>
        <w:rPr>
          <w:rFonts w:ascii="Palatino Linotype" w:hAnsi="Palatino Linotype"/>
          <w:i/>
          <w:iCs/>
          <w:color w:val="000000"/>
          <w:sz w:val="20"/>
          <w:szCs w:val="20"/>
        </w:rPr>
      </w:pPr>
    </w:p>
    <w:p w14:paraId="299F6FA4" w14:textId="062F9B0F" w:rsidR="00E35DF9" w:rsidRDefault="00E35DF9" w:rsidP="00903F1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6B5C2FDD" w14:textId="77777777" w:rsidR="00F72546" w:rsidRDefault="00F72546" w:rsidP="00903F17">
      <w:pPr>
        <w:pStyle w:val="Prrafodelista"/>
        <w:tabs>
          <w:tab w:val="left" w:pos="567"/>
        </w:tabs>
        <w:spacing w:line="360" w:lineRule="auto"/>
        <w:ind w:left="567" w:right="539"/>
        <w:jc w:val="both"/>
        <w:rPr>
          <w:rFonts w:ascii="Palatino Linotype" w:hAnsi="Palatino Linotype" w:cs="Tahoma"/>
          <w:i/>
          <w:sz w:val="20"/>
          <w:szCs w:val="22"/>
        </w:rPr>
      </w:pPr>
    </w:p>
    <w:p w14:paraId="648AA5F7" w14:textId="77777777" w:rsidR="00681D84" w:rsidRPr="00FB571A" w:rsidRDefault="00954EDD" w:rsidP="00903F17">
      <w:pPr>
        <w:pStyle w:val="Ttulo2"/>
        <w:spacing w:before="0" w:line="360" w:lineRule="auto"/>
      </w:pPr>
      <w:bookmarkStart w:id="3" w:name="_Toc215582979"/>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360DE832" w14:textId="77777777" w:rsidR="00E0128F" w:rsidRPr="00FB571A" w:rsidRDefault="00E0128F" w:rsidP="00903F17">
      <w:pPr>
        <w:pStyle w:val="Prrafodelista"/>
        <w:tabs>
          <w:tab w:val="left" w:pos="567"/>
        </w:tabs>
        <w:spacing w:line="360" w:lineRule="auto"/>
        <w:ind w:left="0"/>
        <w:jc w:val="both"/>
        <w:rPr>
          <w:rFonts w:ascii="Palatino Linotype" w:hAnsi="Palatino Linotype" w:cs="Tahoma"/>
          <w:b/>
          <w:sz w:val="20"/>
          <w:szCs w:val="22"/>
        </w:rPr>
      </w:pPr>
    </w:p>
    <w:p w14:paraId="1DE1DD1B" w14:textId="0A4DC1FB" w:rsidR="00A3770E" w:rsidRDefault="00BB1F81" w:rsidP="00F72546">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w:t>
      </w:r>
      <w:r w:rsidR="00681D84" w:rsidRPr="00FB571A">
        <w:rPr>
          <w:rFonts w:ascii="Palatino Linotype" w:hAnsi="Palatino Linotype" w:cs="Tahoma"/>
          <w:sz w:val="22"/>
          <w:szCs w:val="22"/>
        </w:rPr>
        <w:t xml:space="preserve"> </w:t>
      </w:r>
      <w:r w:rsidR="00F72546">
        <w:rPr>
          <w:rFonts w:ascii="Palatino Linotype" w:hAnsi="Palatino Linotype" w:cs="Tahoma"/>
          <w:sz w:val="22"/>
          <w:szCs w:val="22"/>
        </w:rPr>
        <w:t>veintitrés de octubre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w:t>
      </w:r>
      <w:r w:rsidR="00F72546">
        <w:rPr>
          <w:rFonts w:ascii="Palatino Linotype" w:hAnsi="Palatino Linotype" w:cs="Tahoma"/>
          <w:sz w:val="22"/>
          <w:szCs w:val="22"/>
        </w:rPr>
        <w:t>en la que adjuntó un oficio suscrito por el Tesorero Municipal en el que manifestó remitir copia de los recibos de nómina en versión pública.</w:t>
      </w:r>
    </w:p>
    <w:p w14:paraId="32C0B086" w14:textId="77777777" w:rsidR="006A2F15" w:rsidRPr="00A3770E" w:rsidRDefault="006A2F15" w:rsidP="00F72546">
      <w:pPr>
        <w:autoSpaceDE w:val="0"/>
        <w:autoSpaceDN w:val="0"/>
        <w:adjustRightInd w:val="0"/>
        <w:spacing w:line="360" w:lineRule="auto"/>
        <w:contextualSpacing/>
        <w:jc w:val="both"/>
        <w:rPr>
          <w:rFonts w:ascii="Palatino Linotype" w:hAnsi="Palatino Linotype" w:cs="Tahoma"/>
          <w:sz w:val="22"/>
          <w:szCs w:val="22"/>
        </w:rPr>
      </w:pPr>
    </w:p>
    <w:p w14:paraId="7CEC0CA0" w14:textId="77777777" w:rsidR="001A412B" w:rsidRPr="00FB571A" w:rsidRDefault="007812D1" w:rsidP="00903F17">
      <w:pPr>
        <w:pStyle w:val="Ttulo2"/>
        <w:spacing w:before="0" w:line="360" w:lineRule="auto"/>
        <w:rPr>
          <w:rFonts w:ascii="Palatino Linotype" w:hAnsi="Palatino Linotype" w:cs="Tahoma"/>
          <w:b/>
          <w:color w:val="auto"/>
          <w:sz w:val="22"/>
          <w:szCs w:val="22"/>
        </w:rPr>
      </w:pPr>
      <w:bookmarkStart w:id="4" w:name="_Toc215582980"/>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06AD62B2" w14:textId="77777777" w:rsidR="00F87649" w:rsidRPr="00FB571A" w:rsidRDefault="00F87649" w:rsidP="00903F17">
      <w:pPr>
        <w:autoSpaceDE w:val="0"/>
        <w:autoSpaceDN w:val="0"/>
        <w:adjustRightInd w:val="0"/>
        <w:spacing w:line="360" w:lineRule="auto"/>
        <w:contextualSpacing/>
        <w:jc w:val="both"/>
        <w:rPr>
          <w:rFonts w:ascii="Palatino Linotype" w:hAnsi="Palatino Linotype" w:cs="Tahoma"/>
          <w:b/>
          <w:sz w:val="18"/>
          <w:szCs w:val="22"/>
        </w:rPr>
      </w:pPr>
    </w:p>
    <w:p w14:paraId="44AFF0D9" w14:textId="050749D1" w:rsidR="009A7587" w:rsidRPr="00FB571A" w:rsidRDefault="009A7587" w:rsidP="00903F17">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F72546">
        <w:rPr>
          <w:rFonts w:ascii="Palatino Linotype" w:hAnsi="Palatino Linotype" w:cs="Tahoma"/>
          <w:sz w:val="22"/>
          <w:szCs w:val="22"/>
        </w:rPr>
        <w:t>treinta de octubre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2CB798CA" w14:textId="77777777" w:rsidR="00AB6595" w:rsidRPr="00FB571A" w:rsidRDefault="00AB6595" w:rsidP="00903F17">
      <w:pPr>
        <w:tabs>
          <w:tab w:val="left" w:pos="4995"/>
        </w:tabs>
        <w:spacing w:line="360" w:lineRule="auto"/>
        <w:contextualSpacing/>
        <w:jc w:val="both"/>
        <w:rPr>
          <w:rFonts w:ascii="Palatino Linotype" w:hAnsi="Palatino Linotype" w:cs="Tahoma"/>
          <w:sz w:val="22"/>
          <w:szCs w:val="22"/>
        </w:rPr>
      </w:pPr>
    </w:p>
    <w:p w14:paraId="1A6D3CB3" w14:textId="77777777" w:rsidR="00D5699B" w:rsidRPr="00FB571A" w:rsidRDefault="00D5699B" w:rsidP="00903F17">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6BBE6528" w14:textId="51390FAD" w:rsidR="003D1770" w:rsidRPr="00FB571A" w:rsidRDefault="007E4927" w:rsidP="00903F17">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F72546" w:rsidRPr="00F72546">
        <w:rPr>
          <w:rFonts w:ascii="Palatino Linotype" w:hAnsi="Palatino Linotype" w:cs="Tahoma"/>
          <w:bCs/>
          <w:i/>
          <w:szCs w:val="22"/>
        </w:rPr>
        <w:t xml:space="preserve">no otorgo información solicitada </w:t>
      </w:r>
      <w:r w:rsidR="00E55401" w:rsidRPr="00FB571A">
        <w:rPr>
          <w:rFonts w:ascii="Palatino Linotype" w:hAnsi="Palatino Linotype" w:cs="Tahoma"/>
          <w:bCs/>
          <w:i/>
          <w:szCs w:val="22"/>
        </w:rPr>
        <w:t>"</w:t>
      </w:r>
    </w:p>
    <w:p w14:paraId="023BB056" w14:textId="77777777" w:rsidR="00CE2F19" w:rsidRPr="00FB571A" w:rsidRDefault="00CE2F19" w:rsidP="00903F17">
      <w:pPr>
        <w:spacing w:line="360" w:lineRule="auto"/>
        <w:ind w:left="567" w:right="539"/>
        <w:contextualSpacing/>
        <w:jc w:val="both"/>
        <w:rPr>
          <w:rFonts w:ascii="Palatino Linotype" w:hAnsi="Palatino Linotype" w:cs="Tahoma"/>
          <w:bCs/>
          <w:szCs w:val="22"/>
        </w:rPr>
      </w:pPr>
    </w:p>
    <w:p w14:paraId="46E89002" w14:textId="77777777" w:rsidR="00CE2F19" w:rsidRPr="00FB571A" w:rsidRDefault="00CE2F19" w:rsidP="00903F17">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2E9827B" w14:textId="5B0F0D02" w:rsidR="00CE2F19" w:rsidRPr="00FB571A" w:rsidRDefault="00CE2F19" w:rsidP="00903F17">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F72546" w:rsidRPr="00F72546">
        <w:rPr>
          <w:rFonts w:ascii="Palatino Linotype" w:hAnsi="Palatino Linotype" w:cs="Tahoma"/>
          <w:bCs/>
          <w:i/>
          <w:szCs w:val="24"/>
        </w:rPr>
        <w:t>no otorgo información solicitada</w:t>
      </w:r>
      <w:r w:rsidRPr="00FB571A">
        <w:rPr>
          <w:rFonts w:ascii="Palatino Linotype" w:hAnsi="Palatino Linotype" w:cs="Tahoma"/>
          <w:bCs/>
          <w:i/>
          <w:szCs w:val="24"/>
        </w:rPr>
        <w:t>”</w:t>
      </w:r>
    </w:p>
    <w:p w14:paraId="333F8CCA" w14:textId="77777777" w:rsidR="00342378" w:rsidRDefault="00342378" w:rsidP="00903F17">
      <w:pPr>
        <w:spacing w:line="360" w:lineRule="auto"/>
        <w:ind w:right="539"/>
        <w:contextualSpacing/>
        <w:jc w:val="both"/>
        <w:rPr>
          <w:rFonts w:ascii="Palatino Linotype" w:hAnsi="Palatino Linotype" w:cs="Tahoma"/>
          <w:bCs/>
          <w:i/>
          <w:szCs w:val="24"/>
        </w:rPr>
      </w:pPr>
    </w:p>
    <w:p w14:paraId="2808EEA3" w14:textId="77777777" w:rsidR="009A7587" w:rsidRPr="00FB571A" w:rsidRDefault="00BF4B55" w:rsidP="00903F17">
      <w:pPr>
        <w:pStyle w:val="Ttulo2"/>
        <w:spacing w:before="0" w:line="360" w:lineRule="auto"/>
        <w:rPr>
          <w:rFonts w:ascii="Palatino Linotype" w:eastAsia="Batang" w:hAnsi="Palatino Linotype" w:cs="Tahoma"/>
          <w:b/>
          <w:bCs/>
          <w:color w:val="auto"/>
          <w:sz w:val="22"/>
          <w:szCs w:val="22"/>
        </w:rPr>
      </w:pPr>
      <w:bookmarkStart w:id="6" w:name="_Toc215582981"/>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79B7A11A" w14:textId="77777777" w:rsidR="007E4927" w:rsidRPr="00FB571A" w:rsidRDefault="007E4927" w:rsidP="00903F17">
      <w:pPr>
        <w:spacing w:line="360" w:lineRule="auto"/>
        <w:contextualSpacing/>
        <w:jc w:val="both"/>
        <w:rPr>
          <w:rFonts w:ascii="Palatino Linotype" w:eastAsia="Batang" w:hAnsi="Palatino Linotype" w:cs="Tahoma"/>
          <w:b/>
          <w:bCs/>
          <w:sz w:val="22"/>
          <w:szCs w:val="22"/>
        </w:rPr>
      </w:pPr>
    </w:p>
    <w:p w14:paraId="14AC6400" w14:textId="7C4E4A71" w:rsidR="00C950E3" w:rsidRPr="00FB571A" w:rsidRDefault="009A7587" w:rsidP="00903F17">
      <w:pPr>
        <w:spacing w:line="360" w:lineRule="auto"/>
        <w:contextualSpacing/>
        <w:jc w:val="both"/>
        <w:rPr>
          <w:rFonts w:ascii="Palatino Linotype" w:eastAsia="Batang" w:hAnsi="Palatino Linotype" w:cs="Tahoma"/>
          <w:bCs/>
          <w:sz w:val="22"/>
          <w:szCs w:val="22"/>
        </w:rPr>
      </w:pPr>
      <w:bookmarkStart w:id="7" w:name="_Toc215582982"/>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F72546">
        <w:rPr>
          <w:rFonts w:ascii="Palatino Linotype" w:hAnsi="Palatino Linotype" w:cs="Tahoma"/>
          <w:sz w:val="22"/>
          <w:szCs w:val="22"/>
        </w:rPr>
        <w:t>treinta de octubre</w:t>
      </w:r>
      <w:r w:rsidR="00260B92">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F72546">
        <w:rPr>
          <w:rFonts w:ascii="Palatino Linotype" w:eastAsia="Batang" w:hAnsi="Palatino Linotype" w:cs="Tahoma"/>
          <w:b/>
          <w:bCs/>
          <w:sz w:val="22"/>
          <w:szCs w:val="22"/>
        </w:rPr>
        <w:t>12516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48509BA" w14:textId="77777777" w:rsidR="00D5699B" w:rsidRPr="00FB571A" w:rsidRDefault="00D5699B" w:rsidP="00903F17">
      <w:pPr>
        <w:spacing w:line="360" w:lineRule="auto"/>
        <w:contextualSpacing/>
        <w:jc w:val="both"/>
        <w:rPr>
          <w:rFonts w:ascii="Palatino Linotype" w:eastAsia="Batang" w:hAnsi="Palatino Linotype" w:cs="Tahoma"/>
          <w:b/>
          <w:bCs/>
          <w:sz w:val="22"/>
          <w:szCs w:val="22"/>
        </w:rPr>
      </w:pPr>
    </w:p>
    <w:p w14:paraId="6ED2E11C" w14:textId="2A1DB9B1" w:rsidR="00253937" w:rsidRDefault="009A7587" w:rsidP="00903F17">
      <w:pPr>
        <w:spacing w:line="360" w:lineRule="auto"/>
        <w:contextualSpacing/>
        <w:jc w:val="both"/>
        <w:rPr>
          <w:rFonts w:ascii="Palatino Linotype" w:hAnsi="Palatino Linotype" w:cs="Tahoma"/>
          <w:bCs/>
          <w:sz w:val="22"/>
          <w:szCs w:val="22"/>
          <w:lang w:val="es-ES_tradnl"/>
        </w:rPr>
      </w:pPr>
      <w:bookmarkStart w:id="8" w:name="_Toc215582983"/>
      <w:r w:rsidRPr="00FB571A">
        <w:rPr>
          <w:rStyle w:val="Ttulo3Car"/>
          <w:rFonts w:ascii="Palatino Linotype" w:hAnsi="Palatino Linotype"/>
          <w:b/>
          <w:color w:val="auto"/>
          <w:sz w:val="22"/>
          <w:szCs w:val="22"/>
        </w:rPr>
        <w:lastRenderedPageBreak/>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F72546">
        <w:rPr>
          <w:rFonts w:ascii="Palatino Linotype" w:hAnsi="Palatino Linotype" w:cs="Tahoma"/>
          <w:bCs/>
          <w:sz w:val="22"/>
          <w:szCs w:val="22"/>
        </w:rPr>
        <w:t>cuatro de noviembre</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B12E662" w14:textId="77777777" w:rsidR="00281227" w:rsidRPr="00FB571A" w:rsidRDefault="00281227" w:rsidP="00903F17">
      <w:pPr>
        <w:spacing w:line="360" w:lineRule="auto"/>
        <w:contextualSpacing/>
        <w:jc w:val="both"/>
        <w:rPr>
          <w:rFonts w:ascii="Palatino Linotype" w:hAnsi="Palatino Linotype" w:cs="Tahoma"/>
          <w:bCs/>
          <w:sz w:val="22"/>
          <w:szCs w:val="22"/>
          <w:lang w:val="es-ES_tradnl"/>
        </w:rPr>
      </w:pPr>
    </w:p>
    <w:p w14:paraId="0F1D1725" w14:textId="77777777" w:rsidR="00260B92" w:rsidRPr="00A36B6A" w:rsidRDefault="00260B92" w:rsidP="00260B92">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Pr="00A36B6A">
        <w:rPr>
          <w:rFonts w:ascii="Palatino Linotype" w:hAnsi="Palatino Linotype" w:cs="Tahoma"/>
          <w:color w:val="000000" w:themeColor="text1"/>
          <w:sz w:val="22"/>
          <w:szCs w:val="22"/>
          <w:lang w:val="es-ES_tradnl"/>
        </w:rPr>
        <w:t xml:space="preserve"> </w:t>
      </w:r>
      <w:r w:rsidRPr="00A36B6A">
        <w:rPr>
          <w:rFonts w:ascii="Palatino Linotype" w:hAnsi="Palatino Linotype" w:cs="Tahoma"/>
          <w:b/>
          <w:sz w:val="22"/>
          <w:szCs w:val="22"/>
          <w:lang w:val="es-ES_tradnl"/>
        </w:rPr>
        <w:t xml:space="preserve"> Informe Justificado. </w:t>
      </w:r>
      <w:r w:rsidRPr="00A36B6A">
        <w:rPr>
          <w:rFonts w:ascii="Palatino Linotype" w:hAnsi="Palatino Linotype" w:cs="Tahoma"/>
          <w:iCs/>
          <w:sz w:val="22"/>
          <w:szCs w:val="22"/>
          <w:lang w:val="es-ES"/>
        </w:rPr>
        <w:t>El Sujeto Obligado fue omiso en realizar manifestación alguna</w:t>
      </w:r>
      <w:r w:rsidRPr="00A36B6A">
        <w:rPr>
          <w:rFonts w:ascii="Palatino Linotype" w:hAnsi="Palatino Linotype" w:cs="Tahoma"/>
          <w:sz w:val="22"/>
          <w:szCs w:val="22"/>
        </w:rPr>
        <w:t>.</w:t>
      </w:r>
    </w:p>
    <w:p w14:paraId="6A0D9C3D" w14:textId="77777777" w:rsidR="00260B92" w:rsidRPr="00A36B6A" w:rsidRDefault="00260B92" w:rsidP="00260B92">
      <w:pPr>
        <w:spacing w:line="360" w:lineRule="auto"/>
        <w:jc w:val="both"/>
        <w:rPr>
          <w:rFonts w:ascii="Palatino Linotype" w:hAnsi="Palatino Linotype" w:cs="Tahoma"/>
          <w:sz w:val="22"/>
          <w:szCs w:val="22"/>
        </w:rPr>
      </w:pPr>
    </w:p>
    <w:p w14:paraId="47CF5EB1" w14:textId="77777777" w:rsidR="00F72546" w:rsidRDefault="00260B92" w:rsidP="00260B92">
      <w:pPr>
        <w:spacing w:line="360" w:lineRule="auto"/>
        <w:jc w:val="both"/>
        <w:rPr>
          <w:rFonts w:ascii="Palatino Linotype" w:hAnsi="Palatino Linotype" w:cs="Tahoma"/>
          <w:sz w:val="22"/>
          <w:szCs w:val="22"/>
        </w:rPr>
      </w:pPr>
      <w:r w:rsidRPr="00A36B6A">
        <w:rPr>
          <w:rFonts w:ascii="Palatino Linotype" w:hAnsi="Palatino Linotype" w:cs="Tahoma"/>
          <w:b/>
          <w:sz w:val="22"/>
          <w:szCs w:val="22"/>
        </w:rPr>
        <w:t xml:space="preserve">d) Manifestaciones del Recurrente: </w:t>
      </w:r>
      <w:r w:rsidRPr="00A36B6A">
        <w:rPr>
          <w:rFonts w:ascii="Palatino Linotype" w:hAnsi="Palatino Linotype" w:cs="Tahoma"/>
          <w:sz w:val="22"/>
          <w:szCs w:val="22"/>
        </w:rPr>
        <w:t>E</w:t>
      </w:r>
      <w:r>
        <w:rPr>
          <w:rFonts w:ascii="Palatino Linotype" w:hAnsi="Palatino Linotype" w:cs="Tahoma"/>
          <w:sz w:val="22"/>
          <w:szCs w:val="22"/>
        </w:rPr>
        <w:t>l</w:t>
      </w:r>
      <w:r w:rsidRPr="00A36B6A">
        <w:rPr>
          <w:rFonts w:ascii="Palatino Linotype" w:hAnsi="Palatino Linotype" w:cs="Tahoma"/>
          <w:sz w:val="22"/>
          <w:szCs w:val="22"/>
        </w:rPr>
        <w:t xml:space="preserve"> Particular</w:t>
      </w:r>
      <w:r>
        <w:rPr>
          <w:rFonts w:ascii="Palatino Linotype" w:hAnsi="Palatino Linotype" w:cs="Tahoma"/>
          <w:sz w:val="22"/>
          <w:szCs w:val="22"/>
        </w:rPr>
        <w:t xml:space="preserve"> </w:t>
      </w:r>
      <w:r w:rsidR="00F72546">
        <w:rPr>
          <w:rFonts w:ascii="Palatino Linotype" w:hAnsi="Palatino Linotype" w:cs="Tahoma"/>
          <w:sz w:val="22"/>
          <w:szCs w:val="22"/>
        </w:rPr>
        <w:t>fue omiso en realizar manifestaciones.</w:t>
      </w:r>
    </w:p>
    <w:p w14:paraId="6C0DADCD" w14:textId="77777777" w:rsidR="00F72546" w:rsidRDefault="00F72546" w:rsidP="00903F17">
      <w:pPr>
        <w:spacing w:line="360" w:lineRule="auto"/>
        <w:jc w:val="both"/>
        <w:rPr>
          <w:rStyle w:val="Ttulo3Car"/>
          <w:rFonts w:ascii="Palatino Linotype" w:hAnsi="Palatino Linotype"/>
          <w:b/>
          <w:color w:val="auto"/>
          <w:sz w:val="22"/>
          <w:szCs w:val="22"/>
        </w:rPr>
      </w:pPr>
    </w:p>
    <w:p w14:paraId="0C0A8453" w14:textId="0A1BA71F" w:rsidR="00ED5DF5" w:rsidRPr="00FB571A" w:rsidRDefault="00670F18" w:rsidP="00903F17">
      <w:pPr>
        <w:spacing w:line="360" w:lineRule="auto"/>
        <w:jc w:val="both"/>
        <w:rPr>
          <w:rFonts w:ascii="Palatino Linotype" w:hAnsi="Palatino Linotype" w:cs="Tahoma"/>
          <w:sz w:val="22"/>
          <w:szCs w:val="22"/>
        </w:rPr>
      </w:pPr>
      <w:bookmarkStart w:id="9" w:name="_Toc215582984"/>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9"/>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F72546">
        <w:rPr>
          <w:rFonts w:ascii="Palatino Linotype" w:hAnsi="Palatino Linotype" w:cs="Tahoma"/>
          <w:sz w:val="22"/>
          <w:szCs w:val="22"/>
        </w:rPr>
        <w:t xml:space="preserve">dieciocho de noviembre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0A830A25" w14:textId="77777777" w:rsidR="0079675C" w:rsidRPr="00FB571A" w:rsidRDefault="0079675C" w:rsidP="00903F17">
      <w:pPr>
        <w:spacing w:line="360" w:lineRule="auto"/>
        <w:jc w:val="both"/>
        <w:rPr>
          <w:rFonts w:ascii="Palatino Linotype" w:hAnsi="Palatino Linotype" w:cs="Tahoma"/>
          <w:sz w:val="22"/>
          <w:szCs w:val="22"/>
        </w:rPr>
      </w:pPr>
    </w:p>
    <w:p w14:paraId="6028E470" w14:textId="77777777" w:rsidR="004F2D88" w:rsidRDefault="004F2D88" w:rsidP="00903F17">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1BD082F8" w14:textId="77777777" w:rsidR="001C0C73" w:rsidRPr="00FB571A" w:rsidRDefault="001C0C73" w:rsidP="00903F17">
      <w:pPr>
        <w:spacing w:line="360" w:lineRule="auto"/>
        <w:contextualSpacing/>
        <w:jc w:val="both"/>
        <w:rPr>
          <w:rFonts w:ascii="Palatino Linotype" w:hAnsi="Palatino Linotype" w:cs="Tahoma"/>
          <w:color w:val="000000"/>
          <w:sz w:val="22"/>
          <w:szCs w:val="22"/>
        </w:rPr>
      </w:pPr>
    </w:p>
    <w:p w14:paraId="293D1540" w14:textId="77777777" w:rsidR="00EA4E4A" w:rsidRPr="00FB571A" w:rsidRDefault="00EA4E4A" w:rsidP="00903F17">
      <w:pPr>
        <w:pStyle w:val="Ttulo1"/>
        <w:spacing w:before="0" w:line="360" w:lineRule="auto"/>
        <w:jc w:val="center"/>
        <w:rPr>
          <w:rFonts w:ascii="Palatino Linotype" w:hAnsi="Palatino Linotype"/>
          <w:b/>
          <w:color w:val="auto"/>
          <w:sz w:val="22"/>
          <w:szCs w:val="22"/>
        </w:rPr>
      </w:pPr>
      <w:bookmarkStart w:id="10" w:name="_Toc215582985"/>
      <w:r w:rsidRPr="00FB571A">
        <w:rPr>
          <w:rFonts w:ascii="Palatino Linotype" w:hAnsi="Palatino Linotype"/>
          <w:b/>
          <w:color w:val="auto"/>
          <w:sz w:val="22"/>
          <w:szCs w:val="22"/>
        </w:rPr>
        <w:t>C O N S I D E R A N D O S</w:t>
      </w:r>
      <w:bookmarkEnd w:id="10"/>
    </w:p>
    <w:p w14:paraId="2764F1B9" w14:textId="77777777" w:rsidR="00EA4E4A" w:rsidRPr="00FB571A" w:rsidRDefault="00EA4E4A" w:rsidP="00903F17">
      <w:pPr>
        <w:spacing w:line="360" w:lineRule="auto"/>
        <w:contextualSpacing/>
        <w:jc w:val="both"/>
        <w:rPr>
          <w:rFonts w:ascii="Palatino Linotype" w:hAnsi="Palatino Linotype" w:cs="Tahoma"/>
          <w:b/>
          <w:sz w:val="22"/>
          <w:szCs w:val="22"/>
        </w:rPr>
      </w:pPr>
    </w:p>
    <w:p w14:paraId="669A05E5" w14:textId="77777777" w:rsidR="00EA4E4A" w:rsidRPr="00FB571A" w:rsidRDefault="00EA4E4A" w:rsidP="00903F17">
      <w:pPr>
        <w:pStyle w:val="Ttulo2"/>
        <w:spacing w:before="0" w:line="360" w:lineRule="auto"/>
        <w:rPr>
          <w:rFonts w:ascii="Palatino Linotype" w:hAnsi="Palatino Linotype"/>
          <w:b/>
          <w:sz w:val="22"/>
          <w:szCs w:val="22"/>
        </w:rPr>
      </w:pPr>
      <w:bookmarkStart w:id="11" w:name="_Toc215582986"/>
      <w:r w:rsidRPr="00FB571A">
        <w:rPr>
          <w:rFonts w:ascii="Palatino Linotype" w:eastAsia="Calibri" w:hAnsi="Palatino Linotype"/>
          <w:b/>
          <w:color w:val="auto"/>
          <w:sz w:val="22"/>
          <w:szCs w:val="22"/>
          <w:lang w:eastAsia="es-MX"/>
        </w:rPr>
        <w:lastRenderedPageBreak/>
        <w:t xml:space="preserve">PRIMERO. </w:t>
      </w:r>
      <w:r w:rsidRPr="00FB571A">
        <w:rPr>
          <w:rFonts w:ascii="Palatino Linotype" w:hAnsi="Palatino Linotype"/>
          <w:b/>
          <w:color w:val="auto"/>
          <w:sz w:val="22"/>
          <w:szCs w:val="22"/>
        </w:rPr>
        <w:t>Competencia</w:t>
      </w:r>
      <w:bookmarkEnd w:id="11"/>
    </w:p>
    <w:p w14:paraId="3DE10B2B" w14:textId="77777777" w:rsidR="00EA4E4A" w:rsidRPr="00FB571A" w:rsidRDefault="00EA4E4A" w:rsidP="00903F17">
      <w:pPr>
        <w:autoSpaceDE w:val="0"/>
        <w:autoSpaceDN w:val="0"/>
        <w:adjustRightInd w:val="0"/>
        <w:spacing w:line="360" w:lineRule="auto"/>
        <w:contextualSpacing/>
        <w:jc w:val="both"/>
        <w:rPr>
          <w:rFonts w:ascii="Palatino Linotype" w:hAnsi="Palatino Linotype" w:cs="Tahoma"/>
          <w:b/>
          <w:sz w:val="22"/>
          <w:szCs w:val="22"/>
        </w:rPr>
      </w:pPr>
    </w:p>
    <w:p w14:paraId="339A57AC" w14:textId="77777777" w:rsidR="00F72546" w:rsidRDefault="00F72546" w:rsidP="00F72546">
      <w:pPr>
        <w:spacing w:line="360" w:lineRule="auto"/>
        <w:contextualSpacing/>
        <w:jc w:val="both"/>
        <w:rPr>
          <w:rFonts w:ascii="Palatino Linotype" w:eastAsia="Calibri" w:hAnsi="Palatino Linotype" w:cs="Tahoma"/>
          <w:color w:val="000000"/>
          <w:sz w:val="22"/>
          <w:szCs w:val="22"/>
        </w:rPr>
      </w:pPr>
      <w:r w:rsidRPr="00A952A0">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B13E512" w14:textId="77777777" w:rsidR="00F66601" w:rsidRPr="00FB571A" w:rsidRDefault="00F66601" w:rsidP="00903F17">
      <w:pPr>
        <w:spacing w:line="360" w:lineRule="auto"/>
        <w:jc w:val="both"/>
        <w:rPr>
          <w:rFonts w:ascii="Palatino Linotype" w:hAnsi="Palatino Linotype" w:cs="Tahoma"/>
          <w:sz w:val="22"/>
          <w:szCs w:val="22"/>
          <w:shd w:val="clear" w:color="auto" w:fill="FFFFFF"/>
        </w:rPr>
      </w:pPr>
    </w:p>
    <w:p w14:paraId="0547B0CB" w14:textId="77777777" w:rsidR="00CE0B4C" w:rsidRPr="00FB571A" w:rsidRDefault="00CE0B4C" w:rsidP="00903F17">
      <w:pPr>
        <w:pStyle w:val="Ttulo2"/>
        <w:spacing w:before="0" w:line="360" w:lineRule="auto"/>
        <w:rPr>
          <w:rFonts w:ascii="Palatino Linotype" w:eastAsia="Calibri" w:hAnsi="Palatino Linotype"/>
          <w:b/>
          <w:color w:val="auto"/>
          <w:sz w:val="22"/>
          <w:szCs w:val="22"/>
          <w:lang w:eastAsia="es-MX"/>
        </w:rPr>
      </w:pPr>
      <w:bookmarkStart w:id="12" w:name="_Toc215582987"/>
      <w:r w:rsidRPr="00FB571A">
        <w:rPr>
          <w:rFonts w:ascii="Palatino Linotype" w:eastAsia="Calibri" w:hAnsi="Palatino Linotype"/>
          <w:b/>
          <w:color w:val="auto"/>
          <w:sz w:val="22"/>
          <w:szCs w:val="22"/>
          <w:lang w:eastAsia="es-MX"/>
        </w:rPr>
        <w:t>SEGUNDO. Causales de improcedencia y sobreseimiento</w:t>
      </w:r>
      <w:bookmarkEnd w:id="12"/>
    </w:p>
    <w:p w14:paraId="2A5619A3" w14:textId="77777777" w:rsidR="00566562" w:rsidRPr="00FB571A" w:rsidRDefault="00566562"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4225D67" w14:textId="77777777" w:rsidR="00CE0B4C" w:rsidRPr="00FB571A"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566146D" w14:textId="77777777" w:rsidR="00CE0B4C" w:rsidRPr="00FB571A"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2A9BE5" w14:textId="77777777" w:rsidR="00CE0B4C" w:rsidRPr="00FB571A"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5AB9B99" w14:textId="77777777" w:rsidR="00BF4B55" w:rsidRPr="00FB571A" w:rsidRDefault="00BF4B55"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37D1CA3" w14:textId="77777777" w:rsidR="00CE0B4C" w:rsidRPr="00FB571A" w:rsidRDefault="00CE0B4C" w:rsidP="00903F17">
      <w:pPr>
        <w:pStyle w:val="Ttulo3"/>
        <w:spacing w:before="0" w:line="360" w:lineRule="auto"/>
        <w:rPr>
          <w:rFonts w:ascii="Palatino Linotype" w:eastAsia="Calibri" w:hAnsi="Palatino Linotype" w:cs="Arial"/>
          <w:b/>
          <w:color w:val="auto"/>
          <w:sz w:val="22"/>
          <w:szCs w:val="22"/>
          <w:lang w:eastAsia="es-ES_tradnl"/>
        </w:rPr>
      </w:pPr>
      <w:bookmarkStart w:id="13" w:name="_Toc215582988"/>
      <w:r w:rsidRPr="00FB571A">
        <w:rPr>
          <w:rFonts w:ascii="Palatino Linotype" w:eastAsia="Calibri" w:hAnsi="Palatino Linotype" w:cs="Arial"/>
          <w:b/>
          <w:color w:val="auto"/>
          <w:sz w:val="22"/>
          <w:szCs w:val="22"/>
          <w:lang w:eastAsia="es-ES_tradnl"/>
        </w:rPr>
        <w:t>Causales de sobreseimiento</w:t>
      </w:r>
      <w:bookmarkEnd w:id="13"/>
    </w:p>
    <w:p w14:paraId="51C0942C" w14:textId="77777777" w:rsidR="00CE0B4C" w:rsidRPr="00FB571A" w:rsidRDefault="00CE0B4C" w:rsidP="00903F17">
      <w:pPr>
        <w:spacing w:line="360" w:lineRule="auto"/>
        <w:jc w:val="both"/>
        <w:rPr>
          <w:rFonts w:ascii="Palatino Linotype" w:eastAsia="Calibri" w:hAnsi="Palatino Linotype" w:cs="Tahoma"/>
          <w:sz w:val="22"/>
          <w:szCs w:val="22"/>
          <w:lang w:eastAsia="es-ES_tradnl"/>
        </w:rPr>
      </w:pPr>
    </w:p>
    <w:p w14:paraId="64013898" w14:textId="77777777" w:rsidR="00CE0B4C" w:rsidRPr="00FB571A" w:rsidRDefault="00CE0B4C" w:rsidP="00903F17">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w:t>
      </w:r>
      <w:r w:rsidRPr="004A2C87">
        <w:rPr>
          <w:rFonts w:ascii="Palatino Linotype" w:eastAsia="Calibri" w:hAnsi="Palatino Linotype" w:cs="Tahoma"/>
          <w:bCs/>
          <w:sz w:val="22"/>
          <w:szCs w:val="22"/>
          <w:lang w:eastAsia="es-ES_tradnl"/>
        </w:rPr>
        <w:t>no se actualiza ninguna de las previstas por el artículo 192 de la Ley de Transparencia y Acceso a la Información Pública del Estado de México y Municipios</w:t>
      </w:r>
      <w:r w:rsidRPr="00FB571A">
        <w:rPr>
          <w:rFonts w:ascii="Palatino Linotype" w:eastAsia="Calibri" w:hAnsi="Palatino Linotype" w:cs="Tahoma"/>
          <w:b/>
          <w:sz w:val="22"/>
          <w:szCs w:val="22"/>
          <w:lang w:eastAsia="es-ES_tradnl"/>
        </w:rPr>
        <w:t xml:space="preserve">;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1DE50C8B" w14:textId="77777777" w:rsidR="00472490" w:rsidRPr="00FB571A" w:rsidRDefault="00472490" w:rsidP="00903F17">
      <w:pPr>
        <w:spacing w:line="360" w:lineRule="auto"/>
        <w:jc w:val="both"/>
        <w:rPr>
          <w:rFonts w:ascii="Palatino Linotype" w:eastAsia="Calibri" w:hAnsi="Palatino Linotype" w:cs="Tahoma"/>
          <w:sz w:val="22"/>
          <w:szCs w:val="22"/>
          <w:lang w:eastAsia="es-ES_tradnl"/>
        </w:rPr>
      </w:pPr>
    </w:p>
    <w:p w14:paraId="771EE47E" w14:textId="77777777" w:rsidR="00CE0B4C" w:rsidRPr="00FB571A" w:rsidRDefault="00CE0B4C" w:rsidP="00903F17">
      <w:pPr>
        <w:pStyle w:val="Ttulo2"/>
        <w:spacing w:before="0" w:line="360" w:lineRule="auto"/>
        <w:rPr>
          <w:rFonts w:ascii="Palatino Linotype" w:eastAsia="Calibri" w:hAnsi="Palatino Linotype"/>
          <w:b/>
          <w:color w:val="auto"/>
          <w:sz w:val="22"/>
          <w:lang w:val="es-ES" w:eastAsia="es-ES_tradnl"/>
        </w:rPr>
      </w:pPr>
      <w:bookmarkStart w:id="14" w:name="_Toc215582989"/>
      <w:r w:rsidRPr="00FB571A">
        <w:rPr>
          <w:rFonts w:ascii="Palatino Linotype" w:eastAsia="Calibri" w:hAnsi="Palatino Linotype"/>
          <w:b/>
          <w:color w:val="auto"/>
          <w:sz w:val="22"/>
          <w:lang w:eastAsia="es-ES_tradnl"/>
        </w:rPr>
        <w:t>TERCERO. Determinación de la Controversia</w:t>
      </w:r>
      <w:bookmarkEnd w:id="14"/>
    </w:p>
    <w:p w14:paraId="7730B838" w14:textId="77777777" w:rsidR="00CE0B4C" w:rsidRPr="00FB571A"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231845B0" w14:textId="01739623" w:rsidR="005A40EB" w:rsidRDefault="00CE0B4C" w:rsidP="00903F1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F72546">
        <w:rPr>
          <w:rFonts w:ascii="Palatino Linotype" w:eastAsia="Calibri" w:hAnsi="Palatino Linotype" w:cs="Tahoma"/>
          <w:iCs/>
          <w:sz w:val="22"/>
          <w:szCs w:val="22"/>
          <w:lang w:val="es-ES" w:eastAsia="es-ES_tradnl"/>
        </w:rPr>
        <w:t>Ayuntamiento de Cocotitlán</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F312B3" w:rsidRPr="00F312B3">
        <w:rPr>
          <w:rFonts w:ascii="Palatino Linotype" w:eastAsia="Calibri" w:hAnsi="Palatino Linotype" w:cs="Tahoma"/>
          <w:iCs/>
          <w:sz w:val="22"/>
          <w:szCs w:val="22"/>
          <w:lang w:val="es-ES" w:eastAsia="es-ES_tradnl"/>
        </w:rPr>
        <w:t xml:space="preserve">los recibos de nómina de </w:t>
      </w:r>
      <w:r w:rsidR="00F72546">
        <w:rPr>
          <w:rFonts w:ascii="Palatino Linotype" w:eastAsia="Calibri" w:hAnsi="Palatino Linotype" w:cs="Tahoma"/>
          <w:iCs/>
          <w:sz w:val="22"/>
          <w:szCs w:val="22"/>
          <w:lang w:val="es-ES" w:eastAsia="es-ES_tradnl"/>
        </w:rPr>
        <w:t>los regidores</w:t>
      </w:r>
      <w:r w:rsidR="00F312B3" w:rsidRPr="00F312B3">
        <w:rPr>
          <w:rFonts w:ascii="Palatino Linotype" w:eastAsia="Calibri" w:hAnsi="Palatino Linotype" w:cs="Tahoma"/>
          <w:iCs/>
          <w:sz w:val="22"/>
          <w:szCs w:val="22"/>
          <w:lang w:val="es-ES" w:eastAsia="es-ES_tradnl"/>
        </w:rPr>
        <w:t>.</w:t>
      </w:r>
    </w:p>
    <w:p w14:paraId="753648D3" w14:textId="77777777" w:rsidR="005A40EB" w:rsidRDefault="005A40EB" w:rsidP="00903F17">
      <w:pPr>
        <w:tabs>
          <w:tab w:val="left" w:pos="4962"/>
        </w:tabs>
        <w:spacing w:line="360" w:lineRule="auto"/>
        <w:jc w:val="both"/>
        <w:rPr>
          <w:rFonts w:ascii="Palatino Linotype" w:eastAsia="Calibri" w:hAnsi="Palatino Linotype" w:cs="Tahoma"/>
          <w:iCs/>
          <w:sz w:val="22"/>
          <w:szCs w:val="22"/>
          <w:lang w:val="es-ES" w:eastAsia="es-ES_tradnl"/>
        </w:rPr>
      </w:pPr>
    </w:p>
    <w:p w14:paraId="3E94C954" w14:textId="6895EF75" w:rsidR="00A511BB" w:rsidRPr="00FB571A" w:rsidRDefault="00993BF4" w:rsidP="00903F1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F72546">
        <w:rPr>
          <w:rFonts w:ascii="Palatino Linotype" w:eastAsia="Calibri" w:hAnsi="Palatino Linotype" w:cs="Tahoma"/>
          <w:iCs/>
          <w:sz w:val="22"/>
          <w:szCs w:val="22"/>
          <w:lang w:val="es-ES" w:eastAsia="es-ES_tradnl"/>
        </w:rPr>
        <w:t xml:space="preserve"> proporciono algunos recibos de nómina</w:t>
      </w:r>
      <w:r w:rsidR="00634E2D">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5A40EB">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F72546">
        <w:rPr>
          <w:rFonts w:ascii="Palatino Linotype" w:eastAsia="Calibri" w:hAnsi="Palatino Linotype" w:cs="Tahoma"/>
          <w:iCs/>
          <w:sz w:val="22"/>
          <w:szCs w:val="22"/>
          <w:lang w:val="es-ES" w:eastAsia="es-ES_tradnl"/>
        </w:rPr>
        <w:t>al considerar que la información le era negada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F312B3">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6CFC6CF6" w14:textId="77777777" w:rsidR="00CE0B4C" w:rsidRPr="00FB571A"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2AED0437" w14:textId="77777777" w:rsidR="00571944" w:rsidRPr="00FB571A" w:rsidRDefault="00CE0B4C" w:rsidP="00903F17">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1C78CB8" w14:textId="77777777" w:rsidR="00FF5303" w:rsidRPr="00FB571A" w:rsidRDefault="00FF5303" w:rsidP="00903F17">
      <w:pPr>
        <w:tabs>
          <w:tab w:val="left" w:pos="4962"/>
        </w:tabs>
        <w:spacing w:line="360" w:lineRule="auto"/>
        <w:jc w:val="both"/>
        <w:rPr>
          <w:rFonts w:ascii="Palatino Linotype" w:eastAsia="Calibri" w:hAnsi="Palatino Linotype" w:cs="Tahoma"/>
          <w:iCs/>
          <w:sz w:val="22"/>
          <w:szCs w:val="22"/>
          <w:lang w:eastAsia="es-ES_tradnl"/>
        </w:rPr>
      </w:pPr>
    </w:p>
    <w:p w14:paraId="3F6E4769" w14:textId="77777777" w:rsidR="00CE0B4C" w:rsidRPr="00FB571A" w:rsidRDefault="00CE0B4C" w:rsidP="00903F17">
      <w:pPr>
        <w:pStyle w:val="Ttulo2"/>
        <w:spacing w:before="0" w:line="360" w:lineRule="auto"/>
        <w:jc w:val="both"/>
        <w:rPr>
          <w:rFonts w:ascii="Palatino Linotype" w:eastAsia="Calibri" w:hAnsi="Palatino Linotype" w:cs="Arial"/>
          <w:b/>
          <w:color w:val="auto"/>
          <w:sz w:val="22"/>
          <w:lang w:eastAsia="es-ES_tradnl"/>
        </w:rPr>
      </w:pPr>
      <w:bookmarkStart w:id="15" w:name="_Toc215582990"/>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5"/>
    </w:p>
    <w:p w14:paraId="04B65573" w14:textId="77777777" w:rsidR="00CE0B4C" w:rsidRPr="00FB571A" w:rsidRDefault="00CE0B4C" w:rsidP="00903F17">
      <w:pPr>
        <w:spacing w:line="360" w:lineRule="auto"/>
        <w:contextualSpacing/>
        <w:jc w:val="both"/>
        <w:rPr>
          <w:rFonts w:ascii="Palatino Linotype" w:hAnsi="Palatino Linotype" w:cs="Tahoma"/>
          <w:sz w:val="22"/>
          <w:szCs w:val="22"/>
        </w:rPr>
      </w:pPr>
    </w:p>
    <w:p w14:paraId="61F8C922" w14:textId="77777777" w:rsidR="00CE0B4C" w:rsidRPr="00FB571A" w:rsidRDefault="00CE0B4C" w:rsidP="00903F17">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20490B93" w14:textId="77777777" w:rsidR="00CE0B4C" w:rsidRPr="00FB571A" w:rsidRDefault="00CE0B4C" w:rsidP="00903F17">
      <w:pPr>
        <w:spacing w:line="360" w:lineRule="auto"/>
        <w:contextualSpacing/>
        <w:jc w:val="both"/>
        <w:rPr>
          <w:rFonts w:ascii="Palatino Linotype" w:hAnsi="Palatino Linotype" w:cs="Tahoma"/>
          <w:sz w:val="22"/>
          <w:szCs w:val="22"/>
        </w:rPr>
      </w:pPr>
    </w:p>
    <w:p w14:paraId="2D4DC14C" w14:textId="77777777" w:rsidR="00CE0B4C" w:rsidRPr="00FB571A" w:rsidRDefault="00CE0B4C" w:rsidP="00903F1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FD519C" w14:textId="77777777" w:rsidR="00CE0B4C" w:rsidRPr="00FB571A" w:rsidRDefault="00CE0B4C" w:rsidP="00903F17">
      <w:pPr>
        <w:spacing w:line="360" w:lineRule="auto"/>
        <w:jc w:val="both"/>
        <w:rPr>
          <w:rFonts w:ascii="Palatino Linotype" w:hAnsi="Palatino Linotype" w:cs="Tahoma"/>
          <w:sz w:val="22"/>
          <w:szCs w:val="22"/>
        </w:rPr>
      </w:pPr>
    </w:p>
    <w:p w14:paraId="03308EB7" w14:textId="77777777" w:rsidR="00CE0B4C" w:rsidRPr="00FB571A" w:rsidRDefault="00CE0B4C" w:rsidP="00903F17">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8DFA911" w14:textId="77777777" w:rsidR="00CE0B4C" w:rsidRPr="00FB571A" w:rsidRDefault="00CE0B4C" w:rsidP="00903F17">
      <w:pPr>
        <w:spacing w:line="360" w:lineRule="auto"/>
        <w:jc w:val="both"/>
        <w:rPr>
          <w:rFonts w:ascii="Palatino Linotype" w:hAnsi="Palatino Linotype" w:cs="Tahoma"/>
          <w:sz w:val="22"/>
          <w:szCs w:val="22"/>
        </w:rPr>
      </w:pPr>
    </w:p>
    <w:p w14:paraId="3765DFEC" w14:textId="77777777" w:rsidR="00CE0B4C" w:rsidRPr="00FB571A" w:rsidRDefault="00CE0B4C" w:rsidP="00903F17">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5A4C3D1F" w14:textId="77777777" w:rsidR="00EF5683" w:rsidRPr="00FB571A" w:rsidRDefault="00EF5683" w:rsidP="00903F17">
      <w:pPr>
        <w:spacing w:line="360" w:lineRule="auto"/>
        <w:jc w:val="both"/>
        <w:rPr>
          <w:rFonts w:ascii="Palatino Linotype" w:hAnsi="Palatino Linotype" w:cs="Tahoma"/>
          <w:sz w:val="22"/>
          <w:szCs w:val="22"/>
        </w:rPr>
      </w:pPr>
    </w:p>
    <w:p w14:paraId="39D1A6AE" w14:textId="77777777" w:rsidR="00CE0B4C" w:rsidRPr="00FB571A" w:rsidRDefault="00CE0B4C" w:rsidP="00903F1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AF42193" w14:textId="77777777" w:rsidR="005C0E48" w:rsidRDefault="005C0E48" w:rsidP="00903F17">
      <w:pPr>
        <w:spacing w:line="360" w:lineRule="auto"/>
        <w:jc w:val="both"/>
        <w:rPr>
          <w:rFonts w:ascii="Palatino Linotype" w:hAnsi="Palatino Linotype" w:cs="Tahoma"/>
          <w:sz w:val="22"/>
          <w:szCs w:val="22"/>
        </w:rPr>
      </w:pPr>
    </w:p>
    <w:p w14:paraId="42B8DF5E" w14:textId="77777777" w:rsidR="00CE0B4C" w:rsidRPr="00FB571A" w:rsidRDefault="00CE0B4C" w:rsidP="00903F1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5DE041" w14:textId="77777777" w:rsidR="00EA1A4A" w:rsidRPr="00FB571A" w:rsidRDefault="00EA1A4A" w:rsidP="00903F17">
      <w:pPr>
        <w:spacing w:line="360" w:lineRule="auto"/>
        <w:jc w:val="both"/>
        <w:rPr>
          <w:rFonts w:ascii="Palatino Linotype" w:hAnsi="Palatino Linotype" w:cs="Tahoma"/>
          <w:sz w:val="22"/>
          <w:szCs w:val="22"/>
        </w:rPr>
      </w:pPr>
    </w:p>
    <w:p w14:paraId="317105EA" w14:textId="77777777" w:rsidR="00CE0B4C" w:rsidRPr="00FB571A" w:rsidRDefault="00CE0B4C" w:rsidP="00903F17">
      <w:pPr>
        <w:pStyle w:val="Ttulo2"/>
        <w:spacing w:before="0" w:line="360" w:lineRule="auto"/>
        <w:rPr>
          <w:rFonts w:ascii="Palatino Linotype" w:hAnsi="Palatino Linotype"/>
          <w:b/>
          <w:color w:val="auto"/>
          <w:sz w:val="22"/>
          <w:lang w:val="es-ES"/>
        </w:rPr>
      </w:pPr>
      <w:bookmarkStart w:id="16" w:name="_Toc215582991"/>
      <w:r w:rsidRPr="00FB571A">
        <w:rPr>
          <w:rFonts w:ascii="Palatino Linotype" w:eastAsia="Calibri" w:hAnsi="Palatino Linotype"/>
          <w:b/>
          <w:color w:val="auto"/>
          <w:sz w:val="22"/>
          <w:lang w:eastAsia="es-ES_tradnl"/>
        </w:rPr>
        <w:t>QUINTO. Estudio de Fondo</w:t>
      </w:r>
      <w:bookmarkEnd w:id="16"/>
    </w:p>
    <w:p w14:paraId="57FCB5DA" w14:textId="77777777" w:rsidR="00040101" w:rsidRPr="00FB571A" w:rsidRDefault="00040101" w:rsidP="00903F17">
      <w:pPr>
        <w:spacing w:line="360" w:lineRule="auto"/>
        <w:ind w:right="-93"/>
        <w:jc w:val="both"/>
        <w:rPr>
          <w:rFonts w:ascii="Palatino Linotype" w:hAnsi="Palatino Linotype" w:cs="Tahoma"/>
          <w:b/>
          <w:sz w:val="22"/>
          <w:szCs w:val="22"/>
          <w:lang w:val="es-ES"/>
        </w:rPr>
      </w:pPr>
    </w:p>
    <w:p w14:paraId="14D94FDA" w14:textId="77777777" w:rsidR="00612C39" w:rsidRDefault="00605837" w:rsidP="00903F1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6FD927FF" w14:textId="7A75D966" w:rsidR="00F25703" w:rsidRDefault="00F25703" w:rsidP="00903F17">
      <w:pPr>
        <w:spacing w:line="360" w:lineRule="auto"/>
        <w:jc w:val="both"/>
        <w:rPr>
          <w:rFonts w:ascii="Palatino Linotype" w:hAnsi="Palatino Linotype" w:cs="Tahoma"/>
          <w:sz w:val="22"/>
          <w:szCs w:val="22"/>
        </w:rPr>
      </w:pPr>
    </w:p>
    <w:p w14:paraId="6EE91F77" w14:textId="77777777" w:rsidR="00F72546" w:rsidRPr="005A66C6" w:rsidRDefault="00F72546" w:rsidP="00F7254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eastAsia="es-ES_tradnl"/>
        </w:rPr>
        <w:t xml:space="preserve">En relación a lo solicitado, </w:t>
      </w:r>
      <w:r w:rsidRPr="005A66C6">
        <w:rPr>
          <w:rFonts w:ascii="Palatino Linotype" w:eastAsia="Calibri" w:hAnsi="Palatino Linotype" w:cs="Tahoma"/>
          <w:bCs/>
          <w:sz w:val="22"/>
          <w:szCs w:val="22"/>
          <w:lang w:eastAsia="en-US"/>
        </w:rPr>
        <w:t>conviene precisar en lo que consisten</w:t>
      </w:r>
      <w:r>
        <w:rPr>
          <w:rFonts w:ascii="Palatino Linotype" w:eastAsia="Calibri" w:hAnsi="Palatino Linotype" w:cs="Tahoma"/>
          <w:bCs/>
          <w:sz w:val="22"/>
          <w:szCs w:val="22"/>
          <w:lang w:eastAsia="en-US"/>
        </w:rPr>
        <w:t xml:space="preserve"> los comprobantes de pago o recibos de nómina</w:t>
      </w:r>
      <w:r w:rsidRPr="005A66C6">
        <w:rPr>
          <w:rFonts w:ascii="Palatino Linotype" w:eastAsia="Calibri" w:hAnsi="Palatino Linotype" w:cs="Tahoma"/>
          <w:bCs/>
          <w:sz w:val="22"/>
          <w:szCs w:val="22"/>
          <w:lang w:eastAsia="en-US"/>
        </w:rPr>
        <w:t>, al respecto, el Glosario localizado en la página de Transparencia Presupuestaria de la Secretaría de Hacienda y Crédito Público (</w:t>
      </w:r>
      <w:hyperlink r:id="rId8" w:history="1">
        <w:r w:rsidRPr="005A66C6">
          <w:rPr>
            <w:rStyle w:val="Hipervnculo"/>
            <w:rFonts w:ascii="Palatino Linotype" w:eastAsia="Calibri" w:hAnsi="Palatino Linotype" w:cs="Tahoma"/>
            <w:bCs/>
            <w:sz w:val="22"/>
            <w:szCs w:val="22"/>
            <w:lang w:eastAsia="en-US"/>
          </w:rPr>
          <w:t>http://www.transparenciapresupuestaria.gob.mx/es/PTP/Glosario</w:t>
        </w:r>
      </w:hyperlink>
      <w:r w:rsidRPr="005A66C6">
        <w:rPr>
          <w:rFonts w:ascii="Palatino Linotype" w:eastAsia="Calibri" w:hAnsi="Palatino Linotype" w:cs="Tahoma"/>
          <w:bCs/>
          <w:sz w:val="22"/>
          <w:szCs w:val="22"/>
          <w:lang w:eastAsia="en-US"/>
        </w:rPr>
        <w:t xml:space="preserve">,), establece que la Nómina es el documento contable que contiene la relación de los trabajadores con las percepciones monetarias de cada uno; además, que también se refiere al recibo individual y justificativo que </w:t>
      </w:r>
      <w:r w:rsidRPr="005A66C6">
        <w:rPr>
          <w:rFonts w:ascii="Palatino Linotype" w:eastAsia="Calibri" w:hAnsi="Palatino Linotype" w:cs="Tahoma"/>
          <w:bCs/>
          <w:sz w:val="22"/>
          <w:szCs w:val="22"/>
          <w:lang w:eastAsia="en-US"/>
        </w:rPr>
        <w:lastRenderedPageBreak/>
        <w:t>indica los sueldos de los trabajadores, incluyendo las prestaciones y deducciones correspondientes.</w:t>
      </w:r>
    </w:p>
    <w:p w14:paraId="00691D15" w14:textId="77777777" w:rsidR="00F72546" w:rsidRPr="005A66C6" w:rsidRDefault="00F72546" w:rsidP="00F72546">
      <w:pPr>
        <w:spacing w:line="360" w:lineRule="auto"/>
        <w:ind w:right="-93"/>
        <w:jc w:val="both"/>
        <w:rPr>
          <w:rFonts w:ascii="Palatino Linotype" w:eastAsia="Calibri" w:hAnsi="Palatino Linotype" w:cs="Tahoma"/>
          <w:bCs/>
          <w:sz w:val="22"/>
          <w:szCs w:val="22"/>
          <w:lang w:eastAsia="en-US"/>
        </w:rPr>
      </w:pPr>
    </w:p>
    <w:p w14:paraId="5B8D640D" w14:textId="77777777" w:rsidR="00F72546" w:rsidRDefault="00F72546" w:rsidP="00F72546">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r>
        <w:rPr>
          <w:rFonts w:ascii="Palatino Linotype" w:eastAsia="Calibri" w:hAnsi="Palatino Linotype" w:cs="Tahoma"/>
          <w:sz w:val="22"/>
          <w:szCs w:val="22"/>
          <w:lang w:eastAsia="es-ES_tradnl"/>
        </w:rPr>
        <w:t xml:space="preserve"> </w:t>
      </w:r>
      <w:r w:rsidRPr="005A66C6">
        <w:rPr>
          <w:rFonts w:ascii="Palatino Linotype" w:eastAsia="Calibri" w:hAnsi="Palatino Linotype" w:cs="Tahoma"/>
          <w:sz w:val="22"/>
          <w:szCs w:val="22"/>
          <w:lang w:eastAsia="es-ES_tradnl"/>
        </w:rPr>
        <w:t>En ese contexto y respecto de la solicitud del Particular se advierte que su pretensión es obtener el documento que contenga las percepciones que recib</w:t>
      </w:r>
      <w:r>
        <w:rPr>
          <w:rFonts w:ascii="Palatino Linotype" w:eastAsia="Calibri" w:hAnsi="Palatino Linotype" w:cs="Tahoma"/>
          <w:sz w:val="22"/>
          <w:szCs w:val="22"/>
          <w:lang w:eastAsia="es-ES_tradnl"/>
        </w:rPr>
        <w:t>ió la servidora pública mencionada en la solicitud.</w:t>
      </w:r>
    </w:p>
    <w:p w14:paraId="5A44341E"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p>
    <w:p w14:paraId="0590529F"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CBE4A93"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p>
    <w:p w14:paraId="7B3F8E57"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0448E80"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p>
    <w:p w14:paraId="711B97BE" w14:textId="77777777" w:rsidR="00F72546" w:rsidRPr="005A66C6" w:rsidRDefault="00F72546" w:rsidP="00F72546">
      <w:pPr>
        <w:tabs>
          <w:tab w:val="left" w:pos="4962"/>
        </w:tabs>
        <w:spacing w:line="360" w:lineRule="auto"/>
        <w:jc w:val="both"/>
        <w:rPr>
          <w:rFonts w:ascii="Palatino Linotype" w:eastAsia="Calibri" w:hAnsi="Palatino Linotype" w:cs="Tahoma"/>
          <w:sz w:val="22"/>
          <w:szCs w:val="22"/>
          <w:lang w:eastAsia="es-ES_tradnl"/>
        </w:rPr>
      </w:pPr>
      <w:r w:rsidRPr="005A66C6">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4A994CA8" w14:textId="77777777" w:rsidR="00F72546" w:rsidRPr="005A66C6" w:rsidRDefault="00F72546" w:rsidP="00F72546">
      <w:pPr>
        <w:tabs>
          <w:tab w:val="left" w:pos="4962"/>
        </w:tabs>
        <w:spacing w:line="360" w:lineRule="auto"/>
        <w:ind w:left="567" w:right="539"/>
        <w:jc w:val="both"/>
        <w:rPr>
          <w:rFonts w:ascii="Palatino Linotype" w:hAnsi="Palatino Linotype" w:cs="Tahoma"/>
          <w:sz w:val="22"/>
          <w:szCs w:val="22"/>
        </w:rPr>
      </w:pPr>
    </w:p>
    <w:p w14:paraId="761EB3F3" w14:textId="77777777" w:rsidR="00F72546" w:rsidRPr="005A66C6" w:rsidRDefault="00F72546" w:rsidP="00F72546">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ARTÍCULO 220 K.- La institución o dependencia pública tiene la obligación de conservar y exhibir en el proceso los documentos que a continuación se precisan:</w:t>
      </w:r>
    </w:p>
    <w:p w14:paraId="12EA7933" w14:textId="77777777" w:rsidR="00F72546" w:rsidRPr="005A66C6" w:rsidRDefault="00F72546" w:rsidP="00F72546">
      <w:pPr>
        <w:tabs>
          <w:tab w:val="left" w:pos="4962"/>
        </w:tabs>
        <w:spacing w:line="360" w:lineRule="auto"/>
        <w:ind w:left="567" w:right="567"/>
        <w:jc w:val="both"/>
        <w:rPr>
          <w:rFonts w:ascii="Palatino Linotype" w:hAnsi="Palatino Linotype" w:cs="Tahoma"/>
          <w:i/>
        </w:rPr>
      </w:pPr>
      <w:r>
        <w:rPr>
          <w:rFonts w:ascii="Palatino Linotype" w:hAnsi="Palatino Linotype" w:cs="Tahoma"/>
          <w:i/>
        </w:rPr>
        <w:t>I…</w:t>
      </w:r>
    </w:p>
    <w:p w14:paraId="4838602F" w14:textId="77777777" w:rsidR="00F72546" w:rsidRPr="005A66C6" w:rsidRDefault="00F72546" w:rsidP="00F72546">
      <w:pPr>
        <w:tabs>
          <w:tab w:val="left" w:pos="4962"/>
        </w:tabs>
        <w:spacing w:line="360" w:lineRule="auto"/>
        <w:ind w:left="567" w:right="567"/>
        <w:jc w:val="both"/>
        <w:rPr>
          <w:rFonts w:ascii="Palatino Linotype" w:hAnsi="Palatino Linotype" w:cs="Tahoma"/>
          <w:b/>
          <w:i/>
          <w:u w:val="single"/>
        </w:rPr>
      </w:pPr>
      <w:r w:rsidRPr="005A66C6">
        <w:rPr>
          <w:rFonts w:ascii="Palatino Linotype" w:hAnsi="Palatino Linotype" w:cs="Tahoma"/>
          <w:b/>
          <w:i/>
          <w:u w:val="single"/>
        </w:rPr>
        <w:lastRenderedPageBreak/>
        <w:t>II. Recibos de pagos de salarios o las constancias documentales del pago de salario cuando sea por depósito o mediante información electrónica;</w:t>
      </w:r>
    </w:p>
    <w:p w14:paraId="35CECFEE" w14:textId="77777777" w:rsidR="00F72546" w:rsidRPr="005A66C6" w:rsidRDefault="00F72546" w:rsidP="00F72546">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i/>
        </w:rPr>
        <w:t>III.</w:t>
      </w:r>
      <w:r>
        <w:rPr>
          <w:rFonts w:ascii="Palatino Linotype" w:hAnsi="Palatino Linotype" w:cs="Tahoma"/>
          <w:i/>
        </w:rPr>
        <w:t>..</w:t>
      </w:r>
    </w:p>
    <w:p w14:paraId="5A0BA3AB" w14:textId="77777777" w:rsidR="00F72546" w:rsidRPr="005A66C6" w:rsidRDefault="00F72546" w:rsidP="00F72546">
      <w:pPr>
        <w:tabs>
          <w:tab w:val="left" w:pos="4962"/>
        </w:tabs>
        <w:spacing w:line="360" w:lineRule="auto"/>
        <w:ind w:left="567" w:right="567"/>
        <w:jc w:val="both"/>
        <w:rPr>
          <w:rFonts w:ascii="Palatino Linotype" w:hAnsi="Palatino Linotype" w:cs="Tahoma"/>
          <w:i/>
        </w:rPr>
      </w:pPr>
      <w:r w:rsidRPr="005A66C6">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5A66C6">
        <w:rPr>
          <w:rFonts w:ascii="Palatino Linotype" w:hAnsi="Palatino Linotype" w:cs="Tahoma"/>
          <w:i/>
        </w:rPr>
        <w:t xml:space="preserve"> y</w:t>
      </w:r>
    </w:p>
    <w:p w14:paraId="0B92B888" w14:textId="77777777" w:rsidR="00F72546" w:rsidRPr="005A66C6" w:rsidRDefault="00F72546" w:rsidP="00F72546">
      <w:pPr>
        <w:tabs>
          <w:tab w:val="left" w:pos="4962"/>
        </w:tabs>
        <w:spacing w:line="360" w:lineRule="auto"/>
        <w:ind w:left="567" w:right="567"/>
        <w:jc w:val="both"/>
        <w:rPr>
          <w:rFonts w:ascii="Palatino Linotype" w:hAnsi="Palatino Linotype" w:cs="Tahoma"/>
          <w:i/>
        </w:rPr>
      </w:pPr>
      <w:r>
        <w:rPr>
          <w:rFonts w:ascii="Palatino Linotype" w:hAnsi="Palatino Linotype" w:cs="Tahoma"/>
          <w:i/>
        </w:rPr>
        <w:t>V…</w:t>
      </w:r>
    </w:p>
    <w:p w14:paraId="16BDF1FB" w14:textId="77777777" w:rsidR="00F72546" w:rsidRPr="005A66C6" w:rsidRDefault="00F72546" w:rsidP="00F72546">
      <w:pPr>
        <w:tabs>
          <w:tab w:val="left" w:pos="4962"/>
        </w:tabs>
        <w:spacing w:line="360" w:lineRule="auto"/>
        <w:ind w:left="567" w:right="567"/>
        <w:jc w:val="both"/>
        <w:rPr>
          <w:rFonts w:ascii="Palatino Linotype" w:hAnsi="Palatino Linotype" w:cs="Tahoma"/>
          <w:sz w:val="22"/>
          <w:szCs w:val="22"/>
        </w:rPr>
      </w:pPr>
    </w:p>
    <w:p w14:paraId="0FF8E2FC" w14:textId="77777777" w:rsidR="00F72546" w:rsidRDefault="00F72546" w:rsidP="00F72546">
      <w:pPr>
        <w:spacing w:line="360" w:lineRule="auto"/>
        <w:jc w:val="both"/>
        <w:rPr>
          <w:rFonts w:ascii="Palatino Linotype" w:eastAsia="Calibri" w:hAnsi="Palatino Linotype" w:cs="Tahoma"/>
          <w:bCs/>
          <w:sz w:val="22"/>
          <w:szCs w:val="22"/>
          <w:lang w:eastAsia="en-US"/>
        </w:rPr>
      </w:pPr>
      <w:r w:rsidRPr="005A66C6">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w:t>
      </w:r>
      <w:r>
        <w:rPr>
          <w:rFonts w:ascii="Palatino Linotype" w:eastAsia="Calibri" w:hAnsi="Palatino Linotype" w:cs="Tahoma"/>
          <w:bCs/>
          <w:sz w:val="22"/>
          <w:szCs w:val="22"/>
          <w:lang w:eastAsia="en-US"/>
        </w:rPr>
        <w:t>rmación magnética o electrónica.</w:t>
      </w:r>
    </w:p>
    <w:p w14:paraId="5A2884E2" w14:textId="77777777" w:rsidR="00F72546" w:rsidRDefault="00F72546" w:rsidP="00F72546">
      <w:pPr>
        <w:spacing w:line="360" w:lineRule="auto"/>
        <w:jc w:val="both"/>
        <w:rPr>
          <w:rFonts w:ascii="Palatino Linotype" w:eastAsia="Calibri" w:hAnsi="Palatino Linotype" w:cs="Tahoma"/>
          <w:bCs/>
          <w:sz w:val="22"/>
          <w:szCs w:val="22"/>
          <w:lang w:eastAsia="en-US"/>
        </w:rPr>
      </w:pPr>
    </w:p>
    <w:p w14:paraId="5F7EB9CD" w14:textId="77777777" w:rsidR="00F72546" w:rsidRPr="00B65021" w:rsidRDefault="00F72546" w:rsidP="00F72546">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BAAD64D" w14:textId="77777777" w:rsidR="00F72546" w:rsidRPr="00B65021" w:rsidRDefault="00F72546" w:rsidP="00F72546">
      <w:pPr>
        <w:spacing w:line="360" w:lineRule="auto"/>
        <w:contextualSpacing/>
        <w:jc w:val="both"/>
        <w:rPr>
          <w:rFonts w:ascii="Palatino Linotype" w:eastAsia="Calibri" w:hAnsi="Palatino Linotype"/>
          <w:bCs/>
          <w:sz w:val="22"/>
          <w:szCs w:val="22"/>
        </w:rPr>
      </w:pPr>
    </w:p>
    <w:p w14:paraId="03EBFFE0" w14:textId="77777777" w:rsidR="00F72546" w:rsidRPr="00B65021" w:rsidRDefault="00F72546" w:rsidP="00F72546">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w:t>
      </w:r>
      <w:r w:rsidRPr="00B65021">
        <w:rPr>
          <w:rFonts w:ascii="Palatino Linotype" w:eastAsia="Calibri" w:hAnsi="Palatino Linotype"/>
          <w:bCs/>
          <w:i/>
          <w:iCs/>
          <w:lang w:val="es-ES"/>
        </w:rPr>
        <w:lastRenderedPageBreak/>
        <w:t>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FC3D4D2" w14:textId="77777777" w:rsidR="00F72546" w:rsidRPr="00B65021" w:rsidRDefault="00F72546" w:rsidP="00F72546">
      <w:pPr>
        <w:spacing w:line="360" w:lineRule="auto"/>
        <w:contextualSpacing/>
        <w:jc w:val="both"/>
        <w:rPr>
          <w:rFonts w:ascii="Palatino Linotype" w:eastAsia="Calibri" w:hAnsi="Palatino Linotype"/>
          <w:b/>
          <w:bCs/>
          <w:i/>
          <w:iCs/>
          <w:sz w:val="22"/>
          <w:szCs w:val="22"/>
          <w:lang w:val="es-ES"/>
        </w:rPr>
      </w:pPr>
    </w:p>
    <w:p w14:paraId="66C848B7" w14:textId="77777777" w:rsidR="00F72546" w:rsidRDefault="00F72546" w:rsidP="00F72546">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2C9A78D0" w14:textId="77777777" w:rsidR="00F72546" w:rsidRPr="00BA1A0D" w:rsidRDefault="00F72546" w:rsidP="00F72546">
      <w:pPr>
        <w:spacing w:line="360" w:lineRule="auto"/>
        <w:jc w:val="both"/>
        <w:rPr>
          <w:rFonts w:ascii="Palatino Linotype" w:eastAsia="Calibri" w:hAnsi="Palatino Linotype" w:cs="Tahoma"/>
          <w:bCs/>
          <w:sz w:val="22"/>
          <w:szCs w:val="22"/>
          <w:lang w:val="es-ES" w:eastAsia="en-US"/>
        </w:rPr>
      </w:pPr>
    </w:p>
    <w:p w14:paraId="3D197F5B" w14:textId="77777777" w:rsidR="00F72546" w:rsidRPr="00B65021" w:rsidRDefault="00F72546" w:rsidP="00F72546">
      <w:pPr>
        <w:spacing w:line="360" w:lineRule="auto"/>
        <w:contextualSpacing/>
        <w:jc w:val="both"/>
        <w:rPr>
          <w:rFonts w:ascii="Palatino Linotype" w:eastAsia="Calibri" w:hAnsi="Palatino Linotype"/>
          <w:bCs/>
          <w:iCs/>
          <w:sz w:val="22"/>
          <w:szCs w:val="22"/>
          <w:lang w:val="es-ES"/>
        </w:rPr>
      </w:pPr>
      <w:r w:rsidRPr="00B65021">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6379DF4" w14:textId="77777777" w:rsidR="00F72546" w:rsidRPr="00B65021" w:rsidRDefault="00F72546" w:rsidP="00F72546">
      <w:pPr>
        <w:spacing w:line="360" w:lineRule="auto"/>
        <w:contextualSpacing/>
        <w:jc w:val="both"/>
        <w:rPr>
          <w:rFonts w:ascii="Palatino Linotype" w:eastAsia="Calibri" w:hAnsi="Palatino Linotype"/>
          <w:bCs/>
          <w:sz w:val="22"/>
          <w:szCs w:val="22"/>
        </w:rPr>
      </w:pPr>
    </w:p>
    <w:p w14:paraId="6EB34F96" w14:textId="77777777" w:rsidR="00F72546" w:rsidRDefault="00F72546" w:rsidP="00F72546">
      <w:pPr>
        <w:widowControl w:val="0"/>
        <w:spacing w:line="360" w:lineRule="auto"/>
        <w:contextualSpacing/>
        <w:jc w:val="both"/>
        <w:rPr>
          <w:rFonts w:ascii="Palatino Linotype" w:eastAsia="Palatino Linotype" w:hAnsi="Palatino Linotype" w:cs="Palatino Linotype"/>
          <w:sz w:val="22"/>
          <w:szCs w:val="22"/>
          <w:lang w:eastAsia="es-MX"/>
        </w:rPr>
      </w:pPr>
      <w:r w:rsidRPr="00D36A5B">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r>
        <w:rPr>
          <w:rFonts w:ascii="Palatino Linotype" w:eastAsia="Palatino Linotype" w:hAnsi="Palatino Linotype" w:cs="Palatino Linotype"/>
          <w:sz w:val="22"/>
          <w:szCs w:val="22"/>
          <w:lang w:eastAsia="es-MX"/>
        </w:rPr>
        <w:t>; además, conforme al Instructivo de Llenado, el Sujeto Obligado debe proporcionar los recibos, tal como se muestra a continuación:</w:t>
      </w:r>
    </w:p>
    <w:p w14:paraId="7001254D" w14:textId="77777777" w:rsidR="00F72546" w:rsidRDefault="00F72546" w:rsidP="00F72546">
      <w:pPr>
        <w:widowControl w:val="0"/>
        <w:spacing w:line="360" w:lineRule="auto"/>
        <w:contextualSpacing/>
        <w:jc w:val="both"/>
        <w:rPr>
          <w:rFonts w:ascii="Palatino Linotype" w:eastAsia="Palatino Linotype" w:hAnsi="Palatino Linotype" w:cs="Palatino Linotype"/>
          <w:sz w:val="22"/>
          <w:szCs w:val="22"/>
          <w:lang w:eastAsia="es-MX"/>
        </w:rPr>
      </w:pPr>
    </w:p>
    <w:p w14:paraId="7700E5E4" w14:textId="77777777" w:rsidR="00F72546" w:rsidRDefault="00F72546" w:rsidP="00F72546">
      <w:pPr>
        <w:widowControl w:val="0"/>
        <w:spacing w:line="360" w:lineRule="auto"/>
        <w:contextualSpacing/>
        <w:jc w:val="center"/>
        <w:rPr>
          <w:rFonts w:ascii="Palatino Linotype" w:eastAsia="Palatino Linotype" w:hAnsi="Palatino Linotype" w:cs="Palatino Linotype"/>
          <w:sz w:val="22"/>
          <w:szCs w:val="22"/>
          <w:lang w:eastAsia="es-MX"/>
        </w:rPr>
      </w:pPr>
      <w:r w:rsidRPr="00584C27">
        <w:rPr>
          <w:rFonts w:ascii="Palatino Linotype" w:eastAsia="Palatino Linotype" w:hAnsi="Palatino Linotype" w:cs="Palatino Linotype"/>
          <w:noProof/>
          <w:sz w:val="22"/>
          <w:szCs w:val="22"/>
          <w:lang w:eastAsia="es-MX"/>
        </w:rPr>
        <w:lastRenderedPageBreak/>
        <w:drawing>
          <wp:inline distT="0" distB="0" distL="0" distR="0" wp14:anchorId="7AD617A3" wp14:editId="0255AFD8">
            <wp:extent cx="5210902" cy="581106"/>
            <wp:effectExtent l="0" t="0" r="8890" b="9525"/>
            <wp:docPr id="679658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58959" name=""/>
                    <pic:cNvPicPr/>
                  </pic:nvPicPr>
                  <pic:blipFill>
                    <a:blip r:embed="rId9"/>
                    <a:stretch>
                      <a:fillRect/>
                    </a:stretch>
                  </pic:blipFill>
                  <pic:spPr>
                    <a:xfrm>
                      <a:off x="0" y="0"/>
                      <a:ext cx="5210902" cy="581106"/>
                    </a:xfrm>
                    <a:prstGeom prst="rect">
                      <a:avLst/>
                    </a:prstGeom>
                  </pic:spPr>
                </pic:pic>
              </a:graphicData>
            </a:graphic>
          </wp:inline>
        </w:drawing>
      </w:r>
    </w:p>
    <w:p w14:paraId="70826333" w14:textId="77777777" w:rsidR="00F72546" w:rsidRDefault="00F72546" w:rsidP="00F72546">
      <w:pPr>
        <w:widowControl w:val="0"/>
        <w:spacing w:line="360" w:lineRule="auto"/>
        <w:contextualSpacing/>
        <w:jc w:val="both"/>
        <w:rPr>
          <w:rFonts w:ascii="Palatino Linotype" w:eastAsia="Palatino Linotype" w:hAnsi="Palatino Linotype" w:cs="Palatino Linotype"/>
          <w:sz w:val="22"/>
          <w:szCs w:val="22"/>
          <w:lang w:eastAsia="es-MX"/>
        </w:rPr>
      </w:pPr>
    </w:p>
    <w:p w14:paraId="290D8AE8" w14:textId="0E6A48F9" w:rsidR="00F72546" w:rsidRDefault="00F72546" w:rsidP="00F7254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la pretensión de la persona Recurrente es obtener los recibos de nómina de los </w:t>
      </w:r>
      <w:r w:rsidR="006A2F15">
        <w:rPr>
          <w:rFonts w:ascii="Palatino Linotype" w:hAnsi="Palatino Linotype" w:cs="Tahoma"/>
          <w:sz w:val="22"/>
          <w:szCs w:val="22"/>
        </w:rPr>
        <w:t>R</w:t>
      </w:r>
      <w:r>
        <w:rPr>
          <w:rFonts w:ascii="Palatino Linotype" w:hAnsi="Palatino Linotype" w:cs="Tahoma"/>
          <w:sz w:val="22"/>
          <w:szCs w:val="22"/>
        </w:rPr>
        <w:t xml:space="preserve">egidores </w:t>
      </w:r>
      <w:r w:rsidR="006A2F15">
        <w:rPr>
          <w:rFonts w:ascii="Palatino Linotype" w:hAnsi="Palatino Linotype" w:cs="Tahoma"/>
          <w:sz w:val="22"/>
          <w:szCs w:val="22"/>
        </w:rPr>
        <w:t xml:space="preserve">en funciones a la fecha de la solicitud; además, toda vez que </w:t>
      </w:r>
      <w:r>
        <w:rPr>
          <w:rFonts w:ascii="Palatino Linotype" w:hAnsi="Palatino Linotype" w:cs="Tahoma"/>
          <w:sz w:val="22"/>
          <w:szCs w:val="22"/>
        </w:rPr>
        <w:t>no especific</w:t>
      </w:r>
      <w:r w:rsidR="006A2F15">
        <w:rPr>
          <w:rFonts w:ascii="Palatino Linotype" w:hAnsi="Palatino Linotype" w:cs="Tahoma"/>
          <w:sz w:val="22"/>
          <w:szCs w:val="22"/>
        </w:rPr>
        <w:t>ó la</w:t>
      </w:r>
      <w:r>
        <w:rPr>
          <w:rFonts w:ascii="Palatino Linotype" w:hAnsi="Palatino Linotype" w:cs="Tahoma"/>
          <w:sz w:val="22"/>
          <w:szCs w:val="22"/>
        </w:rPr>
        <w:t xml:space="preserve"> temporalidad se trae a colación el Criterio reiterado 04/2024 emitido por este Instituto el cual señala que c</w:t>
      </w:r>
      <w:r w:rsidRPr="00F72546">
        <w:rPr>
          <w:rFonts w:ascii="Palatino Linotype" w:hAnsi="Palatino Linotype" w:cs="Tahoma"/>
          <w:sz w:val="22"/>
          <w:szCs w:val="22"/>
        </w:rPr>
        <w:t>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r>
        <w:rPr>
          <w:rFonts w:ascii="Palatino Linotype" w:hAnsi="Palatino Linotype" w:cs="Tahoma"/>
          <w:sz w:val="22"/>
          <w:szCs w:val="22"/>
        </w:rPr>
        <w:t>, así ya que la solicitud ingreso el primero de octubre, se debió entregar la documentación de las dos quincenas de septiembre de dos mil veinticinco.</w:t>
      </w:r>
    </w:p>
    <w:p w14:paraId="787726AD" w14:textId="77777777" w:rsidR="00F72546" w:rsidRDefault="00F72546" w:rsidP="00F72546">
      <w:pPr>
        <w:spacing w:line="360" w:lineRule="auto"/>
        <w:jc w:val="both"/>
        <w:rPr>
          <w:rFonts w:ascii="Palatino Linotype" w:hAnsi="Palatino Linotype" w:cs="Tahoma"/>
          <w:sz w:val="22"/>
          <w:szCs w:val="22"/>
        </w:rPr>
      </w:pPr>
    </w:p>
    <w:p w14:paraId="0E13C192" w14:textId="3CF904B4" w:rsidR="00F72546" w:rsidRDefault="00F72546" w:rsidP="00F72546">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en respuesta a través del Tesorero Municipal hizo entrega de diversos recibos de nómina </w:t>
      </w:r>
      <w:r w:rsidR="00440E61">
        <w:rPr>
          <w:rFonts w:ascii="Palatino Linotype" w:hAnsi="Palatino Linotype" w:cs="Tahoma"/>
          <w:sz w:val="22"/>
          <w:szCs w:val="22"/>
        </w:rPr>
        <w:t>el cual de acuerdo a su Bando Municipal dos mil veinticinco tiene dentro de sus atribuciones la de administrar la hacienda pública</w:t>
      </w:r>
      <w:r>
        <w:rPr>
          <w:rFonts w:ascii="Palatino Linotype" w:hAnsi="Palatino Linotype" w:cs="Tahoma"/>
          <w:sz w:val="22"/>
          <w:szCs w:val="22"/>
        </w:rPr>
        <w:t>; d</w:t>
      </w:r>
      <w:r w:rsidRPr="00BB30A3">
        <w:rPr>
          <w:rFonts w:ascii="Palatino Linotype" w:hAnsi="Palatino Linotype" w:cs="Tahoma"/>
          <w:sz w:val="22"/>
          <w:szCs w:val="22"/>
        </w:rPr>
        <w:t>e esta forma se advierte que el Sujeto Obligado cumplió con el procedimiento de búsqueda, pues turno la solicitud de información al área competente, que</w:t>
      </w:r>
      <w:r>
        <w:rPr>
          <w:rFonts w:ascii="Palatino Linotype" w:hAnsi="Palatino Linotype" w:cs="Tahoma"/>
          <w:sz w:val="22"/>
          <w:szCs w:val="22"/>
        </w:rPr>
        <w:t xml:space="preserve"> emite los recibos solicitados</w:t>
      </w:r>
      <w:r w:rsidRPr="00BB30A3">
        <w:rPr>
          <w:rFonts w:ascii="Palatino Linotype" w:hAnsi="Palatino Linotype" w:cs="Tahoma"/>
          <w:sz w:val="22"/>
          <w:szCs w:val="22"/>
        </w:rPr>
        <w:t>.</w:t>
      </w:r>
      <w:r w:rsidR="00440E61">
        <w:rPr>
          <w:rFonts w:ascii="Palatino Linotype" w:hAnsi="Palatino Linotype" w:cs="Tahoma"/>
          <w:sz w:val="22"/>
          <w:szCs w:val="22"/>
        </w:rPr>
        <w:t xml:space="preserve"> </w:t>
      </w:r>
    </w:p>
    <w:p w14:paraId="26F5C84B" w14:textId="77777777" w:rsidR="00F72546" w:rsidRDefault="00F72546" w:rsidP="00F72546">
      <w:pPr>
        <w:spacing w:line="360" w:lineRule="auto"/>
        <w:jc w:val="both"/>
        <w:rPr>
          <w:rFonts w:ascii="Palatino Linotype" w:hAnsi="Palatino Linotype" w:cs="Tahoma"/>
          <w:sz w:val="22"/>
          <w:szCs w:val="22"/>
        </w:rPr>
      </w:pPr>
    </w:p>
    <w:p w14:paraId="23B05471" w14:textId="4FCAB99A" w:rsidR="00440E61" w:rsidRDefault="00F72546" w:rsidP="00F72546">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Establecido lo anterior, se procede a analizar la respuesta d</w:t>
      </w:r>
      <w:r w:rsidRPr="00400D1B">
        <w:rPr>
          <w:rFonts w:ascii="Palatino Linotype" w:hAnsi="Palatino Linotype" w:cs="Tahoma"/>
          <w:sz w:val="22"/>
          <w:szCs w:val="22"/>
        </w:rPr>
        <w:t xml:space="preserve">el Sujeto Obligado </w:t>
      </w:r>
      <w:r>
        <w:rPr>
          <w:rFonts w:ascii="Palatino Linotype" w:hAnsi="Palatino Linotype" w:cs="Tahoma"/>
          <w:sz w:val="22"/>
          <w:szCs w:val="22"/>
        </w:rPr>
        <w:t xml:space="preserve">en la que proporcionó </w:t>
      </w:r>
      <w:r w:rsidR="00440E61">
        <w:rPr>
          <w:rFonts w:ascii="Palatino Linotype" w:hAnsi="Palatino Linotype" w:cs="Tahoma"/>
          <w:sz w:val="22"/>
          <w:szCs w:val="22"/>
        </w:rPr>
        <w:t>siete recibos de nómina, razón por la cual cabe precisar que el artículo 31 de su Bando Municipal señala que e</w:t>
      </w:r>
      <w:r w:rsidR="00440E61" w:rsidRPr="00440E61">
        <w:rPr>
          <w:rFonts w:ascii="Palatino Linotype" w:hAnsi="Palatino Linotype" w:cs="Tahoma"/>
          <w:sz w:val="22"/>
          <w:szCs w:val="22"/>
        </w:rPr>
        <w:t xml:space="preserve">l Ayuntamiento es el órgano de Gobierno a cuya decisión se someten los asuntos de la administración pública municipal, está integrado por una o un Presidente Municipal, una o un síndico y </w:t>
      </w:r>
      <w:r w:rsidR="00440E61" w:rsidRPr="00440E61">
        <w:rPr>
          <w:rFonts w:ascii="Palatino Linotype" w:hAnsi="Palatino Linotype" w:cs="Tahoma"/>
          <w:sz w:val="22"/>
          <w:szCs w:val="22"/>
          <w:u w:val="single"/>
        </w:rPr>
        <w:t>cuatro regidores (as), electos por planilla</w:t>
      </w:r>
      <w:r w:rsidR="00440E61" w:rsidRPr="00440E61">
        <w:rPr>
          <w:rFonts w:ascii="Palatino Linotype" w:hAnsi="Palatino Linotype" w:cs="Tahoma"/>
          <w:sz w:val="22"/>
          <w:szCs w:val="22"/>
        </w:rPr>
        <w:t xml:space="preserve"> según el </w:t>
      </w:r>
      <w:r w:rsidR="00440E61" w:rsidRPr="00440E61">
        <w:rPr>
          <w:rFonts w:ascii="Palatino Linotype" w:hAnsi="Palatino Linotype" w:cs="Tahoma"/>
          <w:sz w:val="22"/>
          <w:szCs w:val="22"/>
        </w:rPr>
        <w:lastRenderedPageBreak/>
        <w:t xml:space="preserve">principio de mayoría relativa. En adición a lo anterior habrá </w:t>
      </w:r>
      <w:r w:rsidR="00440E61" w:rsidRPr="00440E61">
        <w:rPr>
          <w:rFonts w:ascii="Palatino Linotype" w:hAnsi="Palatino Linotype" w:cs="Tahoma"/>
          <w:sz w:val="22"/>
          <w:szCs w:val="22"/>
          <w:u w:val="single"/>
        </w:rPr>
        <w:t>tres regidores (as) asignados según el principio de representación proporcional</w:t>
      </w:r>
      <w:r w:rsidR="00440E61">
        <w:rPr>
          <w:rFonts w:ascii="Palatino Linotype" w:hAnsi="Palatino Linotype" w:cs="Tahoma"/>
          <w:sz w:val="22"/>
          <w:szCs w:val="22"/>
        </w:rPr>
        <w:t>, por lo que se observa que en efecto son siete los regidores con los que cuenta el Ayuntamiento.</w:t>
      </w:r>
    </w:p>
    <w:p w14:paraId="2F3F2D33" w14:textId="25B5D8B8" w:rsidR="00440E61" w:rsidRDefault="00440E61" w:rsidP="00F72546">
      <w:pPr>
        <w:spacing w:line="360" w:lineRule="auto"/>
        <w:jc w:val="both"/>
        <w:rPr>
          <w:rFonts w:ascii="Palatino Linotype" w:hAnsi="Palatino Linotype" w:cs="Tahoma"/>
          <w:sz w:val="22"/>
          <w:szCs w:val="22"/>
        </w:rPr>
      </w:pPr>
    </w:p>
    <w:p w14:paraId="2CBE76EE" w14:textId="1CA16576" w:rsidR="004A2C87" w:rsidRPr="00907FE9" w:rsidRDefault="00440E61" w:rsidP="00907FE9">
      <w:pPr>
        <w:spacing w:line="360" w:lineRule="auto"/>
        <w:jc w:val="both"/>
        <w:rPr>
          <w:rFonts w:ascii="Palatino Linotype" w:hAnsi="Palatino Linotype" w:cs="Tahoma"/>
          <w:sz w:val="22"/>
          <w:szCs w:val="22"/>
        </w:rPr>
      </w:pPr>
      <w:r>
        <w:rPr>
          <w:rFonts w:ascii="Palatino Linotype" w:hAnsi="Palatino Linotype" w:cs="Tahoma"/>
          <w:sz w:val="22"/>
          <w:szCs w:val="22"/>
        </w:rPr>
        <w:t xml:space="preserve">Aunado a lo anterior, los recibos enviados únicamente corresponden a la segunda quincena de septiembre, por </w:t>
      </w:r>
      <w:r w:rsidR="00F14F5E">
        <w:rPr>
          <w:rFonts w:ascii="Palatino Linotype" w:hAnsi="Palatino Linotype" w:cs="Tahoma"/>
          <w:sz w:val="22"/>
          <w:szCs w:val="22"/>
        </w:rPr>
        <w:t>l</w:t>
      </w:r>
      <w:r>
        <w:rPr>
          <w:rFonts w:ascii="Palatino Linotype" w:hAnsi="Palatino Linotype" w:cs="Tahoma"/>
          <w:sz w:val="22"/>
          <w:szCs w:val="22"/>
        </w:rPr>
        <w:t>o que hace falta de la primera quincena de acuerdo a la temporalidad establecida anteriormente, además sobre los remitidos clasificó datos que son considerados públicos tales como la firma de servidores públicos y no aprobó mediante un acuerdo emitido por su Comité de Transparencia dicha versión pública, por lo que se proceden a analizar los datos que son y no considerados como confidenciales</w:t>
      </w:r>
      <w:r w:rsidR="00907FE9">
        <w:rPr>
          <w:rFonts w:ascii="Palatino Linotype" w:hAnsi="Palatino Linotype" w:cs="Tahoma"/>
          <w:sz w:val="22"/>
          <w:szCs w:val="22"/>
        </w:rPr>
        <w:t xml:space="preserve">, </w:t>
      </w:r>
      <w:r w:rsidR="004A2C87" w:rsidRPr="004A2C87">
        <w:rPr>
          <w:rFonts w:ascii="Palatino Linotype" w:hAnsi="Palatino Linotype" w:cs="Adelle Sans Devanagari"/>
          <w:bCs/>
          <w:iCs/>
          <w:sz w:val="22"/>
          <w:szCs w:val="22"/>
          <w:lang w:eastAsia="en-US"/>
        </w:rPr>
        <w:t>conforme a lo siguiente:</w:t>
      </w:r>
    </w:p>
    <w:p w14:paraId="21E55F88" w14:textId="77777777" w:rsidR="004A2C87" w:rsidRPr="004A2C87" w:rsidRDefault="004A2C87" w:rsidP="004A2C87">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778E9A6D" w14:textId="77777777" w:rsidR="004A2C87" w:rsidRPr="004A2C87"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Clave Única de Registro de Población;</w:t>
      </w:r>
    </w:p>
    <w:p w14:paraId="34C74661" w14:textId="77777777" w:rsidR="004A2C87" w:rsidRPr="004A2C87"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iCs/>
          <w:color w:val="000000"/>
          <w:sz w:val="22"/>
          <w:szCs w:val="24"/>
        </w:rPr>
      </w:pPr>
      <w:r w:rsidRPr="004A2C87">
        <w:rPr>
          <w:rFonts w:ascii="Palatino Linotype" w:hAnsi="Palatino Linotype" w:cs="Adelle Sans Devanagari"/>
          <w:bCs/>
          <w:iCs/>
          <w:color w:val="000000"/>
          <w:sz w:val="22"/>
          <w:szCs w:val="24"/>
        </w:rPr>
        <w:t>Registro Federal de Contribuyentes;</w:t>
      </w:r>
    </w:p>
    <w:p w14:paraId="5BE3B79A" w14:textId="77777777" w:rsidR="004A2C87" w:rsidRPr="004A2C87"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Código bidimensional o QR;</w:t>
      </w:r>
    </w:p>
    <w:p w14:paraId="4A0769E8" w14:textId="77777777" w:rsidR="004A2C87" w:rsidRPr="004A2C87"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1976D6C1" w14:textId="77777777" w:rsidR="004A2C87" w:rsidRPr="004A2C87"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Deducciones personales;</w:t>
      </w:r>
    </w:p>
    <w:p w14:paraId="7F196C0C" w14:textId="77777777" w:rsidR="004A2C87" w:rsidRPr="00E0412D"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 xml:space="preserve">Sellos </w:t>
      </w:r>
      <w:r w:rsidRPr="00E0412D">
        <w:rPr>
          <w:rFonts w:ascii="Palatino Linotype" w:hAnsi="Palatino Linotype" w:cs="Adelle Sans Devanagari"/>
          <w:bCs/>
          <w:color w:val="000000"/>
          <w:sz w:val="22"/>
          <w:szCs w:val="22"/>
          <w:lang w:val="es-ES" w:eastAsia="en-US"/>
        </w:rPr>
        <w:t>digitales del emisor y del Servicio de Administración Tributaria y cadena original del complemento de certificación digital del órgano previamente señalado;</w:t>
      </w:r>
    </w:p>
    <w:p w14:paraId="0D530292" w14:textId="1E21A48B" w:rsidR="001102E9" w:rsidRPr="00E0412D" w:rsidRDefault="001102E9"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E0412D">
        <w:rPr>
          <w:rFonts w:ascii="Palatino Linotype" w:hAnsi="Palatino Linotype" w:cs="Adelle Sans Devanagari"/>
          <w:bCs/>
          <w:color w:val="000000"/>
          <w:sz w:val="22"/>
          <w:szCs w:val="22"/>
          <w:lang w:val="es-ES" w:eastAsia="en-US"/>
        </w:rPr>
        <w:t>Folio fiscal</w:t>
      </w:r>
      <w:r w:rsidR="00281227" w:rsidRPr="00E0412D">
        <w:rPr>
          <w:rFonts w:ascii="Palatino Linotype" w:hAnsi="Palatino Linotype" w:cs="Adelle Sans Devanagari"/>
          <w:bCs/>
          <w:color w:val="000000"/>
          <w:sz w:val="22"/>
          <w:szCs w:val="22"/>
          <w:lang w:val="es-ES" w:eastAsia="en-US"/>
        </w:rPr>
        <w:t xml:space="preserve">, </w:t>
      </w:r>
    </w:p>
    <w:p w14:paraId="44965868" w14:textId="79C4516A" w:rsidR="001102E9" w:rsidRDefault="00F14F5E"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E0412D">
        <w:rPr>
          <w:rFonts w:ascii="Palatino Linotype" w:hAnsi="Palatino Linotype" w:cs="Adelle Sans Devanagari"/>
          <w:bCs/>
          <w:color w:val="000000"/>
          <w:sz w:val="22"/>
          <w:szCs w:val="22"/>
          <w:lang w:val="es-ES" w:eastAsia="en-US"/>
        </w:rPr>
        <w:t>Número</w:t>
      </w:r>
      <w:r w:rsidR="001102E9" w:rsidRPr="00E0412D">
        <w:rPr>
          <w:rFonts w:ascii="Palatino Linotype" w:hAnsi="Palatino Linotype" w:cs="Adelle Sans Devanagari"/>
          <w:bCs/>
          <w:color w:val="000000"/>
          <w:sz w:val="22"/>
          <w:szCs w:val="22"/>
          <w:lang w:val="es-ES" w:eastAsia="en-US"/>
        </w:rPr>
        <w:t xml:space="preserve"> de cuenta bancario </w:t>
      </w:r>
    </w:p>
    <w:p w14:paraId="4D4C3595" w14:textId="412711F5" w:rsidR="00907FE9" w:rsidRPr="00E0412D" w:rsidRDefault="00907FE9"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Pr>
          <w:rFonts w:ascii="Palatino Linotype" w:hAnsi="Palatino Linotype" w:cs="Adelle Sans Devanagari"/>
          <w:bCs/>
          <w:color w:val="000000"/>
          <w:sz w:val="22"/>
          <w:szCs w:val="22"/>
          <w:lang w:val="es-ES" w:eastAsia="en-US"/>
        </w:rPr>
        <w:t>Firma de servidores públicos</w:t>
      </w:r>
    </w:p>
    <w:p w14:paraId="56CA5E8E" w14:textId="77777777" w:rsidR="004A2C87" w:rsidRPr="004A2C87" w:rsidRDefault="004A2C87" w:rsidP="004A2C87">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2C9A4015"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4A2C87">
        <w:rPr>
          <w:rFonts w:ascii="Palatino Linotype" w:hAnsi="Palatino Linotype" w:cs="Adelle Sans Devanagari"/>
          <w:bCs/>
          <w:iCs/>
          <w:color w:val="000000"/>
          <w:sz w:val="22"/>
          <w:szCs w:val="22"/>
          <w:lang w:eastAsia="es-MX"/>
        </w:rPr>
        <w:t xml:space="preserve">, el artículo 143, fracción I, de la Ley de la materia, establece que la información privada y los </w:t>
      </w:r>
      <w:r w:rsidRPr="004A2C87">
        <w:rPr>
          <w:rFonts w:ascii="Palatino Linotype" w:hAnsi="Palatino Linotype" w:cs="Adelle Sans Devanagari"/>
          <w:bCs/>
          <w:iCs/>
          <w:color w:val="000000"/>
          <w:sz w:val="22"/>
          <w:szCs w:val="22"/>
          <w:lang w:eastAsia="es-MX"/>
        </w:rPr>
        <w:lastRenderedPageBreak/>
        <w:t>datos personales, concernientes a una persona física o jurídica colectiva identificada o identificable son confidenciales.</w:t>
      </w:r>
    </w:p>
    <w:p w14:paraId="34993EF2"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610912B"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49E14DB"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6F9307AC"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769A43E6"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172BB67C" w14:textId="77777777" w:rsidR="004A2C87" w:rsidRPr="004A2C87" w:rsidRDefault="004A2C87" w:rsidP="004A2C87">
      <w:pPr>
        <w:numPr>
          <w:ilvl w:val="0"/>
          <w:numId w:val="11"/>
        </w:num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03046421" w14:textId="77777777" w:rsidR="004A2C87" w:rsidRPr="004A2C87" w:rsidRDefault="004A2C87" w:rsidP="004A2C87">
      <w:pPr>
        <w:spacing w:line="360" w:lineRule="auto"/>
        <w:ind w:left="720"/>
        <w:contextualSpacing/>
        <w:jc w:val="both"/>
        <w:rPr>
          <w:rFonts w:ascii="Palatino Linotype" w:hAnsi="Palatino Linotype" w:cs="Adelle Sans Devanagari"/>
          <w:bCs/>
          <w:iCs/>
          <w:color w:val="000000"/>
          <w:sz w:val="22"/>
          <w:szCs w:val="22"/>
          <w:lang w:eastAsia="es-MX"/>
        </w:rPr>
      </w:pPr>
    </w:p>
    <w:p w14:paraId="5A81F87D" w14:textId="77777777" w:rsidR="004A2C87" w:rsidRPr="004A2C87" w:rsidRDefault="004A2C87" w:rsidP="004A2C87">
      <w:pPr>
        <w:numPr>
          <w:ilvl w:val="0"/>
          <w:numId w:val="11"/>
        </w:num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Para la difusión de los datos, se requiera el consentimiento del titular. </w:t>
      </w:r>
    </w:p>
    <w:p w14:paraId="4726BD96"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3443FCBC"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4A2C87">
        <w:rPr>
          <w:rFonts w:ascii="Palatino Linotype" w:hAnsi="Palatino Linotype" w:cs="Adelle Sans Devanagari"/>
          <w:bCs/>
          <w:iCs/>
          <w:color w:val="000000"/>
          <w:sz w:val="22"/>
          <w:szCs w:val="22"/>
          <w:lang w:eastAsia="es-MX"/>
        </w:rPr>
        <w:lastRenderedPageBreak/>
        <w:t>cualquier documento informativo físico o electrónico), establecida en cualquier formato o modalidad. Bajo ese contexto, se analizarán si los datos mencionados de manera enunciativa son confidenciales o públicos.</w:t>
      </w:r>
    </w:p>
    <w:p w14:paraId="2F437896"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4A75E67D" w14:textId="77777777" w:rsidR="004A2C87" w:rsidRPr="004A2C87" w:rsidRDefault="004A2C87" w:rsidP="004A2C87">
      <w:pPr>
        <w:numPr>
          <w:ilvl w:val="0"/>
          <w:numId w:val="12"/>
        </w:numPr>
        <w:spacing w:after="160" w:line="360" w:lineRule="auto"/>
        <w:contextualSpacing/>
        <w:jc w:val="both"/>
        <w:rPr>
          <w:rFonts w:ascii="Palatino Linotype" w:hAnsi="Palatino Linotype" w:cs="Adelle Sans Devanagari"/>
          <w:b/>
          <w:color w:val="000000"/>
          <w:sz w:val="22"/>
          <w:szCs w:val="22"/>
          <w:lang w:val="es-ES" w:eastAsia="en-US"/>
        </w:rPr>
      </w:pPr>
      <w:r w:rsidRPr="004A2C87">
        <w:rPr>
          <w:rFonts w:ascii="Palatino Linotype" w:hAnsi="Palatino Linotype" w:cs="Adelle Sans Devanagari"/>
          <w:b/>
          <w:color w:val="000000"/>
          <w:sz w:val="22"/>
          <w:szCs w:val="22"/>
          <w:lang w:val="es-ES" w:eastAsia="en-US"/>
        </w:rPr>
        <w:t>Clave Única de Registro de Población (CURP)</w:t>
      </w:r>
    </w:p>
    <w:p w14:paraId="281814A4"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3EDC9924"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FEBD172"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04CED451"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DB3C8FF"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4532A080"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En ese orden de ideas, la Secretaría de Gobernación en las direcciones https://consultas.curp.gob.mx/CurpSP/html/informacionecurpPS.html y https://www.gob.mx/segob/renapo/acciones-y-programas/clave-unica-de-registro-de-</w:t>
      </w:r>
    </w:p>
    <w:p w14:paraId="42441B60"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A2C87">
        <w:rPr>
          <w:rFonts w:ascii="Palatino Linotype" w:hAnsi="Palatino Linotype" w:cs="Adelle Sans Devanagari"/>
          <w:b/>
          <w:color w:val="000000"/>
          <w:sz w:val="22"/>
          <w:szCs w:val="22"/>
          <w:lang w:val="es-ES" w:eastAsia="en-US"/>
        </w:rPr>
        <w:t xml:space="preserve">se generan a partir de los datos contenidos en el </w:t>
      </w:r>
      <w:r w:rsidRPr="004A2C87">
        <w:rPr>
          <w:rFonts w:ascii="Palatino Linotype" w:hAnsi="Palatino Linotype" w:cs="Adelle Sans Devanagari"/>
          <w:b/>
          <w:color w:val="000000"/>
          <w:sz w:val="22"/>
          <w:szCs w:val="22"/>
          <w:lang w:val="es-ES" w:eastAsia="en-US"/>
        </w:rPr>
        <w:lastRenderedPageBreak/>
        <w:t>documento probatorio de la identidad del interesado</w:t>
      </w:r>
      <w:r w:rsidRPr="004A2C87">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49DB19A7" w14:textId="77777777" w:rsidR="004A2C87" w:rsidRPr="004A2C87"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7573E518" w14:textId="77777777" w:rsidR="004A2C87" w:rsidRPr="004A2C87"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primero y segundo apellidos, así como al nombre de pila;</w:t>
      </w:r>
    </w:p>
    <w:p w14:paraId="7A28CA38" w14:textId="77777777" w:rsidR="004A2C87" w:rsidRPr="004A2C87"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La fecha de nacimiento;</w:t>
      </w:r>
    </w:p>
    <w:p w14:paraId="09E2B3F8" w14:textId="77777777" w:rsidR="004A2C87" w:rsidRPr="004A2C87"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El sexo, y</w:t>
      </w:r>
    </w:p>
    <w:p w14:paraId="591EDAAE" w14:textId="77777777" w:rsidR="004A2C87" w:rsidRPr="004A2C87"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La entidad federativa de nacimiento.</w:t>
      </w:r>
    </w:p>
    <w:p w14:paraId="0FB817C9"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47533F1"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3F5667B0"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0D49B2F"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4A2C87">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7524885"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AB4E644"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Situación que se robustece,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SO/018/2017</w:t>
      </w:r>
      <w:r w:rsidRPr="004A2C87">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28F29147"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CBC0AB6" w14:textId="77777777" w:rsidR="004A2C87" w:rsidRPr="004A2C87" w:rsidRDefault="004A2C87" w:rsidP="004A2C87">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 xml:space="preserve">“Clave Única de Registro de Población (CURP). </w:t>
      </w:r>
      <w:r w:rsidRPr="004A2C87">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w:t>
      </w:r>
      <w:r w:rsidRPr="004A2C87">
        <w:rPr>
          <w:rFonts w:ascii="Palatino Linotype" w:hAnsi="Palatino Linotype" w:cs="Adelle Sans Devanagari"/>
          <w:bCs/>
          <w:i/>
          <w:iCs/>
          <w:color w:val="000000"/>
          <w:lang w:eastAsia="es-MX"/>
        </w:rPr>
        <w:lastRenderedPageBreak/>
        <w:t xml:space="preserve">información que distingue plenamente a una persona física del resto de los habitantes del país, por lo que la CURP está considerada como información confidencial.” </w:t>
      </w:r>
    </w:p>
    <w:p w14:paraId="54F3D19E" w14:textId="77777777" w:rsidR="004A2C87" w:rsidRPr="004A2C87" w:rsidRDefault="004A2C87" w:rsidP="004A2C87">
      <w:pPr>
        <w:spacing w:after="160" w:line="360" w:lineRule="auto"/>
        <w:contextualSpacing/>
        <w:jc w:val="both"/>
        <w:rPr>
          <w:rFonts w:ascii="Palatino Linotype" w:hAnsi="Palatino Linotype" w:cs="Adelle Sans Devanagari"/>
          <w:bCs/>
          <w:i/>
          <w:iCs/>
          <w:color w:val="000000"/>
          <w:sz w:val="22"/>
          <w:szCs w:val="22"/>
          <w:lang w:eastAsia="es-MX"/>
        </w:rPr>
      </w:pPr>
    </w:p>
    <w:p w14:paraId="28BD6AA6"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con lo anterior, resulta procedente la clasificación de </w:t>
      </w:r>
      <w:r w:rsidRPr="004A2C87">
        <w:rPr>
          <w:rFonts w:ascii="Palatino Linotype" w:hAnsi="Palatino Linotype" w:cs="Adelle Sans Devanagari"/>
          <w:b/>
          <w:bCs/>
          <w:iCs/>
          <w:color w:val="000000"/>
          <w:sz w:val="22"/>
          <w:szCs w:val="22"/>
          <w:lang w:eastAsia="es-MX"/>
        </w:rPr>
        <w:t>la Clave Única de Registro de Población</w:t>
      </w:r>
      <w:r w:rsidRPr="004A2C87">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05B12A64" w14:textId="77777777" w:rsidR="004A2C87" w:rsidRPr="004A2C87"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8B3E7C3" w14:textId="77777777" w:rsidR="004A2C87" w:rsidRPr="004A2C87" w:rsidRDefault="004A2C87" w:rsidP="004A2C87">
      <w:pPr>
        <w:numPr>
          <w:ilvl w:val="0"/>
          <w:numId w:val="12"/>
        </w:numPr>
        <w:spacing w:after="160" w:line="360" w:lineRule="auto"/>
        <w:contextualSpacing/>
        <w:jc w:val="both"/>
        <w:rPr>
          <w:rFonts w:ascii="Palatino Linotype" w:hAnsi="Palatino Linotype" w:cs="Adelle Sans Devanagari"/>
          <w:b/>
          <w:bCs/>
          <w:iCs/>
          <w:color w:val="000000"/>
          <w:sz w:val="22"/>
          <w:szCs w:val="22"/>
          <w:lang w:val="es-ES_tradnl" w:eastAsia="es-MX"/>
        </w:rPr>
      </w:pPr>
      <w:r w:rsidRPr="004A2C87">
        <w:rPr>
          <w:rFonts w:ascii="Palatino Linotype" w:hAnsi="Palatino Linotype" w:cs="Adelle Sans Devanagari"/>
          <w:b/>
          <w:bCs/>
          <w:iCs/>
          <w:color w:val="000000"/>
          <w:sz w:val="22"/>
          <w:szCs w:val="22"/>
          <w:lang w:val="es-ES_tradnl" w:eastAsia="es-MX"/>
        </w:rPr>
        <w:t>Registro Federal de Contribuyentes (RFC)</w:t>
      </w:r>
    </w:p>
    <w:p w14:paraId="28CF0ED7"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2A791045"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171E975"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0A15DE70"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4A2C87">
        <w:rPr>
          <w:rFonts w:ascii="Palatino Linotype" w:hAnsi="Palatino Linotype" w:cs="Adelle Sans Devanagari"/>
          <w:bCs/>
          <w:iCs/>
          <w:color w:val="000000"/>
          <w:sz w:val="22"/>
          <w:szCs w:val="22"/>
          <w:lang w:eastAsia="es-MX"/>
        </w:rPr>
        <w:t>homoclave</w:t>
      </w:r>
      <w:proofErr w:type="spellEnd"/>
      <w:r w:rsidRPr="004A2C87">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04031342"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05067C2C"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4A2C87">
        <w:rPr>
          <w:rFonts w:ascii="Palatino Linotype" w:hAnsi="Palatino Linotype" w:cs="Adelle Sans Devanagari"/>
          <w:bCs/>
          <w:iCs/>
          <w:color w:val="000000"/>
          <w:sz w:val="22"/>
          <w:szCs w:val="22"/>
          <w:lang w:eastAsia="es-MX"/>
        </w:rPr>
        <w:lastRenderedPageBreak/>
        <w:t>contribuyentes; mientras que los particulares tramitan dicho dato, con el único propósito de realizar mediante esa clave de identificación, operaciones o actividades de naturaleza fiscal.</w:t>
      </w:r>
    </w:p>
    <w:p w14:paraId="64D64DC1"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0C71DC4A"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71CC5B9"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5D9FE94"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Lo anterior, resulta congruente con el </w:t>
      </w:r>
      <w:r w:rsidRPr="004A2C87">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4A2C87">
        <w:rPr>
          <w:rFonts w:ascii="Palatino Linotype" w:eastAsia="Calibri" w:hAnsi="Palatino Linotype" w:cs="Adelle Sans Devanagari"/>
          <w:bCs/>
          <w:iCs/>
          <w:color w:val="000000"/>
          <w:sz w:val="22"/>
          <w:szCs w:val="22"/>
          <w:lang w:eastAsia="en-US"/>
        </w:rPr>
        <w:t xml:space="preserve">SO/019/2017, </w:t>
      </w:r>
      <w:r w:rsidRPr="004A2C87">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470872B2"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2A24E51E" w14:textId="77777777" w:rsidR="004A2C87" w:rsidRPr="004A2C87" w:rsidRDefault="004A2C87" w:rsidP="004A2C87">
      <w:pPr>
        <w:spacing w:line="360" w:lineRule="auto"/>
        <w:ind w:left="567" w:right="567"/>
        <w:contextualSpacing/>
        <w:jc w:val="both"/>
        <w:rPr>
          <w:rFonts w:ascii="Palatino Linotype" w:hAnsi="Palatino Linotype" w:cs="Adelle Sans Devanagari"/>
          <w:bCs/>
          <w:i/>
          <w:iCs/>
          <w:color w:val="000000"/>
          <w:lang w:eastAsia="es-MX"/>
        </w:rPr>
      </w:pPr>
      <w:r w:rsidRPr="004A2C87">
        <w:rPr>
          <w:rFonts w:ascii="Palatino Linotype" w:hAnsi="Palatino Linotype" w:cs="Adelle Sans Devanagari"/>
          <w:b/>
          <w:bCs/>
          <w:i/>
          <w:iCs/>
          <w:color w:val="000000"/>
          <w:lang w:eastAsia="es-MX"/>
        </w:rPr>
        <w:t>“Registro Federal de Contribuyentes (RFC) de personas físicas.</w:t>
      </w:r>
      <w:r w:rsidRPr="004A2C87">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64766A31"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2DD4BFC8"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4A2C87">
        <w:rPr>
          <w:rFonts w:ascii="Palatino Linotype" w:hAnsi="Palatino Linotype" w:cs="Adelle Sans Devanagari"/>
          <w:b/>
          <w:iCs/>
          <w:color w:val="000000"/>
          <w:sz w:val="22"/>
          <w:szCs w:val="22"/>
          <w:lang w:eastAsia="es-MX"/>
        </w:rPr>
        <w:t xml:space="preserve"> </w:t>
      </w:r>
    </w:p>
    <w:p w14:paraId="55CE174C"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5E60AEED" w14:textId="77777777" w:rsidR="004A2C87" w:rsidRPr="004A2C87" w:rsidRDefault="004A2C87" w:rsidP="004A2C87">
      <w:pPr>
        <w:numPr>
          <w:ilvl w:val="0"/>
          <w:numId w:val="9"/>
        </w:numPr>
        <w:spacing w:after="160" w:line="360" w:lineRule="auto"/>
        <w:contextualSpacing/>
        <w:jc w:val="both"/>
        <w:rPr>
          <w:rFonts w:ascii="Palatino Linotype" w:eastAsia="Calibri" w:hAnsi="Palatino Linotype" w:cs="Adelle Sans Devanagari"/>
          <w:b/>
          <w:bCs/>
          <w:iCs/>
          <w:color w:val="000000"/>
          <w:sz w:val="22"/>
          <w:szCs w:val="22"/>
          <w:lang w:eastAsia="en-US"/>
        </w:rPr>
      </w:pPr>
      <w:r w:rsidRPr="004A2C87">
        <w:rPr>
          <w:rFonts w:ascii="Palatino Linotype" w:eastAsia="Calibri" w:hAnsi="Palatino Linotype" w:cs="Adelle Sans Devanagari"/>
          <w:b/>
          <w:bCs/>
          <w:iCs/>
          <w:color w:val="000000"/>
          <w:sz w:val="22"/>
          <w:szCs w:val="22"/>
          <w:lang w:eastAsia="en-US"/>
        </w:rPr>
        <w:t xml:space="preserve">Código bidimensional o </w:t>
      </w:r>
      <w:proofErr w:type="spellStart"/>
      <w:r w:rsidRPr="004A2C87">
        <w:rPr>
          <w:rFonts w:ascii="Palatino Linotype" w:eastAsia="Calibri" w:hAnsi="Palatino Linotype" w:cs="Adelle Sans Devanagari"/>
          <w:b/>
          <w:bCs/>
          <w:iCs/>
          <w:color w:val="000000"/>
          <w:sz w:val="22"/>
          <w:szCs w:val="22"/>
          <w:lang w:eastAsia="en-US"/>
        </w:rPr>
        <w:t>Qr</w:t>
      </w:r>
      <w:proofErr w:type="spellEnd"/>
    </w:p>
    <w:p w14:paraId="3E239EA7" w14:textId="77777777" w:rsidR="004A2C87" w:rsidRPr="004A2C87" w:rsidRDefault="004A2C87" w:rsidP="004A2C87">
      <w:pPr>
        <w:spacing w:after="160" w:line="360" w:lineRule="auto"/>
        <w:contextualSpacing/>
        <w:jc w:val="both"/>
        <w:rPr>
          <w:rFonts w:ascii="Palatino Linotype" w:eastAsia="Calibri" w:hAnsi="Palatino Linotype" w:cs="Adelle Sans Devanagari"/>
          <w:b/>
          <w:bCs/>
          <w:iCs/>
          <w:color w:val="000000"/>
          <w:sz w:val="22"/>
          <w:szCs w:val="22"/>
          <w:lang w:eastAsia="en-US"/>
        </w:rPr>
      </w:pPr>
    </w:p>
    <w:p w14:paraId="778A3D5D" w14:textId="77777777" w:rsidR="004A2C87" w:rsidRPr="004A2C87"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lastRenderedPageBreak/>
        <w:t xml:space="preserve">En principio, resulta necesario señalar que los comprobantes fiscales digitales por Internet, deben de incluir un código bidimensional conforme al formato </w:t>
      </w:r>
      <w:r w:rsidRPr="004A2C87">
        <w:rPr>
          <w:rFonts w:ascii="Palatino Linotype" w:eastAsia="Calibri" w:hAnsi="Palatino Linotype" w:cs="Adelle Sans Devanagari"/>
          <w:bCs/>
          <w:i/>
          <w:color w:val="000000"/>
          <w:sz w:val="22"/>
          <w:szCs w:val="22"/>
          <w:lang w:eastAsia="en-US"/>
        </w:rPr>
        <w:t xml:space="preserve">QR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 xml:space="preserve"> (Quick Response </w:t>
      </w:r>
      <w:proofErr w:type="spellStart"/>
      <w:r w:rsidRPr="004A2C87">
        <w:rPr>
          <w:rFonts w:ascii="Palatino Linotype" w:eastAsia="Calibri" w:hAnsi="Palatino Linotype" w:cs="Adelle Sans Devanagari"/>
          <w:bCs/>
          <w:i/>
          <w:color w:val="000000"/>
          <w:sz w:val="22"/>
          <w:szCs w:val="22"/>
          <w:lang w:eastAsia="en-US"/>
        </w:rPr>
        <w:t>Code</w:t>
      </w:r>
      <w:proofErr w:type="spellEnd"/>
      <w:r w:rsidRPr="004A2C87">
        <w:rPr>
          <w:rFonts w:ascii="Palatino Linotype" w:eastAsia="Calibri" w:hAnsi="Palatino Linotype" w:cs="Adelle Sans Devanagari"/>
          <w:bCs/>
          <w:i/>
          <w:color w:val="000000"/>
          <w:sz w:val="22"/>
          <w:szCs w:val="22"/>
          <w:lang w:eastAsia="en-US"/>
        </w:rPr>
        <w:t>)</w:t>
      </w:r>
      <w:r w:rsidRPr="004A2C87">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4A2C87">
          <w:rPr>
            <w:rFonts w:ascii="Palatino Linotype" w:eastAsia="Calibri" w:hAnsi="Palatino Linotype" w:cs="Adelle Sans Devanagari"/>
            <w:bCs/>
            <w:color w:val="0563C1"/>
            <w:sz w:val="22"/>
            <w:szCs w:val="22"/>
            <w:u w:val="single"/>
            <w:lang w:eastAsia="en-US"/>
          </w:rPr>
          <w:t>http://dof.gob.mx/nota_detalle.php?codigo=5492254&amp;fecha=28/07/2017</w:t>
        </w:r>
      </w:hyperlink>
      <w:r w:rsidRPr="004A2C87">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0D610AAE" w14:textId="77777777" w:rsidR="004A2C87" w:rsidRPr="004A2C87"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p>
    <w:p w14:paraId="5EE36C48" w14:textId="77777777" w:rsidR="004A2C87" w:rsidRPr="004A2C87"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r w:rsidRPr="004A2C87">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5BDF367" w14:textId="77777777" w:rsidR="004A2C87" w:rsidRPr="004A2C87"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p>
    <w:p w14:paraId="732F89CF" w14:textId="77777777" w:rsidR="004A2C87" w:rsidRPr="004A2C87" w:rsidRDefault="004A2C87" w:rsidP="004A2C87">
      <w:pPr>
        <w:numPr>
          <w:ilvl w:val="0"/>
          <w:numId w:val="9"/>
        </w:numPr>
        <w:spacing w:after="160" w:line="360" w:lineRule="auto"/>
        <w:contextualSpacing/>
        <w:jc w:val="both"/>
        <w:rPr>
          <w:rFonts w:ascii="Palatino Linotype" w:hAnsi="Palatino Linotype" w:cs="Adelle Sans Devanagari"/>
          <w:b/>
          <w:bCs/>
          <w:iCs/>
          <w:color w:val="000000"/>
          <w:sz w:val="22"/>
          <w:szCs w:val="22"/>
          <w:lang w:eastAsia="es-MX"/>
        </w:rPr>
      </w:pPr>
      <w:r w:rsidRPr="004A2C87">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01C6D0C6" w14:textId="77777777" w:rsidR="004A2C87" w:rsidRPr="004A2C87" w:rsidRDefault="004A2C87" w:rsidP="004A2C87">
      <w:pPr>
        <w:spacing w:after="160" w:line="360" w:lineRule="auto"/>
        <w:contextualSpacing/>
        <w:jc w:val="both"/>
        <w:rPr>
          <w:rFonts w:ascii="Palatino Linotype" w:hAnsi="Palatino Linotype" w:cs="Adelle Sans Devanagari"/>
          <w:b/>
          <w:bCs/>
          <w:iCs/>
          <w:color w:val="000000"/>
          <w:sz w:val="22"/>
          <w:szCs w:val="22"/>
          <w:lang w:eastAsia="es-MX"/>
        </w:rPr>
      </w:pPr>
    </w:p>
    <w:p w14:paraId="4343F819"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191AB75"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6C6B5FD9"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w:t>
      </w:r>
      <w:r w:rsidRPr="004A2C87">
        <w:rPr>
          <w:rFonts w:ascii="Palatino Linotype" w:hAnsi="Palatino Linotype" w:cs="Adelle Sans Devanagari"/>
          <w:bCs/>
          <w:iCs/>
          <w:color w:val="000000"/>
          <w:sz w:val="22"/>
          <w:szCs w:val="22"/>
          <w:lang w:eastAsia="es-MX"/>
        </w:rPr>
        <w:lastRenderedPageBreak/>
        <w:t xml:space="preserve">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4A2C87">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6E48F872"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00702DEC"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4A2C87">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A9E57A0" w14:textId="77777777" w:rsidR="004A2C87" w:rsidRPr="004A2C87"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57948B5D" w14:textId="77777777" w:rsidR="004A2C87" w:rsidRPr="004A2C87" w:rsidRDefault="004A2C87" w:rsidP="004A2C87">
      <w:pPr>
        <w:spacing w:after="160" w:line="360" w:lineRule="auto"/>
        <w:contextualSpacing/>
        <w:jc w:val="both"/>
        <w:rPr>
          <w:rFonts w:ascii="Palatino Linotype" w:hAnsi="Palatino Linotype" w:cs="Adelle Sans Devanagari"/>
          <w:b/>
          <w:iCs/>
          <w:color w:val="000000"/>
          <w:sz w:val="22"/>
          <w:szCs w:val="22"/>
          <w:lang w:eastAsia="es-MX"/>
        </w:rPr>
      </w:pPr>
      <w:r w:rsidRPr="004A2C87">
        <w:rPr>
          <w:rFonts w:ascii="Palatino Linotype" w:hAnsi="Palatino Linotype" w:cs="Adelle Sans Devanagari"/>
          <w:bCs/>
          <w:iCs/>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8B345D9" w14:textId="77777777" w:rsidR="004A2C87" w:rsidRPr="004A2C87"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108B9896" w14:textId="77777777" w:rsidR="004A2C87" w:rsidRPr="004A2C87" w:rsidRDefault="004A2C87" w:rsidP="004A2C87">
      <w:pPr>
        <w:numPr>
          <w:ilvl w:val="0"/>
          <w:numId w:val="14"/>
        </w:numPr>
        <w:spacing w:after="160"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b/>
          <w:bCs/>
          <w:color w:val="000000"/>
          <w:sz w:val="22"/>
          <w:szCs w:val="22"/>
          <w:lang w:eastAsia="en-US"/>
        </w:rPr>
        <w:t>Descuentos personales</w:t>
      </w:r>
    </w:p>
    <w:p w14:paraId="5669649E" w14:textId="77777777" w:rsidR="004A2C87" w:rsidRPr="004A2C87"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2445EF18"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 xml:space="preserve">Es necesario precisar que existen deducciones que se generan con motivo de una decisión libre y voluntaria de los servidores públicos, como son: créditos personales, cuotas sindicales, los </w:t>
      </w:r>
      <w:r w:rsidRPr="004A2C87">
        <w:rPr>
          <w:rFonts w:ascii="Palatino Linotype" w:eastAsia="Calibri" w:hAnsi="Palatino Linotype" w:cs="Adelle Sans Devanagari"/>
          <w:color w:val="000000"/>
          <w:sz w:val="22"/>
          <w:szCs w:val="22"/>
          <w:lang w:eastAsia="en-US"/>
        </w:rPr>
        <w:lastRenderedPageBreak/>
        <w:t>fondos de resistencia, de mutualidad y de ahorro del Sindicato Único de Trabajadores de los Poderes, Municipios e Institución Descentralizadas del Estado de México, seguro de vida, accidentes y enfermedades.</w:t>
      </w:r>
    </w:p>
    <w:p w14:paraId="29F24290"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4DF055CB"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18183187"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7330C748"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4A2C87">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159FAAF" w14:textId="77777777" w:rsidR="004A2C87" w:rsidRPr="004A2C87"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63F2EA35" w14:textId="77777777" w:rsidR="004A2C87" w:rsidRPr="004A2C87"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r w:rsidRPr="004A2C87">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790FDCE6" w14:textId="77777777" w:rsidR="004A2C87" w:rsidRPr="004A2C87"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709A681A" w14:textId="77777777" w:rsidR="004A2C87" w:rsidRPr="004A2C87" w:rsidRDefault="004A2C87" w:rsidP="004A2C87">
      <w:pPr>
        <w:numPr>
          <w:ilvl w:val="0"/>
          <w:numId w:val="9"/>
        </w:numPr>
        <w:spacing w:after="160" w:line="360" w:lineRule="auto"/>
        <w:contextualSpacing/>
        <w:jc w:val="both"/>
        <w:rPr>
          <w:rFonts w:ascii="Palatino Linotype" w:hAnsi="Palatino Linotype" w:cs="Adelle Sans Devanagari"/>
          <w:bCs/>
          <w:color w:val="000000"/>
          <w:sz w:val="22"/>
          <w:szCs w:val="22"/>
        </w:rPr>
      </w:pPr>
      <w:r w:rsidRPr="004A2C87">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6E9893B8" w14:textId="77777777" w:rsidR="004A2C87" w:rsidRPr="004A2C87" w:rsidRDefault="004A2C87" w:rsidP="004A2C87">
      <w:pPr>
        <w:spacing w:line="360" w:lineRule="auto"/>
        <w:ind w:left="720"/>
        <w:contextualSpacing/>
        <w:jc w:val="both"/>
        <w:rPr>
          <w:rFonts w:ascii="Palatino Linotype" w:hAnsi="Palatino Linotype" w:cs="Adelle Sans Devanagari"/>
          <w:bCs/>
          <w:color w:val="000000"/>
          <w:sz w:val="22"/>
          <w:szCs w:val="22"/>
        </w:rPr>
      </w:pPr>
    </w:p>
    <w:p w14:paraId="6E67F7CC" w14:textId="77777777" w:rsidR="004A2C87" w:rsidRPr="004A2C87" w:rsidRDefault="004A2C87" w:rsidP="004A2C87">
      <w:pPr>
        <w:spacing w:line="360" w:lineRule="auto"/>
        <w:contextualSpacing/>
        <w:jc w:val="both"/>
        <w:rPr>
          <w:rFonts w:ascii="Palatino Linotype" w:hAnsi="Palatino Linotype" w:cs="Adelle Sans Devanagari"/>
          <w:bCs/>
          <w:color w:val="000000"/>
          <w:sz w:val="22"/>
          <w:szCs w:val="22"/>
          <w:lang w:val="es-ES"/>
        </w:rPr>
      </w:pPr>
      <w:r w:rsidRPr="004A2C87">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59A33FD" w14:textId="77777777" w:rsidR="004A2C87" w:rsidRPr="004A2C87" w:rsidRDefault="004A2C87" w:rsidP="004A2C87">
      <w:pPr>
        <w:spacing w:line="360" w:lineRule="auto"/>
        <w:contextualSpacing/>
        <w:jc w:val="both"/>
        <w:rPr>
          <w:rFonts w:ascii="Palatino Linotype" w:hAnsi="Palatino Linotype" w:cs="Adelle Sans Devanagari"/>
          <w:bCs/>
          <w:color w:val="000000"/>
          <w:sz w:val="22"/>
          <w:szCs w:val="22"/>
          <w:lang w:val="es-ES"/>
        </w:rPr>
      </w:pPr>
      <w:r w:rsidRPr="004A2C87">
        <w:rPr>
          <w:rFonts w:ascii="Palatino Linotype" w:hAnsi="Palatino Linotype" w:cs="Adelle Sans Devanagari"/>
          <w:bCs/>
          <w:color w:val="000000"/>
          <w:sz w:val="22"/>
          <w:szCs w:val="22"/>
          <w:lang w:val="es-ES"/>
        </w:rPr>
        <w:t> </w:t>
      </w:r>
    </w:p>
    <w:p w14:paraId="27C93386" w14:textId="77777777" w:rsidR="004A2C87" w:rsidRPr="004A2C87" w:rsidRDefault="004A2C87" w:rsidP="004A2C87">
      <w:pPr>
        <w:spacing w:line="360" w:lineRule="auto"/>
        <w:contextualSpacing/>
        <w:jc w:val="both"/>
        <w:rPr>
          <w:rFonts w:ascii="Palatino Linotype" w:hAnsi="Palatino Linotype" w:cs="Adelle Sans Devanagari"/>
          <w:bCs/>
          <w:color w:val="000000"/>
          <w:sz w:val="22"/>
          <w:szCs w:val="22"/>
          <w:lang w:val="es-ES"/>
        </w:rPr>
      </w:pPr>
      <w:r w:rsidRPr="004A2C87">
        <w:rPr>
          <w:rFonts w:ascii="Palatino Linotype" w:hAnsi="Palatino Linotype" w:cs="Adelle Sans Devanagari"/>
          <w:color w:val="000000"/>
          <w:sz w:val="22"/>
          <w:szCs w:val="22"/>
          <w:lang w:val="es-ES"/>
        </w:rPr>
        <w:t>Las cadenas originales y sellos que se agregan a las facturas</w:t>
      </w:r>
      <w:r w:rsidRPr="004A2C87">
        <w:rPr>
          <w:rFonts w:ascii="Palatino Linotype" w:hAnsi="Palatino Linotype" w:cs="Adelle Sans Devanagari"/>
          <w:b/>
          <w:bCs/>
          <w:color w:val="000000"/>
          <w:sz w:val="22"/>
          <w:szCs w:val="22"/>
          <w:lang w:val="es-ES"/>
        </w:rPr>
        <w:t>,</w:t>
      </w:r>
      <w:r w:rsidRPr="004A2C87">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6CCA6183"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p>
    <w:p w14:paraId="2B0BC385"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Elementos utilizados en la generación de Sellos Digitales:</w:t>
      </w:r>
    </w:p>
    <w:p w14:paraId="7D589290"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r w:rsidRPr="004A2C87">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49FBA8EE"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r w:rsidRPr="004A2C87">
        <w:rPr>
          <w:rFonts w:ascii="Palatino Linotype" w:eastAsia="Calibri" w:hAnsi="Palatino Linotype" w:cs="Adelle Sans Devanagari"/>
          <w:bCs/>
          <w:i/>
          <w:color w:val="000000"/>
          <w:lang w:val="es-ES" w:eastAsia="en-US"/>
        </w:rPr>
        <w:tab/>
        <w:t>Certificado de Sello Digital y su correspondiente clave privada.</w:t>
      </w:r>
    </w:p>
    <w:p w14:paraId="568C8DCC"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r w:rsidRPr="004A2C87">
        <w:rPr>
          <w:rFonts w:ascii="Palatino Linotype" w:eastAsia="Calibri" w:hAnsi="Palatino Linotype" w:cs="Adelle Sans Devanagari"/>
          <w:bCs/>
          <w:i/>
          <w:color w:val="000000"/>
          <w:lang w:val="es-ES" w:eastAsia="en-US"/>
        </w:rPr>
        <w:tab/>
        <w:t>Algoritmos de criptografía de clave pública para firma electrónica avanzada.</w:t>
      </w:r>
    </w:p>
    <w:p w14:paraId="6928B50E"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r w:rsidRPr="004A2C87">
        <w:rPr>
          <w:rFonts w:ascii="Palatino Linotype" w:eastAsia="Calibri" w:hAnsi="Palatino Linotype" w:cs="Adelle Sans Devanagari"/>
          <w:bCs/>
          <w:i/>
          <w:color w:val="000000"/>
          <w:lang w:val="es-ES" w:eastAsia="en-US"/>
        </w:rPr>
        <w:tab/>
        <w:t>Especificaciones de conversión de la firma electrónica avanzada a Base 64.</w:t>
      </w:r>
    </w:p>
    <w:p w14:paraId="59B6D425"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lastRenderedPageBreak/>
        <w:t>Para la generación de sellos digitales se utiliza criptografía de clave pública aplicada a una cadena original.</w:t>
      </w:r>
    </w:p>
    <w:p w14:paraId="55F56529"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Criptografía de la Clave Pública</w:t>
      </w:r>
    </w:p>
    <w:p w14:paraId="4236A7F1"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4A2C87">
        <w:rPr>
          <w:rFonts w:ascii="Palatino Linotype" w:eastAsia="Calibri" w:hAnsi="Palatino Linotype" w:cs="Adelle Sans Devanagari"/>
          <w:bCs/>
          <w:i/>
          <w:color w:val="000000"/>
          <w:lang w:val="es-ES" w:eastAsia="en-US"/>
        </w:rPr>
        <w:t>encripción</w:t>
      </w:r>
      <w:proofErr w:type="spellEnd"/>
      <w:r w:rsidRPr="004A2C87">
        <w:rPr>
          <w:rFonts w:ascii="Palatino Linotype" w:eastAsia="Calibri" w:hAnsi="Palatino Linotype" w:cs="Adelle Sans Devanagari"/>
          <w:bCs/>
          <w:i/>
          <w:color w:val="000000"/>
          <w:lang w:val="es-ES" w:eastAsia="en-US"/>
        </w:rPr>
        <w:t xml:space="preserve"> sobre un mensaje tomando como clave de </w:t>
      </w:r>
      <w:proofErr w:type="spellStart"/>
      <w:r w:rsidRPr="004A2C87">
        <w:rPr>
          <w:rFonts w:ascii="Palatino Linotype" w:eastAsia="Calibri" w:hAnsi="Palatino Linotype" w:cs="Adelle Sans Devanagari"/>
          <w:bCs/>
          <w:i/>
          <w:color w:val="000000"/>
          <w:lang w:val="es-ES" w:eastAsia="en-US"/>
        </w:rPr>
        <w:t>encripción</w:t>
      </w:r>
      <w:proofErr w:type="spellEnd"/>
      <w:r w:rsidRPr="004A2C87">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sidRPr="004A2C87">
        <w:rPr>
          <w:rFonts w:ascii="Palatino Linotype" w:eastAsia="Calibri" w:hAnsi="Palatino Linotype" w:cs="Adelle Sans Devanagari"/>
          <w:bCs/>
          <w:i/>
          <w:color w:val="000000"/>
          <w:lang w:val="es-ES" w:eastAsia="en-US"/>
        </w:rPr>
        <w:t>desencripción</w:t>
      </w:r>
      <w:proofErr w:type="spellEnd"/>
      <w:r w:rsidRPr="004A2C87">
        <w:rPr>
          <w:rFonts w:ascii="Palatino Linotype" w:eastAsia="Calibri" w:hAnsi="Palatino Linotype" w:cs="Adelle Sans Devanagari"/>
          <w:bCs/>
          <w:i/>
          <w:color w:val="000000"/>
          <w:lang w:val="es-ES" w:eastAsia="en-US"/>
        </w:rPr>
        <w:t xml:space="preserve"> correspondiente tomando como clave de </w:t>
      </w:r>
      <w:proofErr w:type="spellStart"/>
      <w:r w:rsidRPr="004A2C87">
        <w:rPr>
          <w:rFonts w:ascii="Palatino Linotype" w:eastAsia="Calibri" w:hAnsi="Palatino Linotype" w:cs="Adelle Sans Devanagari"/>
          <w:bCs/>
          <w:i/>
          <w:color w:val="000000"/>
          <w:lang w:val="es-ES" w:eastAsia="en-US"/>
        </w:rPr>
        <w:t>desencripción</w:t>
      </w:r>
      <w:proofErr w:type="spellEnd"/>
      <w:r w:rsidRPr="004A2C87">
        <w:rPr>
          <w:rFonts w:ascii="Palatino Linotype" w:eastAsia="Calibri" w:hAnsi="Palatino Linotype" w:cs="Adelle Sans Devanagari"/>
          <w:bCs/>
          <w:i/>
          <w:color w:val="000000"/>
          <w:lang w:val="es-ES" w:eastAsia="en-US"/>
        </w:rPr>
        <w:t xml:space="preserve"> al otro número de la pareja.</w:t>
      </w:r>
    </w:p>
    <w:p w14:paraId="45D59E6B" w14:textId="77777777" w:rsidR="004A2C87" w:rsidRPr="004A2C87"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4A2C87">
        <w:rPr>
          <w:rFonts w:ascii="Palatino Linotype" w:eastAsia="Calibri" w:hAnsi="Palatino Linotype" w:cs="Adelle Sans Devanagari"/>
          <w:bCs/>
          <w:i/>
          <w:color w:val="000000"/>
          <w:lang w:val="es-ES" w:eastAsia="en-US"/>
        </w:rPr>
        <w:t>…”</w:t>
      </w:r>
    </w:p>
    <w:p w14:paraId="2F2B4EDB" w14:textId="77777777" w:rsidR="004A2C87" w:rsidRPr="004A2C87" w:rsidRDefault="004A2C87" w:rsidP="004A2C87">
      <w:pPr>
        <w:spacing w:line="360" w:lineRule="auto"/>
        <w:contextualSpacing/>
        <w:jc w:val="both"/>
        <w:rPr>
          <w:rFonts w:ascii="Palatino Linotype" w:hAnsi="Palatino Linotype" w:cs="Adelle Sans Devanagari"/>
          <w:bCs/>
          <w:color w:val="000000"/>
          <w:sz w:val="22"/>
          <w:szCs w:val="22"/>
          <w:lang w:val="es-ES"/>
        </w:rPr>
      </w:pPr>
      <w:r w:rsidRPr="004A2C87">
        <w:rPr>
          <w:rFonts w:ascii="Palatino Linotype" w:hAnsi="Palatino Linotype" w:cs="Adelle Sans Devanagari"/>
          <w:bCs/>
          <w:color w:val="000000"/>
          <w:sz w:val="22"/>
          <w:szCs w:val="22"/>
          <w:lang w:val="es-ES"/>
        </w:rPr>
        <w:t> </w:t>
      </w:r>
    </w:p>
    <w:p w14:paraId="2B7CF530" w14:textId="77777777" w:rsidR="004A2C87" w:rsidRPr="004A2C87" w:rsidRDefault="004A2C87" w:rsidP="004A2C87">
      <w:pPr>
        <w:spacing w:line="360" w:lineRule="auto"/>
        <w:contextualSpacing/>
        <w:jc w:val="both"/>
        <w:rPr>
          <w:rFonts w:ascii="Palatino Linotype" w:hAnsi="Palatino Linotype" w:cs="Adelle Sans Devanagari"/>
          <w:bCs/>
          <w:color w:val="000000"/>
          <w:sz w:val="22"/>
          <w:szCs w:val="22"/>
          <w:lang w:val="es-ES"/>
        </w:rPr>
      </w:pPr>
      <w:r w:rsidRPr="004A2C87">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3D6ECCE" w14:textId="77777777" w:rsidR="004A2C87" w:rsidRPr="004A2C87" w:rsidRDefault="004A2C87" w:rsidP="004A2C87">
      <w:pPr>
        <w:tabs>
          <w:tab w:val="left" w:pos="4962"/>
        </w:tabs>
        <w:spacing w:line="360" w:lineRule="auto"/>
        <w:contextualSpacing/>
        <w:jc w:val="both"/>
        <w:rPr>
          <w:rFonts w:ascii="Palatino Linotype" w:eastAsia="Calibri" w:hAnsi="Palatino Linotype" w:cs="Adelle Sans Devanagari"/>
          <w:bCs/>
          <w:iCs/>
          <w:color w:val="000000"/>
          <w:sz w:val="22"/>
          <w:szCs w:val="22"/>
          <w:lang w:eastAsia="en-US"/>
        </w:rPr>
      </w:pPr>
    </w:p>
    <w:p w14:paraId="174787C9" w14:textId="12E8BAB3" w:rsidR="004A2C87" w:rsidRDefault="004A2C87" w:rsidP="004A2C87">
      <w:pPr>
        <w:spacing w:line="360" w:lineRule="auto"/>
        <w:contextualSpacing/>
        <w:jc w:val="both"/>
        <w:rPr>
          <w:rFonts w:ascii="Palatino Linotype" w:hAnsi="Palatino Linotype" w:cs="Adelle Sans Devanagari"/>
          <w:color w:val="000000"/>
          <w:sz w:val="22"/>
          <w:szCs w:val="22"/>
          <w:lang w:val="es-ES"/>
        </w:rPr>
      </w:pPr>
      <w:r w:rsidRPr="004A2C87">
        <w:rPr>
          <w:rFonts w:ascii="Palatino Linotype" w:eastAsia="Calibri" w:hAnsi="Palatino Linotype" w:cs="Adelle Sans Devanagari"/>
          <w:bCs/>
          <w:iCs/>
          <w:color w:val="000000"/>
          <w:sz w:val="22"/>
          <w:szCs w:val="22"/>
          <w:lang w:eastAsia="en-US"/>
        </w:rPr>
        <w:t>Cabe señalar que, en algunos casos, las</w:t>
      </w:r>
      <w:r w:rsidRPr="004A2C87">
        <w:rPr>
          <w:rFonts w:ascii="Palatino Linotype" w:hAnsi="Palatino Linotype" w:cs="Adelle Sans Devanagari"/>
          <w:color w:val="000000"/>
          <w:sz w:val="22"/>
          <w:szCs w:val="22"/>
          <w:lang w:val="es-ES"/>
        </w:rPr>
        <w:t xml:space="preserve"> cadenas originales y sellos digitales</w:t>
      </w:r>
      <w:r w:rsidRPr="004A2C87">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sidRPr="004A2C87">
        <w:rPr>
          <w:rFonts w:ascii="Palatino Linotype" w:hAnsi="Palatino Linotype" w:cs="Adelle Sans Devanagari"/>
          <w:color w:val="000000"/>
          <w:sz w:val="22"/>
          <w:szCs w:val="22"/>
          <w:lang w:val="es-ES"/>
        </w:rPr>
        <w:t xml:space="preserve">actualiza la clasificación, en </w:t>
      </w:r>
      <w:r w:rsidRPr="00E0412D">
        <w:rPr>
          <w:rFonts w:ascii="Palatino Linotype" w:hAnsi="Palatino Linotype" w:cs="Adelle Sans Devanagari"/>
          <w:color w:val="000000"/>
          <w:sz w:val="22"/>
          <w:szCs w:val="22"/>
          <w:lang w:val="es-ES"/>
        </w:rPr>
        <w:t>términos del artículo 143, fracción I, de la Ley de la materia.</w:t>
      </w:r>
    </w:p>
    <w:p w14:paraId="054F1E94" w14:textId="77777777" w:rsidR="00907FE9" w:rsidRPr="00E0412D" w:rsidRDefault="00907FE9" w:rsidP="004A2C87">
      <w:pPr>
        <w:spacing w:line="360" w:lineRule="auto"/>
        <w:contextualSpacing/>
        <w:jc w:val="both"/>
        <w:rPr>
          <w:rFonts w:ascii="Palatino Linotype" w:hAnsi="Palatino Linotype" w:cs="Adelle Sans Devanagari"/>
          <w:color w:val="000000"/>
          <w:sz w:val="22"/>
          <w:szCs w:val="22"/>
          <w:lang w:val="es-ES"/>
        </w:rPr>
      </w:pPr>
    </w:p>
    <w:p w14:paraId="2E30E1B1" w14:textId="77777777" w:rsidR="001102E9" w:rsidRPr="00E0412D" w:rsidRDefault="001102E9" w:rsidP="001102E9">
      <w:pPr>
        <w:pStyle w:val="Prrafodelista"/>
        <w:numPr>
          <w:ilvl w:val="0"/>
          <w:numId w:val="14"/>
        </w:numPr>
        <w:spacing w:line="360" w:lineRule="auto"/>
        <w:jc w:val="both"/>
        <w:rPr>
          <w:rFonts w:ascii="Palatino Linotype" w:hAnsi="Palatino Linotype" w:cs="Adelle Sans Devanagari"/>
          <w:b/>
          <w:color w:val="000000"/>
          <w:szCs w:val="22"/>
        </w:rPr>
      </w:pPr>
      <w:r w:rsidRPr="00E0412D">
        <w:rPr>
          <w:rFonts w:ascii="Palatino Linotype" w:hAnsi="Palatino Linotype" w:cs="Adelle Sans Devanagari"/>
          <w:b/>
          <w:color w:val="000000"/>
          <w:szCs w:val="22"/>
        </w:rPr>
        <w:t>Folio Fiscal</w:t>
      </w:r>
    </w:p>
    <w:p w14:paraId="244F1B91" w14:textId="77777777" w:rsidR="001102E9" w:rsidRPr="00E0412D" w:rsidRDefault="001102E9" w:rsidP="001102E9">
      <w:pPr>
        <w:spacing w:line="360" w:lineRule="auto"/>
        <w:ind w:left="360"/>
        <w:jc w:val="both"/>
        <w:rPr>
          <w:rFonts w:ascii="Palatino Linotype" w:hAnsi="Palatino Linotype" w:cs="Adelle Sans Devanagari"/>
          <w:b/>
          <w:color w:val="000000"/>
          <w:szCs w:val="22"/>
        </w:rPr>
      </w:pPr>
    </w:p>
    <w:p w14:paraId="09E16278" w14:textId="77777777" w:rsidR="001102E9" w:rsidRPr="00E0412D" w:rsidRDefault="001102E9" w:rsidP="001102E9">
      <w:pPr>
        <w:spacing w:line="360" w:lineRule="auto"/>
        <w:contextualSpacing/>
        <w:jc w:val="both"/>
        <w:rPr>
          <w:rFonts w:ascii="Palatino Linotype" w:hAnsi="Palatino Linotype" w:cs="Adelle Sans Devanagari"/>
          <w:bCs/>
          <w:color w:val="000000"/>
          <w:sz w:val="22"/>
          <w:szCs w:val="22"/>
        </w:rPr>
      </w:pPr>
      <w:r w:rsidRPr="00E0412D">
        <w:rPr>
          <w:rFonts w:ascii="Palatino Linotype" w:hAnsi="Palatino Linotype" w:cs="Adelle Sans Devanagari"/>
          <w:bCs/>
          <w:color w:val="000000"/>
          <w:sz w:val="22"/>
          <w:szCs w:val="22"/>
        </w:rPr>
        <w:t xml:space="preserve">Ahora bien, por lo que hace </w:t>
      </w:r>
      <w:r w:rsidRPr="00E0412D">
        <w:rPr>
          <w:rFonts w:ascii="Palatino Linotype" w:hAnsi="Palatino Linotype" w:cs="Adelle Sans Devanagari"/>
          <w:b/>
          <w:bCs/>
          <w:color w:val="000000"/>
          <w:sz w:val="22"/>
          <w:szCs w:val="22"/>
        </w:rPr>
        <w:t>Folio Fiscal,</w:t>
      </w:r>
      <w:r w:rsidRPr="00E0412D">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w:t>
      </w:r>
      <w:r w:rsidRPr="00E0412D">
        <w:rPr>
          <w:rFonts w:ascii="Palatino Linotype" w:hAnsi="Palatino Linotype" w:cs="Adelle Sans Devanagari"/>
          <w:bCs/>
          <w:color w:val="000000"/>
          <w:sz w:val="22"/>
          <w:szCs w:val="22"/>
        </w:rPr>
        <w:lastRenderedPageBreak/>
        <w:t>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68B5270" w14:textId="77777777" w:rsidR="001102E9" w:rsidRPr="00E0412D" w:rsidRDefault="001102E9" w:rsidP="001102E9">
      <w:pPr>
        <w:spacing w:line="360" w:lineRule="auto"/>
        <w:contextualSpacing/>
        <w:jc w:val="both"/>
        <w:rPr>
          <w:rFonts w:ascii="Palatino Linotype" w:hAnsi="Palatino Linotype" w:cs="Adelle Sans Devanagari"/>
          <w:bCs/>
          <w:color w:val="000000"/>
          <w:sz w:val="22"/>
          <w:szCs w:val="22"/>
        </w:rPr>
      </w:pPr>
      <w:r w:rsidRPr="00E0412D">
        <w:rPr>
          <w:rFonts w:ascii="Palatino Linotype" w:hAnsi="Palatino Linotype" w:cs="Adelle Sans Devanagari"/>
          <w:bCs/>
          <w:color w:val="000000"/>
          <w:sz w:val="22"/>
          <w:szCs w:val="22"/>
        </w:rPr>
        <w:t xml:space="preserve"> </w:t>
      </w:r>
    </w:p>
    <w:p w14:paraId="49E6590B" w14:textId="77777777" w:rsidR="001102E9" w:rsidRPr="00E0412D" w:rsidRDefault="001102E9" w:rsidP="001102E9">
      <w:pPr>
        <w:spacing w:line="360" w:lineRule="auto"/>
        <w:contextualSpacing/>
        <w:jc w:val="center"/>
        <w:rPr>
          <w:rFonts w:ascii="Palatino Linotype" w:hAnsi="Palatino Linotype" w:cs="Adelle Sans Devanagari"/>
          <w:bCs/>
          <w:color w:val="000000"/>
          <w:sz w:val="22"/>
          <w:szCs w:val="22"/>
        </w:rPr>
      </w:pPr>
      <w:r w:rsidRPr="00E0412D">
        <w:rPr>
          <w:rFonts w:ascii="Palatino Linotype" w:hAnsi="Palatino Linotype" w:cs="Adelle Sans Devanagari"/>
          <w:bCs/>
          <w:noProof/>
          <w:color w:val="000000"/>
          <w:sz w:val="22"/>
          <w:szCs w:val="22"/>
          <w:lang w:eastAsia="es-MX"/>
        </w:rPr>
        <w:drawing>
          <wp:inline distT="0" distB="0" distL="0" distR="0" wp14:anchorId="6A089034" wp14:editId="6591189E">
            <wp:extent cx="4438682" cy="1028708"/>
            <wp:effectExtent l="0" t="0" r="0" b="0"/>
            <wp:docPr id="799047155"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1"/>
                    <a:srcRect/>
                    <a:stretch>
                      <a:fillRect/>
                    </a:stretch>
                  </pic:blipFill>
                  <pic:spPr>
                    <a:xfrm>
                      <a:off x="0" y="0"/>
                      <a:ext cx="4438682" cy="1028708"/>
                    </a:xfrm>
                    <a:prstGeom prst="rect">
                      <a:avLst/>
                    </a:prstGeom>
                    <a:ln/>
                  </pic:spPr>
                </pic:pic>
              </a:graphicData>
            </a:graphic>
          </wp:inline>
        </w:drawing>
      </w:r>
    </w:p>
    <w:p w14:paraId="24F2EA57" w14:textId="77777777" w:rsidR="001102E9" w:rsidRPr="00E0412D" w:rsidRDefault="001102E9" w:rsidP="001102E9">
      <w:pPr>
        <w:spacing w:line="360" w:lineRule="auto"/>
        <w:contextualSpacing/>
        <w:jc w:val="both"/>
        <w:rPr>
          <w:rFonts w:ascii="Palatino Linotype" w:hAnsi="Palatino Linotype" w:cs="Adelle Sans Devanagari"/>
          <w:bCs/>
          <w:color w:val="000000"/>
          <w:sz w:val="22"/>
          <w:szCs w:val="22"/>
        </w:rPr>
      </w:pPr>
    </w:p>
    <w:p w14:paraId="1614E24D" w14:textId="77777777" w:rsidR="001102E9" w:rsidRPr="00E0412D" w:rsidRDefault="001102E9" w:rsidP="001102E9">
      <w:pPr>
        <w:spacing w:line="360" w:lineRule="auto"/>
        <w:contextualSpacing/>
        <w:jc w:val="both"/>
        <w:rPr>
          <w:rFonts w:ascii="Palatino Linotype" w:hAnsi="Palatino Linotype" w:cs="Adelle Sans Devanagari"/>
          <w:bCs/>
          <w:color w:val="000000"/>
          <w:sz w:val="22"/>
          <w:szCs w:val="22"/>
        </w:rPr>
      </w:pPr>
      <w:r w:rsidRPr="00E0412D">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A3A5D85" w14:textId="77777777" w:rsidR="001102E9" w:rsidRPr="00E0412D" w:rsidRDefault="001102E9" w:rsidP="004A2C87">
      <w:pPr>
        <w:spacing w:line="360" w:lineRule="auto"/>
        <w:contextualSpacing/>
        <w:jc w:val="both"/>
        <w:rPr>
          <w:rFonts w:ascii="Palatino Linotype" w:hAnsi="Palatino Linotype" w:cs="Adelle Sans Devanagari"/>
          <w:bCs/>
          <w:color w:val="000000"/>
          <w:sz w:val="22"/>
          <w:szCs w:val="22"/>
        </w:rPr>
      </w:pPr>
    </w:p>
    <w:p w14:paraId="6C227DF9" w14:textId="77777777" w:rsidR="001102E9" w:rsidRPr="00E0412D" w:rsidRDefault="001102E9" w:rsidP="001102E9">
      <w:pPr>
        <w:pStyle w:val="Prrafodelista"/>
        <w:numPr>
          <w:ilvl w:val="0"/>
          <w:numId w:val="14"/>
        </w:numPr>
        <w:spacing w:line="360" w:lineRule="auto"/>
        <w:ind w:right="-93"/>
        <w:jc w:val="both"/>
        <w:rPr>
          <w:rFonts w:ascii="Palatino Linotype" w:hAnsi="Palatino Linotype" w:cs="Tahoma"/>
          <w:b/>
          <w:szCs w:val="22"/>
        </w:rPr>
      </w:pPr>
      <w:r w:rsidRPr="00E0412D">
        <w:rPr>
          <w:rFonts w:ascii="Palatino Linotype" w:hAnsi="Palatino Linotype" w:cs="Tahoma"/>
          <w:b/>
          <w:bCs/>
          <w:iCs/>
          <w:szCs w:val="22"/>
        </w:rPr>
        <w:t>Número de cuenta</w:t>
      </w:r>
      <w:r w:rsidR="00281227" w:rsidRPr="00E0412D">
        <w:rPr>
          <w:rFonts w:ascii="Palatino Linotype" w:hAnsi="Palatino Linotype" w:cs="Tahoma"/>
          <w:b/>
          <w:bCs/>
          <w:iCs/>
          <w:szCs w:val="22"/>
        </w:rPr>
        <w:t xml:space="preserve"> o CLABE interbancaria</w:t>
      </w:r>
    </w:p>
    <w:p w14:paraId="02479E51" w14:textId="77777777" w:rsidR="001102E9" w:rsidRPr="00E0412D" w:rsidRDefault="001102E9" w:rsidP="001102E9">
      <w:pPr>
        <w:spacing w:line="360" w:lineRule="auto"/>
        <w:ind w:right="-93"/>
        <w:jc w:val="both"/>
        <w:rPr>
          <w:rFonts w:ascii="Palatino Linotype" w:hAnsi="Palatino Linotype" w:cs="Tahoma"/>
          <w:sz w:val="22"/>
          <w:szCs w:val="22"/>
        </w:rPr>
      </w:pPr>
    </w:p>
    <w:p w14:paraId="1091296C" w14:textId="77777777" w:rsidR="00281227" w:rsidRPr="00E0412D"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E0412D">
        <w:rPr>
          <w:rFonts w:ascii="Palatino Linotype" w:eastAsia="Palatino Linotype" w:hAnsi="Palatino Linotype" w:cs="Palatino Linotype"/>
          <w:color w:val="000000"/>
          <w:sz w:val="22"/>
          <w:szCs w:val="22"/>
          <w:lang w:eastAsia="es-MX"/>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w:t>
      </w:r>
      <w:r w:rsidRPr="00E0412D">
        <w:rPr>
          <w:rFonts w:ascii="Palatino Linotype" w:eastAsia="Palatino Linotype" w:hAnsi="Palatino Linotype" w:cs="Palatino Linotype"/>
          <w:color w:val="000000"/>
          <w:sz w:val="22"/>
          <w:szCs w:val="22"/>
          <w:lang w:eastAsia="es-MX"/>
        </w:rPr>
        <w:lastRenderedPageBreak/>
        <w:t>corresponden a información que se encuentra relacionada con el patrimonio de la persona titular de la cuenta.</w:t>
      </w:r>
    </w:p>
    <w:p w14:paraId="2BEEDD38" w14:textId="77777777" w:rsidR="00281227" w:rsidRPr="00E0412D"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E0412D">
        <w:rPr>
          <w:rFonts w:ascii="Palatino Linotype" w:eastAsia="Palatino Linotype" w:hAnsi="Palatino Linotype" w:cs="Palatino Linotype"/>
          <w:color w:val="000000"/>
          <w:sz w:val="22"/>
          <w:szCs w:val="22"/>
          <w:lang w:eastAsia="es-MX"/>
        </w:rPr>
        <w:t> </w:t>
      </w:r>
    </w:p>
    <w:p w14:paraId="05A974AE" w14:textId="77777777" w:rsidR="00281227" w:rsidRPr="00E0412D"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E0412D">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50EDE7B0" w14:textId="77777777" w:rsidR="00281227" w:rsidRPr="00E0412D" w:rsidRDefault="00281227" w:rsidP="00281227">
      <w:pPr>
        <w:spacing w:line="360" w:lineRule="auto"/>
        <w:jc w:val="both"/>
        <w:rPr>
          <w:rFonts w:ascii="Palatino Linotype" w:eastAsia="Palatino Linotype" w:hAnsi="Palatino Linotype" w:cs="Palatino Linotype"/>
          <w:color w:val="000000"/>
          <w:sz w:val="22"/>
          <w:szCs w:val="22"/>
          <w:lang w:eastAsia="es-MX"/>
        </w:rPr>
      </w:pPr>
    </w:p>
    <w:p w14:paraId="51DE38C8" w14:textId="77777777" w:rsidR="00281227" w:rsidRPr="00E0412D" w:rsidRDefault="00281227" w:rsidP="00281227">
      <w:pPr>
        <w:spacing w:line="360" w:lineRule="auto"/>
        <w:ind w:left="567" w:right="567"/>
        <w:jc w:val="both"/>
        <w:rPr>
          <w:rFonts w:ascii="Palatino Linotype" w:eastAsia="Palatino Linotype" w:hAnsi="Palatino Linotype" w:cs="Palatino Linotype"/>
          <w:i/>
          <w:color w:val="000000"/>
          <w:lang w:eastAsia="es-MX"/>
        </w:rPr>
      </w:pPr>
      <w:r w:rsidRPr="00E0412D">
        <w:rPr>
          <w:rFonts w:ascii="Palatino Linotype" w:eastAsia="Palatino Linotype" w:hAnsi="Palatino Linotype" w:cs="Palatino Linotype"/>
          <w:i/>
          <w:color w:val="000000"/>
          <w:lang w:eastAsia="es-MX"/>
        </w:rPr>
        <w:t>“</w:t>
      </w:r>
      <w:r w:rsidRPr="00E0412D">
        <w:rPr>
          <w:rFonts w:ascii="Palatino Linotype" w:eastAsia="Palatino Linotype" w:hAnsi="Palatino Linotype" w:cs="Palatino Linotype"/>
          <w:b/>
          <w:i/>
          <w:color w:val="000000"/>
          <w:lang w:eastAsia="es-MX"/>
        </w:rPr>
        <w:t>Cuentas bancarias y/o CLABE interbancaria de personas físicas y morales privadas.</w:t>
      </w:r>
      <w:r w:rsidRPr="00E0412D">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535356F" w14:textId="77777777" w:rsidR="00281227" w:rsidRPr="00E0412D" w:rsidRDefault="00281227" w:rsidP="00281227">
      <w:pPr>
        <w:spacing w:line="360" w:lineRule="auto"/>
        <w:jc w:val="both"/>
        <w:rPr>
          <w:rFonts w:ascii="Palatino Linotype" w:eastAsia="Palatino Linotype" w:hAnsi="Palatino Linotype" w:cs="Palatino Linotype"/>
          <w:color w:val="000000"/>
          <w:sz w:val="22"/>
          <w:szCs w:val="22"/>
          <w:lang w:eastAsia="es-MX"/>
        </w:rPr>
      </w:pPr>
    </w:p>
    <w:p w14:paraId="754FC8ED" w14:textId="4754B40F" w:rsidR="00281227"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E0412D">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78C884E" w14:textId="0555DE8C" w:rsidR="00907FE9" w:rsidRDefault="00907FE9" w:rsidP="00281227">
      <w:pPr>
        <w:spacing w:line="360" w:lineRule="auto"/>
        <w:jc w:val="both"/>
        <w:rPr>
          <w:rFonts w:ascii="Palatino Linotype" w:eastAsia="Palatino Linotype" w:hAnsi="Palatino Linotype" w:cs="Palatino Linotype"/>
          <w:color w:val="000000"/>
          <w:sz w:val="22"/>
          <w:szCs w:val="22"/>
          <w:lang w:eastAsia="es-MX"/>
        </w:rPr>
      </w:pPr>
    </w:p>
    <w:p w14:paraId="333CDF76" w14:textId="77777777" w:rsidR="00907FE9" w:rsidRPr="00211A75" w:rsidRDefault="00907FE9" w:rsidP="00907FE9">
      <w:pPr>
        <w:pStyle w:val="Prrafodelista"/>
        <w:numPr>
          <w:ilvl w:val="0"/>
          <w:numId w:val="14"/>
        </w:numPr>
        <w:spacing w:line="360" w:lineRule="auto"/>
        <w:ind w:right="-93"/>
        <w:jc w:val="both"/>
        <w:rPr>
          <w:rFonts w:ascii="Palatino Linotype" w:hAnsi="Palatino Linotype" w:cs="Tahoma"/>
          <w:bCs/>
          <w:szCs w:val="22"/>
        </w:rPr>
      </w:pPr>
      <w:r w:rsidRPr="00907FE9">
        <w:rPr>
          <w:rFonts w:ascii="Palatino Linotype" w:hAnsi="Palatino Linotype" w:cs="Tahoma"/>
          <w:b/>
          <w:bCs/>
          <w:iCs/>
          <w:szCs w:val="22"/>
        </w:rPr>
        <w:t>Firma</w:t>
      </w:r>
      <w:r w:rsidRPr="00211A75">
        <w:rPr>
          <w:rFonts w:ascii="Palatino Linotype" w:hAnsi="Palatino Linotype" w:cs="Tahoma"/>
          <w:bCs/>
          <w:szCs w:val="22"/>
        </w:rPr>
        <w:t xml:space="preserve"> </w:t>
      </w:r>
    </w:p>
    <w:p w14:paraId="41558197" w14:textId="77777777" w:rsidR="00907FE9" w:rsidRPr="00211A75" w:rsidRDefault="00907FE9" w:rsidP="00907FE9">
      <w:pPr>
        <w:spacing w:line="360" w:lineRule="auto"/>
        <w:jc w:val="both"/>
        <w:rPr>
          <w:rFonts w:ascii="Palatino Linotype" w:hAnsi="Palatino Linotype" w:cs="Tahoma"/>
          <w:bCs/>
          <w:sz w:val="22"/>
          <w:szCs w:val="22"/>
        </w:rPr>
      </w:pPr>
    </w:p>
    <w:p w14:paraId="085961E3" w14:textId="77777777" w:rsidR="00907FE9" w:rsidRPr="00211A75" w:rsidRDefault="00907FE9" w:rsidP="00907FE9">
      <w:pPr>
        <w:spacing w:line="360" w:lineRule="auto"/>
        <w:jc w:val="both"/>
        <w:rPr>
          <w:rFonts w:ascii="Palatino Linotype" w:hAnsi="Palatino Linotype"/>
          <w:bCs/>
          <w:sz w:val="22"/>
        </w:rPr>
      </w:pPr>
      <w:r w:rsidRPr="00211A75">
        <w:rPr>
          <w:rFonts w:ascii="Palatino Linotype" w:hAnsi="Palatino Linotype" w:cs="Tahoma"/>
          <w:bCs/>
          <w:sz w:val="22"/>
          <w:szCs w:val="22"/>
          <w:lang w:eastAsia="en-US"/>
        </w:rPr>
        <w:lastRenderedPageBreak/>
        <w:t>La firma de servidores públicos, vinculada al ejercicio de la función pública es información de naturaleza pública, pues documenta y rinde cuentas sobre el debido ejercicio de sus atribuciones, por lo tanto,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680D07BF" w14:textId="77777777" w:rsidR="00907FE9" w:rsidRPr="00211A75" w:rsidRDefault="00907FE9" w:rsidP="00907FE9">
      <w:pPr>
        <w:spacing w:line="360" w:lineRule="auto"/>
        <w:jc w:val="both"/>
        <w:rPr>
          <w:rFonts w:ascii="Palatino Linotype" w:hAnsi="Palatino Linotype" w:cs="Tahoma"/>
          <w:bCs/>
          <w:sz w:val="22"/>
          <w:szCs w:val="22"/>
          <w:lang w:eastAsia="en-US"/>
        </w:rPr>
      </w:pPr>
    </w:p>
    <w:p w14:paraId="56EF12C3" w14:textId="77777777" w:rsidR="00907FE9" w:rsidRPr="00211A75" w:rsidRDefault="00907FE9" w:rsidP="00907FE9">
      <w:pPr>
        <w:spacing w:line="360" w:lineRule="auto"/>
        <w:ind w:left="567" w:right="567"/>
        <w:jc w:val="both"/>
        <w:rPr>
          <w:rFonts w:ascii="Palatino Linotype" w:hAnsi="Palatino Linotype" w:cs="Tahoma"/>
          <w:bCs/>
          <w:i/>
          <w:iCs/>
          <w:lang w:eastAsia="en-US"/>
        </w:rPr>
      </w:pPr>
      <w:r w:rsidRPr="00211A75">
        <w:rPr>
          <w:rFonts w:ascii="Palatino Linotype" w:hAnsi="Palatino Linotype" w:cs="Tahoma"/>
          <w:bCs/>
          <w:i/>
          <w:iCs/>
          <w:lang w:eastAsia="en-US"/>
        </w:rPr>
        <w:t>“</w:t>
      </w:r>
      <w:r w:rsidRPr="00211A75">
        <w:rPr>
          <w:rFonts w:ascii="Palatino Linotype" w:hAnsi="Palatino Linotype" w:cs="Tahoma"/>
          <w:b/>
          <w:bCs/>
          <w:i/>
          <w:iCs/>
          <w:lang w:eastAsia="en-US"/>
        </w:rPr>
        <w:t>Firma y rúbrica de servidores públicos</w:t>
      </w:r>
      <w:r w:rsidRPr="00211A75">
        <w:rPr>
          <w:rFonts w:ascii="Palatino Linotype" w:hAnsi="Palatino Linotype" w:cs="Tahoma"/>
          <w:bCs/>
          <w:i/>
          <w:iCs/>
          <w:lang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14:paraId="2CAF9DA8" w14:textId="77777777" w:rsidR="00907FE9" w:rsidRPr="00211A75" w:rsidRDefault="00907FE9" w:rsidP="00907FE9">
      <w:pPr>
        <w:spacing w:line="360" w:lineRule="auto"/>
        <w:jc w:val="both"/>
        <w:rPr>
          <w:rFonts w:ascii="Palatino Linotype" w:hAnsi="Palatino Linotype" w:cs="Tahoma"/>
          <w:bCs/>
          <w:sz w:val="22"/>
          <w:szCs w:val="22"/>
          <w:lang w:eastAsia="en-US"/>
        </w:rPr>
      </w:pPr>
    </w:p>
    <w:p w14:paraId="683FEF33" w14:textId="1C437358" w:rsidR="00907FE9" w:rsidRPr="00211A75" w:rsidRDefault="00907FE9" w:rsidP="00907FE9">
      <w:pPr>
        <w:spacing w:line="360" w:lineRule="auto"/>
        <w:jc w:val="both"/>
        <w:rPr>
          <w:rFonts w:ascii="Palatino Linotype" w:hAnsi="Palatino Linotype" w:cs="Tahoma"/>
          <w:bCs/>
          <w:sz w:val="22"/>
          <w:szCs w:val="22"/>
          <w:lang w:eastAsia="en-US"/>
        </w:rPr>
      </w:pPr>
      <w:r w:rsidRPr="00211A75">
        <w:rPr>
          <w:rFonts w:ascii="Palatino Linotype" w:hAnsi="Palatino Linotype" w:cs="Tahoma"/>
          <w:bCs/>
          <w:sz w:val="22"/>
          <w:szCs w:val="22"/>
          <w:lang w:eastAsia="en-US"/>
        </w:rPr>
        <w:t xml:space="preserve">Razón por la cual, las firmas </w:t>
      </w:r>
      <w:r>
        <w:rPr>
          <w:rFonts w:ascii="Palatino Linotype" w:hAnsi="Palatino Linotype" w:cs="Tahoma"/>
          <w:bCs/>
          <w:sz w:val="22"/>
          <w:szCs w:val="22"/>
          <w:lang w:eastAsia="en-US"/>
        </w:rPr>
        <w:t xml:space="preserve">en recibos de nómina </w:t>
      </w:r>
      <w:r w:rsidRPr="00211A75">
        <w:rPr>
          <w:rFonts w:ascii="Palatino Linotype" w:hAnsi="Palatino Linotype" w:cs="Tahoma"/>
          <w:bCs/>
          <w:sz w:val="22"/>
          <w:szCs w:val="22"/>
          <w:lang w:eastAsia="en-US"/>
        </w:rPr>
        <w:t>no se deben testar.</w:t>
      </w:r>
    </w:p>
    <w:p w14:paraId="4A475BE7" w14:textId="77777777" w:rsidR="00907FE9" w:rsidRPr="00E0412D" w:rsidRDefault="00907FE9" w:rsidP="00281227">
      <w:pPr>
        <w:spacing w:line="360" w:lineRule="auto"/>
        <w:jc w:val="both"/>
        <w:rPr>
          <w:rFonts w:ascii="Palatino Linotype" w:eastAsia="Palatino Linotype" w:hAnsi="Palatino Linotype" w:cs="Palatino Linotype"/>
          <w:color w:val="000000"/>
          <w:sz w:val="22"/>
          <w:szCs w:val="22"/>
          <w:lang w:eastAsia="es-MX"/>
        </w:rPr>
      </w:pPr>
    </w:p>
    <w:p w14:paraId="10DC11A1" w14:textId="12AD5046" w:rsidR="004A2C87" w:rsidRPr="00E0412D" w:rsidRDefault="004A2C87" w:rsidP="004A2C87">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E0412D">
        <w:rPr>
          <w:rFonts w:ascii="Palatino Linotype" w:hAnsi="Palatino Linotype" w:cs="Adelle Sans Devanagari"/>
          <w:bCs/>
          <w:color w:val="000000"/>
          <w:sz w:val="22"/>
          <w:szCs w:val="22"/>
        </w:rPr>
        <w:t xml:space="preserve">Así, este Instituto considera que el Sujeto Obligado deberá proporcionar los documentos solicitados en versión pública; sobre dicha circunstancia, el </w:t>
      </w:r>
      <w:r w:rsidR="00907FE9">
        <w:rPr>
          <w:rFonts w:ascii="Palatino Linotype" w:hAnsi="Palatino Linotype" w:cs="Adelle Sans Devanagari"/>
          <w:bCs/>
          <w:color w:val="000000"/>
          <w:sz w:val="22"/>
          <w:szCs w:val="22"/>
        </w:rPr>
        <w:t>artículo</w:t>
      </w:r>
      <w:r w:rsidRPr="00E0412D">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59D05C2" w14:textId="77777777" w:rsidR="004A2C87" w:rsidRPr="00E0412D" w:rsidRDefault="004A2C87" w:rsidP="004A2C87">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53F2CD20" w14:textId="531D0F9E" w:rsidR="004A2C87" w:rsidRPr="004A2C87" w:rsidRDefault="004A2C87" w:rsidP="004A2C87">
      <w:pPr>
        <w:spacing w:line="360" w:lineRule="auto"/>
        <w:contextualSpacing/>
        <w:jc w:val="both"/>
        <w:rPr>
          <w:rFonts w:ascii="Palatino Linotype" w:eastAsia="Calibri" w:hAnsi="Palatino Linotype" w:cs="Adelle Sans Devanagari"/>
          <w:bCs/>
          <w:iCs/>
          <w:color w:val="000000"/>
          <w:sz w:val="22"/>
          <w:szCs w:val="22"/>
          <w:lang w:val="es-ES" w:eastAsia="en-US"/>
        </w:rPr>
      </w:pPr>
      <w:r w:rsidRPr="00E0412D">
        <w:rPr>
          <w:rFonts w:ascii="Palatino Linotype" w:eastAsia="Calibri" w:hAnsi="Palatino Linotype" w:cs="Adelle Sans Devanagari"/>
          <w:bCs/>
          <w:iCs/>
          <w:color w:val="000000"/>
          <w:sz w:val="22"/>
          <w:szCs w:val="22"/>
          <w:lang w:val="es-ES" w:eastAsia="en-US"/>
        </w:rPr>
        <w:t>P</w:t>
      </w:r>
      <w:r w:rsidR="00907FE9">
        <w:rPr>
          <w:rFonts w:ascii="Palatino Linotype" w:eastAsia="Calibri" w:hAnsi="Palatino Linotype" w:cs="Adelle Sans Devanagari"/>
          <w:bCs/>
          <w:iCs/>
          <w:color w:val="000000"/>
          <w:sz w:val="22"/>
          <w:szCs w:val="22"/>
          <w:lang w:val="es-ES" w:eastAsia="en-US"/>
        </w:rPr>
        <w:t>o</w:t>
      </w:r>
      <w:r w:rsidRPr="00E0412D">
        <w:rPr>
          <w:rFonts w:ascii="Palatino Linotype" w:eastAsia="Calibri" w:hAnsi="Palatino Linotype" w:cs="Adelle Sans Devanagari"/>
          <w:bCs/>
          <w:iCs/>
          <w:color w:val="000000"/>
          <w:sz w:val="22"/>
          <w:szCs w:val="22"/>
          <w:lang w:val="es-ES" w:eastAsia="en-US"/>
        </w:rPr>
        <w:t>r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4B422D0" w14:textId="77777777" w:rsidR="00D05952" w:rsidRPr="004A2C87" w:rsidRDefault="00D05952" w:rsidP="00903F17">
      <w:pPr>
        <w:spacing w:line="360" w:lineRule="auto"/>
        <w:jc w:val="both"/>
        <w:rPr>
          <w:rFonts w:ascii="Palatino Linotype" w:hAnsi="Palatino Linotype" w:cs="Tahoma"/>
          <w:sz w:val="22"/>
          <w:szCs w:val="22"/>
          <w:lang w:val="es-ES"/>
        </w:rPr>
      </w:pPr>
    </w:p>
    <w:p w14:paraId="2DA84567" w14:textId="77777777" w:rsidR="00F23D44" w:rsidRPr="00FB571A" w:rsidRDefault="00F23D44" w:rsidP="00903F17">
      <w:pPr>
        <w:pStyle w:val="Ttulo2"/>
        <w:spacing w:before="0" w:line="360" w:lineRule="auto"/>
        <w:rPr>
          <w:rFonts w:ascii="Palatino Linotype" w:hAnsi="Palatino Linotype"/>
          <w:b/>
          <w:color w:val="auto"/>
          <w:sz w:val="22"/>
          <w:szCs w:val="22"/>
        </w:rPr>
      </w:pPr>
      <w:bookmarkStart w:id="17" w:name="_Toc190857068"/>
      <w:bookmarkStart w:id="18" w:name="_Toc215582992"/>
      <w:r w:rsidRPr="00FB571A">
        <w:rPr>
          <w:rFonts w:ascii="Palatino Linotype" w:hAnsi="Palatino Linotype"/>
          <w:b/>
          <w:color w:val="auto"/>
          <w:sz w:val="22"/>
          <w:szCs w:val="22"/>
        </w:rPr>
        <w:t>SEXTO. Decisión</w:t>
      </w:r>
      <w:bookmarkEnd w:id="17"/>
      <w:bookmarkEnd w:id="18"/>
    </w:p>
    <w:p w14:paraId="2B7B50F8" w14:textId="77777777" w:rsidR="00F23D44" w:rsidRPr="00FB571A" w:rsidRDefault="00F23D44" w:rsidP="00903F17">
      <w:pPr>
        <w:spacing w:line="360" w:lineRule="auto"/>
        <w:ind w:right="-93"/>
        <w:jc w:val="both"/>
        <w:rPr>
          <w:rFonts w:ascii="Palatino Linotype" w:hAnsi="Palatino Linotype" w:cs="Tahoma"/>
          <w:b/>
          <w:sz w:val="22"/>
          <w:szCs w:val="22"/>
        </w:rPr>
      </w:pPr>
    </w:p>
    <w:p w14:paraId="34DDF7B0" w14:textId="630231C6" w:rsidR="00F23D44" w:rsidRDefault="00F23D44" w:rsidP="00903F17">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07FE9">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907FE9" w:rsidRPr="00F72546">
        <w:rPr>
          <w:rFonts w:ascii="Palatino Linotype" w:hAnsi="Palatino Linotype" w:cs="Tahoma"/>
          <w:sz w:val="22"/>
          <w:szCs w:val="22"/>
        </w:rPr>
        <w:t>00416/COCOTIT/IP/2025</w:t>
      </w:r>
      <w:r w:rsidRPr="00903F17">
        <w:rPr>
          <w:rFonts w:ascii="Palatino Linotype" w:hAnsi="Palatino Linotype" w:cs="Tahoma"/>
          <w:sz w:val="22"/>
          <w:szCs w:val="22"/>
        </w:rPr>
        <w:t xml:space="preserve">, </w:t>
      </w:r>
      <w:r w:rsidR="00903F17">
        <w:rPr>
          <w:rFonts w:ascii="Palatino Linotype" w:hAnsi="Palatino Linotype" w:cs="Tahoma"/>
          <w:sz w:val="22"/>
          <w:szCs w:val="22"/>
        </w:rPr>
        <w:t xml:space="preserve">a efecto de que proporcione la información </w:t>
      </w:r>
      <w:r w:rsidR="00525771">
        <w:rPr>
          <w:rFonts w:ascii="Palatino Linotype" w:hAnsi="Palatino Linotype" w:cs="Tahoma"/>
          <w:sz w:val="22"/>
          <w:szCs w:val="22"/>
        </w:rPr>
        <w:t>solicitada</w:t>
      </w:r>
      <w:r w:rsidR="00903F17">
        <w:rPr>
          <w:rFonts w:ascii="Palatino Linotype" w:hAnsi="Palatino Linotype" w:cs="Tahoma"/>
          <w:sz w:val="22"/>
          <w:szCs w:val="22"/>
        </w:rPr>
        <w:t>.</w:t>
      </w:r>
    </w:p>
    <w:p w14:paraId="4273DA41" w14:textId="77777777" w:rsidR="00525771" w:rsidRPr="00FB571A" w:rsidRDefault="00525771" w:rsidP="00903F17">
      <w:pPr>
        <w:spacing w:line="360" w:lineRule="auto"/>
        <w:ind w:right="-93"/>
        <w:jc w:val="both"/>
        <w:rPr>
          <w:rFonts w:ascii="Palatino Linotype" w:eastAsia="Palatino Linotype" w:hAnsi="Palatino Linotype" w:cs="Palatino Linotype"/>
          <w:sz w:val="22"/>
          <w:szCs w:val="22"/>
        </w:rPr>
      </w:pPr>
    </w:p>
    <w:p w14:paraId="7188B5BE" w14:textId="77777777" w:rsidR="00F23D44" w:rsidRPr="00FB571A" w:rsidRDefault="00F23D44" w:rsidP="00903F17">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4B13AD4" w14:textId="77777777" w:rsidR="00F23D44" w:rsidRPr="00FB571A" w:rsidRDefault="00F23D44" w:rsidP="00903F17">
      <w:pPr>
        <w:spacing w:line="360" w:lineRule="auto"/>
        <w:jc w:val="both"/>
        <w:rPr>
          <w:rFonts w:ascii="Palatino Linotype" w:eastAsia="Calibri" w:hAnsi="Palatino Linotype" w:cs="Tahoma"/>
          <w:iCs/>
          <w:sz w:val="22"/>
          <w:szCs w:val="22"/>
          <w:lang w:eastAsia="es-ES_tradnl"/>
        </w:rPr>
      </w:pPr>
    </w:p>
    <w:p w14:paraId="3E2A93C8" w14:textId="208267B6" w:rsidR="00F23D44" w:rsidRDefault="00F23D44" w:rsidP="00903F17">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907FE9">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no entregó</w:t>
      </w:r>
      <w:r w:rsidR="00ED442E">
        <w:rPr>
          <w:rFonts w:ascii="Palatino Linotype" w:hAnsi="Palatino Linotype" w:cs="Tahoma"/>
          <w:bCs/>
          <w:sz w:val="22"/>
          <w:szCs w:val="22"/>
          <w:u w:val="single"/>
        </w:rPr>
        <w:t xml:space="preserve"> todos</w:t>
      </w:r>
      <w:r>
        <w:rPr>
          <w:rFonts w:ascii="Palatino Linotype" w:hAnsi="Palatino Linotype" w:cs="Tahoma"/>
          <w:bCs/>
          <w:sz w:val="22"/>
          <w:szCs w:val="22"/>
          <w:u w:val="single"/>
        </w:rPr>
        <w:t xml:space="preserve"> los documentos que s</w:t>
      </w:r>
      <w:r w:rsidR="00ED442E">
        <w:rPr>
          <w:rFonts w:ascii="Palatino Linotype" w:hAnsi="Palatino Linotype" w:cs="Tahoma"/>
          <w:bCs/>
          <w:sz w:val="22"/>
          <w:szCs w:val="22"/>
          <w:u w:val="single"/>
        </w:rPr>
        <w:t>on</w:t>
      </w:r>
      <w:r>
        <w:rPr>
          <w:rFonts w:ascii="Palatino Linotype" w:hAnsi="Palatino Linotype" w:cs="Tahoma"/>
          <w:bCs/>
          <w:sz w:val="22"/>
          <w:szCs w:val="22"/>
          <w:u w:val="single"/>
        </w:rPr>
        <w:t xml:space="preserve"> de su interés</w:t>
      </w:r>
      <w:r w:rsidR="00525771">
        <w:rPr>
          <w:rFonts w:ascii="Palatino Linotype" w:hAnsi="Palatino Linotype" w:cs="Tahoma"/>
          <w:bCs/>
          <w:sz w:val="22"/>
          <w:szCs w:val="22"/>
          <w:u w:val="single"/>
        </w:rPr>
        <w:t xml:space="preserve"> y es información pública</w:t>
      </w:r>
      <w:r w:rsidR="006379D0">
        <w:rPr>
          <w:rFonts w:ascii="Palatino Linotype" w:hAnsi="Palatino Linotype" w:cs="Tahoma"/>
          <w:bCs/>
          <w:sz w:val="22"/>
          <w:szCs w:val="22"/>
          <w:u w:val="single"/>
        </w:rPr>
        <w:t>.</w:t>
      </w:r>
      <w:r>
        <w:rPr>
          <w:rFonts w:ascii="Palatino Linotype" w:hAnsi="Palatino Linotype" w:cs="Tahoma"/>
          <w:bCs/>
          <w:sz w:val="22"/>
          <w:szCs w:val="22"/>
          <w:u w:val="single"/>
        </w:rPr>
        <w:t xml:space="preserve"> </w:t>
      </w: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274456A" w14:textId="77777777" w:rsidR="00F23D44" w:rsidRDefault="00F23D44" w:rsidP="00903F17">
      <w:pPr>
        <w:spacing w:line="360" w:lineRule="auto"/>
        <w:ind w:right="-93"/>
        <w:jc w:val="both"/>
        <w:rPr>
          <w:rFonts w:ascii="Palatino Linotype" w:hAnsi="Palatino Linotype" w:cs="Tahoma"/>
          <w:bCs/>
          <w:sz w:val="22"/>
          <w:szCs w:val="22"/>
          <w:u w:val="single"/>
        </w:rPr>
      </w:pPr>
    </w:p>
    <w:p w14:paraId="41979A3F" w14:textId="77777777" w:rsidR="00F23D44" w:rsidRPr="00FB571A" w:rsidRDefault="00F23D44" w:rsidP="00903F17">
      <w:pPr>
        <w:pStyle w:val="Ttulo1"/>
        <w:spacing w:before="0" w:line="360" w:lineRule="auto"/>
        <w:jc w:val="center"/>
        <w:rPr>
          <w:rFonts w:ascii="Palatino Linotype" w:eastAsia="Calibri" w:hAnsi="Palatino Linotype"/>
          <w:b/>
          <w:color w:val="auto"/>
          <w:sz w:val="22"/>
          <w:szCs w:val="22"/>
          <w:lang w:eastAsia="en-US"/>
        </w:rPr>
      </w:pPr>
      <w:bookmarkStart w:id="19" w:name="_Toc190857069"/>
      <w:bookmarkStart w:id="20" w:name="_Toc215582993"/>
      <w:r w:rsidRPr="00FB571A">
        <w:rPr>
          <w:rFonts w:ascii="Palatino Linotype" w:eastAsia="Calibri" w:hAnsi="Palatino Linotype"/>
          <w:b/>
          <w:color w:val="auto"/>
          <w:sz w:val="22"/>
          <w:szCs w:val="22"/>
          <w:lang w:eastAsia="en-US"/>
        </w:rPr>
        <w:t>R E S U E L V E</w:t>
      </w:r>
      <w:bookmarkEnd w:id="19"/>
      <w:bookmarkEnd w:id="20"/>
    </w:p>
    <w:p w14:paraId="70053934" w14:textId="77777777" w:rsidR="00F23D44" w:rsidRPr="00FB571A" w:rsidRDefault="00F23D44" w:rsidP="00903F17">
      <w:pPr>
        <w:spacing w:line="360" w:lineRule="auto"/>
        <w:jc w:val="both"/>
        <w:rPr>
          <w:rFonts w:ascii="Palatino Linotype" w:hAnsi="Palatino Linotype" w:cs="Tahoma"/>
          <w:b/>
          <w:bCs/>
          <w:sz w:val="22"/>
          <w:szCs w:val="22"/>
        </w:rPr>
      </w:pPr>
    </w:p>
    <w:p w14:paraId="13707A54" w14:textId="6BBB35C6" w:rsidR="00F23D44" w:rsidRPr="00FB571A" w:rsidRDefault="00F23D44" w:rsidP="00903F17">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907FE9">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7931E7">
        <w:rPr>
          <w:rFonts w:ascii="Palatino Linotype" w:hAnsi="Palatino Linotype" w:cs="Tahoma"/>
          <w:sz w:val="22"/>
          <w:szCs w:val="22"/>
        </w:rPr>
        <w:t>Sujeto Obligado</w:t>
      </w:r>
      <w:r w:rsidR="006379D0" w:rsidRPr="00903F17">
        <w:rPr>
          <w:rFonts w:ascii="Palatino Linotype" w:hAnsi="Palatino Linotype" w:cs="Tahoma"/>
          <w:sz w:val="22"/>
          <w:szCs w:val="22"/>
        </w:rPr>
        <w:t xml:space="preserve"> </w:t>
      </w:r>
      <w:r w:rsidRPr="00903F17">
        <w:rPr>
          <w:rFonts w:ascii="Palatino Linotype" w:eastAsia="Calibri" w:hAnsi="Palatino Linotype" w:cs="Tahoma"/>
          <w:sz w:val="22"/>
          <w:szCs w:val="22"/>
          <w:lang w:eastAsia="en-US"/>
        </w:rPr>
        <w:t>a</w:t>
      </w:r>
      <w:r w:rsidRPr="00903F17">
        <w:rPr>
          <w:rFonts w:ascii="Palatino Linotype" w:hAnsi="Palatino Linotype" w:cs="Tahoma"/>
          <w:sz w:val="22"/>
          <w:szCs w:val="22"/>
        </w:rPr>
        <w:t xml:space="preserve"> la solicitud de información </w:t>
      </w:r>
      <w:r w:rsidR="00907FE9" w:rsidRPr="00907FE9">
        <w:rPr>
          <w:rFonts w:ascii="Palatino Linotype" w:hAnsi="Palatino Linotype"/>
          <w:sz w:val="22"/>
          <w:szCs w:val="22"/>
        </w:rPr>
        <w:t>00416/COCOTIT/IP/2025</w:t>
      </w:r>
      <w:r w:rsidR="00907FE9">
        <w:rPr>
          <w:rFonts w:ascii="Palatino Linotype" w:hAnsi="Palatino Linotype"/>
          <w:sz w:val="22"/>
          <w:szCs w:val="22"/>
        </w:rPr>
        <w:t xml:space="preserve"> </w:t>
      </w:r>
      <w:r w:rsidRPr="00903F17">
        <w:rPr>
          <w:rFonts w:ascii="Palatino Linotype" w:hAnsi="Palatino Linotype"/>
          <w:sz w:val="22"/>
          <w:szCs w:val="22"/>
        </w:rPr>
        <w:t xml:space="preserve">por resultar </w:t>
      </w:r>
      <w:r w:rsidR="00907FE9">
        <w:rPr>
          <w:rFonts w:ascii="Palatino Linotype" w:hAnsi="Palatino Linotype"/>
          <w:sz w:val="22"/>
          <w:szCs w:val="22"/>
        </w:rPr>
        <w:t xml:space="preserve">parcialmente </w:t>
      </w:r>
      <w:r w:rsidR="00903F17" w:rsidRPr="00903F17">
        <w:rPr>
          <w:rFonts w:ascii="Palatino Linotype" w:hAnsi="Palatino Linotype"/>
          <w:b/>
          <w:bCs/>
          <w:sz w:val="22"/>
          <w:szCs w:val="22"/>
        </w:rPr>
        <w:t>FUNDADAS</w:t>
      </w:r>
      <w:r w:rsidRPr="00903F17">
        <w:rPr>
          <w:rFonts w:ascii="Palatino Linotype" w:hAnsi="Palatino Linotype" w:cs="Tahoma"/>
          <w:sz w:val="22"/>
          <w:szCs w:val="22"/>
        </w:rPr>
        <w:t xml:space="preserve"> </w:t>
      </w:r>
      <w:r w:rsidRPr="00903F17">
        <w:rPr>
          <w:rFonts w:ascii="Palatino Linotype" w:eastAsia="Calibri" w:hAnsi="Palatino Linotype" w:cs="Tahoma"/>
          <w:sz w:val="22"/>
          <w:szCs w:val="22"/>
          <w:lang w:eastAsia="en-US"/>
        </w:rPr>
        <w:t xml:space="preserve">las razones o motivos de inconformidad hechos valer por el Recurrente en el Recurso de Revisión </w:t>
      </w:r>
      <w:r w:rsidR="00907FE9">
        <w:rPr>
          <w:rFonts w:ascii="Palatino Linotype" w:hAnsi="Palatino Linotype" w:cs="Tahoma"/>
          <w:color w:val="0D0D0D" w:themeColor="text1" w:themeTint="F2"/>
          <w:sz w:val="22"/>
          <w:szCs w:val="22"/>
        </w:rPr>
        <w:t>12516</w:t>
      </w:r>
      <w:r w:rsidRPr="00903F17">
        <w:rPr>
          <w:rFonts w:ascii="Palatino Linotype" w:hAnsi="Palatino Linotype" w:cs="Tahoma"/>
          <w:color w:val="0D0D0D" w:themeColor="text1" w:themeTint="F2"/>
          <w:sz w:val="22"/>
          <w:szCs w:val="22"/>
        </w:rPr>
        <w:t>/INFOEM/IP/RR/2025</w:t>
      </w:r>
      <w:r w:rsidRPr="00903F17">
        <w:rPr>
          <w:rFonts w:ascii="Palatino Linotype" w:eastAsia="Calibri" w:hAnsi="Palatino Linotype" w:cs="Tahoma"/>
          <w:sz w:val="22"/>
          <w:szCs w:val="22"/>
          <w:lang w:eastAsia="en-US"/>
        </w:rPr>
        <w:t xml:space="preserve">, </w:t>
      </w:r>
      <w:r w:rsidRPr="00FB571A">
        <w:rPr>
          <w:rFonts w:ascii="Palatino Linotype" w:eastAsia="Calibri" w:hAnsi="Palatino Linotype" w:cs="Tahoma"/>
          <w:bCs/>
          <w:sz w:val="22"/>
          <w:szCs w:val="22"/>
          <w:lang w:eastAsia="en-US"/>
        </w:rPr>
        <w:t>en términos de los considerandos QUINTO y SEXTO de la presente Resolución.</w:t>
      </w:r>
    </w:p>
    <w:p w14:paraId="5D11947F" w14:textId="77777777" w:rsidR="00F23D44" w:rsidRPr="00FB571A" w:rsidRDefault="00F23D44" w:rsidP="00903F17">
      <w:pPr>
        <w:spacing w:line="360" w:lineRule="auto"/>
        <w:contextualSpacing/>
        <w:jc w:val="both"/>
        <w:rPr>
          <w:rFonts w:ascii="Palatino Linotype" w:hAnsi="Palatino Linotype" w:cs="Tahoma"/>
          <w:bCs/>
          <w:sz w:val="22"/>
          <w:szCs w:val="22"/>
        </w:rPr>
      </w:pPr>
    </w:p>
    <w:p w14:paraId="067ABDE2" w14:textId="51FC0332" w:rsidR="00525771" w:rsidRDefault="00F23D44" w:rsidP="00903F17">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F72546">
        <w:rPr>
          <w:rFonts w:ascii="Palatino Linotype" w:eastAsia="Calibri" w:hAnsi="Palatino Linotype" w:cs="Tahoma"/>
          <w:sz w:val="22"/>
          <w:szCs w:val="22"/>
          <w:lang w:eastAsia="en-US"/>
        </w:rPr>
        <w:t>Ayuntamiento de Cocotitlán</w:t>
      </w:r>
      <w:r w:rsidRPr="00FB571A">
        <w:rPr>
          <w:rFonts w:ascii="Palatino Linotype" w:hAnsi="Palatino Linotype" w:cs="Tahoma"/>
          <w:sz w:val="22"/>
          <w:szCs w:val="22"/>
        </w:rPr>
        <w:t>, a efecto de que</w:t>
      </w:r>
      <w:r w:rsidR="00903F17">
        <w:rPr>
          <w:rFonts w:ascii="Palatino Linotype" w:hAnsi="Palatino Linotype" w:cs="Tahoma"/>
          <w:sz w:val="22"/>
          <w:szCs w:val="22"/>
        </w:rPr>
        <w:t xml:space="preserve"> previa búsqueda exhaustiva y razonable en los archivos de las unidades administrativas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en versión pública,</w:t>
      </w:r>
      <w:r w:rsidR="00F14F5E">
        <w:rPr>
          <w:rFonts w:ascii="Palatino Linotype" w:hAnsi="Palatino Linotype" w:cs="Arial"/>
          <w:sz w:val="22"/>
          <w:szCs w:val="22"/>
          <w:lang w:val="es-ES"/>
        </w:rPr>
        <w:t xml:space="preserve"> en términos del Considerando QUINTO,</w:t>
      </w:r>
      <w:r>
        <w:rPr>
          <w:rFonts w:ascii="Palatino Linotype" w:hAnsi="Palatino Linotype" w:cs="Arial"/>
          <w:sz w:val="22"/>
          <w:szCs w:val="22"/>
          <w:lang w:val="es-ES"/>
        </w:rPr>
        <w:t xml:space="preserve"> </w:t>
      </w:r>
      <w:r w:rsidR="00525771" w:rsidRPr="00525771">
        <w:rPr>
          <w:rFonts w:ascii="Palatino Linotype" w:hAnsi="Palatino Linotype" w:cs="Arial"/>
          <w:sz w:val="22"/>
          <w:szCs w:val="22"/>
          <w:lang w:val="es-ES"/>
        </w:rPr>
        <w:t xml:space="preserve">los recibos de </w:t>
      </w:r>
      <w:r w:rsidR="00525771" w:rsidRPr="00525771">
        <w:rPr>
          <w:rFonts w:ascii="Palatino Linotype" w:hAnsi="Palatino Linotype" w:cs="Arial"/>
          <w:sz w:val="22"/>
          <w:szCs w:val="22"/>
          <w:lang w:val="es-ES"/>
        </w:rPr>
        <w:lastRenderedPageBreak/>
        <w:t>nómina</w:t>
      </w:r>
      <w:r w:rsidR="007931E7">
        <w:rPr>
          <w:rFonts w:ascii="Palatino Linotype" w:hAnsi="Palatino Linotype" w:cs="Arial"/>
          <w:sz w:val="22"/>
          <w:szCs w:val="22"/>
          <w:lang w:val="es-ES"/>
        </w:rPr>
        <w:t xml:space="preserve"> de</w:t>
      </w:r>
      <w:r w:rsidR="00525771" w:rsidRPr="00525771">
        <w:rPr>
          <w:rFonts w:ascii="Palatino Linotype" w:hAnsi="Palatino Linotype" w:cs="Arial"/>
          <w:sz w:val="22"/>
          <w:szCs w:val="22"/>
          <w:lang w:val="es-ES"/>
        </w:rPr>
        <w:t xml:space="preserve"> </w:t>
      </w:r>
      <w:r w:rsidR="007931E7" w:rsidRPr="00525771">
        <w:rPr>
          <w:rFonts w:ascii="Palatino Linotype" w:hAnsi="Palatino Linotype" w:cs="Arial"/>
          <w:sz w:val="22"/>
          <w:szCs w:val="22"/>
          <w:lang w:val="es-ES"/>
        </w:rPr>
        <w:t xml:space="preserve">la </w:t>
      </w:r>
      <w:r w:rsidR="00907FE9">
        <w:rPr>
          <w:rFonts w:ascii="Palatino Linotype" w:hAnsi="Palatino Linotype" w:cs="Arial"/>
          <w:sz w:val="22"/>
          <w:szCs w:val="22"/>
          <w:lang w:val="es-ES"/>
        </w:rPr>
        <w:t xml:space="preserve">primera y segunda </w:t>
      </w:r>
      <w:r w:rsidR="007931E7" w:rsidRPr="00525771">
        <w:rPr>
          <w:rFonts w:ascii="Palatino Linotype" w:hAnsi="Palatino Linotype" w:cs="Arial"/>
          <w:sz w:val="22"/>
          <w:szCs w:val="22"/>
          <w:lang w:val="es-ES"/>
        </w:rPr>
        <w:t xml:space="preserve">quincena de </w:t>
      </w:r>
      <w:r w:rsidR="00907FE9">
        <w:rPr>
          <w:rFonts w:ascii="Palatino Linotype" w:hAnsi="Palatino Linotype" w:cs="Arial"/>
          <w:sz w:val="22"/>
          <w:szCs w:val="22"/>
          <w:lang w:val="es-ES"/>
        </w:rPr>
        <w:t xml:space="preserve">septiembre </w:t>
      </w:r>
      <w:r w:rsidR="007931E7">
        <w:rPr>
          <w:rFonts w:ascii="Palatino Linotype" w:hAnsi="Palatino Linotype" w:cs="Arial"/>
          <w:sz w:val="22"/>
          <w:szCs w:val="22"/>
          <w:lang w:val="es-ES"/>
        </w:rPr>
        <w:t xml:space="preserve">dos mil </w:t>
      </w:r>
      <w:r w:rsidR="00F14F5E">
        <w:rPr>
          <w:rFonts w:ascii="Palatino Linotype" w:hAnsi="Palatino Linotype" w:cs="Arial"/>
          <w:sz w:val="22"/>
          <w:szCs w:val="22"/>
          <w:lang w:val="es-ES"/>
        </w:rPr>
        <w:t>veinticinco, de</w:t>
      </w:r>
      <w:r w:rsidR="007931E7">
        <w:rPr>
          <w:rFonts w:ascii="Palatino Linotype" w:hAnsi="Palatino Linotype" w:cs="Arial"/>
          <w:sz w:val="22"/>
          <w:szCs w:val="22"/>
          <w:lang w:val="es-ES"/>
        </w:rPr>
        <w:t xml:space="preserve"> </w:t>
      </w:r>
      <w:r w:rsidR="00525771" w:rsidRPr="00525771">
        <w:rPr>
          <w:rFonts w:ascii="Palatino Linotype" w:hAnsi="Palatino Linotype" w:cs="Arial"/>
          <w:sz w:val="22"/>
          <w:szCs w:val="22"/>
          <w:lang w:val="es-ES"/>
        </w:rPr>
        <w:t xml:space="preserve">los </w:t>
      </w:r>
      <w:r w:rsidR="00F14F5E">
        <w:rPr>
          <w:rFonts w:ascii="Palatino Linotype" w:hAnsi="Palatino Linotype" w:cs="Arial"/>
          <w:sz w:val="22"/>
          <w:szCs w:val="22"/>
          <w:lang w:val="es-ES"/>
        </w:rPr>
        <w:t>R</w:t>
      </w:r>
      <w:r w:rsidR="00907FE9">
        <w:rPr>
          <w:rFonts w:ascii="Palatino Linotype" w:hAnsi="Palatino Linotype" w:cs="Arial"/>
          <w:sz w:val="22"/>
          <w:szCs w:val="22"/>
          <w:lang w:val="es-ES"/>
        </w:rPr>
        <w:t xml:space="preserve">egidores </w:t>
      </w:r>
      <w:r w:rsidR="00F14F5E">
        <w:rPr>
          <w:rFonts w:ascii="Palatino Linotype" w:hAnsi="Palatino Linotype" w:cs="Arial"/>
          <w:sz w:val="22"/>
          <w:szCs w:val="22"/>
          <w:lang w:val="es-ES"/>
        </w:rPr>
        <w:t>señalados en respuesta</w:t>
      </w:r>
      <w:r w:rsidR="007931E7">
        <w:rPr>
          <w:rFonts w:ascii="Palatino Linotype" w:hAnsi="Palatino Linotype" w:cs="Arial"/>
          <w:sz w:val="22"/>
          <w:szCs w:val="22"/>
          <w:lang w:val="es-ES"/>
        </w:rPr>
        <w:t>.</w:t>
      </w:r>
    </w:p>
    <w:p w14:paraId="2DD3303D" w14:textId="77777777" w:rsidR="00525771" w:rsidRDefault="00525771" w:rsidP="00903F17">
      <w:pPr>
        <w:spacing w:line="360" w:lineRule="auto"/>
        <w:ind w:right="-93"/>
        <w:jc w:val="both"/>
        <w:rPr>
          <w:rFonts w:ascii="Palatino Linotype" w:hAnsi="Palatino Linotype" w:cs="Arial"/>
          <w:sz w:val="22"/>
          <w:szCs w:val="22"/>
          <w:lang w:val="es-ES"/>
        </w:rPr>
      </w:pPr>
    </w:p>
    <w:p w14:paraId="19EE6349" w14:textId="77777777" w:rsidR="00F23D44" w:rsidRDefault="007931E7" w:rsidP="00903F1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w:t>
      </w:r>
      <w:r w:rsidR="00F23D44" w:rsidRPr="00B459FA">
        <w:rPr>
          <w:rFonts w:ascii="Palatino Linotype" w:eastAsia="Calibri" w:hAnsi="Palatino Linotype" w:cs="Tahoma"/>
          <w:bCs/>
          <w:sz w:val="22"/>
          <w:szCs w:val="22"/>
          <w:lang w:eastAsia="en-US"/>
        </w:rPr>
        <w:t xml:space="preserve">deberá </w:t>
      </w:r>
      <w:r w:rsidR="00F23D44" w:rsidRPr="005C0E48">
        <w:rPr>
          <w:rFonts w:ascii="Palatino Linotype" w:eastAsia="Calibri" w:hAnsi="Palatino Linotype" w:cs="Tahoma"/>
          <w:bCs/>
          <w:sz w:val="22"/>
          <w:szCs w:val="22"/>
          <w:lang w:eastAsia="en-US"/>
        </w:rPr>
        <w:t>proporcionar el Acuerdo donde el Comité de Transparencia, confirme la eliminación de los datos</w:t>
      </w:r>
      <w:r>
        <w:rPr>
          <w:rFonts w:ascii="Palatino Linotype" w:eastAsia="Calibri" w:hAnsi="Palatino Linotype" w:cs="Tahoma"/>
          <w:bCs/>
          <w:sz w:val="22"/>
          <w:szCs w:val="22"/>
          <w:lang w:eastAsia="en-US"/>
        </w:rPr>
        <w:t xml:space="preserve"> o información, en términos del Considerando QUINTO</w:t>
      </w:r>
      <w:r w:rsidR="00F23D44" w:rsidRPr="005C0E48">
        <w:rPr>
          <w:rFonts w:ascii="Palatino Linotype" w:eastAsia="Calibri" w:hAnsi="Palatino Linotype" w:cs="Tahoma"/>
          <w:bCs/>
          <w:sz w:val="22"/>
          <w:szCs w:val="22"/>
          <w:lang w:eastAsia="en-US"/>
        </w:rPr>
        <w:t>, de conformidad con los artículos 49, fracciones II y VIII, 132, fracción III, de la Ley de Transparencia y Acceso a la Información Pública del Estado de México y Municipios.</w:t>
      </w:r>
    </w:p>
    <w:p w14:paraId="6963BA2A" w14:textId="77777777" w:rsidR="007931E7" w:rsidRPr="005C0E48" w:rsidRDefault="007931E7" w:rsidP="00903F17">
      <w:pPr>
        <w:spacing w:line="360" w:lineRule="auto"/>
        <w:ind w:right="-93"/>
        <w:jc w:val="both"/>
        <w:rPr>
          <w:rFonts w:ascii="Palatino Linotype" w:eastAsia="Calibri" w:hAnsi="Palatino Linotype" w:cs="Tahoma"/>
          <w:bCs/>
          <w:sz w:val="22"/>
          <w:szCs w:val="22"/>
          <w:lang w:eastAsia="en-US"/>
        </w:rPr>
      </w:pPr>
    </w:p>
    <w:p w14:paraId="31E9C483" w14:textId="77777777" w:rsidR="007931E7" w:rsidRDefault="00F23D44" w:rsidP="00903F17">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903F17">
        <w:rPr>
          <w:rFonts w:ascii="Palatino Linotype" w:eastAsia="Calibri" w:hAnsi="Palatino Linotype" w:cs="Tahoma"/>
          <w:bCs/>
          <w:sz w:val="22"/>
          <w:szCs w:val="22"/>
          <w:lang w:eastAsia="en-US"/>
        </w:rPr>
        <w:t xml:space="preserve"> </w:t>
      </w:r>
    </w:p>
    <w:p w14:paraId="7024949A" w14:textId="77777777" w:rsidR="007931E7" w:rsidRDefault="007931E7" w:rsidP="00903F17">
      <w:pPr>
        <w:spacing w:line="360" w:lineRule="auto"/>
        <w:contextualSpacing/>
        <w:jc w:val="both"/>
        <w:rPr>
          <w:rFonts w:ascii="Palatino Linotype" w:eastAsia="Calibri" w:hAnsi="Palatino Linotype" w:cs="Tahoma"/>
          <w:bCs/>
          <w:sz w:val="22"/>
          <w:szCs w:val="22"/>
          <w:lang w:eastAsia="en-US"/>
        </w:rPr>
      </w:pPr>
    </w:p>
    <w:p w14:paraId="4665CEEE" w14:textId="77777777" w:rsidR="00F23D44" w:rsidRPr="00FB571A" w:rsidRDefault="00F23D44" w:rsidP="00903F17">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C06B62" w14:textId="77777777" w:rsidR="00F23D44" w:rsidRPr="00FB571A" w:rsidRDefault="00F23D44" w:rsidP="00903F17">
      <w:pPr>
        <w:spacing w:line="360" w:lineRule="auto"/>
        <w:contextualSpacing/>
        <w:jc w:val="both"/>
        <w:rPr>
          <w:rFonts w:ascii="Palatino Linotype" w:eastAsia="Calibri" w:hAnsi="Palatino Linotype" w:cs="Tahoma"/>
          <w:color w:val="000000"/>
          <w:sz w:val="22"/>
          <w:szCs w:val="22"/>
          <w:lang w:val="es-ES" w:eastAsia="es-MX"/>
        </w:rPr>
      </w:pPr>
    </w:p>
    <w:p w14:paraId="52E47028" w14:textId="77777777" w:rsidR="00F23D44" w:rsidRPr="00FB571A" w:rsidRDefault="00F23D44" w:rsidP="00903F17">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 xml:space="preserve">al Recurrente la presente Resolución, asimismo, se hace de su conocimiento que de conformidad con lo establecido en el artículo 196 de la Ley de </w:t>
      </w:r>
      <w:r w:rsidRPr="00FB571A">
        <w:rPr>
          <w:rFonts w:ascii="Palatino Linotype" w:hAnsi="Palatino Linotype" w:cs="Tahoma"/>
          <w:color w:val="000000" w:themeColor="text1"/>
          <w:sz w:val="22"/>
          <w:szCs w:val="22"/>
        </w:rPr>
        <w:lastRenderedPageBreak/>
        <w:t>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20AF9B67" w14:textId="77777777" w:rsidR="006E68D3" w:rsidRDefault="006E68D3" w:rsidP="00903F17">
      <w:pPr>
        <w:spacing w:line="360" w:lineRule="auto"/>
        <w:jc w:val="both"/>
        <w:rPr>
          <w:rFonts w:ascii="Palatino Linotype" w:eastAsia="Calibri" w:hAnsi="Palatino Linotype" w:cs="Tahoma"/>
          <w:iCs/>
          <w:sz w:val="22"/>
          <w:szCs w:val="22"/>
          <w:lang w:val="es-ES" w:eastAsia="es-ES_tradnl"/>
        </w:rPr>
      </w:pPr>
    </w:p>
    <w:p w14:paraId="0BE99557" w14:textId="45414B2F" w:rsidR="00803E3D" w:rsidRDefault="00803E3D" w:rsidP="00903F17">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A754ED">
        <w:rPr>
          <w:rFonts w:ascii="Palatino Linotype" w:hAnsi="Palatino Linotype" w:cs="Tahoma"/>
          <w:sz w:val="22"/>
          <w:szCs w:val="22"/>
          <w:lang w:eastAsia="es-MX"/>
        </w:rPr>
        <w:t>CUADRA</w:t>
      </w:r>
      <w:r w:rsidR="00CA20E6">
        <w:rPr>
          <w:rFonts w:ascii="Palatino Linotype" w:hAnsi="Palatino Linotype" w:cs="Tahoma"/>
          <w:sz w:val="22"/>
          <w:szCs w:val="22"/>
          <w:lang w:eastAsia="es-MX"/>
        </w:rPr>
        <w:t>GÉSIMA</w:t>
      </w:r>
      <w:r w:rsidR="00525771">
        <w:rPr>
          <w:rFonts w:ascii="Palatino Linotype" w:hAnsi="Palatino Linotype" w:cs="Tahoma"/>
          <w:sz w:val="22"/>
          <w:szCs w:val="22"/>
          <w:lang w:eastAsia="es-MX"/>
        </w:rPr>
        <w:t xml:space="preserve"> </w:t>
      </w:r>
      <w:r w:rsidR="00DE6FE5">
        <w:rPr>
          <w:rFonts w:ascii="Palatino Linotype" w:hAnsi="Palatino Linotype" w:cs="Tahoma"/>
          <w:sz w:val="22"/>
          <w:szCs w:val="22"/>
          <w:lang w:eastAsia="es-MX"/>
        </w:rPr>
        <w:t>CUARTA</w:t>
      </w:r>
      <w:r w:rsidR="00CA20E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A754ED">
        <w:rPr>
          <w:rFonts w:ascii="Palatino Linotype" w:hAnsi="Palatino Linotype" w:cs="Tahoma"/>
          <w:sz w:val="22"/>
          <w:szCs w:val="22"/>
          <w:lang w:eastAsia="es-MX"/>
        </w:rPr>
        <w:t xml:space="preserve">DIEZ 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3C29B0F5" w14:textId="77777777" w:rsidR="00163BAA" w:rsidRDefault="00163BAA" w:rsidP="00903F17">
      <w:pPr>
        <w:spacing w:line="360" w:lineRule="auto"/>
        <w:contextualSpacing/>
        <w:jc w:val="both"/>
        <w:rPr>
          <w:rFonts w:ascii="Palatino Linotype" w:hAnsi="Palatino Linotype" w:cs="Tahoma"/>
          <w:sz w:val="22"/>
          <w:szCs w:val="22"/>
        </w:rPr>
      </w:pPr>
    </w:p>
    <w:p w14:paraId="26768CFC" w14:textId="77777777" w:rsidR="0089175F" w:rsidRDefault="0089175F" w:rsidP="00903F17">
      <w:pPr>
        <w:spacing w:line="360" w:lineRule="auto"/>
        <w:contextualSpacing/>
        <w:jc w:val="both"/>
        <w:rPr>
          <w:rFonts w:ascii="Palatino Linotype" w:hAnsi="Palatino Linotype" w:cs="Tahoma"/>
          <w:sz w:val="22"/>
          <w:szCs w:val="22"/>
        </w:rPr>
      </w:pPr>
    </w:p>
    <w:p w14:paraId="2D0B5B31" w14:textId="77777777" w:rsidR="0089175F" w:rsidRDefault="0089175F" w:rsidP="00903F17">
      <w:pPr>
        <w:spacing w:line="360" w:lineRule="auto"/>
        <w:contextualSpacing/>
        <w:jc w:val="both"/>
        <w:rPr>
          <w:rFonts w:ascii="Palatino Linotype" w:hAnsi="Palatino Linotype" w:cs="Tahoma"/>
          <w:sz w:val="22"/>
          <w:szCs w:val="22"/>
        </w:rPr>
      </w:pPr>
    </w:p>
    <w:p w14:paraId="27B630C2" w14:textId="77777777" w:rsidR="0089175F" w:rsidRDefault="0089175F" w:rsidP="00903F17">
      <w:pPr>
        <w:spacing w:line="360" w:lineRule="auto"/>
        <w:contextualSpacing/>
        <w:jc w:val="both"/>
        <w:rPr>
          <w:rFonts w:ascii="Palatino Linotype" w:hAnsi="Palatino Linotype" w:cs="Tahoma"/>
          <w:sz w:val="22"/>
          <w:szCs w:val="22"/>
        </w:rPr>
      </w:pPr>
    </w:p>
    <w:p w14:paraId="137940AC" w14:textId="77777777" w:rsidR="0089175F" w:rsidRDefault="0089175F" w:rsidP="00903F17">
      <w:pPr>
        <w:spacing w:line="360" w:lineRule="auto"/>
        <w:contextualSpacing/>
        <w:jc w:val="both"/>
        <w:rPr>
          <w:rFonts w:ascii="Palatino Linotype" w:hAnsi="Palatino Linotype" w:cs="Tahoma"/>
          <w:sz w:val="22"/>
          <w:szCs w:val="22"/>
        </w:rPr>
      </w:pPr>
    </w:p>
    <w:p w14:paraId="2DB2B0D2" w14:textId="77777777" w:rsidR="001F1A77" w:rsidRDefault="001F1A77" w:rsidP="00903F17">
      <w:pPr>
        <w:spacing w:line="360" w:lineRule="auto"/>
        <w:contextualSpacing/>
        <w:jc w:val="both"/>
        <w:rPr>
          <w:rFonts w:ascii="Palatino Linotype" w:hAnsi="Palatino Linotype" w:cs="Tahoma"/>
          <w:sz w:val="22"/>
          <w:szCs w:val="22"/>
        </w:rPr>
      </w:pPr>
    </w:p>
    <w:p w14:paraId="3B3633D1" w14:textId="77777777" w:rsidR="001F1A77" w:rsidRDefault="001F1A77" w:rsidP="00903F17">
      <w:pPr>
        <w:spacing w:line="360" w:lineRule="auto"/>
        <w:contextualSpacing/>
        <w:jc w:val="both"/>
        <w:rPr>
          <w:rFonts w:ascii="Palatino Linotype" w:hAnsi="Palatino Linotype" w:cs="Tahoma"/>
          <w:sz w:val="22"/>
          <w:szCs w:val="22"/>
        </w:rPr>
      </w:pPr>
    </w:p>
    <w:p w14:paraId="296EB65D" w14:textId="77777777" w:rsidR="000B1059" w:rsidRDefault="000B1059" w:rsidP="00903F17">
      <w:pPr>
        <w:spacing w:line="360" w:lineRule="auto"/>
        <w:contextualSpacing/>
        <w:jc w:val="both"/>
        <w:rPr>
          <w:rFonts w:ascii="Palatino Linotype" w:hAnsi="Palatino Linotype" w:cs="Tahoma"/>
          <w:sz w:val="22"/>
          <w:szCs w:val="22"/>
        </w:rPr>
      </w:pPr>
    </w:p>
    <w:p w14:paraId="1756D4AC" w14:textId="77777777" w:rsidR="000B1059" w:rsidRDefault="000B1059" w:rsidP="00903F17">
      <w:pPr>
        <w:spacing w:line="360" w:lineRule="auto"/>
        <w:contextualSpacing/>
        <w:jc w:val="both"/>
        <w:rPr>
          <w:rFonts w:ascii="Palatino Linotype" w:hAnsi="Palatino Linotype" w:cs="Tahoma"/>
          <w:sz w:val="22"/>
          <w:szCs w:val="22"/>
        </w:rPr>
      </w:pPr>
    </w:p>
    <w:p w14:paraId="79297783" w14:textId="77777777" w:rsidR="000B1059" w:rsidRDefault="000B1059" w:rsidP="00903F17">
      <w:pPr>
        <w:spacing w:line="360" w:lineRule="auto"/>
        <w:contextualSpacing/>
        <w:jc w:val="both"/>
        <w:rPr>
          <w:rFonts w:ascii="Palatino Linotype" w:hAnsi="Palatino Linotype" w:cs="Tahoma"/>
          <w:sz w:val="22"/>
          <w:szCs w:val="22"/>
        </w:rPr>
      </w:pPr>
    </w:p>
    <w:p w14:paraId="46DAE329" w14:textId="77777777" w:rsidR="001F1A77" w:rsidRDefault="001F1A77" w:rsidP="00903F17">
      <w:pPr>
        <w:spacing w:line="360" w:lineRule="auto"/>
        <w:contextualSpacing/>
        <w:jc w:val="both"/>
        <w:rPr>
          <w:rFonts w:ascii="Palatino Linotype" w:hAnsi="Palatino Linotype" w:cs="Tahoma"/>
          <w:sz w:val="22"/>
          <w:szCs w:val="22"/>
        </w:rPr>
      </w:pPr>
    </w:p>
    <w:p w14:paraId="56497E6D" w14:textId="77777777" w:rsidR="001F1A77" w:rsidRDefault="001F1A77" w:rsidP="00903F17">
      <w:pPr>
        <w:spacing w:line="360" w:lineRule="auto"/>
        <w:contextualSpacing/>
        <w:jc w:val="both"/>
        <w:rPr>
          <w:rFonts w:ascii="Palatino Linotype" w:hAnsi="Palatino Linotype" w:cs="Tahoma"/>
          <w:sz w:val="22"/>
          <w:szCs w:val="22"/>
        </w:rPr>
      </w:pPr>
    </w:p>
    <w:p w14:paraId="5C83EFF7" w14:textId="77777777" w:rsidR="001F1A77" w:rsidRDefault="001F1A77" w:rsidP="00903F17">
      <w:pPr>
        <w:spacing w:line="360" w:lineRule="auto"/>
        <w:contextualSpacing/>
        <w:jc w:val="both"/>
        <w:rPr>
          <w:rFonts w:ascii="Palatino Linotype" w:hAnsi="Palatino Linotype" w:cs="Tahoma"/>
          <w:sz w:val="22"/>
          <w:szCs w:val="22"/>
        </w:rPr>
      </w:pPr>
    </w:p>
    <w:p w14:paraId="4C99C4CD" w14:textId="77777777" w:rsidR="001F1A77" w:rsidRDefault="001F1A77" w:rsidP="00903F17">
      <w:pPr>
        <w:spacing w:line="360" w:lineRule="auto"/>
        <w:contextualSpacing/>
        <w:jc w:val="both"/>
        <w:rPr>
          <w:rFonts w:ascii="Palatino Linotype" w:hAnsi="Palatino Linotype" w:cs="Tahoma"/>
          <w:sz w:val="22"/>
          <w:szCs w:val="22"/>
        </w:rPr>
      </w:pPr>
    </w:p>
    <w:p w14:paraId="421FBFCB" w14:textId="77777777" w:rsidR="001F1A77" w:rsidRDefault="001F1A77" w:rsidP="00903F17">
      <w:pPr>
        <w:spacing w:line="360" w:lineRule="auto"/>
        <w:contextualSpacing/>
        <w:jc w:val="both"/>
        <w:rPr>
          <w:rFonts w:ascii="Palatino Linotype" w:hAnsi="Palatino Linotype" w:cs="Tahoma"/>
          <w:sz w:val="22"/>
          <w:szCs w:val="22"/>
        </w:rPr>
      </w:pPr>
    </w:p>
    <w:p w14:paraId="570DA7FC" w14:textId="77777777" w:rsidR="001F1A77" w:rsidRDefault="001F1A77" w:rsidP="00903F17">
      <w:pPr>
        <w:spacing w:line="360" w:lineRule="auto"/>
        <w:contextualSpacing/>
        <w:jc w:val="both"/>
        <w:rPr>
          <w:rFonts w:ascii="Palatino Linotype" w:hAnsi="Palatino Linotype" w:cs="Tahoma"/>
          <w:sz w:val="22"/>
          <w:szCs w:val="22"/>
        </w:rPr>
      </w:pPr>
    </w:p>
    <w:p w14:paraId="41F25533" w14:textId="77777777" w:rsidR="001F1A77" w:rsidRDefault="001F1A77" w:rsidP="00903F17">
      <w:pPr>
        <w:spacing w:line="360" w:lineRule="auto"/>
        <w:contextualSpacing/>
        <w:jc w:val="both"/>
        <w:rPr>
          <w:rFonts w:ascii="Palatino Linotype" w:hAnsi="Palatino Linotype" w:cs="Tahoma"/>
          <w:sz w:val="22"/>
          <w:szCs w:val="22"/>
        </w:rPr>
      </w:pPr>
    </w:p>
    <w:p w14:paraId="08BB5987" w14:textId="77777777" w:rsidR="001F1A77" w:rsidRPr="003A1DF0" w:rsidRDefault="001F1A77" w:rsidP="00903F17">
      <w:pPr>
        <w:spacing w:line="360" w:lineRule="auto"/>
        <w:contextualSpacing/>
        <w:jc w:val="both"/>
        <w:rPr>
          <w:rFonts w:ascii="Palatino Linotype" w:hAnsi="Palatino Linotype" w:cs="Tahoma"/>
          <w:sz w:val="22"/>
          <w:szCs w:val="22"/>
        </w:rPr>
      </w:pPr>
    </w:p>
    <w:p w14:paraId="166634E9" w14:textId="77777777" w:rsidR="003A1DF0" w:rsidRPr="003A1DF0" w:rsidRDefault="003A1DF0" w:rsidP="00903F17">
      <w:pPr>
        <w:spacing w:line="360" w:lineRule="auto"/>
        <w:contextualSpacing/>
        <w:jc w:val="both"/>
        <w:rPr>
          <w:rFonts w:ascii="Palatino Linotype" w:hAnsi="Palatino Linotype" w:cs="Tahoma"/>
          <w:sz w:val="22"/>
          <w:szCs w:val="22"/>
        </w:rPr>
      </w:pPr>
    </w:p>
    <w:sectPr w:rsidR="003A1DF0" w:rsidRPr="003A1DF0" w:rsidSect="008C2B4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3DDE0" w14:textId="77777777" w:rsidR="009616F3" w:rsidRDefault="009616F3" w:rsidP="00B31222">
      <w:r>
        <w:separator/>
      </w:r>
    </w:p>
  </w:endnote>
  <w:endnote w:type="continuationSeparator" w:id="0">
    <w:p w14:paraId="0E65A36B" w14:textId="77777777" w:rsidR="009616F3" w:rsidRDefault="009616F3" w:rsidP="00B31222">
      <w:r>
        <w:continuationSeparator/>
      </w:r>
    </w:p>
  </w:endnote>
  <w:endnote w:type="continuationNotice" w:id="1">
    <w:p w14:paraId="2C20944F" w14:textId="77777777" w:rsidR="009616F3" w:rsidRDefault="00961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8EB44C5"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6119">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6119">
              <w:rPr>
                <w:b/>
                <w:bCs/>
                <w:noProof/>
              </w:rPr>
              <w:t>30</w:t>
            </w:r>
            <w:r>
              <w:rPr>
                <w:b/>
                <w:bCs/>
                <w:sz w:val="24"/>
                <w:szCs w:val="24"/>
              </w:rPr>
              <w:fldChar w:fldCharType="end"/>
            </w:r>
          </w:p>
        </w:sdtContent>
      </w:sdt>
    </w:sdtContent>
  </w:sdt>
  <w:p w14:paraId="44B9F86E"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6304F09"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611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6119">
              <w:rPr>
                <w:b/>
                <w:bCs/>
                <w:noProof/>
              </w:rPr>
              <w:t>30</w:t>
            </w:r>
            <w:r>
              <w:rPr>
                <w:b/>
                <w:bCs/>
                <w:sz w:val="24"/>
                <w:szCs w:val="24"/>
              </w:rPr>
              <w:fldChar w:fldCharType="end"/>
            </w:r>
          </w:p>
        </w:sdtContent>
      </w:sdt>
    </w:sdtContent>
  </w:sdt>
  <w:p w14:paraId="6654E761"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37455" w14:textId="77777777" w:rsidR="009616F3" w:rsidRDefault="009616F3" w:rsidP="00B31222">
      <w:r>
        <w:separator/>
      </w:r>
    </w:p>
  </w:footnote>
  <w:footnote w:type="continuationSeparator" w:id="0">
    <w:p w14:paraId="2239421A" w14:textId="77777777" w:rsidR="009616F3" w:rsidRDefault="009616F3" w:rsidP="00B31222">
      <w:r>
        <w:continuationSeparator/>
      </w:r>
    </w:p>
  </w:footnote>
  <w:footnote w:type="continuationNotice" w:id="1">
    <w:p w14:paraId="4A8D0CDC" w14:textId="77777777" w:rsidR="009616F3" w:rsidRDefault="00961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C366" w14:textId="77777777" w:rsidR="006379D0" w:rsidRDefault="00000000">
    <w:pPr>
      <w:pStyle w:val="Encabezado"/>
    </w:pPr>
    <w:r>
      <w:rPr>
        <w:noProof/>
        <w:lang w:eastAsia="es-MX"/>
      </w:rPr>
      <w:pict w14:anchorId="5AC0E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4" w:type="dxa"/>
      <w:tblLayout w:type="fixed"/>
      <w:tblLook w:val="04A0" w:firstRow="1" w:lastRow="0" w:firstColumn="1" w:lastColumn="0" w:noHBand="0" w:noVBand="1"/>
    </w:tblPr>
    <w:tblGrid>
      <w:gridCol w:w="3261"/>
      <w:gridCol w:w="6733"/>
    </w:tblGrid>
    <w:tr w:rsidR="006379D0" w:rsidRPr="005C106F" w14:paraId="4D1F2B52" w14:textId="77777777" w:rsidTr="00903F17">
      <w:trPr>
        <w:trHeight w:val="1435"/>
      </w:trPr>
      <w:tc>
        <w:tcPr>
          <w:tcW w:w="3261" w:type="dxa"/>
          <w:shd w:val="clear" w:color="auto" w:fill="auto"/>
        </w:tcPr>
        <w:p w14:paraId="05C6DC44" w14:textId="66E556F5"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667BCD5" wp14:editId="44C3FE56">
                <wp:simplePos x="0" y="0"/>
                <wp:positionH relativeFrom="page">
                  <wp:posOffset>-920145</wp:posOffset>
                </wp:positionH>
                <wp:positionV relativeFrom="margin">
                  <wp:posOffset>-290623</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8FCC265"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54D19730" w14:textId="77777777" w:rsidTr="00DF3BE8">
            <w:trPr>
              <w:trHeight w:val="144"/>
            </w:trPr>
            <w:tc>
              <w:tcPr>
                <w:tcW w:w="2589" w:type="dxa"/>
              </w:tcPr>
              <w:p w14:paraId="21CB84B4" w14:textId="77777777" w:rsidR="006A2F15" w:rsidRDefault="006A2F15" w:rsidP="00E43A0F">
                <w:pPr>
                  <w:tabs>
                    <w:tab w:val="right" w:pos="8838"/>
                  </w:tabs>
                  <w:ind w:right="-105"/>
                  <w:rPr>
                    <w:rFonts w:ascii="Palatino Linotype" w:eastAsia="Calibri" w:hAnsi="Palatino Linotype" w:cs="Tahoma"/>
                    <w:b/>
                    <w:sz w:val="22"/>
                    <w:szCs w:val="22"/>
                    <w:lang w:eastAsia="en-US"/>
                  </w:rPr>
                </w:pPr>
              </w:p>
              <w:p w14:paraId="25018C6C" w14:textId="77777777" w:rsidR="006A2F15" w:rsidRDefault="006A2F15" w:rsidP="00E43A0F">
                <w:pPr>
                  <w:tabs>
                    <w:tab w:val="right" w:pos="8838"/>
                  </w:tabs>
                  <w:ind w:right="-105"/>
                  <w:rPr>
                    <w:rFonts w:ascii="Palatino Linotype" w:eastAsia="Calibri" w:hAnsi="Palatino Linotype" w:cs="Tahoma"/>
                    <w:b/>
                    <w:sz w:val="22"/>
                    <w:szCs w:val="22"/>
                    <w:lang w:eastAsia="en-US"/>
                  </w:rPr>
                </w:pPr>
              </w:p>
              <w:p w14:paraId="53BA5E2E" w14:textId="17AEB925"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D351A1" w14:textId="77777777" w:rsidR="006A2F15" w:rsidRDefault="006A2F15" w:rsidP="004B553D">
                <w:pPr>
                  <w:tabs>
                    <w:tab w:val="right" w:pos="8838"/>
                  </w:tabs>
                  <w:ind w:left="-106" w:right="171"/>
                  <w:jc w:val="both"/>
                  <w:rPr>
                    <w:rFonts w:ascii="Palatino Linotype" w:eastAsia="Calibri" w:hAnsi="Palatino Linotype" w:cs="Tahoma"/>
                    <w:sz w:val="22"/>
                    <w:szCs w:val="22"/>
                    <w:lang w:val="es-MX" w:eastAsia="en-US"/>
                  </w:rPr>
                </w:pPr>
              </w:p>
              <w:p w14:paraId="5E7A9837" w14:textId="77777777" w:rsidR="006A2F15" w:rsidRDefault="006A2F15" w:rsidP="004B553D">
                <w:pPr>
                  <w:tabs>
                    <w:tab w:val="right" w:pos="8838"/>
                  </w:tabs>
                  <w:ind w:left="-106" w:right="171"/>
                  <w:jc w:val="both"/>
                  <w:rPr>
                    <w:rFonts w:ascii="Palatino Linotype" w:eastAsia="Calibri" w:hAnsi="Palatino Linotype" w:cs="Tahoma"/>
                    <w:sz w:val="22"/>
                    <w:szCs w:val="22"/>
                    <w:lang w:val="es-MX" w:eastAsia="en-US"/>
                  </w:rPr>
                </w:pPr>
              </w:p>
              <w:p w14:paraId="2FBBDB1C" w14:textId="76EF897E" w:rsidR="006379D0" w:rsidRPr="00903F17" w:rsidRDefault="00F72546"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12516</w:t>
                </w:r>
                <w:r w:rsidR="006379D0" w:rsidRPr="00903F17">
                  <w:rPr>
                    <w:rFonts w:ascii="Palatino Linotype" w:eastAsia="Calibri" w:hAnsi="Palatino Linotype" w:cs="Tahoma"/>
                    <w:sz w:val="22"/>
                    <w:szCs w:val="22"/>
                    <w:lang w:val="es-MX" w:eastAsia="en-US"/>
                  </w:rPr>
                  <w:t>/INFOEM/IP/RR/2025</w:t>
                </w:r>
              </w:p>
            </w:tc>
          </w:tr>
          <w:tr w:rsidR="006379D0" w14:paraId="7EA4A050" w14:textId="77777777" w:rsidTr="00DF3BE8">
            <w:trPr>
              <w:trHeight w:val="283"/>
            </w:trPr>
            <w:tc>
              <w:tcPr>
                <w:tcW w:w="2589" w:type="dxa"/>
              </w:tcPr>
              <w:p w14:paraId="07A1FA5C"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C0E60CE" w14:textId="727CD9EB" w:rsidR="006379D0" w:rsidRPr="005F13CF" w:rsidRDefault="00F72546" w:rsidP="0031023E">
                <w:pPr>
                  <w:tabs>
                    <w:tab w:val="left" w:pos="2834"/>
                    <w:tab w:val="right" w:pos="8838"/>
                  </w:tabs>
                  <w:ind w:left="-106" w:right="171"/>
                  <w:jc w:val="both"/>
                  <w:rPr>
                    <w:rFonts w:ascii="Palatino Linotype" w:eastAsia="Calibri" w:hAnsi="Palatino Linotype" w:cs="Tahoma"/>
                    <w:bCs/>
                    <w:sz w:val="22"/>
                    <w:szCs w:val="22"/>
                    <w:lang w:eastAsia="en-US"/>
                  </w:rPr>
                </w:pPr>
                <w:r w:rsidRPr="00F72546">
                  <w:rPr>
                    <w:rFonts w:ascii="Palatino Linotype" w:eastAsia="Calibri" w:hAnsi="Palatino Linotype" w:cs="Tahoma"/>
                    <w:bCs/>
                    <w:sz w:val="22"/>
                    <w:szCs w:val="22"/>
                    <w:lang w:val="es-MX" w:eastAsia="en-US"/>
                  </w:rPr>
                  <w:t>Ayuntamiento de Cocotitlán</w:t>
                </w:r>
              </w:p>
            </w:tc>
          </w:tr>
          <w:tr w:rsidR="006379D0" w14:paraId="77EB18AA" w14:textId="77777777" w:rsidTr="00DF3BE8">
            <w:trPr>
              <w:trHeight w:val="283"/>
            </w:trPr>
            <w:tc>
              <w:tcPr>
                <w:tcW w:w="2589" w:type="dxa"/>
              </w:tcPr>
              <w:p w14:paraId="0CA72968"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3EC3681"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7F39D6D"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111E2932"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3FCDBF8E"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7" w:type="dxa"/>
      <w:tblLayout w:type="fixed"/>
      <w:tblLook w:val="04A0" w:firstRow="1" w:lastRow="0" w:firstColumn="1" w:lastColumn="0" w:noHBand="0" w:noVBand="1"/>
    </w:tblPr>
    <w:tblGrid>
      <w:gridCol w:w="3544"/>
      <w:gridCol w:w="6733"/>
    </w:tblGrid>
    <w:tr w:rsidR="006379D0" w:rsidRPr="00330DA7" w14:paraId="5836E12F" w14:textId="77777777" w:rsidTr="006A2F15">
      <w:trPr>
        <w:trHeight w:val="1435"/>
      </w:trPr>
      <w:tc>
        <w:tcPr>
          <w:tcW w:w="3544" w:type="dxa"/>
          <w:shd w:val="clear" w:color="auto" w:fill="auto"/>
        </w:tcPr>
        <w:p w14:paraId="1BD4A8E5"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E01039B" wp14:editId="77F42D6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F880E09" w14:textId="77777777" w:rsidR="006A2F15" w:rsidRDefault="006A2F15"/>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6CC235F7" w14:textId="77777777" w:rsidTr="00DF3BE8">
            <w:trPr>
              <w:trHeight w:val="144"/>
            </w:trPr>
            <w:tc>
              <w:tcPr>
                <w:tcW w:w="2589" w:type="dxa"/>
              </w:tcPr>
              <w:p w14:paraId="486013A3"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8DE21C4" w14:textId="2C27AB9F" w:rsidR="006379D0" w:rsidRPr="00281227" w:rsidRDefault="00F72546"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12516</w:t>
                </w:r>
                <w:r w:rsidR="006379D0" w:rsidRPr="00281227">
                  <w:rPr>
                    <w:rFonts w:ascii="Palatino Linotype" w:eastAsia="Calibri" w:hAnsi="Palatino Linotype" w:cs="Tahoma"/>
                    <w:sz w:val="22"/>
                    <w:szCs w:val="22"/>
                    <w:lang w:val="es-MX" w:eastAsia="en-US"/>
                  </w:rPr>
                  <w:t>/INFOEM/IP/RR/2025</w:t>
                </w:r>
              </w:p>
            </w:tc>
          </w:tr>
          <w:tr w:rsidR="006379D0" w:rsidRPr="00286D0C" w14:paraId="3BF8718F" w14:textId="77777777" w:rsidTr="00DF3BE8">
            <w:trPr>
              <w:trHeight w:val="144"/>
            </w:trPr>
            <w:tc>
              <w:tcPr>
                <w:tcW w:w="2589" w:type="dxa"/>
              </w:tcPr>
              <w:p w14:paraId="719D35CB"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725B0B2" w14:textId="6F1A7FDB" w:rsidR="006379D0" w:rsidRPr="00286D0C" w:rsidRDefault="000311CE" w:rsidP="005F13CF">
                <w:pPr>
                  <w:tabs>
                    <w:tab w:val="left" w:pos="3122"/>
                    <w:tab w:val="right" w:pos="8838"/>
                  </w:tabs>
                  <w:ind w:left="-106" w:right="-105"/>
                  <w:jc w:val="both"/>
                  <w:rPr>
                    <w:rFonts w:ascii="Palatino Linotype" w:eastAsia="Calibri" w:hAnsi="Palatino Linotype" w:cs="Tahoma"/>
                    <w:bCs/>
                    <w:sz w:val="22"/>
                    <w:szCs w:val="22"/>
                    <w:lang w:eastAsia="en-US"/>
                  </w:rPr>
                </w:pPr>
                <w:r w:rsidRPr="000311CE">
                  <w:rPr>
                    <w:rFonts w:ascii="Palatino Linotype" w:eastAsia="Calibri" w:hAnsi="Palatino Linotype" w:cs="Tahoma"/>
                    <w:bCs/>
                    <w:sz w:val="22"/>
                    <w:szCs w:val="22"/>
                    <w:highlight w:val="black"/>
                    <w:lang w:eastAsia="en-US"/>
                  </w:rPr>
                  <w:t>XXXXXXXXXXXX</w:t>
                </w:r>
              </w:p>
            </w:tc>
          </w:tr>
          <w:tr w:rsidR="006379D0" w:rsidRPr="00431A70" w14:paraId="7D42A6BC" w14:textId="77777777" w:rsidTr="00DF3BE8">
            <w:trPr>
              <w:trHeight w:val="283"/>
            </w:trPr>
            <w:tc>
              <w:tcPr>
                <w:tcW w:w="2589" w:type="dxa"/>
              </w:tcPr>
              <w:p w14:paraId="45294D12"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C7E8860" w14:textId="1DE4A807" w:rsidR="006379D0" w:rsidRPr="005F13CF" w:rsidRDefault="00F72546" w:rsidP="0031023E">
                <w:pPr>
                  <w:tabs>
                    <w:tab w:val="left" w:pos="2834"/>
                    <w:tab w:val="right" w:pos="8838"/>
                  </w:tabs>
                  <w:ind w:left="-106" w:right="-105"/>
                  <w:jc w:val="both"/>
                  <w:rPr>
                    <w:rFonts w:ascii="Palatino Linotype" w:eastAsia="Calibri" w:hAnsi="Palatino Linotype" w:cs="Tahoma"/>
                    <w:bCs/>
                    <w:sz w:val="22"/>
                    <w:szCs w:val="22"/>
                    <w:lang w:eastAsia="en-US"/>
                  </w:rPr>
                </w:pPr>
                <w:r w:rsidRPr="00F72546">
                  <w:rPr>
                    <w:rFonts w:ascii="Palatino Linotype" w:eastAsia="Calibri" w:hAnsi="Palatino Linotype" w:cs="Tahoma"/>
                    <w:bCs/>
                    <w:sz w:val="22"/>
                    <w:szCs w:val="22"/>
                    <w:lang w:val="es-MX" w:eastAsia="en-US"/>
                  </w:rPr>
                  <w:t>Ayuntamiento de Cocotitlán</w:t>
                </w:r>
              </w:p>
            </w:tc>
          </w:tr>
          <w:tr w:rsidR="006379D0" w:rsidRPr="00431A70" w14:paraId="090DC086" w14:textId="77777777" w:rsidTr="00DF3BE8">
            <w:trPr>
              <w:trHeight w:val="283"/>
            </w:trPr>
            <w:tc>
              <w:tcPr>
                <w:tcW w:w="2589" w:type="dxa"/>
              </w:tcPr>
              <w:p w14:paraId="01036EAA"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BB926AD"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F9F957D"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4C699CD1"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10"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0D1D37"/>
    <w:multiLevelType w:val="hybridMultilevel"/>
    <w:tmpl w:val="88E41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0844B1"/>
    <w:multiLevelType w:val="hybridMultilevel"/>
    <w:tmpl w:val="3954D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3916032">
    <w:abstractNumId w:val="0"/>
  </w:num>
  <w:num w:numId="2" w16cid:durableId="1752583418">
    <w:abstractNumId w:val="14"/>
  </w:num>
  <w:num w:numId="3" w16cid:durableId="1280574802">
    <w:abstractNumId w:val="3"/>
  </w:num>
  <w:num w:numId="4" w16cid:durableId="1365515950">
    <w:abstractNumId w:val="4"/>
  </w:num>
  <w:num w:numId="5" w16cid:durableId="1928928322">
    <w:abstractNumId w:val="11"/>
  </w:num>
  <w:num w:numId="6" w16cid:durableId="131113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7711687">
    <w:abstractNumId w:val="1"/>
  </w:num>
  <w:num w:numId="8" w16cid:durableId="169224493">
    <w:abstractNumId w:val="2"/>
  </w:num>
  <w:num w:numId="9" w16cid:durableId="347953008">
    <w:abstractNumId w:val="5"/>
  </w:num>
  <w:num w:numId="10" w16cid:durableId="879053576">
    <w:abstractNumId w:val="9"/>
  </w:num>
  <w:num w:numId="11" w16cid:durableId="2050374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927381">
    <w:abstractNumId w:val="10"/>
  </w:num>
  <w:num w:numId="13" w16cid:durableId="762914287">
    <w:abstractNumId w:val="7"/>
  </w:num>
  <w:num w:numId="14" w16cid:durableId="479426540">
    <w:abstractNumId w:val="13"/>
  </w:num>
  <w:num w:numId="15" w16cid:durableId="139005340">
    <w:abstractNumId w:val="6"/>
  </w:num>
  <w:num w:numId="16" w16cid:durableId="2056391953">
    <w:abstractNumId w:val="8"/>
  </w:num>
  <w:num w:numId="17" w16cid:durableId="17366650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1CE"/>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246D"/>
    <w:rsid w:val="00043009"/>
    <w:rsid w:val="00043A1D"/>
    <w:rsid w:val="00043C4B"/>
    <w:rsid w:val="00043CB3"/>
    <w:rsid w:val="000445A4"/>
    <w:rsid w:val="0004528B"/>
    <w:rsid w:val="000452B7"/>
    <w:rsid w:val="0004563C"/>
    <w:rsid w:val="00045736"/>
    <w:rsid w:val="0004574F"/>
    <w:rsid w:val="00046194"/>
    <w:rsid w:val="0004646B"/>
    <w:rsid w:val="000467AD"/>
    <w:rsid w:val="00046919"/>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2E9"/>
    <w:rsid w:val="00110E1B"/>
    <w:rsid w:val="00111385"/>
    <w:rsid w:val="00111825"/>
    <w:rsid w:val="00111AE8"/>
    <w:rsid w:val="00111EFD"/>
    <w:rsid w:val="001133D5"/>
    <w:rsid w:val="00113E94"/>
    <w:rsid w:val="00113F60"/>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600"/>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3D0"/>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92"/>
    <w:rsid w:val="00260BF5"/>
    <w:rsid w:val="00260FEC"/>
    <w:rsid w:val="0026108A"/>
    <w:rsid w:val="00261DD6"/>
    <w:rsid w:val="0026209A"/>
    <w:rsid w:val="00262408"/>
    <w:rsid w:val="00263DDD"/>
    <w:rsid w:val="00263EC1"/>
    <w:rsid w:val="00263FE3"/>
    <w:rsid w:val="002641BA"/>
    <w:rsid w:val="00264472"/>
    <w:rsid w:val="002649C4"/>
    <w:rsid w:val="002657E2"/>
    <w:rsid w:val="002661B2"/>
    <w:rsid w:val="002662BA"/>
    <w:rsid w:val="002669E5"/>
    <w:rsid w:val="002671C8"/>
    <w:rsid w:val="002672CF"/>
    <w:rsid w:val="002708AC"/>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227"/>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483"/>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0E61"/>
    <w:rsid w:val="00441804"/>
    <w:rsid w:val="004435B4"/>
    <w:rsid w:val="00443C24"/>
    <w:rsid w:val="004443DD"/>
    <w:rsid w:val="00444D0E"/>
    <w:rsid w:val="0044538D"/>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87"/>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5771"/>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614"/>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2D27"/>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2F15"/>
    <w:rsid w:val="006A43A7"/>
    <w:rsid w:val="006A4D09"/>
    <w:rsid w:val="006A4EAE"/>
    <w:rsid w:val="006A52CC"/>
    <w:rsid w:val="006A56C3"/>
    <w:rsid w:val="006A5AE5"/>
    <w:rsid w:val="006A67AA"/>
    <w:rsid w:val="006A6B88"/>
    <w:rsid w:val="006A6D7F"/>
    <w:rsid w:val="006B01B2"/>
    <w:rsid w:val="006B0298"/>
    <w:rsid w:val="006B02C0"/>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6E4B"/>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1E7"/>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3F17"/>
    <w:rsid w:val="0090582F"/>
    <w:rsid w:val="009079CA"/>
    <w:rsid w:val="009079ED"/>
    <w:rsid w:val="00907FE9"/>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6F3"/>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3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1B1D"/>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97C"/>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70E"/>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169"/>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4E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46D"/>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87D4B"/>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952"/>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14A"/>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975"/>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119"/>
    <w:rsid w:val="00DA67B9"/>
    <w:rsid w:val="00DA7BA0"/>
    <w:rsid w:val="00DA7C37"/>
    <w:rsid w:val="00DA7D03"/>
    <w:rsid w:val="00DB132B"/>
    <w:rsid w:val="00DB15D7"/>
    <w:rsid w:val="00DB1EB9"/>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0EC8"/>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6FE5"/>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12D"/>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42E"/>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4F5E"/>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2B3"/>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6F3B"/>
    <w:rsid w:val="00F677E2"/>
    <w:rsid w:val="00F705D2"/>
    <w:rsid w:val="00F70C9C"/>
    <w:rsid w:val="00F70E13"/>
    <w:rsid w:val="00F715EB"/>
    <w:rsid w:val="00F717E6"/>
    <w:rsid w:val="00F71D2E"/>
    <w:rsid w:val="00F7216B"/>
    <w:rsid w:val="00F72546"/>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761"/>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846"/>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E46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table" w:customStyle="1" w:styleId="Tablaconcuadrcula3">
    <w:name w:val="Tabla con cuadrícula3"/>
    <w:basedOn w:val="Tablanormal"/>
    <w:uiPriority w:val="59"/>
    <w:rsid w:val="00903F17"/>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3366987">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157639">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217135">
      <w:bodyDiv w:val="1"/>
      <w:marLeft w:val="0"/>
      <w:marRight w:val="0"/>
      <w:marTop w:val="0"/>
      <w:marBottom w:val="0"/>
      <w:divBdr>
        <w:top w:val="none" w:sz="0" w:space="0" w:color="auto"/>
        <w:left w:val="none" w:sz="0" w:space="0" w:color="auto"/>
        <w:bottom w:val="none" w:sz="0" w:space="0" w:color="auto"/>
        <w:right w:val="none" w:sz="0" w:space="0" w:color="auto"/>
      </w:divBdr>
    </w:div>
    <w:div w:id="74529697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034037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273727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057158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2670390">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f.gob.mx/nota_detalle.php?codigo=5492254&amp;fecha=28/07/201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C547-A78E-4105-BE87-5B738972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7117</Words>
  <Characters>39147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inf03m_31@outlook.com</cp:lastModifiedBy>
  <cp:revision>4</cp:revision>
  <cp:lastPrinted>2025-12-12T00:43:00Z</cp:lastPrinted>
  <dcterms:created xsi:type="dcterms:W3CDTF">2025-12-12T00:43:00Z</dcterms:created>
  <dcterms:modified xsi:type="dcterms:W3CDTF">2026-02-13T19:38:00Z</dcterms:modified>
</cp:coreProperties>
</file>