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3A7692AB" w:rsidR="00DB3DC5" w:rsidRPr="00A36064" w:rsidRDefault="00DB3DC5" w:rsidP="00C64DEA">
      <w:pPr>
        <w:tabs>
          <w:tab w:val="left" w:pos="8931"/>
        </w:tabs>
        <w:spacing w:after="0" w:line="360" w:lineRule="auto"/>
        <w:contextualSpacing/>
        <w:rPr>
          <w:rFonts w:cs="Tahoma"/>
          <w:bCs/>
        </w:rPr>
      </w:pPr>
      <w:r w:rsidRPr="00E44661">
        <w:rPr>
          <w:rFonts w:cs="Tahoma"/>
          <w:bCs/>
        </w:rPr>
        <w:t xml:space="preserve">Resolución del Pleno del Instituto de Transparencia, Acceso a la Información Pública y Protección de Datos Personales del Estado de México y Municipios, con domicilio en Metepec, </w:t>
      </w:r>
      <w:r w:rsidRPr="00E44661">
        <w:rPr>
          <w:rFonts w:eastAsia="Calibri" w:cs="Tahoma"/>
          <w:lang w:val="es-ES"/>
        </w:rPr>
        <w:t xml:space="preserve">Estado de México, de fecha </w:t>
      </w:r>
      <w:r w:rsidR="00AE77B1">
        <w:rPr>
          <w:rFonts w:eastAsia="Calibri" w:cs="Tahoma"/>
          <w:lang w:val="es-ES"/>
        </w:rPr>
        <w:t>veinte de marzo de dos mil veinticinco</w:t>
      </w:r>
      <w:r w:rsidRPr="00E44661">
        <w:rPr>
          <w:rFonts w:eastAsia="Calibri" w:cs="Tahoma"/>
          <w:lang w:val="es-ES"/>
        </w:rPr>
        <w:t xml:space="preserve">. </w:t>
      </w:r>
    </w:p>
    <w:p w14:paraId="2A681408" w14:textId="77777777" w:rsidR="00DB3DC5" w:rsidRPr="00E44661" w:rsidRDefault="00DB3DC5" w:rsidP="00C64DEA">
      <w:pPr>
        <w:spacing w:after="0" w:line="360" w:lineRule="auto"/>
        <w:contextualSpacing/>
        <w:rPr>
          <w:rFonts w:eastAsia="Calibri" w:cs="Tahoma"/>
          <w:b/>
          <w:bCs/>
          <w:lang w:val="es-ES"/>
        </w:rPr>
      </w:pPr>
    </w:p>
    <w:p w14:paraId="75D54F3E" w14:textId="54228E86" w:rsidR="00DB3DC5" w:rsidRPr="00E44661" w:rsidRDefault="00DB3DC5" w:rsidP="00C64DEA">
      <w:pPr>
        <w:spacing w:after="0" w:line="360" w:lineRule="auto"/>
        <w:contextualSpacing/>
        <w:rPr>
          <w:rFonts w:cs="Tahoma"/>
          <w:color w:val="0D0D0D" w:themeColor="text1" w:themeTint="F2"/>
        </w:rPr>
      </w:pPr>
      <w:r w:rsidRPr="00E44661">
        <w:rPr>
          <w:rFonts w:eastAsia="Calibri" w:cs="Tahoma"/>
          <w:b/>
          <w:bCs/>
          <w:lang w:val="es-ES"/>
        </w:rPr>
        <w:t xml:space="preserve">VISTO </w:t>
      </w:r>
      <w:r w:rsidRPr="00E44661">
        <w:rPr>
          <w:rFonts w:eastAsia="Calibri" w:cs="Tahoma"/>
          <w:lang w:val="es-ES"/>
        </w:rPr>
        <w:t>el expediente elec</w:t>
      </w:r>
      <w:r w:rsidR="004424A5">
        <w:rPr>
          <w:rFonts w:eastAsia="Calibri" w:cs="Tahoma"/>
          <w:lang w:val="es-ES"/>
        </w:rPr>
        <w:t>trónico conformado con motivo del</w:t>
      </w:r>
      <w:r w:rsidRPr="00E44661">
        <w:rPr>
          <w:rFonts w:eastAsia="Calibri" w:cs="Tahoma"/>
          <w:lang w:val="es-ES"/>
        </w:rPr>
        <w:t xml:space="preserve"> Recurso de Revisión </w:t>
      </w:r>
      <w:r w:rsidR="00AE77B1" w:rsidRPr="00887234">
        <w:rPr>
          <w:rFonts w:eastAsia="Calibri" w:cs="Tahoma"/>
          <w:b/>
        </w:rPr>
        <w:t>00991</w:t>
      </w:r>
      <w:r w:rsidR="004424A5" w:rsidRPr="00887234">
        <w:rPr>
          <w:rFonts w:eastAsia="Calibri" w:cs="Tahoma"/>
          <w:b/>
        </w:rPr>
        <w:t>/INFOEM/IP/RR/202</w:t>
      </w:r>
      <w:r w:rsidR="00AE77B1" w:rsidRPr="00887234">
        <w:rPr>
          <w:rFonts w:eastAsia="Calibri" w:cs="Tahoma"/>
          <w:b/>
        </w:rPr>
        <w:t>5</w:t>
      </w:r>
      <w:r w:rsidRPr="00362CF5">
        <w:rPr>
          <w:rFonts w:eastAsia="Calibri" w:cs="Tahoma"/>
        </w:rPr>
        <w:t>,</w:t>
      </w:r>
      <w:r w:rsidRPr="00C64DEA">
        <w:rPr>
          <w:rFonts w:eastAsia="Calibri" w:cs="Tahoma"/>
          <w:bCs/>
        </w:rPr>
        <w:t xml:space="preserve"> interpuesto por</w:t>
      </w:r>
      <w:r w:rsidR="007D7E05" w:rsidRPr="00C64DEA">
        <w:rPr>
          <w:rFonts w:eastAsia="Calibri" w:cs="Tahoma"/>
          <w:bCs/>
        </w:rPr>
        <w:t xml:space="preserve"> </w:t>
      </w:r>
      <w:r w:rsidR="00AE77B1">
        <w:rPr>
          <w:rFonts w:eastAsia="Calibri" w:cs="Tahoma"/>
          <w:bCs/>
        </w:rPr>
        <w:t>el</w:t>
      </w:r>
      <w:r w:rsidRPr="00C64DEA">
        <w:rPr>
          <w:rFonts w:eastAsia="Calibri" w:cs="Tahoma"/>
          <w:bCs/>
        </w:rPr>
        <w:t xml:space="preserve"> </w:t>
      </w:r>
      <w:r w:rsidRPr="00C64DEA">
        <w:rPr>
          <w:rFonts w:cs="Tahoma"/>
          <w:bCs/>
          <w:color w:val="0D0D0D" w:themeColor="text1" w:themeTint="F2"/>
        </w:rPr>
        <w:t>Recurrente o Particular, en contra de la respuesta del Sujeto Obligado</w:t>
      </w:r>
      <w:r w:rsidR="007D7E05" w:rsidRPr="00C64DEA">
        <w:rPr>
          <w:rFonts w:cs="Tahoma"/>
          <w:bCs/>
          <w:color w:val="0D0D0D" w:themeColor="text1" w:themeTint="F2"/>
        </w:rPr>
        <w:t xml:space="preserve">, </w:t>
      </w:r>
      <w:r w:rsidR="00AE77B1" w:rsidRPr="00887234">
        <w:rPr>
          <w:b/>
          <w:bCs/>
          <w:color w:val="000000"/>
        </w:rPr>
        <w:t>Ayuntamiento de San Martín de las Pirámides</w:t>
      </w:r>
      <w:r w:rsidRPr="00C64DEA">
        <w:rPr>
          <w:rFonts w:cs="Tahoma"/>
          <w:bCs/>
          <w:color w:val="0D0D0D" w:themeColor="text1" w:themeTint="F2"/>
        </w:rPr>
        <w:t>, a la solicitud de acceso a la información pública</w:t>
      </w:r>
      <w:r w:rsidR="004424A5" w:rsidRPr="00C64DEA">
        <w:rPr>
          <w:bCs/>
          <w:color w:val="auto"/>
        </w:rPr>
        <w:t xml:space="preserve"> </w:t>
      </w:r>
      <w:r w:rsidR="00AE77B1" w:rsidRPr="00362CF5">
        <w:rPr>
          <w:color w:val="auto"/>
        </w:rPr>
        <w:t>00007/MARTIPIR/IP/2025</w:t>
      </w:r>
      <w:r w:rsidRPr="00C64DEA">
        <w:rPr>
          <w:rFonts w:cs="Arial"/>
          <w:bCs/>
          <w:color w:val="333333"/>
        </w:rPr>
        <w:t xml:space="preserve">, </w:t>
      </w:r>
      <w:r w:rsidRPr="00C64DEA">
        <w:rPr>
          <w:rFonts w:cs="Tahoma"/>
          <w:bCs/>
          <w:color w:val="0D0D0D" w:themeColor="text1" w:themeTint="F2"/>
        </w:rPr>
        <w:t>se emite la</w:t>
      </w:r>
      <w:r w:rsidRPr="00E44661">
        <w:rPr>
          <w:rFonts w:cs="Tahoma"/>
          <w:bCs/>
          <w:color w:val="0D0D0D" w:themeColor="text1" w:themeTint="F2"/>
        </w:rPr>
        <w:t xml:space="preserve"> presente Resolución, con base en los Antecedentes y Considerandos que se exponen a continuación:</w:t>
      </w:r>
    </w:p>
    <w:p w14:paraId="134E03A6" w14:textId="77777777" w:rsidR="00DB3DC5" w:rsidRPr="00E44661" w:rsidRDefault="00DB3DC5" w:rsidP="00C64DEA">
      <w:pPr>
        <w:spacing w:after="0" w:line="360" w:lineRule="auto"/>
        <w:contextualSpacing/>
        <w:rPr>
          <w:rFonts w:eastAsia="Calibri" w:cs="Tahoma"/>
          <w:b/>
          <w:bCs/>
          <w:lang w:val="es-ES"/>
        </w:rPr>
      </w:pPr>
    </w:p>
    <w:p w14:paraId="32EEB02D" w14:textId="77777777" w:rsidR="00DB3DC5" w:rsidRPr="00E44661" w:rsidRDefault="00DB3DC5" w:rsidP="00C64DEA">
      <w:pPr>
        <w:spacing w:after="0" w:line="360" w:lineRule="auto"/>
        <w:contextualSpacing/>
        <w:jc w:val="center"/>
        <w:rPr>
          <w:rFonts w:eastAsia="Calibri" w:cs="Tahoma"/>
          <w:b/>
          <w:bCs/>
          <w:lang w:val="es-ES"/>
        </w:rPr>
      </w:pPr>
      <w:r w:rsidRPr="00E44661">
        <w:rPr>
          <w:rFonts w:eastAsia="Calibri" w:cs="Tahoma"/>
          <w:b/>
          <w:bCs/>
          <w:lang w:val="es-ES"/>
        </w:rPr>
        <w:t>A N T E C E D E N T E S:</w:t>
      </w:r>
    </w:p>
    <w:p w14:paraId="09E98305" w14:textId="77777777" w:rsidR="00DB3DC5" w:rsidRPr="00E44661" w:rsidRDefault="00DB3DC5" w:rsidP="00C64DEA">
      <w:pPr>
        <w:spacing w:after="0" w:line="360" w:lineRule="auto"/>
        <w:contextualSpacing/>
        <w:jc w:val="center"/>
        <w:rPr>
          <w:rFonts w:eastAsia="Calibri" w:cs="Tahoma"/>
          <w:b/>
          <w:bCs/>
          <w:lang w:val="es-ES"/>
        </w:rPr>
      </w:pPr>
    </w:p>
    <w:p w14:paraId="5E541408" w14:textId="6009AFBF" w:rsidR="00DB3DC5" w:rsidRPr="00E44661" w:rsidRDefault="00DB3DC5" w:rsidP="00C64DEA">
      <w:pPr>
        <w:spacing w:after="0" w:line="360" w:lineRule="auto"/>
        <w:contextualSpacing/>
        <w:rPr>
          <w:rFonts w:eastAsia="Calibri" w:cs="Tahoma"/>
          <w:b/>
          <w:bCs/>
          <w:lang w:val="es-ES"/>
        </w:rPr>
      </w:pPr>
      <w:r w:rsidRPr="00E44661">
        <w:rPr>
          <w:rFonts w:eastAsia="Calibri" w:cs="Tahoma"/>
          <w:b/>
          <w:bCs/>
          <w:lang w:val="es-ES"/>
        </w:rPr>
        <w:t>I. Presentación de la solicitud de información.</w:t>
      </w:r>
    </w:p>
    <w:p w14:paraId="5A91601B" w14:textId="77777777" w:rsidR="00DB3DC5" w:rsidRPr="00E44661" w:rsidRDefault="00DB3DC5" w:rsidP="00C64DEA">
      <w:pPr>
        <w:spacing w:after="0" w:line="360" w:lineRule="auto"/>
        <w:contextualSpacing/>
        <w:rPr>
          <w:rFonts w:eastAsia="Calibri" w:cs="Tahoma"/>
          <w:b/>
          <w:bCs/>
          <w:lang w:val="es-ES"/>
        </w:rPr>
      </w:pPr>
    </w:p>
    <w:p w14:paraId="1620C68D" w14:textId="25C3D66A" w:rsidR="00DB3DC5" w:rsidRPr="00E44661" w:rsidRDefault="004822CF" w:rsidP="00C64DEA">
      <w:pPr>
        <w:spacing w:after="0" w:line="360" w:lineRule="auto"/>
        <w:contextualSpacing/>
        <w:rPr>
          <w:rFonts w:eastAsia="Calibri" w:cs="Tahoma"/>
        </w:rPr>
      </w:pPr>
      <w:r w:rsidRPr="00E44661">
        <w:rPr>
          <w:rFonts w:eastAsia="Calibri" w:cs="Tahoma"/>
          <w:lang w:val="es-ES"/>
        </w:rPr>
        <w:t xml:space="preserve">El </w:t>
      </w:r>
      <w:r w:rsidR="00AE77B1">
        <w:rPr>
          <w:rFonts w:eastAsia="Calibri" w:cs="Tahoma"/>
          <w:lang w:val="es-ES"/>
        </w:rPr>
        <w:t>diecisiete de enero de dos mil veinticinco</w:t>
      </w:r>
      <w:r w:rsidR="00DB3DC5" w:rsidRPr="00E44661">
        <w:rPr>
          <w:rFonts w:eastAsia="Calibri" w:cs="Tahoma"/>
          <w:lang w:val="es-ES"/>
        </w:rPr>
        <w:t xml:space="preserve">, el Particular presentó </w:t>
      </w:r>
      <w:r w:rsidR="00A1647B">
        <w:rPr>
          <w:rFonts w:eastAsia="Calibri" w:cs="Tahoma"/>
          <w:lang w:val="es-ES"/>
        </w:rPr>
        <w:t>una</w:t>
      </w:r>
      <w:r w:rsidR="00DB3DC5" w:rsidRPr="00E44661">
        <w:rPr>
          <w:rFonts w:eastAsia="Calibri" w:cs="Tahoma"/>
          <w:lang w:val="es-ES"/>
        </w:rPr>
        <w:t xml:space="preserve"> solicitud de acceso a la información, a través del Sistema de Acceso a la Información Mexiquense (SAIMEX), ante </w:t>
      </w:r>
      <w:r w:rsidRPr="00E44661">
        <w:rPr>
          <w:rFonts w:eastAsia="Calibri" w:cs="Tahoma"/>
          <w:lang w:val="es-ES"/>
        </w:rPr>
        <w:t>el</w:t>
      </w:r>
      <w:r w:rsidR="007D7E05" w:rsidRPr="00E44661">
        <w:rPr>
          <w:rFonts w:eastAsia="Calibri" w:cs="Tahoma"/>
        </w:rPr>
        <w:t xml:space="preserve"> </w:t>
      </w:r>
      <w:r w:rsidR="00AE77B1">
        <w:rPr>
          <w:color w:val="000000"/>
        </w:rPr>
        <w:t>Sujeto Obligado</w:t>
      </w:r>
      <w:r w:rsidR="00DB3DC5" w:rsidRPr="00E44661">
        <w:rPr>
          <w:rFonts w:eastAsia="Calibri" w:cs="Times New Roman"/>
        </w:rPr>
        <w:t>,</w:t>
      </w:r>
      <w:r w:rsidR="007D7E05" w:rsidRPr="00E44661">
        <w:rPr>
          <w:rFonts w:eastAsia="Calibri" w:cs="Times New Roman"/>
        </w:rPr>
        <w:t xml:space="preserve"> </w:t>
      </w:r>
      <w:r w:rsidR="00DB3DC5" w:rsidRPr="00E44661">
        <w:rPr>
          <w:rFonts w:cs="Tahoma"/>
        </w:rPr>
        <w:t>en los siguientes términos:</w:t>
      </w:r>
    </w:p>
    <w:p w14:paraId="24B2B1D0" w14:textId="77777777" w:rsidR="00C417AF" w:rsidRPr="00E44661" w:rsidRDefault="00C417AF" w:rsidP="00C64DEA">
      <w:pPr>
        <w:pStyle w:val="Prrafodelista"/>
        <w:tabs>
          <w:tab w:val="left" w:pos="567"/>
        </w:tabs>
        <w:spacing w:after="0" w:line="360" w:lineRule="auto"/>
        <w:ind w:left="0"/>
        <w:rPr>
          <w:rFonts w:cs="Tahoma"/>
          <w:lang w:val="es-ES"/>
        </w:rPr>
      </w:pPr>
    </w:p>
    <w:p w14:paraId="59BFDE9E" w14:textId="26D9281B" w:rsidR="00C417AF" w:rsidRPr="00E44661" w:rsidRDefault="00A1647B" w:rsidP="00C64DEA">
      <w:pPr>
        <w:tabs>
          <w:tab w:val="left" w:pos="4667"/>
        </w:tabs>
        <w:spacing w:after="0" w:line="360" w:lineRule="auto"/>
        <w:ind w:left="567" w:right="567"/>
        <w:contextualSpacing/>
        <w:rPr>
          <w:rFonts w:cs="Tahoma"/>
          <w:b/>
          <w:bCs/>
          <w:i/>
          <w:sz w:val="20"/>
          <w:szCs w:val="20"/>
        </w:rPr>
      </w:pPr>
      <w:r w:rsidRPr="00E44661">
        <w:rPr>
          <w:rFonts w:cs="Tahoma"/>
          <w:b/>
          <w:bCs/>
          <w:i/>
          <w:sz w:val="20"/>
          <w:szCs w:val="20"/>
        </w:rPr>
        <w:t xml:space="preserve"> </w:t>
      </w:r>
      <w:r w:rsidR="00C417AF" w:rsidRPr="00E44661">
        <w:rPr>
          <w:rFonts w:cs="Tahoma"/>
          <w:b/>
          <w:bCs/>
          <w:i/>
          <w:sz w:val="20"/>
          <w:szCs w:val="20"/>
        </w:rPr>
        <w:t>“DESCRIPCIÓN CLARA Y PRECISA DE LA INFORMACIÓN SOLICITADA</w:t>
      </w:r>
    </w:p>
    <w:p w14:paraId="30CC364E" w14:textId="4ED638D1" w:rsidR="00C417AF" w:rsidRDefault="00AE77B1" w:rsidP="00C64DEA">
      <w:pPr>
        <w:spacing w:after="0" w:line="360" w:lineRule="auto"/>
        <w:ind w:left="567" w:right="567"/>
        <w:contextualSpacing/>
        <w:rPr>
          <w:rFonts w:eastAsia="Times New Roman" w:cs="Arial"/>
          <w:bCs/>
          <w:i/>
          <w:sz w:val="20"/>
          <w:szCs w:val="20"/>
          <w:lang w:eastAsia="es-ES"/>
        </w:rPr>
      </w:pPr>
      <w:r w:rsidRPr="00AE77B1">
        <w:rPr>
          <w:i/>
          <w:iCs/>
          <w:color w:val="000000"/>
          <w:sz w:val="20"/>
          <w:szCs w:val="20"/>
        </w:rPr>
        <w:t xml:space="preserve">Requiero el CV de </w:t>
      </w:r>
      <w:proofErr w:type="spellStart"/>
      <w:r w:rsidRPr="00AE77B1">
        <w:rPr>
          <w:i/>
          <w:iCs/>
          <w:color w:val="000000"/>
          <w:sz w:val="20"/>
          <w:szCs w:val="20"/>
        </w:rPr>
        <w:t>Yomali</w:t>
      </w:r>
      <w:proofErr w:type="spellEnd"/>
      <w:r w:rsidRPr="00AE77B1">
        <w:rPr>
          <w:i/>
          <w:iCs/>
          <w:color w:val="000000"/>
          <w:sz w:val="20"/>
          <w:szCs w:val="20"/>
        </w:rPr>
        <w:t xml:space="preserve"> Olvera</w:t>
      </w:r>
      <w:r w:rsidR="00C417AF" w:rsidRPr="00E44661">
        <w:rPr>
          <w:rFonts w:eastAsia="Times New Roman" w:cs="Arial"/>
          <w:bCs/>
          <w:i/>
          <w:sz w:val="20"/>
          <w:szCs w:val="20"/>
          <w:lang w:eastAsia="es-ES"/>
        </w:rPr>
        <w:t>” (Sic)</w:t>
      </w:r>
    </w:p>
    <w:p w14:paraId="0B4E9993" w14:textId="77777777" w:rsidR="00AE77B1" w:rsidRPr="00E44661" w:rsidRDefault="00AE77B1" w:rsidP="00C64DEA">
      <w:pPr>
        <w:spacing w:after="0" w:line="360" w:lineRule="auto"/>
        <w:ind w:left="567" w:right="567"/>
        <w:contextualSpacing/>
        <w:rPr>
          <w:rFonts w:eastAsia="Times New Roman" w:cs="Arial"/>
          <w:bCs/>
          <w:i/>
          <w:sz w:val="20"/>
          <w:szCs w:val="20"/>
          <w:lang w:eastAsia="es-ES"/>
        </w:rPr>
      </w:pPr>
    </w:p>
    <w:p w14:paraId="13DBAEB0" w14:textId="296FF523" w:rsidR="00C64DEA" w:rsidRDefault="00C64DEA" w:rsidP="00C64DEA">
      <w:pPr>
        <w:tabs>
          <w:tab w:val="left" w:pos="4667"/>
        </w:tabs>
        <w:spacing w:after="0" w:line="360" w:lineRule="auto"/>
        <w:ind w:left="567" w:right="567"/>
        <w:contextualSpacing/>
        <w:rPr>
          <w:rFonts w:cs="Tahoma"/>
          <w:b/>
          <w:bCs/>
          <w:i/>
          <w:sz w:val="20"/>
          <w:szCs w:val="20"/>
        </w:rPr>
      </w:pPr>
      <w:r>
        <w:rPr>
          <w:rFonts w:cs="Tahoma"/>
          <w:b/>
          <w:bCs/>
          <w:i/>
          <w:sz w:val="20"/>
          <w:szCs w:val="20"/>
        </w:rPr>
        <w:t>“</w:t>
      </w:r>
      <w:r w:rsidR="00A1647B" w:rsidRPr="00C64DEA">
        <w:rPr>
          <w:rFonts w:cs="Tahoma"/>
          <w:b/>
          <w:bCs/>
          <w:i/>
          <w:sz w:val="20"/>
          <w:szCs w:val="20"/>
        </w:rPr>
        <w:t>M</w:t>
      </w:r>
      <w:r w:rsidR="00345BB5" w:rsidRPr="00C64DEA">
        <w:rPr>
          <w:rFonts w:cs="Tahoma"/>
          <w:b/>
          <w:bCs/>
          <w:i/>
          <w:sz w:val="20"/>
          <w:szCs w:val="20"/>
        </w:rPr>
        <w:t xml:space="preserve">odalidad de entrega </w:t>
      </w:r>
    </w:p>
    <w:p w14:paraId="143ECF6C" w14:textId="0A8B9F6E" w:rsidR="00345BB5" w:rsidRPr="00C64DEA" w:rsidRDefault="00345BB5" w:rsidP="00C64DEA">
      <w:pPr>
        <w:tabs>
          <w:tab w:val="left" w:pos="4667"/>
        </w:tabs>
        <w:spacing w:after="0" w:line="360" w:lineRule="auto"/>
        <w:ind w:left="567" w:right="567"/>
        <w:contextualSpacing/>
        <w:rPr>
          <w:rFonts w:cs="Tahoma"/>
          <w:i/>
          <w:sz w:val="20"/>
          <w:szCs w:val="20"/>
        </w:rPr>
      </w:pPr>
      <w:r w:rsidRPr="00C64DEA">
        <w:rPr>
          <w:rFonts w:cs="Tahoma"/>
          <w:i/>
          <w:sz w:val="20"/>
          <w:szCs w:val="20"/>
        </w:rPr>
        <w:t>A través del SAIMEX”</w:t>
      </w:r>
    </w:p>
    <w:p w14:paraId="05C0E60D" w14:textId="77777777" w:rsidR="00345BB5" w:rsidRDefault="00345BB5" w:rsidP="00C64DEA">
      <w:pPr>
        <w:tabs>
          <w:tab w:val="left" w:pos="4667"/>
        </w:tabs>
        <w:spacing w:after="0" w:line="360" w:lineRule="auto"/>
        <w:rPr>
          <w:rFonts w:cs="Tahoma"/>
          <w:bCs/>
          <w:iCs/>
          <w:color w:val="auto"/>
        </w:rPr>
      </w:pPr>
    </w:p>
    <w:p w14:paraId="1DE86183" w14:textId="77777777" w:rsidR="00F32EF6" w:rsidRDefault="00F32EF6" w:rsidP="00C64DEA">
      <w:pPr>
        <w:tabs>
          <w:tab w:val="left" w:pos="4667"/>
        </w:tabs>
        <w:spacing w:after="0" w:line="360" w:lineRule="auto"/>
        <w:rPr>
          <w:rFonts w:cs="Tahoma"/>
          <w:bCs/>
          <w:iCs/>
          <w:color w:val="auto"/>
        </w:rPr>
      </w:pPr>
    </w:p>
    <w:p w14:paraId="76F1B0B5" w14:textId="77777777" w:rsidR="00F32EF6" w:rsidRDefault="00F32EF6" w:rsidP="00C64DEA">
      <w:pPr>
        <w:tabs>
          <w:tab w:val="left" w:pos="4667"/>
        </w:tabs>
        <w:spacing w:after="0" w:line="360" w:lineRule="auto"/>
        <w:rPr>
          <w:rFonts w:cs="Tahoma"/>
          <w:bCs/>
          <w:iCs/>
          <w:color w:val="auto"/>
        </w:rPr>
      </w:pPr>
    </w:p>
    <w:p w14:paraId="4DBA1D4A" w14:textId="155FF937" w:rsidR="00F32EF6" w:rsidRDefault="00DB3DC5" w:rsidP="00AE77B1">
      <w:pPr>
        <w:spacing w:after="0" w:line="360" w:lineRule="auto"/>
        <w:contextualSpacing/>
        <w:rPr>
          <w:rFonts w:eastAsia="Calibri" w:cs="Tahoma"/>
          <w:b/>
          <w:bCs/>
        </w:rPr>
      </w:pPr>
      <w:r w:rsidRPr="00E44661">
        <w:rPr>
          <w:rFonts w:eastAsia="Calibri" w:cs="Tahoma"/>
          <w:b/>
          <w:bCs/>
        </w:rPr>
        <w:t xml:space="preserve"> II. </w:t>
      </w:r>
      <w:r w:rsidRPr="00E44661">
        <w:rPr>
          <w:rFonts w:eastAsia="Calibri" w:cs="Tahoma"/>
          <w:b/>
        </w:rPr>
        <w:t>Respuesta</w:t>
      </w:r>
      <w:r w:rsidRPr="00E44661">
        <w:rPr>
          <w:rFonts w:eastAsia="Calibri" w:cs="Tahoma"/>
          <w:b/>
          <w:bCs/>
        </w:rPr>
        <w:t xml:space="preserve"> del Sujeto Obligado.</w:t>
      </w:r>
    </w:p>
    <w:p w14:paraId="311512F4" w14:textId="77777777" w:rsidR="00F32EF6" w:rsidRDefault="00F32EF6" w:rsidP="00AE77B1">
      <w:pPr>
        <w:spacing w:after="0" w:line="360" w:lineRule="auto"/>
        <w:contextualSpacing/>
        <w:rPr>
          <w:rFonts w:eastAsia="Calibri" w:cs="Tahoma"/>
          <w:b/>
          <w:bCs/>
        </w:rPr>
      </w:pPr>
      <w:bookmarkStart w:id="0" w:name="_GoBack"/>
      <w:bookmarkEnd w:id="0"/>
    </w:p>
    <w:p w14:paraId="3208BCE6" w14:textId="79689494" w:rsidR="00A60B50" w:rsidRPr="00E44661" w:rsidRDefault="00230F5E" w:rsidP="00F32EF6">
      <w:pPr>
        <w:spacing w:after="0" w:line="360" w:lineRule="auto"/>
        <w:contextualSpacing/>
        <w:rPr>
          <w:rFonts w:cs="Tahoma"/>
          <w:i/>
          <w:iCs/>
          <w:sz w:val="20"/>
          <w:szCs w:val="20"/>
          <w:lang w:val="es-ES_tradnl"/>
        </w:rPr>
      </w:pPr>
      <w:r w:rsidRPr="00E44661">
        <w:rPr>
          <w:rFonts w:cs="Tahoma"/>
          <w:bCs/>
          <w:lang w:val="es-ES_tradnl"/>
        </w:rPr>
        <w:t xml:space="preserve">El </w:t>
      </w:r>
      <w:r w:rsidR="00F32EF6">
        <w:rPr>
          <w:rFonts w:cs="Tahoma"/>
          <w:bCs/>
          <w:lang w:val="es-ES_tradnl"/>
        </w:rPr>
        <w:t>diez de febrero de dos mil veinticinco</w:t>
      </w:r>
      <w:r w:rsidR="00345BB5" w:rsidRPr="00E44661">
        <w:rPr>
          <w:rFonts w:cs="Tahoma"/>
          <w:bCs/>
          <w:lang w:val="es-ES_tradnl"/>
        </w:rPr>
        <w:t xml:space="preserve">, </w:t>
      </w:r>
      <w:r w:rsidRPr="00E44661">
        <w:rPr>
          <w:rFonts w:cs="Tahoma"/>
          <w:bCs/>
          <w:lang w:val="es-ES_tradnl"/>
        </w:rPr>
        <w:t>el</w:t>
      </w:r>
      <w:r w:rsidR="00A60B50" w:rsidRPr="00E44661">
        <w:rPr>
          <w:rFonts w:eastAsia="Calibri" w:cs="Tahoma"/>
        </w:rPr>
        <w:t xml:space="preserve"> Sujeto Obligado</w:t>
      </w:r>
      <w:r w:rsidR="00EA7BA7">
        <w:rPr>
          <w:rFonts w:cs="Tahoma"/>
          <w:bCs/>
          <w:lang w:val="es-ES_tradnl"/>
        </w:rPr>
        <w:t>, notificó la respuesta a la solicitud</w:t>
      </w:r>
      <w:r w:rsidR="00345BB5" w:rsidRPr="00E44661">
        <w:rPr>
          <w:rFonts w:cs="Tahoma"/>
          <w:bCs/>
          <w:lang w:val="es-ES_tradnl"/>
        </w:rPr>
        <w:t xml:space="preserve">, a través del Sistema de Acceso a la Información Mexiquense (SAIMEX), </w:t>
      </w:r>
      <w:bookmarkStart w:id="1" w:name="_Hlk118190244"/>
      <w:r w:rsidR="00F32EF6">
        <w:rPr>
          <w:rFonts w:cs="Tahoma"/>
          <w:bCs/>
          <w:lang w:val="es-ES_tradnl"/>
        </w:rPr>
        <w:t>por medio de la digitalización de la síntesis curricular versión pública de la servidora pública requerida.</w:t>
      </w:r>
    </w:p>
    <w:p w14:paraId="576113AD" w14:textId="284DF979" w:rsidR="00E0132B" w:rsidRDefault="00E0132B" w:rsidP="00C64DEA">
      <w:pPr>
        <w:autoSpaceDE w:val="0"/>
        <w:autoSpaceDN w:val="0"/>
        <w:adjustRightInd w:val="0"/>
        <w:spacing w:after="0" w:line="360" w:lineRule="auto"/>
        <w:ind w:right="426"/>
        <w:rPr>
          <w:rFonts w:cs="Tahoma"/>
          <w:i/>
          <w:iCs/>
          <w:sz w:val="20"/>
          <w:szCs w:val="20"/>
          <w:lang w:val="es-ES_tradnl"/>
        </w:rPr>
      </w:pPr>
    </w:p>
    <w:bookmarkEnd w:id="1"/>
    <w:p w14:paraId="6867D521" w14:textId="22666847" w:rsidR="00DB3DC5" w:rsidRPr="00E44661" w:rsidRDefault="00F32EF6" w:rsidP="00C64DEA">
      <w:pPr>
        <w:autoSpaceDE w:val="0"/>
        <w:autoSpaceDN w:val="0"/>
        <w:adjustRightInd w:val="0"/>
        <w:spacing w:after="0" w:line="360" w:lineRule="auto"/>
        <w:contextualSpacing/>
        <w:rPr>
          <w:rFonts w:eastAsia="Calibri" w:cs="Tahoma"/>
          <w:b/>
          <w:color w:val="000000"/>
        </w:rPr>
      </w:pPr>
      <w:r>
        <w:rPr>
          <w:rFonts w:eastAsia="Calibri" w:cs="Tahoma"/>
          <w:b/>
          <w:color w:val="000000"/>
        </w:rPr>
        <w:t>III</w:t>
      </w:r>
      <w:r w:rsidR="00DB3DC5" w:rsidRPr="00E44661">
        <w:rPr>
          <w:rFonts w:eastAsia="Calibri" w:cs="Tahoma"/>
          <w:b/>
          <w:color w:val="000000"/>
        </w:rPr>
        <w:t xml:space="preserve">. Interposición del Recurso de Revisión. </w:t>
      </w:r>
    </w:p>
    <w:p w14:paraId="72683D89" w14:textId="77777777" w:rsidR="00DB3DC5" w:rsidRPr="00E44661" w:rsidRDefault="00DB3DC5" w:rsidP="00C64DEA">
      <w:pPr>
        <w:spacing w:after="0" w:line="360" w:lineRule="auto"/>
        <w:contextualSpacing/>
        <w:rPr>
          <w:rFonts w:eastAsia="Times New Roman" w:cs="Tahoma"/>
          <w:bCs/>
          <w:color w:val="auto"/>
          <w:lang w:eastAsia="es-ES"/>
        </w:rPr>
      </w:pPr>
    </w:p>
    <w:p w14:paraId="240D95DA" w14:textId="2DC79065" w:rsidR="00DB3DC5" w:rsidRPr="00E44661" w:rsidRDefault="0098062F" w:rsidP="00C64DEA">
      <w:pPr>
        <w:widowControl w:val="0"/>
        <w:spacing w:after="0" w:line="360" w:lineRule="auto"/>
        <w:contextualSpacing/>
        <w:rPr>
          <w:rFonts w:eastAsia="Calibri" w:cs="Times New Roman"/>
          <w:bCs/>
        </w:rPr>
      </w:pPr>
      <w:r w:rsidRPr="00E44661">
        <w:rPr>
          <w:rFonts w:eastAsia="Calibri" w:cs="Times New Roman"/>
          <w:bCs/>
        </w:rPr>
        <w:t xml:space="preserve">El </w:t>
      </w:r>
      <w:r w:rsidR="004829F6">
        <w:rPr>
          <w:rFonts w:eastAsia="Calibri" w:cs="Times New Roman"/>
          <w:bCs/>
        </w:rPr>
        <w:t>diez de febrero de dos mil veinticinco</w:t>
      </w:r>
      <w:r w:rsidR="00DB3DC5" w:rsidRPr="00E44661">
        <w:rPr>
          <w:rFonts w:eastAsia="Calibri" w:cs="Times New Roman"/>
          <w:bCs/>
        </w:rPr>
        <w:t xml:space="preserve">, </w:t>
      </w:r>
      <w:r w:rsidR="00DB3DC5" w:rsidRPr="00E44661">
        <w:rPr>
          <w:rFonts w:eastAsia="Calibri" w:cs="Times New Roman"/>
          <w:bCs/>
          <w:lang w:val="es-ES"/>
        </w:rPr>
        <w:t xml:space="preserve">se recibió en este Instituto, a través del Sistema de Acceso a la Información Mexiquense (SAIMEX), </w:t>
      </w:r>
      <w:r w:rsidR="00CF65EB">
        <w:rPr>
          <w:rFonts w:eastAsia="Calibri" w:cs="Times New Roman"/>
          <w:bCs/>
          <w:lang w:val="es-ES"/>
        </w:rPr>
        <w:t>el</w:t>
      </w:r>
      <w:r w:rsidR="006A0867" w:rsidRPr="00E44661">
        <w:rPr>
          <w:rFonts w:eastAsia="Calibri" w:cs="Times New Roman"/>
          <w:bCs/>
          <w:lang w:val="es-ES"/>
        </w:rPr>
        <w:t xml:space="preserve"> </w:t>
      </w:r>
      <w:r w:rsidR="00DB3DC5" w:rsidRPr="00E44661">
        <w:rPr>
          <w:rFonts w:eastAsia="Calibri" w:cs="Times New Roman"/>
          <w:bCs/>
          <w:lang w:val="es-ES"/>
        </w:rPr>
        <w:t>Recurso de Revisión interpuesto por la Recurrente, en contra de la respuesta del Sujeto Obligado</w:t>
      </w:r>
      <w:r w:rsidR="00DB3DC5" w:rsidRPr="00E44661">
        <w:rPr>
          <w:rFonts w:eastAsia="Calibri" w:cs="Times New Roman"/>
        </w:rPr>
        <w:t>,</w:t>
      </w:r>
      <w:r w:rsidRPr="00E44661">
        <w:rPr>
          <w:rFonts w:eastAsia="Calibri" w:cs="Times New Roman"/>
        </w:rPr>
        <w:t xml:space="preserve"> </w:t>
      </w:r>
      <w:r w:rsidR="00DB3DC5" w:rsidRPr="00E44661">
        <w:rPr>
          <w:rFonts w:eastAsia="Times New Roman" w:cs="Tahoma"/>
          <w:bCs/>
          <w:color w:val="auto"/>
          <w:lang w:val="es-ES" w:eastAsia="es-ES"/>
        </w:rPr>
        <w:t>en los términos</w:t>
      </w:r>
      <w:r w:rsidR="000D1C9F" w:rsidRPr="00E44661">
        <w:rPr>
          <w:rFonts w:eastAsia="Times New Roman" w:cs="Tahoma"/>
          <w:bCs/>
          <w:color w:val="auto"/>
          <w:lang w:val="es-ES" w:eastAsia="es-ES"/>
        </w:rPr>
        <w:t xml:space="preserve"> siguientes</w:t>
      </w:r>
      <w:r w:rsidR="00DB3DC5" w:rsidRPr="00E44661">
        <w:rPr>
          <w:rFonts w:eastAsia="Times New Roman" w:cs="Tahoma"/>
          <w:bCs/>
          <w:color w:val="auto"/>
          <w:lang w:val="es-ES" w:eastAsia="es-ES"/>
        </w:rPr>
        <w:t>:</w:t>
      </w:r>
    </w:p>
    <w:p w14:paraId="383A8105" w14:textId="77777777" w:rsidR="00DB3DC5" w:rsidRPr="00E44661" w:rsidRDefault="00DB3DC5" w:rsidP="00C64DEA">
      <w:pPr>
        <w:tabs>
          <w:tab w:val="left" w:pos="4667"/>
        </w:tabs>
        <w:spacing w:after="0" w:line="360" w:lineRule="auto"/>
        <w:ind w:left="567" w:right="567"/>
        <w:contextualSpacing/>
        <w:rPr>
          <w:rFonts w:cs="Tahoma"/>
          <w:b/>
          <w:bCs/>
          <w:i/>
          <w:sz w:val="20"/>
          <w:szCs w:val="20"/>
        </w:rPr>
      </w:pPr>
    </w:p>
    <w:p w14:paraId="0E422949" w14:textId="77777777" w:rsidR="006A0867" w:rsidRPr="00E44661" w:rsidRDefault="006A0867" w:rsidP="00C64DEA">
      <w:pPr>
        <w:spacing w:after="0" w:line="360" w:lineRule="auto"/>
        <w:ind w:left="567" w:right="567"/>
        <w:contextualSpacing/>
        <w:rPr>
          <w:rFonts w:cs="Tahoma"/>
          <w:b/>
          <w:bCs/>
          <w:i/>
          <w:sz w:val="20"/>
          <w:szCs w:val="20"/>
        </w:rPr>
      </w:pPr>
      <w:r w:rsidRPr="00E44661">
        <w:rPr>
          <w:rFonts w:cs="Tahoma"/>
          <w:b/>
          <w:bCs/>
          <w:i/>
          <w:sz w:val="20"/>
          <w:szCs w:val="20"/>
        </w:rPr>
        <w:t>“ACTO IMPUGNADO</w:t>
      </w:r>
    </w:p>
    <w:p w14:paraId="199F28DE" w14:textId="140ED4F2" w:rsidR="006A0867" w:rsidRPr="00E44661" w:rsidRDefault="004829F6" w:rsidP="00C64DEA">
      <w:pPr>
        <w:tabs>
          <w:tab w:val="left" w:pos="4667"/>
        </w:tabs>
        <w:spacing w:after="0" w:line="360" w:lineRule="auto"/>
        <w:ind w:left="567" w:right="567"/>
        <w:rPr>
          <w:rFonts w:cs="Tahoma"/>
          <w:bCs/>
          <w:i/>
          <w:sz w:val="20"/>
          <w:szCs w:val="20"/>
        </w:rPr>
      </w:pPr>
      <w:proofErr w:type="gramStart"/>
      <w:r w:rsidRPr="004829F6">
        <w:rPr>
          <w:i/>
          <w:iCs/>
          <w:color w:val="000000"/>
          <w:sz w:val="20"/>
          <w:szCs w:val="20"/>
        </w:rPr>
        <w:t>no</w:t>
      </w:r>
      <w:proofErr w:type="gramEnd"/>
      <w:r w:rsidRPr="004829F6">
        <w:rPr>
          <w:i/>
          <w:iCs/>
          <w:color w:val="000000"/>
          <w:sz w:val="20"/>
          <w:szCs w:val="20"/>
        </w:rPr>
        <w:t xml:space="preserve"> contestaron</w:t>
      </w:r>
      <w:r w:rsidR="006A0867" w:rsidRPr="00E44661">
        <w:rPr>
          <w:rFonts w:cs="Tahoma"/>
          <w:bCs/>
          <w:i/>
          <w:sz w:val="20"/>
          <w:szCs w:val="20"/>
        </w:rPr>
        <w:t>” (Sic.)</w:t>
      </w:r>
    </w:p>
    <w:p w14:paraId="349885DE" w14:textId="77777777" w:rsidR="006A0867" w:rsidRPr="00E44661" w:rsidRDefault="006A0867" w:rsidP="00C64DEA">
      <w:pPr>
        <w:tabs>
          <w:tab w:val="left" w:pos="4667"/>
        </w:tabs>
        <w:spacing w:after="0" w:line="360" w:lineRule="auto"/>
        <w:ind w:left="567" w:right="567"/>
        <w:rPr>
          <w:rFonts w:cs="Tahoma"/>
          <w:bCs/>
          <w:i/>
          <w:sz w:val="20"/>
          <w:szCs w:val="20"/>
        </w:rPr>
      </w:pPr>
    </w:p>
    <w:p w14:paraId="09EF88BF" w14:textId="77777777" w:rsidR="006A0867" w:rsidRPr="00E44661" w:rsidRDefault="006A0867" w:rsidP="00C64DEA">
      <w:pPr>
        <w:tabs>
          <w:tab w:val="left" w:pos="4667"/>
        </w:tabs>
        <w:spacing w:after="0" w:line="360" w:lineRule="auto"/>
        <w:ind w:left="567" w:right="567"/>
        <w:rPr>
          <w:rFonts w:cs="Tahoma"/>
          <w:b/>
          <w:bCs/>
          <w:i/>
          <w:sz w:val="20"/>
          <w:szCs w:val="20"/>
        </w:rPr>
      </w:pPr>
      <w:r w:rsidRPr="00E44661">
        <w:rPr>
          <w:rFonts w:cs="Tahoma"/>
          <w:b/>
          <w:bCs/>
          <w:i/>
          <w:sz w:val="20"/>
          <w:szCs w:val="20"/>
        </w:rPr>
        <w:t>“RAZONES O MOTIVOS DE LA INCONFORMIDAD</w:t>
      </w:r>
    </w:p>
    <w:p w14:paraId="35F9576D" w14:textId="4BE6665A" w:rsidR="006A0867" w:rsidRPr="00E44661" w:rsidRDefault="004829F6" w:rsidP="00C64DEA">
      <w:pPr>
        <w:tabs>
          <w:tab w:val="left" w:pos="4667"/>
        </w:tabs>
        <w:spacing w:after="0" w:line="360" w:lineRule="auto"/>
        <w:ind w:left="567" w:right="567"/>
        <w:rPr>
          <w:rFonts w:cs="Tahoma"/>
          <w:i/>
          <w:sz w:val="20"/>
          <w:szCs w:val="20"/>
        </w:rPr>
      </w:pPr>
      <w:proofErr w:type="gramStart"/>
      <w:r w:rsidRPr="004829F6">
        <w:rPr>
          <w:i/>
          <w:iCs/>
          <w:color w:val="000000"/>
          <w:sz w:val="20"/>
          <w:szCs w:val="20"/>
        </w:rPr>
        <w:t>no</w:t>
      </w:r>
      <w:proofErr w:type="gramEnd"/>
      <w:r w:rsidRPr="004829F6">
        <w:rPr>
          <w:i/>
          <w:iCs/>
          <w:color w:val="000000"/>
          <w:sz w:val="20"/>
          <w:szCs w:val="20"/>
        </w:rPr>
        <w:t xml:space="preserve"> contestaron</w:t>
      </w:r>
      <w:r w:rsidR="006A0867" w:rsidRPr="00E44661">
        <w:rPr>
          <w:rFonts w:cs="Tahoma"/>
          <w:i/>
          <w:sz w:val="20"/>
          <w:szCs w:val="20"/>
        </w:rPr>
        <w:t>” (Sic.)</w:t>
      </w:r>
    </w:p>
    <w:p w14:paraId="3D16C2D3" w14:textId="77777777" w:rsidR="00DB3DC5" w:rsidRPr="00E44661" w:rsidRDefault="00DB3DC5" w:rsidP="00C64DEA">
      <w:pPr>
        <w:spacing w:after="0" w:line="360" w:lineRule="auto"/>
        <w:contextualSpacing/>
        <w:rPr>
          <w:rFonts w:eastAsia="Times New Roman" w:cs="Tahoma"/>
          <w:bCs/>
          <w:color w:val="auto"/>
          <w:sz w:val="20"/>
          <w:szCs w:val="20"/>
          <w:lang w:eastAsia="es-ES"/>
        </w:rPr>
      </w:pPr>
    </w:p>
    <w:p w14:paraId="2D3CE335" w14:textId="60F164AF" w:rsidR="00DB3DC5" w:rsidRPr="00E44661" w:rsidRDefault="004829F6" w:rsidP="00C64DEA">
      <w:pPr>
        <w:spacing w:after="0" w:line="360" w:lineRule="auto"/>
        <w:contextualSpacing/>
        <w:rPr>
          <w:rFonts w:eastAsia="Batang" w:cs="Tahoma"/>
          <w:b/>
          <w:bCs/>
          <w:color w:val="000000"/>
        </w:rPr>
      </w:pPr>
      <w:r>
        <w:rPr>
          <w:rFonts w:eastAsia="Calibri" w:cs="Tahoma"/>
          <w:b/>
          <w:color w:val="000000"/>
        </w:rPr>
        <w:t>I</w:t>
      </w:r>
      <w:r w:rsidR="00DB3DC5" w:rsidRPr="00E44661">
        <w:rPr>
          <w:rFonts w:eastAsia="Calibri" w:cs="Tahoma"/>
          <w:b/>
          <w:color w:val="000000"/>
        </w:rPr>
        <w:t xml:space="preserve">V. </w:t>
      </w:r>
      <w:r w:rsidR="00DB3DC5" w:rsidRPr="00E44661">
        <w:rPr>
          <w:rFonts w:eastAsia="Batang" w:cs="Tahoma"/>
          <w:b/>
          <w:bCs/>
          <w:color w:val="000000"/>
        </w:rPr>
        <w:t>Trámite del Recurso de Revisión</w:t>
      </w:r>
      <w:r w:rsidR="00DB3DC5" w:rsidRPr="00E44661">
        <w:rPr>
          <w:rFonts w:eastAsia="Calibri" w:cs="Tahoma"/>
          <w:b/>
          <w:color w:val="000000"/>
        </w:rPr>
        <w:t xml:space="preserve"> </w:t>
      </w:r>
      <w:r w:rsidR="00DB3DC5" w:rsidRPr="00E44661">
        <w:rPr>
          <w:rFonts w:eastAsia="Batang" w:cs="Tahoma"/>
          <w:b/>
          <w:bCs/>
          <w:color w:val="000000"/>
        </w:rPr>
        <w:t>ante este Instituto.</w:t>
      </w:r>
    </w:p>
    <w:p w14:paraId="13E537D5" w14:textId="77777777" w:rsidR="00DB3DC5" w:rsidRPr="00E44661" w:rsidRDefault="00DB3DC5" w:rsidP="00C64DEA">
      <w:pPr>
        <w:spacing w:after="0" w:line="360" w:lineRule="auto"/>
        <w:contextualSpacing/>
        <w:rPr>
          <w:rFonts w:eastAsia="Batang" w:cs="Tahoma"/>
          <w:b/>
          <w:bCs/>
          <w:color w:val="000000"/>
        </w:rPr>
      </w:pPr>
    </w:p>
    <w:p w14:paraId="5B9B961B" w14:textId="5E8F7CAC" w:rsidR="00DB3DC5" w:rsidRPr="00E44661" w:rsidRDefault="00DB3DC5" w:rsidP="00C64DEA">
      <w:pPr>
        <w:spacing w:after="0" w:line="360" w:lineRule="auto"/>
        <w:contextualSpacing/>
        <w:rPr>
          <w:rFonts w:eastAsia="Batang" w:cs="Tahoma"/>
          <w:b/>
          <w:bCs/>
          <w:color w:val="000000"/>
        </w:rPr>
      </w:pPr>
      <w:r w:rsidRPr="00E44661">
        <w:rPr>
          <w:rFonts w:eastAsia="Batang" w:cs="Tahoma"/>
          <w:b/>
          <w:bCs/>
          <w:color w:val="000000"/>
        </w:rPr>
        <w:t>a) Turno del Medio de Impugnación.</w:t>
      </w:r>
      <w:r w:rsidR="00245BC3" w:rsidRPr="00E44661">
        <w:rPr>
          <w:rFonts w:eastAsia="Batang" w:cs="Tahoma"/>
          <w:bCs/>
          <w:color w:val="000000"/>
        </w:rPr>
        <w:t xml:space="preserve"> </w:t>
      </w:r>
      <w:r w:rsidR="00245BC3" w:rsidRPr="00E44661">
        <w:rPr>
          <w:rFonts w:eastAsia="Calibri" w:cs="Times New Roman"/>
          <w:bCs/>
        </w:rPr>
        <w:t xml:space="preserve">El </w:t>
      </w:r>
      <w:r w:rsidR="004829F6" w:rsidRPr="004829F6">
        <w:rPr>
          <w:rFonts w:eastAsia="Calibri" w:cs="Times New Roman"/>
          <w:bCs/>
        </w:rPr>
        <w:t>diez de febrero de dos mil veinticinco</w:t>
      </w:r>
      <w:r w:rsidRPr="00E44661">
        <w:rPr>
          <w:rFonts w:eastAsia="Batang" w:cs="Tahoma"/>
          <w:bCs/>
          <w:color w:val="000000"/>
        </w:rPr>
        <w:t xml:space="preserve">, el </w:t>
      </w:r>
      <w:r w:rsidRPr="00E44661">
        <w:rPr>
          <w:rFonts w:eastAsia="Calibri" w:cs="Tahoma"/>
          <w:color w:val="000000"/>
          <w:lang w:val="es-ES"/>
        </w:rPr>
        <w:t>Sistema de Acceso a la Información Mexiquense (SAIMEX),</w:t>
      </w:r>
      <w:r w:rsidRPr="00E44661">
        <w:rPr>
          <w:rFonts w:eastAsia="Batang" w:cs="Tahoma"/>
          <w:bCs/>
          <w:color w:val="000000"/>
        </w:rPr>
        <w:t xml:space="preserve"> </w:t>
      </w:r>
      <w:r w:rsidR="00A6124E">
        <w:rPr>
          <w:rFonts w:eastAsia="Batang" w:cs="Tahoma"/>
          <w:bCs/>
          <w:lang w:val="es-ES_tradnl"/>
        </w:rPr>
        <w:t>asignó el</w:t>
      </w:r>
      <w:r w:rsidR="0089704B" w:rsidRPr="00E44661">
        <w:rPr>
          <w:rFonts w:eastAsia="Batang" w:cs="Tahoma"/>
          <w:bCs/>
          <w:lang w:val="es-ES_tradnl"/>
        </w:rPr>
        <w:t xml:space="preserve"> número de expediente</w:t>
      </w:r>
      <w:r w:rsidR="00245BC3" w:rsidRPr="00E44661">
        <w:rPr>
          <w:rFonts w:eastAsia="Calibri" w:cs="Tahoma"/>
          <w:b/>
          <w:bCs/>
        </w:rPr>
        <w:t xml:space="preserve"> </w:t>
      </w:r>
      <w:r w:rsidR="004829F6">
        <w:rPr>
          <w:rFonts w:eastAsia="Calibri" w:cs="Tahoma"/>
          <w:b/>
          <w:bCs/>
        </w:rPr>
        <w:t>00991/INFOEM/IP/RR/2025</w:t>
      </w:r>
      <w:r w:rsidRPr="00E44661">
        <w:rPr>
          <w:rFonts w:eastAsia="Batang" w:cs="Tahoma"/>
          <w:bCs/>
          <w:color w:val="000000"/>
        </w:rPr>
        <w:t>, al Medio de Impugnación que nos ocupa, con base en el sistema aprobado por el Pleno de este Órgano Garante y lo turnó</w:t>
      </w:r>
      <w:r w:rsidR="0072075E" w:rsidRPr="00E44661">
        <w:rPr>
          <w:rFonts w:eastAsia="Batang" w:cs="Tahoma"/>
          <w:bCs/>
          <w:color w:val="000000"/>
        </w:rPr>
        <w:t xml:space="preserve"> </w:t>
      </w:r>
      <w:r w:rsidR="00A6124E">
        <w:rPr>
          <w:rFonts w:eastAsia="Batang" w:cs="Tahoma"/>
          <w:bCs/>
          <w:color w:val="000000"/>
        </w:rPr>
        <w:t xml:space="preserve">al </w:t>
      </w:r>
      <w:r w:rsidR="00A6124E">
        <w:rPr>
          <w:rFonts w:eastAsia="Batang" w:cs="Tahoma"/>
          <w:b/>
          <w:color w:val="000000"/>
        </w:rPr>
        <w:t>Comisionado</w:t>
      </w:r>
      <w:r w:rsidR="0072075E" w:rsidRPr="00E44661">
        <w:rPr>
          <w:rFonts w:eastAsia="Batang" w:cs="Tahoma"/>
          <w:b/>
          <w:color w:val="000000"/>
        </w:rPr>
        <w:t xml:space="preserve"> Ponentes Luis Gustavo Parra Noriega</w:t>
      </w:r>
      <w:r w:rsidR="0072075E" w:rsidRPr="00E44661">
        <w:rPr>
          <w:rFonts w:eastAsia="Batang" w:cs="Tahoma"/>
          <w:bCs/>
          <w:color w:val="000000"/>
        </w:rPr>
        <w:t>,</w:t>
      </w:r>
      <w:r w:rsidRPr="00E44661">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E44661" w:rsidRDefault="00DB3DC5" w:rsidP="00C64DEA">
      <w:pPr>
        <w:spacing w:after="0" w:line="360" w:lineRule="auto"/>
        <w:contextualSpacing/>
        <w:rPr>
          <w:rFonts w:eastAsia="Batang" w:cs="Tahoma"/>
          <w:bCs/>
          <w:color w:val="000000"/>
        </w:rPr>
      </w:pPr>
    </w:p>
    <w:p w14:paraId="2B3B5A4B" w14:textId="175894D3" w:rsidR="00DB3DC5" w:rsidRPr="00E44661" w:rsidRDefault="00DB3DC5" w:rsidP="00C64DEA">
      <w:pPr>
        <w:spacing w:after="0" w:line="360" w:lineRule="auto"/>
        <w:contextualSpacing/>
        <w:rPr>
          <w:rFonts w:eastAsia="Times New Roman" w:cs="Tahoma"/>
          <w:b/>
          <w:bCs/>
          <w:color w:val="auto"/>
          <w:lang w:eastAsia="es-ES"/>
        </w:rPr>
      </w:pPr>
      <w:r w:rsidRPr="00E44661">
        <w:rPr>
          <w:rFonts w:eastAsia="Times New Roman" w:cs="Tahoma"/>
          <w:b/>
          <w:bCs/>
          <w:color w:val="auto"/>
          <w:lang w:eastAsia="es-ES"/>
        </w:rPr>
        <w:lastRenderedPageBreak/>
        <w:t>b) Admisión de</w:t>
      </w:r>
      <w:r w:rsidR="0076342E">
        <w:rPr>
          <w:rFonts w:eastAsia="Times New Roman" w:cs="Tahoma"/>
          <w:b/>
          <w:bCs/>
          <w:color w:val="auto"/>
          <w:lang w:eastAsia="es-ES"/>
        </w:rPr>
        <w:t>l</w:t>
      </w:r>
      <w:r w:rsidRPr="00E44661">
        <w:rPr>
          <w:rFonts w:eastAsia="Times New Roman" w:cs="Tahoma"/>
          <w:b/>
          <w:bCs/>
          <w:color w:val="auto"/>
          <w:lang w:eastAsia="es-ES"/>
        </w:rPr>
        <w:t xml:space="preserve"> Recurso de Revisión</w:t>
      </w:r>
      <w:r w:rsidRPr="00E44661">
        <w:rPr>
          <w:rFonts w:eastAsia="Times New Roman" w:cs="Tahoma"/>
          <w:b/>
          <w:bCs/>
          <w:color w:val="auto"/>
          <w:lang w:val="es-ES_tradnl" w:eastAsia="es-ES"/>
        </w:rPr>
        <w:t>.</w:t>
      </w:r>
      <w:r w:rsidR="00245BC3" w:rsidRPr="00E44661">
        <w:rPr>
          <w:rFonts w:eastAsia="Times New Roman" w:cs="Tahoma"/>
          <w:bCs/>
          <w:color w:val="auto"/>
          <w:lang w:val="es-ES_tradnl" w:eastAsia="es-ES"/>
        </w:rPr>
        <w:t xml:space="preserve"> El </w:t>
      </w:r>
      <w:r w:rsidR="004829F6">
        <w:rPr>
          <w:rFonts w:eastAsia="Times New Roman" w:cs="Tahoma"/>
          <w:bCs/>
          <w:color w:val="auto"/>
          <w:lang w:val="es-ES_tradnl" w:eastAsia="es-ES"/>
        </w:rPr>
        <w:t>trece</w:t>
      </w:r>
      <w:r w:rsidR="004829F6" w:rsidRPr="004829F6">
        <w:rPr>
          <w:rFonts w:eastAsia="Times New Roman" w:cs="Tahoma"/>
          <w:bCs/>
          <w:color w:val="auto"/>
          <w:lang w:val="es-ES_tradnl" w:eastAsia="es-ES"/>
        </w:rPr>
        <w:t xml:space="preserve"> de febrero de dos mil veinticinco</w:t>
      </w:r>
      <w:r w:rsidRPr="00E44661">
        <w:rPr>
          <w:rFonts w:eastAsia="Times New Roman" w:cs="Tahoma"/>
          <w:bCs/>
          <w:color w:val="auto"/>
          <w:lang w:val="es-ES_tradnl" w:eastAsia="es-ES"/>
        </w:rPr>
        <w:t>, se acordó la admisión de</w:t>
      </w:r>
      <w:r w:rsidR="002C0A03">
        <w:rPr>
          <w:rFonts w:eastAsia="Times New Roman" w:cs="Tahoma"/>
          <w:bCs/>
          <w:color w:val="auto"/>
          <w:lang w:val="es-ES_tradnl" w:eastAsia="es-ES"/>
        </w:rPr>
        <w:t xml:space="preserve">l </w:t>
      </w:r>
      <w:r w:rsidRPr="00E44661">
        <w:rPr>
          <w:rFonts w:eastAsia="Times New Roman" w:cs="Tahoma"/>
          <w:bCs/>
          <w:color w:val="auto"/>
          <w:lang w:val="es-ES_tradnl" w:eastAsia="es-ES"/>
        </w:rPr>
        <w:t xml:space="preserve">Recurso de Revisión interpuesto por la Recurrente en contra del Sujeto Obligado, en términos del artículo 185, fracciones I y II de la Ley de Transparencia y Acceso a la Información Pública del Estado de México y Municipios, </w:t>
      </w:r>
      <w:r w:rsidR="0076342E">
        <w:rPr>
          <w:rFonts w:eastAsia="Times New Roman" w:cs="Tahoma"/>
          <w:bCs/>
          <w:color w:val="auto"/>
          <w:lang w:val="es-ES_tradnl" w:eastAsia="es-ES"/>
        </w:rPr>
        <w:t>lo</w:t>
      </w:r>
      <w:r w:rsidRPr="00E44661">
        <w:rPr>
          <w:rFonts w:eastAsia="Times New Roman" w:cs="Tahoma"/>
          <w:bCs/>
          <w:color w:val="auto"/>
          <w:lang w:val="es-ES_tradnl" w:eastAsia="es-ES"/>
        </w:rPr>
        <w:t xml:space="preserve"> cual fue debidamente notificado a las partes, a través del Sistema de Acceso a la Información Mexiq</w:t>
      </w:r>
      <w:r w:rsidR="002C0A03">
        <w:rPr>
          <w:rFonts w:eastAsia="Times New Roman" w:cs="Tahoma"/>
          <w:bCs/>
          <w:color w:val="auto"/>
          <w:lang w:val="es-ES_tradnl" w:eastAsia="es-ES"/>
        </w:rPr>
        <w:t>uense (SAIMEX), en el que se les</w:t>
      </w:r>
      <w:r w:rsidRPr="00E44661">
        <w:rPr>
          <w:rFonts w:eastAsia="Times New Roman" w:cs="Tahoma"/>
          <w:bCs/>
          <w:color w:val="auto"/>
          <w:lang w:val="es-ES_tradnl" w:eastAsia="es-ES"/>
        </w:rPr>
        <w:t xml:space="preserve"> otorgó un plazo de siete días hábiles posteriores a la misma, para que manifestaran lo que a su derecho conviniera y formularan alegatos. </w:t>
      </w:r>
    </w:p>
    <w:p w14:paraId="1F03AAD1" w14:textId="77777777" w:rsidR="00DB3DC5" w:rsidRPr="00E44661" w:rsidRDefault="00DB3DC5" w:rsidP="00C64DEA">
      <w:pPr>
        <w:spacing w:after="0" w:line="360" w:lineRule="auto"/>
        <w:contextualSpacing/>
        <w:rPr>
          <w:rFonts w:cs="Tahoma"/>
        </w:rPr>
      </w:pPr>
    </w:p>
    <w:p w14:paraId="70F7F226" w14:textId="5EBE8FCD" w:rsidR="006633B9" w:rsidRDefault="006778B9" w:rsidP="00C64DEA">
      <w:pPr>
        <w:spacing w:after="0" w:line="360" w:lineRule="auto"/>
        <w:rPr>
          <w:rFonts w:cs="Tahoma"/>
          <w:lang w:val="es-ES_tradnl"/>
        </w:rPr>
      </w:pPr>
      <w:r w:rsidRPr="00E44661">
        <w:rPr>
          <w:rFonts w:cs="Tahoma"/>
          <w:b/>
        </w:rPr>
        <w:t xml:space="preserve">c) </w:t>
      </w:r>
      <w:r w:rsidRPr="00E44661">
        <w:rPr>
          <w:rFonts w:cs="Tahoma"/>
          <w:b/>
          <w:bCs/>
          <w:iCs/>
          <w:lang w:val="es-ES"/>
        </w:rPr>
        <w:t>Informe Justificado o manifestaciones.</w:t>
      </w:r>
      <w:r w:rsidRPr="00E44661">
        <w:rPr>
          <w:rFonts w:cs="Tahoma"/>
          <w:bCs/>
          <w:iCs/>
          <w:lang w:val="es-ES"/>
        </w:rPr>
        <w:t xml:space="preserve"> </w:t>
      </w:r>
      <w:r w:rsidR="004829F6">
        <w:rPr>
          <w:rFonts w:cs="Tahoma"/>
          <w:lang w:val="es-ES_tradnl"/>
        </w:rPr>
        <w:t>Con fecha veintis</w:t>
      </w:r>
      <w:r w:rsidR="004749CF">
        <w:rPr>
          <w:rFonts w:cs="Tahoma"/>
          <w:lang w:val="es-ES_tradnl"/>
        </w:rPr>
        <w:t>ie</w:t>
      </w:r>
      <w:r w:rsidR="004829F6">
        <w:rPr>
          <w:rFonts w:cs="Tahoma"/>
          <w:lang w:val="es-ES_tradnl"/>
        </w:rPr>
        <w:t>te de febrero de dos mil veinticinco, el Sujeto Obligado rindió su informe justi</w:t>
      </w:r>
      <w:r w:rsidR="004749CF">
        <w:rPr>
          <w:rFonts w:cs="Tahoma"/>
          <w:lang w:val="es-ES_tradnl"/>
        </w:rPr>
        <w:t>ficado, donde remitió de nueva cuenta la información contenida en su respuesta. Por su parte la Recurrente</w:t>
      </w:r>
      <w:r w:rsidR="002A2BB0">
        <w:rPr>
          <w:rFonts w:cs="Tahoma"/>
          <w:lang w:val="es-ES_tradnl"/>
        </w:rPr>
        <w:t>,</w:t>
      </w:r>
      <w:r w:rsidR="004749CF">
        <w:rPr>
          <w:rFonts w:cs="Tahoma"/>
          <w:lang w:val="es-ES_tradnl"/>
        </w:rPr>
        <w:t xml:space="preserve"> en la misma fecha</w:t>
      </w:r>
      <w:r w:rsidR="002A2BB0">
        <w:rPr>
          <w:rFonts w:cs="Tahoma"/>
          <w:lang w:val="es-ES_tradnl"/>
        </w:rPr>
        <w:t>,</w:t>
      </w:r>
      <w:r w:rsidR="004749CF">
        <w:rPr>
          <w:rFonts w:cs="Tahoma"/>
          <w:lang w:val="es-ES_tradnl"/>
        </w:rPr>
        <w:t xml:space="preserve"> </w:t>
      </w:r>
      <w:r w:rsidR="00362CF5">
        <w:rPr>
          <w:rFonts w:cs="Tahoma"/>
          <w:lang w:val="es-ES_tradnl"/>
        </w:rPr>
        <w:t>remitió el</w:t>
      </w:r>
      <w:r w:rsidR="004749CF">
        <w:rPr>
          <w:rFonts w:cs="Tahoma"/>
          <w:lang w:val="es-ES_tradnl"/>
        </w:rPr>
        <w:t xml:space="preserve"> archivo </w:t>
      </w:r>
      <w:r w:rsidR="008920FE">
        <w:rPr>
          <w:rFonts w:cs="Tahoma"/>
          <w:lang w:val="es-ES_tradnl"/>
        </w:rPr>
        <w:t>proporcionado</w:t>
      </w:r>
      <w:r w:rsidR="004749CF">
        <w:rPr>
          <w:rFonts w:cs="Tahoma"/>
          <w:lang w:val="es-ES_tradnl"/>
        </w:rPr>
        <w:t xml:space="preserve"> en respuesta conteniendo el resumen curricular </w:t>
      </w:r>
      <w:r w:rsidR="008920FE">
        <w:rPr>
          <w:rFonts w:cs="Tahoma"/>
          <w:lang w:val="es-ES_tradnl"/>
        </w:rPr>
        <w:t>comunicado</w:t>
      </w:r>
      <w:r w:rsidR="004749CF">
        <w:rPr>
          <w:rFonts w:cs="Tahoma"/>
          <w:lang w:val="es-ES_tradnl"/>
        </w:rPr>
        <w:t xml:space="preserve"> por el Sujeto Obligado</w:t>
      </w:r>
    </w:p>
    <w:p w14:paraId="36E37C42" w14:textId="77777777" w:rsidR="0076342E" w:rsidRDefault="0076342E" w:rsidP="00C64DEA">
      <w:pPr>
        <w:spacing w:after="0" w:line="360" w:lineRule="auto"/>
        <w:rPr>
          <w:rFonts w:cs="Tahoma"/>
          <w:lang w:val="es-ES_tradnl"/>
        </w:rPr>
      </w:pPr>
    </w:p>
    <w:p w14:paraId="403F7296" w14:textId="250F5880" w:rsidR="00DB3DC5" w:rsidRPr="00E44661" w:rsidRDefault="0076342E" w:rsidP="00C64DEA">
      <w:pPr>
        <w:autoSpaceDE w:val="0"/>
        <w:autoSpaceDN w:val="0"/>
        <w:adjustRightInd w:val="0"/>
        <w:spacing w:after="0" w:line="360" w:lineRule="auto"/>
        <w:ind w:right="-28"/>
        <w:contextualSpacing/>
        <w:rPr>
          <w:rFonts w:eastAsia="Calibri" w:cs="Tahoma"/>
          <w:bCs/>
        </w:rPr>
      </w:pPr>
      <w:r>
        <w:rPr>
          <w:rFonts w:eastAsia="Times New Roman" w:cs="Tahoma"/>
          <w:b/>
          <w:color w:val="auto"/>
          <w:szCs w:val="24"/>
          <w:lang w:eastAsia="es-ES"/>
        </w:rPr>
        <w:t>d</w:t>
      </w:r>
      <w:r w:rsidR="0014339D" w:rsidRPr="00E44661">
        <w:rPr>
          <w:rFonts w:eastAsia="Times New Roman" w:cs="Tahoma"/>
          <w:b/>
          <w:color w:val="auto"/>
          <w:szCs w:val="24"/>
          <w:lang w:eastAsia="es-ES"/>
        </w:rPr>
        <w:t xml:space="preserve">) </w:t>
      </w:r>
      <w:r w:rsidR="00DB3DC5" w:rsidRPr="00E44661">
        <w:rPr>
          <w:rFonts w:eastAsia="Times New Roman" w:cs="Tahoma"/>
          <w:b/>
          <w:color w:val="auto"/>
          <w:szCs w:val="24"/>
          <w:lang w:eastAsia="es-ES"/>
        </w:rPr>
        <w:t>Cierre de instrucción.</w:t>
      </w:r>
      <w:r w:rsidR="00DB3DC5" w:rsidRPr="00E44661">
        <w:rPr>
          <w:rFonts w:eastAsia="Times New Roman" w:cs="Tahoma"/>
          <w:color w:val="auto"/>
          <w:szCs w:val="24"/>
          <w:lang w:eastAsia="es-ES"/>
        </w:rPr>
        <w:t xml:space="preserve"> El</w:t>
      </w:r>
      <w:r w:rsidR="0006704F" w:rsidRPr="00E44661">
        <w:rPr>
          <w:rFonts w:eastAsia="Times New Roman" w:cs="Tahoma"/>
          <w:color w:val="auto"/>
          <w:szCs w:val="24"/>
          <w:lang w:eastAsia="es-ES"/>
        </w:rPr>
        <w:t xml:space="preserve"> </w:t>
      </w:r>
      <w:r w:rsidR="00A36064">
        <w:rPr>
          <w:rFonts w:eastAsia="Times New Roman" w:cs="Tahoma"/>
          <w:color w:val="auto"/>
          <w:szCs w:val="24"/>
          <w:lang w:eastAsia="es-ES"/>
        </w:rPr>
        <w:t>diecinueve</w:t>
      </w:r>
      <w:r w:rsidR="008920FE">
        <w:rPr>
          <w:rFonts w:eastAsia="Times New Roman" w:cs="Tahoma"/>
          <w:color w:val="auto"/>
          <w:szCs w:val="24"/>
          <w:lang w:eastAsia="es-ES"/>
        </w:rPr>
        <w:t xml:space="preserve"> de marzo de dos mil veinticinco</w:t>
      </w:r>
      <w:r w:rsidR="00DB3DC5" w:rsidRPr="00E44661">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E44661">
        <w:rPr>
          <w:rFonts w:eastAsia="Times New Roman" w:cs="Tahoma"/>
          <w:color w:val="auto"/>
          <w:szCs w:val="20"/>
          <w:lang w:val="es-ES" w:eastAsia="es-ES"/>
        </w:rPr>
        <w:t>Sistema de Acceso a la Información Mexiquense (SAIMEX)</w:t>
      </w:r>
      <w:r w:rsidR="00DB3DC5" w:rsidRPr="00E44661">
        <w:rPr>
          <w:rFonts w:eastAsia="Times New Roman" w:cs="Tahoma"/>
          <w:color w:val="auto"/>
          <w:szCs w:val="24"/>
          <w:lang w:eastAsia="es-ES"/>
        </w:rPr>
        <w:t xml:space="preserve">. </w:t>
      </w:r>
    </w:p>
    <w:p w14:paraId="44D053F7" w14:textId="77777777" w:rsidR="0014339D" w:rsidRPr="00E44661" w:rsidRDefault="0014339D" w:rsidP="00C64DEA">
      <w:pPr>
        <w:autoSpaceDE w:val="0"/>
        <w:autoSpaceDN w:val="0"/>
        <w:adjustRightInd w:val="0"/>
        <w:spacing w:after="0" w:line="360" w:lineRule="auto"/>
        <w:ind w:right="-28"/>
        <w:contextualSpacing/>
        <w:rPr>
          <w:rFonts w:eastAsia="Calibri" w:cs="Tahoma"/>
          <w:bCs/>
        </w:rPr>
      </w:pPr>
    </w:p>
    <w:p w14:paraId="5D1BB03E" w14:textId="77777777" w:rsidR="00DB3DC5" w:rsidRPr="00E44661" w:rsidRDefault="00DB3DC5" w:rsidP="00C64DEA">
      <w:pPr>
        <w:spacing w:after="0" w:line="360" w:lineRule="auto"/>
        <w:contextualSpacing/>
        <w:rPr>
          <w:rFonts w:eastAsia="Times New Roman" w:cs="Tahoma"/>
          <w:color w:val="000000"/>
          <w:szCs w:val="24"/>
          <w:lang w:eastAsia="es-ES"/>
        </w:rPr>
      </w:pPr>
      <w:r w:rsidRPr="00E44661">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E44661" w:rsidRDefault="00DB3DC5" w:rsidP="00C64DEA">
      <w:pPr>
        <w:spacing w:after="0" w:line="360" w:lineRule="auto"/>
        <w:contextualSpacing/>
        <w:rPr>
          <w:rFonts w:eastAsia="Times New Roman" w:cs="Tahoma"/>
          <w:b/>
          <w:color w:val="auto"/>
          <w:lang w:val="es-ES" w:eastAsia="es-ES"/>
        </w:rPr>
      </w:pPr>
    </w:p>
    <w:p w14:paraId="1AD6FB2C" w14:textId="77777777" w:rsidR="00DB3DC5" w:rsidRPr="00E44661" w:rsidRDefault="00DB3DC5" w:rsidP="00C64DEA">
      <w:pPr>
        <w:spacing w:after="0" w:line="360" w:lineRule="auto"/>
        <w:contextualSpacing/>
        <w:jc w:val="center"/>
        <w:rPr>
          <w:rFonts w:eastAsia="Times New Roman" w:cs="Tahoma"/>
          <w:b/>
          <w:color w:val="auto"/>
          <w:lang w:val="es-ES" w:eastAsia="es-ES"/>
        </w:rPr>
      </w:pPr>
      <w:r w:rsidRPr="00E44661">
        <w:rPr>
          <w:rFonts w:eastAsia="Times New Roman" w:cs="Tahoma"/>
          <w:b/>
          <w:color w:val="auto"/>
          <w:lang w:val="es-ES" w:eastAsia="es-ES"/>
        </w:rPr>
        <w:t>C O N S I D E R A N D O S:</w:t>
      </w:r>
    </w:p>
    <w:p w14:paraId="446E7524" w14:textId="77777777" w:rsidR="00DB3DC5" w:rsidRPr="00E44661" w:rsidRDefault="00DB3DC5" w:rsidP="00C64DEA">
      <w:pPr>
        <w:spacing w:after="0" w:line="360" w:lineRule="auto"/>
        <w:contextualSpacing/>
        <w:jc w:val="center"/>
        <w:rPr>
          <w:rFonts w:eastAsia="Times New Roman" w:cs="Tahoma"/>
          <w:b/>
          <w:color w:val="auto"/>
          <w:lang w:val="es-ES" w:eastAsia="es-ES"/>
        </w:rPr>
      </w:pPr>
    </w:p>
    <w:p w14:paraId="5C90BBB8" w14:textId="77777777" w:rsidR="00DB3DC5" w:rsidRPr="00E44661" w:rsidRDefault="00DB3DC5" w:rsidP="00C64DEA">
      <w:pPr>
        <w:autoSpaceDE w:val="0"/>
        <w:autoSpaceDN w:val="0"/>
        <w:adjustRightInd w:val="0"/>
        <w:spacing w:after="0" w:line="360" w:lineRule="auto"/>
        <w:contextualSpacing/>
        <w:rPr>
          <w:rFonts w:eastAsia="Times New Roman" w:cs="Tahoma"/>
          <w:b/>
          <w:color w:val="auto"/>
          <w:szCs w:val="24"/>
          <w:lang w:val="es-ES" w:eastAsia="es-ES"/>
        </w:rPr>
      </w:pPr>
      <w:r w:rsidRPr="00E44661">
        <w:rPr>
          <w:rFonts w:eastAsia="Calibri" w:cs="Tahoma"/>
          <w:b/>
          <w:color w:val="000000"/>
          <w:szCs w:val="24"/>
          <w:lang w:val="es-ES"/>
        </w:rPr>
        <w:t>PRIMERO</w:t>
      </w:r>
      <w:r w:rsidRPr="00E44661">
        <w:rPr>
          <w:rFonts w:eastAsia="Calibri" w:cs="Tahoma"/>
          <w:color w:val="000000"/>
          <w:szCs w:val="24"/>
          <w:lang w:val="es-ES"/>
        </w:rPr>
        <w:t xml:space="preserve">. </w:t>
      </w:r>
      <w:r w:rsidRPr="00E44661">
        <w:rPr>
          <w:rFonts w:eastAsia="Times New Roman" w:cs="Tahoma"/>
          <w:b/>
          <w:color w:val="auto"/>
          <w:szCs w:val="24"/>
          <w:lang w:val="es-ES" w:eastAsia="es-ES"/>
        </w:rPr>
        <w:t>Competencia.</w:t>
      </w:r>
    </w:p>
    <w:p w14:paraId="377E7349" w14:textId="77777777" w:rsidR="00DB3DC5" w:rsidRPr="00E44661" w:rsidRDefault="00DB3DC5" w:rsidP="00C64DEA">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E44661" w:rsidRDefault="00DB3DC5" w:rsidP="00C64DEA">
      <w:pPr>
        <w:spacing w:after="0" w:line="360" w:lineRule="auto"/>
        <w:contextualSpacing/>
        <w:rPr>
          <w:rFonts w:eastAsia="Times New Roman" w:cs="Tahoma"/>
          <w:bCs/>
          <w:color w:val="auto"/>
          <w:lang w:eastAsia="es-ES"/>
        </w:rPr>
      </w:pPr>
      <w:bookmarkStart w:id="2" w:name="_Hlk63334754"/>
      <w:r w:rsidRPr="00E4466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E44661">
        <w:rPr>
          <w:rFonts w:eastAsia="Times New Roman" w:cs="Tahoma"/>
          <w:bCs/>
          <w:color w:val="auto"/>
          <w:lang w:eastAsia="es-ES"/>
        </w:rPr>
        <w:t xml:space="preserve"> segundo</w:t>
      </w:r>
      <w:r w:rsidRPr="00E44661">
        <w:rPr>
          <w:rFonts w:eastAsia="Times New Roman" w:cs="Tahoma"/>
          <w:bCs/>
          <w:color w:val="auto"/>
          <w:lang w:eastAsia="es-ES"/>
        </w:rPr>
        <w:t xml:space="preserve">, trigésimo </w:t>
      </w:r>
      <w:r w:rsidR="003905B1" w:rsidRPr="00E44661">
        <w:rPr>
          <w:rFonts w:eastAsia="Times New Roman" w:cs="Tahoma"/>
          <w:bCs/>
          <w:color w:val="auto"/>
          <w:lang w:eastAsia="es-ES"/>
        </w:rPr>
        <w:t>tercero</w:t>
      </w:r>
      <w:r w:rsidRPr="00E44661">
        <w:rPr>
          <w:rFonts w:eastAsia="Times New Roman" w:cs="Tahoma"/>
          <w:bCs/>
          <w:color w:val="auto"/>
          <w:lang w:eastAsia="es-ES"/>
        </w:rPr>
        <w:t xml:space="preserve"> y trigésimo </w:t>
      </w:r>
      <w:r w:rsidR="003905B1" w:rsidRPr="00E44661">
        <w:rPr>
          <w:rFonts w:eastAsia="Times New Roman" w:cs="Tahoma"/>
          <w:bCs/>
          <w:color w:val="auto"/>
          <w:lang w:eastAsia="es-ES"/>
        </w:rPr>
        <w:t>cuarto</w:t>
      </w:r>
      <w:r w:rsidRPr="00E44661">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44661">
        <w:rPr>
          <w:rFonts w:eastAsia="Times New Roman" w:cs="Times New Roman"/>
          <w:bCs/>
          <w:color w:val="auto"/>
          <w:lang w:eastAsia="es-ES"/>
        </w:rPr>
        <w:t xml:space="preserve"> 7°, </w:t>
      </w:r>
      <w:r w:rsidRPr="00E44661">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
    </w:p>
    <w:p w14:paraId="34F007D6" w14:textId="77777777" w:rsidR="00DB3DC5" w:rsidRPr="00E44661" w:rsidRDefault="00DB3DC5" w:rsidP="00C64DEA">
      <w:pPr>
        <w:autoSpaceDE w:val="0"/>
        <w:autoSpaceDN w:val="0"/>
        <w:adjustRightInd w:val="0"/>
        <w:spacing w:after="0" w:line="360" w:lineRule="auto"/>
        <w:contextualSpacing/>
        <w:rPr>
          <w:rFonts w:eastAsia="Calibri" w:cs="Tahoma"/>
          <w:b/>
          <w:color w:val="000000"/>
          <w:szCs w:val="24"/>
          <w:lang w:val="es-ES"/>
        </w:rPr>
      </w:pPr>
    </w:p>
    <w:p w14:paraId="7CEF4E51" w14:textId="0BC7798D" w:rsidR="00DB3DC5" w:rsidRPr="00E44661" w:rsidRDefault="00DB3DC5" w:rsidP="00362CF5">
      <w:pPr>
        <w:autoSpaceDE w:val="0"/>
        <w:autoSpaceDN w:val="0"/>
        <w:adjustRightInd w:val="0"/>
        <w:spacing w:after="0" w:line="360" w:lineRule="auto"/>
        <w:contextualSpacing/>
        <w:rPr>
          <w:b/>
          <w:lang w:val="es-ES"/>
        </w:rPr>
      </w:pPr>
      <w:r w:rsidRPr="00E44661">
        <w:rPr>
          <w:rFonts w:eastAsia="Calibri" w:cs="Tahoma"/>
          <w:b/>
          <w:color w:val="000000"/>
          <w:szCs w:val="24"/>
          <w:lang w:val="es-ES"/>
        </w:rPr>
        <w:t>SEGUNDO</w:t>
      </w:r>
      <w:r w:rsidRPr="00E44661">
        <w:rPr>
          <w:rFonts w:eastAsia="Calibri" w:cs="Tahoma"/>
          <w:color w:val="000000"/>
          <w:szCs w:val="24"/>
          <w:lang w:val="es-ES"/>
        </w:rPr>
        <w:t xml:space="preserve">. </w:t>
      </w:r>
      <w:r w:rsidRPr="00E44661">
        <w:rPr>
          <w:rFonts w:eastAsia="Times New Roman" w:cs="Tahoma"/>
          <w:b/>
          <w:color w:val="auto"/>
          <w:szCs w:val="24"/>
          <w:lang w:val="es-ES" w:eastAsia="es-ES"/>
        </w:rPr>
        <w:t xml:space="preserve">Causales de improcedencia </w:t>
      </w:r>
    </w:p>
    <w:p w14:paraId="039C7835" w14:textId="77777777" w:rsidR="00DB3DC5" w:rsidRPr="00E44661" w:rsidRDefault="00DB3DC5" w:rsidP="00C64DEA">
      <w:pPr>
        <w:spacing w:after="0" w:line="360" w:lineRule="auto"/>
        <w:contextualSpacing/>
      </w:pPr>
    </w:p>
    <w:p w14:paraId="24BC499F" w14:textId="77777777" w:rsidR="00DB3DC5" w:rsidRPr="00E44661" w:rsidRDefault="00DB3DC5" w:rsidP="00C64DEA">
      <w:pPr>
        <w:spacing w:after="0" w:line="360" w:lineRule="auto"/>
        <w:contextualSpacing/>
        <w:rPr>
          <w:rFonts w:eastAsia="Times New Roman" w:cs="Tahoma"/>
          <w:color w:val="auto"/>
          <w:lang w:eastAsia="es-ES"/>
        </w:rPr>
      </w:pPr>
      <w:r w:rsidRPr="00E44661">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E44661" w:rsidRDefault="00DB3DC5" w:rsidP="00C64DEA">
      <w:pPr>
        <w:spacing w:after="0" w:line="360" w:lineRule="auto"/>
        <w:contextualSpacing/>
        <w:rPr>
          <w:rFonts w:eastAsia="Times New Roman" w:cs="Tahoma"/>
          <w:color w:val="auto"/>
          <w:lang w:eastAsia="es-ES"/>
        </w:rPr>
      </w:pPr>
    </w:p>
    <w:p w14:paraId="344A6FE5" w14:textId="77777777" w:rsidR="00DB3DC5" w:rsidRPr="00E44661" w:rsidRDefault="00DB3DC5" w:rsidP="00C64DEA">
      <w:pPr>
        <w:spacing w:after="0" w:line="360" w:lineRule="auto"/>
        <w:contextualSpacing/>
        <w:rPr>
          <w:rFonts w:eastAsia="Times New Roman" w:cs="Tahoma"/>
          <w:color w:val="auto"/>
          <w:lang w:eastAsia="es-ES"/>
        </w:rPr>
      </w:pPr>
      <w:r w:rsidRPr="00E44661">
        <w:rPr>
          <w:rFonts w:eastAsia="Times New Roman" w:cs="Tahoma"/>
          <w:color w:val="auto"/>
          <w:lang w:eastAsia="es-ES"/>
        </w:rPr>
        <w:t>En el presente caso, </w:t>
      </w:r>
      <w:r w:rsidRPr="00E44661">
        <w:rPr>
          <w:rFonts w:eastAsia="Times New Roman" w:cs="Tahoma"/>
          <w:b/>
          <w:bCs/>
          <w:color w:val="auto"/>
          <w:lang w:eastAsia="es-ES"/>
        </w:rPr>
        <w:t>no se actualiza ninguna de las causales de improcedencia</w:t>
      </w:r>
      <w:r w:rsidRPr="00E44661">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E44661" w:rsidRDefault="00DB3DC5" w:rsidP="00C64DEA">
      <w:pPr>
        <w:spacing w:after="0" w:line="360" w:lineRule="auto"/>
        <w:contextualSpacing/>
        <w:rPr>
          <w:rFonts w:eastAsia="Times New Roman" w:cs="Tahoma"/>
          <w:color w:val="auto"/>
          <w:lang w:val="es-ES" w:eastAsia="es-ES"/>
        </w:rPr>
      </w:pPr>
    </w:p>
    <w:p w14:paraId="76A50112" w14:textId="4EBF4A44" w:rsidR="00DB3DC5" w:rsidRDefault="00DB3DC5" w:rsidP="00C64DEA">
      <w:pPr>
        <w:spacing w:after="0" w:line="360" w:lineRule="auto"/>
        <w:contextualSpacing/>
        <w:rPr>
          <w:rFonts w:eastAsia="Times New Roman" w:cs="Tahoma"/>
          <w:bCs/>
          <w:color w:val="auto"/>
          <w:lang w:val="es-ES" w:eastAsia="es-ES"/>
        </w:rPr>
      </w:pPr>
      <w:r w:rsidRPr="00E44661">
        <w:rPr>
          <w:rFonts w:eastAsia="Times New Roman" w:cs="Tahoma"/>
          <w:color w:val="auto"/>
          <w:lang w:val="es-ES" w:eastAsia="es-ES"/>
        </w:rPr>
        <w:t>Conforme a lo anterior, se actualiza la causal de procedencia señalad</w:t>
      </w:r>
      <w:r w:rsidR="00BB36D2" w:rsidRPr="00E44661">
        <w:rPr>
          <w:rFonts w:eastAsia="Times New Roman" w:cs="Tahoma"/>
          <w:color w:val="auto"/>
          <w:lang w:val="es-ES" w:eastAsia="es-ES"/>
        </w:rPr>
        <w:t xml:space="preserve">a en el artículo 179, fracción </w:t>
      </w:r>
      <w:r w:rsidR="00C64DEA">
        <w:rPr>
          <w:rFonts w:eastAsia="Times New Roman" w:cs="Tahoma"/>
          <w:color w:val="auto"/>
          <w:lang w:val="es-ES" w:eastAsia="es-ES"/>
        </w:rPr>
        <w:t>V</w:t>
      </w:r>
      <w:r w:rsidR="00C933B6">
        <w:rPr>
          <w:rFonts w:eastAsia="Times New Roman" w:cs="Tahoma"/>
          <w:color w:val="auto"/>
          <w:lang w:val="es-ES" w:eastAsia="es-ES"/>
        </w:rPr>
        <w:t>I</w:t>
      </w:r>
      <w:r w:rsidR="000C5F81" w:rsidRPr="00E44661">
        <w:rPr>
          <w:rFonts w:eastAsia="Times New Roman" w:cs="Tahoma"/>
          <w:color w:val="auto"/>
          <w:lang w:val="es-ES" w:eastAsia="es-ES"/>
        </w:rPr>
        <w:t>I</w:t>
      </w:r>
      <w:r w:rsidRPr="00E44661">
        <w:rPr>
          <w:rFonts w:eastAsia="Times New Roman" w:cs="Tahoma"/>
          <w:color w:val="auto"/>
          <w:lang w:val="es-ES" w:eastAsia="es-ES"/>
        </w:rPr>
        <w:t>, de la Ley de la materia</w:t>
      </w:r>
      <w:r w:rsidRPr="00E44661">
        <w:rPr>
          <w:rFonts w:eastAsia="Times New Roman" w:cs="Tahoma"/>
          <w:bCs/>
          <w:color w:val="auto"/>
          <w:lang w:val="es-ES" w:eastAsia="es-ES"/>
        </w:rPr>
        <w:t xml:space="preserve">, toda vez que el Solicitante se inconformó con la </w:t>
      </w:r>
      <w:r w:rsidR="00C933B6">
        <w:rPr>
          <w:rFonts w:eastAsia="Times New Roman" w:cs="Tahoma"/>
          <w:bCs/>
          <w:color w:val="auto"/>
          <w:lang w:val="es-ES" w:eastAsia="es-ES"/>
        </w:rPr>
        <w:t>falta de respuesta a su solicitud.</w:t>
      </w:r>
    </w:p>
    <w:p w14:paraId="1B90F89C" w14:textId="77777777" w:rsidR="00C933B6" w:rsidRPr="00E44661" w:rsidRDefault="00C933B6" w:rsidP="00C64DEA">
      <w:pPr>
        <w:spacing w:after="0" w:line="360" w:lineRule="auto"/>
        <w:contextualSpacing/>
        <w:rPr>
          <w:rFonts w:eastAsia="Times New Roman" w:cs="Tahoma"/>
          <w:bCs/>
          <w:color w:val="auto"/>
          <w:lang w:val="es-ES" w:eastAsia="es-ES"/>
        </w:rPr>
      </w:pPr>
    </w:p>
    <w:p w14:paraId="79DB78C8" w14:textId="77777777" w:rsidR="00B70E2C" w:rsidRPr="00B70E2C" w:rsidRDefault="00B70E2C" w:rsidP="00B70E2C">
      <w:pPr>
        <w:keepNext/>
        <w:keepLines/>
        <w:spacing w:after="0" w:line="360" w:lineRule="auto"/>
        <w:outlineLvl w:val="1"/>
        <w:rPr>
          <w:rFonts w:eastAsiaTheme="majorEastAsia" w:cstheme="majorBidi"/>
          <w:b/>
          <w:szCs w:val="26"/>
          <w:lang w:eastAsia="es-ES"/>
        </w:rPr>
      </w:pPr>
      <w:bookmarkStart w:id="3" w:name="_Toc192767981"/>
      <w:bookmarkStart w:id="4" w:name="_Toc193386142"/>
      <w:r w:rsidRPr="00B70E2C">
        <w:rPr>
          <w:rFonts w:eastAsiaTheme="majorEastAsia" w:cstheme="majorBidi"/>
          <w:b/>
          <w:szCs w:val="26"/>
          <w:lang w:eastAsia="es-ES"/>
        </w:rPr>
        <w:t>TERCERO. Causales de sobreseimiento</w:t>
      </w:r>
      <w:bookmarkEnd w:id="3"/>
      <w:bookmarkEnd w:id="4"/>
    </w:p>
    <w:p w14:paraId="73B58EFC" w14:textId="77777777" w:rsidR="00B70E2C" w:rsidRPr="00B70E2C" w:rsidRDefault="00B70E2C" w:rsidP="00B70E2C">
      <w:pPr>
        <w:spacing w:after="0" w:line="360" w:lineRule="auto"/>
        <w:rPr>
          <w:rFonts w:eastAsia="Times New Roman" w:cs="Tahoma"/>
          <w:bCs/>
          <w:color w:val="0D0D0D" w:themeColor="text1" w:themeTint="F2"/>
          <w:lang w:eastAsia="es-ES"/>
        </w:rPr>
      </w:pPr>
    </w:p>
    <w:p w14:paraId="173B3CFB" w14:textId="77777777" w:rsidR="00B70E2C" w:rsidRPr="00B70E2C" w:rsidRDefault="00B70E2C" w:rsidP="00B70E2C">
      <w:pPr>
        <w:spacing w:after="0" w:line="360" w:lineRule="auto"/>
        <w:rPr>
          <w:rFonts w:eastAsia="Times New Roman" w:cs="Tahoma"/>
          <w:bCs/>
          <w:color w:val="0D0D0D" w:themeColor="text1" w:themeTint="F2"/>
          <w:lang w:eastAsia="es-ES"/>
        </w:rPr>
      </w:pPr>
      <w:r w:rsidRPr="00B70E2C">
        <w:rPr>
          <w:rFonts w:eastAsia="Times New Roman" w:cs="Tahoma"/>
          <w:bCs/>
          <w:color w:val="0D0D0D" w:themeColor="text1" w:themeTint="F2"/>
          <w:lang w:eastAsia="es-ES"/>
        </w:rPr>
        <w:t>Por ser de previo y especial pronunciamiento, este Instituto analiza si se actualiza alguna causal de sobreseimiento.</w:t>
      </w:r>
    </w:p>
    <w:p w14:paraId="569F1E28" w14:textId="77777777" w:rsidR="00B70E2C" w:rsidRPr="00B70E2C" w:rsidRDefault="00B70E2C" w:rsidP="00B70E2C">
      <w:pPr>
        <w:spacing w:after="0" w:line="360" w:lineRule="auto"/>
        <w:rPr>
          <w:rFonts w:eastAsia="Times New Roman" w:cs="Tahoma"/>
          <w:bCs/>
          <w:color w:val="0D0D0D" w:themeColor="text1" w:themeTint="F2"/>
          <w:lang w:eastAsia="es-ES"/>
        </w:rPr>
      </w:pPr>
    </w:p>
    <w:p w14:paraId="3154CE7B" w14:textId="77777777" w:rsidR="00B70E2C" w:rsidRPr="00B70E2C" w:rsidRDefault="00B70E2C" w:rsidP="00B70E2C">
      <w:pPr>
        <w:widowControl w:val="0"/>
        <w:spacing w:after="0" w:line="360" w:lineRule="auto"/>
        <w:rPr>
          <w:rFonts w:eastAsia="Calibri" w:cs="Tahoma"/>
          <w:color w:val="auto"/>
          <w:lang w:eastAsia="es-ES_tradnl"/>
        </w:rPr>
      </w:pPr>
      <w:r w:rsidRPr="00B70E2C">
        <w:rPr>
          <w:rFonts w:eastAsia="Times New Roman" w:cs="Tahoma"/>
          <w:color w:val="auto"/>
          <w:lang w:eastAsia="es-ES"/>
        </w:rPr>
        <w:t xml:space="preserve">El artículo 192 de la </w:t>
      </w:r>
      <w:r w:rsidRPr="00B70E2C">
        <w:rPr>
          <w:rFonts w:eastAsia="Calibri" w:cs="Tahoma"/>
          <w:bCs/>
          <w:color w:val="000000"/>
          <w:lang w:eastAsia="es-ES_tradnl"/>
        </w:rPr>
        <w:t xml:space="preserve">Ley Transparencia y Acceso a la Información Pública del Estado de México y Municipios, señala las causales por las cuales se puede sobreseer en todo o en parte el Recurso de Revisión; así, </w:t>
      </w:r>
      <w:r w:rsidRPr="00B70E2C">
        <w:rPr>
          <w:rFonts w:eastAsia="Calibri" w:cs="Tahoma"/>
          <w:color w:val="auto"/>
          <w:lang w:eastAsia="es-ES_tradnl"/>
        </w:rPr>
        <w:t>del análisis realizado por este Instituto, se advierte que</w:t>
      </w:r>
      <w:r w:rsidRPr="00B70E2C">
        <w:rPr>
          <w:rFonts w:eastAsia="Calibri" w:cs="Tahoma"/>
          <w:b/>
          <w:color w:val="auto"/>
          <w:lang w:eastAsia="es-ES_tradnl"/>
        </w:rPr>
        <w:t xml:space="preserve"> no se configuran las causales establecidas en las fracciones I, II, III y V, </w:t>
      </w:r>
      <w:r w:rsidRPr="00B70E2C">
        <w:rPr>
          <w:rFonts w:eastAsia="Calibri" w:cs="Tahoma"/>
          <w:color w:val="auto"/>
          <w:lang w:eastAsia="es-ES_tradnl"/>
        </w:rPr>
        <w:t>toda vez que no hay constancias en el expediente en que se actúa, de que el Recurrente se haya desistido, fallecido, que el Sujeto Obligado hubiese modificado o revocado el acto impugnado o bien, haya quedado sin materia.</w:t>
      </w:r>
    </w:p>
    <w:p w14:paraId="1D821862" w14:textId="77777777" w:rsidR="00B70E2C" w:rsidRPr="00B70E2C" w:rsidRDefault="00B70E2C" w:rsidP="00B70E2C">
      <w:pPr>
        <w:widowControl w:val="0"/>
        <w:spacing w:after="0" w:line="360" w:lineRule="auto"/>
        <w:rPr>
          <w:rFonts w:eastAsia="Calibri" w:cs="Tahoma"/>
          <w:color w:val="auto"/>
          <w:lang w:eastAsia="es-ES_tradnl"/>
        </w:rPr>
      </w:pPr>
    </w:p>
    <w:p w14:paraId="22EE16F5" w14:textId="77777777" w:rsidR="00B70E2C" w:rsidRPr="00B70E2C" w:rsidRDefault="00B70E2C" w:rsidP="00B70E2C">
      <w:pPr>
        <w:spacing w:after="0" w:line="360" w:lineRule="auto"/>
        <w:rPr>
          <w:rFonts w:eastAsia="Times New Roman" w:cs="Arial"/>
          <w:bCs/>
          <w:color w:val="auto"/>
          <w:lang w:eastAsia="es-ES"/>
        </w:rPr>
      </w:pPr>
      <w:r w:rsidRPr="00B70E2C">
        <w:rPr>
          <w:rFonts w:eastAsia="Calibri" w:cs="Tahoma"/>
          <w:color w:val="auto"/>
          <w:lang w:eastAsia="es-ES_tradnl"/>
        </w:rPr>
        <w:lastRenderedPageBreak/>
        <w:t xml:space="preserve">No obstante, por lo que hace a la hipótesis prevista en </w:t>
      </w:r>
      <w:r w:rsidRPr="00B70E2C">
        <w:rPr>
          <w:rFonts w:eastAsia="Calibri" w:cs="Tahoma"/>
          <w:b/>
          <w:bCs/>
          <w:color w:val="auto"/>
          <w:lang w:eastAsia="es-ES_tradnl"/>
        </w:rPr>
        <w:t>la fracción IV,</w:t>
      </w:r>
      <w:r w:rsidRPr="00B70E2C">
        <w:rPr>
          <w:rFonts w:eastAsia="Calibri" w:cs="Tahoma"/>
          <w:color w:val="auto"/>
          <w:lang w:eastAsia="es-ES_tradnl"/>
        </w:rPr>
        <w:t xml:space="preserve"> a saber, que, una vez admitido el Recurso de Revisión, aparezca alguna causal de improcedencia en términos de la presente Ley, </w:t>
      </w:r>
      <w:r w:rsidRPr="00B70E2C">
        <w:rPr>
          <w:rFonts w:eastAsia="Calibri" w:cs="Tahoma"/>
          <w:bCs/>
          <w:color w:val="auto"/>
          <w:lang w:eastAsia="es-ES_tradnl"/>
        </w:rPr>
        <w:t>resulta necesario traer a colación</w:t>
      </w:r>
      <w:r w:rsidRPr="00B70E2C">
        <w:rPr>
          <w:rFonts w:eastAsia="Calibri" w:cs="Tahoma"/>
          <w:bCs/>
          <w:color w:val="auto"/>
          <w:lang w:val="es-ES" w:eastAsia="es-ES_tradnl"/>
        </w:rPr>
        <w:t xml:space="preserve"> el artículo 191, fracción III, de dicho ordenamiento jurídico, que establece que el Recurso de Revisión será desechado por improcedente, cuando dicho medio no actualice alguno de los supuestos previstos en el diverso 179 de la presente Ley. </w:t>
      </w:r>
      <w:r w:rsidRPr="00B70E2C">
        <w:rPr>
          <w:rFonts w:eastAsia="Times New Roman" w:cs="Arial"/>
          <w:bCs/>
          <w:color w:val="auto"/>
          <w:lang w:eastAsia="es-ES"/>
        </w:rPr>
        <w:t>En ese orden de ideas, dicho artículo prevé lo siguiente:</w:t>
      </w:r>
    </w:p>
    <w:p w14:paraId="22F3870D" w14:textId="77777777" w:rsidR="00B70E2C" w:rsidRPr="00B70E2C" w:rsidRDefault="00B70E2C" w:rsidP="00B70E2C">
      <w:pPr>
        <w:spacing w:after="0" w:line="360" w:lineRule="auto"/>
        <w:rPr>
          <w:rFonts w:eastAsia="Times New Roman" w:cs="Arial"/>
          <w:bCs/>
          <w:color w:val="auto"/>
          <w:lang w:eastAsia="es-ES"/>
        </w:rPr>
      </w:pPr>
    </w:p>
    <w:p w14:paraId="7390D396"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
          <w:bCs/>
          <w:i/>
          <w:color w:val="auto"/>
          <w:sz w:val="20"/>
          <w:szCs w:val="20"/>
          <w:lang w:eastAsia="es-ES"/>
        </w:rPr>
        <w:t xml:space="preserve">“Artículo 179. </w:t>
      </w:r>
      <w:r w:rsidRPr="00B70E2C">
        <w:rPr>
          <w:rFonts w:eastAsia="Times New Roman" w:cs="Arial"/>
          <w:bCs/>
          <w:i/>
          <w:color w:val="auto"/>
          <w:sz w:val="20"/>
          <w:szCs w:val="20"/>
          <w:lang w:eastAsia="es-ES"/>
        </w:rPr>
        <w:t xml:space="preserve">El recurso de revisión es un medio de protección que la Ley otorga a los particulares, para hacer valer su derecho de acceso a la información pública, y procederá en contra de las siguientes causas: </w:t>
      </w:r>
    </w:p>
    <w:p w14:paraId="161227D7"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p>
    <w:p w14:paraId="518F30CE"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I. La negativa a la información solicitada; </w:t>
      </w:r>
    </w:p>
    <w:p w14:paraId="7D503689"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II. La clasificación de la información; </w:t>
      </w:r>
    </w:p>
    <w:p w14:paraId="09490E99"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III. La declaración de inexistencia de la información; </w:t>
      </w:r>
    </w:p>
    <w:p w14:paraId="52C1BB8D"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IV. La declaración de incompetencia por el sujeto obligado; </w:t>
      </w:r>
    </w:p>
    <w:p w14:paraId="6D45045C"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V. La entrega de información incompleta; </w:t>
      </w:r>
    </w:p>
    <w:p w14:paraId="0BC52C18"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VI. La entrega de información que no corresponda con lo solicitado; </w:t>
      </w:r>
    </w:p>
    <w:p w14:paraId="26395323"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VII. La falta de respuesta a una solicitud de acceso a la información; </w:t>
      </w:r>
    </w:p>
    <w:p w14:paraId="003724F5"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VIII. La notificación, entrega o puesta a disposición de información en una modalidad o formato distinto al solicitado; </w:t>
      </w:r>
    </w:p>
    <w:p w14:paraId="5E918A2B"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IX. La entrega o puesta a disposición de información en un formato incomprensible y/o no accesible para el solicitante; </w:t>
      </w:r>
    </w:p>
    <w:p w14:paraId="106E722F"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X. Los costos o tiempos de entrega de la información; </w:t>
      </w:r>
    </w:p>
    <w:p w14:paraId="781F3FC6"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XI. La falta de trámite a una solicitud; </w:t>
      </w:r>
    </w:p>
    <w:p w14:paraId="61DE92CD"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XII. La negativa a permitir la consulta directa de la información; </w:t>
      </w:r>
    </w:p>
    <w:p w14:paraId="32B2B6B0"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 xml:space="preserve">XIII. La falta, deficiencia o insuficiencia de la fundamentación y/o motivación en la respuesta; y </w:t>
      </w:r>
    </w:p>
    <w:p w14:paraId="51F9F133"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XIV. La orientación a un trámite específico.</w:t>
      </w:r>
    </w:p>
    <w:p w14:paraId="7CA71088" w14:textId="77777777" w:rsidR="00B70E2C" w:rsidRPr="00B70E2C" w:rsidRDefault="00B70E2C" w:rsidP="00B70E2C">
      <w:pPr>
        <w:spacing w:after="0" w:line="360" w:lineRule="auto"/>
        <w:ind w:left="567" w:right="567"/>
        <w:rPr>
          <w:rFonts w:eastAsia="Times New Roman" w:cs="Arial"/>
          <w:bCs/>
          <w:i/>
          <w:color w:val="auto"/>
          <w:sz w:val="20"/>
          <w:szCs w:val="20"/>
          <w:lang w:eastAsia="es-ES"/>
        </w:rPr>
      </w:pPr>
      <w:r w:rsidRPr="00B70E2C">
        <w:rPr>
          <w:rFonts w:eastAsia="Times New Roman" w:cs="Arial"/>
          <w:bCs/>
          <w:i/>
          <w:color w:val="auto"/>
          <w:sz w:val="20"/>
          <w:szCs w:val="20"/>
          <w:lang w:eastAsia="es-ES"/>
        </w:rPr>
        <w:t>...”</w:t>
      </w:r>
    </w:p>
    <w:p w14:paraId="30323DE6" w14:textId="77777777" w:rsidR="00B70E2C" w:rsidRPr="00B70E2C" w:rsidRDefault="00B70E2C" w:rsidP="00B70E2C">
      <w:pPr>
        <w:spacing w:after="0" w:line="360" w:lineRule="auto"/>
        <w:ind w:right="-28"/>
        <w:contextualSpacing/>
        <w:rPr>
          <w:rFonts w:eastAsiaTheme="minorHAnsi" w:cs="Tahoma"/>
          <w:bCs/>
          <w:iCs/>
          <w:lang w:val="es-ES" w:eastAsia="en-US"/>
        </w:rPr>
      </w:pPr>
    </w:p>
    <w:p w14:paraId="127D6A36" w14:textId="77777777" w:rsidR="00B70E2C" w:rsidRPr="00B70E2C" w:rsidRDefault="00B70E2C" w:rsidP="00B70E2C">
      <w:pPr>
        <w:tabs>
          <w:tab w:val="left" w:pos="4962"/>
        </w:tabs>
        <w:spacing w:after="0" w:line="360" w:lineRule="auto"/>
        <w:rPr>
          <w:rFonts w:eastAsia="Times New Roman" w:cs="Tahoma"/>
          <w:color w:val="auto"/>
          <w:lang w:val="es-ES" w:eastAsia="es-ES"/>
        </w:rPr>
      </w:pPr>
      <w:r w:rsidRPr="00B70E2C">
        <w:rPr>
          <w:rFonts w:eastAsia="Times New Roman" w:cs="Tahoma"/>
          <w:color w:val="auto"/>
          <w:lang w:val="es-ES" w:eastAsia="es-ES"/>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7060624C" w14:textId="77777777" w:rsidR="00B70E2C" w:rsidRPr="00B70E2C" w:rsidRDefault="00B70E2C" w:rsidP="00B70E2C">
      <w:pPr>
        <w:spacing w:after="0" w:line="360" w:lineRule="auto"/>
        <w:ind w:right="-28"/>
        <w:contextualSpacing/>
        <w:rPr>
          <w:rFonts w:eastAsiaTheme="minorHAnsi" w:cs="Tahoma"/>
          <w:bCs/>
          <w:iCs/>
          <w:lang w:val="es-ES" w:eastAsia="en-US"/>
        </w:rPr>
      </w:pPr>
    </w:p>
    <w:p w14:paraId="3CA7DECB" w14:textId="77777777" w:rsidR="00B70E2C" w:rsidRPr="00B70E2C" w:rsidRDefault="00B70E2C" w:rsidP="00B70E2C">
      <w:pPr>
        <w:tabs>
          <w:tab w:val="left" w:pos="4962"/>
        </w:tabs>
        <w:spacing w:after="0" w:line="360" w:lineRule="auto"/>
        <w:rPr>
          <w:rFonts w:eastAsia="Times New Roman" w:cs="Tahoma"/>
          <w:color w:val="auto"/>
          <w:lang w:val="es-ES" w:eastAsia="es-ES"/>
        </w:rPr>
      </w:pPr>
      <w:r w:rsidRPr="00B70E2C">
        <w:rPr>
          <w:rFonts w:eastAsia="Times New Roman" w:cs="Tahoma"/>
          <w:color w:val="auto"/>
          <w:lang w:val="es-ES" w:eastAsia="es-ES"/>
        </w:rPr>
        <w:t>Además, conforme al Diccionario de Transparencia y Acceso a la Información Pública y la página oficial de este Instituto (</w:t>
      </w:r>
      <w:hyperlink r:id="rId8" w:anchor="queEsRRdeIP" w:history="1">
        <w:r w:rsidRPr="00B70E2C">
          <w:rPr>
            <w:rFonts w:eastAsia="Times New Roman" w:cs="Tahoma"/>
            <w:color w:val="auto"/>
            <w:lang w:val="es-ES" w:eastAsia="es-ES"/>
          </w:rPr>
          <w:t>https://www.infoem.org.mx/es/content/informacion-publica#queEsRRdeIP</w:t>
        </w:r>
      </w:hyperlink>
      <w:r w:rsidRPr="00B70E2C">
        <w:rPr>
          <w:rFonts w:eastAsia="Times New Roman" w:cs="Tahoma"/>
          <w:color w:val="auto"/>
          <w:lang w:val="es-ES" w:eastAsia="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0F1ADBDA" w14:textId="77777777" w:rsidR="00B70E2C" w:rsidRPr="00B70E2C" w:rsidRDefault="00B70E2C" w:rsidP="00B70E2C">
      <w:pPr>
        <w:spacing w:after="0" w:line="360" w:lineRule="auto"/>
        <w:ind w:right="-28"/>
        <w:contextualSpacing/>
        <w:rPr>
          <w:rFonts w:eastAsiaTheme="minorHAnsi" w:cs="Tahoma"/>
          <w:bCs/>
          <w:iCs/>
          <w:lang w:val="es-ES" w:eastAsia="en-US"/>
        </w:rPr>
      </w:pPr>
    </w:p>
    <w:p w14:paraId="14710653" w14:textId="77777777" w:rsidR="00B70E2C" w:rsidRPr="00B70E2C" w:rsidRDefault="00B70E2C" w:rsidP="00B70E2C">
      <w:pPr>
        <w:tabs>
          <w:tab w:val="left" w:pos="4962"/>
        </w:tabs>
        <w:spacing w:after="0" w:line="360" w:lineRule="auto"/>
        <w:rPr>
          <w:rFonts w:eastAsia="Times New Roman" w:cs="Tahoma"/>
          <w:color w:val="auto"/>
          <w:lang w:val="es-ES" w:eastAsia="es-ES"/>
        </w:rPr>
      </w:pPr>
      <w:r w:rsidRPr="00B70E2C">
        <w:rPr>
          <w:rFonts w:eastAsia="Times New Roman" w:cs="Tahoma"/>
          <w:color w:val="auto"/>
          <w:lang w:val="es-ES" w:eastAsia="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B70E2C">
        <w:rPr>
          <w:rFonts w:eastAsia="Times New Roman" w:cs="Tahoma"/>
          <w:b/>
          <w:color w:val="auto"/>
          <w:u w:val="single"/>
          <w:lang w:val="es-ES" w:eastAsia="es-ES"/>
        </w:rPr>
        <w:t>a una solicitud de información específica.</w:t>
      </w:r>
    </w:p>
    <w:p w14:paraId="4F0C669B" w14:textId="77777777" w:rsidR="00B70E2C" w:rsidRPr="00B70E2C" w:rsidRDefault="00B70E2C" w:rsidP="00B70E2C">
      <w:pPr>
        <w:autoSpaceDE w:val="0"/>
        <w:autoSpaceDN w:val="0"/>
        <w:adjustRightInd w:val="0"/>
        <w:spacing w:after="0" w:line="360" w:lineRule="auto"/>
        <w:contextualSpacing/>
        <w:rPr>
          <w:rFonts w:eastAsia="Times New Roman" w:cs="Tahoma"/>
          <w:b/>
          <w:bCs/>
          <w:iCs/>
          <w:color w:val="auto"/>
          <w:lang w:val="es-ES" w:eastAsia="es-ES"/>
        </w:rPr>
      </w:pPr>
    </w:p>
    <w:p w14:paraId="29C93AF3" w14:textId="1E43EAA3" w:rsidR="00B70E2C" w:rsidRPr="00B70E2C" w:rsidRDefault="00B70E2C" w:rsidP="00B70E2C">
      <w:pPr>
        <w:tabs>
          <w:tab w:val="left" w:pos="4962"/>
        </w:tabs>
        <w:spacing w:after="0" w:line="360" w:lineRule="auto"/>
        <w:contextualSpacing/>
        <w:rPr>
          <w:rFonts w:eastAsia="Calibri" w:cs="Tahoma"/>
          <w:color w:val="000000"/>
        </w:rPr>
      </w:pPr>
      <w:r w:rsidRPr="00B70E2C">
        <w:rPr>
          <w:rFonts w:eastAsia="Times New Roman" w:cs="Tahoma"/>
          <w:color w:val="auto"/>
          <w:lang w:val="es-ES" w:eastAsia="es-ES"/>
        </w:rPr>
        <w:t>Con base en lo anterior, y a efecto de verificar si el presente Recurso de Revisión actualiza alguna causal de procedencia del artículo 179 de la Ley de la Materia citado en párrafos que anteceden,</w:t>
      </w:r>
      <w:r>
        <w:rPr>
          <w:rFonts w:eastAsia="Times New Roman" w:cs="Tahoma"/>
          <w:color w:val="auto"/>
          <w:lang w:val="es-ES" w:eastAsia="es-ES"/>
        </w:rPr>
        <w:t xml:space="preserve"> para lo cual</w:t>
      </w:r>
      <w:r w:rsidRPr="00B70E2C">
        <w:rPr>
          <w:rFonts w:eastAsia="Times New Roman" w:cs="Tahoma"/>
          <w:color w:val="auto"/>
          <w:lang w:val="es-ES" w:eastAsia="es-ES"/>
        </w:rPr>
        <w:t xml:space="preserve"> </w:t>
      </w:r>
      <w:r w:rsidRPr="00B70E2C">
        <w:rPr>
          <w:rFonts w:eastAsia="Times New Roman" w:cs="Times New Roman"/>
          <w:color w:val="auto"/>
          <w:lang w:val="es-ES" w:eastAsia="es-ES"/>
        </w:rPr>
        <w:t xml:space="preserve">es necesario </w:t>
      </w:r>
      <w:r w:rsidRPr="00B70E2C">
        <w:rPr>
          <w:rFonts w:eastAsia="Calibri" w:cs="Tahoma"/>
          <w:color w:val="auto"/>
          <w:lang w:eastAsia="es-ES"/>
        </w:rPr>
        <w:t xml:space="preserve">precisar que el Particular </w:t>
      </w:r>
      <w:r w:rsidRPr="00B70E2C">
        <w:rPr>
          <w:rFonts w:eastAsia="Calibri" w:cs="Tahoma"/>
          <w:color w:val="000000"/>
          <w:lang w:val="es-ES"/>
        </w:rPr>
        <w:t>requirió</w:t>
      </w:r>
      <w:r>
        <w:rPr>
          <w:rFonts w:eastAsia="Calibri" w:cs="Tahoma"/>
          <w:color w:val="000000"/>
          <w:lang w:val="es-ES"/>
        </w:rPr>
        <w:t xml:space="preserve"> el </w:t>
      </w:r>
      <w:r>
        <w:rPr>
          <w:rFonts w:eastAsia="Calibri" w:cs="Tahoma"/>
          <w:i/>
          <w:iCs/>
          <w:color w:val="000000"/>
          <w:lang w:val="es-ES"/>
        </w:rPr>
        <w:t xml:space="preserve">currículum vitae </w:t>
      </w:r>
      <w:r>
        <w:rPr>
          <w:rFonts w:eastAsia="Calibri" w:cs="Tahoma"/>
          <w:color w:val="000000"/>
          <w:lang w:val="es-ES"/>
        </w:rPr>
        <w:t>de una servidora pública.</w:t>
      </w:r>
    </w:p>
    <w:p w14:paraId="27E752AC" w14:textId="77777777" w:rsidR="00B70E2C" w:rsidRPr="00B70E2C" w:rsidRDefault="00B70E2C" w:rsidP="00B70E2C">
      <w:pPr>
        <w:tabs>
          <w:tab w:val="left" w:pos="4962"/>
        </w:tabs>
        <w:spacing w:after="0" w:line="360" w:lineRule="auto"/>
        <w:contextualSpacing/>
        <w:rPr>
          <w:rFonts w:eastAsia="Calibri" w:cs="Tahoma"/>
          <w:color w:val="000000"/>
          <w:sz w:val="20"/>
        </w:rPr>
      </w:pPr>
    </w:p>
    <w:p w14:paraId="4411FAD8" w14:textId="1D1D4C05" w:rsidR="00B70E2C" w:rsidRPr="00B70E2C" w:rsidRDefault="00B70E2C" w:rsidP="00B70E2C">
      <w:pPr>
        <w:tabs>
          <w:tab w:val="left" w:pos="4962"/>
        </w:tabs>
        <w:spacing w:after="0" w:line="360" w:lineRule="auto"/>
        <w:rPr>
          <w:rFonts w:eastAsia="Times New Roman" w:cs="Tahoma"/>
          <w:color w:val="auto"/>
          <w:lang w:val="es-ES" w:eastAsia="es-ES"/>
        </w:rPr>
      </w:pPr>
      <w:r w:rsidRPr="00B70E2C">
        <w:rPr>
          <w:rFonts w:eastAsia="Times New Roman" w:cs="Tahoma"/>
          <w:iCs/>
          <w:color w:val="auto"/>
          <w:lang w:eastAsia="es-ES"/>
        </w:rPr>
        <w:t>Ahora bien</w:t>
      </w:r>
      <w:r w:rsidRPr="00B70E2C">
        <w:rPr>
          <w:rFonts w:eastAsia="Times New Roman" w:cs="Tahoma"/>
          <w:color w:val="auto"/>
          <w:lang w:val="es-ES" w:eastAsia="es-ES"/>
        </w:rPr>
        <w:t xml:space="preserve">, de las constancias que obran en el expediente electrónico del Sistema de </w:t>
      </w:r>
      <w:r w:rsidRPr="00B70E2C">
        <w:rPr>
          <w:rFonts w:eastAsia="Calibri" w:cs="Times New Roman"/>
          <w:bCs/>
          <w:color w:val="auto"/>
          <w:lang w:val="es-ES" w:eastAsia="es-ES"/>
        </w:rPr>
        <w:t>Acceso a la Información Mexiquense (SAIMEX),</w:t>
      </w:r>
      <w:r w:rsidRPr="00B70E2C">
        <w:rPr>
          <w:rFonts w:eastAsia="Times New Roman" w:cs="Tahoma"/>
          <w:color w:val="auto"/>
          <w:lang w:val="es-ES" w:eastAsia="es-ES"/>
        </w:rPr>
        <w:t xml:space="preserve"> el Particular se agravió </w:t>
      </w:r>
      <w:r>
        <w:rPr>
          <w:rFonts w:eastAsia="Times New Roman" w:cs="Tahoma"/>
          <w:color w:val="auto"/>
          <w:lang w:val="es-ES" w:eastAsia="es-ES"/>
        </w:rPr>
        <w:t xml:space="preserve">de la falta de respuesta a la </w:t>
      </w:r>
      <w:r>
        <w:rPr>
          <w:rFonts w:eastAsia="Times New Roman" w:cs="Tahoma"/>
          <w:color w:val="auto"/>
          <w:lang w:val="es-ES" w:eastAsia="es-ES"/>
        </w:rPr>
        <w:lastRenderedPageBreak/>
        <w:t>solicitud de información, al señalar “</w:t>
      </w:r>
      <w:r w:rsidRPr="004829F6">
        <w:rPr>
          <w:i/>
          <w:iCs/>
          <w:color w:val="000000"/>
          <w:sz w:val="20"/>
          <w:szCs w:val="20"/>
        </w:rPr>
        <w:t>no contestaron</w:t>
      </w:r>
      <w:r>
        <w:rPr>
          <w:rFonts w:eastAsia="Times New Roman" w:cs="Tahoma"/>
          <w:color w:val="auto"/>
          <w:lang w:val="es-ES" w:eastAsia="es-ES"/>
        </w:rPr>
        <w:t>”, situación que se relaciona con la causal de procedencia establecida en el artículo 179, fracción VII, de la Ley de la materia.</w:t>
      </w:r>
    </w:p>
    <w:p w14:paraId="00D1042B" w14:textId="77777777" w:rsidR="00B70E2C" w:rsidRPr="00B70E2C" w:rsidRDefault="00B70E2C" w:rsidP="00B70E2C">
      <w:pPr>
        <w:tabs>
          <w:tab w:val="left" w:pos="4962"/>
        </w:tabs>
        <w:spacing w:after="0" w:line="360" w:lineRule="auto"/>
        <w:rPr>
          <w:rFonts w:eastAsia="Times New Roman" w:cs="Tahoma"/>
          <w:color w:val="auto"/>
          <w:lang w:val="es-ES" w:eastAsia="es-ES"/>
        </w:rPr>
      </w:pPr>
    </w:p>
    <w:p w14:paraId="1EE1A527" w14:textId="54E80594" w:rsidR="00B70E2C" w:rsidRDefault="00B70E2C" w:rsidP="00B70E2C">
      <w:pPr>
        <w:tabs>
          <w:tab w:val="left" w:pos="4962"/>
        </w:tabs>
        <w:spacing w:after="0" w:line="360" w:lineRule="auto"/>
        <w:rPr>
          <w:rFonts w:eastAsia="Times New Roman" w:cs="Tahoma"/>
          <w:iCs/>
          <w:color w:val="auto"/>
          <w:lang w:eastAsia="es-ES"/>
        </w:rPr>
      </w:pPr>
      <w:r w:rsidRPr="00B70E2C">
        <w:rPr>
          <w:rFonts w:eastAsia="Times New Roman" w:cs="Tahoma"/>
          <w:iCs/>
          <w:color w:val="auto"/>
          <w:lang w:eastAsia="es-ES"/>
        </w:rPr>
        <w:t xml:space="preserve">Así, este Instituto verificó </w:t>
      </w:r>
      <w:r>
        <w:rPr>
          <w:rFonts w:eastAsia="Times New Roman" w:cs="Tahoma"/>
          <w:iCs/>
          <w:color w:val="auto"/>
          <w:lang w:eastAsia="es-ES"/>
        </w:rPr>
        <w:t xml:space="preserve">dicho Sistema y logró vislumbrar que el Sujeto Obligado, contrario a lo señalado, si emitió respuesta </w:t>
      </w:r>
      <w:r w:rsidR="007D49C6">
        <w:rPr>
          <w:rFonts w:eastAsia="Times New Roman" w:cs="Tahoma"/>
          <w:iCs/>
          <w:color w:val="auto"/>
          <w:lang w:eastAsia="es-ES"/>
        </w:rPr>
        <w:t>el diez de febrero de dos mil veinticinco, tal como se muestra a continuación:</w:t>
      </w:r>
    </w:p>
    <w:p w14:paraId="37F50CDE" w14:textId="77777777" w:rsidR="00B70E2C" w:rsidRPr="00B70E2C" w:rsidRDefault="00B70E2C" w:rsidP="00B70E2C">
      <w:pPr>
        <w:spacing w:after="0" w:line="360" w:lineRule="auto"/>
        <w:rPr>
          <w:rFonts w:eastAsia="Times New Roman" w:cs="Tahoma"/>
          <w:iCs/>
          <w:noProof/>
          <w:color w:val="auto"/>
        </w:rPr>
      </w:pPr>
    </w:p>
    <w:p w14:paraId="4EFB8221" w14:textId="5CE6E71A" w:rsidR="00B70E2C" w:rsidRPr="00B70E2C" w:rsidRDefault="007D49C6" w:rsidP="00B70E2C">
      <w:pPr>
        <w:spacing w:after="0" w:line="360" w:lineRule="auto"/>
        <w:jc w:val="center"/>
        <w:rPr>
          <w:rFonts w:eastAsia="Times New Roman" w:cs="Tahoma"/>
          <w:iCs/>
          <w:color w:val="auto"/>
          <w:lang w:eastAsia="es-ES"/>
        </w:rPr>
      </w:pPr>
      <w:r w:rsidRPr="007D49C6">
        <w:rPr>
          <w:rFonts w:eastAsia="Times New Roman" w:cs="Tahoma"/>
          <w:iCs/>
          <w:noProof/>
          <w:color w:val="auto"/>
        </w:rPr>
        <w:drawing>
          <wp:inline distT="0" distB="0" distL="0" distR="0" wp14:anchorId="213CA843" wp14:editId="3F2E59B6">
            <wp:extent cx="2208493" cy="1228725"/>
            <wp:effectExtent l="0" t="0" r="1905" b="0"/>
            <wp:docPr id="281873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73627" name=""/>
                    <pic:cNvPicPr/>
                  </pic:nvPicPr>
                  <pic:blipFill rotWithShape="1">
                    <a:blip r:embed="rId9"/>
                    <a:srcRect b="40698"/>
                    <a:stretch/>
                  </pic:blipFill>
                  <pic:spPr bwMode="auto">
                    <a:xfrm>
                      <a:off x="0" y="0"/>
                      <a:ext cx="2215250" cy="1232484"/>
                    </a:xfrm>
                    <a:prstGeom prst="rect">
                      <a:avLst/>
                    </a:prstGeom>
                    <a:ln>
                      <a:noFill/>
                    </a:ln>
                    <a:extLst>
                      <a:ext uri="{53640926-AAD7-44D8-BBD7-CCE9431645EC}">
                        <a14:shadowObscured xmlns:a14="http://schemas.microsoft.com/office/drawing/2010/main"/>
                      </a:ext>
                    </a:extLst>
                  </pic:spPr>
                </pic:pic>
              </a:graphicData>
            </a:graphic>
          </wp:inline>
        </w:drawing>
      </w:r>
    </w:p>
    <w:p w14:paraId="7EDA012E" w14:textId="701CD90A" w:rsidR="007D49C6" w:rsidRDefault="007D49C6" w:rsidP="007D49C6">
      <w:pPr>
        <w:spacing w:after="0" w:line="360" w:lineRule="auto"/>
        <w:jc w:val="center"/>
        <w:rPr>
          <w:rFonts w:eastAsia="Times New Roman" w:cs="Tahoma"/>
          <w:iCs/>
          <w:color w:val="auto"/>
          <w:lang w:eastAsia="es-ES"/>
        </w:rPr>
      </w:pPr>
      <w:r w:rsidRPr="007D49C6">
        <w:rPr>
          <w:rFonts w:eastAsia="Times New Roman" w:cs="Tahoma"/>
          <w:iCs/>
          <w:noProof/>
          <w:color w:val="auto"/>
        </w:rPr>
        <w:drawing>
          <wp:inline distT="0" distB="0" distL="0" distR="0" wp14:anchorId="1044F460" wp14:editId="68B6D33C">
            <wp:extent cx="3790950" cy="2590546"/>
            <wp:effectExtent l="0" t="0" r="0" b="635"/>
            <wp:docPr id="201232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2943" name=""/>
                    <pic:cNvPicPr/>
                  </pic:nvPicPr>
                  <pic:blipFill>
                    <a:blip r:embed="rId10"/>
                    <a:stretch>
                      <a:fillRect/>
                    </a:stretch>
                  </pic:blipFill>
                  <pic:spPr>
                    <a:xfrm>
                      <a:off x="0" y="0"/>
                      <a:ext cx="3791508" cy="2590927"/>
                    </a:xfrm>
                    <a:prstGeom prst="rect">
                      <a:avLst/>
                    </a:prstGeom>
                  </pic:spPr>
                </pic:pic>
              </a:graphicData>
            </a:graphic>
          </wp:inline>
        </w:drawing>
      </w:r>
    </w:p>
    <w:p w14:paraId="0AC1F150" w14:textId="77777777" w:rsidR="007D49C6" w:rsidRPr="00B70E2C" w:rsidRDefault="007D49C6" w:rsidP="00B70E2C">
      <w:pPr>
        <w:spacing w:after="0" w:line="360" w:lineRule="auto"/>
        <w:jc w:val="center"/>
        <w:rPr>
          <w:rFonts w:eastAsia="Times New Roman" w:cs="Tahoma"/>
          <w:iCs/>
          <w:color w:val="auto"/>
          <w:lang w:eastAsia="es-ES"/>
        </w:rPr>
      </w:pPr>
    </w:p>
    <w:p w14:paraId="7803791F" w14:textId="1A87FAEC" w:rsidR="007D49C6" w:rsidRDefault="007D49C6" w:rsidP="00B70E2C">
      <w:pPr>
        <w:spacing w:after="0" w:line="360" w:lineRule="auto"/>
        <w:rPr>
          <w:rFonts w:eastAsia="Times New Roman" w:cs="Tahoma"/>
          <w:iCs/>
          <w:color w:val="auto"/>
          <w:lang w:eastAsia="es-ES"/>
        </w:rPr>
      </w:pPr>
      <w:r>
        <w:rPr>
          <w:rFonts w:eastAsia="Times New Roman" w:cs="Tahoma"/>
          <w:iCs/>
          <w:color w:val="auto"/>
          <w:lang w:eastAsia="es-ES"/>
        </w:rPr>
        <w:t xml:space="preserve">Además, que el documento anexo a la contestación, contiene la Síntesis Curricular de la servidora pública solicitada, es decir, proporcionó el documento que daba cuenta de la Información Curricular, por lo que, se considera que el Ente Recurrido dio una contestación </w:t>
      </w:r>
      <w:r>
        <w:rPr>
          <w:rFonts w:eastAsia="Times New Roman" w:cs="Tahoma"/>
          <w:iCs/>
          <w:color w:val="auto"/>
          <w:lang w:eastAsia="es-ES"/>
        </w:rPr>
        <w:lastRenderedPageBreak/>
        <w:t>categórica, específica y que contiene información relacionada con lo peticionado, tal como se muestra a continuación:</w:t>
      </w:r>
    </w:p>
    <w:p w14:paraId="60CA4DB9" w14:textId="77777777" w:rsidR="007D49C6" w:rsidRDefault="007D49C6" w:rsidP="00B70E2C">
      <w:pPr>
        <w:spacing w:after="0" w:line="360" w:lineRule="auto"/>
        <w:rPr>
          <w:rFonts w:eastAsia="Times New Roman" w:cs="Tahoma"/>
          <w:iCs/>
          <w:color w:val="auto"/>
          <w:lang w:eastAsia="es-ES"/>
        </w:rPr>
      </w:pPr>
    </w:p>
    <w:p w14:paraId="4B3C3ACF" w14:textId="61209926" w:rsidR="007D49C6" w:rsidRDefault="007D49C6" w:rsidP="00B70E2C">
      <w:pPr>
        <w:spacing w:after="0" w:line="360" w:lineRule="auto"/>
        <w:rPr>
          <w:rFonts w:eastAsia="Times New Roman" w:cs="Tahoma"/>
          <w:iCs/>
          <w:color w:val="auto"/>
          <w:lang w:eastAsia="es-ES"/>
        </w:rPr>
      </w:pPr>
      <w:r w:rsidRPr="007D49C6">
        <w:rPr>
          <w:rFonts w:eastAsia="Times New Roman" w:cs="Tahoma"/>
          <w:iCs/>
          <w:noProof/>
          <w:color w:val="auto"/>
        </w:rPr>
        <w:drawing>
          <wp:inline distT="0" distB="0" distL="0" distR="0" wp14:anchorId="3AA03360" wp14:editId="4263AAA7">
            <wp:extent cx="5671185" cy="1740535"/>
            <wp:effectExtent l="0" t="0" r="5715" b="0"/>
            <wp:docPr id="1662500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00679" name=""/>
                    <pic:cNvPicPr/>
                  </pic:nvPicPr>
                  <pic:blipFill>
                    <a:blip r:embed="rId11"/>
                    <a:stretch>
                      <a:fillRect/>
                    </a:stretch>
                  </pic:blipFill>
                  <pic:spPr>
                    <a:xfrm>
                      <a:off x="0" y="0"/>
                      <a:ext cx="5671185" cy="1740535"/>
                    </a:xfrm>
                    <a:prstGeom prst="rect">
                      <a:avLst/>
                    </a:prstGeom>
                  </pic:spPr>
                </pic:pic>
              </a:graphicData>
            </a:graphic>
          </wp:inline>
        </w:drawing>
      </w:r>
    </w:p>
    <w:p w14:paraId="4E3FECFC" w14:textId="77777777" w:rsidR="007D49C6" w:rsidRDefault="007D49C6" w:rsidP="00B70E2C">
      <w:pPr>
        <w:spacing w:after="0" w:line="360" w:lineRule="auto"/>
        <w:rPr>
          <w:rFonts w:eastAsia="Times New Roman" w:cs="Tahoma"/>
          <w:iCs/>
          <w:color w:val="auto"/>
          <w:lang w:eastAsia="es-ES"/>
        </w:rPr>
      </w:pPr>
    </w:p>
    <w:p w14:paraId="470732DE" w14:textId="1823ED5C" w:rsidR="00B70E2C" w:rsidRPr="00B70E2C" w:rsidRDefault="00B70E2C" w:rsidP="00B70E2C">
      <w:pPr>
        <w:spacing w:after="0" w:line="360" w:lineRule="auto"/>
        <w:rPr>
          <w:rFonts w:eastAsia="Times New Roman" w:cs="Tahoma"/>
          <w:bCs/>
          <w:color w:val="auto"/>
          <w:lang w:val="es-ES" w:eastAsia="es-ES"/>
        </w:rPr>
      </w:pPr>
      <w:r w:rsidRPr="00B70E2C">
        <w:rPr>
          <w:rFonts w:eastAsia="Times New Roman" w:cs="Tahoma"/>
          <w:iCs/>
          <w:color w:val="auto"/>
          <w:lang w:eastAsia="es-ES"/>
        </w:rPr>
        <w:t xml:space="preserve">En ese orden de ideas, si bien </w:t>
      </w:r>
      <w:r w:rsidRPr="00B70E2C">
        <w:rPr>
          <w:rFonts w:eastAsia="Times New Roman" w:cs="Tahoma"/>
          <w:bCs/>
          <w:color w:val="auto"/>
          <w:lang w:val="es-ES" w:eastAsia="es-ES"/>
        </w:rPr>
        <w:t xml:space="preserve">el Particular se inconformó de que no le </w:t>
      </w:r>
      <w:r w:rsidR="007D49C6">
        <w:rPr>
          <w:rFonts w:eastAsia="Times New Roman" w:cs="Tahoma"/>
          <w:bCs/>
          <w:color w:val="auto"/>
          <w:lang w:val="es-ES" w:eastAsia="es-ES"/>
        </w:rPr>
        <w:t>respuesta</w:t>
      </w:r>
      <w:r w:rsidRPr="00B70E2C">
        <w:rPr>
          <w:rFonts w:eastAsia="Times New Roman" w:cs="Tahoma"/>
          <w:bCs/>
          <w:color w:val="auto"/>
          <w:lang w:val="es-ES" w:eastAsia="es-ES"/>
        </w:rPr>
        <w:t>,</w:t>
      </w:r>
      <w:r w:rsidR="007D49C6">
        <w:rPr>
          <w:rFonts w:eastAsia="Times New Roman" w:cs="Tahoma"/>
          <w:bCs/>
          <w:color w:val="auto"/>
          <w:lang w:val="es-ES" w:eastAsia="es-ES"/>
        </w:rPr>
        <w:t xml:space="preserve"> lo cierto es que</w:t>
      </w:r>
      <w:r w:rsidRPr="00B70E2C">
        <w:rPr>
          <w:rFonts w:eastAsia="Times New Roman" w:cs="Tahoma"/>
          <w:bCs/>
          <w:color w:val="auto"/>
          <w:lang w:val="es-ES" w:eastAsia="es-ES"/>
        </w:rPr>
        <w:t xml:space="preserve"> el </w:t>
      </w:r>
      <w:r w:rsidR="007D49C6">
        <w:rPr>
          <w:rFonts w:eastAsia="Times New Roman" w:cs="Tahoma"/>
          <w:bCs/>
          <w:color w:val="auto"/>
          <w:lang w:val="es-ES" w:eastAsia="es-ES"/>
        </w:rPr>
        <w:t>Ayuntamiento si entregó un documento que obraba en sus archivos</w:t>
      </w:r>
      <w:r w:rsidRPr="00B70E2C">
        <w:rPr>
          <w:rFonts w:eastAsia="Times New Roman" w:cs="Tahoma"/>
          <w:bCs/>
          <w:color w:val="auto"/>
          <w:lang w:val="es-ES" w:eastAsia="es-ES"/>
        </w:rPr>
        <w:t xml:space="preserve">, es decir, </w:t>
      </w:r>
      <w:r w:rsidR="007D49C6">
        <w:rPr>
          <w:rFonts w:eastAsia="Times New Roman" w:cs="Tahoma"/>
          <w:bCs/>
          <w:color w:val="auto"/>
          <w:lang w:val="es-ES" w:eastAsia="es-ES"/>
        </w:rPr>
        <w:t>si existe contestación al requerimiento informativo</w:t>
      </w:r>
      <w:r w:rsidRPr="00B70E2C">
        <w:rPr>
          <w:rFonts w:eastAsia="Times New Roman" w:cs="Tahoma"/>
          <w:bCs/>
          <w:color w:val="auto"/>
          <w:lang w:val="es-ES" w:eastAsia="es-ES"/>
        </w:rPr>
        <w:t>; por lo que, este Instituto considera que el Medio de Impugnación no actualiza la causal de procedencia establecida en el artículo 179, fracción V</w:t>
      </w:r>
      <w:r w:rsidR="007D49C6">
        <w:rPr>
          <w:rFonts w:eastAsia="Times New Roman" w:cs="Tahoma"/>
          <w:bCs/>
          <w:color w:val="auto"/>
          <w:lang w:val="es-ES" w:eastAsia="es-ES"/>
        </w:rPr>
        <w:t>II</w:t>
      </w:r>
      <w:r w:rsidRPr="00B70E2C">
        <w:rPr>
          <w:rFonts w:eastAsia="Times New Roman" w:cs="Tahoma"/>
          <w:bCs/>
          <w:color w:val="auto"/>
          <w:lang w:val="es-ES" w:eastAsia="es-ES"/>
        </w:rPr>
        <w:t>, de la Ley de Transparencia</w:t>
      </w:r>
      <w:r w:rsidR="007D49C6">
        <w:rPr>
          <w:rFonts w:eastAsia="Times New Roman" w:cs="Tahoma"/>
          <w:bCs/>
          <w:color w:val="auto"/>
          <w:lang w:val="es-ES" w:eastAsia="es-ES"/>
        </w:rPr>
        <w:t xml:space="preserve"> y Acceso a la Información Pública del Estado de México y Municipios.</w:t>
      </w:r>
    </w:p>
    <w:p w14:paraId="7A373CB8" w14:textId="77777777" w:rsidR="00B70E2C" w:rsidRPr="00B70E2C" w:rsidRDefault="00B70E2C" w:rsidP="00B70E2C">
      <w:pPr>
        <w:spacing w:after="0" w:line="360" w:lineRule="auto"/>
        <w:rPr>
          <w:rFonts w:eastAsia="Times New Roman" w:cs="Tahoma"/>
          <w:bCs/>
          <w:color w:val="auto"/>
          <w:lang w:val="es-ES" w:eastAsia="es-ES"/>
        </w:rPr>
      </w:pPr>
    </w:p>
    <w:p w14:paraId="34216963" w14:textId="77777777" w:rsidR="00B70E2C" w:rsidRPr="00B70E2C" w:rsidRDefault="00B70E2C" w:rsidP="00B70E2C">
      <w:pPr>
        <w:tabs>
          <w:tab w:val="left" w:pos="4962"/>
        </w:tabs>
        <w:spacing w:after="0" w:line="360" w:lineRule="auto"/>
        <w:rPr>
          <w:rFonts w:eastAsia="Times New Roman" w:cs="Tahoma"/>
          <w:color w:val="auto"/>
          <w:lang w:val="es-ES" w:eastAsia="es-ES"/>
        </w:rPr>
      </w:pPr>
      <w:r w:rsidRPr="00B70E2C">
        <w:rPr>
          <w:rFonts w:eastAsia="Times New Roman" w:cs="Tahoma"/>
          <w:color w:val="auto"/>
          <w:lang w:val="es-ES" w:eastAsia="es-ES"/>
        </w:rPr>
        <w:t xml:space="preserve">Por lo expuesto, se logra vislumbrar que, la inconformidad referida por el Particular, no actualizan ninguna causal de procedencia, pues como se refirió, la inconformidad del Particular radica en un hecho inexistente </w:t>
      </w:r>
      <w:r w:rsidRPr="00B70E2C">
        <w:rPr>
          <w:rFonts w:eastAsia="Times New Roman" w:cs="Tahoma"/>
          <w:bCs/>
          <w:color w:val="000000"/>
          <w:lang w:val="es-ES" w:eastAsia="es-ES"/>
        </w:rPr>
        <w:t>y, por lo tanto, se materializa la</w:t>
      </w:r>
      <w:r w:rsidRPr="00B70E2C">
        <w:rPr>
          <w:rFonts w:eastAsia="Times New Roman" w:cs="Tahoma"/>
          <w:color w:val="auto"/>
          <w:lang w:eastAsia="es-ES"/>
        </w:rPr>
        <w:t xml:space="preserve"> causal de </w:t>
      </w:r>
      <w:proofErr w:type="spellStart"/>
      <w:r w:rsidRPr="00B70E2C">
        <w:rPr>
          <w:rFonts w:eastAsia="Times New Roman" w:cs="Tahoma"/>
          <w:color w:val="auto"/>
          <w:lang w:eastAsia="es-ES"/>
        </w:rPr>
        <w:t>desechamiento</w:t>
      </w:r>
      <w:proofErr w:type="spellEnd"/>
      <w:r w:rsidRPr="00B70E2C">
        <w:rPr>
          <w:rFonts w:eastAsia="Times New Roman" w:cs="Tahoma"/>
          <w:color w:val="auto"/>
          <w:lang w:eastAsia="es-ES"/>
        </w:rPr>
        <w:t xml:space="preserve"> establecida en el artículo 191, fracción III, de la Ley de la materia; sin embargo, toda vez que fue necesario admitir el Medio de Impugnación, para verificar dicha circunstancia</w:t>
      </w:r>
      <w:r w:rsidRPr="00B70E2C">
        <w:rPr>
          <w:rFonts w:eastAsia="Times New Roman" w:cs="Tahoma"/>
          <w:color w:val="auto"/>
          <w:lang w:val="es-ES" w:eastAsia="es-ES"/>
        </w:rPr>
        <w:t xml:space="preserve">, lo procedente es </w:t>
      </w:r>
      <w:r w:rsidRPr="00B70E2C">
        <w:rPr>
          <w:rFonts w:eastAsia="Times New Roman" w:cs="Tahoma"/>
          <w:b/>
          <w:color w:val="auto"/>
          <w:lang w:val="es-ES" w:eastAsia="es-ES"/>
        </w:rPr>
        <w:t>SOBRESEER</w:t>
      </w:r>
      <w:r w:rsidRPr="00B70E2C">
        <w:rPr>
          <w:rFonts w:eastAsia="Times New Roman" w:cs="Tahoma"/>
          <w:color w:val="auto"/>
          <w:lang w:val="es-ES" w:eastAsia="es-ES"/>
        </w:rPr>
        <w:t xml:space="preserve"> el mismo. </w:t>
      </w:r>
    </w:p>
    <w:p w14:paraId="5D44DD35" w14:textId="77777777" w:rsidR="00B70E2C" w:rsidRPr="00B70E2C" w:rsidRDefault="00B70E2C" w:rsidP="00C64DEA">
      <w:pPr>
        <w:spacing w:after="0" w:line="360" w:lineRule="auto"/>
        <w:contextualSpacing/>
        <w:rPr>
          <w:rFonts w:eastAsia="Calibri" w:cs="Tahoma"/>
          <w:b/>
          <w:lang w:val="es-ES" w:eastAsia="en-US"/>
        </w:rPr>
      </w:pPr>
    </w:p>
    <w:p w14:paraId="0EDDA468" w14:textId="77777777" w:rsidR="007D49C6" w:rsidRPr="007D49C6" w:rsidRDefault="007D49C6" w:rsidP="007D49C6">
      <w:pPr>
        <w:keepNext/>
        <w:keepLines/>
        <w:spacing w:after="0" w:line="360" w:lineRule="auto"/>
        <w:outlineLvl w:val="1"/>
        <w:rPr>
          <w:rFonts w:eastAsiaTheme="majorEastAsia" w:cstheme="majorBidi"/>
          <w:b/>
          <w:szCs w:val="26"/>
        </w:rPr>
      </w:pPr>
      <w:bookmarkStart w:id="5" w:name="_Toc192767982"/>
      <w:bookmarkStart w:id="6" w:name="_Toc193386143"/>
      <w:r w:rsidRPr="007D49C6">
        <w:rPr>
          <w:rFonts w:eastAsiaTheme="majorEastAsia" w:cstheme="majorBidi"/>
          <w:b/>
          <w:szCs w:val="26"/>
        </w:rPr>
        <w:lastRenderedPageBreak/>
        <w:t>CUARTO. Decisión</w:t>
      </w:r>
      <w:bookmarkEnd w:id="5"/>
      <w:bookmarkEnd w:id="6"/>
    </w:p>
    <w:p w14:paraId="67F8D3F7" w14:textId="77777777" w:rsidR="007D49C6" w:rsidRPr="007D49C6" w:rsidRDefault="007D49C6" w:rsidP="007D49C6">
      <w:pPr>
        <w:spacing w:after="0" w:line="360" w:lineRule="auto"/>
        <w:rPr>
          <w:b/>
          <w:color w:val="auto"/>
        </w:rPr>
      </w:pPr>
    </w:p>
    <w:p w14:paraId="4FE88EAF" w14:textId="77777777" w:rsidR="007D49C6" w:rsidRPr="007D49C6" w:rsidRDefault="007D49C6" w:rsidP="007D49C6">
      <w:pPr>
        <w:spacing w:after="0" w:line="360" w:lineRule="auto"/>
        <w:rPr>
          <w:rFonts w:eastAsia="Times New Roman" w:cs="Tahoma"/>
          <w:color w:val="auto"/>
          <w:lang w:val="es-ES" w:eastAsia="es-ES"/>
        </w:rPr>
      </w:pPr>
      <w:r w:rsidRPr="007D49C6">
        <w:rPr>
          <w:rFonts w:eastAsia="Times New Roman" w:cs="Tahoma"/>
          <w:color w:val="auto"/>
          <w:lang w:val="es-ES" w:eastAsia="es-ES"/>
        </w:rPr>
        <w:t xml:space="preserve">Con fundamento en lo dispuesto en el artículo 186, fracción I de la Ley de Transparencia y Acceso a la Información Pública del Estado de México y Municipios, se considera procedente </w:t>
      </w:r>
      <w:r w:rsidRPr="007D49C6">
        <w:rPr>
          <w:rFonts w:eastAsia="Times New Roman" w:cs="Tahoma"/>
          <w:b/>
          <w:color w:val="auto"/>
          <w:lang w:val="es-ES" w:eastAsia="es-ES"/>
        </w:rPr>
        <w:t xml:space="preserve">SOBRESEER </w:t>
      </w:r>
      <w:r w:rsidRPr="007D49C6">
        <w:rPr>
          <w:rFonts w:eastAsia="Times New Roman" w:cs="Tahoma"/>
          <w:color w:val="auto"/>
          <w:lang w:val="es-ES" w:eastAsia="es-ES"/>
        </w:rPr>
        <w:t>el Recurso de Revisión, en virtud de que se actualiza la hipótesis normativa prevista en la fracción IV, del diverso 192, en relación, con el 191, fracción III, ambos del citado ordenamiento legal.</w:t>
      </w:r>
    </w:p>
    <w:p w14:paraId="27B6B541" w14:textId="77777777" w:rsidR="007D49C6" w:rsidRPr="007D49C6" w:rsidRDefault="007D49C6" w:rsidP="007D49C6">
      <w:pPr>
        <w:spacing w:after="0" w:line="360" w:lineRule="auto"/>
        <w:ind w:right="-93"/>
        <w:rPr>
          <w:color w:val="auto"/>
        </w:rPr>
      </w:pPr>
    </w:p>
    <w:p w14:paraId="275444BF" w14:textId="77777777" w:rsidR="007D49C6" w:rsidRPr="007D49C6" w:rsidRDefault="007D49C6" w:rsidP="007D49C6">
      <w:pPr>
        <w:spacing w:after="0" w:line="360" w:lineRule="auto"/>
        <w:rPr>
          <w:b/>
          <w:color w:val="auto"/>
        </w:rPr>
      </w:pPr>
      <w:r w:rsidRPr="007D49C6">
        <w:rPr>
          <w:b/>
          <w:color w:val="auto"/>
        </w:rPr>
        <w:t xml:space="preserve">Términos de la Resolución para conocimiento del Particular. </w:t>
      </w:r>
    </w:p>
    <w:p w14:paraId="66DE2DD3" w14:textId="77777777" w:rsidR="007D49C6" w:rsidRPr="007D49C6" w:rsidRDefault="007D49C6" w:rsidP="007D49C6">
      <w:pPr>
        <w:spacing w:after="0" w:line="360" w:lineRule="auto"/>
        <w:rPr>
          <w:b/>
          <w:color w:val="auto"/>
        </w:rPr>
      </w:pPr>
    </w:p>
    <w:p w14:paraId="7490DAB4" w14:textId="2EDA6FBE" w:rsidR="007D49C6" w:rsidRPr="007D49C6" w:rsidRDefault="007D49C6" w:rsidP="007D49C6">
      <w:pPr>
        <w:spacing w:after="0" w:line="360" w:lineRule="auto"/>
        <w:rPr>
          <w:rFonts w:eastAsia="Times New Roman" w:cs="Tahoma"/>
          <w:bCs/>
          <w:color w:val="auto"/>
          <w:lang w:eastAsia="es-ES"/>
        </w:rPr>
      </w:pPr>
      <w:r w:rsidRPr="007D49C6">
        <w:rPr>
          <w:rFonts w:eastAsia="Times New Roman" w:cs="Tahoma"/>
          <w:bCs/>
          <w:color w:val="auto"/>
          <w:lang w:eastAsia="es-ES"/>
        </w:rPr>
        <w:t xml:space="preserve">Se le hace del conocimiento al Particular, que su Recurso no actualiza ninguna de las causales de procedencia establecidas en la Ley de la materia, pues se inconformó </w:t>
      </w:r>
      <w:r>
        <w:rPr>
          <w:rFonts w:eastAsia="Times New Roman" w:cs="Tahoma"/>
          <w:bCs/>
          <w:color w:val="auto"/>
          <w:lang w:eastAsia="es-ES"/>
        </w:rPr>
        <w:t>de la falta de respuesta, cuando el Sujeto Obligado si dio contestación, por lo que, el Recurso es improcedente.</w:t>
      </w:r>
    </w:p>
    <w:p w14:paraId="74233089" w14:textId="77777777" w:rsidR="007D49C6" w:rsidRPr="007D49C6" w:rsidRDefault="007D49C6" w:rsidP="007D49C6">
      <w:pPr>
        <w:spacing w:after="0" w:line="360" w:lineRule="auto"/>
        <w:rPr>
          <w:color w:val="auto"/>
        </w:rPr>
      </w:pPr>
    </w:p>
    <w:p w14:paraId="0509EF6F" w14:textId="77777777" w:rsidR="007D49C6" w:rsidRPr="007D49C6" w:rsidRDefault="007D49C6" w:rsidP="007D49C6">
      <w:pPr>
        <w:spacing w:after="0" w:line="360" w:lineRule="auto"/>
        <w:rPr>
          <w:rFonts w:eastAsia="Calibri" w:cs="Tahoma"/>
          <w:bCs/>
          <w:iCs/>
          <w:color w:val="auto"/>
          <w:lang w:val="es-ES" w:eastAsia="es-ES"/>
        </w:rPr>
      </w:pPr>
      <w:r w:rsidRPr="007D49C6">
        <w:rPr>
          <w:rFonts w:eastAsia="Calibri" w:cs="Tahoma"/>
          <w:bCs/>
          <w:iCs/>
          <w:color w:val="auto"/>
          <w:lang w:val="es-ES" w:eastAsia="es-ES"/>
        </w:rPr>
        <w:t xml:space="preserve">Finalmente, se le informa que </w:t>
      </w:r>
      <w:r w:rsidRPr="007D49C6">
        <w:rPr>
          <w:rFonts w:eastAsia="Calibri" w:cs="Tahoma"/>
          <w:bCs/>
          <w:iCs/>
          <w:color w:val="auto"/>
          <w:lang w:val="es-ES_tradnl" w:eastAsia="es-ES"/>
        </w:rPr>
        <w:t>la labor del Instituto de Transparencia, Acceso a la Información Pública y Protección de Datos Personales del Estado de México y Municipios, por una parte, es apoyar a la población a acceder a la información pública y, por otra parte, es garantizar la protección de los datos personales.</w:t>
      </w:r>
    </w:p>
    <w:p w14:paraId="51558A11" w14:textId="77777777" w:rsidR="00C318B6" w:rsidRPr="007D49C6" w:rsidRDefault="00C318B6" w:rsidP="00C64DEA">
      <w:pPr>
        <w:spacing w:after="0" w:line="360" w:lineRule="auto"/>
        <w:contextualSpacing/>
        <w:rPr>
          <w:rFonts w:eastAsia="Calibri" w:cstheme="minorBidi"/>
          <w:lang w:val="es-ES" w:eastAsia="en-US"/>
        </w:rPr>
      </w:pPr>
    </w:p>
    <w:p w14:paraId="599E9820" w14:textId="77777777" w:rsidR="00C318B6" w:rsidRPr="00C318B6" w:rsidRDefault="00C318B6" w:rsidP="00C64DEA">
      <w:pPr>
        <w:spacing w:after="0" w:line="360" w:lineRule="auto"/>
        <w:contextualSpacing/>
        <w:rPr>
          <w:rFonts w:eastAsia="Calibri" w:cstheme="minorBidi"/>
          <w:lang w:eastAsia="en-US"/>
        </w:rPr>
      </w:pPr>
      <w:r w:rsidRPr="00C318B6">
        <w:rPr>
          <w:rFonts w:eastAsia="Calibri" w:cstheme="minorBidi"/>
          <w:lang w:eastAsia="en-US"/>
        </w:rPr>
        <w:t>Por lo expuesto y fundado, este Pleno:</w:t>
      </w:r>
    </w:p>
    <w:p w14:paraId="343ED752" w14:textId="77777777" w:rsidR="00C318B6" w:rsidRPr="00C318B6" w:rsidRDefault="00C318B6" w:rsidP="00C64DEA">
      <w:pPr>
        <w:spacing w:after="0" w:line="360" w:lineRule="auto"/>
        <w:contextualSpacing/>
        <w:rPr>
          <w:rFonts w:eastAsia="Calibri" w:cstheme="minorBidi"/>
          <w:b/>
          <w:bCs/>
          <w:lang w:eastAsia="en-US"/>
        </w:rPr>
      </w:pPr>
    </w:p>
    <w:p w14:paraId="69D73A81" w14:textId="77777777" w:rsidR="00C318B6" w:rsidRPr="00C318B6" w:rsidRDefault="00C318B6" w:rsidP="00C64DEA">
      <w:pPr>
        <w:spacing w:after="0" w:line="360" w:lineRule="auto"/>
        <w:contextualSpacing/>
        <w:jc w:val="center"/>
        <w:rPr>
          <w:rFonts w:eastAsia="Calibri" w:cstheme="minorBidi"/>
          <w:b/>
          <w:bCs/>
          <w:lang w:eastAsia="en-US"/>
        </w:rPr>
      </w:pPr>
      <w:r w:rsidRPr="00C318B6">
        <w:rPr>
          <w:rFonts w:eastAsia="Calibri" w:cstheme="minorBidi"/>
          <w:b/>
          <w:bCs/>
          <w:lang w:eastAsia="en-US"/>
        </w:rPr>
        <w:t>R E S U E L V E</w:t>
      </w:r>
    </w:p>
    <w:p w14:paraId="00EC5F47" w14:textId="77777777" w:rsidR="00C318B6" w:rsidRPr="00C318B6" w:rsidRDefault="00C318B6" w:rsidP="00C64DEA">
      <w:pPr>
        <w:spacing w:after="0" w:line="360" w:lineRule="auto"/>
        <w:contextualSpacing/>
        <w:rPr>
          <w:rFonts w:eastAsia="Calibri" w:cstheme="minorBidi"/>
          <w:lang w:eastAsia="en-US"/>
        </w:rPr>
      </w:pPr>
    </w:p>
    <w:p w14:paraId="2A1F2D36" w14:textId="2A70B95D" w:rsidR="007D49C6" w:rsidRPr="007D49C6" w:rsidRDefault="007D49C6" w:rsidP="007D49C6">
      <w:pPr>
        <w:spacing w:after="0" w:line="360" w:lineRule="auto"/>
        <w:rPr>
          <w:rFonts w:ascii="Times New Roman" w:eastAsia="Times New Roman" w:hAnsi="Times New Roman" w:cs="Tahoma"/>
          <w:color w:val="auto"/>
          <w:sz w:val="20"/>
          <w:szCs w:val="20"/>
          <w:lang w:val="es-ES" w:eastAsia="es-ES"/>
        </w:rPr>
      </w:pPr>
      <w:r w:rsidRPr="007D49C6">
        <w:rPr>
          <w:rFonts w:eastAsia="Times New Roman" w:cs="Tahoma"/>
          <w:b/>
          <w:bCs/>
          <w:iCs/>
          <w:color w:val="auto"/>
          <w:lang w:eastAsia="es-ES"/>
        </w:rPr>
        <w:t xml:space="preserve">PRIMERO. </w:t>
      </w:r>
      <w:r w:rsidRPr="007D49C6">
        <w:rPr>
          <w:rFonts w:eastAsia="Calibri" w:cs="Times New Roman"/>
          <w:bCs/>
          <w:iCs/>
          <w:color w:val="auto"/>
          <w:szCs w:val="20"/>
          <w:lang w:eastAsia="es-ES"/>
        </w:rPr>
        <w:t xml:space="preserve">Se </w:t>
      </w:r>
      <w:r w:rsidRPr="007D49C6">
        <w:rPr>
          <w:rFonts w:eastAsia="Calibri" w:cs="Times New Roman"/>
          <w:b/>
          <w:bCs/>
          <w:iCs/>
          <w:color w:val="auto"/>
          <w:szCs w:val="20"/>
          <w:lang w:eastAsia="es-ES"/>
        </w:rPr>
        <w:t xml:space="preserve">SOBRESEE </w:t>
      </w:r>
      <w:r w:rsidRPr="007D49C6">
        <w:rPr>
          <w:rFonts w:eastAsia="Calibri" w:cs="Times New Roman"/>
          <w:bCs/>
          <w:iCs/>
          <w:color w:val="auto"/>
          <w:szCs w:val="20"/>
          <w:lang w:eastAsia="es-ES"/>
        </w:rPr>
        <w:t>el Recurso de Revisión</w:t>
      </w:r>
      <w:r w:rsidRPr="007D49C6">
        <w:rPr>
          <w:rFonts w:eastAsia="Times New Roman" w:cs="Times New Roman"/>
          <w:color w:val="auto"/>
          <w:szCs w:val="20"/>
          <w:lang w:eastAsia="es-ES"/>
        </w:rPr>
        <w:t xml:space="preserve"> </w:t>
      </w:r>
      <w:r>
        <w:rPr>
          <w:rFonts w:eastAsia="Calibri" w:cs="Tahoma"/>
        </w:rPr>
        <w:t>00991/INFOEM/IP/RR/2025</w:t>
      </w:r>
      <w:r w:rsidRPr="007D49C6">
        <w:rPr>
          <w:rFonts w:eastAsia="Calibri" w:cs="Times New Roman"/>
          <w:bCs/>
          <w:iCs/>
          <w:color w:val="auto"/>
          <w:szCs w:val="20"/>
          <w:lang w:eastAsia="es-ES"/>
        </w:rPr>
        <w:t xml:space="preserve">, </w:t>
      </w:r>
      <w:r w:rsidRPr="007D49C6">
        <w:rPr>
          <w:rFonts w:eastAsia="Times New Roman" w:cs="Tahoma"/>
          <w:bCs/>
          <w:color w:val="auto"/>
          <w:szCs w:val="20"/>
          <w:lang w:val="es-ES" w:eastAsia="es-ES"/>
        </w:rPr>
        <w:t xml:space="preserve">en términos del artículo 192, fracción IV, de la Ley de Transparencia y Acceso a la Información Pública </w:t>
      </w:r>
      <w:r w:rsidRPr="007D49C6">
        <w:rPr>
          <w:rFonts w:eastAsia="Times New Roman" w:cs="Tahoma"/>
          <w:bCs/>
          <w:color w:val="auto"/>
          <w:szCs w:val="20"/>
          <w:lang w:val="es-ES" w:eastAsia="es-ES"/>
        </w:rPr>
        <w:lastRenderedPageBreak/>
        <w:t xml:space="preserve">del Estado de México y Municipios, </w:t>
      </w:r>
      <w:r w:rsidRPr="007D49C6">
        <w:rPr>
          <w:rFonts w:eastAsia="Times New Roman" w:cs="Tahoma"/>
          <w:color w:val="auto"/>
          <w:szCs w:val="20"/>
          <w:lang w:val="es-ES" w:eastAsia="es-ES"/>
        </w:rPr>
        <w:t>por actualizarse la causal de improcedencia establecida en la fracción III, del artículo 191 de dicho ordenamiento jurídico, en términos de los Considerandos TERCERO y CUARTO de la presente Resolución.</w:t>
      </w:r>
    </w:p>
    <w:p w14:paraId="0916467E" w14:textId="77777777" w:rsidR="007D49C6" w:rsidRPr="007D49C6" w:rsidRDefault="007D49C6" w:rsidP="007D49C6">
      <w:pPr>
        <w:spacing w:after="0" w:line="360" w:lineRule="auto"/>
        <w:rPr>
          <w:rFonts w:eastAsia="Times New Roman" w:cs="Tahoma"/>
          <w:b/>
          <w:bCs/>
          <w:iCs/>
          <w:color w:val="auto"/>
          <w:lang w:eastAsia="es-ES"/>
        </w:rPr>
      </w:pPr>
    </w:p>
    <w:p w14:paraId="369AFA09" w14:textId="77777777" w:rsidR="007D49C6" w:rsidRPr="007D49C6" w:rsidRDefault="007D49C6" w:rsidP="007D49C6">
      <w:pPr>
        <w:spacing w:after="0" w:line="360" w:lineRule="auto"/>
        <w:rPr>
          <w:rFonts w:eastAsia="Times New Roman" w:cs="Tahoma"/>
          <w:b/>
          <w:bCs/>
          <w:iCs/>
          <w:color w:val="auto"/>
          <w:lang w:val="es-ES" w:eastAsia="es-ES"/>
        </w:rPr>
      </w:pPr>
      <w:r w:rsidRPr="007D49C6">
        <w:rPr>
          <w:rFonts w:eastAsia="Times New Roman" w:cs="Tahoma"/>
          <w:b/>
          <w:bCs/>
          <w:iCs/>
          <w:color w:val="auto"/>
          <w:lang w:val="es-ES" w:eastAsia="es-ES"/>
        </w:rPr>
        <w:t xml:space="preserve">SEGUNDO. </w:t>
      </w:r>
      <w:r w:rsidRPr="007D49C6">
        <w:rPr>
          <w:rFonts w:eastAsia="Times New Roman" w:cs="Times New Roman"/>
          <w:b/>
          <w:color w:val="000000"/>
          <w:lang w:eastAsia="es-ES"/>
        </w:rPr>
        <w:t xml:space="preserve">NOTIFÍQUESE POR SAIMEX </w:t>
      </w:r>
      <w:r w:rsidRPr="007D49C6">
        <w:rPr>
          <w:rFonts w:eastAsia="Times New Roman" w:cs="Times New Roman"/>
          <w:color w:val="000000"/>
          <w:lang w:eastAsia="es-ES"/>
        </w:rPr>
        <w:t>la presente Resolución al Titular de la Unidad de Transparencia del Sujeto Obligado.</w:t>
      </w:r>
    </w:p>
    <w:p w14:paraId="7276EFD3" w14:textId="77777777" w:rsidR="007D49C6" w:rsidRPr="007D49C6" w:rsidRDefault="007D49C6" w:rsidP="007D49C6">
      <w:pPr>
        <w:spacing w:after="0" w:line="360" w:lineRule="auto"/>
        <w:rPr>
          <w:rFonts w:eastAsia="Times New Roman" w:cs="Times New Roman"/>
          <w:b/>
          <w:i/>
          <w:color w:val="000000"/>
          <w:lang w:eastAsia="es-ES"/>
        </w:rPr>
      </w:pPr>
    </w:p>
    <w:p w14:paraId="57DB7992" w14:textId="77777777" w:rsidR="007D49C6" w:rsidRPr="007D49C6" w:rsidRDefault="007D49C6" w:rsidP="007D49C6">
      <w:pPr>
        <w:spacing w:after="0" w:line="360" w:lineRule="auto"/>
        <w:rPr>
          <w:rFonts w:eastAsia="Times New Roman" w:cs="Times New Roman"/>
          <w:b/>
          <w:color w:val="000000"/>
          <w:lang w:eastAsia="es-ES"/>
        </w:rPr>
      </w:pPr>
      <w:r w:rsidRPr="007D49C6">
        <w:rPr>
          <w:rFonts w:eastAsia="Times New Roman" w:cs="Times New Roman"/>
          <w:b/>
          <w:color w:val="000000"/>
          <w:lang w:eastAsia="es-ES"/>
        </w:rPr>
        <w:t xml:space="preserve">TERCERO. NOTIFÍQUESE POR SAIMEX </w:t>
      </w:r>
      <w:r w:rsidRPr="007D49C6">
        <w:rPr>
          <w:rFonts w:eastAsia="Times New Roman" w:cs="Times New Roman"/>
          <w:color w:val="000000"/>
          <w:lang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8543FC6" w14:textId="77777777" w:rsidR="00C318B6" w:rsidRPr="00C318B6" w:rsidRDefault="00C318B6" w:rsidP="00C64DEA">
      <w:pPr>
        <w:spacing w:after="0" w:line="360" w:lineRule="auto"/>
        <w:contextualSpacing/>
        <w:rPr>
          <w:rFonts w:eastAsiaTheme="minorHAnsi" w:cstheme="minorBidi"/>
          <w:lang w:eastAsia="en-US"/>
        </w:rPr>
      </w:pPr>
    </w:p>
    <w:p w14:paraId="431F62C6" w14:textId="2AA58D82" w:rsidR="00C318B6" w:rsidRPr="00C318B6" w:rsidRDefault="00A112CB" w:rsidP="00C64DEA">
      <w:pPr>
        <w:spacing w:after="0" w:line="360" w:lineRule="auto"/>
        <w:contextualSpacing/>
        <w:rPr>
          <w:rFonts w:eastAsia="Calibri" w:cstheme="minorBidi"/>
          <w:lang w:eastAsia="en-US"/>
        </w:rPr>
      </w:pPr>
      <w:r w:rsidRPr="00A112CB">
        <w:rPr>
          <w:rFonts w:eastAsia="Calibri" w:cstheme="minorBidi"/>
          <w:lang w:eastAsia="en-US"/>
        </w:rPr>
        <w:t xml:space="preserve">ASÍ LO RESUELVE, POR </w:t>
      </w:r>
      <w:r w:rsidRPr="00887234">
        <w:rPr>
          <w:rFonts w:eastAsia="Calibri" w:cstheme="minorBidi"/>
          <w:b/>
          <w:lang w:eastAsia="en-US"/>
        </w:rPr>
        <w:t>UNANIMIDAD</w:t>
      </w:r>
      <w:r w:rsidRPr="00887234">
        <w:rPr>
          <w:rFonts w:eastAsia="Calibri" w:cstheme="minorBidi"/>
          <w:lang w:eastAsia="en-US"/>
        </w:rPr>
        <w:t xml:space="preserve"> </w:t>
      </w:r>
      <w:r w:rsidRPr="00A112CB">
        <w:rPr>
          <w:rFonts w:eastAsia="Calibri" w:cstheme="minorBidi"/>
          <w:lang w:eastAsia="en-US"/>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50678">
        <w:rPr>
          <w:rFonts w:eastAsia="Calibri" w:cstheme="minorBidi"/>
          <w:lang w:eastAsia="en-US"/>
        </w:rPr>
        <w:t>DÉCIMA</w:t>
      </w:r>
      <w:r w:rsidRPr="00A112CB">
        <w:rPr>
          <w:rFonts w:eastAsia="Calibri" w:cstheme="minorBidi"/>
          <w:lang w:eastAsia="en-US"/>
        </w:rPr>
        <w:t xml:space="preserve"> SESIÓN ORDINARIA, CELEBRADA EL </w:t>
      </w:r>
      <w:r w:rsidR="00950678">
        <w:rPr>
          <w:rFonts w:eastAsia="Calibri" w:cstheme="minorBidi"/>
          <w:lang w:eastAsia="en-US"/>
        </w:rPr>
        <w:t>VEINTE DE MARZO DE DOS MIL VEINTICINCO</w:t>
      </w:r>
      <w:r w:rsidRPr="00A112CB">
        <w:rPr>
          <w:rFonts w:eastAsia="Calibri" w:cstheme="minorBidi"/>
          <w:lang w:eastAsia="en-US"/>
        </w:rPr>
        <w:t>, ANTE EL SECRETARIO TÉCNICO DEL PLENO, ALEXIS TAPIA RAMÍREZ.</w:t>
      </w:r>
    </w:p>
    <w:p w14:paraId="29A4CC8A" w14:textId="365076C9" w:rsidR="00DB3DC5" w:rsidRPr="00E44661" w:rsidRDefault="00C318B6" w:rsidP="00C64DEA">
      <w:pPr>
        <w:spacing w:after="0" w:line="360" w:lineRule="auto"/>
        <w:contextualSpacing/>
        <w:rPr>
          <w:rFonts w:eastAsia="Calibri" w:cs="Tahoma"/>
          <w:color w:val="000000"/>
          <w:lang w:val="es-ES"/>
        </w:rPr>
      </w:pPr>
      <w:r w:rsidRPr="00C318B6">
        <w:rPr>
          <w:rFonts w:eastAsiaTheme="minorHAnsi" w:cstheme="minorBidi"/>
          <w:lang w:eastAsia="en-US"/>
        </w:rPr>
        <w:br w:type="page"/>
      </w:r>
    </w:p>
    <w:sectPr w:rsidR="00DB3DC5" w:rsidRPr="00E44661" w:rsidSect="00C417AF">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A843" w14:textId="77777777" w:rsidR="00EA154C" w:rsidRDefault="00EA154C" w:rsidP="00DB3DC5">
      <w:pPr>
        <w:spacing w:after="0" w:line="240" w:lineRule="auto"/>
      </w:pPr>
      <w:r>
        <w:separator/>
      </w:r>
    </w:p>
  </w:endnote>
  <w:endnote w:type="continuationSeparator" w:id="0">
    <w:p w14:paraId="58ED48C5" w14:textId="77777777" w:rsidR="00EA154C" w:rsidRDefault="00EA154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A11EAF" w:rsidRDefault="00A11EA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2B16">
              <w:rPr>
                <w:b/>
                <w:bCs/>
                <w:noProof/>
              </w:rPr>
              <w:t>12</w:t>
            </w:r>
            <w:r>
              <w:rPr>
                <w:b/>
                <w:bCs/>
                <w:sz w:val="24"/>
                <w:szCs w:val="24"/>
              </w:rPr>
              <w:fldChar w:fldCharType="end"/>
            </w:r>
          </w:p>
        </w:sdtContent>
      </w:sdt>
    </w:sdtContent>
  </w:sdt>
  <w:p w14:paraId="68EED6E3" w14:textId="77777777" w:rsidR="00A11EAF" w:rsidRDefault="00A11E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A11EAF" w:rsidRDefault="00A11EA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248B3">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248B3">
              <w:rPr>
                <w:b/>
                <w:bCs/>
                <w:noProof/>
              </w:rPr>
              <w:t>12</w:t>
            </w:r>
            <w:r>
              <w:rPr>
                <w:b/>
                <w:bCs/>
                <w:sz w:val="24"/>
                <w:szCs w:val="24"/>
              </w:rPr>
              <w:fldChar w:fldCharType="end"/>
            </w:r>
          </w:p>
        </w:sdtContent>
      </w:sdt>
    </w:sdtContent>
  </w:sdt>
  <w:p w14:paraId="5C9540ED" w14:textId="77777777" w:rsidR="00A11EAF" w:rsidRDefault="00A11E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A11EAF" w:rsidRDefault="00A11EA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248B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248B3">
              <w:rPr>
                <w:b/>
                <w:bCs/>
                <w:noProof/>
              </w:rPr>
              <w:t>12</w:t>
            </w:r>
            <w:r>
              <w:rPr>
                <w:b/>
                <w:bCs/>
                <w:sz w:val="24"/>
                <w:szCs w:val="24"/>
              </w:rPr>
              <w:fldChar w:fldCharType="end"/>
            </w:r>
          </w:p>
        </w:sdtContent>
      </w:sdt>
    </w:sdtContent>
  </w:sdt>
  <w:p w14:paraId="601C40B8" w14:textId="77777777" w:rsidR="00A11EAF" w:rsidRDefault="00A11E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C1378" w14:textId="77777777" w:rsidR="00EA154C" w:rsidRDefault="00EA154C" w:rsidP="00DB3DC5">
      <w:pPr>
        <w:spacing w:after="0" w:line="240" w:lineRule="auto"/>
      </w:pPr>
      <w:r>
        <w:separator/>
      </w:r>
    </w:p>
  </w:footnote>
  <w:footnote w:type="continuationSeparator" w:id="0">
    <w:p w14:paraId="0D3CBBDC" w14:textId="77777777" w:rsidR="00EA154C" w:rsidRDefault="00EA154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11EAF" w:rsidRPr="00E152D8" w14:paraId="04B090CA" w14:textId="77777777" w:rsidTr="00347876">
      <w:trPr>
        <w:trHeight w:val="132"/>
      </w:trPr>
      <w:tc>
        <w:tcPr>
          <w:tcW w:w="2691" w:type="dxa"/>
        </w:tcPr>
        <w:p w14:paraId="476D4D83" w14:textId="77777777" w:rsidR="00A11EAF" w:rsidRPr="00E152D8" w:rsidRDefault="00A11EAF"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A11EAF" w:rsidRPr="00EE1572" w:rsidRDefault="00A11EAF" w:rsidP="00347876">
          <w:pPr>
            <w:tabs>
              <w:tab w:val="right" w:pos="8838"/>
            </w:tabs>
            <w:ind w:left="-28" w:right="-32"/>
            <w:rPr>
              <w:rFonts w:eastAsia="Calibri" w:cs="Tahoma"/>
            </w:rPr>
          </w:pPr>
          <w:r w:rsidRPr="00EE1572">
            <w:rPr>
              <w:rFonts w:eastAsia="Calibri" w:cs="Tahoma"/>
            </w:rPr>
            <w:t>03846/INFOEM/IP/RR/2020</w:t>
          </w:r>
        </w:p>
      </w:tc>
    </w:tr>
    <w:tr w:rsidR="00A11EAF" w:rsidRPr="00E152D8" w14:paraId="1A944E3B" w14:textId="77777777" w:rsidTr="00347876">
      <w:trPr>
        <w:trHeight w:val="261"/>
      </w:trPr>
      <w:tc>
        <w:tcPr>
          <w:tcW w:w="2691" w:type="dxa"/>
        </w:tcPr>
        <w:p w14:paraId="04AF3D79" w14:textId="77777777" w:rsidR="00A11EAF" w:rsidRPr="00E152D8" w:rsidRDefault="00A11EA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A11EAF" w:rsidRPr="00EE1572" w:rsidRDefault="00A11EAF"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A11EAF" w:rsidRPr="00E152D8" w14:paraId="51F43EE6" w14:textId="77777777" w:rsidTr="00347876">
      <w:trPr>
        <w:trHeight w:val="261"/>
      </w:trPr>
      <w:tc>
        <w:tcPr>
          <w:tcW w:w="2691" w:type="dxa"/>
        </w:tcPr>
        <w:p w14:paraId="4689E914" w14:textId="77777777" w:rsidR="00A11EAF" w:rsidRPr="00E152D8" w:rsidRDefault="00A11EAF"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A11EAF" w:rsidRPr="00E152D8" w:rsidRDefault="00A11EAF"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A11EAF" w:rsidRDefault="00D248B3">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BDF3" w14:textId="77777777" w:rsidR="00362CF5" w:rsidRDefault="00362CF5"/>
  <w:tbl>
    <w:tblPr>
      <w:tblStyle w:val="Tablaconcuadrcula"/>
      <w:tblW w:w="552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A11EAF" w:rsidRPr="00E152D8" w14:paraId="6AD70801" w14:textId="77777777" w:rsidTr="00362CF5">
      <w:trPr>
        <w:trHeight w:val="138"/>
      </w:trPr>
      <w:tc>
        <w:tcPr>
          <w:tcW w:w="2551" w:type="dxa"/>
          <w:vAlign w:val="center"/>
        </w:tcPr>
        <w:p w14:paraId="4714C583" w14:textId="77777777" w:rsidR="00A11EAF" w:rsidRPr="00E152D8" w:rsidRDefault="00A11EAF"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2978" w:type="dxa"/>
        </w:tcPr>
        <w:p w14:paraId="02EA1FEA" w14:textId="5E26F721" w:rsidR="00A11EAF" w:rsidRPr="00051642" w:rsidRDefault="00362CF5" w:rsidP="00347876">
          <w:pPr>
            <w:tabs>
              <w:tab w:val="right" w:pos="8838"/>
            </w:tabs>
            <w:ind w:left="-113" w:right="57"/>
            <w:rPr>
              <w:rFonts w:eastAsia="Calibri" w:cs="Tahoma"/>
            </w:rPr>
          </w:pPr>
          <w:r>
            <w:rPr>
              <w:rFonts w:eastAsia="Calibri" w:cs="Tahoma"/>
              <w:lang w:val="es-MX"/>
            </w:rPr>
            <w:t>00991/INFOEM/IP/RR/2025</w:t>
          </w:r>
        </w:p>
      </w:tc>
    </w:tr>
    <w:tr w:rsidR="00A11EAF" w:rsidRPr="00E152D8" w14:paraId="7FF5EABC" w14:textId="77777777" w:rsidTr="00362CF5">
      <w:trPr>
        <w:trHeight w:val="273"/>
      </w:trPr>
      <w:tc>
        <w:tcPr>
          <w:tcW w:w="2551" w:type="dxa"/>
        </w:tcPr>
        <w:p w14:paraId="565B10D1" w14:textId="77777777" w:rsidR="00A11EAF" w:rsidRPr="00E152D8" w:rsidRDefault="00A11EA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7EA0F578" w14:textId="61B44AFD" w:rsidR="00A11EAF" w:rsidRPr="00051642" w:rsidRDefault="00362CF5" w:rsidP="00230F5E">
          <w:pPr>
            <w:tabs>
              <w:tab w:val="right" w:pos="8838"/>
            </w:tabs>
            <w:ind w:left="-113" w:right="-102"/>
            <w:rPr>
              <w:rFonts w:eastAsia="Calibri" w:cs="Tahoma"/>
              <w:lang w:val="es-MX"/>
            </w:rPr>
          </w:pPr>
          <w:r>
            <w:rPr>
              <w:color w:val="000000"/>
            </w:rPr>
            <w:t>Ayuntamiento de San Martín de l</w:t>
          </w:r>
          <w:r w:rsidRPr="00AE77B1">
            <w:rPr>
              <w:color w:val="000000"/>
            </w:rPr>
            <w:t>as Pirámides</w:t>
          </w:r>
        </w:p>
      </w:tc>
    </w:tr>
    <w:tr w:rsidR="00A11EAF" w:rsidRPr="00E152D8" w14:paraId="3156BE5F" w14:textId="77777777" w:rsidTr="00362CF5">
      <w:trPr>
        <w:trHeight w:val="273"/>
      </w:trPr>
      <w:tc>
        <w:tcPr>
          <w:tcW w:w="2551" w:type="dxa"/>
        </w:tcPr>
        <w:p w14:paraId="183B2F1A" w14:textId="77777777" w:rsidR="00A11EAF" w:rsidRPr="00E152D8" w:rsidRDefault="00A11EAF"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318AB537" w14:textId="77777777" w:rsidR="00A11EAF" w:rsidRPr="00E152D8" w:rsidRDefault="00A11EAF"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A11EAF" w:rsidRDefault="00D248B3"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A11EAF" w:rsidRPr="00E152D8" w14:paraId="773597DE" w14:textId="77777777" w:rsidTr="00A863A4">
      <w:trPr>
        <w:trHeight w:val="132"/>
      </w:trPr>
      <w:tc>
        <w:tcPr>
          <w:tcW w:w="2551" w:type="dxa"/>
        </w:tcPr>
        <w:p w14:paraId="4FCB3AA3" w14:textId="77777777" w:rsidR="00A11EAF" w:rsidRPr="00E152D8" w:rsidRDefault="00A11EAF" w:rsidP="00347876">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2955DA0" w14:textId="42C9AFAC" w:rsidR="00A11EAF" w:rsidRPr="00051642" w:rsidRDefault="00A11EAF" w:rsidP="00364F36">
          <w:pPr>
            <w:tabs>
              <w:tab w:val="right" w:pos="8838"/>
            </w:tabs>
            <w:ind w:left="-111" w:right="-32"/>
            <w:rPr>
              <w:rFonts w:eastAsia="Calibri" w:cs="Tahoma"/>
            </w:rPr>
          </w:pPr>
          <w:r>
            <w:rPr>
              <w:rFonts w:eastAsia="Calibri" w:cs="Tahoma"/>
              <w:lang w:val="es-MX"/>
            </w:rPr>
            <w:t xml:space="preserve">00991/INFOEM/IP/RR/2025 </w:t>
          </w:r>
        </w:p>
      </w:tc>
    </w:tr>
    <w:tr w:rsidR="00A11EAF" w:rsidRPr="00E152D8" w14:paraId="202FB661" w14:textId="77777777" w:rsidTr="00A863A4">
      <w:trPr>
        <w:trHeight w:val="132"/>
      </w:trPr>
      <w:tc>
        <w:tcPr>
          <w:tcW w:w="2551" w:type="dxa"/>
          <w:shd w:val="clear" w:color="auto" w:fill="auto"/>
        </w:tcPr>
        <w:p w14:paraId="5E100A32" w14:textId="77777777" w:rsidR="00A11EAF" w:rsidRPr="00E152D8" w:rsidRDefault="00A11EAF"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shd w:val="clear" w:color="auto" w:fill="auto"/>
        </w:tcPr>
        <w:p w14:paraId="28640565" w14:textId="644AA9CE" w:rsidR="00A11EAF" w:rsidRPr="00E21446" w:rsidRDefault="00A11EAF" w:rsidP="00DB3DC5">
          <w:pPr>
            <w:tabs>
              <w:tab w:val="right" w:pos="8838"/>
            </w:tabs>
            <w:ind w:left="-113"/>
            <w:rPr>
              <w:rFonts w:eastAsia="Calibri" w:cs="Tahoma"/>
              <w:lang w:val="es-MX"/>
            </w:rPr>
          </w:pPr>
        </w:p>
      </w:tc>
    </w:tr>
    <w:tr w:rsidR="00A11EAF" w:rsidRPr="00E152D8" w14:paraId="1BA9B09B" w14:textId="77777777" w:rsidTr="00A863A4">
      <w:trPr>
        <w:trHeight w:val="261"/>
      </w:trPr>
      <w:tc>
        <w:tcPr>
          <w:tcW w:w="2551" w:type="dxa"/>
        </w:tcPr>
        <w:p w14:paraId="6174740A" w14:textId="77777777" w:rsidR="00A11EAF" w:rsidRPr="00E152D8" w:rsidRDefault="00A11EA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4B948471" w14:textId="37B7EF24" w:rsidR="00A11EAF" w:rsidRPr="007D7E05" w:rsidRDefault="00A11EAF" w:rsidP="00347876">
          <w:pPr>
            <w:tabs>
              <w:tab w:val="right" w:pos="8838"/>
            </w:tabs>
            <w:ind w:left="-111" w:right="-32"/>
            <w:rPr>
              <w:rFonts w:eastAsia="Calibri" w:cs="Tahoma"/>
              <w:lang w:val="es-MX"/>
            </w:rPr>
          </w:pPr>
          <w:r>
            <w:rPr>
              <w:color w:val="000000"/>
            </w:rPr>
            <w:t>Ayuntamiento de San Martín de l</w:t>
          </w:r>
          <w:r w:rsidRPr="00AE77B1">
            <w:rPr>
              <w:color w:val="000000"/>
            </w:rPr>
            <w:t>as Pirámides</w:t>
          </w:r>
        </w:p>
      </w:tc>
    </w:tr>
    <w:tr w:rsidR="00A11EAF" w:rsidRPr="00E152D8" w14:paraId="3F18AACD" w14:textId="77777777" w:rsidTr="00A863A4">
      <w:trPr>
        <w:trHeight w:val="261"/>
      </w:trPr>
      <w:tc>
        <w:tcPr>
          <w:tcW w:w="2551" w:type="dxa"/>
        </w:tcPr>
        <w:p w14:paraId="57E8DDB5" w14:textId="77777777" w:rsidR="00A11EAF" w:rsidRPr="00E152D8" w:rsidRDefault="00A11EAF" w:rsidP="00347876">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1B8E59D3" w14:textId="77777777" w:rsidR="00A11EAF" w:rsidRPr="00E152D8" w:rsidRDefault="00A11EAF"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A11EAF" w:rsidRDefault="00D248B3"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7C5"/>
    <w:multiLevelType w:val="hybridMultilevel"/>
    <w:tmpl w:val="66C0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977EE"/>
    <w:multiLevelType w:val="hybridMultilevel"/>
    <w:tmpl w:val="77580CE6"/>
    <w:lvl w:ilvl="0" w:tplc="45EAB3C6">
      <w:start w:val="1"/>
      <w:numFmt w:val="lowerLetter"/>
      <w:lvlText w:val="%1)"/>
      <w:lvlJc w:val="left"/>
      <w:pPr>
        <w:ind w:left="1440" w:hanging="360"/>
      </w:pPr>
      <w:rPr>
        <w:b/>
        <w:bCs w:val="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 w15:restartNumberingAfterBreak="0">
    <w:nsid w:val="04321770"/>
    <w:multiLevelType w:val="hybridMultilevel"/>
    <w:tmpl w:val="C9A8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6E5"/>
    <w:multiLevelType w:val="hybridMultilevel"/>
    <w:tmpl w:val="4CCCAE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7531264"/>
    <w:multiLevelType w:val="hybridMultilevel"/>
    <w:tmpl w:val="827EB9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7F12C07"/>
    <w:multiLevelType w:val="hybridMultilevel"/>
    <w:tmpl w:val="54F21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25745"/>
    <w:multiLevelType w:val="hybridMultilevel"/>
    <w:tmpl w:val="8042E3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FA1B5A"/>
    <w:multiLevelType w:val="hybridMultilevel"/>
    <w:tmpl w:val="2928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3057C"/>
    <w:multiLevelType w:val="hybridMultilevel"/>
    <w:tmpl w:val="175EA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CF385F"/>
    <w:multiLevelType w:val="hybridMultilevel"/>
    <w:tmpl w:val="9E64D0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0462A5"/>
    <w:multiLevelType w:val="hybridMultilevel"/>
    <w:tmpl w:val="231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00F6571"/>
    <w:multiLevelType w:val="hybridMultilevel"/>
    <w:tmpl w:val="BA888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114529"/>
    <w:multiLevelType w:val="hybridMultilevel"/>
    <w:tmpl w:val="F89C1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16C07"/>
    <w:multiLevelType w:val="hybridMultilevel"/>
    <w:tmpl w:val="2C74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2282940"/>
    <w:multiLevelType w:val="hybridMultilevel"/>
    <w:tmpl w:val="6C2EC0CC"/>
    <w:lvl w:ilvl="0" w:tplc="46DE4A30">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F57D68"/>
    <w:multiLevelType w:val="hybridMultilevel"/>
    <w:tmpl w:val="971EC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8F57AD"/>
    <w:multiLevelType w:val="hybridMultilevel"/>
    <w:tmpl w:val="95F4295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4B5A045D"/>
    <w:multiLevelType w:val="hybridMultilevel"/>
    <w:tmpl w:val="5466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C2585"/>
    <w:multiLevelType w:val="hybridMultilevel"/>
    <w:tmpl w:val="244A7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E420D2"/>
    <w:multiLevelType w:val="hybridMultilevel"/>
    <w:tmpl w:val="C4B87E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5" w15:restartNumberingAfterBreak="0">
    <w:nsid w:val="52A24731"/>
    <w:multiLevelType w:val="hybridMultilevel"/>
    <w:tmpl w:val="AF8A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411AC8"/>
    <w:multiLevelType w:val="hybridMultilevel"/>
    <w:tmpl w:val="4582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176C4"/>
    <w:multiLevelType w:val="hybridMultilevel"/>
    <w:tmpl w:val="A518F4B8"/>
    <w:lvl w:ilvl="0" w:tplc="46DE4A30">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E1426A"/>
    <w:multiLevelType w:val="hybridMultilevel"/>
    <w:tmpl w:val="5672E8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2E10C2D"/>
    <w:multiLevelType w:val="hybridMultilevel"/>
    <w:tmpl w:val="BFE66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E418CA"/>
    <w:multiLevelType w:val="hybridMultilevel"/>
    <w:tmpl w:val="50C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92030"/>
    <w:multiLevelType w:val="multilevel"/>
    <w:tmpl w:val="0712792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78110E2"/>
    <w:multiLevelType w:val="hybridMultilevel"/>
    <w:tmpl w:val="B8D0AE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DB04521"/>
    <w:multiLevelType w:val="hybridMultilevel"/>
    <w:tmpl w:val="97C4DC0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6EF4523F"/>
    <w:multiLevelType w:val="hybridMultilevel"/>
    <w:tmpl w:val="EC34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76B58"/>
    <w:multiLevelType w:val="hybridMultilevel"/>
    <w:tmpl w:val="BBA64504"/>
    <w:lvl w:ilvl="0" w:tplc="C274922A">
      <w:start w:val="3"/>
      <w:numFmt w:val="bullet"/>
      <w:lvlText w:val="-"/>
      <w:lvlJc w:val="left"/>
      <w:pPr>
        <w:ind w:left="720" w:hanging="360"/>
      </w:pPr>
      <w:rPr>
        <w:rFonts w:ascii="Palatino Linotype" w:eastAsiaTheme="minorHAnsi" w:hAnsi="Palatino Linotype" w:cs="Tahoma"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70E1E3F"/>
    <w:multiLevelType w:val="hybridMultilevel"/>
    <w:tmpl w:val="FF9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841A5"/>
    <w:multiLevelType w:val="hybridMultilevel"/>
    <w:tmpl w:val="228494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05F39"/>
    <w:multiLevelType w:val="hybridMultilevel"/>
    <w:tmpl w:val="9F086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4F5A68"/>
    <w:multiLevelType w:val="hybridMultilevel"/>
    <w:tmpl w:val="0608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13"/>
  </w:num>
  <w:num w:numId="4">
    <w:abstractNumId w:val="36"/>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8"/>
  </w:num>
  <w:num w:numId="9">
    <w:abstractNumId w:val="12"/>
  </w:num>
  <w:num w:numId="10">
    <w:abstractNumId w:val="9"/>
  </w:num>
  <w:num w:numId="11">
    <w:abstractNumId w:val="2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6"/>
  </w:num>
  <w:num w:numId="15">
    <w:abstractNumId w:val="5"/>
  </w:num>
  <w:num w:numId="16">
    <w:abstractNumId w:val="1"/>
  </w:num>
  <w:num w:numId="17">
    <w:abstractNumId w:val="22"/>
  </w:num>
  <w:num w:numId="18">
    <w:abstractNumId w:val="20"/>
  </w:num>
  <w:num w:numId="19">
    <w:abstractNumId w:val="21"/>
  </w:num>
  <w:num w:numId="20">
    <w:abstractNumId w:val="0"/>
  </w:num>
  <w:num w:numId="21">
    <w:abstractNumId w:val="14"/>
  </w:num>
  <w:num w:numId="22">
    <w:abstractNumId w:val="35"/>
  </w:num>
  <w:num w:numId="23">
    <w:abstractNumId w:val="19"/>
  </w:num>
  <w:num w:numId="24">
    <w:abstractNumId w:val="41"/>
  </w:num>
  <w:num w:numId="25">
    <w:abstractNumId w:val="24"/>
  </w:num>
  <w:num w:numId="26">
    <w:abstractNumId w:val="23"/>
  </w:num>
  <w:num w:numId="27">
    <w:abstractNumId w:val="16"/>
  </w:num>
  <w:num w:numId="28">
    <w:abstractNumId w:val="40"/>
  </w:num>
  <w:num w:numId="29">
    <w:abstractNumId w:val="30"/>
  </w:num>
  <w:num w:numId="30">
    <w:abstractNumId w:val="33"/>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3"/>
  </w:num>
  <w:num w:numId="35">
    <w:abstractNumId w:val="6"/>
  </w:num>
  <w:num w:numId="36">
    <w:abstractNumId w:val="10"/>
  </w:num>
  <w:num w:numId="37">
    <w:abstractNumId w:val="4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7"/>
  </w:num>
  <w:num w:numId="43">
    <w:abstractNumId w:val="32"/>
  </w:num>
  <w:num w:numId="44">
    <w:abstractNumId w:val="25"/>
  </w:num>
  <w:num w:numId="45">
    <w:abstractNumId w:val="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7E26"/>
    <w:rsid w:val="000375E0"/>
    <w:rsid w:val="00045728"/>
    <w:rsid w:val="00046A54"/>
    <w:rsid w:val="00046FBE"/>
    <w:rsid w:val="00047F07"/>
    <w:rsid w:val="0005685A"/>
    <w:rsid w:val="00064E91"/>
    <w:rsid w:val="0006704F"/>
    <w:rsid w:val="00070115"/>
    <w:rsid w:val="000729D1"/>
    <w:rsid w:val="000744F2"/>
    <w:rsid w:val="0008576C"/>
    <w:rsid w:val="00094584"/>
    <w:rsid w:val="000A0A70"/>
    <w:rsid w:val="000A2D13"/>
    <w:rsid w:val="000A65CD"/>
    <w:rsid w:val="000A7999"/>
    <w:rsid w:val="000B2239"/>
    <w:rsid w:val="000C141F"/>
    <w:rsid w:val="000C5F81"/>
    <w:rsid w:val="000D1C9F"/>
    <w:rsid w:val="000D634B"/>
    <w:rsid w:val="000F5268"/>
    <w:rsid w:val="000F5556"/>
    <w:rsid w:val="000F6C4A"/>
    <w:rsid w:val="001023EA"/>
    <w:rsid w:val="00105130"/>
    <w:rsid w:val="00110D4D"/>
    <w:rsid w:val="001334D1"/>
    <w:rsid w:val="0013678F"/>
    <w:rsid w:val="00137F3B"/>
    <w:rsid w:val="0014339D"/>
    <w:rsid w:val="00144157"/>
    <w:rsid w:val="00155A01"/>
    <w:rsid w:val="00157BEA"/>
    <w:rsid w:val="00182212"/>
    <w:rsid w:val="001B6B60"/>
    <w:rsid w:val="001C7AC2"/>
    <w:rsid w:val="001F3934"/>
    <w:rsid w:val="00202C9E"/>
    <w:rsid w:val="00203FED"/>
    <w:rsid w:val="00230BC7"/>
    <w:rsid w:val="00230F5E"/>
    <w:rsid w:val="00245BC3"/>
    <w:rsid w:val="00246E45"/>
    <w:rsid w:val="00250655"/>
    <w:rsid w:val="00254457"/>
    <w:rsid w:val="00254ECB"/>
    <w:rsid w:val="002631C3"/>
    <w:rsid w:val="00263D2F"/>
    <w:rsid w:val="00264675"/>
    <w:rsid w:val="00265CFE"/>
    <w:rsid w:val="0026769C"/>
    <w:rsid w:val="002705C2"/>
    <w:rsid w:val="00275938"/>
    <w:rsid w:val="00275E0B"/>
    <w:rsid w:val="002977E5"/>
    <w:rsid w:val="00297E98"/>
    <w:rsid w:val="002A05AF"/>
    <w:rsid w:val="002A0BE5"/>
    <w:rsid w:val="002A2BB0"/>
    <w:rsid w:val="002B4923"/>
    <w:rsid w:val="002C0400"/>
    <w:rsid w:val="002C0A03"/>
    <w:rsid w:val="002C19D9"/>
    <w:rsid w:val="002E526D"/>
    <w:rsid w:val="002F235F"/>
    <w:rsid w:val="002F551A"/>
    <w:rsid w:val="00304985"/>
    <w:rsid w:val="00305A6A"/>
    <w:rsid w:val="00306FB6"/>
    <w:rsid w:val="00333C69"/>
    <w:rsid w:val="0033782D"/>
    <w:rsid w:val="00345BB5"/>
    <w:rsid w:val="00347876"/>
    <w:rsid w:val="00353A2E"/>
    <w:rsid w:val="00362523"/>
    <w:rsid w:val="00362CF5"/>
    <w:rsid w:val="00363DED"/>
    <w:rsid w:val="00364F36"/>
    <w:rsid w:val="00364FAB"/>
    <w:rsid w:val="00365137"/>
    <w:rsid w:val="00370F45"/>
    <w:rsid w:val="003723ED"/>
    <w:rsid w:val="00387E7C"/>
    <w:rsid w:val="003905B1"/>
    <w:rsid w:val="00390BA0"/>
    <w:rsid w:val="003A123A"/>
    <w:rsid w:val="003A6719"/>
    <w:rsid w:val="003B04E1"/>
    <w:rsid w:val="003B4CA1"/>
    <w:rsid w:val="003F3586"/>
    <w:rsid w:val="003F595B"/>
    <w:rsid w:val="003F5EB5"/>
    <w:rsid w:val="003F63DA"/>
    <w:rsid w:val="004159A5"/>
    <w:rsid w:val="0043525E"/>
    <w:rsid w:val="004424A5"/>
    <w:rsid w:val="00444157"/>
    <w:rsid w:val="004500E2"/>
    <w:rsid w:val="004527A4"/>
    <w:rsid w:val="00456B51"/>
    <w:rsid w:val="004577F9"/>
    <w:rsid w:val="004610AE"/>
    <w:rsid w:val="004673BD"/>
    <w:rsid w:val="004749CF"/>
    <w:rsid w:val="00476226"/>
    <w:rsid w:val="00481BA6"/>
    <w:rsid w:val="004822CF"/>
    <w:rsid w:val="004829F6"/>
    <w:rsid w:val="004908D0"/>
    <w:rsid w:val="00492AF8"/>
    <w:rsid w:val="0049737D"/>
    <w:rsid w:val="004A0432"/>
    <w:rsid w:val="004A27E9"/>
    <w:rsid w:val="004A5AD5"/>
    <w:rsid w:val="004B2145"/>
    <w:rsid w:val="004B34AB"/>
    <w:rsid w:val="004B4B36"/>
    <w:rsid w:val="004B6AAC"/>
    <w:rsid w:val="004E5AB1"/>
    <w:rsid w:val="00513B8D"/>
    <w:rsid w:val="005166C8"/>
    <w:rsid w:val="00546231"/>
    <w:rsid w:val="005536CF"/>
    <w:rsid w:val="00572301"/>
    <w:rsid w:val="00587227"/>
    <w:rsid w:val="00587799"/>
    <w:rsid w:val="00595D62"/>
    <w:rsid w:val="005A64FF"/>
    <w:rsid w:val="005A6BEC"/>
    <w:rsid w:val="005A7DC1"/>
    <w:rsid w:val="005B6D7A"/>
    <w:rsid w:val="005C2558"/>
    <w:rsid w:val="005C6124"/>
    <w:rsid w:val="005D04FC"/>
    <w:rsid w:val="005D69E6"/>
    <w:rsid w:val="005F59BC"/>
    <w:rsid w:val="00600A07"/>
    <w:rsid w:val="00606D94"/>
    <w:rsid w:val="0061014C"/>
    <w:rsid w:val="00637109"/>
    <w:rsid w:val="00637659"/>
    <w:rsid w:val="006437A8"/>
    <w:rsid w:val="00644C6D"/>
    <w:rsid w:val="006457A7"/>
    <w:rsid w:val="006633B9"/>
    <w:rsid w:val="0066499B"/>
    <w:rsid w:val="006651F1"/>
    <w:rsid w:val="00673579"/>
    <w:rsid w:val="006760A0"/>
    <w:rsid w:val="006778B9"/>
    <w:rsid w:val="006814BC"/>
    <w:rsid w:val="00685958"/>
    <w:rsid w:val="00691625"/>
    <w:rsid w:val="006A0867"/>
    <w:rsid w:val="006A0E06"/>
    <w:rsid w:val="006A2F36"/>
    <w:rsid w:val="006B1B7E"/>
    <w:rsid w:val="006C26E0"/>
    <w:rsid w:val="006C52A6"/>
    <w:rsid w:val="006C7EE1"/>
    <w:rsid w:val="006D1800"/>
    <w:rsid w:val="00702B99"/>
    <w:rsid w:val="0070457C"/>
    <w:rsid w:val="007146FE"/>
    <w:rsid w:val="0072075E"/>
    <w:rsid w:val="00721B01"/>
    <w:rsid w:val="00725C4E"/>
    <w:rsid w:val="007309C0"/>
    <w:rsid w:val="007341D9"/>
    <w:rsid w:val="007609C8"/>
    <w:rsid w:val="0076342E"/>
    <w:rsid w:val="00763706"/>
    <w:rsid w:val="007849C0"/>
    <w:rsid w:val="00784C5C"/>
    <w:rsid w:val="007956A2"/>
    <w:rsid w:val="007A5048"/>
    <w:rsid w:val="007B0396"/>
    <w:rsid w:val="007B0BBD"/>
    <w:rsid w:val="007B7DF0"/>
    <w:rsid w:val="007C403E"/>
    <w:rsid w:val="007D1412"/>
    <w:rsid w:val="007D1FAA"/>
    <w:rsid w:val="007D4921"/>
    <w:rsid w:val="007D49C6"/>
    <w:rsid w:val="007D7E05"/>
    <w:rsid w:val="007F08B3"/>
    <w:rsid w:val="007F271C"/>
    <w:rsid w:val="007F466A"/>
    <w:rsid w:val="007F7A31"/>
    <w:rsid w:val="0080693B"/>
    <w:rsid w:val="00812B16"/>
    <w:rsid w:val="00814335"/>
    <w:rsid w:val="00816E16"/>
    <w:rsid w:val="00820107"/>
    <w:rsid w:val="0082097F"/>
    <w:rsid w:val="0082667E"/>
    <w:rsid w:val="00826E2F"/>
    <w:rsid w:val="00843000"/>
    <w:rsid w:val="00843F6F"/>
    <w:rsid w:val="00870CA5"/>
    <w:rsid w:val="00871A36"/>
    <w:rsid w:val="00876A9F"/>
    <w:rsid w:val="00876B0D"/>
    <w:rsid w:val="008851BD"/>
    <w:rsid w:val="00887234"/>
    <w:rsid w:val="008920FE"/>
    <w:rsid w:val="00892867"/>
    <w:rsid w:val="0089704B"/>
    <w:rsid w:val="008A6ABF"/>
    <w:rsid w:val="008B2B0B"/>
    <w:rsid w:val="008F42E3"/>
    <w:rsid w:val="00900640"/>
    <w:rsid w:val="009161B5"/>
    <w:rsid w:val="00920C0F"/>
    <w:rsid w:val="00937303"/>
    <w:rsid w:val="00937760"/>
    <w:rsid w:val="0094025E"/>
    <w:rsid w:val="00941212"/>
    <w:rsid w:val="009445B3"/>
    <w:rsid w:val="009458FD"/>
    <w:rsid w:val="00945E11"/>
    <w:rsid w:val="00950678"/>
    <w:rsid w:val="00953052"/>
    <w:rsid w:val="00954FEB"/>
    <w:rsid w:val="00963FF5"/>
    <w:rsid w:val="0096426C"/>
    <w:rsid w:val="0098062F"/>
    <w:rsid w:val="00993137"/>
    <w:rsid w:val="009B1DFD"/>
    <w:rsid w:val="009B365B"/>
    <w:rsid w:val="009C00BA"/>
    <w:rsid w:val="009C23D0"/>
    <w:rsid w:val="009C3C2B"/>
    <w:rsid w:val="009C4688"/>
    <w:rsid w:val="009D5045"/>
    <w:rsid w:val="009E1D6F"/>
    <w:rsid w:val="009F13CF"/>
    <w:rsid w:val="009F42FA"/>
    <w:rsid w:val="009F4AD4"/>
    <w:rsid w:val="009F66C7"/>
    <w:rsid w:val="00A04966"/>
    <w:rsid w:val="00A070EC"/>
    <w:rsid w:val="00A112CB"/>
    <w:rsid w:val="00A119A8"/>
    <w:rsid w:val="00A11EAF"/>
    <w:rsid w:val="00A1647B"/>
    <w:rsid w:val="00A234A1"/>
    <w:rsid w:val="00A27E34"/>
    <w:rsid w:val="00A36064"/>
    <w:rsid w:val="00A44EB5"/>
    <w:rsid w:val="00A53051"/>
    <w:rsid w:val="00A555FF"/>
    <w:rsid w:val="00A60B50"/>
    <w:rsid w:val="00A6124E"/>
    <w:rsid w:val="00A6183C"/>
    <w:rsid w:val="00A70740"/>
    <w:rsid w:val="00A863A4"/>
    <w:rsid w:val="00A87871"/>
    <w:rsid w:val="00A87DB7"/>
    <w:rsid w:val="00A946C6"/>
    <w:rsid w:val="00A966E3"/>
    <w:rsid w:val="00AB7A4D"/>
    <w:rsid w:val="00AC3BFC"/>
    <w:rsid w:val="00AD3BE9"/>
    <w:rsid w:val="00AE199A"/>
    <w:rsid w:val="00AE1F48"/>
    <w:rsid w:val="00AE77B1"/>
    <w:rsid w:val="00AF19B3"/>
    <w:rsid w:val="00B000C5"/>
    <w:rsid w:val="00B05FF4"/>
    <w:rsid w:val="00B12570"/>
    <w:rsid w:val="00B255F6"/>
    <w:rsid w:val="00B34D94"/>
    <w:rsid w:val="00B350DF"/>
    <w:rsid w:val="00B3703E"/>
    <w:rsid w:val="00B42796"/>
    <w:rsid w:val="00B557DF"/>
    <w:rsid w:val="00B5644D"/>
    <w:rsid w:val="00B5725C"/>
    <w:rsid w:val="00B60D25"/>
    <w:rsid w:val="00B62B1B"/>
    <w:rsid w:val="00B65586"/>
    <w:rsid w:val="00B70E2C"/>
    <w:rsid w:val="00B83462"/>
    <w:rsid w:val="00B841F8"/>
    <w:rsid w:val="00B907ED"/>
    <w:rsid w:val="00B93087"/>
    <w:rsid w:val="00BA56CE"/>
    <w:rsid w:val="00BB36D2"/>
    <w:rsid w:val="00BB5A62"/>
    <w:rsid w:val="00BC22F3"/>
    <w:rsid w:val="00BC4ACC"/>
    <w:rsid w:val="00BC7F13"/>
    <w:rsid w:val="00BD06B4"/>
    <w:rsid w:val="00BD0CD2"/>
    <w:rsid w:val="00BD1C07"/>
    <w:rsid w:val="00BD67B2"/>
    <w:rsid w:val="00BE3C4E"/>
    <w:rsid w:val="00C032EC"/>
    <w:rsid w:val="00C070D8"/>
    <w:rsid w:val="00C13E16"/>
    <w:rsid w:val="00C16E0D"/>
    <w:rsid w:val="00C17EBF"/>
    <w:rsid w:val="00C318B6"/>
    <w:rsid w:val="00C31AD4"/>
    <w:rsid w:val="00C337E5"/>
    <w:rsid w:val="00C417AF"/>
    <w:rsid w:val="00C42A98"/>
    <w:rsid w:val="00C44726"/>
    <w:rsid w:val="00C518D7"/>
    <w:rsid w:val="00C54015"/>
    <w:rsid w:val="00C605C9"/>
    <w:rsid w:val="00C642F5"/>
    <w:rsid w:val="00C64DEA"/>
    <w:rsid w:val="00C66273"/>
    <w:rsid w:val="00C750F8"/>
    <w:rsid w:val="00C8608C"/>
    <w:rsid w:val="00C871AC"/>
    <w:rsid w:val="00C933B6"/>
    <w:rsid w:val="00C97719"/>
    <w:rsid w:val="00CA1F62"/>
    <w:rsid w:val="00CB1CF0"/>
    <w:rsid w:val="00CB2FA4"/>
    <w:rsid w:val="00CB67F4"/>
    <w:rsid w:val="00CD20AC"/>
    <w:rsid w:val="00CE4C8B"/>
    <w:rsid w:val="00CE7148"/>
    <w:rsid w:val="00CF43E6"/>
    <w:rsid w:val="00CF65EB"/>
    <w:rsid w:val="00D07290"/>
    <w:rsid w:val="00D1336A"/>
    <w:rsid w:val="00D248B3"/>
    <w:rsid w:val="00D3424A"/>
    <w:rsid w:val="00D46EE8"/>
    <w:rsid w:val="00D627CD"/>
    <w:rsid w:val="00D74C1C"/>
    <w:rsid w:val="00D750E7"/>
    <w:rsid w:val="00D77576"/>
    <w:rsid w:val="00D856A5"/>
    <w:rsid w:val="00D912A8"/>
    <w:rsid w:val="00D95C1D"/>
    <w:rsid w:val="00DA1A7D"/>
    <w:rsid w:val="00DA542A"/>
    <w:rsid w:val="00DA798A"/>
    <w:rsid w:val="00DB0DB0"/>
    <w:rsid w:val="00DB20A5"/>
    <w:rsid w:val="00DB3DC5"/>
    <w:rsid w:val="00DC1F24"/>
    <w:rsid w:val="00DC3EDC"/>
    <w:rsid w:val="00DC42DF"/>
    <w:rsid w:val="00DC57F0"/>
    <w:rsid w:val="00DD3A8B"/>
    <w:rsid w:val="00DD5D4A"/>
    <w:rsid w:val="00DD61E6"/>
    <w:rsid w:val="00DD6EB5"/>
    <w:rsid w:val="00DE133F"/>
    <w:rsid w:val="00DE3357"/>
    <w:rsid w:val="00DF1B85"/>
    <w:rsid w:val="00DF2F11"/>
    <w:rsid w:val="00E0132B"/>
    <w:rsid w:val="00E045BD"/>
    <w:rsid w:val="00E063FC"/>
    <w:rsid w:val="00E07591"/>
    <w:rsid w:val="00E11469"/>
    <w:rsid w:val="00E16F58"/>
    <w:rsid w:val="00E27BCC"/>
    <w:rsid w:val="00E4251A"/>
    <w:rsid w:val="00E43B2E"/>
    <w:rsid w:val="00E44661"/>
    <w:rsid w:val="00E468BC"/>
    <w:rsid w:val="00E4792C"/>
    <w:rsid w:val="00E50086"/>
    <w:rsid w:val="00E51DF5"/>
    <w:rsid w:val="00E52811"/>
    <w:rsid w:val="00E54314"/>
    <w:rsid w:val="00E57413"/>
    <w:rsid w:val="00E75043"/>
    <w:rsid w:val="00E80890"/>
    <w:rsid w:val="00E86E5D"/>
    <w:rsid w:val="00E91037"/>
    <w:rsid w:val="00E93746"/>
    <w:rsid w:val="00EA0C4B"/>
    <w:rsid w:val="00EA154C"/>
    <w:rsid w:val="00EA7BA7"/>
    <w:rsid w:val="00EB5363"/>
    <w:rsid w:val="00EC4F30"/>
    <w:rsid w:val="00EC65B8"/>
    <w:rsid w:val="00ED0B26"/>
    <w:rsid w:val="00ED3FD8"/>
    <w:rsid w:val="00F014E9"/>
    <w:rsid w:val="00F063F0"/>
    <w:rsid w:val="00F11FC0"/>
    <w:rsid w:val="00F12D8F"/>
    <w:rsid w:val="00F1557B"/>
    <w:rsid w:val="00F165B9"/>
    <w:rsid w:val="00F16792"/>
    <w:rsid w:val="00F26F2D"/>
    <w:rsid w:val="00F3234B"/>
    <w:rsid w:val="00F32EF6"/>
    <w:rsid w:val="00F45AA7"/>
    <w:rsid w:val="00F50CAC"/>
    <w:rsid w:val="00F50DAF"/>
    <w:rsid w:val="00F56DD2"/>
    <w:rsid w:val="00F643F5"/>
    <w:rsid w:val="00F65218"/>
    <w:rsid w:val="00F704C4"/>
    <w:rsid w:val="00F75544"/>
    <w:rsid w:val="00F7760C"/>
    <w:rsid w:val="00F84354"/>
    <w:rsid w:val="00F92554"/>
    <w:rsid w:val="00F938F7"/>
    <w:rsid w:val="00FB1B3A"/>
    <w:rsid w:val="00FC1F9E"/>
    <w:rsid w:val="00FC398D"/>
    <w:rsid w:val="00FE2A49"/>
    <w:rsid w:val="00FE6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paragraph" w:styleId="Ttulo1">
    <w:name w:val="heading 1"/>
    <w:basedOn w:val="Normal"/>
    <w:next w:val="Normal"/>
    <w:link w:val="Ttulo1Car"/>
    <w:uiPriority w:val="9"/>
    <w:qFormat/>
    <w:rsid w:val="00A36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styleId="TDC2">
    <w:name w:val="toc 2"/>
    <w:basedOn w:val="Normal"/>
    <w:next w:val="Normal"/>
    <w:autoRedefine/>
    <w:uiPriority w:val="39"/>
    <w:unhideWhenUsed/>
    <w:rsid w:val="00A36064"/>
    <w:pPr>
      <w:spacing w:after="100"/>
      <w:ind w:left="220"/>
    </w:pPr>
  </w:style>
  <w:style w:type="character" w:customStyle="1" w:styleId="Ttulo1Car">
    <w:name w:val="Título 1 Car"/>
    <w:basedOn w:val="Fuentedeprrafopredeter"/>
    <w:link w:val="Ttulo1"/>
    <w:uiPriority w:val="9"/>
    <w:rsid w:val="00A36064"/>
    <w:rPr>
      <w:rFonts w:asciiTheme="majorHAnsi" w:eastAsiaTheme="majorEastAsia" w:hAnsiTheme="majorHAnsi" w:cstheme="majorBidi"/>
      <w:color w:val="2F5496" w:themeColor="accent1" w:themeShade="BF"/>
      <w:kern w:val="0"/>
      <w:sz w:val="32"/>
      <w:szCs w:val="32"/>
      <w:lang w:eastAsia="es-MX"/>
      <w14:ligatures w14:val="none"/>
    </w:rPr>
  </w:style>
  <w:style w:type="paragraph" w:styleId="TtulodeTDC">
    <w:name w:val="TOC Heading"/>
    <w:basedOn w:val="Ttulo1"/>
    <w:next w:val="Normal"/>
    <w:uiPriority w:val="39"/>
    <w:semiHidden/>
    <w:unhideWhenUsed/>
    <w:qFormat/>
    <w:rsid w:val="00A360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441435">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940457104">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093113222">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93A3-D113-49FD-971A-5A5153FC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2326</Words>
  <Characters>12795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4</cp:revision>
  <cp:lastPrinted>2025-03-24T16:35:00Z</cp:lastPrinted>
  <dcterms:created xsi:type="dcterms:W3CDTF">2025-03-24T16:35:00Z</dcterms:created>
  <dcterms:modified xsi:type="dcterms:W3CDTF">2025-04-08T20:38:00Z</dcterms:modified>
</cp:coreProperties>
</file>