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9F7" w:rsidRDefault="002A29F7" w:rsidP="006F6AC6">
      <w:pPr>
        <w:widowControl w:val="0"/>
        <w:pBdr>
          <w:top w:val="nil"/>
          <w:left w:val="nil"/>
          <w:bottom w:val="nil"/>
          <w:right w:val="nil"/>
          <w:between w:val="nil"/>
        </w:pBdr>
        <w:spacing w:line="276" w:lineRule="auto"/>
      </w:pPr>
    </w:p>
    <w:p w:rsidR="002A29F7" w:rsidRDefault="002A29F7" w:rsidP="006F6AC6">
      <w:pPr>
        <w:widowControl w:val="0"/>
        <w:pBdr>
          <w:top w:val="nil"/>
          <w:left w:val="nil"/>
          <w:bottom w:val="nil"/>
          <w:right w:val="nil"/>
          <w:between w:val="nil"/>
        </w:pBdr>
        <w:spacing w:line="276" w:lineRule="auto"/>
      </w:pPr>
    </w:p>
    <w:p w:rsidR="002A29F7" w:rsidRPr="00A61989" w:rsidRDefault="00F12910" w:rsidP="006F6AC6">
      <w:pPr>
        <w:tabs>
          <w:tab w:val="left" w:pos="3465"/>
        </w:tabs>
        <w:spacing w:line="360" w:lineRule="auto"/>
        <w:jc w:val="both"/>
        <w:rPr>
          <w:rFonts w:ascii="Palatino Linotype" w:eastAsia="Palatino Linotype" w:hAnsi="Palatino Linotype" w:cs="Palatino Linotype"/>
        </w:rPr>
      </w:pPr>
      <w:r w:rsidRPr="00A6198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B43AE6" w:rsidRPr="00A61989">
        <w:rPr>
          <w:rFonts w:ascii="Palatino Linotype" w:eastAsia="Palatino Linotype" w:hAnsi="Palatino Linotype" w:cs="Palatino Linotype"/>
        </w:rPr>
        <w:t>diecinueve de febrero de dos mil veinticinco</w:t>
      </w:r>
      <w:r w:rsidRPr="00A61989">
        <w:rPr>
          <w:rFonts w:ascii="Palatino Linotype" w:eastAsia="Palatino Linotype" w:hAnsi="Palatino Linotype" w:cs="Palatino Linotype"/>
        </w:rPr>
        <w:t>.</w:t>
      </w:r>
    </w:p>
    <w:p w:rsidR="002A29F7" w:rsidRPr="00A61989" w:rsidRDefault="002A29F7" w:rsidP="006F6AC6">
      <w:pPr>
        <w:tabs>
          <w:tab w:val="left" w:pos="3465"/>
        </w:tabs>
        <w:spacing w:line="360" w:lineRule="auto"/>
        <w:jc w:val="both"/>
        <w:rPr>
          <w:rFonts w:ascii="Palatino Linotype" w:eastAsia="Palatino Linotype" w:hAnsi="Palatino Linotype" w:cs="Palatino Linotype"/>
        </w:rPr>
      </w:pPr>
    </w:p>
    <w:p w:rsidR="002A29F7" w:rsidRPr="00A61989" w:rsidRDefault="00F12910" w:rsidP="006F6AC6">
      <w:pPr>
        <w:spacing w:line="360" w:lineRule="auto"/>
        <w:jc w:val="both"/>
        <w:rPr>
          <w:rFonts w:ascii="Palatino Linotype" w:eastAsia="Palatino Linotype" w:hAnsi="Palatino Linotype" w:cs="Palatino Linotype"/>
        </w:rPr>
      </w:pPr>
      <w:r w:rsidRPr="00A61989">
        <w:rPr>
          <w:rFonts w:ascii="Palatino Linotype" w:eastAsia="Palatino Linotype" w:hAnsi="Palatino Linotype" w:cs="Palatino Linotype"/>
          <w:b/>
        </w:rPr>
        <w:t xml:space="preserve">VISTAS </w:t>
      </w:r>
      <w:r w:rsidRPr="00A61989">
        <w:rPr>
          <w:rFonts w:ascii="Palatino Linotype" w:eastAsia="Palatino Linotype" w:hAnsi="Palatino Linotype" w:cs="Palatino Linotype"/>
        </w:rPr>
        <w:t xml:space="preserve">las constancias para resolver </w:t>
      </w:r>
      <w:r w:rsidRPr="00A61989">
        <w:rPr>
          <w:rFonts w:ascii="Palatino Linotype" w:eastAsia="Palatino Linotype" w:hAnsi="Palatino Linotype" w:cs="Palatino Linotype"/>
          <w:color w:val="000000"/>
        </w:rPr>
        <w:t xml:space="preserve">los Recursos de Revisión </w:t>
      </w:r>
      <w:r w:rsidR="004D4FFC" w:rsidRPr="00A61989">
        <w:rPr>
          <w:rFonts w:ascii="Palatino Linotype" w:eastAsia="Palatino Linotype" w:hAnsi="Palatino Linotype" w:cs="Palatino Linotype"/>
          <w:b/>
          <w:color w:val="000000"/>
        </w:rPr>
        <w:t>07553/INFOEM/IP/RR/2024 y 07583</w:t>
      </w:r>
      <w:r w:rsidR="00B43AE6" w:rsidRPr="00A61989">
        <w:rPr>
          <w:rFonts w:ascii="Palatino Linotype" w:eastAsia="Palatino Linotype" w:hAnsi="Palatino Linotype" w:cs="Palatino Linotype"/>
          <w:b/>
          <w:color w:val="000000"/>
        </w:rPr>
        <w:t>/INFOEM/IP/RR/2024</w:t>
      </w:r>
      <w:r w:rsidRPr="00A61989">
        <w:rPr>
          <w:rFonts w:ascii="Palatino Linotype" w:eastAsia="Palatino Linotype" w:hAnsi="Palatino Linotype" w:cs="Palatino Linotype"/>
          <w:color w:val="000000"/>
        </w:rPr>
        <w:t xml:space="preserve">, promovidos </w:t>
      </w:r>
      <w:r w:rsidR="00B43AE6" w:rsidRPr="00A61989">
        <w:rPr>
          <w:rFonts w:ascii="Palatino Linotype" w:eastAsia="Palatino Linotype" w:hAnsi="Palatino Linotype" w:cs="Palatino Linotype"/>
        </w:rPr>
        <w:t>por una persona que no proporciono nombre,</w:t>
      </w:r>
      <w:r w:rsidRPr="00A61989">
        <w:rPr>
          <w:rFonts w:ascii="Palatino Linotype" w:eastAsia="Palatino Linotype" w:hAnsi="Palatino Linotype" w:cs="Palatino Linotype"/>
        </w:rPr>
        <w:t xml:space="preserve"> a quien en lo sucesivo se denominará como </w:t>
      </w:r>
      <w:r w:rsidRPr="00A61989">
        <w:rPr>
          <w:rFonts w:ascii="Palatino Linotype" w:eastAsia="Palatino Linotype" w:hAnsi="Palatino Linotype" w:cs="Palatino Linotype"/>
          <w:b/>
        </w:rPr>
        <w:t>RECURRENTE</w:t>
      </w:r>
      <w:r w:rsidRPr="00A61989">
        <w:rPr>
          <w:rFonts w:ascii="Palatino Linotype" w:eastAsia="Palatino Linotype" w:hAnsi="Palatino Linotype" w:cs="Palatino Linotype"/>
        </w:rPr>
        <w:t xml:space="preserve">, en contra de la respuesta otorgada a las solicitudes de información </w:t>
      </w:r>
      <w:r w:rsidR="004D4FFC" w:rsidRPr="00A61989">
        <w:rPr>
          <w:rFonts w:ascii="Palatino Linotype" w:eastAsia="Palatino Linotype" w:hAnsi="Palatino Linotype" w:cs="Palatino Linotype"/>
          <w:b/>
        </w:rPr>
        <w:t xml:space="preserve">00876/SF/IP/2024 </w:t>
      </w:r>
      <w:r w:rsidR="00583AA3" w:rsidRPr="00A61989">
        <w:rPr>
          <w:rFonts w:ascii="Palatino Linotype" w:eastAsia="Palatino Linotype" w:hAnsi="Palatino Linotype" w:cs="Palatino Linotype"/>
          <w:b/>
        </w:rPr>
        <w:t xml:space="preserve">y  </w:t>
      </w:r>
      <w:r w:rsidR="004D4FFC" w:rsidRPr="00A61989">
        <w:rPr>
          <w:rFonts w:ascii="Palatino Linotype" w:eastAsia="Palatino Linotype" w:hAnsi="Palatino Linotype" w:cs="Palatino Linotype"/>
          <w:b/>
        </w:rPr>
        <w:t>00857/SF/IP/2024</w:t>
      </w:r>
      <w:r w:rsidR="005A6730" w:rsidRPr="00A61989">
        <w:rPr>
          <w:rFonts w:ascii="Palatino Linotype" w:eastAsia="Palatino Linotype" w:hAnsi="Palatino Linotype" w:cs="Palatino Linotype"/>
        </w:rPr>
        <w:t xml:space="preserve">, </w:t>
      </w:r>
      <w:r w:rsidR="00583AA3" w:rsidRPr="00A61989">
        <w:rPr>
          <w:rFonts w:ascii="Palatino Linotype" w:eastAsia="Palatino Linotype" w:hAnsi="Palatino Linotype" w:cs="Palatino Linotype"/>
        </w:rPr>
        <w:t xml:space="preserve"> por parte de la </w:t>
      </w:r>
      <w:r w:rsidR="00583AA3" w:rsidRPr="00A61989">
        <w:rPr>
          <w:rFonts w:ascii="Palatino Linotype" w:eastAsia="Palatino Linotype" w:hAnsi="Palatino Linotype" w:cs="Palatino Linotype"/>
          <w:b/>
        </w:rPr>
        <w:t>Secretaría de Finanzas</w:t>
      </w:r>
      <w:r w:rsidRPr="00A61989">
        <w:rPr>
          <w:rFonts w:ascii="Palatino Linotype" w:eastAsia="Palatino Linotype" w:hAnsi="Palatino Linotype" w:cs="Palatino Linotype"/>
          <w:b/>
        </w:rPr>
        <w:t xml:space="preserve">, </w:t>
      </w:r>
      <w:r w:rsidRPr="00A61989">
        <w:rPr>
          <w:rFonts w:ascii="Palatino Linotype" w:eastAsia="Palatino Linotype" w:hAnsi="Palatino Linotype" w:cs="Palatino Linotype"/>
        </w:rPr>
        <w:t xml:space="preserve">en adelante el </w:t>
      </w:r>
      <w:r w:rsidRPr="00A61989">
        <w:rPr>
          <w:rFonts w:ascii="Palatino Linotype" w:eastAsia="Palatino Linotype" w:hAnsi="Palatino Linotype" w:cs="Palatino Linotype"/>
          <w:b/>
        </w:rPr>
        <w:t>SUJETO OBLIGADO</w:t>
      </w:r>
      <w:r w:rsidRPr="00A61989">
        <w:rPr>
          <w:rFonts w:ascii="Palatino Linotype" w:eastAsia="Palatino Linotype" w:hAnsi="Palatino Linotype" w:cs="Palatino Linotype"/>
        </w:rPr>
        <w:t>, se emite la presente resolución con base en los siguientes:</w:t>
      </w:r>
    </w:p>
    <w:p w:rsidR="002A29F7" w:rsidRPr="00A61989" w:rsidRDefault="002A29F7" w:rsidP="006F6AC6">
      <w:pPr>
        <w:jc w:val="both"/>
        <w:rPr>
          <w:rFonts w:ascii="Palatino Linotype" w:eastAsia="Palatino Linotype" w:hAnsi="Palatino Linotype" w:cs="Palatino Linotype"/>
        </w:rPr>
      </w:pPr>
    </w:p>
    <w:p w:rsidR="002A29F7" w:rsidRPr="00A61989" w:rsidRDefault="00F12910" w:rsidP="006F6AC6">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A61989">
        <w:rPr>
          <w:rFonts w:ascii="Palatino Linotype" w:eastAsia="Palatino Linotype" w:hAnsi="Palatino Linotype" w:cs="Palatino Linotype"/>
          <w:b/>
          <w:color w:val="000000"/>
          <w:sz w:val="24"/>
          <w:szCs w:val="24"/>
        </w:rPr>
        <w:t>A N T E C E D E N T E S</w:t>
      </w:r>
    </w:p>
    <w:p w:rsidR="002A29F7" w:rsidRPr="00A61989" w:rsidRDefault="002A29F7" w:rsidP="006F6AC6">
      <w:p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p>
    <w:p w:rsidR="00C52CB2" w:rsidRPr="00A61989" w:rsidRDefault="00F12910" w:rsidP="006F6AC6">
      <w:pPr>
        <w:numPr>
          <w:ilvl w:val="0"/>
          <w:numId w:val="2"/>
        </w:numPr>
        <w:pBdr>
          <w:top w:val="nil"/>
          <w:left w:val="nil"/>
          <w:bottom w:val="nil"/>
          <w:right w:val="nil"/>
          <w:between w:val="nil"/>
        </w:pBdr>
        <w:tabs>
          <w:tab w:val="left" w:pos="0"/>
        </w:tabs>
        <w:spacing w:line="360" w:lineRule="auto"/>
        <w:ind w:left="0" w:firstLine="0"/>
        <w:jc w:val="both"/>
        <w:rPr>
          <w:color w:val="000000"/>
        </w:rPr>
      </w:pPr>
      <w:r w:rsidRPr="00A61989">
        <w:rPr>
          <w:rFonts w:ascii="Palatino Linotype" w:eastAsia="Palatino Linotype" w:hAnsi="Palatino Linotype" w:cs="Palatino Linotype"/>
          <w:color w:val="000000"/>
        </w:rPr>
        <w:t xml:space="preserve">El </w:t>
      </w:r>
      <w:r w:rsidR="00582461" w:rsidRPr="00A61989">
        <w:rPr>
          <w:rFonts w:ascii="Palatino Linotype" w:eastAsia="Palatino Linotype" w:hAnsi="Palatino Linotype" w:cs="Palatino Linotype"/>
          <w:b/>
          <w:color w:val="000000"/>
        </w:rPr>
        <w:t>doce y siete de noviembre</w:t>
      </w:r>
      <w:r w:rsidRPr="00A61989">
        <w:rPr>
          <w:rFonts w:ascii="Palatino Linotype" w:eastAsia="Palatino Linotype" w:hAnsi="Palatino Linotype" w:cs="Palatino Linotype"/>
          <w:b/>
          <w:color w:val="000000"/>
        </w:rPr>
        <w:t xml:space="preserve"> de dos mil veinticuatro</w:t>
      </w:r>
      <w:r w:rsidRPr="00A61989">
        <w:rPr>
          <w:rFonts w:ascii="Palatino Linotype" w:eastAsia="Palatino Linotype" w:hAnsi="Palatino Linotype" w:cs="Palatino Linotype"/>
          <w:color w:val="000000"/>
        </w:rPr>
        <w:t>,</w:t>
      </w:r>
      <w:r w:rsidRPr="00A61989">
        <w:rPr>
          <w:rFonts w:ascii="Palatino Linotype" w:eastAsia="Palatino Linotype" w:hAnsi="Palatino Linotype" w:cs="Palatino Linotype"/>
          <w:b/>
          <w:color w:val="000000"/>
        </w:rPr>
        <w:t xml:space="preserve"> </w:t>
      </w:r>
      <w:r w:rsidRPr="00A61989">
        <w:rPr>
          <w:rFonts w:ascii="Palatino Linotype" w:eastAsia="Palatino Linotype" w:hAnsi="Palatino Linotype" w:cs="Palatino Linotype"/>
          <w:color w:val="000000"/>
        </w:rPr>
        <w:t xml:space="preserve">se presentó ante el Sujeto Obligado vía Sistema de Acceso a la Información Mexiquense, en adelante SAIMEX, </w:t>
      </w:r>
      <w:r w:rsidR="004F5EF5" w:rsidRPr="00A61989">
        <w:rPr>
          <w:rFonts w:ascii="Palatino Linotype" w:eastAsia="Palatino Linotype" w:hAnsi="Palatino Linotype" w:cs="Palatino Linotype"/>
          <w:color w:val="000000"/>
        </w:rPr>
        <w:t xml:space="preserve">las solicitudes de información </w:t>
      </w:r>
      <w:r w:rsidRPr="00A61989">
        <w:rPr>
          <w:rFonts w:ascii="Palatino Linotype" w:eastAsia="Palatino Linotype" w:hAnsi="Palatino Linotype" w:cs="Palatino Linotype"/>
        </w:rPr>
        <w:t>en las que</w:t>
      </w:r>
      <w:r w:rsidR="005B15A0" w:rsidRPr="00A61989">
        <w:rPr>
          <w:rFonts w:ascii="Palatino Linotype" w:eastAsia="Palatino Linotype" w:hAnsi="Palatino Linotype" w:cs="Palatino Linotype"/>
        </w:rPr>
        <w:t xml:space="preserve"> se</w:t>
      </w:r>
      <w:r w:rsidRPr="00A61989">
        <w:rPr>
          <w:rFonts w:ascii="Palatino Linotype" w:eastAsia="Palatino Linotype" w:hAnsi="Palatino Linotype" w:cs="Palatino Linotype"/>
        </w:rPr>
        <w:t xml:space="preserve"> </w:t>
      </w:r>
      <w:r w:rsidR="004F5EF5" w:rsidRPr="00A61989">
        <w:rPr>
          <w:rFonts w:ascii="Palatino Linotype" w:eastAsia="Palatino Linotype" w:hAnsi="Palatino Linotype" w:cs="Palatino Linotype"/>
        </w:rPr>
        <w:t>requirió</w:t>
      </w:r>
      <w:r w:rsidR="005B15A0" w:rsidRPr="00A61989">
        <w:rPr>
          <w:rFonts w:ascii="Palatino Linotype" w:eastAsia="Palatino Linotype" w:hAnsi="Palatino Linotype" w:cs="Palatino Linotype"/>
        </w:rPr>
        <w:t xml:space="preserve"> la</w:t>
      </w:r>
      <w:r w:rsidRPr="00A61989">
        <w:rPr>
          <w:rFonts w:ascii="Palatino Linotype" w:eastAsia="Palatino Linotype" w:hAnsi="Palatino Linotype" w:cs="Palatino Linotype"/>
          <w:color w:val="000000"/>
        </w:rPr>
        <w:t xml:space="preserve"> información pública</w:t>
      </w:r>
      <w:r w:rsidR="005B15A0" w:rsidRPr="00A61989">
        <w:rPr>
          <w:rFonts w:ascii="Palatino Linotype" w:eastAsia="Palatino Linotype" w:hAnsi="Palatino Linotype" w:cs="Palatino Linotype"/>
          <w:color w:val="000000"/>
        </w:rPr>
        <w:t xml:space="preserve"> siguiente</w:t>
      </w:r>
      <w:r w:rsidRPr="00A61989">
        <w:rPr>
          <w:rFonts w:ascii="Palatino Linotype" w:eastAsia="Palatino Linotype" w:hAnsi="Palatino Linotype" w:cs="Palatino Linotype"/>
          <w:color w:val="000000"/>
        </w:rPr>
        <w:t>:</w:t>
      </w:r>
    </w:p>
    <w:p w:rsidR="00B84507" w:rsidRPr="00A61989" w:rsidRDefault="00A44F56" w:rsidP="00EC014C">
      <w:pPr>
        <w:pBdr>
          <w:top w:val="nil"/>
          <w:left w:val="nil"/>
          <w:bottom w:val="nil"/>
          <w:right w:val="nil"/>
          <w:between w:val="nil"/>
        </w:pBdr>
        <w:tabs>
          <w:tab w:val="left" w:pos="0"/>
        </w:tabs>
        <w:jc w:val="both"/>
        <w:rPr>
          <w:color w:val="000000"/>
        </w:rPr>
      </w:pPr>
      <w:r w:rsidRPr="00A61989">
        <w:rPr>
          <w:color w:val="000000"/>
        </w:rPr>
        <w:t xml:space="preserve"> </w:t>
      </w: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6706"/>
      </w:tblGrid>
      <w:tr w:rsidR="00004E18" w:rsidRPr="00A61989" w:rsidTr="00EC014C">
        <w:tc>
          <w:tcPr>
            <w:tcW w:w="2122" w:type="dxa"/>
            <w:shd w:val="clear" w:color="auto" w:fill="D9D9D9" w:themeFill="background1" w:themeFillShade="D9"/>
            <w:vAlign w:val="center"/>
          </w:tcPr>
          <w:p w:rsidR="00004E18" w:rsidRPr="00A61989" w:rsidRDefault="00004E18" w:rsidP="00004E18">
            <w:pPr>
              <w:jc w:val="center"/>
              <w:rPr>
                <w:rFonts w:ascii="Palatino Linotype" w:hAnsi="Palatino Linotype"/>
                <w:b/>
                <w:sz w:val="20"/>
                <w:szCs w:val="20"/>
              </w:rPr>
            </w:pPr>
            <w:r w:rsidRPr="00A61989">
              <w:rPr>
                <w:rFonts w:ascii="Palatino Linotype" w:hAnsi="Palatino Linotype"/>
                <w:b/>
                <w:sz w:val="20"/>
                <w:szCs w:val="20"/>
              </w:rPr>
              <w:t>Número de solicitud</w:t>
            </w:r>
          </w:p>
        </w:tc>
        <w:tc>
          <w:tcPr>
            <w:tcW w:w="6706" w:type="dxa"/>
            <w:shd w:val="clear" w:color="auto" w:fill="D9D9D9" w:themeFill="background1" w:themeFillShade="D9"/>
            <w:vAlign w:val="center"/>
          </w:tcPr>
          <w:p w:rsidR="00004E18" w:rsidRPr="00A61989" w:rsidRDefault="00004E18" w:rsidP="00004E18">
            <w:pPr>
              <w:jc w:val="center"/>
              <w:rPr>
                <w:rFonts w:ascii="Palatino Linotype" w:hAnsi="Palatino Linotype"/>
                <w:b/>
                <w:sz w:val="20"/>
                <w:szCs w:val="20"/>
              </w:rPr>
            </w:pPr>
            <w:r w:rsidRPr="00A61989">
              <w:rPr>
                <w:rFonts w:ascii="Palatino Linotype" w:hAnsi="Palatino Linotype"/>
                <w:b/>
                <w:sz w:val="20"/>
                <w:szCs w:val="20"/>
              </w:rPr>
              <w:t>Información requerida</w:t>
            </w:r>
          </w:p>
        </w:tc>
      </w:tr>
      <w:tr w:rsidR="00004E18" w:rsidRPr="00A61989" w:rsidTr="00EC014C">
        <w:tc>
          <w:tcPr>
            <w:tcW w:w="2122" w:type="dxa"/>
            <w:vAlign w:val="center"/>
          </w:tcPr>
          <w:p w:rsidR="00004E18" w:rsidRPr="00A61989" w:rsidRDefault="005725CD" w:rsidP="00004E18">
            <w:pPr>
              <w:jc w:val="center"/>
              <w:rPr>
                <w:rFonts w:ascii="Palatino Linotype" w:hAnsi="Palatino Linotype"/>
                <w:b/>
                <w:sz w:val="20"/>
                <w:szCs w:val="20"/>
              </w:rPr>
            </w:pPr>
            <w:r w:rsidRPr="00A61989">
              <w:rPr>
                <w:rFonts w:ascii="Palatino Linotype" w:eastAsia="Palatino Linotype" w:hAnsi="Palatino Linotype" w:cs="Palatino Linotype"/>
                <w:b/>
              </w:rPr>
              <w:t>00876/SF/IP/2024</w:t>
            </w:r>
          </w:p>
        </w:tc>
        <w:tc>
          <w:tcPr>
            <w:tcW w:w="6706" w:type="dxa"/>
          </w:tcPr>
          <w:p w:rsidR="00004E18" w:rsidRPr="00A61989" w:rsidRDefault="005725CD" w:rsidP="00004E18">
            <w:pPr>
              <w:jc w:val="both"/>
              <w:rPr>
                <w:rFonts w:ascii="Palatino Linotype" w:eastAsia="Times New Roman" w:hAnsi="Palatino Linotype"/>
                <w:i/>
                <w:sz w:val="20"/>
                <w:szCs w:val="20"/>
                <w:lang w:eastAsia="es-MX"/>
              </w:rPr>
            </w:pPr>
            <w:r w:rsidRPr="00A61989">
              <w:rPr>
                <w:rFonts w:ascii="Palatino Linotype" w:eastAsia="Times New Roman" w:hAnsi="Palatino Linotype"/>
                <w:i/>
                <w:sz w:val="20"/>
                <w:szCs w:val="20"/>
                <w:lang w:eastAsia="es-MX"/>
              </w:rPr>
              <w:t>“SOLICITO TODOS LOS TICKET DE GASOLINA Y CASETAS DEL JEFE DE LA UIPPE DE LA SECRETARÍA DE FINANZAS. MES POR MES, DE OCTUBRE 2023 A OCTUBRE 2024” (Sic)</w:t>
            </w:r>
          </w:p>
        </w:tc>
      </w:tr>
      <w:tr w:rsidR="00004E18" w:rsidRPr="00A61989" w:rsidTr="00EC014C">
        <w:tc>
          <w:tcPr>
            <w:tcW w:w="2122" w:type="dxa"/>
            <w:vAlign w:val="center"/>
          </w:tcPr>
          <w:p w:rsidR="00004E18" w:rsidRPr="00A61989" w:rsidRDefault="005725CD" w:rsidP="00004E18">
            <w:pPr>
              <w:jc w:val="center"/>
              <w:rPr>
                <w:rFonts w:ascii="Palatino Linotype" w:hAnsi="Palatino Linotype"/>
                <w:b/>
                <w:sz w:val="20"/>
                <w:szCs w:val="20"/>
              </w:rPr>
            </w:pPr>
            <w:r w:rsidRPr="00A61989">
              <w:rPr>
                <w:rFonts w:ascii="Palatino Linotype" w:eastAsia="Palatino Linotype" w:hAnsi="Palatino Linotype" w:cs="Palatino Linotype"/>
                <w:b/>
              </w:rPr>
              <w:t>00857/SF/IP/2024</w:t>
            </w:r>
          </w:p>
        </w:tc>
        <w:tc>
          <w:tcPr>
            <w:tcW w:w="6706" w:type="dxa"/>
          </w:tcPr>
          <w:p w:rsidR="00004E18" w:rsidRPr="00A61989" w:rsidRDefault="005725CD" w:rsidP="00004E18">
            <w:pPr>
              <w:jc w:val="both"/>
              <w:rPr>
                <w:rFonts w:ascii="Palatino Linotype" w:eastAsia="Times New Roman" w:hAnsi="Palatino Linotype"/>
                <w:i/>
                <w:sz w:val="20"/>
                <w:szCs w:val="20"/>
                <w:lang w:eastAsia="es-MX"/>
              </w:rPr>
            </w:pPr>
            <w:r w:rsidRPr="00A61989">
              <w:rPr>
                <w:rFonts w:ascii="Palatino Linotype" w:eastAsia="Times New Roman" w:hAnsi="Palatino Linotype"/>
                <w:i/>
                <w:sz w:val="20"/>
                <w:szCs w:val="20"/>
                <w:lang w:eastAsia="es-MX"/>
              </w:rPr>
              <w:t xml:space="preserve">“SOLICITO DEL ÓRGANO INTERNO DE CONTROL DE LA SECRETARÍA DE FINANZAS LAS INSPECCIONES, AUDITORIAS Y </w:t>
            </w:r>
            <w:r w:rsidRPr="00A61989">
              <w:rPr>
                <w:rFonts w:ascii="Palatino Linotype" w:eastAsia="Times New Roman" w:hAnsi="Palatino Linotype"/>
                <w:i/>
                <w:sz w:val="20"/>
                <w:szCs w:val="20"/>
                <w:lang w:eastAsia="es-MX"/>
              </w:rPr>
              <w:lastRenderedPageBreak/>
              <w:t>ARQUEOS PRACTICADOS LOS RECURSOS DE LA CAJA CHICA DE LA UIPPE DE LA SECRETARÍA DE FINANZAS DEL MES DE OCTUBRE DE 2023, AL MES DE OCTUBRE DE 2024,PARA ACLARAR TODO LO QUE SE HA ROBADO MARIO REYES SANTOS Y SUS COMPLICES;JUAN CAMPOS LANDA, ISSAC QUINTANA, RODOLFO LOJERO RUARO, TAMBIÉN SOLICITO LAS FACTURAS FIRMADAS POR MARIO REYES SANTOS Y LA EVIDENCIA DE LO GASTADO CON LA CAJA CHICA DEL MES DE OCTUBRE DE 2023 A OCTUBRE DE 2024.” (Sic)</w:t>
            </w:r>
          </w:p>
        </w:tc>
      </w:tr>
    </w:tbl>
    <w:p w:rsidR="00004E18" w:rsidRPr="00A61989" w:rsidRDefault="00004E18" w:rsidP="006F6AC6">
      <w:pPr>
        <w:pBdr>
          <w:top w:val="nil"/>
          <w:left w:val="nil"/>
          <w:bottom w:val="nil"/>
          <w:right w:val="nil"/>
          <w:between w:val="nil"/>
        </w:pBdr>
        <w:jc w:val="both"/>
        <w:rPr>
          <w:rFonts w:ascii="Palatino Linotype" w:eastAsia="Palatino Linotype" w:hAnsi="Palatino Linotype" w:cs="Palatino Linotype"/>
          <w:color w:val="000000"/>
        </w:rPr>
      </w:pPr>
    </w:p>
    <w:p w:rsidR="002A29F7" w:rsidRPr="00A61989" w:rsidRDefault="002A29F7" w:rsidP="006F6AC6">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rPr>
      </w:pPr>
    </w:p>
    <w:p w:rsidR="002A29F7" w:rsidRPr="00A61989" w:rsidRDefault="00F12910" w:rsidP="006F6AC6">
      <w:pPr>
        <w:numPr>
          <w:ilvl w:val="0"/>
          <w:numId w:val="10"/>
        </w:num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color w:val="000000"/>
        </w:rPr>
      </w:pPr>
      <w:r w:rsidRPr="00A61989">
        <w:rPr>
          <w:rFonts w:ascii="Palatino Linotype" w:eastAsia="Palatino Linotype" w:hAnsi="Palatino Linotype" w:cs="Palatino Linotype"/>
          <w:color w:val="000000"/>
        </w:rPr>
        <w:t xml:space="preserve">Se eligió como modalidad de entrega de la información: A través del </w:t>
      </w:r>
      <w:r w:rsidRPr="00A61989">
        <w:rPr>
          <w:rFonts w:ascii="Palatino Linotype" w:eastAsia="Palatino Linotype" w:hAnsi="Palatino Linotype" w:cs="Palatino Linotype"/>
          <w:b/>
          <w:color w:val="000000"/>
        </w:rPr>
        <w:t>SAIMEX.</w:t>
      </w:r>
    </w:p>
    <w:p w:rsidR="002A29F7" w:rsidRPr="00A61989" w:rsidRDefault="002A29F7" w:rsidP="006F6AC6">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u w:val="single"/>
        </w:rPr>
      </w:pPr>
    </w:p>
    <w:p w:rsidR="002A29F7" w:rsidRPr="00A61989" w:rsidRDefault="00F12910" w:rsidP="006F6AC6">
      <w:pPr>
        <w:numPr>
          <w:ilvl w:val="0"/>
          <w:numId w:val="2"/>
        </w:numPr>
        <w:pBdr>
          <w:top w:val="nil"/>
          <w:left w:val="nil"/>
          <w:bottom w:val="nil"/>
          <w:right w:val="nil"/>
          <w:between w:val="nil"/>
        </w:pBdr>
        <w:tabs>
          <w:tab w:val="left" w:pos="0"/>
        </w:tabs>
        <w:spacing w:line="360" w:lineRule="auto"/>
        <w:ind w:left="0" w:firstLine="0"/>
        <w:jc w:val="both"/>
        <w:rPr>
          <w:color w:val="000000"/>
        </w:rPr>
      </w:pPr>
      <w:r w:rsidRPr="00A61989">
        <w:rPr>
          <w:rFonts w:ascii="Palatino Linotype" w:eastAsia="Palatino Linotype" w:hAnsi="Palatino Linotype" w:cs="Palatino Linotype"/>
          <w:color w:val="000000"/>
        </w:rPr>
        <w:t>El</w:t>
      </w:r>
      <w:r w:rsidRPr="00A61989">
        <w:rPr>
          <w:rFonts w:ascii="Palatino Linotype" w:eastAsia="Palatino Linotype" w:hAnsi="Palatino Linotype" w:cs="Palatino Linotype"/>
          <w:b/>
          <w:color w:val="000000"/>
        </w:rPr>
        <w:t xml:space="preserve"> </w:t>
      </w:r>
      <w:r w:rsidR="00234E9F" w:rsidRPr="00A61989">
        <w:rPr>
          <w:rFonts w:ascii="Palatino Linotype" w:eastAsia="Palatino Linotype" w:hAnsi="Palatino Linotype" w:cs="Palatino Linotype"/>
          <w:b/>
          <w:color w:val="000000"/>
        </w:rPr>
        <w:t>cuatro de diciembre y veintinueve de noviembre</w:t>
      </w:r>
      <w:r w:rsidRPr="00A61989">
        <w:rPr>
          <w:rFonts w:ascii="Palatino Linotype" w:eastAsia="Palatino Linotype" w:hAnsi="Palatino Linotype" w:cs="Palatino Linotype"/>
          <w:b/>
          <w:color w:val="000000"/>
        </w:rPr>
        <w:t xml:space="preserve"> de dos mil veinticuatro</w:t>
      </w:r>
      <w:r w:rsidRPr="00A61989">
        <w:rPr>
          <w:rFonts w:ascii="Palatino Linotype" w:eastAsia="Palatino Linotype" w:hAnsi="Palatino Linotype" w:cs="Palatino Linotype"/>
          <w:color w:val="000000"/>
        </w:rPr>
        <w:t>, el Sujeto Obligado</w:t>
      </w:r>
      <w:r w:rsidRPr="00A61989">
        <w:rPr>
          <w:rFonts w:ascii="Palatino Linotype" w:eastAsia="Palatino Linotype" w:hAnsi="Palatino Linotype" w:cs="Palatino Linotype"/>
          <w:b/>
          <w:color w:val="000000"/>
        </w:rPr>
        <w:t>,</w:t>
      </w:r>
      <w:r w:rsidRPr="00A61989">
        <w:rPr>
          <w:rFonts w:ascii="Palatino Linotype" w:eastAsia="Palatino Linotype" w:hAnsi="Palatino Linotype" w:cs="Palatino Linotype"/>
          <w:color w:val="000000"/>
        </w:rPr>
        <w:t xml:space="preserve"> dio respuesta a través de los siguientes archivos electrónicos</w:t>
      </w:r>
      <w:r w:rsidRPr="00A61989">
        <w:rPr>
          <w:rFonts w:ascii="Palatino Linotype" w:eastAsia="Palatino Linotype" w:hAnsi="Palatino Linotype" w:cs="Palatino Linotype"/>
          <w:b/>
          <w:i/>
          <w:color w:val="000000"/>
        </w:rPr>
        <w:t>:</w:t>
      </w:r>
    </w:p>
    <w:p w:rsidR="002A29F7" w:rsidRPr="00A61989" w:rsidRDefault="002A29F7" w:rsidP="006F6AC6">
      <w:pPr>
        <w:pBdr>
          <w:top w:val="nil"/>
          <w:left w:val="nil"/>
          <w:bottom w:val="nil"/>
          <w:right w:val="nil"/>
          <w:between w:val="nil"/>
        </w:pBdr>
        <w:tabs>
          <w:tab w:val="left" w:pos="0"/>
        </w:tabs>
        <w:jc w:val="both"/>
        <w:rPr>
          <w:rFonts w:ascii="Palatino Linotype" w:eastAsia="Palatino Linotype" w:hAnsi="Palatino Linotype" w:cs="Palatino Linotype"/>
          <w:i/>
          <w:color w:val="000000"/>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30"/>
        <w:gridCol w:w="6798"/>
      </w:tblGrid>
      <w:tr w:rsidR="00C52CB2" w:rsidRPr="00A61989" w:rsidTr="00A0769B">
        <w:tc>
          <w:tcPr>
            <w:tcW w:w="2030" w:type="dxa"/>
            <w:shd w:val="clear" w:color="auto" w:fill="D9D9D9" w:themeFill="background1" w:themeFillShade="D9"/>
            <w:vAlign w:val="center"/>
          </w:tcPr>
          <w:p w:rsidR="00C52CB2" w:rsidRPr="00A61989" w:rsidRDefault="00C52CB2" w:rsidP="00790F55">
            <w:pPr>
              <w:jc w:val="center"/>
              <w:rPr>
                <w:rFonts w:ascii="Palatino Linotype" w:hAnsi="Palatino Linotype"/>
                <w:b/>
                <w:sz w:val="20"/>
                <w:szCs w:val="20"/>
              </w:rPr>
            </w:pPr>
            <w:r w:rsidRPr="00A61989">
              <w:rPr>
                <w:rFonts w:ascii="Palatino Linotype" w:hAnsi="Palatino Linotype"/>
                <w:b/>
                <w:sz w:val="20"/>
                <w:szCs w:val="20"/>
              </w:rPr>
              <w:t>Número de solicitud</w:t>
            </w:r>
          </w:p>
        </w:tc>
        <w:tc>
          <w:tcPr>
            <w:tcW w:w="6798" w:type="dxa"/>
            <w:shd w:val="clear" w:color="auto" w:fill="D9D9D9" w:themeFill="background1" w:themeFillShade="D9"/>
            <w:vAlign w:val="center"/>
          </w:tcPr>
          <w:p w:rsidR="00C52CB2" w:rsidRPr="00A61989" w:rsidRDefault="00C52CB2" w:rsidP="00790F55">
            <w:pPr>
              <w:jc w:val="center"/>
              <w:rPr>
                <w:rFonts w:ascii="Palatino Linotype" w:hAnsi="Palatino Linotype"/>
                <w:b/>
                <w:sz w:val="20"/>
                <w:szCs w:val="20"/>
              </w:rPr>
            </w:pPr>
            <w:r w:rsidRPr="00A61989">
              <w:rPr>
                <w:rFonts w:ascii="Palatino Linotype" w:hAnsi="Palatino Linotype"/>
                <w:b/>
                <w:sz w:val="20"/>
                <w:szCs w:val="20"/>
              </w:rPr>
              <w:t>Respuesta</w:t>
            </w:r>
          </w:p>
        </w:tc>
      </w:tr>
      <w:tr w:rsidR="00A0769B" w:rsidRPr="00A61989" w:rsidTr="00A0769B">
        <w:tc>
          <w:tcPr>
            <w:tcW w:w="2030" w:type="dxa"/>
            <w:vAlign w:val="center"/>
          </w:tcPr>
          <w:p w:rsidR="00A0769B" w:rsidRPr="00A61989" w:rsidRDefault="00234E9F" w:rsidP="00A0769B">
            <w:pPr>
              <w:jc w:val="center"/>
              <w:rPr>
                <w:rFonts w:ascii="Palatino Linotype" w:hAnsi="Palatino Linotype"/>
                <w:b/>
                <w:sz w:val="20"/>
                <w:szCs w:val="20"/>
              </w:rPr>
            </w:pPr>
            <w:r w:rsidRPr="00A61989">
              <w:rPr>
                <w:rFonts w:ascii="Palatino Linotype" w:eastAsia="Palatino Linotype" w:hAnsi="Palatino Linotype" w:cs="Palatino Linotype"/>
                <w:b/>
              </w:rPr>
              <w:t>00876/SF/IP/2024</w:t>
            </w:r>
          </w:p>
        </w:tc>
        <w:tc>
          <w:tcPr>
            <w:tcW w:w="6798" w:type="dxa"/>
          </w:tcPr>
          <w:p w:rsidR="00234E9F" w:rsidRPr="00A61989" w:rsidRDefault="00234E9F" w:rsidP="00234E9F">
            <w:pPr>
              <w:jc w:val="both"/>
              <w:rPr>
                <w:rFonts w:ascii="Palatino Linotype" w:eastAsia="Times New Roman" w:hAnsi="Palatino Linotype"/>
                <w:b/>
                <w:i/>
                <w:sz w:val="20"/>
                <w:szCs w:val="20"/>
                <w:lang w:eastAsia="es-MX"/>
              </w:rPr>
            </w:pPr>
            <w:r w:rsidRPr="00A61989">
              <w:rPr>
                <w:rFonts w:ascii="Palatino Linotype" w:eastAsia="Times New Roman" w:hAnsi="Palatino Linotype"/>
                <w:b/>
                <w:i/>
                <w:sz w:val="20"/>
                <w:szCs w:val="20"/>
                <w:lang w:eastAsia="es-MX"/>
              </w:rPr>
              <w:t>00876 UIPPE.pdf</w:t>
            </w:r>
          </w:p>
          <w:p w:rsidR="00234E9F" w:rsidRPr="00A61989" w:rsidRDefault="00234E9F" w:rsidP="00234E9F">
            <w:pPr>
              <w:jc w:val="both"/>
              <w:rPr>
                <w:rFonts w:ascii="Palatino Linotype" w:eastAsia="Times New Roman" w:hAnsi="Palatino Linotype"/>
                <w:sz w:val="20"/>
                <w:szCs w:val="20"/>
                <w:lang w:eastAsia="es-MX"/>
              </w:rPr>
            </w:pPr>
            <w:r w:rsidRPr="00A61989">
              <w:rPr>
                <w:rFonts w:ascii="Palatino Linotype" w:eastAsia="Times New Roman" w:hAnsi="Palatino Linotype"/>
                <w:sz w:val="20"/>
                <w:szCs w:val="20"/>
                <w:lang w:eastAsia="es-MX"/>
              </w:rPr>
              <w:t xml:space="preserve">Oficio </w:t>
            </w:r>
            <w:r w:rsidR="00C858E0" w:rsidRPr="00A61989">
              <w:rPr>
                <w:rFonts w:ascii="Palatino Linotype" w:eastAsia="Times New Roman" w:hAnsi="Palatino Linotype"/>
                <w:sz w:val="20"/>
                <w:szCs w:val="20"/>
                <w:lang w:eastAsia="es-MX"/>
              </w:rPr>
              <w:t xml:space="preserve">de fecha 14 de noviembre de 2024, </w:t>
            </w:r>
            <w:r w:rsidRPr="00A61989">
              <w:rPr>
                <w:rFonts w:ascii="Palatino Linotype" w:eastAsia="Times New Roman" w:hAnsi="Palatino Linotype"/>
                <w:sz w:val="20"/>
                <w:szCs w:val="20"/>
                <w:lang w:eastAsia="es-MX"/>
              </w:rPr>
              <w:t>firmado por la Servidora Pública Habilitada de la Unidad de Información, Planeación, Programación y Evaluación</w:t>
            </w:r>
            <w:r w:rsidR="00B82B1D" w:rsidRPr="00A61989">
              <w:rPr>
                <w:rFonts w:ascii="Palatino Linotype" w:eastAsia="Times New Roman" w:hAnsi="Palatino Linotype"/>
                <w:sz w:val="20"/>
                <w:szCs w:val="20"/>
                <w:lang w:eastAsia="es-MX"/>
              </w:rPr>
              <w:t>, en el que menciona que después de una búsqueda exhaustiva y razonable en los archivos de esa unidad administrativa, no se cuenta con la información requerida por el solicitante, ya que no es atribución de esa área.</w:t>
            </w:r>
          </w:p>
          <w:p w:rsidR="00C858E0" w:rsidRPr="00A61989" w:rsidRDefault="00C858E0" w:rsidP="00234E9F">
            <w:pPr>
              <w:jc w:val="both"/>
              <w:rPr>
                <w:rFonts w:ascii="Palatino Linotype" w:eastAsia="Times New Roman" w:hAnsi="Palatino Linotype"/>
                <w:sz w:val="20"/>
                <w:szCs w:val="20"/>
                <w:lang w:eastAsia="es-MX"/>
              </w:rPr>
            </w:pPr>
          </w:p>
          <w:p w:rsidR="00234E9F" w:rsidRPr="00A61989" w:rsidRDefault="00234E9F" w:rsidP="00234E9F">
            <w:pPr>
              <w:jc w:val="both"/>
              <w:rPr>
                <w:rFonts w:ascii="Palatino Linotype" w:eastAsia="Times New Roman" w:hAnsi="Palatino Linotype"/>
                <w:b/>
                <w:i/>
                <w:sz w:val="20"/>
                <w:szCs w:val="20"/>
                <w:lang w:eastAsia="es-MX"/>
              </w:rPr>
            </w:pPr>
            <w:r w:rsidRPr="00A61989">
              <w:rPr>
                <w:rFonts w:ascii="Palatino Linotype" w:eastAsia="Times New Roman" w:hAnsi="Palatino Linotype"/>
                <w:b/>
                <w:i/>
                <w:sz w:val="20"/>
                <w:szCs w:val="20"/>
                <w:lang w:eastAsia="es-MX"/>
              </w:rPr>
              <w:t>00876 COORDINACION ADMINISTRATIVA.pdf</w:t>
            </w:r>
          </w:p>
          <w:p w:rsidR="00C858E0" w:rsidRPr="00A61989" w:rsidRDefault="00C858E0" w:rsidP="00234E9F">
            <w:pPr>
              <w:jc w:val="both"/>
              <w:rPr>
                <w:rFonts w:ascii="Palatino Linotype" w:eastAsia="Times New Roman" w:hAnsi="Palatino Linotype"/>
                <w:sz w:val="20"/>
                <w:szCs w:val="20"/>
                <w:lang w:eastAsia="es-MX"/>
              </w:rPr>
            </w:pPr>
            <w:r w:rsidRPr="00A61989">
              <w:rPr>
                <w:rFonts w:ascii="Palatino Linotype" w:eastAsia="Times New Roman" w:hAnsi="Palatino Linotype"/>
                <w:sz w:val="20"/>
                <w:szCs w:val="20"/>
                <w:lang w:eastAsia="es-MX"/>
              </w:rPr>
              <w:t xml:space="preserve">Oficio 20700002000100S/IP/0351/2024 de fecha 28 de noviembre de 2024 a través del cual la Servidora Pública Habilitada Suplente de la Coordinación Administrativa, </w:t>
            </w:r>
            <w:r w:rsidR="00106665" w:rsidRPr="00A61989">
              <w:rPr>
                <w:rFonts w:ascii="Palatino Linotype" w:eastAsia="Times New Roman" w:hAnsi="Palatino Linotype"/>
                <w:sz w:val="20"/>
                <w:szCs w:val="20"/>
                <w:lang w:eastAsia="es-MX"/>
              </w:rPr>
              <w:t>informa que en referencia los tickets de gasolina el vehículo que tiene asignado el jefe de la UIPPE no tiene asignación de combustible; en lo que respecta a tickets de casetas, en es</w:t>
            </w:r>
            <w:r w:rsidR="00C67EB1" w:rsidRPr="00A61989">
              <w:rPr>
                <w:rFonts w:ascii="Palatino Linotype" w:eastAsia="Times New Roman" w:hAnsi="Palatino Linotype"/>
                <w:sz w:val="20"/>
                <w:szCs w:val="20"/>
                <w:lang w:eastAsia="es-MX"/>
              </w:rPr>
              <w:t>a Coordinación Administrativa no cuentan con la información por lo que no es posible proporcionar lo solicitado.</w:t>
            </w:r>
          </w:p>
          <w:p w:rsidR="00454890" w:rsidRPr="00A61989" w:rsidRDefault="00454890" w:rsidP="00234E9F">
            <w:pPr>
              <w:jc w:val="both"/>
              <w:rPr>
                <w:rFonts w:ascii="Palatino Linotype" w:eastAsia="Times New Roman" w:hAnsi="Palatino Linotype"/>
                <w:sz w:val="20"/>
                <w:szCs w:val="20"/>
                <w:lang w:eastAsia="es-MX"/>
              </w:rPr>
            </w:pPr>
          </w:p>
          <w:p w:rsidR="006F4368" w:rsidRPr="00A61989" w:rsidRDefault="00234E9F" w:rsidP="00234E9F">
            <w:pPr>
              <w:jc w:val="both"/>
              <w:rPr>
                <w:rFonts w:ascii="Palatino Linotype" w:eastAsia="Times New Roman" w:hAnsi="Palatino Linotype"/>
                <w:b/>
                <w:i/>
                <w:sz w:val="20"/>
                <w:szCs w:val="20"/>
                <w:lang w:eastAsia="es-MX"/>
              </w:rPr>
            </w:pPr>
            <w:r w:rsidRPr="00A61989">
              <w:rPr>
                <w:rFonts w:ascii="Palatino Linotype" w:eastAsia="Times New Roman" w:hAnsi="Palatino Linotype"/>
                <w:b/>
                <w:i/>
                <w:sz w:val="20"/>
                <w:szCs w:val="20"/>
                <w:lang w:eastAsia="es-MX"/>
              </w:rPr>
              <w:t>00876 SOLICITANTE.pdf</w:t>
            </w:r>
          </w:p>
          <w:p w:rsidR="00454890" w:rsidRPr="00A61989" w:rsidRDefault="00454890" w:rsidP="00234E9F">
            <w:pPr>
              <w:jc w:val="both"/>
              <w:rPr>
                <w:rFonts w:ascii="Palatino Linotype" w:eastAsia="Times New Roman" w:hAnsi="Palatino Linotype"/>
                <w:sz w:val="20"/>
                <w:szCs w:val="20"/>
                <w:lang w:eastAsia="es-MX"/>
              </w:rPr>
            </w:pPr>
            <w:r w:rsidRPr="00A61989">
              <w:rPr>
                <w:rFonts w:ascii="Palatino Linotype" w:eastAsia="Times New Roman" w:hAnsi="Palatino Linotype"/>
                <w:sz w:val="20"/>
                <w:szCs w:val="20"/>
                <w:lang w:eastAsia="es-MX"/>
              </w:rPr>
              <w:lastRenderedPageBreak/>
              <w:t>Oficio 20700004S/UT-2498/2024 de fecha 29 de noviembre de 2024, a través del cual el Jefe de la UIPPE y Titular de la Unidad de Transparencia en el que remite los oficios de respuesta.</w:t>
            </w:r>
          </w:p>
        </w:tc>
      </w:tr>
      <w:tr w:rsidR="00A0769B" w:rsidRPr="00A61989" w:rsidTr="00A0769B">
        <w:tc>
          <w:tcPr>
            <w:tcW w:w="2030" w:type="dxa"/>
            <w:vAlign w:val="center"/>
          </w:tcPr>
          <w:p w:rsidR="00A0769B" w:rsidRPr="00A61989" w:rsidRDefault="00234E9F" w:rsidP="00A0769B">
            <w:pPr>
              <w:jc w:val="center"/>
              <w:rPr>
                <w:rFonts w:ascii="Palatino Linotype" w:hAnsi="Palatino Linotype"/>
                <w:b/>
                <w:sz w:val="20"/>
                <w:szCs w:val="20"/>
              </w:rPr>
            </w:pPr>
            <w:r w:rsidRPr="00A61989">
              <w:rPr>
                <w:rFonts w:ascii="Palatino Linotype" w:eastAsia="Palatino Linotype" w:hAnsi="Palatino Linotype" w:cs="Palatino Linotype"/>
                <w:b/>
              </w:rPr>
              <w:lastRenderedPageBreak/>
              <w:t>00857/SF/IP/2024</w:t>
            </w:r>
          </w:p>
        </w:tc>
        <w:tc>
          <w:tcPr>
            <w:tcW w:w="6798" w:type="dxa"/>
          </w:tcPr>
          <w:p w:rsidR="00454890" w:rsidRPr="00A61989" w:rsidRDefault="00454890" w:rsidP="00DB300B">
            <w:pPr>
              <w:tabs>
                <w:tab w:val="left" w:pos="1752"/>
              </w:tabs>
              <w:jc w:val="both"/>
              <w:rPr>
                <w:rFonts w:ascii="Palatino Linotype" w:eastAsia="Times New Roman" w:hAnsi="Palatino Linotype"/>
                <w:b/>
                <w:i/>
                <w:sz w:val="20"/>
                <w:szCs w:val="20"/>
                <w:lang w:eastAsia="es-MX"/>
              </w:rPr>
            </w:pPr>
            <w:r w:rsidRPr="00A61989">
              <w:rPr>
                <w:rFonts w:ascii="Palatino Linotype" w:eastAsia="Times New Roman" w:hAnsi="Palatino Linotype"/>
                <w:b/>
                <w:i/>
                <w:sz w:val="20"/>
                <w:szCs w:val="20"/>
                <w:lang w:eastAsia="es-MX"/>
              </w:rPr>
              <w:t>00857 OIC.pdf</w:t>
            </w:r>
          </w:p>
          <w:p w:rsidR="00DB300B" w:rsidRPr="00A61989" w:rsidRDefault="00DB300B" w:rsidP="00DB300B">
            <w:pPr>
              <w:pStyle w:val="Prrafodelista"/>
              <w:numPr>
                <w:ilvl w:val="0"/>
                <w:numId w:val="26"/>
              </w:numPr>
              <w:tabs>
                <w:tab w:val="left" w:pos="1752"/>
              </w:tabs>
              <w:ind w:left="267"/>
              <w:jc w:val="both"/>
              <w:rPr>
                <w:rFonts w:ascii="Palatino Linotype" w:eastAsia="Times New Roman" w:hAnsi="Palatino Linotype"/>
                <w:sz w:val="20"/>
                <w:szCs w:val="20"/>
                <w:lang w:eastAsia="es-MX"/>
              </w:rPr>
            </w:pPr>
            <w:r w:rsidRPr="00A61989">
              <w:rPr>
                <w:rFonts w:ascii="Palatino Linotype" w:eastAsia="Times New Roman" w:hAnsi="Palatino Linotype"/>
                <w:sz w:val="20"/>
                <w:szCs w:val="20"/>
                <w:lang w:eastAsia="es-MX"/>
              </w:rPr>
              <w:t>Oficio 20700003000500S-1178/2024 de fecha 12 de noviembre de 2024, firmado por el Servidor Público Habilitado en el Órgano Interno de Control, en el que anexa los oficios de respuesta de las áreas de auditoría del Órgano Interno de Control, señalando que no se cuenta con información relacionada con la solicitud de información.</w:t>
            </w:r>
          </w:p>
          <w:p w:rsidR="00DB300B" w:rsidRPr="00A61989" w:rsidRDefault="00DB300B" w:rsidP="00DB300B">
            <w:pPr>
              <w:pStyle w:val="Prrafodelista"/>
              <w:tabs>
                <w:tab w:val="left" w:pos="1752"/>
              </w:tabs>
              <w:ind w:left="267"/>
              <w:jc w:val="both"/>
              <w:rPr>
                <w:rFonts w:ascii="Palatino Linotype" w:eastAsia="Times New Roman" w:hAnsi="Palatino Linotype"/>
                <w:sz w:val="20"/>
                <w:szCs w:val="20"/>
                <w:lang w:eastAsia="es-MX"/>
              </w:rPr>
            </w:pPr>
          </w:p>
          <w:p w:rsidR="00DB300B" w:rsidRPr="00A61989" w:rsidRDefault="00DB300B" w:rsidP="00DB300B">
            <w:pPr>
              <w:pStyle w:val="Prrafodelista"/>
              <w:numPr>
                <w:ilvl w:val="0"/>
                <w:numId w:val="26"/>
              </w:numPr>
              <w:tabs>
                <w:tab w:val="left" w:pos="1752"/>
              </w:tabs>
              <w:ind w:left="267"/>
              <w:jc w:val="both"/>
              <w:rPr>
                <w:rFonts w:ascii="Palatino Linotype" w:eastAsia="Times New Roman" w:hAnsi="Palatino Linotype"/>
                <w:sz w:val="20"/>
                <w:szCs w:val="20"/>
                <w:lang w:eastAsia="es-MX"/>
              </w:rPr>
            </w:pPr>
            <w:r w:rsidRPr="00A61989">
              <w:rPr>
                <w:rFonts w:ascii="Palatino Linotype" w:eastAsia="Times New Roman" w:hAnsi="Palatino Linotype"/>
                <w:sz w:val="20"/>
                <w:szCs w:val="20"/>
                <w:lang w:eastAsia="es-MX"/>
              </w:rPr>
              <w:t>Oficio 20700003000100S-474/2024 de fecha 11 de noviembre de 2024, a través del cual el Titular del Área de Auditoría en el Órgano Interno de Control manifestó que se realizó la búsqueda de la información solicitada y no se encontró información al respecto.</w:t>
            </w:r>
          </w:p>
          <w:p w:rsidR="008F789D" w:rsidRPr="00A61989" w:rsidRDefault="008F789D" w:rsidP="008F789D">
            <w:pPr>
              <w:pStyle w:val="Prrafodelista"/>
              <w:tabs>
                <w:tab w:val="left" w:pos="1752"/>
              </w:tabs>
              <w:ind w:left="267"/>
              <w:jc w:val="both"/>
              <w:rPr>
                <w:rFonts w:ascii="Palatino Linotype" w:eastAsia="Times New Roman" w:hAnsi="Palatino Linotype"/>
                <w:sz w:val="20"/>
                <w:szCs w:val="20"/>
                <w:lang w:eastAsia="es-MX"/>
              </w:rPr>
            </w:pPr>
          </w:p>
          <w:p w:rsidR="008F789D" w:rsidRPr="00A61989" w:rsidRDefault="008F789D" w:rsidP="00DB300B">
            <w:pPr>
              <w:pStyle w:val="Prrafodelista"/>
              <w:numPr>
                <w:ilvl w:val="0"/>
                <w:numId w:val="26"/>
              </w:numPr>
              <w:tabs>
                <w:tab w:val="left" w:pos="1752"/>
              </w:tabs>
              <w:ind w:left="267"/>
              <w:jc w:val="both"/>
              <w:rPr>
                <w:rFonts w:ascii="Palatino Linotype" w:eastAsia="Times New Roman" w:hAnsi="Palatino Linotype"/>
                <w:sz w:val="20"/>
                <w:szCs w:val="20"/>
                <w:lang w:eastAsia="es-MX"/>
              </w:rPr>
            </w:pPr>
            <w:r w:rsidRPr="00A61989">
              <w:rPr>
                <w:rFonts w:ascii="Palatino Linotype" w:eastAsia="Times New Roman" w:hAnsi="Palatino Linotype"/>
                <w:sz w:val="20"/>
                <w:szCs w:val="20"/>
                <w:lang w:eastAsia="es-MX"/>
              </w:rPr>
              <w:t>Oficio 20700003000200S-404/2024 de fecha 11 de noviembre de 2024, a través del cual el Titular del Área de Auditoría en el Órgano Interno de Control, manifiesta que después de haber realizado un búsqueda en los archivos de esa área, no se cuenta con información de inspecciones, auditorías y arqueos practicados a la caja chica de la Unidad de Información, Planeación, Programación y Evaluación de la Secretaría de Finanzas, de octubre de 2023 a octubre de 2024.</w:t>
            </w:r>
          </w:p>
          <w:p w:rsidR="008F789D" w:rsidRPr="00A61989" w:rsidRDefault="008F789D" w:rsidP="008F789D">
            <w:pPr>
              <w:pStyle w:val="Prrafodelista"/>
              <w:tabs>
                <w:tab w:val="left" w:pos="1752"/>
              </w:tabs>
              <w:ind w:left="267"/>
              <w:jc w:val="both"/>
              <w:rPr>
                <w:rFonts w:ascii="Palatino Linotype" w:eastAsia="Times New Roman" w:hAnsi="Palatino Linotype"/>
                <w:sz w:val="20"/>
                <w:szCs w:val="20"/>
                <w:lang w:eastAsia="es-MX"/>
              </w:rPr>
            </w:pPr>
          </w:p>
          <w:p w:rsidR="008F789D" w:rsidRPr="00A61989" w:rsidRDefault="008F789D" w:rsidP="00DB300B">
            <w:pPr>
              <w:pStyle w:val="Prrafodelista"/>
              <w:numPr>
                <w:ilvl w:val="0"/>
                <w:numId w:val="26"/>
              </w:numPr>
              <w:tabs>
                <w:tab w:val="left" w:pos="1752"/>
              </w:tabs>
              <w:ind w:left="267"/>
              <w:jc w:val="both"/>
              <w:rPr>
                <w:rFonts w:ascii="Palatino Linotype" w:eastAsia="Times New Roman" w:hAnsi="Palatino Linotype"/>
                <w:sz w:val="20"/>
                <w:szCs w:val="20"/>
                <w:lang w:eastAsia="es-MX"/>
              </w:rPr>
            </w:pPr>
            <w:r w:rsidRPr="00A61989">
              <w:rPr>
                <w:rFonts w:ascii="Palatino Linotype" w:eastAsia="Times New Roman" w:hAnsi="Palatino Linotype"/>
                <w:sz w:val="20"/>
                <w:szCs w:val="20"/>
                <w:lang w:eastAsia="es-MX"/>
              </w:rPr>
              <w:t>Oficio 20700003000300S-607/2024 de fecha 11 de noviembre de 2024, a través del cual el Titular del Área de Auditoría, manifiesta que después de una búsqueda exhaustiva y razonable de la información en los archivos de esa área de autoría y departamentos de auditoría, no se cuenta con la información solicitada.</w:t>
            </w:r>
          </w:p>
          <w:p w:rsidR="00454890" w:rsidRPr="00A61989" w:rsidRDefault="00454890" w:rsidP="00454890">
            <w:pPr>
              <w:jc w:val="both"/>
              <w:rPr>
                <w:rFonts w:ascii="Palatino Linotype" w:eastAsia="Times New Roman" w:hAnsi="Palatino Linotype"/>
                <w:b/>
                <w:i/>
                <w:sz w:val="20"/>
                <w:szCs w:val="20"/>
                <w:lang w:eastAsia="es-MX"/>
              </w:rPr>
            </w:pPr>
          </w:p>
          <w:p w:rsidR="00454890" w:rsidRPr="00A61989" w:rsidRDefault="00454890" w:rsidP="00454890">
            <w:pPr>
              <w:jc w:val="both"/>
              <w:rPr>
                <w:rFonts w:ascii="Palatino Linotype" w:eastAsia="Times New Roman" w:hAnsi="Palatino Linotype"/>
                <w:b/>
                <w:i/>
                <w:sz w:val="20"/>
                <w:szCs w:val="20"/>
                <w:lang w:eastAsia="es-MX"/>
              </w:rPr>
            </w:pPr>
            <w:r w:rsidRPr="00A61989">
              <w:rPr>
                <w:rFonts w:ascii="Palatino Linotype" w:eastAsia="Times New Roman" w:hAnsi="Palatino Linotype"/>
                <w:b/>
                <w:i/>
                <w:sz w:val="20"/>
                <w:szCs w:val="20"/>
                <w:lang w:eastAsia="es-MX"/>
              </w:rPr>
              <w:t>00857-2024 OCTUBRE 2023-OCTUBRE 2024.pdf</w:t>
            </w:r>
          </w:p>
          <w:p w:rsidR="00914CC1" w:rsidRPr="00A61989" w:rsidRDefault="00914CC1" w:rsidP="00454890">
            <w:pPr>
              <w:jc w:val="both"/>
              <w:rPr>
                <w:rFonts w:ascii="Palatino Linotype" w:eastAsia="Times New Roman" w:hAnsi="Palatino Linotype"/>
                <w:sz w:val="20"/>
                <w:szCs w:val="20"/>
                <w:lang w:eastAsia="es-MX"/>
              </w:rPr>
            </w:pPr>
            <w:r w:rsidRPr="00A61989">
              <w:rPr>
                <w:rFonts w:ascii="Palatino Linotype" w:eastAsia="Times New Roman" w:hAnsi="Palatino Linotype"/>
                <w:sz w:val="20"/>
                <w:szCs w:val="20"/>
                <w:lang w:eastAsia="es-MX"/>
              </w:rPr>
              <w:t xml:space="preserve">Documento que contiene </w:t>
            </w:r>
            <w:r w:rsidR="00705E38" w:rsidRPr="00A61989">
              <w:rPr>
                <w:rFonts w:ascii="Palatino Linotype" w:eastAsia="Times New Roman" w:hAnsi="Palatino Linotype"/>
                <w:sz w:val="20"/>
                <w:szCs w:val="20"/>
                <w:lang w:eastAsia="es-MX"/>
              </w:rPr>
              <w:t xml:space="preserve">33 </w:t>
            </w:r>
            <w:r w:rsidRPr="00A61989">
              <w:rPr>
                <w:rFonts w:ascii="Palatino Linotype" w:eastAsia="Times New Roman" w:hAnsi="Palatino Linotype"/>
                <w:sz w:val="20"/>
                <w:szCs w:val="20"/>
                <w:lang w:eastAsia="es-MX"/>
              </w:rPr>
              <w:t>facturas</w:t>
            </w:r>
            <w:r w:rsidR="00705E38" w:rsidRPr="00A61989">
              <w:rPr>
                <w:rFonts w:ascii="Palatino Linotype" w:eastAsia="Times New Roman" w:hAnsi="Palatino Linotype"/>
                <w:sz w:val="20"/>
                <w:szCs w:val="20"/>
                <w:lang w:eastAsia="es-MX"/>
              </w:rPr>
              <w:t xml:space="preserve"> de peajes, transporte, TAG PASE, productos alimenticios y productos para oficina, con la descripción de actividad realizada o motivo de la adquisición.</w:t>
            </w:r>
          </w:p>
          <w:p w:rsidR="00705E38" w:rsidRPr="00A61989" w:rsidRDefault="00705E38" w:rsidP="00454890">
            <w:pPr>
              <w:jc w:val="both"/>
              <w:rPr>
                <w:rFonts w:ascii="Palatino Linotype" w:eastAsia="Times New Roman" w:hAnsi="Palatino Linotype"/>
                <w:sz w:val="20"/>
                <w:szCs w:val="20"/>
                <w:lang w:eastAsia="es-MX"/>
              </w:rPr>
            </w:pPr>
          </w:p>
          <w:p w:rsidR="00454890" w:rsidRPr="00A61989" w:rsidRDefault="00454890" w:rsidP="00454890">
            <w:pPr>
              <w:jc w:val="both"/>
              <w:rPr>
                <w:rFonts w:ascii="Palatino Linotype" w:eastAsia="Times New Roman" w:hAnsi="Palatino Linotype"/>
                <w:b/>
                <w:i/>
                <w:sz w:val="20"/>
                <w:szCs w:val="20"/>
                <w:lang w:eastAsia="es-MX"/>
              </w:rPr>
            </w:pPr>
            <w:r w:rsidRPr="00A61989">
              <w:rPr>
                <w:rFonts w:ascii="Palatino Linotype" w:eastAsia="Times New Roman" w:hAnsi="Palatino Linotype"/>
                <w:b/>
                <w:i/>
                <w:sz w:val="20"/>
                <w:szCs w:val="20"/>
                <w:lang w:eastAsia="es-MX"/>
              </w:rPr>
              <w:t>00857 UIPPE (2).pdf</w:t>
            </w:r>
          </w:p>
          <w:p w:rsidR="00764B14" w:rsidRPr="00A61989" w:rsidRDefault="00764B14" w:rsidP="00454890">
            <w:pPr>
              <w:jc w:val="both"/>
              <w:rPr>
                <w:rFonts w:ascii="Palatino Linotype" w:eastAsia="Times New Roman" w:hAnsi="Palatino Linotype"/>
                <w:sz w:val="20"/>
                <w:szCs w:val="20"/>
                <w:lang w:eastAsia="es-MX"/>
              </w:rPr>
            </w:pPr>
            <w:r w:rsidRPr="00A61989">
              <w:rPr>
                <w:rFonts w:ascii="Palatino Linotype" w:eastAsia="Times New Roman" w:hAnsi="Palatino Linotype"/>
                <w:sz w:val="20"/>
                <w:szCs w:val="20"/>
                <w:lang w:eastAsia="es-MX"/>
              </w:rPr>
              <w:t xml:space="preserve">Oficio de fecha 15 de noviembre de 2024, firmado por la Servidora Pública Habilitada de la Unidad de Información, Planeación, Programación y Evaluación en el que informa relativo al punto de solicitud de las </w:t>
            </w:r>
            <w:r w:rsidRPr="00A61989">
              <w:rPr>
                <w:rFonts w:ascii="Palatino Linotype" w:eastAsia="Times New Roman" w:hAnsi="Palatino Linotype"/>
                <w:sz w:val="20"/>
                <w:szCs w:val="20"/>
                <w:u w:val="single"/>
                <w:lang w:eastAsia="es-MX"/>
              </w:rPr>
              <w:t>facturas firmadas por el servidor público</w:t>
            </w:r>
            <w:r w:rsidRPr="00A61989">
              <w:rPr>
                <w:rFonts w:ascii="Palatino Linotype" w:eastAsia="Times New Roman" w:hAnsi="Palatino Linotype"/>
                <w:sz w:val="20"/>
                <w:szCs w:val="20"/>
                <w:lang w:eastAsia="es-MX"/>
              </w:rPr>
              <w:t xml:space="preserve"> señalado en la solicitud de información, después de una búsqueda exhaustiva y razonable en los archivos de esa unidad administrativa, no se cuenta con la información requerida.</w:t>
            </w:r>
          </w:p>
          <w:p w:rsidR="00764B14" w:rsidRPr="00A61989" w:rsidRDefault="00764B14" w:rsidP="00454890">
            <w:pPr>
              <w:jc w:val="both"/>
              <w:rPr>
                <w:rFonts w:ascii="Palatino Linotype" w:eastAsia="Times New Roman" w:hAnsi="Palatino Linotype"/>
                <w:sz w:val="20"/>
                <w:szCs w:val="20"/>
                <w:lang w:eastAsia="es-MX"/>
              </w:rPr>
            </w:pPr>
          </w:p>
          <w:p w:rsidR="00764B14" w:rsidRPr="00A61989" w:rsidRDefault="00764B14" w:rsidP="00454890">
            <w:pPr>
              <w:jc w:val="both"/>
              <w:rPr>
                <w:rFonts w:ascii="Palatino Linotype" w:eastAsia="Times New Roman" w:hAnsi="Palatino Linotype"/>
                <w:sz w:val="20"/>
                <w:szCs w:val="20"/>
                <w:lang w:eastAsia="es-MX"/>
              </w:rPr>
            </w:pPr>
            <w:r w:rsidRPr="00A61989">
              <w:rPr>
                <w:rFonts w:ascii="Palatino Linotype" w:eastAsia="Times New Roman" w:hAnsi="Palatino Linotype"/>
                <w:sz w:val="20"/>
                <w:szCs w:val="20"/>
                <w:lang w:eastAsia="es-MX"/>
              </w:rPr>
              <w:lastRenderedPageBreak/>
              <w:t xml:space="preserve">En cuanto al punto relativo a la </w:t>
            </w:r>
            <w:r w:rsidRPr="00A61989">
              <w:rPr>
                <w:rFonts w:ascii="Palatino Linotype" w:eastAsia="Times New Roman" w:hAnsi="Palatino Linotype"/>
                <w:sz w:val="20"/>
                <w:szCs w:val="20"/>
                <w:u w:val="single"/>
                <w:lang w:eastAsia="es-MX"/>
              </w:rPr>
              <w:t>evidencia de lo gastado con la caja chica</w:t>
            </w:r>
            <w:r w:rsidRPr="00A61989">
              <w:rPr>
                <w:rFonts w:ascii="Palatino Linotype" w:eastAsia="Times New Roman" w:hAnsi="Palatino Linotype"/>
                <w:sz w:val="20"/>
                <w:szCs w:val="20"/>
                <w:lang w:eastAsia="es-MX"/>
              </w:rPr>
              <w:t xml:space="preserve"> de octubre 2023 a octubre 2024, remite en versión pública la información requerida, solicitando someter a consideración del Comité de Transparencia la clasificación de la información confidencial de los datos personales de: domicilio, teléfono y correo electrónico.</w:t>
            </w:r>
          </w:p>
          <w:p w:rsidR="00454890" w:rsidRPr="00A61989" w:rsidRDefault="00454890" w:rsidP="00454890">
            <w:pPr>
              <w:jc w:val="both"/>
              <w:rPr>
                <w:rFonts w:ascii="Palatino Linotype" w:eastAsia="Times New Roman" w:hAnsi="Palatino Linotype"/>
                <w:b/>
                <w:i/>
                <w:sz w:val="20"/>
                <w:szCs w:val="20"/>
                <w:lang w:eastAsia="es-MX"/>
              </w:rPr>
            </w:pPr>
            <w:r w:rsidRPr="00A61989">
              <w:rPr>
                <w:rFonts w:ascii="Palatino Linotype" w:eastAsia="Times New Roman" w:hAnsi="Palatino Linotype"/>
                <w:b/>
                <w:i/>
                <w:sz w:val="20"/>
                <w:szCs w:val="20"/>
                <w:lang w:eastAsia="es-MX"/>
              </w:rPr>
              <w:t>00857 SOLICITANTE.pdf</w:t>
            </w:r>
          </w:p>
          <w:p w:rsidR="005B3AD8" w:rsidRPr="00A61989" w:rsidRDefault="005B3AD8" w:rsidP="00454890">
            <w:pPr>
              <w:jc w:val="both"/>
              <w:rPr>
                <w:rFonts w:ascii="Palatino Linotype" w:eastAsia="Times New Roman" w:hAnsi="Palatino Linotype"/>
                <w:sz w:val="20"/>
                <w:szCs w:val="20"/>
                <w:lang w:eastAsia="es-MX"/>
              </w:rPr>
            </w:pPr>
            <w:r w:rsidRPr="00A61989">
              <w:rPr>
                <w:rFonts w:ascii="Palatino Linotype" w:eastAsia="Times New Roman" w:hAnsi="Palatino Linotype"/>
                <w:sz w:val="20"/>
                <w:szCs w:val="20"/>
                <w:lang w:eastAsia="es-MX"/>
              </w:rPr>
              <w:t>Oficio 20700004S/UT-2476/2024 de fecha 28 de noviembre de 2024, a través del cual el Jefe de la UIPPE y Titular de la Unidad de Transparencia remite los oficios remitidos por los Servidores Públicos Habilitados, que dan respuesta a la solicitud de información.</w:t>
            </w:r>
          </w:p>
          <w:p w:rsidR="005B3AD8" w:rsidRPr="00A61989" w:rsidRDefault="005B3AD8" w:rsidP="00454890">
            <w:pPr>
              <w:jc w:val="both"/>
              <w:rPr>
                <w:rFonts w:ascii="Palatino Linotype" w:eastAsia="Times New Roman" w:hAnsi="Palatino Linotype"/>
                <w:sz w:val="20"/>
                <w:szCs w:val="20"/>
                <w:lang w:eastAsia="es-MX"/>
              </w:rPr>
            </w:pPr>
          </w:p>
          <w:p w:rsidR="00BD4FAA" w:rsidRPr="00A61989" w:rsidRDefault="00454890" w:rsidP="00454890">
            <w:pPr>
              <w:jc w:val="both"/>
              <w:rPr>
                <w:rFonts w:ascii="Palatino Linotype" w:eastAsia="Times New Roman" w:hAnsi="Palatino Linotype"/>
                <w:b/>
                <w:i/>
                <w:sz w:val="20"/>
                <w:szCs w:val="20"/>
                <w:lang w:eastAsia="es-MX"/>
              </w:rPr>
            </w:pPr>
            <w:r w:rsidRPr="00A61989">
              <w:rPr>
                <w:rFonts w:ascii="Palatino Linotype" w:eastAsia="Times New Roman" w:hAnsi="Palatino Linotype"/>
                <w:b/>
                <w:i/>
                <w:sz w:val="20"/>
                <w:szCs w:val="20"/>
                <w:lang w:eastAsia="es-MX"/>
              </w:rPr>
              <w:t>CT-2024-260.pdf</w:t>
            </w:r>
          </w:p>
          <w:p w:rsidR="005B3AD8" w:rsidRPr="00A61989" w:rsidRDefault="005B3AD8" w:rsidP="005B3AD8">
            <w:pPr>
              <w:jc w:val="both"/>
              <w:rPr>
                <w:rFonts w:ascii="Palatino Linotype" w:eastAsia="Times New Roman" w:hAnsi="Palatino Linotype"/>
                <w:sz w:val="20"/>
                <w:szCs w:val="20"/>
                <w:lang w:eastAsia="es-MX"/>
              </w:rPr>
            </w:pPr>
            <w:r w:rsidRPr="00A61989">
              <w:rPr>
                <w:rFonts w:ascii="Palatino Linotype" w:eastAsia="Times New Roman" w:hAnsi="Palatino Linotype"/>
                <w:sz w:val="20"/>
                <w:szCs w:val="20"/>
                <w:lang w:eastAsia="es-MX"/>
              </w:rPr>
              <w:t xml:space="preserve"> Acta se sesión del comité de transparencia en la que la Servidora Pública Habilitada de la Unidad de Información, Planeación, Programación y Evaluación solicita la clasificación como información confidencial de los datos de domicilio, teléfono y correo electrónico, contenidos en la documentación soporte de los gastos realizados con el fondo de caja chica asignado a la UIPPE</w:t>
            </w:r>
            <w:r w:rsidR="00B971B9" w:rsidRPr="00A61989">
              <w:rPr>
                <w:rFonts w:ascii="Palatino Linotype" w:eastAsia="Times New Roman" w:hAnsi="Palatino Linotype"/>
                <w:sz w:val="20"/>
                <w:szCs w:val="20"/>
                <w:lang w:eastAsia="es-MX"/>
              </w:rPr>
              <w:t xml:space="preserve"> de octubre 2023 a octubre 2024, la cual se confirma.</w:t>
            </w:r>
          </w:p>
        </w:tc>
      </w:tr>
    </w:tbl>
    <w:p w:rsidR="002A29F7" w:rsidRPr="00A61989" w:rsidRDefault="002A29F7" w:rsidP="00EB6D45">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u w:val="single"/>
        </w:rPr>
      </w:pPr>
    </w:p>
    <w:p w:rsidR="002A29F7" w:rsidRPr="00A61989" w:rsidRDefault="00F12910" w:rsidP="006F6AC6">
      <w:pPr>
        <w:numPr>
          <w:ilvl w:val="0"/>
          <w:numId w:val="2"/>
        </w:numPr>
        <w:pBdr>
          <w:top w:val="nil"/>
          <w:left w:val="nil"/>
          <w:bottom w:val="nil"/>
          <w:right w:val="nil"/>
          <w:between w:val="nil"/>
        </w:pBdr>
        <w:tabs>
          <w:tab w:val="left" w:pos="0"/>
        </w:tabs>
        <w:spacing w:line="360" w:lineRule="auto"/>
        <w:ind w:left="0" w:firstLine="0"/>
        <w:jc w:val="both"/>
        <w:rPr>
          <w:color w:val="000000"/>
        </w:rPr>
      </w:pPr>
      <w:r w:rsidRPr="00A61989">
        <w:rPr>
          <w:rFonts w:ascii="Palatino Linotype" w:eastAsia="Palatino Linotype" w:hAnsi="Palatino Linotype" w:cs="Palatino Linotype"/>
          <w:color w:val="000000"/>
        </w:rPr>
        <w:t>El</w:t>
      </w:r>
      <w:r w:rsidRPr="00A61989">
        <w:rPr>
          <w:rFonts w:ascii="Palatino Linotype" w:eastAsia="Palatino Linotype" w:hAnsi="Palatino Linotype" w:cs="Palatino Linotype"/>
          <w:b/>
          <w:color w:val="000000"/>
        </w:rPr>
        <w:t xml:space="preserve"> </w:t>
      </w:r>
      <w:r w:rsidR="00B971B9" w:rsidRPr="00A61989">
        <w:rPr>
          <w:rFonts w:ascii="Palatino Linotype" w:eastAsia="Palatino Linotype" w:hAnsi="Palatino Linotype" w:cs="Palatino Linotype"/>
          <w:b/>
          <w:color w:val="000000"/>
        </w:rPr>
        <w:t>seis y diez de diciembre</w:t>
      </w:r>
      <w:r w:rsidRPr="00A61989">
        <w:rPr>
          <w:rFonts w:ascii="Palatino Linotype" w:eastAsia="Palatino Linotype" w:hAnsi="Palatino Linotype" w:cs="Palatino Linotype"/>
          <w:b/>
          <w:color w:val="000000"/>
        </w:rPr>
        <w:t xml:space="preserve"> de dos mil veinticuatro</w:t>
      </w:r>
      <w:r w:rsidRPr="00A61989">
        <w:rPr>
          <w:rFonts w:ascii="Palatino Linotype" w:eastAsia="Palatino Linotype" w:hAnsi="Palatino Linotype" w:cs="Palatino Linotype"/>
          <w:color w:val="000000"/>
        </w:rPr>
        <w:t xml:space="preserve">, el particular interpuso </w:t>
      </w:r>
      <w:r w:rsidR="0011356F" w:rsidRPr="00A61989">
        <w:rPr>
          <w:rFonts w:ascii="Palatino Linotype" w:eastAsia="Palatino Linotype" w:hAnsi="Palatino Linotype" w:cs="Palatino Linotype"/>
          <w:color w:val="000000"/>
        </w:rPr>
        <w:t xml:space="preserve">los </w:t>
      </w:r>
      <w:r w:rsidR="00004631" w:rsidRPr="00A61989">
        <w:rPr>
          <w:rFonts w:ascii="Palatino Linotype" w:eastAsia="Palatino Linotype" w:hAnsi="Palatino Linotype" w:cs="Palatino Linotype"/>
          <w:color w:val="000000"/>
        </w:rPr>
        <w:t xml:space="preserve">Recursos </w:t>
      </w:r>
      <w:r w:rsidRPr="00A61989">
        <w:rPr>
          <w:rFonts w:ascii="Palatino Linotype" w:eastAsia="Palatino Linotype" w:hAnsi="Palatino Linotype" w:cs="Palatino Linotype"/>
          <w:color w:val="000000"/>
        </w:rPr>
        <w:t xml:space="preserve">de </w:t>
      </w:r>
      <w:r w:rsidR="00004631" w:rsidRPr="00A61989">
        <w:rPr>
          <w:rFonts w:ascii="Palatino Linotype" w:eastAsia="Palatino Linotype" w:hAnsi="Palatino Linotype" w:cs="Palatino Linotype"/>
          <w:color w:val="000000"/>
        </w:rPr>
        <w:t>Revisión</w:t>
      </w:r>
      <w:r w:rsidR="00E749A9" w:rsidRPr="00A61989">
        <w:rPr>
          <w:rFonts w:ascii="Palatino Linotype" w:eastAsia="Palatino Linotype" w:hAnsi="Palatino Linotype" w:cs="Palatino Linotype"/>
          <w:color w:val="000000"/>
        </w:rPr>
        <w:t xml:space="preserve"> </w:t>
      </w:r>
      <w:r w:rsidR="000C0ADA" w:rsidRPr="00A61989">
        <w:rPr>
          <w:rFonts w:ascii="Palatino Linotype" w:eastAsia="Palatino Linotype" w:hAnsi="Palatino Linotype" w:cs="Palatino Linotype"/>
          <w:b/>
          <w:color w:val="000000"/>
        </w:rPr>
        <w:t>07553/INFOEM/IP/RR/2024 y 07583</w:t>
      </w:r>
      <w:r w:rsidR="00BC6860" w:rsidRPr="00A61989">
        <w:rPr>
          <w:rFonts w:ascii="Palatino Linotype" w:eastAsia="Palatino Linotype" w:hAnsi="Palatino Linotype" w:cs="Palatino Linotype"/>
          <w:b/>
          <w:color w:val="000000"/>
        </w:rPr>
        <w:t>/INFOEM/IP/RR/2024</w:t>
      </w:r>
      <w:r w:rsidR="002846F6" w:rsidRPr="00A61989">
        <w:rPr>
          <w:rFonts w:ascii="Palatino Linotype" w:eastAsia="Palatino Linotype" w:hAnsi="Palatino Linotype" w:cs="Palatino Linotype"/>
          <w:b/>
          <w:color w:val="000000"/>
        </w:rPr>
        <w:t xml:space="preserve">, </w:t>
      </w:r>
      <w:r w:rsidRPr="00A61989">
        <w:rPr>
          <w:rFonts w:ascii="Palatino Linotype" w:eastAsia="Palatino Linotype" w:hAnsi="Palatino Linotype" w:cs="Palatino Linotype"/>
          <w:color w:val="000000"/>
        </w:rPr>
        <w:t xml:space="preserve">en contra de las respuestas emitidas por el </w:t>
      </w:r>
      <w:r w:rsidR="00004631" w:rsidRPr="00A61989">
        <w:rPr>
          <w:rFonts w:ascii="Palatino Linotype" w:eastAsia="Palatino Linotype" w:hAnsi="Palatino Linotype" w:cs="Palatino Linotype"/>
          <w:color w:val="000000"/>
        </w:rPr>
        <w:t>Sujeto Obligado</w:t>
      </w:r>
      <w:r w:rsidRPr="00A61989">
        <w:rPr>
          <w:rFonts w:ascii="Palatino Linotype" w:eastAsia="Palatino Linotype" w:hAnsi="Palatino Linotype" w:cs="Palatino Linotype"/>
          <w:color w:val="000000"/>
        </w:rPr>
        <w:t xml:space="preserve">, realizando </w:t>
      </w:r>
      <w:r w:rsidR="009D090F" w:rsidRPr="00A61989">
        <w:rPr>
          <w:rFonts w:ascii="Palatino Linotype" w:eastAsia="Palatino Linotype" w:hAnsi="Palatino Linotype" w:cs="Palatino Linotype"/>
          <w:color w:val="000000"/>
        </w:rPr>
        <w:t>las siguientes</w:t>
      </w:r>
      <w:r w:rsidRPr="00A61989">
        <w:rPr>
          <w:rFonts w:ascii="Palatino Linotype" w:eastAsia="Palatino Linotype" w:hAnsi="Palatino Linotype" w:cs="Palatino Linotype"/>
          <w:color w:val="000000"/>
        </w:rPr>
        <w:t xml:space="preserve"> manifestaciones como acto impugnado y raz</w:t>
      </w:r>
      <w:r w:rsidR="00E749A9" w:rsidRPr="00A61989">
        <w:rPr>
          <w:rFonts w:ascii="Palatino Linotype" w:eastAsia="Palatino Linotype" w:hAnsi="Palatino Linotype" w:cs="Palatino Linotype"/>
          <w:color w:val="000000"/>
        </w:rPr>
        <w:t>ones o motivos de inconformidad:</w:t>
      </w:r>
    </w:p>
    <w:p w:rsidR="00E749A9" w:rsidRPr="00A61989" w:rsidRDefault="00E749A9" w:rsidP="00E749A9">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67"/>
        <w:gridCol w:w="3886"/>
        <w:gridCol w:w="2875"/>
      </w:tblGrid>
      <w:tr w:rsidR="009D090F" w:rsidRPr="00A61989" w:rsidTr="009D090F">
        <w:tc>
          <w:tcPr>
            <w:tcW w:w="2067" w:type="dxa"/>
            <w:shd w:val="clear" w:color="auto" w:fill="D9D9D9" w:themeFill="background1" w:themeFillShade="D9"/>
            <w:vAlign w:val="center"/>
          </w:tcPr>
          <w:p w:rsidR="009D090F" w:rsidRPr="00A61989" w:rsidRDefault="009D090F" w:rsidP="009D090F">
            <w:pPr>
              <w:jc w:val="center"/>
              <w:rPr>
                <w:rFonts w:ascii="Palatino Linotype" w:hAnsi="Palatino Linotype"/>
                <w:b/>
                <w:sz w:val="22"/>
                <w:szCs w:val="22"/>
              </w:rPr>
            </w:pPr>
            <w:r w:rsidRPr="00A61989">
              <w:rPr>
                <w:rFonts w:ascii="Palatino Linotype" w:hAnsi="Palatino Linotype"/>
                <w:b/>
                <w:sz w:val="22"/>
                <w:szCs w:val="22"/>
              </w:rPr>
              <w:t>Número de recurso</w:t>
            </w:r>
          </w:p>
        </w:tc>
        <w:tc>
          <w:tcPr>
            <w:tcW w:w="3886" w:type="dxa"/>
            <w:shd w:val="clear" w:color="auto" w:fill="D9D9D9" w:themeFill="background1" w:themeFillShade="D9"/>
            <w:vAlign w:val="center"/>
          </w:tcPr>
          <w:p w:rsidR="009D090F" w:rsidRPr="00A61989" w:rsidRDefault="009D090F" w:rsidP="009C4823">
            <w:pPr>
              <w:jc w:val="center"/>
              <w:rPr>
                <w:rFonts w:ascii="Palatino Linotype" w:hAnsi="Palatino Linotype"/>
                <w:b/>
                <w:sz w:val="22"/>
                <w:szCs w:val="22"/>
              </w:rPr>
            </w:pPr>
            <w:r w:rsidRPr="00A61989">
              <w:rPr>
                <w:rFonts w:ascii="Palatino Linotype" w:hAnsi="Palatino Linotype"/>
                <w:b/>
                <w:sz w:val="22"/>
                <w:szCs w:val="22"/>
              </w:rPr>
              <w:t>Acto impugnado</w:t>
            </w:r>
          </w:p>
        </w:tc>
        <w:tc>
          <w:tcPr>
            <w:tcW w:w="2875" w:type="dxa"/>
            <w:shd w:val="clear" w:color="auto" w:fill="D9D9D9" w:themeFill="background1" w:themeFillShade="D9"/>
          </w:tcPr>
          <w:p w:rsidR="009D090F" w:rsidRPr="00A61989" w:rsidRDefault="009D090F" w:rsidP="009C4823">
            <w:pPr>
              <w:jc w:val="center"/>
              <w:rPr>
                <w:rFonts w:ascii="Palatino Linotype" w:hAnsi="Palatino Linotype"/>
                <w:b/>
                <w:sz w:val="22"/>
                <w:szCs w:val="22"/>
              </w:rPr>
            </w:pPr>
            <w:r w:rsidRPr="00A61989">
              <w:rPr>
                <w:rFonts w:ascii="Palatino Linotype" w:hAnsi="Palatino Linotype"/>
                <w:b/>
                <w:sz w:val="22"/>
                <w:szCs w:val="22"/>
              </w:rPr>
              <w:t>Razones o motivos de inconformidad</w:t>
            </w:r>
          </w:p>
        </w:tc>
      </w:tr>
      <w:tr w:rsidR="009D090F" w:rsidRPr="00A61989" w:rsidTr="009D090F">
        <w:tc>
          <w:tcPr>
            <w:tcW w:w="2067" w:type="dxa"/>
            <w:vAlign w:val="center"/>
          </w:tcPr>
          <w:p w:rsidR="009D090F" w:rsidRPr="00A61989" w:rsidRDefault="009D090F" w:rsidP="009C4823">
            <w:pPr>
              <w:jc w:val="center"/>
              <w:rPr>
                <w:rFonts w:ascii="Palatino Linotype" w:eastAsia="Palatino Linotype" w:hAnsi="Palatino Linotype" w:cs="Palatino Linotype"/>
                <w:b/>
                <w:color w:val="000000"/>
                <w:sz w:val="22"/>
                <w:szCs w:val="22"/>
              </w:rPr>
            </w:pPr>
            <w:r w:rsidRPr="00A61989">
              <w:rPr>
                <w:rFonts w:ascii="Palatino Linotype" w:eastAsia="Palatino Linotype" w:hAnsi="Palatino Linotype" w:cs="Palatino Linotype"/>
                <w:b/>
                <w:color w:val="000000"/>
                <w:sz w:val="22"/>
                <w:szCs w:val="22"/>
              </w:rPr>
              <w:t>07553/INFOEM/</w:t>
            </w:r>
          </w:p>
          <w:p w:rsidR="009D090F" w:rsidRPr="00A61989" w:rsidRDefault="009D090F" w:rsidP="009C4823">
            <w:pPr>
              <w:jc w:val="center"/>
              <w:rPr>
                <w:rFonts w:ascii="Palatino Linotype" w:hAnsi="Palatino Linotype"/>
                <w:b/>
                <w:sz w:val="22"/>
                <w:szCs w:val="22"/>
              </w:rPr>
            </w:pPr>
            <w:r w:rsidRPr="00A61989">
              <w:rPr>
                <w:rFonts w:ascii="Palatino Linotype" w:eastAsia="Palatino Linotype" w:hAnsi="Palatino Linotype" w:cs="Palatino Linotype"/>
                <w:b/>
                <w:color w:val="000000"/>
                <w:sz w:val="22"/>
                <w:szCs w:val="22"/>
              </w:rPr>
              <w:t>IP/RR/2024</w:t>
            </w:r>
          </w:p>
        </w:tc>
        <w:tc>
          <w:tcPr>
            <w:tcW w:w="3886" w:type="dxa"/>
          </w:tcPr>
          <w:p w:rsidR="009D090F" w:rsidRPr="00A61989" w:rsidRDefault="009D090F" w:rsidP="009C4823">
            <w:pPr>
              <w:jc w:val="both"/>
              <w:rPr>
                <w:rFonts w:ascii="Palatino Linotype" w:eastAsia="Times New Roman" w:hAnsi="Palatino Linotype"/>
                <w:i/>
                <w:sz w:val="22"/>
                <w:szCs w:val="22"/>
                <w:lang w:eastAsia="es-MX"/>
              </w:rPr>
            </w:pPr>
            <w:r w:rsidRPr="00A61989">
              <w:rPr>
                <w:rFonts w:ascii="Palatino Linotype" w:eastAsia="Times New Roman" w:hAnsi="Palatino Linotype"/>
                <w:i/>
                <w:sz w:val="22"/>
                <w:szCs w:val="22"/>
                <w:lang w:eastAsia="es-MX"/>
              </w:rPr>
              <w:t xml:space="preserve">“Recurro la respuesta de la Secretaría de Finanzas, ya que contesta la servidora pública habilitada de la UIPPE, y no la Coordinación Administrativa, área donde consta la información solicitada y que es una unidad administrativa de la Secretaría de Finanzas. Por lo anterior, solicito se de vista al Órgano Interno de Control ya que Mario Reyes Santos y su equipo de corruptos, ocultan la información, incumpliendo lo dispuesto </w:t>
            </w:r>
            <w:r w:rsidRPr="00A61989">
              <w:rPr>
                <w:rFonts w:ascii="Palatino Linotype" w:eastAsia="Times New Roman" w:hAnsi="Palatino Linotype"/>
                <w:i/>
                <w:sz w:val="22"/>
                <w:szCs w:val="22"/>
                <w:lang w:eastAsia="es-MX"/>
              </w:rPr>
              <w:lastRenderedPageBreak/>
              <w:t>en el artículo 162 de la Ley de Transparencia y Acceso a la Información Pública del Estado de México y Municipios.” (Sic)</w:t>
            </w:r>
          </w:p>
        </w:tc>
        <w:tc>
          <w:tcPr>
            <w:tcW w:w="2875" w:type="dxa"/>
          </w:tcPr>
          <w:p w:rsidR="009D090F" w:rsidRPr="00A61989" w:rsidRDefault="009D090F" w:rsidP="009C4823">
            <w:pPr>
              <w:jc w:val="both"/>
              <w:rPr>
                <w:rFonts w:ascii="Palatino Linotype" w:eastAsia="Times New Roman" w:hAnsi="Palatino Linotype"/>
                <w:i/>
                <w:sz w:val="22"/>
                <w:szCs w:val="22"/>
                <w:lang w:eastAsia="es-MX"/>
              </w:rPr>
            </w:pPr>
            <w:r w:rsidRPr="00A61989">
              <w:rPr>
                <w:rFonts w:ascii="Palatino Linotype" w:eastAsia="Times New Roman" w:hAnsi="Palatino Linotype"/>
                <w:i/>
                <w:sz w:val="22"/>
                <w:szCs w:val="22"/>
                <w:lang w:eastAsia="es-MX"/>
              </w:rPr>
              <w:lastRenderedPageBreak/>
              <w:t>“Queda más que claro QUE NO TIENEN el conocimiento para dar atención a las solicitudes de información, GRACIAS por dar más fundamentos.”(Sic)</w:t>
            </w:r>
          </w:p>
        </w:tc>
      </w:tr>
      <w:tr w:rsidR="009D090F" w:rsidRPr="00A61989" w:rsidTr="009D090F">
        <w:tc>
          <w:tcPr>
            <w:tcW w:w="2067" w:type="dxa"/>
            <w:vAlign w:val="center"/>
          </w:tcPr>
          <w:p w:rsidR="009D090F" w:rsidRPr="00A61989" w:rsidRDefault="009D090F" w:rsidP="009C4823">
            <w:pPr>
              <w:jc w:val="center"/>
              <w:rPr>
                <w:rFonts w:ascii="Palatino Linotype" w:eastAsia="Palatino Linotype" w:hAnsi="Palatino Linotype" w:cs="Palatino Linotype"/>
                <w:b/>
                <w:color w:val="000000"/>
                <w:sz w:val="22"/>
                <w:szCs w:val="22"/>
              </w:rPr>
            </w:pPr>
            <w:r w:rsidRPr="00A61989">
              <w:rPr>
                <w:rFonts w:ascii="Palatino Linotype" w:eastAsia="Palatino Linotype" w:hAnsi="Palatino Linotype" w:cs="Palatino Linotype"/>
                <w:b/>
                <w:color w:val="000000"/>
                <w:sz w:val="22"/>
                <w:szCs w:val="22"/>
              </w:rPr>
              <w:lastRenderedPageBreak/>
              <w:t>07583/INFOEM/</w:t>
            </w:r>
          </w:p>
          <w:p w:rsidR="009D090F" w:rsidRPr="00A61989" w:rsidRDefault="009D090F" w:rsidP="009C4823">
            <w:pPr>
              <w:jc w:val="center"/>
              <w:rPr>
                <w:rFonts w:ascii="Palatino Linotype" w:hAnsi="Palatino Linotype"/>
                <w:b/>
                <w:sz w:val="22"/>
                <w:szCs w:val="22"/>
              </w:rPr>
            </w:pPr>
            <w:r w:rsidRPr="00A61989">
              <w:rPr>
                <w:rFonts w:ascii="Palatino Linotype" w:eastAsia="Palatino Linotype" w:hAnsi="Palatino Linotype" w:cs="Palatino Linotype"/>
                <w:b/>
                <w:color w:val="000000"/>
                <w:sz w:val="22"/>
                <w:szCs w:val="22"/>
              </w:rPr>
              <w:t>IP/RR/2024</w:t>
            </w:r>
          </w:p>
        </w:tc>
        <w:tc>
          <w:tcPr>
            <w:tcW w:w="3886" w:type="dxa"/>
          </w:tcPr>
          <w:p w:rsidR="009D090F" w:rsidRPr="00A61989" w:rsidRDefault="009D090F" w:rsidP="009C4823">
            <w:pPr>
              <w:jc w:val="both"/>
              <w:rPr>
                <w:rFonts w:ascii="Palatino Linotype" w:eastAsia="Times New Roman" w:hAnsi="Palatino Linotype"/>
                <w:i/>
                <w:sz w:val="22"/>
                <w:szCs w:val="22"/>
                <w:lang w:eastAsia="es-MX"/>
              </w:rPr>
            </w:pPr>
            <w:r w:rsidRPr="00A61989">
              <w:rPr>
                <w:rFonts w:ascii="Palatino Linotype" w:eastAsia="Times New Roman" w:hAnsi="Palatino Linotype"/>
                <w:i/>
                <w:sz w:val="22"/>
                <w:szCs w:val="22"/>
                <w:lang w:eastAsia="es-MX"/>
              </w:rPr>
              <w:t>“INPUGNO LA RESPUESTA DE LAS INSPECCIONES, AUDITORIAS Y ARQUEOS PRACTICADOS LOS RECURSOS DE LA CAJA CHICA DE LA UIPPE DE LA SECRETARÍA DE FINANZAS DEL MES DE OCTUBRE DE 2023, AL MES DE OCTUBRE DE 2024,PARA ACLARAR TODO LO QUE SE HA ROBADO MARIO REYES SANTOS Y SUS COMPLICES;JUAN CAMPOS LANDA, ISSAC QUINTANA, RODOLFO LOJERO RUARO, TAMBIÉN SOLICITO LAS FACTURAS FIRMADAS POR MARIO REYES SANTOS Y LA EVIDENCIA DE LO GASTADO CON LA CAJA CHICA DEL MES DE OCTUBRE DE 2023 A OCTUBRE DE 2024.”(Sic)</w:t>
            </w:r>
          </w:p>
        </w:tc>
        <w:tc>
          <w:tcPr>
            <w:tcW w:w="2875" w:type="dxa"/>
          </w:tcPr>
          <w:p w:rsidR="009D090F" w:rsidRPr="00A61989" w:rsidRDefault="0076601D" w:rsidP="009C4823">
            <w:pPr>
              <w:jc w:val="both"/>
              <w:rPr>
                <w:rFonts w:ascii="Palatino Linotype" w:eastAsia="Times New Roman" w:hAnsi="Palatino Linotype"/>
                <w:i/>
                <w:sz w:val="22"/>
                <w:szCs w:val="22"/>
                <w:lang w:eastAsia="es-MX"/>
              </w:rPr>
            </w:pPr>
            <w:r w:rsidRPr="00A61989">
              <w:rPr>
                <w:rFonts w:ascii="Palatino Linotype" w:eastAsia="Times New Roman" w:hAnsi="Palatino Linotype"/>
                <w:i/>
                <w:sz w:val="22"/>
                <w:szCs w:val="22"/>
                <w:lang w:eastAsia="es-MX"/>
              </w:rPr>
              <w:t>“SI BIEN SE SABE QUE A MARIO REYES SANTOS SE LE PAGAN TODAS LAS CASETAS PARA TRASLADARSE DIARIO A SU TRABAJO Y CASA, PUES ESTE VIVE EN LA CIUDAD DE MEXICO, Y LAS FACTURAS DE INSUMOS TAMBIEN SE SABE QUE SON DE USO PERSONAL Y NO PARA LAS SUPUESTAS REUNIONES, SI HEMOS ASISTIDO A SUS OFICINAS Y NI UN VASO DE AGUA OFRECEN, HASTA ESO SE ROBAN, QUE VERGUENZA.” (Sic)</w:t>
            </w:r>
          </w:p>
        </w:tc>
      </w:tr>
    </w:tbl>
    <w:p w:rsidR="009D090F" w:rsidRPr="00A61989" w:rsidRDefault="009D090F" w:rsidP="00E749A9">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rsidR="002A29F7" w:rsidRPr="00A61989" w:rsidRDefault="002A29F7" w:rsidP="006F6AC6">
      <w:pPr>
        <w:jc w:val="both"/>
        <w:rPr>
          <w:color w:val="000000"/>
        </w:rPr>
      </w:pPr>
    </w:p>
    <w:p w:rsidR="002A29F7" w:rsidRPr="00A61989" w:rsidRDefault="00724499" w:rsidP="006F6AC6">
      <w:pPr>
        <w:numPr>
          <w:ilvl w:val="0"/>
          <w:numId w:val="2"/>
        </w:numPr>
        <w:pBdr>
          <w:top w:val="nil"/>
          <w:left w:val="nil"/>
          <w:bottom w:val="nil"/>
          <w:right w:val="nil"/>
          <w:between w:val="nil"/>
        </w:pBdr>
        <w:tabs>
          <w:tab w:val="left" w:pos="0"/>
        </w:tabs>
        <w:spacing w:line="360" w:lineRule="auto"/>
        <w:ind w:left="0" w:firstLine="0"/>
        <w:jc w:val="both"/>
        <w:rPr>
          <w:color w:val="000000"/>
        </w:rPr>
      </w:pPr>
      <w:r w:rsidRPr="00A61989">
        <w:rPr>
          <w:rFonts w:ascii="Palatino Linotype" w:eastAsia="Palatino Linotype" w:hAnsi="Palatino Linotype" w:cs="Palatino Linotype"/>
          <w:color w:val="000000"/>
        </w:rPr>
        <w:t>La Comisionada Ponente</w:t>
      </w:r>
      <w:r w:rsidR="00F12910" w:rsidRPr="00A61989">
        <w:rPr>
          <w:rFonts w:ascii="Palatino Linotype" w:eastAsia="Palatino Linotype" w:hAnsi="Palatino Linotype" w:cs="Palatino Linotype"/>
          <w:color w:val="000000"/>
        </w:rPr>
        <w:t xml:space="preserve"> con fundamento en lo dispuesto por el artículo 185, fracción II, de la ley de la materia, a través de los </w:t>
      </w:r>
      <w:r w:rsidR="00F12910" w:rsidRPr="00A61989">
        <w:rPr>
          <w:rFonts w:ascii="Palatino Linotype" w:eastAsia="Palatino Linotype" w:hAnsi="Palatino Linotype" w:cs="Palatino Linotype"/>
          <w:b/>
          <w:color w:val="000000"/>
        </w:rPr>
        <w:t xml:space="preserve">acuerdos de admisión </w:t>
      </w:r>
      <w:r w:rsidR="00F12910" w:rsidRPr="00A61989">
        <w:rPr>
          <w:rFonts w:ascii="Palatino Linotype" w:eastAsia="Palatino Linotype" w:hAnsi="Palatino Linotype" w:cs="Palatino Linotype"/>
          <w:color w:val="000000"/>
        </w:rPr>
        <w:t xml:space="preserve">de fechas </w:t>
      </w:r>
      <w:r w:rsidRPr="00A61989">
        <w:rPr>
          <w:rFonts w:ascii="Palatino Linotype" w:eastAsia="Palatino Linotype" w:hAnsi="Palatino Linotype" w:cs="Palatino Linotype"/>
          <w:b/>
          <w:color w:val="000000"/>
        </w:rPr>
        <w:t>trece y veinte de diciembre</w:t>
      </w:r>
      <w:r w:rsidR="00F12910" w:rsidRPr="00A61989">
        <w:rPr>
          <w:rFonts w:ascii="Palatino Linotype" w:eastAsia="Palatino Linotype" w:hAnsi="Palatino Linotype" w:cs="Palatino Linotype"/>
          <w:b/>
          <w:color w:val="000000"/>
        </w:rPr>
        <w:t xml:space="preserve"> de dos mil veinticuatro, </w:t>
      </w:r>
      <w:r w:rsidR="00F12910" w:rsidRPr="00A61989">
        <w:rPr>
          <w:rFonts w:ascii="Palatino Linotype" w:eastAsia="Palatino Linotype" w:hAnsi="Palatino Linotype" w:cs="Palatino Linotype"/>
          <w:color w:val="000000"/>
        </w:rPr>
        <w:t xml:space="preserve">pusieron a disposición de las partes el expediente electrónico vía SAIMEX a efecto de que en un plazo máximo de siete días </w:t>
      </w:r>
      <w:r w:rsidR="00F12910" w:rsidRPr="00A61989">
        <w:rPr>
          <w:rFonts w:ascii="Palatino Linotype" w:eastAsia="Palatino Linotype" w:hAnsi="Palatino Linotype" w:cs="Palatino Linotype"/>
        </w:rPr>
        <w:t>manifestara</w:t>
      </w:r>
      <w:r w:rsidR="00F12910" w:rsidRPr="00A61989">
        <w:rPr>
          <w:rFonts w:ascii="Palatino Linotype" w:eastAsia="Palatino Linotype" w:hAnsi="Palatino Linotype" w:cs="Palatino Linotype"/>
          <w:color w:val="000000"/>
        </w:rPr>
        <w:t xml:space="preserve"> lo que a su derecho conviniera, </w:t>
      </w:r>
      <w:r w:rsidR="00F12910" w:rsidRPr="00A61989">
        <w:rPr>
          <w:rFonts w:ascii="Palatino Linotype" w:eastAsia="Palatino Linotype" w:hAnsi="Palatino Linotype" w:cs="Palatino Linotype"/>
        </w:rPr>
        <w:t>ofreciera</w:t>
      </w:r>
      <w:r w:rsidR="00F12910" w:rsidRPr="00A61989">
        <w:rPr>
          <w:rFonts w:ascii="Palatino Linotype" w:eastAsia="Palatino Linotype" w:hAnsi="Palatino Linotype" w:cs="Palatino Linotype"/>
          <w:color w:val="000000"/>
        </w:rPr>
        <w:t xml:space="preserve"> pruebas y alegatos según corresponda al caso concreto, de esta forma para que el </w:t>
      </w:r>
      <w:r w:rsidR="00F12910" w:rsidRPr="00A61989">
        <w:rPr>
          <w:rFonts w:ascii="Palatino Linotype" w:eastAsia="Palatino Linotype" w:hAnsi="Palatino Linotype" w:cs="Palatino Linotype"/>
          <w:b/>
          <w:color w:val="000000"/>
        </w:rPr>
        <w:t xml:space="preserve">SUJETO OBLIGADO </w:t>
      </w:r>
      <w:r w:rsidRPr="00A61989">
        <w:rPr>
          <w:rFonts w:ascii="Palatino Linotype" w:eastAsia="Palatino Linotype" w:hAnsi="Palatino Linotype" w:cs="Palatino Linotype"/>
        </w:rPr>
        <w:t>presentara</w:t>
      </w:r>
      <w:r w:rsidR="00F12910" w:rsidRPr="00A61989">
        <w:rPr>
          <w:rFonts w:ascii="Palatino Linotype" w:eastAsia="Palatino Linotype" w:hAnsi="Palatino Linotype" w:cs="Palatino Linotype"/>
          <w:color w:val="000000"/>
        </w:rPr>
        <w:t xml:space="preserve"> el Informe Justificado procedente.</w:t>
      </w:r>
    </w:p>
    <w:p w:rsidR="00724499" w:rsidRPr="00A61989" w:rsidRDefault="00724499" w:rsidP="00724499">
      <w:pPr>
        <w:pBdr>
          <w:top w:val="nil"/>
          <w:left w:val="nil"/>
          <w:bottom w:val="nil"/>
          <w:right w:val="nil"/>
          <w:between w:val="nil"/>
        </w:pBdr>
        <w:tabs>
          <w:tab w:val="left" w:pos="0"/>
        </w:tabs>
        <w:spacing w:line="360" w:lineRule="auto"/>
        <w:jc w:val="both"/>
        <w:rPr>
          <w:color w:val="000000"/>
        </w:rPr>
      </w:pPr>
    </w:p>
    <w:p w:rsidR="00724499" w:rsidRPr="00A61989" w:rsidRDefault="00724499" w:rsidP="00724499">
      <w:pPr>
        <w:numPr>
          <w:ilvl w:val="0"/>
          <w:numId w:val="2"/>
        </w:numPr>
        <w:pBdr>
          <w:top w:val="nil"/>
          <w:left w:val="nil"/>
          <w:bottom w:val="nil"/>
          <w:right w:val="nil"/>
          <w:between w:val="nil"/>
        </w:pBdr>
        <w:spacing w:line="360" w:lineRule="auto"/>
        <w:ind w:left="0" w:firstLine="0"/>
        <w:jc w:val="both"/>
        <w:rPr>
          <w:color w:val="000000"/>
        </w:rPr>
      </w:pPr>
      <w:r w:rsidRPr="00A61989">
        <w:rPr>
          <w:rFonts w:ascii="Palatino Linotype" w:eastAsia="Palatino Linotype" w:hAnsi="Palatino Linotype" w:cs="Palatino Linotype"/>
          <w:color w:val="000000"/>
        </w:rPr>
        <w:lastRenderedPageBreak/>
        <w:t>El Recurrente</w:t>
      </w:r>
      <w:r w:rsidRPr="00A61989">
        <w:rPr>
          <w:rFonts w:ascii="Palatino Linotype" w:eastAsia="Palatino Linotype" w:hAnsi="Palatino Linotype" w:cs="Palatino Linotype"/>
          <w:b/>
          <w:color w:val="000000"/>
        </w:rPr>
        <w:t xml:space="preserve"> </w:t>
      </w:r>
      <w:r w:rsidRPr="00A61989">
        <w:rPr>
          <w:rFonts w:ascii="Palatino Linotype" w:eastAsia="Palatino Linotype" w:hAnsi="Palatino Linotype" w:cs="Palatino Linotype"/>
          <w:color w:val="000000"/>
        </w:rPr>
        <w:t>dejó de realizar manifestaciones que a su derecho conviniera y asistiera. Por su parte, el Sujeto Obligado, el</w:t>
      </w:r>
      <w:r w:rsidRPr="00A61989">
        <w:rPr>
          <w:rFonts w:ascii="Palatino Linotype" w:eastAsia="Palatino Linotype" w:hAnsi="Palatino Linotype" w:cs="Palatino Linotype"/>
          <w:b/>
          <w:color w:val="000000"/>
        </w:rPr>
        <w:t xml:space="preserve"> </w:t>
      </w:r>
      <w:r w:rsidR="00BF70D3" w:rsidRPr="00A61989">
        <w:rPr>
          <w:rFonts w:ascii="Palatino Linotype" w:eastAsia="Palatino Linotype" w:hAnsi="Palatino Linotype" w:cs="Palatino Linotype"/>
          <w:b/>
          <w:color w:val="000000"/>
        </w:rPr>
        <w:t>diecisiete y veinte de diciembre</w:t>
      </w:r>
      <w:r w:rsidRPr="00A61989">
        <w:rPr>
          <w:rFonts w:ascii="Palatino Linotype" w:eastAsia="Palatino Linotype" w:hAnsi="Palatino Linotype" w:cs="Palatino Linotype"/>
          <w:b/>
          <w:color w:val="000000"/>
        </w:rPr>
        <w:t xml:space="preserve"> de dos mil veinticuatro </w:t>
      </w:r>
      <w:r w:rsidRPr="00A61989">
        <w:rPr>
          <w:rFonts w:ascii="Palatino Linotype" w:eastAsia="Palatino Linotype" w:hAnsi="Palatino Linotype" w:cs="Palatino Linotype"/>
          <w:color w:val="000000"/>
        </w:rPr>
        <w:t>rindió los informes justificados, cuyo contenido en esencia es el siguiente:</w:t>
      </w:r>
    </w:p>
    <w:p w:rsidR="00724499" w:rsidRPr="00A61989" w:rsidRDefault="00724499" w:rsidP="00724499">
      <w:pPr>
        <w:pBdr>
          <w:top w:val="nil"/>
          <w:left w:val="nil"/>
          <w:bottom w:val="nil"/>
          <w:right w:val="nil"/>
          <w:between w:val="nil"/>
        </w:pBdr>
        <w:rPr>
          <w:rFonts w:ascii="Palatino Linotype" w:eastAsia="Palatino Linotype" w:hAnsi="Palatino Linotype" w:cs="Palatino Linotype"/>
          <w:noProof/>
          <w:color w:val="000000"/>
          <w:sz w:val="22"/>
          <w:szCs w:val="22"/>
          <w:lang w:val="es-MX" w:eastAsia="es-MX"/>
        </w:rPr>
      </w:pPr>
    </w:p>
    <w:p w:rsidR="00724499" w:rsidRPr="00A61989" w:rsidRDefault="00BF70D3" w:rsidP="00724499">
      <w:pPr>
        <w:pBdr>
          <w:top w:val="nil"/>
          <w:left w:val="nil"/>
          <w:bottom w:val="nil"/>
          <w:right w:val="nil"/>
          <w:between w:val="nil"/>
        </w:pBdr>
        <w:rPr>
          <w:rFonts w:ascii="Palatino Linotype" w:eastAsia="Palatino Linotype" w:hAnsi="Palatino Linotype" w:cs="Palatino Linotype"/>
          <w:b/>
          <w:color w:val="000000"/>
          <w:sz w:val="22"/>
          <w:szCs w:val="22"/>
        </w:rPr>
      </w:pPr>
      <w:r w:rsidRPr="00A61989">
        <w:rPr>
          <w:rFonts w:ascii="Palatino Linotype" w:eastAsia="Palatino Linotype" w:hAnsi="Palatino Linotype" w:cs="Palatino Linotype"/>
          <w:b/>
          <w:color w:val="000000"/>
          <w:sz w:val="22"/>
          <w:szCs w:val="22"/>
        </w:rPr>
        <w:t>07553</w:t>
      </w:r>
      <w:r w:rsidR="00724499" w:rsidRPr="00A61989">
        <w:rPr>
          <w:rFonts w:ascii="Palatino Linotype" w:eastAsia="Palatino Linotype" w:hAnsi="Palatino Linotype" w:cs="Palatino Linotype"/>
          <w:b/>
          <w:color w:val="000000"/>
          <w:sz w:val="22"/>
          <w:szCs w:val="22"/>
        </w:rPr>
        <w:t>/INFOEM/IP/RR/2024</w:t>
      </w:r>
    </w:p>
    <w:p w:rsidR="001054B4" w:rsidRPr="00A61989" w:rsidRDefault="001054B4" w:rsidP="00724499">
      <w:pPr>
        <w:pBdr>
          <w:top w:val="nil"/>
          <w:left w:val="nil"/>
          <w:bottom w:val="nil"/>
          <w:right w:val="nil"/>
          <w:between w:val="nil"/>
        </w:pBdr>
        <w:rPr>
          <w:rFonts w:ascii="Palatino Linotype" w:eastAsia="Palatino Linotype" w:hAnsi="Palatino Linotype" w:cs="Palatino Linotype"/>
          <w:b/>
          <w:color w:val="000000"/>
          <w:sz w:val="22"/>
          <w:szCs w:val="22"/>
        </w:rPr>
      </w:pPr>
    </w:p>
    <w:p w:rsidR="00BF70D3" w:rsidRPr="00A61989" w:rsidRDefault="00BF70D3" w:rsidP="00BF70D3">
      <w:pPr>
        <w:pBdr>
          <w:top w:val="nil"/>
          <w:left w:val="nil"/>
          <w:bottom w:val="nil"/>
          <w:right w:val="nil"/>
          <w:between w:val="nil"/>
        </w:pBdr>
        <w:ind w:left="567"/>
        <w:rPr>
          <w:rFonts w:ascii="Palatino Linotype" w:eastAsia="Palatino Linotype" w:hAnsi="Palatino Linotype" w:cs="Palatino Linotype"/>
          <w:b/>
          <w:i/>
          <w:color w:val="000000"/>
          <w:sz w:val="22"/>
          <w:szCs w:val="22"/>
        </w:rPr>
      </w:pPr>
      <w:r w:rsidRPr="00A61989">
        <w:rPr>
          <w:rFonts w:ascii="Palatino Linotype" w:eastAsia="Palatino Linotype" w:hAnsi="Palatino Linotype" w:cs="Palatino Linotype"/>
          <w:b/>
          <w:i/>
          <w:color w:val="000000"/>
          <w:sz w:val="22"/>
          <w:szCs w:val="22"/>
        </w:rPr>
        <w:t>RR 07553- 2024 UIPPE.pdf</w:t>
      </w:r>
    </w:p>
    <w:p w:rsidR="00BF70D3" w:rsidRPr="00A61989" w:rsidRDefault="002206D1" w:rsidP="00BF70D3">
      <w:pPr>
        <w:pBdr>
          <w:top w:val="nil"/>
          <w:left w:val="nil"/>
          <w:bottom w:val="nil"/>
          <w:right w:val="nil"/>
          <w:between w:val="nil"/>
        </w:pBdr>
        <w:ind w:left="567"/>
        <w:rPr>
          <w:rFonts w:ascii="Palatino Linotype" w:eastAsia="Palatino Linotype" w:hAnsi="Palatino Linotype" w:cs="Palatino Linotype"/>
          <w:color w:val="000000"/>
          <w:sz w:val="22"/>
          <w:szCs w:val="22"/>
        </w:rPr>
      </w:pPr>
      <w:r w:rsidRPr="00A61989">
        <w:rPr>
          <w:rFonts w:ascii="Palatino Linotype" w:eastAsia="Palatino Linotype" w:hAnsi="Palatino Linotype" w:cs="Palatino Linotype"/>
          <w:color w:val="000000"/>
          <w:sz w:val="22"/>
          <w:szCs w:val="22"/>
        </w:rPr>
        <w:t>-</w:t>
      </w:r>
      <w:r w:rsidR="00BF70D3" w:rsidRPr="00A61989">
        <w:rPr>
          <w:rFonts w:ascii="Palatino Linotype" w:eastAsia="Palatino Linotype" w:hAnsi="Palatino Linotype" w:cs="Palatino Linotype"/>
          <w:color w:val="000000"/>
          <w:sz w:val="22"/>
          <w:szCs w:val="22"/>
        </w:rPr>
        <w:t>Oficio de fecha 17 de diciembre de 2024, firmado por la Servidora Pública Habilitada de la Unidad de Información, Planeación, Programación y Evaluación, a través del cual ratifica su respuesta.</w:t>
      </w:r>
    </w:p>
    <w:p w:rsidR="002206D1" w:rsidRPr="00A61989" w:rsidRDefault="002206D1" w:rsidP="00BF70D3">
      <w:pPr>
        <w:pBdr>
          <w:top w:val="nil"/>
          <w:left w:val="nil"/>
          <w:bottom w:val="nil"/>
          <w:right w:val="nil"/>
          <w:between w:val="nil"/>
        </w:pBdr>
        <w:ind w:left="567"/>
        <w:rPr>
          <w:rFonts w:ascii="Palatino Linotype" w:eastAsia="Palatino Linotype" w:hAnsi="Palatino Linotype" w:cs="Palatino Linotype"/>
          <w:color w:val="000000"/>
          <w:sz w:val="22"/>
          <w:szCs w:val="22"/>
        </w:rPr>
      </w:pPr>
      <w:r w:rsidRPr="00A61989">
        <w:rPr>
          <w:rFonts w:ascii="Palatino Linotype" w:eastAsia="Palatino Linotype" w:hAnsi="Palatino Linotype" w:cs="Palatino Linotype"/>
          <w:color w:val="000000"/>
          <w:sz w:val="22"/>
          <w:szCs w:val="22"/>
        </w:rPr>
        <w:t>-Otro oficio que no corresponde al recurso de revisión en estudio.</w:t>
      </w:r>
    </w:p>
    <w:p w:rsidR="002206D1" w:rsidRPr="00A61989" w:rsidRDefault="002206D1" w:rsidP="00BF70D3">
      <w:pPr>
        <w:pBdr>
          <w:top w:val="nil"/>
          <w:left w:val="nil"/>
          <w:bottom w:val="nil"/>
          <w:right w:val="nil"/>
          <w:between w:val="nil"/>
        </w:pBdr>
        <w:ind w:left="567"/>
        <w:rPr>
          <w:rFonts w:ascii="Palatino Linotype" w:eastAsia="Palatino Linotype" w:hAnsi="Palatino Linotype" w:cs="Palatino Linotype"/>
          <w:color w:val="000000"/>
          <w:sz w:val="22"/>
          <w:szCs w:val="22"/>
        </w:rPr>
      </w:pPr>
    </w:p>
    <w:p w:rsidR="00BF70D3" w:rsidRPr="00A61989" w:rsidRDefault="00BF70D3" w:rsidP="00BF70D3">
      <w:pPr>
        <w:pBdr>
          <w:top w:val="nil"/>
          <w:left w:val="nil"/>
          <w:bottom w:val="nil"/>
          <w:right w:val="nil"/>
          <w:between w:val="nil"/>
        </w:pBdr>
        <w:ind w:left="567"/>
        <w:rPr>
          <w:rFonts w:ascii="Palatino Linotype" w:eastAsia="Palatino Linotype" w:hAnsi="Palatino Linotype" w:cs="Palatino Linotype"/>
          <w:b/>
          <w:i/>
          <w:color w:val="000000"/>
          <w:sz w:val="22"/>
          <w:szCs w:val="22"/>
        </w:rPr>
      </w:pPr>
      <w:r w:rsidRPr="00A61989">
        <w:rPr>
          <w:rFonts w:ascii="Palatino Linotype" w:eastAsia="Palatino Linotype" w:hAnsi="Palatino Linotype" w:cs="Palatino Linotype"/>
          <w:b/>
          <w:i/>
          <w:color w:val="000000"/>
          <w:sz w:val="22"/>
          <w:szCs w:val="22"/>
        </w:rPr>
        <w:t>RR 07553- 2024 COORD ADM.pdf</w:t>
      </w:r>
    </w:p>
    <w:p w:rsidR="002206D1" w:rsidRPr="00A61989" w:rsidRDefault="002206D1" w:rsidP="00BF70D3">
      <w:pPr>
        <w:pBdr>
          <w:top w:val="nil"/>
          <w:left w:val="nil"/>
          <w:bottom w:val="nil"/>
          <w:right w:val="nil"/>
          <w:between w:val="nil"/>
        </w:pBdr>
        <w:ind w:left="567"/>
        <w:rPr>
          <w:rFonts w:ascii="Palatino Linotype" w:eastAsia="Palatino Linotype" w:hAnsi="Palatino Linotype" w:cs="Palatino Linotype"/>
          <w:color w:val="000000"/>
          <w:sz w:val="22"/>
          <w:szCs w:val="22"/>
        </w:rPr>
      </w:pPr>
      <w:r w:rsidRPr="00A61989">
        <w:rPr>
          <w:rFonts w:ascii="Palatino Linotype" w:eastAsia="Palatino Linotype" w:hAnsi="Palatino Linotype" w:cs="Palatino Linotype"/>
          <w:color w:val="000000"/>
          <w:sz w:val="22"/>
          <w:szCs w:val="22"/>
        </w:rPr>
        <w:t>Oficio 20700002000100S/IP/0385/2024 firmado por la Servidora Pública Habilitada Suplente de la Coordinación Administrativa, mediante el cual ratifica su respuesta.</w:t>
      </w:r>
    </w:p>
    <w:p w:rsidR="00DB680C" w:rsidRPr="00A61989" w:rsidRDefault="00DB680C" w:rsidP="00BF70D3">
      <w:pPr>
        <w:pBdr>
          <w:top w:val="nil"/>
          <w:left w:val="nil"/>
          <w:bottom w:val="nil"/>
          <w:right w:val="nil"/>
          <w:between w:val="nil"/>
        </w:pBdr>
        <w:ind w:left="567"/>
        <w:rPr>
          <w:rFonts w:ascii="Palatino Linotype" w:eastAsia="Palatino Linotype" w:hAnsi="Palatino Linotype" w:cs="Palatino Linotype"/>
          <w:color w:val="000000"/>
          <w:sz w:val="22"/>
          <w:szCs w:val="22"/>
        </w:rPr>
      </w:pPr>
    </w:p>
    <w:p w:rsidR="00BF70D3" w:rsidRPr="00A61989" w:rsidRDefault="00BF70D3" w:rsidP="00BF70D3">
      <w:pPr>
        <w:pBdr>
          <w:top w:val="nil"/>
          <w:left w:val="nil"/>
          <w:bottom w:val="nil"/>
          <w:right w:val="nil"/>
          <w:between w:val="nil"/>
        </w:pBdr>
        <w:ind w:left="567"/>
        <w:rPr>
          <w:rFonts w:ascii="Palatino Linotype" w:eastAsia="Palatino Linotype" w:hAnsi="Palatino Linotype" w:cs="Palatino Linotype"/>
          <w:b/>
          <w:i/>
          <w:color w:val="000000"/>
          <w:sz w:val="22"/>
          <w:szCs w:val="22"/>
        </w:rPr>
      </w:pPr>
      <w:r w:rsidRPr="00A61989">
        <w:rPr>
          <w:rFonts w:ascii="Palatino Linotype" w:eastAsia="Palatino Linotype" w:hAnsi="Palatino Linotype" w:cs="Palatino Linotype"/>
          <w:b/>
          <w:i/>
          <w:color w:val="000000"/>
          <w:sz w:val="22"/>
          <w:szCs w:val="22"/>
        </w:rPr>
        <w:t>RR 07553-2024 INFORME JUSTIFICADO.pdf</w:t>
      </w:r>
    </w:p>
    <w:p w:rsidR="00DB680C" w:rsidRPr="00A61989" w:rsidRDefault="00DB680C" w:rsidP="00BF70D3">
      <w:pPr>
        <w:pBdr>
          <w:top w:val="nil"/>
          <w:left w:val="nil"/>
          <w:bottom w:val="nil"/>
          <w:right w:val="nil"/>
          <w:between w:val="nil"/>
        </w:pBdr>
        <w:ind w:left="567"/>
        <w:rPr>
          <w:rFonts w:ascii="Palatino Linotype" w:eastAsia="Palatino Linotype" w:hAnsi="Palatino Linotype" w:cs="Palatino Linotype"/>
          <w:color w:val="000000"/>
          <w:sz w:val="22"/>
          <w:szCs w:val="22"/>
        </w:rPr>
      </w:pPr>
      <w:r w:rsidRPr="00A61989">
        <w:rPr>
          <w:rFonts w:ascii="Palatino Linotype" w:eastAsia="Palatino Linotype" w:hAnsi="Palatino Linotype" w:cs="Palatino Linotype"/>
          <w:color w:val="000000"/>
          <w:sz w:val="22"/>
          <w:szCs w:val="22"/>
        </w:rPr>
        <w:t>Documento que contiene Informe Justificado rendido por la Directora de Información a través del cual se ratifica la respuesta primigenia.</w:t>
      </w:r>
    </w:p>
    <w:p w:rsidR="00724499" w:rsidRPr="00A61989" w:rsidRDefault="00724499" w:rsidP="00724499">
      <w:pPr>
        <w:pBdr>
          <w:top w:val="nil"/>
          <w:left w:val="nil"/>
          <w:bottom w:val="nil"/>
          <w:right w:val="nil"/>
          <w:between w:val="nil"/>
        </w:pBdr>
        <w:rPr>
          <w:rFonts w:ascii="Palatino Linotype" w:eastAsia="Palatino Linotype" w:hAnsi="Palatino Linotype" w:cs="Palatino Linotype"/>
          <w:b/>
          <w:color w:val="000000"/>
          <w:sz w:val="22"/>
          <w:szCs w:val="22"/>
        </w:rPr>
      </w:pPr>
    </w:p>
    <w:p w:rsidR="00724499" w:rsidRPr="00A61989" w:rsidRDefault="00BF70D3" w:rsidP="00724499">
      <w:pPr>
        <w:pBdr>
          <w:top w:val="nil"/>
          <w:left w:val="nil"/>
          <w:bottom w:val="nil"/>
          <w:right w:val="nil"/>
          <w:between w:val="nil"/>
        </w:pBdr>
        <w:rPr>
          <w:rFonts w:ascii="Palatino Linotype" w:eastAsia="Palatino Linotype" w:hAnsi="Palatino Linotype" w:cs="Palatino Linotype"/>
          <w:b/>
          <w:color w:val="000000"/>
          <w:sz w:val="22"/>
          <w:szCs w:val="22"/>
        </w:rPr>
      </w:pPr>
      <w:r w:rsidRPr="00A61989">
        <w:rPr>
          <w:rFonts w:ascii="Palatino Linotype" w:eastAsia="Palatino Linotype" w:hAnsi="Palatino Linotype" w:cs="Palatino Linotype"/>
          <w:b/>
          <w:color w:val="000000"/>
          <w:sz w:val="22"/>
          <w:szCs w:val="22"/>
        </w:rPr>
        <w:t>07583</w:t>
      </w:r>
      <w:r w:rsidR="00724499" w:rsidRPr="00A61989">
        <w:rPr>
          <w:rFonts w:ascii="Palatino Linotype" w:eastAsia="Palatino Linotype" w:hAnsi="Palatino Linotype" w:cs="Palatino Linotype"/>
          <w:b/>
          <w:color w:val="000000"/>
          <w:sz w:val="22"/>
          <w:szCs w:val="22"/>
        </w:rPr>
        <w:t>/INFOEM/IP/RR/2024</w:t>
      </w:r>
    </w:p>
    <w:p w:rsidR="001054B4" w:rsidRPr="00A61989" w:rsidRDefault="001054B4" w:rsidP="00724499">
      <w:pPr>
        <w:pBdr>
          <w:top w:val="nil"/>
          <w:left w:val="nil"/>
          <w:bottom w:val="nil"/>
          <w:right w:val="nil"/>
          <w:between w:val="nil"/>
        </w:pBdr>
        <w:rPr>
          <w:rFonts w:ascii="Palatino Linotype" w:eastAsia="Palatino Linotype" w:hAnsi="Palatino Linotype" w:cs="Palatino Linotype"/>
          <w:b/>
          <w:color w:val="000000"/>
          <w:sz w:val="22"/>
          <w:szCs w:val="22"/>
        </w:rPr>
      </w:pPr>
    </w:p>
    <w:p w:rsidR="00724499" w:rsidRPr="00A61989" w:rsidRDefault="00FB6F68" w:rsidP="00C70335">
      <w:pPr>
        <w:pBdr>
          <w:top w:val="nil"/>
          <w:left w:val="nil"/>
          <w:bottom w:val="nil"/>
          <w:right w:val="nil"/>
          <w:between w:val="nil"/>
        </w:pBdr>
        <w:ind w:left="567"/>
        <w:rPr>
          <w:rFonts w:ascii="Palatino Linotype" w:eastAsia="Palatino Linotype" w:hAnsi="Palatino Linotype" w:cs="Palatino Linotype"/>
          <w:b/>
          <w:i/>
          <w:color w:val="000000"/>
          <w:sz w:val="22"/>
          <w:szCs w:val="22"/>
        </w:rPr>
      </w:pPr>
      <w:r w:rsidRPr="00A61989">
        <w:rPr>
          <w:rFonts w:ascii="Palatino Linotype" w:eastAsia="Palatino Linotype" w:hAnsi="Palatino Linotype" w:cs="Palatino Linotype"/>
          <w:b/>
          <w:i/>
          <w:color w:val="000000"/>
          <w:sz w:val="22"/>
          <w:szCs w:val="22"/>
        </w:rPr>
        <w:t>RR 07583-2024 UIPPE.pdf</w:t>
      </w:r>
    </w:p>
    <w:p w:rsidR="00C70335" w:rsidRPr="00A61989" w:rsidRDefault="00C70335" w:rsidP="00C70335">
      <w:pPr>
        <w:pBdr>
          <w:top w:val="nil"/>
          <w:left w:val="nil"/>
          <w:bottom w:val="nil"/>
          <w:right w:val="nil"/>
          <w:between w:val="nil"/>
        </w:pBdr>
        <w:ind w:left="567"/>
        <w:rPr>
          <w:rFonts w:ascii="Palatino Linotype" w:eastAsia="Palatino Linotype" w:hAnsi="Palatino Linotype" w:cs="Palatino Linotype"/>
          <w:color w:val="000000"/>
          <w:sz w:val="22"/>
          <w:szCs w:val="22"/>
        </w:rPr>
      </w:pPr>
      <w:r w:rsidRPr="00A61989">
        <w:rPr>
          <w:rFonts w:ascii="Palatino Linotype" w:eastAsia="Palatino Linotype" w:hAnsi="Palatino Linotype" w:cs="Palatino Linotype"/>
          <w:color w:val="000000"/>
          <w:sz w:val="22"/>
          <w:szCs w:val="22"/>
        </w:rPr>
        <w:t>Oficio de fecha 18 de diciembre de 2024 firmado por la Servidora Pública Habilitada de la Unidad de Información, Planeación, Programación y Evaluación en el que ratifica la respuesta.</w:t>
      </w:r>
    </w:p>
    <w:p w:rsidR="00C70335" w:rsidRPr="00A61989" w:rsidRDefault="00C70335" w:rsidP="00C70335">
      <w:pPr>
        <w:pBdr>
          <w:top w:val="nil"/>
          <w:left w:val="nil"/>
          <w:bottom w:val="nil"/>
          <w:right w:val="nil"/>
          <w:between w:val="nil"/>
        </w:pBdr>
        <w:rPr>
          <w:rFonts w:ascii="Palatino Linotype" w:eastAsia="Palatino Linotype" w:hAnsi="Palatino Linotype" w:cs="Palatino Linotype"/>
          <w:color w:val="000000"/>
          <w:sz w:val="22"/>
          <w:szCs w:val="22"/>
        </w:rPr>
      </w:pPr>
    </w:p>
    <w:p w:rsidR="00C70335" w:rsidRPr="00A61989" w:rsidRDefault="00C70335" w:rsidP="00C70335">
      <w:pPr>
        <w:pBdr>
          <w:top w:val="nil"/>
          <w:left w:val="nil"/>
          <w:bottom w:val="nil"/>
          <w:right w:val="nil"/>
          <w:between w:val="nil"/>
        </w:pBdr>
        <w:ind w:left="567"/>
        <w:rPr>
          <w:rFonts w:ascii="Palatino Linotype" w:eastAsia="Palatino Linotype" w:hAnsi="Palatino Linotype" w:cs="Palatino Linotype"/>
          <w:b/>
          <w:i/>
          <w:color w:val="000000"/>
          <w:sz w:val="22"/>
          <w:szCs w:val="22"/>
        </w:rPr>
      </w:pPr>
      <w:r w:rsidRPr="00A61989">
        <w:rPr>
          <w:rFonts w:ascii="Palatino Linotype" w:eastAsia="Palatino Linotype" w:hAnsi="Palatino Linotype" w:cs="Palatino Linotype"/>
          <w:b/>
          <w:i/>
          <w:color w:val="000000"/>
          <w:sz w:val="22"/>
          <w:szCs w:val="22"/>
        </w:rPr>
        <w:t>RR 07583-2024 INFORME JUSTIFICADO.pdf</w:t>
      </w:r>
    </w:p>
    <w:p w:rsidR="00C70335" w:rsidRPr="00A61989" w:rsidRDefault="00C70335" w:rsidP="00C70335">
      <w:pPr>
        <w:pBdr>
          <w:top w:val="nil"/>
          <w:left w:val="nil"/>
          <w:bottom w:val="nil"/>
          <w:right w:val="nil"/>
          <w:between w:val="nil"/>
        </w:pBdr>
        <w:ind w:left="567"/>
        <w:rPr>
          <w:rFonts w:ascii="Palatino Linotype" w:eastAsia="Palatino Linotype" w:hAnsi="Palatino Linotype" w:cs="Palatino Linotype"/>
          <w:color w:val="000000"/>
          <w:sz w:val="22"/>
          <w:szCs w:val="22"/>
        </w:rPr>
      </w:pPr>
      <w:r w:rsidRPr="00A61989">
        <w:rPr>
          <w:rFonts w:ascii="Palatino Linotype" w:eastAsia="Palatino Linotype" w:hAnsi="Palatino Linotype" w:cs="Palatino Linotype"/>
          <w:color w:val="000000"/>
          <w:sz w:val="22"/>
          <w:szCs w:val="22"/>
        </w:rPr>
        <w:t>Documento que contiene Informe Justificado rendido por la Directora de Información a través del cual se ratifica la respuesta primigenia.</w:t>
      </w:r>
    </w:p>
    <w:p w:rsidR="00C70335" w:rsidRPr="00A61989" w:rsidRDefault="00C70335" w:rsidP="00C70335">
      <w:pPr>
        <w:pBdr>
          <w:top w:val="nil"/>
          <w:left w:val="nil"/>
          <w:bottom w:val="nil"/>
          <w:right w:val="nil"/>
          <w:between w:val="nil"/>
        </w:pBdr>
        <w:ind w:left="567"/>
        <w:rPr>
          <w:rFonts w:ascii="Palatino Linotype" w:eastAsia="Palatino Linotype" w:hAnsi="Palatino Linotype" w:cs="Palatino Linotype"/>
          <w:b/>
          <w:color w:val="000000"/>
          <w:sz w:val="22"/>
          <w:szCs w:val="22"/>
        </w:rPr>
      </w:pPr>
    </w:p>
    <w:p w:rsidR="002A29F7" w:rsidRPr="00A61989" w:rsidRDefault="002A29F7" w:rsidP="00BF70D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C4823" w:rsidRPr="00A61989" w:rsidRDefault="009C4823" w:rsidP="009C4823">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bookmarkStart w:id="1" w:name="_heading=h.3znysh7" w:colFirst="0" w:colLast="0"/>
      <w:bookmarkEnd w:id="1"/>
      <w:r w:rsidRPr="00A61989">
        <w:rPr>
          <w:rFonts w:ascii="Palatino Linotype" w:eastAsia="Palatino Linotype" w:hAnsi="Palatino Linotype" w:cs="Palatino Linotype"/>
          <w:color w:val="000000"/>
        </w:rPr>
        <w:t>Posteriormente, la Comisionada Ponente a través de acuerdo de fecha</w:t>
      </w:r>
      <w:r w:rsidRPr="00A61989">
        <w:rPr>
          <w:rFonts w:ascii="Palatino Linotype" w:eastAsia="Palatino Linotype" w:hAnsi="Palatino Linotype" w:cs="Palatino Linotype"/>
          <w:b/>
          <w:color w:val="000000"/>
        </w:rPr>
        <w:t xml:space="preserve"> diez de febrero de dos mil veinticinco</w:t>
      </w:r>
      <w:r w:rsidRPr="00A61989">
        <w:rPr>
          <w:rFonts w:ascii="Palatino Linotype" w:eastAsia="Palatino Linotype" w:hAnsi="Palatino Linotype" w:cs="Palatino Linotype"/>
          <w:color w:val="000000"/>
        </w:rPr>
        <w:t xml:space="preserve">, </w:t>
      </w:r>
      <w:r w:rsidRPr="00A61989">
        <w:rPr>
          <w:rFonts w:ascii="Palatino Linotype" w:eastAsia="Calibri" w:hAnsi="Palatino Linotype" w:cs="Tahoma"/>
        </w:rPr>
        <w:t xml:space="preserve">con fundamento en el artículo 14, fracciones I, II, </w:t>
      </w:r>
      <w:r w:rsidRPr="00A61989">
        <w:rPr>
          <w:rFonts w:ascii="Palatino Linotype" w:eastAsia="Calibri" w:hAnsi="Palatino Linotype" w:cs="Tahoma"/>
        </w:rPr>
        <w:lastRenderedPageBreak/>
        <w:t xml:space="preserve">V y XVI del Reglamento Interior del Instituto de Transparencia, Acceso a la Información Pública y Protección de Datos Personales del Estado de México y Municipios, </w:t>
      </w:r>
      <w:r w:rsidRPr="00A61989">
        <w:rPr>
          <w:rFonts w:ascii="Palatino Linotype" w:eastAsia="Calibri" w:hAnsi="Palatino Linotype" w:cs="Tahoma"/>
          <w:lang w:val="es-MX"/>
        </w:rPr>
        <w:t xml:space="preserve">previo análisis de las características de los medios de impugnación identificados con los números </w:t>
      </w:r>
      <w:r w:rsidRPr="00A61989">
        <w:rPr>
          <w:rFonts w:ascii="Palatino Linotype" w:eastAsia="Calibri" w:hAnsi="Palatino Linotype" w:cs="Tahoma"/>
          <w:b/>
          <w:bCs/>
          <w:lang w:val="es-MX"/>
        </w:rPr>
        <w:t xml:space="preserve">07553/INFOEM/IP/RR/2024, </w:t>
      </w:r>
      <w:r w:rsidRPr="00A61989">
        <w:rPr>
          <w:rFonts w:ascii="Palatino Linotype" w:eastAsia="Calibri" w:hAnsi="Palatino Linotype" w:cs="Tahoma"/>
          <w:b/>
          <w:lang w:val="es-MX"/>
        </w:rPr>
        <w:t>y 07583/INFOEM/IP/RR/2024</w:t>
      </w:r>
      <w:r w:rsidRPr="00A61989">
        <w:rPr>
          <w:rFonts w:ascii="Palatino Linotype" w:eastAsia="Calibri" w:hAnsi="Palatino Linotype" w:cs="Tahoma"/>
          <w:b/>
          <w:bCs/>
          <w:lang w:val="es-MX"/>
        </w:rPr>
        <w:t>,</w:t>
      </w:r>
      <w:r w:rsidRPr="00A61989">
        <w:rPr>
          <w:rFonts w:ascii="Palatino Linotype" w:eastAsia="Calibri" w:hAnsi="Palatino Linotype" w:cs="Tahoma"/>
          <w:b/>
          <w:lang w:val="es-MX"/>
        </w:rPr>
        <w:t xml:space="preserve"> </w:t>
      </w:r>
      <w:r w:rsidRPr="00A61989">
        <w:rPr>
          <w:rFonts w:ascii="Palatino Linotype" w:eastAsia="Calibri" w:hAnsi="Palatino Linotype" w:cs="Tahoma"/>
          <w:lang w:val="es-MX"/>
        </w:rPr>
        <w:t xml:space="preserve">y toda vez que se advirtió conexidad entre estos, al haber sido promovidos por la misma persona, en los que se señaló como dependencia o entidad recurrida a la </w:t>
      </w:r>
      <w:r w:rsidRPr="00A61989">
        <w:rPr>
          <w:rFonts w:ascii="Palatino Linotype" w:eastAsia="Calibri" w:hAnsi="Palatino Linotype" w:cs="Tahoma"/>
          <w:b/>
          <w:lang w:val="es-MX"/>
        </w:rPr>
        <w:t>Secretaría de Finanzas</w:t>
      </w:r>
      <w:r w:rsidRPr="00A61989">
        <w:rPr>
          <w:rFonts w:ascii="Palatino Linotype" w:eastAsia="Calibri" w:hAnsi="Palatino Linotype" w:cs="Tahoma"/>
          <w:lang w:val="es-MX"/>
        </w:rPr>
        <w:t xml:space="preserve">;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se </w:t>
      </w:r>
      <w:r w:rsidRPr="00A61989">
        <w:rPr>
          <w:rFonts w:ascii="Palatino Linotype" w:eastAsia="Calibri" w:hAnsi="Palatino Linotype" w:cs="Tahoma"/>
          <w:b/>
          <w:lang w:val="es-MX"/>
        </w:rPr>
        <w:t>decreta</w:t>
      </w:r>
      <w:r w:rsidRPr="00A61989">
        <w:rPr>
          <w:rFonts w:ascii="Palatino Linotype" w:eastAsia="Calibri" w:hAnsi="Palatino Linotype" w:cs="Tahoma"/>
          <w:lang w:val="es-MX"/>
        </w:rPr>
        <w:t xml:space="preserve"> la </w:t>
      </w:r>
      <w:r w:rsidRPr="00A61989">
        <w:rPr>
          <w:rFonts w:ascii="Palatino Linotype" w:eastAsia="Calibri" w:hAnsi="Palatino Linotype" w:cs="Tahoma"/>
          <w:b/>
          <w:lang w:val="es-MX"/>
        </w:rPr>
        <w:t>acumulación</w:t>
      </w:r>
      <w:r w:rsidRPr="00A61989">
        <w:rPr>
          <w:rFonts w:ascii="Palatino Linotype" w:eastAsia="Calibri" w:hAnsi="Palatino Linotype" w:cs="Tahoma"/>
          <w:lang w:val="es-MX"/>
        </w:rPr>
        <w:t xml:space="preserve"> del Recurso de Revisión </w:t>
      </w:r>
      <w:r w:rsidR="00672E20" w:rsidRPr="00A61989">
        <w:rPr>
          <w:rFonts w:ascii="Palatino Linotype" w:eastAsia="Calibri" w:hAnsi="Palatino Linotype" w:cs="Tahoma"/>
          <w:b/>
          <w:lang w:val="es-MX"/>
        </w:rPr>
        <w:t>07583</w:t>
      </w:r>
      <w:r w:rsidRPr="00A61989">
        <w:rPr>
          <w:rFonts w:ascii="Palatino Linotype" w:eastAsia="Calibri" w:hAnsi="Palatino Linotype" w:cs="Tahoma"/>
          <w:b/>
          <w:lang w:val="es-MX"/>
        </w:rPr>
        <w:t xml:space="preserve">/INFOEM/IP/RR/2024 </w:t>
      </w:r>
      <w:r w:rsidRPr="00A61989">
        <w:rPr>
          <w:rFonts w:ascii="Palatino Linotype" w:eastAsia="Calibri" w:hAnsi="Palatino Linotype" w:cs="Tahoma"/>
          <w:lang w:val="es-MX"/>
        </w:rPr>
        <w:t xml:space="preserve">al diverso </w:t>
      </w:r>
      <w:r w:rsidR="00672E20" w:rsidRPr="00A61989">
        <w:rPr>
          <w:rFonts w:ascii="Palatino Linotype" w:eastAsia="Calibri" w:hAnsi="Palatino Linotype" w:cs="Tahoma"/>
          <w:b/>
          <w:bCs/>
          <w:lang w:val="es-MX"/>
        </w:rPr>
        <w:t>07553</w:t>
      </w:r>
      <w:r w:rsidRPr="00A61989">
        <w:rPr>
          <w:rFonts w:ascii="Palatino Linotype" w:eastAsia="Calibri" w:hAnsi="Palatino Linotype" w:cs="Tahoma"/>
          <w:b/>
          <w:bCs/>
          <w:lang w:val="es-MX"/>
        </w:rPr>
        <w:t>/INFOEM/IP/RR/2024</w:t>
      </w:r>
      <w:r w:rsidRPr="00A61989">
        <w:rPr>
          <w:rFonts w:ascii="Palatino Linotype" w:eastAsia="Calibri" w:hAnsi="Palatino Linotype" w:cs="Tahoma"/>
          <w:lang w:val="es-MX"/>
        </w:rPr>
        <w:t>, por ser este último el más antiguo, sustanciado bajo el índice de esta Ponencia.</w:t>
      </w:r>
    </w:p>
    <w:p w:rsidR="009C4823" w:rsidRPr="00A61989" w:rsidRDefault="009C4823" w:rsidP="009C482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93481" w:rsidRPr="00A61989" w:rsidRDefault="00893481" w:rsidP="00B957AF">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61989">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el</w:t>
      </w:r>
      <w:r w:rsidRPr="00A61989">
        <w:rPr>
          <w:rFonts w:ascii="Palatino Linotype" w:eastAsia="Palatino Linotype" w:hAnsi="Palatino Linotype" w:cs="Palatino Linotype"/>
          <w:b/>
          <w:color w:val="000000"/>
        </w:rPr>
        <w:t xml:space="preserve"> </w:t>
      </w:r>
      <w:r w:rsidR="00C83CBB" w:rsidRPr="00A61989">
        <w:rPr>
          <w:rFonts w:ascii="Palatino Linotype" w:eastAsia="Palatino Linotype" w:hAnsi="Palatino Linotype" w:cs="Palatino Linotype"/>
          <w:b/>
          <w:color w:val="000000"/>
        </w:rPr>
        <w:t>diez de febrero de dos mil veinticinco</w:t>
      </w:r>
      <w:r w:rsidRPr="00A61989">
        <w:rPr>
          <w:rFonts w:ascii="Palatino Linotype" w:eastAsia="Palatino Linotype" w:hAnsi="Palatino Linotype" w:cs="Palatino Linotype"/>
          <w:color w:val="000000"/>
        </w:rPr>
        <w:t xml:space="preserve"> se acordó ampliar el término para resolver el presente asunto.</w:t>
      </w:r>
    </w:p>
    <w:p w:rsidR="00D75435" w:rsidRPr="00A61989" w:rsidRDefault="00D75435" w:rsidP="00E6357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2A29F7" w:rsidRPr="00A61989" w:rsidRDefault="00F12910" w:rsidP="006F6AC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A61989">
        <w:rPr>
          <w:rFonts w:ascii="Palatino Linotype" w:eastAsia="Palatino Linotype" w:hAnsi="Palatino Linotype" w:cs="Palatino Linotype"/>
          <w:color w:val="000000"/>
        </w:rPr>
        <w:lastRenderedPageBreak/>
        <w:t xml:space="preserve">Seguidamente, en fecha </w:t>
      </w:r>
      <w:r w:rsidR="006A6CAE" w:rsidRPr="00A61989">
        <w:rPr>
          <w:rFonts w:ascii="Palatino Linotype" w:eastAsia="Palatino Linotype" w:hAnsi="Palatino Linotype" w:cs="Palatino Linotype"/>
          <w:b/>
          <w:color w:val="000000"/>
        </w:rPr>
        <w:t>catorce de febrero de dos mil veinticinco</w:t>
      </w:r>
      <w:r w:rsidRPr="00A61989">
        <w:rPr>
          <w:rFonts w:ascii="Palatino Linotype" w:eastAsia="Palatino Linotype" w:hAnsi="Palatino Linotype" w:cs="Palatino Linotype"/>
          <w:color w:val="000000"/>
        </w:rPr>
        <w:t xml:space="preserve">, la Comisionada Ponente dictó el </w:t>
      </w:r>
      <w:r w:rsidRPr="00A61989">
        <w:rPr>
          <w:rFonts w:ascii="Palatino Linotype" w:eastAsia="Palatino Linotype" w:hAnsi="Palatino Linotype" w:cs="Palatino Linotype"/>
          <w:b/>
          <w:color w:val="000000"/>
        </w:rPr>
        <w:t>cierre del periodo de instrucción</w:t>
      </w:r>
      <w:r w:rsidRPr="00A61989">
        <w:rPr>
          <w:rFonts w:ascii="Palatino Linotype" w:eastAsia="Palatino Linotype" w:hAnsi="Palatino Linotype" w:cs="Palatino Linotype"/>
          <w:color w:val="000000"/>
        </w:rPr>
        <w:t xml:space="preserve"> y, ordenó la resolución que conforme a Derecho proceda, de acuerdo a las siguientes:</w:t>
      </w:r>
    </w:p>
    <w:p w:rsidR="00D75435" w:rsidRPr="00A61989" w:rsidRDefault="00D75435" w:rsidP="00DF2C4C">
      <w:pPr>
        <w:pBdr>
          <w:top w:val="nil"/>
          <w:left w:val="nil"/>
          <w:bottom w:val="nil"/>
          <w:right w:val="nil"/>
          <w:between w:val="nil"/>
        </w:pBdr>
        <w:spacing w:line="360" w:lineRule="auto"/>
        <w:rPr>
          <w:rFonts w:ascii="Palatino Linotype" w:eastAsia="Palatino Linotype" w:hAnsi="Palatino Linotype" w:cs="Palatino Linotype"/>
          <w:b/>
          <w:color w:val="000000"/>
        </w:rPr>
      </w:pPr>
    </w:p>
    <w:p w:rsidR="002A29F7" w:rsidRPr="00A61989" w:rsidRDefault="00F12910" w:rsidP="006F6AC6">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A61989">
        <w:rPr>
          <w:rFonts w:ascii="Palatino Linotype" w:eastAsia="Palatino Linotype" w:hAnsi="Palatino Linotype" w:cs="Palatino Linotype"/>
          <w:b/>
          <w:color w:val="000000"/>
        </w:rPr>
        <w:t>C O N S I D E R A C I O N E S</w:t>
      </w:r>
    </w:p>
    <w:p w:rsidR="002A29F7" w:rsidRPr="00A61989" w:rsidRDefault="002A29F7" w:rsidP="006F6AC6">
      <w:pPr>
        <w:pBdr>
          <w:top w:val="nil"/>
          <w:left w:val="nil"/>
          <w:bottom w:val="nil"/>
          <w:right w:val="nil"/>
          <w:between w:val="nil"/>
        </w:pBdr>
        <w:jc w:val="center"/>
        <w:rPr>
          <w:rFonts w:ascii="Palatino Linotype" w:eastAsia="Palatino Linotype" w:hAnsi="Palatino Linotype" w:cs="Palatino Linotype"/>
          <w:b/>
          <w:color w:val="000000"/>
        </w:rPr>
      </w:pPr>
    </w:p>
    <w:p w:rsidR="002A29F7" w:rsidRPr="00A61989" w:rsidRDefault="00F12910" w:rsidP="006F6AC6">
      <w:pPr>
        <w:pStyle w:val="Ttulo2"/>
        <w:spacing w:before="0" w:line="360" w:lineRule="auto"/>
        <w:rPr>
          <w:rFonts w:ascii="Palatino Linotype" w:eastAsia="Palatino Linotype" w:hAnsi="Palatino Linotype" w:cs="Palatino Linotype"/>
          <w:b/>
          <w:color w:val="000000"/>
          <w:sz w:val="24"/>
          <w:szCs w:val="24"/>
        </w:rPr>
      </w:pPr>
      <w:bookmarkStart w:id="2" w:name="_heading=h.2et92p0" w:colFirst="0" w:colLast="0"/>
      <w:bookmarkEnd w:id="2"/>
      <w:r w:rsidRPr="00A61989">
        <w:rPr>
          <w:rFonts w:ascii="Palatino Linotype" w:eastAsia="Palatino Linotype" w:hAnsi="Palatino Linotype" w:cs="Palatino Linotype"/>
          <w:b/>
          <w:color w:val="000000"/>
          <w:sz w:val="24"/>
          <w:szCs w:val="24"/>
        </w:rPr>
        <w:t>PRIMERA. Competencia</w:t>
      </w:r>
    </w:p>
    <w:p w:rsidR="002A29F7" w:rsidRPr="00A61989" w:rsidRDefault="00F12910" w:rsidP="006F6AC6">
      <w:pPr>
        <w:numPr>
          <w:ilvl w:val="0"/>
          <w:numId w:val="2"/>
        </w:numPr>
        <w:pBdr>
          <w:top w:val="nil"/>
          <w:left w:val="nil"/>
          <w:bottom w:val="nil"/>
          <w:right w:val="nil"/>
          <w:between w:val="nil"/>
        </w:pBdr>
        <w:spacing w:line="360" w:lineRule="auto"/>
        <w:ind w:left="0" w:firstLine="0"/>
        <w:jc w:val="both"/>
        <w:rPr>
          <w:color w:val="000000"/>
        </w:rPr>
      </w:pPr>
      <w:r w:rsidRPr="00A61989">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2A29F7" w:rsidRPr="00A61989" w:rsidRDefault="002A29F7" w:rsidP="006F6AC6">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2A29F7" w:rsidRPr="00A61989" w:rsidRDefault="00F12910" w:rsidP="006F6AC6">
      <w:pPr>
        <w:pStyle w:val="Ttulo2"/>
        <w:spacing w:before="0" w:line="360" w:lineRule="auto"/>
        <w:rPr>
          <w:rFonts w:ascii="Palatino Linotype" w:eastAsia="Palatino Linotype" w:hAnsi="Palatino Linotype" w:cs="Palatino Linotype"/>
          <w:b/>
          <w:color w:val="000000"/>
          <w:sz w:val="24"/>
          <w:szCs w:val="24"/>
        </w:rPr>
      </w:pPr>
      <w:bookmarkStart w:id="3" w:name="_heading=h.tyjcwt" w:colFirst="0" w:colLast="0"/>
      <w:bookmarkEnd w:id="3"/>
      <w:r w:rsidRPr="00A61989">
        <w:rPr>
          <w:rFonts w:ascii="Palatino Linotype" w:eastAsia="Palatino Linotype" w:hAnsi="Palatino Linotype" w:cs="Palatino Linotype"/>
          <w:b/>
          <w:color w:val="000000"/>
          <w:sz w:val="24"/>
          <w:szCs w:val="24"/>
        </w:rPr>
        <w:t>SEGUNDA. Procedencia.</w:t>
      </w:r>
    </w:p>
    <w:p w:rsidR="002A29F7" w:rsidRPr="00A61989" w:rsidRDefault="00F12910" w:rsidP="006F6AC6">
      <w:pPr>
        <w:numPr>
          <w:ilvl w:val="0"/>
          <w:numId w:val="2"/>
        </w:numPr>
        <w:spacing w:line="360" w:lineRule="auto"/>
        <w:ind w:left="0" w:firstLine="0"/>
        <w:jc w:val="both"/>
      </w:pPr>
      <w:r w:rsidRPr="00A61989">
        <w:rPr>
          <w:rFonts w:ascii="Palatino Linotype" w:eastAsia="Palatino Linotype" w:hAnsi="Palatino Linotype" w:cs="Palatino Linotype"/>
        </w:rPr>
        <w:t xml:space="preserve">Este Órgano Garante considera que el medio de impugnación reúne los requisitos de procedencia </w:t>
      </w:r>
      <w:r w:rsidRPr="00A61989">
        <w:rPr>
          <w:rFonts w:ascii="Palatino Linotype" w:eastAsia="Palatino Linotype" w:hAnsi="Palatino Linotype" w:cs="Palatino Linotype"/>
          <w:color w:val="000000"/>
        </w:rPr>
        <w:t xml:space="preserve">toda vez que: el recurso fue presentado dentro del plazo establecido en el artículo 178, de la Ley de Transparencia y Acceso a la Información </w:t>
      </w:r>
      <w:r w:rsidRPr="00A61989">
        <w:rPr>
          <w:rFonts w:ascii="Palatino Linotype" w:eastAsia="Palatino Linotype" w:hAnsi="Palatino Linotype" w:cs="Palatino Linotype"/>
          <w:color w:val="000000"/>
        </w:rPr>
        <w:lastRenderedPageBreak/>
        <w:t>Pública del Estado de México y Municipios; asimismo no se tiene conocimiento de que se encuentre en trámite algún medio de defensa presentado por el Recurrente ante otra instancia.</w:t>
      </w:r>
    </w:p>
    <w:p w:rsidR="002A29F7" w:rsidRPr="00A61989" w:rsidRDefault="002A29F7" w:rsidP="006F6AC6">
      <w:pPr>
        <w:spacing w:line="360" w:lineRule="auto"/>
        <w:jc w:val="both"/>
        <w:rPr>
          <w:rFonts w:ascii="Palatino Linotype" w:eastAsia="Palatino Linotype" w:hAnsi="Palatino Linotype" w:cs="Palatino Linotype"/>
        </w:rPr>
      </w:pPr>
    </w:p>
    <w:p w:rsidR="002A29F7" w:rsidRPr="00A61989" w:rsidRDefault="00F12910" w:rsidP="006F6AC6">
      <w:pPr>
        <w:numPr>
          <w:ilvl w:val="0"/>
          <w:numId w:val="2"/>
        </w:numPr>
        <w:spacing w:line="360" w:lineRule="auto"/>
        <w:ind w:left="0" w:firstLine="0"/>
        <w:jc w:val="both"/>
      </w:pPr>
      <w:r w:rsidRPr="00A61989">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rsidR="002A29F7" w:rsidRPr="00A61989" w:rsidRDefault="002A29F7" w:rsidP="006F6AC6">
      <w:pPr>
        <w:pBdr>
          <w:top w:val="nil"/>
          <w:left w:val="nil"/>
          <w:bottom w:val="nil"/>
          <w:right w:val="nil"/>
          <w:between w:val="nil"/>
        </w:pBdr>
        <w:spacing w:line="360" w:lineRule="auto"/>
        <w:rPr>
          <w:rFonts w:ascii="Palatino Linotype" w:eastAsia="Palatino Linotype" w:hAnsi="Palatino Linotype" w:cs="Palatino Linotype"/>
          <w:color w:val="000000"/>
        </w:rPr>
      </w:pPr>
    </w:p>
    <w:p w:rsidR="002A29F7" w:rsidRPr="00A61989" w:rsidRDefault="00F12910" w:rsidP="006F6AC6">
      <w:pPr>
        <w:pStyle w:val="Ttulo1"/>
        <w:spacing w:before="0" w:line="360" w:lineRule="auto"/>
        <w:rPr>
          <w:rFonts w:ascii="Palatino Linotype" w:eastAsia="Palatino Linotype" w:hAnsi="Palatino Linotype" w:cs="Palatino Linotype"/>
          <w:b/>
          <w:color w:val="000000"/>
          <w:sz w:val="24"/>
          <w:szCs w:val="24"/>
        </w:rPr>
      </w:pPr>
      <w:bookmarkStart w:id="4" w:name="_heading=h.3dy6vkm" w:colFirst="0" w:colLast="0"/>
      <w:bookmarkEnd w:id="4"/>
      <w:r w:rsidRPr="00A61989">
        <w:rPr>
          <w:rFonts w:ascii="Palatino Linotype" w:eastAsia="Palatino Linotype" w:hAnsi="Palatino Linotype" w:cs="Palatino Linotype"/>
          <w:b/>
          <w:color w:val="000000"/>
          <w:sz w:val="24"/>
          <w:szCs w:val="24"/>
        </w:rPr>
        <w:t>TERCERA. Descripción de hechos y planteamiento de la controversia.</w:t>
      </w:r>
    </w:p>
    <w:p w:rsidR="002A29F7" w:rsidRPr="00A61989" w:rsidRDefault="00F12910" w:rsidP="006F6AC6">
      <w:pPr>
        <w:numPr>
          <w:ilvl w:val="0"/>
          <w:numId w:val="2"/>
        </w:numPr>
        <w:pBdr>
          <w:top w:val="nil"/>
          <w:left w:val="nil"/>
          <w:bottom w:val="nil"/>
          <w:right w:val="nil"/>
          <w:between w:val="nil"/>
        </w:pBdr>
        <w:spacing w:line="360" w:lineRule="auto"/>
        <w:ind w:left="0" w:firstLine="0"/>
        <w:jc w:val="both"/>
        <w:rPr>
          <w:color w:val="000000"/>
        </w:rPr>
      </w:pPr>
      <w:r w:rsidRPr="00A61989">
        <w:rPr>
          <w:rFonts w:ascii="Palatino Linotype" w:eastAsia="Palatino Linotype" w:hAnsi="Palatino Linotype" w:cs="Palatino Linotype"/>
          <w:color w:val="000000"/>
        </w:rPr>
        <w:t>Se solicitó tener acceso, a la información que a continuación se simplifica:</w:t>
      </w:r>
    </w:p>
    <w:p w:rsidR="00A244CB" w:rsidRPr="00A61989" w:rsidRDefault="00A244CB" w:rsidP="00DF2C4C">
      <w:pPr>
        <w:pBdr>
          <w:top w:val="nil"/>
          <w:left w:val="nil"/>
          <w:bottom w:val="nil"/>
          <w:right w:val="nil"/>
          <w:between w:val="nil"/>
        </w:pBdr>
        <w:ind w:left="720"/>
        <w:jc w:val="both"/>
        <w:rPr>
          <w:rFonts w:ascii="Palatino Linotype" w:eastAsia="Palatino Linotype" w:hAnsi="Palatino Linotype" w:cs="Palatino Linotype"/>
          <w:color w:val="000000"/>
        </w:rPr>
      </w:pPr>
    </w:p>
    <w:p w:rsidR="002A29F7" w:rsidRPr="00A61989" w:rsidRDefault="00782AA7" w:rsidP="00A244CB">
      <w:pPr>
        <w:pBdr>
          <w:top w:val="nil"/>
          <w:left w:val="nil"/>
          <w:bottom w:val="nil"/>
          <w:right w:val="nil"/>
          <w:between w:val="nil"/>
        </w:pBdr>
        <w:spacing w:line="360" w:lineRule="auto"/>
        <w:ind w:left="720"/>
        <w:jc w:val="both"/>
        <w:rPr>
          <w:color w:val="000000"/>
          <w:sz w:val="22"/>
          <w:szCs w:val="22"/>
        </w:rPr>
      </w:pPr>
      <w:r w:rsidRPr="00A61989">
        <w:rPr>
          <w:rFonts w:ascii="Palatino Linotype" w:eastAsia="Times New Roman" w:hAnsi="Palatino Linotype"/>
          <w:sz w:val="22"/>
          <w:szCs w:val="22"/>
          <w:lang w:eastAsia="es-MX"/>
        </w:rPr>
        <w:t>De octubre de 2023 a octubre de 2024</w:t>
      </w:r>
      <w:r w:rsidR="00A244CB" w:rsidRPr="00A61989">
        <w:rPr>
          <w:rFonts w:ascii="Palatino Linotype" w:eastAsia="Palatino Linotype" w:hAnsi="Palatino Linotype" w:cs="Palatino Linotype"/>
          <w:color w:val="000000"/>
          <w:sz w:val="22"/>
          <w:szCs w:val="22"/>
        </w:rPr>
        <w:t>:</w:t>
      </w:r>
    </w:p>
    <w:p w:rsidR="00A244CB" w:rsidRPr="00A61989" w:rsidRDefault="00782AA7" w:rsidP="00782AA7">
      <w:pPr>
        <w:pStyle w:val="Prrafodelista"/>
        <w:numPr>
          <w:ilvl w:val="0"/>
          <w:numId w:val="21"/>
        </w:numPr>
        <w:pBdr>
          <w:top w:val="nil"/>
          <w:left w:val="nil"/>
          <w:bottom w:val="nil"/>
          <w:right w:val="nil"/>
          <w:between w:val="nil"/>
        </w:pBdr>
        <w:spacing w:line="360" w:lineRule="auto"/>
        <w:jc w:val="both"/>
        <w:rPr>
          <w:rFonts w:ascii="Palatino Linotype" w:eastAsia="Times New Roman" w:hAnsi="Palatino Linotype"/>
          <w:sz w:val="22"/>
          <w:szCs w:val="22"/>
          <w:lang w:eastAsia="es-MX"/>
        </w:rPr>
      </w:pPr>
      <w:r w:rsidRPr="00A61989">
        <w:rPr>
          <w:rFonts w:ascii="Palatino Linotype" w:eastAsia="Times New Roman" w:hAnsi="Palatino Linotype"/>
          <w:sz w:val="22"/>
          <w:szCs w:val="22"/>
          <w:lang w:eastAsia="es-MX"/>
        </w:rPr>
        <w:t>Tickets de gasolina y casetas del Jefe de la Unidad de Información, Planeación, Programación y Evaluación</w:t>
      </w:r>
      <w:r w:rsidR="00F61843" w:rsidRPr="00A61989">
        <w:rPr>
          <w:rFonts w:ascii="Palatino Linotype" w:eastAsia="Times New Roman" w:hAnsi="Palatino Linotype"/>
          <w:sz w:val="22"/>
          <w:szCs w:val="22"/>
          <w:lang w:eastAsia="es-MX"/>
        </w:rPr>
        <w:t>.</w:t>
      </w:r>
    </w:p>
    <w:p w:rsidR="00FF6BD3" w:rsidRPr="00A61989" w:rsidRDefault="00FF6BD3" w:rsidP="00FF6BD3">
      <w:pPr>
        <w:pStyle w:val="Prrafodelista"/>
        <w:numPr>
          <w:ilvl w:val="0"/>
          <w:numId w:val="2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61989">
        <w:rPr>
          <w:rFonts w:ascii="Palatino Linotype" w:eastAsia="Palatino Linotype" w:hAnsi="Palatino Linotype" w:cs="Palatino Linotype"/>
          <w:sz w:val="22"/>
          <w:szCs w:val="22"/>
        </w:rPr>
        <w:t xml:space="preserve">Inspecciones, auditorias y arqueos practicados a los recursos asignados a la </w:t>
      </w:r>
      <w:r w:rsidRPr="00A61989">
        <w:rPr>
          <w:rFonts w:ascii="Palatino Linotype" w:eastAsia="Times New Roman" w:hAnsi="Palatino Linotype"/>
          <w:sz w:val="22"/>
          <w:szCs w:val="22"/>
          <w:lang w:eastAsia="es-MX"/>
        </w:rPr>
        <w:t>de caja chica de la Unidad de Información, Planeación, Programación y Evaluación</w:t>
      </w:r>
      <w:r w:rsidRPr="00A61989">
        <w:rPr>
          <w:rFonts w:ascii="Palatino Linotype" w:eastAsia="Palatino Linotype" w:hAnsi="Palatino Linotype" w:cs="Palatino Linotype"/>
          <w:sz w:val="22"/>
          <w:szCs w:val="22"/>
        </w:rPr>
        <w:t>.</w:t>
      </w:r>
    </w:p>
    <w:p w:rsidR="000C6C16" w:rsidRPr="00A61989" w:rsidRDefault="00782AA7" w:rsidP="00DF12B2">
      <w:pPr>
        <w:pStyle w:val="Prrafodelista"/>
        <w:numPr>
          <w:ilvl w:val="0"/>
          <w:numId w:val="2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61989">
        <w:rPr>
          <w:rFonts w:ascii="Palatino Linotype" w:eastAsia="Times New Roman" w:hAnsi="Palatino Linotype"/>
          <w:sz w:val="22"/>
          <w:szCs w:val="22"/>
          <w:lang w:eastAsia="es-MX"/>
        </w:rPr>
        <w:t xml:space="preserve">Facturas firmadas </w:t>
      </w:r>
      <w:r w:rsidR="000C6C16" w:rsidRPr="00A61989">
        <w:rPr>
          <w:rFonts w:ascii="Palatino Linotype" w:eastAsia="Times New Roman" w:hAnsi="Palatino Linotype"/>
          <w:sz w:val="22"/>
          <w:szCs w:val="22"/>
          <w:lang w:eastAsia="es-MX"/>
        </w:rPr>
        <w:t xml:space="preserve">por el Jefe de la Unidad de Información, Planeación, Programación y </w:t>
      </w:r>
      <w:r w:rsidR="00F61843" w:rsidRPr="00A61989">
        <w:rPr>
          <w:rFonts w:ascii="Palatino Linotype" w:eastAsia="Times New Roman" w:hAnsi="Palatino Linotype"/>
          <w:sz w:val="22"/>
          <w:szCs w:val="22"/>
          <w:lang w:eastAsia="es-MX"/>
        </w:rPr>
        <w:t>Evaluación.</w:t>
      </w:r>
    </w:p>
    <w:p w:rsidR="00DF12B2" w:rsidRPr="00A61989" w:rsidRDefault="000C6C16" w:rsidP="00DF12B2">
      <w:pPr>
        <w:pStyle w:val="Prrafodelista"/>
        <w:numPr>
          <w:ilvl w:val="0"/>
          <w:numId w:val="2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61989">
        <w:rPr>
          <w:rFonts w:ascii="Palatino Linotype" w:eastAsia="Times New Roman" w:hAnsi="Palatino Linotype"/>
          <w:sz w:val="22"/>
          <w:szCs w:val="22"/>
          <w:lang w:eastAsia="es-MX"/>
        </w:rPr>
        <w:t xml:space="preserve">La </w:t>
      </w:r>
      <w:r w:rsidR="00782AA7" w:rsidRPr="00A61989">
        <w:rPr>
          <w:rFonts w:ascii="Palatino Linotype" w:eastAsia="Times New Roman" w:hAnsi="Palatino Linotype"/>
          <w:sz w:val="22"/>
          <w:szCs w:val="22"/>
          <w:lang w:eastAsia="es-MX"/>
        </w:rPr>
        <w:t>documentación soporte de los gastos realizados con el fondo de caja chica asignado a la Unidad de Información, Planeación, Programación y Evaluación</w:t>
      </w:r>
      <w:r w:rsidR="00DF12B2" w:rsidRPr="00A61989">
        <w:rPr>
          <w:rFonts w:ascii="Palatino Linotype" w:eastAsia="Palatino Linotype" w:hAnsi="Palatino Linotype" w:cs="Palatino Linotype"/>
          <w:sz w:val="22"/>
          <w:szCs w:val="22"/>
        </w:rPr>
        <w:t>.</w:t>
      </w:r>
    </w:p>
    <w:p w:rsidR="00DF12B2" w:rsidRPr="00A61989" w:rsidRDefault="00DF12B2" w:rsidP="00EC5FC7">
      <w:pPr>
        <w:pBdr>
          <w:top w:val="nil"/>
          <w:left w:val="nil"/>
          <w:bottom w:val="nil"/>
          <w:right w:val="nil"/>
          <w:between w:val="nil"/>
        </w:pBdr>
        <w:spacing w:line="360" w:lineRule="auto"/>
        <w:jc w:val="both"/>
        <w:rPr>
          <w:color w:val="000000"/>
        </w:rPr>
      </w:pPr>
    </w:p>
    <w:p w:rsidR="002A29F7" w:rsidRPr="00A61989" w:rsidRDefault="00F12910" w:rsidP="006F6AC6">
      <w:pPr>
        <w:numPr>
          <w:ilvl w:val="0"/>
          <w:numId w:val="2"/>
        </w:numPr>
        <w:spacing w:line="360" w:lineRule="auto"/>
        <w:ind w:left="0" w:firstLine="0"/>
        <w:jc w:val="both"/>
        <w:rPr>
          <w:color w:val="000000"/>
        </w:rPr>
      </w:pPr>
      <w:r w:rsidRPr="00A61989">
        <w:rPr>
          <w:rFonts w:ascii="Palatino Linotype" w:eastAsia="Palatino Linotype" w:hAnsi="Palatino Linotype" w:cs="Palatino Linotype"/>
        </w:rPr>
        <w:t>En respuesta, el Sujeto Obligado</w:t>
      </w:r>
      <w:r w:rsidRPr="00A61989">
        <w:rPr>
          <w:rFonts w:ascii="Palatino Linotype" w:eastAsia="Palatino Linotype" w:hAnsi="Palatino Linotype" w:cs="Palatino Linotype"/>
          <w:b/>
        </w:rPr>
        <w:t xml:space="preserve"> </w:t>
      </w:r>
      <w:r w:rsidRPr="00A61989">
        <w:rPr>
          <w:rFonts w:ascii="Palatino Linotype" w:eastAsia="Palatino Linotype" w:hAnsi="Palatino Linotype" w:cs="Palatino Linotype"/>
        </w:rPr>
        <w:t xml:space="preserve">remitió los archivos ya descritos en el anterior </w:t>
      </w:r>
      <w:r w:rsidR="003E0441" w:rsidRPr="00A61989">
        <w:rPr>
          <w:rFonts w:ascii="Palatino Linotype" w:eastAsia="Palatino Linotype" w:hAnsi="Palatino Linotype" w:cs="Palatino Linotype"/>
        </w:rPr>
        <w:t>p</w:t>
      </w:r>
      <w:r w:rsidRPr="00A61989">
        <w:rPr>
          <w:rFonts w:ascii="Palatino Linotype" w:eastAsia="Palatino Linotype" w:hAnsi="Palatino Linotype" w:cs="Palatino Linotype"/>
        </w:rPr>
        <w:t>árrafo 2, inconforme con la</w:t>
      </w:r>
      <w:r w:rsidR="000A3386" w:rsidRPr="00A61989">
        <w:rPr>
          <w:rFonts w:ascii="Palatino Linotype" w:eastAsia="Palatino Linotype" w:hAnsi="Palatino Linotype" w:cs="Palatino Linotype"/>
        </w:rPr>
        <w:t>s</w:t>
      </w:r>
      <w:r w:rsidRPr="00A61989">
        <w:rPr>
          <w:rFonts w:ascii="Palatino Linotype" w:eastAsia="Palatino Linotype" w:hAnsi="Palatino Linotype" w:cs="Palatino Linotype"/>
        </w:rPr>
        <w:t xml:space="preserve"> respuesta</w:t>
      </w:r>
      <w:r w:rsidR="000A3386" w:rsidRPr="00A61989">
        <w:rPr>
          <w:rFonts w:ascii="Palatino Linotype" w:eastAsia="Palatino Linotype" w:hAnsi="Palatino Linotype" w:cs="Palatino Linotype"/>
        </w:rPr>
        <w:t>s</w:t>
      </w:r>
      <w:r w:rsidRPr="00A61989">
        <w:rPr>
          <w:rFonts w:ascii="Palatino Linotype" w:eastAsia="Palatino Linotype" w:hAnsi="Palatino Linotype" w:cs="Palatino Linotype"/>
        </w:rPr>
        <w:t xml:space="preserve">, se </w:t>
      </w:r>
      <w:r w:rsidR="000A3386" w:rsidRPr="00A61989">
        <w:rPr>
          <w:rFonts w:ascii="Palatino Linotype" w:eastAsia="Palatino Linotype" w:hAnsi="Palatino Linotype" w:cs="Palatino Linotype"/>
        </w:rPr>
        <w:t>interpusieron</w:t>
      </w:r>
      <w:r w:rsidRPr="00A61989">
        <w:rPr>
          <w:rFonts w:ascii="Palatino Linotype" w:eastAsia="Palatino Linotype" w:hAnsi="Palatino Linotype" w:cs="Palatino Linotype"/>
        </w:rPr>
        <w:t xml:space="preserve"> recurso</w:t>
      </w:r>
      <w:r w:rsidR="000A3386" w:rsidRPr="00A61989">
        <w:rPr>
          <w:rFonts w:ascii="Palatino Linotype" w:eastAsia="Palatino Linotype" w:hAnsi="Palatino Linotype" w:cs="Palatino Linotype"/>
        </w:rPr>
        <w:t>s</w:t>
      </w:r>
      <w:r w:rsidRPr="00A61989">
        <w:rPr>
          <w:rFonts w:ascii="Palatino Linotype" w:eastAsia="Palatino Linotype" w:hAnsi="Palatino Linotype" w:cs="Palatino Linotype"/>
        </w:rPr>
        <w:t xml:space="preserve"> de revisión </w:t>
      </w:r>
      <w:r w:rsidR="00B132F0" w:rsidRPr="00A61989">
        <w:rPr>
          <w:rFonts w:ascii="Palatino Linotype" w:eastAsia="Palatino Linotype" w:hAnsi="Palatino Linotype" w:cs="Palatino Linotype"/>
        </w:rPr>
        <w:t>impugnando la respuesta otorgada.</w:t>
      </w:r>
    </w:p>
    <w:p w:rsidR="005E72F6" w:rsidRPr="00A61989" w:rsidRDefault="005E72F6" w:rsidP="005E72F6">
      <w:pPr>
        <w:spacing w:line="360" w:lineRule="auto"/>
        <w:jc w:val="both"/>
        <w:rPr>
          <w:color w:val="000000"/>
        </w:rPr>
      </w:pPr>
    </w:p>
    <w:p w:rsidR="002A29F7" w:rsidRPr="00A61989" w:rsidRDefault="00F12910" w:rsidP="006F6AC6">
      <w:pPr>
        <w:numPr>
          <w:ilvl w:val="0"/>
          <w:numId w:val="2"/>
        </w:numPr>
        <w:spacing w:line="360" w:lineRule="auto"/>
        <w:ind w:left="0" w:firstLine="0"/>
        <w:jc w:val="both"/>
      </w:pPr>
      <w:r w:rsidRPr="00A61989">
        <w:rPr>
          <w:rFonts w:ascii="Palatino Linotype" w:eastAsia="Palatino Linotype" w:hAnsi="Palatino Linotype" w:cs="Palatino Linotype"/>
        </w:rPr>
        <w:t>En dichas condiciones, la controversia a resolver en el presente proveído, corresponde a determinar si se actualiza la causal de procedencia previst</w:t>
      </w:r>
      <w:r w:rsidR="00BA4DD8" w:rsidRPr="00A61989">
        <w:rPr>
          <w:rFonts w:ascii="Palatino Linotype" w:eastAsia="Palatino Linotype" w:hAnsi="Palatino Linotype" w:cs="Palatino Linotype"/>
        </w:rPr>
        <w:t>a en el artículo 179, fracción</w:t>
      </w:r>
      <w:r w:rsidRPr="00A61989">
        <w:rPr>
          <w:rFonts w:ascii="Palatino Linotype" w:eastAsia="Palatino Linotype" w:hAnsi="Palatino Linotype" w:cs="Palatino Linotype"/>
        </w:rPr>
        <w:t xml:space="preserve"> </w:t>
      </w:r>
      <w:r w:rsidR="001E1586" w:rsidRPr="00A61989">
        <w:rPr>
          <w:rFonts w:ascii="Palatino Linotype" w:eastAsia="Palatino Linotype" w:hAnsi="Palatino Linotype" w:cs="Palatino Linotype"/>
        </w:rPr>
        <w:t>I</w:t>
      </w:r>
      <w:r w:rsidRPr="00A61989">
        <w:rPr>
          <w:rFonts w:ascii="Palatino Linotype" w:eastAsia="Palatino Linotype" w:hAnsi="Palatino Linotype" w:cs="Palatino Linotype"/>
        </w:rPr>
        <w:t>,</w:t>
      </w:r>
      <w:r w:rsidRPr="00A61989">
        <w:rPr>
          <w:rFonts w:ascii="Palatino Linotype" w:eastAsia="Palatino Linotype" w:hAnsi="Palatino Linotype" w:cs="Palatino Linotype"/>
          <w:b/>
        </w:rPr>
        <w:t xml:space="preserve"> </w:t>
      </w:r>
      <w:r w:rsidRPr="00A61989">
        <w:rPr>
          <w:rFonts w:ascii="Palatino Linotype" w:eastAsia="Palatino Linotype" w:hAnsi="Palatino Linotype" w:cs="Palatino Linotype"/>
        </w:rPr>
        <w:t>de la Ley de Transparencia y Acceso a la Información Pública del Estado de</w:t>
      </w:r>
      <w:r w:rsidRPr="00A61989">
        <w:rPr>
          <w:rFonts w:ascii="Palatino Linotype" w:eastAsia="Palatino Linotype" w:hAnsi="Palatino Linotype" w:cs="Palatino Linotype"/>
          <w:b/>
        </w:rPr>
        <w:t xml:space="preserve"> </w:t>
      </w:r>
      <w:r w:rsidRPr="00A61989">
        <w:rPr>
          <w:rFonts w:ascii="Palatino Linotype" w:eastAsia="Palatino Linotype" w:hAnsi="Palatino Linotype" w:cs="Palatino Linotype"/>
        </w:rPr>
        <w:t>México</w:t>
      </w:r>
      <w:r w:rsidRPr="00A61989">
        <w:rPr>
          <w:rFonts w:ascii="Palatino Linotype" w:eastAsia="Palatino Linotype" w:hAnsi="Palatino Linotype" w:cs="Palatino Linotype"/>
          <w:b/>
        </w:rPr>
        <w:t xml:space="preserve"> </w:t>
      </w:r>
      <w:r w:rsidRPr="00A61989">
        <w:rPr>
          <w:rFonts w:ascii="Palatino Linotype" w:eastAsia="Palatino Linotype" w:hAnsi="Palatino Linotype" w:cs="Palatino Linotype"/>
        </w:rPr>
        <w:t>y</w:t>
      </w:r>
      <w:r w:rsidRPr="00A61989">
        <w:rPr>
          <w:rFonts w:ascii="Palatino Linotype" w:eastAsia="Palatino Linotype" w:hAnsi="Palatino Linotype" w:cs="Palatino Linotype"/>
          <w:b/>
        </w:rPr>
        <w:t xml:space="preserve"> </w:t>
      </w:r>
      <w:r w:rsidRPr="00A61989">
        <w:rPr>
          <w:rFonts w:ascii="Palatino Linotype" w:eastAsia="Palatino Linotype" w:hAnsi="Palatino Linotype" w:cs="Palatino Linotype"/>
        </w:rPr>
        <w:t xml:space="preserve">Municipios; </w:t>
      </w:r>
      <w:r w:rsidR="00BA4DD8" w:rsidRPr="00A61989">
        <w:rPr>
          <w:rFonts w:ascii="Palatino Linotype" w:eastAsia="Palatino Linotype" w:hAnsi="Palatino Linotype" w:cs="Palatino Linotype"/>
          <w:color w:val="000000"/>
        </w:rPr>
        <w:t>fracción que determina la</w:t>
      </w:r>
      <w:r w:rsidRPr="00A61989">
        <w:rPr>
          <w:rFonts w:ascii="Palatino Linotype" w:eastAsia="Palatino Linotype" w:hAnsi="Palatino Linotype" w:cs="Palatino Linotype"/>
          <w:color w:val="000000"/>
        </w:rPr>
        <w:t xml:space="preserve"> hipót</w:t>
      </w:r>
      <w:r w:rsidR="00BA4DD8" w:rsidRPr="00A61989">
        <w:rPr>
          <w:rFonts w:ascii="Palatino Linotype" w:eastAsia="Palatino Linotype" w:hAnsi="Palatino Linotype" w:cs="Palatino Linotype"/>
          <w:color w:val="000000"/>
        </w:rPr>
        <w:t>esis relativa</w:t>
      </w:r>
      <w:r w:rsidRPr="00A61989">
        <w:rPr>
          <w:rFonts w:ascii="Palatino Linotype" w:eastAsia="Palatino Linotype" w:hAnsi="Palatino Linotype" w:cs="Palatino Linotype"/>
          <w:color w:val="000000"/>
        </w:rPr>
        <w:t xml:space="preserve"> </w:t>
      </w:r>
      <w:r w:rsidR="001E1586" w:rsidRPr="00A61989">
        <w:rPr>
          <w:rFonts w:ascii="Palatino Linotype" w:eastAsia="Palatino Linotype" w:hAnsi="Palatino Linotype" w:cs="Palatino Linotype"/>
          <w:color w:val="000000"/>
        </w:rPr>
        <w:t>a la negativa a la información solicitada</w:t>
      </w:r>
      <w:r w:rsidRPr="00A61989">
        <w:rPr>
          <w:rFonts w:ascii="Palatino Linotype" w:eastAsia="Palatino Linotype" w:hAnsi="Palatino Linotype" w:cs="Palatino Linotype"/>
          <w:color w:val="000000"/>
        </w:rPr>
        <w:t xml:space="preserve">; </w:t>
      </w:r>
      <w:r w:rsidRPr="00A61989">
        <w:rPr>
          <w:rFonts w:ascii="Palatino Linotype" w:eastAsia="Palatino Linotype" w:hAnsi="Palatino Linotype" w:cs="Palatino Linotype"/>
        </w:rPr>
        <w:t xml:space="preserve">contexto del cual se dolió el Recurrente al momento </w:t>
      </w:r>
      <w:r w:rsidR="00D13C75" w:rsidRPr="00A61989">
        <w:rPr>
          <w:rFonts w:ascii="Palatino Linotype" w:eastAsia="Palatino Linotype" w:hAnsi="Palatino Linotype" w:cs="Palatino Linotype"/>
        </w:rPr>
        <w:t>de impugnar la respuesta</w:t>
      </w:r>
      <w:r w:rsidRPr="00A61989">
        <w:rPr>
          <w:rFonts w:ascii="Palatino Linotype" w:eastAsia="Palatino Linotype" w:hAnsi="Palatino Linotype" w:cs="Palatino Linotype"/>
        </w:rPr>
        <w:t>.</w:t>
      </w:r>
      <w:r w:rsidRPr="00A61989">
        <w:rPr>
          <w:rFonts w:ascii="Palatino Linotype" w:eastAsia="Palatino Linotype" w:hAnsi="Palatino Linotype" w:cs="Palatino Linotype"/>
          <w:color w:val="000000"/>
        </w:rPr>
        <w:t xml:space="preserve"> De modo tal que el presente recurso de revisión se </w:t>
      </w:r>
      <w:r w:rsidRPr="00A61989">
        <w:rPr>
          <w:rFonts w:ascii="Palatino Linotype" w:eastAsia="Palatino Linotype" w:hAnsi="Palatino Linotype" w:cs="Palatino Linotype"/>
        </w:rPr>
        <w:t>abocará</w:t>
      </w:r>
      <w:r w:rsidRPr="00A61989">
        <w:rPr>
          <w:rFonts w:ascii="Palatino Linotype" w:eastAsia="Palatino Linotype" w:hAnsi="Palatino Linotype" w:cs="Palatino Linotype"/>
          <w:color w:val="000000"/>
        </w:rPr>
        <w:t xml:space="preserve"> en determinar si el Sujeto Obligado con su respuesta ciertamente actualiza la causal de procedencia</w:t>
      </w:r>
      <w:r w:rsidRPr="00A61989">
        <w:rPr>
          <w:rFonts w:ascii="Palatino Linotype" w:eastAsia="Palatino Linotype" w:hAnsi="Palatino Linotype" w:cs="Palatino Linotype"/>
          <w:b/>
          <w:color w:val="000000"/>
        </w:rPr>
        <w:t xml:space="preserve"> </w:t>
      </w:r>
      <w:r w:rsidRPr="00A61989">
        <w:rPr>
          <w:rFonts w:ascii="Palatino Linotype" w:eastAsia="Palatino Linotype" w:hAnsi="Palatino Linotype" w:cs="Palatino Linotype"/>
          <w:color w:val="000000"/>
        </w:rPr>
        <w:t xml:space="preserve">señalada. </w:t>
      </w:r>
    </w:p>
    <w:p w:rsidR="002A29F7" w:rsidRPr="00A61989" w:rsidRDefault="002A29F7" w:rsidP="009E4903">
      <w:pPr>
        <w:rPr>
          <w:rFonts w:ascii="Palatino Linotype" w:eastAsia="Palatino Linotype" w:hAnsi="Palatino Linotype" w:cs="Palatino Linotype"/>
          <w:sz w:val="20"/>
        </w:rPr>
      </w:pPr>
    </w:p>
    <w:p w:rsidR="002A29F7" w:rsidRPr="00A61989" w:rsidRDefault="00F12910" w:rsidP="006F6AC6">
      <w:pPr>
        <w:pStyle w:val="Ttulo2"/>
        <w:spacing w:before="0" w:line="360" w:lineRule="auto"/>
        <w:rPr>
          <w:rFonts w:ascii="Palatino Linotype" w:eastAsia="Palatino Linotype" w:hAnsi="Palatino Linotype" w:cs="Palatino Linotype"/>
          <w:b/>
          <w:color w:val="000000"/>
          <w:sz w:val="24"/>
          <w:szCs w:val="24"/>
        </w:rPr>
      </w:pPr>
      <w:bookmarkStart w:id="5" w:name="_heading=h.1t3h5sf" w:colFirst="0" w:colLast="0"/>
      <w:bookmarkEnd w:id="5"/>
      <w:r w:rsidRPr="00A61989">
        <w:rPr>
          <w:rFonts w:ascii="Palatino Linotype" w:eastAsia="Palatino Linotype" w:hAnsi="Palatino Linotype" w:cs="Palatino Linotype"/>
          <w:b/>
          <w:color w:val="000000"/>
          <w:sz w:val="24"/>
          <w:szCs w:val="24"/>
        </w:rPr>
        <w:t>CUARTA. Estudio de la controversia.</w:t>
      </w:r>
    </w:p>
    <w:p w:rsidR="002A29F7" w:rsidRPr="00A61989" w:rsidRDefault="00F12910" w:rsidP="006F6AC6">
      <w:pPr>
        <w:numPr>
          <w:ilvl w:val="0"/>
          <w:numId w:val="2"/>
        </w:numPr>
        <w:spacing w:line="360" w:lineRule="auto"/>
        <w:ind w:left="0" w:firstLine="0"/>
        <w:jc w:val="both"/>
      </w:pPr>
      <w:r w:rsidRPr="00A61989">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2A29F7" w:rsidRPr="00A61989" w:rsidRDefault="002A29F7" w:rsidP="009E4903">
      <w:pPr>
        <w:rPr>
          <w:rFonts w:ascii="Palatino Linotype" w:eastAsia="Palatino Linotype" w:hAnsi="Palatino Linotype" w:cs="Palatino Linotype"/>
          <w:sz w:val="20"/>
        </w:rPr>
      </w:pPr>
    </w:p>
    <w:p w:rsidR="002A29F7" w:rsidRPr="00A61989" w:rsidRDefault="00F12910" w:rsidP="006F6AC6">
      <w:pPr>
        <w:numPr>
          <w:ilvl w:val="0"/>
          <w:numId w:val="2"/>
        </w:numPr>
        <w:spacing w:line="360" w:lineRule="auto"/>
        <w:ind w:left="0" w:firstLine="0"/>
        <w:jc w:val="both"/>
      </w:pPr>
      <w:r w:rsidRPr="00A61989">
        <w:rPr>
          <w:rFonts w:ascii="Palatino Linotype" w:eastAsia="Palatino Linotype" w:hAnsi="Palatino Linotype" w:cs="Palatino Linotype"/>
        </w:rPr>
        <w:t xml:space="preserve">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w:t>
      </w:r>
      <w:r w:rsidRPr="00A61989">
        <w:rPr>
          <w:rFonts w:ascii="Palatino Linotype" w:eastAsia="Palatino Linotype" w:hAnsi="Palatino Linotype" w:cs="Palatino Linotype"/>
        </w:rPr>
        <w:lastRenderedPageBreak/>
        <w:t>ejercido, se deberá motivar la respuesta en función de las causas que motivaron tal circunstancia.</w:t>
      </w:r>
    </w:p>
    <w:p w:rsidR="002A29F7" w:rsidRPr="00A61989" w:rsidRDefault="002A29F7" w:rsidP="009E4903">
      <w:pPr>
        <w:pBdr>
          <w:top w:val="nil"/>
          <w:left w:val="nil"/>
          <w:bottom w:val="nil"/>
          <w:right w:val="nil"/>
          <w:between w:val="nil"/>
        </w:pBdr>
        <w:rPr>
          <w:rFonts w:ascii="Palatino Linotype" w:eastAsia="Palatino Linotype" w:hAnsi="Palatino Linotype" w:cs="Palatino Linotype"/>
          <w:color w:val="000000"/>
          <w:sz w:val="20"/>
        </w:rPr>
      </w:pPr>
    </w:p>
    <w:p w:rsidR="002A29F7" w:rsidRPr="00A61989" w:rsidRDefault="00F12910" w:rsidP="006F6AC6">
      <w:pPr>
        <w:numPr>
          <w:ilvl w:val="0"/>
          <w:numId w:val="2"/>
        </w:numPr>
        <w:spacing w:line="360" w:lineRule="auto"/>
        <w:ind w:left="0" w:firstLine="0"/>
        <w:jc w:val="both"/>
      </w:pPr>
      <w:r w:rsidRPr="00A61989">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9E4903" w:rsidRPr="00A61989" w:rsidRDefault="009E4903" w:rsidP="009E4903">
      <w:pPr>
        <w:jc w:val="both"/>
      </w:pPr>
    </w:p>
    <w:p w:rsidR="002A29F7" w:rsidRPr="00A61989" w:rsidRDefault="002A29F7" w:rsidP="006F6AC6">
      <w:pPr>
        <w:pBdr>
          <w:top w:val="nil"/>
          <w:left w:val="nil"/>
          <w:bottom w:val="nil"/>
          <w:right w:val="nil"/>
          <w:between w:val="nil"/>
        </w:pBdr>
        <w:spacing w:line="360" w:lineRule="auto"/>
        <w:rPr>
          <w:rFonts w:ascii="Palatino Linotype" w:eastAsia="Palatino Linotype" w:hAnsi="Palatino Linotype" w:cs="Palatino Linotype"/>
          <w:color w:val="000000"/>
          <w:sz w:val="2"/>
        </w:rPr>
      </w:pPr>
    </w:p>
    <w:p w:rsidR="002A29F7" w:rsidRPr="00A61989" w:rsidRDefault="00F12910" w:rsidP="006F6AC6">
      <w:pPr>
        <w:numPr>
          <w:ilvl w:val="0"/>
          <w:numId w:val="5"/>
        </w:numPr>
        <w:pBdr>
          <w:top w:val="nil"/>
          <w:left w:val="nil"/>
          <w:bottom w:val="nil"/>
          <w:right w:val="nil"/>
          <w:between w:val="nil"/>
        </w:pBdr>
        <w:spacing w:line="360" w:lineRule="auto"/>
        <w:rPr>
          <w:rFonts w:ascii="Palatino Linotype" w:eastAsia="Palatino Linotype" w:hAnsi="Palatino Linotype" w:cs="Palatino Linotype"/>
          <w:b/>
          <w:color w:val="000000"/>
        </w:rPr>
      </w:pPr>
      <w:r w:rsidRPr="00A61989">
        <w:rPr>
          <w:rFonts w:ascii="Palatino Linotype" w:eastAsia="Palatino Linotype" w:hAnsi="Palatino Linotype" w:cs="Palatino Linotype"/>
          <w:b/>
          <w:color w:val="000000"/>
        </w:rPr>
        <w:t>De la respuesta inicial.</w:t>
      </w:r>
    </w:p>
    <w:p w:rsidR="0084027E" w:rsidRPr="00A61989" w:rsidRDefault="00D33B8D" w:rsidP="00D17CD7">
      <w:pPr>
        <w:numPr>
          <w:ilvl w:val="0"/>
          <w:numId w:val="2"/>
        </w:numPr>
        <w:spacing w:line="360" w:lineRule="auto"/>
        <w:ind w:left="0" w:firstLine="0"/>
        <w:jc w:val="both"/>
      </w:pPr>
      <w:r w:rsidRPr="00A61989">
        <w:rPr>
          <w:rFonts w:ascii="Palatino Linotype" w:eastAsia="Palatino Linotype" w:hAnsi="Palatino Linotype" w:cs="Palatino Linotype"/>
        </w:rPr>
        <w:t xml:space="preserve">La respuesta fue emitida </w:t>
      </w:r>
      <w:r w:rsidR="00F12910" w:rsidRPr="00A61989">
        <w:rPr>
          <w:rFonts w:ascii="Palatino Linotype" w:eastAsia="Palatino Linotype" w:hAnsi="Palatino Linotype" w:cs="Palatino Linotype"/>
        </w:rPr>
        <w:t xml:space="preserve">a través </w:t>
      </w:r>
      <w:r w:rsidRPr="00A61989">
        <w:rPr>
          <w:rFonts w:ascii="Palatino Linotype" w:eastAsia="Palatino Linotype" w:hAnsi="Palatino Linotype" w:cs="Palatino Linotype"/>
        </w:rPr>
        <w:t>de</w:t>
      </w:r>
      <w:r w:rsidR="00F12910" w:rsidRPr="00A61989">
        <w:rPr>
          <w:rFonts w:ascii="Palatino Linotype" w:eastAsia="Palatino Linotype" w:hAnsi="Palatino Linotype" w:cs="Palatino Linotype"/>
        </w:rPr>
        <w:t xml:space="preserve"> </w:t>
      </w:r>
      <w:r w:rsidR="00D17CD7" w:rsidRPr="00A61989">
        <w:rPr>
          <w:rFonts w:ascii="Palatino Linotype" w:eastAsia="Palatino Linotype" w:hAnsi="Palatino Linotype" w:cs="Palatino Linotype"/>
        </w:rPr>
        <w:t xml:space="preserve">los </w:t>
      </w:r>
      <w:r w:rsidR="00E13C36" w:rsidRPr="00A61989">
        <w:rPr>
          <w:rFonts w:ascii="Palatino Linotype" w:eastAsia="Palatino Linotype" w:hAnsi="Palatino Linotype" w:cs="Palatino Linotype"/>
        </w:rPr>
        <w:t>Servidor</w:t>
      </w:r>
      <w:r w:rsidR="00D17CD7" w:rsidRPr="00A61989">
        <w:rPr>
          <w:rFonts w:ascii="Palatino Linotype" w:eastAsia="Palatino Linotype" w:hAnsi="Palatino Linotype" w:cs="Palatino Linotype"/>
        </w:rPr>
        <w:t>es</w:t>
      </w:r>
      <w:r w:rsidR="00E13C36" w:rsidRPr="00A61989">
        <w:rPr>
          <w:rFonts w:ascii="Palatino Linotype" w:eastAsia="Palatino Linotype" w:hAnsi="Palatino Linotype" w:cs="Palatino Linotype"/>
        </w:rPr>
        <w:t xml:space="preserve"> Público</w:t>
      </w:r>
      <w:r w:rsidR="00D17CD7" w:rsidRPr="00A61989">
        <w:rPr>
          <w:rFonts w:ascii="Palatino Linotype" w:eastAsia="Palatino Linotype" w:hAnsi="Palatino Linotype" w:cs="Palatino Linotype"/>
        </w:rPr>
        <w:t>s</w:t>
      </w:r>
      <w:r w:rsidR="00E13C36" w:rsidRPr="00A61989">
        <w:rPr>
          <w:rFonts w:ascii="Palatino Linotype" w:eastAsia="Palatino Linotype" w:hAnsi="Palatino Linotype" w:cs="Palatino Linotype"/>
        </w:rPr>
        <w:t xml:space="preserve"> Habilitado</w:t>
      </w:r>
      <w:r w:rsidR="00D17CD7" w:rsidRPr="00A61989">
        <w:rPr>
          <w:rFonts w:ascii="Palatino Linotype" w:eastAsia="Palatino Linotype" w:hAnsi="Palatino Linotype" w:cs="Palatino Linotype"/>
        </w:rPr>
        <w:t>s de la  Unidad de Información, Planeación, Programación y Evaluación; de la Suplente de la Coordinación Administrativa y del Órgano Interno de Control.</w:t>
      </w:r>
    </w:p>
    <w:p w:rsidR="00D17CD7" w:rsidRPr="00A61989" w:rsidRDefault="00D17CD7" w:rsidP="00D17CD7">
      <w:pPr>
        <w:spacing w:line="360" w:lineRule="auto"/>
        <w:jc w:val="both"/>
      </w:pPr>
    </w:p>
    <w:p w:rsidR="00E44A31" w:rsidRPr="00A61989" w:rsidRDefault="00E44A31" w:rsidP="00F90E49">
      <w:pPr>
        <w:numPr>
          <w:ilvl w:val="0"/>
          <w:numId w:val="2"/>
        </w:numPr>
        <w:spacing w:line="360" w:lineRule="auto"/>
        <w:ind w:left="0" w:firstLine="0"/>
        <w:jc w:val="both"/>
      </w:pPr>
      <w:r w:rsidRPr="00A61989">
        <w:rPr>
          <w:rFonts w:ascii="Palatino Linotype" w:eastAsia="Palatino Linotype" w:hAnsi="Palatino Linotype" w:cs="Palatino Linotype"/>
        </w:rPr>
        <w:t xml:space="preserve">De lo anterior, para el despacho de los asuntos de su competencia, la Secretaría de Finanzas se auxiliará de diversas unidades administrativas, entre ellas </w:t>
      </w:r>
      <w:r w:rsidR="00D17CD7" w:rsidRPr="00A61989">
        <w:rPr>
          <w:rFonts w:ascii="Palatino Linotype" w:eastAsia="Palatino Linotype" w:hAnsi="Palatino Linotype" w:cs="Palatino Linotype"/>
        </w:rPr>
        <w:t>la Coordinación Administrativa</w:t>
      </w:r>
      <w:r w:rsidRPr="00A61989">
        <w:rPr>
          <w:rFonts w:ascii="Palatino Linotype" w:eastAsia="Palatino Linotype" w:hAnsi="Palatino Linotype" w:cs="Palatino Linotype"/>
        </w:rPr>
        <w:t xml:space="preserve">, como está establecido en el Reglamento </w:t>
      </w:r>
      <w:r w:rsidR="0084027E" w:rsidRPr="00A61989">
        <w:rPr>
          <w:rFonts w:ascii="Palatino Linotype" w:eastAsia="Palatino Linotype" w:hAnsi="Palatino Linotype" w:cs="Palatino Linotype"/>
        </w:rPr>
        <w:t>Interior</w:t>
      </w:r>
      <w:r w:rsidRPr="00A61989">
        <w:rPr>
          <w:rFonts w:ascii="Palatino Linotype" w:eastAsia="Palatino Linotype" w:hAnsi="Palatino Linotype" w:cs="Palatino Linotype"/>
        </w:rPr>
        <w:t xml:space="preserve"> de la Secretaría de Finanzas en su artículo 3, fracciones </w:t>
      </w:r>
      <w:r w:rsidR="00D17CD7" w:rsidRPr="00A61989">
        <w:rPr>
          <w:rFonts w:ascii="Palatino Linotype" w:eastAsia="Palatino Linotype" w:hAnsi="Palatino Linotype" w:cs="Palatino Linotype"/>
        </w:rPr>
        <w:t>XVIII.</w:t>
      </w:r>
    </w:p>
    <w:p w:rsidR="00D17CD7" w:rsidRPr="00A61989" w:rsidRDefault="00D17CD7" w:rsidP="00D17CD7">
      <w:pPr>
        <w:spacing w:line="360" w:lineRule="auto"/>
        <w:jc w:val="both"/>
      </w:pPr>
    </w:p>
    <w:p w:rsidR="00D17CD7" w:rsidRPr="00A61989" w:rsidRDefault="00D17CD7" w:rsidP="00F90E49">
      <w:pPr>
        <w:numPr>
          <w:ilvl w:val="0"/>
          <w:numId w:val="2"/>
        </w:numPr>
        <w:spacing w:line="360" w:lineRule="auto"/>
        <w:ind w:left="0" w:firstLine="0"/>
        <w:jc w:val="both"/>
      </w:pPr>
      <w:r w:rsidRPr="00A61989">
        <w:rPr>
          <w:rFonts w:ascii="Palatino Linotype" w:eastAsia="Palatino Linotype" w:hAnsi="Palatino Linotype" w:cs="Palatino Linotype"/>
        </w:rPr>
        <w:lastRenderedPageBreak/>
        <w:t>El Órgano Interno de Control está adscrito orgánica y presupuestalmente a la Secretaría, con las atribuciones que se establecen en el Reglamento Interior de la Secretaría de la Contraloría y los demás ordenamientos legales y administrativos aplicables., conforme a lo establecido en el artículo 38 del Reglamento Interior citado en el párrafo anterior.</w:t>
      </w:r>
    </w:p>
    <w:p w:rsidR="0084027E" w:rsidRPr="00A61989" w:rsidRDefault="0084027E" w:rsidP="0084027E">
      <w:pPr>
        <w:spacing w:line="360" w:lineRule="auto"/>
        <w:jc w:val="both"/>
      </w:pPr>
    </w:p>
    <w:p w:rsidR="00216564" w:rsidRPr="00A61989" w:rsidRDefault="00216564" w:rsidP="00F90E49">
      <w:pPr>
        <w:numPr>
          <w:ilvl w:val="0"/>
          <w:numId w:val="2"/>
        </w:numPr>
        <w:spacing w:line="360" w:lineRule="auto"/>
        <w:ind w:left="0" w:firstLine="0"/>
        <w:jc w:val="both"/>
      </w:pPr>
      <w:r w:rsidRPr="00A61989">
        <w:rPr>
          <w:rFonts w:ascii="Palatino Linotype" w:eastAsia="Palatino Linotype" w:hAnsi="Palatino Linotype" w:cs="Palatino Linotype"/>
        </w:rPr>
        <w:t>La Unidad de Información, Planeación, Programación y Evaluación es una de las unidades staff de la Secretaría de Finanzas, de conformidad con su Manual General de Organización.</w:t>
      </w:r>
    </w:p>
    <w:p w:rsidR="00216564" w:rsidRPr="00A61989" w:rsidRDefault="00216564" w:rsidP="00216564">
      <w:pPr>
        <w:spacing w:line="360" w:lineRule="auto"/>
        <w:jc w:val="both"/>
      </w:pPr>
    </w:p>
    <w:p w:rsidR="0084027E" w:rsidRPr="00A61989" w:rsidRDefault="0084027E" w:rsidP="00F90E49">
      <w:pPr>
        <w:numPr>
          <w:ilvl w:val="0"/>
          <w:numId w:val="2"/>
        </w:numPr>
        <w:spacing w:line="360" w:lineRule="auto"/>
        <w:ind w:left="0" w:firstLine="0"/>
        <w:jc w:val="both"/>
      </w:pPr>
      <w:r w:rsidRPr="00A61989">
        <w:rPr>
          <w:rFonts w:ascii="Palatino Linotype" w:eastAsia="Palatino Linotype" w:hAnsi="Palatino Linotype" w:cs="Palatino Linotype"/>
        </w:rPr>
        <w:t xml:space="preserve">A la </w:t>
      </w:r>
      <w:r w:rsidR="00216564" w:rsidRPr="00A61989">
        <w:rPr>
          <w:rFonts w:ascii="Palatino Linotype" w:eastAsia="Palatino Linotype" w:hAnsi="Palatino Linotype" w:cs="Palatino Linotype"/>
        </w:rPr>
        <w:t>Coordinación Administrativa</w:t>
      </w:r>
      <w:r w:rsidRPr="00A61989">
        <w:rPr>
          <w:rFonts w:ascii="Palatino Linotype" w:eastAsia="Palatino Linotype" w:hAnsi="Palatino Linotype" w:cs="Palatino Linotype"/>
        </w:rPr>
        <w:t xml:space="preserve"> le corresponde, conforme a sus </w:t>
      </w:r>
      <w:r w:rsidR="00216564" w:rsidRPr="00A61989">
        <w:rPr>
          <w:rFonts w:ascii="Palatino Linotype" w:eastAsia="Palatino Linotype" w:hAnsi="Palatino Linotype" w:cs="Palatino Linotype"/>
        </w:rPr>
        <w:t>atribuciones</w:t>
      </w:r>
      <w:r w:rsidRPr="00A61989">
        <w:rPr>
          <w:rFonts w:ascii="Palatino Linotype" w:eastAsia="Palatino Linotype" w:hAnsi="Palatino Linotype" w:cs="Palatino Linotype"/>
        </w:rPr>
        <w:t xml:space="preserve"> establecidas en el mismo reglamento, artículo </w:t>
      </w:r>
      <w:r w:rsidR="00216564" w:rsidRPr="00A61989">
        <w:rPr>
          <w:rFonts w:ascii="Palatino Linotype" w:eastAsia="Palatino Linotype" w:hAnsi="Palatino Linotype" w:cs="Palatino Linotype"/>
        </w:rPr>
        <w:t>34</w:t>
      </w:r>
      <w:r w:rsidRPr="00A61989">
        <w:rPr>
          <w:rFonts w:ascii="Palatino Linotype" w:eastAsia="Palatino Linotype" w:hAnsi="Palatino Linotype" w:cs="Palatino Linotype"/>
        </w:rPr>
        <w:t>:</w:t>
      </w:r>
    </w:p>
    <w:p w:rsidR="0084027E" w:rsidRPr="00A61989" w:rsidRDefault="0084027E" w:rsidP="0084027E">
      <w:pPr>
        <w:ind w:left="1134" w:right="900"/>
        <w:jc w:val="center"/>
        <w:rPr>
          <w:rFonts w:ascii="Palatino Linotype" w:eastAsia="Palatino Linotype" w:hAnsi="Palatino Linotype" w:cs="Palatino Linotype"/>
          <w:b/>
          <w:i/>
          <w:sz w:val="22"/>
          <w:szCs w:val="22"/>
        </w:rPr>
      </w:pPr>
      <w:r w:rsidRPr="00A61989">
        <w:rPr>
          <w:rFonts w:ascii="Palatino Linotype" w:eastAsia="Palatino Linotype" w:hAnsi="Palatino Linotype" w:cs="Palatino Linotype"/>
          <w:b/>
          <w:i/>
          <w:sz w:val="22"/>
          <w:szCs w:val="22"/>
        </w:rPr>
        <w:t>Reglamento Interior de la Secretaría de Finanzas</w:t>
      </w:r>
    </w:p>
    <w:p w:rsidR="0084027E" w:rsidRPr="00A61989" w:rsidRDefault="0084027E" w:rsidP="0084027E">
      <w:pPr>
        <w:ind w:left="1134" w:right="900"/>
        <w:jc w:val="both"/>
        <w:rPr>
          <w:rFonts w:ascii="Palatino Linotype" w:eastAsia="Palatino Linotype" w:hAnsi="Palatino Linotype" w:cs="Palatino Linotype"/>
          <w:i/>
          <w:sz w:val="22"/>
          <w:szCs w:val="22"/>
        </w:rPr>
      </w:pPr>
      <w:r w:rsidRPr="00A61989">
        <w:rPr>
          <w:rFonts w:ascii="Palatino Linotype" w:eastAsia="Palatino Linotype" w:hAnsi="Palatino Linotype" w:cs="Palatino Linotype"/>
          <w:b/>
          <w:i/>
          <w:sz w:val="22"/>
          <w:szCs w:val="22"/>
        </w:rPr>
        <w:t xml:space="preserve">Artículo 21. </w:t>
      </w:r>
      <w:r w:rsidRPr="00A61989">
        <w:rPr>
          <w:rFonts w:ascii="Palatino Linotype" w:eastAsia="Palatino Linotype" w:hAnsi="Palatino Linotype" w:cs="Palatino Linotype"/>
          <w:i/>
          <w:sz w:val="22"/>
          <w:szCs w:val="22"/>
        </w:rPr>
        <w:t xml:space="preserve">Corresponde a la </w:t>
      </w:r>
      <w:r w:rsidR="00216564" w:rsidRPr="00A61989">
        <w:rPr>
          <w:rFonts w:ascii="Palatino Linotype" w:eastAsia="Palatino Linotype" w:hAnsi="Palatino Linotype" w:cs="Palatino Linotype"/>
          <w:i/>
          <w:sz w:val="22"/>
          <w:szCs w:val="22"/>
        </w:rPr>
        <w:t>Coordinación Administrativa:</w:t>
      </w:r>
      <w:r w:rsidRPr="00A61989">
        <w:rPr>
          <w:rFonts w:ascii="Palatino Linotype" w:eastAsia="Palatino Linotype" w:hAnsi="Palatino Linotype" w:cs="Palatino Linotype"/>
          <w:i/>
          <w:sz w:val="22"/>
          <w:szCs w:val="22"/>
        </w:rPr>
        <w:t xml:space="preserve"> </w:t>
      </w:r>
    </w:p>
    <w:p w:rsidR="004C083A" w:rsidRPr="00A61989" w:rsidRDefault="004C083A" w:rsidP="004C083A">
      <w:pPr>
        <w:ind w:right="900"/>
        <w:jc w:val="both"/>
        <w:rPr>
          <w:rFonts w:ascii="Palatino Linotype" w:eastAsia="Palatino Linotype" w:hAnsi="Palatino Linotype" w:cs="Palatino Linotype"/>
          <w:i/>
          <w:sz w:val="22"/>
          <w:szCs w:val="22"/>
        </w:rPr>
      </w:pPr>
    </w:p>
    <w:p w:rsidR="0084027E" w:rsidRPr="00A61989" w:rsidRDefault="0084027E" w:rsidP="0084027E">
      <w:pPr>
        <w:ind w:left="1134" w:right="900"/>
        <w:jc w:val="both"/>
        <w:rPr>
          <w:rFonts w:ascii="Palatino Linotype" w:eastAsia="Palatino Linotype" w:hAnsi="Palatino Linotype" w:cs="Palatino Linotype"/>
          <w:i/>
          <w:sz w:val="22"/>
          <w:szCs w:val="22"/>
        </w:rPr>
      </w:pPr>
      <w:r w:rsidRPr="00A61989">
        <w:rPr>
          <w:rFonts w:ascii="Palatino Linotype" w:eastAsia="Palatino Linotype" w:hAnsi="Palatino Linotype" w:cs="Palatino Linotype"/>
          <w:i/>
          <w:sz w:val="22"/>
          <w:szCs w:val="22"/>
        </w:rPr>
        <w:t xml:space="preserve">I. </w:t>
      </w:r>
      <w:r w:rsidR="00216564" w:rsidRPr="00A61989">
        <w:rPr>
          <w:rFonts w:ascii="Palatino Linotype" w:eastAsia="Palatino Linotype" w:hAnsi="Palatino Linotype" w:cs="Palatino Linotype"/>
          <w:i/>
          <w:sz w:val="22"/>
          <w:szCs w:val="22"/>
        </w:rPr>
        <w:t>I. Planear, programar, organizar y controlar el suministro, aprovechamiento y aplicación de los recursos humanos, materiales, financieros y técnicos, así como los servicios generales de la Secretaría, en coordinación con las demás unidades administrativas</w:t>
      </w:r>
      <w:r w:rsidRPr="00A61989">
        <w:rPr>
          <w:rFonts w:ascii="Palatino Linotype" w:eastAsia="Palatino Linotype" w:hAnsi="Palatino Linotype" w:cs="Palatino Linotype"/>
          <w:i/>
          <w:sz w:val="22"/>
          <w:szCs w:val="22"/>
        </w:rPr>
        <w:t>;</w:t>
      </w:r>
    </w:p>
    <w:p w:rsidR="00DA0396" w:rsidRPr="00A61989" w:rsidRDefault="00DA0396" w:rsidP="0084027E">
      <w:pPr>
        <w:ind w:left="1134" w:right="900"/>
        <w:jc w:val="both"/>
        <w:rPr>
          <w:rFonts w:ascii="Palatino Linotype" w:eastAsia="Palatino Linotype" w:hAnsi="Palatino Linotype" w:cs="Palatino Linotype"/>
          <w:i/>
          <w:sz w:val="22"/>
          <w:szCs w:val="22"/>
        </w:rPr>
      </w:pPr>
      <w:r w:rsidRPr="00A61989">
        <w:rPr>
          <w:rFonts w:ascii="Palatino Linotype" w:eastAsia="Palatino Linotype" w:hAnsi="Palatino Linotype" w:cs="Palatino Linotype"/>
          <w:i/>
          <w:sz w:val="22"/>
          <w:szCs w:val="22"/>
        </w:rPr>
        <w:t>…</w:t>
      </w:r>
    </w:p>
    <w:p w:rsidR="00DA0396" w:rsidRPr="00A61989" w:rsidRDefault="00216564" w:rsidP="0084027E">
      <w:pPr>
        <w:ind w:left="1134" w:right="900"/>
        <w:jc w:val="both"/>
        <w:rPr>
          <w:rFonts w:ascii="Palatino Linotype" w:eastAsia="Palatino Linotype" w:hAnsi="Palatino Linotype" w:cs="Palatino Linotype"/>
          <w:i/>
          <w:sz w:val="22"/>
          <w:szCs w:val="22"/>
        </w:rPr>
      </w:pPr>
      <w:r w:rsidRPr="00A61989">
        <w:rPr>
          <w:rFonts w:ascii="Palatino Linotype" w:eastAsia="Palatino Linotype" w:hAnsi="Palatino Linotype" w:cs="Palatino Linotype"/>
          <w:i/>
          <w:sz w:val="22"/>
          <w:szCs w:val="22"/>
        </w:rPr>
        <w:t>III. Cumplir y hacer cumplir las normas y políticas aplicables en materia de administración de recursos humanos, materiales y financieros</w:t>
      </w:r>
      <w:r w:rsidR="00DA0396" w:rsidRPr="00A61989">
        <w:rPr>
          <w:rFonts w:ascii="Palatino Linotype" w:eastAsia="Palatino Linotype" w:hAnsi="Palatino Linotype" w:cs="Palatino Linotype"/>
          <w:i/>
          <w:sz w:val="22"/>
          <w:szCs w:val="22"/>
        </w:rPr>
        <w:t>;</w:t>
      </w:r>
    </w:p>
    <w:p w:rsidR="00216564" w:rsidRPr="00A61989" w:rsidRDefault="00216564" w:rsidP="0084027E">
      <w:pPr>
        <w:ind w:left="1134" w:right="900"/>
        <w:jc w:val="both"/>
        <w:rPr>
          <w:rFonts w:ascii="Palatino Linotype" w:eastAsia="Palatino Linotype" w:hAnsi="Palatino Linotype" w:cs="Palatino Linotype"/>
          <w:i/>
          <w:sz w:val="22"/>
          <w:szCs w:val="22"/>
        </w:rPr>
      </w:pPr>
      <w:r w:rsidRPr="00A61989">
        <w:rPr>
          <w:rFonts w:ascii="Palatino Linotype" w:eastAsia="Palatino Linotype" w:hAnsi="Palatino Linotype" w:cs="Palatino Linotype"/>
          <w:i/>
          <w:sz w:val="22"/>
          <w:szCs w:val="22"/>
        </w:rPr>
        <w:t>IV. Controlar y verificar la aplicación del presupuesto de las unidades administrativas de la Secretaría;</w:t>
      </w:r>
    </w:p>
    <w:p w:rsidR="00216564" w:rsidRPr="00A61989" w:rsidRDefault="00216564" w:rsidP="0084027E">
      <w:pPr>
        <w:ind w:left="1134" w:right="900"/>
        <w:jc w:val="both"/>
        <w:rPr>
          <w:rFonts w:ascii="Palatino Linotype" w:eastAsia="Palatino Linotype" w:hAnsi="Palatino Linotype" w:cs="Palatino Linotype"/>
          <w:i/>
          <w:sz w:val="22"/>
          <w:szCs w:val="22"/>
        </w:rPr>
      </w:pPr>
      <w:r w:rsidRPr="00A61989">
        <w:rPr>
          <w:rFonts w:ascii="Palatino Linotype" w:eastAsia="Palatino Linotype" w:hAnsi="Palatino Linotype" w:cs="Palatino Linotype"/>
          <w:i/>
          <w:sz w:val="22"/>
          <w:szCs w:val="22"/>
        </w:rPr>
        <w:t>…</w:t>
      </w:r>
    </w:p>
    <w:p w:rsidR="00216564" w:rsidRPr="00A61989" w:rsidRDefault="00216564" w:rsidP="0084027E">
      <w:pPr>
        <w:ind w:left="1134" w:right="900"/>
        <w:jc w:val="both"/>
        <w:rPr>
          <w:rFonts w:ascii="Palatino Linotype" w:eastAsia="Palatino Linotype" w:hAnsi="Palatino Linotype" w:cs="Palatino Linotype"/>
          <w:i/>
          <w:sz w:val="22"/>
          <w:szCs w:val="22"/>
        </w:rPr>
      </w:pPr>
      <w:r w:rsidRPr="00A61989">
        <w:rPr>
          <w:rFonts w:ascii="Palatino Linotype" w:eastAsia="Palatino Linotype" w:hAnsi="Palatino Linotype" w:cs="Palatino Linotype"/>
          <w:i/>
          <w:sz w:val="22"/>
          <w:szCs w:val="22"/>
        </w:rPr>
        <w:t xml:space="preserve">XXI. Coadyuvar en la vigilancia y control de la aplicación de los recursos asignados a la Secretaría referentes al ejercicio y comprobación del gasto, conforme a las normas, políticas y procedimientos establecidos; </w:t>
      </w:r>
    </w:p>
    <w:p w:rsidR="00216564" w:rsidRPr="00A61989" w:rsidRDefault="00216564" w:rsidP="0084027E">
      <w:pPr>
        <w:ind w:left="1134" w:right="900"/>
        <w:jc w:val="both"/>
        <w:rPr>
          <w:rFonts w:ascii="Palatino Linotype" w:eastAsia="Palatino Linotype" w:hAnsi="Palatino Linotype" w:cs="Palatino Linotype"/>
          <w:i/>
          <w:sz w:val="22"/>
          <w:szCs w:val="22"/>
        </w:rPr>
      </w:pPr>
      <w:r w:rsidRPr="00A61989">
        <w:rPr>
          <w:rFonts w:ascii="Palatino Linotype" w:eastAsia="Palatino Linotype" w:hAnsi="Palatino Linotype" w:cs="Palatino Linotype"/>
          <w:i/>
          <w:sz w:val="22"/>
          <w:szCs w:val="22"/>
        </w:rPr>
        <w:t>XXII. Verificar que se realicen los registros contables y presupuestales de las operaciones financieras de la dependencia;</w:t>
      </w:r>
    </w:p>
    <w:p w:rsidR="00F95D30" w:rsidRPr="00A61989" w:rsidRDefault="00F95D30" w:rsidP="00A936AE">
      <w:pPr>
        <w:spacing w:line="360" w:lineRule="auto"/>
        <w:jc w:val="both"/>
        <w:rPr>
          <w:rFonts w:ascii="Palatino Linotype" w:eastAsia="Palatino Linotype" w:hAnsi="Palatino Linotype" w:cs="Palatino Linotype"/>
          <w:szCs w:val="22"/>
          <w:lang w:val="es-MX"/>
        </w:rPr>
      </w:pPr>
    </w:p>
    <w:p w:rsidR="0084110E" w:rsidRPr="00A61989" w:rsidRDefault="00990D3F" w:rsidP="00464D79">
      <w:pPr>
        <w:numPr>
          <w:ilvl w:val="0"/>
          <w:numId w:val="2"/>
        </w:numPr>
        <w:spacing w:line="360" w:lineRule="auto"/>
        <w:ind w:left="0" w:firstLine="0"/>
        <w:jc w:val="both"/>
        <w:rPr>
          <w:rFonts w:ascii="Palatino Linotype" w:eastAsia="Palatino Linotype" w:hAnsi="Palatino Linotype" w:cs="Palatino Linotype"/>
          <w:szCs w:val="22"/>
          <w:lang w:val="es-MX"/>
        </w:rPr>
      </w:pPr>
      <w:r w:rsidRPr="00A61989">
        <w:rPr>
          <w:rFonts w:ascii="Palatino Linotype" w:eastAsia="Palatino Linotype" w:hAnsi="Palatino Linotype" w:cs="Palatino Linotype"/>
          <w:szCs w:val="22"/>
          <w:lang w:val="es-MX"/>
        </w:rPr>
        <w:lastRenderedPageBreak/>
        <w:t xml:space="preserve">La </w:t>
      </w:r>
      <w:r w:rsidR="00C9034B" w:rsidRPr="00A61989">
        <w:rPr>
          <w:rFonts w:ascii="Palatino Linotype" w:eastAsia="Palatino Linotype" w:hAnsi="Palatino Linotype" w:cs="Palatino Linotype"/>
        </w:rPr>
        <w:t>Unidad de Información, Planeación, Programación y Evaluación, conforme al Manual General de Organización tiene como objetivo:</w:t>
      </w:r>
    </w:p>
    <w:p w:rsidR="00F90E49" w:rsidRPr="00A61989" w:rsidRDefault="00F90E49" w:rsidP="004C3FA9">
      <w:pPr>
        <w:ind w:left="1134" w:right="900"/>
        <w:jc w:val="center"/>
        <w:rPr>
          <w:rFonts w:ascii="Palatino Linotype" w:eastAsia="Palatino Linotype" w:hAnsi="Palatino Linotype" w:cs="Palatino Linotype"/>
          <w:b/>
          <w:i/>
          <w:sz w:val="22"/>
          <w:szCs w:val="22"/>
        </w:rPr>
      </w:pPr>
      <w:r w:rsidRPr="00A61989">
        <w:rPr>
          <w:rFonts w:ascii="Palatino Linotype" w:eastAsia="Palatino Linotype" w:hAnsi="Palatino Linotype" w:cs="Palatino Linotype"/>
          <w:b/>
          <w:i/>
          <w:sz w:val="22"/>
          <w:szCs w:val="22"/>
        </w:rPr>
        <w:t>Manual General de Organización de la Secretaría de Finanzas</w:t>
      </w:r>
    </w:p>
    <w:p w:rsidR="00F90E49" w:rsidRPr="00A61989" w:rsidRDefault="00F90E49" w:rsidP="004C3FA9">
      <w:pPr>
        <w:ind w:left="1134" w:right="900"/>
        <w:jc w:val="center"/>
        <w:rPr>
          <w:rFonts w:ascii="Palatino Linotype" w:eastAsia="Palatino Linotype" w:hAnsi="Palatino Linotype" w:cs="Palatino Linotype"/>
          <w:b/>
          <w:i/>
          <w:sz w:val="22"/>
          <w:szCs w:val="22"/>
        </w:rPr>
      </w:pPr>
    </w:p>
    <w:p w:rsidR="00C9034B" w:rsidRPr="00A61989" w:rsidRDefault="00C9034B" w:rsidP="004C3FA9">
      <w:pPr>
        <w:ind w:left="1134" w:right="900"/>
        <w:jc w:val="both"/>
        <w:rPr>
          <w:rFonts w:ascii="Palatino Linotype" w:eastAsia="Palatino Linotype" w:hAnsi="Palatino Linotype" w:cs="Palatino Linotype"/>
          <w:b/>
          <w:i/>
          <w:sz w:val="22"/>
          <w:szCs w:val="22"/>
        </w:rPr>
      </w:pPr>
      <w:r w:rsidRPr="00A61989">
        <w:rPr>
          <w:rFonts w:ascii="Palatino Linotype" w:eastAsia="Palatino Linotype" w:hAnsi="Palatino Linotype" w:cs="Palatino Linotype"/>
          <w:b/>
          <w:i/>
          <w:sz w:val="22"/>
          <w:szCs w:val="22"/>
        </w:rPr>
        <w:t>20700004000000S UNIDAD DE INFORMACIÓN, PLANEACIÓN, PROGRAMACIÓN Y EVALUACIÓN</w:t>
      </w:r>
    </w:p>
    <w:p w:rsidR="00C9034B" w:rsidRPr="00A61989" w:rsidRDefault="00C9034B" w:rsidP="004C3FA9">
      <w:pPr>
        <w:ind w:left="1134" w:right="900"/>
        <w:jc w:val="both"/>
        <w:rPr>
          <w:rFonts w:ascii="Palatino Linotype" w:eastAsia="Palatino Linotype" w:hAnsi="Palatino Linotype" w:cs="Palatino Linotype"/>
          <w:b/>
          <w:i/>
          <w:sz w:val="22"/>
          <w:szCs w:val="22"/>
        </w:rPr>
      </w:pPr>
    </w:p>
    <w:p w:rsidR="00F90E49" w:rsidRPr="00A61989" w:rsidRDefault="00C9034B" w:rsidP="004C3FA9">
      <w:pPr>
        <w:ind w:left="1134" w:right="900"/>
        <w:jc w:val="both"/>
        <w:rPr>
          <w:rFonts w:ascii="Palatino Linotype" w:eastAsia="Palatino Linotype" w:hAnsi="Palatino Linotype" w:cs="Palatino Linotype"/>
          <w:i/>
          <w:sz w:val="22"/>
          <w:szCs w:val="22"/>
        </w:rPr>
      </w:pPr>
      <w:r w:rsidRPr="00A61989">
        <w:rPr>
          <w:rFonts w:ascii="Palatino Linotype" w:eastAsia="Palatino Linotype" w:hAnsi="Palatino Linotype" w:cs="Palatino Linotype"/>
          <w:b/>
          <w:i/>
          <w:sz w:val="22"/>
          <w:szCs w:val="22"/>
        </w:rPr>
        <w:t>OBJETIVO</w:t>
      </w:r>
      <w:r w:rsidRPr="00A61989">
        <w:rPr>
          <w:rFonts w:ascii="Palatino Linotype" w:eastAsia="Palatino Linotype" w:hAnsi="Palatino Linotype" w:cs="Palatino Linotype"/>
          <w:i/>
          <w:sz w:val="22"/>
          <w:szCs w:val="22"/>
        </w:rPr>
        <w:t>: Coordinar, supervisar y ejecutar los procesos de planeación, programación y evaluación para garantizar la provisión oportuna y eficiente de información, así como analizar e interpretar la correspondiente en materia económica y financiera que sea requerida por la Secretaría de Finanzas para la toma de decisiones y facilitar el derecho de acceso a la información pública y la protección de los datos personales en cumplimiento de sus atribuciones.</w:t>
      </w:r>
    </w:p>
    <w:p w:rsidR="00F90E49" w:rsidRPr="00A61989" w:rsidRDefault="00F90E49" w:rsidP="006420FF">
      <w:pPr>
        <w:spacing w:line="360" w:lineRule="auto"/>
        <w:rPr>
          <w:rFonts w:ascii="Palatino Linotype" w:eastAsia="Palatino Linotype" w:hAnsi="Palatino Linotype" w:cs="Palatino Linotype"/>
          <w:b/>
          <w:i/>
          <w:sz w:val="22"/>
          <w:szCs w:val="22"/>
          <w:lang w:val="es-MX"/>
        </w:rPr>
      </w:pPr>
    </w:p>
    <w:p w:rsidR="00C9034B" w:rsidRPr="00A61989" w:rsidRDefault="00C9034B" w:rsidP="00C9034B">
      <w:pPr>
        <w:numPr>
          <w:ilvl w:val="0"/>
          <w:numId w:val="2"/>
        </w:numPr>
        <w:spacing w:line="360" w:lineRule="auto"/>
        <w:ind w:left="0" w:firstLine="0"/>
        <w:jc w:val="both"/>
        <w:rPr>
          <w:rFonts w:ascii="Palatino Linotype" w:eastAsia="Palatino Linotype" w:hAnsi="Palatino Linotype" w:cs="Palatino Linotype"/>
          <w:szCs w:val="22"/>
          <w:lang w:val="es-MX"/>
        </w:rPr>
      </w:pPr>
      <w:r w:rsidRPr="00A61989">
        <w:rPr>
          <w:rFonts w:ascii="Palatino Linotype" w:eastAsia="Palatino Linotype" w:hAnsi="Palatino Linotype" w:cs="Palatino Linotype"/>
          <w:szCs w:val="22"/>
          <w:lang w:val="es-MX"/>
        </w:rPr>
        <w:t>El Órgano Interno de Control</w:t>
      </w:r>
      <w:r w:rsidRPr="00A61989">
        <w:rPr>
          <w:rFonts w:ascii="Palatino Linotype" w:eastAsia="Palatino Linotype" w:hAnsi="Palatino Linotype" w:cs="Palatino Linotype"/>
        </w:rPr>
        <w:t>, conforme al Manual General de Organización tiene como objetivo:</w:t>
      </w:r>
    </w:p>
    <w:p w:rsidR="00C9034B" w:rsidRPr="00A61989" w:rsidRDefault="00C9034B" w:rsidP="00C9034B">
      <w:pPr>
        <w:ind w:left="1134" w:right="900"/>
        <w:jc w:val="center"/>
        <w:rPr>
          <w:rFonts w:ascii="Palatino Linotype" w:eastAsia="Palatino Linotype" w:hAnsi="Palatino Linotype" w:cs="Palatino Linotype"/>
          <w:b/>
          <w:i/>
          <w:sz w:val="22"/>
          <w:szCs w:val="22"/>
        </w:rPr>
      </w:pPr>
      <w:r w:rsidRPr="00A61989">
        <w:rPr>
          <w:rFonts w:ascii="Palatino Linotype" w:eastAsia="Palatino Linotype" w:hAnsi="Palatino Linotype" w:cs="Palatino Linotype"/>
          <w:b/>
          <w:i/>
          <w:sz w:val="22"/>
          <w:szCs w:val="22"/>
        </w:rPr>
        <w:t>Manual General de Organización de la Secretaría de Finanzas</w:t>
      </w:r>
    </w:p>
    <w:p w:rsidR="00C9034B" w:rsidRPr="00A61989" w:rsidRDefault="00C9034B" w:rsidP="00C9034B">
      <w:pPr>
        <w:ind w:left="1134" w:right="900"/>
        <w:jc w:val="center"/>
        <w:rPr>
          <w:rFonts w:ascii="Palatino Linotype" w:eastAsia="Palatino Linotype" w:hAnsi="Palatino Linotype" w:cs="Palatino Linotype"/>
          <w:b/>
          <w:i/>
          <w:sz w:val="22"/>
          <w:szCs w:val="22"/>
        </w:rPr>
      </w:pPr>
    </w:p>
    <w:p w:rsidR="00C9034B" w:rsidRPr="00A61989" w:rsidRDefault="00C9034B" w:rsidP="00C9034B">
      <w:pPr>
        <w:spacing w:line="360" w:lineRule="auto"/>
        <w:ind w:left="1134" w:right="900"/>
        <w:jc w:val="both"/>
        <w:rPr>
          <w:rFonts w:ascii="Palatino Linotype" w:eastAsia="Palatino Linotype" w:hAnsi="Palatino Linotype" w:cs="Palatino Linotype"/>
          <w:b/>
          <w:i/>
          <w:sz w:val="22"/>
          <w:szCs w:val="22"/>
        </w:rPr>
      </w:pPr>
      <w:r w:rsidRPr="00A61989">
        <w:rPr>
          <w:rFonts w:ascii="Palatino Linotype" w:eastAsia="Palatino Linotype" w:hAnsi="Palatino Linotype" w:cs="Palatino Linotype"/>
          <w:b/>
          <w:i/>
          <w:sz w:val="22"/>
          <w:szCs w:val="22"/>
        </w:rPr>
        <w:t xml:space="preserve">20700003000000S ÓRGANO INTERNO DE CONTROL </w:t>
      </w:r>
    </w:p>
    <w:p w:rsidR="00C9034B" w:rsidRPr="00A61989" w:rsidRDefault="00C9034B" w:rsidP="00C9034B">
      <w:pPr>
        <w:spacing w:line="360" w:lineRule="auto"/>
        <w:ind w:left="1134" w:right="900"/>
        <w:jc w:val="both"/>
        <w:rPr>
          <w:rFonts w:ascii="Palatino Linotype" w:eastAsia="Palatino Linotype" w:hAnsi="Palatino Linotype" w:cs="Palatino Linotype"/>
          <w:b/>
          <w:i/>
          <w:sz w:val="22"/>
          <w:szCs w:val="22"/>
        </w:rPr>
      </w:pPr>
    </w:p>
    <w:p w:rsidR="00D72569" w:rsidRPr="00A61989" w:rsidRDefault="00C9034B" w:rsidP="00C9034B">
      <w:pPr>
        <w:ind w:left="1134" w:right="902"/>
        <w:jc w:val="both"/>
        <w:rPr>
          <w:rFonts w:ascii="Palatino Linotype" w:eastAsia="Palatino Linotype" w:hAnsi="Palatino Linotype" w:cs="Palatino Linotype"/>
          <w:i/>
          <w:sz w:val="22"/>
          <w:szCs w:val="22"/>
        </w:rPr>
      </w:pPr>
      <w:r w:rsidRPr="00A61989">
        <w:rPr>
          <w:rFonts w:ascii="Palatino Linotype" w:eastAsia="Palatino Linotype" w:hAnsi="Palatino Linotype" w:cs="Palatino Linotype"/>
          <w:b/>
          <w:i/>
          <w:sz w:val="22"/>
          <w:szCs w:val="22"/>
        </w:rPr>
        <w:t xml:space="preserve">OBJETIVO: </w:t>
      </w:r>
      <w:r w:rsidRPr="00A61989">
        <w:rPr>
          <w:rFonts w:ascii="Palatino Linotype" w:eastAsia="Palatino Linotype" w:hAnsi="Palatino Linotype" w:cs="Palatino Linotype"/>
          <w:i/>
          <w:sz w:val="22"/>
          <w:szCs w:val="22"/>
        </w:rPr>
        <w:t>Vigilar que los procedimientos que se realizan en las unidades administrativas de la Secretaría de Finanzas, cumplan con las disposiciones jurídico-administrativas que los regulan, salvaguardando la legalidad, mediante la ejecución de acciones de control y evaluación; así como coadyuvar en el funcionamiento del Sistema de Control Interno, la evaluación de la gestión gubernamental y su mejora continua; implementar mecanismos de prevención, instrumentos de rendición de cuentas, y aplicar la Ley de Responsabilidades Administrativas del Estado de México y Municipios conforme a su competencia.</w:t>
      </w:r>
    </w:p>
    <w:p w:rsidR="00C9034B" w:rsidRPr="00A61989" w:rsidRDefault="00C9034B" w:rsidP="00C9034B">
      <w:pPr>
        <w:ind w:left="1134" w:right="902"/>
        <w:jc w:val="both"/>
        <w:rPr>
          <w:rFonts w:ascii="Palatino Linotype" w:eastAsia="Palatino Linotype" w:hAnsi="Palatino Linotype" w:cs="Palatino Linotype"/>
          <w:i/>
          <w:sz w:val="22"/>
          <w:szCs w:val="22"/>
        </w:rPr>
      </w:pPr>
    </w:p>
    <w:p w:rsidR="00C9034B" w:rsidRPr="00A61989" w:rsidRDefault="00C9034B" w:rsidP="00C9034B">
      <w:pPr>
        <w:ind w:left="1134" w:right="902"/>
        <w:jc w:val="both"/>
        <w:rPr>
          <w:rFonts w:ascii="Palatino Linotype" w:eastAsia="Palatino Linotype" w:hAnsi="Palatino Linotype" w:cs="Palatino Linotype"/>
          <w:b/>
          <w:i/>
          <w:szCs w:val="22"/>
        </w:rPr>
      </w:pPr>
      <w:r w:rsidRPr="00A61989">
        <w:rPr>
          <w:rFonts w:ascii="Palatino Linotype" w:eastAsia="Palatino Linotype" w:hAnsi="Palatino Linotype" w:cs="Palatino Linotype"/>
          <w:b/>
          <w:i/>
          <w:szCs w:val="22"/>
        </w:rPr>
        <w:t>FUNCIONES:</w:t>
      </w:r>
    </w:p>
    <w:p w:rsidR="00C9034B" w:rsidRPr="00A61989" w:rsidRDefault="00C9034B" w:rsidP="00C9034B">
      <w:pPr>
        <w:ind w:left="1134" w:right="902"/>
        <w:jc w:val="both"/>
        <w:rPr>
          <w:rFonts w:ascii="Palatino Linotype" w:eastAsia="Palatino Linotype" w:hAnsi="Palatino Linotype" w:cs="Palatino Linotype"/>
          <w:i/>
          <w:szCs w:val="22"/>
        </w:rPr>
      </w:pPr>
      <w:r w:rsidRPr="00A61989">
        <w:rPr>
          <w:rFonts w:ascii="Palatino Linotype" w:eastAsia="Palatino Linotype" w:hAnsi="Palatino Linotype" w:cs="Palatino Linotype"/>
          <w:i/>
          <w:szCs w:val="22"/>
        </w:rPr>
        <w:t>…</w:t>
      </w:r>
    </w:p>
    <w:p w:rsidR="00C9034B" w:rsidRPr="00A61989" w:rsidRDefault="00C9034B" w:rsidP="00C9034B">
      <w:pPr>
        <w:ind w:left="1134" w:right="902"/>
        <w:jc w:val="both"/>
        <w:rPr>
          <w:rFonts w:ascii="Palatino Linotype" w:eastAsia="Palatino Linotype" w:hAnsi="Palatino Linotype" w:cs="Palatino Linotype"/>
          <w:i/>
          <w:szCs w:val="22"/>
        </w:rPr>
      </w:pPr>
      <w:r w:rsidRPr="00A61989">
        <w:rPr>
          <w:rFonts w:ascii="Palatino Linotype" w:eastAsia="Palatino Linotype" w:hAnsi="Palatino Linotype" w:cs="Palatino Linotype"/>
          <w:i/>
          <w:szCs w:val="22"/>
        </w:rPr>
        <w:t xml:space="preserve">- Dirigir la realización de auditorías y acciones de control y evaluación, así como la emisión del informe correspondiente, y comunicar su resultado a las y los responsables de las unidades administrativas </w:t>
      </w:r>
      <w:r w:rsidRPr="00A61989">
        <w:rPr>
          <w:rFonts w:ascii="Palatino Linotype" w:eastAsia="Palatino Linotype" w:hAnsi="Palatino Linotype" w:cs="Palatino Linotype"/>
          <w:i/>
          <w:szCs w:val="22"/>
        </w:rPr>
        <w:lastRenderedPageBreak/>
        <w:t>auditadas, a la o al titular de la dependencia y a la Secretaría de la Contraloría.</w:t>
      </w:r>
    </w:p>
    <w:p w:rsidR="00C9034B" w:rsidRPr="00A61989" w:rsidRDefault="00C9034B" w:rsidP="00C9034B">
      <w:pPr>
        <w:ind w:left="1134" w:right="902"/>
        <w:jc w:val="both"/>
        <w:rPr>
          <w:rFonts w:ascii="Palatino Linotype" w:eastAsia="Palatino Linotype" w:hAnsi="Palatino Linotype" w:cs="Palatino Linotype"/>
          <w:i/>
          <w:szCs w:val="22"/>
        </w:rPr>
      </w:pPr>
      <w:r w:rsidRPr="00A61989">
        <w:rPr>
          <w:rFonts w:ascii="Palatino Linotype" w:eastAsia="Palatino Linotype" w:hAnsi="Palatino Linotype" w:cs="Palatino Linotype"/>
          <w:i/>
          <w:szCs w:val="22"/>
        </w:rPr>
        <w:t xml:space="preserve">− Promover el seguimiento a las observaciones determinadas en las auditorías y acciones de control y evaluación que realicen las Áreas de Auditoría, o que se practiquen por las unidades administrativas competentes de la Secretaría de la Contraloría a las unidades administrativas de la dependencia, así como de la </w:t>
      </w:r>
      <w:proofErr w:type="spellStart"/>
      <w:r w:rsidRPr="00A61989">
        <w:rPr>
          <w:rFonts w:ascii="Palatino Linotype" w:eastAsia="Palatino Linotype" w:hAnsi="Palatino Linotype" w:cs="Palatino Linotype"/>
          <w:i/>
          <w:szCs w:val="22"/>
        </w:rPr>
        <w:t>solventación</w:t>
      </w:r>
      <w:proofErr w:type="spellEnd"/>
      <w:r w:rsidRPr="00A61989">
        <w:rPr>
          <w:rFonts w:ascii="Palatino Linotype" w:eastAsia="Palatino Linotype" w:hAnsi="Palatino Linotype" w:cs="Palatino Linotype"/>
          <w:i/>
          <w:szCs w:val="22"/>
        </w:rPr>
        <w:t xml:space="preserve"> y cumplimiento de las observaciones o hallazgos formulados por auditoras y auditores externos y, en su caso, por otras instancias externas de fiscalización.</w:t>
      </w:r>
    </w:p>
    <w:p w:rsidR="008528A7" w:rsidRPr="00A61989" w:rsidRDefault="008528A7" w:rsidP="00C9034B">
      <w:pPr>
        <w:ind w:left="1134" w:right="902"/>
        <w:jc w:val="both"/>
        <w:rPr>
          <w:rFonts w:ascii="Palatino Linotype" w:eastAsia="Palatino Linotype" w:hAnsi="Palatino Linotype" w:cs="Palatino Linotype"/>
          <w:i/>
          <w:szCs w:val="22"/>
        </w:rPr>
      </w:pPr>
      <w:r w:rsidRPr="00A61989">
        <w:rPr>
          <w:rFonts w:ascii="Palatino Linotype" w:eastAsia="Palatino Linotype" w:hAnsi="Palatino Linotype" w:cs="Palatino Linotype"/>
          <w:i/>
          <w:szCs w:val="22"/>
        </w:rPr>
        <w:t>…</w:t>
      </w:r>
    </w:p>
    <w:p w:rsidR="008528A7" w:rsidRPr="00A61989" w:rsidRDefault="008528A7" w:rsidP="00FC7AEA">
      <w:pPr>
        <w:ind w:left="1134" w:right="902"/>
        <w:jc w:val="both"/>
        <w:rPr>
          <w:rFonts w:ascii="Palatino Linotype" w:eastAsia="Palatino Linotype" w:hAnsi="Palatino Linotype" w:cs="Palatino Linotype"/>
          <w:i/>
          <w:szCs w:val="22"/>
          <w:lang w:val="es-MX"/>
        </w:rPr>
      </w:pPr>
      <w:r w:rsidRPr="00A61989">
        <w:rPr>
          <w:rFonts w:ascii="Palatino Linotype" w:eastAsia="Palatino Linotype" w:hAnsi="Palatino Linotype" w:cs="Palatino Linotype"/>
          <w:i/>
          <w:szCs w:val="22"/>
          <w:lang w:val="es-MX"/>
        </w:rPr>
        <w:t>− Coordinar la revisión del ingreso, egreso, manejo, custodia y aplicación de recursos públicos, según</w:t>
      </w:r>
      <w:r w:rsidR="00FC7AEA" w:rsidRPr="00A61989">
        <w:rPr>
          <w:rFonts w:ascii="Palatino Linotype" w:eastAsia="Palatino Linotype" w:hAnsi="Palatino Linotype" w:cs="Palatino Linotype"/>
          <w:i/>
          <w:szCs w:val="22"/>
          <w:lang w:val="es-MX"/>
        </w:rPr>
        <w:t xml:space="preserve"> corresponda en el ámbito de su </w:t>
      </w:r>
      <w:r w:rsidRPr="00A61989">
        <w:rPr>
          <w:rFonts w:ascii="Palatino Linotype" w:eastAsia="Palatino Linotype" w:hAnsi="Palatino Linotype" w:cs="Palatino Linotype"/>
          <w:i/>
          <w:szCs w:val="22"/>
          <w:lang w:val="es-MX"/>
        </w:rPr>
        <w:t>competencia.</w:t>
      </w:r>
    </w:p>
    <w:p w:rsidR="00FC7AEA" w:rsidRPr="00A61989" w:rsidRDefault="00FC7AEA" w:rsidP="00FC7AEA">
      <w:pPr>
        <w:ind w:left="1134" w:right="902"/>
        <w:jc w:val="both"/>
        <w:rPr>
          <w:rFonts w:ascii="Palatino Linotype" w:eastAsia="Palatino Linotype" w:hAnsi="Palatino Linotype" w:cs="Palatino Linotype"/>
          <w:i/>
          <w:szCs w:val="22"/>
          <w:lang w:val="es-MX"/>
        </w:rPr>
      </w:pPr>
      <w:r w:rsidRPr="00A61989">
        <w:rPr>
          <w:rFonts w:ascii="Palatino Linotype" w:eastAsia="Palatino Linotype" w:hAnsi="Palatino Linotype" w:cs="Palatino Linotype"/>
          <w:i/>
          <w:szCs w:val="22"/>
          <w:lang w:val="es-MX"/>
        </w:rPr>
        <w:t>...</w:t>
      </w:r>
    </w:p>
    <w:p w:rsidR="00F37268" w:rsidRPr="00A61989" w:rsidRDefault="00F37268" w:rsidP="00F37268">
      <w:pPr>
        <w:spacing w:line="360" w:lineRule="auto"/>
        <w:jc w:val="both"/>
        <w:rPr>
          <w:rFonts w:ascii="Palatino Linotype" w:eastAsia="Palatino Linotype" w:hAnsi="Palatino Linotype" w:cs="Palatino Linotype"/>
          <w:szCs w:val="22"/>
          <w:lang w:val="es-MX"/>
        </w:rPr>
      </w:pPr>
    </w:p>
    <w:p w:rsidR="00FC7AEA" w:rsidRPr="00A61989" w:rsidRDefault="00FC7AEA" w:rsidP="00F37268">
      <w:pPr>
        <w:numPr>
          <w:ilvl w:val="0"/>
          <w:numId w:val="2"/>
        </w:numPr>
        <w:spacing w:line="360" w:lineRule="auto"/>
        <w:ind w:left="0" w:firstLine="0"/>
        <w:jc w:val="both"/>
        <w:rPr>
          <w:rFonts w:ascii="Palatino Linotype" w:eastAsia="Palatino Linotype" w:hAnsi="Palatino Linotype" w:cs="Palatino Linotype"/>
          <w:szCs w:val="22"/>
          <w:lang w:val="es-MX"/>
        </w:rPr>
      </w:pPr>
      <w:r w:rsidRPr="00A61989">
        <w:rPr>
          <w:rFonts w:ascii="Palatino Linotype" w:eastAsia="Palatino Linotype" w:hAnsi="Palatino Linotype" w:cs="Palatino Linotype"/>
          <w:szCs w:val="22"/>
          <w:lang w:val="es-MX"/>
        </w:rPr>
        <w:t>El Órgano Interno de Control cuenta con diversas unidades administrativas para el despacho de sus funciones, entre ellas tres áreas de auditoría que su vez tienen departamentos de auditoría; estas áreas de autoría y sus departamentos tienen los objetivos siguientes conforme al Manual General de Organización:</w:t>
      </w:r>
    </w:p>
    <w:p w:rsidR="003074AE" w:rsidRPr="00A61989" w:rsidRDefault="003074AE" w:rsidP="003074AE">
      <w:pPr>
        <w:spacing w:line="360" w:lineRule="auto"/>
        <w:jc w:val="both"/>
        <w:rPr>
          <w:rFonts w:ascii="Palatino Linotype" w:eastAsia="Palatino Linotype" w:hAnsi="Palatino Linotype" w:cs="Palatino Linotype"/>
          <w:szCs w:val="22"/>
          <w:lang w:val="es-MX"/>
        </w:rPr>
      </w:pPr>
    </w:p>
    <w:p w:rsidR="003074AE" w:rsidRPr="00A61989" w:rsidRDefault="003074AE" w:rsidP="003074AE">
      <w:pPr>
        <w:spacing w:line="360" w:lineRule="auto"/>
        <w:jc w:val="center"/>
        <w:rPr>
          <w:rFonts w:ascii="Palatino Linotype" w:eastAsia="Palatino Linotype" w:hAnsi="Palatino Linotype" w:cs="Palatino Linotype"/>
          <w:b/>
          <w:i/>
          <w:sz w:val="22"/>
          <w:szCs w:val="22"/>
        </w:rPr>
      </w:pPr>
      <w:r w:rsidRPr="00A61989">
        <w:rPr>
          <w:rFonts w:ascii="Palatino Linotype" w:eastAsia="Palatino Linotype" w:hAnsi="Palatino Linotype" w:cs="Palatino Linotype"/>
          <w:b/>
          <w:i/>
          <w:sz w:val="22"/>
          <w:szCs w:val="22"/>
        </w:rPr>
        <w:t>Manual General de Organización de la Secretaría de Finanzas</w:t>
      </w:r>
    </w:p>
    <w:p w:rsidR="003074AE" w:rsidRPr="00A61989" w:rsidRDefault="003074AE" w:rsidP="003074AE">
      <w:pPr>
        <w:ind w:left="1134" w:right="902"/>
        <w:jc w:val="both"/>
        <w:rPr>
          <w:rFonts w:ascii="Palatino Linotype" w:eastAsia="Palatino Linotype" w:hAnsi="Palatino Linotype" w:cs="Palatino Linotype"/>
          <w:b/>
          <w:i/>
          <w:szCs w:val="22"/>
          <w:lang w:val="es-MX"/>
        </w:rPr>
      </w:pPr>
      <w:r w:rsidRPr="00A61989">
        <w:rPr>
          <w:rFonts w:ascii="Palatino Linotype" w:eastAsia="Palatino Linotype" w:hAnsi="Palatino Linotype" w:cs="Palatino Linotype"/>
          <w:b/>
          <w:i/>
          <w:szCs w:val="22"/>
          <w:lang w:val="es-MX"/>
        </w:rPr>
        <w:t xml:space="preserve">20700003000100S ÁREA DE AUDITORÍA </w:t>
      </w:r>
    </w:p>
    <w:p w:rsidR="003074AE" w:rsidRPr="00A61989" w:rsidRDefault="003074AE" w:rsidP="003074AE">
      <w:pPr>
        <w:ind w:left="1134" w:right="902"/>
        <w:jc w:val="both"/>
        <w:rPr>
          <w:rFonts w:ascii="Palatino Linotype" w:eastAsia="Palatino Linotype" w:hAnsi="Palatino Linotype" w:cs="Palatino Linotype"/>
          <w:b/>
          <w:i/>
          <w:szCs w:val="22"/>
          <w:lang w:val="es-MX"/>
        </w:rPr>
      </w:pPr>
      <w:r w:rsidRPr="00A61989">
        <w:rPr>
          <w:rFonts w:ascii="Palatino Linotype" w:eastAsia="Palatino Linotype" w:hAnsi="Palatino Linotype" w:cs="Palatino Linotype"/>
          <w:b/>
          <w:i/>
          <w:szCs w:val="22"/>
          <w:lang w:val="es-MX"/>
        </w:rPr>
        <w:t xml:space="preserve">20700003000200S ÁREA DE AUDITORÍA </w:t>
      </w:r>
    </w:p>
    <w:p w:rsidR="003074AE" w:rsidRPr="00A61989" w:rsidRDefault="003074AE" w:rsidP="003074AE">
      <w:pPr>
        <w:ind w:left="1134" w:right="902"/>
        <w:jc w:val="both"/>
        <w:rPr>
          <w:rFonts w:ascii="Palatino Linotype" w:eastAsia="Palatino Linotype" w:hAnsi="Palatino Linotype" w:cs="Palatino Linotype"/>
          <w:b/>
          <w:i/>
          <w:szCs w:val="22"/>
          <w:lang w:val="es-MX"/>
        </w:rPr>
      </w:pPr>
      <w:r w:rsidRPr="00A61989">
        <w:rPr>
          <w:rFonts w:ascii="Palatino Linotype" w:eastAsia="Palatino Linotype" w:hAnsi="Palatino Linotype" w:cs="Palatino Linotype"/>
          <w:b/>
          <w:i/>
          <w:szCs w:val="22"/>
          <w:lang w:val="es-MX"/>
        </w:rPr>
        <w:t xml:space="preserve">20700003000300S ÁREA DE AUDITORÍA </w:t>
      </w:r>
    </w:p>
    <w:p w:rsidR="003074AE" w:rsidRPr="00A61989" w:rsidRDefault="003074AE" w:rsidP="003074AE">
      <w:pPr>
        <w:ind w:left="1134" w:right="902"/>
        <w:jc w:val="both"/>
        <w:rPr>
          <w:rFonts w:ascii="Palatino Linotype" w:eastAsia="Palatino Linotype" w:hAnsi="Palatino Linotype" w:cs="Palatino Linotype"/>
          <w:i/>
          <w:szCs w:val="22"/>
          <w:lang w:val="es-MX"/>
        </w:rPr>
      </w:pPr>
    </w:p>
    <w:p w:rsidR="003074AE" w:rsidRPr="00A61989" w:rsidRDefault="003074AE" w:rsidP="003074AE">
      <w:pPr>
        <w:ind w:left="1134" w:right="902"/>
        <w:jc w:val="both"/>
        <w:rPr>
          <w:rFonts w:ascii="Palatino Linotype" w:eastAsia="Palatino Linotype" w:hAnsi="Palatino Linotype" w:cs="Palatino Linotype"/>
          <w:i/>
          <w:szCs w:val="22"/>
          <w:lang w:val="es-MX"/>
        </w:rPr>
      </w:pPr>
      <w:r w:rsidRPr="00A61989">
        <w:rPr>
          <w:rFonts w:ascii="Palatino Linotype" w:eastAsia="Palatino Linotype" w:hAnsi="Palatino Linotype" w:cs="Palatino Linotype"/>
          <w:b/>
          <w:i/>
          <w:szCs w:val="22"/>
          <w:lang w:val="es-MX"/>
        </w:rPr>
        <w:t>OBJETIVO</w:t>
      </w:r>
      <w:r w:rsidRPr="00A61989">
        <w:rPr>
          <w:rFonts w:ascii="Palatino Linotype" w:eastAsia="Palatino Linotype" w:hAnsi="Palatino Linotype" w:cs="Palatino Linotype"/>
          <w:i/>
          <w:szCs w:val="22"/>
          <w:lang w:val="es-MX"/>
        </w:rPr>
        <w:t xml:space="preserve">: Verificar la confiabilidad, oportunidad y veracidad de la información generada por las unidades administrativas de la Secretaría de Finanzas; el logro de los objetivos y metas, y el cumplimiento del marco jurídico-administrativo, mediante la ejecución de auditorías y acciones de control y evaluación, definiendo en su caso, las alternativas de solución, así como las acciones preventivas y correctivas que coadyuven a la mejora continua de la administración pública, </w:t>
      </w:r>
      <w:r w:rsidRPr="00A61989">
        <w:rPr>
          <w:rFonts w:ascii="Palatino Linotype" w:eastAsia="Palatino Linotype" w:hAnsi="Palatino Linotype" w:cs="Palatino Linotype"/>
          <w:i/>
          <w:szCs w:val="22"/>
          <w:lang w:val="es-MX"/>
        </w:rPr>
        <w:lastRenderedPageBreak/>
        <w:t>identificando mecanismos de control que propicien la transparencia, la rendición de cuentas y comportamientos éticos.</w:t>
      </w:r>
    </w:p>
    <w:p w:rsidR="00B7620A" w:rsidRPr="00A61989" w:rsidRDefault="00B7620A" w:rsidP="003074AE">
      <w:pPr>
        <w:ind w:left="1134" w:right="902"/>
        <w:jc w:val="both"/>
        <w:rPr>
          <w:rFonts w:ascii="Palatino Linotype" w:eastAsia="Palatino Linotype" w:hAnsi="Palatino Linotype" w:cs="Palatino Linotype"/>
          <w:i/>
          <w:szCs w:val="22"/>
          <w:lang w:val="es-MX"/>
        </w:rPr>
      </w:pPr>
      <w:r w:rsidRPr="00A61989">
        <w:rPr>
          <w:rFonts w:ascii="Palatino Linotype" w:eastAsia="Palatino Linotype" w:hAnsi="Palatino Linotype" w:cs="Palatino Linotype"/>
          <w:i/>
          <w:szCs w:val="22"/>
          <w:lang w:val="es-MX"/>
        </w:rPr>
        <w:t>…</w:t>
      </w:r>
    </w:p>
    <w:p w:rsidR="00B7620A" w:rsidRPr="00A61989" w:rsidRDefault="00B7620A" w:rsidP="003074AE">
      <w:pPr>
        <w:ind w:left="1134" w:right="902"/>
        <w:jc w:val="both"/>
        <w:rPr>
          <w:rFonts w:ascii="Palatino Linotype" w:eastAsia="Palatino Linotype" w:hAnsi="Palatino Linotype" w:cs="Palatino Linotype"/>
          <w:i/>
          <w:szCs w:val="22"/>
          <w:lang w:val="es-MX"/>
        </w:rPr>
      </w:pPr>
    </w:p>
    <w:p w:rsidR="00B7620A" w:rsidRPr="00A61989" w:rsidRDefault="00B7620A" w:rsidP="003074AE">
      <w:pPr>
        <w:ind w:left="1134" w:right="902"/>
        <w:jc w:val="both"/>
        <w:rPr>
          <w:rFonts w:ascii="Palatino Linotype" w:eastAsia="Palatino Linotype" w:hAnsi="Palatino Linotype" w:cs="Palatino Linotype"/>
          <w:b/>
          <w:i/>
          <w:szCs w:val="22"/>
        </w:rPr>
      </w:pPr>
      <w:r w:rsidRPr="00A61989">
        <w:rPr>
          <w:rFonts w:ascii="Palatino Linotype" w:eastAsia="Palatino Linotype" w:hAnsi="Palatino Linotype" w:cs="Palatino Linotype"/>
          <w:b/>
          <w:i/>
          <w:szCs w:val="22"/>
        </w:rPr>
        <w:t>20700003000101S DEPARTAMENTO DE AUDITORÍA “A-I”</w:t>
      </w:r>
    </w:p>
    <w:p w:rsidR="00B7620A" w:rsidRPr="00A61989" w:rsidRDefault="00B7620A" w:rsidP="003074AE">
      <w:pPr>
        <w:ind w:left="1134" w:right="902"/>
        <w:jc w:val="both"/>
        <w:rPr>
          <w:rFonts w:ascii="Palatino Linotype" w:eastAsia="Palatino Linotype" w:hAnsi="Palatino Linotype" w:cs="Palatino Linotype"/>
          <w:b/>
          <w:i/>
          <w:szCs w:val="22"/>
        </w:rPr>
      </w:pPr>
      <w:r w:rsidRPr="00A61989">
        <w:rPr>
          <w:rFonts w:ascii="Palatino Linotype" w:eastAsia="Palatino Linotype" w:hAnsi="Palatino Linotype" w:cs="Palatino Linotype"/>
          <w:b/>
          <w:i/>
          <w:szCs w:val="22"/>
        </w:rPr>
        <w:t>20700003000102S DEPARTAMENTO DE AUDITORÍA “A-II”</w:t>
      </w:r>
    </w:p>
    <w:p w:rsidR="00B7620A" w:rsidRPr="00A61989" w:rsidRDefault="00B7620A" w:rsidP="003074AE">
      <w:pPr>
        <w:ind w:left="1134" w:right="902"/>
        <w:jc w:val="both"/>
        <w:rPr>
          <w:rFonts w:ascii="Palatino Linotype" w:eastAsia="Palatino Linotype" w:hAnsi="Palatino Linotype" w:cs="Palatino Linotype"/>
          <w:b/>
          <w:i/>
          <w:szCs w:val="22"/>
        </w:rPr>
      </w:pPr>
      <w:r w:rsidRPr="00A61989">
        <w:rPr>
          <w:rFonts w:ascii="Palatino Linotype" w:eastAsia="Palatino Linotype" w:hAnsi="Palatino Linotype" w:cs="Palatino Linotype"/>
          <w:b/>
          <w:i/>
          <w:szCs w:val="22"/>
        </w:rPr>
        <w:t>20700003000103S DEPARTAMENTO DE AUDITORÍA “A-III”</w:t>
      </w:r>
    </w:p>
    <w:p w:rsidR="00B7620A" w:rsidRPr="00A61989" w:rsidRDefault="00B7620A" w:rsidP="003074AE">
      <w:pPr>
        <w:ind w:left="1134" w:right="902"/>
        <w:jc w:val="both"/>
        <w:rPr>
          <w:rFonts w:ascii="Palatino Linotype" w:eastAsia="Palatino Linotype" w:hAnsi="Palatino Linotype" w:cs="Palatino Linotype"/>
          <w:b/>
          <w:i/>
          <w:szCs w:val="22"/>
        </w:rPr>
      </w:pPr>
      <w:r w:rsidRPr="00A61989">
        <w:rPr>
          <w:rFonts w:ascii="Palatino Linotype" w:eastAsia="Palatino Linotype" w:hAnsi="Palatino Linotype" w:cs="Palatino Linotype"/>
          <w:b/>
          <w:i/>
          <w:szCs w:val="22"/>
        </w:rPr>
        <w:t xml:space="preserve">20700003000201S DEPARTAMENTO DE AUDITORÍA “B-I” </w:t>
      </w:r>
    </w:p>
    <w:p w:rsidR="00B7620A" w:rsidRPr="00A61989" w:rsidRDefault="00B7620A" w:rsidP="003074AE">
      <w:pPr>
        <w:ind w:left="1134" w:right="902"/>
        <w:jc w:val="both"/>
        <w:rPr>
          <w:rFonts w:ascii="Palatino Linotype" w:eastAsia="Palatino Linotype" w:hAnsi="Palatino Linotype" w:cs="Palatino Linotype"/>
          <w:b/>
          <w:i/>
          <w:szCs w:val="22"/>
        </w:rPr>
      </w:pPr>
      <w:r w:rsidRPr="00A61989">
        <w:rPr>
          <w:rFonts w:ascii="Palatino Linotype" w:eastAsia="Palatino Linotype" w:hAnsi="Palatino Linotype" w:cs="Palatino Linotype"/>
          <w:b/>
          <w:i/>
          <w:szCs w:val="22"/>
        </w:rPr>
        <w:t xml:space="preserve">20700003000202S DEPARTAMENTO DE AUDITORÍA “B-II” </w:t>
      </w:r>
    </w:p>
    <w:p w:rsidR="00B7620A" w:rsidRPr="00A61989" w:rsidRDefault="00B7620A" w:rsidP="003074AE">
      <w:pPr>
        <w:ind w:left="1134" w:right="902"/>
        <w:jc w:val="both"/>
        <w:rPr>
          <w:rFonts w:ascii="Palatino Linotype" w:eastAsia="Palatino Linotype" w:hAnsi="Palatino Linotype" w:cs="Palatino Linotype"/>
          <w:b/>
          <w:i/>
          <w:szCs w:val="22"/>
        </w:rPr>
      </w:pPr>
      <w:r w:rsidRPr="00A61989">
        <w:rPr>
          <w:rFonts w:ascii="Palatino Linotype" w:eastAsia="Palatino Linotype" w:hAnsi="Palatino Linotype" w:cs="Palatino Linotype"/>
          <w:b/>
          <w:i/>
          <w:szCs w:val="22"/>
        </w:rPr>
        <w:t xml:space="preserve">20700003000301S DEPARTAMENTO DE AUDITORÍA “C-I” </w:t>
      </w:r>
    </w:p>
    <w:p w:rsidR="00B7620A" w:rsidRPr="00A61989" w:rsidRDefault="00B7620A" w:rsidP="003074AE">
      <w:pPr>
        <w:ind w:left="1134" w:right="902"/>
        <w:jc w:val="both"/>
        <w:rPr>
          <w:rFonts w:ascii="Palatino Linotype" w:eastAsia="Palatino Linotype" w:hAnsi="Palatino Linotype" w:cs="Palatino Linotype"/>
          <w:b/>
          <w:i/>
          <w:szCs w:val="22"/>
        </w:rPr>
      </w:pPr>
      <w:r w:rsidRPr="00A61989">
        <w:rPr>
          <w:rFonts w:ascii="Palatino Linotype" w:eastAsia="Palatino Linotype" w:hAnsi="Palatino Linotype" w:cs="Palatino Linotype"/>
          <w:b/>
          <w:i/>
          <w:szCs w:val="22"/>
        </w:rPr>
        <w:t xml:space="preserve">20700003000302S DEPARTAMENTO DE AUDITORÍA “C-II” </w:t>
      </w:r>
    </w:p>
    <w:p w:rsidR="00B7620A" w:rsidRPr="00A61989" w:rsidRDefault="00B7620A" w:rsidP="003074AE">
      <w:pPr>
        <w:ind w:left="1134" w:right="902"/>
        <w:jc w:val="both"/>
        <w:rPr>
          <w:rFonts w:ascii="Palatino Linotype" w:eastAsia="Palatino Linotype" w:hAnsi="Palatino Linotype" w:cs="Palatino Linotype"/>
          <w:b/>
          <w:i/>
          <w:szCs w:val="22"/>
        </w:rPr>
      </w:pPr>
      <w:r w:rsidRPr="00A61989">
        <w:rPr>
          <w:rFonts w:ascii="Palatino Linotype" w:eastAsia="Palatino Linotype" w:hAnsi="Palatino Linotype" w:cs="Palatino Linotype"/>
          <w:b/>
          <w:i/>
          <w:szCs w:val="22"/>
        </w:rPr>
        <w:t xml:space="preserve">20700003000303S DEPARTAMENTO DE AUDITORÍA “C-III” </w:t>
      </w:r>
    </w:p>
    <w:p w:rsidR="00B7620A" w:rsidRPr="00A61989" w:rsidRDefault="00B7620A" w:rsidP="003074AE">
      <w:pPr>
        <w:ind w:left="1134" w:right="902"/>
        <w:jc w:val="both"/>
        <w:rPr>
          <w:rFonts w:ascii="Palatino Linotype" w:eastAsia="Palatino Linotype" w:hAnsi="Palatino Linotype" w:cs="Palatino Linotype"/>
          <w:i/>
          <w:szCs w:val="22"/>
        </w:rPr>
      </w:pPr>
    </w:p>
    <w:p w:rsidR="00B7620A" w:rsidRPr="00A61989" w:rsidRDefault="00B7620A" w:rsidP="003074AE">
      <w:pPr>
        <w:ind w:left="1134" w:right="902"/>
        <w:jc w:val="both"/>
        <w:rPr>
          <w:rFonts w:ascii="Palatino Linotype" w:eastAsia="Palatino Linotype" w:hAnsi="Palatino Linotype" w:cs="Palatino Linotype"/>
          <w:i/>
          <w:szCs w:val="22"/>
        </w:rPr>
      </w:pPr>
      <w:r w:rsidRPr="00A61989">
        <w:rPr>
          <w:rFonts w:ascii="Palatino Linotype" w:eastAsia="Palatino Linotype" w:hAnsi="Palatino Linotype" w:cs="Palatino Linotype"/>
          <w:b/>
          <w:i/>
          <w:szCs w:val="22"/>
        </w:rPr>
        <w:t>OBJETIVO</w:t>
      </w:r>
      <w:r w:rsidRPr="00A61989">
        <w:rPr>
          <w:rFonts w:ascii="Palatino Linotype" w:eastAsia="Palatino Linotype" w:hAnsi="Palatino Linotype" w:cs="Palatino Linotype"/>
          <w:i/>
          <w:szCs w:val="22"/>
        </w:rPr>
        <w:t>: Supervisar la ejecución de las auditorías y acciones de control y evaluación que permitan verificar la confiabilidad, oportunidad y veracidad de la información generada por las unidades administrativas de la Secretaría de Finanzas; así como el logro de los objetivos y metas, el cumplimiento del marco jurídico-administrativo, proponiendo en su caso, las alternativas de solución, así como las acciones preventivas y correctivas que coadyuven a la mejora continua de la administración pública, identificando mecanismos de control que propicien la transparencia, la rendición de cuentas y comportamientos éticos.</w:t>
      </w:r>
    </w:p>
    <w:p w:rsidR="00D11EC9" w:rsidRPr="00A61989" w:rsidRDefault="00D11EC9" w:rsidP="003074AE">
      <w:pPr>
        <w:ind w:left="1134" w:right="902"/>
        <w:jc w:val="both"/>
        <w:rPr>
          <w:rFonts w:ascii="Palatino Linotype" w:eastAsia="Palatino Linotype" w:hAnsi="Palatino Linotype" w:cs="Palatino Linotype"/>
          <w:i/>
          <w:szCs w:val="22"/>
          <w:lang w:val="es-MX"/>
        </w:rPr>
      </w:pPr>
      <w:r w:rsidRPr="00A61989">
        <w:rPr>
          <w:rFonts w:ascii="Palatino Linotype" w:eastAsia="Palatino Linotype" w:hAnsi="Palatino Linotype" w:cs="Palatino Linotype"/>
          <w:i/>
          <w:szCs w:val="22"/>
        </w:rPr>
        <w:t>…</w:t>
      </w:r>
    </w:p>
    <w:p w:rsidR="003074AE" w:rsidRPr="00A61989" w:rsidRDefault="003074AE" w:rsidP="003074AE">
      <w:pPr>
        <w:spacing w:line="360" w:lineRule="auto"/>
        <w:jc w:val="both"/>
        <w:rPr>
          <w:rFonts w:ascii="Palatino Linotype" w:eastAsia="Palatino Linotype" w:hAnsi="Palatino Linotype" w:cs="Palatino Linotype"/>
          <w:szCs w:val="22"/>
          <w:lang w:val="es-MX"/>
        </w:rPr>
      </w:pPr>
    </w:p>
    <w:p w:rsidR="00F37268" w:rsidRPr="00A61989" w:rsidRDefault="00F37268" w:rsidP="00F37268">
      <w:pPr>
        <w:numPr>
          <w:ilvl w:val="0"/>
          <w:numId w:val="2"/>
        </w:numPr>
        <w:spacing w:line="360" w:lineRule="auto"/>
        <w:ind w:left="0" w:firstLine="0"/>
        <w:jc w:val="both"/>
        <w:rPr>
          <w:rFonts w:ascii="Palatino Linotype" w:eastAsia="Palatino Linotype" w:hAnsi="Palatino Linotype" w:cs="Palatino Linotype"/>
          <w:szCs w:val="22"/>
          <w:lang w:val="es-MX"/>
        </w:rPr>
      </w:pPr>
      <w:r w:rsidRPr="00A61989">
        <w:rPr>
          <w:rFonts w:ascii="Palatino Linotype" w:eastAsia="Palatino Linotype" w:hAnsi="Palatino Linotype" w:cs="Palatino Linotype"/>
          <w:szCs w:val="22"/>
          <w:lang w:val="es-MX"/>
        </w:rPr>
        <w:t xml:space="preserve">Podemos advertir que </w:t>
      </w:r>
      <w:r w:rsidRPr="00A61989">
        <w:rPr>
          <w:rFonts w:ascii="Palatino Linotype" w:eastAsia="Palatino Linotype" w:hAnsi="Palatino Linotype" w:cs="Palatino Linotype"/>
          <w:b/>
          <w:szCs w:val="22"/>
          <w:lang w:val="es-MX"/>
        </w:rPr>
        <w:t xml:space="preserve">EL SUJETO OBLIGADO </w:t>
      </w:r>
      <w:r w:rsidRPr="00A61989">
        <w:rPr>
          <w:rFonts w:ascii="Palatino Linotype" w:eastAsia="Palatino Linotype" w:hAnsi="Palatino Linotype" w:cs="Palatino Linotype"/>
          <w:szCs w:val="22"/>
          <w:lang w:val="es-MX"/>
        </w:rPr>
        <w:t>siguió el procedimiento inmerso en la normatividad ap</w:t>
      </w:r>
      <w:r w:rsidR="00796413" w:rsidRPr="00A61989">
        <w:rPr>
          <w:rFonts w:ascii="Palatino Linotype" w:eastAsia="Palatino Linotype" w:hAnsi="Palatino Linotype" w:cs="Palatino Linotype"/>
          <w:szCs w:val="22"/>
          <w:lang w:val="es-MX"/>
        </w:rPr>
        <w:t>licable, ya que turnó</w:t>
      </w:r>
      <w:r w:rsidRPr="00A61989">
        <w:rPr>
          <w:rFonts w:ascii="Palatino Linotype" w:eastAsia="Palatino Linotype" w:hAnsi="Palatino Linotype" w:cs="Palatino Linotype"/>
          <w:szCs w:val="22"/>
          <w:lang w:val="es-MX"/>
        </w:rPr>
        <w:t xml:space="preserve"> los requerimientos de información a </w:t>
      </w:r>
      <w:r w:rsidR="000C42ED" w:rsidRPr="00A61989">
        <w:rPr>
          <w:rFonts w:ascii="Palatino Linotype" w:eastAsia="Palatino Linotype" w:hAnsi="Palatino Linotype" w:cs="Palatino Linotype"/>
          <w:szCs w:val="22"/>
          <w:lang w:val="es-MX"/>
        </w:rPr>
        <w:t>las unidades administrativas</w:t>
      </w:r>
      <w:r w:rsidRPr="00A61989">
        <w:rPr>
          <w:rFonts w:ascii="Palatino Linotype" w:eastAsia="Palatino Linotype" w:hAnsi="Palatino Linotype" w:cs="Palatino Linotype"/>
          <w:szCs w:val="22"/>
          <w:lang w:val="es-MX"/>
        </w:rPr>
        <w:t xml:space="preserve"> </w:t>
      </w:r>
      <w:r w:rsidR="000C42ED" w:rsidRPr="00A61989">
        <w:rPr>
          <w:rFonts w:ascii="Palatino Linotype" w:eastAsia="Palatino Linotype" w:hAnsi="Palatino Linotype" w:cs="Palatino Linotype"/>
          <w:szCs w:val="22"/>
          <w:lang w:val="es-MX"/>
        </w:rPr>
        <w:t>competentes</w:t>
      </w:r>
      <w:r w:rsidRPr="00A61989">
        <w:rPr>
          <w:rFonts w:ascii="Palatino Linotype" w:eastAsia="Palatino Linotype" w:hAnsi="Palatino Linotype" w:cs="Palatino Linotype"/>
          <w:szCs w:val="22"/>
          <w:lang w:val="es-MX"/>
        </w:rPr>
        <w:t xml:space="preserve">, vigilando </w:t>
      </w:r>
      <w:r w:rsidRPr="00A61989">
        <w:rPr>
          <w:rFonts w:ascii="Palatino Linotype" w:eastAsia="Palatino Linotype" w:hAnsi="Palatino Linotype" w:cs="Palatino Linotype"/>
          <w:bCs/>
          <w:szCs w:val="22"/>
          <w:lang w:val="es-MX"/>
        </w:rPr>
        <w:t>lo</w:t>
      </w:r>
      <w:r w:rsidRPr="00A61989">
        <w:rPr>
          <w:rFonts w:ascii="Palatino Linotype" w:eastAsia="Palatino Linotype" w:hAnsi="Palatino Linotype" w:cs="Palatino Linotype"/>
          <w:szCs w:val="22"/>
          <w:lang w:val="es-MX"/>
        </w:rPr>
        <w:t xml:space="preserve">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rsidR="00F37268" w:rsidRPr="00A61989" w:rsidRDefault="00F37268" w:rsidP="00F37268">
      <w:pPr>
        <w:spacing w:line="360" w:lineRule="auto"/>
        <w:jc w:val="both"/>
        <w:rPr>
          <w:rFonts w:ascii="Palatino Linotype" w:eastAsia="Palatino Linotype" w:hAnsi="Palatino Linotype" w:cs="Palatino Linotype"/>
          <w:szCs w:val="22"/>
          <w:lang w:val="es-MX"/>
        </w:rPr>
      </w:pPr>
    </w:p>
    <w:p w:rsidR="00F37268" w:rsidRPr="00A61989" w:rsidRDefault="00F37268" w:rsidP="00F37268">
      <w:pPr>
        <w:ind w:left="1134" w:right="902"/>
        <w:jc w:val="both"/>
        <w:rPr>
          <w:rFonts w:ascii="Palatino Linotype" w:eastAsia="Palatino Linotype" w:hAnsi="Palatino Linotype" w:cs="Palatino Linotype"/>
          <w:bCs/>
          <w:i/>
          <w:sz w:val="22"/>
          <w:szCs w:val="22"/>
          <w:lang w:val="es-MX"/>
        </w:rPr>
      </w:pPr>
      <w:r w:rsidRPr="00A61989">
        <w:rPr>
          <w:rFonts w:ascii="Palatino Linotype" w:eastAsia="Palatino Linotype" w:hAnsi="Palatino Linotype" w:cs="Palatino Linotype"/>
          <w:b/>
          <w:i/>
          <w:sz w:val="22"/>
          <w:szCs w:val="22"/>
          <w:lang w:val="es-MX"/>
        </w:rPr>
        <w:t>XXXIX.</w:t>
      </w:r>
      <w:r w:rsidRPr="00A61989">
        <w:rPr>
          <w:rFonts w:ascii="Palatino Linotype" w:eastAsia="Palatino Linotype" w:hAnsi="Palatino Linotype" w:cs="Palatino Linotype"/>
          <w:i/>
          <w:sz w:val="22"/>
          <w:szCs w:val="22"/>
          <w:lang w:val="es-MX"/>
        </w:rPr>
        <w:t xml:space="preserve"> </w:t>
      </w:r>
      <w:r w:rsidRPr="00A61989">
        <w:rPr>
          <w:rFonts w:ascii="Palatino Linotype" w:eastAsia="Palatino Linotype" w:hAnsi="Palatino Linotype" w:cs="Palatino Linotype"/>
          <w:b/>
          <w:i/>
          <w:sz w:val="22"/>
          <w:szCs w:val="22"/>
          <w:lang w:val="es-MX"/>
        </w:rPr>
        <w:t>Servidor público habilitado</w:t>
      </w:r>
      <w:r w:rsidRPr="00A61989">
        <w:rPr>
          <w:rFonts w:ascii="Palatino Linotype" w:eastAsia="Palatino Linotype" w:hAnsi="Palatino Linotype" w:cs="Palatino Linotype"/>
          <w:i/>
          <w:sz w:val="22"/>
          <w:szCs w:val="22"/>
          <w:lang w:val="es-MX"/>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F37268" w:rsidRPr="00A61989" w:rsidRDefault="00F37268" w:rsidP="00F37268">
      <w:pPr>
        <w:spacing w:line="360" w:lineRule="auto"/>
        <w:jc w:val="both"/>
        <w:rPr>
          <w:rFonts w:ascii="Palatino Linotype" w:eastAsia="Palatino Linotype" w:hAnsi="Palatino Linotype" w:cs="Palatino Linotype"/>
          <w:bCs/>
          <w:szCs w:val="22"/>
          <w:lang w:val="es-MX"/>
        </w:rPr>
      </w:pPr>
    </w:p>
    <w:p w:rsidR="00F37268" w:rsidRPr="00A61989" w:rsidRDefault="00F37268" w:rsidP="00F37268">
      <w:pPr>
        <w:numPr>
          <w:ilvl w:val="0"/>
          <w:numId w:val="2"/>
        </w:numPr>
        <w:spacing w:line="360" w:lineRule="auto"/>
        <w:ind w:left="0" w:firstLine="0"/>
        <w:jc w:val="both"/>
        <w:rPr>
          <w:rFonts w:ascii="Palatino Linotype" w:eastAsia="Palatino Linotype" w:hAnsi="Palatino Linotype" w:cs="Palatino Linotype"/>
          <w:szCs w:val="22"/>
          <w:lang w:val="es-MX"/>
        </w:rPr>
      </w:pPr>
      <w:r w:rsidRPr="00A61989">
        <w:rPr>
          <w:rFonts w:ascii="Palatino Linotype" w:eastAsia="Palatino Linotype" w:hAnsi="Palatino Linotype" w:cs="Palatino Linotype"/>
          <w:szCs w:val="22"/>
          <w:lang w:val="es-MX"/>
        </w:rPr>
        <w:t>Así las cosas, se advierte que efectivamente la Unidad de Transparencia cumplió con lo establecido en el artículo 162 de la Ley de Transparencia y Acceso a la Información Pública del Estado de México y Municipios, el cual menciona lo siguiente:</w:t>
      </w:r>
    </w:p>
    <w:p w:rsidR="00F37268" w:rsidRPr="00A61989" w:rsidRDefault="00F37268" w:rsidP="00F37268">
      <w:pPr>
        <w:ind w:left="1134" w:right="902"/>
        <w:jc w:val="both"/>
        <w:rPr>
          <w:rFonts w:ascii="Palatino Linotype" w:eastAsia="Palatino Linotype" w:hAnsi="Palatino Linotype" w:cs="Palatino Linotype"/>
          <w:i/>
          <w:sz w:val="22"/>
          <w:szCs w:val="22"/>
          <w:lang w:val="es-MX"/>
        </w:rPr>
      </w:pPr>
      <w:r w:rsidRPr="00A61989">
        <w:rPr>
          <w:rFonts w:ascii="Palatino Linotype" w:eastAsia="Palatino Linotype" w:hAnsi="Palatino Linotype" w:cs="Palatino Linotype"/>
          <w:i/>
          <w:sz w:val="22"/>
          <w:szCs w:val="22"/>
          <w:lang w:val="es-MX"/>
        </w:rPr>
        <w:t>“</w:t>
      </w:r>
      <w:r w:rsidRPr="00A61989">
        <w:rPr>
          <w:rFonts w:ascii="Palatino Linotype" w:eastAsia="Palatino Linotype" w:hAnsi="Palatino Linotype" w:cs="Palatino Linotype"/>
          <w:b/>
          <w:i/>
          <w:sz w:val="22"/>
          <w:szCs w:val="22"/>
          <w:lang w:val="es-MX"/>
        </w:rPr>
        <w:t>Artículo 162.</w:t>
      </w:r>
      <w:r w:rsidRPr="00A61989">
        <w:rPr>
          <w:rFonts w:ascii="Palatino Linotype" w:eastAsia="Palatino Linotype" w:hAnsi="Palatino Linotype" w:cs="Palatino Linotype"/>
          <w:i/>
          <w:sz w:val="22"/>
          <w:szCs w:val="22"/>
          <w:lang w:val="es-MX"/>
        </w:rPr>
        <w:t xml:space="preserve"> Las unidades de transparencia deberán garantizar que las solicitudes se turnen a </w:t>
      </w:r>
      <w:r w:rsidRPr="00A61989">
        <w:rPr>
          <w:rFonts w:ascii="Palatino Linotype" w:eastAsia="Palatino Linotype" w:hAnsi="Palatino Linotype" w:cs="Palatino Linotype"/>
          <w:b/>
          <w:i/>
          <w:sz w:val="22"/>
          <w:szCs w:val="22"/>
          <w:lang w:val="es-MX"/>
        </w:rPr>
        <w:t>todas las Áreas competentes</w:t>
      </w:r>
      <w:r w:rsidRPr="00A61989">
        <w:rPr>
          <w:rFonts w:ascii="Palatino Linotype" w:eastAsia="Palatino Linotype" w:hAnsi="Palatino Linotype" w:cs="Palatino Linotype"/>
          <w:i/>
          <w:sz w:val="22"/>
          <w:szCs w:val="22"/>
          <w:lang w:val="es-MX"/>
        </w:rPr>
        <w:t xml:space="preserve"> que cuenten con la información o deban tenerla de acuerdo a sus facultades, competencias y funciones, con el objeto de que realicen una búsqueda exhaustiva y razonable de la información solicitada.”</w:t>
      </w:r>
    </w:p>
    <w:p w:rsidR="0084110E" w:rsidRPr="00A61989" w:rsidRDefault="0084110E" w:rsidP="0084110E">
      <w:pPr>
        <w:spacing w:line="360" w:lineRule="auto"/>
        <w:jc w:val="both"/>
        <w:rPr>
          <w:rFonts w:ascii="Palatino Linotype" w:eastAsia="Palatino Linotype" w:hAnsi="Palatino Linotype" w:cs="Palatino Linotype"/>
          <w:szCs w:val="22"/>
          <w:lang w:val="es-MX"/>
        </w:rPr>
      </w:pPr>
    </w:p>
    <w:p w:rsidR="0049606D" w:rsidRPr="00A61989" w:rsidRDefault="0049606D" w:rsidP="0049606D">
      <w:pPr>
        <w:pStyle w:val="Prrafodelista"/>
        <w:spacing w:line="360" w:lineRule="auto"/>
        <w:ind w:left="0"/>
        <w:jc w:val="both"/>
        <w:rPr>
          <w:rFonts w:ascii="Palatino Linotype" w:eastAsia="Palatino Linotype" w:hAnsi="Palatino Linotype" w:cs="Palatino Linotype"/>
          <w:szCs w:val="22"/>
        </w:rPr>
      </w:pPr>
    </w:p>
    <w:p w:rsidR="00EC519D" w:rsidRPr="00A61989" w:rsidRDefault="00EC519D" w:rsidP="00EC519D">
      <w:pPr>
        <w:numPr>
          <w:ilvl w:val="0"/>
          <w:numId w:val="2"/>
        </w:numPr>
        <w:spacing w:line="360" w:lineRule="auto"/>
        <w:ind w:left="0" w:firstLine="0"/>
        <w:jc w:val="both"/>
        <w:rPr>
          <w:rFonts w:ascii="Palatino Linotype" w:eastAsia="Palatino Linotype" w:hAnsi="Palatino Linotype" w:cs="Palatino Linotype"/>
          <w:szCs w:val="22"/>
          <w:u w:val="single"/>
          <w:lang w:val="es-MX"/>
        </w:rPr>
      </w:pPr>
      <w:r w:rsidRPr="00A61989">
        <w:rPr>
          <w:rFonts w:ascii="Palatino Linotype" w:eastAsia="Palatino Linotype" w:hAnsi="Palatino Linotype" w:cs="Palatino Linotype"/>
          <w:szCs w:val="22"/>
          <w:lang w:val="es-MX"/>
        </w:rPr>
        <w:t xml:space="preserve">Ahora bien, en relación al punto de solicitud relativo los </w:t>
      </w:r>
      <w:r w:rsidRPr="00A61989">
        <w:rPr>
          <w:rFonts w:ascii="Palatino Linotype" w:eastAsia="Palatino Linotype" w:hAnsi="Palatino Linotype" w:cs="Palatino Linotype"/>
          <w:szCs w:val="22"/>
          <w:u w:val="single"/>
          <w:lang w:val="es-MX"/>
        </w:rPr>
        <w:t>Tickets de gasolina y casetas del Jefe de la Unidad de Información, Planeación, Programación y Evaluación</w:t>
      </w:r>
      <w:r w:rsidRPr="00A61989">
        <w:rPr>
          <w:rFonts w:ascii="Palatino Linotype" w:eastAsia="Palatino Linotype" w:hAnsi="Palatino Linotype" w:cs="Palatino Linotype"/>
          <w:szCs w:val="22"/>
          <w:lang w:val="es-MX"/>
        </w:rPr>
        <w:t xml:space="preserve">, la </w:t>
      </w:r>
      <w:r w:rsidRPr="00A61989">
        <w:rPr>
          <w:rFonts w:ascii="Palatino Linotype" w:eastAsia="Palatino Linotype" w:hAnsi="Palatino Linotype" w:cs="Palatino Linotype"/>
          <w:szCs w:val="22"/>
        </w:rPr>
        <w:t xml:space="preserve">Unidad de Información, Planeación, Programación y Evaluación, </w:t>
      </w:r>
      <w:r w:rsidR="00464D79" w:rsidRPr="00A61989">
        <w:rPr>
          <w:rFonts w:ascii="Palatino Linotype" w:eastAsia="Palatino Linotype" w:hAnsi="Palatino Linotype" w:cs="Palatino Linotype"/>
          <w:szCs w:val="22"/>
        </w:rPr>
        <w:t>se pronunció al respecto</w:t>
      </w:r>
      <w:r w:rsidRPr="00A61989">
        <w:rPr>
          <w:rFonts w:ascii="Palatino Linotype" w:eastAsia="Palatino Linotype" w:hAnsi="Palatino Linotype" w:cs="Palatino Linotype"/>
          <w:szCs w:val="22"/>
        </w:rPr>
        <w:t xml:space="preserve"> </w:t>
      </w:r>
      <w:r w:rsidR="00464D79" w:rsidRPr="00A61989">
        <w:rPr>
          <w:rFonts w:ascii="Palatino Linotype" w:eastAsia="Palatino Linotype" w:hAnsi="Palatino Linotype" w:cs="Palatino Linotype"/>
          <w:szCs w:val="22"/>
        </w:rPr>
        <w:t>mencionando</w:t>
      </w:r>
      <w:r w:rsidRPr="00A61989">
        <w:rPr>
          <w:rFonts w:ascii="Palatino Linotype" w:eastAsia="Palatino Linotype" w:hAnsi="Palatino Linotype" w:cs="Palatino Linotype"/>
          <w:szCs w:val="22"/>
        </w:rPr>
        <w:t xml:space="preserve"> que después de una búsqueda exhaustiva y razonable en los archivos de esa unidad administrativa, no se cuenta con la información requerida por el solicitante</w:t>
      </w:r>
      <w:r w:rsidR="00464D79" w:rsidRPr="00A61989">
        <w:rPr>
          <w:rFonts w:ascii="Palatino Linotype" w:eastAsia="Palatino Linotype" w:hAnsi="Palatino Linotype" w:cs="Palatino Linotype"/>
          <w:szCs w:val="22"/>
        </w:rPr>
        <w:t>. En esa misma línea, la Coordinación Administrativa, informó que en referencia los tickets de gasolina el vehículo que tiene asignado el jefe de la UIPPE no cuenta con asignación de combustible; en cuanto a tickets de casetas, en esa Coordinación Administrativa no cuentan con la información por lo que no es posible proporcionar lo solicitado.</w:t>
      </w:r>
    </w:p>
    <w:p w:rsidR="0074036C" w:rsidRPr="00A61989" w:rsidRDefault="0074036C" w:rsidP="0074036C">
      <w:pPr>
        <w:spacing w:line="360" w:lineRule="auto"/>
        <w:jc w:val="both"/>
        <w:rPr>
          <w:rFonts w:ascii="Palatino Linotype" w:eastAsia="Palatino Linotype" w:hAnsi="Palatino Linotype" w:cs="Palatino Linotype"/>
          <w:szCs w:val="22"/>
          <w:u w:val="single"/>
          <w:lang w:val="es-MX"/>
        </w:rPr>
      </w:pPr>
    </w:p>
    <w:p w:rsidR="00742AA2" w:rsidRPr="00A61989" w:rsidRDefault="00464D79" w:rsidP="00742AA2">
      <w:pPr>
        <w:numPr>
          <w:ilvl w:val="0"/>
          <w:numId w:val="2"/>
        </w:numPr>
        <w:spacing w:line="360" w:lineRule="auto"/>
        <w:ind w:left="0" w:firstLine="0"/>
        <w:jc w:val="both"/>
        <w:rPr>
          <w:rFonts w:ascii="Palatino Linotype" w:eastAsia="Palatino Linotype" w:hAnsi="Palatino Linotype" w:cs="Palatino Linotype"/>
          <w:szCs w:val="22"/>
        </w:rPr>
      </w:pPr>
      <w:r w:rsidRPr="00A61989">
        <w:rPr>
          <w:rFonts w:ascii="Palatino Linotype" w:eastAsia="Palatino Linotype" w:hAnsi="Palatino Linotype" w:cs="Palatino Linotype"/>
          <w:szCs w:val="22"/>
        </w:rPr>
        <w:t xml:space="preserve">El particular inconforme con la respuesta del Sujeto Obligado interpuso Recurso de Revisión manifestando como acto impugnado la falta de pronunciamiento de </w:t>
      </w:r>
      <w:r w:rsidR="0074036C" w:rsidRPr="00A61989">
        <w:rPr>
          <w:rFonts w:ascii="Palatino Linotype" w:eastAsia="Palatino Linotype" w:hAnsi="Palatino Linotype" w:cs="Palatino Linotype"/>
          <w:szCs w:val="22"/>
        </w:rPr>
        <w:t xml:space="preserve">la Coordinación Administrativa, por lo que solicitó se de vista al Órgano Interno de Control; adicionalmente, como razones o motivos de inconformidad, el </w:t>
      </w:r>
      <w:r w:rsidR="0074036C" w:rsidRPr="00A61989">
        <w:rPr>
          <w:rFonts w:ascii="Palatino Linotype" w:eastAsia="Palatino Linotype" w:hAnsi="Palatino Linotype" w:cs="Palatino Linotype"/>
          <w:b/>
          <w:szCs w:val="22"/>
        </w:rPr>
        <w:t>RECURRENTE</w:t>
      </w:r>
      <w:r w:rsidR="0074036C" w:rsidRPr="00A61989">
        <w:rPr>
          <w:rFonts w:ascii="Palatino Linotype" w:eastAsia="Palatino Linotype" w:hAnsi="Palatino Linotype" w:cs="Palatino Linotype"/>
          <w:szCs w:val="22"/>
        </w:rPr>
        <w:t xml:space="preserve"> realizó manifestaciones subjetivas; por consiguiente, la entrega de una razón o la respuesta a cuestionamientos que no encuentren soporte documental alguno por parte de los Sujetos Obligados, no es algo que la Ley de la Materia establece como atribución,  derecho o facultad; pues ello implicaría emitir un juicio de valor referente a cuestionamientos, interrogantes, inquietudes, quejas y manifestaciones realizados.</w:t>
      </w:r>
      <w:r w:rsidR="00A1168D" w:rsidRPr="00A61989">
        <w:rPr>
          <w:rFonts w:ascii="Palatino Linotype" w:eastAsia="Palatino Linotype" w:hAnsi="Palatino Linotype" w:cs="Palatino Linotype"/>
          <w:szCs w:val="22"/>
        </w:rPr>
        <w:t xml:space="preserve"> </w:t>
      </w:r>
      <w:r w:rsidR="00A1168D" w:rsidRPr="00A61989">
        <w:rPr>
          <w:rFonts w:ascii="Palatino Linotype" w:eastAsia="Palatino Linotype" w:hAnsi="Palatino Linotype" w:cs="Palatino Linotype"/>
          <w:szCs w:val="22"/>
          <w:lang w:val="es-MX"/>
        </w:rPr>
        <w:t>En este sentido, se trata de manifestaciones sobre las cuales este Instituto no está facultado para pronunciarse.</w:t>
      </w:r>
    </w:p>
    <w:p w:rsidR="00742AA2" w:rsidRPr="00A61989" w:rsidRDefault="00742AA2" w:rsidP="00742AA2">
      <w:pPr>
        <w:spacing w:line="360" w:lineRule="auto"/>
        <w:jc w:val="both"/>
        <w:rPr>
          <w:rFonts w:ascii="Palatino Linotype" w:eastAsia="Palatino Linotype" w:hAnsi="Palatino Linotype" w:cs="Palatino Linotype"/>
          <w:szCs w:val="22"/>
        </w:rPr>
      </w:pPr>
    </w:p>
    <w:p w:rsidR="00742AA2" w:rsidRPr="00A61989" w:rsidRDefault="00742AA2" w:rsidP="00742AA2">
      <w:pPr>
        <w:numPr>
          <w:ilvl w:val="0"/>
          <w:numId w:val="2"/>
        </w:numPr>
        <w:spacing w:line="360" w:lineRule="auto"/>
        <w:ind w:left="0" w:firstLine="0"/>
        <w:jc w:val="both"/>
        <w:rPr>
          <w:rFonts w:ascii="Palatino Linotype" w:eastAsia="Palatino Linotype" w:hAnsi="Palatino Linotype" w:cs="Palatino Linotype"/>
          <w:szCs w:val="22"/>
        </w:rPr>
      </w:pPr>
      <w:r w:rsidRPr="00A61989">
        <w:rPr>
          <w:rFonts w:ascii="Palatino Linotype" w:eastAsia="Palatino Linotype" w:hAnsi="Palatino Linotype" w:cs="Palatino Linotype"/>
          <w:szCs w:val="22"/>
        </w:rPr>
        <w:t>Es necesario resaltar que el recurso de revisión previsto en la Ley de la materia no es el medio para investigar y en su caso, sancionar a servidores públicos por la omisión de la entrega de información pública o en la atención a solicitudes de información, por lo que se le insta al particular para que, si es su deseo realizar una queja o denuncia en contra del Sujeto Obligado, acuda a la autoridad competente para tal efecto.</w:t>
      </w:r>
    </w:p>
    <w:p w:rsidR="00B31575" w:rsidRPr="00A61989" w:rsidRDefault="00B31575" w:rsidP="00B31575">
      <w:pPr>
        <w:spacing w:line="360" w:lineRule="auto"/>
        <w:jc w:val="both"/>
        <w:rPr>
          <w:rFonts w:ascii="Palatino Linotype" w:eastAsia="Palatino Linotype" w:hAnsi="Palatino Linotype" w:cs="Palatino Linotype"/>
          <w:szCs w:val="22"/>
        </w:rPr>
      </w:pPr>
    </w:p>
    <w:p w:rsidR="00742AA2" w:rsidRPr="00A61989" w:rsidRDefault="00842DA7" w:rsidP="00742AA2">
      <w:pPr>
        <w:numPr>
          <w:ilvl w:val="0"/>
          <w:numId w:val="2"/>
        </w:numPr>
        <w:spacing w:line="360" w:lineRule="auto"/>
        <w:ind w:left="0" w:firstLine="0"/>
        <w:jc w:val="both"/>
        <w:rPr>
          <w:rFonts w:ascii="Palatino Linotype" w:eastAsia="Palatino Linotype" w:hAnsi="Palatino Linotype" w:cs="Palatino Linotype"/>
          <w:szCs w:val="22"/>
          <w:u w:val="single"/>
          <w:lang w:val="es-MX"/>
        </w:rPr>
      </w:pPr>
      <w:r w:rsidRPr="00A61989">
        <w:rPr>
          <w:rFonts w:ascii="Palatino Linotype" w:eastAsia="Palatino Linotype" w:hAnsi="Palatino Linotype" w:cs="Palatino Linotype"/>
          <w:szCs w:val="22"/>
          <w:lang w:val="es-MX"/>
        </w:rPr>
        <w:t>En Informe Justificado rendido por el Sujeto Obligado se confirma la respuesta primigenia.</w:t>
      </w:r>
    </w:p>
    <w:p w:rsidR="00C2112E" w:rsidRPr="00A61989" w:rsidRDefault="00C2112E" w:rsidP="00C2112E">
      <w:pPr>
        <w:spacing w:line="360" w:lineRule="auto"/>
        <w:jc w:val="both"/>
        <w:rPr>
          <w:rFonts w:ascii="Palatino Linotype" w:eastAsia="Palatino Linotype" w:hAnsi="Palatino Linotype" w:cs="Palatino Linotype"/>
          <w:szCs w:val="22"/>
          <w:u w:val="single"/>
          <w:lang w:val="es-MX"/>
        </w:rPr>
      </w:pPr>
    </w:p>
    <w:p w:rsidR="00EC519D" w:rsidRPr="00A61989" w:rsidRDefault="00321C23" w:rsidP="00321C23">
      <w:pPr>
        <w:numPr>
          <w:ilvl w:val="0"/>
          <w:numId w:val="2"/>
        </w:numPr>
        <w:spacing w:line="360" w:lineRule="auto"/>
        <w:ind w:left="0" w:firstLine="0"/>
        <w:jc w:val="both"/>
        <w:rPr>
          <w:rFonts w:ascii="Palatino Linotype" w:eastAsia="Palatino Linotype" w:hAnsi="Palatino Linotype" w:cs="Palatino Linotype"/>
          <w:lang w:val="es-MX"/>
        </w:rPr>
      </w:pPr>
      <w:r w:rsidRPr="00A61989">
        <w:rPr>
          <w:rFonts w:ascii="Palatino Linotype" w:eastAsia="Palatino Linotype" w:hAnsi="Palatino Linotype" w:cs="Palatino Linotype"/>
          <w:lang w:val="es-MX"/>
        </w:rPr>
        <w:lastRenderedPageBreak/>
        <w:t xml:space="preserve">De lo ya expuesto, en relación a los puntos de solicitud sobre </w:t>
      </w:r>
      <w:r w:rsidRPr="00A61989">
        <w:rPr>
          <w:rFonts w:ascii="Palatino Linotype" w:eastAsia="Palatino Linotype" w:hAnsi="Palatino Linotype" w:cs="Palatino Linotype"/>
          <w:u w:val="single"/>
          <w:lang w:val="es-MX"/>
        </w:rPr>
        <w:t>Tickets de gasolina y casetas del Jefe de la Unidad de Información, Planeac</w:t>
      </w:r>
      <w:r w:rsidR="00CE7707" w:rsidRPr="00A61989">
        <w:rPr>
          <w:rFonts w:ascii="Palatino Linotype" w:eastAsia="Palatino Linotype" w:hAnsi="Palatino Linotype" w:cs="Palatino Linotype"/>
          <w:u w:val="single"/>
          <w:lang w:val="es-MX"/>
        </w:rPr>
        <w:t>ión, Programación y Evaluación,</w:t>
      </w:r>
      <w:r w:rsidR="00CE7707" w:rsidRPr="00A61989">
        <w:rPr>
          <w:rFonts w:ascii="Palatino Linotype" w:eastAsia="Palatino Linotype" w:hAnsi="Palatino Linotype" w:cs="Palatino Linotype"/>
          <w:lang w:val="es-MX"/>
        </w:rPr>
        <w:t xml:space="preserve"> </w:t>
      </w:r>
      <w:r w:rsidRPr="00A61989">
        <w:rPr>
          <w:rFonts w:ascii="Palatino Linotype" w:eastAsia="Palatino Linotype" w:hAnsi="Palatino Linotype" w:cs="Palatino Linotype"/>
          <w:lang w:val="es-MX"/>
        </w:rPr>
        <w:t>y derivado del pronunciamiento ya precisado por el Sujeto Obligado a través de las unidades administrativas competentes, ratificado en informe justificado</w:t>
      </w:r>
      <w:r w:rsidR="00EC519D" w:rsidRPr="00A61989">
        <w:rPr>
          <w:rFonts w:ascii="Palatino Linotype" w:eastAsia="Palatino Linotype" w:hAnsi="Palatino Linotype" w:cs="Palatino Linotype"/>
        </w:rPr>
        <w:t xml:space="preserve">, nos encontramos ante un hecho negativo, por lo que no resulta aplicable el artículo 19, de la Ley de la materia, que nos constriñe a la emisión de un acuerdo de inexistencia, resultando aplicable la siguiente tesis: </w:t>
      </w:r>
    </w:p>
    <w:p w:rsidR="00EC519D" w:rsidRPr="00A61989" w:rsidRDefault="00EC519D" w:rsidP="00EC519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EC519D" w:rsidRPr="00A61989" w:rsidRDefault="00EC519D" w:rsidP="00EC519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61989">
        <w:rPr>
          <w:rFonts w:ascii="Palatino Linotype" w:eastAsia="Palatino Linotype" w:hAnsi="Palatino Linotype" w:cs="Palatino Linotype"/>
          <w:i/>
          <w:color w:val="000000"/>
          <w:sz w:val="22"/>
          <w:szCs w:val="22"/>
        </w:rPr>
        <w:t>«</w:t>
      </w:r>
      <w:r w:rsidRPr="00A61989">
        <w:rPr>
          <w:rFonts w:ascii="Palatino Linotype" w:eastAsia="Palatino Linotype" w:hAnsi="Palatino Linotype" w:cs="Palatino Linotype"/>
          <w:b/>
          <w:i/>
          <w:color w:val="000000"/>
          <w:sz w:val="22"/>
          <w:szCs w:val="22"/>
        </w:rPr>
        <w:t>HECHOS NEGATIVOS, NO SON SUSCEPTIBLES DE DEMOSTRACIÓN.</w:t>
      </w:r>
    </w:p>
    <w:p w:rsidR="00EC519D" w:rsidRPr="00A61989" w:rsidRDefault="00EC519D" w:rsidP="00EC519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61989">
        <w:rPr>
          <w:rFonts w:ascii="Palatino Linotype" w:eastAsia="Palatino Linotype" w:hAnsi="Palatino Linotype" w:cs="Palatino Linotype"/>
          <w:i/>
          <w:color w:val="000000"/>
          <w:sz w:val="22"/>
          <w:szCs w:val="22"/>
        </w:rPr>
        <w:t>Tratándose de un hecho negativo, el Juez no tiene por qué invocar prueba alguna de la que se desprenda, ya que es bien sabido que esta clase de hechos no son susceptibles de demostración.</w:t>
      </w:r>
    </w:p>
    <w:p w:rsidR="00EC519D" w:rsidRPr="00A61989" w:rsidRDefault="00EC519D" w:rsidP="00EC519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EC519D" w:rsidRPr="00A61989" w:rsidRDefault="00EC519D" w:rsidP="00EC519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61989">
        <w:rPr>
          <w:rFonts w:ascii="Palatino Linotype" w:eastAsia="Palatino Linotype" w:hAnsi="Palatino Linotype" w:cs="Palatino Linotype"/>
          <w:i/>
          <w:color w:val="000000"/>
          <w:sz w:val="22"/>
          <w:szCs w:val="22"/>
        </w:rPr>
        <w:t>Amparo en revisión 2022/61. José García Florín (Menor). 9 de octubre de 1961. Cinco votos. Ponente: José Rivera Pérez Campos</w:t>
      </w:r>
    </w:p>
    <w:p w:rsidR="00EC519D" w:rsidRPr="00A61989" w:rsidRDefault="00EC519D" w:rsidP="00EC519D">
      <w:pPr>
        <w:spacing w:line="360" w:lineRule="auto"/>
        <w:ind w:right="616"/>
        <w:jc w:val="both"/>
        <w:rPr>
          <w:rFonts w:ascii="Palatino Linotype" w:eastAsia="Palatino Linotype" w:hAnsi="Palatino Linotype" w:cs="Palatino Linotype"/>
        </w:rPr>
      </w:pPr>
    </w:p>
    <w:p w:rsidR="00EC519D" w:rsidRPr="00A61989" w:rsidRDefault="00EC519D" w:rsidP="00EC519D">
      <w:pPr>
        <w:numPr>
          <w:ilvl w:val="0"/>
          <w:numId w:val="2"/>
        </w:numPr>
        <w:spacing w:line="360" w:lineRule="auto"/>
        <w:ind w:left="0" w:firstLine="0"/>
        <w:jc w:val="both"/>
        <w:rPr>
          <w:rFonts w:ascii="Palatino Linotype" w:eastAsia="Palatino Linotype" w:hAnsi="Palatino Linotype" w:cs="Palatino Linotype"/>
        </w:rPr>
      </w:pPr>
      <w:r w:rsidRPr="00A61989">
        <w:rPr>
          <w:rFonts w:ascii="Palatino Linotype" w:eastAsia="Palatino Linotype" w:hAnsi="Palatino Linotype" w:cs="Palatino Linotype"/>
        </w:rPr>
        <w:t xml:space="preserve">De lo que se desprende que es materialmente imposible realizar la entrega de alguna documental que no ha generado el </w:t>
      </w:r>
      <w:r w:rsidRPr="00A61989">
        <w:rPr>
          <w:rFonts w:ascii="Palatino Linotype" w:eastAsia="Palatino Linotype" w:hAnsi="Palatino Linotype" w:cs="Palatino Linotype"/>
          <w:b/>
        </w:rPr>
        <w:t>SUJETO OBLIGADO</w:t>
      </w:r>
      <w:r w:rsidRPr="00A61989">
        <w:rPr>
          <w:rFonts w:ascii="Palatino Linotype" w:eastAsia="Palatino Linotype" w:hAnsi="Palatino Linotype" w:cs="Palatino Linotype"/>
        </w:rPr>
        <w:t>.</w:t>
      </w:r>
    </w:p>
    <w:p w:rsidR="00EC519D" w:rsidRPr="00A61989" w:rsidRDefault="00EC519D" w:rsidP="00EC519D">
      <w:pPr>
        <w:tabs>
          <w:tab w:val="left" w:pos="284"/>
        </w:tabs>
        <w:spacing w:line="360" w:lineRule="auto"/>
        <w:ind w:right="49"/>
        <w:jc w:val="both"/>
        <w:rPr>
          <w:rFonts w:ascii="Palatino Linotype" w:eastAsia="Palatino Linotype" w:hAnsi="Palatino Linotype" w:cs="Palatino Linotype"/>
        </w:rPr>
      </w:pPr>
    </w:p>
    <w:p w:rsidR="00EC519D" w:rsidRPr="00A61989" w:rsidRDefault="00EC519D" w:rsidP="00EC519D">
      <w:pPr>
        <w:numPr>
          <w:ilvl w:val="0"/>
          <w:numId w:val="2"/>
        </w:numPr>
        <w:spacing w:line="360" w:lineRule="auto"/>
        <w:ind w:left="0" w:firstLine="0"/>
        <w:jc w:val="both"/>
        <w:rPr>
          <w:rFonts w:ascii="Palatino Linotype" w:hAnsi="Palatino Linotype"/>
        </w:rPr>
      </w:pPr>
      <w:r w:rsidRPr="00A61989">
        <w:rPr>
          <w:rFonts w:ascii="Palatino Linotype" w:eastAsia="Palatino Linotype" w:hAnsi="Palatino Linotype" w:cs="Palatino Linotype"/>
          <w:szCs w:val="22"/>
        </w:rPr>
        <w:t>A causa de lo antedicho, resulta necesario puntualizar con claridad que éste Órgano Protector del Derecho de Acceso a la Información no está facultado para pronunciarse sobre la veracidad de la información que los Sujetos Obligados ponen a disposición de los solicitantes; situación que se aleja de las atribuciones de este Instituto.</w:t>
      </w:r>
    </w:p>
    <w:p w:rsidR="00EC519D" w:rsidRPr="00A61989" w:rsidRDefault="00EC519D" w:rsidP="00EC519D">
      <w:pPr>
        <w:pBdr>
          <w:top w:val="nil"/>
          <w:left w:val="nil"/>
          <w:bottom w:val="nil"/>
          <w:right w:val="nil"/>
          <w:between w:val="nil"/>
        </w:pBdr>
        <w:spacing w:line="360" w:lineRule="auto"/>
        <w:jc w:val="both"/>
        <w:rPr>
          <w:rFonts w:ascii="Palatino Linotype" w:hAnsi="Palatino Linotype"/>
        </w:rPr>
      </w:pPr>
    </w:p>
    <w:p w:rsidR="00EC519D" w:rsidRPr="00A61989" w:rsidRDefault="00EC519D" w:rsidP="00EC519D">
      <w:pPr>
        <w:numPr>
          <w:ilvl w:val="0"/>
          <w:numId w:val="2"/>
        </w:numPr>
        <w:spacing w:line="360" w:lineRule="auto"/>
        <w:ind w:left="0" w:firstLine="0"/>
        <w:jc w:val="both"/>
      </w:pPr>
      <w:r w:rsidRPr="00A61989">
        <w:rPr>
          <w:rFonts w:ascii="Palatino Linotype" w:eastAsia="Palatino Linotype" w:hAnsi="Palatino Linotype" w:cs="Palatino Linotype"/>
        </w:rPr>
        <w:lastRenderedPageBreak/>
        <w:t xml:space="preserve">Expuesto todo lo anterior, se presume que, al haber existido un pronunciamiento por parte del </w:t>
      </w:r>
      <w:r w:rsidRPr="00A61989">
        <w:rPr>
          <w:rFonts w:ascii="Palatino Linotype" w:eastAsia="Palatino Linotype" w:hAnsi="Palatino Linotype" w:cs="Palatino Linotype"/>
          <w:b/>
        </w:rPr>
        <w:t>SUJETO OBLIGADO</w:t>
      </w:r>
      <w:r w:rsidRPr="00A61989">
        <w:rPr>
          <w:rFonts w:ascii="Palatino Linotype" w:eastAsia="Palatino Linotype" w:hAnsi="Palatino Linotype" w:cs="Palatino Linotype"/>
        </w:rPr>
        <w:t xml:space="preserve">, aún más </w:t>
      </w:r>
      <w:r w:rsidR="00321C23" w:rsidRPr="00A61989">
        <w:rPr>
          <w:rFonts w:ascii="Palatino Linotype" w:eastAsia="Palatino Linotype" w:hAnsi="Palatino Linotype" w:cs="Palatino Linotype"/>
        </w:rPr>
        <w:t>de los</w:t>
      </w:r>
      <w:r w:rsidRPr="00A61989">
        <w:rPr>
          <w:rFonts w:ascii="Palatino Linotype" w:eastAsia="Palatino Linotype" w:hAnsi="Palatino Linotype" w:cs="Palatino Linotype"/>
        </w:rPr>
        <w:t xml:space="preserve"> Servidor</w:t>
      </w:r>
      <w:r w:rsidR="00321C23" w:rsidRPr="00A61989">
        <w:rPr>
          <w:rFonts w:ascii="Palatino Linotype" w:eastAsia="Palatino Linotype" w:hAnsi="Palatino Linotype" w:cs="Palatino Linotype"/>
        </w:rPr>
        <w:t>es</w:t>
      </w:r>
      <w:r w:rsidRPr="00A61989">
        <w:rPr>
          <w:rFonts w:ascii="Palatino Linotype" w:eastAsia="Palatino Linotype" w:hAnsi="Palatino Linotype" w:cs="Palatino Linotype"/>
        </w:rPr>
        <w:t xml:space="preserve"> Público</w:t>
      </w:r>
      <w:r w:rsidR="00321C23" w:rsidRPr="00A61989">
        <w:rPr>
          <w:rFonts w:ascii="Palatino Linotype" w:eastAsia="Palatino Linotype" w:hAnsi="Palatino Linotype" w:cs="Palatino Linotype"/>
        </w:rPr>
        <w:t>s</w:t>
      </w:r>
      <w:r w:rsidRPr="00A61989">
        <w:rPr>
          <w:rFonts w:ascii="Palatino Linotype" w:eastAsia="Palatino Linotype" w:hAnsi="Palatino Linotype" w:cs="Palatino Linotype"/>
        </w:rPr>
        <w:t xml:space="preserve"> Habilitado</w:t>
      </w:r>
      <w:r w:rsidR="00321C23" w:rsidRPr="00A61989">
        <w:rPr>
          <w:rFonts w:ascii="Palatino Linotype" w:eastAsia="Palatino Linotype" w:hAnsi="Palatino Linotype" w:cs="Palatino Linotype"/>
        </w:rPr>
        <w:t>s</w:t>
      </w:r>
      <w:r w:rsidRPr="00A61989">
        <w:rPr>
          <w:rFonts w:ascii="Palatino Linotype" w:eastAsia="Palatino Linotype" w:hAnsi="Palatino Linotype" w:cs="Palatino Linotype"/>
        </w:rPr>
        <w:t xml:space="preserve"> competente</w:t>
      </w:r>
      <w:r w:rsidR="00321C23" w:rsidRPr="00A61989">
        <w:rPr>
          <w:rFonts w:ascii="Palatino Linotype" w:eastAsia="Palatino Linotype" w:hAnsi="Palatino Linotype" w:cs="Palatino Linotype"/>
        </w:rPr>
        <w:t>s</w:t>
      </w:r>
      <w:r w:rsidRPr="00A61989">
        <w:rPr>
          <w:rFonts w:ascii="Palatino Linotype" w:eastAsia="Palatino Linotype" w:hAnsi="Palatino Linotype" w:cs="Palatino Linotype"/>
        </w:rPr>
        <w:t>, a quien le</w:t>
      </w:r>
      <w:r w:rsidR="00321C23" w:rsidRPr="00A61989">
        <w:rPr>
          <w:rFonts w:ascii="Palatino Linotype" w:eastAsia="Palatino Linotype" w:hAnsi="Palatino Linotype" w:cs="Palatino Linotype"/>
        </w:rPr>
        <w:t>s</w:t>
      </w:r>
      <w:r w:rsidRPr="00A61989">
        <w:rPr>
          <w:rFonts w:ascii="Palatino Linotype" w:eastAsia="Palatino Linotype" w:hAnsi="Palatino Linotype" w:cs="Palatino Linotype"/>
        </w:rPr>
        <w:t xml:space="preserve"> fue requerida la información por el Titular de la Unidad de Transparencia, se dio atención a las manifestaciones vertidas en el recurso de revisión.</w:t>
      </w:r>
    </w:p>
    <w:p w:rsidR="00CE7707" w:rsidRPr="00A61989" w:rsidRDefault="00CE7707" w:rsidP="00CE7707">
      <w:pPr>
        <w:spacing w:line="360" w:lineRule="auto"/>
        <w:jc w:val="both"/>
      </w:pPr>
    </w:p>
    <w:p w:rsidR="00CE7707" w:rsidRPr="00A61989" w:rsidRDefault="00B24B2A" w:rsidP="00EC519D">
      <w:pPr>
        <w:numPr>
          <w:ilvl w:val="0"/>
          <w:numId w:val="2"/>
        </w:numPr>
        <w:spacing w:line="360" w:lineRule="auto"/>
        <w:ind w:left="0" w:firstLine="0"/>
        <w:jc w:val="both"/>
      </w:pPr>
      <w:r w:rsidRPr="00A61989">
        <w:rPr>
          <w:rFonts w:ascii="Palatino Linotype" w:eastAsia="Palatino Linotype" w:hAnsi="Palatino Linotype" w:cs="Palatino Linotype"/>
        </w:rPr>
        <w:t>En este sentido</w:t>
      </w:r>
      <w:r w:rsidR="00CE7707" w:rsidRPr="00A61989">
        <w:rPr>
          <w:rFonts w:ascii="Palatino Linotype" w:eastAsia="Palatino Linotype" w:hAnsi="Palatino Linotype" w:cs="Palatino Linotype"/>
        </w:rPr>
        <w:t xml:space="preserve">, resultan </w:t>
      </w:r>
      <w:r w:rsidR="00CE7707" w:rsidRPr="00A61989">
        <w:rPr>
          <w:rFonts w:ascii="Palatino Linotype" w:eastAsia="Palatino Linotype" w:hAnsi="Palatino Linotype" w:cs="Palatino Linotype"/>
          <w:b/>
        </w:rPr>
        <w:t>INFUNDADAS</w:t>
      </w:r>
      <w:r w:rsidR="00CE7707" w:rsidRPr="00A61989">
        <w:rPr>
          <w:rFonts w:ascii="Palatino Linotype" w:eastAsia="Palatino Linotype" w:hAnsi="Palatino Linotype" w:cs="Palatino Linotype"/>
        </w:rPr>
        <w:t xml:space="preserve"> las razones hechas valer en el recurso de revisión </w:t>
      </w:r>
      <w:r w:rsidR="00CE7707" w:rsidRPr="00A61989">
        <w:rPr>
          <w:rFonts w:ascii="Palatino Linotype" w:eastAsia="Palatino Linotype" w:hAnsi="Palatino Linotype" w:cs="Palatino Linotype"/>
          <w:b/>
          <w:color w:val="000000"/>
        </w:rPr>
        <w:t>07553/INFOEM/IP/RR/2024</w:t>
      </w:r>
      <w:r w:rsidR="00CE7707" w:rsidRPr="00A61989">
        <w:rPr>
          <w:rFonts w:ascii="Palatino Linotype" w:eastAsia="Palatino Linotype" w:hAnsi="Palatino Linotype" w:cs="Palatino Linotype"/>
        </w:rPr>
        <w:t xml:space="preserve">, por lo que se </w:t>
      </w:r>
      <w:r w:rsidR="00CE7707" w:rsidRPr="00A61989">
        <w:rPr>
          <w:rFonts w:ascii="Palatino Linotype" w:eastAsia="Palatino Linotype" w:hAnsi="Palatino Linotype" w:cs="Palatino Linotype"/>
          <w:b/>
        </w:rPr>
        <w:t>CONFIRMA</w:t>
      </w:r>
      <w:r w:rsidR="00CE7707" w:rsidRPr="00A61989">
        <w:rPr>
          <w:rFonts w:ascii="Palatino Linotype" w:eastAsia="Palatino Linotype" w:hAnsi="Palatino Linotype" w:cs="Palatino Linotype"/>
        </w:rPr>
        <w:t xml:space="preserve"> la respuesta del </w:t>
      </w:r>
      <w:r w:rsidR="00CE7707" w:rsidRPr="00A61989">
        <w:rPr>
          <w:rFonts w:ascii="Palatino Linotype" w:eastAsia="Palatino Linotype" w:hAnsi="Palatino Linotype" w:cs="Palatino Linotype"/>
          <w:b/>
        </w:rPr>
        <w:t>SUJETO OBLIGADO</w:t>
      </w:r>
      <w:r w:rsidR="00CE7707" w:rsidRPr="00A61989">
        <w:rPr>
          <w:rFonts w:ascii="Palatino Linotype" w:eastAsia="Palatino Linotype" w:hAnsi="Palatino Linotype" w:cs="Palatino Linotype"/>
        </w:rPr>
        <w:t xml:space="preserve"> a la solicitud de información </w:t>
      </w:r>
      <w:r w:rsidR="00CE7707" w:rsidRPr="00A61989">
        <w:rPr>
          <w:rFonts w:ascii="Palatino Linotype" w:eastAsia="Palatino Linotype" w:hAnsi="Palatino Linotype" w:cs="Palatino Linotype"/>
          <w:b/>
        </w:rPr>
        <w:t>00876/SF/IP/2024</w:t>
      </w:r>
    </w:p>
    <w:p w:rsidR="00321C23" w:rsidRPr="00A61989" w:rsidRDefault="00321C23" w:rsidP="00321C23">
      <w:pPr>
        <w:spacing w:line="360" w:lineRule="auto"/>
        <w:jc w:val="both"/>
      </w:pPr>
    </w:p>
    <w:p w:rsidR="00AA6D92" w:rsidRPr="00A61989" w:rsidRDefault="00AA6D92" w:rsidP="00AA6D92">
      <w:pPr>
        <w:numPr>
          <w:ilvl w:val="0"/>
          <w:numId w:val="2"/>
        </w:numPr>
        <w:spacing w:line="360" w:lineRule="auto"/>
        <w:ind w:left="0" w:firstLine="0"/>
        <w:jc w:val="both"/>
        <w:rPr>
          <w:rFonts w:ascii="Palatino Linotype" w:eastAsia="Palatino Linotype" w:hAnsi="Palatino Linotype" w:cs="Palatino Linotype"/>
          <w:szCs w:val="22"/>
          <w:u w:val="single"/>
          <w:lang w:val="es-MX"/>
        </w:rPr>
      </w:pPr>
      <w:r w:rsidRPr="00A61989">
        <w:rPr>
          <w:rFonts w:ascii="Palatino Linotype" w:eastAsia="Palatino Linotype" w:hAnsi="Palatino Linotype" w:cs="Palatino Linotype"/>
          <w:szCs w:val="22"/>
          <w:lang w:val="es-MX"/>
        </w:rPr>
        <w:t xml:space="preserve">En lo que respecta al punto de solicitud referente a </w:t>
      </w:r>
      <w:r w:rsidRPr="00A61989">
        <w:rPr>
          <w:rFonts w:ascii="Palatino Linotype" w:eastAsia="Palatino Linotype" w:hAnsi="Palatino Linotype" w:cs="Palatino Linotype"/>
          <w:szCs w:val="22"/>
          <w:u w:val="single"/>
          <w:lang w:val="es-MX"/>
        </w:rPr>
        <w:t>Inspecciones, auditorias y arqueos practicados a los recursos asignados a la de caja chica de la Unidad de Información, Planeación, Programación y Evaluación</w:t>
      </w:r>
      <w:r w:rsidRPr="00A61989">
        <w:rPr>
          <w:rFonts w:ascii="Palatino Linotype" w:eastAsia="Palatino Linotype" w:hAnsi="Palatino Linotype" w:cs="Palatino Linotype"/>
          <w:szCs w:val="22"/>
          <w:lang w:val="es-MX"/>
        </w:rPr>
        <w:t xml:space="preserve">, se pronunció el </w:t>
      </w:r>
      <w:r w:rsidRPr="00A61989">
        <w:rPr>
          <w:rFonts w:ascii="Palatino Linotype" w:eastAsia="Palatino Linotype" w:hAnsi="Palatino Linotype" w:cs="Palatino Linotype"/>
          <w:szCs w:val="22"/>
        </w:rPr>
        <w:t>Servidor Público Habilitado en el Órgano Interno de Control a través de las tres áreas de auditoría, manifestando que después de una búsqueda exhaustiva y razonable en los archivos de esa área, no se cuenta con información de inspecciones, auditorías y arqueos practicados a la caja chica de la Unidad de Información, Planeación, Programación y Evaluación de la Secretaría de Finanzas, de octubre de 2023 a octubre de 2024.</w:t>
      </w:r>
    </w:p>
    <w:p w:rsidR="00AA6D92" w:rsidRPr="00A61989" w:rsidRDefault="00AA6D92" w:rsidP="00AA6D92">
      <w:pPr>
        <w:spacing w:line="360" w:lineRule="auto"/>
        <w:jc w:val="both"/>
        <w:rPr>
          <w:rFonts w:ascii="Palatino Linotype" w:eastAsia="Palatino Linotype" w:hAnsi="Palatino Linotype" w:cs="Palatino Linotype"/>
          <w:szCs w:val="22"/>
          <w:u w:val="single"/>
          <w:lang w:val="es-MX"/>
        </w:rPr>
      </w:pPr>
    </w:p>
    <w:p w:rsidR="00AA6D92" w:rsidRPr="00A61989" w:rsidRDefault="00AA6D92" w:rsidP="00AA6D92">
      <w:pPr>
        <w:numPr>
          <w:ilvl w:val="0"/>
          <w:numId w:val="2"/>
        </w:numPr>
        <w:spacing w:line="360" w:lineRule="auto"/>
        <w:ind w:left="0" w:firstLine="0"/>
        <w:jc w:val="both"/>
        <w:rPr>
          <w:rFonts w:ascii="Palatino Linotype" w:eastAsia="Palatino Linotype" w:hAnsi="Palatino Linotype" w:cs="Palatino Linotype"/>
          <w:szCs w:val="22"/>
          <w:u w:val="single"/>
        </w:rPr>
      </w:pPr>
      <w:r w:rsidRPr="00A61989">
        <w:rPr>
          <w:rFonts w:ascii="Palatino Linotype" w:eastAsia="Palatino Linotype" w:hAnsi="Palatino Linotype" w:cs="Palatino Linotype"/>
          <w:szCs w:val="22"/>
        </w:rPr>
        <w:t xml:space="preserve">En cuanto al punto de solicitud relativo a </w:t>
      </w:r>
      <w:r w:rsidRPr="00A61989">
        <w:rPr>
          <w:rFonts w:ascii="Palatino Linotype" w:eastAsia="Palatino Linotype" w:hAnsi="Palatino Linotype" w:cs="Palatino Linotype"/>
          <w:szCs w:val="22"/>
          <w:u w:val="single"/>
        </w:rPr>
        <w:t>Facturas firmadas por el Jefe de la Unidad de Información, Planeación, Programación y Evaluación</w:t>
      </w:r>
      <w:r w:rsidRPr="00A61989">
        <w:rPr>
          <w:rFonts w:ascii="Palatino Linotype" w:eastAsia="Palatino Linotype" w:hAnsi="Palatino Linotype" w:cs="Palatino Linotype"/>
          <w:szCs w:val="22"/>
        </w:rPr>
        <w:t xml:space="preserve">, se pronunció la Unidad de Información, Planeación, Programación y Evaluación en el que informa </w:t>
      </w:r>
      <w:r w:rsidRPr="00A61989">
        <w:rPr>
          <w:rFonts w:ascii="Palatino Linotype" w:eastAsia="Palatino Linotype" w:hAnsi="Palatino Linotype" w:cs="Palatino Linotype"/>
          <w:szCs w:val="22"/>
        </w:rPr>
        <w:lastRenderedPageBreak/>
        <w:t>que después de una búsqueda exhaustiva y razonable en los archivos de esa unidad administrativa, no se cuenta con la información requerida.</w:t>
      </w:r>
    </w:p>
    <w:p w:rsidR="00AA6D92" w:rsidRPr="00A61989" w:rsidRDefault="00AA6D92" w:rsidP="00AA6D92">
      <w:pPr>
        <w:spacing w:line="360" w:lineRule="auto"/>
        <w:jc w:val="both"/>
        <w:rPr>
          <w:rFonts w:ascii="Palatino Linotype" w:eastAsia="Palatino Linotype" w:hAnsi="Palatino Linotype" w:cs="Palatino Linotype"/>
          <w:szCs w:val="22"/>
          <w:u w:val="single"/>
        </w:rPr>
      </w:pPr>
    </w:p>
    <w:p w:rsidR="00AA6D92" w:rsidRPr="00A61989" w:rsidRDefault="00AA6D92" w:rsidP="00AA6D92">
      <w:pPr>
        <w:numPr>
          <w:ilvl w:val="0"/>
          <w:numId w:val="2"/>
        </w:numPr>
        <w:spacing w:line="360" w:lineRule="auto"/>
        <w:ind w:left="0" w:firstLine="0"/>
        <w:jc w:val="both"/>
        <w:rPr>
          <w:rFonts w:ascii="Palatino Linotype" w:eastAsia="Palatino Linotype" w:hAnsi="Palatino Linotype" w:cs="Palatino Linotype"/>
          <w:szCs w:val="22"/>
          <w:u w:val="single"/>
        </w:rPr>
      </w:pPr>
      <w:r w:rsidRPr="00A61989">
        <w:rPr>
          <w:rFonts w:ascii="Palatino Linotype" w:eastAsia="Palatino Linotype" w:hAnsi="Palatino Linotype" w:cs="Palatino Linotype"/>
          <w:szCs w:val="22"/>
        </w:rPr>
        <w:t xml:space="preserve">Acerca del punto de solicitud sobre </w:t>
      </w:r>
      <w:r w:rsidRPr="00A61989">
        <w:rPr>
          <w:rFonts w:ascii="Palatino Linotype" w:eastAsia="Palatino Linotype" w:hAnsi="Palatino Linotype" w:cs="Palatino Linotype"/>
          <w:szCs w:val="22"/>
          <w:u w:val="single"/>
        </w:rPr>
        <w:t>La documentación soporte de los gastos realizados con el fondo de caja chica asignado a la Unidad de Información, Planeación, Programación y Evaluación</w:t>
      </w:r>
      <w:r w:rsidRPr="00A61989">
        <w:rPr>
          <w:rFonts w:ascii="Palatino Linotype" w:eastAsia="Palatino Linotype" w:hAnsi="Palatino Linotype" w:cs="Palatino Linotype"/>
          <w:szCs w:val="22"/>
        </w:rPr>
        <w:t>, la Unidad de Información, Planeación, Programación y Evaluación remitió la información requerida consistente en 33 facturas sobre peajes, transporte, TAG PASE, productos alimenticios y productos para oficina, con la descripción de actividad realizada o motivo de la adquisición, en versión pública, en las que se pueden apreciar se encuentran dentro de la temporalidad solicitada por el particular, así como el Acta se sesión del Comité de Transparencia en el que se aprueba la clasificación de información como confidencial de datos concernientes a domicilio, teléfono y correo electrónico, contenidos en la documentación soporte de los gastos realizados con el fondo de caja chica asignado a la UIPPE de octubre 2023 a octubre 2024.</w:t>
      </w:r>
    </w:p>
    <w:p w:rsidR="00AA6D92" w:rsidRPr="00A61989" w:rsidRDefault="00AA6D92" w:rsidP="00AA6D92">
      <w:pPr>
        <w:spacing w:line="360" w:lineRule="auto"/>
        <w:jc w:val="both"/>
        <w:rPr>
          <w:rFonts w:ascii="Palatino Linotype" w:eastAsia="Palatino Linotype" w:hAnsi="Palatino Linotype" w:cs="Palatino Linotype"/>
          <w:szCs w:val="22"/>
          <w:u w:val="single"/>
        </w:rPr>
      </w:pPr>
    </w:p>
    <w:p w:rsidR="00AA6D92" w:rsidRPr="00A61989" w:rsidRDefault="00AA6D92" w:rsidP="00AA6D92">
      <w:pPr>
        <w:numPr>
          <w:ilvl w:val="0"/>
          <w:numId w:val="2"/>
        </w:numPr>
        <w:spacing w:line="360" w:lineRule="auto"/>
        <w:ind w:left="0" w:firstLine="0"/>
        <w:jc w:val="both"/>
        <w:rPr>
          <w:rFonts w:ascii="Palatino Linotype" w:eastAsia="Palatino Linotype" w:hAnsi="Palatino Linotype" w:cs="Palatino Linotype"/>
          <w:szCs w:val="22"/>
        </w:rPr>
      </w:pPr>
      <w:r w:rsidRPr="00A61989">
        <w:rPr>
          <w:rFonts w:ascii="Palatino Linotype" w:eastAsia="Palatino Linotype" w:hAnsi="Palatino Linotype" w:cs="Palatino Linotype"/>
          <w:szCs w:val="22"/>
        </w:rPr>
        <w:t xml:space="preserve">El particular inconforme con la respuesta del Sujeto Obligado interpuso Recurso de Revisión manifestando como acto impugnado la respuesta proporcionada y señalando como razones o motivos de inconformidad manifestaciones subjetivas; por consiguiente, la entrega de una razón o la respuesta a cuestionamientos que no encuentren soporte documental alguno por parte de los Sujetos Obligados, no es algo que la Ley de la Materia establece como atribución,  derecho o facultad; pues ello implicaría emitir un juicio de valor referente a cuestionamientos, interrogantes, inquietudes, quejas y manifestaciones realizados. </w:t>
      </w:r>
      <w:r w:rsidRPr="00A61989">
        <w:rPr>
          <w:rFonts w:ascii="Palatino Linotype" w:eastAsia="Palatino Linotype" w:hAnsi="Palatino Linotype" w:cs="Palatino Linotype"/>
          <w:szCs w:val="22"/>
          <w:lang w:val="es-MX"/>
        </w:rPr>
        <w:lastRenderedPageBreak/>
        <w:t>En este sentido, se trata de manifestaciones sobre las cuales este Instituto no está facultado para pronunciarse.</w:t>
      </w:r>
    </w:p>
    <w:p w:rsidR="00AA6D92" w:rsidRPr="00A61989" w:rsidRDefault="00AA6D92" w:rsidP="00AA6D92">
      <w:pPr>
        <w:spacing w:line="360" w:lineRule="auto"/>
        <w:jc w:val="both"/>
        <w:rPr>
          <w:rFonts w:ascii="Palatino Linotype" w:eastAsia="Palatino Linotype" w:hAnsi="Palatino Linotype" w:cs="Palatino Linotype"/>
          <w:szCs w:val="22"/>
        </w:rPr>
      </w:pPr>
    </w:p>
    <w:p w:rsidR="00AA6D92" w:rsidRPr="00A61989" w:rsidRDefault="00AA6D92" w:rsidP="00AA6D92">
      <w:pPr>
        <w:numPr>
          <w:ilvl w:val="0"/>
          <w:numId w:val="2"/>
        </w:numPr>
        <w:spacing w:line="360" w:lineRule="auto"/>
        <w:ind w:left="0" w:firstLine="0"/>
        <w:jc w:val="both"/>
        <w:rPr>
          <w:rFonts w:ascii="Palatino Linotype" w:eastAsia="Palatino Linotype" w:hAnsi="Palatino Linotype" w:cs="Palatino Linotype"/>
          <w:szCs w:val="22"/>
          <w:u w:val="single"/>
          <w:lang w:val="es-MX"/>
        </w:rPr>
      </w:pPr>
      <w:r w:rsidRPr="00A61989">
        <w:rPr>
          <w:rFonts w:ascii="Palatino Linotype" w:eastAsia="Palatino Linotype" w:hAnsi="Palatino Linotype" w:cs="Palatino Linotype"/>
          <w:szCs w:val="22"/>
          <w:lang w:val="es-MX"/>
        </w:rPr>
        <w:t>En Informe Justificado rendido por el Sujeto Obligado se confirma la respuesta primigenia.</w:t>
      </w:r>
    </w:p>
    <w:p w:rsidR="00CA6013" w:rsidRPr="00A61989" w:rsidRDefault="00CA6013" w:rsidP="00321C23">
      <w:pPr>
        <w:spacing w:line="360" w:lineRule="auto"/>
        <w:jc w:val="both"/>
      </w:pPr>
    </w:p>
    <w:p w:rsidR="008D0320" w:rsidRPr="00A61989" w:rsidRDefault="008D0320" w:rsidP="008D0320">
      <w:pPr>
        <w:numPr>
          <w:ilvl w:val="0"/>
          <w:numId w:val="2"/>
        </w:numPr>
        <w:spacing w:line="360" w:lineRule="auto"/>
        <w:ind w:left="0" w:firstLine="0"/>
        <w:jc w:val="both"/>
      </w:pPr>
      <w:r w:rsidRPr="00A61989">
        <w:rPr>
          <w:rFonts w:ascii="Palatino Linotype" w:eastAsia="Palatino Linotype" w:hAnsi="Palatino Linotype" w:cs="Palatino Linotype"/>
        </w:rPr>
        <w:t xml:space="preserve">En tal contexto, del análisis realizado al expediente electrónico, se advierte que las </w:t>
      </w:r>
      <w:r w:rsidRPr="00A61989">
        <w:rPr>
          <w:rFonts w:ascii="Palatino Linotype" w:eastAsia="Palatino Linotype" w:hAnsi="Palatino Linotype" w:cs="Palatino Linotype"/>
          <w:b/>
        </w:rPr>
        <w:t>Razones o motivos de inconformidad</w:t>
      </w:r>
      <w:r w:rsidRPr="00A61989">
        <w:rPr>
          <w:rFonts w:ascii="Palatino Linotype" w:eastAsia="Palatino Linotype" w:hAnsi="Palatino Linotype" w:cs="Palatino Linotype"/>
        </w:rPr>
        <w:t xml:space="preserve"> </w:t>
      </w:r>
      <w:r w:rsidRPr="00A61989">
        <w:rPr>
          <w:rFonts w:ascii="Palatino Linotype" w:eastAsia="Palatino Linotype" w:hAnsi="Palatino Linotype" w:cs="Palatino Linotype"/>
          <w:b/>
        </w:rPr>
        <w:t>no constituye un derecho de acceso a la información</w:t>
      </w:r>
      <w:r w:rsidRPr="00A61989">
        <w:rPr>
          <w:rFonts w:ascii="Palatino Linotype" w:eastAsia="Palatino Linotype" w:hAnsi="Palatino Linotype" w:cs="Palatino Linotype"/>
        </w:rPr>
        <w:t xml:space="preserve"> y por lo tanto no es atendible mediante una solicitud de acceso a la información pública, porque se tratan de </w:t>
      </w:r>
      <w:r w:rsidRPr="00A61989">
        <w:rPr>
          <w:rFonts w:ascii="Palatino Linotype" w:eastAsia="Palatino Linotype" w:hAnsi="Palatino Linotype" w:cs="Palatino Linotype"/>
          <w:szCs w:val="22"/>
        </w:rPr>
        <w:t>manifestaciones subjetivas; por consiguiente, la entrega de una razón o la respuesta a cuestionamientos que no encuentren soporte documental alguno por parte de los Sujetos Obligados, no es algo que la Ley de la Materia establece como atribución,  derecho o facultad; pues ello implicaría emitir un juicio de valor referente a cuestionamientos, interrogantes, inquietudes, quejas y manifestaciones realizados</w:t>
      </w:r>
    </w:p>
    <w:p w:rsidR="008D0320" w:rsidRPr="00A61989" w:rsidRDefault="008D0320" w:rsidP="008D0320">
      <w:pPr>
        <w:spacing w:line="360" w:lineRule="auto"/>
        <w:ind w:right="49"/>
        <w:jc w:val="both"/>
        <w:rPr>
          <w:rFonts w:ascii="Palatino Linotype" w:eastAsia="Palatino Linotype" w:hAnsi="Palatino Linotype" w:cs="Palatino Linotype"/>
        </w:rPr>
      </w:pPr>
    </w:p>
    <w:p w:rsidR="008D0320" w:rsidRPr="00A61989" w:rsidRDefault="008D0320" w:rsidP="008D0320">
      <w:pPr>
        <w:numPr>
          <w:ilvl w:val="0"/>
          <w:numId w:val="2"/>
        </w:numPr>
        <w:spacing w:line="360" w:lineRule="auto"/>
        <w:ind w:left="0" w:firstLine="0"/>
        <w:jc w:val="both"/>
      </w:pPr>
      <w:r w:rsidRPr="00A61989">
        <w:rPr>
          <w:rFonts w:ascii="Palatino Linotype" w:eastAsia="Palatino Linotype" w:hAnsi="Palatino Linotype" w:cs="Palatino Linotype"/>
        </w:rPr>
        <w:t>En ese sentido, es importante diferenciar lo que se entiende por derecho de petición y por derecho de acceso a la información pública.</w:t>
      </w:r>
    </w:p>
    <w:p w:rsidR="008D0320" w:rsidRPr="00A61989" w:rsidRDefault="008D0320" w:rsidP="008D0320">
      <w:pPr>
        <w:spacing w:before="240" w:after="240" w:line="360" w:lineRule="auto"/>
        <w:ind w:left="1134" w:right="49"/>
        <w:jc w:val="both"/>
        <w:rPr>
          <w:rFonts w:ascii="Palatino Linotype" w:eastAsia="Palatino Linotype" w:hAnsi="Palatino Linotype" w:cs="Palatino Linotype"/>
          <w:b/>
          <w:sz w:val="22"/>
          <w:szCs w:val="22"/>
        </w:rPr>
      </w:pPr>
      <w:r w:rsidRPr="00A61989">
        <w:rPr>
          <w:rFonts w:ascii="Palatino Linotype" w:eastAsia="Palatino Linotype" w:hAnsi="Palatino Linotype" w:cs="Palatino Linotype"/>
          <w:b/>
          <w:sz w:val="22"/>
          <w:szCs w:val="22"/>
        </w:rPr>
        <w:t>Derecho de Petición:</w:t>
      </w:r>
    </w:p>
    <w:p w:rsidR="008D0320" w:rsidRPr="00A61989" w:rsidRDefault="008D0320" w:rsidP="008D0320">
      <w:pPr>
        <w:spacing w:before="240" w:after="240" w:line="360" w:lineRule="auto"/>
        <w:ind w:left="1134" w:right="900"/>
        <w:jc w:val="both"/>
        <w:rPr>
          <w:rFonts w:ascii="Palatino Linotype" w:eastAsia="Palatino Linotype" w:hAnsi="Palatino Linotype" w:cs="Palatino Linotype"/>
          <w:sz w:val="22"/>
          <w:szCs w:val="22"/>
        </w:rPr>
      </w:pPr>
      <w:r w:rsidRPr="00A61989">
        <w:rPr>
          <w:rFonts w:ascii="Palatino Linotype" w:eastAsia="Palatino Linotype" w:hAnsi="Palatino Linotype" w:cs="Palatino Linotype"/>
          <w:sz w:val="22"/>
          <w:szCs w:val="22"/>
        </w:rPr>
        <w:t>El Doctor Ignacio Burgoa Orihuela refiere que derecho de petición: "...</w:t>
      </w:r>
      <w:r w:rsidRPr="00A61989">
        <w:rPr>
          <w:rFonts w:ascii="Palatino Linotype" w:eastAsia="Palatino Linotype" w:hAnsi="Palatino Linotype" w:cs="Palatino Linotype"/>
          <w:i/>
          <w:sz w:val="22"/>
          <w:szCs w:val="22"/>
        </w:rPr>
        <w:t xml:space="preserve">es un Derecho Público subjetivo individual de la Garantía Respectiva Consagrada en al Artículo 8 de la Ley Fundamental. En tal virtud, la persona tiene la facultad de acudir a cualquier autoridad, formulando una solicitud o </w:t>
      </w:r>
      <w:r w:rsidRPr="00A61989">
        <w:rPr>
          <w:rFonts w:ascii="Palatino Linotype" w:eastAsia="Palatino Linotype" w:hAnsi="Palatino Linotype" w:cs="Palatino Linotype"/>
          <w:i/>
          <w:sz w:val="22"/>
          <w:szCs w:val="22"/>
        </w:rPr>
        <w:lastRenderedPageBreak/>
        <w:t>instancia escrito de cualquier índole, la cual adopta, especialmente, el carácter de simple petición administrativa, acción o recurso, etc.</w:t>
      </w:r>
      <w:r w:rsidRPr="00A61989">
        <w:rPr>
          <w:rFonts w:ascii="Palatino Linotype" w:eastAsia="Palatino Linotype" w:hAnsi="Palatino Linotype" w:cs="Palatino Linotype"/>
          <w:sz w:val="22"/>
          <w:szCs w:val="22"/>
        </w:rPr>
        <w:t>"</w:t>
      </w:r>
      <w:r w:rsidRPr="00A61989">
        <w:rPr>
          <w:rFonts w:ascii="Palatino Linotype" w:eastAsia="Palatino Linotype" w:hAnsi="Palatino Linotype" w:cs="Palatino Linotype"/>
          <w:sz w:val="22"/>
          <w:szCs w:val="22"/>
          <w:vertAlign w:val="superscript"/>
        </w:rPr>
        <w:footnoteReference w:id="1"/>
      </w:r>
      <w:r w:rsidRPr="00A61989">
        <w:rPr>
          <w:rFonts w:ascii="Palatino Linotype" w:eastAsia="Palatino Linotype" w:hAnsi="Palatino Linotype" w:cs="Palatino Linotype"/>
          <w:sz w:val="22"/>
          <w:szCs w:val="22"/>
        </w:rPr>
        <w:t>(Sic)</w:t>
      </w:r>
    </w:p>
    <w:p w:rsidR="008D0320" w:rsidRPr="00A61989" w:rsidRDefault="008D0320" w:rsidP="008D0320">
      <w:pPr>
        <w:pBdr>
          <w:top w:val="nil"/>
          <w:left w:val="nil"/>
          <w:bottom w:val="nil"/>
          <w:right w:val="nil"/>
          <w:between w:val="nil"/>
        </w:pBdr>
        <w:spacing w:before="240" w:after="360" w:line="360" w:lineRule="auto"/>
        <w:ind w:left="1134" w:right="900"/>
        <w:jc w:val="both"/>
        <w:rPr>
          <w:rFonts w:ascii="Palatino Linotype" w:eastAsia="Palatino Linotype" w:hAnsi="Palatino Linotype" w:cs="Palatino Linotype"/>
          <w:i/>
          <w:color w:val="000000"/>
          <w:sz w:val="22"/>
          <w:szCs w:val="22"/>
        </w:rPr>
      </w:pPr>
      <w:r w:rsidRPr="00A61989">
        <w:rPr>
          <w:rFonts w:ascii="Palatino Linotype" w:eastAsia="Palatino Linotype" w:hAnsi="Palatino Linotype" w:cs="Palatino Linotype"/>
          <w:color w:val="000000"/>
          <w:sz w:val="22"/>
          <w:szCs w:val="22"/>
        </w:rPr>
        <w:t xml:space="preserve">Por su parte, David Cienfuegos Salgado, concibe al derecho de petición como </w:t>
      </w:r>
      <w:r w:rsidRPr="00A61989">
        <w:rPr>
          <w:rFonts w:ascii="Palatino Linotype" w:eastAsia="Palatino Linotype" w:hAnsi="Palatino Linotype" w:cs="Palatino Linotype"/>
          <w:i/>
          <w:color w:val="000000"/>
          <w:sz w:val="22"/>
          <w:szCs w:val="22"/>
        </w:rPr>
        <w:t>“el derecho de toda persona a ser escuchado por quienes ejercen el poder público</w:t>
      </w:r>
      <w:proofErr w:type="gramStart"/>
      <w:r w:rsidRPr="00A61989">
        <w:rPr>
          <w:rFonts w:ascii="Palatino Linotype" w:eastAsia="Palatino Linotype" w:hAnsi="Palatino Linotype" w:cs="Palatino Linotype"/>
          <w:i/>
          <w:color w:val="000000"/>
          <w:sz w:val="22"/>
          <w:szCs w:val="22"/>
        </w:rPr>
        <w:t>.</w:t>
      </w:r>
      <w:r w:rsidRPr="00A61989">
        <w:rPr>
          <w:rFonts w:ascii="Palatino Linotype" w:eastAsia="Palatino Linotype" w:hAnsi="Palatino Linotype" w:cs="Palatino Linotype"/>
          <w:i/>
          <w:color w:val="000000"/>
          <w:sz w:val="22"/>
          <w:szCs w:val="22"/>
          <w:vertAlign w:val="superscript"/>
        </w:rPr>
        <w:t xml:space="preserve"> </w:t>
      </w:r>
      <w:proofErr w:type="gramEnd"/>
      <w:r w:rsidRPr="00A61989">
        <w:rPr>
          <w:rFonts w:ascii="Palatino Linotype" w:eastAsia="Palatino Linotype" w:hAnsi="Palatino Linotype" w:cs="Palatino Linotype"/>
          <w:i/>
          <w:color w:val="000000"/>
          <w:sz w:val="22"/>
          <w:szCs w:val="22"/>
          <w:vertAlign w:val="superscript"/>
        </w:rPr>
        <w:footnoteReference w:id="2"/>
      </w:r>
      <w:r w:rsidRPr="00A61989">
        <w:rPr>
          <w:rFonts w:ascii="Palatino Linotype" w:eastAsia="Palatino Linotype" w:hAnsi="Palatino Linotype" w:cs="Palatino Linotype"/>
          <w:i/>
          <w:color w:val="000000"/>
          <w:sz w:val="22"/>
          <w:szCs w:val="22"/>
        </w:rPr>
        <w:t xml:space="preserve">” (Sic) </w:t>
      </w:r>
    </w:p>
    <w:p w:rsidR="008D0320" w:rsidRPr="00A61989" w:rsidRDefault="008D0320" w:rsidP="00404588">
      <w:pPr>
        <w:numPr>
          <w:ilvl w:val="0"/>
          <w:numId w:val="2"/>
        </w:numPr>
        <w:spacing w:line="360" w:lineRule="auto"/>
        <w:ind w:left="0" w:firstLine="0"/>
        <w:jc w:val="both"/>
      </w:pPr>
      <w:r w:rsidRPr="00A61989">
        <w:rPr>
          <w:rFonts w:ascii="Palatino Linotype" w:eastAsia="Palatino Linotype" w:hAnsi="Palatino Linotype" w:cs="Palatino Linotype"/>
        </w:rPr>
        <w:t>De la misma manera, Migue Carbonell en su libro “Los derechos fundamentales” refiere que el derecho de petición se ha entendido de dos distintas maneras, a saber: como un derecho fundamental de participación política ya que permite a los particulares trasladar a las autoridades sus inquietudes, quejas, sugerencias y requerimientos en cualquier materia o asunto; y como una forma específica de la libertad de expresión,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A61989">
        <w:rPr>
          <w:rFonts w:ascii="Palatino Linotype" w:eastAsia="Palatino Linotype" w:hAnsi="Palatino Linotype" w:cs="Palatino Linotype"/>
          <w:vertAlign w:val="superscript"/>
        </w:rPr>
        <w:footnoteReference w:id="3"/>
      </w:r>
    </w:p>
    <w:p w:rsidR="008D0320" w:rsidRPr="00A61989" w:rsidRDefault="008D0320" w:rsidP="008D0320">
      <w:pPr>
        <w:spacing w:line="360" w:lineRule="auto"/>
        <w:ind w:right="49"/>
        <w:jc w:val="both"/>
        <w:rPr>
          <w:rFonts w:ascii="Palatino Linotype" w:eastAsia="Palatino Linotype" w:hAnsi="Palatino Linotype" w:cs="Palatino Linotype"/>
        </w:rPr>
      </w:pPr>
    </w:p>
    <w:p w:rsidR="008D0320" w:rsidRPr="00A61989" w:rsidRDefault="008D0320" w:rsidP="008D0320">
      <w:pPr>
        <w:spacing w:line="360" w:lineRule="auto"/>
        <w:ind w:right="49"/>
        <w:jc w:val="both"/>
        <w:rPr>
          <w:rFonts w:ascii="Palatino Linotype" w:eastAsia="Palatino Linotype" w:hAnsi="Palatino Linotype" w:cs="Palatino Linotype"/>
          <w:b/>
        </w:rPr>
      </w:pPr>
      <w:r w:rsidRPr="00A61989">
        <w:rPr>
          <w:rFonts w:ascii="Palatino Linotype" w:eastAsia="Palatino Linotype" w:hAnsi="Palatino Linotype" w:cs="Palatino Linotype"/>
          <w:b/>
        </w:rPr>
        <w:t>Derecho de Acceso a la Información Pública:</w:t>
      </w:r>
    </w:p>
    <w:p w:rsidR="008D0320" w:rsidRPr="00A61989" w:rsidRDefault="008D0320" w:rsidP="00404588">
      <w:pPr>
        <w:numPr>
          <w:ilvl w:val="0"/>
          <w:numId w:val="2"/>
        </w:numPr>
        <w:spacing w:line="360" w:lineRule="auto"/>
        <w:ind w:left="0" w:firstLine="0"/>
        <w:jc w:val="both"/>
        <w:rPr>
          <w:color w:val="000000"/>
        </w:rPr>
      </w:pPr>
      <w:r w:rsidRPr="00A61989">
        <w:rPr>
          <w:rFonts w:ascii="Palatino Linotype" w:eastAsia="Palatino Linotype" w:hAnsi="Palatino Linotype" w:cs="Palatino Linotype"/>
          <w:color w:val="000000"/>
        </w:rPr>
        <w:t xml:space="preserve">Asimismo, el autor anteriormente citado, indica que el derecho de acceso a la información pública es el derecho de conocer la información de carácter público que </w:t>
      </w:r>
      <w:r w:rsidRPr="00A61989">
        <w:rPr>
          <w:rFonts w:ascii="Palatino Linotype" w:eastAsia="Palatino Linotype" w:hAnsi="Palatino Linotype" w:cs="Palatino Linotype"/>
          <w:color w:val="000000"/>
        </w:rPr>
        <w:lastRenderedPageBreak/>
        <w:t>se genera o está en posesión de los órganos del poder público o de los sujetos que utilizan o se benefician con recursos provenientes del Estado, es el derecho que tienen los ciudadanos para acceder a documentos y datos que obren en el poder del gobierno.</w:t>
      </w:r>
    </w:p>
    <w:p w:rsidR="008D0320" w:rsidRPr="00A61989" w:rsidRDefault="008D0320" w:rsidP="008D0320">
      <w:pPr>
        <w:pBdr>
          <w:top w:val="nil"/>
          <w:left w:val="nil"/>
          <w:bottom w:val="nil"/>
          <w:right w:val="nil"/>
          <w:between w:val="nil"/>
        </w:pBdr>
        <w:spacing w:line="360" w:lineRule="auto"/>
        <w:ind w:left="93" w:right="49"/>
        <w:rPr>
          <w:color w:val="000000"/>
        </w:rPr>
      </w:pPr>
    </w:p>
    <w:p w:rsidR="008D0320" w:rsidRPr="00A61989" w:rsidRDefault="008D0320" w:rsidP="00404588">
      <w:pPr>
        <w:numPr>
          <w:ilvl w:val="0"/>
          <w:numId w:val="2"/>
        </w:numPr>
        <w:spacing w:line="360" w:lineRule="auto"/>
        <w:ind w:left="0" w:firstLine="0"/>
        <w:jc w:val="both"/>
        <w:rPr>
          <w:color w:val="000000"/>
        </w:rPr>
      </w:pPr>
      <w:r w:rsidRPr="00A61989">
        <w:rPr>
          <w:rFonts w:ascii="Palatino Linotype" w:eastAsia="Palatino Linotype" w:hAnsi="Palatino Linotype" w:cs="Palatino Linotype"/>
          <w:color w:val="000000"/>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A61989">
        <w:rPr>
          <w:rFonts w:ascii="Palatino Linotype" w:eastAsia="Palatino Linotype" w:hAnsi="Palatino Linotype" w:cs="Palatino Linotype"/>
          <w:color w:val="000000"/>
          <w:vertAlign w:val="superscript"/>
        </w:rPr>
        <w:footnoteReference w:id="4"/>
      </w:r>
    </w:p>
    <w:p w:rsidR="008D0320" w:rsidRPr="00A61989" w:rsidRDefault="008D0320" w:rsidP="008D032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8D0320" w:rsidRPr="00A61989" w:rsidRDefault="008D0320" w:rsidP="00404588">
      <w:pPr>
        <w:numPr>
          <w:ilvl w:val="0"/>
          <w:numId w:val="2"/>
        </w:numPr>
        <w:spacing w:line="360" w:lineRule="auto"/>
        <w:ind w:left="0" w:firstLine="0"/>
        <w:jc w:val="both"/>
        <w:rPr>
          <w:color w:val="000000"/>
        </w:rPr>
      </w:pPr>
      <w:r w:rsidRPr="00A61989">
        <w:rPr>
          <w:rFonts w:ascii="Palatino Linotype" w:eastAsia="Palatino Linotype" w:hAnsi="Palatino Linotype" w:cs="Palatino Linotype"/>
          <w:color w:val="000000"/>
        </w:rPr>
        <w:t>Del mismo modo, para diferenciar el derecho de petición del derecho de acceso a la información pública, resulta conveniente citar a José Guadalupe Robles, quien conceptualiza el derecho a la información como "un derecho fundamental tanto de carácter individual como colectivo, cuyas limitaciones deben estar establecidas en la ley, así corno una garantía de que la información sea tramitada con claridad y objetividad, por cuanto a que es un bien jurídico que coadyuva al desarrollo de las personas y a la formación de opinión pública de calidad para poder participar y luego influir en la vida pública.”</w:t>
      </w:r>
      <w:r w:rsidRPr="00A61989">
        <w:rPr>
          <w:rFonts w:ascii="Palatino Linotype" w:eastAsia="Palatino Linotype" w:hAnsi="Palatino Linotype" w:cs="Palatino Linotype"/>
          <w:color w:val="000000"/>
          <w:vertAlign w:val="superscript"/>
        </w:rPr>
        <w:footnoteReference w:id="5"/>
      </w:r>
    </w:p>
    <w:p w:rsidR="008D0320" w:rsidRPr="00A61989" w:rsidRDefault="008D0320" w:rsidP="008D0320">
      <w:pPr>
        <w:spacing w:line="360" w:lineRule="auto"/>
        <w:ind w:right="49"/>
        <w:jc w:val="both"/>
        <w:rPr>
          <w:rFonts w:ascii="Palatino Linotype" w:eastAsia="Palatino Linotype" w:hAnsi="Palatino Linotype" w:cs="Palatino Linotype"/>
          <w:color w:val="000000"/>
        </w:rPr>
      </w:pPr>
    </w:p>
    <w:p w:rsidR="008D0320" w:rsidRPr="00A61989" w:rsidRDefault="008D0320" w:rsidP="00404588">
      <w:pPr>
        <w:numPr>
          <w:ilvl w:val="0"/>
          <w:numId w:val="2"/>
        </w:numPr>
        <w:spacing w:line="360" w:lineRule="auto"/>
        <w:ind w:left="0" w:firstLine="0"/>
        <w:jc w:val="both"/>
        <w:rPr>
          <w:color w:val="000000"/>
        </w:rPr>
      </w:pPr>
      <w:r w:rsidRPr="00A61989">
        <w:rPr>
          <w:rFonts w:ascii="Palatino Linotype" w:eastAsia="Palatino Linotype" w:hAnsi="Palatino Linotype" w:cs="Palatino Linotype"/>
          <w:color w:val="000000"/>
        </w:rPr>
        <w:t xml:space="preserve">De ahí que, para entender los alcances de la información pública se considera importante citar el criterio de interpretación en el orden administrativo número </w:t>
      </w:r>
      <w:r w:rsidRPr="00A61989">
        <w:rPr>
          <w:rFonts w:ascii="Palatino Linotype" w:eastAsia="Palatino Linotype" w:hAnsi="Palatino Linotype" w:cs="Palatino Linotype"/>
          <w:color w:val="000000"/>
        </w:rPr>
        <w:lastRenderedPageBreak/>
        <w:t>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8D0320" w:rsidRPr="00A61989" w:rsidRDefault="008D0320" w:rsidP="008D032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8D0320" w:rsidRPr="00A61989" w:rsidRDefault="008D0320" w:rsidP="008D0320">
      <w:pPr>
        <w:ind w:left="567" w:right="49"/>
        <w:jc w:val="both"/>
        <w:rPr>
          <w:rFonts w:ascii="Palatino Linotype" w:eastAsia="Palatino Linotype" w:hAnsi="Palatino Linotype" w:cs="Palatino Linotype"/>
          <w:b/>
          <w:i/>
          <w:sz w:val="22"/>
          <w:szCs w:val="22"/>
        </w:rPr>
      </w:pPr>
      <w:r w:rsidRPr="00A61989">
        <w:rPr>
          <w:rFonts w:ascii="Palatino Linotype" w:eastAsia="Palatino Linotype" w:hAnsi="Palatino Linotype" w:cs="Palatino Linotype"/>
          <w:b/>
          <w:i/>
          <w:sz w:val="22"/>
          <w:szCs w:val="22"/>
        </w:rPr>
        <w:t>“CRITERIO 0002-11</w:t>
      </w:r>
    </w:p>
    <w:p w:rsidR="008D0320" w:rsidRPr="00A61989" w:rsidRDefault="008D0320" w:rsidP="008D0320">
      <w:pPr>
        <w:ind w:left="567" w:right="49"/>
        <w:jc w:val="both"/>
        <w:rPr>
          <w:rFonts w:ascii="Palatino Linotype" w:eastAsia="Palatino Linotype" w:hAnsi="Palatino Linotype" w:cs="Palatino Linotype"/>
          <w:i/>
          <w:sz w:val="22"/>
          <w:szCs w:val="22"/>
        </w:rPr>
      </w:pPr>
      <w:r w:rsidRPr="00A61989">
        <w:rPr>
          <w:rFonts w:ascii="Palatino Linotype" w:eastAsia="Palatino Linotype" w:hAnsi="Palatino Linotype" w:cs="Palatino Linotype"/>
          <w:b/>
          <w:i/>
          <w:sz w:val="22"/>
          <w:szCs w:val="22"/>
        </w:rPr>
        <w:t>INFORMACIÓN PÚBLICA, CONCEPTO DE, EN MATERIA DE TRANSPARENCIA. INTERPRETACIÓN TEMÁTICA DE LOS ARTÍCULOS 2, FRACCIÓN V, XV, Y XVI, 32, 4,11 Y 41.</w:t>
      </w:r>
      <w:r w:rsidRPr="00A61989">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8D0320" w:rsidRPr="00A61989" w:rsidRDefault="008D0320" w:rsidP="008D0320">
      <w:pPr>
        <w:ind w:left="567" w:right="49"/>
        <w:jc w:val="both"/>
        <w:rPr>
          <w:rFonts w:ascii="Palatino Linotype" w:eastAsia="Palatino Linotype" w:hAnsi="Palatino Linotype" w:cs="Palatino Linotype"/>
          <w:i/>
          <w:sz w:val="22"/>
          <w:szCs w:val="22"/>
        </w:rPr>
      </w:pPr>
      <w:r w:rsidRPr="00A61989">
        <w:rPr>
          <w:rFonts w:ascii="Palatino Linotype" w:eastAsia="Palatino Linotype" w:hAnsi="Palatino Linotype" w:cs="Palatino Linotype"/>
          <w:i/>
          <w:sz w:val="22"/>
          <w:szCs w:val="22"/>
        </w:rPr>
        <w:t>En consecuencia el acceso a la información se refiere a que se cumplan cualquiera de los siguientes tres supuestos:</w:t>
      </w:r>
    </w:p>
    <w:p w:rsidR="008D0320" w:rsidRPr="00A61989" w:rsidRDefault="008D0320" w:rsidP="008D0320">
      <w:pPr>
        <w:ind w:left="567" w:right="49"/>
        <w:jc w:val="both"/>
        <w:rPr>
          <w:rFonts w:ascii="Palatino Linotype" w:eastAsia="Palatino Linotype" w:hAnsi="Palatino Linotype" w:cs="Palatino Linotype"/>
          <w:i/>
          <w:sz w:val="22"/>
          <w:szCs w:val="22"/>
        </w:rPr>
      </w:pPr>
      <w:r w:rsidRPr="00A61989">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rsidR="008D0320" w:rsidRPr="00A61989" w:rsidRDefault="008D0320" w:rsidP="008D0320">
      <w:pPr>
        <w:ind w:left="567" w:right="49"/>
        <w:jc w:val="both"/>
        <w:rPr>
          <w:rFonts w:ascii="Palatino Linotype" w:eastAsia="Palatino Linotype" w:hAnsi="Palatino Linotype" w:cs="Palatino Linotype"/>
          <w:i/>
          <w:sz w:val="22"/>
          <w:szCs w:val="22"/>
        </w:rPr>
      </w:pPr>
      <w:r w:rsidRPr="00A61989">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rsidR="008D0320" w:rsidRPr="00A61989" w:rsidRDefault="008D0320" w:rsidP="008D0320">
      <w:pPr>
        <w:ind w:left="567" w:right="49"/>
        <w:jc w:val="both"/>
        <w:rPr>
          <w:rFonts w:ascii="Palatino Linotype" w:eastAsia="Palatino Linotype" w:hAnsi="Palatino Linotype" w:cs="Palatino Linotype"/>
          <w:i/>
          <w:sz w:val="22"/>
          <w:szCs w:val="22"/>
        </w:rPr>
      </w:pPr>
      <w:r w:rsidRPr="00A61989">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Obligados.”(Sic)</w:t>
      </w:r>
    </w:p>
    <w:p w:rsidR="008D0320" w:rsidRPr="00A61989" w:rsidRDefault="008D0320" w:rsidP="008D0320">
      <w:pPr>
        <w:ind w:left="567" w:right="49"/>
        <w:jc w:val="both"/>
        <w:rPr>
          <w:rFonts w:ascii="Palatino Linotype" w:eastAsia="Palatino Linotype" w:hAnsi="Palatino Linotype" w:cs="Palatino Linotype"/>
          <w:i/>
          <w:color w:val="000000"/>
        </w:rPr>
      </w:pPr>
    </w:p>
    <w:p w:rsidR="008D0320" w:rsidRPr="00A61989" w:rsidRDefault="008D0320" w:rsidP="00404588">
      <w:pPr>
        <w:numPr>
          <w:ilvl w:val="0"/>
          <w:numId w:val="2"/>
        </w:numPr>
        <w:spacing w:line="360" w:lineRule="auto"/>
        <w:ind w:left="0" w:firstLine="0"/>
        <w:jc w:val="both"/>
        <w:rPr>
          <w:color w:val="000000"/>
        </w:rPr>
      </w:pPr>
      <w:r w:rsidRPr="00A61989">
        <w:rPr>
          <w:rFonts w:ascii="Palatino Linotype" w:eastAsia="Palatino Linotype" w:hAnsi="Palatino Linotype" w:cs="Palatino Linotype"/>
          <w:color w:val="000000"/>
        </w:rPr>
        <w:t>De lo anterior se puede concluir que la distinción entre el derecho de petición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rsidR="008D0320" w:rsidRPr="00A61989" w:rsidRDefault="008D0320" w:rsidP="008D032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8D0320" w:rsidRPr="00A61989" w:rsidRDefault="008D0320" w:rsidP="00404588">
      <w:pPr>
        <w:numPr>
          <w:ilvl w:val="0"/>
          <w:numId w:val="2"/>
        </w:numPr>
        <w:spacing w:line="360" w:lineRule="auto"/>
        <w:ind w:left="0" w:firstLine="0"/>
        <w:jc w:val="both"/>
        <w:rPr>
          <w:color w:val="000000"/>
        </w:rPr>
      </w:pPr>
      <w:r w:rsidRPr="00A61989">
        <w:rPr>
          <w:rFonts w:ascii="Palatino Linotype" w:eastAsia="Palatino Linotype" w:hAnsi="Palatino Linotype" w:cs="Palatino Linotype"/>
          <w:color w:val="000000"/>
        </w:rPr>
        <w:lastRenderedPageBreak/>
        <w:t xml:space="preserve">Con base a lo anterior, tenemos que el </w:t>
      </w:r>
      <w:r w:rsidRPr="00A61989">
        <w:rPr>
          <w:rFonts w:ascii="Palatino Linotype" w:eastAsia="Palatino Linotype" w:hAnsi="Palatino Linotype" w:cs="Palatino Linotype"/>
          <w:b/>
          <w:color w:val="000000"/>
        </w:rPr>
        <w:t>RECURRENTE</w:t>
      </w:r>
      <w:r w:rsidRPr="00A61989">
        <w:rPr>
          <w:rFonts w:ascii="Palatino Linotype" w:eastAsia="Palatino Linotype" w:hAnsi="Palatino Linotype" w:cs="Palatino Linotype"/>
          <w:color w:val="000000"/>
        </w:rPr>
        <w:t xml:space="preserve"> refirió como </w:t>
      </w:r>
      <w:r w:rsidRPr="00A61989">
        <w:rPr>
          <w:rFonts w:ascii="Palatino Linotype" w:hAnsi="Palatino Linotype"/>
          <w:sz w:val="22"/>
          <w:szCs w:val="22"/>
        </w:rPr>
        <w:t>Razones o motivos de inconformidad</w:t>
      </w:r>
      <w:r w:rsidRPr="00A61989">
        <w:rPr>
          <w:rFonts w:ascii="Palatino Linotype" w:hAnsi="Palatino Linotype"/>
          <w:b/>
          <w:sz w:val="22"/>
          <w:szCs w:val="22"/>
        </w:rPr>
        <w:t xml:space="preserve"> manifestaciones subjetivas</w:t>
      </w:r>
      <w:r w:rsidRPr="00A61989">
        <w:rPr>
          <w:rFonts w:ascii="Palatino Linotype" w:hAnsi="Palatino Linotype"/>
          <w:sz w:val="22"/>
          <w:szCs w:val="22"/>
        </w:rPr>
        <w:t>; por consiguiente, la entrega de una razón o la respuesta a cuestionamientos que no encuentren soporte documental alguno por parte de los Sujetos Obligados, no es algo que la Ley de la Materia establece como atribución,  derecho o facultad; pues ello implicaría emitir un juicio de valor referente a cuestionamientos, interrogantes, inquietudes, quejas y manifestaciones realizados</w:t>
      </w:r>
      <w:r w:rsidRPr="00A61989">
        <w:rPr>
          <w:rFonts w:ascii="Palatino Linotype" w:eastAsia="Palatino Linotype" w:hAnsi="Palatino Linotype" w:cs="Palatino Linotype"/>
          <w:color w:val="000000"/>
        </w:rPr>
        <w:t>.</w:t>
      </w:r>
    </w:p>
    <w:p w:rsidR="008D0320" w:rsidRPr="00A61989" w:rsidRDefault="008D0320" w:rsidP="008D032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8D0320" w:rsidRPr="00A61989" w:rsidRDefault="008D0320" w:rsidP="00404588">
      <w:pPr>
        <w:numPr>
          <w:ilvl w:val="0"/>
          <w:numId w:val="2"/>
        </w:numPr>
        <w:spacing w:line="360" w:lineRule="auto"/>
        <w:ind w:left="0" w:firstLine="0"/>
        <w:jc w:val="both"/>
        <w:rPr>
          <w:rFonts w:ascii="Palatino Linotype" w:eastAsia="Palatino Linotype" w:hAnsi="Palatino Linotype" w:cs="Palatino Linotype"/>
          <w:color w:val="000000"/>
        </w:rPr>
      </w:pPr>
      <w:r w:rsidRPr="00A61989">
        <w:rPr>
          <w:rFonts w:ascii="Palatino Linotype" w:eastAsia="Palatino Linotype" w:hAnsi="Palatino Linotype" w:cs="Palatino Linotype"/>
          <w:color w:val="000000"/>
        </w:rPr>
        <w:t>Además, es de resaltar que este Instituto de Transparencia como Organismo Garante de difusión, protección y respeto al derecho de acceso a la información pública y 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 solicitud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manifestaciones subjetivas por un gobernado; en consecuencia, este Instinto no tiene atribuciones para pronunciarse respecto a las manifestaciones expuestas por el particular.</w:t>
      </w:r>
    </w:p>
    <w:p w:rsidR="008D0320" w:rsidRPr="00A61989" w:rsidRDefault="008D0320" w:rsidP="008D032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8D0320" w:rsidRPr="00A61989" w:rsidRDefault="008D0320" w:rsidP="00404588">
      <w:pPr>
        <w:numPr>
          <w:ilvl w:val="0"/>
          <w:numId w:val="2"/>
        </w:numPr>
        <w:spacing w:line="360" w:lineRule="auto"/>
        <w:ind w:left="0" w:firstLine="0"/>
        <w:jc w:val="both"/>
        <w:rPr>
          <w:color w:val="000000"/>
        </w:rPr>
      </w:pPr>
      <w:r w:rsidRPr="00A61989">
        <w:rPr>
          <w:rFonts w:ascii="Palatino Linotype" w:eastAsia="Palatino Linotype" w:hAnsi="Palatino Linotype" w:cs="Palatino Linotype"/>
          <w:color w:val="000000"/>
        </w:rPr>
        <w:t xml:space="preserve">En virtud de los argumentos expuestos con anterioridad así como del análisis realizado a las constancias que obran en el expediente electrónico del SAIMEX, identificado con folio </w:t>
      </w:r>
      <w:r w:rsidRPr="00A61989">
        <w:rPr>
          <w:rFonts w:ascii="Palatino Linotype" w:eastAsia="Palatino Linotype" w:hAnsi="Palatino Linotype" w:cs="Palatino Linotype"/>
          <w:b/>
          <w:color w:val="000000"/>
        </w:rPr>
        <w:t>7583/INFOEM/IP/RR/2024</w:t>
      </w:r>
      <w:r w:rsidRPr="00A61989">
        <w:rPr>
          <w:rFonts w:ascii="Palatino Linotype" w:eastAsia="Palatino Linotype" w:hAnsi="Palatino Linotype" w:cs="Palatino Linotype"/>
          <w:color w:val="000000"/>
        </w:rPr>
        <w:t>, se determina sobreseer 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 en la fracción III, del artículo 191, del ordenamiento legal en cita, los que se transcriben a continuación, para un mejor entendimiento:</w:t>
      </w:r>
    </w:p>
    <w:p w:rsidR="008D0320" w:rsidRPr="00A61989" w:rsidRDefault="008D0320" w:rsidP="008D0320">
      <w:pPr>
        <w:pStyle w:val="Citas"/>
        <w:spacing w:line="240" w:lineRule="auto"/>
      </w:pPr>
      <w:r w:rsidRPr="00A61989">
        <w:t>“</w:t>
      </w:r>
      <w:r w:rsidRPr="00A61989">
        <w:rPr>
          <w:b/>
        </w:rPr>
        <w:t>Artículo 191</w:t>
      </w:r>
      <w:r w:rsidRPr="00A61989">
        <w:t xml:space="preserve">. El recurso será desechado por improcedente cuando: </w:t>
      </w:r>
      <w:r w:rsidRPr="00A61989">
        <w:tab/>
      </w:r>
    </w:p>
    <w:p w:rsidR="008D0320" w:rsidRPr="00A61989" w:rsidRDefault="008D0320" w:rsidP="00190E3F">
      <w:pPr>
        <w:pStyle w:val="Citas"/>
        <w:numPr>
          <w:ilvl w:val="0"/>
          <w:numId w:val="41"/>
        </w:numPr>
        <w:spacing w:before="0" w:after="0" w:line="240" w:lineRule="auto"/>
        <w:ind w:left="1276" w:hanging="357"/>
        <w:rPr>
          <w:rFonts w:cs="Times New Roman"/>
          <w:lang w:val="es-ES" w:eastAsia="es-ES"/>
        </w:rPr>
      </w:pPr>
      <w:r w:rsidRPr="00A61989">
        <w:rPr>
          <w:rFonts w:cs="Times New Roman"/>
          <w:lang w:val="es-ES" w:eastAsia="es-ES"/>
        </w:rPr>
        <w:t xml:space="preserve">Sea extemporáneo por haber transcurrido el plazo establecido en la presente Ley, a partir de la respuesta; </w:t>
      </w:r>
    </w:p>
    <w:p w:rsidR="008D0320" w:rsidRPr="00A61989" w:rsidRDefault="008D0320" w:rsidP="008D0320">
      <w:pPr>
        <w:pStyle w:val="Citas"/>
        <w:numPr>
          <w:ilvl w:val="0"/>
          <w:numId w:val="41"/>
        </w:numPr>
        <w:spacing w:line="240" w:lineRule="auto"/>
        <w:ind w:left="1276"/>
        <w:rPr>
          <w:lang w:val="es-ES" w:eastAsia="es-ES"/>
        </w:rPr>
      </w:pPr>
      <w:r w:rsidRPr="00A61989">
        <w:rPr>
          <w:rFonts w:cs="Times New Roman"/>
          <w:lang w:val="es-ES" w:eastAsia="es-ES"/>
        </w:rPr>
        <w:t xml:space="preserve">Se esté tramitando ante el Poder Judicial de la Federación algún recurso o medio de defensa interpuesto por el recurrente; </w:t>
      </w:r>
    </w:p>
    <w:p w:rsidR="008D0320" w:rsidRPr="00A61989" w:rsidRDefault="008D0320" w:rsidP="008D0320">
      <w:pPr>
        <w:pStyle w:val="Citas"/>
        <w:numPr>
          <w:ilvl w:val="0"/>
          <w:numId w:val="41"/>
        </w:numPr>
        <w:spacing w:line="240" w:lineRule="auto"/>
        <w:ind w:left="1276"/>
        <w:rPr>
          <w:b/>
          <w:u w:val="single"/>
          <w:lang w:val="es-ES" w:eastAsia="es-ES"/>
        </w:rPr>
      </w:pPr>
      <w:r w:rsidRPr="00A61989">
        <w:rPr>
          <w:rFonts w:cs="Times New Roman"/>
          <w:b/>
          <w:u w:val="single"/>
          <w:lang w:val="es-ES" w:eastAsia="es-ES"/>
        </w:rPr>
        <w:t xml:space="preserve">No actualice alguno de los supuestos previstos en la presente Ley; </w:t>
      </w:r>
    </w:p>
    <w:p w:rsidR="008D0320" w:rsidRPr="00A61989" w:rsidRDefault="008D0320" w:rsidP="008D0320">
      <w:pPr>
        <w:pStyle w:val="Citas"/>
        <w:numPr>
          <w:ilvl w:val="0"/>
          <w:numId w:val="41"/>
        </w:numPr>
        <w:spacing w:line="240" w:lineRule="auto"/>
        <w:ind w:left="1276"/>
        <w:rPr>
          <w:lang w:val="es-ES" w:eastAsia="es-ES"/>
        </w:rPr>
      </w:pPr>
      <w:r w:rsidRPr="00A61989">
        <w:rPr>
          <w:rFonts w:cs="Times New Roman"/>
          <w:lang w:val="es-ES" w:eastAsia="es-ES"/>
        </w:rPr>
        <w:t xml:space="preserve">No se haya desahogado la prevención en los términos establecidos en la presente Ley; </w:t>
      </w:r>
    </w:p>
    <w:p w:rsidR="008D0320" w:rsidRPr="00A61989" w:rsidRDefault="008D0320" w:rsidP="008D0320">
      <w:pPr>
        <w:pStyle w:val="Citas"/>
        <w:numPr>
          <w:ilvl w:val="0"/>
          <w:numId w:val="41"/>
        </w:numPr>
        <w:spacing w:line="240" w:lineRule="auto"/>
        <w:ind w:left="1276"/>
        <w:rPr>
          <w:lang w:val="es-ES" w:eastAsia="es-ES"/>
        </w:rPr>
      </w:pPr>
      <w:r w:rsidRPr="00A61989">
        <w:rPr>
          <w:rFonts w:cs="Times New Roman"/>
          <w:lang w:val="es-ES" w:eastAsia="es-ES"/>
        </w:rPr>
        <w:t xml:space="preserve">Se impugne la veracidad de la información proporcionada; </w:t>
      </w:r>
    </w:p>
    <w:p w:rsidR="008D0320" w:rsidRPr="00A61989" w:rsidRDefault="008D0320" w:rsidP="008D0320">
      <w:pPr>
        <w:pStyle w:val="Citas"/>
        <w:numPr>
          <w:ilvl w:val="0"/>
          <w:numId w:val="41"/>
        </w:numPr>
        <w:spacing w:line="240" w:lineRule="auto"/>
        <w:ind w:left="1276"/>
        <w:rPr>
          <w:bCs/>
          <w:lang w:val="es-ES" w:eastAsia="es-ES"/>
        </w:rPr>
      </w:pPr>
      <w:r w:rsidRPr="00A61989">
        <w:rPr>
          <w:rFonts w:cs="Times New Roman"/>
          <w:bCs/>
          <w:lang w:val="es-ES" w:eastAsia="es-ES"/>
        </w:rPr>
        <w:t xml:space="preserve">Se trate de una consulta, o trámite en específico; y </w:t>
      </w:r>
    </w:p>
    <w:p w:rsidR="008D0320" w:rsidRPr="00A61989" w:rsidRDefault="008D0320" w:rsidP="008D0320">
      <w:pPr>
        <w:pStyle w:val="Citas"/>
        <w:numPr>
          <w:ilvl w:val="0"/>
          <w:numId w:val="41"/>
        </w:numPr>
        <w:spacing w:line="240" w:lineRule="auto"/>
        <w:ind w:left="1276"/>
        <w:rPr>
          <w:lang w:val="es-ES" w:eastAsia="es-ES"/>
        </w:rPr>
      </w:pPr>
      <w:r w:rsidRPr="00A61989">
        <w:rPr>
          <w:rFonts w:cs="Times New Roman"/>
          <w:lang w:val="es-ES" w:eastAsia="es-ES"/>
        </w:rPr>
        <w:t xml:space="preserve">El recurrente amplíe su solicitud en el recurso de revisión, únicamente respecto de los nuevos contenidos.” </w:t>
      </w:r>
      <w:r w:rsidRPr="00A61989">
        <w:rPr>
          <w:rFonts w:cs="Times New Roman"/>
          <w:b/>
          <w:bCs/>
          <w:lang w:val="es-ES" w:eastAsia="es-ES"/>
        </w:rPr>
        <w:t>(Sic)</w:t>
      </w:r>
    </w:p>
    <w:p w:rsidR="008D0320" w:rsidRPr="00A61989" w:rsidRDefault="008D0320" w:rsidP="008D0320">
      <w:pPr>
        <w:pStyle w:val="Citas"/>
        <w:spacing w:line="240" w:lineRule="auto"/>
        <w:ind w:left="993"/>
        <w:rPr>
          <w:lang w:val="es-ES" w:eastAsia="es-ES"/>
        </w:rPr>
      </w:pPr>
      <w:r w:rsidRPr="00A61989">
        <w:rPr>
          <w:lang w:val="es-ES" w:eastAsia="es-ES"/>
        </w:rPr>
        <w:t xml:space="preserve"> “</w:t>
      </w:r>
      <w:r w:rsidRPr="00A61989">
        <w:rPr>
          <w:b/>
          <w:lang w:val="es-ES" w:eastAsia="es-ES"/>
        </w:rPr>
        <w:t>Artículo 192</w:t>
      </w:r>
      <w:r w:rsidRPr="00A61989">
        <w:rPr>
          <w:lang w:val="es-ES" w:eastAsia="es-ES"/>
        </w:rPr>
        <w:t>. El recurso será sobreseído, en todo o en parte, cuando una vez admitido, se actualicen alguno de los siguientes supuestos:</w:t>
      </w:r>
    </w:p>
    <w:p w:rsidR="008D0320" w:rsidRPr="00A61989" w:rsidRDefault="008D0320" w:rsidP="008D0320">
      <w:pPr>
        <w:pStyle w:val="Citas"/>
        <w:numPr>
          <w:ilvl w:val="0"/>
          <w:numId w:val="42"/>
        </w:numPr>
        <w:spacing w:line="240" w:lineRule="auto"/>
        <w:ind w:left="1418"/>
        <w:rPr>
          <w:lang w:val="es-ES" w:eastAsia="es-ES"/>
        </w:rPr>
      </w:pPr>
      <w:r w:rsidRPr="00A61989">
        <w:rPr>
          <w:lang w:val="es-ES" w:eastAsia="es-ES"/>
        </w:rPr>
        <w:t xml:space="preserve">El recurrente se desista expresamente del recurso; </w:t>
      </w:r>
    </w:p>
    <w:p w:rsidR="008D0320" w:rsidRPr="00A61989" w:rsidRDefault="008D0320" w:rsidP="008D0320">
      <w:pPr>
        <w:pStyle w:val="Citas"/>
        <w:numPr>
          <w:ilvl w:val="0"/>
          <w:numId w:val="42"/>
        </w:numPr>
        <w:spacing w:line="240" w:lineRule="auto"/>
        <w:ind w:left="993" w:firstLine="0"/>
        <w:rPr>
          <w:lang w:val="es-ES" w:eastAsia="es-ES"/>
        </w:rPr>
      </w:pPr>
      <w:r w:rsidRPr="00A61989">
        <w:rPr>
          <w:lang w:val="es-ES" w:eastAsia="es-ES"/>
        </w:rPr>
        <w:lastRenderedPageBreak/>
        <w:t xml:space="preserve">El recurrente fallezca o, tratándose de personas jurídicas colectivas, se disuelva; </w:t>
      </w:r>
    </w:p>
    <w:p w:rsidR="008D0320" w:rsidRPr="00A61989" w:rsidRDefault="008D0320" w:rsidP="008D0320">
      <w:pPr>
        <w:pStyle w:val="Citas"/>
        <w:numPr>
          <w:ilvl w:val="0"/>
          <w:numId w:val="42"/>
        </w:numPr>
        <w:spacing w:line="240" w:lineRule="auto"/>
        <w:ind w:left="993" w:firstLine="0"/>
        <w:rPr>
          <w:lang w:val="es-ES" w:eastAsia="es-ES"/>
        </w:rPr>
      </w:pPr>
      <w:r w:rsidRPr="00A61989">
        <w:rPr>
          <w:lang w:val="es-ES" w:eastAsia="es-ES"/>
        </w:rPr>
        <w:t xml:space="preserve">El sujeto obligado responsable del acto lo modifique o revoque de tal manera que el recurso de revisión quede sin materia; </w:t>
      </w:r>
    </w:p>
    <w:p w:rsidR="008D0320" w:rsidRPr="00A61989" w:rsidRDefault="008D0320" w:rsidP="008D0320">
      <w:pPr>
        <w:pStyle w:val="Citas"/>
        <w:numPr>
          <w:ilvl w:val="0"/>
          <w:numId w:val="42"/>
        </w:numPr>
        <w:spacing w:line="240" w:lineRule="auto"/>
        <w:ind w:left="993" w:firstLine="0"/>
        <w:rPr>
          <w:b/>
          <w:bCs/>
          <w:u w:val="single"/>
          <w:lang w:val="es-ES" w:eastAsia="es-ES"/>
        </w:rPr>
      </w:pPr>
      <w:r w:rsidRPr="00A61989">
        <w:rPr>
          <w:b/>
          <w:bCs/>
          <w:u w:val="single"/>
          <w:lang w:val="es-ES" w:eastAsia="es-ES"/>
        </w:rPr>
        <w:t xml:space="preserve">Admitido el recurso de revisión, aparezca alguna causal de improcedencia en los términos de la presente Ley; y </w:t>
      </w:r>
    </w:p>
    <w:p w:rsidR="008D0320" w:rsidRPr="00A61989" w:rsidRDefault="008D0320" w:rsidP="008D0320">
      <w:pPr>
        <w:pStyle w:val="Citas"/>
        <w:numPr>
          <w:ilvl w:val="0"/>
          <w:numId w:val="42"/>
        </w:numPr>
        <w:spacing w:line="240" w:lineRule="auto"/>
        <w:ind w:left="993" w:firstLine="0"/>
        <w:rPr>
          <w:lang w:val="es-ES" w:eastAsia="es-ES"/>
        </w:rPr>
      </w:pPr>
      <w:r w:rsidRPr="00A61989">
        <w:rPr>
          <w:lang w:val="es-ES" w:eastAsia="es-ES"/>
        </w:rPr>
        <w:t xml:space="preserve">Cuando por cualquier motivo quede sin materia el recurso.” </w:t>
      </w:r>
      <w:r w:rsidRPr="00A61989">
        <w:rPr>
          <w:b/>
          <w:bCs/>
          <w:lang w:val="es-ES" w:eastAsia="es-ES"/>
        </w:rPr>
        <w:t>(Sic)</w:t>
      </w:r>
    </w:p>
    <w:p w:rsidR="008D0320" w:rsidRPr="00A61989" w:rsidRDefault="008D0320" w:rsidP="008D0320">
      <w:pPr>
        <w:spacing w:before="240" w:line="360" w:lineRule="auto"/>
        <w:ind w:right="49"/>
        <w:jc w:val="both"/>
        <w:rPr>
          <w:rFonts w:ascii="Palatino Linotype" w:eastAsia="Palatino Linotype" w:hAnsi="Palatino Linotype" w:cs="Palatino Linotype"/>
        </w:rPr>
      </w:pPr>
    </w:p>
    <w:p w:rsidR="008D0320" w:rsidRPr="00A61989" w:rsidRDefault="008D0320" w:rsidP="00404588">
      <w:pPr>
        <w:numPr>
          <w:ilvl w:val="0"/>
          <w:numId w:val="2"/>
        </w:numPr>
        <w:spacing w:line="360" w:lineRule="auto"/>
        <w:ind w:left="0" w:firstLine="0"/>
        <w:jc w:val="both"/>
      </w:pPr>
      <w:r w:rsidRPr="00A61989">
        <w:rPr>
          <w:rFonts w:ascii="Palatino Linotype" w:eastAsia="Palatino Linotype" w:hAnsi="Palatino Linotype" w:cs="Palatino Linotype"/>
        </w:rPr>
        <w:t xml:space="preserve">Siendo el </w:t>
      </w:r>
      <w:r w:rsidRPr="00A61989">
        <w:rPr>
          <w:rFonts w:ascii="Palatino Linotype" w:eastAsia="Palatino Linotype" w:hAnsi="Palatino Linotype" w:cs="Palatino Linotype"/>
          <w:i/>
        </w:rPr>
        <w:t>sobreseimiento</w:t>
      </w:r>
      <w:r w:rsidRPr="00A61989">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son los dar por concluido el recurso administrativo sin entrar al estudio de fondo del asunto de que se trate; lo anterior con apoyo en el criterio del Poder Judicial de la Federación con rubro:</w:t>
      </w:r>
    </w:p>
    <w:p w:rsidR="008D0320" w:rsidRPr="00A61989" w:rsidRDefault="008D0320" w:rsidP="008D0320">
      <w:pPr>
        <w:ind w:right="49"/>
        <w:jc w:val="both"/>
        <w:rPr>
          <w:rFonts w:ascii="Palatino Linotype" w:eastAsia="Palatino Linotype" w:hAnsi="Palatino Linotype" w:cs="Palatino Linotype"/>
        </w:rPr>
      </w:pPr>
    </w:p>
    <w:p w:rsidR="008D0320" w:rsidRPr="00A61989" w:rsidRDefault="008D0320" w:rsidP="008E7DF9">
      <w:pPr>
        <w:ind w:left="1134" w:right="900"/>
        <w:jc w:val="both"/>
        <w:rPr>
          <w:rFonts w:ascii="Palatino Linotype" w:eastAsia="Palatino Linotype" w:hAnsi="Palatino Linotype" w:cs="Palatino Linotype"/>
          <w:b/>
          <w:sz w:val="22"/>
          <w:szCs w:val="22"/>
        </w:rPr>
      </w:pPr>
      <w:r w:rsidRPr="00A61989">
        <w:rPr>
          <w:rFonts w:ascii="Palatino Linotype" w:eastAsia="Palatino Linotype" w:hAnsi="Palatino Linotype" w:cs="Palatino Linotype"/>
          <w:sz w:val="22"/>
          <w:szCs w:val="22"/>
        </w:rPr>
        <w:t>“</w:t>
      </w:r>
      <w:r w:rsidRPr="00A61989">
        <w:rPr>
          <w:rFonts w:ascii="Palatino Linotype" w:eastAsia="Palatino Linotype" w:hAnsi="Palatino Linotype" w:cs="Palatino Linotype"/>
          <w:b/>
          <w:sz w:val="22"/>
          <w:szCs w:val="22"/>
        </w:rPr>
        <w:t>SOBRESEIMIENTO, NO PERMITE ENTRAR AL ESTUDIO DE LAS CUESTIONES DE FONDO”</w:t>
      </w:r>
      <w:r w:rsidRPr="00A61989">
        <w:rPr>
          <w:rFonts w:ascii="Palatino Linotype" w:eastAsia="Palatino Linotype" w:hAnsi="Palatino Linotype" w:cs="Palatino Linotype"/>
          <w:b/>
          <w:sz w:val="22"/>
          <w:szCs w:val="22"/>
          <w:vertAlign w:val="superscript"/>
        </w:rPr>
        <w:footnoteReference w:id="6"/>
      </w:r>
      <w:r w:rsidRPr="00A61989">
        <w:rPr>
          <w:rFonts w:ascii="Palatino Linotype" w:eastAsia="Palatino Linotype" w:hAnsi="Palatino Linotype" w:cs="Palatino Linotype"/>
          <w:b/>
          <w:sz w:val="22"/>
          <w:szCs w:val="22"/>
        </w:rPr>
        <w:t>.</w:t>
      </w:r>
    </w:p>
    <w:p w:rsidR="008D0320" w:rsidRPr="00A61989" w:rsidRDefault="008D0320" w:rsidP="008D0320">
      <w:pPr>
        <w:ind w:left="1134" w:right="49"/>
        <w:jc w:val="both"/>
        <w:rPr>
          <w:rFonts w:ascii="Palatino Linotype" w:eastAsia="Palatino Linotype" w:hAnsi="Palatino Linotype" w:cs="Palatino Linotype"/>
          <w:b/>
        </w:rPr>
      </w:pPr>
      <w:bookmarkStart w:id="6" w:name="_heading=h.4d34og8" w:colFirst="0" w:colLast="0"/>
      <w:bookmarkEnd w:id="6"/>
    </w:p>
    <w:p w:rsidR="008D0320" w:rsidRPr="00A61989" w:rsidRDefault="008D0320" w:rsidP="00404588">
      <w:pPr>
        <w:numPr>
          <w:ilvl w:val="0"/>
          <w:numId w:val="2"/>
        </w:numPr>
        <w:spacing w:line="360" w:lineRule="auto"/>
        <w:ind w:left="0" w:firstLine="0"/>
        <w:jc w:val="both"/>
      </w:pPr>
      <w:r w:rsidRPr="00A61989">
        <w:rPr>
          <w:rFonts w:ascii="Palatino Linotype" w:eastAsia="Palatino Linotype" w:hAnsi="Palatino Linotype" w:cs="Palatino Linotype"/>
        </w:rPr>
        <w:t>Cabe destacar que la decisión de este órgano colegiado de sobreseer el recurso de revisión no implica una limitación o negación a la justicia, según lo ha establecido el Poder Judicial Federal, en el criterio con rubro “</w:t>
      </w:r>
      <w:r w:rsidRPr="00A61989">
        <w:rPr>
          <w:rFonts w:ascii="Palatino Linotype" w:eastAsia="Palatino Linotype" w:hAnsi="Palatino Linotype" w:cs="Palatino Linotype"/>
          <w:b/>
        </w:rPr>
        <w:t xml:space="preserve">DESECHAMIENTO O SOBRESEIMIENTO EN EL JUICIO DE AMPARO. NO IMPLICA </w:t>
      </w:r>
      <w:r w:rsidRPr="00A61989">
        <w:rPr>
          <w:rFonts w:ascii="Palatino Linotype" w:eastAsia="Palatino Linotype" w:hAnsi="Palatino Linotype" w:cs="Palatino Linotype"/>
          <w:b/>
        </w:rPr>
        <w:lastRenderedPageBreak/>
        <w:t>DENEGACIÓN DE JUSTICIA NI GENERA INSEGURIDAD JURÍDICA”</w:t>
      </w:r>
      <w:r w:rsidRPr="00A61989">
        <w:rPr>
          <w:rFonts w:ascii="Palatino Linotype" w:eastAsia="Palatino Linotype" w:hAnsi="Palatino Linotype" w:cs="Palatino Linotype"/>
          <w:b/>
          <w:vertAlign w:val="superscript"/>
        </w:rPr>
        <w:footnoteReference w:id="7"/>
      </w:r>
      <w:r w:rsidRPr="00A61989">
        <w:rPr>
          <w:rFonts w:ascii="Palatino Linotype" w:eastAsia="Palatino Linotype" w:hAnsi="Palatino Linotype" w:cs="Palatino Linotype"/>
        </w:rPr>
        <w:t xml:space="preserve"> que es aplicable por analogía.</w:t>
      </w:r>
    </w:p>
    <w:p w:rsidR="00190E3F" w:rsidRPr="00A61989" w:rsidRDefault="00190E3F" w:rsidP="00190E3F">
      <w:pPr>
        <w:spacing w:line="360" w:lineRule="auto"/>
        <w:ind w:right="49"/>
        <w:jc w:val="both"/>
      </w:pPr>
    </w:p>
    <w:p w:rsidR="00190E3F" w:rsidRPr="00A61989" w:rsidRDefault="00190E3F" w:rsidP="00404588">
      <w:pPr>
        <w:numPr>
          <w:ilvl w:val="0"/>
          <w:numId w:val="2"/>
        </w:numPr>
        <w:spacing w:line="360" w:lineRule="auto"/>
        <w:ind w:left="0" w:firstLine="0"/>
        <w:jc w:val="both"/>
        <w:rPr>
          <w:rFonts w:ascii="Palatino Linotype" w:eastAsia="Palatino Linotype" w:hAnsi="Palatino Linotype" w:cs="Palatino Linotype"/>
          <w:b/>
          <w:color w:val="000000"/>
        </w:rPr>
      </w:pPr>
      <w:r w:rsidRPr="00A61989">
        <w:rPr>
          <w:rFonts w:ascii="Palatino Linotype" w:eastAsia="Palatino Linotype" w:hAnsi="Palatino Linotype" w:cs="Palatino Linotype"/>
        </w:rPr>
        <w:t xml:space="preserve">De lo expuesto </w:t>
      </w:r>
      <w:r w:rsidRPr="00A61989">
        <w:rPr>
          <w:rFonts w:ascii="Palatino Linotype" w:eastAsia="Palatino Linotype" w:hAnsi="Palatino Linotype" w:cs="Palatino Linotype"/>
          <w:color w:val="000000"/>
        </w:rPr>
        <w:t xml:space="preserve">se actualiza la causal de improcedencia establecida en los artículos 192, fracción IV, y 191, fracción </w:t>
      </w:r>
      <w:r w:rsidR="0028429E" w:rsidRPr="00A61989">
        <w:rPr>
          <w:rFonts w:ascii="Palatino Linotype" w:eastAsia="Palatino Linotype" w:hAnsi="Palatino Linotype" w:cs="Palatino Linotype"/>
          <w:color w:val="000000"/>
        </w:rPr>
        <w:t>III</w:t>
      </w:r>
      <w:r w:rsidRPr="00A61989">
        <w:rPr>
          <w:rFonts w:ascii="Palatino Linotype" w:eastAsia="Palatino Linotype" w:hAnsi="Palatino Linotype" w:cs="Palatino Linotype"/>
          <w:color w:val="000000"/>
        </w:rPr>
        <w:t xml:space="preserve">, de la Ley de Transparencia vigente en la entidad, por lo que se </w:t>
      </w:r>
      <w:r w:rsidRPr="00A61989">
        <w:rPr>
          <w:rFonts w:ascii="Palatino Linotype" w:eastAsia="Palatino Linotype" w:hAnsi="Palatino Linotype" w:cs="Palatino Linotype"/>
          <w:b/>
          <w:color w:val="000000"/>
        </w:rPr>
        <w:t xml:space="preserve">Sobresee </w:t>
      </w:r>
      <w:r w:rsidRPr="00A61989">
        <w:rPr>
          <w:rFonts w:ascii="Palatino Linotype" w:eastAsia="Palatino Linotype" w:hAnsi="Palatino Linotype" w:cs="Palatino Linotype"/>
          <w:color w:val="000000"/>
        </w:rPr>
        <w:t xml:space="preserve">el recurso de revisión </w:t>
      </w:r>
      <w:r w:rsidRPr="00A61989">
        <w:rPr>
          <w:rFonts w:ascii="Palatino Linotype" w:eastAsia="Palatino Linotype" w:hAnsi="Palatino Linotype" w:cs="Palatino Linotype"/>
          <w:b/>
          <w:color w:val="000000"/>
        </w:rPr>
        <w:t>07583/INFOEM/IP/RR/2024</w:t>
      </w:r>
      <w:r w:rsidRPr="00A61989">
        <w:rPr>
          <w:rFonts w:ascii="Palatino Linotype" w:eastAsia="Palatino Linotype" w:hAnsi="Palatino Linotype" w:cs="Palatino Linotype"/>
          <w:color w:val="000000"/>
        </w:rPr>
        <w:t>, que ha sido materia del presente fallo.</w:t>
      </w:r>
    </w:p>
    <w:p w:rsidR="008D0320" w:rsidRPr="00A61989" w:rsidRDefault="008D0320" w:rsidP="00321C23">
      <w:pPr>
        <w:spacing w:line="360" w:lineRule="auto"/>
        <w:jc w:val="both"/>
      </w:pPr>
    </w:p>
    <w:p w:rsidR="00926191" w:rsidRPr="00A61989" w:rsidRDefault="00926191" w:rsidP="00487E5B">
      <w:pPr>
        <w:spacing w:line="360" w:lineRule="auto"/>
        <w:jc w:val="both"/>
        <w:rPr>
          <w:rFonts w:ascii="Palatino Linotype" w:eastAsia="Palatino Linotype" w:hAnsi="Palatino Linotype" w:cs="Palatino Linotype"/>
          <w:color w:val="000000"/>
        </w:rPr>
      </w:pPr>
    </w:p>
    <w:p w:rsidR="00487E5B" w:rsidRPr="00A61989" w:rsidRDefault="00487E5B" w:rsidP="00487E5B">
      <w:pPr>
        <w:numPr>
          <w:ilvl w:val="0"/>
          <w:numId w:val="22"/>
        </w:numPr>
        <w:pBdr>
          <w:top w:val="nil"/>
          <w:left w:val="nil"/>
          <w:bottom w:val="nil"/>
          <w:right w:val="nil"/>
          <w:between w:val="nil"/>
        </w:pBdr>
        <w:spacing w:line="360" w:lineRule="auto"/>
        <w:ind w:right="276"/>
        <w:jc w:val="both"/>
        <w:rPr>
          <w:rFonts w:ascii="Palatino Linotype" w:eastAsia="Palatino Linotype" w:hAnsi="Palatino Linotype" w:cs="Palatino Linotype"/>
          <w:b/>
          <w:color w:val="000000"/>
        </w:rPr>
      </w:pPr>
      <w:r w:rsidRPr="00A61989">
        <w:rPr>
          <w:rFonts w:ascii="Palatino Linotype" w:eastAsia="Palatino Linotype" w:hAnsi="Palatino Linotype" w:cs="Palatino Linotype"/>
          <w:b/>
          <w:color w:val="000000"/>
          <w:u w:val="single"/>
        </w:rPr>
        <w:t xml:space="preserve">Conclusión </w:t>
      </w:r>
    </w:p>
    <w:p w:rsidR="00A936AE" w:rsidRPr="00A61989" w:rsidRDefault="00A936AE" w:rsidP="00A936AE">
      <w:pPr>
        <w:spacing w:line="360" w:lineRule="auto"/>
        <w:jc w:val="both"/>
        <w:rPr>
          <w:rFonts w:ascii="Palatino Linotype" w:eastAsia="Palatino Linotype" w:hAnsi="Palatino Linotype" w:cs="Palatino Linotype"/>
          <w:color w:val="000000"/>
        </w:rPr>
      </w:pPr>
    </w:p>
    <w:p w:rsidR="00C97D53" w:rsidRPr="00A61989" w:rsidRDefault="00C97D53" w:rsidP="00B6726F">
      <w:pPr>
        <w:numPr>
          <w:ilvl w:val="0"/>
          <w:numId w:val="2"/>
        </w:numPr>
        <w:spacing w:line="360" w:lineRule="auto"/>
        <w:ind w:left="0" w:firstLine="0"/>
        <w:jc w:val="both"/>
        <w:rPr>
          <w:rFonts w:ascii="Palatino Linotype" w:hAnsi="Palatino Linotype"/>
          <w:b/>
          <w:color w:val="000000" w:themeColor="text1"/>
        </w:rPr>
      </w:pPr>
      <w:r w:rsidRPr="00A61989">
        <w:rPr>
          <w:rFonts w:ascii="Palatino Linotype" w:eastAsia="Palatino Linotype" w:hAnsi="Palatino Linotype" w:cs="Palatino Linotype"/>
          <w:color w:val="000000"/>
        </w:rPr>
        <w:t>Es</w:t>
      </w:r>
      <w:r w:rsidRPr="00A61989">
        <w:rPr>
          <w:rFonts w:ascii="Palatino Linotype" w:eastAsia="Palatino Linotype" w:hAnsi="Palatino Linotype" w:cs="Palatino Linotype"/>
        </w:rPr>
        <w:t xml:space="preserve"> así como, en mérito de lo expuesto en líneas anteriores, resultan </w:t>
      </w:r>
      <w:r w:rsidR="001C2402" w:rsidRPr="00A61989">
        <w:rPr>
          <w:rFonts w:ascii="Palatino Linotype" w:eastAsia="Palatino Linotype" w:hAnsi="Palatino Linotype" w:cs="Palatino Linotype"/>
          <w:b/>
        </w:rPr>
        <w:t>INFUNDADAS</w:t>
      </w:r>
      <w:r w:rsidR="001C2402" w:rsidRPr="00A61989">
        <w:rPr>
          <w:rFonts w:ascii="Palatino Linotype" w:eastAsia="Palatino Linotype" w:hAnsi="Palatino Linotype" w:cs="Palatino Linotype"/>
        </w:rPr>
        <w:t xml:space="preserve"> las razones hechas valer en el recurso de revisión </w:t>
      </w:r>
      <w:r w:rsidR="001C2402" w:rsidRPr="00A61989">
        <w:rPr>
          <w:rFonts w:ascii="Palatino Linotype" w:eastAsia="Palatino Linotype" w:hAnsi="Palatino Linotype" w:cs="Palatino Linotype"/>
          <w:b/>
          <w:color w:val="000000"/>
        </w:rPr>
        <w:t>07553/INFOEM/IP/RR/2024</w:t>
      </w:r>
      <w:r w:rsidR="001C2402" w:rsidRPr="00A61989">
        <w:rPr>
          <w:rFonts w:ascii="Palatino Linotype" w:eastAsia="Palatino Linotype" w:hAnsi="Palatino Linotype" w:cs="Palatino Linotype"/>
        </w:rPr>
        <w:t xml:space="preserve">, por lo que se </w:t>
      </w:r>
      <w:r w:rsidR="001C2402" w:rsidRPr="00A61989">
        <w:rPr>
          <w:rFonts w:ascii="Palatino Linotype" w:eastAsia="Palatino Linotype" w:hAnsi="Palatino Linotype" w:cs="Palatino Linotype"/>
          <w:b/>
        </w:rPr>
        <w:t>CONFIRMA</w:t>
      </w:r>
      <w:r w:rsidR="001C2402" w:rsidRPr="00A61989">
        <w:rPr>
          <w:rFonts w:ascii="Palatino Linotype" w:eastAsia="Palatino Linotype" w:hAnsi="Palatino Linotype" w:cs="Palatino Linotype"/>
        </w:rPr>
        <w:t xml:space="preserve"> la respuesta del </w:t>
      </w:r>
      <w:r w:rsidR="001C2402" w:rsidRPr="00A61989">
        <w:rPr>
          <w:rFonts w:ascii="Palatino Linotype" w:eastAsia="Palatino Linotype" w:hAnsi="Palatino Linotype" w:cs="Palatino Linotype"/>
          <w:b/>
        </w:rPr>
        <w:t>SUJETO OBLIGADO</w:t>
      </w:r>
      <w:r w:rsidR="001C2402" w:rsidRPr="00A61989">
        <w:rPr>
          <w:rFonts w:ascii="Palatino Linotype" w:eastAsia="Palatino Linotype" w:hAnsi="Palatino Linotype" w:cs="Palatino Linotype"/>
        </w:rPr>
        <w:t xml:space="preserve"> a la solicitud de información </w:t>
      </w:r>
      <w:r w:rsidR="001C2402" w:rsidRPr="00A61989">
        <w:rPr>
          <w:rFonts w:ascii="Palatino Linotype" w:eastAsia="Palatino Linotype" w:hAnsi="Palatino Linotype" w:cs="Palatino Linotype"/>
          <w:b/>
        </w:rPr>
        <w:t>00876/SF/IP/2024</w:t>
      </w:r>
      <w:r w:rsidR="001C2402" w:rsidRPr="00A61989">
        <w:rPr>
          <w:rFonts w:ascii="Palatino Linotype" w:eastAsia="Palatino Linotype" w:hAnsi="Palatino Linotype" w:cs="Palatino Linotype"/>
        </w:rPr>
        <w:t>; y</w:t>
      </w:r>
      <w:r w:rsidR="001C2402" w:rsidRPr="00A61989">
        <w:rPr>
          <w:rFonts w:ascii="Palatino Linotype" w:eastAsia="Palatino Linotype" w:hAnsi="Palatino Linotype" w:cs="Palatino Linotype"/>
          <w:b/>
        </w:rPr>
        <w:t xml:space="preserve"> </w:t>
      </w:r>
      <w:r w:rsidR="00FA4E5D" w:rsidRPr="00A61989">
        <w:rPr>
          <w:rFonts w:ascii="Palatino Linotype" w:eastAsia="Palatino Linotype" w:hAnsi="Palatino Linotype" w:cs="Palatino Linotype"/>
          <w:color w:val="000000"/>
        </w:rPr>
        <w:t xml:space="preserve">se actualiza la causal de improcedencia establecida en los artículos 192, fracción IV, y 191, fracción </w:t>
      </w:r>
      <w:r w:rsidR="00501D20" w:rsidRPr="00A61989">
        <w:rPr>
          <w:rFonts w:ascii="Palatino Linotype" w:eastAsia="Palatino Linotype" w:hAnsi="Palatino Linotype" w:cs="Palatino Linotype"/>
          <w:color w:val="000000"/>
        </w:rPr>
        <w:t>III</w:t>
      </w:r>
      <w:r w:rsidR="00FA4E5D" w:rsidRPr="00A61989">
        <w:rPr>
          <w:rFonts w:ascii="Palatino Linotype" w:eastAsia="Palatino Linotype" w:hAnsi="Palatino Linotype" w:cs="Palatino Linotype"/>
          <w:color w:val="000000"/>
        </w:rPr>
        <w:t xml:space="preserve">, de </w:t>
      </w:r>
      <w:r w:rsidR="00FA4E5D" w:rsidRPr="00A61989">
        <w:rPr>
          <w:rFonts w:ascii="Palatino Linotype" w:eastAsia="Palatino Linotype" w:hAnsi="Palatino Linotype" w:cs="Palatino Linotype"/>
          <w:color w:val="000000"/>
        </w:rPr>
        <w:lastRenderedPageBreak/>
        <w:t xml:space="preserve">la Ley de Transparencia vigente en la entidad, </w:t>
      </w:r>
      <w:r w:rsidR="00A60AA7" w:rsidRPr="00A61989">
        <w:rPr>
          <w:rFonts w:ascii="Palatino Linotype" w:eastAsia="Palatino Linotype" w:hAnsi="Palatino Linotype" w:cs="Palatino Linotype"/>
          <w:color w:val="000000"/>
        </w:rPr>
        <w:t xml:space="preserve">en el recurso de revisión </w:t>
      </w:r>
      <w:r w:rsidR="00A60AA7" w:rsidRPr="00A61989">
        <w:rPr>
          <w:rFonts w:ascii="Palatino Linotype" w:eastAsia="Palatino Linotype" w:hAnsi="Palatino Linotype" w:cs="Palatino Linotype"/>
          <w:b/>
          <w:color w:val="000000"/>
        </w:rPr>
        <w:t>07583/INFOEM/IP/RR/2024,</w:t>
      </w:r>
      <w:r w:rsidR="00FA4E5D" w:rsidRPr="00A61989">
        <w:rPr>
          <w:rFonts w:ascii="Palatino Linotype" w:eastAsia="Palatino Linotype" w:hAnsi="Palatino Linotype" w:cs="Palatino Linotype"/>
          <w:color w:val="000000"/>
        </w:rPr>
        <w:t xml:space="preserve">por lo que se </w:t>
      </w:r>
      <w:r w:rsidR="00A60AA7" w:rsidRPr="00A61989">
        <w:rPr>
          <w:rFonts w:ascii="Palatino Linotype" w:eastAsia="Palatino Linotype" w:hAnsi="Palatino Linotype" w:cs="Palatino Linotype"/>
          <w:b/>
          <w:color w:val="000000"/>
        </w:rPr>
        <w:t>SOBRESEE.</w:t>
      </w:r>
    </w:p>
    <w:p w:rsidR="00C97D53" w:rsidRPr="00A61989" w:rsidRDefault="00C97D53" w:rsidP="00487E5B">
      <w:pPr>
        <w:spacing w:line="360" w:lineRule="auto"/>
        <w:ind w:right="276"/>
        <w:jc w:val="both"/>
        <w:rPr>
          <w:rFonts w:ascii="Palatino Linotype" w:eastAsia="Palatino Linotype" w:hAnsi="Palatino Linotype" w:cs="Palatino Linotype"/>
        </w:rPr>
      </w:pPr>
    </w:p>
    <w:p w:rsidR="003F68C1" w:rsidRPr="00A61989" w:rsidRDefault="003F68C1" w:rsidP="00160FA0">
      <w:pPr>
        <w:numPr>
          <w:ilvl w:val="0"/>
          <w:numId w:val="2"/>
        </w:numPr>
        <w:spacing w:line="360" w:lineRule="auto"/>
        <w:ind w:left="0" w:firstLine="0"/>
        <w:jc w:val="both"/>
        <w:rPr>
          <w:rFonts w:ascii="Palatino Linotype" w:eastAsia="Palatino Linotype" w:hAnsi="Palatino Linotype" w:cs="Palatino Linotype"/>
          <w:b/>
          <w:color w:val="000000"/>
        </w:rPr>
      </w:pPr>
      <w:r w:rsidRPr="00A61989">
        <w:rPr>
          <w:rFonts w:ascii="Palatino Linotype" w:eastAsia="Palatino Linotype" w:hAnsi="Palatino Linotype" w:cs="Palatino Linotype"/>
          <w:color w:val="000000"/>
        </w:rPr>
        <w:t xml:space="preserve">Así, con fundamento en lo prescrito en los artículos 5 párrafos trigésimo segundo, trigésimo tercero y trigésimo cuarto de la Constitución Política del Estado Libre y Soberano de México; 2, fracción II; 29, 36 fracciones I y II; 176, 178, 181, 185 y 186 de la Ley de Transparencia y Acceso a la Información Pública del Estado de México y Municipios, este </w:t>
      </w:r>
      <w:r w:rsidRPr="00A61989">
        <w:rPr>
          <w:rFonts w:ascii="Palatino Linotype" w:eastAsia="Palatino Linotype" w:hAnsi="Palatino Linotype" w:cs="Palatino Linotype"/>
          <w:b/>
          <w:color w:val="000000"/>
        </w:rPr>
        <w:t>ÓRGANO GARANTE</w:t>
      </w:r>
      <w:r w:rsidRPr="00A61989">
        <w:rPr>
          <w:rFonts w:ascii="Palatino Linotype" w:eastAsia="Palatino Linotype" w:hAnsi="Palatino Linotype" w:cs="Palatino Linotype"/>
          <w:color w:val="000000"/>
        </w:rPr>
        <w:t xml:space="preserve"> emite los siguientes</w:t>
      </w:r>
      <w:r w:rsidRPr="00A61989">
        <w:rPr>
          <w:rFonts w:ascii="Palatino Linotype" w:eastAsia="Palatino Linotype" w:hAnsi="Palatino Linotype" w:cs="Palatino Linotype"/>
          <w:color w:val="222222"/>
        </w:rPr>
        <w:t xml:space="preserve">: </w:t>
      </w:r>
    </w:p>
    <w:p w:rsidR="00DF11FD" w:rsidRPr="00A61989" w:rsidRDefault="00DF11FD" w:rsidP="003F68C1">
      <w:pPr>
        <w:keepNext/>
        <w:keepLines/>
        <w:spacing w:line="360" w:lineRule="auto"/>
        <w:jc w:val="center"/>
        <w:rPr>
          <w:rFonts w:ascii="Palatino Linotype" w:eastAsia="Palatino Linotype" w:hAnsi="Palatino Linotype" w:cs="Palatino Linotype"/>
          <w:b/>
          <w:color w:val="000000"/>
        </w:rPr>
      </w:pPr>
    </w:p>
    <w:p w:rsidR="003F68C1" w:rsidRPr="00A61989" w:rsidRDefault="003F68C1" w:rsidP="003F68C1">
      <w:pPr>
        <w:keepNext/>
        <w:keepLines/>
        <w:spacing w:line="360" w:lineRule="auto"/>
        <w:jc w:val="center"/>
        <w:rPr>
          <w:rFonts w:ascii="Palatino Linotype" w:eastAsia="Palatino Linotype" w:hAnsi="Palatino Linotype" w:cs="Palatino Linotype"/>
          <w:b/>
          <w:color w:val="000000"/>
        </w:rPr>
      </w:pPr>
      <w:r w:rsidRPr="00A61989">
        <w:rPr>
          <w:rFonts w:ascii="Palatino Linotype" w:eastAsia="Palatino Linotype" w:hAnsi="Palatino Linotype" w:cs="Palatino Linotype"/>
          <w:b/>
          <w:color w:val="000000"/>
        </w:rPr>
        <w:t>R E S O L U T I V O S</w:t>
      </w:r>
    </w:p>
    <w:p w:rsidR="002A29F7" w:rsidRPr="00A61989" w:rsidRDefault="002A29F7" w:rsidP="006F6AC6">
      <w:pPr>
        <w:rPr>
          <w:rFonts w:ascii="Palatino Linotype" w:eastAsia="Palatino Linotype" w:hAnsi="Palatino Linotype" w:cs="Palatino Linotype"/>
          <w:b/>
        </w:rPr>
      </w:pPr>
    </w:p>
    <w:p w:rsidR="00023CE7" w:rsidRPr="00A61989" w:rsidRDefault="00F12910" w:rsidP="00B93675">
      <w:pPr>
        <w:spacing w:line="360" w:lineRule="auto"/>
        <w:ind w:right="276"/>
        <w:jc w:val="both"/>
        <w:rPr>
          <w:rFonts w:ascii="Palatino Linotype" w:eastAsia="Palatino Linotype" w:hAnsi="Palatino Linotype" w:cs="Palatino Linotype"/>
          <w:b/>
        </w:rPr>
      </w:pPr>
      <w:r w:rsidRPr="00A61989">
        <w:rPr>
          <w:rFonts w:ascii="Palatino Linotype" w:eastAsia="Palatino Linotype" w:hAnsi="Palatino Linotype" w:cs="Palatino Linotype"/>
          <w:b/>
        </w:rPr>
        <w:t>PRIMERO</w:t>
      </w:r>
      <w:r w:rsidRPr="00A61989">
        <w:rPr>
          <w:rFonts w:ascii="Palatino Linotype" w:eastAsia="Palatino Linotype" w:hAnsi="Palatino Linotype" w:cs="Palatino Linotype"/>
        </w:rPr>
        <w:t xml:space="preserve">. </w:t>
      </w:r>
      <w:r w:rsidR="00B94353" w:rsidRPr="00A61989">
        <w:rPr>
          <w:rFonts w:ascii="Palatino Linotype" w:eastAsia="Palatino Linotype" w:hAnsi="Palatino Linotype" w:cs="Palatino Linotype"/>
        </w:rPr>
        <w:t xml:space="preserve">Resultan </w:t>
      </w:r>
      <w:r w:rsidR="00B94353" w:rsidRPr="00A61989">
        <w:rPr>
          <w:rFonts w:ascii="Palatino Linotype" w:eastAsia="Palatino Linotype" w:hAnsi="Palatino Linotype" w:cs="Palatino Linotype"/>
          <w:b/>
        </w:rPr>
        <w:t>INFUNDADAS</w:t>
      </w:r>
      <w:r w:rsidR="00B94353" w:rsidRPr="00A61989">
        <w:rPr>
          <w:rFonts w:ascii="Palatino Linotype" w:eastAsia="Palatino Linotype" w:hAnsi="Palatino Linotype" w:cs="Palatino Linotype"/>
        </w:rPr>
        <w:t xml:space="preserve"> las razones o motivos de inconformidad hechos valer en el </w:t>
      </w:r>
      <w:r w:rsidR="0037590A" w:rsidRPr="00A61989">
        <w:rPr>
          <w:rFonts w:ascii="Palatino Linotype" w:eastAsia="Palatino Linotype" w:hAnsi="Palatino Linotype" w:cs="Palatino Linotype"/>
        </w:rPr>
        <w:t xml:space="preserve">Recurso </w:t>
      </w:r>
      <w:r w:rsidR="00B94353" w:rsidRPr="00A61989">
        <w:rPr>
          <w:rFonts w:ascii="Palatino Linotype" w:eastAsia="Palatino Linotype" w:hAnsi="Palatino Linotype" w:cs="Palatino Linotype"/>
        </w:rPr>
        <w:t xml:space="preserve">de </w:t>
      </w:r>
      <w:r w:rsidR="0037590A" w:rsidRPr="00A61989">
        <w:rPr>
          <w:rFonts w:ascii="Palatino Linotype" w:eastAsia="Palatino Linotype" w:hAnsi="Palatino Linotype" w:cs="Palatino Linotype"/>
        </w:rPr>
        <w:t xml:space="preserve">Revisión </w:t>
      </w:r>
      <w:r w:rsidR="00B94353" w:rsidRPr="00A61989">
        <w:rPr>
          <w:rFonts w:ascii="Palatino Linotype" w:eastAsia="Palatino Linotype" w:hAnsi="Palatino Linotype" w:cs="Palatino Linotype"/>
          <w:b/>
          <w:color w:val="000000"/>
        </w:rPr>
        <w:t>07553/INFOEM/IP/RR/2024</w:t>
      </w:r>
      <w:r w:rsidR="00B94353" w:rsidRPr="00A61989">
        <w:rPr>
          <w:rFonts w:ascii="Palatino Linotype" w:eastAsia="Palatino Linotype" w:hAnsi="Palatino Linotype" w:cs="Palatino Linotype"/>
        </w:rPr>
        <w:t xml:space="preserve">, por lo que se </w:t>
      </w:r>
      <w:r w:rsidR="00B94353" w:rsidRPr="00A61989">
        <w:rPr>
          <w:rFonts w:ascii="Palatino Linotype" w:eastAsia="Palatino Linotype" w:hAnsi="Palatino Linotype" w:cs="Palatino Linotype"/>
          <w:b/>
        </w:rPr>
        <w:t>CONFIRMA</w:t>
      </w:r>
      <w:r w:rsidR="00B94353" w:rsidRPr="00A61989">
        <w:rPr>
          <w:rFonts w:ascii="Palatino Linotype" w:eastAsia="Palatino Linotype" w:hAnsi="Palatino Linotype" w:cs="Palatino Linotype"/>
        </w:rPr>
        <w:t xml:space="preserve"> la respuesta del </w:t>
      </w:r>
      <w:r w:rsidR="00B94353" w:rsidRPr="00A61989">
        <w:rPr>
          <w:rFonts w:ascii="Palatino Linotype" w:eastAsia="Palatino Linotype" w:hAnsi="Palatino Linotype" w:cs="Palatino Linotype"/>
          <w:b/>
        </w:rPr>
        <w:t>SUJETO OBLIGADO</w:t>
      </w:r>
      <w:r w:rsidRPr="00A61989">
        <w:rPr>
          <w:rFonts w:ascii="Palatino Linotype" w:eastAsia="Palatino Linotype" w:hAnsi="Palatino Linotype" w:cs="Palatino Linotype"/>
        </w:rPr>
        <w:t>,</w:t>
      </w:r>
      <w:r w:rsidRPr="00A61989">
        <w:rPr>
          <w:rFonts w:ascii="Palatino Linotype" w:eastAsia="Palatino Linotype" w:hAnsi="Palatino Linotype" w:cs="Palatino Linotype"/>
          <w:b/>
        </w:rPr>
        <w:t xml:space="preserve"> </w:t>
      </w:r>
      <w:r w:rsidRPr="00A61989">
        <w:rPr>
          <w:rFonts w:ascii="Palatino Linotype" w:eastAsia="Palatino Linotype" w:hAnsi="Palatino Linotype" w:cs="Palatino Linotype"/>
        </w:rPr>
        <w:t xml:space="preserve">en términos del </w:t>
      </w:r>
      <w:r w:rsidRPr="00A61989">
        <w:rPr>
          <w:rFonts w:ascii="Palatino Linotype" w:eastAsia="Palatino Linotype" w:hAnsi="Palatino Linotype" w:cs="Palatino Linotype"/>
          <w:b/>
        </w:rPr>
        <w:t>Considerando</w:t>
      </w:r>
      <w:r w:rsidRPr="00A61989">
        <w:rPr>
          <w:rFonts w:ascii="Palatino Linotype" w:eastAsia="Palatino Linotype" w:hAnsi="Palatino Linotype" w:cs="Palatino Linotype"/>
        </w:rPr>
        <w:t xml:space="preserve"> </w:t>
      </w:r>
      <w:r w:rsidRPr="00A61989">
        <w:rPr>
          <w:rFonts w:ascii="Palatino Linotype" w:eastAsia="Palatino Linotype" w:hAnsi="Palatino Linotype" w:cs="Palatino Linotype"/>
          <w:b/>
        </w:rPr>
        <w:t>CUARTO</w:t>
      </w:r>
      <w:r w:rsidR="00515608" w:rsidRPr="00A61989">
        <w:rPr>
          <w:rFonts w:ascii="Palatino Linotype" w:eastAsia="Palatino Linotype" w:hAnsi="Palatino Linotype" w:cs="Palatino Linotype"/>
          <w:b/>
        </w:rPr>
        <w:t xml:space="preserve"> </w:t>
      </w:r>
      <w:r w:rsidR="00515608" w:rsidRPr="00A61989">
        <w:rPr>
          <w:rFonts w:ascii="Palatino Linotype" w:eastAsia="Palatino Linotype" w:hAnsi="Palatino Linotype" w:cs="Palatino Linotype"/>
        </w:rPr>
        <w:t>de la presente Resolución</w:t>
      </w:r>
      <w:r w:rsidR="00023CE7" w:rsidRPr="00A61989">
        <w:rPr>
          <w:rFonts w:ascii="Palatino Linotype" w:eastAsia="Palatino Linotype" w:hAnsi="Palatino Linotype" w:cs="Palatino Linotype"/>
          <w:b/>
        </w:rPr>
        <w:t>.</w:t>
      </w:r>
    </w:p>
    <w:p w:rsidR="00023CE7" w:rsidRPr="00A61989" w:rsidRDefault="00023CE7" w:rsidP="00B93675">
      <w:pPr>
        <w:spacing w:line="360" w:lineRule="auto"/>
        <w:ind w:right="276"/>
        <w:jc w:val="both"/>
        <w:rPr>
          <w:rFonts w:ascii="Palatino Linotype" w:eastAsia="Palatino Linotype" w:hAnsi="Palatino Linotype" w:cs="Palatino Linotype"/>
          <w:b/>
        </w:rPr>
      </w:pPr>
    </w:p>
    <w:p w:rsidR="0037590A" w:rsidRPr="00A61989" w:rsidRDefault="00023CE7" w:rsidP="0037590A">
      <w:pPr>
        <w:spacing w:line="360" w:lineRule="auto"/>
        <w:ind w:right="276"/>
        <w:jc w:val="both"/>
        <w:rPr>
          <w:rFonts w:ascii="Palatino Linotype" w:eastAsia="Palatino Linotype" w:hAnsi="Palatino Linotype" w:cs="Palatino Linotype"/>
        </w:rPr>
      </w:pPr>
      <w:r w:rsidRPr="00A61989">
        <w:rPr>
          <w:rFonts w:ascii="Palatino Linotype" w:eastAsia="Palatino Linotype" w:hAnsi="Palatino Linotype" w:cs="Palatino Linotype"/>
          <w:b/>
        </w:rPr>
        <w:t xml:space="preserve">SEGUNDO. </w:t>
      </w:r>
      <w:r w:rsidR="00F13069" w:rsidRPr="00A61989">
        <w:rPr>
          <w:rFonts w:ascii="Palatino Linotype" w:eastAsia="Palatino Linotype" w:hAnsi="Palatino Linotype" w:cs="Palatino Linotype"/>
        </w:rPr>
        <w:t xml:space="preserve">Se </w:t>
      </w:r>
      <w:r w:rsidR="00F13069" w:rsidRPr="00A61989">
        <w:rPr>
          <w:rFonts w:ascii="Palatino Linotype" w:eastAsia="Palatino Linotype" w:hAnsi="Palatino Linotype" w:cs="Palatino Linotype"/>
          <w:b/>
        </w:rPr>
        <w:t>SOBRESEE</w:t>
      </w:r>
      <w:r w:rsidR="00F13069" w:rsidRPr="00A61989">
        <w:rPr>
          <w:rFonts w:ascii="Palatino Linotype" w:eastAsia="Palatino Linotype" w:hAnsi="Palatino Linotype" w:cs="Palatino Linotype"/>
        </w:rPr>
        <w:t xml:space="preserve"> el Recurso de Revisión número </w:t>
      </w:r>
      <w:r w:rsidR="00F13069" w:rsidRPr="00A61989">
        <w:rPr>
          <w:rFonts w:ascii="Palatino Linotype" w:eastAsia="Palatino Linotype" w:hAnsi="Palatino Linotype" w:cs="Palatino Linotype"/>
          <w:b/>
        </w:rPr>
        <w:t>07583/INFOEM/IP/RR/2024</w:t>
      </w:r>
      <w:r w:rsidR="00F13069" w:rsidRPr="00A61989">
        <w:rPr>
          <w:rFonts w:ascii="Palatino Linotype" w:eastAsia="Palatino Linotype" w:hAnsi="Palatino Linotype" w:cs="Palatino Linotype"/>
        </w:rPr>
        <w:t xml:space="preserve">, por actualizarse la causal de improcedencia inmersa en </w:t>
      </w:r>
      <w:r w:rsidR="00F13069" w:rsidRPr="00A61989">
        <w:rPr>
          <w:rFonts w:ascii="Palatino Linotype" w:eastAsia="Palatino Linotype" w:hAnsi="Palatino Linotype" w:cs="Palatino Linotype"/>
          <w:color w:val="000000"/>
        </w:rPr>
        <w:t xml:space="preserve">los artículos 192, fracción IV, y 191, fracción </w:t>
      </w:r>
      <w:r w:rsidR="00512395" w:rsidRPr="00A61989">
        <w:rPr>
          <w:rFonts w:ascii="Palatino Linotype" w:eastAsia="Palatino Linotype" w:hAnsi="Palatino Linotype" w:cs="Palatino Linotype"/>
          <w:color w:val="000000"/>
        </w:rPr>
        <w:t>III</w:t>
      </w:r>
      <w:r w:rsidR="00F13069" w:rsidRPr="00A61989">
        <w:rPr>
          <w:rFonts w:ascii="Palatino Linotype" w:eastAsia="Palatino Linotype" w:hAnsi="Palatino Linotype" w:cs="Palatino Linotype"/>
        </w:rPr>
        <w:t xml:space="preserve">, de la Ley de Transparencia vigente en la entidad en términos del  </w:t>
      </w:r>
      <w:r w:rsidR="00F13069" w:rsidRPr="00A61989">
        <w:rPr>
          <w:rFonts w:ascii="Palatino Linotype" w:eastAsia="Palatino Linotype" w:hAnsi="Palatino Linotype" w:cs="Palatino Linotype"/>
          <w:b/>
        </w:rPr>
        <w:t xml:space="preserve">Considerando </w:t>
      </w:r>
      <w:r w:rsidR="00C80981" w:rsidRPr="00A61989">
        <w:rPr>
          <w:rFonts w:ascii="Palatino Linotype" w:eastAsia="Palatino Linotype" w:hAnsi="Palatino Linotype" w:cs="Palatino Linotype"/>
          <w:b/>
        </w:rPr>
        <w:t>CUARTO</w:t>
      </w:r>
      <w:r w:rsidR="00C80981" w:rsidRPr="00A61989">
        <w:rPr>
          <w:rFonts w:ascii="Palatino Linotype" w:eastAsia="Palatino Linotype" w:hAnsi="Palatino Linotype" w:cs="Palatino Linotype"/>
        </w:rPr>
        <w:t xml:space="preserve"> </w:t>
      </w:r>
      <w:r w:rsidR="00F13069" w:rsidRPr="00A61989">
        <w:rPr>
          <w:rFonts w:ascii="Palatino Linotype" w:eastAsia="Palatino Linotype" w:hAnsi="Palatino Linotype" w:cs="Palatino Linotype"/>
        </w:rPr>
        <w:t>de la presente resolución.</w:t>
      </w:r>
    </w:p>
    <w:p w:rsidR="006E5A2B" w:rsidRPr="00A61989" w:rsidRDefault="006E5A2B" w:rsidP="006F6AC6">
      <w:pPr>
        <w:spacing w:line="360" w:lineRule="auto"/>
        <w:jc w:val="both"/>
        <w:rPr>
          <w:rFonts w:ascii="Palatino Linotype" w:eastAsia="Palatino Linotype" w:hAnsi="Palatino Linotype" w:cs="Palatino Linotype"/>
          <w:b/>
        </w:rPr>
      </w:pPr>
    </w:p>
    <w:p w:rsidR="002A29F7" w:rsidRPr="00A61989" w:rsidRDefault="00FA6B10" w:rsidP="006F6AC6">
      <w:pPr>
        <w:shd w:val="clear" w:color="auto" w:fill="FFFFFF"/>
        <w:spacing w:line="360" w:lineRule="auto"/>
        <w:jc w:val="both"/>
        <w:rPr>
          <w:rFonts w:ascii="Palatino Linotype" w:eastAsia="Palatino Linotype" w:hAnsi="Palatino Linotype" w:cs="Palatino Linotype"/>
          <w:color w:val="000000"/>
        </w:rPr>
      </w:pPr>
      <w:r w:rsidRPr="00A61989">
        <w:rPr>
          <w:rFonts w:ascii="Palatino Linotype" w:eastAsia="Palatino Linotype" w:hAnsi="Palatino Linotype" w:cs="Palatino Linotype"/>
          <w:b/>
        </w:rPr>
        <w:t>TERCERO</w:t>
      </w:r>
      <w:r w:rsidR="00F12910" w:rsidRPr="00A61989">
        <w:rPr>
          <w:rFonts w:ascii="Palatino Linotype" w:eastAsia="Palatino Linotype" w:hAnsi="Palatino Linotype" w:cs="Palatino Linotype"/>
          <w:b/>
        </w:rPr>
        <w:t xml:space="preserve">. </w:t>
      </w:r>
      <w:r w:rsidRPr="00A61989">
        <w:rPr>
          <w:rFonts w:ascii="Palatino Linotype" w:eastAsia="Palatino Linotype" w:hAnsi="Palatino Linotype" w:cs="Palatino Linotype"/>
          <w:b/>
        </w:rPr>
        <w:t xml:space="preserve">Notifíquese </w:t>
      </w:r>
      <w:r w:rsidRPr="00A61989">
        <w:rPr>
          <w:rFonts w:ascii="Palatino Linotype" w:eastAsia="Palatino Linotype" w:hAnsi="Palatino Linotype" w:cs="Palatino Linotype"/>
        </w:rPr>
        <w:t xml:space="preserve">al Titular de la Unidad de Transparencia del </w:t>
      </w:r>
      <w:r w:rsidRPr="00A61989">
        <w:rPr>
          <w:rFonts w:ascii="Palatino Linotype" w:eastAsia="Palatino Linotype" w:hAnsi="Palatino Linotype" w:cs="Palatino Linotype"/>
          <w:b/>
        </w:rPr>
        <w:t xml:space="preserve">SUJETO OBLIGADO </w:t>
      </w:r>
      <w:r w:rsidRPr="00A61989">
        <w:rPr>
          <w:rFonts w:ascii="Palatino Linotype" w:eastAsia="Palatino Linotype" w:hAnsi="Palatino Linotype" w:cs="Palatino Linotype"/>
        </w:rPr>
        <w:t>vía SAIMEX, para su conocimiento</w:t>
      </w:r>
      <w:r w:rsidRPr="00A61989">
        <w:rPr>
          <w:rFonts w:ascii="Palatino Linotype" w:eastAsia="Palatino Linotype" w:hAnsi="Palatino Linotype" w:cs="Palatino Linotype"/>
          <w:color w:val="000000"/>
        </w:rPr>
        <w:t>.</w:t>
      </w:r>
    </w:p>
    <w:p w:rsidR="00A02B0D" w:rsidRPr="00A61989" w:rsidRDefault="00A02B0D" w:rsidP="00A02B0D">
      <w:pPr>
        <w:spacing w:line="360" w:lineRule="auto"/>
        <w:ind w:right="276"/>
        <w:jc w:val="both"/>
        <w:rPr>
          <w:rFonts w:ascii="Palatino Linotype" w:eastAsia="Palatino Linotype" w:hAnsi="Palatino Linotype" w:cs="Palatino Linotype"/>
        </w:rPr>
      </w:pPr>
      <w:bookmarkStart w:id="7" w:name="_heading=h.3rdcrjn" w:colFirst="0" w:colLast="0"/>
      <w:bookmarkEnd w:id="7"/>
    </w:p>
    <w:p w:rsidR="002A29F7" w:rsidRPr="00A61989" w:rsidRDefault="00FA6B10" w:rsidP="006F6AC6">
      <w:pPr>
        <w:tabs>
          <w:tab w:val="left" w:pos="8080"/>
        </w:tabs>
        <w:spacing w:line="360" w:lineRule="auto"/>
        <w:jc w:val="both"/>
        <w:rPr>
          <w:rFonts w:ascii="Palatino Linotype" w:eastAsia="Palatino Linotype" w:hAnsi="Palatino Linotype" w:cs="Palatino Linotype"/>
        </w:rPr>
      </w:pPr>
      <w:r w:rsidRPr="00A61989">
        <w:rPr>
          <w:rFonts w:ascii="Palatino Linotype" w:eastAsia="Palatino Linotype" w:hAnsi="Palatino Linotype" w:cs="Palatino Linotype"/>
          <w:b/>
        </w:rPr>
        <w:lastRenderedPageBreak/>
        <w:t>CUARTO</w:t>
      </w:r>
      <w:r w:rsidR="00F12910" w:rsidRPr="00A61989">
        <w:rPr>
          <w:rFonts w:ascii="Palatino Linotype" w:eastAsia="Palatino Linotype" w:hAnsi="Palatino Linotype" w:cs="Palatino Linotype"/>
          <w:b/>
        </w:rPr>
        <w:t xml:space="preserve">. </w:t>
      </w:r>
      <w:r w:rsidR="00F12910" w:rsidRPr="00A61989">
        <w:rPr>
          <w:rFonts w:ascii="Palatino Linotype" w:eastAsia="Palatino Linotype" w:hAnsi="Palatino Linotype" w:cs="Palatino Linotype"/>
          <w:b/>
          <w:color w:val="222222"/>
        </w:rPr>
        <w:t xml:space="preserve">Notifíquese </w:t>
      </w:r>
      <w:r w:rsidR="00ED3D8A" w:rsidRPr="00A61989">
        <w:rPr>
          <w:rFonts w:ascii="Palatino Linotype" w:eastAsia="Palatino Linotype" w:hAnsi="Palatino Linotype" w:cs="Palatino Linotype"/>
          <w:color w:val="222222"/>
        </w:rPr>
        <w:t>al</w:t>
      </w:r>
      <w:r w:rsidR="00F12910" w:rsidRPr="00A61989">
        <w:rPr>
          <w:rFonts w:ascii="Palatino Linotype" w:eastAsia="Palatino Linotype" w:hAnsi="Palatino Linotype" w:cs="Palatino Linotype"/>
          <w:b/>
          <w:color w:val="222222"/>
        </w:rPr>
        <w:t xml:space="preserve"> RECURRENTE</w:t>
      </w:r>
      <w:r w:rsidR="00F12910" w:rsidRPr="00A61989">
        <w:rPr>
          <w:rFonts w:ascii="Palatino Linotype" w:eastAsia="Palatino Linotype" w:hAnsi="Palatino Linotype" w:cs="Palatino Linotype"/>
          <w:color w:val="222222"/>
        </w:rPr>
        <w:t xml:space="preserve"> la presente resolución vía SAIMEX</w:t>
      </w:r>
      <w:r w:rsidR="00F12910" w:rsidRPr="00A61989">
        <w:rPr>
          <w:rFonts w:ascii="Palatino Linotype" w:eastAsia="Palatino Linotype" w:hAnsi="Palatino Linotype" w:cs="Palatino Linotype"/>
        </w:rPr>
        <w:t>.</w:t>
      </w:r>
    </w:p>
    <w:p w:rsidR="00A02B0D" w:rsidRPr="00A61989" w:rsidRDefault="00A02B0D" w:rsidP="006F6AC6">
      <w:pPr>
        <w:tabs>
          <w:tab w:val="left" w:pos="8080"/>
        </w:tabs>
        <w:spacing w:line="360" w:lineRule="auto"/>
        <w:jc w:val="both"/>
        <w:rPr>
          <w:rFonts w:ascii="Palatino Linotype" w:eastAsia="Palatino Linotype" w:hAnsi="Palatino Linotype" w:cs="Palatino Linotype"/>
        </w:rPr>
      </w:pPr>
    </w:p>
    <w:p w:rsidR="00A66D89" w:rsidRPr="00A61989" w:rsidRDefault="00FA6B10" w:rsidP="006F6AC6">
      <w:pPr>
        <w:shd w:val="clear" w:color="auto" w:fill="FFFFFF"/>
        <w:spacing w:line="360" w:lineRule="auto"/>
        <w:jc w:val="both"/>
        <w:rPr>
          <w:rFonts w:ascii="Palatino Linotype" w:eastAsia="Palatino Linotype" w:hAnsi="Palatino Linotype" w:cs="Palatino Linotype"/>
          <w:color w:val="000000"/>
        </w:rPr>
      </w:pPr>
      <w:r w:rsidRPr="00A61989">
        <w:rPr>
          <w:rFonts w:ascii="Palatino Linotype" w:eastAsia="Palatino Linotype" w:hAnsi="Palatino Linotype" w:cs="Palatino Linotype"/>
          <w:b/>
        </w:rPr>
        <w:t>QUINTO</w:t>
      </w:r>
      <w:r w:rsidR="00F12910" w:rsidRPr="00A61989">
        <w:rPr>
          <w:rFonts w:ascii="Palatino Linotype" w:eastAsia="Palatino Linotype" w:hAnsi="Palatino Linotype" w:cs="Palatino Linotype"/>
          <w:b/>
        </w:rPr>
        <w:t xml:space="preserve">. </w:t>
      </w:r>
      <w:r w:rsidR="00F12910" w:rsidRPr="00A61989">
        <w:rPr>
          <w:rFonts w:ascii="Palatino Linotype" w:eastAsia="Palatino Linotype" w:hAnsi="Palatino Linotype" w:cs="Palatino Linotype"/>
          <w:color w:val="000000"/>
        </w:rPr>
        <w:t xml:space="preserve">Se hace del conocimiento de </w:t>
      </w:r>
      <w:r w:rsidR="00F12910" w:rsidRPr="00A61989">
        <w:rPr>
          <w:rFonts w:ascii="Palatino Linotype" w:eastAsia="Palatino Linotype" w:hAnsi="Palatino Linotype" w:cs="Palatino Linotype"/>
          <w:b/>
          <w:color w:val="000000"/>
        </w:rPr>
        <w:t>EL RECURRENTE</w:t>
      </w:r>
      <w:r w:rsidR="00F12910" w:rsidRPr="00A61989">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w:t>
      </w:r>
      <w:r w:rsidR="00F12910" w:rsidRPr="00A61989">
        <w:rPr>
          <w:rFonts w:ascii="Palatino Linotype" w:eastAsia="Palatino Linotype" w:hAnsi="Palatino Linotype" w:cs="Palatino Linotype"/>
        </w:rPr>
        <w:t>impugnar vía</w:t>
      </w:r>
      <w:r w:rsidR="00F12910" w:rsidRPr="00A61989">
        <w:rPr>
          <w:rFonts w:ascii="Palatino Linotype" w:eastAsia="Palatino Linotype" w:hAnsi="Palatino Linotype" w:cs="Palatino Linotype"/>
          <w:color w:val="000000"/>
        </w:rPr>
        <w:t xml:space="preserve"> juicio de amparo en los términos de las leyes aplicables.</w:t>
      </w:r>
    </w:p>
    <w:p w:rsidR="002A29F7" w:rsidRPr="00A61989" w:rsidRDefault="002A29F7" w:rsidP="006F6AC6">
      <w:pPr>
        <w:shd w:val="clear" w:color="auto" w:fill="FFFFFF"/>
        <w:spacing w:line="360" w:lineRule="auto"/>
        <w:jc w:val="both"/>
        <w:rPr>
          <w:rFonts w:ascii="Palatino Linotype" w:eastAsia="Palatino Linotype" w:hAnsi="Palatino Linotype" w:cs="Palatino Linotype"/>
          <w:color w:val="000000"/>
        </w:rPr>
      </w:pPr>
    </w:p>
    <w:p w:rsidR="00B43AE6" w:rsidRPr="003C7186" w:rsidRDefault="00B43AE6" w:rsidP="00B43AE6">
      <w:pPr>
        <w:spacing w:line="360" w:lineRule="auto"/>
        <w:ind w:left="-142" w:right="-234" w:firstLine="1"/>
        <w:jc w:val="both"/>
        <w:rPr>
          <w:rFonts w:ascii="Palatino Linotype" w:hAnsi="Palatino Linotype"/>
        </w:rPr>
      </w:pPr>
      <w:bookmarkStart w:id="8" w:name="_heading=h.oid7zzlxzvuo" w:colFirst="0" w:colLast="0"/>
      <w:bookmarkEnd w:id="8"/>
      <w:r w:rsidRPr="00A61989">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r w:rsidRPr="003C7186">
        <w:rPr>
          <w:rFonts w:ascii="Palatino Linotype" w:hAnsi="Palatino Linotype"/>
        </w:rPr>
        <w:t xml:space="preserve"> </w:t>
      </w:r>
    </w:p>
    <w:p w:rsidR="00B43AE6" w:rsidRPr="00902BA4" w:rsidRDefault="00B43AE6" w:rsidP="00B43AE6">
      <w:pPr>
        <w:widowControl w:val="0"/>
        <w:autoSpaceDE w:val="0"/>
        <w:autoSpaceDN w:val="0"/>
        <w:adjustRightInd w:val="0"/>
        <w:spacing w:after="200" w:line="276" w:lineRule="auto"/>
        <w:ind w:left="-142" w:right="-234"/>
      </w:pPr>
      <w:bookmarkStart w:id="9" w:name="_GoBack"/>
      <w:bookmarkEnd w:id="9"/>
    </w:p>
    <w:p w:rsidR="002A29F7" w:rsidRDefault="002A29F7" w:rsidP="006F6AC6">
      <w:pPr>
        <w:spacing w:line="360" w:lineRule="auto"/>
        <w:jc w:val="both"/>
        <w:rPr>
          <w:rFonts w:ascii="Palatino Linotype" w:eastAsia="Palatino Linotype" w:hAnsi="Palatino Linotype" w:cs="Palatino Linotype"/>
        </w:rPr>
      </w:pPr>
    </w:p>
    <w:p w:rsidR="002A29F7" w:rsidRDefault="002A29F7" w:rsidP="006F6AC6">
      <w:pPr>
        <w:spacing w:line="360" w:lineRule="auto"/>
        <w:jc w:val="both"/>
        <w:rPr>
          <w:rFonts w:ascii="Palatino Linotype" w:eastAsia="Palatino Linotype" w:hAnsi="Palatino Linotype" w:cs="Palatino Linotype"/>
        </w:rPr>
      </w:pPr>
      <w:bookmarkStart w:id="10" w:name="_heading=h.zgk58nzevr20" w:colFirst="0" w:colLast="0"/>
      <w:bookmarkEnd w:id="10"/>
    </w:p>
    <w:p w:rsidR="002A29F7" w:rsidRDefault="002A29F7" w:rsidP="006F6AC6">
      <w:pPr>
        <w:spacing w:line="360" w:lineRule="auto"/>
        <w:jc w:val="both"/>
        <w:rPr>
          <w:rFonts w:ascii="Palatino Linotype" w:eastAsia="Palatino Linotype" w:hAnsi="Palatino Linotype" w:cs="Palatino Linotype"/>
        </w:rPr>
      </w:pPr>
      <w:bookmarkStart w:id="11" w:name="_heading=h.537hjrro08ue" w:colFirst="0" w:colLast="0"/>
      <w:bookmarkEnd w:id="11"/>
    </w:p>
    <w:p w:rsidR="002A29F7" w:rsidRDefault="002A29F7" w:rsidP="006F6AC6">
      <w:pPr>
        <w:spacing w:line="360" w:lineRule="auto"/>
        <w:jc w:val="both"/>
        <w:rPr>
          <w:rFonts w:ascii="Palatino Linotype" w:eastAsia="Palatino Linotype" w:hAnsi="Palatino Linotype" w:cs="Palatino Linotype"/>
        </w:rPr>
      </w:pPr>
      <w:bookmarkStart w:id="12" w:name="_heading=h.7yzwx9iicdm" w:colFirst="0" w:colLast="0"/>
      <w:bookmarkEnd w:id="12"/>
    </w:p>
    <w:p w:rsidR="002A29F7" w:rsidRDefault="002A29F7" w:rsidP="006F6AC6">
      <w:pPr>
        <w:spacing w:line="360" w:lineRule="auto"/>
        <w:jc w:val="both"/>
        <w:rPr>
          <w:rFonts w:ascii="Palatino Linotype" w:eastAsia="Palatino Linotype" w:hAnsi="Palatino Linotype" w:cs="Palatino Linotype"/>
        </w:rPr>
      </w:pPr>
      <w:bookmarkStart w:id="13" w:name="_heading=h.26in1rg" w:colFirst="0" w:colLast="0"/>
      <w:bookmarkEnd w:id="13"/>
    </w:p>
    <w:p w:rsidR="002A29F7" w:rsidRDefault="002A29F7" w:rsidP="006F6AC6">
      <w:pPr>
        <w:spacing w:line="360" w:lineRule="auto"/>
        <w:jc w:val="both"/>
        <w:rPr>
          <w:rFonts w:ascii="Palatino Linotype" w:eastAsia="Palatino Linotype" w:hAnsi="Palatino Linotype" w:cs="Palatino Linotype"/>
        </w:rPr>
      </w:pPr>
    </w:p>
    <w:p w:rsidR="002A29F7" w:rsidRDefault="002A29F7" w:rsidP="006F6AC6">
      <w:pPr>
        <w:spacing w:line="360" w:lineRule="auto"/>
        <w:rPr>
          <w:rFonts w:ascii="Palatino Linotype" w:eastAsia="Palatino Linotype" w:hAnsi="Palatino Linotype" w:cs="Palatino Linotype"/>
        </w:rPr>
      </w:pPr>
    </w:p>
    <w:p w:rsidR="002A29F7" w:rsidRDefault="002A29F7" w:rsidP="006F6AC6">
      <w:pPr>
        <w:spacing w:line="360" w:lineRule="auto"/>
        <w:rPr>
          <w:rFonts w:ascii="Palatino Linotype" w:eastAsia="Palatino Linotype" w:hAnsi="Palatino Linotype" w:cs="Palatino Linotype"/>
        </w:rPr>
      </w:pPr>
    </w:p>
    <w:p w:rsidR="002A29F7" w:rsidRDefault="002A29F7" w:rsidP="006F6AC6">
      <w:pPr>
        <w:spacing w:line="360" w:lineRule="auto"/>
        <w:rPr>
          <w:rFonts w:ascii="Palatino Linotype" w:eastAsia="Palatino Linotype" w:hAnsi="Palatino Linotype" w:cs="Palatino Linotype"/>
        </w:rPr>
      </w:pPr>
    </w:p>
    <w:p w:rsidR="002A29F7" w:rsidRDefault="002A29F7" w:rsidP="006F6AC6">
      <w:pPr>
        <w:spacing w:line="360" w:lineRule="auto"/>
        <w:rPr>
          <w:rFonts w:ascii="Palatino Linotype" w:eastAsia="Palatino Linotype" w:hAnsi="Palatino Linotype" w:cs="Palatino Linotype"/>
        </w:rPr>
      </w:pPr>
    </w:p>
    <w:p w:rsidR="002A29F7" w:rsidRDefault="002A29F7" w:rsidP="006F6AC6">
      <w:pPr>
        <w:spacing w:line="360" w:lineRule="auto"/>
        <w:rPr>
          <w:rFonts w:ascii="Palatino Linotype" w:eastAsia="Palatino Linotype" w:hAnsi="Palatino Linotype" w:cs="Palatino Linotype"/>
        </w:rPr>
      </w:pPr>
    </w:p>
    <w:p w:rsidR="002A29F7" w:rsidRDefault="002A29F7" w:rsidP="006F6AC6">
      <w:pPr>
        <w:spacing w:line="360" w:lineRule="auto"/>
        <w:rPr>
          <w:rFonts w:ascii="Palatino Linotype" w:eastAsia="Palatino Linotype" w:hAnsi="Palatino Linotype" w:cs="Palatino Linotype"/>
        </w:rPr>
      </w:pPr>
    </w:p>
    <w:p w:rsidR="002A29F7" w:rsidRDefault="002A29F7" w:rsidP="006F6AC6">
      <w:pPr>
        <w:spacing w:line="360" w:lineRule="auto"/>
        <w:rPr>
          <w:rFonts w:ascii="Palatino Linotype" w:eastAsia="Palatino Linotype" w:hAnsi="Palatino Linotype" w:cs="Palatino Linotype"/>
        </w:rPr>
      </w:pPr>
    </w:p>
    <w:p w:rsidR="002A29F7" w:rsidRDefault="00F12910" w:rsidP="006F6AC6">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sectPr w:rsidR="002A29F7">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300" w:rsidRDefault="00F01300">
      <w:r>
        <w:separator/>
      </w:r>
    </w:p>
  </w:endnote>
  <w:endnote w:type="continuationSeparator" w:id="0">
    <w:p w:rsidR="00F01300" w:rsidRDefault="00F0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201" w:rsidRDefault="00EE320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61989">
      <w:rPr>
        <w:rFonts w:ascii="Palatino Linotype" w:eastAsia="Palatino Linotype" w:hAnsi="Palatino Linotype" w:cs="Palatino Linotype"/>
        <w:noProof/>
        <w:color w:val="000000"/>
        <w:sz w:val="20"/>
        <w:szCs w:val="20"/>
      </w:rPr>
      <w:t>29</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61989">
      <w:rPr>
        <w:rFonts w:ascii="Palatino Linotype" w:eastAsia="Palatino Linotype" w:hAnsi="Palatino Linotype" w:cs="Palatino Linotype"/>
        <w:noProof/>
        <w:color w:val="000000"/>
        <w:sz w:val="20"/>
        <w:szCs w:val="20"/>
      </w:rPr>
      <w:t>31</w:t>
    </w:r>
    <w:r>
      <w:rPr>
        <w:rFonts w:ascii="Palatino Linotype" w:eastAsia="Palatino Linotype" w:hAnsi="Palatino Linotype" w:cs="Palatino Linotype"/>
        <w:color w:val="000000"/>
        <w:sz w:val="20"/>
        <w:szCs w:val="20"/>
      </w:rPr>
      <w:fldChar w:fldCharType="end"/>
    </w:r>
  </w:p>
  <w:p w:rsidR="00EE3201" w:rsidRDefault="00EE320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201" w:rsidRDefault="00EE320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61989">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61989">
      <w:rPr>
        <w:rFonts w:ascii="Palatino Linotype" w:eastAsia="Palatino Linotype" w:hAnsi="Palatino Linotype" w:cs="Palatino Linotype"/>
        <w:noProof/>
        <w:color w:val="000000"/>
        <w:sz w:val="20"/>
        <w:szCs w:val="20"/>
      </w:rPr>
      <w:t>31</w:t>
    </w:r>
    <w:r>
      <w:rPr>
        <w:rFonts w:ascii="Palatino Linotype" w:eastAsia="Palatino Linotype" w:hAnsi="Palatino Linotype" w:cs="Palatino Linotype"/>
        <w:color w:val="000000"/>
        <w:sz w:val="20"/>
        <w:szCs w:val="20"/>
      </w:rPr>
      <w:fldChar w:fldCharType="end"/>
    </w:r>
  </w:p>
  <w:p w:rsidR="00EE3201" w:rsidRDefault="00EE320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300" w:rsidRDefault="00F01300">
      <w:r>
        <w:separator/>
      </w:r>
    </w:p>
  </w:footnote>
  <w:footnote w:type="continuationSeparator" w:id="0">
    <w:p w:rsidR="00F01300" w:rsidRDefault="00F01300">
      <w:r>
        <w:continuationSeparator/>
      </w:r>
    </w:p>
  </w:footnote>
  <w:footnote w:id="1">
    <w:p w:rsidR="008D0320" w:rsidRDefault="008D0320" w:rsidP="008D0320">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BURGOA ORIHUELA Ignacio. Diccionario De Derecho Constitucional, Garantías y Amparo. Ed. Porrúa, S.A., México. 1992, p.115.</w:t>
      </w:r>
    </w:p>
  </w:footnote>
  <w:footnote w:id="2">
    <w:p w:rsidR="008D0320" w:rsidRDefault="008D0320" w:rsidP="008D0320">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3">
    <w:p w:rsidR="008D0320" w:rsidRDefault="008D0320" w:rsidP="008D0320">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4">
    <w:p w:rsidR="008D0320" w:rsidRDefault="008D0320" w:rsidP="008D0320">
      <w:pPr>
        <w:pBdr>
          <w:top w:val="nil"/>
          <w:left w:val="nil"/>
          <w:bottom w:val="nil"/>
          <w:right w:val="nil"/>
          <w:between w:val="nil"/>
        </w:pBdr>
        <w:spacing w:line="198" w:lineRule="auto"/>
        <w:ind w:left="93"/>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 xml:space="preserve">VILLANUEVA </w:t>
      </w:r>
      <w:proofErr w:type="spellStart"/>
      <w:r>
        <w:rPr>
          <w:rFonts w:ascii="Palatino Linotype" w:eastAsia="Palatino Linotype" w:hAnsi="Palatino Linotype" w:cs="Palatino Linotype"/>
          <w:color w:val="000000"/>
          <w:sz w:val="16"/>
          <w:szCs w:val="16"/>
        </w:rPr>
        <w:t>VILLANUEVA</w:t>
      </w:r>
      <w:proofErr w:type="spellEnd"/>
      <w:r>
        <w:rPr>
          <w:rFonts w:ascii="Palatino Linotype" w:eastAsia="Palatino Linotype" w:hAnsi="Palatino Linotype" w:cs="Palatino Linotype"/>
          <w:color w:val="000000"/>
          <w:sz w:val="16"/>
          <w:szCs w:val="16"/>
        </w:rPr>
        <w:t xml:space="preserve"> Ernesto, Derecho de la Información, Ed, Porrúa S.A., México. 2006, pág.270.</w:t>
      </w:r>
    </w:p>
  </w:footnote>
  <w:footnote w:id="5">
    <w:p w:rsidR="008D0320" w:rsidRDefault="008D0320" w:rsidP="008D0320">
      <w:pPr>
        <w:pBdr>
          <w:top w:val="nil"/>
          <w:left w:val="nil"/>
          <w:bottom w:val="nil"/>
          <w:right w:val="nil"/>
          <w:between w:val="nil"/>
        </w:pBdr>
        <w:ind w:right="96"/>
        <w:jc w:val="both"/>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 xml:space="preserve">ROBLES HERNÁNDEZ José Guadalupe. Derecho de la Información y Comunicación Pública. </w:t>
      </w:r>
      <w:proofErr w:type="spellStart"/>
      <w:r>
        <w:rPr>
          <w:rFonts w:ascii="Palatino Linotype" w:eastAsia="Palatino Linotype" w:hAnsi="Palatino Linotype" w:cs="Palatino Linotype"/>
          <w:color w:val="000000"/>
          <w:sz w:val="16"/>
          <w:szCs w:val="16"/>
        </w:rPr>
        <w:t>Ed.Universidad</w:t>
      </w:r>
      <w:proofErr w:type="spellEnd"/>
      <w:r>
        <w:rPr>
          <w:rFonts w:ascii="Palatino Linotype" w:eastAsia="Palatino Linotype" w:hAnsi="Palatino Linotype" w:cs="Palatino Linotype"/>
          <w:color w:val="000000"/>
          <w:sz w:val="16"/>
          <w:szCs w:val="16"/>
        </w:rPr>
        <w:t xml:space="preserve"> de Occidente de México, 2004, pág.72.</w:t>
      </w:r>
    </w:p>
  </w:footnote>
  <w:footnote w:id="6">
    <w:p w:rsidR="008D0320" w:rsidRDefault="008D0320" w:rsidP="008D0320">
      <w:pPr>
        <w:pBdr>
          <w:top w:val="nil"/>
          <w:left w:val="nil"/>
          <w:bottom w:val="nil"/>
          <w:right w:val="nil"/>
          <w:between w:val="nil"/>
        </w:pBdr>
        <w:spacing w:before="120" w:after="120"/>
        <w:jc w:val="both"/>
        <w:rPr>
          <w:rFonts w:ascii="Palatino Linotype" w:eastAsia="Palatino Linotype" w:hAnsi="Palatino Linotype" w:cs="Palatino Linotype"/>
          <w:color w:val="000000"/>
          <w:sz w:val="18"/>
          <w:szCs w:val="18"/>
          <w:highlight w:val="white"/>
        </w:rPr>
      </w:pPr>
      <w:r>
        <w:rPr>
          <w:vertAlign w:val="superscript"/>
        </w:rPr>
        <w:footnoteRef/>
      </w:r>
      <w:r>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b/>
          <w:color w:val="000000"/>
          <w:sz w:val="18"/>
          <w:szCs w:val="18"/>
        </w:rPr>
        <w:t>Localización</w:t>
      </w:r>
      <w:r>
        <w:rPr>
          <w:rFonts w:ascii="Palatino Linotype" w:eastAsia="Palatino Linotype" w:hAnsi="Palatino Linotype" w:cs="Palatino Linotype"/>
          <w:color w:val="000000"/>
          <w:sz w:val="18"/>
          <w:szCs w:val="18"/>
        </w:rPr>
        <w:t>: 2</w:t>
      </w:r>
      <w:r>
        <w:rPr>
          <w:rFonts w:ascii="Palatino Linotype" w:eastAsia="Palatino Linotype" w:hAnsi="Palatino Linotype" w:cs="Palatino Linotype"/>
          <w:color w:val="000000"/>
          <w:sz w:val="18"/>
          <w:szCs w:val="18"/>
          <w:highlight w:val="white"/>
        </w:rPr>
        <w:t>13609. II.2o.183 K. Tribunales Colegiados de Circuito. Octava Época. Semanario Judicial de la Federación. Tomo XIII, Febrero de 1994, Pág. 420</w:t>
      </w:r>
    </w:p>
    <w:p w:rsidR="008D0320" w:rsidRDefault="008D0320" w:rsidP="008D0320">
      <w:pPr>
        <w:pBdr>
          <w:top w:val="nil"/>
          <w:left w:val="nil"/>
          <w:bottom w:val="nil"/>
          <w:right w:val="nil"/>
          <w:between w:val="nil"/>
        </w:pBdr>
        <w:spacing w:before="120" w:after="120"/>
        <w:jc w:val="both"/>
        <w:rPr>
          <w:rFonts w:ascii="Palatino Linotype" w:eastAsia="Palatino Linotype" w:hAnsi="Palatino Linotype" w:cs="Palatino Linotype"/>
          <w:color w:val="000000"/>
          <w:sz w:val="19"/>
          <w:szCs w:val="19"/>
        </w:rPr>
      </w:pPr>
      <w:r>
        <w:rPr>
          <w:rFonts w:ascii="Palatino Linotype" w:eastAsia="Palatino Linotype" w:hAnsi="Palatino Linotype" w:cs="Palatino Linotype"/>
          <w:b/>
          <w:color w:val="000000"/>
          <w:sz w:val="18"/>
          <w:szCs w:val="18"/>
        </w:rPr>
        <w:t>Cuerpo de tesis:</w:t>
      </w:r>
      <w:r>
        <w:rPr>
          <w:rFonts w:ascii="Palatino Linotype" w:eastAsia="Palatino Linotype" w:hAnsi="Palatino Linotype" w:cs="Palatino Linotype"/>
          <w:color w:val="000000"/>
          <w:sz w:val="18"/>
          <w:szCs w:val="18"/>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footnote>
  <w:footnote w:id="7">
    <w:p w:rsidR="008D0320" w:rsidRDefault="008D0320" w:rsidP="008D0320">
      <w:pPr>
        <w:pBdr>
          <w:top w:val="nil"/>
          <w:left w:val="nil"/>
          <w:bottom w:val="nil"/>
          <w:right w:val="nil"/>
          <w:between w:val="nil"/>
        </w:pBdr>
        <w:jc w:val="both"/>
        <w:rPr>
          <w:rFonts w:ascii="Palatino Linotype" w:eastAsia="Palatino Linotype" w:hAnsi="Palatino Linotype" w:cs="Palatino Linotype"/>
          <w:color w:val="000000"/>
          <w:sz w:val="19"/>
          <w:szCs w:val="19"/>
        </w:rPr>
      </w:pPr>
      <w:r>
        <w:rPr>
          <w:vertAlign w:val="superscript"/>
        </w:rPr>
        <w:footnoteRef/>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b/>
          <w:color w:val="000000"/>
          <w:sz w:val="19"/>
          <w:szCs w:val="19"/>
        </w:rPr>
        <w:t>Cuerpo de la tesis</w:t>
      </w:r>
      <w:r>
        <w:rPr>
          <w:rFonts w:ascii="Palatino Linotype" w:eastAsia="Palatino Linotype" w:hAnsi="Palatino Linotype" w:cs="Palatino Linotype"/>
          <w:color w:val="000000"/>
          <w:sz w:val="19"/>
          <w:szCs w:val="19"/>
        </w:rPr>
        <w:t xml:space="preserve">: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Pr>
          <w:rFonts w:ascii="Palatino Linotype" w:eastAsia="Palatino Linotype" w:hAnsi="Palatino Linotype" w:cs="Palatino Linotype"/>
          <w:color w:val="000000"/>
          <w:sz w:val="19"/>
          <w:szCs w:val="19"/>
        </w:rPr>
        <w:t>promovente</w:t>
      </w:r>
      <w:proofErr w:type="spellEnd"/>
      <w:r>
        <w:rPr>
          <w:rFonts w:ascii="Palatino Linotype" w:eastAsia="Palatino Linotype" w:hAnsi="Palatino Linotype" w:cs="Palatino Linotype"/>
          <w:color w:val="000000"/>
          <w:sz w:val="19"/>
          <w:szCs w:val="19"/>
        </w:rPr>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201" w:rsidRDefault="00F01300">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201" w:rsidRDefault="00EE3201">
    <w:pPr>
      <w:widowControl w:val="0"/>
      <w:pBdr>
        <w:top w:val="nil"/>
        <w:left w:val="nil"/>
        <w:bottom w:val="nil"/>
        <w:right w:val="nil"/>
        <w:between w:val="nil"/>
      </w:pBdr>
      <w:spacing w:line="276" w:lineRule="auto"/>
      <w:rPr>
        <w:color w:val="000000"/>
      </w:rPr>
    </w:pPr>
  </w:p>
  <w:tbl>
    <w:tblPr>
      <w:tblStyle w:val="a2"/>
      <w:tblW w:w="7620" w:type="dxa"/>
      <w:tblInd w:w="2552" w:type="dxa"/>
      <w:tblLayout w:type="fixed"/>
      <w:tblLook w:val="0400" w:firstRow="0" w:lastRow="0" w:firstColumn="0" w:lastColumn="0" w:noHBand="0" w:noVBand="1"/>
    </w:tblPr>
    <w:tblGrid>
      <w:gridCol w:w="2985"/>
      <w:gridCol w:w="4635"/>
    </w:tblGrid>
    <w:tr w:rsidR="00EE3201" w:rsidTr="00C858E0">
      <w:trPr>
        <w:trHeight w:val="227"/>
      </w:trPr>
      <w:tc>
        <w:tcPr>
          <w:tcW w:w="2985" w:type="dxa"/>
        </w:tcPr>
        <w:p w:rsidR="00EE3201" w:rsidRDefault="00EE3201" w:rsidP="004D4FF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35" w:type="dxa"/>
          <w:vAlign w:val="center"/>
        </w:tcPr>
        <w:p w:rsidR="00EE3201" w:rsidRDefault="00EE3201" w:rsidP="004D4FFC">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07553/INFOEM/IP/RR/2024 y </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cumulado</w:t>
          </w:r>
        </w:p>
      </w:tc>
    </w:tr>
    <w:tr w:rsidR="00EE3201" w:rsidTr="00C858E0">
      <w:trPr>
        <w:trHeight w:val="342"/>
      </w:trPr>
      <w:tc>
        <w:tcPr>
          <w:tcW w:w="2985" w:type="dxa"/>
        </w:tcPr>
        <w:p w:rsidR="00EE3201" w:rsidRDefault="00EE3201" w:rsidP="004D4FF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35" w:type="dxa"/>
          <w:vAlign w:val="center"/>
        </w:tcPr>
        <w:p w:rsidR="00EE3201" w:rsidRDefault="00EE3201" w:rsidP="004D4FFC">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highlight w:val="green"/>
            </w:rPr>
          </w:pPr>
          <w:r w:rsidRPr="00583AA3">
            <w:rPr>
              <w:rFonts w:ascii="Palatino Linotype" w:eastAsia="Palatino Linotype" w:hAnsi="Palatino Linotype" w:cs="Palatino Linotype"/>
              <w:color w:val="000000"/>
              <w:sz w:val="22"/>
              <w:szCs w:val="22"/>
            </w:rPr>
            <w:t>Secretaría de Finanzas</w:t>
          </w:r>
        </w:p>
      </w:tc>
    </w:tr>
    <w:tr w:rsidR="00EE3201" w:rsidTr="00C858E0">
      <w:trPr>
        <w:trHeight w:val="342"/>
      </w:trPr>
      <w:tc>
        <w:tcPr>
          <w:tcW w:w="2985" w:type="dxa"/>
        </w:tcPr>
        <w:p w:rsidR="00EE3201" w:rsidRDefault="00EE3201" w:rsidP="004D4FF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35" w:type="dxa"/>
          <w:vAlign w:val="center"/>
        </w:tcPr>
        <w:p w:rsidR="00EE3201" w:rsidRDefault="00EE3201" w:rsidP="004D4FFC">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EE3201" w:rsidRDefault="00F01300">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201" w:rsidRDefault="00EE3201">
    <w:pPr>
      <w:widowControl w:val="0"/>
      <w:pBdr>
        <w:top w:val="nil"/>
        <w:left w:val="nil"/>
        <w:bottom w:val="nil"/>
        <w:right w:val="nil"/>
        <w:between w:val="nil"/>
      </w:pBdr>
      <w:spacing w:line="276" w:lineRule="auto"/>
      <w:rPr>
        <w:color w:val="000000"/>
        <w:sz w:val="14"/>
        <w:szCs w:val="14"/>
      </w:rPr>
    </w:pPr>
  </w:p>
  <w:tbl>
    <w:tblPr>
      <w:tblStyle w:val="a2"/>
      <w:tblW w:w="7620" w:type="dxa"/>
      <w:tblInd w:w="2552" w:type="dxa"/>
      <w:tblLayout w:type="fixed"/>
      <w:tblLook w:val="0400" w:firstRow="0" w:lastRow="0" w:firstColumn="0" w:lastColumn="0" w:noHBand="0" w:noVBand="1"/>
    </w:tblPr>
    <w:tblGrid>
      <w:gridCol w:w="2985"/>
      <w:gridCol w:w="4635"/>
    </w:tblGrid>
    <w:tr w:rsidR="00EE3201">
      <w:trPr>
        <w:trHeight w:val="227"/>
      </w:trPr>
      <w:tc>
        <w:tcPr>
          <w:tcW w:w="2985" w:type="dxa"/>
        </w:tcPr>
        <w:p w:rsidR="00EE3201" w:rsidRDefault="00EE320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35" w:type="dxa"/>
          <w:vAlign w:val="center"/>
        </w:tcPr>
        <w:p w:rsidR="00EE3201" w:rsidRDefault="00EE3201">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07553/INFOEM/IP/RR/2024 y </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cumulado</w:t>
          </w:r>
        </w:p>
      </w:tc>
    </w:tr>
    <w:tr w:rsidR="00EE3201">
      <w:trPr>
        <w:trHeight w:val="242"/>
      </w:trPr>
      <w:tc>
        <w:tcPr>
          <w:tcW w:w="2985" w:type="dxa"/>
        </w:tcPr>
        <w:p w:rsidR="00EE3201" w:rsidRDefault="00EE320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35" w:type="dxa"/>
        </w:tcPr>
        <w:p w:rsidR="00EE3201" w:rsidRDefault="00EE3201">
          <w:pPr>
            <w:pBdr>
              <w:top w:val="nil"/>
              <w:left w:val="nil"/>
              <w:bottom w:val="nil"/>
              <w:right w:val="nil"/>
              <w:between w:val="nil"/>
            </w:pBdr>
            <w:tabs>
              <w:tab w:val="right" w:pos="8838"/>
              <w:tab w:val="left" w:pos="521"/>
            </w:tabs>
            <w:ind w:right="-50"/>
            <w:rPr>
              <w:rFonts w:ascii="Palatino Linotype" w:eastAsia="Palatino Linotype" w:hAnsi="Palatino Linotype" w:cs="Palatino Linotype"/>
              <w:color w:val="000000"/>
              <w:sz w:val="22"/>
              <w:szCs w:val="22"/>
              <w:highlight w:val="green"/>
            </w:rPr>
          </w:pPr>
        </w:p>
      </w:tc>
    </w:tr>
    <w:tr w:rsidR="00EE3201">
      <w:trPr>
        <w:trHeight w:val="342"/>
      </w:trPr>
      <w:tc>
        <w:tcPr>
          <w:tcW w:w="2985" w:type="dxa"/>
        </w:tcPr>
        <w:p w:rsidR="00EE3201" w:rsidRDefault="00EE320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35" w:type="dxa"/>
          <w:vAlign w:val="center"/>
        </w:tcPr>
        <w:p w:rsidR="00EE3201" w:rsidRDefault="00EE3201">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highlight w:val="green"/>
            </w:rPr>
          </w:pPr>
          <w:r w:rsidRPr="00583AA3">
            <w:rPr>
              <w:rFonts w:ascii="Palatino Linotype" w:eastAsia="Palatino Linotype" w:hAnsi="Palatino Linotype" w:cs="Palatino Linotype"/>
              <w:color w:val="000000"/>
              <w:sz w:val="22"/>
              <w:szCs w:val="22"/>
            </w:rPr>
            <w:t>Secretaría de Finanzas</w:t>
          </w:r>
        </w:p>
      </w:tc>
    </w:tr>
    <w:tr w:rsidR="00EE3201">
      <w:trPr>
        <w:trHeight w:val="342"/>
      </w:trPr>
      <w:tc>
        <w:tcPr>
          <w:tcW w:w="2985" w:type="dxa"/>
        </w:tcPr>
        <w:p w:rsidR="00EE3201" w:rsidRDefault="00EE320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35" w:type="dxa"/>
          <w:vAlign w:val="center"/>
        </w:tcPr>
        <w:p w:rsidR="00EE3201" w:rsidRDefault="00EE3201">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EE3201" w:rsidRDefault="00F01300">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243B6"/>
    <w:multiLevelType w:val="hybridMultilevel"/>
    <w:tmpl w:val="ACD6FBA0"/>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
    <w:nsid w:val="0DB75B19"/>
    <w:multiLevelType w:val="hybridMultilevel"/>
    <w:tmpl w:val="28AC92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38284E"/>
    <w:multiLevelType w:val="multilevel"/>
    <w:tmpl w:val="00F04CA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
    <w:nsid w:val="1546460B"/>
    <w:multiLevelType w:val="hybridMultilevel"/>
    <w:tmpl w:val="A5D09B6E"/>
    <w:lvl w:ilvl="0" w:tplc="E36EB920">
      <w:start w:val="1"/>
      <w:numFmt w:val="decimal"/>
      <w:lvlText w:val="%1."/>
      <w:lvlJc w:val="left"/>
      <w:pPr>
        <w:ind w:left="1070" w:hanging="360"/>
      </w:pPr>
      <w:rPr>
        <w:rFonts w:ascii="Palatino Linotype" w:hAnsi="Palatino Linotype" w:hint="default"/>
        <w:b/>
        <w:i w:val="0"/>
        <w:color w:val="auto"/>
        <w:sz w:val="24"/>
      </w:rPr>
    </w:lvl>
    <w:lvl w:ilvl="1" w:tplc="080A0001">
      <w:start w:val="1"/>
      <w:numFmt w:val="bullet"/>
      <w:lvlText w:val=""/>
      <w:lvlJc w:val="left"/>
      <w:pPr>
        <w:ind w:left="36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B31580E"/>
    <w:multiLevelType w:val="multilevel"/>
    <w:tmpl w:val="A2227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EB6C99"/>
    <w:multiLevelType w:val="multilevel"/>
    <w:tmpl w:val="D67CE33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FBA60E1"/>
    <w:multiLevelType w:val="hybridMultilevel"/>
    <w:tmpl w:val="3114294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3ED71D2"/>
    <w:multiLevelType w:val="multilevel"/>
    <w:tmpl w:val="CE869B3A"/>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nsid w:val="29154339"/>
    <w:multiLevelType w:val="multilevel"/>
    <w:tmpl w:val="2BCC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822A35"/>
    <w:multiLevelType w:val="multilevel"/>
    <w:tmpl w:val="B8342D52"/>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1">
    <w:nsid w:val="2BD720ED"/>
    <w:multiLevelType w:val="multilevel"/>
    <w:tmpl w:val="C9FC509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DB24B69"/>
    <w:multiLevelType w:val="multilevel"/>
    <w:tmpl w:val="729A0C9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3">
    <w:nsid w:val="310B3B5B"/>
    <w:multiLevelType w:val="hybridMultilevel"/>
    <w:tmpl w:val="C3485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4317490"/>
    <w:multiLevelType w:val="hybridMultilevel"/>
    <w:tmpl w:val="91A6FBFE"/>
    <w:lvl w:ilvl="0" w:tplc="E36EB920">
      <w:start w:val="1"/>
      <w:numFmt w:val="decimal"/>
      <w:lvlText w:val="%1."/>
      <w:lvlJc w:val="left"/>
      <w:pPr>
        <w:ind w:left="720" w:hanging="360"/>
      </w:pPr>
      <w:rPr>
        <w:rFonts w:ascii="Palatino Linotype" w:hAnsi="Palatino Linotype" w:hint="default"/>
        <w:b/>
        <w:i w:val="0"/>
        <w:color w:val="auto"/>
        <w:sz w:val="24"/>
      </w:rPr>
    </w:lvl>
    <w:lvl w:ilvl="1" w:tplc="080A000B">
      <w:start w:val="1"/>
      <w:numFmt w:val="bullet"/>
      <w:lvlText w:val=""/>
      <w:lvlJc w:val="left"/>
      <w:pPr>
        <w:ind w:left="36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E81354"/>
    <w:multiLevelType w:val="hybridMultilevel"/>
    <w:tmpl w:val="637AB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7B276F9"/>
    <w:multiLevelType w:val="multilevel"/>
    <w:tmpl w:val="021C5BAE"/>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3928675F"/>
    <w:multiLevelType w:val="multilevel"/>
    <w:tmpl w:val="FFAE645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9D73B67"/>
    <w:multiLevelType w:val="hybridMultilevel"/>
    <w:tmpl w:val="21700D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CFB16A2"/>
    <w:multiLevelType w:val="multilevel"/>
    <w:tmpl w:val="FEB29C9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
    <w:nsid w:val="3F0D1F93"/>
    <w:multiLevelType w:val="multilevel"/>
    <w:tmpl w:val="FC40E77E"/>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21">
    <w:nsid w:val="435A09ED"/>
    <w:multiLevelType w:val="hybridMultilevel"/>
    <w:tmpl w:val="FB6E5326"/>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nsid w:val="4C54789F"/>
    <w:multiLevelType w:val="multilevel"/>
    <w:tmpl w:val="986AAC4E"/>
    <w:lvl w:ilvl="0">
      <w:start w:val="1"/>
      <w:numFmt w:val="decimal"/>
      <w:lvlText w:val="%1."/>
      <w:lvlJc w:val="left"/>
      <w:pPr>
        <w:ind w:left="1070"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CCB4075"/>
    <w:multiLevelType w:val="multilevel"/>
    <w:tmpl w:val="27BE06B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57547856"/>
    <w:multiLevelType w:val="multilevel"/>
    <w:tmpl w:val="AFA2540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57965300"/>
    <w:multiLevelType w:val="multilevel"/>
    <w:tmpl w:val="65C22EA4"/>
    <w:lvl w:ilvl="0">
      <w:start w:val="25"/>
      <w:numFmt w:val="decimal"/>
      <w:lvlText w:val="%1."/>
      <w:lvlJc w:val="left"/>
      <w:pPr>
        <w:ind w:left="360" w:hanging="360"/>
      </w:pPr>
      <w:rPr>
        <w:rFonts w:ascii="Palatino Linotype" w:eastAsia="Palatino Linotype" w:hAnsi="Palatino Linotype" w:cs="Palatino Linotype"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59927477"/>
    <w:multiLevelType w:val="multilevel"/>
    <w:tmpl w:val="8B801E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nsid w:val="5D2A6F29"/>
    <w:multiLevelType w:val="hybridMultilevel"/>
    <w:tmpl w:val="AE184C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604D41B5"/>
    <w:multiLevelType w:val="hybridMultilevel"/>
    <w:tmpl w:val="FB6E5326"/>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30">
    <w:nsid w:val="61CA51AD"/>
    <w:multiLevelType w:val="multilevel"/>
    <w:tmpl w:val="63180C9E"/>
    <w:lvl w:ilvl="0">
      <w:start w:val="5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52E5339"/>
    <w:multiLevelType w:val="hybridMultilevel"/>
    <w:tmpl w:val="EA9CE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6115B20"/>
    <w:multiLevelType w:val="hybridMultilevel"/>
    <w:tmpl w:val="2C0C3250"/>
    <w:lvl w:ilvl="0" w:tplc="08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69664B5"/>
    <w:multiLevelType w:val="hybridMultilevel"/>
    <w:tmpl w:val="6EE48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780FB0"/>
    <w:multiLevelType w:val="multilevel"/>
    <w:tmpl w:val="E5DE32E8"/>
    <w:lvl w:ilvl="0">
      <w:start w:val="1"/>
      <w:numFmt w:val="bullet"/>
      <w:lvlText w:val="▪"/>
      <w:lvlJc w:val="left"/>
      <w:pPr>
        <w:ind w:left="2433" w:hanging="360"/>
      </w:pPr>
      <w:rPr>
        <w:rFonts w:ascii="Noto Sans Symbols" w:eastAsia="Noto Sans Symbols" w:hAnsi="Noto Sans Symbols" w:cs="Noto Sans Symbols"/>
      </w:rPr>
    </w:lvl>
    <w:lvl w:ilvl="1">
      <w:start w:val="1"/>
      <w:numFmt w:val="bullet"/>
      <w:lvlText w:val="o"/>
      <w:lvlJc w:val="left"/>
      <w:pPr>
        <w:ind w:left="3153" w:hanging="360"/>
      </w:pPr>
      <w:rPr>
        <w:rFonts w:ascii="Courier New" w:eastAsia="Courier New" w:hAnsi="Courier New" w:cs="Courier New"/>
      </w:rPr>
    </w:lvl>
    <w:lvl w:ilvl="2">
      <w:start w:val="1"/>
      <w:numFmt w:val="bullet"/>
      <w:lvlText w:val="▪"/>
      <w:lvlJc w:val="left"/>
      <w:pPr>
        <w:ind w:left="3873" w:hanging="360"/>
      </w:pPr>
      <w:rPr>
        <w:rFonts w:ascii="Noto Sans Symbols" w:eastAsia="Noto Sans Symbols" w:hAnsi="Noto Sans Symbols" w:cs="Noto Sans Symbols"/>
      </w:rPr>
    </w:lvl>
    <w:lvl w:ilvl="3">
      <w:start w:val="1"/>
      <w:numFmt w:val="bullet"/>
      <w:lvlText w:val="●"/>
      <w:lvlJc w:val="left"/>
      <w:pPr>
        <w:ind w:left="4593" w:hanging="360"/>
      </w:pPr>
      <w:rPr>
        <w:rFonts w:ascii="Noto Sans Symbols" w:eastAsia="Noto Sans Symbols" w:hAnsi="Noto Sans Symbols" w:cs="Noto Sans Symbols"/>
      </w:rPr>
    </w:lvl>
    <w:lvl w:ilvl="4">
      <w:start w:val="1"/>
      <w:numFmt w:val="bullet"/>
      <w:lvlText w:val="o"/>
      <w:lvlJc w:val="left"/>
      <w:pPr>
        <w:ind w:left="5313" w:hanging="360"/>
      </w:pPr>
      <w:rPr>
        <w:rFonts w:ascii="Courier New" w:eastAsia="Courier New" w:hAnsi="Courier New" w:cs="Courier New"/>
      </w:rPr>
    </w:lvl>
    <w:lvl w:ilvl="5">
      <w:start w:val="1"/>
      <w:numFmt w:val="bullet"/>
      <w:lvlText w:val="▪"/>
      <w:lvlJc w:val="left"/>
      <w:pPr>
        <w:ind w:left="6033" w:hanging="360"/>
      </w:pPr>
      <w:rPr>
        <w:rFonts w:ascii="Noto Sans Symbols" w:eastAsia="Noto Sans Symbols" w:hAnsi="Noto Sans Symbols" w:cs="Noto Sans Symbols"/>
      </w:rPr>
    </w:lvl>
    <w:lvl w:ilvl="6">
      <w:start w:val="1"/>
      <w:numFmt w:val="bullet"/>
      <w:lvlText w:val="●"/>
      <w:lvlJc w:val="left"/>
      <w:pPr>
        <w:ind w:left="6753" w:hanging="360"/>
      </w:pPr>
      <w:rPr>
        <w:rFonts w:ascii="Noto Sans Symbols" w:eastAsia="Noto Sans Symbols" w:hAnsi="Noto Sans Symbols" w:cs="Noto Sans Symbols"/>
      </w:rPr>
    </w:lvl>
    <w:lvl w:ilvl="7">
      <w:start w:val="1"/>
      <w:numFmt w:val="bullet"/>
      <w:lvlText w:val="o"/>
      <w:lvlJc w:val="left"/>
      <w:pPr>
        <w:ind w:left="7473" w:hanging="360"/>
      </w:pPr>
      <w:rPr>
        <w:rFonts w:ascii="Courier New" w:eastAsia="Courier New" w:hAnsi="Courier New" w:cs="Courier New"/>
      </w:rPr>
    </w:lvl>
    <w:lvl w:ilvl="8">
      <w:start w:val="1"/>
      <w:numFmt w:val="bullet"/>
      <w:lvlText w:val="▪"/>
      <w:lvlJc w:val="left"/>
      <w:pPr>
        <w:ind w:left="8193" w:hanging="360"/>
      </w:pPr>
      <w:rPr>
        <w:rFonts w:ascii="Noto Sans Symbols" w:eastAsia="Noto Sans Symbols" w:hAnsi="Noto Sans Symbols" w:cs="Noto Sans Symbols"/>
      </w:rPr>
    </w:lvl>
  </w:abstractNum>
  <w:abstractNum w:abstractNumId="35">
    <w:nsid w:val="6D621361"/>
    <w:multiLevelType w:val="hybridMultilevel"/>
    <w:tmpl w:val="3C40B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131274F"/>
    <w:multiLevelType w:val="multilevel"/>
    <w:tmpl w:val="51C2054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nsid w:val="7AD05162"/>
    <w:multiLevelType w:val="multilevel"/>
    <w:tmpl w:val="D292A05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D76171"/>
    <w:multiLevelType w:val="multilevel"/>
    <w:tmpl w:val="ECC6E6E8"/>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
      <w:lvlJc w:val="left"/>
      <w:pPr>
        <w:ind w:left="2433" w:hanging="360"/>
      </w:pPr>
      <w:rPr>
        <w:rFonts w:ascii="Noto Sans Symbols" w:eastAsia="Noto Sans Symbols" w:hAnsi="Noto Sans Symbols" w:cs="Noto Sans Symbols"/>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39">
    <w:nsid w:val="7C1056EC"/>
    <w:multiLevelType w:val="multilevel"/>
    <w:tmpl w:val="DE04ED8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nsid w:val="7CFC2826"/>
    <w:multiLevelType w:val="hybridMultilevel"/>
    <w:tmpl w:val="D5D4C4A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nsid w:val="7DD241F7"/>
    <w:multiLevelType w:val="hybridMultilevel"/>
    <w:tmpl w:val="ACD6FBA0"/>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num w:numId="1">
    <w:abstractNumId w:val="19"/>
  </w:num>
  <w:num w:numId="2">
    <w:abstractNumId w:val="22"/>
  </w:num>
  <w:num w:numId="3">
    <w:abstractNumId w:val="25"/>
  </w:num>
  <w:num w:numId="4">
    <w:abstractNumId w:val="36"/>
  </w:num>
  <w:num w:numId="5">
    <w:abstractNumId w:val="10"/>
  </w:num>
  <w:num w:numId="6">
    <w:abstractNumId w:val="38"/>
  </w:num>
  <w:num w:numId="7">
    <w:abstractNumId w:val="34"/>
  </w:num>
  <w:num w:numId="8">
    <w:abstractNumId w:val="8"/>
  </w:num>
  <w:num w:numId="9">
    <w:abstractNumId w:val="20"/>
  </w:num>
  <w:num w:numId="10">
    <w:abstractNumId w:val="12"/>
  </w:num>
  <w:num w:numId="11">
    <w:abstractNumId w:val="28"/>
  </w:num>
  <w:num w:numId="12">
    <w:abstractNumId w:val="37"/>
  </w:num>
  <w:num w:numId="13">
    <w:abstractNumId w:val="14"/>
  </w:num>
  <w:num w:numId="14">
    <w:abstractNumId w:val="2"/>
  </w:num>
  <w:num w:numId="15">
    <w:abstractNumId w:val="17"/>
  </w:num>
  <w:num w:numId="16">
    <w:abstractNumId w:val="16"/>
  </w:num>
  <w:num w:numId="17">
    <w:abstractNumId w:val="30"/>
  </w:num>
  <w:num w:numId="18">
    <w:abstractNumId w:val="1"/>
  </w:num>
  <w:num w:numId="19">
    <w:abstractNumId w:val="5"/>
  </w:num>
  <w:num w:numId="20">
    <w:abstractNumId w:val="39"/>
  </w:num>
  <w:num w:numId="21">
    <w:abstractNumId w:val="40"/>
  </w:num>
  <w:num w:numId="22">
    <w:abstractNumId w:val="27"/>
  </w:num>
  <w:num w:numId="23">
    <w:abstractNumId w:val="32"/>
  </w:num>
  <w:num w:numId="24">
    <w:abstractNumId w:val="26"/>
  </w:num>
  <w:num w:numId="25">
    <w:abstractNumId w:val="35"/>
  </w:num>
  <w:num w:numId="26">
    <w:abstractNumId w:val="15"/>
  </w:num>
  <w:num w:numId="27">
    <w:abstractNumId w:val="23"/>
  </w:num>
  <w:num w:numId="28">
    <w:abstractNumId w:val="13"/>
  </w:num>
  <w:num w:numId="29">
    <w:abstractNumId w:val="31"/>
  </w:num>
  <w:num w:numId="30">
    <w:abstractNumId w:val="33"/>
  </w:num>
  <w:num w:numId="31">
    <w:abstractNumId w:val="7"/>
  </w:num>
  <w:num w:numId="32">
    <w:abstractNumId w:val="11"/>
  </w:num>
  <w:num w:numId="33">
    <w:abstractNumId w:val="18"/>
  </w:num>
  <w:num w:numId="34">
    <w:abstractNumId w:val="6"/>
  </w:num>
  <w:num w:numId="35">
    <w:abstractNumId w:val="24"/>
  </w:num>
  <w:num w:numId="36">
    <w:abstractNumId w:val="9"/>
  </w:num>
  <w:num w:numId="37">
    <w:abstractNumId w:val="3"/>
  </w:num>
  <w:num w:numId="38">
    <w:abstractNumId w:val="4"/>
  </w:num>
  <w:num w:numId="39">
    <w:abstractNumId w:val="21"/>
  </w:num>
  <w:num w:numId="40">
    <w:abstractNumId w:val="0"/>
  </w:num>
  <w:num w:numId="41">
    <w:abstractNumId w:val="29"/>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9F7"/>
    <w:rsid w:val="00004631"/>
    <w:rsid w:val="00004E18"/>
    <w:rsid w:val="00010F86"/>
    <w:rsid w:val="000153AF"/>
    <w:rsid w:val="00023CE7"/>
    <w:rsid w:val="000272DC"/>
    <w:rsid w:val="00031DFC"/>
    <w:rsid w:val="0003462C"/>
    <w:rsid w:val="00044720"/>
    <w:rsid w:val="0004508E"/>
    <w:rsid w:val="0005022A"/>
    <w:rsid w:val="00054059"/>
    <w:rsid w:val="0005627D"/>
    <w:rsid w:val="00061685"/>
    <w:rsid w:val="00070503"/>
    <w:rsid w:val="000718C9"/>
    <w:rsid w:val="00073CC8"/>
    <w:rsid w:val="00074A7D"/>
    <w:rsid w:val="0008137D"/>
    <w:rsid w:val="00081F8D"/>
    <w:rsid w:val="0009585C"/>
    <w:rsid w:val="000A3386"/>
    <w:rsid w:val="000A63D4"/>
    <w:rsid w:val="000C0634"/>
    <w:rsid w:val="000C0ADA"/>
    <w:rsid w:val="000C42ED"/>
    <w:rsid w:val="000C6C16"/>
    <w:rsid w:val="000C7946"/>
    <w:rsid w:val="000D3DE3"/>
    <w:rsid w:val="000D4B6A"/>
    <w:rsid w:val="000D4E14"/>
    <w:rsid w:val="000D582A"/>
    <w:rsid w:val="000D73BB"/>
    <w:rsid w:val="000E3725"/>
    <w:rsid w:val="000F459C"/>
    <w:rsid w:val="001054B4"/>
    <w:rsid w:val="00106665"/>
    <w:rsid w:val="00110744"/>
    <w:rsid w:val="00112EA8"/>
    <w:rsid w:val="0011356F"/>
    <w:rsid w:val="00117DCF"/>
    <w:rsid w:val="0012169A"/>
    <w:rsid w:val="00130C18"/>
    <w:rsid w:val="00132080"/>
    <w:rsid w:val="00135623"/>
    <w:rsid w:val="00142463"/>
    <w:rsid w:val="001476ED"/>
    <w:rsid w:val="001549E6"/>
    <w:rsid w:val="00160FA0"/>
    <w:rsid w:val="0018044B"/>
    <w:rsid w:val="00185A54"/>
    <w:rsid w:val="0019037A"/>
    <w:rsid w:val="00190E3F"/>
    <w:rsid w:val="001928F5"/>
    <w:rsid w:val="00193E68"/>
    <w:rsid w:val="001A1EDF"/>
    <w:rsid w:val="001A6892"/>
    <w:rsid w:val="001A76D0"/>
    <w:rsid w:val="001B3DA0"/>
    <w:rsid w:val="001C2402"/>
    <w:rsid w:val="001D53B9"/>
    <w:rsid w:val="001D6568"/>
    <w:rsid w:val="001D6B6B"/>
    <w:rsid w:val="001E0319"/>
    <w:rsid w:val="001E1586"/>
    <w:rsid w:val="00200C95"/>
    <w:rsid w:val="00201C35"/>
    <w:rsid w:val="00206AE3"/>
    <w:rsid w:val="00215A91"/>
    <w:rsid w:val="00216564"/>
    <w:rsid w:val="002206D1"/>
    <w:rsid w:val="0023468C"/>
    <w:rsid w:val="00234E9F"/>
    <w:rsid w:val="0024346E"/>
    <w:rsid w:val="00245BF9"/>
    <w:rsid w:val="00250076"/>
    <w:rsid w:val="00252207"/>
    <w:rsid w:val="002771AC"/>
    <w:rsid w:val="0028429E"/>
    <w:rsid w:val="002846F6"/>
    <w:rsid w:val="002967D6"/>
    <w:rsid w:val="002A29F7"/>
    <w:rsid w:val="002A321D"/>
    <w:rsid w:val="002B7813"/>
    <w:rsid w:val="002C28FE"/>
    <w:rsid w:val="002C5F4D"/>
    <w:rsid w:val="002D39F8"/>
    <w:rsid w:val="002E0888"/>
    <w:rsid w:val="002E42CE"/>
    <w:rsid w:val="002E4F14"/>
    <w:rsid w:val="002F49DE"/>
    <w:rsid w:val="002F7F6B"/>
    <w:rsid w:val="00302F61"/>
    <w:rsid w:val="003074AE"/>
    <w:rsid w:val="0031256A"/>
    <w:rsid w:val="00313A98"/>
    <w:rsid w:val="0032022E"/>
    <w:rsid w:val="00321C23"/>
    <w:rsid w:val="00327485"/>
    <w:rsid w:val="00333138"/>
    <w:rsid w:val="0034142B"/>
    <w:rsid w:val="00342FD7"/>
    <w:rsid w:val="0035270B"/>
    <w:rsid w:val="003625E7"/>
    <w:rsid w:val="003635B5"/>
    <w:rsid w:val="0037590A"/>
    <w:rsid w:val="003807BC"/>
    <w:rsid w:val="003817EB"/>
    <w:rsid w:val="00384766"/>
    <w:rsid w:val="003851DF"/>
    <w:rsid w:val="00385ACC"/>
    <w:rsid w:val="003A06A0"/>
    <w:rsid w:val="003A5917"/>
    <w:rsid w:val="003C728E"/>
    <w:rsid w:val="003D1BD2"/>
    <w:rsid w:val="003E0441"/>
    <w:rsid w:val="003E7386"/>
    <w:rsid w:val="003F0FA6"/>
    <w:rsid w:val="003F1910"/>
    <w:rsid w:val="003F68C1"/>
    <w:rsid w:val="00404588"/>
    <w:rsid w:val="0041360E"/>
    <w:rsid w:val="00413A72"/>
    <w:rsid w:val="004217EF"/>
    <w:rsid w:val="00423CA8"/>
    <w:rsid w:val="00427DBD"/>
    <w:rsid w:val="0043123C"/>
    <w:rsid w:val="00432A61"/>
    <w:rsid w:val="00436F11"/>
    <w:rsid w:val="00451301"/>
    <w:rsid w:val="00454890"/>
    <w:rsid w:val="00455765"/>
    <w:rsid w:val="00456A9C"/>
    <w:rsid w:val="00462E18"/>
    <w:rsid w:val="00464D79"/>
    <w:rsid w:val="004654D6"/>
    <w:rsid w:val="00473B0D"/>
    <w:rsid w:val="004771C0"/>
    <w:rsid w:val="004774C9"/>
    <w:rsid w:val="00487E5B"/>
    <w:rsid w:val="00495389"/>
    <w:rsid w:val="0049606D"/>
    <w:rsid w:val="004A00F4"/>
    <w:rsid w:val="004A6424"/>
    <w:rsid w:val="004B5832"/>
    <w:rsid w:val="004C083A"/>
    <w:rsid w:val="004C3FA9"/>
    <w:rsid w:val="004C70C7"/>
    <w:rsid w:val="004D23B1"/>
    <w:rsid w:val="004D36DA"/>
    <w:rsid w:val="004D4120"/>
    <w:rsid w:val="004D4FFC"/>
    <w:rsid w:val="004D7C7B"/>
    <w:rsid w:val="004E32BC"/>
    <w:rsid w:val="004E546E"/>
    <w:rsid w:val="004F12A1"/>
    <w:rsid w:val="004F1F3C"/>
    <w:rsid w:val="004F5EF5"/>
    <w:rsid w:val="004F60CA"/>
    <w:rsid w:val="004F75C9"/>
    <w:rsid w:val="00501D20"/>
    <w:rsid w:val="005059BA"/>
    <w:rsid w:val="00512395"/>
    <w:rsid w:val="005136E4"/>
    <w:rsid w:val="00515608"/>
    <w:rsid w:val="005237E6"/>
    <w:rsid w:val="0053534C"/>
    <w:rsid w:val="00537448"/>
    <w:rsid w:val="005375B7"/>
    <w:rsid w:val="005407E9"/>
    <w:rsid w:val="00541F72"/>
    <w:rsid w:val="00541F96"/>
    <w:rsid w:val="00543DE7"/>
    <w:rsid w:val="00562578"/>
    <w:rsid w:val="00564765"/>
    <w:rsid w:val="00567F60"/>
    <w:rsid w:val="005725CD"/>
    <w:rsid w:val="005761A8"/>
    <w:rsid w:val="00582461"/>
    <w:rsid w:val="00583AA3"/>
    <w:rsid w:val="005842C3"/>
    <w:rsid w:val="0059249D"/>
    <w:rsid w:val="005A06FD"/>
    <w:rsid w:val="005A1C03"/>
    <w:rsid w:val="005A3742"/>
    <w:rsid w:val="005A3D06"/>
    <w:rsid w:val="005A6730"/>
    <w:rsid w:val="005B15A0"/>
    <w:rsid w:val="005B3AD8"/>
    <w:rsid w:val="005C1BBD"/>
    <w:rsid w:val="005C39EE"/>
    <w:rsid w:val="005D2178"/>
    <w:rsid w:val="005D4420"/>
    <w:rsid w:val="005E3A1D"/>
    <w:rsid w:val="005E5FB0"/>
    <w:rsid w:val="005E6FA4"/>
    <w:rsid w:val="005E72F6"/>
    <w:rsid w:val="00602E48"/>
    <w:rsid w:val="00611899"/>
    <w:rsid w:val="00617D11"/>
    <w:rsid w:val="006211F5"/>
    <w:rsid w:val="00634B11"/>
    <w:rsid w:val="00634FD0"/>
    <w:rsid w:val="006420FF"/>
    <w:rsid w:val="006469A4"/>
    <w:rsid w:val="00665961"/>
    <w:rsid w:val="00666286"/>
    <w:rsid w:val="00670500"/>
    <w:rsid w:val="00671BBB"/>
    <w:rsid w:val="00672E20"/>
    <w:rsid w:val="006753DD"/>
    <w:rsid w:val="0068123B"/>
    <w:rsid w:val="006825E6"/>
    <w:rsid w:val="00684A59"/>
    <w:rsid w:val="0069381E"/>
    <w:rsid w:val="006941B6"/>
    <w:rsid w:val="006A1368"/>
    <w:rsid w:val="006A5D76"/>
    <w:rsid w:val="006A6CAE"/>
    <w:rsid w:val="006B2360"/>
    <w:rsid w:val="006B3D91"/>
    <w:rsid w:val="006B3FC1"/>
    <w:rsid w:val="006B5382"/>
    <w:rsid w:val="006B774D"/>
    <w:rsid w:val="006D4C0E"/>
    <w:rsid w:val="006E2877"/>
    <w:rsid w:val="006E5A2B"/>
    <w:rsid w:val="006F4368"/>
    <w:rsid w:val="006F6AC6"/>
    <w:rsid w:val="006F6C75"/>
    <w:rsid w:val="00705E38"/>
    <w:rsid w:val="0071147F"/>
    <w:rsid w:val="00714678"/>
    <w:rsid w:val="0072324F"/>
    <w:rsid w:val="00724499"/>
    <w:rsid w:val="00733411"/>
    <w:rsid w:val="00736DC9"/>
    <w:rsid w:val="0074036C"/>
    <w:rsid w:val="00741194"/>
    <w:rsid w:val="00742AA2"/>
    <w:rsid w:val="00752593"/>
    <w:rsid w:val="00757F0B"/>
    <w:rsid w:val="0076017D"/>
    <w:rsid w:val="00761066"/>
    <w:rsid w:val="00764B14"/>
    <w:rsid w:val="00764E20"/>
    <w:rsid w:val="0076601D"/>
    <w:rsid w:val="00773956"/>
    <w:rsid w:val="00775698"/>
    <w:rsid w:val="007803E2"/>
    <w:rsid w:val="00782AA7"/>
    <w:rsid w:val="00784DCD"/>
    <w:rsid w:val="00790F55"/>
    <w:rsid w:val="00796413"/>
    <w:rsid w:val="00797FE6"/>
    <w:rsid w:val="007A6290"/>
    <w:rsid w:val="007B572A"/>
    <w:rsid w:val="007C1670"/>
    <w:rsid w:val="007C1DA9"/>
    <w:rsid w:val="007D165E"/>
    <w:rsid w:val="007D7B04"/>
    <w:rsid w:val="007E0511"/>
    <w:rsid w:val="008028C9"/>
    <w:rsid w:val="00807752"/>
    <w:rsid w:val="008110E1"/>
    <w:rsid w:val="00816499"/>
    <w:rsid w:val="008254DC"/>
    <w:rsid w:val="0082576A"/>
    <w:rsid w:val="00827D35"/>
    <w:rsid w:val="00835BAE"/>
    <w:rsid w:val="0084027E"/>
    <w:rsid w:val="0084110E"/>
    <w:rsid w:val="00842DA7"/>
    <w:rsid w:val="00844814"/>
    <w:rsid w:val="008528A7"/>
    <w:rsid w:val="00853239"/>
    <w:rsid w:val="00862DA3"/>
    <w:rsid w:val="008667A2"/>
    <w:rsid w:val="00874E7D"/>
    <w:rsid w:val="0088096F"/>
    <w:rsid w:val="008870B6"/>
    <w:rsid w:val="008876D1"/>
    <w:rsid w:val="00890A97"/>
    <w:rsid w:val="00893481"/>
    <w:rsid w:val="008976DD"/>
    <w:rsid w:val="008A1C4F"/>
    <w:rsid w:val="008B03B7"/>
    <w:rsid w:val="008B3D29"/>
    <w:rsid w:val="008C3BF7"/>
    <w:rsid w:val="008C77A4"/>
    <w:rsid w:val="008D0320"/>
    <w:rsid w:val="008D2AFB"/>
    <w:rsid w:val="008D3454"/>
    <w:rsid w:val="008D7193"/>
    <w:rsid w:val="008D72C9"/>
    <w:rsid w:val="008E7DF9"/>
    <w:rsid w:val="008F789D"/>
    <w:rsid w:val="00907599"/>
    <w:rsid w:val="00914CC1"/>
    <w:rsid w:val="00926191"/>
    <w:rsid w:val="00926599"/>
    <w:rsid w:val="00926BCD"/>
    <w:rsid w:val="00927133"/>
    <w:rsid w:val="00930B95"/>
    <w:rsid w:val="00932461"/>
    <w:rsid w:val="00941BEB"/>
    <w:rsid w:val="00955E04"/>
    <w:rsid w:val="009576B4"/>
    <w:rsid w:val="009752FA"/>
    <w:rsid w:val="009806EB"/>
    <w:rsid w:val="00990D3F"/>
    <w:rsid w:val="00993323"/>
    <w:rsid w:val="00996DB3"/>
    <w:rsid w:val="009A4513"/>
    <w:rsid w:val="009B1F5C"/>
    <w:rsid w:val="009B6EA0"/>
    <w:rsid w:val="009C1DDF"/>
    <w:rsid w:val="009C4823"/>
    <w:rsid w:val="009D090F"/>
    <w:rsid w:val="009D31FC"/>
    <w:rsid w:val="009E0EFA"/>
    <w:rsid w:val="009E258B"/>
    <w:rsid w:val="009E4903"/>
    <w:rsid w:val="009F0082"/>
    <w:rsid w:val="009F2A6E"/>
    <w:rsid w:val="009F3F8A"/>
    <w:rsid w:val="009F6461"/>
    <w:rsid w:val="00A02B0D"/>
    <w:rsid w:val="00A0769B"/>
    <w:rsid w:val="00A1168D"/>
    <w:rsid w:val="00A11FE5"/>
    <w:rsid w:val="00A16513"/>
    <w:rsid w:val="00A244CB"/>
    <w:rsid w:val="00A27F42"/>
    <w:rsid w:val="00A40D15"/>
    <w:rsid w:val="00A44F56"/>
    <w:rsid w:val="00A50601"/>
    <w:rsid w:val="00A51FFB"/>
    <w:rsid w:val="00A536B3"/>
    <w:rsid w:val="00A60AA7"/>
    <w:rsid w:val="00A61989"/>
    <w:rsid w:val="00A62B97"/>
    <w:rsid w:val="00A62D31"/>
    <w:rsid w:val="00A657F6"/>
    <w:rsid w:val="00A66D89"/>
    <w:rsid w:val="00A7298C"/>
    <w:rsid w:val="00A72F3E"/>
    <w:rsid w:val="00A747A0"/>
    <w:rsid w:val="00A936AE"/>
    <w:rsid w:val="00A94440"/>
    <w:rsid w:val="00AA55BF"/>
    <w:rsid w:val="00AA63AD"/>
    <w:rsid w:val="00AA6D92"/>
    <w:rsid w:val="00AD138F"/>
    <w:rsid w:val="00AE18C5"/>
    <w:rsid w:val="00AE5D71"/>
    <w:rsid w:val="00AE77D5"/>
    <w:rsid w:val="00AF0E1E"/>
    <w:rsid w:val="00AF713D"/>
    <w:rsid w:val="00B132F0"/>
    <w:rsid w:val="00B16805"/>
    <w:rsid w:val="00B23313"/>
    <w:rsid w:val="00B24480"/>
    <w:rsid w:val="00B24B2A"/>
    <w:rsid w:val="00B262F8"/>
    <w:rsid w:val="00B31575"/>
    <w:rsid w:val="00B40B5F"/>
    <w:rsid w:val="00B43AE6"/>
    <w:rsid w:val="00B6726F"/>
    <w:rsid w:val="00B73EA7"/>
    <w:rsid w:val="00B75DD4"/>
    <w:rsid w:val="00B7620A"/>
    <w:rsid w:val="00B7667C"/>
    <w:rsid w:val="00B82B1D"/>
    <w:rsid w:val="00B84507"/>
    <w:rsid w:val="00B92056"/>
    <w:rsid w:val="00B93675"/>
    <w:rsid w:val="00B94353"/>
    <w:rsid w:val="00B957AF"/>
    <w:rsid w:val="00B971B9"/>
    <w:rsid w:val="00BA3C55"/>
    <w:rsid w:val="00BA43FB"/>
    <w:rsid w:val="00BA4DD8"/>
    <w:rsid w:val="00BB12BB"/>
    <w:rsid w:val="00BB1E65"/>
    <w:rsid w:val="00BC0DC7"/>
    <w:rsid w:val="00BC6860"/>
    <w:rsid w:val="00BC7793"/>
    <w:rsid w:val="00BD4FAA"/>
    <w:rsid w:val="00BE47EB"/>
    <w:rsid w:val="00BF32CC"/>
    <w:rsid w:val="00BF5D09"/>
    <w:rsid w:val="00BF70D3"/>
    <w:rsid w:val="00C03C43"/>
    <w:rsid w:val="00C05D0F"/>
    <w:rsid w:val="00C07022"/>
    <w:rsid w:val="00C11B2E"/>
    <w:rsid w:val="00C164DF"/>
    <w:rsid w:val="00C2112E"/>
    <w:rsid w:val="00C23F0B"/>
    <w:rsid w:val="00C2558D"/>
    <w:rsid w:val="00C25927"/>
    <w:rsid w:val="00C27F2A"/>
    <w:rsid w:val="00C52CB2"/>
    <w:rsid w:val="00C61AC6"/>
    <w:rsid w:val="00C627DB"/>
    <w:rsid w:val="00C67EB1"/>
    <w:rsid w:val="00C70335"/>
    <w:rsid w:val="00C8024D"/>
    <w:rsid w:val="00C80981"/>
    <w:rsid w:val="00C81BAE"/>
    <w:rsid w:val="00C83CBB"/>
    <w:rsid w:val="00C858E0"/>
    <w:rsid w:val="00C9034B"/>
    <w:rsid w:val="00C97D53"/>
    <w:rsid w:val="00CA6013"/>
    <w:rsid w:val="00CB0C22"/>
    <w:rsid w:val="00CB4CF7"/>
    <w:rsid w:val="00CB73EC"/>
    <w:rsid w:val="00CC1E19"/>
    <w:rsid w:val="00CC3792"/>
    <w:rsid w:val="00CD3576"/>
    <w:rsid w:val="00CD6E1D"/>
    <w:rsid w:val="00CE7707"/>
    <w:rsid w:val="00CF2EA8"/>
    <w:rsid w:val="00CF3F0F"/>
    <w:rsid w:val="00CF454D"/>
    <w:rsid w:val="00CF62FB"/>
    <w:rsid w:val="00D031F8"/>
    <w:rsid w:val="00D11EC9"/>
    <w:rsid w:val="00D13C75"/>
    <w:rsid w:val="00D14E85"/>
    <w:rsid w:val="00D17CD7"/>
    <w:rsid w:val="00D223ED"/>
    <w:rsid w:val="00D26DE3"/>
    <w:rsid w:val="00D33B8D"/>
    <w:rsid w:val="00D43E44"/>
    <w:rsid w:val="00D44F62"/>
    <w:rsid w:val="00D54352"/>
    <w:rsid w:val="00D56424"/>
    <w:rsid w:val="00D567B1"/>
    <w:rsid w:val="00D65AD6"/>
    <w:rsid w:val="00D66559"/>
    <w:rsid w:val="00D71CEC"/>
    <w:rsid w:val="00D72569"/>
    <w:rsid w:val="00D72CB2"/>
    <w:rsid w:val="00D75435"/>
    <w:rsid w:val="00D80129"/>
    <w:rsid w:val="00D80B0A"/>
    <w:rsid w:val="00D828B2"/>
    <w:rsid w:val="00D84853"/>
    <w:rsid w:val="00D879B5"/>
    <w:rsid w:val="00D919B4"/>
    <w:rsid w:val="00D94D6C"/>
    <w:rsid w:val="00DA0396"/>
    <w:rsid w:val="00DA2B09"/>
    <w:rsid w:val="00DA3FF4"/>
    <w:rsid w:val="00DA7472"/>
    <w:rsid w:val="00DB29DA"/>
    <w:rsid w:val="00DB300B"/>
    <w:rsid w:val="00DB680C"/>
    <w:rsid w:val="00DC2F05"/>
    <w:rsid w:val="00DC4497"/>
    <w:rsid w:val="00DD1EEB"/>
    <w:rsid w:val="00DD6E2B"/>
    <w:rsid w:val="00DE1BD4"/>
    <w:rsid w:val="00DE6964"/>
    <w:rsid w:val="00DF11FD"/>
    <w:rsid w:val="00DF12B2"/>
    <w:rsid w:val="00DF2C4C"/>
    <w:rsid w:val="00E13C36"/>
    <w:rsid w:val="00E1414D"/>
    <w:rsid w:val="00E14A31"/>
    <w:rsid w:val="00E23DFA"/>
    <w:rsid w:val="00E23F55"/>
    <w:rsid w:val="00E30AFD"/>
    <w:rsid w:val="00E310D7"/>
    <w:rsid w:val="00E33C85"/>
    <w:rsid w:val="00E44A31"/>
    <w:rsid w:val="00E4691F"/>
    <w:rsid w:val="00E53B87"/>
    <w:rsid w:val="00E60896"/>
    <w:rsid w:val="00E61E5A"/>
    <w:rsid w:val="00E6357E"/>
    <w:rsid w:val="00E66138"/>
    <w:rsid w:val="00E749A9"/>
    <w:rsid w:val="00E92E1D"/>
    <w:rsid w:val="00E95FF9"/>
    <w:rsid w:val="00EA57CB"/>
    <w:rsid w:val="00EB538D"/>
    <w:rsid w:val="00EB6D45"/>
    <w:rsid w:val="00EC014C"/>
    <w:rsid w:val="00EC1D8F"/>
    <w:rsid w:val="00EC519D"/>
    <w:rsid w:val="00EC553C"/>
    <w:rsid w:val="00EC5FC7"/>
    <w:rsid w:val="00EC6483"/>
    <w:rsid w:val="00EC64F5"/>
    <w:rsid w:val="00ED0B12"/>
    <w:rsid w:val="00ED0EED"/>
    <w:rsid w:val="00ED3D8A"/>
    <w:rsid w:val="00ED7501"/>
    <w:rsid w:val="00EE3201"/>
    <w:rsid w:val="00EE38DD"/>
    <w:rsid w:val="00EF68F6"/>
    <w:rsid w:val="00F01300"/>
    <w:rsid w:val="00F03D21"/>
    <w:rsid w:val="00F12910"/>
    <w:rsid w:val="00F13069"/>
    <w:rsid w:val="00F14719"/>
    <w:rsid w:val="00F24E07"/>
    <w:rsid w:val="00F37268"/>
    <w:rsid w:val="00F47E7B"/>
    <w:rsid w:val="00F51656"/>
    <w:rsid w:val="00F61843"/>
    <w:rsid w:val="00F67266"/>
    <w:rsid w:val="00F70FC0"/>
    <w:rsid w:val="00F87878"/>
    <w:rsid w:val="00F90E49"/>
    <w:rsid w:val="00F95D30"/>
    <w:rsid w:val="00FA4E5D"/>
    <w:rsid w:val="00FA6B10"/>
    <w:rsid w:val="00FB0B4B"/>
    <w:rsid w:val="00FB2E38"/>
    <w:rsid w:val="00FB6F68"/>
    <w:rsid w:val="00FC7AEA"/>
    <w:rsid w:val="00FE21B5"/>
    <w:rsid w:val="00FF4314"/>
    <w:rsid w:val="00FF6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2BB04B3-09A8-406E-A269-E1BC8D3B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 w:type="numbering" w:customStyle="1" w:styleId="Estiloimportado1">
    <w:name w:val="Estilo importado 1"/>
    <w:rsid w:val="00031DFC"/>
    <w:pPr>
      <w:numPr>
        <w:numId w:val="34"/>
      </w:numPr>
    </w:pPr>
  </w:style>
  <w:style w:type="paragraph" w:customStyle="1" w:styleId="Citas">
    <w:name w:val="Citas"/>
    <w:basedOn w:val="Normal"/>
    <w:qFormat/>
    <w:rsid w:val="008D0320"/>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05512">
      <w:bodyDiv w:val="1"/>
      <w:marLeft w:val="0"/>
      <w:marRight w:val="0"/>
      <w:marTop w:val="0"/>
      <w:marBottom w:val="0"/>
      <w:divBdr>
        <w:top w:val="none" w:sz="0" w:space="0" w:color="auto"/>
        <w:left w:val="none" w:sz="0" w:space="0" w:color="auto"/>
        <w:bottom w:val="none" w:sz="0" w:space="0" w:color="auto"/>
        <w:right w:val="none" w:sz="0" w:space="0" w:color="auto"/>
      </w:divBdr>
    </w:div>
    <w:div w:id="154955861">
      <w:bodyDiv w:val="1"/>
      <w:marLeft w:val="0"/>
      <w:marRight w:val="0"/>
      <w:marTop w:val="0"/>
      <w:marBottom w:val="0"/>
      <w:divBdr>
        <w:top w:val="none" w:sz="0" w:space="0" w:color="auto"/>
        <w:left w:val="none" w:sz="0" w:space="0" w:color="auto"/>
        <w:bottom w:val="none" w:sz="0" w:space="0" w:color="auto"/>
        <w:right w:val="none" w:sz="0" w:space="0" w:color="auto"/>
      </w:divBdr>
    </w:div>
    <w:div w:id="253901752">
      <w:bodyDiv w:val="1"/>
      <w:marLeft w:val="0"/>
      <w:marRight w:val="0"/>
      <w:marTop w:val="0"/>
      <w:marBottom w:val="0"/>
      <w:divBdr>
        <w:top w:val="none" w:sz="0" w:space="0" w:color="auto"/>
        <w:left w:val="none" w:sz="0" w:space="0" w:color="auto"/>
        <w:bottom w:val="none" w:sz="0" w:space="0" w:color="auto"/>
        <w:right w:val="none" w:sz="0" w:space="0" w:color="auto"/>
      </w:divBdr>
    </w:div>
    <w:div w:id="404187758">
      <w:bodyDiv w:val="1"/>
      <w:marLeft w:val="0"/>
      <w:marRight w:val="0"/>
      <w:marTop w:val="0"/>
      <w:marBottom w:val="0"/>
      <w:divBdr>
        <w:top w:val="none" w:sz="0" w:space="0" w:color="auto"/>
        <w:left w:val="none" w:sz="0" w:space="0" w:color="auto"/>
        <w:bottom w:val="none" w:sz="0" w:space="0" w:color="auto"/>
        <w:right w:val="none" w:sz="0" w:space="0" w:color="auto"/>
      </w:divBdr>
      <w:divsChild>
        <w:div w:id="1737632424">
          <w:marLeft w:val="0"/>
          <w:marRight w:val="0"/>
          <w:marTop w:val="0"/>
          <w:marBottom w:val="0"/>
          <w:divBdr>
            <w:top w:val="none" w:sz="0" w:space="0" w:color="auto"/>
            <w:left w:val="none" w:sz="0" w:space="0" w:color="auto"/>
            <w:bottom w:val="none" w:sz="0" w:space="0" w:color="auto"/>
            <w:right w:val="none" w:sz="0" w:space="0" w:color="auto"/>
          </w:divBdr>
        </w:div>
      </w:divsChild>
    </w:div>
    <w:div w:id="618147294">
      <w:bodyDiv w:val="1"/>
      <w:marLeft w:val="0"/>
      <w:marRight w:val="0"/>
      <w:marTop w:val="0"/>
      <w:marBottom w:val="0"/>
      <w:divBdr>
        <w:top w:val="none" w:sz="0" w:space="0" w:color="auto"/>
        <w:left w:val="none" w:sz="0" w:space="0" w:color="auto"/>
        <w:bottom w:val="none" w:sz="0" w:space="0" w:color="auto"/>
        <w:right w:val="none" w:sz="0" w:space="0" w:color="auto"/>
      </w:divBdr>
    </w:div>
    <w:div w:id="625965236">
      <w:bodyDiv w:val="1"/>
      <w:marLeft w:val="0"/>
      <w:marRight w:val="0"/>
      <w:marTop w:val="0"/>
      <w:marBottom w:val="0"/>
      <w:divBdr>
        <w:top w:val="none" w:sz="0" w:space="0" w:color="auto"/>
        <w:left w:val="none" w:sz="0" w:space="0" w:color="auto"/>
        <w:bottom w:val="none" w:sz="0" w:space="0" w:color="auto"/>
        <w:right w:val="none" w:sz="0" w:space="0" w:color="auto"/>
      </w:divBdr>
      <w:divsChild>
        <w:div w:id="411126346">
          <w:marLeft w:val="0"/>
          <w:marRight w:val="0"/>
          <w:marTop w:val="0"/>
          <w:marBottom w:val="0"/>
          <w:divBdr>
            <w:top w:val="none" w:sz="0" w:space="0" w:color="auto"/>
            <w:left w:val="none" w:sz="0" w:space="0" w:color="auto"/>
            <w:bottom w:val="none" w:sz="0" w:space="0" w:color="auto"/>
            <w:right w:val="none" w:sz="0" w:space="0" w:color="auto"/>
          </w:divBdr>
        </w:div>
      </w:divsChild>
    </w:div>
    <w:div w:id="649334899">
      <w:bodyDiv w:val="1"/>
      <w:marLeft w:val="0"/>
      <w:marRight w:val="0"/>
      <w:marTop w:val="0"/>
      <w:marBottom w:val="0"/>
      <w:divBdr>
        <w:top w:val="none" w:sz="0" w:space="0" w:color="auto"/>
        <w:left w:val="none" w:sz="0" w:space="0" w:color="auto"/>
        <w:bottom w:val="none" w:sz="0" w:space="0" w:color="auto"/>
        <w:right w:val="none" w:sz="0" w:space="0" w:color="auto"/>
      </w:divBdr>
      <w:divsChild>
        <w:div w:id="153573476">
          <w:marLeft w:val="0"/>
          <w:marRight w:val="0"/>
          <w:marTop w:val="0"/>
          <w:marBottom w:val="0"/>
          <w:divBdr>
            <w:top w:val="none" w:sz="0" w:space="0" w:color="auto"/>
            <w:left w:val="none" w:sz="0" w:space="0" w:color="auto"/>
            <w:bottom w:val="none" w:sz="0" w:space="0" w:color="auto"/>
            <w:right w:val="none" w:sz="0" w:space="0" w:color="auto"/>
          </w:divBdr>
        </w:div>
      </w:divsChild>
    </w:div>
    <w:div w:id="677777760">
      <w:bodyDiv w:val="1"/>
      <w:marLeft w:val="0"/>
      <w:marRight w:val="0"/>
      <w:marTop w:val="0"/>
      <w:marBottom w:val="0"/>
      <w:divBdr>
        <w:top w:val="none" w:sz="0" w:space="0" w:color="auto"/>
        <w:left w:val="none" w:sz="0" w:space="0" w:color="auto"/>
        <w:bottom w:val="none" w:sz="0" w:space="0" w:color="auto"/>
        <w:right w:val="none" w:sz="0" w:space="0" w:color="auto"/>
      </w:divBdr>
    </w:div>
    <w:div w:id="682365519">
      <w:bodyDiv w:val="1"/>
      <w:marLeft w:val="0"/>
      <w:marRight w:val="0"/>
      <w:marTop w:val="0"/>
      <w:marBottom w:val="0"/>
      <w:divBdr>
        <w:top w:val="none" w:sz="0" w:space="0" w:color="auto"/>
        <w:left w:val="none" w:sz="0" w:space="0" w:color="auto"/>
        <w:bottom w:val="none" w:sz="0" w:space="0" w:color="auto"/>
        <w:right w:val="none" w:sz="0" w:space="0" w:color="auto"/>
      </w:divBdr>
    </w:div>
    <w:div w:id="725228409">
      <w:bodyDiv w:val="1"/>
      <w:marLeft w:val="0"/>
      <w:marRight w:val="0"/>
      <w:marTop w:val="0"/>
      <w:marBottom w:val="0"/>
      <w:divBdr>
        <w:top w:val="none" w:sz="0" w:space="0" w:color="auto"/>
        <w:left w:val="none" w:sz="0" w:space="0" w:color="auto"/>
        <w:bottom w:val="none" w:sz="0" w:space="0" w:color="auto"/>
        <w:right w:val="none" w:sz="0" w:space="0" w:color="auto"/>
      </w:divBdr>
    </w:div>
    <w:div w:id="780106341">
      <w:bodyDiv w:val="1"/>
      <w:marLeft w:val="0"/>
      <w:marRight w:val="0"/>
      <w:marTop w:val="0"/>
      <w:marBottom w:val="0"/>
      <w:divBdr>
        <w:top w:val="none" w:sz="0" w:space="0" w:color="auto"/>
        <w:left w:val="none" w:sz="0" w:space="0" w:color="auto"/>
        <w:bottom w:val="none" w:sz="0" w:space="0" w:color="auto"/>
        <w:right w:val="none" w:sz="0" w:space="0" w:color="auto"/>
      </w:divBdr>
    </w:div>
    <w:div w:id="783576869">
      <w:bodyDiv w:val="1"/>
      <w:marLeft w:val="0"/>
      <w:marRight w:val="0"/>
      <w:marTop w:val="0"/>
      <w:marBottom w:val="0"/>
      <w:divBdr>
        <w:top w:val="none" w:sz="0" w:space="0" w:color="auto"/>
        <w:left w:val="none" w:sz="0" w:space="0" w:color="auto"/>
        <w:bottom w:val="none" w:sz="0" w:space="0" w:color="auto"/>
        <w:right w:val="none" w:sz="0" w:space="0" w:color="auto"/>
      </w:divBdr>
    </w:div>
    <w:div w:id="786509730">
      <w:bodyDiv w:val="1"/>
      <w:marLeft w:val="0"/>
      <w:marRight w:val="0"/>
      <w:marTop w:val="0"/>
      <w:marBottom w:val="0"/>
      <w:divBdr>
        <w:top w:val="none" w:sz="0" w:space="0" w:color="auto"/>
        <w:left w:val="none" w:sz="0" w:space="0" w:color="auto"/>
        <w:bottom w:val="none" w:sz="0" w:space="0" w:color="auto"/>
        <w:right w:val="none" w:sz="0" w:space="0" w:color="auto"/>
      </w:divBdr>
    </w:div>
    <w:div w:id="883979820">
      <w:bodyDiv w:val="1"/>
      <w:marLeft w:val="0"/>
      <w:marRight w:val="0"/>
      <w:marTop w:val="0"/>
      <w:marBottom w:val="0"/>
      <w:divBdr>
        <w:top w:val="none" w:sz="0" w:space="0" w:color="auto"/>
        <w:left w:val="none" w:sz="0" w:space="0" w:color="auto"/>
        <w:bottom w:val="none" w:sz="0" w:space="0" w:color="auto"/>
        <w:right w:val="none" w:sz="0" w:space="0" w:color="auto"/>
      </w:divBdr>
    </w:div>
    <w:div w:id="965742281">
      <w:bodyDiv w:val="1"/>
      <w:marLeft w:val="0"/>
      <w:marRight w:val="0"/>
      <w:marTop w:val="0"/>
      <w:marBottom w:val="0"/>
      <w:divBdr>
        <w:top w:val="none" w:sz="0" w:space="0" w:color="auto"/>
        <w:left w:val="none" w:sz="0" w:space="0" w:color="auto"/>
        <w:bottom w:val="none" w:sz="0" w:space="0" w:color="auto"/>
        <w:right w:val="none" w:sz="0" w:space="0" w:color="auto"/>
      </w:divBdr>
    </w:div>
    <w:div w:id="977295855">
      <w:bodyDiv w:val="1"/>
      <w:marLeft w:val="0"/>
      <w:marRight w:val="0"/>
      <w:marTop w:val="0"/>
      <w:marBottom w:val="0"/>
      <w:divBdr>
        <w:top w:val="none" w:sz="0" w:space="0" w:color="auto"/>
        <w:left w:val="none" w:sz="0" w:space="0" w:color="auto"/>
        <w:bottom w:val="none" w:sz="0" w:space="0" w:color="auto"/>
        <w:right w:val="none" w:sz="0" w:space="0" w:color="auto"/>
      </w:divBdr>
    </w:div>
    <w:div w:id="1035807895">
      <w:bodyDiv w:val="1"/>
      <w:marLeft w:val="0"/>
      <w:marRight w:val="0"/>
      <w:marTop w:val="0"/>
      <w:marBottom w:val="0"/>
      <w:divBdr>
        <w:top w:val="none" w:sz="0" w:space="0" w:color="auto"/>
        <w:left w:val="none" w:sz="0" w:space="0" w:color="auto"/>
        <w:bottom w:val="none" w:sz="0" w:space="0" w:color="auto"/>
        <w:right w:val="none" w:sz="0" w:space="0" w:color="auto"/>
      </w:divBdr>
    </w:div>
    <w:div w:id="1160390799">
      <w:bodyDiv w:val="1"/>
      <w:marLeft w:val="0"/>
      <w:marRight w:val="0"/>
      <w:marTop w:val="0"/>
      <w:marBottom w:val="0"/>
      <w:divBdr>
        <w:top w:val="none" w:sz="0" w:space="0" w:color="auto"/>
        <w:left w:val="none" w:sz="0" w:space="0" w:color="auto"/>
        <w:bottom w:val="none" w:sz="0" w:space="0" w:color="auto"/>
        <w:right w:val="none" w:sz="0" w:space="0" w:color="auto"/>
      </w:divBdr>
    </w:div>
    <w:div w:id="1193180589">
      <w:bodyDiv w:val="1"/>
      <w:marLeft w:val="0"/>
      <w:marRight w:val="0"/>
      <w:marTop w:val="0"/>
      <w:marBottom w:val="0"/>
      <w:divBdr>
        <w:top w:val="none" w:sz="0" w:space="0" w:color="auto"/>
        <w:left w:val="none" w:sz="0" w:space="0" w:color="auto"/>
        <w:bottom w:val="none" w:sz="0" w:space="0" w:color="auto"/>
        <w:right w:val="none" w:sz="0" w:space="0" w:color="auto"/>
      </w:divBdr>
    </w:div>
    <w:div w:id="1248270281">
      <w:bodyDiv w:val="1"/>
      <w:marLeft w:val="0"/>
      <w:marRight w:val="0"/>
      <w:marTop w:val="0"/>
      <w:marBottom w:val="0"/>
      <w:divBdr>
        <w:top w:val="none" w:sz="0" w:space="0" w:color="auto"/>
        <w:left w:val="none" w:sz="0" w:space="0" w:color="auto"/>
        <w:bottom w:val="none" w:sz="0" w:space="0" w:color="auto"/>
        <w:right w:val="none" w:sz="0" w:space="0" w:color="auto"/>
      </w:divBdr>
    </w:div>
    <w:div w:id="1274826170">
      <w:bodyDiv w:val="1"/>
      <w:marLeft w:val="0"/>
      <w:marRight w:val="0"/>
      <w:marTop w:val="0"/>
      <w:marBottom w:val="0"/>
      <w:divBdr>
        <w:top w:val="none" w:sz="0" w:space="0" w:color="auto"/>
        <w:left w:val="none" w:sz="0" w:space="0" w:color="auto"/>
        <w:bottom w:val="none" w:sz="0" w:space="0" w:color="auto"/>
        <w:right w:val="none" w:sz="0" w:space="0" w:color="auto"/>
      </w:divBdr>
    </w:div>
    <w:div w:id="1292324679">
      <w:bodyDiv w:val="1"/>
      <w:marLeft w:val="0"/>
      <w:marRight w:val="0"/>
      <w:marTop w:val="0"/>
      <w:marBottom w:val="0"/>
      <w:divBdr>
        <w:top w:val="none" w:sz="0" w:space="0" w:color="auto"/>
        <w:left w:val="none" w:sz="0" w:space="0" w:color="auto"/>
        <w:bottom w:val="none" w:sz="0" w:space="0" w:color="auto"/>
        <w:right w:val="none" w:sz="0" w:space="0" w:color="auto"/>
      </w:divBdr>
    </w:div>
    <w:div w:id="1363551665">
      <w:bodyDiv w:val="1"/>
      <w:marLeft w:val="0"/>
      <w:marRight w:val="0"/>
      <w:marTop w:val="0"/>
      <w:marBottom w:val="0"/>
      <w:divBdr>
        <w:top w:val="none" w:sz="0" w:space="0" w:color="auto"/>
        <w:left w:val="none" w:sz="0" w:space="0" w:color="auto"/>
        <w:bottom w:val="none" w:sz="0" w:space="0" w:color="auto"/>
        <w:right w:val="none" w:sz="0" w:space="0" w:color="auto"/>
      </w:divBdr>
    </w:div>
    <w:div w:id="1491747860">
      <w:bodyDiv w:val="1"/>
      <w:marLeft w:val="0"/>
      <w:marRight w:val="0"/>
      <w:marTop w:val="0"/>
      <w:marBottom w:val="0"/>
      <w:divBdr>
        <w:top w:val="none" w:sz="0" w:space="0" w:color="auto"/>
        <w:left w:val="none" w:sz="0" w:space="0" w:color="auto"/>
        <w:bottom w:val="none" w:sz="0" w:space="0" w:color="auto"/>
        <w:right w:val="none" w:sz="0" w:space="0" w:color="auto"/>
      </w:divBdr>
      <w:divsChild>
        <w:div w:id="496043438">
          <w:marLeft w:val="0"/>
          <w:marRight w:val="0"/>
          <w:marTop w:val="0"/>
          <w:marBottom w:val="0"/>
          <w:divBdr>
            <w:top w:val="none" w:sz="0" w:space="0" w:color="auto"/>
            <w:left w:val="none" w:sz="0" w:space="0" w:color="auto"/>
            <w:bottom w:val="none" w:sz="0" w:space="0" w:color="auto"/>
            <w:right w:val="none" w:sz="0" w:space="0" w:color="auto"/>
          </w:divBdr>
        </w:div>
      </w:divsChild>
    </w:div>
    <w:div w:id="1547765211">
      <w:bodyDiv w:val="1"/>
      <w:marLeft w:val="0"/>
      <w:marRight w:val="0"/>
      <w:marTop w:val="0"/>
      <w:marBottom w:val="0"/>
      <w:divBdr>
        <w:top w:val="none" w:sz="0" w:space="0" w:color="auto"/>
        <w:left w:val="none" w:sz="0" w:space="0" w:color="auto"/>
        <w:bottom w:val="none" w:sz="0" w:space="0" w:color="auto"/>
        <w:right w:val="none" w:sz="0" w:space="0" w:color="auto"/>
      </w:divBdr>
    </w:div>
    <w:div w:id="1586111195">
      <w:bodyDiv w:val="1"/>
      <w:marLeft w:val="0"/>
      <w:marRight w:val="0"/>
      <w:marTop w:val="0"/>
      <w:marBottom w:val="0"/>
      <w:divBdr>
        <w:top w:val="none" w:sz="0" w:space="0" w:color="auto"/>
        <w:left w:val="none" w:sz="0" w:space="0" w:color="auto"/>
        <w:bottom w:val="none" w:sz="0" w:space="0" w:color="auto"/>
        <w:right w:val="none" w:sz="0" w:space="0" w:color="auto"/>
      </w:divBdr>
    </w:div>
    <w:div w:id="1621911964">
      <w:bodyDiv w:val="1"/>
      <w:marLeft w:val="0"/>
      <w:marRight w:val="0"/>
      <w:marTop w:val="0"/>
      <w:marBottom w:val="0"/>
      <w:divBdr>
        <w:top w:val="none" w:sz="0" w:space="0" w:color="auto"/>
        <w:left w:val="none" w:sz="0" w:space="0" w:color="auto"/>
        <w:bottom w:val="none" w:sz="0" w:space="0" w:color="auto"/>
        <w:right w:val="none" w:sz="0" w:space="0" w:color="auto"/>
      </w:divBdr>
    </w:div>
    <w:div w:id="1682850039">
      <w:bodyDiv w:val="1"/>
      <w:marLeft w:val="0"/>
      <w:marRight w:val="0"/>
      <w:marTop w:val="0"/>
      <w:marBottom w:val="0"/>
      <w:divBdr>
        <w:top w:val="none" w:sz="0" w:space="0" w:color="auto"/>
        <w:left w:val="none" w:sz="0" w:space="0" w:color="auto"/>
        <w:bottom w:val="none" w:sz="0" w:space="0" w:color="auto"/>
        <w:right w:val="none" w:sz="0" w:space="0" w:color="auto"/>
      </w:divBdr>
    </w:div>
    <w:div w:id="1710257381">
      <w:bodyDiv w:val="1"/>
      <w:marLeft w:val="0"/>
      <w:marRight w:val="0"/>
      <w:marTop w:val="0"/>
      <w:marBottom w:val="0"/>
      <w:divBdr>
        <w:top w:val="none" w:sz="0" w:space="0" w:color="auto"/>
        <w:left w:val="none" w:sz="0" w:space="0" w:color="auto"/>
        <w:bottom w:val="none" w:sz="0" w:space="0" w:color="auto"/>
        <w:right w:val="none" w:sz="0" w:space="0" w:color="auto"/>
      </w:divBdr>
    </w:div>
    <w:div w:id="1769961916">
      <w:bodyDiv w:val="1"/>
      <w:marLeft w:val="0"/>
      <w:marRight w:val="0"/>
      <w:marTop w:val="0"/>
      <w:marBottom w:val="0"/>
      <w:divBdr>
        <w:top w:val="none" w:sz="0" w:space="0" w:color="auto"/>
        <w:left w:val="none" w:sz="0" w:space="0" w:color="auto"/>
        <w:bottom w:val="none" w:sz="0" w:space="0" w:color="auto"/>
        <w:right w:val="none" w:sz="0" w:space="0" w:color="auto"/>
      </w:divBdr>
    </w:div>
    <w:div w:id="1904832595">
      <w:bodyDiv w:val="1"/>
      <w:marLeft w:val="0"/>
      <w:marRight w:val="0"/>
      <w:marTop w:val="0"/>
      <w:marBottom w:val="0"/>
      <w:divBdr>
        <w:top w:val="none" w:sz="0" w:space="0" w:color="auto"/>
        <w:left w:val="none" w:sz="0" w:space="0" w:color="auto"/>
        <w:bottom w:val="none" w:sz="0" w:space="0" w:color="auto"/>
        <w:right w:val="none" w:sz="0" w:space="0" w:color="auto"/>
      </w:divBdr>
    </w:div>
    <w:div w:id="1919516614">
      <w:bodyDiv w:val="1"/>
      <w:marLeft w:val="0"/>
      <w:marRight w:val="0"/>
      <w:marTop w:val="0"/>
      <w:marBottom w:val="0"/>
      <w:divBdr>
        <w:top w:val="none" w:sz="0" w:space="0" w:color="auto"/>
        <w:left w:val="none" w:sz="0" w:space="0" w:color="auto"/>
        <w:bottom w:val="none" w:sz="0" w:space="0" w:color="auto"/>
        <w:right w:val="none" w:sz="0" w:space="0" w:color="auto"/>
      </w:divBdr>
    </w:div>
    <w:div w:id="1935818736">
      <w:bodyDiv w:val="1"/>
      <w:marLeft w:val="0"/>
      <w:marRight w:val="0"/>
      <w:marTop w:val="0"/>
      <w:marBottom w:val="0"/>
      <w:divBdr>
        <w:top w:val="none" w:sz="0" w:space="0" w:color="auto"/>
        <w:left w:val="none" w:sz="0" w:space="0" w:color="auto"/>
        <w:bottom w:val="none" w:sz="0" w:space="0" w:color="auto"/>
        <w:right w:val="none" w:sz="0" w:space="0" w:color="auto"/>
      </w:divBdr>
    </w:div>
    <w:div w:id="1955094116">
      <w:bodyDiv w:val="1"/>
      <w:marLeft w:val="0"/>
      <w:marRight w:val="0"/>
      <w:marTop w:val="0"/>
      <w:marBottom w:val="0"/>
      <w:divBdr>
        <w:top w:val="none" w:sz="0" w:space="0" w:color="auto"/>
        <w:left w:val="none" w:sz="0" w:space="0" w:color="auto"/>
        <w:bottom w:val="none" w:sz="0" w:space="0" w:color="auto"/>
        <w:right w:val="none" w:sz="0" w:space="0" w:color="auto"/>
      </w:divBdr>
    </w:div>
    <w:div w:id="1966812515">
      <w:bodyDiv w:val="1"/>
      <w:marLeft w:val="0"/>
      <w:marRight w:val="0"/>
      <w:marTop w:val="0"/>
      <w:marBottom w:val="0"/>
      <w:divBdr>
        <w:top w:val="none" w:sz="0" w:space="0" w:color="auto"/>
        <w:left w:val="none" w:sz="0" w:space="0" w:color="auto"/>
        <w:bottom w:val="none" w:sz="0" w:space="0" w:color="auto"/>
        <w:right w:val="none" w:sz="0" w:space="0" w:color="auto"/>
      </w:divBdr>
    </w:div>
    <w:div w:id="2078241810">
      <w:bodyDiv w:val="1"/>
      <w:marLeft w:val="0"/>
      <w:marRight w:val="0"/>
      <w:marTop w:val="0"/>
      <w:marBottom w:val="0"/>
      <w:divBdr>
        <w:top w:val="none" w:sz="0" w:space="0" w:color="auto"/>
        <w:left w:val="none" w:sz="0" w:space="0" w:color="auto"/>
        <w:bottom w:val="none" w:sz="0" w:space="0" w:color="auto"/>
        <w:right w:val="none" w:sz="0" w:space="0" w:color="auto"/>
      </w:divBdr>
    </w:div>
    <w:div w:id="2140106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uVhSoq4XnkTbT15/+pRZweduDg==">CgMxLjAyCGguZ2pkZ3hzMgloLjMwajB6bGwyCWguMWZvYjl0ZTIJaC4zem55c2g3MgloLjJldDkycDAyCGgudHlqY3d0MgloLjNkeTZ2a20yCWguMXQzaDVzZjIJaC4xa3N2NHV2MgloLjNyZGNyam4yCWguMjZpbjFyZzIOaC4zbHhlMnNlN2szMHcyDmguNjltM2E2c2pqdzZuMg1oLmEwa3o1aGxmNnhvMg5oLnZna2t0YjdwajIzYTIOaC5uOXpyYzVqenNsODEyDmgub2lkN3p6bHh6dnVvMg5oLnpnazU4bnpldnIyMDIOaC41MzdoanJybzA4dWUyDWguN3l6d3g5aWljZG0yCWguMjZpbjFyZzgAciExOUFmNGJQaDJCcW96VDM3U0FXQTZ4Y2pIZ0VnOXNmS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31</Pages>
  <Words>7083</Words>
  <Characters>38961</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INFOEM416</cp:lastModifiedBy>
  <cp:revision>29</cp:revision>
  <cp:lastPrinted>2025-02-20T15:51:00Z</cp:lastPrinted>
  <dcterms:created xsi:type="dcterms:W3CDTF">2025-02-17T18:24:00Z</dcterms:created>
  <dcterms:modified xsi:type="dcterms:W3CDTF">2025-02-20T15:51:00Z</dcterms:modified>
</cp:coreProperties>
</file>