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7FC12" w14:textId="373B2FCC"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8D7857">
        <w:rPr>
          <w:rFonts w:ascii="Palatino Linotype" w:eastAsia="Times New Roman" w:hAnsi="Palatino Linotype" w:cs="Palatino Linotype"/>
          <w:color w:val="000000"/>
          <w:sz w:val="24"/>
          <w:szCs w:val="24"/>
          <w:lang w:val="es-ES_tradnl" w:eastAsia="es-MX"/>
        </w:rPr>
        <w:t>dos de julio</w:t>
      </w:r>
      <w:r>
        <w:rPr>
          <w:rFonts w:ascii="Palatino Linotype" w:eastAsia="Times New Roman" w:hAnsi="Palatino Linotype" w:cs="Palatino Linotype"/>
          <w:color w:val="000000"/>
          <w:sz w:val="24"/>
          <w:szCs w:val="24"/>
          <w:lang w:val="es-ES_tradnl" w:eastAsia="es-MX"/>
        </w:rPr>
        <w:t xml:space="preserve"> de dos mil veinticinco.</w:t>
      </w:r>
    </w:p>
    <w:p w14:paraId="7FAE0917"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29FAD4B"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03235/INFOEM/IP/RR/2025</w:t>
      </w:r>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 ciudadano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3D2787">
        <w:rPr>
          <w:rFonts w:ascii="Palatino Linotype" w:hAnsi="Palatino Linotype"/>
          <w:b/>
          <w:bCs/>
          <w:color w:val="000000"/>
          <w:sz w:val="24"/>
          <w:szCs w:val="24"/>
        </w:rPr>
        <w:t>Organismo Público Descentralizado para la Prestación de Los Servicios de Agua Potable Alcantarillado y Saneamiento del Municipio de Naucalpan de Juárez</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52C7EC7D"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AC853DF"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2467165" w14:textId="77777777" w:rsidR="003D2787" w:rsidRPr="00D53477" w:rsidRDefault="003D2787" w:rsidP="003D2787">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7379124B"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6BFC8F3" w14:textId="77777777" w:rsidR="003D2787" w:rsidRPr="00D53477" w:rsidRDefault="003D2787" w:rsidP="003D278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068CD5F1"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diecinueve de febrero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3D2787">
        <w:rPr>
          <w:rFonts w:ascii="Palatino Linotype" w:hAnsi="Palatino Linotype"/>
          <w:b/>
          <w:bCs/>
          <w:sz w:val="24"/>
          <w:szCs w:val="24"/>
        </w:rPr>
        <w:t>00054/OASNAUCAL/IP/2025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63F832D9" w14:textId="77777777" w:rsidR="003D2787" w:rsidRPr="00F70BDE" w:rsidRDefault="003D2787" w:rsidP="003D2787">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43C3A6CB" w14:textId="77777777" w:rsidR="003D2787" w:rsidRPr="00613AEC" w:rsidRDefault="003D2787" w:rsidP="003D2787">
      <w:pPr>
        <w:spacing w:after="0" w:line="360" w:lineRule="auto"/>
        <w:ind w:left="567" w:right="567"/>
        <w:contextualSpacing/>
        <w:jc w:val="both"/>
        <w:rPr>
          <w:rFonts w:ascii="Palatino Linotype" w:hAnsi="Palatino Linotype"/>
          <w:i/>
          <w:color w:val="000000"/>
          <w:sz w:val="24"/>
          <w:szCs w:val="24"/>
        </w:rPr>
      </w:pPr>
      <w:r w:rsidRPr="003D2787">
        <w:rPr>
          <w:rFonts w:ascii="Palatino Linotype" w:hAnsi="Palatino Linotype"/>
          <w:i/>
          <w:color w:val="000000"/>
          <w:sz w:val="24"/>
          <w:szCs w:val="24"/>
        </w:rPr>
        <w:lastRenderedPageBreak/>
        <w:t>“COSTO TOTAL DE INVERSION EN INFRAESTRUCTURA DE DRENAJE DEL AÑO 2020 COSTO TOTAL DE INVERSION EN INFRAESTRUCTURA DE DRENAJE DEL AÑO 2021 COSTO TOTAL DE INVERSION EN INFRAESTRUCTURA DE DRENAJE DEL AÑO 2022 COSTO TOTAL DE INVERSION EN INFRAESTRUCTURA DE DRENAJE DEL AÑO 2023 COSTO TOTAL DE INVERSION EN INFRAESTRUCTURA DE DRENAJE DEL AÑO 2024</w:t>
      </w:r>
      <w:r w:rsidRPr="00E05A52">
        <w:rPr>
          <w:rFonts w:ascii="Palatino Linotype" w:eastAsia="Times New Roman" w:hAnsi="Palatino Linotype" w:cs="Palatino Linotype"/>
          <w:i/>
          <w:color w:val="000000"/>
          <w:sz w:val="24"/>
          <w:szCs w:val="24"/>
          <w:lang w:val="es-ES_tradnl" w:eastAsia="es-MX"/>
        </w:rPr>
        <w:t xml:space="preserve">” </w:t>
      </w:r>
      <w:r w:rsidRPr="00613AEC">
        <w:rPr>
          <w:rFonts w:ascii="Palatino Linotype" w:eastAsia="Times New Roman" w:hAnsi="Palatino Linotype" w:cs="Palatino Linotype"/>
          <w:i/>
          <w:color w:val="000000"/>
          <w:sz w:val="24"/>
          <w:szCs w:val="24"/>
          <w:lang w:val="es-ES_tradnl" w:eastAsia="es-MX"/>
        </w:rPr>
        <w:t>(Sic)</w:t>
      </w:r>
    </w:p>
    <w:p w14:paraId="43E28C2B"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5281FF7"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4F5F3879" w14:textId="77777777" w:rsidR="003D2787" w:rsidRPr="00315FB1"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3064976" w14:textId="77777777" w:rsidR="003D2787" w:rsidRPr="00D53477" w:rsidRDefault="003D2787" w:rsidP="003D278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733CDCA0" w14:textId="77777777" w:rsidR="003D2787" w:rsidRPr="0066425F"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trece de marzo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00E8DF23" w14:textId="77777777" w:rsidR="003D2787" w:rsidRDefault="003D2787" w:rsidP="003D2787">
      <w:pPr>
        <w:spacing w:after="0" w:line="360" w:lineRule="auto"/>
        <w:contextualSpacing/>
        <w:jc w:val="both"/>
        <w:rPr>
          <w:rFonts w:ascii="Palatino Linotype" w:eastAsia="Times New Roman" w:hAnsi="Palatino Linotype" w:cs="Palatino Linotype"/>
          <w:i/>
          <w:color w:val="000000"/>
          <w:lang w:val="es-ES_tradnl" w:eastAsia="es-MX"/>
        </w:rPr>
      </w:pPr>
    </w:p>
    <w:tbl>
      <w:tblPr>
        <w:tblW w:w="7721" w:type="dxa"/>
        <w:jc w:val="center"/>
        <w:tblCellSpacing w:w="0" w:type="dxa"/>
        <w:tblCellMar>
          <w:left w:w="0" w:type="dxa"/>
          <w:right w:w="0" w:type="dxa"/>
        </w:tblCellMar>
        <w:tblLook w:val="04A0" w:firstRow="1" w:lastRow="0" w:firstColumn="1" w:lastColumn="0" w:noHBand="0" w:noVBand="1"/>
      </w:tblPr>
      <w:tblGrid>
        <w:gridCol w:w="7721"/>
      </w:tblGrid>
      <w:tr w:rsidR="003D2787" w:rsidRPr="003D2787" w14:paraId="21049333" w14:textId="77777777" w:rsidTr="003D2787">
        <w:trPr>
          <w:trHeight w:val="310"/>
          <w:tblCellSpacing w:w="0" w:type="dxa"/>
          <w:jc w:val="center"/>
        </w:trPr>
        <w:tc>
          <w:tcPr>
            <w:tcW w:w="0" w:type="auto"/>
            <w:vAlign w:val="center"/>
            <w:hideMark/>
          </w:tcPr>
          <w:p w14:paraId="00C502AF" w14:textId="77777777" w:rsidR="003D2787" w:rsidRPr="003D2787" w:rsidRDefault="003D2787" w:rsidP="003D2787">
            <w:pPr>
              <w:spacing w:after="0" w:line="240" w:lineRule="auto"/>
              <w:jc w:val="right"/>
              <w:rPr>
                <w:rFonts w:ascii="Palatino Linotype" w:eastAsia="Times New Roman" w:hAnsi="Palatino Linotype" w:cs="Times New Roman"/>
                <w:i/>
                <w:lang w:eastAsia="es-MX"/>
              </w:rPr>
            </w:pPr>
            <w:r w:rsidRPr="003D2787">
              <w:rPr>
                <w:rFonts w:ascii="Palatino Linotype" w:eastAsia="Times New Roman" w:hAnsi="Palatino Linotype" w:cs="Times New Roman"/>
                <w:i/>
                <w:lang w:eastAsia="es-MX"/>
              </w:rPr>
              <w:t>o Descentralizado para la Prestación de Los Servicios de Agua Potable Alcantarillado y Saneamiento del Municipio de Naucalpan de Juárez, México a 13 de Marzo de 2025</w:t>
            </w:r>
          </w:p>
        </w:tc>
      </w:tr>
      <w:tr w:rsidR="003D2787" w:rsidRPr="003D2787" w14:paraId="7058D733" w14:textId="77777777" w:rsidTr="003D2787">
        <w:trPr>
          <w:trHeight w:val="310"/>
          <w:tblCellSpacing w:w="0" w:type="dxa"/>
          <w:jc w:val="center"/>
        </w:trPr>
        <w:tc>
          <w:tcPr>
            <w:tcW w:w="0" w:type="auto"/>
            <w:vAlign w:val="center"/>
            <w:hideMark/>
          </w:tcPr>
          <w:p w14:paraId="478FBD2A" w14:textId="77777777" w:rsidR="003D2787" w:rsidRPr="003D2787" w:rsidRDefault="003D2787" w:rsidP="003D2787">
            <w:pPr>
              <w:spacing w:after="0" w:line="240" w:lineRule="auto"/>
              <w:jc w:val="right"/>
              <w:rPr>
                <w:rFonts w:ascii="Palatino Linotype" w:eastAsia="Times New Roman" w:hAnsi="Palatino Linotype" w:cs="Times New Roman"/>
                <w:i/>
                <w:lang w:eastAsia="es-MX"/>
              </w:rPr>
            </w:pPr>
            <w:r w:rsidRPr="003D2787">
              <w:rPr>
                <w:rFonts w:ascii="Palatino Linotype" w:eastAsia="Times New Roman" w:hAnsi="Palatino Linotype" w:cs="Times New Roman"/>
                <w:i/>
                <w:lang w:eastAsia="es-MX"/>
              </w:rPr>
              <w:t>Nombre del solicitante: C. Solicitante</w:t>
            </w:r>
          </w:p>
        </w:tc>
      </w:tr>
      <w:tr w:rsidR="003D2787" w:rsidRPr="003D2787" w14:paraId="33CA854E" w14:textId="77777777" w:rsidTr="003D2787">
        <w:trPr>
          <w:trHeight w:val="310"/>
          <w:tblCellSpacing w:w="0" w:type="dxa"/>
          <w:jc w:val="center"/>
        </w:trPr>
        <w:tc>
          <w:tcPr>
            <w:tcW w:w="0" w:type="auto"/>
            <w:vAlign w:val="center"/>
            <w:hideMark/>
          </w:tcPr>
          <w:p w14:paraId="1B44A715" w14:textId="77777777" w:rsidR="003D2787" w:rsidRPr="003D2787" w:rsidRDefault="003D2787" w:rsidP="003D2787">
            <w:pPr>
              <w:spacing w:after="0" w:line="240" w:lineRule="auto"/>
              <w:jc w:val="right"/>
              <w:rPr>
                <w:rFonts w:ascii="Palatino Linotype" w:eastAsia="Times New Roman" w:hAnsi="Palatino Linotype" w:cs="Times New Roman"/>
                <w:i/>
                <w:lang w:eastAsia="es-MX"/>
              </w:rPr>
            </w:pPr>
            <w:r w:rsidRPr="003D2787">
              <w:rPr>
                <w:rFonts w:ascii="Palatino Linotype" w:eastAsia="Times New Roman" w:hAnsi="Palatino Linotype" w:cs="Times New Roman"/>
                <w:i/>
                <w:lang w:eastAsia="es-MX"/>
              </w:rPr>
              <w:t>Folio de la solicitud: 00054/OASNAUCAL/IP/2025</w:t>
            </w:r>
          </w:p>
        </w:tc>
      </w:tr>
      <w:tr w:rsidR="003D2787" w:rsidRPr="003D2787" w14:paraId="7EE9D352" w14:textId="77777777" w:rsidTr="003D2787">
        <w:trPr>
          <w:trHeight w:val="155"/>
          <w:tblCellSpacing w:w="0" w:type="dxa"/>
          <w:jc w:val="center"/>
        </w:trPr>
        <w:tc>
          <w:tcPr>
            <w:tcW w:w="0" w:type="auto"/>
            <w:vAlign w:val="center"/>
            <w:hideMark/>
          </w:tcPr>
          <w:p w14:paraId="7B68CF68" w14:textId="77777777" w:rsidR="003D2787" w:rsidRPr="003D2787" w:rsidRDefault="003D2787" w:rsidP="003D2787">
            <w:pPr>
              <w:spacing w:after="0" w:line="240" w:lineRule="auto"/>
              <w:rPr>
                <w:rFonts w:ascii="Palatino Linotype" w:eastAsia="Times New Roman" w:hAnsi="Palatino Linotype" w:cs="Times New Roman"/>
                <w:i/>
                <w:lang w:eastAsia="es-MX"/>
              </w:rPr>
            </w:pPr>
            <w:r w:rsidRPr="003D2787">
              <w:rPr>
                <w:rFonts w:ascii="Palatino Linotype" w:eastAsia="Times New Roman" w:hAnsi="Palatino Linotype" w:cs="Times New Roman"/>
                <w:i/>
                <w:lang w:eastAsia="es-MX"/>
              </w:rPr>
              <w:t>Estimado Impetrante se le da respuesta a su solicitud, le envío un saludo.</w:t>
            </w:r>
          </w:p>
        </w:tc>
      </w:tr>
    </w:tbl>
    <w:p w14:paraId="6B5CEB72" w14:textId="77777777" w:rsidR="003D2787" w:rsidRPr="00A47ACD" w:rsidRDefault="003D2787" w:rsidP="003D2787">
      <w:pPr>
        <w:spacing w:after="0" w:line="360" w:lineRule="auto"/>
        <w:contextualSpacing/>
        <w:jc w:val="both"/>
        <w:rPr>
          <w:rFonts w:ascii="Palatino Linotype" w:eastAsia="Times New Roman" w:hAnsi="Palatino Linotype" w:cs="Palatino Linotype"/>
          <w:i/>
          <w:color w:val="000000"/>
          <w:lang w:val="es-ES_tradnl" w:eastAsia="es-MX"/>
        </w:rPr>
      </w:pPr>
    </w:p>
    <w:p w14:paraId="66C15B97"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2E38E58" w14:textId="77777777" w:rsidR="003D2787" w:rsidRPr="003D2787" w:rsidRDefault="003D2787" w:rsidP="003D2787">
      <w:pPr>
        <w:spacing w:after="0" w:line="360" w:lineRule="auto"/>
        <w:contextualSpacing/>
        <w:jc w:val="both"/>
        <w:rPr>
          <w:rFonts w:ascii="Palatino Linotype" w:eastAsia="Times New Roman" w:hAnsi="Palatino Linotype" w:cs="Palatino Linotype"/>
          <w:i/>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 xml:space="preserve">El Sujeto Obligado </w:t>
      </w:r>
      <w:r>
        <w:rPr>
          <w:rFonts w:ascii="Palatino Linotype" w:eastAsia="Times New Roman" w:hAnsi="Palatino Linotype" w:cs="Palatino Linotype"/>
          <w:color w:val="000000"/>
          <w:sz w:val="24"/>
          <w:szCs w:val="24"/>
          <w:lang w:val="es-ES_tradnl" w:eastAsia="es-MX"/>
        </w:rPr>
        <w:t>adjuntó a su respuesta el documento denominado</w:t>
      </w:r>
      <w:r>
        <w:rPr>
          <w:rFonts w:ascii="Palatino Linotype" w:eastAsia="Times New Roman" w:hAnsi="Palatino Linotype" w:cs="Palatino Linotype"/>
          <w:i/>
          <w:sz w:val="24"/>
          <w:szCs w:val="24"/>
          <w:lang w:val="es-ES_tradnl" w:eastAsia="es-MX"/>
        </w:rPr>
        <w:t xml:space="preserve"> “</w:t>
      </w:r>
      <w:r w:rsidRPr="003D2787">
        <w:rPr>
          <w:rFonts w:ascii="Palatino Linotype" w:hAnsi="Palatino Linotype" w:cs="Arial"/>
          <w:b/>
          <w:bCs/>
          <w:i/>
          <w:sz w:val="24"/>
          <w:szCs w:val="24"/>
        </w:rPr>
        <w:t>SGT O 063 2025.pdf</w:t>
      </w:r>
      <w:r>
        <w:rPr>
          <w:rFonts w:ascii="Palatino Linotype" w:hAnsi="Palatino Linotype" w:cs="Arial"/>
          <w:b/>
          <w:bCs/>
          <w:i/>
          <w:sz w:val="24"/>
          <w:szCs w:val="24"/>
        </w:rPr>
        <w:t>”</w:t>
      </w:r>
      <w:r>
        <w:rPr>
          <w:rFonts w:ascii="Palatino Linotype" w:eastAsia="Times New Roman" w:hAnsi="Palatino Linotype" w:cs="Palatino Linotype"/>
          <w:i/>
          <w:sz w:val="24"/>
          <w:szCs w:val="24"/>
          <w:lang w:val="es-ES_tradnl" w:eastAsia="es-MX"/>
        </w:rPr>
        <w:t xml:space="preserve"> </w:t>
      </w:r>
      <w:r>
        <w:rPr>
          <w:rFonts w:ascii="Palatino Linotype" w:eastAsia="Times New Roman" w:hAnsi="Palatino Linotype" w:cs="Palatino Linotype"/>
          <w:sz w:val="24"/>
          <w:szCs w:val="24"/>
          <w:lang w:val="es-ES_tradnl" w:eastAsia="es-MX"/>
        </w:rPr>
        <w:t>e</w:t>
      </w:r>
      <w:r>
        <w:rPr>
          <w:rFonts w:ascii="Palatino Linotype" w:hAnsi="Palatino Linotype" w:cs="Arial"/>
          <w:bCs/>
          <w:sz w:val="24"/>
          <w:szCs w:val="24"/>
        </w:rPr>
        <w:t xml:space="preserv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0ED87B52" w14:textId="77777777" w:rsidR="003D2787" w:rsidRPr="00A433D9" w:rsidRDefault="003D2787" w:rsidP="003D2787">
      <w:pPr>
        <w:spacing w:after="0" w:line="360" w:lineRule="auto"/>
        <w:contextualSpacing/>
        <w:jc w:val="both"/>
        <w:rPr>
          <w:rFonts w:ascii="Palatino Linotype" w:eastAsia="Times New Roman" w:hAnsi="Palatino Linotype" w:cs="Palatino Linotype"/>
          <w:i/>
          <w:sz w:val="24"/>
          <w:szCs w:val="24"/>
          <w:lang w:val="es-ES_tradnl" w:eastAsia="es-MX"/>
        </w:rPr>
      </w:pPr>
    </w:p>
    <w:p w14:paraId="21FFB8DB" w14:textId="77777777" w:rsidR="003D2787" w:rsidRPr="00D53477" w:rsidRDefault="003D2787" w:rsidP="003D278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6A6368A5"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diecinueve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03235/INFOEM/IP/RR/2025</w:t>
      </w:r>
      <w:r w:rsidRPr="00F444C4">
        <w:rPr>
          <w:rFonts w:ascii="Palatino Linotype" w:eastAsia="Times New Roman" w:hAnsi="Palatino Linotype" w:cs="Palatino Linotype"/>
          <w:color w:val="000000"/>
          <w:sz w:val="24"/>
          <w:szCs w:val="24"/>
          <w:lang w:val="es-ES_tradnl" w:eastAsia="es-MX"/>
        </w:rPr>
        <w:t>, manifestando lo siguiente:</w:t>
      </w:r>
    </w:p>
    <w:p w14:paraId="02B27FE6" w14:textId="77777777" w:rsidR="003D2787" w:rsidRPr="00EF0296"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4E15AFF" w14:textId="77777777" w:rsidR="003D2787" w:rsidRPr="003D2787" w:rsidRDefault="003D2787" w:rsidP="003D2787">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246CA436" w14:textId="77777777" w:rsidR="003D2787" w:rsidRDefault="003D2787" w:rsidP="003D2787">
      <w:pPr>
        <w:pStyle w:val="Prrafodelista"/>
        <w:spacing w:after="0" w:line="360" w:lineRule="auto"/>
        <w:ind w:left="1145" w:right="567"/>
        <w:jc w:val="both"/>
        <w:rPr>
          <w:rFonts w:ascii="Palatino Linotype" w:hAnsi="Palatino Linotype"/>
          <w:i/>
          <w:color w:val="000000"/>
          <w:sz w:val="24"/>
          <w:szCs w:val="24"/>
        </w:rPr>
      </w:pPr>
      <w:r w:rsidRPr="003D2787">
        <w:rPr>
          <w:rFonts w:ascii="Palatino Linotype" w:hAnsi="Palatino Linotype" w:cs="Palatino Linotype"/>
          <w:b/>
          <w:i/>
          <w:lang w:val="es-ES_tradnl" w:eastAsia="es-MX"/>
        </w:rPr>
        <w:t>“</w:t>
      </w:r>
      <w:r w:rsidRPr="003D2787">
        <w:rPr>
          <w:rFonts w:ascii="Palatino Linotype" w:hAnsi="Palatino Linotype"/>
          <w:i/>
          <w:color w:val="000000"/>
        </w:rPr>
        <w:t xml:space="preserve">Mediante el escrito SGT/O/063/2025 de fecha trece (13) de marzo del dos mil veinticinco (20259 signado por la encargada de despacho de la Unidad de Transparencia del Sujeto Obligado, da respuesta a la petición, sin embargo, y tras el análisis de las líneas expuestas por la encargada de despacho, responde: "... después de realizado el proceso interno para la obtención de la información, siendo esta solicitada a la Dirección de Finanzas por ser considerado de sus facultades y atribuciones, quienes responden de la siguiente manera: Después de haber realizado una búsqueda exhaustiva y minuciosa en los archivos y expedientes que obran en esta Dirección no se localizo información relacionada con la solicitud de información." (SIC) En ese tenor, manifiesta solo indagar para formular la respuesta con una Unidad Administrativa adscrita al Sujeto Obligado, sin embargo, por naturaleza de la petición debió de corroborar que alguna otra Unidad </w:t>
      </w:r>
      <w:r w:rsidRPr="003D2787">
        <w:rPr>
          <w:rFonts w:ascii="Palatino Linotype" w:hAnsi="Palatino Linotype"/>
          <w:i/>
          <w:color w:val="000000"/>
        </w:rPr>
        <w:lastRenderedPageBreak/>
        <w:t>Administrativa contara con la información solicitada, máxime que la encargada de despacho de la Unidad de Transparencia, tiene las facultades para solicitar la información a mas Unidades Administrativas del Sujeto Obligado, conforme a su Reglamento Interno. ahora bien, como lo indican los protocolos para la no existencia de la información, esta debe de llevarse a cabo mediante un Comité, sin embargo no lo realiza o no expone en que sesión se llevo a cabo la inexistencia de información” (Sic</w:t>
      </w:r>
      <w:r w:rsidRPr="003049C3">
        <w:rPr>
          <w:rFonts w:ascii="Palatino Linotype" w:hAnsi="Palatino Linotype"/>
          <w:i/>
          <w:color w:val="000000"/>
          <w:sz w:val="24"/>
          <w:szCs w:val="24"/>
        </w:rPr>
        <w:t>)</w:t>
      </w:r>
    </w:p>
    <w:p w14:paraId="76E45F3D" w14:textId="77777777" w:rsidR="003D2787" w:rsidRPr="003D2787" w:rsidRDefault="003D2787" w:rsidP="003D2787">
      <w:pPr>
        <w:spacing w:after="0" w:line="360" w:lineRule="auto"/>
        <w:ind w:right="567"/>
        <w:jc w:val="both"/>
        <w:rPr>
          <w:rFonts w:ascii="Palatino Linotype" w:hAnsi="Palatino Linotype"/>
          <w:i/>
          <w:color w:val="000000"/>
          <w:sz w:val="24"/>
          <w:szCs w:val="24"/>
        </w:rPr>
      </w:pPr>
    </w:p>
    <w:p w14:paraId="3226AD22" w14:textId="77777777" w:rsidR="003D2787" w:rsidRPr="00470F53" w:rsidRDefault="003D2787" w:rsidP="003D2787">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 </w:t>
      </w:r>
      <w:r w:rsidRPr="009D7B6A">
        <w:rPr>
          <w:rFonts w:ascii="Palatino Linotype" w:eastAsia="Times New Roman" w:hAnsi="Palatino Linotype" w:cs="Palatino Linotype"/>
          <w:b/>
          <w:i/>
          <w:sz w:val="24"/>
          <w:szCs w:val="24"/>
          <w:lang w:val="es-ES_tradnl" w:eastAsia="es-MX"/>
        </w:rPr>
        <w:t>Motivos de Inconformidad</w:t>
      </w:r>
    </w:p>
    <w:p w14:paraId="10CCC281" w14:textId="77777777" w:rsidR="003D2787" w:rsidRDefault="003D2787" w:rsidP="003D2787">
      <w:pPr>
        <w:pStyle w:val="Prrafodelista"/>
        <w:spacing w:after="0" w:line="360" w:lineRule="auto"/>
        <w:ind w:left="1145" w:right="567"/>
        <w:jc w:val="both"/>
        <w:rPr>
          <w:rFonts w:ascii="Palatino Linotype" w:hAnsi="Palatino Linotype"/>
          <w:i/>
          <w:color w:val="000000"/>
          <w:sz w:val="24"/>
          <w:szCs w:val="24"/>
        </w:rPr>
      </w:pPr>
      <w:r w:rsidRPr="003D2787">
        <w:rPr>
          <w:rFonts w:ascii="Palatino Linotype" w:hAnsi="Palatino Linotype"/>
          <w:i/>
          <w:color w:val="000000"/>
        </w:rPr>
        <w:t>“</w:t>
      </w:r>
      <w:r w:rsidRPr="003D2787">
        <w:rPr>
          <w:rFonts w:ascii="Palatino Linotype" w:hAnsi="Palatino Linotype"/>
          <w:color w:val="000000"/>
        </w:rPr>
        <w:t>No envía información solicitada No realiza los protocolos necesarios para la no inexistencia de información</w:t>
      </w:r>
      <w:r w:rsidRPr="003D2787">
        <w:rPr>
          <w:rFonts w:ascii="Palatino Linotype" w:hAnsi="Palatino Linotype"/>
          <w:i/>
          <w:color w:val="000000"/>
        </w:rPr>
        <w:t>.” (Sic</w:t>
      </w:r>
      <w:r w:rsidRPr="003049C3">
        <w:rPr>
          <w:rFonts w:ascii="Palatino Linotype" w:hAnsi="Palatino Linotype"/>
          <w:i/>
          <w:color w:val="000000"/>
          <w:sz w:val="24"/>
          <w:szCs w:val="24"/>
        </w:rPr>
        <w:t>)</w:t>
      </w:r>
    </w:p>
    <w:p w14:paraId="1A4E777A" w14:textId="77777777" w:rsidR="003D2787" w:rsidRPr="003049C3" w:rsidRDefault="003D2787" w:rsidP="003D2787">
      <w:pPr>
        <w:pStyle w:val="Prrafodelista"/>
        <w:spacing w:after="0" w:line="360" w:lineRule="auto"/>
        <w:ind w:left="1145" w:right="567"/>
        <w:jc w:val="both"/>
        <w:rPr>
          <w:rFonts w:ascii="Palatino Linotype" w:hAnsi="Palatino Linotype"/>
          <w:i/>
          <w:color w:val="000000"/>
          <w:sz w:val="24"/>
          <w:szCs w:val="24"/>
        </w:rPr>
      </w:pPr>
    </w:p>
    <w:p w14:paraId="4F4A4807" w14:textId="77777777" w:rsidR="003D2787" w:rsidRPr="00056169" w:rsidRDefault="003D2787" w:rsidP="003D2787">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FBA2409" w14:textId="77777777" w:rsidR="003D2787" w:rsidRPr="00D53477" w:rsidRDefault="003D2787" w:rsidP="003D278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530551E6"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veinticuatro de marzo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0E23BC4D" w14:textId="77777777" w:rsidR="003D2787" w:rsidRPr="00D53477" w:rsidRDefault="003D2787" w:rsidP="003D2787">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0BFB7DFD" w14:textId="77777777" w:rsidR="003D2787" w:rsidRPr="001F6642" w:rsidRDefault="003D2787" w:rsidP="003D278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4A1D063C"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w:t>
      </w:r>
      <w:r w:rsidR="00141B5C">
        <w:rPr>
          <w:rFonts w:ascii="Palatino Linotype" w:eastAsia="Times New Roman" w:hAnsi="Palatino Linotype" w:cs="Palatino Linotype"/>
          <w:color w:val="000000"/>
          <w:sz w:val="24"/>
          <w:szCs w:val="24"/>
          <w:lang w:val="es-ES_tradnl" w:eastAsia="es-MX"/>
        </w:rPr>
        <w:t xml:space="preserve">instrucción, el Sujeto Obligado fue omiso para rendir </w:t>
      </w:r>
      <w:r w:rsidRPr="001F6642">
        <w:rPr>
          <w:rFonts w:ascii="Palatino Linotype" w:eastAsia="Times New Roman" w:hAnsi="Palatino Linotype" w:cs="Palatino Linotype"/>
          <w:color w:val="000000"/>
          <w:sz w:val="24"/>
          <w:szCs w:val="24"/>
          <w:lang w:val="es-ES_tradnl" w:eastAsia="es-MX"/>
        </w:rPr>
        <w:t>su Informe Justificado</w:t>
      </w:r>
      <w:r>
        <w:rPr>
          <w:rFonts w:ascii="Palatino Linotype" w:eastAsia="Times New Roman" w:hAnsi="Palatino Linotype" w:cs="Palatino Linotype"/>
          <w:color w:val="000000"/>
          <w:sz w:val="24"/>
          <w:szCs w:val="24"/>
          <w:lang w:val="es-ES_tradnl" w:eastAsia="es-MX"/>
        </w:rPr>
        <w:t xml:space="preserve">.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68515E5"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AA5D3D3" w14:textId="77777777" w:rsidR="003D2787" w:rsidRPr="00DD5F10" w:rsidRDefault="003D2787" w:rsidP="003D278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w:t>
      </w:r>
      <w:r w:rsidRPr="00D24262">
        <w:rPr>
          <w:rFonts w:ascii="Palatino Linotype" w:eastAsia="Times New Roman" w:hAnsi="Palatino Linotype" w:cs="Times New Roman"/>
          <w:b/>
          <w:color w:val="000000" w:themeColor="text1"/>
          <w:sz w:val="28"/>
          <w:szCs w:val="28"/>
          <w:lang w:val="es-ES_tradnl" w:eastAsia="es-MX"/>
        </w:rPr>
        <w:t xml:space="preserve">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56BC1321"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141B5C">
        <w:rPr>
          <w:rFonts w:ascii="Palatino Linotype" w:eastAsia="Times New Roman" w:hAnsi="Palatino Linotype" w:cs="Palatino Linotype"/>
          <w:b/>
          <w:color w:val="000000"/>
          <w:sz w:val="24"/>
          <w:szCs w:val="24"/>
          <w:lang w:val="es-ES_tradnl" w:eastAsia="es-MX"/>
        </w:rPr>
        <w:t>tres de abril</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0836ABCA" w14:textId="77777777" w:rsidR="003D2787" w:rsidRDefault="003D2787" w:rsidP="003D278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34690CD8" w14:textId="77777777" w:rsidR="003D2787" w:rsidRPr="00D24262" w:rsidRDefault="003D2787" w:rsidP="003D278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 xml:space="preserve"> </w:t>
      </w:r>
      <w:r>
        <w:rPr>
          <w:rFonts w:ascii="Palatino Linotype" w:eastAsia="Times New Roman" w:hAnsi="Palatino Linotype" w:cs="Times New Roman"/>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3D1E979B" w14:textId="77777777" w:rsidR="003D2787"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141B5C">
        <w:rPr>
          <w:rFonts w:ascii="Palatino Linotype" w:hAnsi="Palatino Linotype"/>
          <w:b/>
          <w:sz w:val="24"/>
          <w:szCs w:val="24"/>
        </w:rPr>
        <w:t>once de junio</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9AAE6AE" w14:textId="77777777" w:rsidR="003D2787" w:rsidRPr="006A6AE2" w:rsidRDefault="003D2787" w:rsidP="003D2787">
      <w:pPr>
        <w:spacing w:after="0" w:line="360" w:lineRule="auto"/>
        <w:contextualSpacing/>
        <w:jc w:val="both"/>
        <w:rPr>
          <w:rFonts w:ascii="Palatino Linotype" w:hAnsi="Palatino Linotype"/>
          <w:sz w:val="24"/>
          <w:szCs w:val="24"/>
        </w:rPr>
      </w:pPr>
    </w:p>
    <w:p w14:paraId="0C608518" w14:textId="77777777" w:rsidR="003D2787" w:rsidRPr="002F041E"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6DDEA210" w14:textId="77777777" w:rsidR="003D2787" w:rsidRPr="002F041E" w:rsidRDefault="003D2787" w:rsidP="003D2787">
      <w:pPr>
        <w:spacing w:after="0" w:line="360" w:lineRule="auto"/>
        <w:contextualSpacing/>
        <w:jc w:val="both"/>
        <w:rPr>
          <w:rFonts w:ascii="Palatino Linotype" w:hAnsi="Palatino Linotype"/>
          <w:sz w:val="24"/>
          <w:szCs w:val="24"/>
        </w:rPr>
      </w:pPr>
    </w:p>
    <w:p w14:paraId="10FC306F" w14:textId="77777777" w:rsidR="003D2787" w:rsidRPr="002F041E"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DAC61A" w14:textId="77777777" w:rsidR="003D2787" w:rsidRPr="002F041E"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4EE9AA1" w14:textId="77777777" w:rsidR="003D2787"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70AEDB64"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F238169" w14:textId="77777777" w:rsidR="003D2787" w:rsidRPr="002F041E"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028A38A" w14:textId="77777777" w:rsidR="003D2787" w:rsidRPr="002F041E" w:rsidRDefault="003D2787" w:rsidP="003D2787">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0216AB7F" w14:textId="77777777" w:rsidR="003D2787" w:rsidRPr="002F041E" w:rsidRDefault="003D2787" w:rsidP="003D2787">
      <w:pPr>
        <w:pStyle w:val="Prrafodelista"/>
        <w:spacing w:after="0" w:line="360" w:lineRule="auto"/>
        <w:ind w:left="1065"/>
        <w:jc w:val="both"/>
        <w:rPr>
          <w:rFonts w:ascii="Palatino Linotype" w:hAnsi="Palatino Linotype"/>
        </w:rPr>
      </w:pPr>
    </w:p>
    <w:p w14:paraId="3ABDC9C1" w14:textId="77777777" w:rsidR="003D2787" w:rsidRPr="002F041E" w:rsidRDefault="003D2787" w:rsidP="003D2787">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1DF1C7CF" w14:textId="77777777" w:rsidR="003D2787" w:rsidRPr="002F041E" w:rsidRDefault="003D2787" w:rsidP="003D2787">
      <w:pPr>
        <w:pStyle w:val="Prrafodelista"/>
        <w:rPr>
          <w:rFonts w:ascii="Palatino Linotype" w:hAnsi="Palatino Linotype"/>
        </w:rPr>
      </w:pPr>
    </w:p>
    <w:p w14:paraId="5F8B20BF" w14:textId="77777777" w:rsidR="003D2787" w:rsidRPr="002F041E" w:rsidRDefault="003D2787" w:rsidP="003D2787">
      <w:pPr>
        <w:pStyle w:val="Prrafodelista"/>
        <w:spacing w:after="0" w:line="360" w:lineRule="auto"/>
        <w:ind w:left="1065"/>
        <w:jc w:val="both"/>
        <w:rPr>
          <w:rFonts w:ascii="Palatino Linotype" w:hAnsi="Palatino Linotype"/>
        </w:rPr>
      </w:pPr>
    </w:p>
    <w:p w14:paraId="77742357" w14:textId="77777777" w:rsidR="003D2787" w:rsidRDefault="003D2787" w:rsidP="003D2787">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3D7CA649" w14:textId="77777777" w:rsidR="003D2787" w:rsidRPr="00D24262" w:rsidRDefault="003D2787" w:rsidP="003D2787">
      <w:pPr>
        <w:pStyle w:val="Prrafodelista"/>
        <w:spacing w:after="0" w:line="360" w:lineRule="auto"/>
        <w:ind w:left="1065"/>
        <w:jc w:val="both"/>
        <w:rPr>
          <w:rFonts w:ascii="Palatino Linotype" w:hAnsi="Palatino Linotype"/>
        </w:rPr>
      </w:pPr>
    </w:p>
    <w:p w14:paraId="720404BA" w14:textId="77777777" w:rsidR="003D2787" w:rsidRPr="00DD5F10" w:rsidRDefault="003D2787" w:rsidP="003D2787">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1F3634FB" w14:textId="77777777" w:rsidR="003D2787" w:rsidRDefault="003D2787" w:rsidP="003D2787">
      <w:pPr>
        <w:spacing w:after="0" w:line="360" w:lineRule="auto"/>
        <w:contextualSpacing/>
        <w:jc w:val="both"/>
        <w:rPr>
          <w:rFonts w:ascii="Palatino Linotype" w:hAnsi="Palatino Linotype"/>
          <w:sz w:val="24"/>
          <w:szCs w:val="24"/>
        </w:rPr>
      </w:pPr>
    </w:p>
    <w:p w14:paraId="7D9B39C0" w14:textId="77777777" w:rsidR="003D2787"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rFonts w:ascii="Palatino Linotype" w:hAnsi="Palatino Linotype"/>
          <w:i/>
          <w:sz w:val="24"/>
          <w:szCs w:val="24"/>
        </w:rPr>
        <w:t xml:space="preserve">TÉRMINOS PROCESALES. PARA DETERMINAR SI UN FUNCIONARIO JUDICIAL ACTUÓ INDEBIDAMENTE POR NO RESPETARLOS SE </w:t>
      </w:r>
      <w:r w:rsidRPr="002F041E">
        <w:rPr>
          <w:rFonts w:ascii="Palatino Linotype" w:hAnsi="Palatino Linotype"/>
          <w:i/>
          <w:sz w:val="24"/>
          <w:szCs w:val="24"/>
        </w:rPr>
        <w:lastRenderedPageBreak/>
        <w:t>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47038046" w14:textId="77777777" w:rsidR="003D2787" w:rsidRDefault="003D2787" w:rsidP="003D2787">
      <w:pPr>
        <w:spacing w:after="0" w:line="360" w:lineRule="auto"/>
        <w:contextualSpacing/>
        <w:jc w:val="both"/>
        <w:rPr>
          <w:rFonts w:ascii="Palatino Linotype" w:hAnsi="Palatino Linotype"/>
          <w:sz w:val="24"/>
          <w:szCs w:val="24"/>
        </w:rPr>
      </w:pPr>
    </w:p>
    <w:p w14:paraId="6C5CCB47" w14:textId="77777777" w:rsidR="003D2787"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EF586E" w14:textId="77777777" w:rsidR="003D2787" w:rsidRPr="00D24262" w:rsidRDefault="003D2787" w:rsidP="003D2787">
      <w:pPr>
        <w:spacing w:after="0" w:line="360" w:lineRule="auto"/>
        <w:contextualSpacing/>
        <w:jc w:val="both"/>
        <w:rPr>
          <w:rFonts w:ascii="Palatino Linotype" w:hAnsi="Palatino Linotype"/>
          <w:sz w:val="24"/>
          <w:szCs w:val="24"/>
        </w:rPr>
      </w:pPr>
    </w:p>
    <w:p w14:paraId="7F2054B1" w14:textId="77777777" w:rsidR="003D2787" w:rsidRDefault="003D2787" w:rsidP="003D278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165DF740" w14:textId="77777777" w:rsidR="003D2787" w:rsidRPr="002F041E" w:rsidRDefault="003D2787" w:rsidP="003D2787">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2DE309EC" w14:textId="77777777" w:rsidR="003D2787" w:rsidRPr="002F041E" w:rsidRDefault="003D2787" w:rsidP="003D2787">
      <w:pPr>
        <w:spacing w:after="0" w:line="360" w:lineRule="auto"/>
        <w:ind w:left="708"/>
        <w:contextualSpacing/>
        <w:jc w:val="both"/>
        <w:rPr>
          <w:rFonts w:ascii="Palatino Linotype" w:hAnsi="Palatino Linotype"/>
          <w:i/>
        </w:rPr>
      </w:pPr>
    </w:p>
    <w:p w14:paraId="7A007AFF" w14:textId="77777777" w:rsidR="003D2787" w:rsidRPr="002F041E" w:rsidRDefault="003D2787" w:rsidP="003D2787">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7F7B87C9" w14:textId="77777777" w:rsidR="003D2787" w:rsidRDefault="003D2787" w:rsidP="003D2787">
      <w:pPr>
        <w:spacing w:after="0" w:line="360" w:lineRule="auto"/>
        <w:contextualSpacing/>
        <w:jc w:val="both"/>
        <w:rPr>
          <w:rFonts w:ascii="Palatino Linotype" w:hAnsi="Palatino Linotype"/>
          <w:sz w:val="24"/>
          <w:szCs w:val="24"/>
        </w:rPr>
      </w:pPr>
    </w:p>
    <w:p w14:paraId="411533AA" w14:textId="77777777" w:rsidR="003D2787" w:rsidRDefault="003D2787" w:rsidP="003D2787">
      <w:pPr>
        <w:spacing w:after="0" w:line="360" w:lineRule="auto"/>
        <w:contextualSpacing/>
        <w:jc w:val="both"/>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656BCE28" w14:textId="77777777" w:rsidR="003D2787" w:rsidRDefault="003D2787" w:rsidP="003D2787">
      <w:pPr>
        <w:spacing w:after="0" w:line="360" w:lineRule="auto"/>
        <w:contextualSpacing/>
        <w:jc w:val="both"/>
      </w:pPr>
    </w:p>
    <w:p w14:paraId="73D0C6B8" w14:textId="77777777" w:rsidR="003D2787" w:rsidRPr="009A2DF0" w:rsidRDefault="003D2787" w:rsidP="003D2787">
      <w:pPr>
        <w:spacing w:after="0" w:line="360" w:lineRule="auto"/>
        <w:contextualSpacing/>
        <w:jc w:val="both"/>
        <w:rPr>
          <w:rFonts w:ascii="Palatino Linotype" w:hAnsi="Palatino Linotype"/>
          <w:sz w:val="24"/>
          <w:szCs w:val="24"/>
        </w:rPr>
      </w:pPr>
    </w:p>
    <w:p w14:paraId="2B647A27" w14:textId="77777777" w:rsidR="003D2787" w:rsidRDefault="003D2787" w:rsidP="003D278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48AF0701" w14:textId="77777777" w:rsidR="003D2787" w:rsidRDefault="003D2787" w:rsidP="003D2787">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7DAC8D39" w14:textId="77777777" w:rsidR="003D2787" w:rsidRPr="0055610A" w:rsidRDefault="003D2787" w:rsidP="003D2787">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5FB2B812" w14:textId="77777777" w:rsidR="003D2787" w:rsidRDefault="003D2787" w:rsidP="003D2787">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rFonts w:ascii="Palatino Linotype" w:hAnsi="Palatino Linotype"/>
          <w:sz w:val="24"/>
          <w:szCs w:val="24"/>
        </w:rPr>
        <w:lastRenderedPageBreak/>
        <w:t>Reglamento Interior del Instituto de Transparencia, Acceso a la Información Pública y Protección de Datos Personales del Estado de México y Municipios</w:t>
      </w:r>
      <w:r>
        <w:rPr>
          <w:rFonts w:ascii="Palatino Linotype" w:hAnsi="Palatino Linotype"/>
          <w:sz w:val="24"/>
          <w:szCs w:val="24"/>
        </w:rPr>
        <w:t>.</w:t>
      </w:r>
    </w:p>
    <w:p w14:paraId="664C67D3" w14:textId="77777777" w:rsidR="003D2787" w:rsidRPr="0055610A" w:rsidRDefault="003D2787" w:rsidP="003D2787">
      <w:pPr>
        <w:spacing w:line="360" w:lineRule="auto"/>
        <w:jc w:val="both"/>
        <w:rPr>
          <w:rFonts w:ascii="Palatino Linotype" w:hAnsi="Palatino Linotype" w:cs="Arial"/>
        </w:rPr>
      </w:pPr>
    </w:p>
    <w:p w14:paraId="1C37E8F7" w14:textId="77777777" w:rsidR="003D2787" w:rsidRPr="0055610A" w:rsidRDefault="003D2787" w:rsidP="003D2787">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27F10102" w14:textId="77777777" w:rsidR="003D2787" w:rsidRDefault="003D2787" w:rsidP="003D2787">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C062D2" w14:textId="77777777" w:rsidR="003D2787" w:rsidRPr="0055610A" w:rsidRDefault="003D2787" w:rsidP="003D2787">
      <w:pPr>
        <w:autoSpaceDE w:val="0"/>
        <w:autoSpaceDN w:val="0"/>
        <w:adjustRightInd w:val="0"/>
        <w:spacing w:line="360" w:lineRule="auto"/>
        <w:jc w:val="both"/>
        <w:rPr>
          <w:rFonts w:ascii="Palatino Linotype" w:hAnsi="Palatino Linotype" w:cs="Arial"/>
          <w:lang w:val="es-ES" w:eastAsia="es-ES"/>
        </w:rPr>
      </w:pPr>
    </w:p>
    <w:p w14:paraId="669BFBDC" w14:textId="77777777" w:rsidR="003D2787" w:rsidRPr="00DB6E06" w:rsidRDefault="003D2787" w:rsidP="003D2787">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091A2481" w14:textId="77777777" w:rsidR="003D2787" w:rsidRPr="00484932" w:rsidRDefault="003D2787" w:rsidP="003D2787">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AF72CD3" w14:textId="77777777" w:rsidR="003D2787" w:rsidRPr="00F8454F" w:rsidRDefault="003D2787" w:rsidP="003D2787">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077F6AD4" w14:textId="77777777" w:rsidR="003D2787" w:rsidRPr="00F8454F" w:rsidRDefault="003D2787" w:rsidP="003D2787">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3E320821" w14:textId="77777777" w:rsidR="003D2787" w:rsidRPr="00F8454F" w:rsidRDefault="003D2787" w:rsidP="003D2787">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206EADE9" w14:textId="77777777" w:rsidR="003D2787" w:rsidRPr="00F8454F" w:rsidRDefault="003D2787" w:rsidP="003D2787">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lastRenderedPageBreak/>
        <w:t>El número de folio de respuesta de la solicitud de acceso;</w:t>
      </w:r>
    </w:p>
    <w:p w14:paraId="511287E7" w14:textId="77777777" w:rsidR="003D2787" w:rsidRPr="00F8454F" w:rsidRDefault="003D2787" w:rsidP="003D2787">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4EF494F7" w14:textId="77777777" w:rsidR="003D2787" w:rsidRPr="00F8454F" w:rsidRDefault="003D2787" w:rsidP="003D278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18039EBA" w14:textId="77777777" w:rsidR="003D2787" w:rsidRPr="00F8454F" w:rsidRDefault="003D2787" w:rsidP="003D278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5DECF4A0" w14:textId="77777777" w:rsidR="003D2787" w:rsidRPr="00F8454F" w:rsidRDefault="003D2787" w:rsidP="003D2787">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66717AA9" w14:textId="77777777" w:rsidR="003D2787" w:rsidRPr="00F8454F" w:rsidRDefault="003D2787" w:rsidP="003D278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2A7B8BC0" w14:textId="77777777" w:rsidR="003D2787" w:rsidRPr="00F8454F" w:rsidRDefault="003D2787" w:rsidP="003D2787">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60ACFCDF" w14:textId="77777777" w:rsidR="003D2787" w:rsidRPr="00F8454F" w:rsidRDefault="003D2787" w:rsidP="003D278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676DD2B9" w14:textId="77777777" w:rsidR="003D2787" w:rsidRPr="00F8454F" w:rsidRDefault="003D2787" w:rsidP="003D2787">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7B39E9A1" w14:textId="77777777" w:rsidR="003D2787" w:rsidRPr="0034179B" w:rsidRDefault="003D2787" w:rsidP="003D2787">
      <w:pPr>
        <w:autoSpaceDE w:val="0"/>
        <w:autoSpaceDN w:val="0"/>
        <w:adjustRightInd w:val="0"/>
        <w:spacing w:before="240" w:line="360" w:lineRule="auto"/>
        <w:ind w:left="1080"/>
        <w:jc w:val="both"/>
        <w:rPr>
          <w:rFonts w:ascii="Palatino Linotype" w:hAnsi="Palatino Linotype"/>
          <w:b/>
          <w:i/>
          <w:u w:val="single"/>
        </w:rPr>
      </w:pPr>
    </w:p>
    <w:p w14:paraId="77C4D14D" w14:textId="77777777" w:rsidR="003D2787" w:rsidRPr="00484932" w:rsidRDefault="003D2787" w:rsidP="003D2787">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Pr>
          <w:rFonts w:ascii="Palatino Linotype" w:hAnsi="Palatino Linotype" w:cs="Segoe UI"/>
          <w:sz w:val="24"/>
          <w:szCs w:val="24"/>
          <w:u w:val="single"/>
        </w:rPr>
        <w:t xml:space="preserve">ejerció su derecho </w:t>
      </w:r>
      <w:r w:rsidR="00141B5C">
        <w:rPr>
          <w:rFonts w:ascii="Palatino Linotype" w:hAnsi="Palatino Linotype" w:cs="Segoe UI"/>
          <w:sz w:val="24"/>
          <w:szCs w:val="24"/>
          <w:u w:val="single"/>
        </w:rPr>
        <w:t xml:space="preserve">de acceso a la información mediante su nombre de haberlo realizado </w:t>
      </w:r>
      <w:r>
        <w:rPr>
          <w:rFonts w:ascii="Palatino Linotype" w:hAnsi="Palatino Linotype" w:cs="Segoe UI"/>
          <w:sz w:val="24"/>
          <w:szCs w:val="24"/>
          <w:u w:val="single"/>
        </w:rPr>
        <w:t>de</w:t>
      </w:r>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no</w:t>
      </w:r>
      <w:r w:rsidR="00141B5C">
        <w:rPr>
          <w:rFonts w:ascii="Palatino Linotype" w:hAnsi="Palatino Linotype"/>
          <w:sz w:val="24"/>
          <w:szCs w:val="24"/>
        </w:rPr>
        <w:t xml:space="preserve"> sería</w:t>
      </w:r>
      <w:r w:rsidRPr="00484932">
        <w:rPr>
          <w:rFonts w:ascii="Palatino Linotype" w:hAnsi="Palatino Linotype"/>
          <w:sz w:val="24"/>
          <w:szCs w:val="24"/>
        </w:rPr>
        <w:t xml:space="preserve"> motivo para desechar las </w:t>
      </w:r>
      <w:r w:rsidRPr="00484932">
        <w:rPr>
          <w:rFonts w:ascii="Palatino Linotype" w:hAnsi="Palatino Linotype" w:cs="Arial"/>
          <w:sz w:val="24"/>
          <w:szCs w:val="24"/>
        </w:rPr>
        <w:t xml:space="preserve">solicitudes de acceso a la información pública conforme a lo previsto en el artículo 155, </w:t>
      </w:r>
      <w:r w:rsidRPr="00484932">
        <w:rPr>
          <w:rFonts w:ascii="Palatino Linotype" w:hAnsi="Palatino Linotype" w:cs="Arial"/>
          <w:sz w:val="24"/>
          <w:szCs w:val="24"/>
        </w:rPr>
        <w:lastRenderedPageBreak/>
        <w:t>penúltimo párrafo de la Ley de Transparencia y Acceso a la Información Pública del Estado de México y Municipios que señala lo siguiente:</w:t>
      </w:r>
    </w:p>
    <w:p w14:paraId="549E7513" w14:textId="77777777" w:rsidR="003D2787" w:rsidRPr="00F13B52" w:rsidRDefault="003D2787" w:rsidP="003D2787">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5DFE4EB7" w14:textId="77777777" w:rsidR="003D2787" w:rsidRPr="0034179B" w:rsidRDefault="003D2787" w:rsidP="003D2787">
      <w:pPr>
        <w:spacing w:before="240" w:line="360" w:lineRule="auto"/>
        <w:ind w:left="851" w:right="851"/>
        <w:jc w:val="both"/>
        <w:rPr>
          <w:rFonts w:ascii="Palatino Linotype" w:hAnsi="Palatino Linotype" w:cs="Arial"/>
          <w:b/>
          <w:i/>
        </w:rPr>
      </w:pPr>
    </w:p>
    <w:p w14:paraId="001EA324" w14:textId="77777777" w:rsidR="003D2787" w:rsidRPr="00484932" w:rsidRDefault="003D2787" w:rsidP="003D2787">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32655BB2" w14:textId="77777777" w:rsidR="003D2787" w:rsidRPr="00545A72" w:rsidRDefault="003D2787" w:rsidP="003D2787">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757B774E" w14:textId="77777777" w:rsidR="003D2787" w:rsidRPr="00545A72" w:rsidRDefault="003D2787" w:rsidP="003D2787">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C9CEA0B" w14:textId="77777777" w:rsidR="003D2787" w:rsidRPr="00545A72" w:rsidRDefault="003D2787" w:rsidP="003D2787">
      <w:pPr>
        <w:spacing w:before="240" w:line="360" w:lineRule="auto"/>
        <w:ind w:left="851" w:right="851"/>
        <w:jc w:val="both"/>
        <w:rPr>
          <w:rFonts w:ascii="Palatino Linotype" w:hAnsi="Palatino Linotype"/>
          <w:i/>
        </w:rPr>
      </w:pPr>
      <w:r w:rsidRPr="00545A72">
        <w:rPr>
          <w:rFonts w:ascii="Palatino Linotype" w:hAnsi="Palatino Linotype"/>
          <w:i/>
        </w:rPr>
        <w:t>(…)</w:t>
      </w:r>
    </w:p>
    <w:p w14:paraId="4ACB6177" w14:textId="77777777" w:rsidR="003D2787" w:rsidRPr="00A433D9" w:rsidRDefault="003D2787" w:rsidP="003D2787">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7766F848" w14:textId="77777777" w:rsidR="003D2787" w:rsidRPr="00484932" w:rsidRDefault="003D2787" w:rsidP="003D2787">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444FCB21" w14:textId="77777777" w:rsidR="003D2787" w:rsidRPr="0034179B" w:rsidRDefault="003D2787" w:rsidP="003D2787">
      <w:pPr>
        <w:autoSpaceDE w:val="0"/>
        <w:autoSpaceDN w:val="0"/>
        <w:adjustRightInd w:val="0"/>
        <w:spacing w:before="240" w:line="360" w:lineRule="auto"/>
        <w:jc w:val="both"/>
        <w:rPr>
          <w:rFonts w:cs="Arial"/>
          <w:b/>
        </w:rPr>
      </w:pPr>
    </w:p>
    <w:p w14:paraId="44309D42" w14:textId="77777777" w:rsidR="003D2787" w:rsidRPr="00F444C4" w:rsidRDefault="003D2787" w:rsidP="003D2787">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180DD8E0" w14:textId="77777777" w:rsidR="003D2787" w:rsidRPr="00D606ED" w:rsidRDefault="003D2787" w:rsidP="003D2787">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645D26E" w14:textId="77777777" w:rsidR="003D2787" w:rsidRPr="00D606ED" w:rsidRDefault="003D2787" w:rsidP="003D2787">
      <w:pPr>
        <w:spacing w:line="360" w:lineRule="auto"/>
        <w:contextualSpacing/>
        <w:jc w:val="both"/>
        <w:rPr>
          <w:rFonts w:ascii="Palatino Linotype" w:hAnsi="Palatino Linotype" w:cs="Palatino Linotype"/>
          <w:color w:val="000000"/>
          <w:sz w:val="24"/>
          <w:szCs w:val="24"/>
          <w:lang w:val="es-ES_tradnl"/>
        </w:rPr>
      </w:pPr>
    </w:p>
    <w:p w14:paraId="1FA6A3A0" w14:textId="77777777" w:rsidR="003D2787" w:rsidRPr="00D606ED" w:rsidRDefault="003D2787" w:rsidP="003D2787">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w:t>
      </w:r>
      <w:r w:rsidRPr="00D606ED">
        <w:rPr>
          <w:rFonts w:ascii="Palatino Linotype" w:hAnsi="Palatino Linotype" w:cs="Palatino Linotype"/>
          <w:color w:val="000000"/>
          <w:sz w:val="24"/>
          <w:szCs w:val="24"/>
          <w:lang w:val="es-ES_tradnl"/>
        </w:rPr>
        <w:lastRenderedPageBreak/>
        <w:t>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56DFE68C" w14:textId="77777777" w:rsidR="003D2787" w:rsidRPr="00D606ED" w:rsidRDefault="003D2787" w:rsidP="003D2787">
      <w:pPr>
        <w:spacing w:line="360" w:lineRule="auto"/>
        <w:contextualSpacing/>
        <w:jc w:val="both"/>
        <w:rPr>
          <w:rFonts w:ascii="Palatino Linotype" w:hAnsi="Palatino Linotype" w:cs="Palatino Linotype"/>
          <w:color w:val="000000"/>
          <w:sz w:val="24"/>
          <w:szCs w:val="24"/>
          <w:lang w:val="es-ES_tradnl"/>
        </w:rPr>
      </w:pPr>
    </w:p>
    <w:p w14:paraId="669C7641" w14:textId="77777777" w:rsidR="003D2787" w:rsidRDefault="003D2787" w:rsidP="003D2787">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1B717CF3" w14:textId="77777777" w:rsidR="00CC79AA" w:rsidRDefault="00CC79AA" w:rsidP="003D2787">
      <w:pPr>
        <w:spacing w:line="360" w:lineRule="auto"/>
        <w:contextualSpacing/>
        <w:jc w:val="both"/>
        <w:rPr>
          <w:rFonts w:ascii="Palatino Linotype" w:hAnsi="Palatino Linotype" w:cs="Palatino Linotype"/>
          <w:color w:val="000000"/>
          <w:sz w:val="24"/>
          <w:szCs w:val="24"/>
          <w:lang w:val="es-ES_tradnl"/>
        </w:rPr>
      </w:pPr>
    </w:p>
    <w:p w14:paraId="6BD327E1" w14:textId="77777777" w:rsidR="003D2787" w:rsidRPr="00873813" w:rsidRDefault="003D2787" w:rsidP="003D2787">
      <w:pPr>
        <w:spacing w:line="360" w:lineRule="auto"/>
        <w:contextualSpacing/>
        <w:jc w:val="both"/>
        <w:rPr>
          <w:rFonts w:ascii="Palatino Linotype" w:hAnsi="Palatino Linotype" w:cs="Palatino Linotype"/>
          <w:color w:val="000000"/>
          <w:sz w:val="24"/>
          <w:szCs w:val="24"/>
          <w:lang w:val="es-ES_tradnl"/>
        </w:rPr>
      </w:pPr>
    </w:p>
    <w:p w14:paraId="1EADC605" w14:textId="77777777" w:rsidR="003D2787" w:rsidRPr="00116F4B" w:rsidRDefault="003D2787" w:rsidP="003D2787">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0B927B39"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D8DDF2D"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6B76DEF" w14:textId="77777777" w:rsidR="003D2787"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1601203A" w14:textId="77777777" w:rsidR="00B44E3B" w:rsidRDefault="00B44E3B" w:rsidP="00B44E3B">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Costo total de la inversión en infraestructura de drenaje del año 2020,2021, 2022,2023 y 2024</w:t>
      </w:r>
      <w:r w:rsidR="00712E8F">
        <w:rPr>
          <w:rFonts w:ascii="Palatino Linotype" w:eastAsia="Times New Roman" w:hAnsi="Palatino Linotype" w:cs="Palatino Linotype"/>
          <w:color w:val="000000"/>
          <w:sz w:val="24"/>
          <w:szCs w:val="24"/>
          <w:lang w:val="es-ES_tradnl" w:eastAsia="es-MX"/>
        </w:rPr>
        <w:t>.</w:t>
      </w:r>
    </w:p>
    <w:p w14:paraId="443DFF9A" w14:textId="77777777" w:rsidR="00B44E3B" w:rsidRPr="00B44868" w:rsidRDefault="00B44E3B"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838912" w14:textId="77777777" w:rsidR="003D2787" w:rsidRPr="00E03A91" w:rsidRDefault="003D2787" w:rsidP="003D278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662E2E03" w14:textId="77777777" w:rsidR="003D2787" w:rsidRPr="00B44E3B" w:rsidRDefault="00B44E3B" w:rsidP="00B44E3B">
      <w:pPr>
        <w:pStyle w:val="Prrafodelista"/>
        <w:numPr>
          <w:ilvl w:val="0"/>
          <w:numId w:val="5"/>
        </w:numPr>
        <w:spacing w:after="0" w:line="360" w:lineRule="auto"/>
        <w:jc w:val="both"/>
        <w:rPr>
          <w:rFonts w:ascii="Palatino Linotype" w:eastAsia="Times New Roman" w:hAnsi="Palatino Linotype" w:cs="Palatino Linotype"/>
          <w:sz w:val="24"/>
          <w:szCs w:val="24"/>
          <w:lang w:val="es-ES_tradnl" w:eastAsia="es-MX"/>
        </w:rPr>
      </w:pPr>
      <w:r w:rsidRPr="00B44E3B">
        <w:rPr>
          <w:rFonts w:ascii="Palatino Linotype" w:hAnsi="Palatino Linotype" w:cs="Arial"/>
          <w:b/>
          <w:bCs/>
          <w:sz w:val="24"/>
          <w:szCs w:val="24"/>
        </w:rPr>
        <w:t>SGT O 063 2025.pdf</w:t>
      </w:r>
      <w:r>
        <w:rPr>
          <w:rFonts w:ascii="Palatino Linotype" w:eastAsia="Times New Roman" w:hAnsi="Palatino Linotype" w:cs="Palatino Linotype"/>
          <w:sz w:val="24"/>
          <w:szCs w:val="24"/>
          <w:lang w:val="es-ES_tradnl" w:eastAsia="es-MX"/>
        </w:rPr>
        <w:t xml:space="preserve">; Documento que consta de una foja en formato PDF de fecha trece de marzo de dos mil veinticinco de dos mil veinticinco por medio del cual la Dirección de Finanzas informa que después de haber realizado una búsqueda exhaustiva y razonable en los archivos y expedientes que obran en la dirección </w:t>
      </w:r>
      <w:r>
        <w:rPr>
          <w:rFonts w:ascii="Palatino Linotype" w:eastAsia="Times New Roman" w:hAnsi="Palatino Linotype" w:cs="Palatino Linotype"/>
          <w:b/>
          <w:sz w:val="24"/>
          <w:szCs w:val="24"/>
          <w:lang w:val="es-ES_tradnl" w:eastAsia="es-MX"/>
        </w:rPr>
        <w:t xml:space="preserve"> no se localizó información relacionada con la solicitud de información. </w:t>
      </w:r>
    </w:p>
    <w:p w14:paraId="14A804F4" w14:textId="77777777" w:rsidR="00B44E3B" w:rsidRPr="00B44E3B" w:rsidRDefault="00B44E3B" w:rsidP="00B44E3B">
      <w:pPr>
        <w:spacing w:after="0" w:line="360" w:lineRule="auto"/>
        <w:jc w:val="both"/>
        <w:rPr>
          <w:rFonts w:ascii="Palatino Linotype" w:eastAsia="Times New Roman" w:hAnsi="Palatino Linotype" w:cs="Palatino Linotype"/>
          <w:color w:val="000000"/>
          <w:sz w:val="24"/>
          <w:lang w:val="es-ES_tradnl" w:eastAsia="es-MX"/>
        </w:rPr>
      </w:pPr>
    </w:p>
    <w:p w14:paraId="0CD2D2A5" w14:textId="77777777" w:rsidR="00B44E3B" w:rsidRPr="00B44E3B" w:rsidRDefault="003D2787" w:rsidP="00B44E3B">
      <w:pPr>
        <w:spacing w:after="0" w:line="360" w:lineRule="auto"/>
        <w:jc w:val="both"/>
        <w:rPr>
          <w:rFonts w:ascii="Palatino Linotype" w:hAnsi="Palatino Linotype"/>
          <w:color w:val="000000"/>
          <w:sz w:val="24"/>
          <w:szCs w:val="24"/>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00B44E3B">
        <w:rPr>
          <w:rFonts w:ascii="Palatino Linotype" w:eastAsia="Times New Roman" w:hAnsi="Palatino Linotype" w:cs="Palatino Linotype"/>
          <w:color w:val="000000"/>
          <w:sz w:val="24"/>
          <w:lang w:val="es-ES_tradnl" w:eastAsia="es-MX"/>
        </w:rPr>
        <w:t>“</w:t>
      </w:r>
      <w:r w:rsidR="00B44E3B" w:rsidRPr="00B44E3B">
        <w:rPr>
          <w:rFonts w:ascii="Palatino Linotype" w:hAnsi="Palatino Linotype"/>
          <w:i/>
          <w:color w:val="000000"/>
          <w:sz w:val="24"/>
          <w:szCs w:val="24"/>
        </w:rPr>
        <w:t>No envía información solicitada No realiza los protocolos necesarios para la no inexistencia de información</w:t>
      </w:r>
      <w:r w:rsidR="00B44E3B">
        <w:rPr>
          <w:rFonts w:ascii="Palatino Linotype" w:hAnsi="Palatino Linotype"/>
          <w:i/>
          <w:color w:val="000000"/>
          <w:sz w:val="24"/>
          <w:szCs w:val="24"/>
        </w:rPr>
        <w:t>” (sic)</w:t>
      </w:r>
      <w:r w:rsidR="00B44E3B">
        <w:rPr>
          <w:rFonts w:ascii="Palatino Linotype" w:eastAsia="Times New Roman" w:hAnsi="Palatino Linotype" w:cs="Palatino Linotype"/>
          <w:color w:val="000000"/>
          <w:sz w:val="24"/>
          <w:lang w:val="es-ES_tradnl" w:eastAsia="es-MX"/>
        </w:rPr>
        <w:t xml:space="preserve"> </w:t>
      </w:r>
      <w:r>
        <w:rPr>
          <w:rFonts w:ascii="Palatino Linotype" w:eastAsia="Times New Roman" w:hAnsi="Palatino Linotype" w:cs="Palatino Linotype"/>
          <w:color w:val="000000"/>
          <w:sz w:val="24"/>
          <w:lang w:val="es-ES_tradnl" w:eastAsia="es-MX"/>
        </w:rPr>
        <w:t xml:space="preserve">y </w:t>
      </w:r>
      <w:r w:rsidRPr="00AB5458">
        <w:rPr>
          <w:rFonts w:ascii="Palatino Linotype" w:eastAsia="Times New Roman" w:hAnsi="Palatino Linotype" w:cs="Palatino Linotype"/>
          <w:color w:val="000000"/>
          <w:sz w:val="24"/>
          <w:lang w:val="es-ES_tradnl" w:eastAsia="es-MX"/>
        </w:rPr>
        <w:t>motivos de inconformidad</w:t>
      </w:r>
      <w:r>
        <w:rPr>
          <w:rFonts w:ascii="Palatino Linotype" w:eastAsia="Times New Roman" w:hAnsi="Palatino Linotype" w:cs="Palatino Linotype"/>
          <w:color w:val="000000"/>
          <w:sz w:val="24"/>
          <w:lang w:val="es-ES_tradnl" w:eastAsia="es-MX"/>
        </w:rPr>
        <w:t xml:space="preserve"> “</w:t>
      </w:r>
      <w:r w:rsidR="00B44E3B" w:rsidRPr="00B44E3B">
        <w:rPr>
          <w:rFonts w:ascii="Palatino Linotype" w:hAnsi="Palatino Linotype"/>
          <w:i/>
          <w:color w:val="000000"/>
          <w:sz w:val="24"/>
          <w:szCs w:val="24"/>
        </w:rPr>
        <w:t xml:space="preserve">Mediante el escrito SGT/O/063/2025 de fecha trece (13) de marzo del dos mil veinticinco (20259 signado por la encargada de despacho de la Unidad de Transparencia del Sujeto Obligado, </w:t>
      </w:r>
      <w:r w:rsidR="00B44E3B" w:rsidRPr="00B44E3B">
        <w:rPr>
          <w:rFonts w:ascii="Palatino Linotype" w:hAnsi="Palatino Linotype"/>
          <w:b/>
          <w:i/>
          <w:color w:val="000000"/>
          <w:sz w:val="24"/>
          <w:szCs w:val="24"/>
        </w:rPr>
        <w:t>da respuesta a la petición</w:t>
      </w:r>
      <w:r w:rsidR="00B44E3B" w:rsidRPr="00B44E3B">
        <w:rPr>
          <w:rFonts w:ascii="Palatino Linotype" w:hAnsi="Palatino Linotype"/>
          <w:i/>
          <w:color w:val="000000"/>
          <w:sz w:val="24"/>
          <w:szCs w:val="24"/>
        </w:rPr>
        <w:t xml:space="preserve">, sin embargo, y tras el análisis de las líneas expuestas por la encargada de despacho, responde: "... después de realizado el proceso interno para la obtención de la información, siendo esta solicitada a la Dirección de Finanzas por ser considerado de sus facultades y atribuciones, quienes responden de la siguiente manera: Después de haber realizado una búsqueda exhaustiva y minuciosa en los archivos y expedientes que obran en esta Dirección no se localizo información relacionada con la solicitud de información." (SIC) En ese tenor, manifiesta solo indagar para formular la respuesta con una Unidad Administrativa adscrita al </w:t>
      </w:r>
      <w:r w:rsidR="00B44E3B" w:rsidRPr="00B44E3B">
        <w:rPr>
          <w:rFonts w:ascii="Palatino Linotype" w:hAnsi="Palatino Linotype"/>
          <w:i/>
          <w:color w:val="000000"/>
          <w:sz w:val="24"/>
          <w:szCs w:val="24"/>
        </w:rPr>
        <w:lastRenderedPageBreak/>
        <w:t xml:space="preserve">Sujeto Obligado, </w:t>
      </w:r>
      <w:r w:rsidR="00B44E3B" w:rsidRPr="00B44E3B">
        <w:rPr>
          <w:rFonts w:ascii="Palatino Linotype" w:hAnsi="Palatino Linotype"/>
          <w:i/>
          <w:color w:val="000000"/>
          <w:sz w:val="24"/>
          <w:szCs w:val="24"/>
          <w:u w:val="single"/>
        </w:rPr>
        <w:t xml:space="preserve">sin embargo, por naturaleza de la petición debió de corroborar que alguna otra Unidad Administrativa contara con la información solicitada, </w:t>
      </w:r>
      <w:r w:rsidR="00B44E3B" w:rsidRPr="00B44E3B">
        <w:rPr>
          <w:rFonts w:ascii="Palatino Linotype" w:hAnsi="Palatino Linotype"/>
          <w:i/>
          <w:color w:val="000000"/>
          <w:sz w:val="24"/>
          <w:szCs w:val="24"/>
        </w:rPr>
        <w:t>máxime que la encargada de despacho de la Unidad de Transparencia, tiene las facultades para solicitar la información a mas Unidades Administrativas del Sujeto Obligado, conforme a su Reglamento Interno. ahora bien, como lo indican los protocolos para la no existencia de la información</w:t>
      </w:r>
      <w:r w:rsidR="00B44E3B" w:rsidRPr="00B44E3B">
        <w:rPr>
          <w:rFonts w:ascii="Palatino Linotype" w:hAnsi="Palatino Linotype"/>
          <w:i/>
          <w:color w:val="000000"/>
          <w:sz w:val="24"/>
          <w:szCs w:val="24"/>
          <w:u w:val="single"/>
        </w:rPr>
        <w:t xml:space="preserve">, </w:t>
      </w:r>
      <w:r w:rsidR="00B44E3B" w:rsidRPr="00B44E3B">
        <w:rPr>
          <w:rFonts w:ascii="Palatino Linotype" w:hAnsi="Palatino Linotype"/>
          <w:i/>
          <w:color w:val="000000"/>
          <w:sz w:val="24"/>
          <w:szCs w:val="24"/>
        </w:rPr>
        <w:t>esta debe de llevarse a cabo mediante un Comité,</w:t>
      </w:r>
      <w:r w:rsidR="00B44E3B" w:rsidRPr="00B44E3B">
        <w:rPr>
          <w:rFonts w:ascii="Palatino Linotype" w:hAnsi="Palatino Linotype"/>
          <w:i/>
          <w:color w:val="000000"/>
          <w:sz w:val="24"/>
          <w:szCs w:val="24"/>
          <w:u w:val="single"/>
        </w:rPr>
        <w:t xml:space="preserve"> sin embargo no lo realiza o no expone en que sesión se llevo a cabo la inexistencia de información</w:t>
      </w:r>
      <w:r w:rsidR="00B44E3B" w:rsidRPr="00B44E3B">
        <w:rPr>
          <w:rFonts w:ascii="Palatino Linotype" w:hAnsi="Palatino Linotype"/>
          <w:i/>
          <w:color w:val="000000"/>
          <w:sz w:val="24"/>
          <w:szCs w:val="24"/>
        </w:rPr>
        <w:t>.</w:t>
      </w:r>
      <w:r w:rsidRPr="00A30F6C">
        <w:rPr>
          <w:rFonts w:ascii="Palatino Linotype" w:hAnsi="Palatino Linotype"/>
          <w:i/>
          <w:color w:val="000000"/>
          <w:sz w:val="24"/>
          <w:szCs w:val="24"/>
        </w:rPr>
        <w:t>”</w:t>
      </w:r>
      <w:r>
        <w:rPr>
          <w:rFonts w:ascii="Palatino Linotype" w:eastAsia="Times New Roman" w:hAnsi="Palatino Linotype" w:cs="Palatino Linotype"/>
          <w:color w:val="000000"/>
          <w:sz w:val="24"/>
          <w:lang w:val="es-ES_tradnl" w:eastAsia="es-MX"/>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Sujeto Obligado no le dio cuenta d</w:t>
      </w:r>
      <w:r>
        <w:rPr>
          <w:rFonts w:ascii="Palatino Linotype" w:hAnsi="Palatino Linotype"/>
          <w:color w:val="000000"/>
          <w:sz w:val="24"/>
          <w:szCs w:val="24"/>
        </w:rPr>
        <w:t>e</w:t>
      </w:r>
      <w:r w:rsidR="00B44E3B">
        <w:rPr>
          <w:rFonts w:ascii="Palatino Linotype" w:hAnsi="Palatino Linotype"/>
          <w:color w:val="000000"/>
          <w:sz w:val="24"/>
          <w:szCs w:val="24"/>
        </w:rPr>
        <w:t>l c</w:t>
      </w:r>
      <w:r w:rsidR="00B44E3B" w:rsidRPr="00B44E3B">
        <w:rPr>
          <w:rFonts w:ascii="Palatino Linotype" w:eastAsia="Times New Roman" w:hAnsi="Palatino Linotype" w:cs="Palatino Linotype"/>
          <w:color w:val="000000"/>
          <w:sz w:val="24"/>
          <w:szCs w:val="24"/>
          <w:lang w:val="es-ES_tradnl" w:eastAsia="es-MX"/>
        </w:rPr>
        <w:t>costo total de la inversión en infraestructura de drenaje del año 2020,2021, 2022,2023 y 2024</w:t>
      </w:r>
      <w:r w:rsidR="00B44E3B">
        <w:rPr>
          <w:rFonts w:ascii="Palatino Linotype" w:eastAsia="Times New Roman" w:hAnsi="Palatino Linotype" w:cs="Palatino Linotype"/>
          <w:color w:val="000000"/>
          <w:sz w:val="24"/>
          <w:szCs w:val="24"/>
          <w:lang w:val="es-ES_tradnl" w:eastAsia="es-MX"/>
        </w:rPr>
        <w:t xml:space="preserve"> por no haberla turnado a todas las unidades administrativa así mismo manifestó que se debía realizar el proceso para la inexistencia de la información. </w:t>
      </w:r>
    </w:p>
    <w:p w14:paraId="0EE7BACB" w14:textId="77777777" w:rsidR="003D2787" w:rsidRDefault="003D2787" w:rsidP="003D2787">
      <w:pPr>
        <w:spacing w:after="0" w:line="360" w:lineRule="auto"/>
        <w:jc w:val="both"/>
        <w:rPr>
          <w:rFonts w:ascii="Palatino Linotype" w:eastAsia="Times New Roman" w:hAnsi="Palatino Linotype" w:cs="Palatino Linotype"/>
          <w:color w:val="000000"/>
          <w:sz w:val="24"/>
          <w:szCs w:val="24"/>
          <w:lang w:val="es-ES_tradnl" w:eastAsia="es-MX"/>
        </w:rPr>
      </w:pPr>
    </w:p>
    <w:p w14:paraId="6AF5AFB9" w14:textId="77777777" w:rsidR="003D2787" w:rsidRPr="00107C25" w:rsidRDefault="003D2787" w:rsidP="003D2787">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E632BF7" w14:textId="77777777" w:rsidR="003D2787" w:rsidRPr="00F444C4" w:rsidRDefault="003D2787" w:rsidP="003D278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lastRenderedPageBreak/>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6D9A81F6" w14:textId="77777777" w:rsidR="003D2787" w:rsidRPr="00F444C4" w:rsidRDefault="003D2787" w:rsidP="003D278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B78B579" w14:textId="77777777" w:rsidR="003D2787" w:rsidRPr="00F444C4" w:rsidRDefault="003D2787" w:rsidP="003D278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40D6CD95" w14:textId="77777777" w:rsidR="003D2787" w:rsidRPr="00042818" w:rsidRDefault="003D2787" w:rsidP="003D278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0B9992D1" w14:textId="77777777" w:rsidR="003D2787" w:rsidRDefault="003D2787" w:rsidP="003D2787">
      <w:pPr>
        <w:spacing w:after="0" w:line="360" w:lineRule="auto"/>
        <w:ind w:right="616"/>
        <w:contextualSpacing/>
        <w:jc w:val="both"/>
        <w:rPr>
          <w:rFonts w:ascii="Palatino Linotype" w:eastAsia="Times New Roman" w:hAnsi="Palatino Linotype" w:cs="Arial"/>
          <w:b/>
          <w:i/>
          <w:lang w:val="es-ES_tradnl" w:eastAsia="gl-ES"/>
        </w:rPr>
      </w:pPr>
    </w:p>
    <w:p w14:paraId="1DA20C8F" w14:textId="77777777" w:rsidR="003D2787" w:rsidRDefault="003D2787" w:rsidP="003D2787">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6CC87900" w14:textId="77777777" w:rsidR="003D2787" w:rsidRPr="006D55C4" w:rsidRDefault="003D2787" w:rsidP="003D2787">
      <w:pPr>
        <w:spacing w:after="0" w:line="360" w:lineRule="auto"/>
        <w:ind w:right="-2"/>
        <w:contextualSpacing/>
        <w:jc w:val="both"/>
        <w:rPr>
          <w:rFonts w:ascii="Palatino Linotype" w:eastAsia="Times New Roman" w:hAnsi="Palatino Linotype" w:cs="Arial"/>
          <w:i/>
          <w:lang w:val="es-ES_tradnl" w:eastAsia="gl-ES"/>
        </w:rPr>
      </w:pPr>
    </w:p>
    <w:p w14:paraId="61D6F7E6" w14:textId="77777777" w:rsidR="00DB39B1" w:rsidRDefault="003D2787" w:rsidP="00DB39B1">
      <w:pPr>
        <w:spacing w:line="360" w:lineRule="auto"/>
        <w:jc w:val="both"/>
        <w:rPr>
          <w:rFonts w:ascii="Palatino Linotype" w:hAnsi="Palatino Linotype"/>
          <w:sz w:val="24"/>
          <w:szCs w:val="24"/>
        </w:rPr>
      </w:pPr>
      <w:r>
        <w:rPr>
          <w:rFonts w:ascii="Palatino Linotype" w:hAnsi="Palatino Linotype"/>
          <w:sz w:val="24"/>
          <w:szCs w:val="24"/>
        </w:rPr>
        <w:t xml:space="preserve">De lo anterior, es indispensable traer a colación los artículos </w:t>
      </w:r>
      <w:r w:rsidR="00D14342">
        <w:rPr>
          <w:rFonts w:ascii="Palatino Linotype" w:hAnsi="Palatino Linotype"/>
          <w:sz w:val="24"/>
          <w:szCs w:val="24"/>
        </w:rPr>
        <w:t xml:space="preserve">45, 52 y 66 </w:t>
      </w:r>
      <w:r w:rsidR="00E4501D">
        <w:rPr>
          <w:rFonts w:ascii="Palatino Linotype" w:hAnsi="Palatino Linotype"/>
          <w:sz w:val="24"/>
          <w:szCs w:val="24"/>
        </w:rPr>
        <w:t>del Reglamento Orgánico del Organismo Público Descentralizado para la Prestación de los Servicios de Agua Potable, Alcantarillado y Saneamiento del Municipio de N</w:t>
      </w:r>
      <w:r w:rsidR="00E4501D" w:rsidRPr="00E4501D">
        <w:rPr>
          <w:rFonts w:ascii="Palatino Linotype" w:hAnsi="Palatino Linotype"/>
          <w:sz w:val="24"/>
          <w:szCs w:val="24"/>
        </w:rPr>
        <w:t>a</w:t>
      </w:r>
      <w:r w:rsidR="00770CAE">
        <w:rPr>
          <w:rFonts w:ascii="Palatino Linotype" w:hAnsi="Palatino Linotype"/>
          <w:sz w:val="24"/>
          <w:szCs w:val="24"/>
        </w:rPr>
        <w:t xml:space="preserve">ucalpan </w:t>
      </w:r>
      <w:r w:rsidR="00DB39B1">
        <w:rPr>
          <w:rFonts w:ascii="Palatino Linotype" w:hAnsi="Palatino Linotype"/>
          <w:sz w:val="24"/>
          <w:szCs w:val="24"/>
        </w:rPr>
        <w:t xml:space="preserve">a efecto de advertir que el Sujeto Obligado se auxilia de diversas unidades administrativas de las cuales resulta de nuestro interés la Dirección de Construcción y Operación Hidráulica así como la Dirección de Administración y Finanzas, la primera en virtud que cuanta con la </w:t>
      </w:r>
      <w:r w:rsidR="00DB39B1">
        <w:rPr>
          <w:rFonts w:ascii="Palatino Linotype" w:hAnsi="Palatino Linotype"/>
          <w:sz w:val="24"/>
          <w:szCs w:val="24"/>
        </w:rPr>
        <w:lastRenderedPageBreak/>
        <w:t xml:space="preserve">Gerencia Técnica que se encarga de </w:t>
      </w:r>
      <w:r w:rsidR="00DB39B1" w:rsidRPr="00DB39B1">
        <w:rPr>
          <w:rFonts w:ascii="Palatino Linotype" w:hAnsi="Palatino Linotype"/>
          <w:sz w:val="24"/>
          <w:szCs w:val="24"/>
        </w:rPr>
        <w:t>supervisar el desarrollo de los nuevos proyectos y sus resp</w:t>
      </w:r>
      <w:r w:rsidR="00DB39B1">
        <w:rPr>
          <w:rFonts w:ascii="Palatino Linotype" w:hAnsi="Palatino Linotype"/>
          <w:sz w:val="24"/>
          <w:szCs w:val="24"/>
        </w:rPr>
        <w:t xml:space="preserve">ectivas obras así como </w:t>
      </w:r>
      <w:r w:rsidR="00DB39B1" w:rsidRPr="00B271AA">
        <w:rPr>
          <w:rFonts w:ascii="Palatino Linotype" w:hAnsi="Palatino Linotype"/>
          <w:sz w:val="24"/>
          <w:szCs w:val="24"/>
          <w:u w:val="single"/>
        </w:rPr>
        <w:t>integrar y proponer el Programa Anual de Obra</w:t>
      </w:r>
      <w:r w:rsidR="00DB39B1">
        <w:rPr>
          <w:rFonts w:ascii="Palatino Linotype" w:hAnsi="Palatino Linotype"/>
          <w:sz w:val="24"/>
          <w:szCs w:val="24"/>
        </w:rPr>
        <w:t xml:space="preserve"> y </w:t>
      </w:r>
      <w:r w:rsidR="00DB39B1" w:rsidRPr="00DB39B1">
        <w:rPr>
          <w:rFonts w:ascii="Palatino Linotype" w:hAnsi="Palatino Linotype"/>
          <w:sz w:val="24"/>
          <w:szCs w:val="24"/>
        </w:rPr>
        <w:t>apoyar y coordinar la elaboración de estudios, proyectos y programas necesarios para la realización de nuevas obra</w:t>
      </w:r>
      <w:r w:rsidR="00B271AA">
        <w:rPr>
          <w:rFonts w:ascii="Palatino Linotype" w:hAnsi="Palatino Linotype"/>
          <w:sz w:val="24"/>
          <w:szCs w:val="24"/>
        </w:rPr>
        <w:t>s de infraestructura hidráulica.</w:t>
      </w:r>
    </w:p>
    <w:p w14:paraId="0EF118FC" w14:textId="77777777" w:rsidR="00B271AA" w:rsidRDefault="00B271AA" w:rsidP="00DB39B1">
      <w:pPr>
        <w:spacing w:line="360" w:lineRule="auto"/>
        <w:jc w:val="both"/>
        <w:rPr>
          <w:rFonts w:ascii="Palatino Linotype" w:hAnsi="Palatino Linotype"/>
          <w:sz w:val="24"/>
          <w:szCs w:val="24"/>
        </w:rPr>
      </w:pPr>
    </w:p>
    <w:p w14:paraId="52583AA3" w14:textId="77777777" w:rsidR="00B271AA" w:rsidRPr="00770CAE" w:rsidRDefault="00DB39B1" w:rsidP="00BE1514">
      <w:pPr>
        <w:spacing w:line="360" w:lineRule="auto"/>
        <w:jc w:val="both"/>
        <w:rPr>
          <w:rFonts w:ascii="Palatino Linotype" w:hAnsi="Palatino Linotype"/>
          <w:sz w:val="24"/>
          <w:szCs w:val="24"/>
        </w:rPr>
      </w:pPr>
      <w:r>
        <w:rPr>
          <w:rFonts w:ascii="Palatino Linotype" w:hAnsi="Palatino Linotype"/>
          <w:sz w:val="24"/>
          <w:szCs w:val="24"/>
        </w:rPr>
        <w:t>Por lo que</w:t>
      </w:r>
      <w:r w:rsidR="00B271AA">
        <w:rPr>
          <w:rFonts w:ascii="Palatino Linotype" w:hAnsi="Palatino Linotype"/>
          <w:sz w:val="24"/>
          <w:szCs w:val="24"/>
        </w:rPr>
        <w:t xml:space="preserve"> respecta a</w:t>
      </w:r>
      <w:r>
        <w:rPr>
          <w:rFonts w:ascii="Palatino Linotype" w:hAnsi="Palatino Linotype"/>
          <w:sz w:val="24"/>
          <w:szCs w:val="24"/>
        </w:rPr>
        <w:t xml:space="preserve"> la </w:t>
      </w:r>
      <w:r w:rsidR="00B271AA">
        <w:rPr>
          <w:rFonts w:ascii="Palatino Linotype" w:hAnsi="Palatino Linotype"/>
          <w:sz w:val="24"/>
          <w:szCs w:val="24"/>
        </w:rPr>
        <w:t>Dirección de Administración y Finanzas tiene entre sus atribuciones i</w:t>
      </w:r>
      <w:r w:rsidR="00B271AA" w:rsidRPr="00B271AA">
        <w:rPr>
          <w:rFonts w:ascii="Palatino Linotype" w:hAnsi="Palatino Linotype"/>
          <w:sz w:val="24"/>
          <w:szCs w:val="24"/>
        </w:rPr>
        <w:t xml:space="preserve">ntegrar y elaborar </w:t>
      </w:r>
      <w:r w:rsidR="00B271AA" w:rsidRPr="00B271AA">
        <w:rPr>
          <w:rFonts w:ascii="Palatino Linotype" w:hAnsi="Palatino Linotype"/>
          <w:b/>
          <w:sz w:val="24"/>
          <w:szCs w:val="24"/>
        </w:rPr>
        <w:t>a través de la Gerencia de Finanzas</w:t>
      </w:r>
      <w:r w:rsidR="00B271AA" w:rsidRPr="00B271AA">
        <w:rPr>
          <w:rFonts w:ascii="Palatino Linotype" w:hAnsi="Palatino Linotype"/>
          <w:sz w:val="24"/>
          <w:szCs w:val="24"/>
        </w:rPr>
        <w:t>, el Presupuesto de Ingresos y Egresos y la modificación y/o modificaciones a los mismos para la autori</w:t>
      </w:r>
      <w:r w:rsidR="00B271AA">
        <w:rPr>
          <w:rFonts w:ascii="Palatino Linotype" w:hAnsi="Palatino Linotype"/>
          <w:sz w:val="24"/>
          <w:szCs w:val="24"/>
        </w:rPr>
        <w:t>zación de cada ejercicio fiscal</w:t>
      </w:r>
      <w:r w:rsidR="00B271AA" w:rsidRPr="00B271AA">
        <w:rPr>
          <w:rFonts w:ascii="Palatino Linotype" w:hAnsi="Palatino Linotype"/>
          <w:sz w:val="24"/>
          <w:szCs w:val="24"/>
        </w:rPr>
        <w:t>,</w:t>
      </w:r>
      <w:r w:rsidR="00B271AA">
        <w:rPr>
          <w:rFonts w:ascii="Palatino Linotype" w:hAnsi="Palatino Linotype"/>
          <w:sz w:val="24"/>
          <w:szCs w:val="24"/>
        </w:rPr>
        <w:t xml:space="preserve"> vigilar </w:t>
      </w:r>
      <w:r w:rsidR="00B271AA" w:rsidRPr="00B271AA">
        <w:rPr>
          <w:rFonts w:ascii="Palatino Linotype" w:hAnsi="Palatino Linotype"/>
          <w:sz w:val="24"/>
          <w:szCs w:val="24"/>
        </w:rPr>
        <w:t xml:space="preserve"> los procedimientos de adquisición de los bienes y servicios y c</w:t>
      </w:r>
      <w:r w:rsidR="00B271AA">
        <w:rPr>
          <w:rFonts w:ascii="Palatino Linotype" w:hAnsi="Palatino Linotype"/>
          <w:sz w:val="24"/>
          <w:szCs w:val="24"/>
        </w:rPr>
        <w:t>ontratación de la obra pública, s</w:t>
      </w:r>
      <w:r w:rsidR="00B271AA" w:rsidRPr="00B271AA">
        <w:rPr>
          <w:rFonts w:ascii="Palatino Linotype" w:hAnsi="Palatino Linotype"/>
          <w:sz w:val="24"/>
          <w:szCs w:val="24"/>
        </w:rPr>
        <w:t>uscribir los contratos para la prestación de servicios, obra p</w:t>
      </w:r>
      <w:r w:rsidR="00B271AA">
        <w:rPr>
          <w:rFonts w:ascii="Palatino Linotype" w:hAnsi="Palatino Linotype"/>
          <w:sz w:val="24"/>
          <w:szCs w:val="24"/>
        </w:rPr>
        <w:t>ública y adquisición de bienes, así como p</w:t>
      </w:r>
      <w:r w:rsidR="00B271AA" w:rsidRPr="00B271AA">
        <w:rPr>
          <w:rFonts w:ascii="Palatino Linotype" w:hAnsi="Palatino Linotype"/>
          <w:sz w:val="24"/>
          <w:szCs w:val="24"/>
        </w:rPr>
        <w:t>roponer e implementar estrategias tendientes a optimizar los recursos financieros y materiales para la prestación de los servicios del Organismo</w:t>
      </w:r>
      <w:r w:rsidR="00B271AA">
        <w:rPr>
          <w:rFonts w:ascii="Palatino Linotype" w:hAnsi="Palatino Linotype"/>
          <w:sz w:val="24"/>
          <w:szCs w:val="24"/>
        </w:rPr>
        <w:t>, en los términos siguientes</w:t>
      </w:r>
      <w:r w:rsidR="00B271AA" w:rsidRPr="00764B52">
        <w:rPr>
          <w:rFonts w:ascii="Palatino Linotype" w:hAnsi="Palatino Linotype"/>
          <w:i/>
        </w:rPr>
        <w:t>;</w:t>
      </w:r>
    </w:p>
    <w:p w14:paraId="1DCE56CF" w14:textId="77777777" w:rsidR="003B48D1" w:rsidRPr="00DB39B1" w:rsidRDefault="003B48D1" w:rsidP="00DB39B1">
      <w:pPr>
        <w:spacing w:line="360" w:lineRule="auto"/>
        <w:ind w:left="708"/>
        <w:jc w:val="both"/>
        <w:rPr>
          <w:rFonts w:ascii="Palatino Linotype" w:hAnsi="Palatino Linotype"/>
          <w:i/>
        </w:rPr>
      </w:pPr>
      <w:r w:rsidRPr="003B48D1">
        <w:rPr>
          <w:rFonts w:ascii="Palatino Linotype" w:hAnsi="Palatino Linotype"/>
          <w:b/>
          <w:i/>
        </w:rPr>
        <w:t>Artículo 45.-</w:t>
      </w:r>
      <w:r w:rsidRPr="003B48D1">
        <w:rPr>
          <w:rFonts w:ascii="Palatino Linotype" w:hAnsi="Palatino Linotype"/>
          <w:i/>
        </w:rPr>
        <w:t xml:space="preserve"> La Dirección de Construcción y Operación Hidráulica, para el estudio, despacho, planeación y ejecución de sus atribuciones, contará con las siguientes Gerencias y Subgerencias que le estarán subordinadas jerárquicamente: </w:t>
      </w:r>
    </w:p>
    <w:p w14:paraId="0FE503A4" w14:textId="77777777" w:rsidR="003B48D1" w:rsidRPr="003B48D1" w:rsidRDefault="003B48D1" w:rsidP="003B48D1">
      <w:pPr>
        <w:pStyle w:val="Prrafodelista"/>
        <w:spacing w:line="360" w:lineRule="auto"/>
        <w:ind w:left="2136"/>
        <w:jc w:val="both"/>
        <w:rPr>
          <w:rFonts w:ascii="Palatino Linotype" w:hAnsi="Palatino Linotype"/>
          <w:i/>
        </w:rPr>
      </w:pPr>
      <w:r w:rsidRPr="003B48D1">
        <w:rPr>
          <w:rFonts w:ascii="Palatino Linotype" w:hAnsi="Palatino Linotype"/>
          <w:i/>
        </w:rPr>
        <w:t>…</w:t>
      </w:r>
    </w:p>
    <w:p w14:paraId="5FC96625" w14:textId="77777777" w:rsidR="003B48D1" w:rsidRPr="00DB39B1" w:rsidRDefault="003B48D1" w:rsidP="003B48D1">
      <w:pPr>
        <w:pStyle w:val="Prrafodelista"/>
        <w:numPr>
          <w:ilvl w:val="0"/>
          <w:numId w:val="10"/>
        </w:numPr>
        <w:spacing w:line="360" w:lineRule="auto"/>
        <w:jc w:val="both"/>
        <w:rPr>
          <w:rFonts w:ascii="Palatino Linotype" w:hAnsi="Palatino Linotype"/>
          <w:i/>
        </w:rPr>
      </w:pPr>
      <w:r w:rsidRPr="00DB39B1">
        <w:rPr>
          <w:rFonts w:ascii="Palatino Linotype" w:hAnsi="Palatino Linotype"/>
          <w:i/>
        </w:rPr>
        <w:t>GERENCIA TÉCNICA:</w:t>
      </w:r>
    </w:p>
    <w:p w14:paraId="4C6082CA" w14:textId="77777777" w:rsidR="003B48D1" w:rsidRPr="00DB39B1" w:rsidRDefault="003B48D1" w:rsidP="003B48D1">
      <w:pPr>
        <w:pStyle w:val="Prrafodelista"/>
        <w:spacing w:line="360" w:lineRule="auto"/>
        <w:ind w:left="2136"/>
        <w:jc w:val="both"/>
        <w:rPr>
          <w:rFonts w:ascii="Palatino Linotype" w:hAnsi="Palatino Linotype"/>
          <w:i/>
        </w:rPr>
      </w:pPr>
      <w:r w:rsidRPr="003B48D1">
        <w:rPr>
          <w:rFonts w:ascii="Palatino Linotype" w:hAnsi="Palatino Linotype"/>
          <w:i/>
          <w:u w:val="single"/>
        </w:rPr>
        <w:t xml:space="preserve"> </w:t>
      </w:r>
      <w:r w:rsidRPr="00DB39B1">
        <w:rPr>
          <w:rFonts w:ascii="Palatino Linotype" w:hAnsi="Palatino Linotype"/>
          <w:i/>
        </w:rPr>
        <w:t xml:space="preserve">II.I. Subgerencia de Planeación e Integración de Obra; </w:t>
      </w:r>
    </w:p>
    <w:p w14:paraId="2D86680F" w14:textId="77777777" w:rsidR="003B48D1" w:rsidRPr="003B48D1" w:rsidRDefault="003B48D1" w:rsidP="003B48D1">
      <w:pPr>
        <w:pStyle w:val="Prrafodelista"/>
        <w:spacing w:line="360" w:lineRule="auto"/>
        <w:ind w:left="2136"/>
        <w:jc w:val="both"/>
        <w:rPr>
          <w:rFonts w:ascii="Palatino Linotype" w:hAnsi="Palatino Linotype"/>
          <w:i/>
        </w:rPr>
      </w:pPr>
      <w:r w:rsidRPr="00DB39B1">
        <w:rPr>
          <w:rFonts w:ascii="Palatino Linotype" w:hAnsi="Palatino Linotype"/>
          <w:i/>
        </w:rPr>
        <w:t>II.II. Subgerencia de Construcción;</w:t>
      </w:r>
      <w:r w:rsidRPr="003B48D1">
        <w:rPr>
          <w:rFonts w:ascii="Palatino Linotype" w:hAnsi="Palatino Linotype"/>
          <w:i/>
        </w:rPr>
        <w:t xml:space="preserve"> y</w:t>
      </w:r>
    </w:p>
    <w:p w14:paraId="1852D7C6" w14:textId="77777777" w:rsidR="003B48D1" w:rsidRPr="003B48D1" w:rsidRDefault="003B48D1" w:rsidP="003B48D1">
      <w:pPr>
        <w:pStyle w:val="Prrafodelista"/>
        <w:spacing w:line="360" w:lineRule="auto"/>
        <w:ind w:left="2136"/>
        <w:jc w:val="both"/>
        <w:rPr>
          <w:rFonts w:ascii="Palatino Linotype" w:hAnsi="Palatino Linotype"/>
          <w:i/>
        </w:rPr>
      </w:pPr>
      <w:r w:rsidRPr="003B48D1">
        <w:rPr>
          <w:rFonts w:ascii="Palatino Linotype" w:hAnsi="Palatino Linotype"/>
          <w:i/>
        </w:rPr>
        <w:t xml:space="preserve"> II.III. Subgerencia de Estudios, Proyectos y Sectorización.</w:t>
      </w:r>
    </w:p>
    <w:p w14:paraId="3D2C95FB" w14:textId="77777777" w:rsidR="003571FD" w:rsidRPr="00F9284F" w:rsidRDefault="003B48D1" w:rsidP="00F9284F">
      <w:pPr>
        <w:pStyle w:val="Prrafodelista"/>
        <w:spacing w:line="360" w:lineRule="auto"/>
        <w:ind w:left="2136"/>
        <w:jc w:val="both"/>
        <w:rPr>
          <w:rFonts w:ascii="Palatino Linotype" w:hAnsi="Palatino Linotype"/>
          <w:i/>
        </w:rPr>
      </w:pPr>
      <w:r w:rsidRPr="003B48D1">
        <w:rPr>
          <w:rFonts w:ascii="Palatino Linotype" w:hAnsi="Palatino Linotype"/>
          <w:i/>
        </w:rPr>
        <w:lastRenderedPageBreak/>
        <w:t>..</w:t>
      </w:r>
    </w:p>
    <w:p w14:paraId="728289DC" w14:textId="77777777" w:rsidR="003B48D1" w:rsidRPr="003B48D1" w:rsidRDefault="003B48D1" w:rsidP="003B48D1">
      <w:pPr>
        <w:spacing w:line="360" w:lineRule="auto"/>
        <w:ind w:left="708"/>
        <w:jc w:val="both"/>
        <w:rPr>
          <w:rFonts w:ascii="Palatino Linotype" w:hAnsi="Palatino Linotype"/>
          <w:i/>
          <w:sz w:val="24"/>
          <w:szCs w:val="24"/>
        </w:rPr>
      </w:pPr>
      <w:r w:rsidRPr="003B48D1">
        <w:rPr>
          <w:rFonts w:ascii="Palatino Linotype" w:hAnsi="Palatino Linotype"/>
          <w:b/>
          <w:i/>
        </w:rPr>
        <w:t>Artículo 52.-</w:t>
      </w:r>
      <w:r w:rsidRPr="003B48D1">
        <w:rPr>
          <w:rFonts w:ascii="Palatino Linotype" w:hAnsi="Palatino Linotype"/>
          <w:i/>
        </w:rPr>
        <w:t xml:space="preserve"> La Gerencia Técnica, estará a cargo de un titular, a quien se le denominará Gerente Técnico, quien responderá directamente del desempeño de sus funciones ante el Director de Construcción y Operación Hidráulica y quien tendrá las siguientes atribuciones y facultades relativas a su cargo:</w:t>
      </w:r>
    </w:p>
    <w:p w14:paraId="14EFA84C" w14:textId="77777777" w:rsidR="003B48D1" w:rsidRPr="003B48D1" w:rsidRDefault="003B48D1" w:rsidP="003B48D1">
      <w:pPr>
        <w:spacing w:line="360" w:lineRule="auto"/>
        <w:ind w:left="1416"/>
        <w:jc w:val="both"/>
        <w:rPr>
          <w:rFonts w:ascii="Palatino Linotype" w:hAnsi="Palatino Linotype"/>
          <w:i/>
        </w:rPr>
      </w:pPr>
      <w:r w:rsidRPr="003B48D1">
        <w:rPr>
          <w:rFonts w:ascii="Palatino Linotype" w:hAnsi="Palatino Linotype"/>
          <w:i/>
        </w:rPr>
        <w:t xml:space="preserve">I. Supervisar el desarrollo de los nuevos proyectos y sus respectivas obras; </w:t>
      </w:r>
    </w:p>
    <w:p w14:paraId="49182A53" w14:textId="77777777" w:rsidR="003B48D1" w:rsidRDefault="003B48D1" w:rsidP="003B48D1">
      <w:pPr>
        <w:spacing w:line="360" w:lineRule="auto"/>
        <w:ind w:left="1416"/>
        <w:jc w:val="both"/>
        <w:rPr>
          <w:rFonts w:ascii="Palatino Linotype" w:hAnsi="Palatino Linotype"/>
          <w:i/>
        </w:rPr>
      </w:pPr>
      <w:r w:rsidRPr="003B48D1">
        <w:rPr>
          <w:rFonts w:ascii="Palatino Linotype" w:hAnsi="Palatino Linotype"/>
          <w:i/>
        </w:rPr>
        <w:t>II. Integrar y proponer el Programa Anual de Obra;</w:t>
      </w:r>
    </w:p>
    <w:p w14:paraId="3F1C8D44" w14:textId="77777777" w:rsidR="003B48D1" w:rsidRDefault="003B48D1" w:rsidP="003B48D1">
      <w:pPr>
        <w:spacing w:line="360" w:lineRule="auto"/>
        <w:ind w:left="1416"/>
        <w:jc w:val="both"/>
        <w:rPr>
          <w:rFonts w:ascii="Palatino Linotype" w:hAnsi="Palatino Linotype"/>
          <w:i/>
        </w:rPr>
      </w:pPr>
      <w:r>
        <w:rPr>
          <w:rFonts w:ascii="Palatino Linotype" w:hAnsi="Palatino Linotype"/>
          <w:i/>
        </w:rPr>
        <w:t>…</w:t>
      </w:r>
    </w:p>
    <w:p w14:paraId="45643EBF" w14:textId="77777777" w:rsidR="003B48D1" w:rsidRPr="003B48D1" w:rsidRDefault="003B48D1" w:rsidP="003B48D1">
      <w:pPr>
        <w:spacing w:line="360" w:lineRule="auto"/>
        <w:ind w:left="1416"/>
        <w:jc w:val="both"/>
        <w:rPr>
          <w:rFonts w:ascii="Palatino Linotype" w:hAnsi="Palatino Linotype"/>
          <w:i/>
          <w:sz w:val="24"/>
          <w:szCs w:val="24"/>
        </w:rPr>
      </w:pPr>
      <w:r w:rsidRPr="003B48D1">
        <w:rPr>
          <w:rFonts w:ascii="Palatino Linotype" w:hAnsi="Palatino Linotype"/>
          <w:i/>
        </w:rPr>
        <w:t>VI. Apoyar y coordinar la elaboración de estudios, proyectos y programas necesarios para la realización de nuevas obras de infraestructura hidráulica que presente la comunidad;</w:t>
      </w:r>
    </w:p>
    <w:p w14:paraId="31C80572" w14:textId="77777777" w:rsidR="003B48D1" w:rsidRDefault="003B48D1" w:rsidP="003B48D1">
      <w:pPr>
        <w:spacing w:line="360" w:lineRule="auto"/>
        <w:jc w:val="both"/>
        <w:rPr>
          <w:rFonts w:ascii="Palatino Linotype" w:hAnsi="Palatino Linotype"/>
          <w:sz w:val="24"/>
          <w:szCs w:val="24"/>
        </w:rPr>
      </w:pPr>
    </w:p>
    <w:p w14:paraId="6185BB02" w14:textId="77777777" w:rsidR="00D07F6F" w:rsidRPr="00D07F6F" w:rsidRDefault="00D07F6F" w:rsidP="00D14342">
      <w:pPr>
        <w:spacing w:line="360" w:lineRule="auto"/>
        <w:jc w:val="both"/>
        <w:rPr>
          <w:rFonts w:ascii="Palatino Linotype" w:hAnsi="Palatino Linotype"/>
          <w:i/>
        </w:rPr>
      </w:pPr>
      <w:r w:rsidRPr="00D07F6F">
        <w:rPr>
          <w:rFonts w:ascii="Palatino Linotype" w:hAnsi="Palatino Linotype"/>
          <w:b/>
          <w:i/>
        </w:rPr>
        <w:t>Artículo 66</w:t>
      </w:r>
      <w:r w:rsidRPr="00D07F6F">
        <w:rPr>
          <w:rFonts w:ascii="Palatino Linotype" w:hAnsi="Palatino Linotype"/>
          <w:i/>
        </w:rPr>
        <w:t>.- La Dirección de Administración y Finanzas, estará a cargo de un titular, a quien se le denominará Director de Administración y Finanzas, quien responderá directamente del desempeño de sus funciones ante el Director General y quien tendrá las siguientes atribuciones y facultades relativas a su cargo:</w:t>
      </w:r>
    </w:p>
    <w:p w14:paraId="62641856" w14:textId="77777777" w:rsidR="00D07F6F" w:rsidRPr="00D07F6F" w:rsidRDefault="00D07F6F" w:rsidP="00D07F6F">
      <w:pPr>
        <w:spacing w:line="360" w:lineRule="auto"/>
        <w:ind w:left="708"/>
        <w:jc w:val="both"/>
        <w:rPr>
          <w:rFonts w:ascii="Palatino Linotype" w:hAnsi="Palatino Linotype"/>
          <w:i/>
        </w:rPr>
      </w:pPr>
      <w:r w:rsidRPr="00D07F6F">
        <w:rPr>
          <w:rFonts w:ascii="Palatino Linotype" w:hAnsi="Palatino Linotype"/>
          <w:i/>
        </w:rPr>
        <w:t>…</w:t>
      </w:r>
    </w:p>
    <w:p w14:paraId="35068890" w14:textId="77777777" w:rsidR="00D07F6F" w:rsidRPr="00770CAE" w:rsidRDefault="00D07F6F" w:rsidP="00D07F6F">
      <w:pPr>
        <w:spacing w:line="360" w:lineRule="auto"/>
        <w:ind w:left="708"/>
        <w:jc w:val="both"/>
        <w:rPr>
          <w:rFonts w:ascii="Palatino Linotype" w:hAnsi="Palatino Linotype"/>
          <w:i/>
          <w:u w:val="single"/>
        </w:rPr>
      </w:pPr>
      <w:r w:rsidRPr="00D07F6F">
        <w:rPr>
          <w:rFonts w:ascii="Palatino Linotype" w:hAnsi="Palatino Linotype"/>
          <w:i/>
        </w:rPr>
        <w:t xml:space="preserve">III. Integrar y elaborar a través de la Gerencia de Finanzas, auxiliada por la Subgerencia de Contabilidad; y presentar al Comisario y al Consejo Directivo, por conducto directo del Director General, así como al Órgano Superior de Fiscalización del Estado de México, </w:t>
      </w:r>
      <w:r w:rsidRPr="00770CAE">
        <w:rPr>
          <w:rFonts w:ascii="Palatino Linotype" w:hAnsi="Palatino Linotype"/>
          <w:i/>
          <w:u w:val="single"/>
        </w:rPr>
        <w:t xml:space="preserve">el Presupuesto de </w:t>
      </w:r>
      <w:r w:rsidRPr="00770CAE">
        <w:rPr>
          <w:rFonts w:ascii="Palatino Linotype" w:hAnsi="Palatino Linotype"/>
          <w:i/>
          <w:u w:val="single"/>
        </w:rPr>
        <w:lastRenderedPageBreak/>
        <w:t>Ingresos y Egresos y la modificación y/o modificaciones a los mismos para la autorización de cada ejercicio fiscal;</w:t>
      </w:r>
    </w:p>
    <w:p w14:paraId="56B1D6AD" w14:textId="77777777" w:rsidR="00D07F6F" w:rsidRPr="00D07F6F" w:rsidRDefault="00D07F6F" w:rsidP="00D07F6F">
      <w:pPr>
        <w:spacing w:line="360" w:lineRule="auto"/>
        <w:ind w:left="708"/>
        <w:jc w:val="both"/>
        <w:rPr>
          <w:rFonts w:ascii="Palatino Linotype" w:hAnsi="Palatino Linotype"/>
          <w:i/>
        </w:rPr>
      </w:pPr>
      <w:r w:rsidRPr="00D07F6F">
        <w:rPr>
          <w:rFonts w:ascii="Palatino Linotype" w:hAnsi="Palatino Linotype"/>
          <w:i/>
        </w:rPr>
        <w:t>..</w:t>
      </w:r>
    </w:p>
    <w:p w14:paraId="7F8586EE" w14:textId="77777777" w:rsidR="00D07F6F" w:rsidRPr="00D07F6F" w:rsidRDefault="00D07F6F" w:rsidP="00D07F6F">
      <w:pPr>
        <w:spacing w:line="360" w:lineRule="auto"/>
        <w:ind w:left="708"/>
        <w:jc w:val="both"/>
        <w:rPr>
          <w:rFonts w:ascii="Palatino Linotype" w:hAnsi="Palatino Linotype"/>
          <w:i/>
        </w:rPr>
      </w:pPr>
      <w:r w:rsidRPr="00D07F6F">
        <w:rPr>
          <w:rFonts w:ascii="Palatino Linotype" w:hAnsi="Palatino Linotype"/>
          <w:i/>
        </w:rPr>
        <w:t xml:space="preserve">VI. Vigilar y constatar que la Gerencia de Administración, auxiliada por la Subgerencia de Recursos Materiales, llevé a cabo los procedimientos de adquisición de los bienes y servicios y contratación de la obra pública, que las áreas administrativas requieran para la continuidad de sus actividades, de conformidad a la normatividad aplicable y el marco jurídico aplicable; </w:t>
      </w:r>
    </w:p>
    <w:p w14:paraId="409661BB" w14:textId="77777777" w:rsidR="00D07F6F" w:rsidRDefault="00D07F6F" w:rsidP="00D07F6F">
      <w:pPr>
        <w:spacing w:line="360" w:lineRule="auto"/>
        <w:ind w:left="708"/>
        <w:jc w:val="both"/>
        <w:rPr>
          <w:rFonts w:ascii="Palatino Linotype" w:hAnsi="Palatino Linotype"/>
          <w:i/>
        </w:rPr>
      </w:pPr>
      <w:r w:rsidRPr="00D07F6F">
        <w:rPr>
          <w:rFonts w:ascii="Palatino Linotype" w:hAnsi="Palatino Linotype"/>
          <w:i/>
        </w:rPr>
        <w:t>VII. Vigilar y constatar que la Gerencia de Finanzas, auxiliada por la Subgerencia de Tesorería cumpla con los Lineamientos Mínimos de Control Financiero Municipal establecidos por el OSFEM;</w:t>
      </w:r>
    </w:p>
    <w:p w14:paraId="643013C8" w14:textId="77777777" w:rsidR="00D07F6F" w:rsidRPr="00764B52" w:rsidRDefault="00D07F6F" w:rsidP="00D07F6F">
      <w:pPr>
        <w:spacing w:line="360" w:lineRule="auto"/>
        <w:ind w:left="708"/>
        <w:jc w:val="both"/>
        <w:rPr>
          <w:rFonts w:ascii="Palatino Linotype" w:hAnsi="Palatino Linotype"/>
          <w:i/>
        </w:rPr>
      </w:pPr>
      <w:r w:rsidRPr="00764B52">
        <w:rPr>
          <w:rFonts w:ascii="Palatino Linotype" w:hAnsi="Palatino Linotype"/>
          <w:i/>
        </w:rPr>
        <w:t>…</w:t>
      </w:r>
    </w:p>
    <w:p w14:paraId="2373B91F" w14:textId="77777777" w:rsidR="00D07F6F" w:rsidRPr="00764B52" w:rsidRDefault="00D07F6F" w:rsidP="00764B52">
      <w:pPr>
        <w:spacing w:line="360" w:lineRule="auto"/>
        <w:ind w:left="708"/>
        <w:jc w:val="both"/>
        <w:rPr>
          <w:rFonts w:ascii="Palatino Linotype" w:hAnsi="Palatino Linotype"/>
          <w:i/>
        </w:rPr>
      </w:pPr>
      <w:r w:rsidRPr="00764B52">
        <w:rPr>
          <w:rFonts w:ascii="Palatino Linotype" w:hAnsi="Palatino Linotype"/>
          <w:i/>
        </w:rPr>
        <w:t>XII. Suscribir los contratos para la prestación de servicios, obra pública y adquisición de bienes, propuestos por la Gerencia de Administración a través de la Subgerencia de Recursos Materiales, Recursos Humanos, según el caso;</w:t>
      </w:r>
    </w:p>
    <w:p w14:paraId="2991AF75" w14:textId="77777777" w:rsidR="00764B52" w:rsidRPr="00764B52" w:rsidRDefault="00764B52" w:rsidP="00764B52">
      <w:pPr>
        <w:spacing w:line="360" w:lineRule="auto"/>
        <w:ind w:left="708"/>
        <w:jc w:val="both"/>
        <w:rPr>
          <w:rFonts w:ascii="Palatino Linotype" w:hAnsi="Palatino Linotype"/>
          <w:i/>
        </w:rPr>
      </w:pPr>
      <w:r w:rsidRPr="00764B52">
        <w:rPr>
          <w:rFonts w:ascii="Palatino Linotype" w:hAnsi="Palatino Linotype"/>
          <w:i/>
        </w:rPr>
        <w:t>…</w:t>
      </w:r>
    </w:p>
    <w:p w14:paraId="5504E322" w14:textId="77777777" w:rsidR="00764B52" w:rsidRDefault="00764B52" w:rsidP="00764B52">
      <w:pPr>
        <w:spacing w:line="360" w:lineRule="auto"/>
        <w:ind w:left="708"/>
        <w:jc w:val="both"/>
        <w:rPr>
          <w:rFonts w:ascii="Palatino Linotype" w:hAnsi="Palatino Linotype"/>
          <w:i/>
        </w:rPr>
      </w:pPr>
      <w:r w:rsidRPr="00764B52">
        <w:rPr>
          <w:rFonts w:ascii="Palatino Linotype" w:hAnsi="Palatino Linotype"/>
          <w:i/>
        </w:rPr>
        <w:t>XIV. Suscribir los contratos y convenios emanados de los Comités de Adquisiciones de Bienes y Servicios; Arrendamientos, Adquisiciones de Inmuebles y Enajenaciones, Bienes Muebles e Inmuebles y de Obra Pública;</w:t>
      </w:r>
    </w:p>
    <w:p w14:paraId="378A8211" w14:textId="77777777" w:rsidR="00764B52" w:rsidRDefault="00764B52" w:rsidP="00764B52">
      <w:pPr>
        <w:spacing w:line="360" w:lineRule="auto"/>
        <w:ind w:left="708"/>
        <w:jc w:val="both"/>
        <w:rPr>
          <w:rFonts w:ascii="Palatino Linotype" w:hAnsi="Palatino Linotype"/>
          <w:i/>
        </w:rPr>
      </w:pPr>
      <w:r>
        <w:rPr>
          <w:rFonts w:ascii="Palatino Linotype" w:hAnsi="Palatino Linotype"/>
          <w:i/>
        </w:rPr>
        <w:t>…</w:t>
      </w:r>
    </w:p>
    <w:p w14:paraId="57ACA389" w14:textId="77777777" w:rsidR="00764B52" w:rsidRPr="00764B52" w:rsidRDefault="00764B52" w:rsidP="00764B52">
      <w:pPr>
        <w:spacing w:line="360" w:lineRule="auto"/>
        <w:ind w:left="708"/>
        <w:jc w:val="both"/>
        <w:rPr>
          <w:rFonts w:ascii="Palatino Linotype" w:hAnsi="Palatino Linotype"/>
          <w:i/>
        </w:rPr>
      </w:pPr>
      <w:r w:rsidRPr="00764B52">
        <w:rPr>
          <w:rFonts w:ascii="Palatino Linotype" w:hAnsi="Palatino Linotype"/>
          <w:i/>
        </w:rPr>
        <w:lastRenderedPageBreak/>
        <w:t>XVI. Proponer e implementar estrategias tendientes a optimizar los recursos financieros y materiales para la prestación de los servicios del Organismo;</w:t>
      </w:r>
    </w:p>
    <w:p w14:paraId="150AA50D" w14:textId="77777777" w:rsidR="00B2301B" w:rsidRDefault="00B2301B" w:rsidP="00B2301B">
      <w:pPr>
        <w:spacing w:line="360" w:lineRule="auto"/>
        <w:jc w:val="both"/>
        <w:rPr>
          <w:rFonts w:ascii="Palatino Linotype" w:hAnsi="Palatino Linotype"/>
          <w:sz w:val="24"/>
          <w:szCs w:val="24"/>
        </w:rPr>
      </w:pPr>
    </w:p>
    <w:p w14:paraId="546A94E0" w14:textId="77777777" w:rsidR="00F9284F" w:rsidRPr="00F9284F" w:rsidRDefault="00B2301B" w:rsidP="00F9284F">
      <w:pPr>
        <w:spacing w:line="360" w:lineRule="auto"/>
        <w:jc w:val="both"/>
        <w:rPr>
          <w:rFonts w:ascii="Palatino Linotype" w:hAnsi="Palatino Linotype"/>
          <w:sz w:val="24"/>
          <w:szCs w:val="24"/>
        </w:rPr>
      </w:pPr>
      <w:r w:rsidRPr="00B2301B">
        <w:rPr>
          <w:rFonts w:ascii="Palatino Linotype" w:hAnsi="Palatino Linotype"/>
          <w:sz w:val="24"/>
          <w:szCs w:val="24"/>
        </w:rPr>
        <w:t>Entonces</w:t>
      </w:r>
      <w:r w:rsidR="00F9284F">
        <w:rPr>
          <w:rFonts w:ascii="Palatino Linotype" w:hAnsi="Palatino Linotype"/>
          <w:sz w:val="24"/>
          <w:szCs w:val="24"/>
        </w:rPr>
        <w:t xml:space="preserve"> se debe precisar que la Gerencia de Finanzas estará a cargo del registro contable así como del presupuesto, la cual para el cumplimiento de sus atribuciones tendrá  a su cargo la sugerencia denominada </w:t>
      </w:r>
      <w:r w:rsidR="00F9284F" w:rsidRPr="00F9284F">
        <w:rPr>
          <w:rFonts w:ascii="Palatino Linotype" w:hAnsi="Palatino Linotype"/>
          <w:sz w:val="24"/>
          <w:szCs w:val="24"/>
        </w:rPr>
        <w:t>Subgerencia de Contabilidad</w:t>
      </w:r>
      <w:r w:rsidR="00F9284F">
        <w:rPr>
          <w:rFonts w:ascii="Palatino Linotype" w:hAnsi="Palatino Linotype"/>
          <w:sz w:val="24"/>
          <w:szCs w:val="24"/>
        </w:rPr>
        <w:t xml:space="preserve"> y </w:t>
      </w:r>
      <w:r w:rsidR="00F9284F" w:rsidRPr="00F9284F">
        <w:rPr>
          <w:rFonts w:ascii="Palatino Linotype" w:hAnsi="Palatino Linotype"/>
          <w:sz w:val="24"/>
          <w:szCs w:val="24"/>
        </w:rPr>
        <w:t>Subgerencia de Tesorería</w:t>
      </w:r>
      <w:r w:rsidR="00F9284F">
        <w:rPr>
          <w:rFonts w:ascii="Palatino Linotype" w:hAnsi="Palatino Linotype"/>
          <w:sz w:val="24"/>
          <w:szCs w:val="24"/>
        </w:rPr>
        <w:t>, la primera teniendo entre sus atribuciones e</w:t>
      </w:r>
      <w:r w:rsidR="00F9284F" w:rsidRPr="00F9284F">
        <w:rPr>
          <w:rFonts w:ascii="Palatino Linotype" w:hAnsi="Palatino Linotype"/>
          <w:sz w:val="24"/>
          <w:szCs w:val="24"/>
        </w:rPr>
        <w:t>mitir mensualmente los estados financieros, de acuerdo con lo establecido por la Ley General de Contabilidad Gubernamental y disposiciones del OSFEM</w:t>
      </w:r>
      <w:r w:rsidR="00F9284F">
        <w:rPr>
          <w:rFonts w:ascii="Palatino Linotype" w:hAnsi="Palatino Linotype"/>
          <w:sz w:val="24"/>
          <w:szCs w:val="24"/>
        </w:rPr>
        <w:t xml:space="preserve"> y respecto la </w:t>
      </w:r>
      <w:r w:rsidR="00F9284F" w:rsidRPr="00F9284F">
        <w:rPr>
          <w:rFonts w:ascii="Palatino Linotype" w:hAnsi="Palatino Linotype"/>
          <w:sz w:val="24"/>
          <w:szCs w:val="24"/>
        </w:rPr>
        <w:t>Subgerencia de Tesorería</w:t>
      </w:r>
      <w:r w:rsidR="00F9284F">
        <w:rPr>
          <w:rFonts w:ascii="Palatino Linotype" w:hAnsi="Palatino Linotype"/>
          <w:sz w:val="24"/>
          <w:szCs w:val="24"/>
        </w:rPr>
        <w:t xml:space="preserve">  la administración de</w:t>
      </w:r>
      <w:r w:rsidR="00F9284F" w:rsidRPr="00F9284F">
        <w:rPr>
          <w:rFonts w:ascii="Palatino Linotype" w:hAnsi="Palatino Linotype"/>
          <w:sz w:val="24"/>
          <w:szCs w:val="24"/>
        </w:rPr>
        <w:t xml:space="preserve"> la </w:t>
      </w:r>
      <w:r w:rsidR="00F9284F">
        <w:rPr>
          <w:rFonts w:ascii="Palatino Linotype" w:hAnsi="Palatino Linotype"/>
          <w:sz w:val="24"/>
          <w:szCs w:val="24"/>
        </w:rPr>
        <w:t>hacienda pública del Organismo, p</w:t>
      </w:r>
      <w:r w:rsidR="00F9284F" w:rsidRPr="00F9284F">
        <w:rPr>
          <w:rFonts w:ascii="Palatino Linotype" w:hAnsi="Palatino Linotype"/>
          <w:sz w:val="24"/>
          <w:szCs w:val="24"/>
        </w:rPr>
        <w:t xml:space="preserve">lanear, presupuestar, controlar y custodiar los recursos financieros del Organismo, </w:t>
      </w:r>
      <w:r w:rsidR="00F9284F" w:rsidRPr="00F9284F">
        <w:rPr>
          <w:rFonts w:ascii="Palatino Linotype" w:hAnsi="Palatino Linotype"/>
          <w:sz w:val="24"/>
          <w:szCs w:val="24"/>
          <w:u w:val="single"/>
        </w:rPr>
        <w:t>promoviendo y registrando la recaudación de los ingresos, así como la elaboración y supervisión de la póliza diaria de ingresos, y el reporte diario, semanal y anual</w:t>
      </w:r>
      <w:r w:rsidR="00F9284F">
        <w:rPr>
          <w:rFonts w:ascii="Palatino Linotype" w:hAnsi="Palatino Linotype"/>
          <w:sz w:val="24"/>
          <w:szCs w:val="24"/>
          <w:u w:val="single"/>
        </w:rPr>
        <w:t xml:space="preserve">, </w:t>
      </w:r>
      <w:r w:rsidR="00F9284F">
        <w:rPr>
          <w:rFonts w:ascii="Palatino Linotype" w:hAnsi="Palatino Linotype"/>
          <w:sz w:val="24"/>
          <w:szCs w:val="24"/>
        </w:rPr>
        <w:t xml:space="preserve"> en los términos siguientes; </w:t>
      </w:r>
    </w:p>
    <w:p w14:paraId="17DE3536" w14:textId="77777777" w:rsidR="00764B52" w:rsidRPr="00770CAE" w:rsidRDefault="00770CAE" w:rsidP="00764B52">
      <w:pPr>
        <w:spacing w:line="360" w:lineRule="auto"/>
        <w:ind w:left="708"/>
        <w:jc w:val="both"/>
        <w:rPr>
          <w:rFonts w:ascii="Palatino Linotype" w:hAnsi="Palatino Linotype"/>
          <w:i/>
        </w:rPr>
      </w:pPr>
      <w:r w:rsidRPr="00770CAE">
        <w:rPr>
          <w:rFonts w:ascii="Palatino Linotype" w:hAnsi="Palatino Linotype"/>
          <w:b/>
          <w:i/>
        </w:rPr>
        <w:t>Artículo 73.-</w:t>
      </w:r>
      <w:r w:rsidRPr="00770CAE">
        <w:rPr>
          <w:rFonts w:ascii="Palatino Linotype" w:hAnsi="Palatino Linotype"/>
          <w:i/>
        </w:rPr>
        <w:t xml:space="preserve"> La Gerencia de Finanzas, estará a cargo de un titular, a quien se le denominará Gerente de Finanzas, quien responderá directamente del desempeño de sus funciones ante el Director de Administración y Finanzas y quien tendrá las siguientes atribuciones y facultades relativas a su cargo:</w:t>
      </w:r>
    </w:p>
    <w:p w14:paraId="42AC184E" w14:textId="77777777" w:rsidR="00770CAE" w:rsidRPr="00F9284F" w:rsidRDefault="00770CAE" w:rsidP="00F9284F">
      <w:pPr>
        <w:spacing w:line="360" w:lineRule="auto"/>
        <w:ind w:left="1416"/>
        <w:jc w:val="both"/>
        <w:rPr>
          <w:rFonts w:ascii="Palatino Linotype" w:hAnsi="Palatino Linotype"/>
          <w:i/>
        </w:rPr>
      </w:pPr>
      <w:r w:rsidRPr="00770CAE">
        <w:rPr>
          <w:rFonts w:ascii="Palatino Linotype" w:hAnsi="Palatino Linotype"/>
          <w:i/>
        </w:rPr>
        <w:t>III. Integrar el registro contable del ejercicio, así como del presupuesto conforme a las disposiciones aplicables;</w:t>
      </w:r>
    </w:p>
    <w:p w14:paraId="5F2D514F" w14:textId="77777777" w:rsidR="00770CAE" w:rsidRPr="00770CAE" w:rsidRDefault="00770CAE" w:rsidP="00770CAE">
      <w:pPr>
        <w:spacing w:line="360" w:lineRule="auto"/>
        <w:ind w:left="708"/>
        <w:jc w:val="both"/>
        <w:rPr>
          <w:rFonts w:ascii="Palatino Linotype" w:hAnsi="Palatino Linotype"/>
          <w:i/>
        </w:rPr>
      </w:pPr>
      <w:r w:rsidRPr="00770CAE">
        <w:rPr>
          <w:rFonts w:ascii="Palatino Linotype" w:hAnsi="Palatino Linotype"/>
          <w:b/>
          <w:i/>
        </w:rPr>
        <w:t>Artículo 74.-</w:t>
      </w:r>
      <w:r w:rsidRPr="00770CAE">
        <w:rPr>
          <w:rFonts w:ascii="Palatino Linotype" w:hAnsi="Palatino Linotype"/>
          <w:i/>
        </w:rPr>
        <w:t xml:space="preserve"> La Gerencia de Finanzas para el ejercicio de sus atribuciones, contará con las siguientes Subgerencias que le estarán subordinadas jerárquicamente: </w:t>
      </w:r>
    </w:p>
    <w:p w14:paraId="68952FE5" w14:textId="77777777" w:rsidR="00770CAE" w:rsidRPr="00770CAE" w:rsidRDefault="00770CAE" w:rsidP="00770CAE">
      <w:pPr>
        <w:pStyle w:val="Prrafodelista"/>
        <w:numPr>
          <w:ilvl w:val="0"/>
          <w:numId w:val="11"/>
        </w:numPr>
        <w:spacing w:line="360" w:lineRule="auto"/>
        <w:jc w:val="both"/>
        <w:rPr>
          <w:rFonts w:ascii="Palatino Linotype" w:hAnsi="Palatino Linotype"/>
          <w:i/>
        </w:rPr>
      </w:pPr>
      <w:r w:rsidRPr="00770CAE">
        <w:rPr>
          <w:rFonts w:ascii="Palatino Linotype" w:hAnsi="Palatino Linotype"/>
          <w:i/>
        </w:rPr>
        <w:lastRenderedPageBreak/>
        <w:t xml:space="preserve">Subgerencia de Contabilidad; y  </w:t>
      </w:r>
    </w:p>
    <w:p w14:paraId="3E5B491F" w14:textId="77777777" w:rsidR="00770CAE" w:rsidRPr="00F9284F" w:rsidRDefault="00770CAE" w:rsidP="00BE1514">
      <w:pPr>
        <w:pStyle w:val="Prrafodelista"/>
        <w:numPr>
          <w:ilvl w:val="0"/>
          <w:numId w:val="11"/>
        </w:numPr>
        <w:spacing w:line="360" w:lineRule="auto"/>
        <w:jc w:val="both"/>
        <w:rPr>
          <w:rFonts w:ascii="Palatino Linotype" w:hAnsi="Palatino Linotype"/>
          <w:i/>
          <w:sz w:val="24"/>
          <w:szCs w:val="24"/>
        </w:rPr>
      </w:pPr>
      <w:r w:rsidRPr="00770CAE">
        <w:rPr>
          <w:rFonts w:ascii="Palatino Linotype" w:hAnsi="Palatino Linotype"/>
          <w:i/>
        </w:rPr>
        <w:t>Subgerencia de Tesorería.</w:t>
      </w:r>
    </w:p>
    <w:p w14:paraId="4F10F770" w14:textId="77777777" w:rsidR="00F9284F" w:rsidRDefault="00F9284F" w:rsidP="00770CAE">
      <w:pPr>
        <w:spacing w:line="360" w:lineRule="auto"/>
        <w:ind w:left="708"/>
        <w:jc w:val="both"/>
        <w:rPr>
          <w:rFonts w:ascii="Palatino Linotype" w:hAnsi="Palatino Linotype"/>
          <w:b/>
          <w:i/>
        </w:rPr>
      </w:pPr>
    </w:p>
    <w:p w14:paraId="58F160F9" w14:textId="77777777" w:rsidR="00770CAE" w:rsidRPr="00770CAE" w:rsidRDefault="00770CAE" w:rsidP="00770CAE">
      <w:pPr>
        <w:spacing w:line="360" w:lineRule="auto"/>
        <w:ind w:left="708"/>
        <w:jc w:val="both"/>
        <w:rPr>
          <w:rFonts w:ascii="Palatino Linotype" w:hAnsi="Palatino Linotype"/>
          <w:i/>
        </w:rPr>
      </w:pPr>
      <w:r w:rsidRPr="00770CAE">
        <w:rPr>
          <w:rFonts w:ascii="Palatino Linotype" w:hAnsi="Palatino Linotype"/>
          <w:b/>
          <w:i/>
        </w:rPr>
        <w:t>Artículo 75.-</w:t>
      </w:r>
      <w:r w:rsidRPr="00770CAE">
        <w:rPr>
          <w:rFonts w:ascii="Palatino Linotype" w:hAnsi="Palatino Linotype"/>
          <w:i/>
        </w:rPr>
        <w:t xml:space="preserve"> La Subgerencia de Contabilidad, estará a cargo de un titular, a quien se le denominará Subgerente de Contabilidad, quien responderá directamente del desempeño de sus funciones ante la Gerencia de Finanzas y quien tendrá las siguientes atribuciones y facultades relativas a su cargo:</w:t>
      </w:r>
    </w:p>
    <w:p w14:paraId="3F220FC4" w14:textId="77777777" w:rsidR="00770CAE" w:rsidRPr="00770CAE" w:rsidRDefault="00770CAE" w:rsidP="00770CAE">
      <w:pPr>
        <w:spacing w:line="360" w:lineRule="auto"/>
        <w:ind w:left="1416"/>
        <w:jc w:val="both"/>
        <w:rPr>
          <w:rFonts w:ascii="Palatino Linotype" w:hAnsi="Palatino Linotype"/>
          <w:i/>
          <w:sz w:val="24"/>
          <w:szCs w:val="24"/>
        </w:rPr>
      </w:pPr>
      <w:r w:rsidRPr="00770CAE">
        <w:rPr>
          <w:rFonts w:ascii="Palatino Linotype" w:hAnsi="Palatino Linotype"/>
          <w:i/>
        </w:rPr>
        <w:t>I. Emitir mensualmente los estados financieros, de acuerdo con lo establecido por la Ley General de Contabilidad Gubernamental y disposiciones del OSFEM;</w:t>
      </w:r>
    </w:p>
    <w:p w14:paraId="18C3ADD8" w14:textId="77777777" w:rsidR="00770CAE" w:rsidRDefault="00770CAE" w:rsidP="00770CAE">
      <w:pPr>
        <w:spacing w:line="360" w:lineRule="auto"/>
        <w:ind w:left="708"/>
        <w:jc w:val="both"/>
      </w:pPr>
    </w:p>
    <w:p w14:paraId="25F0F091" w14:textId="77777777" w:rsidR="00770CAE" w:rsidRPr="00B2301B" w:rsidRDefault="00770CAE" w:rsidP="00770CAE">
      <w:pPr>
        <w:spacing w:line="360" w:lineRule="auto"/>
        <w:ind w:left="708"/>
        <w:jc w:val="both"/>
        <w:rPr>
          <w:rFonts w:ascii="Palatino Linotype" w:hAnsi="Palatino Linotype"/>
          <w:i/>
        </w:rPr>
      </w:pPr>
      <w:r w:rsidRPr="00B2301B">
        <w:rPr>
          <w:rFonts w:ascii="Palatino Linotype" w:hAnsi="Palatino Linotype"/>
          <w:b/>
          <w:i/>
        </w:rPr>
        <w:t>Artículo 76.-</w:t>
      </w:r>
      <w:r w:rsidRPr="00B2301B">
        <w:rPr>
          <w:rFonts w:ascii="Palatino Linotype" w:hAnsi="Palatino Linotype"/>
          <w:i/>
        </w:rPr>
        <w:t xml:space="preserve"> La Subgerencia de Tesorería, estará a cargo de un titular, a quien se le denominará Subgerente de Tesorería, quien responderá directamente del desempeño de sus funciones ante la Gerencia de Finanzas y quien tendrá las siguientes atribuciones y facultades relativas a su cargo:</w:t>
      </w:r>
    </w:p>
    <w:p w14:paraId="2749ADE3" w14:textId="77777777" w:rsidR="00B2301B" w:rsidRPr="00B2301B" w:rsidRDefault="00B2301B" w:rsidP="00B2301B">
      <w:pPr>
        <w:spacing w:line="360" w:lineRule="auto"/>
        <w:ind w:left="1416"/>
        <w:jc w:val="both"/>
        <w:rPr>
          <w:rFonts w:ascii="Palatino Linotype" w:hAnsi="Palatino Linotype"/>
          <w:i/>
        </w:rPr>
      </w:pPr>
      <w:r w:rsidRPr="00B2301B">
        <w:rPr>
          <w:rFonts w:ascii="Palatino Linotype" w:hAnsi="Palatino Linotype"/>
          <w:i/>
        </w:rPr>
        <w:t>I. Administrar la hacienda pública del Organismo, de conformidad con las disposiciones legales aplicables;</w:t>
      </w:r>
    </w:p>
    <w:p w14:paraId="50A0B4AE" w14:textId="77777777" w:rsidR="00770CAE" w:rsidRPr="00B2301B" w:rsidRDefault="00B2301B" w:rsidP="00B2301B">
      <w:pPr>
        <w:spacing w:line="360" w:lineRule="auto"/>
        <w:ind w:left="1416"/>
        <w:jc w:val="both"/>
        <w:rPr>
          <w:rFonts w:ascii="Palatino Linotype" w:hAnsi="Palatino Linotype"/>
          <w:i/>
        </w:rPr>
      </w:pPr>
      <w:r w:rsidRPr="00B2301B">
        <w:rPr>
          <w:rFonts w:ascii="Palatino Linotype" w:hAnsi="Palatino Linotype"/>
          <w:i/>
        </w:rPr>
        <w:t xml:space="preserve"> II. Planear, presupuestar, controlar y custodiar los recursos financieros del Organismo, promoviendo y registrando la recaudación de los ingresos, de conformidad con las disposiciones legales aplicables;</w:t>
      </w:r>
    </w:p>
    <w:p w14:paraId="40406189" w14:textId="77777777" w:rsidR="00B2301B" w:rsidRPr="00B2301B" w:rsidRDefault="00B2301B" w:rsidP="00B2301B">
      <w:pPr>
        <w:spacing w:line="360" w:lineRule="auto"/>
        <w:ind w:left="1416"/>
        <w:jc w:val="both"/>
        <w:rPr>
          <w:rFonts w:ascii="Palatino Linotype" w:hAnsi="Palatino Linotype"/>
          <w:i/>
        </w:rPr>
      </w:pPr>
      <w:r w:rsidRPr="00B2301B">
        <w:rPr>
          <w:rFonts w:ascii="Palatino Linotype" w:hAnsi="Palatino Linotype"/>
          <w:i/>
        </w:rPr>
        <w:t>…</w:t>
      </w:r>
    </w:p>
    <w:p w14:paraId="00EA94F2" w14:textId="77777777" w:rsidR="00B2301B" w:rsidRPr="00CC79AA" w:rsidRDefault="00B2301B" w:rsidP="00CC79AA">
      <w:pPr>
        <w:spacing w:line="360" w:lineRule="auto"/>
        <w:ind w:left="1416"/>
        <w:jc w:val="both"/>
        <w:rPr>
          <w:rFonts w:ascii="Palatino Linotype" w:hAnsi="Palatino Linotype"/>
          <w:i/>
        </w:rPr>
      </w:pPr>
      <w:r w:rsidRPr="00B2301B">
        <w:rPr>
          <w:rFonts w:ascii="Palatino Linotype" w:hAnsi="Palatino Linotype"/>
          <w:i/>
        </w:rPr>
        <w:t>VIII. Elaborar y supervisar la póliza diaria de ingresos, y el reporte diario, semanal y anual;</w:t>
      </w:r>
    </w:p>
    <w:p w14:paraId="4260C907" w14:textId="77777777" w:rsidR="00CC79AA" w:rsidRDefault="00CC79AA" w:rsidP="00CC79AA">
      <w:pPr>
        <w:spacing w:line="360" w:lineRule="auto"/>
        <w:ind w:right="39"/>
        <w:jc w:val="both"/>
        <w:rPr>
          <w:rFonts w:ascii="Palatino Linotype" w:hAnsi="Palatino Linotype"/>
          <w:sz w:val="24"/>
          <w:szCs w:val="24"/>
        </w:rPr>
      </w:pPr>
      <w:r w:rsidRPr="00A04A65">
        <w:rPr>
          <w:rFonts w:ascii="Palatino Linotype" w:hAnsi="Palatino Linotype" w:cs="Arial"/>
          <w:sz w:val="24"/>
          <w:szCs w:val="24"/>
        </w:rPr>
        <w:lastRenderedPageBreak/>
        <w:t>De lo anterior, este Instituto advierte que</w:t>
      </w:r>
      <w:r w:rsidRPr="00C85101">
        <w:rPr>
          <w:rFonts w:ascii="Palatino Linotype" w:hAnsi="Palatino Linotype"/>
          <w:sz w:val="24"/>
          <w:szCs w:val="24"/>
        </w:rPr>
        <w:t xml:space="preserve"> </w:t>
      </w:r>
      <w:r>
        <w:rPr>
          <w:rFonts w:ascii="Palatino Linotype" w:hAnsi="Palatino Linotype"/>
          <w:sz w:val="24"/>
          <w:szCs w:val="24"/>
        </w:rPr>
        <w:t xml:space="preserve">la </w:t>
      </w:r>
      <w:r w:rsidRPr="00CC79AA">
        <w:rPr>
          <w:rFonts w:ascii="Palatino Linotype" w:hAnsi="Palatino Linotype"/>
          <w:sz w:val="24"/>
          <w:szCs w:val="24"/>
        </w:rPr>
        <w:t>Gerencia de Finanzas,</w:t>
      </w:r>
      <w:r>
        <w:rPr>
          <w:rFonts w:ascii="Palatino Linotype" w:hAnsi="Palatino Linotype"/>
          <w:sz w:val="24"/>
          <w:szCs w:val="24"/>
        </w:rPr>
        <w:t xml:space="preserve"> la</w:t>
      </w:r>
      <w:r w:rsidRPr="00CC79AA">
        <w:rPr>
          <w:rFonts w:ascii="Palatino Linotype" w:hAnsi="Palatino Linotype"/>
          <w:sz w:val="24"/>
          <w:szCs w:val="24"/>
        </w:rPr>
        <w:t xml:space="preserve"> Subgerencia de Contabilidad</w:t>
      </w:r>
      <w:r>
        <w:rPr>
          <w:rFonts w:ascii="Palatino Linotype" w:hAnsi="Palatino Linotype"/>
          <w:sz w:val="24"/>
          <w:szCs w:val="24"/>
        </w:rPr>
        <w:t xml:space="preserve"> y la </w:t>
      </w:r>
      <w:r w:rsidRPr="00CC79AA">
        <w:rPr>
          <w:rFonts w:ascii="Palatino Linotype" w:hAnsi="Palatino Linotype"/>
          <w:sz w:val="24"/>
          <w:szCs w:val="24"/>
        </w:rPr>
        <w:t>Subgerencia de Tesorería</w:t>
      </w:r>
      <w:r>
        <w:rPr>
          <w:rFonts w:ascii="Palatino Linotype" w:hAnsi="Palatino Linotype"/>
          <w:sz w:val="24"/>
          <w:szCs w:val="24"/>
        </w:rPr>
        <w:t xml:space="preserve"> no emitieron pronunciamiento respecto el requerimiento de información planteado por el Recurrente.</w:t>
      </w:r>
    </w:p>
    <w:p w14:paraId="160CE577" w14:textId="77777777" w:rsidR="00CC79AA" w:rsidRDefault="00CC79AA" w:rsidP="00CC79AA">
      <w:pPr>
        <w:spacing w:line="360" w:lineRule="auto"/>
        <w:ind w:right="39"/>
        <w:jc w:val="both"/>
        <w:rPr>
          <w:rFonts w:ascii="Palatino Linotype" w:hAnsi="Palatino Linotype"/>
          <w:sz w:val="24"/>
          <w:szCs w:val="24"/>
        </w:rPr>
      </w:pPr>
    </w:p>
    <w:p w14:paraId="07CBD5F5" w14:textId="77777777" w:rsidR="00CC79AA" w:rsidRPr="007126FE" w:rsidRDefault="00CC79AA" w:rsidP="00CC79AA">
      <w:pPr>
        <w:spacing w:line="360" w:lineRule="auto"/>
        <w:ind w:right="39"/>
        <w:jc w:val="both"/>
        <w:rPr>
          <w:rFonts w:ascii="Palatino Linotype" w:hAnsi="Palatino Linotype"/>
          <w:sz w:val="24"/>
          <w:szCs w:val="24"/>
        </w:rPr>
      </w:pPr>
      <w:r>
        <w:rPr>
          <w:rFonts w:ascii="Palatino Linotype" w:hAnsi="Palatino Linotype"/>
          <w:sz w:val="24"/>
          <w:szCs w:val="24"/>
        </w:rPr>
        <w:t xml:space="preserve"> </w:t>
      </w:r>
      <w:r>
        <w:rPr>
          <w:rFonts w:ascii="Palatino Linotype" w:hAnsi="Palatino Linotype" w:cs="Palatino Linotype"/>
          <w:color w:val="000000"/>
          <w:sz w:val="24"/>
          <w:szCs w:val="24"/>
          <w:lang w:val="es-ES_tradnl" w:eastAsia="es-MX"/>
        </w:rPr>
        <w:t xml:space="preserve">En este sentido, es de recordarse que </w:t>
      </w:r>
      <w:r w:rsidRPr="00BE6B27">
        <w:rPr>
          <w:rFonts w:ascii="Palatino Linotype" w:hAnsi="Palatino Linotype"/>
          <w:color w:val="000000" w:themeColor="text1"/>
          <w:sz w:val="24"/>
          <w:szCs w:val="24"/>
        </w:rPr>
        <w:t xml:space="preserve">los Sujetos Obligados contarán con un área denominada </w:t>
      </w:r>
      <w:r w:rsidRPr="00BE6B27">
        <w:rPr>
          <w:rFonts w:ascii="Palatino Linotype" w:hAnsi="Palatino Linotype"/>
          <w:b/>
          <w:bCs/>
          <w:color w:val="000000" w:themeColor="text1"/>
          <w:sz w:val="24"/>
          <w:szCs w:val="24"/>
        </w:rPr>
        <w:t>Unidad de Transparencia</w:t>
      </w:r>
      <w:r w:rsidRPr="00BE6B27">
        <w:rPr>
          <w:rFonts w:ascii="Palatino Linotype" w:hAnsi="Palatino Linotype"/>
          <w:color w:val="000000" w:themeColor="text1"/>
          <w:sz w:val="24"/>
          <w:szCs w:val="24"/>
          <w:vertAlign w:val="superscript"/>
        </w:rPr>
        <w:footnoteReference w:id="2"/>
      </w:r>
      <w:r w:rsidRPr="00BE6B27">
        <w:rPr>
          <w:rFonts w:ascii="Palatino Linotype" w:hAnsi="Palatino Linotype"/>
          <w:color w:val="000000" w:themeColor="text1"/>
          <w:sz w:val="24"/>
          <w:szCs w:val="24"/>
        </w:rPr>
        <w:t xml:space="preserve">, la cual será presidida por un Titular, quien fungirá como enlace entre éstos y los solicitantes. Dicha Unidad </w:t>
      </w:r>
      <w:r w:rsidRPr="00BE6B27">
        <w:rPr>
          <w:rFonts w:ascii="Palatino Linotype" w:hAnsi="Palatino Linotype"/>
          <w:b/>
          <w:bCs/>
          <w:color w:val="000000" w:themeColor="text1"/>
          <w:sz w:val="24"/>
          <w:szCs w:val="24"/>
        </w:rPr>
        <w:t>será la encargada de tramitar internamente la solicitud de información</w:t>
      </w:r>
      <w:r w:rsidRPr="00BE6B27">
        <w:rPr>
          <w:rFonts w:ascii="Palatino Linotype" w:hAnsi="Palatino Linotype"/>
          <w:color w:val="000000" w:themeColor="text1"/>
          <w:sz w:val="24"/>
          <w:szCs w:val="24"/>
        </w:rPr>
        <w:t xml:space="preserve"> y tendrá la alta responsabilidad de verificar, en cada caso, que la misma no sea confidencial o reservada. Asimismo, contará con las facultades internas necesarias para </w:t>
      </w:r>
      <w:r w:rsidRPr="00BE6B27">
        <w:rPr>
          <w:rFonts w:ascii="Palatino Linotype" w:hAnsi="Palatino Linotype"/>
          <w:b/>
          <w:bCs/>
          <w:color w:val="000000" w:themeColor="text1"/>
          <w:sz w:val="24"/>
          <w:szCs w:val="24"/>
        </w:rPr>
        <w:t>gestionar la atención a las solicitude</w:t>
      </w:r>
      <w:r>
        <w:rPr>
          <w:rFonts w:ascii="Palatino Linotype" w:hAnsi="Palatino Linotype"/>
          <w:b/>
          <w:bCs/>
          <w:color w:val="000000" w:themeColor="text1"/>
          <w:sz w:val="24"/>
          <w:szCs w:val="24"/>
        </w:rPr>
        <w:t>s de información.</w:t>
      </w:r>
    </w:p>
    <w:p w14:paraId="31DBD5AC" w14:textId="77777777" w:rsidR="00CC79AA" w:rsidRPr="00BE6B27" w:rsidRDefault="00CC79AA" w:rsidP="00CC79AA">
      <w:pPr>
        <w:pStyle w:val="Prrafodelista"/>
        <w:spacing w:line="360" w:lineRule="auto"/>
        <w:ind w:left="0"/>
        <w:jc w:val="both"/>
        <w:rPr>
          <w:rFonts w:ascii="Palatino Linotype" w:hAnsi="Palatino Linotype"/>
          <w:sz w:val="24"/>
          <w:szCs w:val="24"/>
        </w:rPr>
      </w:pPr>
    </w:p>
    <w:p w14:paraId="59A0EDC4" w14:textId="77777777" w:rsidR="00DD34EB" w:rsidRDefault="00CC79AA" w:rsidP="00CC79AA">
      <w:pPr>
        <w:pStyle w:val="Prrafodelista"/>
        <w:spacing w:line="360" w:lineRule="auto"/>
        <w:ind w:left="0"/>
        <w:jc w:val="both"/>
        <w:rPr>
          <w:rFonts w:ascii="Palatino Linotype" w:eastAsia="Palatino Linotype" w:hAnsi="Palatino Linotype" w:cs="Palatino Linotype"/>
          <w:color w:val="000000"/>
          <w:sz w:val="24"/>
          <w:szCs w:val="24"/>
        </w:rPr>
      </w:pPr>
      <w:r w:rsidRPr="00BE6B27">
        <w:rPr>
          <w:rFonts w:ascii="Palatino Linotype" w:hAnsi="Palatino Linotype"/>
          <w:sz w:val="24"/>
          <w:szCs w:val="24"/>
        </w:rPr>
        <w:t xml:space="preserve">De tal </w:t>
      </w:r>
      <w:r w:rsidRPr="00BE6B27">
        <w:rPr>
          <w:rFonts w:ascii="Palatino Linotype" w:eastAsia="MS Mincho" w:hAnsi="Palatino Linotype"/>
          <w:color w:val="000000"/>
          <w:sz w:val="24"/>
          <w:szCs w:val="24"/>
        </w:rPr>
        <w:t xml:space="preserve">manera que cada una de las áreas administrativas del </w:t>
      </w:r>
      <w:r w:rsidRPr="00BE6B27">
        <w:rPr>
          <w:rFonts w:ascii="Palatino Linotype" w:eastAsia="MS Mincho" w:hAnsi="Palatino Linotype"/>
          <w:b/>
          <w:bCs/>
          <w:color w:val="000000"/>
          <w:sz w:val="24"/>
          <w:szCs w:val="24"/>
        </w:rPr>
        <w:t>SUJETO OBLIGADO</w:t>
      </w:r>
      <w:r w:rsidRPr="00BE6B27">
        <w:rPr>
          <w:rFonts w:ascii="Palatino Linotype" w:eastAsia="MS Mincho" w:hAnsi="Palatino Linotype"/>
          <w:color w:val="000000"/>
          <w:sz w:val="24"/>
          <w:szCs w:val="24"/>
        </w:rPr>
        <w:t xml:space="preserve"> deberá contar con un servidor público habilitado, quien será, a su vez, el enlace entre la Unidad de Transparencia y el área administrativa, y se </w:t>
      </w:r>
      <w:r>
        <w:rPr>
          <w:rFonts w:ascii="Palatino Linotype" w:eastAsia="MS Mincho" w:hAnsi="Palatino Linotype"/>
          <w:color w:val="000000"/>
          <w:sz w:val="24"/>
          <w:szCs w:val="24"/>
        </w:rPr>
        <w:t xml:space="preserve"> </w:t>
      </w:r>
      <w:r w:rsidRPr="00BE6B27">
        <w:rPr>
          <w:rFonts w:ascii="Palatino Linotype" w:eastAsia="MS Mincho" w:hAnsi="Palatino Linotype"/>
          <w:color w:val="000000"/>
          <w:sz w:val="24"/>
          <w:szCs w:val="24"/>
        </w:rPr>
        <w:t>encargará de buscar, localizar y proporcionar la información que se requiera a través de las solicitudes de acceso a la información</w:t>
      </w:r>
      <w:r>
        <w:rPr>
          <w:rFonts w:eastAsia="MS Mincho"/>
          <w:color w:val="000000"/>
        </w:rPr>
        <w:t xml:space="preserve">.  </w:t>
      </w:r>
      <w:r w:rsidRPr="00130604">
        <w:rPr>
          <w:rFonts w:ascii="Palatino Linotype" w:eastAsia="Palatino Linotype" w:hAnsi="Palatino Linotype" w:cs="Palatino Linotype"/>
          <w:color w:val="000000"/>
          <w:sz w:val="24"/>
          <w:szCs w:val="24"/>
        </w:rPr>
        <w:t xml:space="preserve">Por lo que </w:t>
      </w:r>
      <w:r>
        <w:rPr>
          <w:rFonts w:ascii="Palatino Linotype" w:eastAsia="Palatino Linotype" w:hAnsi="Palatino Linotype" w:cs="Palatino Linotype"/>
          <w:color w:val="000000"/>
          <w:sz w:val="24"/>
          <w:szCs w:val="24"/>
        </w:rPr>
        <w:t>es de recordarse que la Titular de la Unidad de Transparencia cumplió con el procedimiento de recepción y turno de la solicitud de información sin embargo se reitera la omisión</w:t>
      </w:r>
      <w:r w:rsidR="00DD34EB">
        <w:rPr>
          <w:rFonts w:ascii="Palatino Linotype" w:hAnsi="Palatino Linotype"/>
          <w:sz w:val="24"/>
          <w:szCs w:val="24"/>
        </w:rPr>
        <w:t xml:space="preserve"> del  pronunciamiento</w:t>
      </w:r>
      <w:r w:rsidR="00DD34EB" w:rsidRPr="00CC79AA">
        <w:rPr>
          <w:rFonts w:ascii="Palatino Linotype" w:hAnsi="Palatino Linotype"/>
          <w:sz w:val="24"/>
          <w:szCs w:val="24"/>
        </w:rPr>
        <w:t xml:space="preserve"> </w:t>
      </w:r>
      <w:r w:rsidR="00DD34EB">
        <w:rPr>
          <w:rFonts w:ascii="Palatino Linotype" w:hAnsi="Palatino Linotype"/>
          <w:sz w:val="24"/>
          <w:szCs w:val="24"/>
        </w:rPr>
        <w:t xml:space="preserve">de la </w:t>
      </w:r>
      <w:r w:rsidR="00DD34EB" w:rsidRPr="00CC79AA">
        <w:rPr>
          <w:rFonts w:ascii="Palatino Linotype" w:hAnsi="Palatino Linotype"/>
          <w:sz w:val="24"/>
          <w:szCs w:val="24"/>
        </w:rPr>
        <w:t>Gerencia de Finanzas,</w:t>
      </w:r>
      <w:r w:rsidR="00DD34EB">
        <w:rPr>
          <w:rFonts w:ascii="Palatino Linotype" w:hAnsi="Palatino Linotype"/>
          <w:sz w:val="24"/>
          <w:szCs w:val="24"/>
        </w:rPr>
        <w:t xml:space="preserve"> la</w:t>
      </w:r>
      <w:r w:rsidR="00DD34EB" w:rsidRPr="00CC79AA">
        <w:rPr>
          <w:rFonts w:ascii="Palatino Linotype" w:hAnsi="Palatino Linotype"/>
          <w:sz w:val="24"/>
          <w:szCs w:val="24"/>
        </w:rPr>
        <w:t xml:space="preserve"> </w:t>
      </w:r>
      <w:r w:rsidR="00DD34EB" w:rsidRPr="00CC79AA">
        <w:rPr>
          <w:rFonts w:ascii="Palatino Linotype" w:hAnsi="Palatino Linotype"/>
          <w:sz w:val="24"/>
          <w:szCs w:val="24"/>
        </w:rPr>
        <w:lastRenderedPageBreak/>
        <w:t>Subgerencia de Contabilidad</w:t>
      </w:r>
      <w:r w:rsidR="00DD34EB">
        <w:rPr>
          <w:rFonts w:ascii="Palatino Linotype" w:hAnsi="Palatino Linotype"/>
          <w:sz w:val="24"/>
          <w:szCs w:val="24"/>
        </w:rPr>
        <w:t xml:space="preserve"> y la </w:t>
      </w:r>
      <w:r w:rsidR="00DD34EB" w:rsidRPr="00CC79AA">
        <w:rPr>
          <w:rFonts w:ascii="Palatino Linotype" w:hAnsi="Palatino Linotype"/>
          <w:sz w:val="24"/>
          <w:szCs w:val="24"/>
        </w:rPr>
        <w:t>Subgerencia de Tesorería</w:t>
      </w:r>
      <w:r w:rsidR="00DD34EB">
        <w:rPr>
          <w:rFonts w:ascii="Palatino Linotype" w:hAnsi="Palatino Linotype"/>
          <w:sz w:val="24"/>
          <w:szCs w:val="24"/>
        </w:rPr>
        <w:t xml:space="preserve"> pues se advierte que la solicitud de información únicamente fue turnada a la Dirección de Finanzas. </w:t>
      </w:r>
    </w:p>
    <w:p w14:paraId="0DCE6095" w14:textId="77777777" w:rsidR="00CC79AA" w:rsidRDefault="00CC79AA" w:rsidP="00CC79AA">
      <w:pPr>
        <w:pStyle w:val="Prrafodelista"/>
        <w:spacing w:line="360" w:lineRule="auto"/>
        <w:ind w:left="0"/>
        <w:jc w:val="both"/>
        <w:rPr>
          <w:rFonts w:ascii="Palatino Linotype" w:eastAsia="Palatino Linotype" w:hAnsi="Palatino Linotype" w:cs="Palatino Linotype"/>
          <w:color w:val="000000"/>
          <w:sz w:val="24"/>
          <w:szCs w:val="24"/>
        </w:rPr>
      </w:pPr>
    </w:p>
    <w:p w14:paraId="415BE894" w14:textId="77777777" w:rsidR="00DD34EB" w:rsidRDefault="00DD34EB" w:rsidP="00CC79AA">
      <w:pPr>
        <w:pStyle w:val="Prrafodelista"/>
        <w:spacing w:line="360" w:lineRule="auto"/>
        <w:ind w:left="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sentido este Instituto advierte que no se tiene por colmado el principio de </w:t>
      </w:r>
      <w:r w:rsidRPr="00130604">
        <w:rPr>
          <w:rFonts w:ascii="Palatino Linotype" w:eastAsia="Palatino Linotype" w:hAnsi="Palatino Linotype" w:cs="Palatino Linotype"/>
          <w:color w:val="000000"/>
          <w:sz w:val="24"/>
          <w:szCs w:val="24"/>
        </w:rPr>
        <w:t>exhaustiva de la información requerida</w:t>
      </w:r>
      <w:r>
        <w:rPr>
          <w:rFonts w:ascii="Palatino Linotype" w:eastAsia="Palatino Linotype" w:hAnsi="Palatino Linotype" w:cs="Palatino Linotype"/>
          <w:color w:val="000000"/>
          <w:sz w:val="24"/>
          <w:szCs w:val="24"/>
        </w:rPr>
        <w:t xml:space="preserve"> pues al no ser turnada la solicitud de información a todas las unidades administrativas que por sus atribuciones puedan poseer, generar y administrar la información como lo son en el presente caso </w:t>
      </w:r>
      <w:r>
        <w:rPr>
          <w:rFonts w:ascii="Palatino Linotype" w:hAnsi="Palatino Linotype"/>
          <w:sz w:val="24"/>
          <w:szCs w:val="24"/>
        </w:rPr>
        <w:t xml:space="preserve">la </w:t>
      </w:r>
      <w:r w:rsidRPr="00CC79AA">
        <w:rPr>
          <w:rFonts w:ascii="Palatino Linotype" w:hAnsi="Palatino Linotype"/>
          <w:sz w:val="24"/>
          <w:szCs w:val="24"/>
        </w:rPr>
        <w:t>Gerencia de Finanzas,</w:t>
      </w:r>
      <w:r>
        <w:rPr>
          <w:rFonts w:ascii="Palatino Linotype" w:hAnsi="Palatino Linotype"/>
          <w:sz w:val="24"/>
          <w:szCs w:val="24"/>
        </w:rPr>
        <w:t xml:space="preserve"> la</w:t>
      </w:r>
      <w:r w:rsidRPr="00CC79AA">
        <w:rPr>
          <w:rFonts w:ascii="Palatino Linotype" w:hAnsi="Palatino Linotype"/>
          <w:sz w:val="24"/>
          <w:szCs w:val="24"/>
        </w:rPr>
        <w:t xml:space="preserve"> Subgerencia de Contabilidad</w:t>
      </w:r>
      <w:r>
        <w:rPr>
          <w:rFonts w:ascii="Palatino Linotype" w:hAnsi="Palatino Linotype"/>
          <w:sz w:val="24"/>
          <w:szCs w:val="24"/>
        </w:rPr>
        <w:t xml:space="preserve"> y la </w:t>
      </w:r>
      <w:r w:rsidRPr="00CC79AA">
        <w:rPr>
          <w:rFonts w:ascii="Palatino Linotype" w:hAnsi="Palatino Linotype"/>
          <w:sz w:val="24"/>
          <w:szCs w:val="24"/>
        </w:rPr>
        <w:t>Subgerencia de Tesorerí</w:t>
      </w:r>
      <w:r>
        <w:rPr>
          <w:rFonts w:ascii="Palatino Linotype" w:hAnsi="Palatino Linotype"/>
          <w:sz w:val="24"/>
          <w:szCs w:val="24"/>
        </w:rPr>
        <w:t>a.</w:t>
      </w:r>
    </w:p>
    <w:p w14:paraId="7DF6554C" w14:textId="77777777" w:rsidR="00CC79AA" w:rsidRDefault="00CC79AA" w:rsidP="00CC79AA">
      <w:pPr>
        <w:pStyle w:val="Prrafodelista"/>
        <w:spacing w:line="360" w:lineRule="auto"/>
        <w:ind w:left="0"/>
        <w:jc w:val="both"/>
        <w:rPr>
          <w:rFonts w:ascii="Palatino Linotype" w:eastAsia="Palatino Linotype" w:hAnsi="Palatino Linotype" w:cs="Palatino Linotype"/>
          <w:color w:val="000000"/>
          <w:sz w:val="24"/>
          <w:szCs w:val="24"/>
        </w:rPr>
      </w:pPr>
    </w:p>
    <w:p w14:paraId="6E333526" w14:textId="77777777" w:rsidR="00CC79AA" w:rsidRPr="001B43EF" w:rsidRDefault="00CC79AA" w:rsidP="00CC79AA">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sz w:val="24"/>
          <w:szCs w:val="24"/>
        </w:rPr>
        <w:t xml:space="preserve">Lo anterior ocasiona que </w:t>
      </w:r>
      <w:r>
        <w:rPr>
          <w:rFonts w:ascii="Palatino Linotype" w:eastAsia="Palatino Linotype" w:hAnsi="Palatino Linotype" w:cs="Palatino Linotype"/>
          <w:color w:val="000000"/>
          <w:sz w:val="24"/>
          <w:szCs w:val="24"/>
        </w:rPr>
        <w:t>para el presente</w:t>
      </w:r>
      <w:r w:rsidRPr="00130604">
        <w:rPr>
          <w:rFonts w:ascii="Palatino Linotype" w:eastAsia="Palatino Linotype" w:hAnsi="Palatino Linotype" w:cs="Palatino Linotype"/>
          <w:color w:val="000000"/>
          <w:sz w:val="24"/>
          <w:szCs w:val="24"/>
        </w:rPr>
        <w:t xml:space="preserve"> caso </w:t>
      </w:r>
      <w:r>
        <w:rPr>
          <w:rFonts w:ascii="Palatino Linotype" w:eastAsia="Palatino Linotype" w:hAnsi="Palatino Linotype" w:cs="Palatino Linotype"/>
          <w:color w:val="000000"/>
          <w:sz w:val="24"/>
          <w:szCs w:val="24"/>
        </w:rPr>
        <w:t xml:space="preserve">no </w:t>
      </w:r>
      <w:r w:rsidRPr="00130604">
        <w:rPr>
          <w:rFonts w:ascii="Palatino Linotype" w:eastAsia="Palatino Linotype" w:hAnsi="Palatino Linotype" w:cs="Palatino Linotype"/>
          <w:color w:val="000000"/>
          <w:sz w:val="24"/>
          <w:szCs w:val="24"/>
        </w:rPr>
        <w:t>se cumpliera con el principio de búsqueda exhaustiva de la información requerida, cuyo alcance se encuentra establecido en el Criterio Reiterado 02/19 emitido por el Pleno de este Organismo Garante, a saber:</w:t>
      </w:r>
    </w:p>
    <w:p w14:paraId="3D8AEC6A" w14:textId="77777777" w:rsidR="00CC79AA" w:rsidRPr="00440E65" w:rsidRDefault="00CC79AA" w:rsidP="00CC79AA">
      <w:pPr>
        <w:spacing w:line="276" w:lineRule="auto"/>
        <w:ind w:left="567" w:right="706"/>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511B9">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w:t>
      </w:r>
      <w:r w:rsidRPr="007511B9">
        <w:rPr>
          <w:rFonts w:ascii="Palatino Linotype" w:eastAsia="Palatino Linotype" w:hAnsi="Palatino Linotype" w:cs="Palatino Linotype"/>
          <w:i/>
          <w:color w:val="000000"/>
        </w:rPr>
        <w:lastRenderedPageBreak/>
        <w:t>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59C70DB" w14:textId="77777777" w:rsidR="00CC79AA" w:rsidRDefault="00CC79AA" w:rsidP="00CC79A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DA24CF0" w14:textId="77777777" w:rsidR="00CC79AA" w:rsidRPr="00130604" w:rsidRDefault="00CC79AA" w:rsidP="00CC79A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30604">
        <w:rPr>
          <w:rFonts w:ascii="Palatino Linotype" w:eastAsia="Palatino Linotype" w:hAnsi="Palatino Linotype" w:cs="Palatino Linotype"/>
          <w:color w:val="000000"/>
          <w:sz w:val="24"/>
          <w:szCs w:val="24"/>
        </w:rPr>
        <w:t>En tal sentido, resulta aplicable el Criterio</w:t>
      </w:r>
      <w:r>
        <w:rPr>
          <w:rFonts w:ascii="Palatino Linotype" w:eastAsia="Palatino Linotype" w:hAnsi="Palatino Linotype" w:cs="Palatino Linotype"/>
          <w:color w:val="000000"/>
          <w:sz w:val="24"/>
          <w:szCs w:val="24"/>
        </w:rPr>
        <w:t xml:space="preserve"> orientador</w:t>
      </w:r>
      <w:r w:rsidRPr="00130604">
        <w:rPr>
          <w:rFonts w:ascii="Palatino Linotype" w:eastAsia="Palatino Linotype" w:hAnsi="Palatino Linotype" w:cs="Palatino Linotype"/>
          <w:color w:val="000000"/>
          <w:sz w:val="24"/>
          <w:szCs w:val="24"/>
        </w:rPr>
        <w:t xml:space="preserve"> 02/17 emitido por el Peno del Instituto Nacional de Transparencia y Acceso a la Información y Protección de Datos Personales, de título y texto siguientes:</w:t>
      </w:r>
    </w:p>
    <w:p w14:paraId="466E62B0" w14:textId="77777777" w:rsidR="00CC79AA" w:rsidRPr="00712E8F" w:rsidRDefault="00CC79AA" w:rsidP="00712E8F">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“Congruencia y exhaustividad. Sus alcances para garantizar el derecho de acceso a la información. </w:t>
      </w:r>
      <w:r w:rsidRPr="007511B9">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511B9">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7511B9">
        <w:rPr>
          <w:rFonts w:ascii="Palatino Linotype" w:eastAsia="Palatino Linotype" w:hAnsi="Palatino Linotype" w:cs="Palatino Linotype"/>
          <w:i/>
          <w:color w:val="000000"/>
        </w:rPr>
        <w:t xml:space="preserve">; mientras que </w:t>
      </w:r>
      <w:r w:rsidRPr="007511B9">
        <w:rPr>
          <w:rFonts w:ascii="Palatino Linotype" w:eastAsia="Palatino Linotype" w:hAnsi="Palatino Linotype" w:cs="Palatino Linotype"/>
          <w:b/>
          <w:i/>
          <w:color w:val="000000"/>
        </w:rPr>
        <w:t>la exhaustividad significa que dicha respuesta se refiera expresamente a cada uno de los puntos solicitados</w:t>
      </w:r>
      <w:r w:rsidRPr="007511B9">
        <w:rPr>
          <w:rFonts w:ascii="Palatino Linotype" w:eastAsia="Palatino Linotype" w:hAnsi="Palatino Linotype" w:cs="Palatino Linotype"/>
          <w:i/>
          <w:color w:val="000000"/>
        </w:rPr>
        <w:t xml:space="preserve">. Por lo anterior, los sujetos obligados cumplirán con los principios de congruencia y exhaustividad, cuando las respuestas que emitan guarden una relación lógica con lo solicitado y atiendan de manera puntual y expresa, cada uno de </w:t>
      </w:r>
      <w:r>
        <w:rPr>
          <w:rFonts w:ascii="Palatino Linotype" w:eastAsia="Palatino Linotype" w:hAnsi="Palatino Linotype" w:cs="Palatino Linotype"/>
          <w:i/>
          <w:color w:val="000000"/>
        </w:rPr>
        <w:t>los contenidos de información.”</w:t>
      </w:r>
    </w:p>
    <w:p w14:paraId="13CCC911" w14:textId="77777777" w:rsidR="00712E8F" w:rsidRPr="00712E8F" w:rsidRDefault="00CC79AA" w:rsidP="00712E8F">
      <w:pPr>
        <w:spacing w:after="0" w:line="360" w:lineRule="auto"/>
        <w:jc w:val="both"/>
        <w:rPr>
          <w:rFonts w:ascii="Palatino Linotype" w:eastAsia="Times New Roman" w:hAnsi="Palatino Linotype" w:cs="Palatino Linotype"/>
          <w:color w:val="000000"/>
          <w:sz w:val="24"/>
          <w:szCs w:val="24"/>
          <w:lang w:val="es-ES_tradnl" w:eastAsia="es-MX"/>
        </w:rPr>
      </w:pPr>
      <w:r w:rsidRPr="00712E8F">
        <w:rPr>
          <w:rFonts w:ascii="Palatino Linotype" w:eastAsia="Palatino Linotype" w:hAnsi="Palatino Linotype" w:cs="Palatino Linotype"/>
          <w:sz w:val="24"/>
          <w:szCs w:val="24"/>
        </w:rPr>
        <w:lastRenderedPageBreak/>
        <w:t xml:space="preserve">En consecuencia por lo descrito en líneas anteriores resulta dable ordenar previa búsqueda exhaustiva y razonable sea entregada de ser procedente en versión pública </w:t>
      </w:r>
      <w:r w:rsidR="00712E8F" w:rsidRPr="00712E8F">
        <w:rPr>
          <w:rFonts w:ascii="Palatino Linotype" w:eastAsia="Palatino Linotype" w:hAnsi="Palatino Linotype" w:cs="Palatino Linotype"/>
          <w:sz w:val="24"/>
          <w:szCs w:val="24"/>
        </w:rPr>
        <w:t xml:space="preserve">el soporte documental que dé cuenta de </w:t>
      </w:r>
      <w:r w:rsidRPr="00712E8F">
        <w:rPr>
          <w:rFonts w:ascii="Palatino Linotype" w:eastAsia="Palatino Linotype" w:hAnsi="Palatino Linotype" w:cs="Palatino Linotype"/>
          <w:sz w:val="24"/>
          <w:szCs w:val="24"/>
        </w:rPr>
        <w:t>los</w:t>
      </w:r>
      <w:r w:rsidR="00712E8F" w:rsidRPr="00712E8F">
        <w:rPr>
          <w:rFonts w:ascii="Palatino Linotype" w:eastAsia="Palatino Linotype" w:hAnsi="Palatino Linotype" w:cs="Palatino Linotype"/>
          <w:sz w:val="24"/>
          <w:szCs w:val="24"/>
        </w:rPr>
        <w:t xml:space="preserve"> </w:t>
      </w:r>
      <w:r w:rsidR="00712E8F">
        <w:rPr>
          <w:rFonts w:ascii="Palatino Linotype" w:eastAsia="Times New Roman" w:hAnsi="Palatino Linotype" w:cs="Palatino Linotype"/>
          <w:color w:val="000000"/>
          <w:sz w:val="24"/>
          <w:szCs w:val="24"/>
          <w:lang w:val="es-ES_tradnl" w:eastAsia="es-MX"/>
        </w:rPr>
        <w:t>c</w:t>
      </w:r>
      <w:r w:rsidR="00712E8F" w:rsidRPr="00712E8F">
        <w:rPr>
          <w:rFonts w:ascii="Palatino Linotype" w:eastAsia="Times New Roman" w:hAnsi="Palatino Linotype" w:cs="Palatino Linotype"/>
          <w:color w:val="000000"/>
          <w:sz w:val="24"/>
          <w:szCs w:val="24"/>
          <w:lang w:val="es-ES_tradnl" w:eastAsia="es-MX"/>
        </w:rPr>
        <w:t>osto</w:t>
      </w:r>
      <w:r w:rsidR="00712E8F">
        <w:rPr>
          <w:rFonts w:ascii="Palatino Linotype" w:eastAsia="Times New Roman" w:hAnsi="Palatino Linotype" w:cs="Palatino Linotype"/>
          <w:color w:val="000000"/>
          <w:sz w:val="24"/>
          <w:szCs w:val="24"/>
          <w:lang w:val="es-ES_tradnl" w:eastAsia="es-MX"/>
        </w:rPr>
        <w:t>s</w:t>
      </w:r>
      <w:r w:rsidR="00712E8F" w:rsidRPr="00712E8F">
        <w:rPr>
          <w:rFonts w:ascii="Palatino Linotype" w:eastAsia="Times New Roman" w:hAnsi="Palatino Linotype" w:cs="Palatino Linotype"/>
          <w:color w:val="000000"/>
          <w:sz w:val="24"/>
          <w:szCs w:val="24"/>
          <w:lang w:val="es-ES_tradnl" w:eastAsia="es-MX"/>
        </w:rPr>
        <w:t xml:space="preserve"> total</w:t>
      </w:r>
      <w:r w:rsidR="00712E8F">
        <w:rPr>
          <w:rFonts w:ascii="Palatino Linotype" w:eastAsia="Times New Roman" w:hAnsi="Palatino Linotype" w:cs="Palatino Linotype"/>
          <w:color w:val="000000"/>
          <w:sz w:val="24"/>
          <w:szCs w:val="24"/>
          <w:lang w:val="es-ES_tradnl" w:eastAsia="es-MX"/>
        </w:rPr>
        <w:t>es</w:t>
      </w:r>
      <w:r w:rsidR="00712E8F" w:rsidRPr="00712E8F">
        <w:rPr>
          <w:rFonts w:ascii="Palatino Linotype" w:eastAsia="Times New Roman" w:hAnsi="Palatino Linotype" w:cs="Palatino Linotype"/>
          <w:color w:val="000000"/>
          <w:sz w:val="24"/>
          <w:szCs w:val="24"/>
          <w:lang w:val="es-ES_tradnl" w:eastAsia="es-MX"/>
        </w:rPr>
        <w:t xml:space="preserve"> de la inversión en infraestructura de drenaje de</w:t>
      </w:r>
      <w:r w:rsidR="00712E8F">
        <w:rPr>
          <w:rFonts w:ascii="Palatino Linotype" w:eastAsia="Times New Roman" w:hAnsi="Palatino Linotype" w:cs="Palatino Linotype"/>
          <w:color w:val="000000"/>
          <w:sz w:val="24"/>
          <w:szCs w:val="24"/>
          <w:lang w:val="es-ES_tradnl" w:eastAsia="es-MX"/>
        </w:rPr>
        <w:t xml:space="preserve"> los</w:t>
      </w:r>
      <w:r w:rsidR="00712E8F" w:rsidRPr="00712E8F">
        <w:rPr>
          <w:rFonts w:ascii="Palatino Linotype" w:eastAsia="Times New Roman" w:hAnsi="Palatino Linotype" w:cs="Palatino Linotype"/>
          <w:color w:val="000000"/>
          <w:sz w:val="24"/>
          <w:szCs w:val="24"/>
          <w:lang w:val="es-ES_tradnl" w:eastAsia="es-MX"/>
        </w:rPr>
        <w:t xml:space="preserve"> año</w:t>
      </w:r>
      <w:r w:rsidR="00712E8F">
        <w:rPr>
          <w:rFonts w:ascii="Palatino Linotype" w:eastAsia="Times New Roman" w:hAnsi="Palatino Linotype" w:cs="Palatino Linotype"/>
          <w:color w:val="000000"/>
          <w:sz w:val="24"/>
          <w:szCs w:val="24"/>
          <w:lang w:val="es-ES_tradnl" w:eastAsia="es-MX"/>
        </w:rPr>
        <w:t>s</w:t>
      </w:r>
      <w:r w:rsidR="00712E8F" w:rsidRPr="00712E8F">
        <w:rPr>
          <w:rFonts w:ascii="Palatino Linotype" w:eastAsia="Times New Roman" w:hAnsi="Palatino Linotype" w:cs="Palatino Linotype"/>
          <w:color w:val="000000"/>
          <w:sz w:val="24"/>
          <w:szCs w:val="24"/>
          <w:lang w:val="es-ES_tradnl" w:eastAsia="es-MX"/>
        </w:rPr>
        <w:t xml:space="preserve"> 2020,2021, 2022,2023 y 2024</w:t>
      </w:r>
      <w:r w:rsidR="00712E8F">
        <w:rPr>
          <w:rFonts w:ascii="Palatino Linotype" w:eastAsia="Times New Roman" w:hAnsi="Palatino Linotype" w:cs="Palatino Linotype"/>
          <w:color w:val="000000"/>
          <w:sz w:val="24"/>
          <w:szCs w:val="24"/>
          <w:lang w:val="es-ES_tradnl" w:eastAsia="es-MX"/>
        </w:rPr>
        <w:t>.</w:t>
      </w:r>
    </w:p>
    <w:p w14:paraId="324A3D76" w14:textId="77777777" w:rsidR="00CC79AA" w:rsidRPr="002E4843" w:rsidRDefault="00CC79AA" w:rsidP="00CC79A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652498C1" w14:textId="77777777" w:rsidR="00CC79AA" w:rsidRPr="00495BF6" w:rsidRDefault="00712E8F" w:rsidP="00CC79AA">
      <w:pPr>
        <w:pBdr>
          <w:top w:val="nil"/>
          <w:left w:val="nil"/>
          <w:bottom w:val="nil"/>
          <w:right w:val="nil"/>
          <w:between w:val="nil"/>
        </w:pBdr>
        <w:spacing w:line="360" w:lineRule="auto"/>
        <w:jc w:val="both"/>
        <w:rPr>
          <w:rFonts w:ascii="Palatino Linotype" w:hAnsi="Palatino Linotype"/>
          <w:color w:val="000000"/>
          <w:sz w:val="24"/>
          <w:szCs w:val="24"/>
        </w:rPr>
      </w:pPr>
      <w:r>
        <w:rPr>
          <w:rFonts w:ascii="Palatino Linotype" w:hAnsi="Palatino Linotype"/>
          <w:color w:val="000000"/>
          <w:sz w:val="24"/>
          <w:szCs w:val="24"/>
        </w:rPr>
        <w:t>De ser el caso que no se hubiera generado erogación por concept</w:t>
      </w:r>
      <w:r w:rsidR="00CC79AA" w:rsidRPr="00495BF6">
        <w:rPr>
          <w:rFonts w:ascii="Palatino Linotype" w:eastAsia="Times New Roman" w:hAnsi="Palatino Linotype" w:cs="Palatino Linotype"/>
          <w:color w:val="000000"/>
          <w:sz w:val="24"/>
          <w:szCs w:val="24"/>
          <w:lang w:val="es-ES_tradnl" w:eastAsia="es-MX"/>
        </w:rPr>
        <w:t>o</w:t>
      </w:r>
      <w:r>
        <w:rPr>
          <w:rFonts w:ascii="Palatino Linotype" w:eastAsia="Times New Roman" w:hAnsi="Palatino Linotype" w:cs="Palatino Linotype"/>
          <w:color w:val="000000"/>
          <w:sz w:val="24"/>
          <w:szCs w:val="24"/>
          <w:lang w:val="es-ES_tradnl" w:eastAsia="es-MX"/>
        </w:rPr>
        <w:t xml:space="preserve"> de inversión en infraestructura durante los años </w:t>
      </w:r>
      <w:r w:rsidRPr="00712E8F">
        <w:rPr>
          <w:rFonts w:ascii="Palatino Linotype" w:eastAsia="Times New Roman" w:hAnsi="Palatino Linotype" w:cs="Palatino Linotype"/>
          <w:color w:val="000000"/>
          <w:sz w:val="24"/>
          <w:szCs w:val="24"/>
          <w:lang w:val="es-ES_tradnl" w:eastAsia="es-MX"/>
        </w:rPr>
        <w:t>2020,2021, 2022,2023 y 2024</w:t>
      </w:r>
      <w:r>
        <w:rPr>
          <w:rFonts w:ascii="Palatino Linotype" w:eastAsia="Times New Roman" w:hAnsi="Palatino Linotype" w:cs="Palatino Linotype"/>
          <w:color w:val="000000"/>
          <w:sz w:val="24"/>
          <w:szCs w:val="24"/>
          <w:lang w:val="es-ES_tradnl" w:eastAsia="es-MX"/>
        </w:rPr>
        <w:t xml:space="preserve"> bastará</w:t>
      </w:r>
      <w:r w:rsidR="00CC79AA">
        <w:rPr>
          <w:rFonts w:ascii="Palatino Linotype" w:eastAsia="Times New Roman" w:hAnsi="Palatino Linotype" w:cs="Palatino Linotype"/>
          <w:color w:val="000000"/>
          <w:sz w:val="24"/>
          <w:szCs w:val="24"/>
          <w:lang w:val="es-ES_tradnl" w:eastAsia="es-MX"/>
        </w:rPr>
        <w:t xml:space="preserve"> con que así lo manifieste </w:t>
      </w:r>
      <w:r>
        <w:rPr>
          <w:rFonts w:ascii="Palatino Linotype" w:eastAsia="Times New Roman" w:hAnsi="Palatino Linotype" w:cs="Palatino Linotype"/>
          <w:color w:val="000000"/>
          <w:sz w:val="24"/>
          <w:szCs w:val="24"/>
          <w:lang w:val="es-ES_tradnl" w:eastAsia="es-MX"/>
        </w:rPr>
        <w:t xml:space="preserve">el Sujeto Obligado </w:t>
      </w:r>
      <w:r w:rsidR="00CC79AA">
        <w:rPr>
          <w:rFonts w:ascii="Palatino Linotype" w:eastAsia="Times New Roman" w:hAnsi="Palatino Linotype" w:cs="Palatino Linotype"/>
          <w:color w:val="000000"/>
          <w:sz w:val="24"/>
          <w:szCs w:val="24"/>
          <w:lang w:val="es-ES_tradnl" w:eastAsia="es-MX"/>
        </w:rPr>
        <w:t>en los términos establecidos por el segundo párrafo del artículo 19 de la Ley de Transparencia Local</w:t>
      </w:r>
      <w:r w:rsidR="00CC79AA" w:rsidRPr="00495BF6">
        <w:rPr>
          <w:rFonts w:ascii="Palatino Linotype" w:eastAsia="Times New Roman" w:hAnsi="Palatino Linotype" w:cs="Palatino Linotype"/>
          <w:color w:val="000000"/>
          <w:sz w:val="24"/>
          <w:szCs w:val="24"/>
          <w:lang w:val="es-ES_tradnl" w:eastAsia="es-MX"/>
        </w:rPr>
        <w:t>.</w:t>
      </w:r>
    </w:p>
    <w:p w14:paraId="4805097E" w14:textId="77777777" w:rsidR="00CC79AA" w:rsidRDefault="00CC79AA" w:rsidP="00CC79AA">
      <w:pPr>
        <w:spacing w:line="360" w:lineRule="auto"/>
        <w:jc w:val="both"/>
        <w:rPr>
          <w:rFonts w:ascii="Palatino Linotype" w:hAnsi="Palatino Linotype"/>
          <w:sz w:val="24"/>
          <w:szCs w:val="24"/>
        </w:rPr>
      </w:pPr>
    </w:p>
    <w:p w14:paraId="0449F766" w14:textId="77777777" w:rsidR="00CC79AA" w:rsidRPr="00495BF6" w:rsidRDefault="00CC79AA" w:rsidP="00CC79AA">
      <w:pPr>
        <w:pStyle w:val="Prrafodelista"/>
        <w:widowControl w:val="0"/>
        <w:numPr>
          <w:ilvl w:val="0"/>
          <w:numId w:val="12"/>
        </w:numPr>
        <w:tabs>
          <w:tab w:val="left" w:pos="1276"/>
        </w:tabs>
        <w:spacing w:after="0" w:line="360" w:lineRule="auto"/>
        <w:contextualSpacing w:val="0"/>
        <w:jc w:val="both"/>
        <w:rPr>
          <w:rFonts w:ascii="Palatino Linotype" w:hAnsi="Palatino Linotype"/>
          <w:b/>
          <w:i/>
          <w:sz w:val="26"/>
          <w:szCs w:val="26"/>
          <w:lang w:val="es-419"/>
        </w:rPr>
      </w:pPr>
      <w:r w:rsidRPr="00495BF6">
        <w:rPr>
          <w:rFonts w:ascii="Palatino Linotype" w:hAnsi="Palatino Linotype"/>
          <w:b/>
          <w:i/>
          <w:sz w:val="26"/>
          <w:szCs w:val="26"/>
          <w:lang w:val="es-419"/>
        </w:rPr>
        <w:t>DE LA VERSIÓN PÚBLICA</w:t>
      </w:r>
    </w:p>
    <w:p w14:paraId="24A4C89E" w14:textId="77777777" w:rsidR="00CC79AA" w:rsidRDefault="00CC79AA" w:rsidP="00CC79AA">
      <w:pPr>
        <w:widowControl w:val="0"/>
        <w:tabs>
          <w:tab w:val="left" w:pos="1276"/>
        </w:tabs>
        <w:spacing w:line="360" w:lineRule="auto"/>
        <w:jc w:val="both"/>
        <w:rPr>
          <w:rFonts w:ascii="Palatino Linotype" w:eastAsia="Arial Unicode MS" w:hAnsi="Palatino Linotype"/>
          <w:sz w:val="24"/>
          <w:szCs w:val="24"/>
        </w:rPr>
      </w:pPr>
      <w:r w:rsidRPr="00495BF6">
        <w:rPr>
          <w:rFonts w:ascii="Palatino Linotype" w:hAnsi="Palatino Linotype"/>
          <w:sz w:val="24"/>
          <w:szCs w:val="24"/>
          <w:lang w:val="es-419"/>
        </w:rPr>
        <w:t>Tomando en consideración la naturaleza de los documentos que se está ordenado entregar al particular, este Órgano Garante</w:t>
      </w:r>
      <w:r w:rsidRPr="00495BF6">
        <w:rPr>
          <w:rFonts w:ascii="Palatino Linotype" w:eastAsia="Arial Unicode MS" w:hAnsi="Palatino Linotype"/>
          <w:sz w:val="24"/>
          <w:szCs w:val="24"/>
        </w:rPr>
        <w:t xml:space="preserv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0B11097" w14:textId="77777777" w:rsidR="00CC79AA" w:rsidRPr="00495BF6" w:rsidRDefault="00CC79AA" w:rsidP="00CC79AA">
      <w:pPr>
        <w:widowControl w:val="0"/>
        <w:tabs>
          <w:tab w:val="left" w:pos="1276"/>
        </w:tabs>
        <w:spacing w:line="360" w:lineRule="auto"/>
        <w:jc w:val="both"/>
        <w:rPr>
          <w:rFonts w:ascii="Palatino Linotype" w:eastAsia="Arial Unicode MS" w:hAnsi="Palatino Linotype"/>
          <w:sz w:val="24"/>
          <w:szCs w:val="24"/>
        </w:rPr>
      </w:pPr>
    </w:p>
    <w:p w14:paraId="03D65DBB"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bCs/>
          <w:sz w:val="24"/>
          <w:szCs w:val="24"/>
        </w:rPr>
        <w:lastRenderedPageBreak/>
        <w:t>A este respecto, los</w:t>
      </w:r>
      <w:r w:rsidRPr="00495BF6">
        <w:rPr>
          <w:rFonts w:ascii="Palatino Linotype" w:hAnsi="Palatino Linotype"/>
          <w:sz w:val="24"/>
          <w:szCs w:val="24"/>
        </w:rPr>
        <w:t xml:space="preserve"> artículos 3, fracciones IX, XX, XXI y XLV; 51 y 52de la Ley de Transparencia y Acceso a la Información Pública del Estado de México y Municipios establecen:</w:t>
      </w:r>
    </w:p>
    <w:p w14:paraId="51D67F7D"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cs="Arial"/>
          <w:b/>
          <w:bCs/>
          <w:i/>
        </w:rPr>
        <w:t xml:space="preserve">Artículo 3. </w:t>
      </w:r>
      <w:r w:rsidRPr="00414522">
        <w:rPr>
          <w:rFonts w:ascii="Palatino Linotype" w:hAnsi="Palatino Linotype"/>
          <w:i/>
        </w:rPr>
        <w:t xml:space="preserve">Para los efectos de la presente Ley se entenderá por: </w:t>
      </w:r>
    </w:p>
    <w:p w14:paraId="2CE5ACDD"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cs="Arial"/>
          <w:i/>
        </w:rPr>
        <w:t>(…</w:t>
      </w:r>
      <w:r w:rsidRPr="00414522">
        <w:rPr>
          <w:rFonts w:ascii="Palatino Linotype" w:hAnsi="Palatino Linotype"/>
          <w:i/>
        </w:rPr>
        <w:t>)</w:t>
      </w:r>
    </w:p>
    <w:p w14:paraId="02255495"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b/>
          <w:i/>
        </w:rPr>
        <w:t>IX.</w:t>
      </w:r>
      <w:r w:rsidRPr="00414522">
        <w:rPr>
          <w:rFonts w:ascii="Palatino Linotype" w:hAnsi="Palatino Linotype" w:cs="Arial"/>
          <w:i/>
        </w:rPr>
        <w:t xml:space="preserve"> </w:t>
      </w:r>
      <w:r w:rsidRPr="00414522">
        <w:rPr>
          <w:rFonts w:ascii="Palatino Linotype" w:hAnsi="Palatino Linotype" w:cs="Arial"/>
          <w:b/>
          <w:i/>
        </w:rPr>
        <w:t xml:space="preserve">Datos personales: </w:t>
      </w:r>
      <w:r w:rsidRPr="00414522">
        <w:rPr>
          <w:rFonts w:ascii="Palatino Linotype" w:hAnsi="Palatino Linotype" w:cs="Arial"/>
          <w:i/>
        </w:rPr>
        <w:t xml:space="preserve">La información concerniente a una persona, identificada o identificable según lo dispuesto por la Ley de Protección de Datos Personales del Estado de México; </w:t>
      </w:r>
    </w:p>
    <w:p w14:paraId="6D2A97BE"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i/>
        </w:rPr>
        <w:t>(…)</w:t>
      </w:r>
    </w:p>
    <w:p w14:paraId="160C3609"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b/>
          <w:i/>
        </w:rPr>
        <w:t>XX.</w:t>
      </w:r>
      <w:r w:rsidRPr="00414522">
        <w:rPr>
          <w:rFonts w:ascii="Palatino Linotype" w:hAnsi="Palatino Linotype" w:cs="Arial"/>
          <w:i/>
        </w:rPr>
        <w:t xml:space="preserve"> </w:t>
      </w:r>
      <w:r w:rsidRPr="00414522">
        <w:rPr>
          <w:rFonts w:ascii="Palatino Linotype" w:hAnsi="Palatino Linotype" w:cs="Arial"/>
          <w:b/>
          <w:i/>
        </w:rPr>
        <w:t>Información clasificada:</w:t>
      </w:r>
      <w:r w:rsidRPr="00414522">
        <w:rPr>
          <w:rFonts w:ascii="Palatino Linotype" w:hAnsi="Palatino Linotype" w:cs="Arial"/>
          <w:i/>
        </w:rPr>
        <w:t xml:space="preserve"> Aquella considerada por la presente Ley como reservada o confidencial; </w:t>
      </w:r>
    </w:p>
    <w:p w14:paraId="6D81B1F0"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b/>
          <w:i/>
        </w:rPr>
        <w:t>XXI.</w:t>
      </w:r>
      <w:r w:rsidRPr="00414522">
        <w:rPr>
          <w:rFonts w:ascii="Palatino Linotype" w:hAnsi="Palatino Linotype" w:cs="Arial"/>
          <w:i/>
        </w:rPr>
        <w:t xml:space="preserve"> </w:t>
      </w:r>
      <w:r w:rsidRPr="00414522">
        <w:rPr>
          <w:rFonts w:ascii="Palatino Linotype" w:hAnsi="Palatino Linotype" w:cs="Arial"/>
          <w:b/>
          <w:i/>
        </w:rPr>
        <w:t>Información confidencial</w:t>
      </w:r>
      <w:r w:rsidRPr="0041452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39426A5"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i/>
        </w:rPr>
        <w:t>(…)</w:t>
      </w:r>
    </w:p>
    <w:p w14:paraId="059B557F"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b/>
          <w:i/>
        </w:rPr>
        <w:t>XLV. Versión pública:</w:t>
      </w:r>
      <w:r w:rsidRPr="00414522">
        <w:rPr>
          <w:rFonts w:ascii="Palatino Linotype" w:hAnsi="Palatino Linotype" w:cs="Arial"/>
          <w:i/>
        </w:rPr>
        <w:t xml:space="preserve"> Documento en el que se elimine, suprime o borra la información clasificada como reservada o confidencial para permitir su acceso. </w:t>
      </w:r>
    </w:p>
    <w:p w14:paraId="332B9C8A" w14:textId="77777777" w:rsidR="00CC79AA" w:rsidRPr="00414522" w:rsidRDefault="00CC79AA" w:rsidP="00CC79AA">
      <w:pPr>
        <w:spacing w:line="360" w:lineRule="auto"/>
        <w:ind w:right="616"/>
        <w:jc w:val="both"/>
        <w:rPr>
          <w:rFonts w:ascii="Palatino Linotype" w:hAnsi="Palatino Linotype" w:cs="Arial"/>
          <w:i/>
        </w:rPr>
      </w:pPr>
    </w:p>
    <w:p w14:paraId="2B2124D7" w14:textId="77777777" w:rsidR="00CC79AA" w:rsidRPr="00414522" w:rsidRDefault="00CC79AA" w:rsidP="00CC79AA">
      <w:pPr>
        <w:spacing w:line="360" w:lineRule="auto"/>
        <w:ind w:left="567" w:right="616"/>
        <w:jc w:val="both"/>
        <w:rPr>
          <w:rFonts w:ascii="Palatino Linotype" w:hAnsi="Palatino Linotype" w:cs="Arial"/>
          <w:i/>
        </w:rPr>
      </w:pPr>
      <w:r w:rsidRPr="00414522">
        <w:rPr>
          <w:rFonts w:ascii="Palatino Linotype" w:hAnsi="Palatino Linotype" w:cs="Arial"/>
          <w:b/>
          <w:i/>
        </w:rPr>
        <w:lastRenderedPageBreak/>
        <w:t>Artículo 51.</w:t>
      </w:r>
      <w:r w:rsidRPr="00414522">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4522">
        <w:rPr>
          <w:rFonts w:ascii="Palatino Linotype" w:hAnsi="Palatino Linotype" w:cs="Arial"/>
          <w:b/>
          <w:i/>
        </w:rPr>
        <w:t xml:space="preserve">y tendrá la responsabilidad de verificar en cada caso que la misma no sea confidencial o reservada. </w:t>
      </w:r>
      <w:r w:rsidRPr="00414522">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318F0341" w14:textId="77777777" w:rsidR="00CC79AA" w:rsidRPr="00414522" w:rsidRDefault="00CC79AA" w:rsidP="00CC79AA">
      <w:pPr>
        <w:spacing w:line="360" w:lineRule="auto"/>
        <w:ind w:left="567" w:right="616"/>
        <w:jc w:val="both"/>
        <w:rPr>
          <w:rFonts w:ascii="Palatino Linotype" w:hAnsi="Palatino Linotype" w:cs="Arial"/>
          <w:i/>
        </w:rPr>
      </w:pPr>
    </w:p>
    <w:p w14:paraId="567CA276" w14:textId="77777777" w:rsidR="00CC79AA" w:rsidRPr="00414522" w:rsidRDefault="00CC79AA" w:rsidP="00CC79AA">
      <w:pPr>
        <w:spacing w:line="360" w:lineRule="auto"/>
        <w:ind w:left="567" w:right="616"/>
        <w:jc w:val="both"/>
        <w:rPr>
          <w:rFonts w:ascii="Palatino Linotype" w:hAnsi="Palatino Linotype" w:cs="Arial"/>
          <w:bCs/>
          <w:i/>
          <w:noProof/>
        </w:rPr>
      </w:pPr>
      <w:r w:rsidRPr="00414522">
        <w:rPr>
          <w:rFonts w:ascii="Palatino Linotype" w:hAnsi="Palatino Linotype" w:cs="Arial"/>
          <w:b/>
          <w:i/>
        </w:rPr>
        <w:t>Artículo 52.</w:t>
      </w:r>
      <w:r w:rsidRPr="00414522">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6717E82" w14:textId="77777777" w:rsidR="00CC79AA" w:rsidRPr="004578B2" w:rsidRDefault="00CC79AA" w:rsidP="00CC79AA">
      <w:pPr>
        <w:spacing w:line="360" w:lineRule="auto"/>
        <w:jc w:val="both"/>
        <w:rPr>
          <w:rFonts w:ascii="Palatino Linotype" w:hAnsi="Palatino Linotype"/>
          <w:noProof/>
        </w:rPr>
      </w:pPr>
    </w:p>
    <w:p w14:paraId="4B0EFB72"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495BF6">
        <w:rPr>
          <w:rFonts w:ascii="Palatino Linotype" w:hAnsi="Palatino Linotype"/>
          <w:sz w:val="24"/>
          <w:szCs w:val="24"/>
        </w:rPr>
        <w:lastRenderedPageBreak/>
        <w:t xml:space="preserve">de Protección de Datos Personales en Posesión de Sujetos Obligados del Estado de México y Municipios, los cuales se transcriben para mayor referencia: </w:t>
      </w:r>
    </w:p>
    <w:p w14:paraId="18D1236D" w14:textId="77777777" w:rsidR="00CC79AA" w:rsidRPr="00414522" w:rsidRDefault="00CC79AA" w:rsidP="00CC79AA">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b/>
          <w:i/>
        </w:rPr>
        <w:t>Artículo</w:t>
      </w:r>
      <w:r w:rsidRPr="00414522">
        <w:rPr>
          <w:rFonts w:ascii="Palatino Linotype" w:eastAsia="Arial Unicode MS" w:hAnsi="Palatino Linotype" w:cs="Arial"/>
          <w:i/>
        </w:rPr>
        <w:t xml:space="preserve"> </w:t>
      </w:r>
      <w:r w:rsidRPr="00414522">
        <w:rPr>
          <w:rFonts w:ascii="Palatino Linotype" w:eastAsia="Arial Unicode MS" w:hAnsi="Palatino Linotype" w:cs="Arial"/>
          <w:b/>
          <w:i/>
        </w:rPr>
        <w:t>22</w:t>
      </w:r>
      <w:r w:rsidRPr="00414522">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14:paraId="2A48CC5D" w14:textId="77777777" w:rsidR="00CC79AA" w:rsidRPr="00414522" w:rsidRDefault="00CC79AA" w:rsidP="00CC79AA">
      <w:pPr>
        <w:spacing w:line="360" w:lineRule="auto"/>
        <w:ind w:left="567" w:right="616"/>
        <w:jc w:val="both"/>
        <w:rPr>
          <w:rFonts w:ascii="Palatino Linotype" w:eastAsia="Arial Unicode MS" w:hAnsi="Palatino Linotype" w:cs="Arial"/>
          <w:i/>
        </w:rPr>
      </w:pPr>
    </w:p>
    <w:p w14:paraId="45D4D55D" w14:textId="77777777" w:rsidR="00CC79AA" w:rsidRPr="00414522" w:rsidRDefault="00CC79AA" w:rsidP="00CC79AA">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i/>
        </w:rPr>
        <w:t>El responsable podrá tratar datos personales para finalidades distintas a aquéllas establecidas en el aviso de priva</w:t>
      </w:r>
      <w:r>
        <w:rPr>
          <w:rFonts w:ascii="Palatino Linotype" w:eastAsia="Arial Unicode MS" w:hAnsi="Palatino Linotype" w:cs="Arial"/>
          <w:i/>
        </w:rPr>
        <w:t>cidad, en los casos siguientes:</w:t>
      </w:r>
    </w:p>
    <w:p w14:paraId="110A38DD" w14:textId="77777777" w:rsidR="00CC79AA" w:rsidRPr="00414522" w:rsidRDefault="00CC79AA" w:rsidP="00CC79AA">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i/>
        </w:rPr>
        <w:t>I. Cuente con atribuciones conferidas en ley y medie el consentimiento del titular.</w:t>
      </w:r>
    </w:p>
    <w:p w14:paraId="50343539" w14:textId="77777777" w:rsidR="00CC79AA" w:rsidRPr="00414522" w:rsidRDefault="00CC79AA" w:rsidP="00CC79AA">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i/>
        </w:rPr>
        <w:t>II. Se trate de una persona reportada como desaparecida, en los términos previstos en la presente Ley y demás disposiciones legales aplicables...</w:t>
      </w:r>
    </w:p>
    <w:p w14:paraId="7DEABBB9" w14:textId="77777777" w:rsidR="00CC79AA" w:rsidRPr="00414522" w:rsidRDefault="00CC79AA" w:rsidP="00CC79AA">
      <w:pPr>
        <w:spacing w:line="360" w:lineRule="auto"/>
        <w:ind w:left="567" w:right="616"/>
        <w:jc w:val="both"/>
        <w:rPr>
          <w:rFonts w:ascii="Palatino Linotype" w:eastAsia="Arial Unicode MS" w:hAnsi="Palatino Linotype" w:cs="Arial"/>
          <w:i/>
        </w:rPr>
      </w:pPr>
      <w:r w:rsidRPr="00414522">
        <w:rPr>
          <w:rFonts w:ascii="Palatino Linotype" w:eastAsia="Arial Unicode MS" w:hAnsi="Palatino Linotype" w:cs="Arial"/>
          <w:b/>
          <w:i/>
        </w:rPr>
        <w:t>Artículo</w:t>
      </w:r>
      <w:r w:rsidRPr="00414522">
        <w:rPr>
          <w:rFonts w:ascii="Palatino Linotype" w:eastAsia="Arial Unicode MS" w:hAnsi="Palatino Linotype" w:cs="Arial"/>
          <w:i/>
        </w:rPr>
        <w:t xml:space="preserve"> </w:t>
      </w:r>
      <w:r w:rsidRPr="00414522">
        <w:rPr>
          <w:rFonts w:ascii="Palatino Linotype" w:eastAsia="Arial Unicode MS" w:hAnsi="Palatino Linotype" w:cs="Arial"/>
          <w:b/>
          <w:i/>
        </w:rPr>
        <w:t>38</w:t>
      </w:r>
      <w:r w:rsidRPr="00414522">
        <w:rPr>
          <w:rFonts w:ascii="Palatino Linotype" w:eastAsia="Arial Unicode MS" w:hAnsi="Palatino Linotype" w:cs="Arial"/>
          <w:i/>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1309741" w14:textId="77777777" w:rsidR="00CC79AA" w:rsidRPr="004578B2" w:rsidRDefault="00CC79AA" w:rsidP="00CC79AA">
      <w:pPr>
        <w:spacing w:line="360" w:lineRule="auto"/>
        <w:ind w:left="567" w:right="616"/>
        <w:jc w:val="both"/>
        <w:rPr>
          <w:rFonts w:ascii="Palatino Linotype" w:eastAsia="Arial Unicode MS" w:hAnsi="Palatino Linotype" w:cs="Arial"/>
          <w:i/>
        </w:rPr>
      </w:pPr>
    </w:p>
    <w:p w14:paraId="30275395"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FBE5318" w14:textId="77777777" w:rsidR="00CC79AA" w:rsidRPr="00495BF6" w:rsidRDefault="00CC79AA" w:rsidP="00CC79AA">
      <w:pPr>
        <w:spacing w:line="360" w:lineRule="auto"/>
        <w:jc w:val="both"/>
        <w:rPr>
          <w:rFonts w:ascii="Palatino Linotype" w:hAnsi="Palatino Linotype"/>
          <w:sz w:val="24"/>
          <w:szCs w:val="24"/>
        </w:rPr>
      </w:pPr>
    </w:p>
    <w:p w14:paraId="7386A2FF" w14:textId="77777777" w:rsidR="00CC79AA" w:rsidRPr="00495BF6" w:rsidRDefault="00CC79AA" w:rsidP="00CC79AA">
      <w:pPr>
        <w:spacing w:line="360" w:lineRule="auto"/>
        <w:jc w:val="both"/>
        <w:rPr>
          <w:rFonts w:ascii="Palatino Linotype" w:eastAsia="Arial Unicode MS" w:hAnsi="Palatino Linotype"/>
          <w:sz w:val="24"/>
          <w:szCs w:val="24"/>
        </w:rPr>
      </w:pPr>
      <w:r w:rsidRPr="00495BF6">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5BF6">
        <w:rPr>
          <w:rFonts w:ascii="Palatino Linotype" w:eastAsia="Arial Unicode MS" w:hAnsi="Palatino Linotype"/>
          <w:color w:val="000000"/>
          <w:sz w:val="24"/>
          <w:szCs w:val="24"/>
        </w:rPr>
        <w:t>el Sujeto Obligado</w:t>
      </w:r>
      <w:r w:rsidRPr="00495BF6">
        <w:rPr>
          <w:rFonts w:ascii="Palatino Linotype" w:eastAsia="Arial Unicode MS" w:hAnsi="Palatino Linotype"/>
          <w:sz w:val="24"/>
          <w:szCs w:val="24"/>
        </w:rPr>
        <w:t xml:space="preserve">, en ese contexto, todo dato personal susceptible de clasificación debe ser protegido. </w:t>
      </w:r>
    </w:p>
    <w:p w14:paraId="0F280467" w14:textId="77777777" w:rsidR="00CC79AA" w:rsidRPr="00495BF6" w:rsidRDefault="00CC79AA" w:rsidP="00CC79AA">
      <w:pPr>
        <w:spacing w:line="360" w:lineRule="auto"/>
        <w:jc w:val="both"/>
        <w:rPr>
          <w:rFonts w:ascii="Palatino Linotype" w:hAnsi="Palatino Linotype"/>
          <w:sz w:val="24"/>
          <w:szCs w:val="24"/>
        </w:rPr>
      </w:pPr>
    </w:p>
    <w:p w14:paraId="0D3DAF53"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95BF6">
        <w:rPr>
          <w:rFonts w:ascii="Palatino Linotype" w:hAnsi="Palatino Linotype"/>
          <w:b/>
          <w:sz w:val="24"/>
          <w:szCs w:val="24"/>
        </w:rPr>
        <w:lastRenderedPageBreak/>
        <w:t>Lineamientos Generales en Materia de Clasificación y Desclasificación de la Información, así como para la Elaboración de Versiones Públicas</w:t>
      </w:r>
      <w:r w:rsidRPr="00495BF6">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27BB6B5" w14:textId="77777777" w:rsidR="00CC79AA" w:rsidRPr="00495BF6" w:rsidRDefault="00CC79AA" w:rsidP="00CC79AA">
      <w:pPr>
        <w:spacing w:line="360" w:lineRule="auto"/>
        <w:jc w:val="both"/>
        <w:rPr>
          <w:rFonts w:ascii="Palatino Linotype" w:hAnsi="Palatino Linotype"/>
          <w:sz w:val="24"/>
          <w:szCs w:val="24"/>
        </w:rPr>
      </w:pPr>
    </w:p>
    <w:p w14:paraId="2F1CF008" w14:textId="77777777" w:rsidR="00CC79AA" w:rsidRDefault="00CC79AA" w:rsidP="00CC79AA">
      <w:pPr>
        <w:tabs>
          <w:tab w:val="left" w:pos="7770"/>
          <w:tab w:val="right" w:pos="8838"/>
        </w:tabs>
        <w:spacing w:line="360" w:lineRule="auto"/>
        <w:jc w:val="both"/>
        <w:rPr>
          <w:rFonts w:ascii="Palatino Linotype" w:eastAsia="Calibri" w:hAnsi="Palatino Linotype"/>
          <w:bCs/>
          <w:sz w:val="24"/>
          <w:szCs w:val="24"/>
          <w:lang w:val="es-ES"/>
        </w:rPr>
      </w:pPr>
      <w:r>
        <w:rPr>
          <w:rFonts w:ascii="Palatino Linotype" w:eastAsia="Calibri" w:hAnsi="Palatino Linotype"/>
          <w:b/>
          <w:bCs/>
          <w:sz w:val="24"/>
          <w:szCs w:val="24"/>
          <w:lang w:val="es-ES"/>
        </w:rPr>
        <w:t>Firma de servidores públicos</w:t>
      </w:r>
      <w:r w:rsidRPr="00495BF6">
        <w:rPr>
          <w:rFonts w:ascii="Palatino Linotype" w:eastAsia="Calibri" w:hAnsi="Palatino Linotype"/>
          <w:b/>
          <w:bCs/>
          <w:sz w:val="24"/>
          <w:szCs w:val="24"/>
          <w:lang w:val="es-ES"/>
        </w:rPr>
        <w:t xml:space="preserve">: </w:t>
      </w:r>
      <w:r>
        <w:rPr>
          <w:rFonts w:ascii="Palatino Linotype" w:eastAsia="Calibri" w:hAnsi="Palatino Linotype"/>
          <w:bCs/>
          <w:sz w:val="24"/>
          <w:szCs w:val="24"/>
          <w:lang w:val="es-ES"/>
        </w:rPr>
        <w:t>T</w:t>
      </w:r>
      <w:r w:rsidRPr="00495BF6">
        <w:rPr>
          <w:rFonts w:ascii="Palatino Linotype" w:eastAsia="Calibri" w:hAnsi="Palatino Linotype"/>
          <w:bCs/>
          <w:sz w:val="24"/>
          <w:szCs w:val="24"/>
          <w:lang w:val="es-ES"/>
        </w:rPr>
        <w:t xml:space="preserve">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0431382E" w14:textId="77777777" w:rsidR="00CC79AA" w:rsidRDefault="00CC79AA" w:rsidP="00CC79AA">
      <w:pPr>
        <w:tabs>
          <w:tab w:val="left" w:pos="7770"/>
          <w:tab w:val="right" w:pos="8838"/>
        </w:tabs>
        <w:spacing w:line="360" w:lineRule="auto"/>
        <w:jc w:val="both"/>
        <w:rPr>
          <w:rFonts w:ascii="Palatino Linotype" w:eastAsia="Calibri" w:hAnsi="Palatino Linotype"/>
          <w:bCs/>
          <w:sz w:val="24"/>
          <w:szCs w:val="24"/>
          <w:lang w:val="es-ES"/>
        </w:rPr>
      </w:pPr>
    </w:p>
    <w:p w14:paraId="6F44E4F2" w14:textId="77777777" w:rsidR="00CC79AA" w:rsidRPr="00495BF6" w:rsidRDefault="00CC79AA" w:rsidP="00CC79AA">
      <w:pPr>
        <w:tabs>
          <w:tab w:val="left" w:pos="7770"/>
          <w:tab w:val="right" w:pos="8838"/>
        </w:tabs>
        <w:spacing w:line="360" w:lineRule="auto"/>
        <w:jc w:val="both"/>
        <w:rPr>
          <w:rFonts w:ascii="Palatino Linotype" w:eastAsia="Calibri" w:hAnsi="Palatino Linotype"/>
          <w:bCs/>
          <w:sz w:val="24"/>
          <w:szCs w:val="24"/>
          <w:lang w:val="es-ES"/>
        </w:rPr>
      </w:pPr>
      <w:r w:rsidRPr="00495BF6">
        <w:rPr>
          <w:rFonts w:ascii="Palatino Linotype" w:eastAsia="Calibri" w:hAnsi="Palatino Linotype"/>
          <w:bCs/>
          <w:sz w:val="24"/>
          <w:szCs w:val="24"/>
          <w:lang w:val="es-ES"/>
        </w:rPr>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1100682" w14:textId="77777777" w:rsidR="00CC79AA" w:rsidRDefault="00CC79AA" w:rsidP="00CC79AA">
      <w:pPr>
        <w:spacing w:line="360" w:lineRule="auto"/>
        <w:jc w:val="both"/>
        <w:rPr>
          <w:rFonts w:ascii="Palatino Linotype" w:hAnsi="Palatino Linotype" w:cs="Arial"/>
          <w:sz w:val="24"/>
          <w:szCs w:val="24"/>
        </w:rPr>
      </w:pPr>
    </w:p>
    <w:p w14:paraId="1ED686F7" w14:textId="77777777" w:rsidR="00CC79AA" w:rsidRPr="00495BF6" w:rsidRDefault="00CC79AA" w:rsidP="00CC79AA">
      <w:pPr>
        <w:spacing w:line="360" w:lineRule="auto"/>
        <w:jc w:val="both"/>
        <w:rPr>
          <w:rFonts w:ascii="Palatino Linotype" w:hAnsi="Palatino Linotype"/>
          <w:sz w:val="24"/>
          <w:szCs w:val="24"/>
        </w:rPr>
      </w:pPr>
    </w:p>
    <w:p w14:paraId="27046E20"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 xml:space="preserve">Ello, sin pasar por alto que la clasificación respectiva tiene que cumplirse mediante las formalidades impuestas por la ley; es decir, mediante Acuerdo debidamente fundado y </w:t>
      </w:r>
      <w:r w:rsidRPr="00495BF6">
        <w:rPr>
          <w:rFonts w:ascii="Palatino Linotype" w:hAnsi="Palatino Linotype"/>
          <w:sz w:val="24"/>
          <w:szCs w:val="24"/>
        </w:rPr>
        <w:lastRenderedPageBreak/>
        <w:t>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0018489"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 xml:space="preserve">Artículo 49. </w:t>
      </w:r>
      <w:r w:rsidRPr="00414522">
        <w:rPr>
          <w:rFonts w:ascii="Palatino Linotype" w:hAnsi="Palatino Linotype"/>
          <w:i/>
        </w:rPr>
        <w:t>Los Comités de Transparencia tendrán las siguientes atribuciones:</w:t>
      </w:r>
    </w:p>
    <w:p w14:paraId="05465D7B" w14:textId="77777777" w:rsidR="00CC79AA" w:rsidRPr="00414522" w:rsidRDefault="00CC79AA" w:rsidP="00CC79AA">
      <w:pPr>
        <w:spacing w:line="360" w:lineRule="auto"/>
        <w:ind w:left="567" w:right="616"/>
        <w:jc w:val="both"/>
        <w:rPr>
          <w:rFonts w:ascii="Palatino Linotype" w:hAnsi="Palatino Linotype"/>
          <w:bCs/>
          <w:i/>
        </w:rPr>
      </w:pPr>
      <w:r w:rsidRPr="00414522">
        <w:rPr>
          <w:rFonts w:ascii="Palatino Linotype" w:hAnsi="Palatino Linotype"/>
          <w:bCs/>
          <w:i/>
        </w:rPr>
        <w:t>(…)</w:t>
      </w:r>
    </w:p>
    <w:p w14:paraId="777CE5C3"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VIII.</w:t>
      </w:r>
      <w:r w:rsidRPr="00414522">
        <w:rPr>
          <w:rFonts w:ascii="Palatino Linotype" w:hAnsi="Palatino Linotype"/>
          <w:i/>
        </w:rPr>
        <w:t xml:space="preserve"> Aprobar, modificar o revocar la clasificación de la información;</w:t>
      </w:r>
    </w:p>
    <w:p w14:paraId="0D875EE2" w14:textId="77777777" w:rsidR="00CC79AA" w:rsidRPr="00414522" w:rsidRDefault="00CC79AA" w:rsidP="00CC79AA">
      <w:pPr>
        <w:spacing w:line="360" w:lineRule="auto"/>
        <w:ind w:left="567" w:right="616"/>
        <w:jc w:val="both"/>
        <w:rPr>
          <w:rFonts w:ascii="Palatino Linotype" w:hAnsi="Palatino Linotype"/>
          <w:bCs/>
          <w:i/>
        </w:rPr>
      </w:pPr>
      <w:r w:rsidRPr="00414522">
        <w:rPr>
          <w:rFonts w:ascii="Palatino Linotype" w:hAnsi="Palatino Linotype"/>
          <w:bCs/>
          <w:i/>
        </w:rPr>
        <w:t>(…)</w:t>
      </w:r>
    </w:p>
    <w:p w14:paraId="1D4FAD17" w14:textId="77777777" w:rsidR="00CC79AA" w:rsidRPr="00414522" w:rsidRDefault="00CC79AA" w:rsidP="00CC79AA">
      <w:pPr>
        <w:spacing w:line="360" w:lineRule="auto"/>
        <w:ind w:left="567" w:right="616"/>
        <w:jc w:val="both"/>
        <w:rPr>
          <w:rFonts w:ascii="Palatino Linotype" w:hAnsi="Palatino Linotype"/>
          <w:i/>
        </w:rPr>
      </w:pPr>
    </w:p>
    <w:p w14:paraId="14B00C8C" w14:textId="77777777" w:rsidR="00CC79AA" w:rsidRPr="007A3EF8" w:rsidRDefault="00CC79AA" w:rsidP="007A3EF8">
      <w:pPr>
        <w:spacing w:line="360" w:lineRule="auto"/>
        <w:ind w:left="567" w:right="616"/>
        <w:jc w:val="both"/>
        <w:rPr>
          <w:rFonts w:ascii="Palatino Linotype" w:hAnsi="Palatino Linotype"/>
          <w:i/>
        </w:rPr>
      </w:pPr>
      <w:r w:rsidRPr="00414522">
        <w:rPr>
          <w:rFonts w:ascii="Palatino Linotype" w:hAnsi="Palatino Linotype"/>
          <w:b/>
          <w:i/>
        </w:rPr>
        <w:t>Artículo 132.</w:t>
      </w:r>
      <w:r w:rsidRPr="00414522">
        <w:rPr>
          <w:rFonts w:ascii="Palatino Linotype" w:hAnsi="Palatino Linotype"/>
          <w:i/>
        </w:rPr>
        <w:t xml:space="preserve"> La clasificación de la información se llevará a cabo en el momento en que:</w:t>
      </w:r>
    </w:p>
    <w:p w14:paraId="40DE0B62"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I.</w:t>
      </w:r>
      <w:r w:rsidRPr="00414522">
        <w:rPr>
          <w:rFonts w:ascii="Palatino Linotype" w:hAnsi="Palatino Linotype"/>
          <w:i/>
        </w:rPr>
        <w:t xml:space="preserve"> Se reciba una solicitud de acceso a la información;</w:t>
      </w:r>
    </w:p>
    <w:p w14:paraId="2167951B"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II.</w:t>
      </w:r>
      <w:r w:rsidRPr="00414522">
        <w:rPr>
          <w:rFonts w:ascii="Palatino Linotype" w:hAnsi="Palatino Linotype"/>
          <w:i/>
        </w:rPr>
        <w:t xml:space="preserve"> Se determine mediante resolución de autoridad competente; o</w:t>
      </w:r>
    </w:p>
    <w:p w14:paraId="1DCFF2DE" w14:textId="77777777" w:rsidR="00CC79AA" w:rsidRPr="00414522" w:rsidRDefault="00CC79AA" w:rsidP="00CC79AA">
      <w:pPr>
        <w:spacing w:line="360" w:lineRule="auto"/>
        <w:ind w:left="567" w:right="616"/>
        <w:jc w:val="both"/>
        <w:rPr>
          <w:rFonts w:ascii="Palatino Linotype" w:hAnsi="Palatino Linotype"/>
          <w:b/>
          <w:i/>
        </w:rPr>
      </w:pPr>
      <w:r w:rsidRPr="00414522">
        <w:rPr>
          <w:rFonts w:ascii="Palatino Linotype" w:hAnsi="Palatino Linotype"/>
          <w:b/>
          <w:bCs/>
          <w:i/>
        </w:rPr>
        <w:t>III.</w:t>
      </w:r>
      <w:r w:rsidRPr="00414522">
        <w:rPr>
          <w:rFonts w:ascii="Palatino Linotype" w:hAnsi="Palatino Linotype"/>
          <w:i/>
        </w:rPr>
        <w:t xml:space="preserve"> Se generen versiones públicas para dar cumplimiento a las obligaciones de transparencia previstas en esta Ley.</w:t>
      </w:r>
      <w:r w:rsidRPr="00414522">
        <w:rPr>
          <w:rFonts w:ascii="Palatino Linotype" w:hAnsi="Palatino Linotype"/>
          <w:b/>
          <w:i/>
        </w:rPr>
        <w:t>”</w:t>
      </w:r>
    </w:p>
    <w:p w14:paraId="4DA5021E" w14:textId="77777777" w:rsidR="00CC79AA" w:rsidRPr="00414522" w:rsidRDefault="00CC79AA" w:rsidP="00CC79AA">
      <w:pPr>
        <w:spacing w:line="360" w:lineRule="auto"/>
        <w:ind w:left="567" w:right="616"/>
        <w:jc w:val="both"/>
        <w:rPr>
          <w:rFonts w:ascii="Palatino Linotype" w:hAnsi="Palatino Linotype"/>
          <w:b/>
          <w:i/>
        </w:rPr>
      </w:pPr>
    </w:p>
    <w:p w14:paraId="4E4F2013"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Segundo.-</w:t>
      </w:r>
      <w:r w:rsidRPr="00414522">
        <w:rPr>
          <w:rFonts w:ascii="Palatino Linotype" w:hAnsi="Palatino Linotype"/>
          <w:i/>
        </w:rPr>
        <w:t xml:space="preserve"> Para efectos de los presentes Lineamientos Generales, se entenderá por:</w:t>
      </w:r>
    </w:p>
    <w:p w14:paraId="4C8E5750"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i/>
        </w:rPr>
        <w:t>(…)</w:t>
      </w:r>
    </w:p>
    <w:p w14:paraId="0BB86CCF"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lastRenderedPageBreak/>
        <w:t>XVIII.</w:t>
      </w:r>
      <w:r w:rsidRPr="00414522">
        <w:rPr>
          <w:rFonts w:ascii="Palatino Linotype" w:hAnsi="Palatino Linotype"/>
          <w:i/>
        </w:rPr>
        <w:t xml:space="preserve"> </w:t>
      </w:r>
      <w:r w:rsidRPr="00414522">
        <w:rPr>
          <w:rFonts w:ascii="Palatino Linotype" w:hAnsi="Palatino Linotype"/>
          <w:b/>
          <w:i/>
        </w:rPr>
        <w:t>Versión pública:</w:t>
      </w:r>
      <w:r w:rsidRPr="00414522">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330562" w14:textId="77777777" w:rsidR="00CC79AA" w:rsidRPr="00414522" w:rsidRDefault="00CC79AA" w:rsidP="00CC79AA">
      <w:pPr>
        <w:spacing w:line="360" w:lineRule="auto"/>
        <w:ind w:left="567" w:right="616"/>
        <w:jc w:val="both"/>
        <w:rPr>
          <w:rFonts w:ascii="Palatino Linotype" w:hAnsi="Palatino Linotype"/>
          <w:b/>
          <w:i/>
        </w:rPr>
      </w:pPr>
    </w:p>
    <w:p w14:paraId="696265AD"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Cuarto.</w:t>
      </w:r>
      <w:r w:rsidRPr="00414522">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E39F52" w14:textId="77777777" w:rsidR="00CC79AA" w:rsidRPr="00414522" w:rsidRDefault="00CC79AA" w:rsidP="00CC79AA">
      <w:pPr>
        <w:spacing w:line="360" w:lineRule="auto"/>
        <w:ind w:left="567" w:right="616"/>
        <w:jc w:val="both"/>
        <w:rPr>
          <w:rFonts w:ascii="Palatino Linotype" w:hAnsi="Palatino Linotype"/>
          <w:i/>
        </w:rPr>
      </w:pPr>
    </w:p>
    <w:p w14:paraId="7D640831" w14:textId="77777777" w:rsidR="00CC79AA" w:rsidRDefault="00CC79AA" w:rsidP="00CC79AA">
      <w:pPr>
        <w:spacing w:line="360" w:lineRule="auto"/>
        <w:ind w:left="567" w:right="616"/>
        <w:jc w:val="both"/>
        <w:rPr>
          <w:rFonts w:ascii="Palatino Linotype" w:hAnsi="Palatino Linotype"/>
          <w:i/>
        </w:rPr>
      </w:pPr>
      <w:r w:rsidRPr="00414522">
        <w:rPr>
          <w:rFonts w:ascii="Palatino Linotype" w:hAnsi="Palatino Linotype"/>
          <w:i/>
        </w:rPr>
        <w:t>Los sujetos obligados deberán aplicar, de manera estricta, las excepciones al derecho de acceso a la información y sólo podrán invocarlas cuando acrediten su procedencia.</w:t>
      </w:r>
    </w:p>
    <w:p w14:paraId="019B464D" w14:textId="77777777" w:rsidR="007A3EF8" w:rsidRPr="005970FA" w:rsidRDefault="007A3EF8" w:rsidP="00CC79AA">
      <w:pPr>
        <w:spacing w:line="360" w:lineRule="auto"/>
        <w:ind w:left="567" w:right="616"/>
        <w:jc w:val="both"/>
        <w:rPr>
          <w:rFonts w:ascii="Palatino Linotype" w:hAnsi="Palatino Linotype"/>
          <w:i/>
        </w:rPr>
      </w:pPr>
    </w:p>
    <w:p w14:paraId="3CE4AD3F"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Quinto.</w:t>
      </w:r>
      <w:r w:rsidRPr="00414522">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414522">
        <w:rPr>
          <w:rFonts w:ascii="Palatino Linotype" w:hAnsi="Palatino Linotype"/>
          <w:i/>
        </w:rPr>
        <w:lastRenderedPageBreak/>
        <w:t>transparencia, observando lo dispuesto en la Ley General y las demás disposiciones aplicables en la materia.</w:t>
      </w:r>
    </w:p>
    <w:p w14:paraId="2BD72959" w14:textId="77777777" w:rsidR="00CC79AA" w:rsidRPr="00414522" w:rsidRDefault="00CC79AA" w:rsidP="00CC79AA">
      <w:pPr>
        <w:spacing w:line="360" w:lineRule="auto"/>
        <w:ind w:left="567" w:right="616"/>
        <w:jc w:val="both"/>
        <w:rPr>
          <w:rFonts w:ascii="Palatino Linotype" w:hAnsi="Palatino Linotype"/>
          <w:b/>
          <w:i/>
        </w:rPr>
      </w:pPr>
    </w:p>
    <w:p w14:paraId="785A0A01"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Séptimo.</w:t>
      </w:r>
      <w:r w:rsidRPr="00414522">
        <w:rPr>
          <w:rFonts w:ascii="Palatino Linotype" w:hAnsi="Palatino Linotype"/>
          <w:i/>
        </w:rPr>
        <w:t xml:space="preserve"> La clasificación de la información se llevará a cabo en el momento en que:</w:t>
      </w:r>
    </w:p>
    <w:p w14:paraId="313EBDED"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I.</w:t>
      </w:r>
      <w:r w:rsidRPr="00414522">
        <w:rPr>
          <w:rFonts w:ascii="Palatino Linotype" w:hAnsi="Palatino Linotype"/>
          <w:i/>
        </w:rPr>
        <w:t xml:space="preserve"> Se reciba una solicitud de acceso a la información;</w:t>
      </w:r>
    </w:p>
    <w:p w14:paraId="4F0906C9"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II.</w:t>
      </w:r>
      <w:r w:rsidRPr="00414522">
        <w:rPr>
          <w:rFonts w:ascii="Palatino Linotype" w:hAnsi="Palatino Linotype"/>
          <w:i/>
        </w:rPr>
        <w:t xml:space="preserve"> Se determine mediante resolución del Comité de Transparnecia, el órgano garante competente, o en cumplimiento a una sentencia del Poder Judicial; o</w:t>
      </w:r>
    </w:p>
    <w:p w14:paraId="2856371F"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III.</w:t>
      </w:r>
      <w:r w:rsidRPr="00414522">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0E8D5B89" w14:textId="77777777" w:rsidR="00CC79AA" w:rsidRPr="00414522" w:rsidRDefault="00CC79AA" w:rsidP="00CC79AA">
      <w:pPr>
        <w:spacing w:line="360" w:lineRule="auto"/>
        <w:ind w:left="567" w:right="616"/>
        <w:jc w:val="both"/>
        <w:rPr>
          <w:rFonts w:ascii="Palatino Linotype" w:hAnsi="Palatino Linotype"/>
          <w:i/>
        </w:rPr>
      </w:pPr>
    </w:p>
    <w:p w14:paraId="5FFD3DE1"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i/>
        </w:rPr>
        <w:t>Los titulares de las áreas deberán revisar la información requerida al momento de la recepción de una solicitud de acceso, para verificar si encuadra en una causal de reserva o de confidencialidad.</w:t>
      </w:r>
    </w:p>
    <w:p w14:paraId="113BD9E7" w14:textId="77777777" w:rsidR="00CC79AA" w:rsidRPr="00414522" w:rsidRDefault="00CC79AA" w:rsidP="00CC79AA">
      <w:pPr>
        <w:spacing w:line="360" w:lineRule="auto"/>
        <w:ind w:left="567" w:right="616"/>
        <w:jc w:val="both"/>
        <w:rPr>
          <w:rFonts w:ascii="Palatino Linotype" w:hAnsi="Palatino Linotype"/>
          <w:b/>
          <w:i/>
        </w:rPr>
      </w:pPr>
    </w:p>
    <w:p w14:paraId="40231B61"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Octavo.</w:t>
      </w:r>
      <w:r w:rsidRPr="00414522">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DDE3560" w14:textId="77777777" w:rsidR="00CC79AA" w:rsidRPr="00414522" w:rsidRDefault="00CC79AA" w:rsidP="00CC79AA">
      <w:pPr>
        <w:spacing w:line="360" w:lineRule="auto"/>
        <w:ind w:left="567" w:right="616"/>
        <w:jc w:val="both"/>
        <w:rPr>
          <w:rFonts w:ascii="Palatino Linotype" w:hAnsi="Palatino Linotype"/>
          <w:i/>
        </w:rPr>
      </w:pPr>
    </w:p>
    <w:p w14:paraId="70B2753F"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14:paraId="0948D5C5"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A3D9EFD" w14:textId="77777777" w:rsidR="00CC79AA" w:rsidRPr="00414522" w:rsidRDefault="00CC79AA" w:rsidP="00CC79AA">
      <w:pPr>
        <w:spacing w:line="360" w:lineRule="auto"/>
        <w:ind w:left="567" w:right="616"/>
        <w:jc w:val="both"/>
        <w:rPr>
          <w:rFonts w:ascii="Palatino Linotype" w:hAnsi="Palatino Linotype"/>
          <w:b/>
          <w:i/>
        </w:rPr>
      </w:pPr>
    </w:p>
    <w:p w14:paraId="39092122" w14:textId="77777777" w:rsidR="00CC79AA" w:rsidRPr="00F04F19"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Noveno.</w:t>
      </w:r>
      <w:r w:rsidRPr="00414522">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48EB4C"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Décimo.</w:t>
      </w:r>
      <w:r w:rsidRPr="00414522">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E778333" w14:textId="77777777" w:rsidR="00CC79AA" w:rsidRPr="00414522" w:rsidRDefault="00CC79AA" w:rsidP="00CC79AA">
      <w:pPr>
        <w:spacing w:line="360" w:lineRule="auto"/>
        <w:ind w:left="567" w:right="616"/>
        <w:jc w:val="both"/>
        <w:rPr>
          <w:rFonts w:ascii="Palatino Linotype" w:hAnsi="Palatino Linotype"/>
          <w:i/>
        </w:rPr>
      </w:pPr>
    </w:p>
    <w:p w14:paraId="09F10509" w14:textId="77777777" w:rsidR="00CC79AA" w:rsidRPr="00C6458A" w:rsidRDefault="00CC79AA" w:rsidP="00CC79AA">
      <w:pPr>
        <w:spacing w:line="360" w:lineRule="auto"/>
        <w:ind w:left="567" w:right="616"/>
        <w:jc w:val="both"/>
        <w:rPr>
          <w:rFonts w:ascii="Palatino Linotype" w:hAnsi="Palatino Linotype"/>
          <w:i/>
        </w:rPr>
      </w:pPr>
      <w:r w:rsidRPr="00414522">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7E5AE503" w14:textId="77777777" w:rsidR="00CC79AA" w:rsidRPr="00495BF6" w:rsidRDefault="00CC79AA" w:rsidP="00CC79AA">
      <w:pPr>
        <w:spacing w:line="360" w:lineRule="auto"/>
        <w:ind w:left="567" w:right="616"/>
        <w:jc w:val="both"/>
        <w:rPr>
          <w:rFonts w:ascii="Palatino Linotype" w:hAnsi="Palatino Linotype"/>
          <w:b/>
        </w:rPr>
      </w:pPr>
      <w:r w:rsidRPr="00414522">
        <w:rPr>
          <w:rFonts w:ascii="Palatino Linotype" w:hAnsi="Palatino Linotype"/>
          <w:b/>
          <w:i/>
        </w:rPr>
        <w:lastRenderedPageBreak/>
        <w:t>Décimo primero.</w:t>
      </w:r>
      <w:r w:rsidRPr="00414522">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0108D85" w14:textId="77777777" w:rsidR="007A3EF8" w:rsidRDefault="007A3EF8" w:rsidP="00CC79AA">
      <w:pPr>
        <w:spacing w:line="360" w:lineRule="auto"/>
        <w:jc w:val="both"/>
        <w:rPr>
          <w:rFonts w:ascii="Palatino Linotype" w:hAnsi="Palatino Linotype"/>
          <w:sz w:val="24"/>
          <w:szCs w:val="24"/>
        </w:rPr>
      </w:pPr>
    </w:p>
    <w:p w14:paraId="1611CA50"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38B0BDF" w14:textId="77777777" w:rsidR="00CC79AA" w:rsidRPr="00495BF6" w:rsidRDefault="00CC79AA" w:rsidP="00CC79AA">
      <w:pPr>
        <w:spacing w:line="360" w:lineRule="auto"/>
        <w:jc w:val="both"/>
        <w:rPr>
          <w:rFonts w:ascii="Palatino Linotype" w:hAnsi="Palatino Linotype"/>
          <w:sz w:val="24"/>
          <w:szCs w:val="24"/>
        </w:rPr>
      </w:pPr>
    </w:p>
    <w:p w14:paraId="485342F8"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D3D0D5E" w14:textId="77777777" w:rsidR="00CC79AA" w:rsidRPr="00495BF6" w:rsidRDefault="00CC79AA" w:rsidP="00CC79AA">
      <w:pPr>
        <w:spacing w:line="360" w:lineRule="auto"/>
        <w:jc w:val="both"/>
        <w:rPr>
          <w:rFonts w:ascii="Palatino Linotype" w:hAnsi="Palatino Linotype"/>
          <w:sz w:val="24"/>
          <w:szCs w:val="24"/>
        </w:rPr>
      </w:pPr>
    </w:p>
    <w:p w14:paraId="6A36B0DA"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lastRenderedPageBreak/>
        <w:t>Al respecto, el máximo tribunal del país ha establecido jurisprudencia respecto a qué debe entenderse por fundamentación y motivación, en los siguientes términos:</w:t>
      </w:r>
    </w:p>
    <w:p w14:paraId="4F2B9601" w14:textId="77777777" w:rsidR="00CC79AA" w:rsidRPr="00414522" w:rsidRDefault="00CC79AA" w:rsidP="00CC79AA">
      <w:pPr>
        <w:spacing w:line="360" w:lineRule="auto"/>
        <w:ind w:left="567" w:right="616"/>
        <w:jc w:val="both"/>
        <w:rPr>
          <w:rFonts w:ascii="Palatino Linotype" w:hAnsi="Palatino Linotype"/>
          <w:b/>
          <w:i/>
        </w:rPr>
      </w:pPr>
      <w:r w:rsidRPr="00414522">
        <w:rPr>
          <w:rFonts w:ascii="Palatino Linotype" w:hAnsi="Palatino Linotype"/>
          <w:b/>
          <w:i/>
        </w:rPr>
        <w:t xml:space="preserve">FUNDAMENTACIÓN Y MOTIVACIÓN. </w:t>
      </w:r>
    </w:p>
    <w:p w14:paraId="56267309"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1815D6" w14:textId="77777777" w:rsidR="00CC79AA" w:rsidRPr="004578B2" w:rsidRDefault="00CC79AA" w:rsidP="00CC79AA">
      <w:pPr>
        <w:spacing w:line="360" w:lineRule="auto"/>
        <w:jc w:val="both"/>
        <w:rPr>
          <w:rFonts w:ascii="Palatino Linotype" w:hAnsi="Palatino Linotype"/>
        </w:rPr>
      </w:pPr>
    </w:p>
    <w:p w14:paraId="630A65FE" w14:textId="77777777" w:rsidR="00CC79AA"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F7A468" w14:textId="77777777" w:rsidR="00CC79AA" w:rsidRPr="00495BF6" w:rsidRDefault="00CC79AA" w:rsidP="00CC79AA">
      <w:pPr>
        <w:spacing w:line="360" w:lineRule="auto"/>
        <w:jc w:val="both"/>
        <w:rPr>
          <w:rFonts w:ascii="Palatino Linotype" w:hAnsi="Palatino Linotype"/>
          <w:sz w:val="24"/>
          <w:szCs w:val="24"/>
        </w:rPr>
      </w:pPr>
    </w:p>
    <w:p w14:paraId="576AE92B"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B800A16"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b/>
          <w:i/>
        </w:rPr>
        <w:t>FUNDAMENTACIÓN Y MOTIVACIÓN. EL ASPECTO FORMAL DE LA GARANTÍA Y SU FINALIDAD SE TRADUCEN EN EXPLICAR, JUSTIFICAR, POSIBILITAR LA DEFENSA Y COMUNICAR LA DECISIÓN</w:t>
      </w:r>
      <w:r w:rsidRPr="00414522">
        <w:rPr>
          <w:rFonts w:ascii="Palatino Linotype" w:hAnsi="Palatino Linotype"/>
          <w:i/>
        </w:rPr>
        <w:t xml:space="preserve">. </w:t>
      </w:r>
    </w:p>
    <w:p w14:paraId="3A0FC44F" w14:textId="77777777" w:rsidR="00CC79AA" w:rsidRPr="00414522" w:rsidRDefault="00CC79AA" w:rsidP="00CC79AA">
      <w:pPr>
        <w:spacing w:line="360" w:lineRule="auto"/>
        <w:ind w:left="567" w:right="616"/>
        <w:jc w:val="both"/>
        <w:rPr>
          <w:rFonts w:ascii="Palatino Linotype" w:hAnsi="Palatino Linotype"/>
          <w:i/>
        </w:rPr>
      </w:pPr>
      <w:r w:rsidRPr="00414522">
        <w:rPr>
          <w:rFonts w:ascii="Palatino Linotype" w:hAnsi="Palatino Linotype"/>
          <w:i/>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9EAEE22" w14:textId="77777777" w:rsidR="00CC79AA" w:rsidRPr="004578B2" w:rsidRDefault="00CC79AA" w:rsidP="00CC79AA">
      <w:pPr>
        <w:spacing w:line="360" w:lineRule="auto"/>
        <w:jc w:val="both"/>
        <w:rPr>
          <w:rFonts w:ascii="Palatino Linotype" w:hAnsi="Palatino Linotype"/>
        </w:rPr>
      </w:pPr>
    </w:p>
    <w:p w14:paraId="14BE4341"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226D13A" w14:textId="77777777" w:rsidR="00CC79AA" w:rsidRPr="00495BF6" w:rsidRDefault="00CC79AA" w:rsidP="00CC79AA">
      <w:pPr>
        <w:spacing w:line="360" w:lineRule="auto"/>
        <w:jc w:val="both"/>
        <w:rPr>
          <w:rFonts w:ascii="Palatino Linotype" w:hAnsi="Palatino Linotype"/>
          <w:sz w:val="24"/>
          <w:szCs w:val="24"/>
        </w:rPr>
      </w:pPr>
    </w:p>
    <w:p w14:paraId="06359C41" w14:textId="77777777" w:rsidR="00CC79AA" w:rsidRPr="00495BF6" w:rsidRDefault="00CC79AA" w:rsidP="00CC79AA">
      <w:pPr>
        <w:spacing w:line="360" w:lineRule="auto"/>
        <w:jc w:val="both"/>
        <w:rPr>
          <w:rFonts w:ascii="Palatino Linotype" w:hAnsi="Palatino Linotype"/>
          <w:sz w:val="24"/>
          <w:szCs w:val="24"/>
        </w:rPr>
      </w:pPr>
      <w:r w:rsidRPr="00495BF6">
        <w:rPr>
          <w:rFonts w:ascii="Palatino Linotype" w:hAnsi="Palatino Linotype"/>
          <w:sz w:val="24"/>
          <w:szCs w:val="24"/>
        </w:rPr>
        <w:lastRenderedPageBreak/>
        <w:t>Por lo tanto, la entrega de documentos en su versión pública debe acompañarse necesariamente del Acuerdo del Comité de Transparencia del Sujeto Obligado</w:t>
      </w:r>
      <w:r w:rsidRPr="00495BF6">
        <w:rPr>
          <w:rFonts w:ascii="Palatino Linotype" w:hAnsi="Palatino Linotype"/>
          <w:b/>
          <w:sz w:val="24"/>
          <w:szCs w:val="24"/>
        </w:rPr>
        <w:t xml:space="preserve"> </w:t>
      </w:r>
      <w:r w:rsidRPr="00495BF6">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1B81898" w14:textId="77777777" w:rsidR="00CC79AA" w:rsidRDefault="00CC79AA" w:rsidP="003D2787">
      <w:pPr>
        <w:tabs>
          <w:tab w:val="left" w:pos="709"/>
        </w:tabs>
        <w:spacing w:before="240" w:line="360" w:lineRule="auto"/>
        <w:ind w:right="51"/>
        <w:jc w:val="both"/>
        <w:rPr>
          <w:rFonts w:ascii="Palatino Linotype" w:hAnsi="Palatino Linotype"/>
          <w:color w:val="222222"/>
          <w:sz w:val="24"/>
          <w:szCs w:val="24"/>
        </w:rPr>
      </w:pPr>
    </w:p>
    <w:p w14:paraId="1E9454CA" w14:textId="77777777" w:rsidR="003D2787" w:rsidRPr="00683EBB" w:rsidRDefault="003D2787" w:rsidP="003D2787">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t xml:space="preserve">En mérito de lo expuesto en líneas anteriores, resultan parcialmente fundados los motivos de inconformidad vertidos por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por ello con fundamento en el artículo 186 fracción III de la Ley de Transparencia y Acceso a la Información Pública del Estado de México y Municipios, se </w:t>
      </w:r>
      <w:r w:rsidR="007A3EF8">
        <w:rPr>
          <w:rFonts w:ascii="Palatino Linotype" w:eastAsia="Palatino Linotype" w:hAnsi="Palatino Linotype" w:cs="Palatino Linotype"/>
          <w:b/>
          <w:sz w:val="24"/>
          <w:szCs w:val="24"/>
        </w:rPr>
        <w:t>MODIFIC</w:t>
      </w:r>
      <w:r>
        <w:rPr>
          <w:rFonts w:ascii="Palatino Linotype" w:eastAsia="Palatino Linotype" w:hAnsi="Palatino Linotype" w:cs="Palatino Linotype"/>
          <w:b/>
          <w:sz w:val="24"/>
          <w:szCs w:val="24"/>
        </w:rPr>
        <w:t xml:space="preserve">A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información </w:t>
      </w:r>
      <w:r>
        <w:rPr>
          <w:rFonts w:ascii="Verdana" w:hAnsi="Verdana"/>
          <w:b/>
          <w:bCs/>
          <w:color w:val="FF0000"/>
        </w:rPr>
        <w:t> </w:t>
      </w:r>
      <w:r w:rsidR="007A3EF8" w:rsidRPr="007A3EF8">
        <w:rPr>
          <w:rFonts w:ascii="Palatino Linotype" w:hAnsi="Palatino Linotype"/>
          <w:b/>
          <w:bCs/>
          <w:sz w:val="24"/>
          <w:szCs w:val="24"/>
        </w:rPr>
        <w:t>00054/OASNAUCAL/IP/2025</w:t>
      </w:r>
      <w:r w:rsidRPr="00A979DA">
        <w:rPr>
          <w:rFonts w:ascii="Palatino Linotype" w:eastAsia="Palatino Linotype" w:hAnsi="Palatino Linotype" w:cs="Palatino Linotype"/>
          <w:b/>
          <w:sz w:val="24"/>
          <w:szCs w:val="24"/>
        </w:rPr>
        <w:t>,</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3B858D7E" w14:textId="77777777" w:rsidR="003D2787" w:rsidRDefault="003D2787" w:rsidP="003D2787">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0D91F8E3" w14:textId="77777777" w:rsidR="00F470E7" w:rsidRPr="00683EBB" w:rsidRDefault="00F470E7" w:rsidP="003D2787">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14:paraId="3405D556" w14:textId="77777777" w:rsidR="003D2787" w:rsidRPr="00683EBB" w:rsidRDefault="003D2787" w:rsidP="003D2787">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lastRenderedPageBreak/>
        <w:t>SE    RESUELVE</w:t>
      </w:r>
    </w:p>
    <w:p w14:paraId="5ED618E9" w14:textId="77777777" w:rsidR="003D2787" w:rsidRPr="00683EBB" w:rsidRDefault="003D2787" w:rsidP="003D2787">
      <w:pPr>
        <w:spacing w:before="240" w:line="360" w:lineRule="auto"/>
        <w:rPr>
          <w:rFonts w:ascii="Palatino Linotype" w:eastAsia="Palatino Linotype" w:hAnsi="Palatino Linotype" w:cs="Palatino Linotype"/>
          <w:b/>
          <w:sz w:val="24"/>
          <w:szCs w:val="24"/>
        </w:rPr>
      </w:pPr>
    </w:p>
    <w:p w14:paraId="56868639" w14:textId="77777777" w:rsidR="003D2787" w:rsidRDefault="003D2787" w:rsidP="003D2787">
      <w:pPr>
        <w:spacing w:before="24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sidR="007A3EF8">
        <w:rPr>
          <w:rFonts w:ascii="Palatino Linotype" w:eastAsia="Palatino Linotype" w:hAnsi="Palatino Linotype" w:cs="Palatino Linotype"/>
          <w:b/>
          <w:sz w:val="24"/>
          <w:szCs w:val="24"/>
        </w:rPr>
        <w:t>MODIFICA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007A3EF8" w:rsidRPr="007A3EF8">
        <w:rPr>
          <w:rFonts w:ascii="Palatino Linotype" w:hAnsi="Palatino Linotype"/>
          <w:b/>
          <w:bCs/>
          <w:sz w:val="24"/>
          <w:szCs w:val="24"/>
        </w:rPr>
        <w:t>00054/OASNAUCAL/IP/2025</w:t>
      </w:r>
      <w:r w:rsidR="007A3EF8">
        <w:rPr>
          <w:rFonts w:ascii="Palatino Linotype" w:hAnsi="Palatino Linotype"/>
          <w:b/>
          <w:bCs/>
          <w:sz w:val="24"/>
          <w:szCs w:val="24"/>
        </w:rPr>
        <w:t xml:space="preserve"> </w:t>
      </w:r>
      <w:r w:rsidRPr="00683EBB">
        <w:rPr>
          <w:rFonts w:ascii="Palatino Linotype" w:eastAsia="Palatino Linotype" w:hAnsi="Palatino Linotype" w:cs="Palatino Linotype"/>
          <w:b/>
          <w:sz w:val="24"/>
          <w:szCs w:val="24"/>
        </w:rPr>
        <w:t xml:space="preserve">por </w:t>
      </w:r>
      <w:r w:rsidRPr="00683EBB">
        <w:rPr>
          <w:rFonts w:ascii="Palatino Linotype" w:eastAsia="Palatino Linotype" w:hAnsi="Palatino Linotype" w:cs="Palatino Linotype"/>
          <w:sz w:val="24"/>
          <w:szCs w:val="24"/>
        </w:rPr>
        <w:t xml:space="preserve">resultar </w:t>
      </w:r>
      <w:r>
        <w:rPr>
          <w:rFonts w:ascii="Palatino Linotype" w:eastAsia="Palatino Linotype" w:hAnsi="Palatino Linotype" w:cs="Palatino Linotype"/>
          <w:sz w:val="24"/>
          <w:szCs w:val="24"/>
        </w:rPr>
        <w:t xml:space="preserve">parcialmente </w:t>
      </w:r>
      <w:r w:rsidRPr="00683EBB">
        <w:rPr>
          <w:rFonts w:ascii="Palatino Linotype" w:eastAsia="Palatino Linotype" w:hAnsi="Palatino Linotype" w:cs="Palatino Linotype"/>
          <w:sz w:val="24"/>
          <w:szCs w:val="24"/>
        </w:rPr>
        <w:t xml:space="preserve">fundados los motivos de inconformidad que arguye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QUINT</w:t>
      </w:r>
      <w:r w:rsidRPr="00683EBB">
        <w:rPr>
          <w:rFonts w:ascii="Palatino Linotype" w:eastAsia="Palatino Linotype" w:hAnsi="Palatino Linotype" w:cs="Palatino Linotype"/>
          <w:b/>
          <w:sz w:val="24"/>
          <w:szCs w:val="24"/>
        </w:rPr>
        <w:t xml:space="preserve">O </w:t>
      </w:r>
      <w:r>
        <w:rPr>
          <w:rFonts w:ascii="Palatino Linotype" w:eastAsia="Palatino Linotype" w:hAnsi="Palatino Linotype" w:cs="Palatino Linotype"/>
          <w:sz w:val="24"/>
          <w:szCs w:val="24"/>
        </w:rPr>
        <w:t xml:space="preserve">de la presente resolución. </w:t>
      </w:r>
    </w:p>
    <w:p w14:paraId="01D821E9" w14:textId="77777777" w:rsidR="003D2787" w:rsidRPr="00683EBB" w:rsidRDefault="003D2787" w:rsidP="003D2787">
      <w:pPr>
        <w:spacing w:before="240" w:line="360" w:lineRule="auto"/>
        <w:jc w:val="both"/>
        <w:rPr>
          <w:rFonts w:ascii="Palatino Linotype" w:eastAsia="Palatino Linotype" w:hAnsi="Palatino Linotype" w:cs="Palatino Linotype"/>
          <w:sz w:val="24"/>
          <w:szCs w:val="24"/>
        </w:rPr>
      </w:pPr>
    </w:p>
    <w:p w14:paraId="5B999C05" w14:textId="77777777" w:rsidR="003D2787" w:rsidRPr="00683EBB" w:rsidRDefault="003D2787" w:rsidP="003D2787">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Pr>
          <w:rFonts w:ascii="Palatino Linotype" w:eastAsia="Palatino Linotype" w:hAnsi="Palatino Linotype" w:cs="Palatino Linotype"/>
          <w:b/>
          <w:sz w:val="24"/>
          <w:szCs w:val="24"/>
        </w:rPr>
        <w:t>QUIN</w:t>
      </w:r>
      <w:r w:rsidRPr="00683EBB">
        <w:rPr>
          <w:rFonts w:ascii="Palatino Linotype" w:eastAsia="Palatino Linotype" w:hAnsi="Palatino Linotype" w:cs="Palatino Linotype"/>
          <w:b/>
          <w:sz w:val="24"/>
          <w:szCs w:val="24"/>
        </w:rPr>
        <w:t xml:space="preserve">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007A3EF8" w:rsidRPr="007A3EF8">
        <w:rPr>
          <w:rFonts w:ascii="Palatino Linotype" w:eastAsia="Palatino Linotype" w:hAnsi="Palatino Linotype" w:cs="Palatino Linotype"/>
          <w:sz w:val="24"/>
          <w:szCs w:val="24"/>
        </w:rPr>
        <w:t>previa búsqueda exhaustiva y razonable</w:t>
      </w:r>
      <w:r w:rsidR="007A3EF8">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de </w:t>
      </w:r>
      <w:r w:rsidRPr="00683EBB">
        <w:rPr>
          <w:rFonts w:ascii="Palatino Linotype" w:eastAsia="Palatino Linotype" w:hAnsi="Palatino Linotype" w:cs="Palatino Linotype"/>
          <w:sz w:val="24"/>
          <w:szCs w:val="24"/>
        </w:rPr>
        <w:t>lo siguiente:</w:t>
      </w:r>
    </w:p>
    <w:p w14:paraId="2F034463" w14:textId="77777777" w:rsidR="007A3EF8" w:rsidRDefault="007A3EF8" w:rsidP="00E00957">
      <w:pPr>
        <w:pStyle w:val="Prrafodelista"/>
        <w:numPr>
          <w:ilvl w:val="0"/>
          <w:numId w:val="13"/>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Palatino Linotype" w:hAnsi="Palatino Linotype" w:cs="Palatino Linotype"/>
          <w:sz w:val="24"/>
          <w:szCs w:val="24"/>
        </w:rPr>
        <w:t>S</w:t>
      </w:r>
      <w:r w:rsidRPr="007A3EF8">
        <w:rPr>
          <w:rFonts w:ascii="Palatino Linotype" w:eastAsia="Palatino Linotype" w:hAnsi="Palatino Linotype" w:cs="Palatino Linotype"/>
          <w:sz w:val="24"/>
          <w:szCs w:val="24"/>
        </w:rPr>
        <w:t xml:space="preserve">oporte documental que dé cuenta de los </w:t>
      </w:r>
      <w:r w:rsidRPr="007A3EF8">
        <w:rPr>
          <w:rFonts w:ascii="Palatino Linotype" w:eastAsia="Times New Roman" w:hAnsi="Palatino Linotype" w:cs="Palatino Linotype"/>
          <w:color w:val="000000"/>
          <w:sz w:val="24"/>
          <w:szCs w:val="24"/>
          <w:lang w:val="es-ES_tradnl" w:eastAsia="es-MX"/>
        </w:rPr>
        <w:t>costos totales de la inversión en infraestructura de drenaje de los años 2020,2021, 2022,2023 y 2024.</w:t>
      </w:r>
    </w:p>
    <w:p w14:paraId="2B6348E8" w14:textId="77777777" w:rsidR="00E00957" w:rsidRPr="007F6D4E" w:rsidRDefault="00E00957" w:rsidP="007F6D4E">
      <w:pPr>
        <w:spacing w:after="0" w:line="360" w:lineRule="auto"/>
        <w:ind w:left="360"/>
        <w:jc w:val="both"/>
        <w:rPr>
          <w:rFonts w:ascii="Palatino Linotype" w:eastAsia="Times New Roman" w:hAnsi="Palatino Linotype" w:cs="Palatino Linotype"/>
          <w:color w:val="000000"/>
          <w:sz w:val="24"/>
          <w:szCs w:val="24"/>
          <w:lang w:val="es-ES_tradnl" w:eastAsia="es-MX"/>
        </w:rPr>
      </w:pPr>
    </w:p>
    <w:p w14:paraId="1AF0B5F0" w14:textId="77777777" w:rsidR="007A3EF8" w:rsidRPr="007A3EF8" w:rsidRDefault="007A3EF8" w:rsidP="007A3EF8">
      <w:pPr>
        <w:pStyle w:val="INFOEM"/>
        <w:ind w:left="1068"/>
        <w:rPr>
          <w:sz w:val="24"/>
          <w:szCs w:val="24"/>
        </w:rPr>
      </w:pPr>
      <w:r w:rsidRPr="00D31877">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31877">
        <w:rPr>
          <w:b/>
          <w:szCs w:val="22"/>
        </w:rPr>
        <w:t>Recurrente</w:t>
      </w:r>
      <w:r w:rsidRPr="003A0CDE">
        <w:rPr>
          <w:sz w:val="24"/>
          <w:szCs w:val="24"/>
        </w:rPr>
        <w:t>.</w:t>
      </w:r>
    </w:p>
    <w:p w14:paraId="1F8080DF" w14:textId="77777777" w:rsidR="003D2787" w:rsidRPr="007A3EF8" w:rsidRDefault="007A3EF8" w:rsidP="007A3EF8">
      <w:pPr>
        <w:pBdr>
          <w:top w:val="nil"/>
          <w:left w:val="nil"/>
          <w:bottom w:val="nil"/>
          <w:right w:val="nil"/>
          <w:between w:val="nil"/>
        </w:pBdr>
        <w:spacing w:line="360" w:lineRule="auto"/>
        <w:ind w:left="708"/>
        <w:jc w:val="both"/>
        <w:rPr>
          <w:rFonts w:ascii="Palatino Linotype" w:hAnsi="Palatino Linotype"/>
          <w:i/>
          <w:color w:val="000000"/>
        </w:rPr>
      </w:pPr>
      <w:r w:rsidRPr="007A3EF8">
        <w:rPr>
          <w:rFonts w:ascii="Palatino Linotype" w:hAnsi="Palatino Linotype"/>
          <w:i/>
          <w:color w:val="000000"/>
        </w:rPr>
        <w:lastRenderedPageBreak/>
        <w:t>De ser el caso que no se hubiera generado erogación por concept</w:t>
      </w:r>
      <w:r w:rsidRPr="007A3EF8">
        <w:rPr>
          <w:rFonts w:ascii="Palatino Linotype" w:eastAsia="Times New Roman" w:hAnsi="Palatino Linotype" w:cs="Palatino Linotype"/>
          <w:i/>
          <w:color w:val="000000"/>
          <w:lang w:val="es-ES_tradnl" w:eastAsia="es-MX"/>
        </w:rPr>
        <w:t xml:space="preserve">o de inversión en infraestructura durante los años 2020,2021, 2022,2023 y 2024 </w:t>
      </w:r>
      <w:r w:rsidR="00E00957">
        <w:rPr>
          <w:rFonts w:ascii="Palatino Linotype" w:eastAsia="Times New Roman" w:hAnsi="Palatino Linotype" w:cs="Palatino Linotype"/>
          <w:i/>
          <w:color w:val="000000"/>
          <w:lang w:val="es-ES_tradnl" w:eastAsia="es-MX"/>
        </w:rPr>
        <w:t xml:space="preserve">bastara </w:t>
      </w:r>
      <w:r w:rsidRPr="007A3EF8">
        <w:rPr>
          <w:rFonts w:ascii="Palatino Linotype" w:eastAsia="Times New Roman" w:hAnsi="Palatino Linotype" w:cs="Palatino Linotype"/>
          <w:i/>
          <w:color w:val="000000"/>
          <w:lang w:val="es-ES_tradnl" w:eastAsia="es-MX"/>
        </w:rPr>
        <w:t>con que así lo manifieste el Sujeto Obligado en los términos establecidos por el segundo párrafo del artículo 19 de la Ley de Transparencia Local</w:t>
      </w:r>
      <w:r>
        <w:rPr>
          <w:rFonts w:ascii="Palatino Linotype" w:eastAsia="Times New Roman" w:hAnsi="Palatino Linotype" w:cs="Palatino Linotype"/>
          <w:i/>
          <w:color w:val="000000"/>
          <w:lang w:val="es-ES_tradnl" w:eastAsia="es-MX"/>
        </w:rPr>
        <w:t>.</w:t>
      </w:r>
    </w:p>
    <w:p w14:paraId="1FDCA5D5" w14:textId="77777777" w:rsidR="00E00957" w:rsidRDefault="00E00957" w:rsidP="003D2787">
      <w:pPr>
        <w:spacing w:line="360" w:lineRule="auto"/>
        <w:jc w:val="both"/>
        <w:rPr>
          <w:rFonts w:ascii="Palatino Linotype" w:eastAsia="Palatino Linotype" w:hAnsi="Palatino Linotype" w:cs="Palatino Linotype"/>
          <w:b/>
          <w:sz w:val="28"/>
          <w:szCs w:val="28"/>
        </w:rPr>
      </w:pPr>
    </w:p>
    <w:p w14:paraId="6ED2A668" w14:textId="77777777" w:rsidR="003D2787" w:rsidRDefault="003D2787" w:rsidP="003D278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46CF4E" w14:textId="77777777" w:rsidR="003D2787" w:rsidRPr="004B7B0F" w:rsidRDefault="003D2787" w:rsidP="003D2787">
      <w:pPr>
        <w:spacing w:line="360" w:lineRule="auto"/>
        <w:jc w:val="both"/>
        <w:rPr>
          <w:rFonts w:ascii="Palatino Linotype" w:eastAsia="Palatino Linotype" w:hAnsi="Palatino Linotype" w:cs="Palatino Linotype"/>
          <w:sz w:val="24"/>
          <w:szCs w:val="24"/>
        </w:rPr>
      </w:pPr>
    </w:p>
    <w:p w14:paraId="118BAFFE" w14:textId="77777777" w:rsidR="003D2787" w:rsidRDefault="003D2787" w:rsidP="003D27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EB4FC8" w14:textId="77777777" w:rsidR="003D2787" w:rsidRDefault="003D2787" w:rsidP="003D2787">
      <w:pPr>
        <w:spacing w:line="360" w:lineRule="auto"/>
        <w:jc w:val="both"/>
        <w:rPr>
          <w:rFonts w:ascii="Palatino Linotype" w:eastAsia="Palatino Linotype" w:hAnsi="Palatino Linotype" w:cs="Palatino Linotype"/>
        </w:rPr>
      </w:pPr>
      <w:bookmarkStart w:id="0" w:name="_gjdgxs" w:colFirst="0" w:colLast="0"/>
      <w:bookmarkEnd w:id="0"/>
    </w:p>
    <w:p w14:paraId="7C608172" w14:textId="77777777" w:rsidR="003D2787" w:rsidRDefault="003D2787" w:rsidP="003D2787">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lastRenderedPageBreak/>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1D52F1CB" w14:textId="77777777" w:rsidR="003D2787" w:rsidRPr="00526425" w:rsidRDefault="003D2787" w:rsidP="003D2787">
      <w:pPr>
        <w:spacing w:line="360" w:lineRule="auto"/>
        <w:jc w:val="both"/>
        <w:rPr>
          <w:rFonts w:ascii="Palatino Linotype" w:hAnsi="Palatino Linotype" w:cs="Arial"/>
          <w:lang w:val="es-ES" w:eastAsia="es-ES"/>
        </w:rPr>
      </w:pPr>
    </w:p>
    <w:p w14:paraId="1212CA7F" w14:textId="10B9995A" w:rsidR="003D2787" w:rsidRDefault="003D2787" w:rsidP="003D2787">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w:t>
      </w:r>
      <w:r>
        <w:rPr>
          <w:rFonts w:ascii="Palatino Linotype" w:eastAsia="Times New Roman" w:hAnsi="Palatino Linotype" w:cs="Arial"/>
          <w:sz w:val="24"/>
          <w:szCs w:val="24"/>
          <w:lang w:val="es-ES_tradnl" w:eastAsia="es-MX"/>
        </w:rPr>
        <w:t xml:space="preserve"> Y GUADALUPE RAMÍREZ PEÑA</w:t>
      </w:r>
      <w:r w:rsidR="00D632AF">
        <w:rPr>
          <w:rFonts w:ascii="Palatino Linotype" w:eastAsia="Times New Roman" w:hAnsi="Palatino Linotype" w:cs="Arial"/>
          <w:sz w:val="24"/>
          <w:szCs w:val="24"/>
          <w:lang w:val="es-ES_tradnl" w:eastAsia="es-MX"/>
        </w:rPr>
        <w:t xml:space="preserve"> (</w:t>
      </w:r>
      <w:r w:rsidR="00D632AF">
        <w:rPr>
          <w:rFonts w:ascii="Palatino Linotype" w:eastAsia="Times New Roman" w:hAnsi="Palatino Linotype" w:cs="Arial"/>
          <w:sz w:val="24"/>
          <w:szCs w:val="24"/>
          <w:u w:val="single"/>
          <w:lang w:val="es-ES_tradnl" w:eastAsia="es-MX"/>
        </w:rPr>
        <w:t>AUSENCIA JUSTIFICADA)</w:t>
      </w:r>
      <w:r w:rsidRPr="00F444C4">
        <w:rPr>
          <w:rFonts w:ascii="Palatino Linotype" w:eastAsia="Times New Roman" w:hAnsi="Palatino Linotype" w:cs="Arial"/>
          <w:sz w:val="24"/>
          <w:szCs w:val="24"/>
          <w:lang w:val="es-ES_tradnl" w:eastAsia="es-MX"/>
        </w:rPr>
        <w:t xml:space="preserve">,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Pr>
          <w:rFonts w:ascii="Palatino Linotype" w:eastAsia="Times New Roman" w:hAnsi="Palatino Linotype" w:cs="Arial"/>
          <w:b/>
          <w:bCs/>
          <w:sz w:val="24"/>
          <w:szCs w:val="24"/>
          <w:lang w:val="es-419" w:eastAsia="es-MX"/>
        </w:rPr>
        <w:t>VIGESIMA</w:t>
      </w:r>
      <w:r w:rsidR="008D7857">
        <w:rPr>
          <w:rFonts w:ascii="Palatino Linotype" w:eastAsia="Times New Roman" w:hAnsi="Palatino Linotype" w:cs="Arial"/>
          <w:b/>
          <w:bCs/>
          <w:sz w:val="24"/>
          <w:szCs w:val="24"/>
          <w:lang w:val="es-419" w:eastAsia="es-MX"/>
        </w:rPr>
        <w:t xml:space="preserve"> CUARTA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8D7857">
        <w:rPr>
          <w:rFonts w:ascii="Palatino Linotype" w:eastAsia="Times New Roman" w:hAnsi="Palatino Linotype" w:cs="Arial"/>
          <w:b/>
          <w:bCs/>
          <w:sz w:val="24"/>
          <w:szCs w:val="24"/>
          <w:lang w:val="es-419" w:eastAsia="es-MX"/>
        </w:rPr>
        <w:t>DOS DE JULIO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C83F94">
        <w:rPr>
          <w:rFonts w:ascii="Palatino Linotype" w:hAnsi="Palatino Linotype" w:cs="Arial"/>
        </w:rPr>
        <w:t>------------------------------------------------------------------------------------------------------------------------------------------------------------------------------------------------------------------------------------------------------------------------------------------------------------------------------------------------------------------------------------------------------------------------------------------------------------------------------------------------------------------------------------------------------------------------------------------</w:t>
      </w:r>
      <w:r w:rsidR="00C83F94">
        <w:rPr>
          <w:rFonts w:ascii="Palatino Linotype" w:hAnsi="Palatino Linotype" w:cs="Arial"/>
        </w:rPr>
        <w:t>-----------------------------------------------------------------</w:t>
      </w:r>
    </w:p>
    <w:p w14:paraId="75EF2421" w14:textId="77777777" w:rsidR="003D2787" w:rsidRPr="00647A07" w:rsidRDefault="003D2787" w:rsidP="003D2787">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7249F674" w14:textId="77777777" w:rsidR="003D2787" w:rsidRPr="00F444C4" w:rsidRDefault="003D2787" w:rsidP="003D2787">
      <w:pPr>
        <w:spacing w:after="0" w:line="360" w:lineRule="auto"/>
        <w:jc w:val="both"/>
        <w:rPr>
          <w:rFonts w:ascii="Palatino Linotype" w:eastAsia="Times New Roman" w:hAnsi="Palatino Linotype" w:cs="Arial"/>
          <w:sz w:val="20"/>
          <w:lang w:val="es-ES_tradnl" w:eastAsia="es-MX"/>
        </w:rPr>
      </w:pPr>
    </w:p>
    <w:p w14:paraId="1A80B2B5" w14:textId="77777777" w:rsidR="003D2787" w:rsidRPr="00F444C4" w:rsidRDefault="003D2787" w:rsidP="003D2787">
      <w:pPr>
        <w:spacing w:after="0" w:line="360" w:lineRule="auto"/>
        <w:jc w:val="both"/>
        <w:rPr>
          <w:rFonts w:ascii="Palatino Linotype" w:eastAsia="Times New Roman" w:hAnsi="Palatino Linotype" w:cs="Arial"/>
          <w:sz w:val="20"/>
          <w:lang w:val="es-ES_tradnl" w:eastAsia="es-MX"/>
        </w:rPr>
      </w:pPr>
    </w:p>
    <w:p w14:paraId="56549940"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68821BE"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F83224F" w14:textId="77777777" w:rsidR="003D2787" w:rsidRPr="00F444C4" w:rsidRDefault="003D2787" w:rsidP="003D278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A926FBF" w14:textId="77777777" w:rsidR="003D2787" w:rsidRPr="00F444C4" w:rsidRDefault="003D2787" w:rsidP="003D2787">
      <w:pPr>
        <w:spacing w:after="0" w:line="360" w:lineRule="auto"/>
        <w:jc w:val="both"/>
        <w:rPr>
          <w:rFonts w:ascii="Palatino Linotype" w:eastAsia="Times New Roman" w:hAnsi="Palatino Linotype" w:cs="Calibri"/>
          <w:sz w:val="24"/>
          <w:lang w:val="es-ES_tradnl" w:eastAsia="es-MX"/>
        </w:rPr>
      </w:pPr>
      <w:bookmarkStart w:id="1" w:name="_GoBack"/>
      <w:bookmarkEnd w:id="1"/>
    </w:p>
    <w:p w14:paraId="6ED5D464" w14:textId="77777777" w:rsidR="003D2787" w:rsidRDefault="003D2787" w:rsidP="003D2787">
      <w:pPr>
        <w:spacing w:line="360" w:lineRule="auto"/>
      </w:pPr>
    </w:p>
    <w:p w14:paraId="1C41F0A6" w14:textId="77777777" w:rsidR="003D2787" w:rsidRDefault="003D2787" w:rsidP="003D2787">
      <w:pPr>
        <w:spacing w:line="360" w:lineRule="auto"/>
      </w:pPr>
    </w:p>
    <w:p w14:paraId="28B9CE92" w14:textId="77777777" w:rsidR="003D2787" w:rsidRDefault="003D2787" w:rsidP="003D2787">
      <w:pPr>
        <w:spacing w:line="360" w:lineRule="auto"/>
      </w:pPr>
    </w:p>
    <w:p w14:paraId="7B368EB4" w14:textId="77777777" w:rsidR="003D2787" w:rsidRDefault="003D2787" w:rsidP="003D2787">
      <w:pPr>
        <w:spacing w:line="360" w:lineRule="auto"/>
      </w:pPr>
    </w:p>
    <w:p w14:paraId="770D7D28" w14:textId="77777777" w:rsidR="003D2787" w:rsidRDefault="003D2787" w:rsidP="003D2787">
      <w:pPr>
        <w:spacing w:line="360" w:lineRule="auto"/>
      </w:pPr>
    </w:p>
    <w:p w14:paraId="5B876BC7" w14:textId="77777777" w:rsidR="003D2787" w:rsidRDefault="003D2787" w:rsidP="003D2787"/>
    <w:p w14:paraId="753EA20F" w14:textId="77777777" w:rsidR="003D2787" w:rsidRDefault="003D2787" w:rsidP="003D2787"/>
    <w:p w14:paraId="7EDC0172" w14:textId="77777777" w:rsidR="003D2787" w:rsidRDefault="003D2787" w:rsidP="003D2787"/>
    <w:p w14:paraId="5930771C" w14:textId="77777777" w:rsidR="003D2787" w:rsidRDefault="003D2787" w:rsidP="003D2787"/>
    <w:p w14:paraId="33566163" w14:textId="77777777" w:rsidR="003D2787" w:rsidRDefault="003D2787" w:rsidP="003D2787"/>
    <w:p w14:paraId="13E2E23E" w14:textId="77777777" w:rsidR="003D2787" w:rsidRDefault="003D2787" w:rsidP="003D2787"/>
    <w:p w14:paraId="020E1EBF" w14:textId="77777777" w:rsidR="003D2787" w:rsidRDefault="003D2787" w:rsidP="003D2787"/>
    <w:p w14:paraId="72BE3E08" w14:textId="77777777" w:rsidR="00592646" w:rsidRDefault="00592646"/>
    <w:sectPr w:rsidR="00592646" w:rsidSect="00BE1514">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577D9" w14:textId="77777777" w:rsidR="005F5C8A" w:rsidRDefault="005F5C8A" w:rsidP="003D2787">
      <w:pPr>
        <w:spacing w:after="0" w:line="240" w:lineRule="auto"/>
      </w:pPr>
      <w:r>
        <w:separator/>
      </w:r>
    </w:p>
  </w:endnote>
  <w:endnote w:type="continuationSeparator" w:id="0">
    <w:p w14:paraId="590B0C1F" w14:textId="77777777" w:rsidR="005F5C8A" w:rsidRDefault="005F5C8A" w:rsidP="003D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43C8C" w14:textId="77777777" w:rsidR="00BE1514" w:rsidRPr="00871A91" w:rsidRDefault="00BE1514" w:rsidP="00BE151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3F94">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3F94">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D4D54" w14:textId="77777777" w:rsidR="00BE1514" w:rsidRPr="00871A91" w:rsidRDefault="00BE1514" w:rsidP="00BE151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3F9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3F94">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BB43E" w14:textId="77777777" w:rsidR="005F5C8A" w:rsidRDefault="005F5C8A" w:rsidP="003D2787">
      <w:pPr>
        <w:spacing w:after="0" w:line="240" w:lineRule="auto"/>
      </w:pPr>
      <w:r>
        <w:separator/>
      </w:r>
    </w:p>
  </w:footnote>
  <w:footnote w:type="continuationSeparator" w:id="0">
    <w:p w14:paraId="1C4AB885" w14:textId="77777777" w:rsidR="005F5C8A" w:rsidRDefault="005F5C8A" w:rsidP="003D2787">
      <w:pPr>
        <w:spacing w:after="0" w:line="240" w:lineRule="auto"/>
      </w:pPr>
      <w:r>
        <w:continuationSeparator/>
      </w:r>
    </w:p>
  </w:footnote>
  <w:footnote w:id="1">
    <w:p w14:paraId="2478AA24" w14:textId="77777777" w:rsidR="00BE1514" w:rsidRPr="0031280C" w:rsidRDefault="00BE1514" w:rsidP="003D278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423D9F4" w14:textId="77777777" w:rsidR="00BE1514" w:rsidRPr="0031280C" w:rsidRDefault="00BE1514" w:rsidP="003D2787">
      <w:pPr>
        <w:rPr>
          <w:rFonts w:cs="Palatino Linotype"/>
          <w:color w:val="000000"/>
          <w:sz w:val="20"/>
          <w:szCs w:val="20"/>
        </w:rPr>
      </w:pPr>
    </w:p>
    <w:p w14:paraId="2E6D4C4B" w14:textId="77777777" w:rsidR="00BE1514" w:rsidRPr="0031280C" w:rsidRDefault="00BE1514" w:rsidP="003D278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214AD3E" w14:textId="77777777" w:rsidR="00BE1514" w:rsidRPr="00783A97" w:rsidRDefault="00BE1514" w:rsidP="003D278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46EEC0" w14:textId="77777777" w:rsidR="00CC79AA" w:rsidRDefault="00CC79AA" w:rsidP="00CC79AA">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5D8" w14:textId="77777777" w:rsidR="00BE1514" w:rsidRDefault="00C83F94">
    <w:pPr>
      <w:pStyle w:val="Encabezado"/>
    </w:pPr>
    <w:r>
      <w:rPr>
        <w:noProof/>
        <w:lang w:val="es-MX" w:eastAsia="es-MX"/>
      </w:rPr>
      <w:pict w14:anchorId="530D9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BE1514" w:rsidRPr="00B17577" w14:paraId="340907D7" w14:textId="77777777" w:rsidTr="00BE1514">
      <w:trPr>
        <w:trHeight w:val="237"/>
      </w:trPr>
      <w:tc>
        <w:tcPr>
          <w:tcW w:w="5180" w:type="dxa"/>
          <w:hideMark/>
        </w:tcPr>
        <w:p w14:paraId="4F311AE0" w14:textId="77777777" w:rsidR="00BE1514" w:rsidRPr="00F70BDE" w:rsidRDefault="00BE1514" w:rsidP="00BE151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29E0E6F5" w14:textId="77777777" w:rsidR="00BE1514" w:rsidRPr="00F70BDE" w:rsidRDefault="00BE1514" w:rsidP="00BE1514">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3235/INFOEM/IP/RR/2025</w:t>
          </w:r>
        </w:p>
      </w:tc>
    </w:tr>
    <w:tr w:rsidR="00BE1514" w14:paraId="11F76793" w14:textId="77777777" w:rsidTr="00BE1514">
      <w:trPr>
        <w:trHeight w:val="252"/>
      </w:trPr>
      <w:tc>
        <w:tcPr>
          <w:tcW w:w="5180" w:type="dxa"/>
          <w:hideMark/>
        </w:tcPr>
        <w:p w14:paraId="597E9DD8" w14:textId="77777777" w:rsidR="00BE1514" w:rsidRPr="00F70BDE" w:rsidRDefault="00BE1514" w:rsidP="00BE151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697A4008" w14:textId="77777777" w:rsidR="00BE1514" w:rsidRPr="003049C3" w:rsidRDefault="00BE1514" w:rsidP="00BE1514">
          <w:pPr>
            <w:spacing w:after="120" w:line="240" w:lineRule="auto"/>
            <w:ind w:left="-81" w:right="71"/>
            <w:jc w:val="right"/>
            <w:rPr>
              <w:rFonts w:ascii="Palatino Linotype" w:hAnsi="Palatino Linotype" w:cs="Arial"/>
              <w:sz w:val="24"/>
              <w:szCs w:val="24"/>
            </w:rPr>
          </w:pPr>
          <w:r w:rsidRPr="003D2787">
            <w:rPr>
              <w:rFonts w:ascii="Palatino Linotype" w:hAnsi="Palatino Linotype"/>
              <w:b/>
              <w:bCs/>
              <w:color w:val="000000"/>
              <w:sz w:val="24"/>
              <w:szCs w:val="24"/>
            </w:rPr>
            <w:t>Organismo Público Descentralizado para la Prestación de Los Servicios de Agua Potable Alcantarillado y Saneamiento del Municipio de Naucalpan de Juárez</w:t>
          </w:r>
        </w:p>
      </w:tc>
    </w:tr>
    <w:tr w:rsidR="00BE1514" w:rsidRPr="00F63239" w14:paraId="6F67FDBB" w14:textId="77777777" w:rsidTr="00BE1514">
      <w:trPr>
        <w:trHeight w:val="357"/>
      </w:trPr>
      <w:tc>
        <w:tcPr>
          <w:tcW w:w="5180" w:type="dxa"/>
          <w:hideMark/>
        </w:tcPr>
        <w:p w14:paraId="5B4D1EC2" w14:textId="77777777" w:rsidR="00BE1514" w:rsidRPr="00F70BDE" w:rsidRDefault="00BE1514" w:rsidP="00BE1514">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38A1E6B2" w14:textId="77777777" w:rsidR="00BE1514" w:rsidRPr="00F70BDE" w:rsidRDefault="00BE1514" w:rsidP="00BE1514">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361C1BEC" w14:textId="77777777" w:rsidR="00BE1514" w:rsidRPr="00F70BDE" w:rsidRDefault="00BE1514" w:rsidP="00BE1514">
          <w:pPr>
            <w:spacing w:after="120" w:line="240" w:lineRule="auto"/>
            <w:ind w:left="-486" w:right="71" w:firstLine="567"/>
            <w:jc w:val="right"/>
            <w:rPr>
              <w:rFonts w:ascii="Palatino Linotype" w:hAnsi="Palatino Linotype" w:cs="Arial"/>
              <w:sz w:val="24"/>
              <w:szCs w:val="24"/>
            </w:rPr>
          </w:pPr>
        </w:p>
      </w:tc>
    </w:tr>
  </w:tbl>
  <w:p w14:paraId="037DD657" w14:textId="77777777" w:rsidR="00BE1514" w:rsidRPr="00871A91" w:rsidRDefault="00C83F94">
    <w:pPr>
      <w:pStyle w:val="Encabezado"/>
      <w:rPr>
        <w:sz w:val="2"/>
      </w:rPr>
    </w:pPr>
    <w:r>
      <w:rPr>
        <w:noProof/>
        <w:lang w:val="es-MX" w:eastAsia="es-MX"/>
      </w:rPr>
      <w:pict w14:anchorId="4B408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BE151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E1514" w:rsidRPr="00F70BDE" w14:paraId="52C65F8A" w14:textId="77777777" w:rsidTr="00BE1514">
      <w:trPr>
        <w:trHeight w:val="227"/>
      </w:trPr>
      <w:tc>
        <w:tcPr>
          <w:tcW w:w="5103" w:type="dxa"/>
          <w:hideMark/>
        </w:tcPr>
        <w:p w14:paraId="51452822" w14:textId="77777777" w:rsidR="00BE1514" w:rsidRPr="00F70BDE" w:rsidRDefault="00BE1514" w:rsidP="00BE151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65218A60" w14:textId="77777777" w:rsidR="00BE1514" w:rsidRPr="00F70BDE" w:rsidRDefault="00BE1514" w:rsidP="00BE1514">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03235/INFOEM/IP/RR/2025</w:t>
          </w:r>
        </w:p>
      </w:tc>
    </w:tr>
    <w:tr w:rsidR="00BE1514" w:rsidRPr="00F70BDE" w14:paraId="37287F68" w14:textId="77777777" w:rsidTr="00BE1514">
      <w:trPr>
        <w:trHeight w:val="227"/>
      </w:trPr>
      <w:tc>
        <w:tcPr>
          <w:tcW w:w="5103" w:type="dxa"/>
        </w:tcPr>
        <w:p w14:paraId="1F4C02BB" w14:textId="77777777" w:rsidR="00BE1514" w:rsidRPr="00F70BDE" w:rsidRDefault="00BE1514" w:rsidP="00BE151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4211925B" w14:textId="77777777" w:rsidR="00BE1514" w:rsidRPr="00F70BDE" w:rsidRDefault="00BE1514" w:rsidP="00BE1514">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 ciudadano</w:t>
          </w:r>
        </w:p>
      </w:tc>
    </w:tr>
    <w:tr w:rsidR="00BE1514" w:rsidRPr="00F70BDE" w14:paraId="411E39D1" w14:textId="77777777" w:rsidTr="00BE1514">
      <w:trPr>
        <w:trHeight w:val="242"/>
      </w:trPr>
      <w:tc>
        <w:tcPr>
          <w:tcW w:w="5103" w:type="dxa"/>
          <w:hideMark/>
        </w:tcPr>
        <w:p w14:paraId="27AC8429" w14:textId="77777777" w:rsidR="00BE1514" w:rsidRPr="00F70BDE" w:rsidRDefault="00BE1514" w:rsidP="00BE151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2056E865" w14:textId="77777777" w:rsidR="00BE1514" w:rsidRPr="003D2787" w:rsidRDefault="00BE1514" w:rsidP="00BE1514">
          <w:pPr>
            <w:spacing w:after="120" w:line="240" w:lineRule="auto"/>
            <w:ind w:left="-70" w:right="68"/>
            <w:jc w:val="right"/>
            <w:rPr>
              <w:rFonts w:ascii="Palatino Linotype" w:hAnsi="Palatino Linotype" w:cs="Arial"/>
              <w:sz w:val="24"/>
              <w:szCs w:val="24"/>
            </w:rPr>
          </w:pPr>
          <w:r w:rsidRPr="003D2787">
            <w:rPr>
              <w:rFonts w:ascii="Palatino Linotype" w:hAnsi="Palatino Linotype"/>
              <w:b/>
              <w:bCs/>
              <w:color w:val="000000"/>
              <w:sz w:val="24"/>
              <w:szCs w:val="24"/>
            </w:rPr>
            <w:t>Organismo Público Descentralizado para la Prestación de Los Servicios de Agua Potable Alcantarillado y Saneamiento del Municipio de Naucalpan de Juárez</w:t>
          </w:r>
        </w:p>
      </w:tc>
    </w:tr>
    <w:tr w:rsidR="00BE1514" w:rsidRPr="00F70BDE" w14:paraId="45C60543" w14:textId="77777777" w:rsidTr="00BE1514">
      <w:trPr>
        <w:trHeight w:val="342"/>
      </w:trPr>
      <w:tc>
        <w:tcPr>
          <w:tcW w:w="5103" w:type="dxa"/>
          <w:hideMark/>
        </w:tcPr>
        <w:p w14:paraId="3F9CD992" w14:textId="77777777" w:rsidR="00BE1514" w:rsidRPr="00F70BDE" w:rsidRDefault="00BE1514" w:rsidP="00BE1514">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7F539D49" w14:textId="77777777" w:rsidR="00BE1514" w:rsidRPr="00F70BDE" w:rsidRDefault="00BE1514" w:rsidP="00BE1514">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58C4AC09" w14:textId="77777777" w:rsidR="00BE1514" w:rsidRPr="00871A91" w:rsidRDefault="00BE1514">
    <w:pPr>
      <w:pStyle w:val="Encabezado"/>
      <w:rPr>
        <w:sz w:val="2"/>
      </w:rPr>
    </w:pPr>
    <w:r>
      <w:rPr>
        <w:noProof/>
        <w:lang w:val="es-MX" w:eastAsia="es-MX"/>
      </w:rPr>
      <w:drawing>
        <wp:anchor distT="0" distB="0" distL="114300" distR="114300" simplePos="0" relativeHeight="251659264" behindDoc="1" locked="0" layoutInCell="0" allowOverlap="1" wp14:anchorId="0583D391" wp14:editId="2D580305">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A14E1"/>
    <w:multiLevelType w:val="hybridMultilevel"/>
    <w:tmpl w:val="335E08CC"/>
    <w:lvl w:ilvl="0" w:tplc="16865DB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6F8425E"/>
    <w:multiLevelType w:val="hybridMultilevel"/>
    <w:tmpl w:val="87C893DE"/>
    <w:lvl w:ilvl="0" w:tplc="3DD2115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B8817A1"/>
    <w:multiLevelType w:val="hybridMultilevel"/>
    <w:tmpl w:val="BCDA6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1E6127"/>
    <w:multiLevelType w:val="hybridMultilevel"/>
    <w:tmpl w:val="BBDC8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240C0E"/>
    <w:multiLevelType w:val="hybridMultilevel"/>
    <w:tmpl w:val="BCDA6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391A26"/>
    <w:multiLevelType w:val="hybridMultilevel"/>
    <w:tmpl w:val="33E07340"/>
    <w:lvl w:ilvl="0" w:tplc="4ADEAB2C">
      <w:start w:val="1"/>
      <w:numFmt w:val="decimal"/>
      <w:lvlText w:val="%1."/>
      <w:lvlJc w:val="left"/>
      <w:pPr>
        <w:ind w:left="720" w:hanging="360"/>
      </w:pPr>
      <w:rPr>
        <w:rFonts w:eastAsia="Palatino Linotyp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992C89"/>
    <w:multiLevelType w:val="hybridMultilevel"/>
    <w:tmpl w:val="24D0AD74"/>
    <w:lvl w:ilvl="0" w:tplc="2D347BBA">
      <w:start w:val="18"/>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3BC4CA8"/>
    <w:multiLevelType w:val="hybridMultilevel"/>
    <w:tmpl w:val="012C73D4"/>
    <w:lvl w:ilvl="0" w:tplc="4596075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74454F52"/>
    <w:multiLevelType w:val="hybridMultilevel"/>
    <w:tmpl w:val="F68C0526"/>
    <w:lvl w:ilvl="0" w:tplc="6CD460CC">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1"/>
  </w:num>
  <w:num w:numId="6">
    <w:abstractNumId w:val="9"/>
  </w:num>
  <w:num w:numId="7">
    <w:abstractNumId w:val="0"/>
  </w:num>
  <w:num w:numId="8">
    <w:abstractNumId w:val="7"/>
  </w:num>
  <w:num w:numId="9">
    <w:abstractNumId w:val="5"/>
  </w:num>
  <w:num w:numId="10">
    <w:abstractNumId w:val="10"/>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87"/>
    <w:rsid w:val="000B168C"/>
    <w:rsid w:val="00141B5C"/>
    <w:rsid w:val="001D4B76"/>
    <w:rsid w:val="0026071D"/>
    <w:rsid w:val="002946FD"/>
    <w:rsid w:val="003571FD"/>
    <w:rsid w:val="003B48D1"/>
    <w:rsid w:val="003D2787"/>
    <w:rsid w:val="00592646"/>
    <w:rsid w:val="005F5C8A"/>
    <w:rsid w:val="006312A2"/>
    <w:rsid w:val="00676BBB"/>
    <w:rsid w:val="00712E8F"/>
    <w:rsid w:val="00764B52"/>
    <w:rsid w:val="00770CAE"/>
    <w:rsid w:val="007A3EF8"/>
    <w:rsid w:val="007F6D4E"/>
    <w:rsid w:val="00876332"/>
    <w:rsid w:val="00894EC1"/>
    <w:rsid w:val="008D7857"/>
    <w:rsid w:val="00A1328E"/>
    <w:rsid w:val="00B2301B"/>
    <w:rsid w:val="00B271AA"/>
    <w:rsid w:val="00B44E3B"/>
    <w:rsid w:val="00B9504F"/>
    <w:rsid w:val="00BC71F9"/>
    <w:rsid w:val="00BE1514"/>
    <w:rsid w:val="00C83F94"/>
    <w:rsid w:val="00CC79AA"/>
    <w:rsid w:val="00D07F6F"/>
    <w:rsid w:val="00D14342"/>
    <w:rsid w:val="00D632AF"/>
    <w:rsid w:val="00DB39B1"/>
    <w:rsid w:val="00DD34EB"/>
    <w:rsid w:val="00E00957"/>
    <w:rsid w:val="00E361B1"/>
    <w:rsid w:val="00E429C6"/>
    <w:rsid w:val="00E4501D"/>
    <w:rsid w:val="00F470E7"/>
    <w:rsid w:val="00F928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6BEE0"/>
  <w15:chartTrackingRefBased/>
  <w15:docId w15:val="{1179A93B-AFF1-4F36-A5D5-C50FCD35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2787"/>
    <w:pPr>
      <w:ind w:left="720"/>
      <w:contextualSpacing/>
    </w:pPr>
  </w:style>
  <w:style w:type="paragraph" w:styleId="Encabezado">
    <w:name w:val="header"/>
    <w:basedOn w:val="Normal"/>
    <w:link w:val="EncabezadoCar"/>
    <w:uiPriority w:val="99"/>
    <w:unhideWhenUsed/>
    <w:rsid w:val="003D278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D278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D278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D2787"/>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2787"/>
  </w:style>
  <w:style w:type="character" w:styleId="Hipervnculo">
    <w:name w:val="Hyperlink"/>
    <w:basedOn w:val="Fuentedeprrafopredeter"/>
    <w:uiPriority w:val="99"/>
    <w:unhideWhenUsed/>
    <w:rsid w:val="003D2787"/>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D2787"/>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D2787"/>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D2787"/>
    <w:rPr>
      <w:vertAlign w:val="superscript"/>
    </w:rPr>
  </w:style>
  <w:style w:type="paragraph" w:customStyle="1" w:styleId="INFOEM">
    <w:name w:val="INFOEM"/>
    <w:basedOn w:val="Normal"/>
    <w:qFormat/>
    <w:rsid w:val="003D2787"/>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8844</Words>
  <Characters>48643</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INFOEM492</cp:lastModifiedBy>
  <cp:revision>4</cp:revision>
  <dcterms:created xsi:type="dcterms:W3CDTF">2025-06-27T13:43:00Z</dcterms:created>
  <dcterms:modified xsi:type="dcterms:W3CDTF">2025-06-27T16:02:00Z</dcterms:modified>
</cp:coreProperties>
</file>