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095426DA" w:rsidR="00A50615" w:rsidRDefault="00C73479" w:rsidP="006A42EE">
          <w:pPr>
            <w:pStyle w:val="TtuloTDC"/>
            <w:spacing w:before="0" w:line="360" w:lineRule="auto"/>
            <w:jc w:val="center"/>
          </w:pPr>
          <w:r>
            <w:rPr>
              <w:rFonts w:ascii="Palatino Linotype" w:eastAsia="Palatino Linotype" w:hAnsi="Palatino Linotype" w:cs="Palatino Linotype"/>
              <w:color w:val="000000" w:themeColor="text1"/>
              <w:sz w:val="22"/>
              <w:szCs w:val="22"/>
              <w:lang w:val="es-ES"/>
            </w:rPr>
            <w:t xml:space="preserve">RESOLUCIÓN DEL RECURSO DE REVISIÓN </w:t>
          </w:r>
          <w:r w:rsidR="009743AC">
            <w:rPr>
              <w:rFonts w:ascii="Palatino Linotype" w:eastAsia="Palatino Linotype" w:hAnsi="Palatino Linotype" w:cs="Palatino Linotype"/>
              <w:color w:val="000000" w:themeColor="text1"/>
              <w:sz w:val="22"/>
              <w:szCs w:val="22"/>
              <w:lang w:val="es-ES"/>
            </w:rPr>
            <w:t>05831</w:t>
          </w:r>
          <w:r w:rsidR="001724BB">
            <w:rPr>
              <w:rFonts w:ascii="Palatino Linotype" w:eastAsia="Palatino Linotype" w:hAnsi="Palatino Linotype" w:cs="Palatino Linotype"/>
              <w:color w:val="000000" w:themeColor="text1"/>
              <w:sz w:val="22"/>
              <w:szCs w:val="22"/>
              <w:lang w:val="es-ES"/>
            </w:rPr>
            <w:t>/INFOEM/IP/RR/2025</w:t>
          </w:r>
        </w:p>
        <w:p w14:paraId="0DDF9D24" w14:textId="67C8F54C" w:rsidR="00B44943" w:rsidRDefault="00A50615" w:rsidP="006A42EE">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r>
            <w:fldChar w:fldCharType="begin"/>
          </w:r>
          <w:r>
            <w:instrText xml:space="preserve"> TOC \o "1-3" \h \z \u </w:instrText>
          </w:r>
          <w:r>
            <w:fldChar w:fldCharType="separate"/>
          </w:r>
          <w:hyperlink w:anchor="_Toc187931499" w:history="1">
            <w:r w:rsidR="00B44943" w:rsidRPr="00421F1E">
              <w:rPr>
                <w:rStyle w:val="Hipervnculo"/>
                <w:noProof/>
              </w:rPr>
              <w:t>A N T E C E D E N T E S</w:t>
            </w:r>
            <w:r w:rsidR="00B44943">
              <w:rPr>
                <w:noProof/>
                <w:webHidden/>
              </w:rPr>
              <w:tab/>
            </w:r>
            <w:r w:rsidR="00B44943">
              <w:rPr>
                <w:noProof/>
                <w:webHidden/>
              </w:rPr>
              <w:fldChar w:fldCharType="begin"/>
            </w:r>
            <w:r w:rsidR="00B44943">
              <w:rPr>
                <w:noProof/>
                <w:webHidden/>
              </w:rPr>
              <w:instrText xml:space="preserve"> PAGEREF _Toc187931499 \h </w:instrText>
            </w:r>
            <w:r w:rsidR="00B44943">
              <w:rPr>
                <w:noProof/>
                <w:webHidden/>
              </w:rPr>
            </w:r>
            <w:r w:rsidR="00B44943">
              <w:rPr>
                <w:noProof/>
                <w:webHidden/>
              </w:rPr>
              <w:fldChar w:fldCharType="separate"/>
            </w:r>
            <w:r w:rsidR="00B44943">
              <w:rPr>
                <w:noProof/>
                <w:webHidden/>
              </w:rPr>
              <w:t>2</w:t>
            </w:r>
            <w:r w:rsidR="00B44943">
              <w:rPr>
                <w:noProof/>
                <w:webHidden/>
              </w:rPr>
              <w:fldChar w:fldCharType="end"/>
            </w:r>
          </w:hyperlink>
        </w:p>
        <w:p w14:paraId="569C23CD" w14:textId="2F2E15AE"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0" w:history="1">
            <w:r w:rsidRPr="00421F1E">
              <w:rPr>
                <w:rStyle w:val="Hipervnculo"/>
                <w:noProof/>
              </w:rPr>
              <w:t>I. Presentación de la solicitud</w:t>
            </w:r>
            <w:r>
              <w:rPr>
                <w:noProof/>
                <w:webHidden/>
              </w:rPr>
              <w:tab/>
            </w:r>
            <w:r>
              <w:rPr>
                <w:noProof/>
                <w:webHidden/>
              </w:rPr>
              <w:fldChar w:fldCharType="begin"/>
            </w:r>
            <w:r>
              <w:rPr>
                <w:noProof/>
                <w:webHidden/>
              </w:rPr>
              <w:instrText xml:space="preserve"> PAGEREF _Toc187931500 \h </w:instrText>
            </w:r>
            <w:r>
              <w:rPr>
                <w:noProof/>
                <w:webHidden/>
              </w:rPr>
            </w:r>
            <w:r>
              <w:rPr>
                <w:noProof/>
                <w:webHidden/>
              </w:rPr>
              <w:fldChar w:fldCharType="separate"/>
            </w:r>
            <w:r>
              <w:rPr>
                <w:noProof/>
                <w:webHidden/>
              </w:rPr>
              <w:t>2</w:t>
            </w:r>
            <w:r>
              <w:rPr>
                <w:noProof/>
                <w:webHidden/>
              </w:rPr>
              <w:fldChar w:fldCharType="end"/>
            </w:r>
          </w:hyperlink>
        </w:p>
        <w:p w14:paraId="3F165261" w14:textId="76633889"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1" w:history="1">
            <w:r w:rsidRPr="00421F1E">
              <w:rPr>
                <w:rStyle w:val="Hipervnculo"/>
                <w:noProof/>
              </w:rPr>
              <w:t>II. Respuesta del Sujeto Obligado</w:t>
            </w:r>
            <w:r>
              <w:rPr>
                <w:noProof/>
                <w:webHidden/>
              </w:rPr>
              <w:tab/>
            </w:r>
            <w:r>
              <w:rPr>
                <w:noProof/>
                <w:webHidden/>
              </w:rPr>
              <w:fldChar w:fldCharType="begin"/>
            </w:r>
            <w:r>
              <w:rPr>
                <w:noProof/>
                <w:webHidden/>
              </w:rPr>
              <w:instrText xml:space="preserve"> PAGEREF _Toc187931501 \h </w:instrText>
            </w:r>
            <w:r>
              <w:rPr>
                <w:noProof/>
                <w:webHidden/>
              </w:rPr>
            </w:r>
            <w:r>
              <w:rPr>
                <w:noProof/>
                <w:webHidden/>
              </w:rPr>
              <w:fldChar w:fldCharType="separate"/>
            </w:r>
            <w:r>
              <w:rPr>
                <w:noProof/>
                <w:webHidden/>
              </w:rPr>
              <w:t>3</w:t>
            </w:r>
            <w:r>
              <w:rPr>
                <w:noProof/>
                <w:webHidden/>
              </w:rPr>
              <w:fldChar w:fldCharType="end"/>
            </w:r>
          </w:hyperlink>
        </w:p>
        <w:p w14:paraId="56632416" w14:textId="5800BF3C"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2" w:history="1">
            <w:r w:rsidRPr="00421F1E">
              <w:rPr>
                <w:rStyle w:val="Hipervnculo"/>
                <w:noProof/>
              </w:rPr>
              <w:t>III. Interposición del Recurso de Revisión</w:t>
            </w:r>
            <w:r>
              <w:rPr>
                <w:noProof/>
                <w:webHidden/>
              </w:rPr>
              <w:tab/>
            </w:r>
            <w:r>
              <w:rPr>
                <w:noProof/>
                <w:webHidden/>
              </w:rPr>
              <w:fldChar w:fldCharType="begin"/>
            </w:r>
            <w:r>
              <w:rPr>
                <w:noProof/>
                <w:webHidden/>
              </w:rPr>
              <w:instrText xml:space="preserve"> PAGEREF _Toc187931502 \h </w:instrText>
            </w:r>
            <w:r>
              <w:rPr>
                <w:noProof/>
                <w:webHidden/>
              </w:rPr>
            </w:r>
            <w:r>
              <w:rPr>
                <w:noProof/>
                <w:webHidden/>
              </w:rPr>
              <w:fldChar w:fldCharType="separate"/>
            </w:r>
            <w:r>
              <w:rPr>
                <w:noProof/>
                <w:webHidden/>
              </w:rPr>
              <w:t>3</w:t>
            </w:r>
            <w:r>
              <w:rPr>
                <w:noProof/>
                <w:webHidden/>
              </w:rPr>
              <w:fldChar w:fldCharType="end"/>
            </w:r>
          </w:hyperlink>
        </w:p>
        <w:p w14:paraId="346C3975" w14:textId="0B7D5FD6"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3" w:history="1">
            <w:r w:rsidRPr="00421F1E">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_Toc187931503 \h </w:instrText>
            </w:r>
            <w:r>
              <w:rPr>
                <w:noProof/>
                <w:webHidden/>
              </w:rPr>
            </w:r>
            <w:r>
              <w:rPr>
                <w:noProof/>
                <w:webHidden/>
              </w:rPr>
              <w:fldChar w:fldCharType="separate"/>
            </w:r>
            <w:r>
              <w:rPr>
                <w:noProof/>
                <w:webHidden/>
              </w:rPr>
              <w:t>4</w:t>
            </w:r>
            <w:r>
              <w:rPr>
                <w:noProof/>
                <w:webHidden/>
              </w:rPr>
              <w:fldChar w:fldCharType="end"/>
            </w:r>
          </w:hyperlink>
        </w:p>
        <w:p w14:paraId="36E512B3" w14:textId="2C0F25A4" w:rsidR="00B44943" w:rsidRDefault="00B44943" w:rsidP="006A42EE">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04" w:history="1">
            <w:r w:rsidRPr="00421F1E">
              <w:rPr>
                <w:rStyle w:val="Hipervnculo"/>
                <w:noProof/>
              </w:rPr>
              <w:t>C O N S I D E R A N D O S</w:t>
            </w:r>
            <w:r>
              <w:rPr>
                <w:noProof/>
                <w:webHidden/>
              </w:rPr>
              <w:tab/>
            </w:r>
            <w:r>
              <w:rPr>
                <w:noProof/>
                <w:webHidden/>
              </w:rPr>
              <w:fldChar w:fldCharType="begin"/>
            </w:r>
            <w:r>
              <w:rPr>
                <w:noProof/>
                <w:webHidden/>
              </w:rPr>
              <w:instrText xml:space="preserve"> PAGEREF _Toc187931504 \h </w:instrText>
            </w:r>
            <w:r>
              <w:rPr>
                <w:noProof/>
                <w:webHidden/>
              </w:rPr>
            </w:r>
            <w:r>
              <w:rPr>
                <w:noProof/>
                <w:webHidden/>
              </w:rPr>
              <w:fldChar w:fldCharType="separate"/>
            </w:r>
            <w:r>
              <w:rPr>
                <w:noProof/>
                <w:webHidden/>
              </w:rPr>
              <w:t>5</w:t>
            </w:r>
            <w:r>
              <w:rPr>
                <w:noProof/>
                <w:webHidden/>
              </w:rPr>
              <w:fldChar w:fldCharType="end"/>
            </w:r>
          </w:hyperlink>
        </w:p>
        <w:p w14:paraId="0D0B24AA" w14:textId="1E86D0D2"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5" w:history="1">
            <w:r w:rsidRPr="00421F1E">
              <w:rPr>
                <w:rStyle w:val="Hipervnculo"/>
                <w:noProof/>
              </w:rPr>
              <w:t>PRIMERO. Competencia</w:t>
            </w:r>
            <w:r>
              <w:rPr>
                <w:noProof/>
                <w:webHidden/>
              </w:rPr>
              <w:tab/>
            </w:r>
            <w:r>
              <w:rPr>
                <w:noProof/>
                <w:webHidden/>
              </w:rPr>
              <w:fldChar w:fldCharType="begin"/>
            </w:r>
            <w:r>
              <w:rPr>
                <w:noProof/>
                <w:webHidden/>
              </w:rPr>
              <w:instrText xml:space="preserve"> PAGEREF _Toc187931505 \h </w:instrText>
            </w:r>
            <w:r>
              <w:rPr>
                <w:noProof/>
                <w:webHidden/>
              </w:rPr>
            </w:r>
            <w:r>
              <w:rPr>
                <w:noProof/>
                <w:webHidden/>
              </w:rPr>
              <w:fldChar w:fldCharType="separate"/>
            </w:r>
            <w:r>
              <w:rPr>
                <w:noProof/>
                <w:webHidden/>
              </w:rPr>
              <w:t>5</w:t>
            </w:r>
            <w:r>
              <w:rPr>
                <w:noProof/>
                <w:webHidden/>
              </w:rPr>
              <w:fldChar w:fldCharType="end"/>
            </w:r>
          </w:hyperlink>
        </w:p>
        <w:p w14:paraId="7F8A33BE" w14:textId="11AF4F6C"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6" w:history="1">
            <w:r w:rsidRPr="00421F1E">
              <w:rPr>
                <w:rStyle w:val="Hipervnculo"/>
                <w:noProof/>
              </w:rPr>
              <w:t>SEGUNDO. Causales de improcedencia y sobreseimiento</w:t>
            </w:r>
            <w:r>
              <w:rPr>
                <w:noProof/>
                <w:webHidden/>
              </w:rPr>
              <w:tab/>
            </w:r>
            <w:r>
              <w:rPr>
                <w:noProof/>
                <w:webHidden/>
              </w:rPr>
              <w:fldChar w:fldCharType="begin"/>
            </w:r>
            <w:r>
              <w:rPr>
                <w:noProof/>
                <w:webHidden/>
              </w:rPr>
              <w:instrText xml:space="preserve"> PAGEREF _Toc187931506 \h </w:instrText>
            </w:r>
            <w:r>
              <w:rPr>
                <w:noProof/>
                <w:webHidden/>
              </w:rPr>
            </w:r>
            <w:r>
              <w:rPr>
                <w:noProof/>
                <w:webHidden/>
              </w:rPr>
              <w:fldChar w:fldCharType="separate"/>
            </w:r>
            <w:r>
              <w:rPr>
                <w:noProof/>
                <w:webHidden/>
              </w:rPr>
              <w:t>5</w:t>
            </w:r>
            <w:r>
              <w:rPr>
                <w:noProof/>
                <w:webHidden/>
              </w:rPr>
              <w:fldChar w:fldCharType="end"/>
            </w:r>
          </w:hyperlink>
        </w:p>
        <w:p w14:paraId="73F003BF" w14:textId="682D29EF"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7" w:history="1">
            <w:r w:rsidRPr="00421F1E">
              <w:rPr>
                <w:rStyle w:val="Hipervnculo"/>
                <w:noProof/>
              </w:rPr>
              <w:t>TERCERO. Determinación de la Controversia.</w:t>
            </w:r>
            <w:r>
              <w:rPr>
                <w:noProof/>
                <w:webHidden/>
              </w:rPr>
              <w:tab/>
            </w:r>
            <w:r>
              <w:rPr>
                <w:noProof/>
                <w:webHidden/>
              </w:rPr>
              <w:fldChar w:fldCharType="begin"/>
            </w:r>
            <w:r>
              <w:rPr>
                <w:noProof/>
                <w:webHidden/>
              </w:rPr>
              <w:instrText xml:space="preserve"> PAGEREF _Toc187931507 \h </w:instrText>
            </w:r>
            <w:r>
              <w:rPr>
                <w:noProof/>
                <w:webHidden/>
              </w:rPr>
            </w:r>
            <w:r>
              <w:rPr>
                <w:noProof/>
                <w:webHidden/>
              </w:rPr>
              <w:fldChar w:fldCharType="separate"/>
            </w:r>
            <w:r>
              <w:rPr>
                <w:noProof/>
                <w:webHidden/>
              </w:rPr>
              <w:t>7</w:t>
            </w:r>
            <w:r>
              <w:rPr>
                <w:noProof/>
                <w:webHidden/>
              </w:rPr>
              <w:fldChar w:fldCharType="end"/>
            </w:r>
          </w:hyperlink>
        </w:p>
        <w:p w14:paraId="59CC9CD0" w14:textId="3FD6424D"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8" w:history="1">
            <w:r w:rsidRPr="00421F1E">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_Toc187931508 \h </w:instrText>
            </w:r>
            <w:r>
              <w:rPr>
                <w:noProof/>
                <w:webHidden/>
              </w:rPr>
            </w:r>
            <w:r>
              <w:rPr>
                <w:noProof/>
                <w:webHidden/>
              </w:rPr>
              <w:fldChar w:fldCharType="separate"/>
            </w:r>
            <w:r>
              <w:rPr>
                <w:noProof/>
                <w:webHidden/>
              </w:rPr>
              <w:t>11</w:t>
            </w:r>
            <w:r>
              <w:rPr>
                <w:noProof/>
                <w:webHidden/>
              </w:rPr>
              <w:fldChar w:fldCharType="end"/>
            </w:r>
          </w:hyperlink>
        </w:p>
        <w:p w14:paraId="19A8BD18" w14:textId="208FDA1A"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09" w:history="1">
            <w:r w:rsidRPr="00421F1E">
              <w:rPr>
                <w:rStyle w:val="Hipervnculo"/>
                <w:caps/>
                <w:noProof/>
              </w:rPr>
              <w:t>Quinto.</w:t>
            </w:r>
            <w:r w:rsidRPr="00421F1E">
              <w:rPr>
                <w:rStyle w:val="Hipervnculo"/>
                <w:noProof/>
              </w:rPr>
              <w:t xml:space="preserve"> Estudio de Fondo</w:t>
            </w:r>
            <w:r>
              <w:rPr>
                <w:noProof/>
                <w:webHidden/>
              </w:rPr>
              <w:tab/>
            </w:r>
            <w:r>
              <w:rPr>
                <w:noProof/>
                <w:webHidden/>
              </w:rPr>
              <w:fldChar w:fldCharType="begin"/>
            </w:r>
            <w:r>
              <w:rPr>
                <w:noProof/>
                <w:webHidden/>
              </w:rPr>
              <w:instrText xml:space="preserve"> PAGEREF _Toc187931509 \h </w:instrText>
            </w:r>
            <w:r>
              <w:rPr>
                <w:noProof/>
                <w:webHidden/>
              </w:rPr>
            </w:r>
            <w:r>
              <w:rPr>
                <w:noProof/>
                <w:webHidden/>
              </w:rPr>
              <w:fldChar w:fldCharType="separate"/>
            </w:r>
            <w:r>
              <w:rPr>
                <w:noProof/>
                <w:webHidden/>
              </w:rPr>
              <w:t>12</w:t>
            </w:r>
            <w:r>
              <w:rPr>
                <w:noProof/>
                <w:webHidden/>
              </w:rPr>
              <w:fldChar w:fldCharType="end"/>
            </w:r>
          </w:hyperlink>
        </w:p>
        <w:p w14:paraId="796AF9E9" w14:textId="26499FA8" w:rsidR="00B44943" w:rsidRDefault="00B44943" w:rsidP="006A42EE">
          <w:pPr>
            <w:pStyle w:val="TDC2"/>
            <w:rPr>
              <w:rFonts w:asciiTheme="minorHAnsi" w:eastAsiaTheme="minorEastAsia" w:hAnsiTheme="minorHAnsi" w:cstheme="minorBidi"/>
              <w:noProof/>
              <w:color w:val="auto"/>
              <w:kern w:val="2"/>
              <w14:ligatures w14:val="standardContextual"/>
            </w:rPr>
          </w:pPr>
          <w:hyperlink w:anchor="_Toc187931510" w:history="1">
            <w:r w:rsidRPr="00421F1E">
              <w:rPr>
                <w:rStyle w:val="Hipervnculo"/>
                <w:noProof/>
              </w:rPr>
              <w:t>SEXTO. Decisión.</w:t>
            </w:r>
            <w:r>
              <w:rPr>
                <w:noProof/>
                <w:webHidden/>
              </w:rPr>
              <w:tab/>
            </w:r>
            <w:r>
              <w:rPr>
                <w:noProof/>
                <w:webHidden/>
              </w:rPr>
              <w:fldChar w:fldCharType="begin"/>
            </w:r>
            <w:r>
              <w:rPr>
                <w:noProof/>
                <w:webHidden/>
              </w:rPr>
              <w:instrText xml:space="preserve"> PAGEREF _Toc187931510 \h </w:instrText>
            </w:r>
            <w:r>
              <w:rPr>
                <w:noProof/>
                <w:webHidden/>
              </w:rPr>
            </w:r>
            <w:r>
              <w:rPr>
                <w:noProof/>
                <w:webHidden/>
              </w:rPr>
              <w:fldChar w:fldCharType="separate"/>
            </w:r>
            <w:r>
              <w:rPr>
                <w:noProof/>
                <w:webHidden/>
              </w:rPr>
              <w:t>17</w:t>
            </w:r>
            <w:r>
              <w:rPr>
                <w:noProof/>
                <w:webHidden/>
              </w:rPr>
              <w:fldChar w:fldCharType="end"/>
            </w:r>
          </w:hyperlink>
        </w:p>
        <w:p w14:paraId="180268B1" w14:textId="4ACB247D" w:rsidR="00B44943" w:rsidRDefault="00B44943" w:rsidP="006A42EE">
          <w:pPr>
            <w:pStyle w:val="TDC1"/>
            <w:tabs>
              <w:tab w:val="right" w:leader="dot" w:pos="9204"/>
            </w:tabs>
            <w:spacing w:after="0" w:line="360" w:lineRule="auto"/>
            <w:rPr>
              <w:rFonts w:asciiTheme="minorHAnsi" w:eastAsiaTheme="minorEastAsia" w:hAnsiTheme="minorHAnsi" w:cstheme="minorBidi"/>
              <w:noProof/>
              <w:color w:val="auto"/>
              <w:kern w:val="2"/>
              <w14:ligatures w14:val="standardContextual"/>
            </w:rPr>
          </w:pPr>
          <w:hyperlink w:anchor="_Toc187931511" w:history="1">
            <w:r w:rsidRPr="00421F1E">
              <w:rPr>
                <w:rStyle w:val="Hipervnculo"/>
                <w:noProof/>
              </w:rPr>
              <w:t>R E S U E L V E</w:t>
            </w:r>
            <w:r>
              <w:rPr>
                <w:noProof/>
                <w:webHidden/>
              </w:rPr>
              <w:tab/>
            </w:r>
            <w:r>
              <w:rPr>
                <w:noProof/>
                <w:webHidden/>
              </w:rPr>
              <w:fldChar w:fldCharType="begin"/>
            </w:r>
            <w:r>
              <w:rPr>
                <w:noProof/>
                <w:webHidden/>
              </w:rPr>
              <w:instrText xml:space="preserve"> PAGEREF _Toc187931511 \h </w:instrText>
            </w:r>
            <w:r>
              <w:rPr>
                <w:noProof/>
                <w:webHidden/>
              </w:rPr>
            </w:r>
            <w:r>
              <w:rPr>
                <w:noProof/>
                <w:webHidden/>
              </w:rPr>
              <w:fldChar w:fldCharType="separate"/>
            </w:r>
            <w:r>
              <w:rPr>
                <w:noProof/>
                <w:webHidden/>
              </w:rPr>
              <w:t>18</w:t>
            </w:r>
            <w:r>
              <w:rPr>
                <w:noProof/>
                <w:webHidden/>
              </w:rPr>
              <w:fldChar w:fldCharType="end"/>
            </w:r>
          </w:hyperlink>
        </w:p>
        <w:p w14:paraId="47B63EDE" w14:textId="2F770A52" w:rsidR="00A50615" w:rsidRDefault="00A50615" w:rsidP="006A42EE">
          <w:pPr>
            <w:spacing w:after="0" w:line="360" w:lineRule="auto"/>
          </w:pPr>
          <w:r>
            <w:rPr>
              <w:b/>
              <w:bCs/>
              <w:lang w:val="es-ES"/>
            </w:rPr>
            <w:fldChar w:fldCharType="end"/>
          </w:r>
        </w:p>
      </w:sdtContent>
    </w:sdt>
    <w:p w14:paraId="1C288FC1" w14:textId="0A19E43F" w:rsidR="00CE58A5" w:rsidRPr="0027513C" w:rsidRDefault="00C73479" w:rsidP="006A42EE">
      <w:pPr>
        <w:widowControl w:val="0"/>
        <w:pBdr>
          <w:top w:val="nil"/>
          <w:left w:val="nil"/>
          <w:bottom w:val="nil"/>
          <w:right w:val="nil"/>
          <w:between w:val="nil"/>
        </w:pBdr>
        <w:spacing w:after="0" w:line="360" w:lineRule="auto"/>
      </w:pPr>
      <w:r>
        <w:br w:type="column"/>
      </w:r>
      <w:r w:rsidR="00CE4466" w:rsidRPr="0027513C">
        <w:lastRenderedPageBreak/>
        <w:t xml:space="preserve">Resolución del Pleno del Instituto de Transparencia, Acceso a la Información Pública y Protección de Datos Personales del Estado de México y Municipios, con domicilio en Metepec, Estado de México, de fecha </w:t>
      </w:r>
      <w:r w:rsidR="002505EE">
        <w:t xml:space="preserve">ocho de octubre </w:t>
      </w:r>
      <w:r w:rsidR="00E87065">
        <w:t xml:space="preserve"> de dos mil veinticinco</w:t>
      </w:r>
      <w:r w:rsidR="00CE4466" w:rsidRPr="0027513C">
        <w:t>.</w:t>
      </w:r>
    </w:p>
    <w:p w14:paraId="5B1FA2B3" w14:textId="77777777" w:rsidR="00CE58A5" w:rsidRPr="0027513C" w:rsidRDefault="00CE58A5" w:rsidP="006A42EE">
      <w:pPr>
        <w:spacing w:after="0" w:line="360" w:lineRule="auto"/>
        <w:rPr>
          <w:b/>
        </w:rPr>
      </w:pPr>
    </w:p>
    <w:p w14:paraId="67B180B8" w14:textId="382E3C1B" w:rsidR="00CE58A5" w:rsidRPr="0027513C" w:rsidRDefault="00CE4466" w:rsidP="006A42EE">
      <w:pPr>
        <w:spacing w:after="0" w:line="360" w:lineRule="auto"/>
      </w:pPr>
      <w:r w:rsidRPr="0027513C">
        <w:rPr>
          <w:b/>
        </w:rPr>
        <w:t>VISTO</w:t>
      </w:r>
      <w:r w:rsidRPr="0027513C">
        <w:t xml:space="preserve"> el expediente conformado con motivo del Recurso de Revisión </w:t>
      </w:r>
      <w:r w:rsidR="002505EE" w:rsidRPr="00822564">
        <w:rPr>
          <w:bCs/>
        </w:rPr>
        <w:t>05</w:t>
      </w:r>
      <w:r w:rsidR="0049329D" w:rsidRPr="00822564">
        <w:rPr>
          <w:bCs/>
        </w:rPr>
        <w:t>831</w:t>
      </w:r>
      <w:r w:rsidR="001E7F6D" w:rsidRPr="00822564">
        <w:rPr>
          <w:bCs/>
        </w:rPr>
        <w:t>/INFOEM/IP/RR/2025</w:t>
      </w:r>
      <w:r w:rsidRPr="00822564">
        <w:rPr>
          <w:bCs/>
        </w:rPr>
        <w:t xml:space="preserve">, interpuesto </w:t>
      </w:r>
      <w:r w:rsidR="001A54EF" w:rsidRPr="00822564">
        <w:rPr>
          <w:bCs/>
        </w:rPr>
        <w:t xml:space="preserve">por </w:t>
      </w:r>
      <w:r w:rsidR="00737F3D">
        <w:rPr>
          <w:bCs/>
        </w:rPr>
        <w:t>la persona</w:t>
      </w:r>
      <w:r w:rsidR="001E7F6D" w:rsidRPr="00822564">
        <w:rPr>
          <w:bCs/>
        </w:rPr>
        <w:t xml:space="preserve"> </w:t>
      </w:r>
      <w:r w:rsidRPr="00822564">
        <w:rPr>
          <w:bCs/>
        </w:rPr>
        <w:t xml:space="preserve">Recurrente o Particular, en contra de la respuesta del Sujeto Obligado, </w:t>
      </w:r>
      <w:r w:rsidR="002505EE" w:rsidRPr="00822564">
        <w:rPr>
          <w:bCs/>
        </w:rPr>
        <w:t>Ayuntamiento de Toluca</w:t>
      </w:r>
      <w:r w:rsidRPr="00822564">
        <w:rPr>
          <w:bCs/>
        </w:rPr>
        <w:t xml:space="preserve">, a la solicitud de acceso a la información </w:t>
      </w:r>
      <w:r w:rsidR="001B6F6D" w:rsidRPr="00822564">
        <w:rPr>
          <w:bCs/>
          <w:color w:val="0D0D0D"/>
        </w:rPr>
        <w:t>01950/TOLUCA/IP/2025</w:t>
      </w:r>
      <w:r w:rsidRPr="00822564">
        <w:rPr>
          <w:bCs/>
        </w:rPr>
        <w:t>,</w:t>
      </w:r>
      <w:r w:rsidRPr="000A5247">
        <w:rPr>
          <w:bCs/>
        </w:rPr>
        <w:t xml:space="preserve"> se emite la presente</w:t>
      </w:r>
      <w:r w:rsidRPr="0027513C">
        <w:t xml:space="preserve"> Resolución, con base en los Antecedentes y Considerandos que se exponen a continuación:</w:t>
      </w:r>
    </w:p>
    <w:p w14:paraId="1FA40EED" w14:textId="77777777" w:rsidR="00CE58A5" w:rsidRPr="0027513C" w:rsidRDefault="00CE58A5" w:rsidP="006A42EE">
      <w:pPr>
        <w:spacing w:after="0" w:line="360" w:lineRule="auto"/>
      </w:pPr>
    </w:p>
    <w:p w14:paraId="73DD6C24" w14:textId="6D4C9EA9" w:rsidR="00CE58A5" w:rsidRPr="0027513C" w:rsidRDefault="00CE4466" w:rsidP="006A42EE">
      <w:pPr>
        <w:pStyle w:val="Ttulo1"/>
        <w:spacing w:before="0" w:after="0"/>
      </w:pPr>
      <w:bookmarkStart w:id="0" w:name="_Toc179975594"/>
      <w:bookmarkStart w:id="1" w:name="_Toc187931499"/>
      <w:r w:rsidRPr="0027513C">
        <w:t>A N T E C E D E N T E S</w:t>
      </w:r>
      <w:bookmarkEnd w:id="0"/>
      <w:bookmarkEnd w:id="1"/>
    </w:p>
    <w:p w14:paraId="108A9D50" w14:textId="77777777" w:rsidR="00CE58A5" w:rsidRPr="0027513C" w:rsidRDefault="00CE58A5" w:rsidP="006A42EE">
      <w:pPr>
        <w:spacing w:after="0" w:line="360" w:lineRule="auto"/>
      </w:pPr>
    </w:p>
    <w:p w14:paraId="30C1BFAF" w14:textId="34BE2403" w:rsidR="00CE58A5" w:rsidRPr="0027513C" w:rsidRDefault="00CE4466" w:rsidP="006A42EE">
      <w:pPr>
        <w:pStyle w:val="Ttulo2"/>
        <w:spacing w:before="0" w:after="0"/>
      </w:pPr>
      <w:bookmarkStart w:id="2" w:name="_Toc179975595"/>
      <w:bookmarkStart w:id="3" w:name="_Toc187931500"/>
      <w:r w:rsidRPr="0027513C">
        <w:t>I. Presentación</w:t>
      </w:r>
      <w:bookmarkEnd w:id="2"/>
      <w:r w:rsidRPr="0027513C">
        <w:t xml:space="preserve"> </w:t>
      </w:r>
      <w:r w:rsidR="00E57161">
        <w:t>de la solicitud</w:t>
      </w:r>
      <w:bookmarkEnd w:id="3"/>
    </w:p>
    <w:p w14:paraId="13E36A34" w14:textId="77777777" w:rsidR="00CE58A5" w:rsidRPr="0027513C" w:rsidRDefault="00CE58A5" w:rsidP="006A42EE">
      <w:pPr>
        <w:tabs>
          <w:tab w:val="left" w:pos="567"/>
        </w:tabs>
        <w:spacing w:after="0" w:line="360" w:lineRule="auto"/>
      </w:pPr>
    </w:p>
    <w:p w14:paraId="166E0743" w14:textId="653305D7" w:rsidR="00CE58A5" w:rsidRPr="0027513C" w:rsidRDefault="00CE4466" w:rsidP="006A42EE">
      <w:pPr>
        <w:spacing w:after="0" w:line="360" w:lineRule="auto"/>
      </w:pPr>
      <w:r w:rsidRPr="0027513C">
        <w:t xml:space="preserve">Con fecha </w:t>
      </w:r>
      <w:r w:rsidR="001B6F6D">
        <w:t xml:space="preserve">primero de abril </w:t>
      </w:r>
      <w:r w:rsidR="00EC3E83">
        <w:t>de dos mil veinticinco</w:t>
      </w:r>
      <w:r w:rsidRPr="0027513C">
        <w:t xml:space="preserve">, el Particular presentó una solicitud de acceso a la información </w:t>
      </w:r>
      <w:r w:rsidR="00412A97" w:rsidRPr="0027513C">
        <w:t>pública</w:t>
      </w:r>
      <w:r w:rsidR="00412A97">
        <w:t xml:space="preserve"> </w:t>
      </w:r>
      <w:r w:rsidR="00412A97" w:rsidRPr="0027513C">
        <w:t>a</w:t>
      </w:r>
      <w:r w:rsidRPr="0027513C">
        <w:t xml:space="preserve"> través del Sistema de Acceso a la Información Mexiquense (SAIMEX), ante el </w:t>
      </w:r>
      <w:r w:rsidR="00B40CD5">
        <w:t>Sujeto Obligado</w:t>
      </w:r>
      <w:r w:rsidRPr="0027513C">
        <w:t xml:space="preserve">, en los siguientes términos: </w:t>
      </w:r>
    </w:p>
    <w:p w14:paraId="16195BED" w14:textId="77777777" w:rsidR="00CE58A5" w:rsidRPr="0027513C" w:rsidRDefault="00CE58A5" w:rsidP="006A42EE">
      <w:pPr>
        <w:spacing w:after="0" w:line="360" w:lineRule="auto"/>
      </w:pPr>
    </w:p>
    <w:p w14:paraId="65E84A9E" w14:textId="77777777" w:rsidR="00CE58A5" w:rsidRPr="0027513C" w:rsidRDefault="00CE4466" w:rsidP="006A42EE">
      <w:pPr>
        <w:tabs>
          <w:tab w:val="left" w:pos="4667"/>
        </w:tabs>
        <w:spacing w:after="0" w:line="360" w:lineRule="auto"/>
        <w:ind w:left="567" w:right="567"/>
        <w:rPr>
          <w:b/>
          <w:i/>
          <w:sz w:val="20"/>
          <w:szCs w:val="20"/>
        </w:rPr>
      </w:pPr>
      <w:r w:rsidRPr="0027513C">
        <w:rPr>
          <w:b/>
          <w:i/>
          <w:sz w:val="20"/>
          <w:szCs w:val="20"/>
        </w:rPr>
        <w:t>“DESCRIPCIÓN CLARA Y PRECISA DE LA INFORMACIÓN SOLICITADA.</w:t>
      </w:r>
    </w:p>
    <w:p w14:paraId="1B838018" w14:textId="1C040F86" w:rsidR="00CE58A5" w:rsidRPr="0027513C" w:rsidRDefault="001B6F6D" w:rsidP="006A42EE">
      <w:pPr>
        <w:tabs>
          <w:tab w:val="left" w:pos="4667"/>
        </w:tabs>
        <w:spacing w:after="0" w:line="360" w:lineRule="auto"/>
        <w:ind w:left="567" w:right="567"/>
        <w:rPr>
          <w:i/>
          <w:sz w:val="20"/>
          <w:szCs w:val="20"/>
        </w:rPr>
      </w:pPr>
      <w:r w:rsidRPr="001B6F6D">
        <w:rPr>
          <w:i/>
          <w:sz w:val="20"/>
          <w:szCs w:val="20"/>
        </w:rPr>
        <w:t>Se solicitan los recibos de nómina de los servidores publicos con cargo de funcionarios de la egunda quincena de marzo de 2025</w:t>
      </w:r>
      <w:r w:rsidR="00B40CD5" w:rsidRPr="00B40CD5">
        <w:rPr>
          <w:i/>
          <w:sz w:val="20"/>
          <w:szCs w:val="20"/>
        </w:rPr>
        <w:t>.</w:t>
      </w:r>
      <w:r w:rsidR="001A54EF">
        <w:rPr>
          <w:i/>
          <w:sz w:val="20"/>
          <w:szCs w:val="20"/>
        </w:rPr>
        <w:t xml:space="preserve">” </w:t>
      </w:r>
      <w:r w:rsidR="001A54EF" w:rsidRPr="0027513C">
        <w:rPr>
          <w:i/>
          <w:sz w:val="16"/>
          <w:szCs w:val="16"/>
        </w:rPr>
        <w:t>(</w:t>
      </w:r>
      <w:r w:rsidR="001A54EF" w:rsidRPr="0027513C">
        <w:rPr>
          <w:i/>
          <w:sz w:val="20"/>
          <w:szCs w:val="20"/>
        </w:rPr>
        <w:t xml:space="preserve">Sic) </w:t>
      </w:r>
    </w:p>
    <w:p w14:paraId="039CE69D" w14:textId="77777777" w:rsidR="001A54EF" w:rsidRPr="0027513C" w:rsidRDefault="001A54EF" w:rsidP="006A42EE">
      <w:pPr>
        <w:tabs>
          <w:tab w:val="left" w:pos="4667"/>
        </w:tabs>
        <w:spacing w:after="0" w:line="360" w:lineRule="auto"/>
        <w:ind w:left="567" w:right="567"/>
        <w:rPr>
          <w:b/>
          <w:i/>
          <w:sz w:val="20"/>
          <w:szCs w:val="20"/>
        </w:rPr>
      </w:pPr>
    </w:p>
    <w:p w14:paraId="0C1B5F6D" w14:textId="77777777" w:rsidR="00CE58A5" w:rsidRPr="0027513C" w:rsidRDefault="00CE4466" w:rsidP="006A42EE">
      <w:pPr>
        <w:tabs>
          <w:tab w:val="left" w:pos="4667"/>
        </w:tabs>
        <w:spacing w:after="0" w:line="360" w:lineRule="auto"/>
        <w:ind w:left="567" w:right="567"/>
        <w:rPr>
          <w:b/>
          <w:i/>
          <w:sz w:val="20"/>
          <w:szCs w:val="20"/>
        </w:rPr>
      </w:pPr>
      <w:r w:rsidRPr="0027513C">
        <w:rPr>
          <w:b/>
          <w:i/>
          <w:sz w:val="20"/>
          <w:szCs w:val="20"/>
        </w:rPr>
        <w:t>“MODALIDAD DE ENTREGA</w:t>
      </w:r>
    </w:p>
    <w:p w14:paraId="11287FA3" w14:textId="77777777" w:rsidR="00CE58A5" w:rsidRPr="0027513C" w:rsidRDefault="00CE4466" w:rsidP="006A42EE">
      <w:pPr>
        <w:spacing w:after="0" w:line="360" w:lineRule="auto"/>
        <w:ind w:left="567" w:right="567"/>
        <w:rPr>
          <w:i/>
          <w:sz w:val="20"/>
          <w:szCs w:val="20"/>
        </w:rPr>
      </w:pPr>
      <w:r w:rsidRPr="0027513C">
        <w:rPr>
          <w:i/>
          <w:sz w:val="20"/>
          <w:szCs w:val="20"/>
        </w:rPr>
        <w:t>A través del SAIMEX”</w:t>
      </w:r>
    </w:p>
    <w:p w14:paraId="59B55C0B" w14:textId="77777777" w:rsidR="00CE58A5" w:rsidRPr="0027513C" w:rsidRDefault="00CE58A5" w:rsidP="006A42EE">
      <w:pPr>
        <w:spacing w:after="0" w:line="360" w:lineRule="auto"/>
        <w:rPr>
          <w:b/>
        </w:rPr>
      </w:pPr>
    </w:p>
    <w:p w14:paraId="1D98E4F2" w14:textId="7C3EC496" w:rsidR="00CE58A5" w:rsidRPr="0027513C" w:rsidRDefault="00B40CD5" w:rsidP="006A42EE">
      <w:pPr>
        <w:pStyle w:val="Ttulo2"/>
        <w:spacing w:before="0" w:after="0"/>
      </w:pPr>
      <w:bookmarkStart w:id="4" w:name="_Toc179975597"/>
      <w:bookmarkStart w:id="5" w:name="_Toc187931501"/>
      <w:r>
        <w:t>I</w:t>
      </w:r>
      <w:r w:rsidR="001A54EF">
        <w:t xml:space="preserve">I. </w:t>
      </w:r>
      <w:r w:rsidR="001A54EF" w:rsidRPr="0027513C">
        <w:t>Respuesta del Sujeto Obligado</w:t>
      </w:r>
      <w:bookmarkEnd w:id="4"/>
      <w:bookmarkEnd w:id="5"/>
    </w:p>
    <w:p w14:paraId="0D93CE51" w14:textId="77777777" w:rsidR="00CE58A5" w:rsidRPr="0027513C" w:rsidRDefault="00CE58A5" w:rsidP="006A42EE">
      <w:pPr>
        <w:spacing w:after="0" w:line="360" w:lineRule="auto"/>
        <w:rPr>
          <w:b/>
        </w:rPr>
      </w:pPr>
    </w:p>
    <w:p w14:paraId="0D5E92E9" w14:textId="41B91DE5" w:rsidR="001B6F6D" w:rsidRPr="001B6F6D" w:rsidRDefault="00CE4466" w:rsidP="006A42EE">
      <w:pPr>
        <w:spacing w:after="0" w:line="360" w:lineRule="auto"/>
        <w:rPr>
          <w:i/>
        </w:rPr>
      </w:pPr>
      <w:r w:rsidRPr="0027513C">
        <w:lastRenderedPageBreak/>
        <w:t xml:space="preserve">Con fecha </w:t>
      </w:r>
      <w:r w:rsidR="001B6F6D">
        <w:t xml:space="preserve">veintinueve de abril </w:t>
      </w:r>
      <w:r w:rsidR="00FA42AE">
        <w:t xml:space="preserve"> de dos mil veinticinco</w:t>
      </w:r>
      <w:r w:rsidRPr="0027513C">
        <w:t xml:space="preserve">, el Sujeto Obligado notificó, a través del Sistema de Acceso a la Información Mexiquense (SAIMEX), la respuesta a la solicitud de acceso a la información pública, </w:t>
      </w:r>
      <w:r w:rsidR="001B6F6D">
        <w:t xml:space="preserve">refiriendo </w:t>
      </w:r>
      <w:r w:rsidR="00FB6B7F">
        <w:t>“</w:t>
      </w:r>
      <w:r w:rsidR="001B6F6D" w:rsidRPr="001B6F6D">
        <w:rPr>
          <w:i/>
        </w:rPr>
        <w:t>que  la Dirección General de Administración y Servidora Pública Habilitada, informó que la Dirección de Recursos Humanos, después de haber realizado una búsqueda exhaustiva y razonable en los archivos que obran en esta Dirección y el Departamento de Nóminas, no se encontró documental alguno donde contenga lo requerido con antelación, debido a que la atención a esta solicitud requiere un proceso complejo que implica el análisis, estudio y procesamiento de documentos e información, lo que demanda la asignación de recursos significativos, incluyendo días, horas y personal exclusivo para la revisión y análisis de la información.”</w:t>
      </w:r>
    </w:p>
    <w:p w14:paraId="0036BE61" w14:textId="77777777" w:rsidR="001B6F6D" w:rsidRDefault="001B6F6D" w:rsidP="006A42EE">
      <w:pPr>
        <w:spacing w:after="0" w:line="360" w:lineRule="auto"/>
      </w:pPr>
    </w:p>
    <w:p w14:paraId="2FA06B09" w14:textId="55CC6DEE" w:rsidR="00CE58A5" w:rsidRPr="0027513C" w:rsidRDefault="00CE4466" w:rsidP="006A42EE">
      <w:pPr>
        <w:pStyle w:val="Ttulo2"/>
        <w:spacing w:before="0" w:after="0"/>
      </w:pPr>
      <w:bookmarkStart w:id="6" w:name="_Toc179975598"/>
      <w:bookmarkStart w:id="7" w:name="_Toc187931502"/>
      <w:r w:rsidRPr="0027513C">
        <w:t>I</w:t>
      </w:r>
      <w:r w:rsidR="00BA7CA9">
        <w:t>II</w:t>
      </w:r>
      <w:r w:rsidRPr="0027513C">
        <w:t>. Interposición del Recurso de Revisión</w:t>
      </w:r>
      <w:bookmarkEnd w:id="6"/>
      <w:bookmarkEnd w:id="7"/>
    </w:p>
    <w:p w14:paraId="3837109C" w14:textId="77777777" w:rsidR="00CE58A5" w:rsidRPr="0027513C" w:rsidRDefault="00CE58A5" w:rsidP="006A42EE">
      <w:pPr>
        <w:spacing w:after="0" w:line="360" w:lineRule="auto"/>
        <w:rPr>
          <w:b/>
        </w:rPr>
      </w:pPr>
    </w:p>
    <w:p w14:paraId="3385106E" w14:textId="6DD26DF2" w:rsidR="00CE58A5" w:rsidRPr="0027513C" w:rsidRDefault="00CE4466" w:rsidP="006A42EE">
      <w:pPr>
        <w:spacing w:after="0" w:line="360" w:lineRule="auto"/>
      </w:pPr>
      <w:r w:rsidRPr="0027513C">
        <w:t>Con fecha</w:t>
      </w:r>
      <w:r w:rsidR="00DD7C00">
        <w:t xml:space="preserve"> </w:t>
      </w:r>
      <w:r w:rsidR="00FB6B7F">
        <w:t>veintidós de mayo</w:t>
      </w:r>
      <w:r w:rsidR="00FA42AE">
        <w:t xml:space="preserve"> de dos mil veinticinco</w:t>
      </w:r>
      <w:r w:rsidRPr="0027513C">
        <w:t>, se recibió en este Instituto, a través del Sistema de Acceso a la Información Mexiquense (SAIMEX), Recurso de Revisión interpuesto por la parte Recurrente, en contra de la respuesta por el Sujeto Obligado, a la solicitud de información, en los siguientes términos:</w:t>
      </w:r>
    </w:p>
    <w:p w14:paraId="12D42B0C" w14:textId="77777777" w:rsidR="00CE58A5" w:rsidRPr="0027513C" w:rsidRDefault="00CE58A5" w:rsidP="006A42EE">
      <w:pPr>
        <w:spacing w:after="0" w:line="360" w:lineRule="auto"/>
      </w:pPr>
    </w:p>
    <w:p w14:paraId="70843217" w14:textId="65699748" w:rsidR="00CE58A5" w:rsidRPr="0027513C" w:rsidRDefault="00CE4466" w:rsidP="006A42EE">
      <w:pPr>
        <w:spacing w:after="0" w:line="360" w:lineRule="auto"/>
        <w:ind w:left="567" w:right="567"/>
        <w:rPr>
          <w:i/>
          <w:sz w:val="20"/>
          <w:szCs w:val="20"/>
        </w:rPr>
      </w:pPr>
      <w:r w:rsidRPr="0027513C">
        <w:rPr>
          <w:b/>
          <w:i/>
          <w:sz w:val="20"/>
          <w:szCs w:val="20"/>
        </w:rPr>
        <w:t>“ACTO IMPUGNADO</w:t>
      </w:r>
    </w:p>
    <w:p w14:paraId="1A82882E" w14:textId="5A5C5E38" w:rsidR="00CE58A5" w:rsidRPr="0027513C" w:rsidRDefault="00FB6B7F" w:rsidP="006A42EE">
      <w:pPr>
        <w:spacing w:after="0" w:line="360" w:lineRule="auto"/>
        <w:ind w:left="567" w:right="567"/>
        <w:rPr>
          <w:i/>
          <w:sz w:val="20"/>
          <w:szCs w:val="20"/>
        </w:rPr>
      </w:pPr>
      <w:r w:rsidRPr="00FB6B7F">
        <w:rPr>
          <w:i/>
          <w:color w:val="000000"/>
          <w:sz w:val="20"/>
          <w:szCs w:val="20"/>
        </w:rPr>
        <w:t>Es una burla su respuesta solo es dilatar la entrega de la información cuando es de órden público es una violacion a la garantí constitucional</w:t>
      </w:r>
      <w:r w:rsidR="00674D7A" w:rsidRPr="00674D7A">
        <w:rPr>
          <w:i/>
          <w:color w:val="000000"/>
          <w:sz w:val="20"/>
          <w:szCs w:val="20"/>
        </w:rPr>
        <w:t>.</w:t>
      </w:r>
      <w:r w:rsidR="00791585" w:rsidRPr="0027513C">
        <w:rPr>
          <w:i/>
          <w:sz w:val="20"/>
          <w:szCs w:val="20"/>
        </w:rPr>
        <w:t>” (Sic.)</w:t>
      </w:r>
    </w:p>
    <w:p w14:paraId="1CAF0EE0" w14:textId="77777777" w:rsidR="00CE58A5" w:rsidRPr="0027513C" w:rsidRDefault="00CE58A5" w:rsidP="006A42EE">
      <w:pPr>
        <w:spacing w:after="0" w:line="360" w:lineRule="auto"/>
        <w:ind w:left="567" w:right="567"/>
        <w:rPr>
          <w:i/>
          <w:sz w:val="20"/>
          <w:szCs w:val="20"/>
        </w:rPr>
      </w:pPr>
    </w:p>
    <w:p w14:paraId="02DA69C4" w14:textId="1EDDA510" w:rsidR="00CE58A5" w:rsidRPr="0027513C" w:rsidRDefault="00CE4466" w:rsidP="006A42EE">
      <w:pPr>
        <w:spacing w:after="0" w:line="360" w:lineRule="auto"/>
        <w:ind w:left="567" w:right="567"/>
        <w:rPr>
          <w:b/>
          <w:i/>
          <w:sz w:val="20"/>
          <w:szCs w:val="20"/>
        </w:rPr>
      </w:pPr>
      <w:r w:rsidRPr="0027513C">
        <w:rPr>
          <w:b/>
          <w:i/>
          <w:sz w:val="20"/>
          <w:szCs w:val="20"/>
        </w:rPr>
        <w:t>“RAZONES O MOTIVOS DE LA INCONFORMIDAD</w:t>
      </w:r>
    </w:p>
    <w:p w14:paraId="10183522" w14:textId="1E3D16FD" w:rsidR="00CE58A5" w:rsidRPr="0027513C" w:rsidRDefault="00FB6B7F" w:rsidP="006A42EE">
      <w:pPr>
        <w:spacing w:after="0" w:line="360" w:lineRule="auto"/>
        <w:ind w:left="567" w:right="567"/>
        <w:rPr>
          <w:i/>
          <w:sz w:val="20"/>
          <w:szCs w:val="20"/>
        </w:rPr>
      </w:pPr>
      <w:r w:rsidRPr="00FB6B7F">
        <w:rPr>
          <w:i/>
          <w:color w:val="000000"/>
          <w:sz w:val="20"/>
          <w:szCs w:val="20"/>
        </w:rPr>
        <w:t>Niegan la información que es de órden público argumentando qué les genera mucho trabajo y proceso de la información eso no es un argumento valido se solicita se entregue lo solicitado</w:t>
      </w:r>
      <w:r w:rsidR="00674D7A" w:rsidRPr="00674D7A">
        <w:rPr>
          <w:i/>
          <w:color w:val="000000"/>
          <w:sz w:val="20"/>
          <w:szCs w:val="20"/>
        </w:rPr>
        <w:t>.</w:t>
      </w:r>
      <w:r w:rsidR="00791585" w:rsidRPr="0027513C">
        <w:rPr>
          <w:i/>
          <w:sz w:val="20"/>
          <w:szCs w:val="20"/>
        </w:rPr>
        <w:t>” (Sic.)</w:t>
      </w:r>
    </w:p>
    <w:p w14:paraId="0BBB2449" w14:textId="77777777" w:rsidR="00CE58A5" w:rsidRPr="0027513C" w:rsidRDefault="00CE58A5" w:rsidP="006A42EE">
      <w:pPr>
        <w:spacing w:after="0" w:line="360" w:lineRule="auto"/>
      </w:pPr>
    </w:p>
    <w:p w14:paraId="256BC137" w14:textId="764B430C" w:rsidR="00CE58A5" w:rsidRDefault="00674D7A" w:rsidP="006A42EE">
      <w:pPr>
        <w:pStyle w:val="Ttulo2"/>
        <w:spacing w:before="0" w:after="0"/>
      </w:pPr>
      <w:bookmarkStart w:id="8" w:name="_Toc179975599"/>
      <w:bookmarkStart w:id="9" w:name="_Toc187931503"/>
      <w:r>
        <w:t>I</w:t>
      </w:r>
      <w:r w:rsidR="00CE4466" w:rsidRPr="0027513C">
        <w:t>V. Trámite del Recurso de Revisión ante este Instituto</w:t>
      </w:r>
      <w:bookmarkEnd w:id="8"/>
      <w:bookmarkEnd w:id="9"/>
    </w:p>
    <w:p w14:paraId="08451C4E" w14:textId="77777777" w:rsidR="001A54EF" w:rsidRPr="0027513C" w:rsidRDefault="001A54EF" w:rsidP="006A42EE">
      <w:pPr>
        <w:spacing w:after="0" w:line="360" w:lineRule="auto"/>
        <w:rPr>
          <w:b/>
        </w:rPr>
      </w:pPr>
    </w:p>
    <w:p w14:paraId="31E01367" w14:textId="507205F3" w:rsidR="00CE58A5" w:rsidRPr="0027513C" w:rsidRDefault="00CE4466" w:rsidP="006A42EE">
      <w:pPr>
        <w:spacing w:after="0" w:line="360" w:lineRule="auto"/>
        <w:rPr>
          <w:b/>
        </w:rPr>
      </w:pPr>
      <w:r w:rsidRPr="0027513C">
        <w:rPr>
          <w:b/>
        </w:rPr>
        <w:lastRenderedPageBreak/>
        <w:t>a) Turno del Medio de Impugnación.</w:t>
      </w:r>
      <w:r w:rsidRPr="0027513C">
        <w:t xml:space="preserve"> El </w:t>
      </w:r>
      <w:r w:rsidR="00FB6B7F" w:rsidRPr="00FB6B7F">
        <w:t>veintidós de mayo de dos mil veinticinco</w:t>
      </w:r>
      <w:r w:rsidRPr="0027513C">
        <w:t xml:space="preserve">, el Sistema de Acceso a la Información Mexiquense (SAIMEX), asignó el número de expediente </w:t>
      </w:r>
      <w:r w:rsidR="00FB6B7F">
        <w:rPr>
          <w:b/>
        </w:rPr>
        <w:t>05831</w:t>
      </w:r>
      <w:r w:rsidR="00FA42AE">
        <w:rPr>
          <w:b/>
        </w:rPr>
        <w:t>/INFOEM/IP/RR/2025</w:t>
      </w:r>
      <w:r w:rsidRPr="0027513C">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C5527A3" w14:textId="77777777" w:rsidR="00CE58A5" w:rsidRPr="0027513C" w:rsidRDefault="00CE58A5" w:rsidP="006A42EE">
      <w:pPr>
        <w:spacing w:after="0" w:line="360" w:lineRule="auto"/>
      </w:pPr>
    </w:p>
    <w:p w14:paraId="69DE9485" w14:textId="49171EF7" w:rsidR="00CE58A5" w:rsidRDefault="00CE4466" w:rsidP="006A42EE">
      <w:pPr>
        <w:spacing w:after="0" w:line="360" w:lineRule="auto"/>
      </w:pPr>
      <w:r w:rsidRPr="0027513C">
        <w:rPr>
          <w:b/>
        </w:rPr>
        <w:t>b) Admisión del Recurso de Revisión.</w:t>
      </w:r>
      <w:r w:rsidRPr="0027513C">
        <w:t xml:space="preserve"> El </w:t>
      </w:r>
      <w:r w:rsidR="00FB6B7F">
        <w:t>veintiocho de mayo</w:t>
      </w:r>
      <w:r w:rsidR="00FA42AE">
        <w:t xml:space="preserve"> de dos mil veinticinco</w:t>
      </w:r>
      <w:r w:rsidRPr="0027513C">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791585" w:rsidRPr="0027513C">
        <w:t>once</w:t>
      </w:r>
      <w:r w:rsidRPr="0027513C">
        <w:t xml:space="preserve"> de dicho mes y año, a través del Sistema de Acceso a la Información Mexiquense (SAIMEX), en el que se les otorgó un plazo de siete días hábiles posteriores a la misma, para que manifestaran lo que a su derecho conviniera y formularan alegatos.</w:t>
      </w:r>
    </w:p>
    <w:p w14:paraId="1AF49958" w14:textId="77777777" w:rsidR="00CE58A5" w:rsidRPr="0027513C" w:rsidRDefault="00CE58A5" w:rsidP="006A42EE">
      <w:pPr>
        <w:spacing w:after="0" w:line="360" w:lineRule="auto"/>
        <w:rPr>
          <w:b/>
        </w:rPr>
      </w:pPr>
    </w:p>
    <w:p w14:paraId="6AAC51D8" w14:textId="469F30EC" w:rsidR="00372769" w:rsidRPr="000333F3" w:rsidRDefault="00CE4466" w:rsidP="006A42EE">
      <w:pPr>
        <w:spacing w:after="0" w:line="360" w:lineRule="auto"/>
      </w:pPr>
      <w:r w:rsidRPr="0027513C">
        <w:rPr>
          <w:b/>
          <w:color w:val="000000"/>
        </w:rPr>
        <w:t xml:space="preserve">c) </w:t>
      </w:r>
      <w:r w:rsidRPr="0027513C">
        <w:rPr>
          <w:b/>
        </w:rPr>
        <w:t xml:space="preserve">Informe Justificado o Manifestaciones. </w:t>
      </w:r>
      <w:r w:rsidR="00FB6B7F">
        <w:t xml:space="preserve">El cinco de junio de dos mil veinticinco, el Sujeto Obligado remitió su informe justificado, por medio del cual </w:t>
      </w:r>
      <w:r w:rsidR="006A4E16">
        <w:t>ratificó</w:t>
      </w:r>
      <w:r w:rsidR="00FB6B7F">
        <w:t xml:space="preserve"> su respuesta. El </w:t>
      </w:r>
      <w:r w:rsidR="006A4E16">
        <w:t>Particular</w:t>
      </w:r>
      <w:r w:rsidR="00FB6B7F">
        <w:t xml:space="preserve"> fue omiso en realizar manifestación alguna vía alegatos</w:t>
      </w:r>
      <w:r w:rsidR="006A4E16">
        <w:t>.</w:t>
      </w:r>
    </w:p>
    <w:p w14:paraId="6FCCCC6B" w14:textId="77777777" w:rsidR="00372769" w:rsidRDefault="00372769" w:rsidP="006A42EE">
      <w:pPr>
        <w:spacing w:after="0" w:line="360" w:lineRule="auto"/>
        <w:rPr>
          <w:b/>
        </w:rPr>
      </w:pPr>
    </w:p>
    <w:p w14:paraId="353FDABD" w14:textId="1EF65095" w:rsidR="006A4E16" w:rsidRPr="0019462A" w:rsidRDefault="006A4E16" w:rsidP="006A42EE">
      <w:pPr>
        <w:spacing w:after="0" w:line="360" w:lineRule="auto"/>
        <w:rPr>
          <w:lang w:val="es-ES"/>
        </w:rPr>
      </w:pPr>
      <w:r>
        <w:rPr>
          <w:b/>
          <w:bCs/>
          <w:lang w:val="es-ES"/>
        </w:rPr>
        <w:t xml:space="preserve">d) </w:t>
      </w:r>
      <w:r w:rsidRPr="0019462A">
        <w:rPr>
          <w:b/>
          <w:bCs/>
          <w:lang w:val="es-ES"/>
        </w:rPr>
        <w:t xml:space="preserve">Ampliación de plazo para resolver. </w:t>
      </w:r>
      <w:r w:rsidRPr="0019462A">
        <w:rPr>
          <w:lang w:val="es-ES"/>
        </w:rPr>
        <w:t xml:space="preserve">El </w:t>
      </w:r>
      <w:r>
        <w:t>dos de octubre de dos mil veinticinco</w:t>
      </w:r>
      <w:r w:rsidRPr="0019462A">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6DB74519" w14:textId="77777777" w:rsidR="006A4E16" w:rsidRPr="0019462A" w:rsidRDefault="006A4E16" w:rsidP="006A42EE">
      <w:pPr>
        <w:spacing w:after="0" w:line="360" w:lineRule="auto"/>
        <w:rPr>
          <w:lang w:val="es-ES"/>
        </w:rPr>
      </w:pPr>
    </w:p>
    <w:p w14:paraId="13E25C12" w14:textId="35BD60FC" w:rsidR="00CE58A5" w:rsidRPr="0027513C" w:rsidRDefault="00791585" w:rsidP="006A42EE">
      <w:pPr>
        <w:spacing w:after="0" w:line="360" w:lineRule="auto"/>
        <w:rPr>
          <w:b/>
        </w:rPr>
      </w:pPr>
      <w:r w:rsidRPr="0027513C">
        <w:rPr>
          <w:b/>
        </w:rPr>
        <w:t>e) Cierre de instrucción.</w:t>
      </w:r>
      <w:r w:rsidRPr="0027513C">
        <w:t xml:space="preserve"> El </w:t>
      </w:r>
      <w:r w:rsidR="006A4E16">
        <w:t>ocho de octubre</w:t>
      </w:r>
      <w:r w:rsidR="004B77C7">
        <w:t xml:space="preserve"> de dos mil veinticinco</w:t>
      </w:r>
      <w:r w:rsidRPr="0027513C">
        <w:t xml:space="preserve">, al no existir diligencias pendientes por desahogar, se emitió el acuerdo por medio del cual se declaró cerrada la </w:t>
      </w:r>
      <w:r w:rsidRPr="0027513C">
        <w:lastRenderedPageBreak/>
        <w:t>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14:paraId="6DF2E44B" w14:textId="77777777" w:rsidR="00CE58A5" w:rsidRPr="0027513C" w:rsidRDefault="00CE58A5" w:rsidP="006A42EE">
      <w:pPr>
        <w:spacing w:after="0" w:line="360" w:lineRule="auto"/>
      </w:pPr>
    </w:p>
    <w:p w14:paraId="1A2D1592" w14:textId="77777777" w:rsidR="00CE58A5" w:rsidRPr="0027513C" w:rsidRDefault="00CE4466" w:rsidP="006A42EE">
      <w:pPr>
        <w:spacing w:after="0" w:line="360" w:lineRule="auto"/>
      </w:pPr>
      <w:r w:rsidRPr="0027513C">
        <w:t xml:space="preserve">En razón de que fue debidamente sustanciado e integrado el expediente electrónico y no existe diligencia pendiente de desahogo, se emite la resolución que conforme a Derecho proceda, de acuerdo a los siguientes: </w:t>
      </w:r>
    </w:p>
    <w:p w14:paraId="4EA15356" w14:textId="77777777" w:rsidR="00CE58A5" w:rsidRPr="0027513C" w:rsidRDefault="00CE58A5" w:rsidP="006A42EE">
      <w:pPr>
        <w:spacing w:after="0" w:line="360" w:lineRule="auto"/>
      </w:pPr>
    </w:p>
    <w:p w14:paraId="1E06E728" w14:textId="69856E54" w:rsidR="00CE58A5" w:rsidRPr="0027513C" w:rsidRDefault="00CE4466" w:rsidP="006A42EE">
      <w:pPr>
        <w:pStyle w:val="Ttulo1"/>
        <w:spacing w:before="0" w:after="0"/>
      </w:pPr>
      <w:bookmarkStart w:id="10" w:name="_Toc179975600"/>
      <w:bookmarkStart w:id="11" w:name="_Toc187931504"/>
      <w:r w:rsidRPr="0027513C">
        <w:t>C O N S I D E R A N D O S</w:t>
      </w:r>
      <w:bookmarkEnd w:id="10"/>
      <w:bookmarkEnd w:id="11"/>
    </w:p>
    <w:p w14:paraId="09DEA601" w14:textId="77777777" w:rsidR="00CE58A5" w:rsidRPr="0027513C" w:rsidRDefault="00CE58A5" w:rsidP="006A42EE">
      <w:pPr>
        <w:spacing w:after="0" w:line="360" w:lineRule="auto"/>
        <w:rPr>
          <w:b/>
        </w:rPr>
      </w:pPr>
    </w:p>
    <w:p w14:paraId="3D9317E1" w14:textId="77777777" w:rsidR="00CE58A5" w:rsidRPr="0027513C" w:rsidRDefault="00CE4466" w:rsidP="006A42EE">
      <w:pPr>
        <w:pStyle w:val="Ttulo2"/>
        <w:spacing w:before="0" w:after="0"/>
      </w:pPr>
      <w:bookmarkStart w:id="12" w:name="_Toc179975601"/>
      <w:bookmarkStart w:id="13" w:name="_Toc187931505"/>
      <w:r w:rsidRPr="0027513C">
        <w:t>PRIMERO. Competencia</w:t>
      </w:r>
      <w:bookmarkEnd w:id="12"/>
      <w:bookmarkEnd w:id="13"/>
    </w:p>
    <w:p w14:paraId="4F07F053" w14:textId="77777777" w:rsidR="00CE58A5" w:rsidRPr="0027513C" w:rsidRDefault="00CE58A5" w:rsidP="006A42EE">
      <w:pPr>
        <w:spacing w:after="0" w:line="360" w:lineRule="auto"/>
        <w:rPr>
          <w:b/>
        </w:rPr>
      </w:pPr>
    </w:p>
    <w:p w14:paraId="7E9B74F8" w14:textId="3EA269BF" w:rsidR="00CE58A5" w:rsidRPr="0027513C" w:rsidRDefault="00CE4466" w:rsidP="006A42EE">
      <w:pPr>
        <w:spacing w:after="0" w:line="360" w:lineRule="auto"/>
      </w:pPr>
      <w:r w:rsidRPr="0027513C">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Pr="0027513C">
        <w:rPr>
          <w:color w:val="000000"/>
        </w:rPr>
        <w:t xml:space="preserve">trigésimo </w:t>
      </w:r>
      <w:r w:rsidR="00822564">
        <w:rPr>
          <w:color w:val="000000"/>
        </w:rPr>
        <w:t>noveno</w:t>
      </w:r>
      <w:r w:rsidRPr="0027513C">
        <w:rPr>
          <w:color w:val="000000"/>
        </w:rPr>
        <w:t xml:space="preserve">, </w:t>
      </w:r>
      <w:r w:rsidR="00822564">
        <w:rPr>
          <w:color w:val="000000"/>
        </w:rPr>
        <w:t>cuadragésimo y cuadragésimo primero</w:t>
      </w:r>
      <w:r w:rsidRPr="0027513C">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2CE33F9D" w14:textId="77777777" w:rsidR="00CE58A5" w:rsidRPr="0027513C" w:rsidRDefault="00CE58A5" w:rsidP="006A42EE">
      <w:pPr>
        <w:spacing w:after="0" w:line="360" w:lineRule="auto"/>
      </w:pPr>
    </w:p>
    <w:p w14:paraId="250C24B5" w14:textId="77777777" w:rsidR="00CE58A5" w:rsidRPr="0027513C" w:rsidRDefault="00CE4466" w:rsidP="006A42EE">
      <w:pPr>
        <w:pStyle w:val="Ttulo2"/>
        <w:spacing w:before="0" w:after="0"/>
      </w:pPr>
      <w:bookmarkStart w:id="14" w:name="_Toc179975602"/>
      <w:bookmarkStart w:id="15" w:name="_Toc187931506"/>
      <w:r w:rsidRPr="0027513C">
        <w:t>SEGUNDO. Causales de improcedencia y sobreseimiento</w:t>
      </w:r>
      <w:bookmarkEnd w:id="14"/>
      <w:bookmarkEnd w:id="15"/>
    </w:p>
    <w:p w14:paraId="5DE8EFD8" w14:textId="77777777" w:rsidR="00CE58A5" w:rsidRPr="0027513C" w:rsidRDefault="00CE58A5" w:rsidP="006A42EE">
      <w:pPr>
        <w:spacing w:after="0" w:line="360" w:lineRule="auto"/>
      </w:pPr>
    </w:p>
    <w:p w14:paraId="4C46253C" w14:textId="77777777" w:rsidR="00CE58A5" w:rsidRPr="0027513C" w:rsidRDefault="00CE4466" w:rsidP="006A42EE">
      <w:pPr>
        <w:spacing w:after="0" w:line="360" w:lineRule="auto"/>
      </w:pPr>
      <w:r w:rsidRPr="0027513C">
        <w:lastRenderedPageBreak/>
        <w:t xml:space="preserve">De las constancias que forma parte del Recurso de Revisión que se analiza, se advierte que previo al estudio del fondo de la </w:t>
      </w:r>
      <w:r w:rsidRPr="0027513C">
        <w:rPr>
          <w:i/>
        </w:rPr>
        <w:t>litis</w:t>
      </w:r>
      <w:r w:rsidRPr="0027513C">
        <w:t>, es necesario estudiar las causales de improcedencia y sobreseimiento que se adviertan, para determinar lo que en Derecho proceda.</w:t>
      </w:r>
    </w:p>
    <w:p w14:paraId="42E8BF2D" w14:textId="77777777" w:rsidR="00FF2395" w:rsidRDefault="00FF2395" w:rsidP="006A42EE">
      <w:pPr>
        <w:spacing w:after="0" w:line="360" w:lineRule="auto"/>
        <w:rPr>
          <w:b/>
        </w:rPr>
      </w:pPr>
    </w:p>
    <w:p w14:paraId="7548DF11" w14:textId="77777777" w:rsidR="00CE58A5" w:rsidRDefault="00CE4466" w:rsidP="006A42EE">
      <w:pPr>
        <w:spacing w:after="0" w:line="360" w:lineRule="auto"/>
        <w:rPr>
          <w:b/>
        </w:rPr>
      </w:pPr>
      <w:r w:rsidRPr="0027513C">
        <w:rPr>
          <w:b/>
        </w:rPr>
        <w:t>Causales de improcedencia</w:t>
      </w:r>
    </w:p>
    <w:p w14:paraId="088E0FD3" w14:textId="77777777" w:rsidR="00C73479" w:rsidRPr="0027513C" w:rsidRDefault="00C73479" w:rsidP="006A42EE">
      <w:pPr>
        <w:spacing w:after="0" w:line="360" w:lineRule="auto"/>
      </w:pPr>
    </w:p>
    <w:p w14:paraId="02D368DF" w14:textId="77777777" w:rsidR="00CE58A5" w:rsidRPr="0027513C" w:rsidRDefault="00CE4466" w:rsidP="006A42EE">
      <w:pPr>
        <w:spacing w:after="0" w:line="360" w:lineRule="auto"/>
      </w:pPr>
      <w:r w:rsidRPr="0027513C">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27513C">
        <w:rPr>
          <w:b/>
        </w:rPr>
        <w:t xml:space="preserve"> </w:t>
      </w:r>
      <w:r w:rsidRPr="0027513C">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14:paraId="036ADEC6" w14:textId="77777777" w:rsidR="00CE58A5" w:rsidRPr="0027513C" w:rsidRDefault="00CE58A5" w:rsidP="006A42EE">
      <w:pPr>
        <w:spacing w:after="0" w:line="360" w:lineRule="auto"/>
      </w:pPr>
    </w:p>
    <w:p w14:paraId="35F10868" w14:textId="77777777" w:rsidR="00CE58A5" w:rsidRPr="0027513C" w:rsidRDefault="00CE4466" w:rsidP="006A42EE">
      <w:pPr>
        <w:spacing w:after="0" w:line="360" w:lineRule="auto"/>
      </w:pPr>
      <w:r w:rsidRPr="0027513C">
        <w:t xml:space="preserve">En el presente caso, </w:t>
      </w:r>
      <w:r w:rsidRPr="0027513C">
        <w:rPr>
          <w:b/>
        </w:rPr>
        <w:t>no se actualiza ninguna de las causales de improcedencia</w:t>
      </w:r>
      <w:r w:rsidRPr="0027513C">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ADC4A46" w14:textId="77777777" w:rsidR="00CE58A5" w:rsidRPr="0027513C" w:rsidRDefault="00CE58A5" w:rsidP="006A42EE">
      <w:pPr>
        <w:spacing w:after="0" w:line="360" w:lineRule="auto"/>
        <w:rPr>
          <w:b/>
        </w:rPr>
      </w:pPr>
    </w:p>
    <w:p w14:paraId="701A6972" w14:textId="40FB2721" w:rsidR="00CE58A5" w:rsidRPr="0027513C" w:rsidRDefault="00CE4466" w:rsidP="006A42EE">
      <w:pPr>
        <w:spacing w:after="0" w:line="360" w:lineRule="auto"/>
      </w:pPr>
      <w:r w:rsidRPr="0027513C">
        <w:t>Asimismo, se actualiza la causal de procedencia del Recurso de Revisión señal</w:t>
      </w:r>
      <w:r w:rsidR="00D52F9F">
        <w:t>ada en el</w:t>
      </w:r>
      <w:r w:rsidR="00C503C4">
        <w:t xml:space="preserve"> artículo 179, fracciones </w:t>
      </w:r>
      <w:r w:rsidR="0025165D">
        <w:t>I</w:t>
      </w:r>
      <w:r w:rsidRPr="0027513C">
        <w:t xml:space="preserve">, de la Ley en cita, pues la Recurrente se inconformó </w:t>
      </w:r>
      <w:r w:rsidR="00C73479">
        <w:t xml:space="preserve">de la </w:t>
      </w:r>
      <w:r w:rsidR="0025165D">
        <w:t>negativa de la información.</w:t>
      </w:r>
    </w:p>
    <w:p w14:paraId="404C2A95" w14:textId="77777777" w:rsidR="00CE58A5" w:rsidRPr="0027513C" w:rsidRDefault="00CE58A5" w:rsidP="006A42EE">
      <w:pPr>
        <w:spacing w:after="0" w:line="360" w:lineRule="auto"/>
        <w:rPr>
          <w:b/>
        </w:rPr>
      </w:pPr>
    </w:p>
    <w:p w14:paraId="74D31774" w14:textId="77777777" w:rsidR="00922619" w:rsidRDefault="00922619" w:rsidP="006A42EE">
      <w:pPr>
        <w:spacing w:after="0" w:line="360" w:lineRule="auto"/>
        <w:ind w:right="-28"/>
        <w:contextualSpacing/>
        <w:rPr>
          <w:rFonts w:eastAsia="Calibri" w:cs="Tahoma"/>
          <w:b/>
          <w:color w:val="auto"/>
          <w:lang w:val="es-ES" w:eastAsia="es-ES_tradnl"/>
        </w:rPr>
      </w:pPr>
      <w:r w:rsidRPr="00922619">
        <w:rPr>
          <w:rFonts w:eastAsia="Calibri" w:cs="Tahoma"/>
          <w:b/>
          <w:color w:val="auto"/>
          <w:lang w:val="es-ES" w:eastAsia="es-ES_tradnl"/>
        </w:rPr>
        <w:t>Causales de sobreseimiento.</w:t>
      </w:r>
    </w:p>
    <w:p w14:paraId="46BAB4DD" w14:textId="77777777" w:rsidR="000837C4" w:rsidRPr="00922619" w:rsidRDefault="000837C4" w:rsidP="006A42EE">
      <w:pPr>
        <w:spacing w:after="0" w:line="360" w:lineRule="auto"/>
        <w:ind w:right="-28"/>
        <w:contextualSpacing/>
        <w:rPr>
          <w:rFonts w:eastAsia="Calibri" w:cs="Tahoma"/>
          <w:b/>
          <w:color w:val="auto"/>
          <w:lang w:val="es-ES" w:eastAsia="es-ES_tradnl"/>
        </w:rPr>
      </w:pPr>
    </w:p>
    <w:p w14:paraId="31EC419B" w14:textId="77777777" w:rsidR="000837C4" w:rsidRDefault="000837C4" w:rsidP="006A42EE">
      <w:pPr>
        <w:spacing w:after="0" w:line="360" w:lineRule="auto"/>
        <w:contextualSpacing/>
        <w:rPr>
          <w:rFonts w:eastAsia="Times New Roman" w:cs="Tahoma"/>
          <w:color w:val="auto"/>
          <w:szCs w:val="24"/>
          <w:lang w:eastAsia="es-ES"/>
        </w:rPr>
      </w:pPr>
      <w:r>
        <w:rPr>
          <w:rFonts w:eastAsia="Times New Roman" w:cs="Tahoma"/>
          <w:color w:val="auto"/>
          <w:szCs w:val="24"/>
          <w:lang w:eastAsia="es-ES"/>
        </w:rPr>
        <w:t>Por ser de previo y especial pronunciamiento, este Instituto analiza si se actualiza alguna causal de sobreseimiento.</w:t>
      </w:r>
    </w:p>
    <w:p w14:paraId="4F9DA2C3" w14:textId="77777777" w:rsidR="000837C4" w:rsidRDefault="000837C4" w:rsidP="006A42EE">
      <w:pPr>
        <w:spacing w:after="0" w:line="360" w:lineRule="auto"/>
        <w:contextualSpacing/>
        <w:rPr>
          <w:rFonts w:eastAsia="Times New Roman" w:cs="Tahoma"/>
          <w:color w:val="auto"/>
          <w:szCs w:val="24"/>
          <w:lang w:eastAsia="es-ES"/>
        </w:rPr>
      </w:pPr>
    </w:p>
    <w:p w14:paraId="6D79E94E" w14:textId="77777777" w:rsidR="000837C4" w:rsidRDefault="000837C4" w:rsidP="006A42EE">
      <w:pPr>
        <w:spacing w:after="0" w:line="360" w:lineRule="auto"/>
        <w:rPr>
          <w:color w:val="000000"/>
        </w:rPr>
      </w:pPr>
      <w:r>
        <w:rPr>
          <w:color w:val="0D0D0D"/>
        </w:rPr>
        <w:t>Sobre el tema, e</w:t>
      </w:r>
      <w:r>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8F846B3" w14:textId="77777777" w:rsidR="000837C4" w:rsidRDefault="000837C4" w:rsidP="006A42EE">
      <w:pPr>
        <w:spacing w:after="0" w:line="360" w:lineRule="auto"/>
        <w:rPr>
          <w:rFonts w:eastAsia="Calibri" w:cs="Tahoma"/>
          <w:color w:val="0D0D0D" w:themeColor="text1" w:themeTint="F2"/>
          <w:lang w:eastAsia="es-ES_tradnl"/>
        </w:rPr>
      </w:pPr>
    </w:p>
    <w:p w14:paraId="67BD3A7C" w14:textId="77777777" w:rsidR="000837C4" w:rsidRDefault="000837C4" w:rsidP="006A42EE">
      <w:pPr>
        <w:spacing w:after="0" w:line="360" w:lineRule="auto"/>
        <w:rPr>
          <w:rFonts w:eastAsia="Calibri" w:cs="Tahoma"/>
          <w:color w:val="0D0D0D" w:themeColor="text1" w:themeTint="F2"/>
          <w:lang w:eastAsia="es-ES_tradnl"/>
        </w:rPr>
      </w:pPr>
      <w:r>
        <w:rPr>
          <w:rFonts w:eastAsia="Calibri" w:cs="Tahoma"/>
          <w:color w:val="0D0D0D" w:themeColor="text1" w:themeTint="F2"/>
          <w:lang w:eastAsia="es-ES_tradnl"/>
        </w:rPr>
        <w:t>Por tales motivos, se considera procedente entrar al fondo del presente asunto.</w:t>
      </w:r>
    </w:p>
    <w:p w14:paraId="5755F7BD" w14:textId="77777777" w:rsidR="00922619" w:rsidRPr="00922619" w:rsidRDefault="00922619" w:rsidP="006A42EE">
      <w:pPr>
        <w:spacing w:after="0" w:line="360" w:lineRule="auto"/>
        <w:contextualSpacing/>
        <w:rPr>
          <w:rFonts w:eastAsia="Times New Roman" w:cs="Tahoma"/>
          <w:color w:val="auto"/>
          <w:szCs w:val="24"/>
          <w:lang w:eastAsia="es-ES"/>
        </w:rPr>
      </w:pPr>
    </w:p>
    <w:p w14:paraId="1E0EBBE3" w14:textId="77777777" w:rsidR="00CE58A5" w:rsidRPr="0027513C" w:rsidRDefault="00CE4466" w:rsidP="006A42EE">
      <w:pPr>
        <w:pStyle w:val="Ttulo2"/>
        <w:spacing w:before="0" w:after="0"/>
      </w:pPr>
      <w:bookmarkStart w:id="16" w:name="_Toc179975603"/>
      <w:bookmarkStart w:id="17" w:name="_Toc187931507"/>
      <w:r w:rsidRPr="0027513C">
        <w:t>TERCERO. Determinación de la Controversia.</w:t>
      </w:r>
      <w:bookmarkEnd w:id="16"/>
      <w:bookmarkEnd w:id="17"/>
      <w:r w:rsidRPr="0027513C">
        <w:t xml:space="preserve"> </w:t>
      </w:r>
    </w:p>
    <w:p w14:paraId="364AB4CE" w14:textId="77777777" w:rsidR="00CE58A5" w:rsidRPr="0027513C" w:rsidRDefault="00CE58A5" w:rsidP="006A42EE">
      <w:pPr>
        <w:spacing w:after="0" w:line="360" w:lineRule="auto"/>
        <w:rPr>
          <w:b/>
        </w:rPr>
      </w:pPr>
    </w:p>
    <w:p w14:paraId="1DE49EA6" w14:textId="636A3F7B" w:rsidR="0025165D" w:rsidRDefault="00CE4466" w:rsidP="006A42EE">
      <w:pPr>
        <w:widowControl w:val="0"/>
        <w:spacing w:after="0" w:line="360" w:lineRule="auto"/>
        <w:rPr>
          <w:color w:val="000000"/>
        </w:rPr>
      </w:pPr>
      <w:r w:rsidRPr="0027513C">
        <w:t xml:space="preserve">Una vez realizado el estudio de las constancias que integran el expediente en que se actúa, se desprende que el Recurrente </w:t>
      </w:r>
      <w:r w:rsidR="000A5247" w:rsidRPr="0027513C">
        <w:t>requirió</w:t>
      </w:r>
      <w:r w:rsidR="000A5247" w:rsidRPr="0027513C">
        <w:rPr>
          <w:color w:val="000000"/>
        </w:rPr>
        <w:t xml:space="preserve"> </w:t>
      </w:r>
      <w:r w:rsidR="0025165D">
        <w:rPr>
          <w:color w:val="000000"/>
        </w:rPr>
        <w:t xml:space="preserve"> </w:t>
      </w:r>
      <w:r w:rsidR="0025165D" w:rsidRPr="0025165D">
        <w:rPr>
          <w:color w:val="000000"/>
        </w:rPr>
        <w:t xml:space="preserve">los recibos de nómina de los servidores públicos con cargo de funcionarios de la </w:t>
      </w:r>
      <w:r w:rsidR="0025165D">
        <w:rPr>
          <w:color w:val="000000"/>
        </w:rPr>
        <w:t>s</w:t>
      </w:r>
      <w:r w:rsidR="0025165D" w:rsidRPr="0025165D">
        <w:rPr>
          <w:color w:val="000000"/>
        </w:rPr>
        <w:t>egunda q</w:t>
      </w:r>
      <w:r w:rsidR="0025165D">
        <w:rPr>
          <w:color w:val="000000"/>
        </w:rPr>
        <w:t>uincena de marzo de dos mil veinticinco.</w:t>
      </w:r>
    </w:p>
    <w:p w14:paraId="5FCCF554" w14:textId="77777777" w:rsidR="00761BC2" w:rsidRDefault="00761BC2" w:rsidP="006A42EE">
      <w:pPr>
        <w:widowControl w:val="0"/>
        <w:spacing w:after="0" w:line="360" w:lineRule="auto"/>
        <w:rPr>
          <w:color w:val="000000"/>
        </w:rPr>
      </w:pPr>
    </w:p>
    <w:p w14:paraId="7ED7BBD1" w14:textId="7D31FB21" w:rsidR="00CE58A5" w:rsidRPr="000837C4" w:rsidRDefault="005041FF" w:rsidP="006A42EE">
      <w:pPr>
        <w:widowControl w:val="0"/>
        <w:spacing w:after="0" w:line="360" w:lineRule="auto"/>
        <w:rPr>
          <w:color w:val="000000"/>
        </w:rPr>
      </w:pPr>
      <w:r w:rsidRPr="000837C4">
        <w:rPr>
          <w:color w:val="000000"/>
        </w:rPr>
        <w:t>En respuesta, el Sujeto Obligado</w:t>
      </w:r>
      <w:r w:rsidR="000837C4">
        <w:rPr>
          <w:color w:val="000000"/>
        </w:rPr>
        <w:t xml:space="preserve">, </w:t>
      </w:r>
      <w:r w:rsidR="0025165D">
        <w:rPr>
          <w:color w:val="000000"/>
        </w:rPr>
        <w:t>refirió que después de realizar una búsqueda de lo solicitado, la misma no se localizó en sus archivos</w:t>
      </w:r>
      <w:r w:rsidR="000837C4">
        <w:rPr>
          <w:color w:val="000000"/>
        </w:rPr>
        <w:t xml:space="preserve">; </w:t>
      </w:r>
      <w:r w:rsidR="00A7495B" w:rsidRPr="000837C4">
        <w:rPr>
          <w:color w:val="000000"/>
        </w:rPr>
        <w:t xml:space="preserve">ante dicha respuesta, el Particular se inconformó </w:t>
      </w:r>
      <w:r w:rsidR="00675F00">
        <w:rPr>
          <w:color w:val="000000"/>
        </w:rPr>
        <w:t xml:space="preserve">de </w:t>
      </w:r>
      <w:r w:rsidR="00A16A8A">
        <w:rPr>
          <w:color w:val="000000"/>
        </w:rPr>
        <w:t>la negativa de la información, refiriendo que le n</w:t>
      </w:r>
      <w:r w:rsidR="00A16A8A" w:rsidRPr="00A16A8A">
        <w:rPr>
          <w:color w:val="000000"/>
        </w:rPr>
        <w:t>iegan la información que es de orden público argumentando qué les genera mucho trabajo</w:t>
      </w:r>
      <w:r w:rsidR="00675F00">
        <w:rPr>
          <w:color w:val="000000"/>
        </w:rPr>
        <w:t xml:space="preserve">, </w:t>
      </w:r>
      <w:r w:rsidR="00A7495B" w:rsidRPr="000837C4">
        <w:rPr>
          <w:color w:val="000000"/>
        </w:rPr>
        <w:t xml:space="preserve">lo </w:t>
      </w:r>
      <w:r w:rsidR="00690DEB" w:rsidRPr="000837C4">
        <w:rPr>
          <w:color w:val="000000"/>
        </w:rPr>
        <w:t>cual actualiza el</w:t>
      </w:r>
      <w:r w:rsidR="00A7495B" w:rsidRPr="000837C4">
        <w:rPr>
          <w:color w:val="000000"/>
        </w:rPr>
        <w:t xml:space="preserve"> supuesto de procedencia establecido en el </w:t>
      </w:r>
      <w:r w:rsidR="00690DEB" w:rsidRPr="000837C4">
        <w:rPr>
          <w:color w:val="000000"/>
        </w:rPr>
        <w:t xml:space="preserve">artículo 179, fracción </w:t>
      </w:r>
      <w:r w:rsidR="00A16A8A">
        <w:rPr>
          <w:color w:val="000000"/>
        </w:rPr>
        <w:t>I</w:t>
      </w:r>
      <w:r w:rsidR="000837C4">
        <w:rPr>
          <w:color w:val="000000"/>
        </w:rPr>
        <w:t>,</w:t>
      </w:r>
      <w:r w:rsidR="00690DEB" w:rsidRPr="000837C4">
        <w:rPr>
          <w:color w:val="000000"/>
        </w:rPr>
        <w:t xml:space="preserve"> </w:t>
      </w:r>
      <w:r w:rsidR="00A7495B" w:rsidRPr="000837C4">
        <w:rPr>
          <w:color w:val="000000"/>
        </w:rPr>
        <w:t xml:space="preserve">de la Ley de </w:t>
      </w:r>
      <w:r w:rsidR="00400449" w:rsidRPr="000837C4">
        <w:rPr>
          <w:color w:val="000000"/>
        </w:rPr>
        <w:t>trasparencia</w:t>
      </w:r>
      <w:r w:rsidR="00A7495B" w:rsidRPr="000837C4">
        <w:rPr>
          <w:color w:val="000000"/>
        </w:rPr>
        <w:t xml:space="preserve"> local. </w:t>
      </w:r>
    </w:p>
    <w:p w14:paraId="16438AB3" w14:textId="77777777" w:rsidR="00C80616" w:rsidRPr="0027513C" w:rsidRDefault="00C80616" w:rsidP="006A42EE">
      <w:pPr>
        <w:widowControl w:val="0"/>
        <w:spacing w:after="0" w:line="360" w:lineRule="auto"/>
        <w:rPr>
          <w:color w:val="000000"/>
        </w:rPr>
      </w:pPr>
    </w:p>
    <w:p w14:paraId="11BA3094" w14:textId="3B58BBD8" w:rsidR="00C80616" w:rsidRDefault="000837C4" w:rsidP="006A42EE">
      <w:pPr>
        <w:spacing w:after="0" w:line="360" w:lineRule="auto"/>
        <w:rPr>
          <w:color w:val="000000"/>
        </w:rPr>
      </w:pPr>
      <w:r w:rsidRPr="000837C4">
        <w:rPr>
          <w:color w:val="000000"/>
        </w:rPr>
        <w:lastRenderedPageBreak/>
        <w:t xml:space="preserve">Así las cosas, una vez admitido y notificado el Recurso de Revisión a las partes, </w:t>
      </w:r>
      <w:r w:rsidR="00A16A8A">
        <w:rPr>
          <w:color w:val="000000"/>
        </w:rPr>
        <w:t>el Sujeto Obligado ratificó su respuesta.</w:t>
      </w:r>
    </w:p>
    <w:p w14:paraId="4A45B611" w14:textId="77777777" w:rsidR="000837C4" w:rsidRDefault="000837C4" w:rsidP="006A42EE">
      <w:pPr>
        <w:spacing w:after="0" w:line="360" w:lineRule="auto"/>
        <w:rPr>
          <w:color w:val="000000"/>
        </w:rPr>
      </w:pPr>
    </w:p>
    <w:p w14:paraId="6DC5D7CF" w14:textId="504763E9" w:rsidR="00CE58A5" w:rsidRDefault="00CE4466" w:rsidP="006A42EE">
      <w:pPr>
        <w:tabs>
          <w:tab w:val="left" w:pos="5812"/>
        </w:tabs>
        <w:spacing w:after="0" w:line="360" w:lineRule="auto"/>
      </w:pPr>
      <w:r w:rsidRPr="004E16CA">
        <w:t>Lo anterior, se desprende de las documentales que obran en los expedientes de referencia, materia de la presente resolución, consistente en: la solicitud de acceso a la información; la</w:t>
      </w:r>
      <w:r w:rsidRPr="0027513C">
        <w:t xml:space="preserve"> respuesta del Sujet</w:t>
      </w:r>
      <w:r w:rsidR="00F7286E">
        <w:t>o O</w:t>
      </w:r>
      <w:r w:rsidR="00A16A8A">
        <w:t>bligado,</w:t>
      </w:r>
      <w:r w:rsidR="00F7286E">
        <w:t xml:space="preserve">  el escrito recursal</w:t>
      </w:r>
      <w:r w:rsidR="00A16A8A">
        <w:t xml:space="preserve"> y el informe justificado</w:t>
      </w:r>
      <w:r w:rsidRPr="0027513C">
        <w:t>; instrumentales que se toman en cuenta a efecto de resolver el presente medio de impugnación, conforme a lo dispuesto por el artículo 185, fracción IV, de la Ley de Transparencia y Acceso a la Información Pública del Estado de México y Municipios.</w:t>
      </w:r>
    </w:p>
    <w:p w14:paraId="626551CE" w14:textId="77777777" w:rsidR="00F7286E" w:rsidRPr="0027513C" w:rsidRDefault="00F7286E" w:rsidP="006A42EE">
      <w:pPr>
        <w:tabs>
          <w:tab w:val="left" w:pos="5812"/>
        </w:tabs>
        <w:spacing w:after="0" w:line="360" w:lineRule="auto"/>
      </w:pPr>
    </w:p>
    <w:p w14:paraId="276834F4" w14:textId="2C1ED29F" w:rsidR="00CE58A5" w:rsidRPr="0027513C" w:rsidRDefault="00CE4466" w:rsidP="006A42EE">
      <w:pPr>
        <w:pStyle w:val="Ttulo2"/>
        <w:spacing w:before="0" w:after="0"/>
      </w:pPr>
      <w:bookmarkStart w:id="18" w:name="_Toc179975604"/>
      <w:bookmarkStart w:id="19" w:name="_Toc187931508"/>
      <w:r w:rsidRPr="0027513C">
        <w:t>CUARTO. Marco normativo aplicable en materia de transparencia y acceso a la información pública</w:t>
      </w:r>
      <w:bookmarkEnd w:id="18"/>
      <w:bookmarkEnd w:id="19"/>
    </w:p>
    <w:p w14:paraId="63C42A96" w14:textId="77777777" w:rsidR="00CE58A5" w:rsidRPr="0027513C" w:rsidRDefault="00CE58A5" w:rsidP="006A42EE">
      <w:pPr>
        <w:spacing w:after="0" w:line="360" w:lineRule="auto"/>
        <w:rPr>
          <w:color w:val="000000"/>
        </w:rPr>
      </w:pPr>
    </w:p>
    <w:p w14:paraId="77A2B44D" w14:textId="77777777" w:rsidR="00CE58A5" w:rsidRPr="0027513C" w:rsidRDefault="00CE4466" w:rsidP="006A42EE">
      <w:pPr>
        <w:spacing w:after="0" w:line="360" w:lineRule="auto"/>
        <w:rPr>
          <w:color w:val="000000"/>
        </w:rPr>
      </w:pPr>
      <w:r w:rsidRPr="0027513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7EBD8D2" w14:textId="77777777" w:rsidR="00CE58A5" w:rsidRPr="0027513C" w:rsidRDefault="00CE58A5" w:rsidP="006A42EE">
      <w:pPr>
        <w:spacing w:after="0" w:line="360" w:lineRule="auto"/>
        <w:rPr>
          <w:color w:val="000000"/>
        </w:rPr>
      </w:pPr>
    </w:p>
    <w:p w14:paraId="6DE9CAE0" w14:textId="77777777" w:rsidR="00CE58A5" w:rsidRPr="0027513C" w:rsidRDefault="00CE4466" w:rsidP="006A42EE">
      <w:pPr>
        <w:spacing w:after="0" w:line="360" w:lineRule="auto"/>
        <w:rPr>
          <w:color w:val="000000"/>
        </w:rPr>
      </w:pPr>
      <w:r w:rsidRPr="0027513C">
        <w:rPr>
          <w:color w:val="000000"/>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B49C76A" w14:textId="77777777" w:rsidR="00922619" w:rsidRDefault="00922619" w:rsidP="006A42EE">
      <w:pPr>
        <w:spacing w:after="0" w:line="360" w:lineRule="auto"/>
        <w:rPr>
          <w:color w:val="000000"/>
        </w:rPr>
      </w:pPr>
    </w:p>
    <w:p w14:paraId="7EFDC0B0" w14:textId="5473D89C" w:rsidR="00CE58A5" w:rsidRPr="0027513C" w:rsidRDefault="00CE4466" w:rsidP="006A42EE">
      <w:pPr>
        <w:spacing w:after="0" w:line="360" w:lineRule="auto"/>
        <w:rPr>
          <w:color w:val="000000"/>
        </w:rPr>
      </w:pPr>
      <w:r w:rsidRPr="0027513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7D61845" w14:textId="77777777" w:rsidR="00CE58A5" w:rsidRPr="0027513C" w:rsidRDefault="00CE58A5" w:rsidP="006A42EE">
      <w:pPr>
        <w:spacing w:after="0" w:line="360" w:lineRule="auto"/>
        <w:rPr>
          <w:color w:val="000000"/>
        </w:rPr>
      </w:pPr>
    </w:p>
    <w:p w14:paraId="1B6E0455" w14:textId="77777777" w:rsidR="00CE58A5" w:rsidRPr="0027513C" w:rsidRDefault="00CE4466" w:rsidP="006A42EE">
      <w:pPr>
        <w:spacing w:after="0" w:line="360" w:lineRule="auto"/>
        <w:rPr>
          <w:color w:val="000000"/>
        </w:rPr>
      </w:pPr>
      <w:r w:rsidRPr="0027513C">
        <w:rPr>
          <w:color w:val="000000"/>
        </w:rPr>
        <w:lastRenderedPageBreak/>
        <w:t>Por su parte, la Ley de Transparencia y Acceso a la Información Pública del Estado de México y Municipios (Reglamentaria del artículo 5° de la Constitución Local), establece lo siguiente:</w:t>
      </w:r>
    </w:p>
    <w:p w14:paraId="66A8EE9E" w14:textId="77777777" w:rsidR="00CE58A5" w:rsidRPr="0027513C" w:rsidRDefault="00CE58A5" w:rsidP="006A42EE">
      <w:pPr>
        <w:spacing w:after="0" w:line="360" w:lineRule="auto"/>
        <w:rPr>
          <w:color w:val="000000"/>
        </w:rPr>
      </w:pPr>
    </w:p>
    <w:p w14:paraId="79D71702" w14:textId="77777777" w:rsidR="00CE58A5" w:rsidRPr="0027513C" w:rsidRDefault="00CE4466" w:rsidP="006A42EE">
      <w:pPr>
        <w:spacing w:after="0" w:line="360" w:lineRule="auto"/>
        <w:rPr>
          <w:color w:val="000000"/>
        </w:rPr>
      </w:pPr>
      <w:r w:rsidRPr="0027513C">
        <w:rPr>
          <w:color w:val="000000"/>
        </w:rPr>
        <w:t>El artículo 12, que, quienes generen, recopilen, administren, manejen, procesen, archiven o conserven información pública serán responsables de la misma.</w:t>
      </w:r>
    </w:p>
    <w:p w14:paraId="5C34EA42" w14:textId="77777777" w:rsidR="00D51406" w:rsidRPr="0027513C" w:rsidRDefault="00D51406" w:rsidP="006A42EE">
      <w:pPr>
        <w:spacing w:after="0" w:line="360" w:lineRule="auto"/>
        <w:rPr>
          <w:color w:val="000000"/>
        </w:rPr>
      </w:pPr>
    </w:p>
    <w:p w14:paraId="08B8B529" w14:textId="77777777" w:rsidR="00CE58A5" w:rsidRPr="0027513C" w:rsidRDefault="00CE4466" w:rsidP="006A42EE">
      <w:pPr>
        <w:widowControl w:val="0"/>
        <w:spacing w:after="0" w:line="360" w:lineRule="auto"/>
        <w:rPr>
          <w:color w:val="000000"/>
        </w:rPr>
      </w:pPr>
      <w:r w:rsidRPr="0027513C">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310A9B8B" w14:textId="77777777" w:rsidR="00CE58A5" w:rsidRPr="0027513C" w:rsidRDefault="00CE58A5" w:rsidP="006A42EE">
      <w:pPr>
        <w:spacing w:after="0" w:line="360" w:lineRule="auto"/>
        <w:rPr>
          <w:color w:val="000000"/>
        </w:rPr>
      </w:pPr>
    </w:p>
    <w:p w14:paraId="7EFDFF6E" w14:textId="77777777" w:rsidR="00CE58A5" w:rsidRPr="0027513C" w:rsidRDefault="00CE4466" w:rsidP="006A42EE">
      <w:pPr>
        <w:spacing w:after="0" w:line="360" w:lineRule="auto"/>
        <w:rPr>
          <w:color w:val="000000"/>
        </w:rPr>
      </w:pPr>
      <w:r w:rsidRPr="0027513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13D1A4A" w14:textId="77777777" w:rsidR="00CE58A5" w:rsidRPr="0027513C" w:rsidRDefault="00CE58A5" w:rsidP="006A42EE">
      <w:pPr>
        <w:spacing w:after="0" w:line="360" w:lineRule="auto"/>
      </w:pPr>
    </w:p>
    <w:p w14:paraId="1DF82A1D" w14:textId="4C40B5A6" w:rsidR="00CE58A5" w:rsidRPr="0027513C" w:rsidRDefault="00CE4466" w:rsidP="006A42EE">
      <w:pPr>
        <w:pStyle w:val="Ttulo2"/>
        <w:spacing w:before="0" w:after="0"/>
      </w:pPr>
      <w:bookmarkStart w:id="20" w:name="_Toc179975605"/>
      <w:bookmarkStart w:id="21" w:name="_Toc187931509"/>
      <w:r w:rsidRPr="00A50615">
        <w:rPr>
          <w:caps/>
        </w:rPr>
        <w:t>Quinto.</w:t>
      </w:r>
      <w:r w:rsidRPr="0027513C">
        <w:t xml:space="preserve"> Estudio de Fondo</w:t>
      </w:r>
      <w:bookmarkEnd w:id="20"/>
      <w:bookmarkEnd w:id="21"/>
    </w:p>
    <w:p w14:paraId="547460E4" w14:textId="77777777" w:rsidR="00CE58A5" w:rsidRPr="0027513C" w:rsidRDefault="00CE58A5" w:rsidP="006A42EE">
      <w:pPr>
        <w:widowControl w:val="0"/>
        <w:spacing w:after="0" w:line="360" w:lineRule="auto"/>
        <w:rPr>
          <w:color w:val="000000"/>
        </w:rPr>
      </w:pPr>
    </w:p>
    <w:p w14:paraId="400ED6EA" w14:textId="591052C1" w:rsidR="008A6CBA" w:rsidRDefault="00CE4466" w:rsidP="006A42EE">
      <w:pPr>
        <w:spacing w:after="0" w:line="360" w:lineRule="auto"/>
        <w:contextualSpacing/>
        <w:rPr>
          <w:rFonts w:eastAsia="Calibri" w:cs="Times New Roman"/>
          <w:color w:val="auto"/>
          <w:lang w:eastAsia="en-US"/>
        </w:rPr>
      </w:pPr>
      <w:r w:rsidRPr="00412A97">
        <w:rPr>
          <w:color w:val="000000"/>
        </w:rPr>
        <w:t xml:space="preserve">Expuestas las posturas de las partes, se procede al análisis del agravio hecho valer por el Recurrente, concerniente a </w:t>
      </w:r>
      <w:r w:rsidR="004E16CA" w:rsidRPr="00412A97">
        <w:rPr>
          <w:color w:val="000000"/>
        </w:rPr>
        <w:t xml:space="preserve">la </w:t>
      </w:r>
      <w:r w:rsidR="00CF6248">
        <w:rPr>
          <w:color w:val="000000"/>
        </w:rPr>
        <w:t>negativa de la información</w:t>
      </w:r>
      <w:r w:rsidRPr="00412A97">
        <w:t xml:space="preserve">, </w:t>
      </w:r>
      <w:r w:rsidRPr="00412A97">
        <w:rPr>
          <w:color w:val="000000"/>
        </w:rPr>
        <w:t xml:space="preserve">para lo cual, </w:t>
      </w:r>
      <w:r w:rsidR="00F7286E" w:rsidRPr="00412A97">
        <w:rPr>
          <w:rFonts w:eastAsia="Calibri" w:cs="Times New Roman"/>
          <w:color w:val="auto"/>
          <w:lang w:eastAsia="en-US"/>
        </w:rPr>
        <w:t>en principio es pertinente contextualizar la solicitud de información</w:t>
      </w:r>
      <w:r w:rsidR="00053BFA" w:rsidRPr="00412A97">
        <w:rPr>
          <w:rFonts w:eastAsia="Calibri" w:cs="Times New Roman"/>
          <w:color w:val="auto"/>
          <w:lang w:eastAsia="en-US"/>
        </w:rPr>
        <w:t>.</w:t>
      </w:r>
    </w:p>
    <w:p w14:paraId="7E284D2E" w14:textId="77777777" w:rsidR="00053BFA" w:rsidRDefault="00053BFA" w:rsidP="006A42EE">
      <w:pPr>
        <w:spacing w:after="0" w:line="360" w:lineRule="auto"/>
        <w:contextualSpacing/>
        <w:rPr>
          <w:rFonts w:eastAsia="Calibri" w:cs="Times New Roman"/>
          <w:color w:val="auto"/>
          <w:lang w:eastAsia="en-US"/>
        </w:rPr>
      </w:pPr>
    </w:p>
    <w:p w14:paraId="384A6A0E" w14:textId="14C453B3" w:rsidR="00822564" w:rsidRDefault="00822564" w:rsidP="006A42EE">
      <w:pPr>
        <w:tabs>
          <w:tab w:val="left" w:pos="4962"/>
        </w:tabs>
        <w:spacing w:after="0" w:line="360" w:lineRule="auto"/>
        <w:rPr>
          <w:rFonts w:eastAsia="Calibri" w:cs="Tahoma"/>
          <w:color w:val="auto"/>
        </w:rPr>
      </w:pPr>
      <w:r>
        <w:rPr>
          <w:rFonts w:eastAsia="Calibri" w:cs="Tahoma"/>
        </w:rPr>
        <w:t>Al respecto, es necesario traer a colación la Guía Técnica 9 “La Administración del Personal Municipal”, define a los servidores públicos, como todas aquellas personas que prestan su trabajo al servicio del municipio, conformado por funcionarios (</w:t>
      </w:r>
      <w:r w:rsidR="006A42EE">
        <w:rPr>
          <w:rFonts w:eastAsia="Calibri" w:cs="Tahoma"/>
        </w:rPr>
        <w:t xml:space="preserve">Miembros de Cabildo, </w:t>
      </w:r>
      <w:r>
        <w:rPr>
          <w:rFonts w:eastAsia="Calibri" w:cs="Tahoma"/>
        </w:rPr>
        <w:t>Secretario Directores, Tesoreros, Contralores y Jefes de Departamento) y empleados (puestos administrativos y técnicos).</w:t>
      </w:r>
    </w:p>
    <w:p w14:paraId="19D36472" w14:textId="77777777" w:rsidR="00822564" w:rsidRDefault="00822564" w:rsidP="006A42EE">
      <w:pPr>
        <w:tabs>
          <w:tab w:val="left" w:pos="4962"/>
        </w:tabs>
        <w:spacing w:after="0" w:line="360" w:lineRule="auto"/>
        <w:rPr>
          <w:rFonts w:eastAsia="Calibri" w:cs="Tahoma"/>
        </w:rPr>
      </w:pPr>
    </w:p>
    <w:p w14:paraId="0DD260FC" w14:textId="6A6857DB" w:rsidR="00822564" w:rsidRDefault="00822564" w:rsidP="006A42EE">
      <w:pPr>
        <w:tabs>
          <w:tab w:val="left" w:pos="4962"/>
        </w:tabs>
        <w:spacing w:after="0" w:line="360" w:lineRule="auto"/>
        <w:rPr>
          <w:rFonts w:eastAsia="Calibri" w:cs="Tahoma"/>
        </w:rPr>
      </w:pPr>
      <w:r>
        <w:rPr>
          <w:rFonts w:eastAsia="Calibri" w:cs="Tahoma"/>
        </w:rPr>
        <w:lastRenderedPageBreak/>
        <w:t>En ese orden de ideas,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44A32A85" w14:textId="77777777" w:rsidR="006A42EE" w:rsidRDefault="006A42EE" w:rsidP="006A42EE">
      <w:pPr>
        <w:tabs>
          <w:tab w:val="left" w:pos="4962"/>
        </w:tabs>
        <w:spacing w:after="0" w:line="360" w:lineRule="auto"/>
        <w:rPr>
          <w:rFonts w:eastAsia="Calibri" w:cs="Tahoma"/>
        </w:rPr>
      </w:pPr>
    </w:p>
    <w:p w14:paraId="059DFD20" w14:textId="41CAEE5F" w:rsidR="006A42EE" w:rsidRPr="006A42EE" w:rsidRDefault="006A42EE" w:rsidP="006A42EE">
      <w:pPr>
        <w:tabs>
          <w:tab w:val="left" w:pos="4962"/>
        </w:tabs>
        <w:spacing w:after="0" w:line="360" w:lineRule="auto"/>
        <w:rPr>
          <w:rFonts w:eastAsia="Calibri" w:cs="Tahoma"/>
        </w:rPr>
      </w:pPr>
      <w:r>
        <w:rPr>
          <w:rFonts w:eastAsia="Calibri" w:cs="Tahoma"/>
        </w:rPr>
        <w:t xml:space="preserve">En ese contexto, se puede advertir que un funcionario público, es aquel designado por disposición de la Ley, por elección popular o por nombramiento de autoridad competente, para ocupar grados superiores dentro de la estructura orgánica, para asumir funciones de </w:t>
      </w:r>
      <w:r w:rsidRPr="006A42EE">
        <w:rPr>
          <w:rFonts w:eastAsia="Calibri" w:cs="Tahoma"/>
        </w:rPr>
        <w:t>representatividad, iniciativa, decisión y mando</w:t>
      </w:r>
      <w:r>
        <w:rPr>
          <w:rFonts w:eastAsia="Calibri" w:cs="Tahoma"/>
        </w:rPr>
        <w:t>; lo cual se traduce a los mandos superiores del Sujeto Obligado.</w:t>
      </w:r>
    </w:p>
    <w:p w14:paraId="54EFD095" w14:textId="77777777" w:rsidR="006A42EE" w:rsidRPr="008A6CBA" w:rsidRDefault="006A42EE" w:rsidP="006A42EE">
      <w:pPr>
        <w:spacing w:after="0" w:line="360" w:lineRule="auto"/>
        <w:contextualSpacing/>
        <w:rPr>
          <w:rFonts w:eastAsia="Calibri" w:cs="Times New Roman"/>
          <w:color w:val="auto"/>
          <w:lang w:eastAsia="en-US"/>
        </w:rPr>
      </w:pPr>
    </w:p>
    <w:p w14:paraId="3E812981" w14:textId="53ADA1D6" w:rsidR="00053BFA" w:rsidRPr="00053BFA" w:rsidRDefault="006A42EE" w:rsidP="006A42EE">
      <w:pPr>
        <w:tabs>
          <w:tab w:val="left" w:pos="4962"/>
        </w:tabs>
        <w:spacing w:after="0" w:line="360" w:lineRule="auto"/>
        <w:contextualSpacing/>
        <w:rPr>
          <w:rFonts w:eastAsia="Times New Roman" w:cs="Times New Roman"/>
          <w:bCs/>
          <w:color w:val="auto"/>
          <w:lang w:eastAsia="es-ES"/>
        </w:rPr>
      </w:pPr>
      <w:r>
        <w:rPr>
          <w:rFonts w:eastAsia="Times New Roman" w:cs="Times New Roman"/>
          <w:bCs/>
          <w:color w:val="auto"/>
          <w:lang w:eastAsia="es-ES"/>
        </w:rPr>
        <w:t>Ahora bien, respecto a lo solicitado</w:t>
      </w:r>
      <w:r w:rsidR="00053BFA" w:rsidRPr="00053BFA">
        <w:rPr>
          <w:rFonts w:eastAsia="Times New Roman" w:cs="Times New Roman"/>
          <w:bCs/>
          <w:color w:val="auto"/>
          <w:lang w:eastAsia="es-ES"/>
        </w:rPr>
        <w:t>,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7C220576" w14:textId="77777777" w:rsidR="00053BFA" w:rsidRPr="00053BFA" w:rsidRDefault="00053BFA" w:rsidP="006A42EE">
      <w:pPr>
        <w:tabs>
          <w:tab w:val="left" w:pos="4962"/>
        </w:tabs>
        <w:spacing w:after="0" w:line="360" w:lineRule="auto"/>
        <w:contextualSpacing/>
        <w:rPr>
          <w:rFonts w:eastAsia="Calibri" w:cs="Tahoma"/>
          <w:bCs/>
        </w:rPr>
      </w:pPr>
    </w:p>
    <w:p w14:paraId="28AB40A3" w14:textId="77777777" w:rsidR="006A42EE" w:rsidRPr="006A42EE" w:rsidRDefault="006A42EE" w:rsidP="006A42EE">
      <w:pPr>
        <w:spacing w:after="0" w:line="360" w:lineRule="auto"/>
        <w:rPr>
          <w:rFonts w:eastAsia="Calibri" w:cs="Times New Roman"/>
          <w:bCs/>
          <w:color w:val="auto"/>
          <w:lang w:eastAsia="es-ES"/>
        </w:rPr>
      </w:pPr>
      <w:r w:rsidRPr="006A42EE">
        <w:rPr>
          <w:rFonts w:eastAsia="Calibri"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CDB821C" w14:textId="77777777" w:rsidR="006A42EE" w:rsidRPr="006A42EE" w:rsidRDefault="006A42EE" w:rsidP="006A42EE">
      <w:pPr>
        <w:spacing w:after="0" w:line="360" w:lineRule="auto"/>
        <w:rPr>
          <w:rFonts w:eastAsia="Calibri" w:cs="Times New Roman"/>
          <w:bCs/>
          <w:color w:val="auto"/>
          <w:lang w:eastAsia="es-ES"/>
        </w:rPr>
      </w:pPr>
    </w:p>
    <w:p w14:paraId="1C1B3E4C" w14:textId="77777777" w:rsidR="006A42EE" w:rsidRPr="006A42EE" w:rsidRDefault="006A42EE" w:rsidP="006A42EE">
      <w:pPr>
        <w:spacing w:after="0" w:line="360" w:lineRule="auto"/>
        <w:rPr>
          <w:rFonts w:eastAsia="Calibri" w:cs="Times New Roman"/>
          <w:bCs/>
          <w:color w:val="auto"/>
          <w:lang w:eastAsia="es-ES"/>
        </w:rPr>
      </w:pPr>
      <w:r w:rsidRPr="006A42EE">
        <w:rPr>
          <w:rFonts w:eastAsia="Calibri" w:cs="Times New Roman"/>
          <w:bCs/>
          <w:color w:val="auto"/>
          <w:lang w:eastAsia="es-ES"/>
        </w:rPr>
        <w:t xml:space="preserve">Da la misma manera, el Anexo IV.5 Glosario de Términos, del Manual para la Planeación, Programación y Presupuesto de Egresos Municipal para el ejercicio fiscal dos mil veinte, </w:t>
      </w:r>
      <w:r w:rsidRPr="006A42EE">
        <w:rPr>
          <w:rFonts w:eastAsia="Calibri" w:cs="Times New Roman"/>
          <w:bCs/>
          <w:color w:val="auto"/>
          <w:lang w:eastAsia="es-ES"/>
        </w:rPr>
        <w:lastRenderedPageBreak/>
        <w:t>establece que la remuneración es la percepción de un trabajador o retribución monetaria que se da en pago por su servicio o actividad desarrollada.</w:t>
      </w:r>
    </w:p>
    <w:p w14:paraId="5C31A015" w14:textId="77777777" w:rsidR="006A42EE" w:rsidRPr="006A42EE" w:rsidRDefault="006A42EE" w:rsidP="006A42EE">
      <w:pPr>
        <w:spacing w:after="0" w:line="360" w:lineRule="auto"/>
        <w:rPr>
          <w:rFonts w:eastAsia="Calibri" w:cs="Times New Roman"/>
          <w:bCs/>
          <w:color w:val="auto"/>
          <w:lang w:eastAsia="es-ES"/>
        </w:rPr>
      </w:pPr>
    </w:p>
    <w:p w14:paraId="76D7217D" w14:textId="797D5974" w:rsidR="006A42EE" w:rsidRPr="006A42EE" w:rsidRDefault="006A42EE" w:rsidP="006A42EE">
      <w:pPr>
        <w:spacing w:after="0" w:line="360" w:lineRule="auto"/>
        <w:rPr>
          <w:rFonts w:eastAsia="Calibri" w:cs="Times New Roman"/>
          <w:bCs/>
          <w:iCs/>
          <w:color w:val="auto"/>
          <w:lang w:val="es-ES" w:eastAsia="es-ES"/>
        </w:rPr>
      </w:pPr>
      <w:r w:rsidRPr="006A42EE">
        <w:rPr>
          <w:rFonts w:eastAsia="Calibri" w:cs="Times New Roman"/>
          <w:bCs/>
          <w:iCs/>
          <w:color w:val="auto"/>
          <w:lang w:val="es-ES" w:eastAsia="es-ES"/>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362CACC6" w14:textId="77777777" w:rsidR="006A42EE" w:rsidRPr="006A42EE" w:rsidRDefault="006A42EE" w:rsidP="006A42EE">
      <w:pPr>
        <w:spacing w:after="0" w:line="360" w:lineRule="auto"/>
        <w:rPr>
          <w:rFonts w:eastAsia="Calibri" w:cs="Times New Roman"/>
          <w:bCs/>
          <w:color w:val="auto"/>
          <w:lang w:eastAsia="es-ES"/>
        </w:rPr>
      </w:pPr>
    </w:p>
    <w:p w14:paraId="6AED0537" w14:textId="77777777" w:rsidR="006A42EE" w:rsidRPr="006A42EE" w:rsidRDefault="006A42EE" w:rsidP="006A42EE">
      <w:pPr>
        <w:spacing w:after="0" w:line="360" w:lineRule="auto"/>
        <w:rPr>
          <w:rFonts w:eastAsia="Calibri" w:cs="Times New Roman"/>
          <w:b/>
          <w:bCs/>
          <w:iCs/>
          <w:color w:val="auto"/>
          <w:lang w:val="es-ES" w:eastAsia="es-ES"/>
        </w:rPr>
      </w:pPr>
      <w:r w:rsidRPr="006A42EE">
        <w:rPr>
          <w:rFonts w:eastAsia="Calibri"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6A42EE">
        <w:rPr>
          <w:rFonts w:eastAsia="Calibri" w:cs="Times New Roman"/>
          <w:b/>
          <w:bCs/>
          <w:iCs/>
          <w:color w:val="auto"/>
          <w:lang w:val="es-ES" w:eastAsia="es-ES"/>
        </w:rPr>
        <w:t>1000 Servicios Personales</w:t>
      </w:r>
      <w:r w:rsidRPr="006A42EE">
        <w:rPr>
          <w:rFonts w:eastAsia="Calibri" w:cs="Times New Roman"/>
          <w:bCs/>
          <w:iCs/>
          <w:color w:val="auto"/>
          <w:lang w:val="es-ES" w:eastAsia="es-ES"/>
        </w:rPr>
        <w:t>,</w:t>
      </w:r>
      <w:r w:rsidRPr="006A42EE">
        <w:rPr>
          <w:rFonts w:eastAsia="Calibri"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14:paraId="21EDEE4B" w14:textId="77777777" w:rsidR="006A42EE" w:rsidRPr="006A42EE" w:rsidRDefault="006A42EE" w:rsidP="006A42EE">
      <w:pPr>
        <w:spacing w:after="0" w:line="360" w:lineRule="auto"/>
        <w:rPr>
          <w:rFonts w:eastAsia="Calibri" w:cs="Times New Roman"/>
          <w:bCs/>
          <w:color w:val="auto"/>
          <w:lang w:eastAsia="es-ES"/>
        </w:rPr>
      </w:pPr>
    </w:p>
    <w:p w14:paraId="3FDB6885" w14:textId="77777777" w:rsidR="006A42EE" w:rsidRPr="006A42EE" w:rsidRDefault="006A42EE" w:rsidP="006A42EE">
      <w:pPr>
        <w:spacing w:after="0" w:line="360" w:lineRule="auto"/>
        <w:rPr>
          <w:rFonts w:eastAsia="Calibri" w:cs="Times New Roman"/>
          <w:bCs/>
          <w:color w:val="auto"/>
          <w:lang w:eastAsia="es-ES"/>
        </w:rPr>
      </w:pPr>
      <w:r w:rsidRPr="006A42EE">
        <w:rPr>
          <w:rFonts w:eastAsia="Calibri" w:cs="Times New Roman"/>
          <w:bCs/>
          <w:color w:val="auto"/>
          <w:lang w:eastAsia="es-ES"/>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encuentra los </w:t>
      </w:r>
      <w:r w:rsidRPr="006A42EE">
        <w:rPr>
          <w:rFonts w:eastAsia="Calibri" w:cs="Times New Roman"/>
          <w:b/>
          <w:bCs/>
          <w:color w:val="auto"/>
          <w:lang w:eastAsia="es-ES"/>
        </w:rPr>
        <w:t>recibos de pago de salarios o las</w:t>
      </w:r>
      <w:r w:rsidRPr="006A42EE">
        <w:rPr>
          <w:rFonts w:eastAsia="Calibri" w:cs="Times New Roman"/>
          <w:bCs/>
          <w:color w:val="auto"/>
          <w:lang w:eastAsia="es-ES"/>
        </w:rPr>
        <w:t xml:space="preserve"> </w:t>
      </w:r>
      <w:r w:rsidRPr="006A42EE">
        <w:rPr>
          <w:rFonts w:eastAsia="Calibri" w:cs="Times New Roman"/>
          <w:b/>
          <w:bCs/>
          <w:color w:val="auto"/>
          <w:lang w:eastAsia="es-ES"/>
        </w:rPr>
        <w:t xml:space="preserve">constancias documentales del pago de sueldos, </w:t>
      </w:r>
      <w:r w:rsidRPr="006A42EE">
        <w:rPr>
          <w:rFonts w:eastAsia="Calibri"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F4595C6" w14:textId="77777777" w:rsidR="006A42EE" w:rsidRPr="006A42EE" w:rsidRDefault="006A42EE" w:rsidP="006A42EE">
      <w:pPr>
        <w:spacing w:after="0" w:line="360" w:lineRule="auto"/>
        <w:rPr>
          <w:rFonts w:eastAsia="Calibri" w:cs="Times New Roman"/>
          <w:bCs/>
          <w:color w:val="auto"/>
          <w:lang w:eastAsia="es-ES"/>
        </w:rPr>
      </w:pPr>
    </w:p>
    <w:p w14:paraId="0B8FB682" w14:textId="77777777" w:rsidR="006A42EE" w:rsidRPr="006A42EE" w:rsidRDefault="006A42EE" w:rsidP="006A42EE">
      <w:pPr>
        <w:spacing w:after="0" w:line="360" w:lineRule="auto"/>
        <w:rPr>
          <w:rFonts w:eastAsia="Calibri" w:cs="Times New Roman"/>
          <w:bCs/>
          <w:color w:val="auto"/>
          <w:lang w:eastAsia="es-ES"/>
        </w:rPr>
      </w:pPr>
      <w:r w:rsidRPr="006A42EE">
        <w:rPr>
          <w:rFonts w:eastAsia="Calibri" w:cs="Times New Roman"/>
          <w:bCs/>
          <w:color w:val="auto"/>
          <w:lang w:eastAsia="es-ES"/>
        </w:rPr>
        <w:lastRenderedPageBreak/>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23594A15" w14:textId="77777777" w:rsidR="006A42EE" w:rsidRPr="006A42EE" w:rsidRDefault="006A42EE" w:rsidP="006A42EE">
      <w:pPr>
        <w:spacing w:after="0" w:line="360" w:lineRule="auto"/>
        <w:rPr>
          <w:rFonts w:eastAsia="Calibri" w:cs="Times New Roman"/>
          <w:bCs/>
          <w:color w:val="auto"/>
          <w:lang w:eastAsia="es-ES"/>
        </w:rPr>
      </w:pPr>
    </w:p>
    <w:p w14:paraId="337BCB97" w14:textId="77777777" w:rsidR="006A42EE" w:rsidRPr="006A42EE" w:rsidRDefault="006A42EE" w:rsidP="006A42EE">
      <w:pPr>
        <w:spacing w:after="0" w:line="360" w:lineRule="auto"/>
        <w:ind w:left="567" w:right="567"/>
        <w:contextualSpacing/>
        <w:rPr>
          <w:rFonts w:eastAsia="Calibri" w:cs="Times New Roman"/>
          <w:bCs/>
          <w:i/>
          <w:iCs/>
          <w:color w:val="auto"/>
          <w:sz w:val="20"/>
          <w:szCs w:val="20"/>
          <w:lang w:val="es-ES" w:eastAsia="es-ES"/>
        </w:rPr>
      </w:pPr>
      <w:r w:rsidRPr="006A42EE">
        <w:rPr>
          <w:rFonts w:eastAsia="Calibri" w:cs="Times New Roman"/>
          <w:b/>
          <w:bCs/>
          <w:i/>
          <w:iCs/>
          <w:color w:val="auto"/>
          <w:sz w:val="20"/>
          <w:szCs w:val="20"/>
          <w:lang w:val="es-ES" w:eastAsia="es-ES"/>
        </w:rPr>
        <w:t>“RECIBOS DE PAGO</w:t>
      </w:r>
      <w:r w:rsidRPr="006A42EE">
        <w:rPr>
          <w:rFonts w:eastAsia="Calibri" w:cs="Times New Roman"/>
          <w:bCs/>
          <w:i/>
          <w:iCs/>
          <w:color w:val="auto"/>
          <w:sz w:val="20"/>
          <w:szCs w:val="20"/>
          <w:lang w:val="es-ES" w:eastAsia="es-ES"/>
        </w:rPr>
        <w:t xml:space="preserve"> </w:t>
      </w:r>
      <w:r w:rsidRPr="006A42EE">
        <w:rPr>
          <w:rFonts w:eastAsia="Calibri" w:cs="Times New Roman"/>
          <w:b/>
          <w:bCs/>
          <w:i/>
          <w:iCs/>
          <w:color w:val="auto"/>
          <w:sz w:val="20"/>
          <w:szCs w:val="20"/>
          <w:lang w:val="es-ES" w:eastAsia="es-ES"/>
        </w:rPr>
        <w:t xml:space="preserve">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w:t>
      </w:r>
      <w:r w:rsidRPr="006A42EE">
        <w:rPr>
          <w:rFonts w:eastAsia="Calibri" w:cs="Times New Roman"/>
          <w:bCs/>
          <w:i/>
          <w:iCs/>
          <w:color w:val="auto"/>
          <w:sz w:val="20"/>
          <w:szCs w:val="20"/>
          <w:lang w:val="es-ES" w:eastAsia="es-ES"/>
        </w:rPr>
        <w:t>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2F3E3008" w14:textId="77777777" w:rsidR="006A42EE" w:rsidRPr="006A42EE" w:rsidRDefault="006A42EE" w:rsidP="006A42EE">
      <w:pPr>
        <w:spacing w:after="0" w:line="360" w:lineRule="auto"/>
        <w:rPr>
          <w:rFonts w:eastAsia="Calibri" w:cs="Times New Roman"/>
          <w:b/>
          <w:bCs/>
          <w:i/>
          <w:iCs/>
          <w:color w:val="auto"/>
          <w:lang w:val="es-ES" w:eastAsia="es-ES"/>
        </w:rPr>
      </w:pPr>
    </w:p>
    <w:p w14:paraId="7FC56404" w14:textId="77777777" w:rsidR="006A42EE" w:rsidRPr="006A42EE" w:rsidRDefault="006A42EE" w:rsidP="006A42EE">
      <w:pPr>
        <w:spacing w:after="0" w:line="360" w:lineRule="auto"/>
        <w:rPr>
          <w:rFonts w:eastAsia="Calibri" w:cs="Times New Roman"/>
          <w:bCs/>
          <w:color w:val="auto"/>
          <w:lang w:val="es-ES" w:eastAsia="es-ES"/>
        </w:rPr>
      </w:pPr>
      <w:r w:rsidRPr="006A42EE">
        <w:rPr>
          <w:rFonts w:eastAsia="Calibri" w:cs="Times New Roman"/>
          <w:bCs/>
          <w:color w:val="auto"/>
          <w:lang w:val="es-ES" w:eastAsia="es-ES"/>
        </w:rPr>
        <w:t xml:space="preserve">De la tesis transcrita, se desprende que </w:t>
      </w:r>
      <w:r w:rsidRPr="006A42EE">
        <w:rPr>
          <w:rFonts w:eastAsia="Calibri" w:cs="Times New Roman"/>
          <w:b/>
          <w:bCs/>
          <w:color w:val="auto"/>
          <w:lang w:val="es-ES" w:eastAsia="es-ES"/>
        </w:rPr>
        <w:t>en materia burocrática</w:t>
      </w:r>
      <w:r w:rsidRPr="006A42EE">
        <w:rPr>
          <w:rFonts w:eastAsia="Calibri" w:cs="Times New Roman"/>
          <w:bCs/>
          <w:color w:val="auto"/>
          <w:lang w:val="es-ES" w:eastAsia="es-ES"/>
        </w:rPr>
        <w:t xml:space="preserve"> </w:t>
      </w:r>
      <w:r w:rsidRPr="006A42EE">
        <w:rPr>
          <w:rFonts w:eastAsia="Calibri" w:cs="Times New Roman"/>
          <w:b/>
          <w:bCs/>
          <w:color w:val="auto"/>
          <w:lang w:val="es-ES" w:eastAsia="es-ES"/>
        </w:rPr>
        <w:t>los recibos de pago acreditan los conceptos y montos que en ellos se insertan</w:t>
      </w:r>
      <w:r w:rsidRPr="006A42EE">
        <w:rPr>
          <w:rFonts w:eastAsia="Calibri" w:cs="Times New Roman"/>
          <w:bCs/>
          <w:color w:val="auto"/>
          <w:lang w:val="es-ES" w:eastAsia="es-ES"/>
        </w:rPr>
        <w:t xml:space="preserve">, y constituyen prueba para demostrar las percepciones y montos que reciben los servidores públicos. </w:t>
      </w:r>
    </w:p>
    <w:p w14:paraId="529AE7BC" w14:textId="77777777" w:rsidR="006A42EE" w:rsidRPr="006A42EE" w:rsidRDefault="006A42EE" w:rsidP="006A42EE">
      <w:pPr>
        <w:widowControl w:val="0"/>
        <w:spacing w:after="0" w:line="360" w:lineRule="auto"/>
        <w:rPr>
          <w:rFonts w:eastAsia="Times New Roman" w:cs="Tahoma"/>
          <w:bCs/>
          <w:iCs/>
          <w:color w:val="auto"/>
          <w:lang w:eastAsia="es-ES"/>
        </w:rPr>
      </w:pPr>
    </w:p>
    <w:p w14:paraId="1BB901EC" w14:textId="49A7C121" w:rsidR="006A42EE" w:rsidRPr="006A42EE" w:rsidRDefault="006A42EE" w:rsidP="006A42EE">
      <w:pPr>
        <w:widowControl w:val="0"/>
        <w:spacing w:after="0" w:line="360" w:lineRule="auto"/>
        <w:rPr>
          <w:color w:val="auto"/>
        </w:rPr>
      </w:pPr>
      <w:r w:rsidRPr="006A42EE">
        <w:rPr>
          <w:color w:val="auto"/>
        </w:rPr>
        <w:t>En ese orden de ideas, los Lineamientos para la integración y presentación de los Informes Trimestrales Estatales y Municipales del Ejercicio Fiscal 2025, establecen que el Sujeto Obligado deberá entregar al Órgano Superior de Fiscalización, los Comprobantes Fiscales Digitales por Internet por concepto de nómina.</w:t>
      </w:r>
    </w:p>
    <w:p w14:paraId="238B806B" w14:textId="77777777" w:rsidR="006A42EE" w:rsidRPr="006A42EE" w:rsidRDefault="006A42EE" w:rsidP="006A42EE">
      <w:pPr>
        <w:spacing w:after="0" w:line="360" w:lineRule="auto"/>
        <w:rPr>
          <w:rFonts w:eastAsia="Times New Roman" w:cs="Tahoma"/>
          <w:color w:val="auto"/>
          <w:lang w:eastAsia="es-ES"/>
        </w:rPr>
      </w:pPr>
    </w:p>
    <w:p w14:paraId="39CA5FDD" w14:textId="77777777" w:rsidR="006A42EE" w:rsidRPr="006A42EE" w:rsidRDefault="006A42EE" w:rsidP="006A42EE">
      <w:pPr>
        <w:spacing w:after="0" w:line="360" w:lineRule="auto"/>
        <w:rPr>
          <w:rFonts w:eastAsia="Times New Roman" w:cs="Tahoma"/>
          <w:color w:val="auto"/>
          <w:lang w:eastAsia="es-ES"/>
        </w:rPr>
      </w:pPr>
      <w:r w:rsidRPr="006A42EE">
        <w:rPr>
          <w:rFonts w:eastAsia="Times New Roman" w:cs="Tahoma"/>
          <w:color w:val="auto"/>
          <w:lang w:eastAsia="es-ES"/>
        </w:rPr>
        <w:lastRenderedPageBreak/>
        <w:t>Conforme a lo anterior, se logra vislumbrar que la pretensión de la persona Recurrente es obtener los recibos de nómina de la segunda quincena de julio de dos mil veinticinco, de todos los servidores públicos adscritos al Organismo Público Descentralizado.</w:t>
      </w:r>
    </w:p>
    <w:p w14:paraId="22F5EFDC" w14:textId="77777777" w:rsidR="00FA2A59" w:rsidRDefault="00FA2A59" w:rsidP="006A42EE">
      <w:pPr>
        <w:spacing w:after="0" w:line="360" w:lineRule="auto"/>
        <w:contextualSpacing/>
        <w:rPr>
          <w:rFonts w:eastAsia="Calibri" w:cs="Times New Roman"/>
          <w:color w:val="auto"/>
          <w:lang w:eastAsia="en-US"/>
        </w:rPr>
      </w:pPr>
    </w:p>
    <w:p w14:paraId="56A861C8" w14:textId="2314135D" w:rsidR="00CF6248" w:rsidRDefault="008A6CBA" w:rsidP="006A42EE">
      <w:pPr>
        <w:spacing w:after="0" w:line="360" w:lineRule="auto"/>
        <w:contextualSpacing/>
        <w:rPr>
          <w:rFonts w:eastAsia="Calibri" w:cs="Times New Roman"/>
          <w:color w:val="auto"/>
          <w:lang w:eastAsia="en-US"/>
        </w:rPr>
      </w:pPr>
      <w:r w:rsidRPr="0026738C">
        <w:rPr>
          <w:rFonts w:eastAsia="Calibri" w:cs="Times New Roman"/>
          <w:color w:val="auto"/>
          <w:lang w:eastAsia="en-US"/>
        </w:rPr>
        <w:t>Conforme a lo anterior, se logra vislumbrar que la pretensión de la persona Recurrente</w:t>
      </w:r>
      <w:r w:rsidR="006E41D2">
        <w:rPr>
          <w:rFonts w:eastAsia="Calibri" w:cs="Times New Roman"/>
          <w:color w:val="auto"/>
          <w:lang w:eastAsia="en-US"/>
        </w:rPr>
        <w:t>, en atención al agravio interpuesto,</w:t>
      </w:r>
      <w:r w:rsidRPr="0026738C">
        <w:rPr>
          <w:rFonts w:eastAsia="Calibri" w:cs="Times New Roman"/>
          <w:color w:val="auto"/>
          <w:lang w:eastAsia="en-US"/>
        </w:rPr>
        <w:t xml:space="preserve"> es obtener </w:t>
      </w:r>
      <w:r w:rsidR="00CF6248" w:rsidRPr="00CF6248">
        <w:rPr>
          <w:rFonts w:eastAsia="Calibri" w:cs="Times New Roman"/>
          <w:color w:val="auto"/>
          <w:lang w:eastAsia="en-US"/>
        </w:rPr>
        <w:t xml:space="preserve">los recibos de nómina de los </w:t>
      </w:r>
      <w:r w:rsidR="006A42EE">
        <w:rPr>
          <w:rFonts w:eastAsia="Calibri" w:cs="Times New Roman"/>
          <w:color w:val="auto"/>
          <w:lang w:eastAsia="en-US"/>
        </w:rPr>
        <w:t>mandos superiores del Ayuntamiento de Toluca (miembros de Cabildo, directores u homólogos, Coordinadores, entre otros),</w:t>
      </w:r>
      <w:r w:rsidR="00CF6248" w:rsidRPr="00CF6248">
        <w:rPr>
          <w:rFonts w:eastAsia="Calibri" w:cs="Times New Roman"/>
          <w:color w:val="auto"/>
          <w:lang w:eastAsia="en-US"/>
        </w:rPr>
        <w:t xml:space="preserve"> de la segunda quincena de marzo de dos mil veinticinco.</w:t>
      </w:r>
    </w:p>
    <w:p w14:paraId="469E8C55" w14:textId="206926EE" w:rsidR="0069493D" w:rsidRPr="008A6CBA" w:rsidRDefault="00CF6248" w:rsidP="006A42EE">
      <w:pPr>
        <w:spacing w:after="0" w:line="360" w:lineRule="auto"/>
        <w:contextualSpacing/>
        <w:rPr>
          <w:color w:val="000000"/>
          <w:lang w:val="es-ES"/>
        </w:rPr>
      </w:pPr>
      <w:r>
        <w:rPr>
          <w:rFonts w:eastAsia="Calibri" w:cs="Times New Roman"/>
          <w:color w:val="auto"/>
          <w:lang w:eastAsia="en-US"/>
        </w:rPr>
        <w:t xml:space="preserve"> </w:t>
      </w:r>
    </w:p>
    <w:p w14:paraId="7C310131" w14:textId="189E7793" w:rsidR="008A6CBA" w:rsidRDefault="008A6CBA" w:rsidP="006A42EE">
      <w:pPr>
        <w:widowControl w:val="0"/>
        <w:spacing w:after="0" w:line="360" w:lineRule="auto"/>
        <w:rPr>
          <w:color w:val="000000"/>
        </w:rPr>
      </w:pPr>
      <w:r>
        <w:t xml:space="preserve">Ante dicha circunstancia, es necesario precisar que </w:t>
      </w:r>
      <w:r>
        <w:rPr>
          <w:color w:val="000000"/>
        </w:rPr>
        <w:t xml:space="preserve">de las constancias que obran en el expediente electrónico, se logra advertir que </w:t>
      </w:r>
      <w:r>
        <w:t xml:space="preserve">el Sujeto Obligado </w:t>
      </w:r>
      <w:r>
        <w:rPr>
          <w:color w:val="000000"/>
        </w:rPr>
        <w:t>turnó la solicitud de información a la</w:t>
      </w:r>
      <w:r w:rsidR="0029439C">
        <w:rPr>
          <w:color w:val="000000"/>
        </w:rPr>
        <w:t xml:space="preserve"> </w:t>
      </w:r>
      <w:r w:rsidR="00CF6248">
        <w:rPr>
          <w:color w:val="000000"/>
        </w:rPr>
        <w:t>Dirección General de Administración</w:t>
      </w:r>
      <w:r w:rsidR="0029439C">
        <w:rPr>
          <w:color w:val="000000"/>
        </w:rPr>
        <w:t xml:space="preserve">, </w:t>
      </w:r>
      <w:r>
        <w:rPr>
          <w:color w:val="000000"/>
        </w:rPr>
        <w:t xml:space="preserve"> por lo que,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7BFEFC9" w14:textId="77777777" w:rsidR="006E41D2" w:rsidRDefault="006E41D2" w:rsidP="006A42EE">
      <w:pPr>
        <w:widowControl w:val="0"/>
        <w:spacing w:after="0" w:line="360" w:lineRule="auto"/>
        <w:rPr>
          <w:color w:val="000000"/>
        </w:rPr>
      </w:pPr>
    </w:p>
    <w:p w14:paraId="4F7090E7" w14:textId="5F02BC66" w:rsidR="000957B4" w:rsidRDefault="008A6CBA" w:rsidP="006A42EE">
      <w:pPr>
        <w:widowControl w:val="0"/>
        <w:spacing w:after="0" w:line="360" w:lineRule="auto"/>
        <w:rPr>
          <w:color w:val="000000"/>
        </w:rPr>
      </w:pPr>
      <w:r>
        <w:rPr>
          <w:color w:val="000000"/>
        </w:rPr>
        <w:t xml:space="preserve">Así a efecto de verificar que el Sujeto Obligado cumplió con el procedimiento establecido es necesario traer a colación </w:t>
      </w:r>
      <w:r w:rsidR="001C1404">
        <w:rPr>
          <w:color w:val="000000"/>
        </w:rPr>
        <w:t>el  Código Reglamentario Municipal d</w:t>
      </w:r>
      <w:r w:rsidR="001C1404" w:rsidRPr="001C1404">
        <w:rPr>
          <w:color w:val="000000"/>
        </w:rPr>
        <w:t>e Toluca</w:t>
      </w:r>
      <w:r w:rsidR="001C1404">
        <w:rPr>
          <w:color w:val="000000"/>
        </w:rPr>
        <w:t>, mismo que en su artículo 3.31, fracción IV, contempla que l</w:t>
      </w:r>
      <w:r w:rsidR="000957B4" w:rsidRPr="000957B4">
        <w:rPr>
          <w:color w:val="000000"/>
        </w:rPr>
        <w:t xml:space="preserve">a o el titular de la Dirección General de Administración, tiene </w:t>
      </w:r>
      <w:r w:rsidR="001C1404">
        <w:rPr>
          <w:color w:val="000000"/>
        </w:rPr>
        <w:t xml:space="preserve"> las atribuciones  de a</w:t>
      </w:r>
      <w:r w:rsidR="000957B4" w:rsidRPr="000957B4">
        <w:rPr>
          <w:color w:val="000000"/>
        </w:rPr>
        <w:t>utorizar la elaboración y distribución oportuna de la nómina al personal que labora en el Ayuntamiento,</w:t>
      </w:r>
      <w:r w:rsidR="001C1404">
        <w:rPr>
          <w:color w:val="000000"/>
        </w:rPr>
        <w:t xml:space="preserve"> </w:t>
      </w:r>
      <w:r w:rsidR="000957B4" w:rsidRPr="000957B4">
        <w:rPr>
          <w:color w:val="000000"/>
        </w:rPr>
        <w:t>apegándose a la normatividad en la materia y al presupuesto autorizado</w:t>
      </w:r>
      <w:r w:rsidR="001C1404">
        <w:rPr>
          <w:color w:val="000000"/>
        </w:rPr>
        <w:t>; en su artículo 3.32. que l</w:t>
      </w:r>
      <w:r w:rsidR="000957B4" w:rsidRPr="000957B4">
        <w:rPr>
          <w:color w:val="000000"/>
        </w:rPr>
        <w:t>a Dirección General de Administración, para el cumplimiento de sus atribuciones, se auxiliará de</w:t>
      </w:r>
      <w:r w:rsidR="001C1404">
        <w:rPr>
          <w:color w:val="000000"/>
        </w:rPr>
        <w:t xml:space="preserve"> </w:t>
      </w:r>
      <w:r w:rsidR="000957B4" w:rsidRPr="000957B4">
        <w:rPr>
          <w:color w:val="000000"/>
        </w:rPr>
        <w:t xml:space="preserve">una Coordinación de </w:t>
      </w:r>
      <w:r w:rsidR="000957B4" w:rsidRPr="000957B4">
        <w:rPr>
          <w:color w:val="000000"/>
        </w:rPr>
        <w:lastRenderedPageBreak/>
        <w:t>Apoyo Técnico; una Coordinación de Delegaciones Administrativas; una Dirección de</w:t>
      </w:r>
      <w:r w:rsidR="001C1404">
        <w:rPr>
          <w:color w:val="000000"/>
        </w:rPr>
        <w:t xml:space="preserve"> </w:t>
      </w:r>
      <w:r w:rsidR="000957B4" w:rsidRPr="000957B4">
        <w:rPr>
          <w:color w:val="000000"/>
        </w:rPr>
        <w:t>Recursos Materiales; una Dirección de Recursos Humanos; una Dirección de Servicios Generales; una Dirección</w:t>
      </w:r>
      <w:r w:rsidR="001C1404">
        <w:rPr>
          <w:color w:val="000000"/>
        </w:rPr>
        <w:t xml:space="preserve"> </w:t>
      </w:r>
      <w:r w:rsidR="000957B4" w:rsidRPr="000957B4">
        <w:rPr>
          <w:color w:val="000000"/>
        </w:rPr>
        <w:t>de Innovación y Gobierno Digital, y las demás Unidades Administrativas necesarias para el cumplimiento de sus</w:t>
      </w:r>
      <w:r w:rsidR="001C1404">
        <w:rPr>
          <w:color w:val="000000"/>
        </w:rPr>
        <w:t xml:space="preserve"> </w:t>
      </w:r>
      <w:r w:rsidR="000957B4" w:rsidRPr="000957B4">
        <w:rPr>
          <w:color w:val="000000"/>
        </w:rPr>
        <w:t>atribuciones.</w:t>
      </w:r>
    </w:p>
    <w:p w14:paraId="74BC9B9C" w14:textId="77777777" w:rsidR="006A42EE" w:rsidRDefault="006A42EE" w:rsidP="006A42EE">
      <w:pPr>
        <w:widowControl w:val="0"/>
        <w:spacing w:after="0" w:line="360" w:lineRule="auto"/>
        <w:rPr>
          <w:color w:val="000000"/>
        </w:rPr>
      </w:pPr>
    </w:p>
    <w:p w14:paraId="6BA639D0" w14:textId="33347B59" w:rsidR="00024515" w:rsidRDefault="001C1404" w:rsidP="006A42EE">
      <w:pPr>
        <w:widowControl w:val="0"/>
        <w:spacing w:after="0" w:line="360" w:lineRule="auto"/>
        <w:rPr>
          <w:color w:val="000000"/>
        </w:rPr>
      </w:pPr>
      <w:r>
        <w:rPr>
          <w:color w:val="000000"/>
        </w:rPr>
        <w:t>Así mismo en su a</w:t>
      </w:r>
      <w:r w:rsidR="00024515" w:rsidRPr="00024515">
        <w:rPr>
          <w:color w:val="000000"/>
        </w:rPr>
        <w:t xml:space="preserve">rtículo 3.33. </w:t>
      </w:r>
      <w:r w:rsidR="00460E12">
        <w:rPr>
          <w:color w:val="000000"/>
        </w:rPr>
        <w:t>fracción VI, refiere que l</w:t>
      </w:r>
      <w:r w:rsidR="00024515" w:rsidRPr="00024515">
        <w:rPr>
          <w:color w:val="000000"/>
        </w:rPr>
        <w:t xml:space="preserve">a o el titular de la Dirección de Recursos Humanos cuenta con las </w:t>
      </w:r>
      <w:r w:rsidR="00460E12">
        <w:rPr>
          <w:color w:val="000000"/>
        </w:rPr>
        <w:t>atribución de c</w:t>
      </w:r>
      <w:r w:rsidR="00024515" w:rsidRPr="00024515">
        <w:rPr>
          <w:color w:val="000000"/>
        </w:rPr>
        <w:t>oadyuvar con la Tesorería Municipal en la elaboración y distribución oportuna de la nómina para el</w:t>
      </w:r>
      <w:r w:rsidR="00460E12">
        <w:rPr>
          <w:color w:val="000000"/>
        </w:rPr>
        <w:t xml:space="preserve"> </w:t>
      </w:r>
      <w:r w:rsidR="00024515" w:rsidRPr="00024515">
        <w:rPr>
          <w:color w:val="000000"/>
        </w:rPr>
        <w:t>pago al personal que labora en el Ayuntamiento, por concepto de sueldos, prestaciones, liquidaciones</w:t>
      </w:r>
      <w:r w:rsidR="00460E12">
        <w:rPr>
          <w:color w:val="000000"/>
        </w:rPr>
        <w:t xml:space="preserve"> </w:t>
      </w:r>
      <w:r w:rsidR="00024515" w:rsidRPr="00024515">
        <w:rPr>
          <w:color w:val="000000"/>
        </w:rPr>
        <w:t>y finiquitos apegándose al presupuesto autorizado aplicado a través del capítulo 1000; así como en lo</w:t>
      </w:r>
      <w:r w:rsidR="00460E12">
        <w:rPr>
          <w:color w:val="000000"/>
        </w:rPr>
        <w:t xml:space="preserve"> </w:t>
      </w:r>
      <w:r w:rsidR="00024515" w:rsidRPr="00024515">
        <w:rPr>
          <w:color w:val="000000"/>
        </w:rPr>
        <w:t xml:space="preserve">relativo a las determinaciones de los impuestos y </w:t>
      </w:r>
      <w:r w:rsidR="00024515" w:rsidRPr="00460E12">
        <w:rPr>
          <w:b/>
          <w:color w:val="000000"/>
        </w:rPr>
        <w:t>la emisión de los CFDI correspondientes</w:t>
      </w:r>
      <w:r w:rsidR="00024515" w:rsidRPr="00024515">
        <w:rPr>
          <w:color w:val="000000"/>
        </w:rPr>
        <w:t xml:space="preserve"> una vez</w:t>
      </w:r>
      <w:r w:rsidR="00460E12">
        <w:rPr>
          <w:color w:val="000000"/>
        </w:rPr>
        <w:t xml:space="preserve"> </w:t>
      </w:r>
      <w:r w:rsidR="00024515" w:rsidRPr="00024515">
        <w:rPr>
          <w:color w:val="000000"/>
        </w:rPr>
        <w:t>realizado el pago</w:t>
      </w:r>
    </w:p>
    <w:p w14:paraId="6304CE68" w14:textId="77777777" w:rsidR="00024515" w:rsidRDefault="00024515" w:rsidP="006A42EE">
      <w:pPr>
        <w:widowControl w:val="0"/>
        <w:spacing w:after="0" w:line="360" w:lineRule="auto"/>
        <w:rPr>
          <w:color w:val="000000"/>
        </w:rPr>
      </w:pPr>
    </w:p>
    <w:p w14:paraId="5EF50F2F" w14:textId="48F5162A" w:rsidR="00024515" w:rsidRPr="00024515" w:rsidRDefault="00460E12" w:rsidP="006A42EE">
      <w:pPr>
        <w:widowControl w:val="0"/>
        <w:spacing w:after="0" w:line="360" w:lineRule="auto"/>
        <w:rPr>
          <w:color w:val="000000"/>
        </w:rPr>
      </w:pPr>
      <w:r>
        <w:rPr>
          <w:color w:val="000000"/>
        </w:rPr>
        <w:t>Por su parte en su a</w:t>
      </w:r>
      <w:r w:rsidR="00024515" w:rsidRPr="00024515">
        <w:rPr>
          <w:color w:val="000000"/>
        </w:rPr>
        <w:t xml:space="preserve">rtículo 3.21. </w:t>
      </w:r>
      <w:r>
        <w:rPr>
          <w:color w:val="000000"/>
        </w:rPr>
        <w:t xml:space="preserve"> fracción XXV, refiere que l</w:t>
      </w:r>
      <w:r w:rsidR="00024515" w:rsidRPr="00024515">
        <w:rPr>
          <w:color w:val="000000"/>
        </w:rPr>
        <w:t>a o el titular de la Tesorería Municipal tendrá las atribuciones</w:t>
      </w:r>
      <w:r>
        <w:rPr>
          <w:color w:val="000000"/>
        </w:rPr>
        <w:t xml:space="preserve"> de p</w:t>
      </w:r>
      <w:r w:rsidR="00024515" w:rsidRPr="00024515">
        <w:rPr>
          <w:color w:val="000000"/>
        </w:rPr>
        <w:t>agar la nómina mediante depósito bancario o bajo la modalidad convenida por el Sindicato que mayor</w:t>
      </w:r>
      <w:r>
        <w:rPr>
          <w:color w:val="000000"/>
        </w:rPr>
        <w:t xml:space="preserve"> </w:t>
      </w:r>
      <w:r w:rsidR="00024515" w:rsidRPr="00024515">
        <w:rPr>
          <w:color w:val="000000"/>
        </w:rPr>
        <w:t>seguridad brinde a las y los servidores públicos en días y horas hábiles, en el lugar más cercano al centro</w:t>
      </w:r>
      <w:r>
        <w:rPr>
          <w:color w:val="000000"/>
        </w:rPr>
        <w:t xml:space="preserve"> </w:t>
      </w:r>
      <w:r w:rsidR="00024515" w:rsidRPr="00024515">
        <w:rPr>
          <w:color w:val="000000"/>
        </w:rPr>
        <w:t xml:space="preserve">de trabajo del servidor público los días quince y último de cada mes o el </w:t>
      </w:r>
      <w:r>
        <w:rPr>
          <w:color w:val="000000"/>
        </w:rPr>
        <w:t>día hábil inmediato anterior.</w:t>
      </w:r>
    </w:p>
    <w:p w14:paraId="6A8BA11E" w14:textId="77777777" w:rsidR="00024515" w:rsidRDefault="00024515" w:rsidP="006A42EE">
      <w:pPr>
        <w:widowControl w:val="0"/>
        <w:spacing w:after="0" w:line="360" w:lineRule="auto"/>
        <w:rPr>
          <w:color w:val="000000"/>
        </w:rPr>
      </w:pPr>
    </w:p>
    <w:p w14:paraId="188F3FB6" w14:textId="32D16E17" w:rsidR="008A6CBA" w:rsidRDefault="008A6CBA" w:rsidP="006A42EE">
      <w:pPr>
        <w:widowControl w:val="0"/>
        <w:spacing w:after="0" w:line="360" w:lineRule="auto"/>
        <w:rPr>
          <w:color w:val="000000"/>
        </w:rPr>
      </w:pPr>
      <w:r>
        <w:rPr>
          <w:color w:val="000000"/>
        </w:rPr>
        <w:t xml:space="preserve">Conforme a lo anterior, se logra colegir que el Sujeto Obligado </w:t>
      </w:r>
      <w:r w:rsidR="00460E12">
        <w:rPr>
          <w:color w:val="000000"/>
        </w:rPr>
        <w:t xml:space="preserve">no </w:t>
      </w:r>
      <w:r>
        <w:rPr>
          <w:color w:val="000000"/>
        </w:rPr>
        <w:t xml:space="preserve">cumplió con el procedimiento de búsqueda previamente referido, toda vez que </w:t>
      </w:r>
      <w:r w:rsidR="00F25AFA">
        <w:rPr>
          <w:color w:val="000000"/>
        </w:rPr>
        <w:t xml:space="preserve">no </w:t>
      </w:r>
      <w:r w:rsidR="003C5D74">
        <w:rPr>
          <w:color w:val="000000"/>
        </w:rPr>
        <w:t>turnó la solicitud a</w:t>
      </w:r>
      <w:r w:rsidR="00F25AFA">
        <w:rPr>
          <w:color w:val="000000"/>
        </w:rPr>
        <w:t xml:space="preserve"> la Tesorería municipal. </w:t>
      </w:r>
    </w:p>
    <w:p w14:paraId="7E4845D7" w14:textId="77777777" w:rsidR="008A6CBA" w:rsidRDefault="008A6CBA" w:rsidP="006A42EE">
      <w:pPr>
        <w:widowControl w:val="0"/>
        <w:spacing w:after="0" w:line="360" w:lineRule="auto"/>
        <w:rPr>
          <w:color w:val="000000"/>
        </w:rPr>
      </w:pPr>
    </w:p>
    <w:p w14:paraId="5594C421" w14:textId="074A709C" w:rsidR="00F25AFA" w:rsidRDefault="00F25AFA" w:rsidP="006A42EE">
      <w:pPr>
        <w:widowControl w:val="0"/>
        <w:spacing w:after="0" w:line="360" w:lineRule="auto"/>
        <w:rPr>
          <w:color w:val="000000"/>
        </w:rPr>
      </w:pPr>
      <w:r>
        <w:rPr>
          <w:color w:val="000000"/>
        </w:rPr>
        <w:t>Ahora bien en su respuesta, la Dirección General de Administración refirió que</w:t>
      </w:r>
      <w:r w:rsidRPr="00F25AFA">
        <w:rPr>
          <w:color w:val="000000"/>
        </w:rPr>
        <w:t xml:space="preserve"> la Dirección de Recursos Humanos, después de haber realizado una búsqueda exhaustiva y razonable en los archivos que obran en esta Dirección y el Departamento de Nóminas, no se encontró documental alguno donde contenga lo requerido con antelación, debido a que la atención a esta solicitud requiere un proceso complejo que implica el análisis, estudio y procesamiento de documentos e información, lo que demanda la asignación de recursos significativos, incluyendo </w:t>
      </w:r>
      <w:r w:rsidRPr="00F25AFA">
        <w:rPr>
          <w:color w:val="000000"/>
        </w:rPr>
        <w:lastRenderedPageBreak/>
        <w:t>días, horas y personal exclusivo para la revisió</w:t>
      </w:r>
      <w:r w:rsidR="00596417">
        <w:rPr>
          <w:color w:val="000000"/>
        </w:rPr>
        <w:t>n y análisis de la información.</w:t>
      </w:r>
    </w:p>
    <w:p w14:paraId="4735158E" w14:textId="77777777" w:rsidR="00F25AFA" w:rsidRDefault="00F25AFA" w:rsidP="006A42EE">
      <w:pPr>
        <w:widowControl w:val="0"/>
        <w:spacing w:after="0" w:line="360" w:lineRule="auto"/>
        <w:rPr>
          <w:color w:val="000000"/>
        </w:rPr>
      </w:pPr>
    </w:p>
    <w:p w14:paraId="2BD28431" w14:textId="3AC1E953" w:rsidR="0043009E" w:rsidRDefault="00916DDB" w:rsidP="006A42EE">
      <w:pPr>
        <w:spacing w:after="0" w:line="360" w:lineRule="auto"/>
        <w:rPr>
          <w:color w:val="000000"/>
          <w:lang w:val="es-ES"/>
        </w:rPr>
      </w:pPr>
      <w:r w:rsidRPr="00FA2A59">
        <w:rPr>
          <w:color w:val="000000"/>
          <w:lang w:val="es-ES"/>
        </w:rPr>
        <w:t>Conforme a lo anterior, se logra vislumbra</w:t>
      </w:r>
      <w:r w:rsidR="00596417" w:rsidRPr="00FA2A59">
        <w:rPr>
          <w:color w:val="000000"/>
          <w:lang w:val="es-ES"/>
        </w:rPr>
        <w:t xml:space="preserve">r que el Sujeto Obligado negó </w:t>
      </w:r>
      <w:r w:rsidRPr="00FA2A59">
        <w:rPr>
          <w:color w:val="000000"/>
          <w:lang w:val="es-ES"/>
        </w:rPr>
        <w:t xml:space="preserve"> la información, </w:t>
      </w:r>
      <w:r w:rsidR="00596417" w:rsidRPr="00FA2A59">
        <w:rPr>
          <w:color w:val="000000"/>
          <w:lang w:val="es-ES"/>
        </w:rPr>
        <w:t>no obstante</w:t>
      </w:r>
      <w:r w:rsidR="00B6332B">
        <w:rPr>
          <w:color w:val="000000"/>
          <w:lang w:val="es-ES"/>
        </w:rPr>
        <w:t xml:space="preserve">, como ya ha quedado establecido, </w:t>
      </w:r>
      <w:r w:rsidR="00596417" w:rsidRPr="00FA2A59">
        <w:rPr>
          <w:color w:val="000000"/>
          <w:lang w:val="es-ES"/>
        </w:rPr>
        <w:t xml:space="preserve"> cuenta con atribuciones para poseer la misma, </w:t>
      </w:r>
      <w:r w:rsidR="00E6531B" w:rsidRPr="00FA2A59">
        <w:rPr>
          <w:color w:val="000000"/>
          <w:lang w:val="es-ES"/>
        </w:rPr>
        <w:t xml:space="preserve">lo  cual da como resultado que el agravio sea </w:t>
      </w:r>
      <w:r w:rsidR="00E6531B" w:rsidRPr="00FA2A59">
        <w:rPr>
          <w:b/>
          <w:bCs/>
          <w:color w:val="000000"/>
          <w:lang w:val="es-ES"/>
        </w:rPr>
        <w:t>FUNDADO</w:t>
      </w:r>
      <w:r w:rsidRPr="00FA2A59">
        <w:rPr>
          <w:color w:val="000000"/>
          <w:lang w:val="es-ES"/>
        </w:rPr>
        <w:t xml:space="preserve">, pues omitió entregar los recibos de nómina </w:t>
      </w:r>
      <w:r w:rsidR="00596417" w:rsidRPr="00FA2A59">
        <w:rPr>
          <w:color w:val="000000"/>
          <w:lang w:val="es-ES"/>
        </w:rPr>
        <w:t>solicitados.</w:t>
      </w:r>
      <w:r w:rsidR="00596417">
        <w:rPr>
          <w:color w:val="000000"/>
          <w:lang w:val="es-ES"/>
        </w:rPr>
        <w:t xml:space="preserve"> </w:t>
      </w:r>
      <w:r w:rsidR="00E6531B">
        <w:rPr>
          <w:color w:val="000000"/>
          <w:lang w:val="es-ES"/>
        </w:rPr>
        <w:t xml:space="preserve"> </w:t>
      </w:r>
    </w:p>
    <w:p w14:paraId="3CE9DF81" w14:textId="77777777" w:rsidR="0043009E" w:rsidRDefault="0043009E" w:rsidP="006A42EE">
      <w:pPr>
        <w:spacing w:after="0" w:line="360" w:lineRule="auto"/>
        <w:rPr>
          <w:color w:val="000000"/>
          <w:lang w:val="es-ES"/>
        </w:rPr>
      </w:pPr>
    </w:p>
    <w:p w14:paraId="03E17985" w14:textId="6AC3F2DE" w:rsidR="008449FA" w:rsidRPr="008449FA" w:rsidRDefault="00E6531B" w:rsidP="006A42EE">
      <w:pPr>
        <w:spacing w:after="0" w:line="360" w:lineRule="auto"/>
        <w:rPr>
          <w:rFonts w:eastAsia="Times New Roman" w:cs="Times New Roman"/>
          <w:color w:val="auto"/>
          <w:lang w:eastAsia="es-ES"/>
        </w:rPr>
      </w:pPr>
      <w:r>
        <w:rPr>
          <w:color w:val="000000"/>
          <w:lang w:val="es-ES"/>
        </w:rPr>
        <w:t>De tal circunstancia, para atender el requerimiento de información, el Sujeto Obligado</w:t>
      </w:r>
      <w:r w:rsidR="008449FA">
        <w:rPr>
          <w:color w:val="000000"/>
          <w:lang w:val="es-ES"/>
        </w:rPr>
        <w:t xml:space="preserve"> </w:t>
      </w:r>
      <w:r w:rsidR="008449FA" w:rsidRPr="008449FA">
        <w:rPr>
          <w:rFonts w:eastAsia="Times New Roman" w:cs="Times New Roman"/>
          <w:color w:val="auto"/>
          <w:lang w:eastAsia="es-ES"/>
        </w:rPr>
        <w:t xml:space="preserve">deberá realizar una búsqueda exhaustiva y razonable en las unidades administrativas competentes, entre las cuales no podrá omitir a la </w:t>
      </w:r>
      <w:r w:rsidR="00744595">
        <w:rPr>
          <w:rFonts w:eastAsia="Times New Roman" w:cs="Times New Roman"/>
          <w:color w:val="auto"/>
          <w:lang w:eastAsia="es-ES"/>
        </w:rPr>
        <w:t>Tesorería municipal</w:t>
      </w:r>
      <w:r w:rsidR="008449FA" w:rsidRPr="008449FA">
        <w:rPr>
          <w:rFonts w:eastAsia="Times New Roman" w:cs="Times New Roman"/>
          <w:bCs/>
          <w:color w:val="auto"/>
          <w:lang w:eastAsia="es-ES"/>
        </w:rPr>
        <w:t>,</w:t>
      </w:r>
      <w:r w:rsidR="008449FA" w:rsidRPr="008449FA">
        <w:rPr>
          <w:rFonts w:eastAsia="Times New Roman" w:cs="Times New Roman"/>
          <w:b/>
          <w:color w:val="auto"/>
          <w:lang w:eastAsia="es-ES"/>
        </w:rPr>
        <w:t xml:space="preserve"> </w:t>
      </w:r>
      <w:r w:rsidR="008449FA" w:rsidRPr="008449FA">
        <w:rPr>
          <w:rFonts w:eastAsia="Times New Roman" w:cs="Times New Roman"/>
          <w:color w:val="auto"/>
          <w:lang w:eastAsia="es-ES"/>
        </w:rPr>
        <w:t xml:space="preserve">en términos del artículo 162 de la Ley de Transparencia y Acceso a la Información Pública del Estado de México y Municipios, a efecto de que entregue </w:t>
      </w:r>
      <w:r w:rsidR="008449FA">
        <w:rPr>
          <w:rFonts w:eastAsia="Times New Roman" w:cs="Times New Roman"/>
          <w:color w:val="auto"/>
          <w:lang w:eastAsia="es-ES"/>
        </w:rPr>
        <w:t>los recibos de nómina</w:t>
      </w:r>
      <w:r w:rsidR="008449FA" w:rsidRPr="008449FA">
        <w:rPr>
          <w:rFonts w:eastAsia="Times New Roman" w:cs="Times New Roman"/>
          <w:color w:val="auto"/>
          <w:lang w:eastAsia="es-ES"/>
        </w:rPr>
        <w:t>;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7BFF903C" w14:textId="77777777" w:rsidR="008449FA" w:rsidRPr="008449FA" w:rsidRDefault="008449FA" w:rsidP="006A42EE">
      <w:pPr>
        <w:spacing w:after="0" w:line="360" w:lineRule="auto"/>
        <w:rPr>
          <w:rFonts w:eastAsia="Times New Roman" w:cs="Times New Roman"/>
          <w:color w:val="auto"/>
          <w:lang w:eastAsia="es-ES"/>
        </w:rPr>
      </w:pPr>
    </w:p>
    <w:p w14:paraId="164D36BD" w14:textId="77777777" w:rsidR="008449FA" w:rsidRPr="008449FA" w:rsidRDefault="008449FA" w:rsidP="006A42EE">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8449FA">
        <w:rPr>
          <w:rFonts w:eastAsia="Times New Roman" w:cs="Times New Roman"/>
          <w:i/>
          <w:color w:val="auto"/>
          <w:lang w:eastAsia="es-ES"/>
        </w:rPr>
        <w:t>ad hoc</w:t>
      </w:r>
      <w:r w:rsidRPr="008449FA">
        <w:rPr>
          <w:rFonts w:eastAsia="Times New Roman" w:cs="Times New Roman"/>
          <w:color w:val="auto"/>
          <w:lang w:eastAsia="es-ES"/>
        </w:rPr>
        <w:t>; lo cual, de conformidad con en el artículo 160 de la Ley de Transparencia y Acceso a la Información Pública del Estado de México y Municipios, el cual refiere que los sujetos obligados deberán entregar la información que obre en sus archivos.</w:t>
      </w:r>
    </w:p>
    <w:p w14:paraId="2B399FF1" w14:textId="77777777" w:rsidR="008449FA" w:rsidRPr="008449FA" w:rsidRDefault="008449FA" w:rsidP="006A42EE">
      <w:pPr>
        <w:spacing w:after="0" w:line="360" w:lineRule="auto"/>
        <w:rPr>
          <w:rFonts w:eastAsia="Times New Roman" w:cs="Times New Roman"/>
          <w:b/>
          <w:color w:val="auto"/>
          <w:lang w:eastAsia="es-ES"/>
        </w:rPr>
      </w:pPr>
    </w:p>
    <w:p w14:paraId="746D46C1" w14:textId="36B8182A" w:rsidR="00D43425" w:rsidRDefault="008449FA" w:rsidP="006A42EE">
      <w:pPr>
        <w:spacing w:after="0" w:line="360" w:lineRule="auto"/>
        <w:rPr>
          <w:rFonts w:eastAsia="Times New Roman" w:cs="Times New Roman"/>
          <w:color w:val="auto"/>
          <w:lang w:eastAsia="es-ES"/>
        </w:rPr>
      </w:pPr>
      <w:r w:rsidRPr="008449FA">
        <w:rPr>
          <w:rFonts w:eastAsia="Times New Roman" w:cs="Times New Roman"/>
          <w:color w:val="auto"/>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B6332B">
        <w:rPr>
          <w:rFonts w:eastAsia="Times New Roman" w:cs="Times New Roman"/>
          <w:color w:val="auto"/>
          <w:lang w:eastAsia="es-ES"/>
        </w:rPr>
        <w:t>los recibos de nómina</w:t>
      </w:r>
      <w:r w:rsidR="00D43425">
        <w:rPr>
          <w:rFonts w:eastAsia="Times New Roman" w:cs="Times New Roman"/>
          <w:color w:val="auto"/>
          <w:lang w:eastAsia="es-ES"/>
        </w:rPr>
        <w:t>.</w:t>
      </w:r>
    </w:p>
    <w:p w14:paraId="03DB3B7C" w14:textId="77777777" w:rsidR="00D43425" w:rsidRDefault="00D43425" w:rsidP="006A42EE">
      <w:pPr>
        <w:spacing w:after="0" w:line="360" w:lineRule="auto"/>
        <w:rPr>
          <w:rFonts w:eastAsia="Times New Roman" w:cs="Times New Roman"/>
          <w:color w:val="auto"/>
          <w:lang w:eastAsia="es-ES"/>
        </w:rPr>
      </w:pPr>
    </w:p>
    <w:p w14:paraId="556D52D1" w14:textId="6B11C23A" w:rsidR="008449FA" w:rsidRPr="008449FA" w:rsidRDefault="00D43425" w:rsidP="006A42EE">
      <w:pPr>
        <w:spacing w:after="0" w:line="360" w:lineRule="auto"/>
        <w:rPr>
          <w:rFonts w:eastAsia="Times New Roman" w:cs="Tahoma"/>
          <w:bCs/>
          <w:iCs/>
          <w:color w:val="auto"/>
        </w:rPr>
      </w:pPr>
      <w:r>
        <w:rPr>
          <w:rFonts w:eastAsia="Times New Roman" w:cs="Times New Roman"/>
          <w:color w:val="auto"/>
          <w:lang w:eastAsia="es-ES"/>
        </w:rPr>
        <w:t>Ahora bien</w:t>
      </w:r>
      <w:r w:rsidR="00744595">
        <w:rPr>
          <w:rFonts w:eastAsia="Times New Roman" w:cs="Times New Roman"/>
          <w:color w:val="auto"/>
          <w:lang w:eastAsia="es-ES"/>
        </w:rPr>
        <w:t>, dentro de la información que se ordena entregar</w:t>
      </w:r>
      <w:r w:rsidR="008449FA">
        <w:rPr>
          <w:rFonts w:eastAsia="Times New Roman" w:cs="Times New Roman"/>
          <w:color w:val="auto"/>
          <w:lang w:eastAsia="es-ES"/>
        </w:rPr>
        <w:t xml:space="preserve">, </w:t>
      </w:r>
      <w:r w:rsidR="00744595">
        <w:rPr>
          <w:rFonts w:eastAsia="Times New Roman" w:cs="Times New Roman"/>
          <w:color w:val="auto"/>
          <w:lang w:eastAsia="es-ES"/>
        </w:rPr>
        <w:t>la misma pudiera contener diversa información susceptible de ser clasificada, por lo que de manera oficiosa, se procede a analizar d</w:t>
      </w:r>
      <w:r w:rsidR="001A6540">
        <w:rPr>
          <w:rFonts w:eastAsia="Times New Roman" w:cs="Times New Roman"/>
          <w:color w:val="auto"/>
          <w:lang w:eastAsia="es-ES"/>
        </w:rPr>
        <w:t>e forma enunciativa, diversos datos que pudieran contener los recibos de nómina</w:t>
      </w:r>
      <w:r w:rsidR="006A42EE">
        <w:rPr>
          <w:rFonts w:eastAsia="Times New Roman" w:cs="Times New Roman"/>
          <w:color w:val="auto"/>
          <w:lang w:eastAsia="es-ES"/>
        </w:rPr>
        <w:t xml:space="preserve">; sobre el tema, </w:t>
      </w:r>
      <w:r w:rsidR="008449FA" w:rsidRPr="008449FA">
        <w:rPr>
          <w:rFonts w:eastAsia="Times New Roman" w:cs="Tahoma"/>
          <w:bCs/>
          <w:iCs/>
          <w:color w:val="auto"/>
        </w:rPr>
        <w:t xml:space="preserve">el artículo 143, fracción I, de la </w:t>
      </w:r>
      <w:r w:rsidR="006A42EE" w:rsidRPr="008449FA">
        <w:rPr>
          <w:rFonts w:eastAsia="Times New Roman" w:cs="Tahoma"/>
          <w:bCs/>
          <w:iCs/>
          <w:color w:val="auto"/>
        </w:rPr>
        <w:t>Ley de Transparencia y Acceso a la Información Pública del Estado de México y Municipios</w:t>
      </w:r>
      <w:r w:rsidR="008449FA" w:rsidRPr="008449FA">
        <w:rPr>
          <w:rFonts w:eastAsia="Times New Roman" w:cs="Tahoma"/>
          <w:bCs/>
          <w:iCs/>
          <w:color w:val="auto"/>
        </w:rPr>
        <w:t>, establece que la información privada y los datos personales, concernientes a una persona física o jurídica colectiva identificada o identificable son confidenciales.</w:t>
      </w:r>
    </w:p>
    <w:p w14:paraId="5E0F0280" w14:textId="77777777" w:rsidR="008449FA" w:rsidRPr="008449FA" w:rsidRDefault="008449FA" w:rsidP="006A42EE">
      <w:pPr>
        <w:spacing w:after="0" w:line="360" w:lineRule="auto"/>
        <w:contextualSpacing/>
        <w:rPr>
          <w:rFonts w:eastAsia="Times New Roman" w:cs="Tahoma"/>
          <w:bCs/>
          <w:iCs/>
          <w:color w:val="auto"/>
        </w:rPr>
      </w:pPr>
    </w:p>
    <w:p w14:paraId="00DFDBE5" w14:textId="77777777" w:rsidR="008449FA" w:rsidRPr="008449FA" w:rsidRDefault="008449FA" w:rsidP="006A42EE">
      <w:pPr>
        <w:spacing w:after="0" w:line="360" w:lineRule="auto"/>
        <w:contextualSpacing/>
        <w:rPr>
          <w:rFonts w:eastAsia="Times New Roman" w:cs="Tahoma"/>
          <w:bCs/>
          <w:iCs/>
          <w:color w:val="auto"/>
        </w:rPr>
      </w:pPr>
      <w:r w:rsidRPr="008449FA">
        <w:rPr>
          <w:rFonts w:eastAsia="Times New Roman" w:cs="Tahoma"/>
          <w:bCs/>
          <w:i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703892E" w14:textId="77777777" w:rsidR="008449FA" w:rsidRPr="008449FA" w:rsidRDefault="008449FA" w:rsidP="006A42EE">
      <w:pPr>
        <w:spacing w:after="0" w:line="360" w:lineRule="auto"/>
        <w:contextualSpacing/>
        <w:rPr>
          <w:rFonts w:eastAsia="Times New Roman" w:cs="Tahoma"/>
          <w:bCs/>
          <w:iCs/>
          <w:color w:val="auto"/>
        </w:rPr>
      </w:pPr>
    </w:p>
    <w:p w14:paraId="4DB26AE6" w14:textId="77777777" w:rsidR="008449FA" w:rsidRPr="008449FA" w:rsidRDefault="008449FA" w:rsidP="006A42EE">
      <w:pPr>
        <w:spacing w:after="0" w:line="360" w:lineRule="auto"/>
        <w:contextualSpacing/>
        <w:rPr>
          <w:rFonts w:eastAsia="Times New Roman" w:cs="Tahoma"/>
          <w:bCs/>
          <w:iCs/>
          <w:color w:val="auto"/>
        </w:rPr>
      </w:pPr>
      <w:r w:rsidRPr="008449FA">
        <w:rPr>
          <w:rFonts w:eastAsia="Times New Roman" w:cs="Tahoma"/>
          <w:bCs/>
          <w:iCs/>
          <w:color w:val="auto"/>
        </w:rPr>
        <w:t>En términos de lo expuesto, la documentación y aquellos datos que se consideren confidenciales, serán una limitante del derecho de acceso a la información, siempre y cuando:</w:t>
      </w:r>
    </w:p>
    <w:p w14:paraId="50BBDFF2" w14:textId="77777777" w:rsidR="008449FA" w:rsidRPr="008449FA" w:rsidRDefault="008449FA" w:rsidP="006A42EE">
      <w:pPr>
        <w:spacing w:after="0" w:line="360" w:lineRule="auto"/>
        <w:contextualSpacing/>
        <w:rPr>
          <w:rFonts w:eastAsia="Times New Roman" w:cs="Tahoma"/>
          <w:bCs/>
          <w:iCs/>
          <w:color w:val="auto"/>
        </w:rPr>
      </w:pPr>
    </w:p>
    <w:p w14:paraId="528B15BD" w14:textId="77777777" w:rsidR="008449FA" w:rsidRPr="008449FA" w:rsidRDefault="008449FA" w:rsidP="006A42EE">
      <w:pPr>
        <w:numPr>
          <w:ilvl w:val="0"/>
          <w:numId w:val="22"/>
        </w:numPr>
        <w:spacing w:after="0" w:line="360" w:lineRule="auto"/>
        <w:contextualSpacing/>
        <w:rPr>
          <w:rFonts w:eastAsia="Times New Roman" w:cs="Tahoma"/>
          <w:bCs/>
          <w:iCs/>
          <w:color w:val="auto"/>
        </w:rPr>
      </w:pPr>
      <w:r w:rsidRPr="008449FA">
        <w:rPr>
          <w:rFonts w:eastAsia="Times New Roman" w:cs="Tahoma"/>
          <w:bCs/>
          <w:iCs/>
          <w:color w:val="auto"/>
        </w:rPr>
        <w:t xml:space="preserve">Se trate de datos personales o información privada; esto es, información concerniente a una persona física o jurídico colectiva y que esta sea identificada o identificable. </w:t>
      </w:r>
    </w:p>
    <w:p w14:paraId="3ECFF37B" w14:textId="77777777" w:rsidR="008449FA" w:rsidRPr="008449FA" w:rsidRDefault="008449FA" w:rsidP="006A42EE">
      <w:pPr>
        <w:numPr>
          <w:ilvl w:val="0"/>
          <w:numId w:val="22"/>
        </w:numPr>
        <w:spacing w:after="0" w:line="360" w:lineRule="auto"/>
        <w:contextualSpacing/>
        <w:rPr>
          <w:rFonts w:eastAsia="Times New Roman" w:cs="Tahoma"/>
          <w:bCs/>
          <w:iCs/>
          <w:color w:val="auto"/>
        </w:rPr>
      </w:pPr>
      <w:r w:rsidRPr="008449FA">
        <w:rPr>
          <w:rFonts w:eastAsia="Times New Roman" w:cs="Tahoma"/>
          <w:bCs/>
          <w:iCs/>
          <w:color w:val="auto"/>
        </w:rPr>
        <w:t xml:space="preserve">Para la difusión de los datos, se requiera el consentimiento del titular. </w:t>
      </w:r>
    </w:p>
    <w:p w14:paraId="14DD1497" w14:textId="77777777" w:rsidR="006A42EE" w:rsidRDefault="006A42EE" w:rsidP="006A42EE">
      <w:pPr>
        <w:spacing w:after="0" w:line="360" w:lineRule="auto"/>
        <w:contextualSpacing/>
        <w:rPr>
          <w:rFonts w:eastAsia="Times New Roman" w:cs="Tahoma"/>
          <w:bCs/>
          <w:iCs/>
          <w:color w:val="auto"/>
        </w:rPr>
      </w:pPr>
    </w:p>
    <w:p w14:paraId="405C0806" w14:textId="2355279A" w:rsidR="008449FA" w:rsidRPr="008449FA" w:rsidRDefault="008449FA" w:rsidP="006A42EE">
      <w:pPr>
        <w:spacing w:after="0" w:line="360" w:lineRule="auto"/>
        <w:contextualSpacing/>
        <w:rPr>
          <w:rFonts w:eastAsia="Times New Roman" w:cs="Tahoma"/>
          <w:bCs/>
          <w:iCs/>
          <w:color w:val="auto"/>
        </w:rPr>
      </w:pPr>
      <w:r w:rsidRPr="008449FA">
        <w:rPr>
          <w:rFonts w:eastAsia="Times New Roman" w:cs="Tahoma"/>
          <w:bCs/>
          <w:iCs/>
          <w:color w:val="auto"/>
        </w:rPr>
        <w:t xml:space="preserve">En ese orden de ideas, de conformidad con el artículo 3°, fracción IX, de la Ley de Transparencia y Acceso a la Información Pública del Estado de México y Municipios, con relación el diverso </w:t>
      </w:r>
      <w:r w:rsidRPr="008449FA">
        <w:rPr>
          <w:rFonts w:eastAsia="Times New Roman" w:cs="Tahoma"/>
          <w:bCs/>
          <w:iCs/>
          <w:color w:val="auto"/>
        </w:rPr>
        <w:lastRenderedPageBreak/>
        <w:t xml:space="preserve">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C313355" w14:textId="77777777" w:rsidR="00E6531B" w:rsidRPr="008449FA" w:rsidRDefault="00E6531B" w:rsidP="006A42EE">
      <w:pPr>
        <w:spacing w:after="0" w:line="360" w:lineRule="auto"/>
        <w:rPr>
          <w:rFonts w:eastAsia="Calibri" w:cs="Tahoma"/>
          <w:color w:val="auto"/>
          <w:szCs w:val="20"/>
          <w:lang w:eastAsia="es-ES"/>
        </w:rPr>
      </w:pPr>
    </w:p>
    <w:p w14:paraId="1609733B"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lang w:val="es-ES"/>
        </w:rPr>
        <w:t>Al respecto, resulta procedente analizar si dichos datos son públicos o privados;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w:t>
      </w:r>
      <w:r w:rsidRPr="00EF5A0F">
        <w:rPr>
          <w:rFonts w:eastAsia="Times New Roman" w:cs="Tahoma"/>
          <w:bCs/>
          <w:iCs/>
          <w:color w:val="auto"/>
        </w:rPr>
        <w:t xml:space="preserve"> rijan el tratamiento de datos, por razones de seguridad nacional, disposiciones de orden público, seguridad y salud públicas o para proteger los derechos de terceros.</w:t>
      </w:r>
    </w:p>
    <w:p w14:paraId="039657C2" w14:textId="77777777" w:rsidR="008449FA" w:rsidRPr="00EF5A0F" w:rsidRDefault="008449FA" w:rsidP="006A42EE">
      <w:pPr>
        <w:tabs>
          <w:tab w:val="left" w:pos="4962"/>
        </w:tabs>
        <w:spacing w:after="0" w:line="360" w:lineRule="auto"/>
        <w:contextualSpacing/>
        <w:rPr>
          <w:rFonts w:eastAsia="Times New Roman" w:cs="Tahoma"/>
          <w:bCs/>
        </w:rPr>
      </w:pPr>
    </w:p>
    <w:p w14:paraId="39B15F3B"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iCs/>
          <w:color w:val="auto"/>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49F2549" w14:textId="77777777" w:rsidR="008449FA" w:rsidRPr="00EF5A0F" w:rsidRDefault="008449FA" w:rsidP="006A42EE">
      <w:pPr>
        <w:tabs>
          <w:tab w:val="left" w:pos="2145"/>
        </w:tabs>
        <w:spacing w:after="0" w:line="360" w:lineRule="auto"/>
        <w:contextualSpacing/>
        <w:rPr>
          <w:rFonts w:eastAsia="Times New Roman" w:cs="Tahoma"/>
          <w:bCs/>
          <w:iCs/>
          <w:color w:val="auto"/>
        </w:rPr>
      </w:pPr>
      <w:r w:rsidRPr="00EF5A0F">
        <w:rPr>
          <w:rFonts w:eastAsia="Times New Roman" w:cs="Tahoma"/>
          <w:bCs/>
          <w:iCs/>
          <w:color w:val="auto"/>
        </w:rPr>
        <w:tab/>
      </w:r>
    </w:p>
    <w:p w14:paraId="48664CF7"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iCs/>
          <w:color w:val="auto"/>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7A38BB4" w14:textId="77777777" w:rsidR="008449FA" w:rsidRPr="00EF5A0F" w:rsidRDefault="008449FA" w:rsidP="006A42EE">
      <w:pPr>
        <w:spacing w:after="0" w:line="360" w:lineRule="auto"/>
        <w:contextualSpacing/>
        <w:rPr>
          <w:rFonts w:eastAsia="Times New Roman" w:cs="Tahoma"/>
          <w:bCs/>
          <w:iCs/>
          <w:color w:val="auto"/>
        </w:rPr>
      </w:pPr>
    </w:p>
    <w:p w14:paraId="78334869"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iCs/>
          <w:color w:val="auto"/>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26DE40C" w14:textId="77777777" w:rsidR="008449FA" w:rsidRPr="00EF5A0F" w:rsidRDefault="008449FA" w:rsidP="006A42EE">
      <w:pPr>
        <w:spacing w:after="0" w:line="360" w:lineRule="auto"/>
        <w:contextualSpacing/>
        <w:rPr>
          <w:rFonts w:eastAsia="Times New Roman" w:cs="Tahoma"/>
          <w:bCs/>
          <w:iCs/>
          <w:color w:val="auto"/>
        </w:rPr>
      </w:pPr>
    </w:p>
    <w:p w14:paraId="2CD27C99"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iCs/>
          <w:color w:val="auto"/>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202C410" w14:textId="77777777" w:rsidR="008449FA" w:rsidRPr="00EF5A0F" w:rsidRDefault="008449FA" w:rsidP="006A42EE">
      <w:pPr>
        <w:spacing w:after="0" w:line="360" w:lineRule="auto"/>
        <w:contextualSpacing/>
        <w:rPr>
          <w:rFonts w:eastAsia="Times New Roman" w:cs="Tahoma"/>
          <w:bCs/>
          <w:iCs/>
          <w:color w:val="auto"/>
        </w:rPr>
      </w:pPr>
    </w:p>
    <w:p w14:paraId="5F28626B"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iCs/>
          <w:color w:val="auto"/>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B547D16" w14:textId="77777777" w:rsidR="008449FA" w:rsidRPr="00EF5A0F" w:rsidRDefault="008449FA" w:rsidP="006A42EE">
      <w:pPr>
        <w:spacing w:after="0" w:line="360" w:lineRule="auto"/>
        <w:contextualSpacing/>
        <w:rPr>
          <w:rFonts w:eastAsia="Times New Roman" w:cs="Tahoma"/>
          <w:bCs/>
          <w:iCs/>
          <w:color w:val="auto"/>
        </w:rPr>
      </w:pPr>
    </w:p>
    <w:p w14:paraId="634F8324"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iCs/>
          <w:color w:val="auto"/>
        </w:rPr>
        <w:t>En términos de lo expuesto, la documentación y aquellos datos que se consideren confidenciales, serán una limitante del derecho de acceso a la información, siempre y cuando:</w:t>
      </w:r>
    </w:p>
    <w:p w14:paraId="7C66E739" w14:textId="77777777" w:rsidR="008449FA" w:rsidRPr="00EF5A0F" w:rsidRDefault="008449FA" w:rsidP="006A42EE">
      <w:pPr>
        <w:spacing w:after="0" w:line="360" w:lineRule="auto"/>
        <w:contextualSpacing/>
        <w:rPr>
          <w:rFonts w:eastAsia="Times New Roman" w:cs="Tahoma"/>
          <w:bCs/>
          <w:iCs/>
          <w:color w:val="auto"/>
        </w:rPr>
      </w:pPr>
    </w:p>
    <w:p w14:paraId="12C16C2C" w14:textId="77777777" w:rsidR="008449FA" w:rsidRPr="00EF5A0F" w:rsidRDefault="008449FA" w:rsidP="006A42EE">
      <w:pPr>
        <w:numPr>
          <w:ilvl w:val="0"/>
          <w:numId w:val="33"/>
        </w:numPr>
        <w:spacing w:after="0" w:line="360" w:lineRule="auto"/>
        <w:contextualSpacing/>
        <w:rPr>
          <w:rFonts w:eastAsia="Times New Roman" w:cs="Tahoma"/>
          <w:bCs/>
          <w:iCs/>
          <w:color w:val="auto"/>
        </w:rPr>
      </w:pPr>
      <w:r w:rsidRPr="00EF5A0F">
        <w:rPr>
          <w:rFonts w:eastAsia="Times New Roman" w:cs="Tahoma"/>
          <w:bCs/>
          <w:iCs/>
          <w:color w:val="auto"/>
        </w:rPr>
        <w:t xml:space="preserve">Se trate de datos personales o información privada; esto es, información concerniente a una persona física o jurídico colectiva y que esta sea identificada o identificable. </w:t>
      </w:r>
    </w:p>
    <w:p w14:paraId="69DF3FE6" w14:textId="77777777" w:rsidR="008449FA" w:rsidRPr="00EF5A0F" w:rsidRDefault="008449FA" w:rsidP="006A42EE">
      <w:pPr>
        <w:numPr>
          <w:ilvl w:val="0"/>
          <w:numId w:val="33"/>
        </w:numPr>
        <w:spacing w:after="0" w:line="360" w:lineRule="auto"/>
        <w:contextualSpacing/>
        <w:rPr>
          <w:rFonts w:eastAsia="Times New Roman" w:cs="Tahoma"/>
          <w:bCs/>
          <w:iCs/>
          <w:color w:val="auto"/>
        </w:rPr>
      </w:pPr>
      <w:r w:rsidRPr="00EF5A0F">
        <w:rPr>
          <w:rFonts w:eastAsia="Times New Roman" w:cs="Tahoma"/>
          <w:bCs/>
          <w:iCs/>
          <w:color w:val="auto"/>
        </w:rPr>
        <w:t xml:space="preserve">Para la difusión de los datos, se requiera el consentimiento del titular. </w:t>
      </w:r>
    </w:p>
    <w:p w14:paraId="34A340AF" w14:textId="77777777" w:rsidR="008449FA" w:rsidRPr="00EF5A0F" w:rsidRDefault="008449FA" w:rsidP="006A42EE">
      <w:pPr>
        <w:spacing w:after="0" w:line="360" w:lineRule="auto"/>
        <w:contextualSpacing/>
        <w:rPr>
          <w:rFonts w:eastAsia="Times New Roman" w:cs="Tahoma"/>
          <w:bCs/>
          <w:iCs/>
          <w:color w:val="auto"/>
        </w:rPr>
      </w:pPr>
    </w:p>
    <w:p w14:paraId="75F54327" w14:textId="77777777" w:rsidR="008449FA" w:rsidRPr="00EF5A0F" w:rsidRDefault="008449FA" w:rsidP="006A42EE">
      <w:pPr>
        <w:spacing w:after="0" w:line="360" w:lineRule="auto"/>
        <w:contextualSpacing/>
        <w:rPr>
          <w:rFonts w:eastAsia="Times New Roman" w:cs="Tahoma"/>
          <w:bCs/>
          <w:iCs/>
          <w:color w:val="auto"/>
        </w:rPr>
      </w:pPr>
      <w:r w:rsidRPr="00EF5A0F">
        <w:rPr>
          <w:rFonts w:eastAsia="Times New Roman" w:cs="Tahoma"/>
          <w:bCs/>
          <w:iCs/>
          <w:color w:val="auto"/>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w:t>
      </w:r>
      <w:r w:rsidRPr="00EF5A0F">
        <w:rPr>
          <w:rFonts w:eastAsia="Times New Roman" w:cs="Tahoma"/>
          <w:bCs/>
          <w:iCs/>
          <w:color w:val="auto"/>
        </w:rPr>
        <w:lastRenderedPageBreak/>
        <w:t xml:space="preserve">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441FFB5" w14:textId="77777777" w:rsidR="00412A97" w:rsidRPr="001570EC" w:rsidRDefault="00412A97" w:rsidP="006A42EE">
      <w:pPr>
        <w:spacing w:after="0" w:line="360" w:lineRule="auto"/>
        <w:rPr>
          <w:rFonts w:cs="Tahoma"/>
          <w:bCs/>
          <w:iCs/>
        </w:rPr>
      </w:pPr>
    </w:p>
    <w:p w14:paraId="6198A385" w14:textId="77777777" w:rsidR="008449FA" w:rsidRPr="008449FA" w:rsidRDefault="008449FA" w:rsidP="006A42EE">
      <w:pPr>
        <w:numPr>
          <w:ilvl w:val="0"/>
          <w:numId w:val="29"/>
        </w:numPr>
        <w:spacing w:after="0" w:line="360" w:lineRule="auto"/>
        <w:contextualSpacing/>
        <w:rPr>
          <w:rFonts w:eastAsia="Times New Roman" w:cs="Tahoma"/>
          <w:b/>
          <w:bCs/>
          <w:iCs/>
          <w:color w:val="auto"/>
          <w:lang w:val="es-ES_tradnl"/>
        </w:rPr>
      </w:pPr>
      <w:r w:rsidRPr="008449FA">
        <w:rPr>
          <w:rFonts w:eastAsiaTheme="minorHAnsi" w:cs="Tahoma"/>
          <w:b/>
          <w:bCs/>
          <w:iCs/>
          <w:color w:val="auto"/>
        </w:rPr>
        <w:t>C</w:t>
      </w:r>
      <w:r w:rsidRPr="008449FA">
        <w:rPr>
          <w:rFonts w:eastAsiaTheme="minorHAnsi" w:cs="Tahoma"/>
          <w:b/>
          <w:bCs/>
          <w:iCs/>
          <w:color w:val="auto"/>
          <w:lang w:val="es-ES_tradnl"/>
        </w:rPr>
        <w:t>lave Única de Registro de Población (CURP)</w:t>
      </w:r>
    </w:p>
    <w:p w14:paraId="37C6194E" w14:textId="77777777" w:rsidR="008449FA" w:rsidRPr="008449FA" w:rsidRDefault="008449FA" w:rsidP="006A42EE">
      <w:pPr>
        <w:spacing w:after="0" w:line="360" w:lineRule="auto"/>
        <w:rPr>
          <w:rFonts w:eastAsiaTheme="minorHAnsi" w:cs="Tahoma"/>
          <w:bCs/>
          <w:iCs/>
          <w:color w:val="auto"/>
        </w:rPr>
      </w:pPr>
    </w:p>
    <w:p w14:paraId="45C5A611"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A80C71F" w14:textId="77777777" w:rsidR="008449FA" w:rsidRPr="008449FA" w:rsidRDefault="008449FA" w:rsidP="006A42EE">
      <w:pPr>
        <w:spacing w:after="0" w:line="360" w:lineRule="auto"/>
        <w:rPr>
          <w:rFonts w:eastAsiaTheme="minorHAnsi" w:cs="Tahoma"/>
          <w:bCs/>
          <w:iCs/>
          <w:color w:val="auto"/>
        </w:rPr>
      </w:pPr>
    </w:p>
    <w:p w14:paraId="4963CE26"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4E85223" w14:textId="77777777" w:rsidR="008449FA" w:rsidRPr="008449FA" w:rsidRDefault="008449FA" w:rsidP="006A42EE">
      <w:pPr>
        <w:spacing w:after="0" w:line="360" w:lineRule="auto"/>
        <w:rPr>
          <w:rFonts w:eastAsiaTheme="minorHAnsi" w:cs="Tahoma"/>
          <w:bCs/>
          <w:iCs/>
          <w:color w:val="auto"/>
        </w:rPr>
      </w:pPr>
    </w:p>
    <w:p w14:paraId="2FA3C363" w14:textId="2528B464"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449FA">
        <w:rPr>
          <w:rFonts w:eastAsiaTheme="minorHAnsi" w:cs="Tahoma"/>
          <w:b/>
          <w:bCs/>
          <w:iCs/>
          <w:color w:val="auto"/>
        </w:rPr>
        <w:t>se generan a partir de los datos contenidos en el documento probatorio de la identidad</w:t>
      </w:r>
      <w:r w:rsidRPr="008449FA">
        <w:rPr>
          <w:rFonts w:eastAsiaTheme="minorHAnsi" w:cs="Tahoma"/>
          <w:bCs/>
          <w:iCs/>
          <w:color w:val="auto"/>
        </w:rPr>
        <w:t xml:space="preserve"> </w:t>
      </w:r>
      <w:r w:rsidRPr="008449FA">
        <w:rPr>
          <w:rFonts w:eastAsiaTheme="minorHAnsi" w:cs="Tahoma"/>
          <w:b/>
          <w:bCs/>
          <w:iCs/>
          <w:color w:val="auto"/>
        </w:rPr>
        <w:t xml:space="preserve">del interesado </w:t>
      </w:r>
      <w:r w:rsidRPr="008449FA">
        <w:rPr>
          <w:rFonts w:eastAsiaTheme="minorHAnsi" w:cs="Tahoma"/>
          <w:bCs/>
          <w:iCs/>
          <w:color w:val="auto"/>
        </w:rPr>
        <w:t>(acta de nacimiento, carta de naturalización o documento migratorio) de la siguiente forma:</w:t>
      </w:r>
    </w:p>
    <w:p w14:paraId="388B690F" w14:textId="77777777" w:rsidR="008449FA" w:rsidRPr="008449FA" w:rsidRDefault="008449FA" w:rsidP="006A42EE">
      <w:pPr>
        <w:spacing w:after="0" w:line="360" w:lineRule="auto"/>
        <w:rPr>
          <w:rFonts w:eastAsiaTheme="minorHAnsi" w:cs="Tahoma"/>
          <w:bCs/>
          <w:iCs/>
          <w:color w:val="auto"/>
        </w:rPr>
      </w:pPr>
    </w:p>
    <w:p w14:paraId="574A31D9" w14:textId="77777777" w:rsidR="008449FA" w:rsidRPr="008449FA" w:rsidRDefault="008449FA" w:rsidP="006A42EE">
      <w:pPr>
        <w:numPr>
          <w:ilvl w:val="0"/>
          <w:numId w:val="34"/>
        </w:numPr>
        <w:spacing w:after="0" w:line="360" w:lineRule="auto"/>
        <w:rPr>
          <w:rFonts w:eastAsiaTheme="minorHAnsi" w:cs="Tahoma"/>
          <w:bCs/>
          <w:iCs/>
          <w:color w:val="auto"/>
        </w:rPr>
      </w:pPr>
      <w:r w:rsidRPr="008449FA">
        <w:rPr>
          <w:rFonts w:eastAsiaTheme="minorHAnsi" w:cs="Tahoma"/>
          <w:bCs/>
          <w:iCs/>
          <w:color w:val="auto"/>
        </w:rPr>
        <w:t>El primero y segundo apellidos, así como al nombre de pila;</w:t>
      </w:r>
    </w:p>
    <w:p w14:paraId="54674406" w14:textId="77777777" w:rsidR="008449FA" w:rsidRPr="008449FA" w:rsidRDefault="008449FA" w:rsidP="006A42EE">
      <w:pPr>
        <w:numPr>
          <w:ilvl w:val="0"/>
          <w:numId w:val="34"/>
        </w:numPr>
        <w:spacing w:after="0" w:line="360" w:lineRule="auto"/>
        <w:rPr>
          <w:rFonts w:eastAsiaTheme="minorHAnsi" w:cs="Tahoma"/>
          <w:bCs/>
          <w:iCs/>
          <w:color w:val="auto"/>
        </w:rPr>
      </w:pPr>
      <w:r w:rsidRPr="008449FA">
        <w:rPr>
          <w:rFonts w:eastAsiaTheme="minorHAnsi" w:cs="Tahoma"/>
          <w:bCs/>
          <w:iCs/>
          <w:color w:val="auto"/>
        </w:rPr>
        <w:lastRenderedPageBreak/>
        <w:t>La fecha de nacimiento;</w:t>
      </w:r>
    </w:p>
    <w:p w14:paraId="18A96D21" w14:textId="77777777" w:rsidR="008449FA" w:rsidRPr="008449FA" w:rsidRDefault="008449FA" w:rsidP="006A42EE">
      <w:pPr>
        <w:numPr>
          <w:ilvl w:val="0"/>
          <w:numId w:val="34"/>
        </w:numPr>
        <w:spacing w:after="0" w:line="360" w:lineRule="auto"/>
        <w:rPr>
          <w:rFonts w:eastAsiaTheme="minorHAnsi" w:cs="Tahoma"/>
          <w:bCs/>
          <w:iCs/>
          <w:color w:val="auto"/>
        </w:rPr>
      </w:pPr>
      <w:r w:rsidRPr="008449FA">
        <w:rPr>
          <w:rFonts w:eastAsiaTheme="minorHAnsi" w:cs="Tahoma"/>
          <w:bCs/>
          <w:iCs/>
          <w:color w:val="auto"/>
        </w:rPr>
        <w:t>El sexo, y</w:t>
      </w:r>
    </w:p>
    <w:p w14:paraId="36CC4163" w14:textId="77777777" w:rsidR="008449FA" w:rsidRPr="008449FA" w:rsidRDefault="008449FA" w:rsidP="006A42EE">
      <w:pPr>
        <w:numPr>
          <w:ilvl w:val="0"/>
          <w:numId w:val="34"/>
        </w:numPr>
        <w:spacing w:after="0" w:line="360" w:lineRule="auto"/>
        <w:rPr>
          <w:rFonts w:eastAsiaTheme="minorHAnsi" w:cs="Tahoma"/>
          <w:bCs/>
          <w:iCs/>
          <w:color w:val="auto"/>
        </w:rPr>
      </w:pPr>
      <w:r w:rsidRPr="008449FA">
        <w:rPr>
          <w:rFonts w:eastAsiaTheme="minorHAnsi" w:cs="Tahoma"/>
          <w:bCs/>
          <w:iCs/>
          <w:color w:val="auto"/>
        </w:rPr>
        <w:t>La entidad federativa de nacimiento.</w:t>
      </w:r>
    </w:p>
    <w:p w14:paraId="54F547DC" w14:textId="77777777" w:rsidR="008449FA" w:rsidRPr="008449FA" w:rsidRDefault="008449FA" w:rsidP="006A42EE">
      <w:pPr>
        <w:spacing w:after="0" w:line="360" w:lineRule="auto"/>
        <w:rPr>
          <w:rFonts w:eastAsiaTheme="minorHAnsi" w:cs="Tahoma"/>
          <w:bCs/>
          <w:iCs/>
          <w:color w:val="auto"/>
        </w:rPr>
      </w:pPr>
    </w:p>
    <w:p w14:paraId="60D2950B"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Los dos últimos elementos de la Clave Única de Registro de Población evitan la duplicidad de la Clave y garantizan su correcta integración.</w:t>
      </w:r>
    </w:p>
    <w:p w14:paraId="09ACA3D6" w14:textId="77777777" w:rsidR="008449FA" w:rsidRPr="008449FA" w:rsidRDefault="008449FA" w:rsidP="006A42EE">
      <w:pPr>
        <w:spacing w:after="0" w:line="360" w:lineRule="auto"/>
        <w:rPr>
          <w:rFonts w:eastAsiaTheme="minorHAnsi" w:cs="Tahoma"/>
          <w:bCs/>
          <w:iCs/>
          <w:color w:val="auto"/>
        </w:rPr>
      </w:pPr>
    </w:p>
    <w:p w14:paraId="3F15FE3E"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9C75E86" w14:textId="77777777" w:rsidR="008449FA" w:rsidRPr="008449FA" w:rsidRDefault="008449FA" w:rsidP="006A42EE">
      <w:pPr>
        <w:spacing w:after="0" w:line="360" w:lineRule="auto"/>
        <w:rPr>
          <w:rFonts w:eastAsiaTheme="minorHAnsi" w:cs="Tahoma"/>
          <w:bCs/>
          <w:iCs/>
          <w:color w:val="auto"/>
        </w:rPr>
      </w:pPr>
    </w:p>
    <w:p w14:paraId="008217E5" w14:textId="6A03290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 xml:space="preserve">Situación que se robustece, con el </w:t>
      </w:r>
      <w:r w:rsidR="006A42EE">
        <w:rPr>
          <w:rFonts w:eastAsia="Calibri" w:cs="Tahoma"/>
          <w:bCs/>
          <w:iCs/>
          <w:color w:val="auto"/>
          <w:lang w:val="es-ES" w:eastAsia="en-US"/>
        </w:rPr>
        <w:t>Criterio Orientador</w:t>
      </w:r>
      <w:r w:rsidRPr="008449FA">
        <w:rPr>
          <w:rFonts w:eastAsia="Calibri" w:cs="Tahoma"/>
          <w:bCs/>
          <w:iCs/>
          <w:color w:val="auto"/>
          <w:lang w:val="es-ES" w:eastAsia="en-US"/>
        </w:rPr>
        <w:t xml:space="preserve">, de la Segunda Época, con número de registro </w:t>
      </w:r>
      <w:r w:rsidRPr="008449FA">
        <w:rPr>
          <w:rFonts w:eastAsia="Calibri" w:cs="Tahoma"/>
          <w:bCs/>
          <w:iCs/>
          <w:color w:val="auto"/>
          <w:lang w:eastAsia="en-US"/>
        </w:rPr>
        <w:t>SO/018/2017</w:t>
      </w:r>
      <w:r w:rsidRPr="008449FA">
        <w:rPr>
          <w:rFonts w:eastAsiaTheme="minorHAnsi" w:cs="Tahoma"/>
          <w:bCs/>
          <w:iCs/>
          <w:color w:val="auto"/>
        </w:rPr>
        <w:t xml:space="preserve">, emitido por </w:t>
      </w:r>
      <w:r w:rsidR="006A42EE">
        <w:rPr>
          <w:rFonts w:eastAsiaTheme="minorHAnsi" w:cs="Tahoma"/>
          <w:bCs/>
          <w:iCs/>
          <w:color w:val="auto"/>
        </w:rPr>
        <w:t>el entonces Instituto Nacional</w:t>
      </w:r>
      <w:r w:rsidRPr="008449FA">
        <w:rPr>
          <w:rFonts w:eastAsiaTheme="minorHAnsi" w:cs="Tahoma"/>
          <w:bCs/>
          <w:iCs/>
          <w:color w:val="auto"/>
        </w:rPr>
        <w:t xml:space="preserve"> de Transparencia, Acceso a la Información y Protección de Datos Personales, que establece lo siguiente:</w:t>
      </w:r>
    </w:p>
    <w:p w14:paraId="19DB5E2C" w14:textId="77777777" w:rsidR="008449FA" w:rsidRPr="008449FA" w:rsidRDefault="008449FA" w:rsidP="006A42EE">
      <w:pPr>
        <w:spacing w:after="0" w:line="360" w:lineRule="auto"/>
        <w:rPr>
          <w:rFonts w:eastAsiaTheme="minorHAnsi" w:cs="Tahoma"/>
          <w:bCs/>
          <w:iCs/>
          <w:color w:val="auto"/>
        </w:rPr>
      </w:pPr>
    </w:p>
    <w:p w14:paraId="0FB87762" w14:textId="77777777" w:rsidR="008449FA" w:rsidRPr="008449FA" w:rsidRDefault="008449FA" w:rsidP="006A42EE">
      <w:pPr>
        <w:spacing w:after="0" w:line="360" w:lineRule="auto"/>
        <w:ind w:left="567" w:right="567"/>
        <w:contextualSpacing/>
        <w:rPr>
          <w:rFonts w:eastAsiaTheme="minorHAnsi" w:cs="Tahoma"/>
          <w:bCs/>
          <w:i/>
          <w:iCs/>
          <w:color w:val="auto"/>
          <w:sz w:val="18"/>
          <w:szCs w:val="18"/>
        </w:rPr>
      </w:pPr>
      <w:r w:rsidRPr="008449FA">
        <w:rPr>
          <w:rFonts w:eastAsiaTheme="minorHAnsi" w:cs="Tahoma"/>
          <w:b/>
          <w:bCs/>
          <w:i/>
          <w:iCs/>
          <w:color w:val="auto"/>
          <w:sz w:val="20"/>
          <w:szCs w:val="20"/>
        </w:rPr>
        <w:t xml:space="preserve">“Clave Única de Registro de Población (CURP). </w:t>
      </w:r>
      <w:r w:rsidRPr="008449FA">
        <w:rPr>
          <w:rFonts w:eastAsiaTheme="minorHAnsi" w:cs="Tahoma"/>
          <w:bCs/>
          <w:i/>
          <w:iCs/>
          <w:color w:val="auto"/>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2C8AED3" w14:textId="77777777" w:rsidR="008449FA" w:rsidRPr="008449FA" w:rsidRDefault="008449FA" w:rsidP="006A42EE">
      <w:pPr>
        <w:spacing w:after="0" w:line="360" w:lineRule="auto"/>
        <w:rPr>
          <w:rFonts w:eastAsiaTheme="minorHAnsi" w:cs="Tahoma"/>
          <w:bCs/>
          <w:i/>
          <w:iCs/>
          <w:color w:val="auto"/>
        </w:rPr>
      </w:pPr>
    </w:p>
    <w:p w14:paraId="57E7AA08" w14:textId="77777777" w:rsidR="008449FA" w:rsidRDefault="008449FA" w:rsidP="006A42EE">
      <w:pPr>
        <w:spacing w:after="0" w:line="360" w:lineRule="auto"/>
        <w:rPr>
          <w:rFonts w:eastAsiaTheme="minorHAnsi" w:cs="Tahoma"/>
          <w:bCs/>
          <w:iCs/>
          <w:color w:val="auto"/>
        </w:rPr>
      </w:pPr>
      <w:r w:rsidRPr="008449FA">
        <w:rPr>
          <w:rFonts w:eastAsiaTheme="minorHAnsi" w:cs="Tahoma"/>
          <w:bCs/>
          <w:iCs/>
          <w:color w:val="auto"/>
        </w:rPr>
        <w:t xml:space="preserve">De acuerdo con lo anterior, resulta procedente la clasificación de </w:t>
      </w:r>
      <w:r w:rsidRPr="008449FA">
        <w:rPr>
          <w:rFonts w:eastAsiaTheme="minorHAnsi" w:cs="Tahoma"/>
          <w:b/>
          <w:bCs/>
          <w:iCs/>
          <w:color w:val="auto"/>
        </w:rPr>
        <w:t>la Clave Única de Registro de Población</w:t>
      </w:r>
      <w:r w:rsidRPr="008449FA">
        <w:rPr>
          <w:rFonts w:eastAsiaTheme="minorHAnsi" w:cs="Tahoma"/>
          <w:bCs/>
          <w:iCs/>
          <w:color w:val="auto"/>
        </w:rPr>
        <w:t xml:space="preserve">, por tratarse de un dato personal confidencial, en términos del artículo 143, fracción I, de la Ley de Transparencia y Acceso a la Información Pública del Estado de México y Municipios. </w:t>
      </w:r>
    </w:p>
    <w:p w14:paraId="09E87515" w14:textId="77777777" w:rsidR="001A6540" w:rsidRPr="008449FA" w:rsidRDefault="001A6540" w:rsidP="006A42EE">
      <w:pPr>
        <w:spacing w:after="0" w:line="360" w:lineRule="auto"/>
        <w:rPr>
          <w:rFonts w:eastAsiaTheme="minorHAnsi" w:cs="Tahoma"/>
          <w:bCs/>
          <w:iCs/>
          <w:color w:val="auto"/>
        </w:rPr>
      </w:pPr>
    </w:p>
    <w:p w14:paraId="6D72E123" w14:textId="77777777" w:rsidR="008449FA" w:rsidRPr="008449FA" w:rsidRDefault="008449FA" w:rsidP="006A42EE">
      <w:pPr>
        <w:numPr>
          <w:ilvl w:val="0"/>
          <w:numId w:val="29"/>
        </w:numPr>
        <w:spacing w:after="0" w:line="360" w:lineRule="auto"/>
        <w:contextualSpacing/>
        <w:rPr>
          <w:rFonts w:eastAsiaTheme="minorHAnsi" w:cs="Tahoma"/>
          <w:b/>
          <w:bCs/>
          <w:iCs/>
          <w:color w:val="auto"/>
          <w:lang w:val="es-ES_tradnl"/>
        </w:rPr>
      </w:pPr>
      <w:r w:rsidRPr="008449FA">
        <w:rPr>
          <w:rFonts w:eastAsiaTheme="minorHAnsi" w:cs="Tahoma"/>
          <w:b/>
          <w:bCs/>
          <w:iCs/>
          <w:color w:val="auto"/>
          <w:lang w:val="es-ES_tradnl"/>
        </w:rPr>
        <w:t>Registro Federal de Contribuyentes (RFC)</w:t>
      </w:r>
    </w:p>
    <w:p w14:paraId="6B33F758" w14:textId="77777777" w:rsidR="008449FA" w:rsidRPr="008449FA" w:rsidRDefault="008449FA" w:rsidP="006A42EE">
      <w:pPr>
        <w:spacing w:after="0" w:line="360" w:lineRule="auto"/>
        <w:rPr>
          <w:rFonts w:eastAsiaTheme="minorHAnsi" w:cs="Tahoma"/>
          <w:bCs/>
          <w:iCs/>
          <w:color w:val="auto"/>
        </w:rPr>
      </w:pPr>
    </w:p>
    <w:p w14:paraId="43A4E015"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7355BE0" w14:textId="77777777" w:rsidR="008449FA" w:rsidRPr="008449FA" w:rsidRDefault="008449FA" w:rsidP="006A42EE">
      <w:pPr>
        <w:spacing w:after="0" w:line="360" w:lineRule="auto"/>
        <w:rPr>
          <w:rFonts w:eastAsiaTheme="minorHAnsi" w:cs="Tahoma"/>
          <w:bCs/>
          <w:iCs/>
          <w:color w:val="auto"/>
        </w:rPr>
      </w:pPr>
    </w:p>
    <w:p w14:paraId="45125679"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6B8C3F57" w14:textId="77777777" w:rsidR="008449FA" w:rsidRPr="008449FA" w:rsidRDefault="008449FA" w:rsidP="006A42EE">
      <w:pPr>
        <w:spacing w:after="0" w:line="360" w:lineRule="auto"/>
        <w:rPr>
          <w:rFonts w:eastAsiaTheme="minorHAnsi" w:cs="Tahoma"/>
          <w:bCs/>
          <w:iCs/>
          <w:color w:val="auto"/>
        </w:rPr>
      </w:pPr>
    </w:p>
    <w:p w14:paraId="7E66CF35"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92825F4" w14:textId="77777777" w:rsidR="008449FA" w:rsidRPr="008449FA" w:rsidRDefault="008449FA" w:rsidP="006A42EE">
      <w:pPr>
        <w:spacing w:after="0" w:line="360" w:lineRule="auto"/>
        <w:rPr>
          <w:rFonts w:eastAsiaTheme="minorHAnsi" w:cs="Tahoma"/>
          <w:bCs/>
          <w:iCs/>
          <w:color w:val="auto"/>
        </w:rPr>
      </w:pPr>
    </w:p>
    <w:p w14:paraId="2444EBAB"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0311B36D" w14:textId="77777777" w:rsidR="008449FA" w:rsidRPr="008449FA" w:rsidRDefault="008449FA" w:rsidP="006A42EE">
      <w:pPr>
        <w:spacing w:after="0" w:line="360" w:lineRule="auto"/>
        <w:rPr>
          <w:rFonts w:eastAsiaTheme="minorHAnsi" w:cs="Tahoma"/>
          <w:bCs/>
          <w:iCs/>
          <w:color w:val="auto"/>
        </w:rPr>
      </w:pPr>
    </w:p>
    <w:p w14:paraId="591D07D5" w14:textId="2B819871"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 xml:space="preserve">Lo anterior, resulta congruente con el </w:t>
      </w:r>
      <w:r w:rsidR="006A42EE">
        <w:rPr>
          <w:rFonts w:eastAsia="Calibri" w:cs="Tahoma"/>
          <w:bCs/>
          <w:iCs/>
          <w:color w:val="auto"/>
          <w:lang w:val="es-ES" w:eastAsia="en-US"/>
        </w:rPr>
        <w:t>Criterio Orientador</w:t>
      </w:r>
      <w:r w:rsidRPr="008449FA">
        <w:rPr>
          <w:rFonts w:eastAsia="Calibri" w:cs="Tahoma"/>
          <w:bCs/>
          <w:iCs/>
          <w:color w:val="auto"/>
          <w:lang w:val="es-ES" w:eastAsia="en-US"/>
        </w:rPr>
        <w:t xml:space="preserve">, de la Segunda Época, con número de registro </w:t>
      </w:r>
      <w:r w:rsidRPr="008449FA">
        <w:rPr>
          <w:rFonts w:eastAsia="Calibri" w:cs="Tahoma"/>
          <w:bCs/>
          <w:iCs/>
          <w:color w:val="auto"/>
          <w:lang w:eastAsia="en-US"/>
        </w:rPr>
        <w:t xml:space="preserve">SO/019/2017, </w:t>
      </w:r>
      <w:r w:rsidRPr="008449FA">
        <w:rPr>
          <w:rFonts w:eastAsiaTheme="minorHAnsi" w:cs="Tahoma"/>
          <w:bCs/>
          <w:iCs/>
          <w:color w:val="auto"/>
        </w:rPr>
        <w:t xml:space="preserve">emitido por </w:t>
      </w:r>
      <w:r w:rsidR="006A42EE">
        <w:rPr>
          <w:rFonts w:eastAsiaTheme="minorHAnsi" w:cs="Tahoma"/>
          <w:bCs/>
          <w:iCs/>
          <w:color w:val="auto"/>
        </w:rPr>
        <w:t>el entonces Instituto Nacional</w:t>
      </w:r>
      <w:r w:rsidRPr="008449FA">
        <w:rPr>
          <w:rFonts w:eastAsiaTheme="minorHAnsi" w:cs="Tahoma"/>
          <w:bCs/>
          <w:iCs/>
          <w:color w:val="auto"/>
        </w:rPr>
        <w:t xml:space="preserve"> de Transparencia, Acceso a la Información y Protección de Datos Personales, en el cual se señala lo siguiente:</w:t>
      </w:r>
    </w:p>
    <w:p w14:paraId="49C248CD" w14:textId="77777777" w:rsidR="008449FA" w:rsidRPr="008449FA" w:rsidRDefault="008449FA" w:rsidP="006A42EE">
      <w:pPr>
        <w:spacing w:after="0" w:line="360" w:lineRule="auto"/>
        <w:rPr>
          <w:rFonts w:eastAsiaTheme="minorHAnsi" w:cs="Tahoma"/>
          <w:bCs/>
          <w:iCs/>
          <w:color w:val="auto"/>
        </w:rPr>
      </w:pPr>
    </w:p>
    <w:p w14:paraId="3D6FC9D3" w14:textId="77777777" w:rsidR="008449FA" w:rsidRPr="008449FA" w:rsidRDefault="008449FA" w:rsidP="006A42EE">
      <w:pPr>
        <w:spacing w:after="0" w:line="360" w:lineRule="auto"/>
        <w:ind w:left="567" w:right="567"/>
        <w:contextualSpacing/>
        <w:rPr>
          <w:rFonts w:eastAsiaTheme="minorHAnsi" w:cs="Tahoma"/>
          <w:bCs/>
          <w:i/>
          <w:iCs/>
          <w:color w:val="auto"/>
          <w:sz w:val="18"/>
          <w:szCs w:val="18"/>
        </w:rPr>
      </w:pPr>
      <w:r w:rsidRPr="008449FA">
        <w:rPr>
          <w:rFonts w:eastAsiaTheme="minorHAnsi" w:cs="Tahoma"/>
          <w:b/>
          <w:bCs/>
          <w:i/>
          <w:iCs/>
          <w:color w:val="auto"/>
          <w:sz w:val="20"/>
          <w:szCs w:val="20"/>
        </w:rPr>
        <w:t>“Registro Federal de Contribuyentes (RFC) de personas físicas.</w:t>
      </w:r>
      <w:r w:rsidRPr="008449FA">
        <w:rPr>
          <w:rFonts w:eastAsiaTheme="minorHAnsi" w:cs="Tahoma"/>
          <w:bCs/>
          <w:i/>
          <w:iCs/>
          <w:color w:val="auto"/>
          <w:sz w:val="20"/>
          <w:szCs w:val="20"/>
        </w:rPr>
        <w:t xml:space="preserve"> El RFC es una clave de carácter fiscal, única e irrepetible, que permite identificar al titular, su edad y fecha de nacimiento, por lo que es un dato personal de carácter confidencial.”</w:t>
      </w:r>
    </w:p>
    <w:p w14:paraId="049E65F8" w14:textId="77777777" w:rsidR="008449FA" w:rsidRPr="008449FA" w:rsidRDefault="008449FA" w:rsidP="006A42EE">
      <w:pPr>
        <w:spacing w:after="0" w:line="360" w:lineRule="auto"/>
        <w:rPr>
          <w:rFonts w:eastAsiaTheme="minorHAnsi" w:cs="Tahoma"/>
          <w:bCs/>
          <w:iCs/>
          <w:color w:val="auto"/>
        </w:rPr>
      </w:pPr>
    </w:p>
    <w:p w14:paraId="4BBA850E"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D8F3923" w14:textId="77777777" w:rsidR="008449FA" w:rsidRPr="008449FA" w:rsidRDefault="008449FA" w:rsidP="006A42EE">
      <w:pPr>
        <w:spacing w:after="0" w:line="360" w:lineRule="auto"/>
        <w:rPr>
          <w:rFonts w:eastAsiaTheme="minorHAnsi" w:cs="Tahoma"/>
          <w:bCs/>
          <w:iCs/>
          <w:color w:val="FF0000"/>
        </w:rPr>
      </w:pPr>
    </w:p>
    <w:p w14:paraId="0A8FBF65" w14:textId="77777777" w:rsidR="008449FA" w:rsidRPr="008449FA" w:rsidRDefault="008449FA" w:rsidP="006A42EE">
      <w:pPr>
        <w:numPr>
          <w:ilvl w:val="0"/>
          <w:numId w:val="29"/>
        </w:numPr>
        <w:spacing w:after="0" w:line="360" w:lineRule="auto"/>
        <w:contextualSpacing/>
        <w:rPr>
          <w:rFonts w:eastAsia="Calibri" w:cs="Tahoma"/>
          <w:b/>
          <w:bCs/>
          <w:iCs/>
          <w:color w:val="auto"/>
          <w:lang w:eastAsia="en-US"/>
        </w:rPr>
      </w:pPr>
      <w:r w:rsidRPr="008449FA">
        <w:rPr>
          <w:rFonts w:eastAsia="Calibri" w:cs="Tahoma"/>
          <w:b/>
          <w:bCs/>
          <w:iCs/>
          <w:color w:val="auto"/>
          <w:lang w:eastAsia="en-US"/>
        </w:rPr>
        <w:t>Código bidimensional o Qr</w:t>
      </w:r>
    </w:p>
    <w:p w14:paraId="47AE4AB3" w14:textId="77777777" w:rsidR="008449FA" w:rsidRPr="008449FA" w:rsidRDefault="008449FA" w:rsidP="006A42EE">
      <w:pPr>
        <w:spacing w:after="0" w:line="360" w:lineRule="auto"/>
        <w:rPr>
          <w:rFonts w:eastAsia="Calibri" w:cs="Tahoma"/>
          <w:b/>
          <w:bCs/>
          <w:iCs/>
          <w:color w:val="auto"/>
          <w:lang w:eastAsia="en-US"/>
        </w:rPr>
      </w:pPr>
    </w:p>
    <w:p w14:paraId="04749A09" w14:textId="77777777" w:rsidR="008449FA" w:rsidRPr="008449FA" w:rsidRDefault="008449FA" w:rsidP="006A42EE">
      <w:pPr>
        <w:spacing w:after="0" w:line="360" w:lineRule="auto"/>
        <w:rPr>
          <w:rFonts w:eastAsia="Calibri" w:cs="Tahoma"/>
          <w:bCs/>
          <w:color w:val="auto"/>
          <w:lang w:eastAsia="en-US"/>
        </w:rPr>
      </w:pPr>
      <w:r w:rsidRPr="008449FA">
        <w:rPr>
          <w:rFonts w:eastAsia="Calibri" w:cs="Tahoma"/>
          <w:bCs/>
          <w:color w:val="auto"/>
          <w:lang w:eastAsia="en-US"/>
        </w:rPr>
        <w:t xml:space="preserve">En principio, resulta necesario señalar que los comprobantes fiscales digitales por Internet, deben de incluir un código bidimensional conforme al formato </w:t>
      </w:r>
      <w:r w:rsidRPr="008449FA">
        <w:rPr>
          <w:rFonts w:eastAsia="Calibri" w:cs="Tahoma"/>
          <w:bCs/>
          <w:i/>
          <w:color w:val="auto"/>
          <w:lang w:eastAsia="en-US"/>
        </w:rPr>
        <w:t>QR Code (Quick Response Code)</w:t>
      </w:r>
      <w:r w:rsidRPr="008449FA">
        <w:rPr>
          <w:rFonts w:eastAsia="Calibri" w:cs="Tahoma"/>
          <w:bCs/>
          <w:color w:val="auto"/>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8449FA">
          <w:rPr>
            <w:rFonts w:eastAsia="Calibri" w:cs="Tahoma"/>
            <w:bCs/>
            <w:color w:val="auto"/>
            <w:u w:val="single"/>
            <w:lang w:eastAsia="en-US"/>
          </w:rPr>
          <w:t>http://dof.gob.mx/nota_detalle.php?codigo=5492254&amp;fecha=28/07/2017</w:t>
        </w:r>
      </w:hyperlink>
      <w:r w:rsidRPr="008449FA">
        <w:rPr>
          <w:rFonts w:eastAsia="Calibri" w:cs="Tahoma"/>
          <w:bCs/>
          <w:color w:val="auto"/>
          <w:lang w:eastAsia="en-US"/>
        </w:rPr>
        <w:t>. Incluso con la captura de dicho código, a través de la aplicación móvil del Servicio de Administración Tributaria, permite el acceso al Registro Federal de Contribuyentes, como del Sujeto Obligado, como de los servidores públicos.</w:t>
      </w:r>
    </w:p>
    <w:p w14:paraId="0845F90E" w14:textId="77777777" w:rsidR="008449FA" w:rsidRPr="008449FA" w:rsidRDefault="008449FA" w:rsidP="006A42EE">
      <w:pPr>
        <w:spacing w:after="0" w:line="360" w:lineRule="auto"/>
        <w:rPr>
          <w:rFonts w:eastAsia="Calibri" w:cs="Tahoma"/>
          <w:bCs/>
          <w:color w:val="auto"/>
          <w:lang w:eastAsia="en-US"/>
        </w:rPr>
      </w:pPr>
    </w:p>
    <w:p w14:paraId="7F7040E2" w14:textId="77777777" w:rsidR="008449FA" w:rsidRPr="008449FA" w:rsidRDefault="008449FA" w:rsidP="006A42EE">
      <w:pPr>
        <w:spacing w:after="0" w:line="360" w:lineRule="auto"/>
        <w:rPr>
          <w:rFonts w:eastAsia="Calibri" w:cs="Tahoma"/>
          <w:bCs/>
          <w:color w:val="auto"/>
          <w:lang w:eastAsia="en-US"/>
        </w:rPr>
      </w:pPr>
      <w:r w:rsidRPr="008449FA">
        <w:rPr>
          <w:rFonts w:eastAsia="Calibri" w:cs="Tahoma"/>
          <w:bCs/>
          <w:color w:val="auto"/>
          <w:lang w:eastAsia="en-US"/>
        </w:rPr>
        <w:lastRenderedPageBreak/>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10762427" w14:textId="77777777" w:rsidR="008449FA" w:rsidRPr="008449FA" w:rsidRDefault="008449FA" w:rsidP="006A42EE">
      <w:pPr>
        <w:spacing w:after="0" w:line="360" w:lineRule="auto"/>
        <w:rPr>
          <w:rFonts w:eastAsia="Calibri" w:cs="Tahoma"/>
          <w:bCs/>
          <w:color w:val="FF0000"/>
          <w:lang w:eastAsia="en-US"/>
        </w:rPr>
      </w:pPr>
    </w:p>
    <w:p w14:paraId="1F559DFF" w14:textId="77777777" w:rsidR="008449FA" w:rsidRPr="008449FA" w:rsidRDefault="008449FA" w:rsidP="006A42EE">
      <w:pPr>
        <w:numPr>
          <w:ilvl w:val="0"/>
          <w:numId w:val="29"/>
        </w:numPr>
        <w:spacing w:after="0" w:line="360" w:lineRule="auto"/>
        <w:contextualSpacing/>
        <w:rPr>
          <w:rFonts w:eastAsia="Times New Roman" w:cs="Tahoma"/>
          <w:b/>
          <w:bCs/>
          <w:iCs/>
          <w:color w:val="auto"/>
        </w:rPr>
      </w:pPr>
      <w:r w:rsidRPr="008449FA">
        <w:rPr>
          <w:rFonts w:eastAsiaTheme="minorHAnsi" w:cs="Tahoma"/>
          <w:b/>
          <w:bCs/>
          <w:iCs/>
          <w:color w:val="auto"/>
        </w:rPr>
        <w:t>Número de seguridad social del Instituto de Seguridad Social del Estado de México y Municipios.</w:t>
      </w:r>
    </w:p>
    <w:p w14:paraId="329B1176" w14:textId="77777777" w:rsidR="008449FA" w:rsidRPr="008449FA" w:rsidRDefault="008449FA" w:rsidP="006A42EE">
      <w:pPr>
        <w:spacing w:after="0" w:line="360" w:lineRule="auto"/>
        <w:rPr>
          <w:rFonts w:eastAsiaTheme="minorHAnsi" w:cs="Tahoma"/>
          <w:b/>
          <w:bCs/>
          <w:iCs/>
          <w:color w:val="auto"/>
        </w:rPr>
      </w:pPr>
    </w:p>
    <w:p w14:paraId="01F99CD6"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0025D5C" w14:textId="77777777" w:rsidR="008449FA" w:rsidRPr="008449FA" w:rsidRDefault="008449FA" w:rsidP="006A42EE">
      <w:pPr>
        <w:spacing w:after="0" w:line="360" w:lineRule="auto"/>
        <w:rPr>
          <w:rFonts w:eastAsiaTheme="minorHAnsi" w:cs="Tahoma"/>
          <w:bCs/>
          <w:iCs/>
          <w:color w:val="auto"/>
        </w:rPr>
      </w:pPr>
    </w:p>
    <w:p w14:paraId="55C4854A"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449FA">
        <w:rPr>
          <w:rFonts w:eastAsiaTheme="minorHAnsi" w:cs="Tahoma"/>
          <w:b/>
          <w:bCs/>
          <w:iCs/>
          <w:color w:val="auto"/>
        </w:rPr>
        <w:t>y se le asigna una clave para hacer identificable al trabajador con el objetivo de poder proporcionar los servicios que brinda el Instituto de Seguridad Social del Estado de México y Municipios.</w:t>
      </w:r>
    </w:p>
    <w:p w14:paraId="6F3A43D1" w14:textId="77777777" w:rsidR="008449FA" w:rsidRPr="008449FA" w:rsidRDefault="008449FA" w:rsidP="006A42EE">
      <w:pPr>
        <w:spacing w:after="0" w:line="360" w:lineRule="auto"/>
        <w:rPr>
          <w:rFonts w:eastAsiaTheme="minorHAnsi" w:cs="Tahoma"/>
          <w:bCs/>
          <w:iCs/>
          <w:color w:val="auto"/>
        </w:rPr>
      </w:pPr>
    </w:p>
    <w:p w14:paraId="2948A442"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w:t>
      </w:r>
      <w:r w:rsidRPr="008449FA">
        <w:rPr>
          <w:rFonts w:eastAsiaTheme="minorHAnsi" w:cs="Tahoma"/>
          <w:bCs/>
          <w:iCs/>
          <w:color w:val="auto"/>
        </w:rPr>
        <w:lastRenderedPageBreak/>
        <w:t>esta prestación de seguridad social; además, es de destacar que dicho dato no cambia, aunque el trabajador se dé de baja y alta en diversas ocasiones, con motivo de haber trabajado en diferentes instituciones gubernamentales de la Entidad.</w:t>
      </w:r>
    </w:p>
    <w:p w14:paraId="62D25137" w14:textId="77777777" w:rsidR="008449FA" w:rsidRPr="008449FA" w:rsidRDefault="008449FA" w:rsidP="006A42EE">
      <w:pPr>
        <w:spacing w:after="0" w:line="360" w:lineRule="auto"/>
        <w:rPr>
          <w:rFonts w:eastAsiaTheme="minorHAnsi" w:cs="Tahoma"/>
          <w:bCs/>
          <w:iCs/>
          <w:color w:val="auto"/>
        </w:rPr>
      </w:pPr>
    </w:p>
    <w:p w14:paraId="398291A2" w14:textId="77777777" w:rsidR="008449FA" w:rsidRPr="008449FA" w:rsidRDefault="008449FA" w:rsidP="006A42EE">
      <w:pPr>
        <w:spacing w:after="0" w:line="360" w:lineRule="auto"/>
        <w:rPr>
          <w:rFonts w:eastAsiaTheme="minorHAnsi" w:cs="Tahoma"/>
          <w:bCs/>
          <w:iCs/>
          <w:color w:val="auto"/>
        </w:rPr>
      </w:pPr>
      <w:r w:rsidRPr="008449FA">
        <w:rPr>
          <w:rFonts w:eastAsiaTheme="minorHAnsi" w:cs="Tahoma"/>
          <w:bCs/>
          <w:iCs/>
          <w:color w:val="auto"/>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57D27FD5" w14:textId="77777777" w:rsidR="00412A97" w:rsidRDefault="00412A97" w:rsidP="006A42EE">
      <w:pPr>
        <w:spacing w:after="0" w:line="360" w:lineRule="auto"/>
        <w:rPr>
          <w:rFonts w:cs="Tahoma"/>
          <w:b/>
        </w:rPr>
      </w:pPr>
    </w:p>
    <w:p w14:paraId="13716DEE" w14:textId="77777777" w:rsidR="00321E72" w:rsidRPr="00321E72" w:rsidRDefault="00321E72" w:rsidP="006A42EE">
      <w:pPr>
        <w:numPr>
          <w:ilvl w:val="0"/>
          <w:numId w:val="35"/>
        </w:numPr>
        <w:spacing w:after="0" w:line="360" w:lineRule="auto"/>
        <w:contextualSpacing/>
        <w:rPr>
          <w:rFonts w:eastAsia="Calibri" w:cs="Times New Roman"/>
          <w:b/>
          <w:bCs/>
          <w:lang w:eastAsia="en-US"/>
        </w:rPr>
      </w:pPr>
      <w:r w:rsidRPr="00321E72">
        <w:rPr>
          <w:rFonts w:eastAsia="Calibri" w:cs="Times New Roman"/>
          <w:b/>
          <w:bCs/>
          <w:lang w:eastAsia="en-US"/>
        </w:rPr>
        <w:t xml:space="preserve">Deducciones por Ley </w:t>
      </w:r>
    </w:p>
    <w:p w14:paraId="0193009B" w14:textId="77777777" w:rsidR="00321E72" w:rsidRPr="00321E72" w:rsidRDefault="00321E72" w:rsidP="006A42EE">
      <w:pPr>
        <w:spacing w:after="0" w:line="360" w:lineRule="auto"/>
        <w:ind w:left="720"/>
        <w:contextualSpacing/>
        <w:rPr>
          <w:rFonts w:eastAsia="Calibri" w:cs="Times New Roman"/>
          <w:b/>
          <w:bCs/>
          <w:lang w:eastAsia="en-US"/>
        </w:rPr>
      </w:pPr>
    </w:p>
    <w:p w14:paraId="7F8AF62C" w14:textId="73599E33" w:rsidR="00321E72" w:rsidRPr="00321E72" w:rsidRDefault="00321E72" w:rsidP="006A42EE">
      <w:pPr>
        <w:spacing w:after="0" w:line="360" w:lineRule="auto"/>
        <w:rPr>
          <w:rFonts w:eastAsia="Calibri" w:cs="Times New Roman"/>
          <w:lang w:eastAsia="en-US"/>
        </w:rPr>
      </w:pPr>
      <w:r w:rsidRPr="00321E72">
        <w:rPr>
          <w:rFonts w:eastAsia="Calibri" w:cs="Times New Roman"/>
          <w:lang w:eastAsia="en-US"/>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 (días no laborados).</w:t>
      </w:r>
    </w:p>
    <w:p w14:paraId="1112FB36" w14:textId="77777777" w:rsidR="00321E72" w:rsidRDefault="00321E72" w:rsidP="006A42EE">
      <w:pPr>
        <w:spacing w:after="0" w:line="360" w:lineRule="auto"/>
        <w:rPr>
          <w:rFonts w:eastAsia="Calibri" w:cs="Times New Roman"/>
          <w:lang w:eastAsia="en-US"/>
        </w:rPr>
      </w:pPr>
    </w:p>
    <w:p w14:paraId="14D81B22" w14:textId="77777777" w:rsidR="00D43425" w:rsidRPr="00321E72" w:rsidRDefault="00D43425" w:rsidP="006A42EE">
      <w:pPr>
        <w:spacing w:after="0" w:line="360" w:lineRule="auto"/>
        <w:rPr>
          <w:rFonts w:eastAsia="Calibri" w:cs="Times New Roman"/>
          <w:lang w:eastAsia="en-US"/>
        </w:rPr>
      </w:pPr>
    </w:p>
    <w:p w14:paraId="203C03FC" w14:textId="77777777" w:rsidR="00321E72" w:rsidRPr="00321E72" w:rsidRDefault="00321E72" w:rsidP="006A42EE">
      <w:pPr>
        <w:spacing w:after="0" w:line="360" w:lineRule="auto"/>
        <w:rPr>
          <w:color w:val="000000"/>
        </w:rPr>
      </w:pPr>
      <w:r w:rsidRPr="00321E72">
        <w:rPr>
          <w:rFonts w:eastAsia="Calibri" w:cs="Times New Roman"/>
          <w:lang w:eastAsia="en-US"/>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3971AB52" w14:textId="77777777" w:rsidR="00321E72" w:rsidRPr="00321E72" w:rsidRDefault="00321E72" w:rsidP="006A42EE">
      <w:pPr>
        <w:spacing w:after="0" w:line="360" w:lineRule="auto"/>
        <w:rPr>
          <w:rFonts w:eastAsia="Calibri" w:cs="Times New Roman"/>
          <w:lang w:eastAsia="en-US"/>
        </w:rPr>
      </w:pPr>
    </w:p>
    <w:p w14:paraId="58C63B49" w14:textId="77777777" w:rsidR="00321E72" w:rsidRPr="00321E72" w:rsidRDefault="00321E72" w:rsidP="006A42EE">
      <w:pPr>
        <w:spacing w:after="0" w:line="360" w:lineRule="auto"/>
        <w:rPr>
          <w:rFonts w:eastAsia="Calibri" w:cs="Times New Roman"/>
          <w:lang w:eastAsia="en-US"/>
        </w:rPr>
      </w:pPr>
      <w:r w:rsidRPr="00321E72">
        <w:rPr>
          <w:rFonts w:eastAsia="Calibri" w:cs="Times New Roman"/>
          <w:lang w:eastAsia="en-US"/>
        </w:rPr>
        <w:t xml:space="preserve">Como se logra observar, dichas deducciones, son las retenciones que realizan las dependencias y entidades, de manera obligatoria por estar establecidas en diversas leyes, como la Ley del </w:t>
      </w:r>
      <w:r w:rsidRPr="00321E72">
        <w:rPr>
          <w:rFonts w:eastAsia="Calibri" w:cs="Times New Roman"/>
          <w:lang w:eastAsia="en-US"/>
        </w:rPr>
        <w:lastRenderedPageBreak/>
        <w:t xml:space="preserve">Impuesto sobre la Renta y la Ley de Seguridad Social para los Servidores Públicos del Estado de México y Municipios (gravámenes fiscales), o bien, la Ley del Trabajo de Servidores Públicos del Estado de México y Municipios (descuentos por faltas o inasistencias). </w:t>
      </w:r>
    </w:p>
    <w:p w14:paraId="47DD38D5" w14:textId="77777777" w:rsidR="00321E72" w:rsidRPr="00321E72" w:rsidRDefault="00321E72" w:rsidP="006A42EE">
      <w:pPr>
        <w:spacing w:after="0" w:line="360" w:lineRule="auto"/>
        <w:rPr>
          <w:rFonts w:eastAsia="Calibri" w:cs="Times New Roman"/>
          <w:lang w:eastAsia="en-US"/>
        </w:rPr>
      </w:pPr>
    </w:p>
    <w:p w14:paraId="0CDA3101" w14:textId="7DE77333" w:rsidR="00321E72" w:rsidRPr="00321E72" w:rsidRDefault="00321E72" w:rsidP="006A42EE">
      <w:pPr>
        <w:spacing w:after="0" w:line="360" w:lineRule="auto"/>
        <w:rPr>
          <w:rFonts w:eastAsia="Calibri" w:cs="Times New Roman"/>
          <w:lang w:eastAsia="en-US"/>
        </w:rPr>
      </w:pPr>
      <w:r w:rsidRPr="00321E72">
        <w:rPr>
          <w:rFonts w:eastAsia="Calibri" w:cs="Times New Roman"/>
          <w:lang w:eastAsia="en-US"/>
        </w:rPr>
        <w:t xml:space="preserve">Por tal circunstancia y toda vez, que las deducciones por Ley, son de carácter obligatorio y ayuda a rendir cuentas, de que el Ayuntamiento cumple con sus funciones de patrón, al retener determinado monto del sueldo de los servidores públicos, es que se considera que son de naturaleza pública y, por lo tanto, no procede su clasificación en términos del artículo 143, fracción I, de la Ley de Transparencia y Acceso a la Información Pública del Estado de México y Municipios, por lo que, deberá dejar visible el monto y concepto de las mismas. </w:t>
      </w:r>
    </w:p>
    <w:p w14:paraId="29969CE0" w14:textId="77777777" w:rsidR="00321E72" w:rsidRPr="00321E72" w:rsidRDefault="00321E72" w:rsidP="006A42EE">
      <w:pPr>
        <w:spacing w:after="0" w:line="360" w:lineRule="auto"/>
        <w:rPr>
          <w:rFonts w:eastAsia="Calibri" w:cs="Times New Roman"/>
          <w:color w:val="000000"/>
          <w:lang w:eastAsia="en-US"/>
        </w:rPr>
      </w:pPr>
    </w:p>
    <w:p w14:paraId="120D08FB" w14:textId="77777777" w:rsidR="00321E72" w:rsidRPr="00321E72" w:rsidRDefault="00321E72" w:rsidP="006A42EE">
      <w:pPr>
        <w:numPr>
          <w:ilvl w:val="0"/>
          <w:numId w:val="35"/>
        </w:numPr>
        <w:spacing w:after="0" w:line="360" w:lineRule="auto"/>
        <w:jc w:val="left"/>
        <w:rPr>
          <w:rFonts w:eastAsia="Calibri" w:cs="Times New Roman"/>
          <w:b/>
          <w:color w:val="000000"/>
          <w:lang w:eastAsia="en-US"/>
        </w:rPr>
      </w:pPr>
      <w:r w:rsidRPr="00321E72">
        <w:rPr>
          <w:rFonts w:eastAsia="Calibri" w:cs="Times New Roman"/>
          <w:b/>
          <w:color w:val="000000"/>
          <w:lang w:eastAsia="en-US"/>
        </w:rPr>
        <w:t>Deducciones personales</w:t>
      </w:r>
    </w:p>
    <w:p w14:paraId="191E433A" w14:textId="77777777" w:rsidR="00321E72" w:rsidRPr="00321E72" w:rsidRDefault="00321E72" w:rsidP="006A42EE">
      <w:pPr>
        <w:spacing w:after="0" w:line="360" w:lineRule="auto"/>
        <w:ind w:left="720"/>
        <w:rPr>
          <w:rFonts w:eastAsia="Calibri" w:cs="Times New Roman"/>
          <w:b/>
          <w:color w:val="000000"/>
          <w:lang w:eastAsia="en-US"/>
        </w:rPr>
      </w:pPr>
    </w:p>
    <w:p w14:paraId="3905CAD5" w14:textId="77777777" w:rsidR="00321E72" w:rsidRPr="00321E72" w:rsidRDefault="00321E72" w:rsidP="006A42EE">
      <w:pPr>
        <w:spacing w:after="0" w:line="360" w:lineRule="auto"/>
        <w:rPr>
          <w:rFonts w:eastAsia="Calibri" w:cs="Times New Roman"/>
          <w:color w:val="000000"/>
          <w:lang w:eastAsia="en-US"/>
        </w:rPr>
      </w:pPr>
      <w:r w:rsidRPr="00321E72">
        <w:rPr>
          <w:rFonts w:eastAsia="Calibri" w:cs="Times New Roman"/>
          <w:color w:val="000000"/>
          <w:lang w:eastAsia="en-U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2E432126" w14:textId="77777777" w:rsidR="00321E72" w:rsidRDefault="00321E72" w:rsidP="006A42EE">
      <w:pPr>
        <w:spacing w:after="0" w:line="360" w:lineRule="auto"/>
        <w:rPr>
          <w:rFonts w:eastAsia="Calibri" w:cs="Times New Roman"/>
          <w:color w:val="000000"/>
          <w:lang w:eastAsia="en-US"/>
        </w:rPr>
      </w:pPr>
    </w:p>
    <w:p w14:paraId="605B8B7D" w14:textId="77777777" w:rsidR="00321E72" w:rsidRPr="00321E72" w:rsidRDefault="00321E72" w:rsidP="006A42EE">
      <w:pPr>
        <w:spacing w:after="0" w:line="360" w:lineRule="auto"/>
        <w:rPr>
          <w:rFonts w:eastAsia="Calibri" w:cs="Times New Roman"/>
          <w:color w:val="000000"/>
          <w:lang w:eastAsia="en-US"/>
        </w:rPr>
      </w:pPr>
      <w:r w:rsidRPr="00321E72">
        <w:rPr>
          <w:rFonts w:eastAsia="Calibri" w:cs="Times New Roman"/>
          <w:color w:val="000000"/>
          <w:lang w:eastAsia="en-US"/>
        </w:rPr>
        <w:t xml:space="preserve">Asimismo, hay otras que se generan con motivo de una sentencia judicial, como es la pensión alimenticia que periódicamente se retira de la cuenta de un empleado, a efecto de que sea entregado a un tercero.  </w:t>
      </w:r>
    </w:p>
    <w:p w14:paraId="33032EB3" w14:textId="77777777" w:rsidR="00321E72" w:rsidRPr="00321E72" w:rsidRDefault="00321E72" w:rsidP="006A42EE">
      <w:pPr>
        <w:spacing w:after="0" w:line="360" w:lineRule="auto"/>
        <w:rPr>
          <w:rFonts w:eastAsia="Calibri" w:cs="Times New Roman"/>
          <w:color w:val="000000"/>
          <w:lang w:eastAsia="en-US"/>
        </w:rPr>
      </w:pPr>
    </w:p>
    <w:p w14:paraId="1C235F46" w14:textId="77777777" w:rsidR="00321E72" w:rsidRPr="00321E72" w:rsidRDefault="00321E72" w:rsidP="006A42EE">
      <w:pPr>
        <w:spacing w:after="0" w:line="360" w:lineRule="auto"/>
        <w:rPr>
          <w:rFonts w:eastAsia="Calibri" w:cs="Times New Roman"/>
          <w:color w:val="000000"/>
          <w:lang w:eastAsia="en-US"/>
        </w:rPr>
      </w:pPr>
      <w:r w:rsidRPr="00321E72">
        <w:rPr>
          <w:rFonts w:eastAsia="Calibri" w:cs="Times New Roman"/>
          <w:color w:val="000000"/>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40AB688" w14:textId="77777777" w:rsidR="00321E72" w:rsidRPr="00321E72" w:rsidRDefault="00321E72" w:rsidP="006A42EE">
      <w:pPr>
        <w:spacing w:after="0" w:line="360" w:lineRule="auto"/>
        <w:rPr>
          <w:rFonts w:eastAsia="Calibri" w:cs="Times New Roman"/>
          <w:color w:val="000000"/>
          <w:lang w:eastAsia="en-US"/>
        </w:rPr>
      </w:pPr>
    </w:p>
    <w:p w14:paraId="7A09386C" w14:textId="20815328" w:rsidR="00321E72" w:rsidRPr="00321E72" w:rsidRDefault="00321E72" w:rsidP="006A42EE">
      <w:pPr>
        <w:spacing w:after="0" w:line="360" w:lineRule="auto"/>
        <w:rPr>
          <w:rFonts w:eastAsia="Calibri" w:cs="Times New Roman"/>
          <w:b/>
          <w:bCs/>
          <w:color w:val="000000"/>
          <w:lang w:eastAsia="en-US"/>
        </w:rPr>
      </w:pPr>
      <w:r w:rsidRPr="00321E72">
        <w:rPr>
          <w:rFonts w:eastAsia="Calibri" w:cs="Times New Roman"/>
          <w:color w:val="000000"/>
          <w:lang w:eastAsia="en-US"/>
        </w:rPr>
        <w:t>Así, dichas deducciones reflejan el destino que un servidor público da a su patrimonio y, por lo tanto, resulta procedente clasificar el monto y concepto de las deducciones personales, en términos del artículo 143, fracción I, de la Ley de Transparencia y Acceso a la Información Pública del Estado de México y Municipios</w:t>
      </w:r>
      <w:r>
        <w:rPr>
          <w:rFonts w:eastAsia="Calibri" w:cs="Times New Roman"/>
          <w:color w:val="000000"/>
          <w:lang w:eastAsia="en-US"/>
        </w:rPr>
        <w:t>.</w:t>
      </w:r>
    </w:p>
    <w:p w14:paraId="7C8816DD" w14:textId="77777777" w:rsidR="008449FA" w:rsidRPr="001570EC" w:rsidRDefault="008449FA" w:rsidP="006A42EE">
      <w:pPr>
        <w:spacing w:after="0" w:line="360" w:lineRule="auto"/>
        <w:rPr>
          <w:rFonts w:cs="Tahoma"/>
          <w:b/>
        </w:rPr>
      </w:pPr>
    </w:p>
    <w:p w14:paraId="417EE598" w14:textId="491B2A95" w:rsidR="00412A97" w:rsidRPr="001570EC" w:rsidRDefault="00412A97" w:rsidP="006A42EE">
      <w:pPr>
        <w:pStyle w:val="Prrafodelista"/>
        <w:numPr>
          <w:ilvl w:val="0"/>
          <w:numId w:val="20"/>
        </w:numPr>
        <w:spacing w:line="360" w:lineRule="auto"/>
        <w:rPr>
          <w:rFonts w:cs="Tahoma"/>
          <w:b/>
          <w:szCs w:val="22"/>
        </w:rPr>
      </w:pPr>
      <w:r w:rsidRPr="001570EC">
        <w:rPr>
          <w:rFonts w:cs="Tahoma"/>
          <w:b/>
          <w:bCs/>
          <w:szCs w:val="22"/>
        </w:rPr>
        <w:t>Sellos digitales del emisor y del Servicio de Administración Tributaria y cadena original del complemento de certificación digital del órgano previamente señalado; así como sus respectivos números de serie de los certificados de sellos digitales</w:t>
      </w:r>
      <w:r w:rsidR="00321E72">
        <w:rPr>
          <w:rFonts w:cs="Tahoma"/>
          <w:b/>
          <w:bCs/>
          <w:szCs w:val="22"/>
        </w:rPr>
        <w:t xml:space="preserve"> y </w:t>
      </w:r>
      <w:r w:rsidRPr="001570EC">
        <w:rPr>
          <w:rFonts w:cs="Tahoma"/>
          <w:b/>
          <w:bCs/>
          <w:szCs w:val="22"/>
        </w:rPr>
        <w:t>folio fiscal.</w:t>
      </w:r>
    </w:p>
    <w:p w14:paraId="3C3AE28B" w14:textId="77777777" w:rsidR="00412A97" w:rsidRPr="001570EC" w:rsidRDefault="00412A97" w:rsidP="006A42EE">
      <w:pPr>
        <w:spacing w:after="0" w:line="360" w:lineRule="auto"/>
        <w:ind w:right="-93"/>
        <w:rPr>
          <w:rFonts w:cs="Tahoma"/>
          <w:b/>
        </w:rPr>
      </w:pPr>
    </w:p>
    <w:p w14:paraId="3A11BEAC" w14:textId="77777777" w:rsidR="00412A97" w:rsidRPr="001570EC" w:rsidRDefault="00412A97" w:rsidP="006A42EE">
      <w:pPr>
        <w:spacing w:after="0" w:line="360" w:lineRule="auto"/>
        <w:ind w:right="-91"/>
        <w:rPr>
          <w:rFonts w:eastAsia="Calibri" w:cs="Tahoma"/>
          <w:bCs/>
          <w:lang w:val="es-ES" w:eastAsia="en-US"/>
        </w:rPr>
      </w:pPr>
      <w:r w:rsidRPr="001570EC">
        <w:rPr>
          <w:rFonts w:eastAsia="Calibri" w:cs="Tahoma"/>
          <w:bCs/>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55CC8D99" w14:textId="77777777" w:rsidR="00412A97" w:rsidRPr="001570EC" w:rsidRDefault="00412A97" w:rsidP="006A42EE">
      <w:pPr>
        <w:spacing w:after="0" w:line="360" w:lineRule="auto"/>
        <w:ind w:right="-91"/>
        <w:rPr>
          <w:rFonts w:eastAsia="Calibri" w:cs="Tahoma"/>
          <w:bCs/>
          <w:lang w:val="es-ES" w:eastAsia="en-US"/>
        </w:rPr>
      </w:pPr>
    </w:p>
    <w:p w14:paraId="2360FA81" w14:textId="77777777" w:rsidR="00412A97" w:rsidRPr="001570EC" w:rsidRDefault="00412A97" w:rsidP="006A42EE">
      <w:pPr>
        <w:spacing w:after="0" w:line="360" w:lineRule="auto"/>
        <w:ind w:right="-91"/>
        <w:rPr>
          <w:rFonts w:eastAsia="Calibri" w:cs="Tahoma"/>
          <w:bCs/>
          <w:lang w:val="es-ES" w:eastAsia="en-US"/>
        </w:rPr>
      </w:pPr>
      <w:r w:rsidRPr="001570EC">
        <w:rPr>
          <w:rFonts w:eastAsia="Calibri" w:cs="Tahoma"/>
          <w:bCs/>
          <w:lang w:val="es-ES" w:eastAsia="en-US"/>
        </w:rPr>
        <w:t xml:space="preserve">Las cadenas originales y sellos que se agregan a las facturas, tienen una secuencia de generación, determinados con base en el ANEXO 20 de la Segunda Resolución de modificaciones a la Resolución Miscelánea Fiscal para dos mil diecisiete, publicada en el Diario Oficial de la </w:t>
      </w:r>
      <w:r w:rsidRPr="001570EC">
        <w:rPr>
          <w:rFonts w:eastAsia="Calibri" w:cs="Tahoma"/>
          <w:bCs/>
          <w:lang w:val="es-ES" w:eastAsia="en-US"/>
        </w:rPr>
        <w:lastRenderedPageBreak/>
        <w:t>Federación el dieciocho de julio de dos mil diecisiete, que precisa los datos de los que se componen los elementos de seguridad y se puntualiza que dicha información está encriptada.</w:t>
      </w:r>
    </w:p>
    <w:p w14:paraId="5A76EB1F" w14:textId="77777777" w:rsidR="00412A97" w:rsidRPr="001570EC" w:rsidRDefault="00412A97" w:rsidP="006A42EE">
      <w:pPr>
        <w:spacing w:after="0" w:line="360" w:lineRule="auto"/>
        <w:ind w:right="-91"/>
        <w:rPr>
          <w:rFonts w:eastAsia="Calibri" w:cs="Tahoma"/>
          <w:bCs/>
          <w:lang w:val="es-ES" w:eastAsia="en-US"/>
        </w:rPr>
      </w:pPr>
    </w:p>
    <w:p w14:paraId="1F26F050"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“Elementos utilizados en la generación de Sellos Digitales:</w:t>
      </w:r>
    </w:p>
    <w:p w14:paraId="33DDDDB1"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w:t>
      </w:r>
      <w:r w:rsidRPr="00321E72">
        <w:rPr>
          <w:rFonts w:eastAsia="Calibri" w:cs="Tahoma"/>
          <w:bCs/>
          <w:i/>
          <w:sz w:val="20"/>
          <w:szCs w:val="20"/>
          <w:lang w:val="es-ES" w:eastAsia="en-US"/>
        </w:rPr>
        <w:tab/>
        <w:t>Cadena Original, el elemento a sellar, en este caso de un comprobante fiscal digital a través de Internet.</w:t>
      </w:r>
    </w:p>
    <w:p w14:paraId="618EA4B8"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w:t>
      </w:r>
      <w:r w:rsidRPr="00321E72">
        <w:rPr>
          <w:rFonts w:eastAsia="Calibri" w:cs="Tahoma"/>
          <w:bCs/>
          <w:i/>
          <w:sz w:val="20"/>
          <w:szCs w:val="20"/>
          <w:lang w:val="es-ES" w:eastAsia="en-US"/>
        </w:rPr>
        <w:tab/>
        <w:t>Certificado de Sello Digital y su correspondiente clave privada.</w:t>
      </w:r>
    </w:p>
    <w:p w14:paraId="38520362"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w:t>
      </w:r>
      <w:r w:rsidRPr="00321E72">
        <w:rPr>
          <w:rFonts w:eastAsia="Calibri" w:cs="Tahoma"/>
          <w:bCs/>
          <w:i/>
          <w:sz w:val="20"/>
          <w:szCs w:val="20"/>
          <w:lang w:val="es-ES" w:eastAsia="en-US"/>
        </w:rPr>
        <w:tab/>
        <w:t>Algoritmos de criptografía de clave pública para firma electrónica avanzada.</w:t>
      </w:r>
    </w:p>
    <w:p w14:paraId="3D588697"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w:t>
      </w:r>
      <w:r w:rsidRPr="00321E72">
        <w:rPr>
          <w:rFonts w:eastAsia="Calibri" w:cs="Tahoma"/>
          <w:bCs/>
          <w:i/>
          <w:sz w:val="20"/>
          <w:szCs w:val="20"/>
          <w:lang w:val="es-ES" w:eastAsia="en-US"/>
        </w:rPr>
        <w:tab/>
        <w:t>Especificaciones de conversión de la firma electrónica avanzada a Base 64.</w:t>
      </w:r>
    </w:p>
    <w:p w14:paraId="08302D58"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Para la generación de sellos digitales se utiliza criptografía de clave pública aplicada a una cadena original.</w:t>
      </w:r>
    </w:p>
    <w:p w14:paraId="3B483E51" w14:textId="77777777" w:rsidR="00412A97" w:rsidRPr="00321E72" w:rsidRDefault="00412A97" w:rsidP="006A42EE">
      <w:pPr>
        <w:spacing w:after="0" w:line="360" w:lineRule="auto"/>
        <w:ind w:left="567" w:right="539"/>
        <w:rPr>
          <w:rFonts w:eastAsia="Calibri" w:cs="Tahoma"/>
          <w:bCs/>
          <w:i/>
          <w:sz w:val="20"/>
          <w:szCs w:val="20"/>
          <w:lang w:val="es-ES" w:eastAsia="en-US"/>
        </w:rPr>
      </w:pPr>
    </w:p>
    <w:p w14:paraId="5D8B8FDA"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Criptografía de la Clave Pública</w:t>
      </w:r>
    </w:p>
    <w:p w14:paraId="4E1A83A6" w14:textId="77777777" w:rsidR="00412A97" w:rsidRPr="00321E72" w:rsidRDefault="00412A97" w:rsidP="006A42EE">
      <w:pPr>
        <w:spacing w:after="0" w:line="360" w:lineRule="auto"/>
        <w:ind w:left="567" w:right="539"/>
        <w:rPr>
          <w:rFonts w:eastAsia="Calibri" w:cs="Tahoma"/>
          <w:bCs/>
          <w:i/>
          <w:sz w:val="20"/>
          <w:szCs w:val="20"/>
          <w:lang w:val="es-ES" w:eastAsia="en-US"/>
        </w:rPr>
      </w:pPr>
      <w:r w:rsidRPr="00321E72">
        <w:rPr>
          <w:rFonts w:eastAsia="Calibri" w:cs="Tahoma"/>
          <w:bCs/>
          <w:i/>
          <w:sz w:val="20"/>
          <w:szCs w:val="20"/>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descripción correspondiente tomando como clave de descripción al otro número de la pareja.”</w:t>
      </w:r>
    </w:p>
    <w:p w14:paraId="6A394EE5" w14:textId="77777777" w:rsidR="00412A97" w:rsidRDefault="00412A97" w:rsidP="006A42EE">
      <w:pPr>
        <w:spacing w:after="0" w:line="360" w:lineRule="auto"/>
        <w:ind w:right="-91"/>
        <w:rPr>
          <w:rFonts w:eastAsia="Calibri" w:cs="Tahoma"/>
          <w:bCs/>
          <w:lang w:val="es-ES" w:eastAsia="en-US"/>
        </w:rPr>
      </w:pPr>
    </w:p>
    <w:p w14:paraId="3C26D6A4" w14:textId="77777777" w:rsidR="00D43425" w:rsidRPr="001570EC" w:rsidRDefault="00D43425" w:rsidP="006A42EE">
      <w:pPr>
        <w:spacing w:after="0" w:line="360" w:lineRule="auto"/>
        <w:ind w:right="-91"/>
        <w:rPr>
          <w:rFonts w:eastAsia="Calibri" w:cs="Tahoma"/>
          <w:bCs/>
          <w:lang w:val="es-ES" w:eastAsia="en-US"/>
        </w:rPr>
      </w:pPr>
    </w:p>
    <w:p w14:paraId="33948DFE" w14:textId="77777777" w:rsidR="00412A97" w:rsidRPr="001570EC" w:rsidRDefault="00412A97" w:rsidP="006A42EE">
      <w:pPr>
        <w:spacing w:after="0" w:line="360" w:lineRule="auto"/>
        <w:rPr>
          <w:rFonts w:eastAsia="Calibri" w:cs="Tahoma"/>
          <w:bCs/>
          <w:lang w:val="es-ES" w:eastAsia="en-US"/>
        </w:rPr>
      </w:pPr>
      <w:r w:rsidRPr="001570EC">
        <w:rPr>
          <w:rFonts w:eastAsia="Calibri" w:cs="Tahoma"/>
          <w:bCs/>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5182B34" w14:textId="77777777" w:rsidR="00412A97" w:rsidRDefault="00412A97" w:rsidP="006A42EE">
      <w:pPr>
        <w:spacing w:after="0" w:line="360" w:lineRule="auto"/>
        <w:rPr>
          <w:rFonts w:eastAsia="Calibri" w:cs="Tahoma"/>
          <w:bCs/>
          <w:lang w:val="es-ES" w:eastAsia="en-US"/>
        </w:rPr>
      </w:pPr>
    </w:p>
    <w:p w14:paraId="1C055578" w14:textId="77777777" w:rsidR="00321E72" w:rsidRPr="00492E6E" w:rsidRDefault="00321E72" w:rsidP="006A42EE">
      <w:pPr>
        <w:spacing w:after="0" w:line="360" w:lineRule="auto"/>
      </w:pPr>
      <w:r w:rsidRPr="00492E6E">
        <w:rPr>
          <w:color w:val="000000"/>
        </w:rPr>
        <w:t>Cabe señalar que, en algunos casos, las</w:t>
      </w:r>
      <w:r w:rsidRPr="00492E6E">
        <w:t xml:space="preserve"> cadenas originales y sellos digitales, se pueden conformar de datos confidenciales, tales como el Registro Federal de Contribuyentes o la Clave </w:t>
      </w:r>
      <w:r w:rsidRPr="00492E6E">
        <w:lastRenderedPageBreak/>
        <w:t>Única de Registro de Población</w:t>
      </w:r>
      <w:r>
        <w:t xml:space="preserve"> o las deducciones personales</w:t>
      </w:r>
      <w:r w:rsidRPr="00492E6E">
        <w:t>; por lo que, en su caso actualizarían actualiza la clasificación, en términos del artículo 143, fracción I, de la Ley de la materia.</w:t>
      </w:r>
    </w:p>
    <w:p w14:paraId="5BF33356" w14:textId="77777777" w:rsidR="00321E72" w:rsidRPr="001570EC" w:rsidRDefault="00321E72" w:rsidP="006A42EE">
      <w:pPr>
        <w:spacing w:after="0" w:line="360" w:lineRule="auto"/>
        <w:rPr>
          <w:rFonts w:eastAsia="Calibri" w:cs="Tahoma"/>
          <w:bCs/>
          <w:lang w:val="es-ES" w:eastAsia="en-US"/>
        </w:rPr>
      </w:pPr>
    </w:p>
    <w:p w14:paraId="6B3E533D" w14:textId="1E1942F8" w:rsidR="00412A97" w:rsidRPr="001570EC" w:rsidRDefault="00412A97" w:rsidP="006A42EE">
      <w:pPr>
        <w:spacing w:after="0" w:line="360" w:lineRule="auto"/>
        <w:rPr>
          <w:rFonts w:eastAsia="Calibri" w:cs="Tahoma"/>
          <w:bCs/>
          <w:lang w:val="es-ES" w:eastAsia="en-US"/>
        </w:rPr>
      </w:pPr>
      <w:r w:rsidRPr="001570EC">
        <w:rPr>
          <w:rFonts w:eastAsia="Calibri" w:cs="Tahoma"/>
          <w:bCs/>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w:t>
      </w:r>
      <w:r w:rsidR="006A42EE">
        <w:rPr>
          <w:rFonts w:eastAsia="Calibri" w:cs="Tahoma"/>
          <w:bCs/>
          <w:lang w:val="es-ES" w:eastAsia="en-US"/>
        </w:rPr>
        <w:t>el entonces Instituto Nacional</w:t>
      </w:r>
      <w:r w:rsidRPr="001570EC">
        <w:rPr>
          <w:rFonts w:eastAsia="Calibri" w:cs="Tahoma"/>
          <w:bCs/>
          <w:lang w:val="es-ES" w:eastAsia="en-US"/>
        </w:rPr>
        <w:t xml:space="preserve"> electoral (página electrónica </w:t>
      </w:r>
      <w:hyperlink r:id="rId10" w:history="1">
        <w:r w:rsidRPr="001570EC">
          <w:rPr>
            <w:rStyle w:val="Hipervnculo"/>
            <w:rFonts w:eastAsia="Calibri" w:cs="Tahoma"/>
            <w:bCs/>
            <w:lang w:eastAsia="en-US"/>
          </w:rPr>
          <w:t>https://portalanterior.ine.mx/archivos2/tutoriales/sistemas/ApoyoInstitucional/SIF/docs/candidatos/folioFiscalFactura.pdf</w:t>
        </w:r>
      </w:hyperlink>
      <w:r w:rsidRPr="001570EC">
        <w:rPr>
          <w:rFonts w:eastAsia="Calibri" w:cs="Tahoma"/>
          <w:bCs/>
          <w:lang w:val="es-ES" w:eastAsia="en-US"/>
        </w:rPr>
        <w:t>), en la cual se advierte que únicamente se encuentra conformado por números, se muestra a continuación:</w:t>
      </w:r>
    </w:p>
    <w:p w14:paraId="510C33D6" w14:textId="77777777" w:rsidR="00412A97" w:rsidRPr="001570EC" w:rsidRDefault="00412A97" w:rsidP="006A42EE">
      <w:pPr>
        <w:spacing w:after="0" w:line="360" w:lineRule="auto"/>
        <w:rPr>
          <w:rFonts w:eastAsia="Calibri" w:cs="Tahoma"/>
          <w:bCs/>
          <w:lang w:val="es-ES" w:eastAsia="en-US"/>
        </w:rPr>
      </w:pPr>
    </w:p>
    <w:p w14:paraId="5C2D6924" w14:textId="77777777" w:rsidR="00412A97" w:rsidRPr="001570EC" w:rsidRDefault="00412A97" w:rsidP="006A42EE">
      <w:pPr>
        <w:spacing w:after="0" w:line="360" w:lineRule="auto"/>
        <w:rPr>
          <w:rFonts w:eastAsia="Calibri" w:cs="Tahoma"/>
          <w:bCs/>
          <w:lang w:val="es-ES" w:eastAsia="en-US"/>
        </w:rPr>
      </w:pPr>
      <w:r w:rsidRPr="001570EC">
        <w:rPr>
          <w:noProof/>
        </w:rPr>
        <mc:AlternateContent>
          <mc:Choice Requires="wps">
            <w:drawing>
              <wp:anchor distT="0" distB="0" distL="114300" distR="114300" simplePos="0" relativeHeight="251659264" behindDoc="0" locked="0" layoutInCell="1" allowOverlap="1" wp14:anchorId="3FD9C5D7" wp14:editId="6C13186B">
                <wp:simplePos x="0" y="0"/>
                <wp:positionH relativeFrom="column">
                  <wp:posOffset>162560</wp:posOffset>
                </wp:positionH>
                <wp:positionV relativeFrom="paragraph">
                  <wp:posOffset>866140</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3B01E" id="Rectángulo 19" o:spid="_x0000_s1026" style="position:absolute;margin-left:12.8pt;margin-top:68.2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PeXVQIAALYEAAAOAAAAZHJzL2Uyb0RvYy54bWysVMFuGyEQvVfqPyDuzdpu2iZW1pGVKFWl&#10;KLGUVDkTlvUiAUMBe+1+fR/sJnbTnqraEh6Y4c3M440vLnfWsK0KUZOr+fRkwplykhrt1jX//njz&#10;4YyzmIRrhCGnar5XkV8u3r+76P1czagj06jAAOLivPc171Ly86qKslNWxBPyysHZUrAiYRvWVRNE&#10;D3Rrqtlk8rnqKTQ+kFQx4vR6cPJFwW9bJdN920aVmKk5aktlDWV9zmu1uBDzdRC+03IsQ/xDFVZo&#10;h6SvUNciCbYJ+g8oq2WgSG06kWQralstVekB3Uwnb7p56IRXpReQE/0rTfH/wcq77YNfBdDQ+ziP&#10;MHMXuzbY/Iv62K6QtX8lS+0Skzj8ePrpC76cSfhm0/MJbMBUh9s+xPRVkWXZqHnAYxSOxPY2piH0&#10;JSQnc3SjjSkPYhzrAXo24AvoojUiIZX1Tc2jW3MmzBqCkykUyEhGN/l6Bor7eGUC2wq8OaTSUP+I&#10;ojkzIiY40En5jNX+djXXcy1iN1wurkEiVifo1Ghb87Pj28bljKoobezqQGS2nqnZrwILNEgvenmj&#10;keQWtaxEgNagSsxPusfSGkLbNFqcdRR+/u08x0MC8HLWQ7ug5MdGBIUWvzmI43x6eprFXjZ4phk2&#10;4djzfOxxG3tFoGqKSfWymDk+mRezDWSfMGbLnBUu4SRyD+SPm6s0zBQGVarlsoRB4F6kW/fgZQbP&#10;PGV6H3dPIvhREwkPc0cvOhfzN9IYYgdxLDeJWl10c+AVessbDEdR3jjIefqO9yXq8Hez+AUAAP//&#10;AwBQSwMEFAAGAAgAAAAhAB8PB53gAAAACgEAAA8AAABkcnMvZG93bnJldi54bWxMj8FOwzAMhu9I&#10;vENkJG4saWEdlKYTQuICJzaqabesCU1F43RJtnU8PeYER//+9PtztZzcwI4mxN6jhGwmgBlsve6x&#10;k/Cxfrm5BxaTQq0Gj0bC2URY1pcXlSq1P+G7Oa5Sx6gEY6kk2JTGkvPYWuNUnPnRIO0+fXAq0Rg6&#10;roM6UbkbeC5EwZ3qkS5YNZpna9qv1cFJaPJsY9X23MQm7Jvu9W1dFPtvKa+vpqdHYMlM6Q+GX31S&#10;h5qcdv6AOrJBQj4viKT8trgDRsB8ITJgO0oW4gF4XfH/L9Q/AAAA//8DAFBLAQItABQABgAIAAAA&#10;IQC2gziS/gAAAOEBAAATAAAAAAAAAAAAAAAAAAAAAABbQ29udGVudF9UeXBlc10ueG1sUEsBAi0A&#10;FAAGAAgAAAAhADj9If/WAAAAlAEAAAsAAAAAAAAAAAAAAAAALwEAAF9yZWxzLy5yZWxzUEsBAi0A&#10;FAAGAAgAAAAhACFk95dVAgAAtgQAAA4AAAAAAAAAAAAAAAAALgIAAGRycy9lMm9Eb2MueG1sUEsB&#10;Ai0AFAAGAAgAAAAhAB8PB53gAAAACgEAAA8AAAAAAAAAAAAAAAAArwQAAGRycy9kb3ducmV2Lnht&#10;bFBLBQYAAAAABAAEAPMAAAC8BQAAAAA=&#10;" filled="f" strokecolor="windowText" strokeweight="2.25pt"/>
            </w:pict>
          </mc:Fallback>
        </mc:AlternateContent>
      </w:r>
      <w:r w:rsidRPr="001570EC">
        <w:rPr>
          <w:noProof/>
        </w:rPr>
        <w:drawing>
          <wp:inline distT="0" distB="0" distL="0" distR="0" wp14:anchorId="0F3AE750" wp14:editId="61C89FE2">
            <wp:extent cx="5437410" cy="10572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56959" cy="1061076"/>
                    </a:xfrm>
                    <a:prstGeom prst="rect">
                      <a:avLst/>
                    </a:prstGeom>
                  </pic:spPr>
                </pic:pic>
              </a:graphicData>
            </a:graphic>
          </wp:inline>
        </w:drawing>
      </w:r>
    </w:p>
    <w:p w14:paraId="55276018" w14:textId="77777777" w:rsidR="00412A97" w:rsidRPr="001570EC" w:rsidRDefault="00412A97" w:rsidP="006A42EE">
      <w:pPr>
        <w:spacing w:after="0" w:line="360" w:lineRule="auto"/>
        <w:rPr>
          <w:rFonts w:eastAsia="Calibri" w:cs="Tahoma"/>
          <w:bCs/>
          <w:lang w:val="es-ES" w:eastAsia="en-US"/>
        </w:rPr>
      </w:pPr>
    </w:p>
    <w:p w14:paraId="629E66A3" w14:textId="77777777" w:rsidR="00412A97" w:rsidRPr="001570EC" w:rsidRDefault="00412A97" w:rsidP="006A42EE">
      <w:pPr>
        <w:spacing w:after="0" w:line="360" w:lineRule="auto"/>
        <w:rPr>
          <w:rFonts w:eastAsia="Calibri" w:cs="Tahoma"/>
          <w:bCs/>
          <w:lang w:val="es-ES" w:eastAsia="en-US"/>
        </w:rPr>
      </w:pPr>
      <w:r w:rsidRPr="001570EC">
        <w:rPr>
          <w:rFonts w:eastAsia="Calibri" w:cs="Tahoma"/>
          <w:bCs/>
          <w:lang w:val="es-ES" w:eastAsia="en-US"/>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1570EC">
        <w:rPr>
          <w:rFonts w:eastAsia="Calibri" w:cs="Tahoma"/>
          <w:b/>
          <w:bCs/>
          <w:lang w:val="es-ES" w:eastAsia="en-US"/>
        </w:rPr>
        <w:t>Máxime que permite corroborar la legitimidad a la factura, pues amparan la utilización de los certificados de sellos digitales válidos.</w:t>
      </w:r>
    </w:p>
    <w:p w14:paraId="71D466F6" w14:textId="77777777" w:rsidR="00412A97" w:rsidRPr="001570EC" w:rsidRDefault="00412A97" w:rsidP="006A42EE">
      <w:pPr>
        <w:spacing w:after="0" w:line="360" w:lineRule="auto"/>
        <w:rPr>
          <w:rFonts w:eastAsia="Calibri" w:cs="Tahoma"/>
          <w:bCs/>
          <w:lang w:val="es-ES" w:eastAsia="en-US"/>
        </w:rPr>
      </w:pPr>
    </w:p>
    <w:p w14:paraId="7C7ECCD8" w14:textId="77777777" w:rsidR="00412A97" w:rsidRPr="001570EC" w:rsidRDefault="00412A97" w:rsidP="006A42EE">
      <w:pPr>
        <w:spacing w:after="0" w:line="360" w:lineRule="auto"/>
        <w:rPr>
          <w:rFonts w:eastAsia="Calibri" w:cs="Tahoma"/>
          <w:bCs/>
          <w:lang w:val="es-ES" w:eastAsia="en-US"/>
        </w:rPr>
      </w:pPr>
      <w:r w:rsidRPr="001570EC">
        <w:rPr>
          <w:rFonts w:eastAsia="Calibri" w:cs="Tahoma"/>
          <w:bCs/>
          <w:lang w:val="es-ES" w:eastAsia="en-US"/>
        </w:rPr>
        <w:t xml:space="preserve">Ahora bien, por lo que hace Folio Fiscal, cabe precisar que conforme al ANEXO 20 de la Segunda Resolución de modificaciones a la Resolución Miscelánea Fiscal para dos mil diecisiete, el folio </w:t>
      </w:r>
      <w:r w:rsidRPr="001570EC">
        <w:rPr>
          <w:rFonts w:eastAsia="Calibri" w:cs="Tahoma"/>
          <w:bCs/>
          <w:lang w:val="es-ES" w:eastAsia="en-US"/>
        </w:rPr>
        <w:lastRenderedPageBreak/>
        <w:t>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78586D0" w14:textId="77777777" w:rsidR="00412A97" w:rsidRPr="001570EC" w:rsidRDefault="00412A97" w:rsidP="006A42EE">
      <w:pPr>
        <w:spacing w:after="0" w:line="360" w:lineRule="auto"/>
        <w:rPr>
          <w:rFonts w:eastAsia="Calibri" w:cs="Tahoma"/>
          <w:bCs/>
          <w:lang w:val="es-ES" w:eastAsia="en-US"/>
        </w:rPr>
      </w:pPr>
    </w:p>
    <w:p w14:paraId="48919548" w14:textId="77777777" w:rsidR="00412A97" w:rsidRPr="001570EC" w:rsidRDefault="00412A97" w:rsidP="006A42EE">
      <w:pPr>
        <w:spacing w:after="0" w:line="360" w:lineRule="auto"/>
        <w:rPr>
          <w:rFonts w:eastAsia="Calibri" w:cs="Tahoma"/>
          <w:bCs/>
          <w:lang w:val="es-ES" w:eastAsia="en-US"/>
        </w:rPr>
      </w:pPr>
      <w:r w:rsidRPr="001570EC">
        <w:rPr>
          <w:noProof/>
        </w:rPr>
        <w:drawing>
          <wp:inline distT="0" distB="0" distL="0" distR="0" wp14:anchorId="68AA874D" wp14:editId="71158BE2">
            <wp:extent cx="5457825" cy="1562100"/>
            <wp:effectExtent l="0" t="0" r="952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1418BC15" w14:textId="77777777" w:rsidR="00412A97" w:rsidRPr="001570EC" w:rsidRDefault="00412A97" w:rsidP="006A42EE">
      <w:pPr>
        <w:spacing w:after="0" w:line="360" w:lineRule="auto"/>
        <w:rPr>
          <w:b/>
          <w:u w:val="single"/>
          <w:lang w:val="es-ES"/>
        </w:rPr>
      </w:pPr>
    </w:p>
    <w:p w14:paraId="13F42BB4" w14:textId="77777777" w:rsidR="00412A97" w:rsidRPr="001570EC" w:rsidRDefault="00412A97" w:rsidP="006A42EE">
      <w:pPr>
        <w:spacing w:after="0" w:line="360" w:lineRule="auto"/>
        <w:rPr>
          <w:lang w:val="es-ES"/>
        </w:rPr>
      </w:pPr>
      <w:r w:rsidRPr="001570EC">
        <w:rPr>
          <w:lang w:val="es-ES"/>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CBE6A2A" w14:textId="77777777" w:rsidR="00321E72" w:rsidRDefault="00321E72" w:rsidP="006A42EE">
      <w:pPr>
        <w:spacing w:after="0" w:line="360" w:lineRule="auto"/>
        <w:contextualSpacing/>
        <w:rPr>
          <w:rFonts w:cs="Tahoma"/>
          <w:bCs/>
          <w:iCs/>
          <w:lang w:val="es-ES_tradnl"/>
        </w:rPr>
      </w:pPr>
    </w:p>
    <w:p w14:paraId="25BE7F37" w14:textId="333B648A" w:rsidR="00412A97" w:rsidRPr="001570EC" w:rsidRDefault="00412A97" w:rsidP="006A42EE">
      <w:pPr>
        <w:spacing w:after="0" w:line="360" w:lineRule="auto"/>
        <w:contextualSpacing/>
        <w:rPr>
          <w:rFonts w:cs="Tahoma"/>
          <w:bCs/>
          <w:iCs/>
          <w:lang w:val="es-ES"/>
        </w:rPr>
      </w:pPr>
      <w:r w:rsidRPr="001570EC">
        <w:rPr>
          <w:rFonts w:cs="Tahoma"/>
          <w:bCs/>
          <w:iCs/>
          <w:lang w:val="es-ES_tradnl"/>
        </w:rPr>
        <w:t>Conforme a lo anterior, deberá entregar los documentos en versión pública, tomando en consideración el análisis realizado en párrafos anteriores; a</w:t>
      </w:r>
      <w:r w:rsidRPr="001570EC">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1570EC">
        <w:rPr>
          <w:rFonts w:cs="Tahoma"/>
          <w:bCs/>
          <w:iCs/>
          <w:lang w:val="es-ES"/>
        </w:rPr>
        <w:lastRenderedPageBreak/>
        <w:t xml:space="preserve">las partes o secciones clasificadas, indicando su contenido de manera genérica y fundando y motivando su clasificación. </w:t>
      </w:r>
    </w:p>
    <w:p w14:paraId="182322D8" w14:textId="77777777" w:rsidR="00412A97" w:rsidRPr="001570EC" w:rsidRDefault="00412A97" w:rsidP="006A42EE">
      <w:pPr>
        <w:spacing w:after="0" w:line="360" w:lineRule="auto"/>
        <w:contextualSpacing/>
        <w:rPr>
          <w:rFonts w:cs="Tahoma"/>
          <w:bCs/>
          <w:iCs/>
          <w:lang w:val="es-ES"/>
        </w:rPr>
      </w:pPr>
    </w:p>
    <w:p w14:paraId="16FC8559" w14:textId="77777777" w:rsidR="00412A97" w:rsidRPr="001570EC" w:rsidRDefault="00412A97" w:rsidP="006A42EE">
      <w:pPr>
        <w:spacing w:after="0" w:line="360" w:lineRule="auto"/>
        <w:contextualSpacing/>
        <w:rPr>
          <w:rFonts w:eastAsia="Calibri"/>
        </w:rPr>
      </w:pPr>
      <w:r w:rsidRPr="001570EC">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9468BE" w14:textId="77777777" w:rsidR="00412A97" w:rsidRPr="001570EC" w:rsidRDefault="00412A97" w:rsidP="006A42EE">
      <w:pPr>
        <w:widowControl w:val="0"/>
        <w:autoSpaceDE w:val="0"/>
        <w:autoSpaceDN w:val="0"/>
        <w:adjustRightInd w:val="0"/>
        <w:spacing w:after="0" w:line="360" w:lineRule="auto"/>
        <w:contextualSpacing/>
      </w:pPr>
      <w:r w:rsidRPr="001570EC">
        <w:t xml:space="preserve"> </w:t>
      </w:r>
    </w:p>
    <w:p w14:paraId="088330D2" w14:textId="77777777" w:rsidR="00412A97" w:rsidRPr="001570EC" w:rsidRDefault="00412A97" w:rsidP="006A42EE">
      <w:pPr>
        <w:pStyle w:val="Ttulo2"/>
        <w:spacing w:before="0" w:after="0"/>
        <w:jc w:val="both"/>
        <w:rPr>
          <w:szCs w:val="22"/>
          <w:lang w:eastAsia="en-US"/>
        </w:rPr>
      </w:pPr>
      <w:bookmarkStart w:id="22" w:name="_Toc187856550"/>
      <w:r w:rsidRPr="001570EC">
        <w:rPr>
          <w:szCs w:val="22"/>
          <w:lang w:eastAsia="en-US"/>
        </w:rPr>
        <w:t>SEXTO. Decisión</w:t>
      </w:r>
      <w:bookmarkEnd w:id="22"/>
    </w:p>
    <w:p w14:paraId="2BF49C11" w14:textId="77777777" w:rsidR="00412A97" w:rsidRPr="001570EC" w:rsidRDefault="00412A97" w:rsidP="006A42EE">
      <w:pPr>
        <w:spacing w:after="0" w:line="360" w:lineRule="auto"/>
        <w:contextualSpacing/>
        <w:rPr>
          <w:rFonts w:eastAsia="Calibri" w:cs="Tahoma"/>
          <w:b/>
          <w:lang w:eastAsia="en-US"/>
        </w:rPr>
      </w:pPr>
    </w:p>
    <w:p w14:paraId="6213FF5B" w14:textId="3F1A2BCD" w:rsidR="00412A97" w:rsidRPr="001570EC" w:rsidRDefault="00412A97" w:rsidP="006A42EE">
      <w:pPr>
        <w:spacing w:after="0" w:line="360" w:lineRule="auto"/>
        <w:rPr>
          <w:rFonts w:cs="Tahoma"/>
        </w:rPr>
      </w:pPr>
      <w:r w:rsidRPr="001570EC">
        <w:rPr>
          <w:rFonts w:cs="Tahoma"/>
        </w:rPr>
        <w:t xml:space="preserve">Con fundamento en el artículo 186, fracción III, de la Ley de Transparencia y Acceso a la Información Pública del Estado de México y Municipios, este Instituto considera procedente </w:t>
      </w:r>
      <w:r w:rsidR="00BD0C78">
        <w:rPr>
          <w:b/>
          <w:bCs/>
        </w:rPr>
        <w:t>REVOCAR</w:t>
      </w:r>
      <w:r w:rsidRPr="001570EC">
        <w:rPr>
          <w:rFonts w:cs="Tahoma"/>
        </w:rPr>
        <w:t xml:space="preserve"> la respuesta otorgada por el Sujeto Obligado, a efecto de que en</w:t>
      </w:r>
      <w:r w:rsidR="00BD0C78">
        <w:rPr>
          <w:rFonts w:cs="Tahoma"/>
        </w:rPr>
        <w:t>tregue, la información.</w:t>
      </w:r>
    </w:p>
    <w:p w14:paraId="0813B4C4" w14:textId="77777777" w:rsidR="00321E72" w:rsidRPr="001570EC" w:rsidRDefault="00321E72" w:rsidP="006A42EE">
      <w:pPr>
        <w:spacing w:after="0" w:line="360" w:lineRule="auto"/>
        <w:rPr>
          <w:rFonts w:cs="Tahoma"/>
        </w:rPr>
      </w:pPr>
    </w:p>
    <w:p w14:paraId="6B62A73D" w14:textId="77777777" w:rsidR="00412A97" w:rsidRPr="001570EC" w:rsidRDefault="00412A97" w:rsidP="006A42EE">
      <w:pPr>
        <w:spacing w:after="0" w:line="360" w:lineRule="auto"/>
        <w:contextualSpacing/>
        <w:rPr>
          <w:rFonts w:eastAsia="Calibri" w:cs="Tahoma"/>
          <w:b/>
          <w:bCs/>
          <w:lang w:eastAsia="en-US"/>
        </w:rPr>
      </w:pPr>
      <w:r w:rsidRPr="001570EC">
        <w:rPr>
          <w:rFonts w:eastAsia="Calibri" w:cs="Tahoma"/>
          <w:b/>
          <w:bCs/>
          <w:lang w:eastAsia="en-US"/>
        </w:rPr>
        <w:t>Términos de la Resolución para conocimiento del Particular.</w:t>
      </w:r>
    </w:p>
    <w:p w14:paraId="42B6B331" w14:textId="77777777" w:rsidR="00412A97" w:rsidRPr="001570EC" w:rsidRDefault="00412A97" w:rsidP="006A42EE">
      <w:pPr>
        <w:spacing w:after="0" w:line="360" w:lineRule="auto"/>
        <w:contextualSpacing/>
        <w:rPr>
          <w:rFonts w:eastAsia="Calibri" w:cs="Tahoma"/>
          <w:b/>
          <w:bCs/>
          <w:lang w:eastAsia="en-US"/>
        </w:rPr>
      </w:pPr>
    </w:p>
    <w:p w14:paraId="76052528" w14:textId="209B8468" w:rsidR="00412A97" w:rsidRPr="001570EC" w:rsidRDefault="00412A97" w:rsidP="006A42EE">
      <w:pPr>
        <w:spacing w:after="0" w:line="360" w:lineRule="auto"/>
        <w:rPr>
          <w:bCs/>
        </w:rPr>
      </w:pPr>
      <w:r w:rsidRPr="001570EC">
        <w:t xml:space="preserve">Se le hace del conocimiento a la persona Recurrente que, en el presente asunto, se le da la razón, pues el Sujeto Obligado </w:t>
      </w:r>
      <w:r w:rsidR="00576D3B">
        <w:t>le negó información que tiene el carácter de pública, por lo que este Instituto determina procedente ordenar su entrega vía SAIMEX</w:t>
      </w:r>
    </w:p>
    <w:p w14:paraId="3E6F5EE0" w14:textId="77777777" w:rsidR="00412A97" w:rsidRPr="001570EC" w:rsidRDefault="00412A97" w:rsidP="006A42EE">
      <w:pPr>
        <w:spacing w:after="0" w:line="360" w:lineRule="auto"/>
        <w:ind w:right="-28"/>
        <w:rPr>
          <w:rFonts w:eastAsia="Calibri" w:cs="Tahoma"/>
          <w:bCs/>
          <w:iCs/>
          <w:color w:val="000000"/>
          <w:lang w:eastAsia="en-US"/>
        </w:rPr>
      </w:pPr>
    </w:p>
    <w:p w14:paraId="51978E37" w14:textId="77777777" w:rsidR="00412A97" w:rsidRPr="001570EC" w:rsidRDefault="00412A97" w:rsidP="006A42EE">
      <w:pPr>
        <w:spacing w:after="0" w:line="360" w:lineRule="auto"/>
        <w:rPr>
          <w:rFonts w:eastAsia="Calibri" w:cs="Tahoma"/>
          <w:bCs/>
          <w:iCs/>
          <w:lang w:eastAsia="en-US"/>
        </w:rPr>
      </w:pPr>
      <w:r w:rsidRPr="001570EC">
        <w:rPr>
          <w:rFonts w:eastAsia="Calibri" w:cs="Tahoma"/>
          <w:bCs/>
          <w:iCs/>
          <w:lang w:eastAsia="en-US"/>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3E37C1D3" w14:textId="77777777" w:rsidR="00412A97" w:rsidRPr="001570EC" w:rsidRDefault="00412A97" w:rsidP="006A42EE">
      <w:pPr>
        <w:spacing w:after="0" w:line="360" w:lineRule="auto"/>
        <w:contextualSpacing/>
        <w:rPr>
          <w:rFonts w:eastAsia="Calibri" w:cstheme="minorBidi"/>
          <w:lang w:eastAsia="en-US"/>
        </w:rPr>
      </w:pPr>
    </w:p>
    <w:p w14:paraId="7C13A06D" w14:textId="77777777" w:rsidR="00412A97" w:rsidRPr="001570EC" w:rsidRDefault="00412A97" w:rsidP="006A42EE">
      <w:pPr>
        <w:spacing w:after="0" w:line="360" w:lineRule="auto"/>
        <w:contextualSpacing/>
        <w:rPr>
          <w:rFonts w:eastAsia="Calibri" w:cstheme="minorBidi"/>
          <w:lang w:eastAsia="en-US"/>
        </w:rPr>
      </w:pPr>
      <w:r w:rsidRPr="001570EC">
        <w:rPr>
          <w:rFonts w:eastAsia="Calibri" w:cstheme="minorBidi"/>
          <w:lang w:eastAsia="en-US"/>
        </w:rPr>
        <w:t>Por lo expuesto y fundado, este Pleno:</w:t>
      </w:r>
    </w:p>
    <w:p w14:paraId="19BD56D8" w14:textId="77777777" w:rsidR="00412A97" w:rsidRPr="001570EC" w:rsidRDefault="00412A97" w:rsidP="006A42EE">
      <w:pPr>
        <w:pStyle w:val="Ttulo1"/>
        <w:spacing w:before="0" w:after="0"/>
        <w:rPr>
          <w:sz w:val="22"/>
          <w:szCs w:val="22"/>
          <w:lang w:eastAsia="en-US"/>
        </w:rPr>
      </w:pPr>
      <w:bookmarkStart w:id="23" w:name="_Toc187856551"/>
      <w:r w:rsidRPr="001570EC">
        <w:rPr>
          <w:sz w:val="22"/>
          <w:szCs w:val="22"/>
          <w:lang w:eastAsia="en-US"/>
        </w:rPr>
        <w:lastRenderedPageBreak/>
        <w:t>R E S U E L V E</w:t>
      </w:r>
      <w:bookmarkEnd w:id="23"/>
    </w:p>
    <w:p w14:paraId="0FB954AB" w14:textId="77777777" w:rsidR="00412A97" w:rsidRPr="001570EC" w:rsidRDefault="00412A97" w:rsidP="006A42EE">
      <w:pPr>
        <w:spacing w:after="0" w:line="360" w:lineRule="auto"/>
        <w:contextualSpacing/>
        <w:rPr>
          <w:rFonts w:eastAsia="Calibri" w:cstheme="minorBidi"/>
          <w:lang w:eastAsia="en-US"/>
        </w:rPr>
      </w:pPr>
    </w:p>
    <w:p w14:paraId="53F1E070" w14:textId="44AA2591" w:rsidR="00412A97" w:rsidRPr="001570EC" w:rsidRDefault="00412A97" w:rsidP="006A42EE">
      <w:pPr>
        <w:spacing w:after="0" w:line="360" w:lineRule="auto"/>
      </w:pPr>
      <w:r w:rsidRPr="001570EC">
        <w:rPr>
          <w:rFonts w:eastAsia="Calibri" w:cs="Tahoma"/>
          <w:b/>
          <w:iCs/>
          <w:lang w:eastAsia="en-US"/>
        </w:rPr>
        <w:t>PRIMERO.</w:t>
      </w:r>
      <w:r w:rsidRPr="001570EC">
        <w:rPr>
          <w:rFonts w:eastAsia="Calibri" w:cs="Tahoma"/>
          <w:bCs/>
          <w:iCs/>
          <w:lang w:eastAsia="en-US"/>
        </w:rPr>
        <w:t xml:space="preserve"> </w:t>
      </w:r>
      <w:r w:rsidRPr="001570EC">
        <w:t xml:space="preserve">Se </w:t>
      </w:r>
      <w:r w:rsidR="00576D3B">
        <w:rPr>
          <w:b/>
        </w:rPr>
        <w:t>REVOCA</w:t>
      </w:r>
      <w:r w:rsidRPr="001570EC">
        <w:rPr>
          <w:b/>
        </w:rPr>
        <w:t xml:space="preserve"> </w:t>
      </w:r>
      <w:r w:rsidRPr="001570EC">
        <w:t xml:space="preserve">la respuesta entregada por el </w:t>
      </w:r>
      <w:r w:rsidR="00576D3B">
        <w:t>Ayuntamiento de Toluca</w:t>
      </w:r>
      <w:r w:rsidRPr="001570EC">
        <w:t>, a la solicitud de información</w:t>
      </w:r>
      <w:r w:rsidRPr="001570EC">
        <w:rPr>
          <w:rFonts w:cs="Tahoma"/>
        </w:rPr>
        <w:t xml:space="preserve"> </w:t>
      </w:r>
      <w:r w:rsidR="00576D3B" w:rsidRPr="00D35AEE">
        <w:rPr>
          <w:rFonts w:cs="Tahoma"/>
          <w:b/>
        </w:rPr>
        <w:t>01950/TOLUCA/IP/2025</w:t>
      </w:r>
      <w:r w:rsidR="00576D3B">
        <w:rPr>
          <w:rFonts w:cs="Tahoma"/>
        </w:rPr>
        <w:t xml:space="preserve">, </w:t>
      </w:r>
      <w:r w:rsidRPr="001570EC">
        <w:t xml:space="preserve">por resultar </w:t>
      </w:r>
      <w:r>
        <w:t xml:space="preserve"> </w:t>
      </w:r>
      <w:r w:rsidRPr="001570EC">
        <w:rPr>
          <w:b/>
          <w:bCs/>
        </w:rPr>
        <w:t>FUNDADAS</w:t>
      </w:r>
      <w:r w:rsidRPr="001570EC">
        <w:rPr>
          <w:b/>
        </w:rPr>
        <w:t xml:space="preserve"> </w:t>
      </w:r>
      <w:r w:rsidRPr="001570EC">
        <w:t>las razones o motivos de inconformidad hechos valer por la persona Recurrente, en términos de los considerandos QUINTO y SEXTO de la presente Resolución.</w:t>
      </w:r>
    </w:p>
    <w:p w14:paraId="013C0AFF" w14:textId="77777777" w:rsidR="00412A97" w:rsidRPr="001570EC" w:rsidRDefault="00412A97" w:rsidP="006A42EE">
      <w:pPr>
        <w:spacing w:after="0" w:line="360" w:lineRule="auto"/>
        <w:contextualSpacing/>
        <w:rPr>
          <w:rFonts w:eastAsia="Calibri" w:cs="Tahoma"/>
          <w:bCs/>
          <w:iCs/>
          <w:lang w:eastAsia="en-US"/>
        </w:rPr>
      </w:pPr>
    </w:p>
    <w:p w14:paraId="777E9819" w14:textId="77777777" w:rsidR="00412A97" w:rsidRPr="001570EC" w:rsidRDefault="00412A97" w:rsidP="006A42EE">
      <w:pPr>
        <w:spacing w:after="0" w:line="360" w:lineRule="auto"/>
        <w:ind w:right="-30"/>
        <w:textAlignment w:val="baseline"/>
        <w:rPr>
          <w:lang w:eastAsia="en-US"/>
        </w:rPr>
      </w:pPr>
      <w:r w:rsidRPr="001570EC">
        <w:rPr>
          <w:b/>
          <w:lang w:eastAsia="en-US"/>
        </w:rPr>
        <w:t xml:space="preserve">SEGUNDO. </w:t>
      </w:r>
      <w:r w:rsidRPr="001570EC">
        <w:rPr>
          <w:lang w:eastAsia="en-US"/>
        </w:rPr>
        <w:t xml:space="preserve">Se </w:t>
      </w:r>
      <w:r w:rsidRPr="001570EC">
        <w:rPr>
          <w:b/>
          <w:lang w:eastAsia="en-US"/>
        </w:rPr>
        <w:t>ORDENA</w:t>
      </w:r>
      <w:r w:rsidRPr="001570EC">
        <w:rPr>
          <w:lang w:eastAsia="en-US"/>
        </w:rPr>
        <w:t xml:space="preserve"> al Sujeto Obligado</w:t>
      </w:r>
      <w:r w:rsidRPr="001570EC">
        <w:rPr>
          <w:b/>
          <w:lang w:eastAsia="en-US"/>
        </w:rPr>
        <w:t xml:space="preserve">, </w:t>
      </w:r>
      <w:r w:rsidRPr="001570EC">
        <w:rPr>
          <w:lang w:eastAsia="en-US"/>
        </w:rPr>
        <w:t>a efecto de que previa búsqueda exhaustiva y razonable en los archivos de las unidades administrativas competentes, entregue a través del Sistema de Acceso a la Información Mexiquense (SAIMEX), en versión pública, lo siguiente:</w:t>
      </w:r>
    </w:p>
    <w:p w14:paraId="4E9DF184" w14:textId="77777777" w:rsidR="00412A97" w:rsidRPr="001570EC" w:rsidRDefault="00412A97" w:rsidP="006A42EE">
      <w:pPr>
        <w:spacing w:after="0" w:line="360" w:lineRule="auto"/>
        <w:ind w:right="-30"/>
        <w:textAlignment w:val="baseline"/>
        <w:rPr>
          <w:lang w:eastAsia="en-US"/>
        </w:rPr>
      </w:pPr>
    </w:p>
    <w:p w14:paraId="0A64D026" w14:textId="7DD4BCAD" w:rsidR="00644BC2" w:rsidRPr="00644BC2" w:rsidRDefault="00644BC2" w:rsidP="006A42EE">
      <w:pPr>
        <w:pStyle w:val="Prrafodelista"/>
        <w:numPr>
          <w:ilvl w:val="3"/>
          <w:numId w:val="33"/>
        </w:numPr>
        <w:spacing w:line="360" w:lineRule="auto"/>
        <w:ind w:left="567"/>
        <w:rPr>
          <w:rFonts w:cs="Tahoma"/>
          <w:bCs/>
          <w:iCs/>
          <w:lang w:eastAsia="en-US"/>
        </w:rPr>
      </w:pPr>
      <w:r w:rsidRPr="00644BC2">
        <w:rPr>
          <w:lang w:eastAsia="en-US"/>
        </w:rPr>
        <w:t>Los recibos de nómina de los servidores públicos</w:t>
      </w:r>
      <w:r w:rsidR="00D35AEE">
        <w:rPr>
          <w:lang w:eastAsia="en-US"/>
        </w:rPr>
        <w:t xml:space="preserve"> </w:t>
      </w:r>
      <w:r w:rsidR="006A42EE">
        <w:rPr>
          <w:lang w:eastAsia="en-US"/>
        </w:rPr>
        <w:t xml:space="preserve">con mando superior del Ayuntamiento de Toluca, de </w:t>
      </w:r>
      <w:r w:rsidR="006A42EE" w:rsidRPr="00644BC2">
        <w:rPr>
          <w:lang w:eastAsia="en-US"/>
        </w:rPr>
        <w:t>la</w:t>
      </w:r>
      <w:r w:rsidRPr="00644BC2">
        <w:rPr>
          <w:lang w:eastAsia="en-US"/>
        </w:rPr>
        <w:t xml:space="preserve"> segunda quincena de marzo de dos mil veinticinco.</w:t>
      </w:r>
    </w:p>
    <w:p w14:paraId="70DDAF73" w14:textId="77777777" w:rsidR="00644BC2" w:rsidRDefault="00644BC2" w:rsidP="006A42EE">
      <w:pPr>
        <w:pStyle w:val="Prrafodelista"/>
        <w:spacing w:line="360" w:lineRule="auto"/>
        <w:ind w:left="567"/>
        <w:rPr>
          <w:lang w:eastAsia="en-US"/>
        </w:rPr>
      </w:pPr>
    </w:p>
    <w:p w14:paraId="5E06AB93" w14:textId="5891EA7D" w:rsidR="00412A97" w:rsidRPr="00644BC2" w:rsidRDefault="00412A97" w:rsidP="006A42EE">
      <w:pPr>
        <w:pStyle w:val="Prrafodelista"/>
        <w:spacing w:line="360" w:lineRule="auto"/>
        <w:ind w:left="0"/>
        <w:rPr>
          <w:rFonts w:cs="Tahoma"/>
          <w:bCs/>
          <w:iCs/>
          <w:lang w:eastAsia="en-US"/>
        </w:rPr>
      </w:pPr>
      <w:r w:rsidRPr="00644BC2">
        <w:rPr>
          <w:rFonts w:cs="Tahoma"/>
          <w:bCs/>
          <w:iCs/>
          <w:lang w:eastAsia="en-US"/>
        </w:rPr>
        <w:t>Además, deberá proporcionar el Acuerdo de Clasificación donde el Comité de Transparencia, confirme la eliminación de los datos confidenciales en la versión pública, de conformidad con los artículos 49, fracciones II y VIII, 132, fracción II, 143, fracción I, y 149 de la Ley de Transparencia y Acceso a la Información Pública del Estado de México y Municipios.</w:t>
      </w:r>
    </w:p>
    <w:p w14:paraId="40F1082F" w14:textId="77777777" w:rsidR="00412A97" w:rsidRDefault="00412A97" w:rsidP="006A42EE">
      <w:pPr>
        <w:spacing w:after="0" w:line="360" w:lineRule="auto"/>
        <w:rPr>
          <w:rFonts w:cs="Tahoma"/>
          <w:bCs/>
          <w:iCs/>
          <w:lang w:eastAsia="en-US"/>
        </w:rPr>
      </w:pPr>
    </w:p>
    <w:p w14:paraId="79D3CE7C" w14:textId="77777777" w:rsidR="00412A97" w:rsidRPr="001570EC" w:rsidRDefault="00412A97" w:rsidP="006A42EE">
      <w:pPr>
        <w:spacing w:after="0" w:line="360" w:lineRule="auto"/>
        <w:ind w:right="-28"/>
        <w:rPr>
          <w:b/>
        </w:rPr>
      </w:pPr>
      <w:r>
        <w:rPr>
          <w:b/>
        </w:rPr>
        <w:t>TERCERO. NOTIFÍQUESE VÍA</w:t>
      </w:r>
      <w:r w:rsidRPr="001570EC">
        <w:rPr>
          <w:b/>
        </w:rPr>
        <w:t xml:space="preserve"> SAIMEX </w:t>
      </w:r>
      <w:r w:rsidRPr="001570EC">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DA55BF7" w14:textId="77777777" w:rsidR="00412A97" w:rsidRPr="001570EC" w:rsidRDefault="00412A97" w:rsidP="006A42EE">
      <w:pPr>
        <w:spacing w:after="0" w:line="360" w:lineRule="auto"/>
        <w:ind w:right="-28"/>
        <w:rPr>
          <w:color w:val="000000"/>
        </w:rPr>
      </w:pPr>
    </w:p>
    <w:p w14:paraId="5BC5E261" w14:textId="77777777" w:rsidR="00412A97" w:rsidRPr="001570EC" w:rsidRDefault="00412A97" w:rsidP="006A42EE">
      <w:pPr>
        <w:spacing w:after="0" w:line="360" w:lineRule="auto"/>
        <w:rPr>
          <w:color w:val="000000"/>
        </w:rPr>
      </w:pPr>
      <w:r w:rsidRPr="001570EC">
        <w:rPr>
          <w:color w:val="000000"/>
        </w:rPr>
        <w:t>De conformidad con el artículo 198 de la Ley referida, de considerarlo procedente, el Sujeto Obligado de manera fundada y motivada, podrá solicitar una ampliación de plazo para el cumplimiento de la presente resolución.</w:t>
      </w:r>
    </w:p>
    <w:p w14:paraId="518A804C" w14:textId="77777777" w:rsidR="00412A97" w:rsidRPr="001570EC" w:rsidRDefault="00412A97" w:rsidP="006A42EE">
      <w:pPr>
        <w:spacing w:after="0" w:line="360" w:lineRule="auto"/>
        <w:rPr>
          <w:color w:val="000000"/>
        </w:rPr>
      </w:pPr>
    </w:p>
    <w:p w14:paraId="4968D460" w14:textId="77777777" w:rsidR="00412A97" w:rsidRPr="001570EC" w:rsidRDefault="00412A97" w:rsidP="006A42EE">
      <w:pPr>
        <w:spacing w:after="0" w:line="360" w:lineRule="auto"/>
        <w:ind w:right="-93"/>
        <w:rPr>
          <w:rFonts w:cs="Tahoma"/>
          <w:lang w:eastAsia="en-US"/>
        </w:rPr>
      </w:pPr>
      <w:r w:rsidRPr="001570EC">
        <w:rPr>
          <w:b/>
          <w:bCs/>
          <w:color w:val="000000"/>
          <w:lang w:eastAsia="en-US"/>
        </w:rPr>
        <w:t xml:space="preserve">CUARTO. </w:t>
      </w:r>
      <w:r>
        <w:rPr>
          <w:b/>
        </w:rPr>
        <w:t>NOTIFÍQUESE VÍA</w:t>
      </w:r>
      <w:r w:rsidRPr="001570EC">
        <w:rPr>
          <w:b/>
        </w:rPr>
        <w:t xml:space="preserve"> SAIMEX</w:t>
      </w:r>
      <w:r w:rsidRPr="001570EC">
        <w:rPr>
          <w:color w:val="000000"/>
          <w:lang w:eastAsia="en-US"/>
        </w:rPr>
        <w:t xml:space="preserve"> a la </w:t>
      </w:r>
      <w:r>
        <w:rPr>
          <w:color w:val="000000"/>
          <w:lang w:eastAsia="en-US"/>
        </w:rPr>
        <w:t xml:space="preserve"> </w:t>
      </w:r>
      <w:r w:rsidRPr="001570EC">
        <w:rPr>
          <w:color w:val="000000"/>
          <w:lang w:eastAsia="en-US"/>
        </w:rPr>
        <w:t>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5A84EE0" w14:textId="77777777" w:rsidR="00412A97" w:rsidRPr="001570EC" w:rsidRDefault="00412A97" w:rsidP="006A42EE">
      <w:pPr>
        <w:spacing w:after="0" w:line="360" w:lineRule="auto"/>
        <w:contextualSpacing/>
        <w:rPr>
          <w:rFonts w:eastAsiaTheme="minorHAnsi" w:cstheme="minorBidi"/>
          <w:lang w:eastAsia="en-US"/>
        </w:rPr>
      </w:pPr>
    </w:p>
    <w:p w14:paraId="34E6C5B6" w14:textId="5A2B145D" w:rsidR="00412A97" w:rsidRDefault="00412A97" w:rsidP="006A42EE">
      <w:pPr>
        <w:spacing w:after="0" w:line="360" w:lineRule="auto"/>
        <w:contextualSpacing/>
        <w:rPr>
          <w:rFonts w:eastAsia="Calibri" w:cstheme="minorBidi"/>
          <w:lang w:eastAsia="en-US"/>
        </w:rPr>
      </w:pPr>
      <w:r w:rsidRPr="001570EC">
        <w:rPr>
          <w:rFonts w:eastAsia="Calibri" w:cstheme="minorBidi"/>
          <w:lang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44BC2">
        <w:rPr>
          <w:rFonts w:eastAsia="Calibri" w:cstheme="minorBidi"/>
          <w:lang w:eastAsia="en-US"/>
        </w:rPr>
        <w:t>TRIGÉSIMA SEXTA</w:t>
      </w:r>
      <w:r w:rsidRPr="001570EC">
        <w:rPr>
          <w:rFonts w:eastAsia="Calibri" w:cstheme="minorBidi"/>
          <w:lang w:eastAsia="en-US"/>
        </w:rPr>
        <w:t xml:space="preserve"> SESIÓN ORDINARIA, CELEBRADA </w:t>
      </w:r>
      <w:r w:rsidR="00644BC2" w:rsidRPr="001570EC">
        <w:rPr>
          <w:rFonts w:eastAsia="Calibri" w:cstheme="minorBidi"/>
          <w:lang w:eastAsia="en-US"/>
        </w:rPr>
        <w:t xml:space="preserve">EL </w:t>
      </w:r>
      <w:r w:rsidR="00644BC2">
        <w:rPr>
          <w:rFonts w:eastAsia="Calibri" w:cstheme="minorBidi"/>
          <w:lang w:eastAsia="en-US"/>
        </w:rPr>
        <w:t xml:space="preserve">OCHO DE OCTUBRE </w:t>
      </w:r>
      <w:r w:rsidR="00644BC2" w:rsidRPr="001570EC">
        <w:rPr>
          <w:rFonts w:eastAsia="Calibri" w:cstheme="minorBidi"/>
          <w:lang w:eastAsia="en-US"/>
        </w:rPr>
        <w:t xml:space="preserve">DE DOS MIL </w:t>
      </w:r>
      <w:r w:rsidRPr="001570EC">
        <w:rPr>
          <w:rFonts w:eastAsia="Calibri" w:cstheme="minorBidi"/>
          <w:lang w:eastAsia="en-US"/>
        </w:rPr>
        <w:t>VEINTICINCO, ANTE EL SECRETARIO TÉCNICO DEL PLENO, ALEXIS TAPIA RAMÍREZ.</w:t>
      </w:r>
    </w:p>
    <w:p w14:paraId="41B92168" w14:textId="77777777" w:rsidR="00644BC2" w:rsidRDefault="00644BC2" w:rsidP="006A42EE">
      <w:pPr>
        <w:spacing w:after="0" w:line="360" w:lineRule="auto"/>
        <w:contextualSpacing/>
        <w:rPr>
          <w:rFonts w:eastAsia="Calibri" w:cstheme="minorBidi"/>
          <w:lang w:eastAsia="en-US"/>
        </w:rPr>
      </w:pPr>
    </w:p>
    <w:p w14:paraId="764362A7" w14:textId="77777777" w:rsidR="00644BC2" w:rsidRDefault="00644BC2" w:rsidP="006A42EE">
      <w:pPr>
        <w:spacing w:after="0" w:line="360" w:lineRule="auto"/>
        <w:contextualSpacing/>
        <w:rPr>
          <w:rFonts w:eastAsia="Calibri" w:cstheme="minorBidi"/>
          <w:lang w:eastAsia="en-US"/>
        </w:rPr>
      </w:pPr>
    </w:p>
    <w:p w14:paraId="122C92A3" w14:textId="77777777" w:rsidR="00644BC2" w:rsidRDefault="00644BC2" w:rsidP="006A42EE">
      <w:pPr>
        <w:spacing w:after="0" w:line="360" w:lineRule="auto"/>
        <w:contextualSpacing/>
        <w:rPr>
          <w:rFonts w:eastAsia="Calibri" w:cstheme="minorBidi"/>
          <w:lang w:eastAsia="en-US"/>
        </w:rPr>
      </w:pPr>
    </w:p>
    <w:p w14:paraId="53023554" w14:textId="77777777" w:rsidR="00644BC2" w:rsidRDefault="00644BC2" w:rsidP="006A42EE">
      <w:pPr>
        <w:spacing w:after="0" w:line="360" w:lineRule="auto"/>
        <w:contextualSpacing/>
        <w:rPr>
          <w:rFonts w:eastAsia="Calibri" w:cstheme="minorBidi"/>
          <w:lang w:eastAsia="en-US"/>
        </w:rPr>
      </w:pPr>
    </w:p>
    <w:p w14:paraId="16C4C79C" w14:textId="77777777" w:rsidR="00644BC2" w:rsidRDefault="00644BC2" w:rsidP="006A42EE">
      <w:pPr>
        <w:spacing w:after="0" w:line="360" w:lineRule="auto"/>
        <w:contextualSpacing/>
        <w:rPr>
          <w:rFonts w:eastAsia="Calibri" w:cstheme="minorBidi"/>
          <w:lang w:eastAsia="en-US"/>
        </w:rPr>
      </w:pPr>
    </w:p>
    <w:p w14:paraId="162A7B53" w14:textId="77777777" w:rsidR="00644BC2" w:rsidRDefault="00644BC2" w:rsidP="006A42EE">
      <w:pPr>
        <w:spacing w:after="0" w:line="360" w:lineRule="auto"/>
        <w:contextualSpacing/>
        <w:rPr>
          <w:rFonts w:eastAsia="Calibri" w:cstheme="minorBidi"/>
          <w:lang w:eastAsia="en-US"/>
        </w:rPr>
      </w:pPr>
    </w:p>
    <w:p w14:paraId="76C9D5D9" w14:textId="77777777" w:rsidR="00644BC2" w:rsidRDefault="00644BC2" w:rsidP="006A42EE">
      <w:pPr>
        <w:spacing w:after="0" w:line="360" w:lineRule="auto"/>
        <w:contextualSpacing/>
        <w:rPr>
          <w:rFonts w:eastAsia="Calibri" w:cstheme="minorBidi"/>
          <w:lang w:eastAsia="en-US"/>
        </w:rPr>
      </w:pPr>
    </w:p>
    <w:p w14:paraId="381DD69A" w14:textId="77777777" w:rsidR="00644BC2" w:rsidRDefault="00644BC2" w:rsidP="006A42EE">
      <w:pPr>
        <w:spacing w:after="0" w:line="360" w:lineRule="auto"/>
        <w:contextualSpacing/>
        <w:rPr>
          <w:rFonts w:eastAsia="Calibri" w:cstheme="minorBidi"/>
          <w:lang w:eastAsia="en-US"/>
        </w:rPr>
      </w:pPr>
    </w:p>
    <w:p w14:paraId="6BBE93A8" w14:textId="77777777" w:rsidR="00644BC2" w:rsidRDefault="00644BC2" w:rsidP="006A42EE">
      <w:pPr>
        <w:spacing w:after="0" w:line="360" w:lineRule="auto"/>
        <w:contextualSpacing/>
        <w:rPr>
          <w:rFonts w:eastAsia="Calibri" w:cstheme="minorBidi"/>
          <w:lang w:eastAsia="en-US"/>
        </w:rPr>
      </w:pPr>
    </w:p>
    <w:p w14:paraId="09337957" w14:textId="77777777" w:rsidR="00644BC2" w:rsidRDefault="00644BC2" w:rsidP="006A42EE">
      <w:pPr>
        <w:spacing w:after="0" w:line="360" w:lineRule="auto"/>
        <w:contextualSpacing/>
        <w:rPr>
          <w:rFonts w:eastAsia="Calibri" w:cstheme="minorBidi"/>
          <w:lang w:eastAsia="en-US"/>
        </w:rPr>
      </w:pPr>
    </w:p>
    <w:p w14:paraId="16C2A1E6" w14:textId="77777777" w:rsidR="00644BC2" w:rsidRDefault="00644BC2" w:rsidP="006A42EE">
      <w:pPr>
        <w:spacing w:after="0" w:line="360" w:lineRule="auto"/>
        <w:contextualSpacing/>
        <w:rPr>
          <w:rFonts w:eastAsia="Calibri" w:cstheme="minorBidi"/>
          <w:lang w:eastAsia="en-US"/>
        </w:rPr>
      </w:pPr>
    </w:p>
    <w:p w14:paraId="43C9BD3C" w14:textId="77777777" w:rsidR="00644BC2" w:rsidRDefault="00644BC2" w:rsidP="006A42EE">
      <w:pPr>
        <w:spacing w:after="0" w:line="360" w:lineRule="auto"/>
        <w:contextualSpacing/>
        <w:rPr>
          <w:rFonts w:eastAsia="Calibri" w:cstheme="minorBidi"/>
          <w:lang w:eastAsia="en-US"/>
        </w:rPr>
      </w:pPr>
    </w:p>
    <w:p w14:paraId="2D6D87FB" w14:textId="77777777" w:rsidR="00644BC2" w:rsidRDefault="00644BC2" w:rsidP="006A42EE">
      <w:pPr>
        <w:spacing w:after="0" w:line="360" w:lineRule="auto"/>
        <w:contextualSpacing/>
        <w:rPr>
          <w:rFonts w:eastAsia="Calibri" w:cstheme="minorBidi"/>
          <w:lang w:eastAsia="en-US"/>
        </w:rPr>
      </w:pPr>
    </w:p>
    <w:p w14:paraId="5E067236" w14:textId="77777777" w:rsidR="00644BC2" w:rsidRDefault="00644BC2" w:rsidP="006A42EE">
      <w:pPr>
        <w:spacing w:after="0" w:line="360" w:lineRule="auto"/>
        <w:contextualSpacing/>
        <w:rPr>
          <w:rFonts w:eastAsia="Calibri" w:cstheme="minorBidi"/>
          <w:lang w:eastAsia="en-US"/>
        </w:rPr>
      </w:pPr>
    </w:p>
    <w:p w14:paraId="38586D24" w14:textId="77777777" w:rsidR="00644BC2" w:rsidRDefault="00644BC2" w:rsidP="006A42EE">
      <w:pPr>
        <w:spacing w:after="0" w:line="360" w:lineRule="auto"/>
        <w:contextualSpacing/>
        <w:rPr>
          <w:rFonts w:eastAsia="Calibri" w:cstheme="minorBidi"/>
          <w:lang w:eastAsia="en-US"/>
        </w:rPr>
      </w:pPr>
    </w:p>
    <w:p w14:paraId="335FCAA8" w14:textId="77777777" w:rsidR="00644BC2" w:rsidRDefault="00644BC2" w:rsidP="006A42EE">
      <w:pPr>
        <w:spacing w:after="0" w:line="360" w:lineRule="auto"/>
        <w:contextualSpacing/>
        <w:rPr>
          <w:rFonts w:eastAsia="Calibri" w:cstheme="minorBidi"/>
          <w:lang w:eastAsia="en-US"/>
        </w:rPr>
      </w:pPr>
    </w:p>
    <w:p w14:paraId="1741A45B" w14:textId="77777777" w:rsidR="00D43425" w:rsidRPr="001570EC" w:rsidRDefault="00D43425" w:rsidP="006A42EE">
      <w:pPr>
        <w:spacing w:after="0" w:line="360" w:lineRule="auto"/>
        <w:contextualSpacing/>
        <w:rPr>
          <w:rFonts w:eastAsia="Calibri" w:cstheme="minorBidi"/>
          <w:lang w:eastAsia="en-US"/>
        </w:rPr>
      </w:pPr>
    </w:p>
    <w:sectPr w:rsidR="00D43425" w:rsidRPr="001570EC" w:rsidSect="00CE4466">
      <w:headerReference w:type="even" r:id="rId13"/>
      <w:headerReference w:type="default" r:id="rId14"/>
      <w:footerReference w:type="even" r:id="rId15"/>
      <w:footerReference w:type="default" r:id="rId16"/>
      <w:headerReference w:type="first" r:id="rId17"/>
      <w:footerReference w:type="first" r:id="rId18"/>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7041" w14:textId="77777777" w:rsidR="002B10A2" w:rsidRDefault="002B10A2">
      <w:pPr>
        <w:spacing w:after="0" w:line="240" w:lineRule="auto"/>
      </w:pPr>
      <w:r>
        <w:separator/>
      </w:r>
    </w:p>
  </w:endnote>
  <w:endnote w:type="continuationSeparator" w:id="0">
    <w:p w14:paraId="550FAE00" w14:textId="77777777" w:rsidR="002B10A2" w:rsidRDefault="002B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end"/>
    </w:r>
  </w:p>
  <w:p w14:paraId="547C391C"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60734">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60734">
      <w:rPr>
        <w:b/>
        <w:noProof/>
        <w:color w:val="000000"/>
        <w:sz w:val="24"/>
        <w:szCs w:val="24"/>
      </w:rPr>
      <w:t>33</w:t>
    </w:r>
    <w:r>
      <w:rPr>
        <w:b/>
        <w:color w:val="000000"/>
        <w:sz w:val="24"/>
        <w:szCs w:val="24"/>
      </w:rPr>
      <w:fldChar w:fldCharType="end"/>
    </w:r>
  </w:p>
  <w:p w14:paraId="021EE9EB"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460E12" w:rsidRDefault="00460E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6073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60734">
      <w:rPr>
        <w:b/>
        <w:noProof/>
        <w:color w:val="000000"/>
        <w:sz w:val="24"/>
        <w:szCs w:val="24"/>
      </w:rPr>
      <w:t>33</w:t>
    </w:r>
    <w:r>
      <w:rPr>
        <w:b/>
        <w:color w:val="000000"/>
        <w:sz w:val="24"/>
        <w:szCs w:val="24"/>
      </w:rPr>
      <w:fldChar w:fldCharType="end"/>
    </w:r>
  </w:p>
  <w:p w14:paraId="23D55011" w14:textId="77777777" w:rsidR="00460E12" w:rsidRDefault="00460E1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3572B" w14:textId="77777777" w:rsidR="002B10A2" w:rsidRDefault="002B10A2">
      <w:pPr>
        <w:spacing w:after="0" w:line="240" w:lineRule="auto"/>
      </w:pPr>
      <w:r>
        <w:separator/>
      </w:r>
    </w:p>
  </w:footnote>
  <w:footnote w:type="continuationSeparator" w:id="0">
    <w:p w14:paraId="4ACF617A" w14:textId="77777777" w:rsidR="002B10A2" w:rsidRDefault="002B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460E12" w:rsidRDefault="00460E12">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460E12" w14:paraId="4913F089" w14:textId="77777777">
      <w:trPr>
        <w:trHeight w:val="141"/>
      </w:trPr>
      <w:tc>
        <w:tcPr>
          <w:tcW w:w="2404" w:type="dxa"/>
        </w:tcPr>
        <w:p w14:paraId="1D800919" w14:textId="77777777" w:rsidR="00460E12" w:rsidRDefault="00460E12">
          <w:pPr>
            <w:tabs>
              <w:tab w:val="right" w:pos="8838"/>
            </w:tabs>
            <w:ind w:right="-105"/>
            <w:rPr>
              <w:b/>
            </w:rPr>
          </w:pPr>
          <w:r>
            <w:rPr>
              <w:b/>
            </w:rPr>
            <w:t>Recurso de Revisión:</w:t>
          </w:r>
        </w:p>
      </w:tc>
      <w:tc>
        <w:tcPr>
          <w:tcW w:w="3587" w:type="dxa"/>
        </w:tcPr>
        <w:p w14:paraId="53E9BD67" w14:textId="77777777" w:rsidR="00460E12" w:rsidRDefault="00460E12">
          <w:pPr>
            <w:tabs>
              <w:tab w:val="right" w:pos="8838"/>
            </w:tabs>
            <w:ind w:left="-28" w:right="683"/>
          </w:pPr>
          <w:r>
            <w:t>04196/INFOEM/IP/RR/2020</w:t>
          </w:r>
        </w:p>
      </w:tc>
    </w:tr>
    <w:tr w:rsidR="00460E12" w14:paraId="515F523A" w14:textId="77777777">
      <w:trPr>
        <w:trHeight w:val="276"/>
      </w:trPr>
      <w:tc>
        <w:tcPr>
          <w:tcW w:w="2404" w:type="dxa"/>
        </w:tcPr>
        <w:p w14:paraId="1CFF82A0" w14:textId="77777777" w:rsidR="00460E12" w:rsidRDefault="00460E12">
          <w:pPr>
            <w:tabs>
              <w:tab w:val="right" w:pos="8838"/>
            </w:tabs>
            <w:ind w:right="-105"/>
            <w:rPr>
              <w:b/>
            </w:rPr>
          </w:pPr>
          <w:r>
            <w:rPr>
              <w:b/>
            </w:rPr>
            <w:t>Sujeto Obligado:</w:t>
          </w:r>
        </w:p>
      </w:tc>
      <w:tc>
        <w:tcPr>
          <w:tcW w:w="3587" w:type="dxa"/>
        </w:tcPr>
        <w:p w14:paraId="1142F936" w14:textId="77777777" w:rsidR="00460E12" w:rsidRDefault="00460E12">
          <w:pPr>
            <w:tabs>
              <w:tab w:val="right" w:pos="8838"/>
            </w:tabs>
            <w:ind w:right="116"/>
          </w:pPr>
          <w:r>
            <w:t>Ayuntamiento de Chapultepec</w:t>
          </w:r>
        </w:p>
      </w:tc>
    </w:tr>
    <w:tr w:rsidR="00460E12" w14:paraId="69080D23" w14:textId="77777777">
      <w:trPr>
        <w:trHeight w:val="276"/>
      </w:trPr>
      <w:tc>
        <w:tcPr>
          <w:tcW w:w="2404" w:type="dxa"/>
        </w:tcPr>
        <w:p w14:paraId="50E24B18" w14:textId="77777777" w:rsidR="00460E12" w:rsidRDefault="00460E12">
          <w:pPr>
            <w:tabs>
              <w:tab w:val="right" w:pos="8838"/>
            </w:tabs>
            <w:ind w:right="-105"/>
            <w:rPr>
              <w:b/>
            </w:rPr>
          </w:pPr>
          <w:r>
            <w:rPr>
              <w:b/>
            </w:rPr>
            <w:t>Comisionado Ponente:</w:t>
          </w:r>
        </w:p>
      </w:tc>
      <w:tc>
        <w:tcPr>
          <w:tcW w:w="3587" w:type="dxa"/>
        </w:tcPr>
        <w:p w14:paraId="1467B143" w14:textId="77777777" w:rsidR="00460E12" w:rsidRDefault="00460E12">
          <w:pPr>
            <w:tabs>
              <w:tab w:val="right" w:pos="8838"/>
            </w:tabs>
            <w:ind w:right="-32"/>
          </w:pPr>
          <w:r>
            <w:t>Luis Gustavo Parra Noriega</w:t>
          </w:r>
        </w:p>
      </w:tc>
    </w:tr>
  </w:tbl>
  <w:p w14:paraId="74ECE196" w14:textId="77777777" w:rsidR="00460E12" w:rsidRDefault="00737F3D">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507B7709" w:rsidR="00460E12" w:rsidRDefault="00737F3D">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left:0;text-align:left;margin-left:-87.25pt;margin-top:-124.05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460E12" w14:paraId="087E2B73" w14:textId="77777777" w:rsidTr="00761BC2">
      <w:trPr>
        <w:trHeight w:val="141"/>
      </w:trPr>
      <w:tc>
        <w:tcPr>
          <w:tcW w:w="2404" w:type="dxa"/>
        </w:tcPr>
        <w:p w14:paraId="44594EC4" w14:textId="77777777" w:rsidR="00460E12" w:rsidRDefault="00460E12">
          <w:pPr>
            <w:tabs>
              <w:tab w:val="right" w:pos="8838"/>
            </w:tabs>
            <w:ind w:left="-395" w:right="-105" w:firstLine="395"/>
            <w:rPr>
              <w:b/>
            </w:rPr>
          </w:pPr>
          <w:r>
            <w:rPr>
              <w:b/>
            </w:rPr>
            <w:t>Recurso de Revisión:</w:t>
          </w:r>
        </w:p>
      </w:tc>
      <w:tc>
        <w:tcPr>
          <w:tcW w:w="4684" w:type="dxa"/>
        </w:tcPr>
        <w:p w14:paraId="312F8E98" w14:textId="1F06787E" w:rsidR="00460E12" w:rsidRDefault="00460E12" w:rsidP="00672439">
          <w:pPr>
            <w:tabs>
              <w:tab w:val="right" w:pos="8838"/>
            </w:tabs>
            <w:ind w:left="-28" w:right="454"/>
          </w:pPr>
          <w:r>
            <w:t>05831/INFOEM/IP/RR/2025</w:t>
          </w:r>
        </w:p>
      </w:tc>
    </w:tr>
    <w:tr w:rsidR="00460E12" w14:paraId="31D07777" w14:textId="77777777" w:rsidTr="00761BC2">
      <w:trPr>
        <w:trHeight w:val="276"/>
      </w:trPr>
      <w:tc>
        <w:tcPr>
          <w:tcW w:w="2404" w:type="dxa"/>
        </w:tcPr>
        <w:p w14:paraId="6B55802A" w14:textId="77777777" w:rsidR="00460E12" w:rsidRDefault="00460E12">
          <w:pPr>
            <w:tabs>
              <w:tab w:val="right" w:pos="8838"/>
            </w:tabs>
            <w:ind w:right="-105"/>
            <w:rPr>
              <w:b/>
            </w:rPr>
          </w:pPr>
          <w:r>
            <w:rPr>
              <w:b/>
            </w:rPr>
            <w:t>Sujeto Obligado:</w:t>
          </w:r>
        </w:p>
      </w:tc>
      <w:tc>
        <w:tcPr>
          <w:tcW w:w="4684" w:type="dxa"/>
        </w:tcPr>
        <w:p w14:paraId="4A22BD99" w14:textId="43C43D3A" w:rsidR="00460E12" w:rsidRDefault="00460E12" w:rsidP="00761BC2">
          <w:pPr>
            <w:tabs>
              <w:tab w:val="left" w:pos="3158"/>
              <w:tab w:val="left" w:pos="4292"/>
              <w:tab w:val="right" w:pos="8838"/>
            </w:tabs>
            <w:ind w:right="601"/>
            <w:jc w:val="left"/>
          </w:pPr>
          <w:r w:rsidRPr="008F69E8">
            <w:t>Ayuntamiento de Toluca</w:t>
          </w:r>
        </w:p>
      </w:tc>
    </w:tr>
    <w:tr w:rsidR="00460E12" w14:paraId="161D40C6" w14:textId="77777777" w:rsidTr="00761BC2">
      <w:trPr>
        <w:trHeight w:val="276"/>
      </w:trPr>
      <w:tc>
        <w:tcPr>
          <w:tcW w:w="2404" w:type="dxa"/>
        </w:tcPr>
        <w:p w14:paraId="2583E4C0" w14:textId="77777777" w:rsidR="00460E12" w:rsidRDefault="00460E12">
          <w:pPr>
            <w:tabs>
              <w:tab w:val="right" w:pos="8838"/>
            </w:tabs>
            <w:ind w:right="-105"/>
            <w:rPr>
              <w:b/>
            </w:rPr>
          </w:pPr>
          <w:r>
            <w:rPr>
              <w:b/>
            </w:rPr>
            <w:t>Comisionado Ponente:</w:t>
          </w:r>
        </w:p>
      </w:tc>
      <w:tc>
        <w:tcPr>
          <w:tcW w:w="4684" w:type="dxa"/>
        </w:tcPr>
        <w:p w14:paraId="4FEB6F64" w14:textId="77777777" w:rsidR="00460E12" w:rsidRDefault="00460E12">
          <w:pPr>
            <w:tabs>
              <w:tab w:val="right" w:pos="8838"/>
            </w:tabs>
            <w:ind w:right="454"/>
          </w:pPr>
          <w:r>
            <w:t>Luis Gustavo Parra Noriega</w:t>
          </w:r>
        </w:p>
      </w:tc>
    </w:tr>
  </w:tbl>
  <w:p w14:paraId="7B4A9F8D" w14:textId="1CE32126"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0D355" w14:textId="2B66174C" w:rsidR="00460E12" w:rsidRDefault="00460E12">
    <w:pPr>
      <w:widowControl w:val="0"/>
      <w:pBdr>
        <w:top w:val="nil"/>
        <w:left w:val="nil"/>
        <w:bottom w:val="nil"/>
        <w:right w:val="nil"/>
        <w:between w:val="nil"/>
      </w:pBdr>
      <w:spacing w:after="0" w:line="276" w:lineRule="auto"/>
      <w:jc w:val="left"/>
      <w:rPr>
        <w:color w:val="000000"/>
      </w:rPr>
    </w:pPr>
  </w:p>
  <w:tbl>
    <w:tblPr>
      <w:tblStyle w:val="a1"/>
      <w:tblW w:w="9214" w:type="dxa"/>
      <w:tblInd w:w="0" w:type="dxa"/>
      <w:tblLayout w:type="fixed"/>
      <w:tblLook w:val="0400" w:firstRow="0" w:lastRow="0" w:firstColumn="0" w:lastColumn="0" w:noHBand="0" w:noVBand="1"/>
    </w:tblPr>
    <w:tblGrid>
      <w:gridCol w:w="2127"/>
      <w:gridCol w:w="7087"/>
    </w:tblGrid>
    <w:tr w:rsidR="00460E12" w14:paraId="11A312BD" w14:textId="77777777" w:rsidTr="00CE4466">
      <w:trPr>
        <w:trHeight w:val="1546"/>
      </w:trPr>
      <w:tc>
        <w:tcPr>
          <w:tcW w:w="2127" w:type="dxa"/>
        </w:tcPr>
        <w:p w14:paraId="02785A7F" w14:textId="77777777" w:rsidR="00460E12" w:rsidRDefault="00460E12">
          <w:pPr>
            <w:tabs>
              <w:tab w:val="right" w:pos="4273"/>
            </w:tabs>
            <w:rPr>
              <w:rFonts w:ascii="Garamond" w:eastAsia="Garamond" w:hAnsi="Garamond" w:cs="Garamond"/>
              <w:sz w:val="16"/>
              <w:szCs w:val="16"/>
            </w:rPr>
          </w:pPr>
        </w:p>
      </w:tc>
      <w:tc>
        <w:tcPr>
          <w:tcW w:w="7087" w:type="dxa"/>
        </w:tcPr>
        <w:p w14:paraId="5E345BDA" w14:textId="77777777" w:rsidR="00460E12" w:rsidRDefault="00460E12">
          <w:pPr>
            <w:rPr>
              <w:sz w:val="10"/>
              <w:szCs w:val="10"/>
            </w:rPr>
          </w:pPr>
        </w:p>
        <w:tbl>
          <w:tblPr>
            <w:tblStyle w:val="a2"/>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460E12" w14:paraId="4D093FE8" w14:textId="77777777">
            <w:trPr>
              <w:trHeight w:val="141"/>
            </w:trPr>
            <w:tc>
              <w:tcPr>
                <w:tcW w:w="2404" w:type="dxa"/>
                <w:vAlign w:val="bottom"/>
              </w:tcPr>
              <w:p w14:paraId="19B4B05D" w14:textId="77777777" w:rsidR="00460E12" w:rsidRDefault="00460E12">
                <w:pPr>
                  <w:tabs>
                    <w:tab w:val="right" w:pos="8838"/>
                  </w:tabs>
                  <w:ind w:right="-105"/>
                  <w:rPr>
                    <w:b/>
                  </w:rPr>
                </w:pPr>
                <w:r>
                  <w:rPr>
                    <w:b/>
                  </w:rPr>
                  <w:t>Recurso de Revisión:</w:t>
                </w:r>
              </w:p>
            </w:tc>
            <w:tc>
              <w:tcPr>
                <w:tcW w:w="3975" w:type="dxa"/>
              </w:tcPr>
              <w:p w14:paraId="43DE950F" w14:textId="49243DA9" w:rsidR="00460E12" w:rsidRDefault="009743AC">
                <w:pPr>
                  <w:tabs>
                    <w:tab w:val="right" w:pos="8838"/>
                  </w:tabs>
                  <w:ind w:left="-28" w:right="-107"/>
                </w:pPr>
                <w:r>
                  <w:t>05831</w:t>
                </w:r>
                <w:r w:rsidR="00460E12">
                  <w:t>/INFOEM/IP/RR/2025</w:t>
                </w:r>
              </w:p>
            </w:tc>
          </w:tr>
          <w:tr w:rsidR="00460E12" w14:paraId="073EAE42" w14:textId="77777777">
            <w:trPr>
              <w:trHeight w:val="141"/>
            </w:trPr>
            <w:tc>
              <w:tcPr>
                <w:tcW w:w="2404" w:type="dxa"/>
              </w:tcPr>
              <w:p w14:paraId="76E590DA" w14:textId="77777777" w:rsidR="00460E12" w:rsidRDefault="00460E12">
                <w:pPr>
                  <w:tabs>
                    <w:tab w:val="right" w:pos="8838"/>
                  </w:tabs>
                  <w:ind w:right="-105"/>
                  <w:rPr>
                    <w:b/>
                  </w:rPr>
                </w:pPr>
                <w:r>
                  <w:rPr>
                    <w:b/>
                  </w:rPr>
                  <w:t>Recurrente:</w:t>
                </w:r>
              </w:p>
            </w:tc>
            <w:tc>
              <w:tcPr>
                <w:tcW w:w="3975" w:type="dxa"/>
              </w:tcPr>
              <w:p w14:paraId="5FF2F8C6" w14:textId="28986C90" w:rsidR="00460E12" w:rsidRDefault="00460E12">
                <w:pPr>
                  <w:tabs>
                    <w:tab w:val="right" w:pos="8838"/>
                  </w:tabs>
                  <w:ind w:right="-107"/>
                </w:pPr>
              </w:p>
            </w:tc>
          </w:tr>
          <w:tr w:rsidR="00460E12" w14:paraId="009C2510" w14:textId="77777777">
            <w:trPr>
              <w:trHeight w:val="276"/>
            </w:trPr>
            <w:tc>
              <w:tcPr>
                <w:tcW w:w="2404" w:type="dxa"/>
              </w:tcPr>
              <w:p w14:paraId="0AAFC3CA" w14:textId="77777777" w:rsidR="00460E12" w:rsidRDefault="00460E12">
                <w:pPr>
                  <w:tabs>
                    <w:tab w:val="right" w:pos="8838"/>
                  </w:tabs>
                  <w:ind w:right="-105"/>
                  <w:rPr>
                    <w:b/>
                  </w:rPr>
                </w:pPr>
                <w:r>
                  <w:rPr>
                    <w:b/>
                  </w:rPr>
                  <w:t>Sujeto Obligado:</w:t>
                </w:r>
              </w:p>
            </w:tc>
            <w:tc>
              <w:tcPr>
                <w:tcW w:w="3975" w:type="dxa"/>
              </w:tcPr>
              <w:p w14:paraId="13F6DD80" w14:textId="7615C5A3" w:rsidR="00460E12" w:rsidRDefault="00460E12" w:rsidP="001724BB">
                <w:pPr>
                  <w:tabs>
                    <w:tab w:val="right" w:pos="8838"/>
                  </w:tabs>
                  <w:ind w:right="33"/>
                </w:pPr>
                <w:r>
                  <w:t>Ayuntamiento de Toluca</w:t>
                </w:r>
              </w:p>
            </w:tc>
          </w:tr>
          <w:tr w:rsidR="00460E12" w14:paraId="7A4EADF6" w14:textId="77777777">
            <w:trPr>
              <w:trHeight w:val="276"/>
            </w:trPr>
            <w:tc>
              <w:tcPr>
                <w:tcW w:w="2404" w:type="dxa"/>
              </w:tcPr>
              <w:p w14:paraId="014674B7" w14:textId="77777777" w:rsidR="00460E12" w:rsidRDefault="00460E12">
                <w:pPr>
                  <w:tabs>
                    <w:tab w:val="right" w:pos="8838"/>
                  </w:tabs>
                  <w:ind w:right="-105"/>
                  <w:rPr>
                    <w:b/>
                  </w:rPr>
                </w:pPr>
                <w:r>
                  <w:rPr>
                    <w:b/>
                  </w:rPr>
                  <w:t>Comisionado Ponente:</w:t>
                </w:r>
              </w:p>
            </w:tc>
            <w:tc>
              <w:tcPr>
                <w:tcW w:w="3975" w:type="dxa"/>
              </w:tcPr>
              <w:p w14:paraId="06F82FCE" w14:textId="77777777" w:rsidR="00460E12" w:rsidRDefault="00460E12">
                <w:pPr>
                  <w:tabs>
                    <w:tab w:val="right" w:pos="8838"/>
                  </w:tabs>
                  <w:ind w:right="-107"/>
                </w:pPr>
                <w:r>
                  <w:t>Luis Gustavo Parra Noriega</w:t>
                </w:r>
              </w:p>
            </w:tc>
          </w:tr>
        </w:tbl>
        <w:p w14:paraId="3774A9CE" w14:textId="77777777" w:rsidR="00460E12" w:rsidRDefault="00460E12">
          <w:pPr>
            <w:tabs>
              <w:tab w:val="right" w:pos="8838"/>
            </w:tabs>
            <w:ind w:left="-28"/>
            <w:rPr>
              <w:rFonts w:ascii="Arial" w:eastAsia="Arial" w:hAnsi="Arial" w:cs="Arial"/>
              <w:b/>
            </w:rPr>
          </w:pPr>
        </w:p>
      </w:tc>
    </w:tr>
  </w:tbl>
  <w:p w14:paraId="38129A67" w14:textId="248B6D27" w:rsidR="00460E12" w:rsidRDefault="00460E1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CB6C09"/>
    <w:multiLevelType w:val="hybridMultilevel"/>
    <w:tmpl w:val="CDFA8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47BAF7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A130F"/>
    <w:multiLevelType w:val="hybridMultilevel"/>
    <w:tmpl w:val="E23CD3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8" w15:restartNumberingAfterBreak="0">
    <w:nsid w:val="42C5454B"/>
    <w:multiLevelType w:val="hybridMultilevel"/>
    <w:tmpl w:val="0B3EC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5F46A4"/>
    <w:multiLevelType w:val="hybridMultilevel"/>
    <w:tmpl w:val="C6A43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D1153E8"/>
    <w:multiLevelType w:val="hybridMultilevel"/>
    <w:tmpl w:val="53C872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43659594">
    <w:abstractNumId w:val="28"/>
  </w:num>
  <w:num w:numId="2" w16cid:durableId="3969034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2523332">
    <w:abstractNumId w:val="33"/>
  </w:num>
  <w:num w:numId="4" w16cid:durableId="1435714367">
    <w:abstractNumId w:val="4"/>
  </w:num>
  <w:num w:numId="5" w16cid:durableId="1126006777">
    <w:abstractNumId w:val="4"/>
  </w:num>
  <w:num w:numId="6" w16cid:durableId="849294437">
    <w:abstractNumId w:val="32"/>
  </w:num>
  <w:num w:numId="7" w16cid:durableId="1232736689">
    <w:abstractNumId w:val="5"/>
  </w:num>
  <w:num w:numId="8" w16cid:durableId="1324747867">
    <w:abstractNumId w:val="20"/>
  </w:num>
  <w:num w:numId="9" w16cid:durableId="679966302">
    <w:abstractNumId w:val="14"/>
  </w:num>
  <w:num w:numId="10" w16cid:durableId="349188551">
    <w:abstractNumId w:val="21"/>
  </w:num>
  <w:num w:numId="11" w16cid:durableId="1301113764">
    <w:abstractNumId w:val="17"/>
  </w:num>
  <w:num w:numId="12" w16cid:durableId="1299144197">
    <w:abstractNumId w:val="6"/>
  </w:num>
  <w:num w:numId="13" w16cid:durableId="783697848">
    <w:abstractNumId w:val="0"/>
  </w:num>
  <w:num w:numId="14" w16cid:durableId="1032145946">
    <w:abstractNumId w:val="11"/>
  </w:num>
  <w:num w:numId="15" w16cid:durableId="598563727">
    <w:abstractNumId w:val="12"/>
  </w:num>
  <w:num w:numId="16" w16cid:durableId="1953315640">
    <w:abstractNumId w:val="27"/>
  </w:num>
  <w:num w:numId="17" w16cid:durableId="1844929551">
    <w:abstractNumId w:val="26"/>
  </w:num>
  <w:num w:numId="18" w16cid:durableId="37820670">
    <w:abstractNumId w:val="8"/>
  </w:num>
  <w:num w:numId="19" w16cid:durableId="369696473">
    <w:abstractNumId w:val="16"/>
  </w:num>
  <w:num w:numId="20" w16cid:durableId="677464968">
    <w:abstractNumId w:val="25"/>
  </w:num>
  <w:num w:numId="21" w16cid:durableId="2071073605">
    <w:abstractNumId w:val="31"/>
  </w:num>
  <w:num w:numId="22" w16cid:durableId="18316718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0327514">
    <w:abstractNumId w:val="23"/>
  </w:num>
  <w:num w:numId="24" w16cid:durableId="956712945">
    <w:abstractNumId w:val="13"/>
  </w:num>
  <w:num w:numId="25" w16cid:durableId="2042244327">
    <w:abstractNumId w:val="3"/>
  </w:num>
  <w:num w:numId="26" w16cid:durableId="782531909">
    <w:abstractNumId w:val="9"/>
  </w:num>
  <w:num w:numId="27" w16cid:durableId="61755159">
    <w:abstractNumId w:val="15"/>
  </w:num>
  <w:num w:numId="28" w16cid:durableId="738022689">
    <w:abstractNumId w:val="2"/>
  </w:num>
  <w:num w:numId="29" w16cid:durableId="813374363">
    <w:abstractNumId w:val="7"/>
  </w:num>
  <w:num w:numId="30" w16cid:durableId="1551114914">
    <w:abstractNumId w:val="18"/>
  </w:num>
  <w:num w:numId="31" w16cid:durableId="2073961508">
    <w:abstractNumId w:val="29"/>
  </w:num>
  <w:num w:numId="32" w16cid:durableId="542251709">
    <w:abstractNumId w:val="19"/>
  </w:num>
  <w:num w:numId="33" w16cid:durableId="1670670698">
    <w:abstractNumId w:val="22"/>
  </w:num>
  <w:num w:numId="34" w16cid:durableId="1699507503">
    <w:abstractNumId w:val="1"/>
  </w:num>
  <w:num w:numId="35" w16cid:durableId="284436011">
    <w:abstractNumId w:val="24"/>
  </w:num>
  <w:num w:numId="36" w16cid:durableId="536622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24515"/>
    <w:rsid w:val="000274C2"/>
    <w:rsid w:val="00030A14"/>
    <w:rsid w:val="0003121B"/>
    <w:rsid w:val="000333F3"/>
    <w:rsid w:val="000352B7"/>
    <w:rsid w:val="00053BFA"/>
    <w:rsid w:val="00061E62"/>
    <w:rsid w:val="000620C8"/>
    <w:rsid w:val="000678E8"/>
    <w:rsid w:val="00080126"/>
    <w:rsid w:val="000837C4"/>
    <w:rsid w:val="0008574F"/>
    <w:rsid w:val="000957B4"/>
    <w:rsid w:val="000A5247"/>
    <w:rsid w:val="000A608A"/>
    <w:rsid w:val="000B085A"/>
    <w:rsid w:val="000C03C1"/>
    <w:rsid w:val="000C30C0"/>
    <w:rsid w:val="000C455C"/>
    <w:rsid w:val="000D14DC"/>
    <w:rsid w:val="000E51A2"/>
    <w:rsid w:val="000F1C66"/>
    <w:rsid w:val="001112B3"/>
    <w:rsid w:val="00116267"/>
    <w:rsid w:val="00123ED6"/>
    <w:rsid w:val="00152404"/>
    <w:rsid w:val="001544A8"/>
    <w:rsid w:val="00167299"/>
    <w:rsid w:val="00171DF4"/>
    <w:rsid w:val="001724BB"/>
    <w:rsid w:val="00175DE6"/>
    <w:rsid w:val="001A043A"/>
    <w:rsid w:val="001A3FA2"/>
    <w:rsid w:val="001A4D72"/>
    <w:rsid w:val="001A518F"/>
    <w:rsid w:val="001A54EF"/>
    <w:rsid w:val="001A6540"/>
    <w:rsid w:val="001B2B90"/>
    <w:rsid w:val="001B6F6D"/>
    <w:rsid w:val="001C1404"/>
    <w:rsid w:val="001C3D22"/>
    <w:rsid w:val="001D0269"/>
    <w:rsid w:val="001E3BEF"/>
    <w:rsid w:val="001E7F6D"/>
    <w:rsid w:val="001F1666"/>
    <w:rsid w:val="001F7131"/>
    <w:rsid w:val="00201106"/>
    <w:rsid w:val="00205EE3"/>
    <w:rsid w:val="00213165"/>
    <w:rsid w:val="00227BE3"/>
    <w:rsid w:val="00235FD3"/>
    <w:rsid w:val="00247679"/>
    <w:rsid w:val="002505EE"/>
    <w:rsid w:val="0025165D"/>
    <w:rsid w:val="0026093C"/>
    <w:rsid w:val="0026142D"/>
    <w:rsid w:val="0026738C"/>
    <w:rsid w:val="00267D04"/>
    <w:rsid w:val="00271EEF"/>
    <w:rsid w:val="0027405F"/>
    <w:rsid w:val="0027513C"/>
    <w:rsid w:val="00275206"/>
    <w:rsid w:val="002812BA"/>
    <w:rsid w:val="00281A8C"/>
    <w:rsid w:val="0029439C"/>
    <w:rsid w:val="002A1E5F"/>
    <w:rsid w:val="002A4B9F"/>
    <w:rsid w:val="002B10A2"/>
    <w:rsid w:val="002B3613"/>
    <w:rsid w:val="002B77FE"/>
    <w:rsid w:val="002C3F8E"/>
    <w:rsid w:val="002D0172"/>
    <w:rsid w:val="002D4685"/>
    <w:rsid w:val="002E62A2"/>
    <w:rsid w:val="002F26C8"/>
    <w:rsid w:val="0030191A"/>
    <w:rsid w:val="00321E72"/>
    <w:rsid w:val="00321F56"/>
    <w:rsid w:val="003313D5"/>
    <w:rsid w:val="0033401C"/>
    <w:rsid w:val="003450B6"/>
    <w:rsid w:val="00352DFA"/>
    <w:rsid w:val="00355945"/>
    <w:rsid w:val="00361D2A"/>
    <w:rsid w:val="00372769"/>
    <w:rsid w:val="00375A00"/>
    <w:rsid w:val="0038068D"/>
    <w:rsid w:val="0038597C"/>
    <w:rsid w:val="003A6BE7"/>
    <w:rsid w:val="003B0222"/>
    <w:rsid w:val="003C5D74"/>
    <w:rsid w:val="003D1D15"/>
    <w:rsid w:val="00400449"/>
    <w:rsid w:val="00412A97"/>
    <w:rsid w:val="00416366"/>
    <w:rsid w:val="0043009E"/>
    <w:rsid w:val="00432851"/>
    <w:rsid w:val="0045203D"/>
    <w:rsid w:val="00460E12"/>
    <w:rsid w:val="00464E39"/>
    <w:rsid w:val="0046624D"/>
    <w:rsid w:val="00480823"/>
    <w:rsid w:val="00482F65"/>
    <w:rsid w:val="0049329D"/>
    <w:rsid w:val="004952B7"/>
    <w:rsid w:val="004B2592"/>
    <w:rsid w:val="004B503B"/>
    <w:rsid w:val="004B77C7"/>
    <w:rsid w:val="004C4B87"/>
    <w:rsid w:val="004D37D8"/>
    <w:rsid w:val="004D6AC0"/>
    <w:rsid w:val="004E16CA"/>
    <w:rsid w:val="00500D89"/>
    <w:rsid w:val="005041FF"/>
    <w:rsid w:val="00510781"/>
    <w:rsid w:val="00515931"/>
    <w:rsid w:val="00543995"/>
    <w:rsid w:val="0055591F"/>
    <w:rsid w:val="00557FE3"/>
    <w:rsid w:val="00576D3B"/>
    <w:rsid w:val="00596417"/>
    <w:rsid w:val="005A42D8"/>
    <w:rsid w:val="005B20FA"/>
    <w:rsid w:val="005B5E7C"/>
    <w:rsid w:val="005C4CEA"/>
    <w:rsid w:val="005D7AEB"/>
    <w:rsid w:val="00600C74"/>
    <w:rsid w:val="00603C0C"/>
    <w:rsid w:val="0060513D"/>
    <w:rsid w:val="006269DD"/>
    <w:rsid w:val="006420F0"/>
    <w:rsid w:val="00644BC2"/>
    <w:rsid w:val="00647460"/>
    <w:rsid w:val="0064764C"/>
    <w:rsid w:val="006515E5"/>
    <w:rsid w:val="0065522B"/>
    <w:rsid w:val="006613EA"/>
    <w:rsid w:val="00670439"/>
    <w:rsid w:val="00672439"/>
    <w:rsid w:val="00674D7A"/>
    <w:rsid w:val="00675F00"/>
    <w:rsid w:val="006819BC"/>
    <w:rsid w:val="0068258C"/>
    <w:rsid w:val="00687F86"/>
    <w:rsid w:val="00690DEB"/>
    <w:rsid w:val="0069493D"/>
    <w:rsid w:val="006A42EE"/>
    <w:rsid w:val="006A4E16"/>
    <w:rsid w:val="006C2A59"/>
    <w:rsid w:val="006C4DBF"/>
    <w:rsid w:val="006D4068"/>
    <w:rsid w:val="006E41D2"/>
    <w:rsid w:val="006E46EA"/>
    <w:rsid w:val="006E6C38"/>
    <w:rsid w:val="0073371B"/>
    <w:rsid w:val="00737F3D"/>
    <w:rsid w:val="00744595"/>
    <w:rsid w:val="00750C88"/>
    <w:rsid w:val="007514D5"/>
    <w:rsid w:val="00752F6F"/>
    <w:rsid w:val="00760CA6"/>
    <w:rsid w:val="00761BC2"/>
    <w:rsid w:val="0076362A"/>
    <w:rsid w:val="0078202B"/>
    <w:rsid w:val="00791585"/>
    <w:rsid w:val="007A54F7"/>
    <w:rsid w:val="007D30CD"/>
    <w:rsid w:val="007F4736"/>
    <w:rsid w:val="008022FE"/>
    <w:rsid w:val="00802E3A"/>
    <w:rsid w:val="008061A1"/>
    <w:rsid w:val="00822564"/>
    <w:rsid w:val="00827EA8"/>
    <w:rsid w:val="00836753"/>
    <w:rsid w:val="008449FA"/>
    <w:rsid w:val="00850D54"/>
    <w:rsid w:val="00862C79"/>
    <w:rsid w:val="00876057"/>
    <w:rsid w:val="008854E3"/>
    <w:rsid w:val="00895704"/>
    <w:rsid w:val="00897C88"/>
    <w:rsid w:val="008A6CBA"/>
    <w:rsid w:val="008B1792"/>
    <w:rsid w:val="008B760A"/>
    <w:rsid w:val="008C369E"/>
    <w:rsid w:val="008D36B7"/>
    <w:rsid w:val="008F69E8"/>
    <w:rsid w:val="00901916"/>
    <w:rsid w:val="0090345F"/>
    <w:rsid w:val="00916DDB"/>
    <w:rsid w:val="00921B80"/>
    <w:rsid w:val="00922619"/>
    <w:rsid w:val="00931903"/>
    <w:rsid w:val="00933D31"/>
    <w:rsid w:val="009354C9"/>
    <w:rsid w:val="0093706C"/>
    <w:rsid w:val="009743AC"/>
    <w:rsid w:val="0098702F"/>
    <w:rsid w:val="009A0999"/>
    <w:rsid w:val="009A1941"/>
    <w:rsid w:val="009C3A65"/>
    <w:rsid w:val="009D5DFC"/>
    <w:rsid w:val="009E143C"/>
    <w:rsid w:val="009F177B"/>
    <w:rsid w:val="009F4781"/>
    <w:rsid w:val="00A012C4"/>
    <w:rsid w:val="00A07B95"/>
    <w:rsid w:val="00A169B3"/>
    <w:rsid w:val="00A16A8A"/>
    <w:rsid w:val="00A31D29"/>
    <w:rsid w:val="00A340DF"/>
    <w:rsid w:val="00A3628B"/>
    <w:rsid w:val="00A36580"/>
    <w:rsid w:val="00A50615"/>
    <w:rsid w:val="00A62B45"/>
    <w:rsid w:val="00A6353E"/>
    <w:rsid w:val="00A7495B"/>
    <w:rsid w:val="00A876A7"/>
    <w:rsid w:val="00AA681D"/>
    <w:rsid w:val="00AB525A"/>
    <w:rsid w:val="00AE6258"/>
    <w:rsid w:val="00AE68DB"/>
    <w:rsid w:val="00AF1546"/>
    <w:rsid w:val="00B12E36"/>
    <w:rsid w:val="00B2250B"/>
    <w:rsid w:val="00B40CD5"/>
    <w:rsid w:val="00B439A5"/>
    <w:rsid w:val="00B44943"/>
    <w:rsid w:val="00B46A70"/>
    <w:rsid w:val="00B574FD"/>
    <w:rsid w:val="00B6332B"/>
    <w:rsid w:val="00B662E6"/>
    <w:rsid w:val="00B663EA"/>
    <w:rsid w:val="00B91BCB"/>
    <w:rsid w:val="00B97C98"/>
    <w:rsid w:val="00BA1C09"/>
    <w:rsid w:val="00BA599A"/>
    <w:rsid w:val="00BA7CA9"/>
    <w:rsid w:val="00BC37F6"/>
    <w:rsid w:val="00BD0C78"/>
    <w:rsid w:val="00BD3F9B"/>
    <w:rsid w:val="00BD5CCE"/>
    <w:rsid w:val="00BD76D4"/>
    <w:rsid w:val="00BE685F"/>
    <w:rsid w:val="00BF371C"/>
    <w:rsid w:val="00BF4381"/>
    <w:rsid w:val="00C13CA5"/>
    <w:rsid w:val="00C23341"/>
    <w:rsid w:val="00C4170A"/>
    <w:rsid w:val="00C503C4"/>
    <w:rsid w:val="00C54A79"/>
    <w:rsid w:val="00C60734"/>
    <w:rsid w:val="00C6112D"/>
    <w:rsid w:val="00C64EB4"/>
    <w:rsid w:val="00C73479"/>
    <w:rsid w:val="00C7383A"/>
    <w:rsid w:val="00C74055"/>
    <w:rsid w:val="00C776C5"/>
    <w:rsid w:val="00C80616"/>
    <w:rsid w:val="00CA016E"/>
    <w:rsid w:val="00CA79CD"/>
    <w:rsid w:val="00CC1DAD"/>
    <w:rsid w:val="00CC263D"/>
    <w:rsid w:val="00CC608C"/>
    <w:rsid w:val="00CE19BD"/>
    <w:rsid w:val="00CE3B03"/>
    <w:rsid w:val="00CE4466"/>
    <w:rsid w:val="00CE58A5"/>
    <w:rsid w:val="00CF024F"/>
    <w:rsid w:val="00CF0CB5"/>
    <w:rsid w:val="00CF6248"/>
    <w:rsid w:val="00CF6EC8"/>
    <w:rsid w:val="00D21192"/>
    <w:rsid w:val="00D213E4"/>
    <w:rsid w:val="00D35AEE"/>
    <w:rsid w:val="00D43425"/>
    <w:rsid w:val="00D4464F"/>
    <w:rsid w:val="00D44EDE"/>
    <w:rsid w:val="00D457C1"/>
    <w:rsid w:val="00D51406"/>
    <w:rsid w:val="00D52F9F"/>
    <w:rsid w:val="00D7798F"/>
    <w:rsid w:val="00D93ABD"/>
    <w:rsid w:val="00DB2ADC"/>
    <w:rsid w:val="00DB2DF7"/>
    <w:rsid w:val="00DB2E59"/>
    <w:rsid w:val="00DD134F"/>
    <w:rsid w:val="00DD7C00"/>
    <w:rsid w:val="00DE3BBD"/>
    <w:rsid w:val="00DF6F15"/>
    <w:rsid w:val="00DF7037"/>
    <w:rsid w:val="00E03F94"/>
    <w:rsid w:val="00E27D46"/>
    <w:rsid w:val="00E51F39"/>
    <w:rsid w:val="00E57161"/>
    <w:rsid w:val="00E624D4"/>
    <w:rsid w:val="00E6531B"/>
    <w:rsid w:val="00E6706F"/>
    <w:rsid w:val="00E73EE5"/>
    <w:rsid w:val="00E763D9"/>
    <w:rsid w:val="00E86620"/>
    <w:rsid w:val="00E87065"/>
    <w:rsid w:val="00EA18B6"/>
    <w:rsid w:val="00EC2F43"/>
    <w:rsid w:val="00EC3E83"/>
    <w:rsid w:val="00EC4EBA"/>
    <w:rsid w:val="00ED280F"/>
    <w:rsid w:val="00F01C4C"/>
    <w:rsid w:val="00F03AF0"/>
    <w:rsid w:val="00F04222"/>
    <w:rsid w:val="00F1744F"/>
    <w:rsid w:val="00F25AFA"/>
    <w:rsid w:val="00F44355"/>
    <w:rsid w:val="00F44F11"/>
    <w:rsid w:val="00F64A35"/>
    <w:rsid w:val="00F7286E"/>
    <w:rsid w:val="00F84B60"/>
    <w:rsid w:val="00F8647F"/>
    <w:rsid w:val="00F9077E"/>
    <w:rsid w:val="00FA2A59"/>
    <w:rsid w:val="00FA42AE"/>
    <w:rsid w:val="00FA4FE7"/>
    <w:rsid w:val="00FB5127"/>
    <w:rsid w:val="00FB5BD5"/>
    <w:rsid w:val="00FB6A6B"/>
    <w:rsid w:val="00FB6B7F"/>
    <w:rsid w:val="00FC14F1"/>
    <w:rsid w:val="00FD0C0D"/>
    <w:rsid w:val="00FF23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link w:val="Ttulo1Car"/>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link w:val="Ttulo2Car"/>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Ttulo1Car">
    <w:name w:val="Título 1 Car"/>
    <w:basedOn w:val="Fuentedeprrafopredeter"/>
    <w:link w:val="Ttulo1"/>
    <w:uiPriority w:val="9"/>
    <w:rsid w:val="00412A97"/>
    <w:rPr>
      <w:b/>
      <w:color w:val="000000" w:themeColor="text1"/>
      <w:sz w:val="24"/>
      <w:szCs w:val="48"/>
    </w:rPr>
  </w:style>
  <w:style w:type="character" w:customStyle="1" w:styleId="Ttulo2Car">
    <w:name w:val="Título 2 Car"/>
    <w:basedOn w:val="Fuentedeprrafopredeter"/>
    <w:link w:val="Ttulo2"/>
    <w:uiPriority w:val="9"/>
    <w:rsid w:val="00412A97"/>
    <w:rPr>
      <w:b/>
      <w:color w:val="000000" w:themeColor="text1"/>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8729">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197007269">
      <w:bodyDiv w:val="1"/>
      <w:marLeft w:val="0"/>
      <w:marRight w:val="0"/>
      <w:marTop w:val="0"/>
      <w:marBottom w:val="0"/>
      <w:divBdr>
        <w:top w:val="none" w:sz="0" w:space="0" w:color="auto"/>
        <w:left w:val="none" w:sz="0" w:space="0" w:color="auto"/>
        <w:bottom w:val="none" w:sz="0" w:space="0" w:color="auto"/>
        <w:right w:val="none" w:sz="0" w:space="0" w:color="auto"/>
      </w:divBdr>
    </w:div>
    <w:div w:id="202982074">
      <w:bodyDiv w:val="1"/>
      <w:marLeft w:val="0"/>
      <w:marRight w:val="0"/>
      <w:marTop w:val="0"/>
      <w:marBottom w:val="0"/>
      <w:divBdr>
        <w:top w:val="none" w:sz="0" w:space="0" w:color="auto"/>
        <w:left w:val="none" w:sz="0" w:space="0" w:color="auto"/>
        <w:bottom w:val="none" w:sz="0" w:space="0" w:color="auto"/>
        <w:right w:val="none" w:sz="0" w:space="0" w:color="auto"/>
      </w:divBdr>
    </w:div>
    <w:div w:id="237787743">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522669122">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76028800">
      <w:bodyDiv w:val="1"/>
      <w:marLeft w:val="0"/>
      <w:marRight w:val="0"/>
      <w:marTop w:val="0"/>
      <w:marBottom w:val="0"/>
      <w:divBdr>
        <w:top w:val="none" w:sz="0" w:space="0" w:color="auto"/>
        <w:left w:val="none" w:sz="0" w:space="0" w:color="auto"/>
        <w:bottom w:val="none" w:sz="0" w:space="0" w:color="auto"/>
        <w:right w:val="none" w:sz="0" w:space="0" w:color="auto"/>
      </w:divBdr>
    </w:div>
    <w:div w:id="818108560">
      <w:bodyDiv w:val="1"/>
      <w:marLeft w:val="0"/>
      <w:marRight w:val="0"/>
      <w:marTop w:val="0"/>
      <w:marBottom w:val="0"/>
      <w:divBdr>
        <w:top w:val="none" w:sz="0" w:space="0" w:color="auto"/>
        <w:left w:val="none" w:sz="0" w:space="0" w:color="auto"/>
        <w:bottom w:val="none" w:sz="0" w:space="0" w:color="auto"/>
        <w:right w:val="none" w:sz="0" w:space="0" w:color="auto"/>
      </w:divBdr>
    </w:div>
    <w:div w:id="89116003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05148688">
      <w:bodyDiv w:val="1"/>
      <w:marLeft w:val="0"/>
      <w:marRight w:val="0"/>
      <w:marTop w:val="0"/>
      <w:marBottom w:val="0"/>
      <w:divBdr>
        <w:top w:val="none" w:sz="0" w:space="0" w:color="auto"/>
        <w:left w:val="none" w:sz="0" w:space="0" w:color="auto"/>
        <w:bottom w:val="none" w:sz="0" w:space="0" w:color="auto"/>
        <w:right w:val="none" w:sz="0" w:space="0" w:color="auto"/>
      </w:divBdr>
    </w:div>
    <w:div w:id="966666652">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138381883">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69583247">
      <w:bodyDiv w:val="1"/>
      <w:marLeft w:val="0"/>
      <w:marRight w:val="0"/>
      <w:marTop w:val="0"/>
      <w:marBottom w:val="0"/>
      <w:divBdr>
        <w:top w:val="none" w:sz="0" w:space="0" w:color="auto"/>
        <w:left w:val="none" w:sz="0" w:space="0" w:color="auto"/>
        <w:bottom w:val="none" w:sz="0" w:space="0" w:color="auto"/>
        <w:right w:val="none" w:sz="0" w:space="0" w:color="auto"/>
      </w:divBdr>
    </w:div>
    <w:div w:id="1339455883">
      <w:bodyDiv w:val="1"/>
      <w:marLeft w:val="0"/>
      <w:marRight w:val="0"/>
      <w:marTop w:val="0"/>
      <w:marBottom w:val="0"/>
      <w:divBdr>
        <w:top w:val="none" w:sz="0" w:space="0" w:color="auto"/>
        <w:left w:val="none" w:sz="0" w:space="0" w:color="auto"/>
        <w:bottom w:val="none" w:sz="0" w:space="0" w:color="auto"/>
        <w:right w:val="none" w:sz="0" w:space="0" w:color="auto"/>
      </w:divBdr>
    </w:div>
    <w:div w:id="1384715083">
      <w:bodyDiv w:val="1"/>
      <w:marLeft w:val="0"/>
      <w:marRight w:val="0"/>
      <w:marTop w:val="0"/>
      <w:marBottom w:val="0"/>
      <w:divBdr>
        <w:top w:val="none" w:sz="0" w:space="0" w:color="auto"/>
        <w:left w:val="none" w:sz="0" w:space="0" w:color="auto"/>
        <w:bottom w:val="none" w:sz="0" w:space="0" w:color="auto"/>
        <w:right w:val="none" w:sz="0" w:space="0" w:color="auto"/>
      </w:divBdr>
    </w:div>
    <w:div w:id="1415476036">
      <w:bodyDiv w:val="1"/>
      <w:marLeft w:val="0"/>
      <w:marRight w:val="0"/>
      <w:marTop w:val="0"/>
      <w:marBottom w:val="0"/>
      <w:divBdr>
        <w:top w:val="none" w:sz="0" w:space="0" w:color="auto"/>
        <w:left w:val="none" w:sz="0" w:space="0" w:color="auto"/>
        <w:bottom w:val="none" w:sz="0" w:space="0" w:color="auto"/>
        <w:right w:val="none" w:sz="0" w:space="0" w:color="auto"/>
      </w:divBdr>
    </w:div>
    <w:div w:id="1582332639">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789540458">
      <w:bodyDiv w:val="1"/>
      <w:marLeft w:val="0"/>
      <w:marRight w:val="0"/>
      <w:marTop w:val="0"/>
      <w:marBottom w:val="0"/>
      <w:divBdr>
        <w:top w:val="none" w:sz="0" w:space="0" w:color="auto"/>
        <w:left w:val="none" w:sz="0" w:space="0" w:color="auto"/>
        <w:bottom w:val="none" w:sz="0" w:space="0" w:color="auto"/>
        <w:right w:val="none" w:sz="0" w:space="0" w:color="auto"/>
      </w:divBdr>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22887335">
      <w:bodyDiv w:val="1"/>
      <w:marLeft w:val="0"/>
      <w:marRight w:val="0"/>
      <w:marTop w:val="0"/>
      <w:marBottom w:val="0"/>
      <w:divBdr>
        <w:top w:val="none" w:sz="0" w:space="0" w:color="auto"/>
        <w:left w:val="none" w:sz="0" w:space="0" w:color="auto"/>
        <w:bottom w:val="none" w:sz="0" w:space="0" w:color="auto"/>
        <w:right w:val="none" w:sz="0" w:space="0" w:color="auto"/>
      </w:divBdr>
    </w:div>
    <w:div w:id="1986156417">
      <w:bodyDiv w:val="1"/>
      <w:marLeft w:val="0"/>
      <w:marRight w:val="0"/>
      <w:marTop w:val="0"/>
      <w:marBottom w:val="0"/>
      <w:divBdr>
        <w:top w:val="none" w:sz="0" w:space="0" w:color="auto"/>
        <w:left w:val="none" w:sz="0" w:space="0" w:color="auto"/>
        <w:bottom w:val="none" w:sz="0" w:space="0" w:color="auto"/>
        <w:right w:val="none" w:sz="0" w:space="0" w:color="auto"/>
      </w:divBdr>
    </w:div>
    <w:div w:id="2123063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portalanterior.ine.mx/archivos2/tutoriales/sistemas/ApoyoInstitucional/SIF/docs/candidatos/folioFiscalFactura.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8BDCAA6B-0A63-48D8-8068-E4746C917DF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9086</Words>
  <Characters>47521</Characters>
  <Application>Microsoft Office Word</Application>
  <DocSecurity>0</DocSecurity>
  <Lines>864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Roxana Lechuga</cp:lastModifiedBy>
  <cp:revision>4</cp:revision>
  <dcterms:created xsi:type="dcterms:W3CDTF">2025-11-05T19:52:00Z</dcterms:created>
  <dcterms:modified xsi:type="dcterms:W3CDTF">2025-12-16T05:15:00Z</dcterms:modified>
</cp:coreProperties>
</file>