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B9" w:rsidRPr="0024200F" w:rsidRDefault="00D468B9" w:rsidP="00D468B9">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583CDD">
        <w:rPr>
          <w:rFonts w:ascii="Palatino Linotype" w:hAnsi="Palatino Linotype"/>
        </w:rPr>
        <w:t>veintiséis</w:t>
      </w:r>
      <w:r>
        <w:rPr>
          <w:rFonts w:ascii="Palatino Linotype" w:hAnsi="Palatino Linotype"/>
        </w:rPr>
        <w:t xml:space="preserve"> de marzo de dos mil veinticinco.</w:t>
      </w:r>
    </w:p>
    <w:p w:rsidR="00D468B9" w:rsidRPr="0024200F" w:rsidRDefault="00D468B9" w:rsidP="00D468B9">
      <w:pPr>
        <w:spacing w:line="360" w:lineRule="auto"/>
        <w:jc w:val="both"/>
        <w:rPr>
          <w:rFonts w:ascii="Palatino Linotype" w:hAnsi="Palatino Linotype"/>
        </w:rPr>
      </w:pPr>
    </w:p>
    <w:p w:rsidR="00D468B9" w:rsidRPr="002C3EC8" w:rsidRDefault="00D468B9" w:rsidP="00D468B9">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bookmarkStart w:id="0" w:name="_GoBack"/>
      <w:r>
        <w:rPr>
          <w:rFonts w:ascii="Palatino Linotype" w:hAnsi="Palatino Linotype" w:cs="Arial"/>
          <w:b/>
          <w:bCs/>
          <w:lang w:eastAsia="es-MX"/>
        </w:rPr>
        <w:t>01700/INFOEM/IP/RR/2025</w:t>
      </w:r>
      <w:bookmarkEnd w:id="0"/>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D468B9">
        <w:rPr>
          <w:rFonts w:ascii="Palatino Linotype" w:hAnsi="Palatino Linotype"/>
          <w:b/>
        </w:rPr>
        <w:t>Ayuntamiento de 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D468B9" w:rsidRDefault="00D468B9" w:rsidP="00D468B9">
      <w:pPr>
        <w:pStyle w:val="infoemcitas"/>
        <w:jc w:val="center"/>
        <w:rPr>
          <w:b/>
          <w:bCs/>
          <w:i w:val="0"/>
          <w:iCs/>
          <w:sz w:val="28"/>
          <w:szCs w:val="28"/>
        </w:rPr>
      </w:pPr>
    </w:p>
    <w:p w:rsidR="00D468B9" w:rsidRDefault="00D468B9" w:rsidP="00D468B9">
      <w:pPr>
        <w:pStyle w:val="infoemcitas"/>
        <w:jc w:val="center"/>
        <w:rPr>
          <w:b/>
          <w:bCs/>
          <w:i w:val="0"/>
          <w:iCs/>
          <w:sz w:val="28"/>
          <w:szCs w:val="28"/>
        </w:rPr>
      </w:pPr>
      <w:r w:rsidRPr="002C3EC8">
        <w:rPr>
          <w:b/>
          <w:bCs/>
          <w:i w:val="0"/>
          <w:iCs/>
          <w:sz w:val="28"/>
          <w:szCs w:val="28"/>
        </w:rPr>
        <w:t>A N T E C E D E N T E S   D E L   A S U N T O</w:t>
      </w:r>
    </w:p>
    <w:p w:rsidR="00D468B9" w:rsidRPr="002C3EC8" w:rsidRDefault="00D468B9" w:rsidP="00D468B9">
      <w:pPr>
        <w:pStyle w:val="infoemcitas"/>
        <w:jc w:val="center"/>
        <w:rPr>
          <w:b/>
          <w:bCs/>
          <w:i w:val="0"/>
          <w:iCs/>
          <w:sz w:val="28"/>
          <w:szCs w:val="28"/>
        </w:rPr>
      </w:pPr>
    </w:p>
    <w:p w:rsidR="00D468B9" w:rsidRPr="002C3EC8" w:rsidRDefault="00D468B9" w:rsidP="00D468B9">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D468B9" w:rsidRPr="00D705FF" w:rsidRDefault="00D468B9" w:rsidP="00D468B9">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481989">
        <w:rPr>
          <w:rFonts w:ascii="Palatino Linotype" w:hAnsi="Palatino Linotype" w:cs="Arial"/>
          <w:b/>
        </w:rPr>
        <w:t>veintisiete</w:t>
      </w:r>
      <w:r>
        <w:rPr>
          <w:rFonts w:ascii="Palatino Linotype" w:hAnsi="Palatino Linotype" w:cs="Arial"/>
          <w:b/>
        </w:rPr>
        <w:t xml:space="preserve"> de enero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00529/TOLUCA/IP/2025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D468B9" w:rsidRPr="001C7F6F" w:rsidRDefault="00D468B9" w:rsidP="00D468B9">
      <w:pPr>
        <w:pStyle w:val="INFOEM"/>
        <w:rPr>
          <w:lang w:val="es-ES_tradnl" w:eastAsia="es-ES"/>
        </w:rPr>
      </w:pPr>
      <w:r w:rsidRPr="00D705FF">
        <w:rPr>
          <w:lang w:val="es-ES_tradnl" w:eastAsia="es-ES"/>
        </w:rPr>
        <w:t>“</w:t>
      </w:r>
      <w:r w:rsidR="00481989" w:rsidRPr="00481989">
        <w:rPr>
          <w:lang w:val="es-ES" w:eastAsia="es-ES"/>
        </w:rPr>
        <w:t xml:space="preserve">Cuantos uniformes, chalecos, zapatos, </w:t>
      </w:r>
      <w:proofErr w:type="spellStart"/>
      <w:r w:rsidR="00481989" w:rsidRPr="00481989">
        <w:rPr>
          <w:lang w:val="es-ES" w:eastAsia="es-ES"/>
        </w:rPr>
        <w:t>pans</w:t>
      </w:r>
      <w:proofErr w:type="spellEnd"/>
      <w:r w:rsidR="00481989" w:rsidRPr="00481989">
        <w:rPr>
          <w:lang w:val="es-ES" w:eastAsia="es-ES"/>
        </w:rPr>
        <w:t xml:space="preserve">, </w:t>
      </w:r>
      <w:proofErr w:type="spellStart"/>
      <w:r w:rsidR="00481989" w:rsidRPr="00481989">
        <w:rPr>
          <w:lang w:val="es-ES" w:eastAsia="es-ES"/>
        </w:rPr>
        <w:t>etc</w:t>
      </w:r>
      <w:proofErr w:type="spellEnd"/>
      <w:r w:rsidR="00481989" w:rsidRPr="00481989">
        <w:rPr>
          <w:lang w:val="es-ES" w:eastAsia="es-ES"/>
        </w:rPr>
        <w:t xml:space="preserve"> se entregaron a los servidores públicos y policías de la administración en los que va de enero y de donde se sacó el </w:t>
      </w:r>
      <w:r w:rsidR="00481989" w:rsidRPr="00481989">
        <w:rPr>
          <w:lang w:val="es-ES" w:eastAsia="es-ES"/>
        </w:rPr>
        <w:lastRenderedPageBreak/>
        <w:t xml:space="preserve">presupuesto cuanto costo cada uno de los uniformes, chalecos, zapatos </w:t>
      </w:r>
      <w:proofErr w:type="spellStart"/>
      <w:r w:rsidR="00481989" w:rsidRPr="00481989">
        <w:rPr>
          <w:lang w:val="es-ES" w:eastAsia="es-ES"/>
        </w:rPr>
        <w:t>etc</w:t>
      </w:r>
      <w:proofErr w:type="spellEnd"/>
      <w:r w:rsidR="00481989" w:rsidRPr="00481989">
        <w:rPr>
          <w:lang w:val="es-ES" w:eastAsia="es-ES"/>
        </w:rPr>
        <w:t xml:space="preserve"> el contrato y factura pagadas al proveedor, el nombre y vale o documentos donde recibo cada servidor público.</w:t>
      </w:r>
      <w:r w:rsidRPr="00D705FF">
        <w:rPr>
          <w:lang w:val="es-ES_tradnl" w:eastAsia="es-ES"/>
        </w:rPr>
        <w:t>” (Sic)</w:t>
      </w:r>
    </w:p>
    <w:p w:rsidR="00D468B9" w:rsidRPr="002C3EC8" w:rsidRDefault="00D468B9" w:rsidP="00D468B9">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D468B9" w:rsidRDefault="00D468B9" w:rsidP="00D468B9">
      <w:pPr>
        <w:spacing w:before="240" w:line="360" w:lineRule="auto"/>
        <w:jc w:val="both"/>
        <w:rPr>
          <w:rFonts w:ascii="Palatino Linotype" w:hAnsi="Palatino Linotype" w:cs="Arial"/>
          <w:b/>
          <w:sz w:val="28"/>
        </w:rPr>
      </w:pPr>
    </w:p>
    <w:p w:rsidR="00D468B9" w:rsidRDefault="00D468B9" w:rsidP="00D468B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D468B9" w:rsidRPr="00C0731C" w:rsidRDefault="00D468B9" w:rsidP="00D468B9">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481989">
        <w:rPr>
          <w:rFonts w:ascii="Palatino Linotype" w:hAnsi="Palatino Linotype" w:cs="Arial"/>
          <w:b/>
          <w:sz w:val="24"/>
        </w:rPr>
        <w:t>diecinueve</w:t>
      </w:r>
      <w:r>
        <w:rPr>
          <w:rFonts w:ascii="Palatino Linotype" w:hAnsi="Palatino Linotype" w:cs="Arial"/>
          <w:b/>
          <w:sz w:val="24"/>
        </w:rPr>
        <w:t xml:space="preserve">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D468B9" w:rsidRPr="00E818A5" w:rsidRDefault="00D468B9" w:rsidP="00D468B9">
      <w:pPr>
        <w:spacing w:line="360" w:lineRule="auto"/>
        <w:jc w:val="both"/>
        <w:rPr>
          <w:rFonts w:ascii="Palatino Linotype" w:hAnsi="Palatino Linotype" w:cs="Arial"/>
        </w:rPr>
      </w:pPr>
    </w:p>
    <w:p w:rsidR="00481989" w:rsidRPr="00481989" w:rsidRDefault="00D468B9" w:rsidP="00481989">
      <w:pPr>
        <w:ind w:left="567" w:right="567"/>
        <w:jc w:val="both"/>
        <w:rPr>
          <w:rFonts w:ascii="Palatino Linotype" w:hAnsi="Palatino Linotype" w:cs="Arial"/>
          <w:i/>
        </w:rPr>
      </w:pPr>
      <w:r>
        <w:rPr>
          <w:rFonts w:ascii="Palatino Linotype" w:hAnsi="Palatino Linotype" w:cs="Arial"/>
          <w:i/>
        </w:rPr>
        <w:t>“</w:t>
      </w:r>
      <w:r w:rsidR="00481989" w:rsidRPr="00481989">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468B9" w:rsidRDefault="00481989" w:rsidP="00481989">
      <w:pPr>
        <w:ind w:left="567" w:right="567"/>
        <w:jc w:val="both"/>
        <w:rPr>
          <w:rFonts w:ascii="Palatino Linotype" w:hAnsi="Palatino Linotype" w:cs="Arial"/>
          <w:i/>
        </w:rPr>
      </w:pPr>
      <w:r w:rsidRPr="00481989">
        <w:rPr>
          <w:rFonts w:ascii="Palatino Linotype" w:hAnsi="Palatino Linotype" w:cs="Arial"/>
          <w:i/>
        </w:rPr>
        <w:t>En atención a la solicitud con folio 0529/TOLUCA/IP/2025, me permito adjuntar al presente la respuesta correspondiente. Sin más por el momento, reciba un saludo</w:t>
      </w:r>
      <w:proofErr w:type="gramStart"/>
      <w:r w:rsidRPr="00481989">
        <w:rPr>
          <w:rFonts w:ascii="Palatino Linotype" w:hAnsi="Palatino Linotype" w:cs="Arial"/>
          <w:i/>
        </w:rPr>
        <w:t>.</w:t>
      </w:r>
      <w:r w:rsidR="00D468B9" w:rsidRPr="00983697">
        <w:rPr>
          <w:rFonts w:ascii="Palatino Linotype" w:hAnsi="Palatino Linotype" w:cs="Arial"/>
          <w:i/>
        </w:rPr>
        <w:t>.</w:t>
      </w:r>
      <w:proofErr w:type="gramEnd"/>
      <w:r w:rsidR="00D468B9" w:rsidRPr="00983697">
        <w:rPr>
          <w:rFonts w:ascii="Palatino Linotype" w:hAnsi="Palatino Linotype" w:cs="Arial"/>
          <w:i/>
        </w:rPr>
        <w:t xml:space="preserve"> </w:t>
      </w:r>
      <w:r w:rsidR="00D468B9" w:rsidRPr="00667998">
        <w:rPr>
          <w:rFonts w:ascii="Palatino Linotype" w:hAnsi="Palatino Linotype" w:cs="Arial"/>
          <w:i/>
        </w:rPr>
        <w:t>“(Sic).</w:t>
      </w:r>
    </w:p>
    <w:p w:rsidR="00D468B9" w:rsidRDefault="00D468B9" w:rsidP="00D468B9">
      <w:pPr>
        <w:spacing w:line="360" w:lineRule="auto"/>
        <w:ind w:right="567"/>
        <w:jc w:val="both"/>
        <w:rPr>
          <w:rFonts w:ascii="Palatino Linotype" w:hAnsi="Palatino Linotype" w:cs="Arial"/>
        </w:rPr>
      </w:pPr>
    </w:p>
    <w:p w:rsidR="00D468B9" w:rsidRDefault="00D468B9" w:rsidP="00D468B9">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00481989" w:rsidRPr="00481989">
        <w:rPr>
          <w:rFonts w:ascii="Palatino Linotype" w:hAnsi="Palatino Linotype" w:cs="Arial"/>
          <w:b/>
          <w:i/>
        </w:rPr>
        <w:t>RESPUESTA 529. 2025</w:t>
      </w:r>
      <w:proofErr w:type="gramStart"/>
      <w:r w:rsidR="00481989" w:rsidRPr="00481989">
        <w:rPr>
          <w:rFonts w:ascii="Palatino Linotype" w:hAnsi="Palatino Linotype" w:cs="Arial"/>
          <w:b/>
          <w:i/>
        </w:rPr>
        <w:t>.pdf</w:t>
      </w:r>
      <w:proofErr w:type="gramEnd"/>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rsidR="00D468B9" w:rsidRDefault="00D468B9" w:rsidP="00D468B9">
      <w:pPr>
        <w:spacing w:line="360" w:lineRule="auto"/>
        <w:jc w:val="both"/>
        <w:rPr>
          <w:rFonts w:ascii="Palatino Linotype" w:hAnsi="Palatino Linotype" w:cs="Arial"/>
        </w:rPr>
      </w:pPr>
    </w:p>
    <w:p w:rsidR="00D468B9" w:rsidRPr="002C3EC8" w:rsidRDefault="00D468B9" w:rsidP="00D468B9">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D468B9" w:rsidRDefault="00D468B9" w:rsidP="00D468B9">
      <w:pPr>
        <w:spacing w:before="240" w:line="360" w:lineRule="auto"/>
        <w:jc w:val="both"/>
        <w:rPr>
          <w:rFonts w:ascii="Palatino Linotype" w:hAnsi="Palatino Linotype" w:cs="Arial"/>
        </w:rPr>
      </w:pPr>
      <w:r>
        <w:rPr>
          <w:rFonts w:ascii="Palatino Linotype" w:hAnsi="Palatino Linotype" w:cs="Arial"/>
        </w:rPr>
        <w:lastRenderedPageBreak/>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481989">
        <w:rPr>
          <w:rFonts w:ascii="Palatino Linotype" w:hAnsi="Palatino Linotype" w:cs="Arial"/>
          <w:b/>
        </w:rPr>
        <w:t>diecinueve</w:t>
      </w:r>
      <w:r>
        <w:rPr>
          <w:rFonts w:ascii="Palatino Linotype" w:hAnsi="Palatino Linotype" w:cs="Arial"/>
          <w:b/>
        </w:rPr>
        <w:t xml:space="preserve"> de febrero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01700/INFOEM/IP/RR/2025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D468B9" w:rsidRDefault="00D468B9" w:rsidP="00D468B9">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D468B9" w:rsidRPr="007E4713" w:rsidRDefault="00D468B9" w:rsidP="00481989">
      <w:pPr>
        <w:pStyle w:val="INFOEM"/>
        <w:ind w:left="720"/>
      </w:pPr>
      <w:r w:rsidRPr="007E4713">
        <w:t>“</w:t>
      </w:r>
      <w:r w:rsidR="00481989">
        <w:t>Ocultar la información</w:t>
      </w:r>
      <w:r>
        <w:t>” (sic)</w:t>
      </w:r>
    </w:p>
    <w:p w:rsidR="00D468B9" w:rsidRPr="0033050B" w:rsidRDefault="00D468B9" w:rsidP="00D468B9">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D468B9" w:rsidRPr="007E4713" w:rsidRDefault="00D468B9" w:rsidP="00D468B9">
      <w:pPr>
        <w:pStyle w:val="INFOEM"/>
        <w:ind w:left="709"/>
      </w:pPr>
      <w:r w:rsidRPr="007E4713">
        <w:t>“</w:t>
      </w:r>
      <w:r w:rsidR="00481989" w:rsidRPr="00481989">
        <w:t>Hay evidencia pública que se dieron uniformes y lo niegan</w:t>
      </w:r>
      <w:r w:rsidRPr="00DD2EDF">
        <w:t>”</w:t>
      </w:r>
      <w:r>
        <w:t xml:space="preserve"> (sic)</w:t>
      </w:r>
    </w:p>
    <w:p w:rsidR="00D468B9" w:rsidRDefault="00D468B9" w:rsidP="00D468B9">
      <w:pPr>
        <w:spacing w:line="360" w:lineRule="auto"/>
        <w:jc w:val="both"/>
        <w:rPr>
          <w:rFonts w:ascii="Palatino Linotype" w:hAnsi="Palatino Linotype" w:cs="Arial"/>
        </w:rPr>
      </w:pPr>
      <w:r>
        <w:rPr>
          <w:rFonts w:ascii="Palatino Linotype" w:hAnsi="Palatino Linotype" w:cs="Arial"/>
        </w:rPr>
        <w:t xml:space="preserve"> </w:t>
      </w:r>
    </w:p>
    <w:p w:rsidR="00D468B9" w:rsidRPr="002C3EC8" w:rsidRDefault="00D468B9" w:rsidP="00D468B9">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D468B9" w:rsidRDefault="00D468B9" w:rsidP="00D468B9">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481989">
        <w:rPr>
          <w:rFonts w:ascii="Palatino Linotype" w:hAnsi="Palatino Linotype"/>
          <w:b/>
        </w:rPr>
        <w:t>veinticuatro</w:t>
      </w:r>
      <w:r>
        <w:rPr>
          <w:rFonts w:ascii="Palatino Linotype" w:hAnsi="Palatino Linotype"/>
          <w:b/>
        </w:rPr>
        <w:t xml:space="preserv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D468B9" w:rsidRPr="004C20B7" w:rsidRDefault="00D468B9" w:rsidP="00D468B9">
      <w:pPr>
        <w:spacing w:before="240" w:line="360" w:lineRule="auto"/>
        <w:jc w:val="both"/>
        <w:rPr>
          <w:rFonts w:ascii="Palatino Linotype" w:hAnsi="Palatino Linotype" w:cs="Arial"/>
          <w:sz w:val="28"/>
        </w:rPr>
      </w:pPr>
    </w:p>
    <w:p w:rsidR="00D468B9" w:rsidRPr="00E52C83" w:rsidRDefault="00D468B9" w:rsidP="00D468B9">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D468B9" w:rsidRPr="00590166" w:rsidRDefault="00D468B9" w:rsidP="00D468B9">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481989">
        <w:rPr>
          <w:rFonts w:ascii="Palatino Linotype" w:hAnsi="Palatino Linotype" w:cs="Arial"/>
        </w:rPr>
        <w:t>seis de marzo</w:t>
      </w:r>
      <w:r>
        <w:rPr>
          <w:rFonts w:ascii="Palatino Linotype" w:hAnsi="Palatino Linotype" w:cs="Arial"/>
        </w:rPr>
        <w:t xml:space="preserve"> de dos mil </w:t>
      </w:r>
      <w:r>
        <w:rPr>
          <w:rFonts w:ascii="Palatino Linotype" w:hAnsi="Palatino Linotype" w:cs="Arial"/>
        </w:rPr>
        <w:lastRenderedPageBreak/>
        <w:t>veinticinco</w:t>
      </w:r>
      <w:r w:rsidRPr="00D32665">
        <w:rPr>
          <w:rFonts w:ascii="Palatino Linotype" w:hAnsi="Palatino Linotype" w:cs="Arial"/>
        </w:rPr>
        <w:t>, por medio del archivo electrónico “</w:t>
      </w:r>
      <w:r w:rsidR="00481989" w:rsidRPr="00481989">
        <w:rPr>
          <w:rFonts w:ascii="Palatino Linotype" w:hAnsi="Palatino Linotype" w:cs="Arial"/>
          <w:b/>
          <w:i/>
        </w:rPr>
        <w:t>Informe Justificado 1700.pdf</w:t>
      </w:r>
      <w:r>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mismos que fueron</w:t>
      </w:r>
      <w:r w:rsidRPr="00D32665">
        <w:rPr>
          <w:rFonts w:ascii="Palatino Linotype" w:hAnsi="Palatino Linotype" w:cs="Arial"/>
        </w:rPr>
        <w:t xml:space="preserve"> puesto</w:t>
      </w:r>
      <w:r>
        <w:rPr>
          <w:rFonts w:ascii="Palatino Linotype" w:hAnsi="Palatino Linotype" w:cs="Arial"/>
        </w:rPr>
        <w:t>s</w:t>
      </w:r>
      <w:r w:rsidRPr="00D32665">
        <w:rPr>
          <w:rFonts w:ascii="Palatino Linotype" w:hAnsi="Palatino Linotype" w:cs="Arial"/>
        </w:rPr>
        <w:t xml:space="preserve"> a la vista </w:t>
      </w:r>
      <w:r>
        <w:rPr>
          <w:rFonts w:ascii="Palatino Linotype" w:hAnsi="Palatino Linotype" w:cs="Arial"/>
        </w:rPr>
        <w:t xml:space="preserve">del Recurrente </w:t>
      </w:r>
      <w:r w:rsidRPr="00D32665">
        <w:rPr>
          <w:rFonts w:ascii="Palatino Linotype" w:hAnsi="Palatino Linotype" w:cs="Arial"/>
        </w:rPr>
        <w:t xml:space="preserve">en fecha </w:t>
      </w:r>
      <w:r w:rsidR="00481989">
        <w:rPr>
          <w:rFonts w:ascii="Palatino Linotype" w:hAnsi="Palatino Linotype" w:cs="Arial"/>
        </w:rPr>
        <w:t>trece</w:t>
      </w:r>
      <w:r>
        <w:rPr>
          <w:rFonts w:ascii="Palatino Linotype" w:hAnsi="Palatino Linotype" w:cs="Arial"/>
        </w:rPr>
        <w:t xml:space="preserve"> de marzo de dos mil veinticinco</w:t>
      </w:r>
      <w:r w:rsidRPr="00D32665">
        <w:rPr>
          <w:rFonts w:ascii="Palatino Linotype" w:hAnsi="Palatino Linotype" w:cs="Arial"/>
          <w:b/>
          <w:i/>
        </w:rPr>
        <w:t>.</w:t>
      </w:r>
    </w:p>
    <w:p w:rsidR="00D468B9" w:rsidRPr="00D32665" w:rsidRDefault="00D468B9" w:rsidP="00D468B9">
      <w:pPr>
        <w:spacing w:line="360" w:lineRule="auto"/>
        <w:jc w:val="both"/>
        <w:rPr>
          <w:rFonts w:ascii="Palatino Linotype" w:hAnsi="Palatino Linotype"/>
        </w:rPr>
      </w:pPr>
    </w:p>
    <w:p w:rsidR="00D468B9" w:rsidRPr="00D32665" w:rsidRDefault="00D468B9" w:rsidP="00D468B9">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D468B9" w:rsidRDefault="00D468B9" w:rsidP="00D468B9">
      <w:pPr>
        <w:spacing w:line="360" w:lineRule="auto"/>
        <w:jc w:val="both"/>
        <w:rPr>
          <w:rFonts w:ascii="Palatino Linotype" w:hAnsi="Palatino Linotype" w:cs="Arial"/>
          <w:b/>
          <w:sz w:val="28"/>
          <w:szCs w:val="28"/>
        </w:rPr>
      </w:pPr>
    </w:p>
    <w:p w:rsidR="00D468B9" w:rsidRPr="002C3EC8" w:rsidRDefault="00D468B9" w:rsidP="00D468B9">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D468B9" w:rsidRDefault="00D468B9" w:rsidP="00D468B9">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481989">
        <w:rPr>
          <w:rFonts w:ascii="Palatino Linotype" w:hAnsi="Palatino Linotype" w:cs="Arial"/>
          <w:b/>
        </w:rPr>
        <w:t>veinte</w:t>
      </w:r>
      <w:r>
        <w:rPr>
          <w:rFonts w:ascii="Palatino Linotype" w:hAnsi="Palatino Linotype" w:cs="Arial"/>
          <w:b/>
        </w:rPr>
        <w:t xml:space="preserve"> de marzo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D468B9" w:rsidRDefault="00D468B9" w:rsidP="00D468B9">
      <w:pPr>
        <w:spacing w:line="360" w:lineRule="auto"/>
        <w:jc w:val="both"/>
        <w:rPr>
          <w:rFonts w:ascii="Palatino Linotype" w:hAnsi="Palatino Linotype" w:cs="Arial"/>
          <w:b/>
          <w:sz w:val="28"/>
          <w:szCs w:val="28"/>
        </w:rPr>
      </w:pPr>
    </w:p>
    <w:p w:rsidR="00D468B9" w:rsidRPr="0024200F" w:rsidRDefault="00D468B9" w:rsidP="00D468B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D468B9" w:rsidRPr="00825F67" w:rsidRDefault="00D468B9" w:rsidP="00D468B9">
      <w:pPr>
        <w:spacing w:line="360" w:lineRule="auto"/>
        <w:ind w:right="49"/>
        <w:jc w:val="both"/>
        <w:rPr>
          <w:rFonts w:ascii="Palatino Linotype" w:hAnsi="Palatino Linotype"/>
          <w:szCs w:val="28"/>
        </w:rPr>
      </w:pPr>
    </w:p>
    <w:p w:rsidR="00D468B9" w:rsidRPr="002C3EC8" w:rsidRDefault="00D468B9" w:rsidP="00D468B9">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D468B9" w:rsidRPr="007C6AB6" w:rsidRDefault="00D468B9" w:rsidP="00D468B9">
      <w:pPr>
        <w:tabs>
          <w:tab w:val="left" w:pos="3402"/>
        </w:tabs>
        <w:spacing w:line="360" w:lineRule="auto"/>
        <w:jc w:val="both"/>
        <w:rPr>
          <w:rFonts w:ascii="Palatino Linotype" w:hAnsi="Palatino Linotype"/>
        </w:rPr>
      </w:pPr>
      <w:r w:rsidRPr="007C6AB6">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w:t>
      </w:r>
      <w:r w:rsidRPr="007C6AB6">
        <w:rPr>
          <w:rFonts w:ascii="Palatino Linotype" w:hAnsi="Palatino Linotype"/>
        </w:rPr>
        <w:lastRenderedPageBreak/>
        <w:t>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468B9" w:rsidRPr="002C3EC8" w:rsidRDefault="00D468B9" w:rsidP="00D468B9">
      <w:pPr>
        <w:spacing w:before="240" w:line="360" w:lineRule="auto"/>
        <w:jc w:val="both"/>
        <w:rPr>
          <w:rFonts w:ascii="Palatino Linotype" w:eastAsia="Calibri" w:hAnsi="Palatino Linotype"/>
          <w:b/>
          <w:color w:val="000000" w:themeColor="text1"/>
        </w:rPr>
      </w:pPr>
    </w:p>
    <w:p w:rsidR="00D468B9" w:rsidRPr="002C3EC8" w:rsidRDefault="00D468B9" w:rsidP="00D468B9">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D468B9" w:rsidRDefault="00D468B9" w:rsidP="00D468B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D468B9" w:rsidRPr="00821CCD" w:rsidRDefault="00D468B9" w:rsidP="00D468B9">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D468B9" w:rsidRPr="00821CCD" w:rsidRDefault="00D468B9" w:rsidP="00D468B9">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D468B9" w:rsidRPr="00821CCD" w:rsidRDefault="00D468B9" w:rsidP="00D468B9">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lastRenderedPageBreak/>
        <w:t xml:space="preserve">I. El sujeto obligado ante la cual se presentó la solicitud; </w:t>
      </w:r>
    </w:p>
    <w:p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D468B9" w:rsidRPr="00821CCD" w:rsidRDefault="00D468B9" w:rsidP="00D468B9">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D468B9" w:rsidRPr="00821CCD" w:rsidRDefault="00D468B9" w:rsidP="00D468B9">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D468B9" w:rsidRPr="00821CCD" w:rsidRDefault="00D468B9" w:rsidP="00D468B9">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D468B9" w:rsidRPr="00821CCD" w:rsidRDefault="00D468B9" w:rsidP="00D468B9">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D468B9" w:rsidRPr="00821CCD" w:rsidRDefault="00D468B9" w:rsidP="00D468B9">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D468B9" w:rsidRPr="00821CCD" w:rsidRDefault="00D468B9" w:rsidP="00D468B9">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D468B9" w:rsidRPr="00821CCD" w:rsidRDefault="00D468B9" w:rsidP="00D468B9">
      <w:pPr>
        <w:autoSpaceDE w:val="0"/>
        <w:autoSpaceDN w:val="0"/>
        <w:adjustRightInd w:val="0"/>
        <w:spacing w:before="240" w:line="360" w:lineRule="auto"/>
        <w:jc w:val="both"/>
        <w:rPr>
          <w:rFonts w:ascii="Palatino Linotype" w:hAnsi="Palatino Linotype"/>
        </w:rPr>
      </w:pPr>
    </w:p>
    <w:p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D468B9" w:rsidRPr="00821CCD" w:rsidTr="00685F10">
        <w:trPr>
          <w:trHeight w:val="1360"/>
        </w:trPr>
        <w:tc>
          <w:tcPr>
            <w:tcW w:w="7982" w:type="dxa"/>
          </w:tcPr>
          <w:p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D468B9" w:rsidRPr="00821CCD" w:rsidTr="00685F10">
        <w:trPr>
          <w:jc w:val="center"/>
        </w:trPr>
        <w:tc>
          <w:tcPr>
            <w:tcW w:w="8075" w:type="dxa"/>
          </w:tcPr>
          <w:p w:rsidR="00D468B9" w:rsidRPr="00821CCD" w:rsidRDefault="00D468B9" w:rsidP="00685F10">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D468B9" w:rsidRPr="00821CCD" w:rsidRDefault="00D468B9" w:rsidP="00685F10">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rsidR="00D468B9" w:rsidRPr="00821CCD" w:rsidRDefault="00D468B9" w:rsidP="00685F1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D468B9" w:rsidRPr="00821CCD" w:rsidRDefault="00D468B9" w:rsidP="00685F10">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D468B9" w:rsidRPr="00821CCD" w:rsidRDefault="00D468B9" w:rsidP="00685F10">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D468B9" w:rsidRPr="00821CCD" w:rsidRDefault="00D468B9" w:rsidP="00685F1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D468B9" w:rsidRPr="00821CCD" w:rsidRDefault="00D468B9" w:rsidP="00685F10">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D468B9" w:rsidRPr="00821CCD" w:rsidRDefault="00D468B9" w:rsidP="00D468B9">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D468B9" w:rsidRPr="00FF46DA" w:rsidRDefault="00D468B9" w:rsidP="00D468B9">
      <w:pPr>
        <w:pStyle w:val="Prrafodelista"/>
        <w:autoSpaceDE w:val="0"/>
        <w:autoSpaceDN w:val="0"/>
        <w:adjustRightInd w:val="0"/>
        <w:spacing w:before="240" w:after="160" w:line="360" w:lineRule="auto"/>
        <w:ind w:left="0"/>
        <w:jc w:val="both"/>
        <w:rPr>
          <w:rFonts w:ascii="Palatino Linotype" w:hAnsi="Palatino Linotype" w:cs="Arial"/>
        </w:rPr>
      </w:pPr>
    </w:p>
    <w:p w:rsidR="00D468B9" w:rsidRPr="002C3EC8" w:rsidRDefault="00D468B9" w:rsidP="00D468B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D468B9" w:rsidRPr="002C3EC8" w:rsidRDefault="00D468B9" w:rsidP="00D468B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D468B9" w:rsidRPr="002C3EC8" w:rsidRDefault="00D468B9" w:rsidP="00D468B9">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w:t>
      </w:r>
      <w:r w:rsidRPr="002C3EC8">
        <w:rPr>
          <w:rFonts w:ascii="Palatino Linotype" w:hAnsi="Palatino Linotype" w:cs="Arial"/>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D468B9" w:rsidRDefault="00D468B9" w:rsidP="00D468B9">
      <w:pPr>
        <w:tabs>
          <w:tab w:val="left" w:pos="709"/>
        </w:tabs>
        <w:spacing w:before="240" w:line="360" w:lineRule="auto"/>
        <w:ind w:right="51"/>
        <w:jc w:val="both"/>
        <w:rPr>
          <w:rFonts w:ascii="Palatino Linotype" w:hAnsi="Palatino Linotype"/>
          <w:b/>
          <w:sz w:val="28"/>
          <w:szCs w:val="28"/>
        </w:rPr>
      </w:pPr>
    </w:p>
    <w:p w:rsidR="00D468B9" w:rsidRPr="002C3EC8" w:rsidRDefault="00D468B9" w:rsidP="00D468B9">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D468B9" w:rsidRPr="007379EE" w:rsidRDefault="00D468B9" w:rsidP="00D468B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7379EE">
        <w:rPr>
          <w:rFonts w:ascii="Palatino Linotype" w:eastAsia="Palatino Linotype" w:hAnsi="Palatino Linotype" w:cs="Palatino Linotype"/>
          <w:color w:val="000000"/>
        </w:rPr>
        <w:lastRenderedPageBreak/>
        <w:t>y demás leyes aplicables en la materia, así como en los tratados internacionales en los que el Estado Mexicano sea parte, en concordancia con el párrafo tercero del artículo 1 de la Constitución Federal y el diverso 8 de la Ley de Transparencia local.</w:t>
      </w:r>
    </w:p>
    <w:p w:rsidR="00D468B9" w:rsidRDefault="00D468B9" w:rsidP="00D468B9">
      <w:pPr>
        <w:autoSpaceDE w:val="0"/>
        <w:autoSpaceDN w:val="0"/>
        <w:adjustRightInd w:val="0"/>
        <w:ind w:right="567"/>
        <w:rPr>
          <w:rFonts w:ascii="Palatino Linotype" w:eastAsia="Calibri" w:hAnsi="Palatino Linotype" w:cs="Arial"/>
        </w:rPr>
      </w:pPr>
    </w:p>
    <w:p w:rsidR="00D468B9" w:rsidRDefault="00D468B9" w:rsidP="00D468B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D468B9" w:rsidRDefault="00D468B9" w:rsidP="00D468B9">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D468B9" w:rsidRPr="00481989" w:rsidRDefault="00D468B9" w:rsidP="00D468B9">
      <w:pPr>
        <w:pStyle w:val="Citas"/>
        <w:numPr>
          <w:ilvl w:val="0"/>
          <w:numId w:val="3"/>
        </w:numPr>
        <w:spacing w:before="0" w:after="0" w:line="240" w:lineRule="auto"/>
        <w:rPr>
          <w:b/>
        </w:rPr>
      </w:pPr>
      <w:r w:rsidRPr="00481989">
        <w:rPr>
          <w:b/>
        </w:rPr>
        <w:t xml:space="preserve">La negativa a la información solicitada; </w:t>
      </w:r>
    </w:p>
    <w:p w:rsidR="00D468B9" w:rsidRDefault="00D468B9" w:rsidP="00D468B9">
      <w:pPr>
        <w:pStyle w:val="Citas"/>
        <w:numPr>
          <w:ilvl w:val="0"/>
          <w:numId w:val="3"/>
        </w:numPr>
        <w:spacing w:before="0" w:after="0" w:line="240" w:lineRule="auto"/>
      </w:pPr>
      <w:r w:rsidRPr="002E7A81">
        <w:t xml:space="preserve">La clasificación de la información; </w:t>
      </w:r>
    </w:p>
    <w:p w:rsidR="00D468B9" w:rsidRDefault="00D468B9" w:rsidP="00D468B9">
      <w:pPr>
        <w:pStyle w:val="Citas"/>
        <w:numPr>
          <w:ilvl w:val="0"/>
          <w:numId w:val="3"/>
        </w:numPr>
        <w:spacing w:before="0" w:after="0" w:line="240" w:lineRule="auto"/>
      </w:pPr>
      <w:r w:rsidRPr="002E7A81">
        <w:t xml:space="preserve">La declaración de inexistencia de la información; </w:t>
      </w:r>
    </w:p>
    <w:p w:rsidR="00D468B9" w:rsidRDefault="00D468B9" w:rsidP="00D468B9">
      <w:pPr>
        <w:pStyle w:val="Citas"/>
        <w:numPr>
          <w:ilvl w:val="0"/>
          <w:numId w:val="3"/>
        </w:numPr>
        <w:spacing w:before="0" w:after="0" w:line="240" w:lineRule="auto"/>
      </w:pPr>
      <w:r w:rsidRPr="002E7A81">
        <w:t xml:space="preserve">La declaración de incompetencia por el sujeto obligado; </w:t>
      </w:r>
    </w:p>
    <w:p w:rsidR="00D468B9" w:rsidRPr="00481989" w:rsidRDefault="00D468B9" w:rsidP="00D468B9">
      <w:pPr>
        <w:pStyle w:val="Citas"/>
        <w:numPr>
          <w:ilvl w:val="0"/>
          <w:numId w:val="3"/>
        </w:numPr>
        <w:spacing w:before="0" w:after="0" w:line="240" w:lineRule="auto"/>
      </w:pPr>
      <w:r w:rsidRPr="00481989">
        <w:t xml:space="preserve">La entrega de información incompleta; </w:t>
      </w:r>
    </w:p>
    <w:p w:rsidR="00D468B9" w:rsidRDefault="00D468B9" w:rsidP="00D468B9">
      <w:pPr>
        <w:pStyle w:val="Citas"/>
        <w:numPr>
          <w:ilvl w:val="0"/>
          <w:numId w:val="3"/>
        </w:numPr>
        <w:spacing w:before="0" w:after="0" w:line="240" w:lineRule="auto"/>
      </w:pPr>
      <w:r w:rsidRPr="002E7A81">
        <w:t xml:space="preserve">La entrega de información que no corresponda con lo solicitado; </w:t>
      </w:r>
    </w:p>
    <w:p w:rsidR="00D468B9" w:rsidRDefault="00D468B9" w:rsidP="00D468B9">
      <w:pPr>
        <w:pStyle w:val="Citas"/>
        <w:numPr>
          <w:ilvl w:val="0"/>
          <w:numId w:val="3"/>
        </w:numPr>
        <w:spacing w:before="0" w:after="0" w:line="240" w:lineRule="auto"/>
      </w:pPr>
      <w:r w:rsidRPr="002E7A81">
        <w:t xml:space="preserve">La falta de respuesta a una solicitud de acceso a la información; </w:t>
      </w:r>
    </w:p>
    <w:p w:rsidR="00D468B9" w:rsidRDefault="00D468B9" w:rsidP="00D468B9">
      <w:pPr>
        <w:pStyle w:val="Citas"/>
        <w:numPr>
          <w:ilvl w:val="0"/>
          <w:numId w:val="3"/>
        </w:numPr>
        <w:spacing w:before="0" w:after="0" w:line="240" w:lineRule="auto"/>
      </w:pPr>
      <w:r w:rsidRPr="002E7A81">
        <w:t xml:space="preserve">La notificación, entrega o puesta a disposición de información en una modalidad o formato distinto al solicitado; </w:t>
      </w:r>
    </w:p>
    <w:p w:rsidR="00D468B9" w:rsidRDefault="00D468B9" w:rsidP="00D468B9">
      <w:pPr>
        <w:pStyle w:val="Citas"/>
        <w:numPr>
          <w:ilvl w:val="0"/>
          <w:numId w:val="3"/>
        </w:numPr>
        <w:spacing w:before="0" w:after="0" w:line="240" w:lineRule="auto"/>
      </w:pPr>
      <w:r w:rsidRPr="002E7A81">
        <w:t xml:space="preserve">La entrega o puesta a disposición de información en un formato incomprensible y/o no accesible para el solicitante; </w:t>
      </w:r>
    </w:p>
    <w:p w:rsidR="00D468B9" w:rsidRDefault="00D468B9" w:rsidP="00D468B9">
      <w:pPr>
        <w:pStyle w:val="Citas"/>
        <w:numPr>
          <w:ilvl w:val="0"/>
          <w:numId w:val="3"/>
        </w:numPr>
        <w:spacing w:before="0" w:after="0" w:line="240" w:lineRule="auto"/>
      </w:pPr>
      <w:r w:rsidRPr="002E7A81">
        <w:t xml:space="preserve">Los costos o tiempos de entrega de la información; </w:t>
      </w:r>
    </w:p>
    <w:p w:rsidR="00D468B9" w:rsidRDefault="00D468B9" w:rsidP="00D468B9">
      <w:pPr>
        <w:pStyle w:val="Citas"/>
        <w:numPr>
          <w:ilvl w:val="0"/>
          <w:numId w:val="3"/>
        </w:numPr>
        <w:spacing w:before="0" w:after="0" w:line="240" w:lineRule="auto"/>
      </w:pPr>
      <w:r w:rsidRPr="002E7A81">
        <w:t xml:space="preserve">La falta de trámite a una solicitud; </w:t>
      </w:r>
    </w:p>
    <w:p w:rsidR="00D468B9" w:rsidRDefault="00D468B9" w:rsidP="00D468B9">
      <w:pPr>
        <w:pStyle w:val="Citas"/>
        <w:numPr>
          <w:ilvl w:val="0"/>
          <w:numId w:val="3"/>
        </w:numPr>
        <w:spacing w:before="0" w:after="0" w:line="240" w:lineRule="auto"/>
      </w:pPr>
      <w:r w:rsidRPr="002E7A81">
        <w:t xml:space="preserve">La negativa a permitir la consulta directa de la información; </w:t>
      </w:r>
    </w:p>
    <w:p w:rsidR="00D468B9" w:rsidRDefault="00D468B9" w:rsidP="00D468B9">
      <w:pPr>
        <w:pStyle w:val="Citas"/>
        <w:numPr>
          <w:ilvl w:val="0"/>
          <w:numId w:val="3"/>
        </w:numPr>
        <w:spacing w:before="0" w:after="0" w:line="240" w:lineRule="auto"/>
      </w:pPr>
      <w:r w:rsidRPr="002E7A81">
        <w:t xml:space="preserve">La falta, deficiencia o insuficiencia de la fundamentación y/o motivación en la respuesta; y </w:t>
      </w:r>
    </w:p>
    <w:p w:rsidR="00D468B9" w:rsidRDefault="00D468B9" w:rsidP="00D468B9">
      <w:pPr>
        <w:pStyle w:val="Citas"/>
        <w:numPr>
          <w:ilvl w:val="0"/>
          <w:numId w:val="3"/>
        </w:numPr>
        <w:spacing w:before="0" w:after="0" w:line="240" w:lineRule="auto"/>
      </w:pPr>
      <w:r w:rsidRPr="002E7A81">
        <w:t xml:space="preserve">La orientación a un trámite específico. </w:t>
      </w:r>
    </w:p>
    <w:p w:rsidR="00D468B9" w:rsidRPr="007379EE" w:rsidRDefault="00D468B9" w:rsidP="00D468B9">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D468B9" w:rsidRDefault="00D468B9" w:rsidP="00D468B9">
      <w:pPr>
        <w:autoSpaceDE w:val="0"/>
        <w:autoSpaceDN w:val="0"/>
        <w:adjustRightInd w:val="0"/>
        <w:ind w:right="567"/>
        <w:rPr>
          <w:rFonts w:ascii="Palatino Linotype" w:eastAsia="Calibri" w:hAnsi="Palatino Linotype" w:cs="Arial"/>
        </w:rPr>
      </w:pPr>
    </w:p>
    <w:p w:rsidR="00D468B9" w:rsidRDefault="00D468B9" w:rsidP="00D468B9">
      <w:pPr>
        <w:autoSpaceDE w:val="0"/>
        <w:autoSpaceDN w:val="0"/>
        <w:adjustRightInd w:val="0"/>
        <w:ind w:right="567"/>
        <w:rPr>
          <w:rFonts w:ascii="Palatino Linotype" w:eastAsia="Calibri" w:hAnsi="Palatino Linotype" w:cs="Arial"/>
        </w:rPr>
      </w:pPr>
    </w:p>
    <w:p w:rsidR="00D468B9" w:rsidRDefault="00D468B9" w:rsidP="00D468B9">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rsidR="00D468B9" w:rsidRDefault="00D468B9" w:rsidP="00D468B9">
      <w:pPr>
        <w:spacing w:line="360" w:lineRule="auto"/>
        <w:jc w:val="both"/>
        <w:rPr>
          <w:rFonts w:ascii="Palatino Linotype" w:hAnsi="Palatino Linotype" w:cs="Tahoma"/>
          <w:bCs/>
        </w:rPr>
      </w:pPr>
    </w:p>
    <w:p w:rsidR="00481989" w:rsidRPr="00481989" w:rsidRDefault="00481989" w:rsidP="00481989">
      <w:pPr>
        <w:pStyle w:val="Prrafodelista"/>
        <w:numPr>
          <w:ilvl w:val="0"/>
          <w:numId w:val="5"/>
        </w:numPr>
        <w:spacing w:line="360" w:lineRule="auto"/>
        <w:jc w:val="both"/>
        <w:rPr>
          <w:rFonts w:ascii="Palatino Linotype" w:hAnsi="Palatino Linotype" w:cs="Arial"/>
        </w:rPr>
      </w:pPr>
      <w:r w:rsidRPr="00481989">
        <w:rPr>
          <w:rFonts w:ascii="Palatino Linotype" w:hAnsi="Palatino Linotype" w:cs="Tahoma"/>
          <w:bCs/>
        </w:rPr>
        <w:lastRenderedPageBreak/>
        <w:t>Cuantos uniformes, chalecos, zapatos, pan</w:t>
      </w:r>
      <w:r>
        <w:rPr>
          <w:rFonts w:ascii="Palatino Linotype" w:hAnsi="Palatino Linotype" w:cs="Tahoma"/>
          <w:bCs/>
        </w:rPr>
        <w:t>t</w:t>
      </w:r>
      <w:r w:rsidRPr="00481989">
        <w:rPr>
          <w:rFonts w:ascii="Palatino Linotype" w:hAnsi="Palatino Linotype" w:cs="Tahoma"/>
          <w:bCs/>
        </w:rPr>
        <w:t>s se entregaron a los servidores públicos y policías de la administración en los que va de enero</w:t>
      </w:r>
      <w:r>
        <w:rPr>
          <w:rFonts w:ascii="Palatino Linotype" w:hAnsi="Palatino Linotype" w:cs="Tahoma"/>
          <w:bCs/>
        </w:rPr>
        <w:t>.</w:t>
      </w:r>
    </w:p>
    <w:p w:rsidR="00481989" w:rsidRPr="00481989" w:rsidRDefault="00481989" w:rsidP="00481989">
      <w:pPr>
        <w:pStyle w:val="Prrafodelista"/>
        <w:numPr>
          <w:ilvl w:val="0"/>
          <w:numId w:val="5"/>
        </w:numPr>
        <w:spacing w:line="360" w:lineRule="auto"/>
        <w:jc w:val="both"/>
        <w:rPr>
          <w:rFonts w:ascii="Palatino Linotype" w:hAnsi="Palatino Linotype" w:cs="Arial"/>
        </w:rPr>
      </w:pPr>
      <w:r>
        <w:rPr>
          <w:rFonts w:ascii="Palatino Linotype" w:hAnsi="Palatino Linotype" w:cs="Tahoma"/>
          <w:bCs/>
        </w:rPr>
        <w:t>De donde se sacó el presupuesto.</w:t>
      </w:r>
    </w:p>
    <w:p w:rsidR="00481989" w:rsidRPr="00481989" w:rsidRDefault="00481989" w:rsidP="00481989">
      <w:pPr>
        <w:pStyle w:val="Prrafodelista"/>
        <w:numPr>
          <w:ilvl w:val="0"/>
          <w:numId w:val="5"/>
        </w:numPr>
        <w:spacing w:line="360" w:lineRule="auto"/>
        <w:jc w:val="both"/>
        <w:rPr>
          <w:rFonts w:ascii="Palatino Linotype" w:hAnsi="Palatino Linotype" w:cs="Arial"/>
        </w:rPr>
      </w:pPr>
      <w:r>
        <w:rPr>
          <w:rFonts w:ascii="Palatino Linotype" w:hAnsi="Palatino Linotype" w:cs="Tahoma"/>
          <w:bCs/>
        </w:rPr>
        <w:t>C</w:t>
      </w:r>
      <w:r w:rsidRPr="00481989">
        <w:rPr>
          <w:rFonts w:ascii="Palatino Linotype" w:hAnsi="Palatino Linotype" w:cs="Tahoma"/>
          <w:bCs/>
        </w:rPr>
        <w:t>uanto costo cada uno de los u</w:t>
      </w:r>
      <w:r>
        <w:rPr>
          <w:rFonts w:ascii="Palatino Linotype" w:hAnsi="Palatino Linotype" w:cs="Tahoma"/>
          <w:bCs/>
        </w:rPr>
        <w:t>niformes, chalecos, zapatos.</w:t>
      </w:r>
    </w:p>
    <w:p w:rsidR="00481989" w:rsidRPr="00481989" w:rsidRDefault="00481989" w:rsidP="00481989">
      <w:pPr>
        <w:pStyle w:val="Prrafodelista"/>
        <w:numPr>
          <w:ilvl w:val="0"/>
          <w:numId w:val="5"/>
        </w:numPr>
        <w:spacing w:line="360" w:lineRule="auto"/>
        <w:jc w:val="both"/>
        <w:rPr>
          <w:rFonts w:ascii="Palatino Linotype" w:hAnsi="Palatino Linotype" w:cs="Arial"/>
        </w:rPr>
      </w:pPr>
      <w:r>
        <w:rPr>
          <w:rFonts w:ascii="Palatino Linotype" w:hAnsi="Palatino Linotype" w:cs="Tahoma"/>
          <w:bCs/>
        </w:rPr>
        <w:t>C</w:t>
      </w:r>
      <w:r w:rsidRPr="00481989">
        <w:rPr>
          <w:rFonts w:ascii="Palatino Linotype" w:hAnsi="Palatino Linotype" w:cs="Tahoma"/>
          <w:bCs/>
        </w:rPr>
        <w:t>ontrato y fa</w:t>
      </w:r>
      <w:r>
        <w:rPr>
          <w:rFonts w:ascii="Palatino Linotype" w:hAnsi="Palatino Linotype" w:cs="Tahoma"/>
          <w:bCs/>
        </w:rPr>
        <w:t>ctura pagadas al proveedor.</w:t>
      </w:r>
    </w:p>
    <w:p w:rsidR="00D468B9" w:rsidRPr="00983697" w:rsidRDefault="00481989" w:rsidP="00481989">
      <w:pPr>
        <w:pStyle w:val="Prrafodelista"/>
        <w:numPr>
          <w:ilvl w:val="0"/>
          <w:numId w:val="5"/>
        </w:numPr>
        <w:spacing w:line="360" w:lineRule="auto"/>
        <w:jc w:val="both"/>
        <w:rPr>
          <w:rFonts w:ascii="Palatino Linotype" w:hAnsi="Palatino Linotype" w:cs="Arial"/>
        </w:rPr>
      </w:pPr>
      <w:r>
        <w:rPr>
          <w:rFonts w:ascii="Palatino Linotype" w:hAnsi="Palatino Linotype" w:cs="Tahoma"/>
          <w:bCs/>
        </w:rPr>
        <w:t xml:space="preserve">Nombre, </w:t>
      </w:r>
      <w:r w:rsidRPr="00481989">
        <w:rPr>
          <w:rFonts w:ascii="Palatino Linotype" w:hAnsi="Palatino Linotype" w:cs="Tahoma"/>
          <w:bCs/>
        </w:rPr>
        <w:t>vale o documentos donde recibo cada servidor público.</w:t>
      </w:r>
    </w:p>
    <w:p w:rsidR="00D468B9" w:rsidRDefault="00D468B9" w:rsidP="00D468B9">
      <w:pPr>
        <w:spacing w:before="240" w:line="360" w:lineRule="auto"/>
        <w:jc w:val="both"/>
        <w:rPr>
          <w:rFonts w:ascii="Palatino Linotype" w:hAnsi="Palatino Linotype" w:cs="Arial"/>
        </w:rPr>
      </w:pPr>
    </w:p>
    <w:p w:rsidR="00D468B9" w:rsidRPr="001106D5" w:rsidRDefault="00D468B9" w:rsidP="00D468B9">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00529/TOLUCA/IP/2025</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D468B9" w:rsidRPr="00633B26" w:rsidRDefault="00361D87" w:rsidP="00361D87">
      <w:pPr>
        <w:pStyle w:val="Sinespaciado"/>
        <w:numPr>
          <w:ilvl w:val="0"/>
          <w:numId w:val="1"/>
        </w:numPr>
        <w:spacing w:before="240" w:line="360" w:lineRule="auto"/>
        <w:jc w:val="both"/>
        <w:rPr>
          <w:rFonts w:ascii="Palatino Linotype" w:hAnsi="Palatino Linotype" w:cs="Arial"/>
          <w:b/>
          <w:i/>
          <w:sz w:val="24"/>
        </w:rPr>
      </w:pPr>
      <w:r w:rsidRPr="00361D87">
        <w:rPr>
          <w:rFonts w:ascii="Palatino Linotype" w:hAnsi="Palatino Linotype" w:cs="Arial"/>
          <w:b/>
          <w:i/>
          <w:sz w:val="24"/>
        </w:rPr>
        <w:t>RESPUESTA 529. 2025.pdf</w:t>
      </w:r>
      <w:r w:rsidR="00D468B9" w:rsidRPr="00361D87">
        <w:rPr>
          <w:rFonts w:ascii="Palatino Linotype" w:hAnsi="Palatino Linotype" w:cs="Arial"/>
          <w:b/>
          <w:i/>
          <w:sz w:val="24"/>
        </w:rPr>
        <w:t xml:space="preserve">: </w:t>
      </w:r>
      <w:r w:rsidR="00D468B9" w:rsidRPr="00361D87">
        <w:rPr>
          <w:rFonts w:ascii="Palatino Linotype" w:hAnsi="Palatino Linotype" w:cs="Arial"/>
          <w:sz w:val="24"/>
        </w:rPr>
        <w:t xml:space="preserve">constante de </w:t>
      </w:r>
      <w:r>
        <w:rPr>
          <w:rFonts w:ascii="Palatino Linotype" w:hAnsi="Palatino Linotype" w:cs="Arial"/>
          <w:sz w:val="24"/>
        </w:rPr>
        <w:t>dos</w:t>
      </w:r>
      <w:r w:rsidR="00D468B9" w:rsidRPr="00361D87">
        <w:rPr>
          <w:rFonts w:ascii="Palatino Linotype" w:hAnsi="Palatino Linotype" w:cs="Arial"/>
          <w:sz w:val="24"/>
        </w:rPr>
        <w:t xml:space="preserve"> fojas, en formato </w:t>
      </w:r>
      <w:proofErr w:type="spellStart"/>
      <w:r w:rsidR="00D468B9" w:rsidRPr="00361D87">
        <w:rPr>
          <w:rFonts w:ascii="Palatino Linotype" w:hAnsi="Palatino Linotype" w:cs="Arial"/>
          <w:sz w:val="24"/>
        </w:rPr>
        <w:t>pdf</w:t>
      </w:r>
      <w:proofErr w:type="spellEnd"/>
      <w:r w:rsidR="00D468B9" w:rsidRPr="00361D87">
        <w:rPr>
          <w:rFonts w:ascii="Palatino Linotype" w:hAnsi="Palatino Linotype" w:cs="Arial"/>
          <w:sz w:val="24"/>
        </w:rPr>
        <w:t xml:space="preserve">, </w:t>
      </w:r>
      <w:r w:rsidR="00D468B9" w:rsidRPr="00633B26">
        <w:rPr>
          <w:rFonts w:ascii="Palatino Linotype" w:hAnsi="Palatino Linotype" w:cs="Arial"/>
          <w:sz w:val="24"/>
        </w:rPr>
        <w:t xml:space="preserve">de fecha </w:t>
      </w:r>
      <w:r>
        <w:rPr>
          <w:rFonts w:ascii="Palatino Linotype" w:hAnsi="Palatino Linotype" w:cs="Arial"/>
          <w:sz w:val="24"/>
        </w:rPr>
        <w:t>dieciocho</w:t>
      </w:r>
      <w:r w:rsidR="00D468B9">
        <w:rPr>
          <w:rFonts w:ascii="Palatino Linotype" w:hAnsi="Palatino Linotype" w:cs="Arial"/>
          <w:sz w:val="24"/>
        </w:rPr>
        <w:t xml:space="preserve"> de febrero</w:t>
      </w:r>
      <w:r w:rsidR="00D468B9" w:rsidRPr="00633B26">
        <w:rPr>
          <w:rFonts w:ascii="Palatino Linotype" w:hAnsi="Palatino Linotype" w:cs="Arial"/>
          <w:sz w:val="24"/>
        </w:rPr>
        <w:t xml:space="preserve"> de dos mil veinticinco, firmado por </w:t>
      </w:r>
      <w:r w:rsidR="00D468B9">
        <w:rPr>
          <w:rFonts w:ascii="Palatino Linotype" w:hAnsi="Palatino Linotype" w:cs="Arial"/>
          <w:sz w:val="24"/>
        </w:rPr>
        <w:t xml:space="preserve">la Titular de la </w:t>
      </w:r>
      <w:r>
        <w:rPr>
          <w:rFonts w:ascii="Palatino Linotype" w:hAnsi="Palatino Linotype" w:cs="Arial"/>
          <w:sz w:val="24"/>
        </w:rPr>
        <w:t>Unidad de Transparencia</w:t>
      </w:r>
      <w:r w:rsidR="00D468B9" w:rsidRPr="00633B26">
        <w:rPr>
          <w:rFonts w:ascii="Palatino Linotype" w:hAnsi="Palatino Linotype" w:cs="Arial"/>
          <w:sz w:val="24"/>
        </w:rPr>
        <w:t>, en el que refiere lo siguiente:</w:t>
      </w:r>
    </w:p>
    <w:p w:rsidR="00D468B9" w:rsidRDefault="00D468B9" w:rsidP="00D468B9">
      <w:pPr>
        <w:pStyle w:val="INFOEM"/>
      </w:pPr>
      <w:r>
        <w:t>“…</w:t>
      </w:r>
    </w:p>
    <w:p w:rsidR="00361D87" w:rsidRDefault="00361D87" w:rsidP="00361D87">
      <w:pPr>
        <w:pStyle w:val="INFOEM"/>
        <w:rPr>
          <w:lang w:val="es-ES"/>
        </w:rPr>
      </w:pPr>
      <w:r w:rsidRPr="00361D87">
        <w:rPr>
          <w:lang w:val="es-ES"/>
        </w:rPr>
        <w:t xml:space="preserve">hago de su conocimiento que la </w:t>
      </w:r>
      <w:r w:rsidRPr="00361D87">
        <w:rPr>
          <w:b/>
          <w:lang w:val="es-ES"/>
        </w:rPr>
        <w:t>Dirección General de Administración y Servidora Pública Habilitada</w:t>
      </w:r>
      <w:r w:rsidRPr="00361D87">
        <w:rPr>
          <w:lang w:val="es-ES"/>
        </w:rPr>
        <w:t xml:space="preserve">, </w:t>
      </w:r>
      <w:r w:rsidRPr="00361D87">
        <w:rPr>
          <w:u w:val="single"/>
          <w:lang w:val="es-ES"/>
        </w:rPr>
        <w:t>informó que la Dirección de Recursos Materiales, después de haber realizado una búsqueda exhaustiva y razonable en los archivos físicos y electrónicos que obran en esa Dirección y sus Departamentos, a la fecha de la presente, no se localizó contrato por</w:t>
      </w:r>
      <w:r w:rsidRPr="00361D87">
        <w:rPr>
          <w:lang w:val="es-ES"/>
        </w:rPr>
        <w:t xml:space="preserve"> "...uniformes, chalecos, zapatos, </w:t>
      </w:r>
      <w:proofErr w:type="spellStart"/>
      <w:r w:rsidRPr="00361D87">
        <w:rPr>
          <w:lang w:val="es-ES"/>
        </w:rPr>
        <w:t>pans</w:t>
      </w:r>
      <w:proofErr w:type="spellEnd"/>
      <w:r w:rsidRPr="00361D87">
        <w:rPr>
          <w:lang w:val="es-ES"/>
        </w:rPr>
        <w:t xml:space="preserve">...". </w:t>
      </w:r>
    </w:p>
    <w:p w:rsidR="00D468B9" w:rsidRPr="00361D87" w:rsidRDefault="00361D87" w:rsidP="00361D87">
      <w:pPr>
        <w:pStyle w:val="INFOEM"/>
        <w:rPr>
          <w:u w:val="single"/>
        </w:rPr>
      </w:pPr>
      <w:r w:rsidRPr="00361D87">
        <w:rPr>
          <w:lang w:val="es-ES"/>
        </w:rPr>
        <w:t xml:space="preserve">Así mismo la </w:t>
      </w:r>
      <w:r w:rsidRPr="00361D87">
        <w:rPr>
          <w:b/>
          <w:lang w:val="es-ES"/>
        </w:rPr>
        <w:t>Tesorería Municipal y Servidor Público Habilitado</w:t>
      </w:r>
      <w:r w:rsidRPr="00361D87">
        <w:rPr>
          <w:lang w:val="es-ES"/>
        </w:rPr>
        <w:t xml:space="preserve">, </w:t>
      </w:r>
      <w:r w:rsidRPr="00361D87">
        <w:rPr>
          <w:u w:val="single"/>
          <w:lang w:val="es-ES"/>
        </w:rPr>
        <w:t>informó que la información solicitada, se encuentra en proceso de integración en términos de los periodos establecidos para la aprobación del presupuesto correspondiente al ejercicio fiscal 2025.</w:t>
      </w:r>
    </w:p>
    <w:p w:rsidR="00D468B9" w:rsidRDefault="00D468B9" w:rsidP="00D468B9">
      <w:pPr>
        <w:pStyle w:val="INFOEM"/>
      </w:pPr>
      <w:r>
        <w:lastRenderedPageBreak/>
        <w:t>” (Sic)</w:t>
      </w:r>
    </w:p>
    <w:p w:rsidR="00D468B9" w:rsidRDefault="00D468B9" w:rsidP="00D468B9">
      <w:pPr>
        <w:spacing w:line="360" w:lineRule="auto"/>
        <w:jc w:val="both"/>
        <w:rPr>
          <w:rFonts w:ascii="Palatino Linotype" w:hAnsi="Palatino Linotype"/>
          <w:i/>
        </w:rPr>
      </w:pPr>
    </w:p>
    <w:p w:rsidR="00217F0B" w:rsidRDefault="00217F0B" w:rsidP="00D468B9">
      <w:pPr>
        <w:spacing w:line="360" w:lineRule="auto"/>
        <w:jc w:val="both"/>
        <w:rPr>
          <w:rFonts w:ascii="Palatino Linotype" w:hAnsi="Palatino Linotype" w:cs="Arial"/>
          <w:bCs/>
        </w:rPr>
      </w:pPr>
      <w:r>
        <w:rPr>
          <w:rFonts w:ascii="Palatino Linotype" w:hAnsi="Palatino Linotype" w:cs="Arial"/>
          <w:bCs/>
        </w:rPr>
        <w:t>De las constancias que obran en SAIMEX, se observa que los servidores públicos dieron respuesta a la solicitud de información, tal como se ilustra:</w:t>
      </w:r>
    </w:p>
    <w:p w:rsidR="00217F0B" w:rsidRDefault="00217F0B" w:rsidP="00217F0B">
      <w:pPr>
        <w:spacing w:line="360" w:lineRule="auto"/>
        <w:jc w:val="center"/>
        <w:rPr>
          <w:rFonts w:ascii="Palatino Linotype" w:hAnsi="Palatino Linotype" w:cs="Arial"/>
          <w:bCs/>
        </w:rPr>
      </w:pPr>
      <w:r>
        <w:rPr>
          <w:rFonts w:ascii="Palatino Linotype" w:hAnsi="Palatino Linotype" w:cs="Arial"/>
          <w:bCs/>
          <w:noProof/>
          <w:lang w:val="es-MX" w:eastAsia="es-MX"/>
        </w:rPr>
        <w:drawing>
          <wp:inline distT="0" distB="0" distL="0" distR="0">
            <wp:extent cx="5005297" cy="40005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78F326.tmp"/>
                    <pic:cNvPicPr/>
                  </pic:nvPicPr>
                  <pic:blipFill>
                    <a:blip r:embed="rId7">
                      <a:extLst>
                        <a:ext uri="{28A0092B-C50C-407E-A947-70E740481C1C}">
                          <a14:useLocalDpi xmlns:a14="http://schemas.microsoft.com/office/drawing/2010/main" val="0"/>
                        </a:ext>
                      </a:extLst>
                    </a:blip>
                    <a:stretch>
                      <a:fillRect/>
                    </a:stretch>
                  </pic:blipFill>
                  <pic:spPr>
                    <a:xfrm>
                      <a:off x="0" y="0"/>
                      <a:ext cx="5167958" cy="413051"/>
                    </a:xfrm>
                    <a:prstGeom prst="rect">
                      <a:avLst/>
                    </a:prstGeom>
                  </pic:spPr>
                </pic:pic>
              </a:graphicData>
            </a:graphic>
          </wp:inline>
        </w:drawing>
      </w:r>
    </w:p>
    <w:p w:rsidR="00217F0B" w:rsidRDefault="00217F0B" w:rsidP="00217F0B">
      <w:pPr>
        <w:spacing w:line="360" w:lineRule="auto"/>
        <w:jc w:val="center"/>
        <w:rPr>
          <w:rFonts w:ascii="Palatino Linotype" w:hAnsi="Palatino Linotype" w:cs="Arial"/>
          <w:bCs/>
        </w:rPr>
      </w:pPr>
      <w:r>
        <w:rPr>
          <w:rFonts w:ascii="Palatino Linotype" w:hAnsi="Palatino Linotype" w:cs="Arial"/>
          <w:bCs/>
          <w:noProof/>
          <w:lang w:val="es-MX" w:eastAsia="es-MX"/>
        </w:rPr>
        <w:drawing>
          <wp:inline distT="0" distB="0" distL="0" distR="0">
            <wp:extent cx="5709921" cy="752475"/>
            <wp:effectExtent l="0" t="0" r="508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784181.tmp"/>
                    <pic:cNvPicPr/>
                  </pic:nvPicPr>
                  <pic:blipFill>
                    <a:blip r:embed="rId8">
                      <a:extLst>
                        <a:ext uri="{28A0092B-C50C-407E-A947-70E740481C1C}">
                          <a14:useLocalDpi xmlns:a14="http://schemas.microsoft.com/office/drawing/2010/main" val="0"/>
                        </a:ext>
                      </a:extLst>
                    </a:blip>
                    <a:stretch>
                      <a:fillRect/>
                    </a:stretch>
                  </pic:blipFill>
                  <pic:spPr>
                    <a:xfrm>
                      <a:off x="0" y="0"/>
                      <a:ext cx="5811884" cy="765912"/>
                    </a:xfrm>
                    <a:prstGeom prst="rect">
                      <a:avLst/>
                    </a:prstGeom>
                  </pic:spPr>
                </pic:pic>
              </a:graphicData>
            </a:graphic>
          </wp:inline>
        </w:drawing>
      </w:r>
    </w:p>
    <w:p w:rsidR="00217F0B" w:rsidRDefault="00217F0B" w:rsidP="00D468B9">
      <w:pPr>
        <w:spacing w:line="360" w:lineRule="auto"/>
        <w:jc w:val="both"/>
        <w:rPr>
          <w:rFonts w:ascii="Palatino Linotype" w:hAnsi="Palatino Linotype" w:cs="Arial"/>
          <w:bCs/>
        </w:rPr>
      </w:pPr>
    </w:p>
    <w:p w:rsidR="00D468B9" w:rsidRPr="00AB3BF1" w:rsidRDefault="00D468B9" w:rsidP="00D468B9">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217F0B" w:rsidRPr="00217F0B">
        <w:rPr>
          <w:rFonts w:ascii="Palatino Linotype" w:hAnsi="Palatino Linotype"/>
          <w:i/>
        </w:rPr>
        <w:t>Hay evidencia pública que se dieron uniformes y lo niegan</w:t>
      </w:r>
      <w:r w:rsidRPr="0076255E">
        <w:rPr>
          <w:rFonts w:ascii="Palatino Linotype" w:hAnsi="Palatino Linotype"/>
          <w:i/>
        </w:rPr>
        <w:t xml:space="preserve">” </w:t>
      </w:r>
      <w:r w:rsidRPr="00205720">
        <w:rPr>
          <w:rFonts w:ascii="Palatino Linotype" w:hAnsi="Palatino Linotype"/>
          <w:i/>
        </w:rPr>
        <w:t>(Sic).</w:t>
      </w:r>
    </w:p>
    <w:p w:rsidR="00D468B9" w:rsidRDefault="00D468B9" w:rsidP="00615C48">
      <w:pPr>
        <w:widowControl w:val="0"/>
        <w:tabs>
          <w:tab w:val="left" w:pos="1701"/>
          <w:tab w:val="left" w:pos="1843"/>
        </w:tabs>
        <w:spacing w:before="360" w:after="240" w:line="360" w:lineRule="auto"/>
        <w:jc w:val="both"/>
        <w:rPr>
          <w:rFonts w:ascii="Palatino Linotype" w:hAnsi="Palatino Linotype" w:cs="Arial"/>
        </w:rPr>
      </w:pPr>
      <w:r w:rsidRPr="00590166">
        <w:rPr>
          <w:rFonts w:ascii="Palatino Linotype" w:eastAsia="Calibri" w:hAnsi="Palatino Linotype" w:cs="Calibri"/>
          <w:lang w:val="es-ES_tradnl" w:eastAsia="es-MX"/>
        </w:rPr>
        <w:t xml:space="preserve">De las constancias que obran en el expediente electrónico del SAIMEX, se advierte que el Sujeto Obligado rindió su informe justificado por medio </w:t>
      </w:r>
      <w:r w:rsidR="00A81C4B" w:rsidRPr="00590166">
        <w:rPr>
          <w:rFonts w:ascii="Palatino Linotype" w:eastAsia="Calibri" w:hAnsi="Palatino Linotype" w:cs="Calibri"/>
          <w:lang w:val="es-ES_tradnl" w:eastAsia="es-MX"/>
        </w:rPr>
        <w:t>del archivo electrónico</w:t>
      </w:r>
      <w:r w:rsidR="00A81C4B">
        <w:rPr>
          <w:rFonts w:ascii="Palatino Linotype" w:eastAsia="Calibri" w:hAnsi="Palatino Linotype" w:cs="Calibri"/>
          <w:lang w:val="es-ES_tradnl" w:eastAsia="es-MX"/>
        </w:rPr>
        <w:t xml:space="preserve"> denominado “</w:t>
      </w:r>
      <w:r w:rsidR="00A81C4B" w:rsidRPr="00A81C4B">
        <w:rPr>
          <w:rFonts w:ascii="Palatino Linotype" w:hAnsi="Palatino Linotype" w:cs="Arial"/>
          <w:b/>
          <w:i/>
        </w:rPr>
        <w:t>Informe Justificado 1700.pdf</w:t>
      </w:r>
      <w:r w:rsidR="00615C48">
        <w:rPr>
          <w:rFonts w:ascii="Palatino Linotype" w:hAnsi="Palatino Linotype" w:cs="Arial"/>
        </w:rPr>
        <w:t>”, en el que ratifica su respuesta.</w:t>
      </w:r>
    </w:p>
    <w:p w:rsidR="009109DE" w:rsidRDefault="009109DE" w:rsidP="00D468B9">
      <w:pPr>
        <w:spacing w:line="360" w:lineRule="auto"/>
        <w:jc w:val="both"/>
        <w:rPr>
          <w:rFonts w:ascii="Palatino Linotype" w:hAnsi="Palatino Linotype" w:cs="Arial"/>
        </w:rPr>
      </w:pPr>
    </w:p>
    <w:p w:rsidR="00D468B9" w:rsidRDefault="009109DE" w:rsidP="00D468B9">
      <w:pPr>
        <w:spacing w:line="360" w:lineRule="auto"/>
        <w:jc w:val="both"/>
        <w:rPr>
          <w:rFonts w:ascii="Palatino Linotype" w:hAnsi="Palatino Linotype" w:cs="Arial"/>
        </w:rPr>
      </w:pPr>
      <w:r>
        <w:rPr>
          <w:rFonts w:ascii="Palatino Linotype" w:hAnsi="Palatino Linotype" w:cs="Arial"/>
        </w:rPr>
        <w:t>En ese orden de ideas, resulta necesario</w:t>
      </w:r>
      <w:r w:rsidR="00D468B9">
        <w:rPr>
          <w:rFonts w:ascii="Palatino Linotype" w:hAnsi="Palatino Linotype" w:cs="Arial"/>
        </w:rPr>
        <w:t xml:space="preserve"> </w:t>
      </w:r>
      <w:r>
        <w:rPr>
          <w:rFonts w:ascii="Palatino Linotype" w:hAnsi="Palatino Linotype" w:cs="Arial"/>
        </w:rPr>
        <w:t>traer a colación el Código Reglamentario de Toluca, que a la letra dice:</w:t>
      </w:r>
    </w:p>
    <w:p w:rsidR="009109DE" w:rsidRDefault="009109DE" w:rsidP="009109DE">
      <w:pPr>
        <w:pStyle w:val="Citas"/>
      </w:pPr>
      <w:r w:rsidRPr="009109DE">
        <w:t xml:space="preserve">Artículo 3.2. Para la consulta, estudio, planeación y despacho de los asuntos en los diversos ramos de la administración pública municipal, el presidente municipal se regirá por la Constitución Federal, la Constitución Estatal, la Ley Orgánica </w:t>
      </w:r>
      <w:r w:rsidRPr="009109DE">
        <w:lastRenderedPageBreak/>
        <w:t xml:space="preserve">Municipal, el Bando Municipal, el presente Título y demás disposiciones que resulten aplicables y se auxiliará de la Secretaría del Ayuntamiento y de las siguientes:  </w:t>
      </w:r>
    </w:p>
    <w:p w:rsidR="009109DE" w:rsidRDefault="009109DE" w:rsidP="009109DE">
      <w:pPr>
        <w:pStyle w:val="Citas"/>
        <w:spacing w:line="240" w:lineRule="auto"/>
      </w:pPr>
      <w:r w:rsidRPr="009109DE">
        <w:t xml:space="preserve">I. DEPENDENCIAS:  </w:t>
      </w:r>
    </w:p>
    <w:p w:rsidR="009109DE" w:rsidRPr="00C03EAB" w:rsidRDefault="009109DE" w:rsidP="009109DE">
      <w:pPr>
        <w:pStyle w:val="Citas"/>
        <w:spacing w:line="240" w:lineRule="auto"/>
        <w:rPr>
          <w:b/>
        </w:rPr>
      </w:pPr>
      <w:r w:rsidRPr="00C03EAB">
        <w:rPr>
          <w:b/>
        </w:rPr>
        <w:t xml:space="preserve">1. Tesorería Municipal  </w:t>
      </w:r>
    </w:p>
    <w:p w:rsidR="009109DE" w:rsidRDefault="009109DE" w:rsidP="009109DE">
      <w:pPr>
        <w:pStyle w:val="Citas"/>
        <w:spacing w:line="240" w:lineRule="auto"/>
      </w:pPr>
      <w:r w:rsidRPr="009109DE">
        <w:t xml:space="preserve">2. Contraloría </w:t>
      </w:r>
    </w:p>
    <w:p w:rsidR="009109DE" w:rsidRDefault="009109DE" w:rsidP="009109DE">
      <w:pPr>
        <w:pStyle w:val="Citas"/>
        <w:spacing w:line="240" w:lineRule="auto"/>
      </w:pPr>
      <w:r w:rsidRPr="009109DE">
        <w:t xml:space="preserve">3. Dirección General de Gobierno </w:t>
      </w:r>
    </w:p>
    <w:p w:rsidR="009109DE" w:rsidRDefault="009109DE" w:rsidP="009109DE">
      <w:pPr>
        <w:pStyle w:val="Citas"/>
        <w:spacing w:line="240" w:lineRule="auto"/>
      </w:pPr>
      <w:r w:rsidRPr="009109DE">
        <w:t xml:space="preserve">4. Dirección General de Seguridad Pública </w:t>
      </w:r>
    </w:p>
    <w:p w:rsidR="009109DE" w:rsidRPr="00C03EAB" w:rsidRDefault="009109DE" w:rsidP="009109DE">
      <w:pPr>
        <w:pStyle w:val="Citas"/>
        <w:spacing w:line="240" w:lineRule="auto"/>
        <w:rPr>
          <w:b/>
        </w:rPr>
      </w:pPr>
      <w:r w:rsidRPr="00C03EAB">
        <w:rPr>
          <w:b/>
        </w:rPr>
        <w:t xml:space="preserve">5. Dirección General de Administración </w:t>
      </w:r>
    </w:p>
    <w:p w:rsidR="009109DE" w:rsidRDefault="009109DE" w:rsidP="009109DE">
      <w:pPr>
        <w:pStyle w:val="Citas"/>
        <w:spacing w:line="240" w:lineRule="auto"/>
      </w:pPr>
      <w:r w:rsidRPr="009109DE">
        <w:t xml:space="preserve">6. Dirección General de Medio Ambiente </w:t>
      </w:r>
    </w:p>
    <w:p w:rsidR="009109DE" w:rsidRDefault="009109DE" w:rsidP="009109DE">
      <w:pPr>
        <w:pStyle w:val="Citas"/>
        <w:spacing w:line="240" w:lineRule="auto"/>
      </w:pPr>
      <w:r w:rsidRPr="009109DE">
        <w:t xml:space="preserve">7. Dirección General de Servicios Públicos </w:t>
      </w:r>
    </w:p>
    <w:p w:rsidR="009109DE" w:rsidRDefault="009109DE" w:rsidP="009109DE">
      <w:pPr>
        <w:pStyle w:val="Citas"/>
        <w:spacing w:line="240" w:lineRule="auto"/>
      </w:pPr>
      <w:r w:rsidRPr="009109DE">
        <w:t xml:space="preserve">8. Dirección General de Desarrollo Urbano y Obra Pública </w:t>
      </w:r>
    </w:p>
    <w:p w:rsidR="009109DE" w:rsidRDefault="009109DE" w:rsidP="009109DE">
      <w:pPr>
        <w:pStyle w:val="Citas"/>
        <w:spacing w:line="240" w:lineRule="auto"/>
      </w:pPr>
      <w:r w:rsidRPr="009109DE">
        <w:t xml:space="preserve">9. Dirección General de Fomento Económico </w:t>
      </w:r>
    </w:p>
    <w:p w:rsidR="009109DE" w:rsidRDefault="009109DE" w:rsidP="009109DE">
      <w:pPr>
        <w:pStyle w:val="Citas"/>
        <w:spacing w:line="240" w:lineRule="auto"/>
      </w:pPr>
      <w:r w:rsidRPr="009109DE">
        <w:t>10. Dirección General de Bienestar Social</w:t>
      </w:r>
    </w:p>
    <w:p w:rsidR="00C03EAB" w:rsidRPr="00C03EAB" w:rsidRDefault="00C03EAB" w:rsidP="009109DE">
      <w:pPr>
        <w:pStyle w:val="Citas"/>
        <w:spacing w:line="240" w:lineRule="auto"/>
        <w:rPr>
          <w:b/>
        </w:rPr>
      </w:pPr>
      <w:r w:rsidRPr="00C03EAB">
        <w:rPr>
          <w:b/>
        </w:rPr>
        <w:t xml:space="preserve">Artículo 3.20. La o el titular de la Tesorería Municipal tendrá las siguientes atribuciones:  </w:t>
      </w:r>
    </w:p>
    <w:p w:rsidR="00C03EAB" w:rsidRDefault="00C03EAB" w:rsidP="00C03EAB">
      <w:pPr>
        <w:pStyle w:val="Citas"/>
        <w:numPr>
          <w:ilvl w:val="0"/>
          <w:numId w:val="8"/>
        </w:numPr>
        <w:spacing w:before="0" w:after="0" w:line="240" w:lineRule="auto"/>
      </w:pPr>
      <w:r w:rsidRPr="00C03EAB">
        <w:t xml:space="preserve">Coordinar la orientación técnica a los contribuyentes en el cumplimiento de sus obligaciones fiscales, el calendario de aplicación de las disposiciones tributarias y los procedimientos para su debida observancia;  </w:t>
      </w:r>
    </w:p>
    <w:p w:rsidR="00C03EAB" w:rsidRDefault="00C03EAB" w:rsidP="00C03EAB">
      <w:pPr>
        <w:pStyle w:val="Citas"/>
        <w:numPr>
          <w:ilvl w:val="0"/>
          <w:numId w:val="8"/>
        </w:numPr>
        <w:spacing w:before="0" w:after="0" w:line="240" w:lineRule="auto"/>
      </w:pPr>
      <w:r w:rsidRPr="00C03EAB">
        <w:t xml:space="preserve">Proporcionar la asesoría en materia de interpretación y aplicación de las leyes tributarias que le sea solicitada por el Ayuntamiento, la administración pública municipal y las o los contribuyentes;  </w:t>
      </w:r>
    </w:p>
    <w:p w:rsidR="00C03EAB" w:rsidRDefault="00C03EAB" w:rsidP="00C03EAB">
      <w:pPr>
        <w:pStyle w:val="Citas"/>
        <w:numPr>
          <w:ilvl w:val="0"/>
          <w:numId w:val="8"/>
        </w:numPr>
        <w:spacing w:before="0" w:after="0" w:line="240" w:lineRule="auto"/>
      </w:pPr>
      <w:r w:rsidRPr="00C03EAB">
        <w:t xml:space="preserve">Aplicar el procedimiento administrativo de ejecución para recuperar y/o cancelar los créditos fiscales, cuentas incobrables y cuentas incosteables;  </w:t>
      </w:r>
    </w:p>
    <w:p w:rsidR="00C03EAB" w:rsidRDefault="00C03EAB" w:rsidP="00C03EAB">
      <w:pPr>
        <w:pStyle w:val="Citas"/>
        <w:numPr>
          <w:ilvl w:val="0"/>
          <w:numId w:val="8"/>
        </w:numPr>
        <w:spacing w:before="0" w:after="0" w:line="240" w:lineRule="auto"/>
      </w:pPr>
      <w:r w:rsidRPr="00C03EAB">
        <w:t xml:space="preserve">Emitir las políticas que en materia de ejercicio presupuestal sean de observancia por las dependencias municipales;  </w:t>
      </w:r>
    </w:p>
    <w:p w:rsidR="00C03EAB" w:rsidRDefault="00C03EAB" w:rsidP="00C03EAB">
      <w:pPr>
        <w:pStyle w:val="Citas"/>
        <w:numPr>
          <w:ilvl w:val="0"/>
          <w:numId w:val="8"/>
        </w:numPr>
        <w:spacing w:before="0" w:after="0" w:line="240" w:lineRule="auto"/>
      </w:pPr>
      <w:r w:rsidRPr="00C03EAB">
        <w:t xml:space="preserve">Proponer las disposiciones de racionalidad, austeridad y disciplina presupuestales;  </w:t>
      </w:r>
    </w:p>
    <w:p w:rsidR="00C03EAB" w:rsidRPr="00C03EAB" w:rsidRDefault="00C03EAB" w:rsidP="00C03EAB">
      <w:pPr>
        <w:pStyle w:val="Citas"/>
        <w:numPr>
          <w:ilvl w:val="0"/>
          <w:numId w:val="8"/>
        </w:numPr>
        <w:spacing w:before="0" w:after="0" w:line="240" w:lineRule="auto"/>
        <w:rPr>
          <w:b/>
        </w:rPr>
      </w:pPr>
      <w:r w:rsidRPr="00C03EAB">
        <w:rPr>
          <w:b/>
        </w:rPr>
        <w:lastRenderedPageBreak/>
        <w:t xml:space="preserve">Otorgar suficiencia presupuestal a las solicitudes de adquisiciones y servicios, así como las ampliaciones del monto del gasto operativo de las dependencias y organismos auxiliares;  </w:t>
      </w:r>
    </w:p>
    <w:p w:rsidR="00C03EAB" w:rsidRPr="00C03EAB" w:rsidRDefault="00C03EAB" w:rsidP="00C03EAB">
      <w:pPr>
        <w:pStyle w:val="Citas"/>
        <w:numPr>
          <w:ilvl w:val="0"/>
          <w:numId w:val="8"/>
        </w:numPr>
        <w:spacing w:before="0" w:after="0" w:line="240" w:lineRule="auto"/>
        <w:rPr>
          <w:b/>
        </w:rPr>
      </w:pPr>
      <w:r w:rsidRPr="00C03EAB">
        <w:rPr>
          <w:b/>
        </w:rPr>
        <w:t xml:space="preserve">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  </w:t>
      </w:r>
    </w:p>
    <w:p w:rsidR="00C03EAB" w:rsidRDefault="00C03EAB" w:rsidP="00C03EAB">
      <w:pPr>
        <w:pStyle w:val="Citas"/>
        <w:spacing w:before="0" w:after="0" w:line="240" w:lineRule="auto"/>
        <w:ind w:left="1571"/>
      </w:pPr>
      <w:r>
        <w:t>…</w:t>
      </w:r>
    </w:p>
    <w:p w:rsidR="00C03EAB" w:rsidRPr="00C03EAB" w:rsidRDefault="00C03EAB" w:rsidP="00C03EAB">
      <w:pPr>
        <w:pStyle w:val="Citas"/>
        <w:numPr>
          <w:ilvl w:val="0"/>
          <w:numId w:val="3"/>
        </w:numPr>
        <w:spacing w:before="0" w:after="0" w:line="240" w:lineRule="auto"/>
        <w:rPr>
          <w:b/>
        </w:rPr>
      </w:pPr>
      <w:r w:rsidRPr="00C03EAB">
        <w:rPr>
          <w:b/>
        </w:rPr>
        <w:t xml:space="preserve">Proponer al Ayuntamiento los presupuestos de ingresos y egresos los cuales deberán ser elaborados y etiquetados con perspectiva de género, informar de su ejercicio y sugerir las modificaciones, en caso necesario;  </w:t>
      </w:r>
    </w:p>
    <w:p w:rsidR="00C03EAB" w:rsidRDefault="00C03EAB" w:rsidP="00C03EAB">
      <w:pPr>
        <w:pStyle w:val="Citas"/>
        <w:spacing w:before="0" w:after="0" w:line="240" w:lineRule="auto"/>
        <w:ind w:left="1571"/>
      </w:pPr>
      <w:r>
        <w:t>…</w:t>
      </w:r>
    </w:p>
    <w:p w:rsidR="00C03EAB" w:rsidRDefault="00C03EAB" w:rsidP="00C03EAB">
      <w:pPr>
        <w:pStyle w:val="Citas"/>
        <w:numPr>
          <w:ilvl w:val="0"/>
          <w:numId w:val="10"/>
        </w:numPr>
        <w:spacing w:before="0" w:after="0" w:line="240" w:lineRule="auto"/>
        <w:rPr>
          <w:b/>
        </w:rPr>
      </w:pPr>
      <w:r w:rsidRPr="00C03EAB">
        <w:rPr>
          <w:b/>
        </w:rPr>
        <w:t xml:space="preserve">Analizar las solicitudes de asignación presupuestaria entregadas por las áreas y, en su caso emitir las notificaciones correspondientes;  </w:t>
      </w:r>
    </w:p>
    <w:p w:rsidR="00C03EAB" w:rsidRPr="00C03EAB" w:rsidRDefault="00C03EAB" w:rsidP="00C03EAB">
      <w:pPr>
        <w:pStyle w:val="Citas"/>
        <w:spacing w:before="0" w:after="0" w:line="240" w:lineRule="auto"/>
        <w:ind w:left="1571"/>
        <w:rPr>
          <w:b/>
        </w:rPr>
      </w:pPr>
      <w:r>
        <w:t>…</w:t>
      </w:r>
    </w:p>
    <w:p w:rsidR="00685F10" w:rsidRDefault="00685F10" w:rsidP="009109DE">
      <w:pPr>
        <w:pStyle w:val="Citas"/>
        <w:spacing w:line="240" w:lineRule="auto"/>
      </w:pPr>
      <w:r w:rsidRPr="00685F10">
        <w:t xml:space="preserve">Artículo 3.44. La </w:t>
      </w:r>
      <w:r w:rsidRPr="00685F10">
        <w:rPr>
          <w:b/>
        </w:rPr>
        <w:t>Dirección General de Administración</w:t>
      </w:r>
      <w:r w:rsidRPr="00685F10">
        <w:t xml:space="preserve">, para el cumplimiento de sus atribuciones, se auxiliará de la Dirección de Recursos Humanos, de la </w:t>
      </w:r>
      <w:r w:rsidRPr="00685F10">
        <w:rPr>
          <w:b/>
        </w:rPr>
        <w:t>Dirección de Recursos Materiales</w:t>
      </w:r>
      <w:r w:rsidRPr="00685F10">
        <w:t>, de la Dirección de Servicios Generales y de la Dirección de Tecnologías de la Información y Gobierno Digital.</w:t>
      </w:r>
    </w:p>
    <w:p w:rsidR="00685F10" w:rsidRDefault="00685F10" w:rsidP="00685F10">
      <w:pPr>
        <w:pStyle w:val="Citas"/>
        <w:spacing w:line="240" w:lineRule="auto"/>
        <w:jc w:val="center"/>
      </w:pPr>
      <w:r w:rsidRPr="00685F10">
        <w:t>DIRECCIÓN DE RECURSOS MATERIALES</w:t>
      </w:r>
    </w:p>
    <w:p w:rsidR="00685F10" w:rsidRDefault="00685F10" w:rsidP="009109DE">
      <w:pPr>
        <w:pStyle w:val="Citas"/>
        <w:spacing w:line="240" w:lineRule="auto"/>
      </w:pPr>
      <w:r w:rsidRPr="00685F10">
        <w:t>Artículo 3.46. La o el titular de la Dirección de Recursos Materiales cuenta con las siguientes atribuciones:</w:t>
      </w:r>
    </w:p>
    <w:p w:rsidR="00685F10" w:rsidRPr="00685F10" w:rsidRDefault="00685F10" w:rsidP="00685F10">
      <w:pPr>
        <w:pStyle w:val="Citas"/>
        <w:numPr>
          <w:ilvl w:val="0"/>
          <w:numId w:val="11"/>
        </w:numPr>
        <w:spacing w:before="0" w:after="0" w:line="240" w:lineRule="auto"/>
        <w:rPr>
          <w:b/>
        </w:rPr>
      </w:pPr>
      <w:r w:rsidRPr="00685F10">
        <w:rPr>
          <w:b/>
        </w:rPr>
        <w:t xml:space="preserve">Llevar a cabo los procedimientos para la adquisición de los bienes y servicios y el arrendamiento, adquisición y enajenación de inmuebles en estricto apego a las disposiciones legales aplicables; </w:t>
      </w:r>
    </w:p>
    <w:p w:rsidR="00685F10" w:rsidRPr="00685F10" w:rsidRDefault="00685F10" w:rsidP="00685F10">
      <w:pPr>
        <w:pStyle w:val="Citas"/>
        <w:numPr>
          <w:ilvl w:val="0"/>
          <w:numId w:val="11"/>
        </w:numPr>
        <w:spacing w:before="0" w:after="0" w:line="240" w:lineRule="auto"/>
        <w:rPr>
          <w:b/>
        </w:rPr>
      </w:pPr>
      <w:r w:rsidRPr="00685F10">
        <w:rPr>
          <w:b/>
        </w:rPr>
        <w:t xml:space="preserve">Autorizar y suscribir los pedidos-contrato que se finquen relativos a procedimientos de adquisiciones y compras de bienes, materiales y suministros; </w:t>
      </w:r>
    </w:p>
    <w:p w:rsidR="00685F10" w:rsidRDefault="00685F10" w:rsidP="00685F10">
      <w:pPr>
        <w:pStyle w:val="Citas"/>
        <w:numPr>
          <w:ilvl w:val="0"/>
          <w:numId w:val="11"/>
        </w:numPr>
        <w:spacing w:before="0" w:after="0" w:line="240" w:lineRule="auto"/>
      </w:pPr>
      <w:r w:rsidRPr="00685F10">
        <w:t xml:space="preserve">Elaborar los contratos de adquisición de los bienes y servicios y de arrendamiento, adquisición y enajenación de inmuebles de competencia municipal;  </w:t>
      </w:r>
    </w:p>
    <w:p w:rsidR="00685F10" w:rsidRDefault="00685F10" w:rsidP="00685F10">
      <w:pPr>
        <w:pStyle w:val="Citas"/>
        <w:numPr>
          <w:ilvl w:val="0"/>
          <w:numId w:val="11"/>
        </w:numPr>
        <w:spacing w:before="0" w:after="0" w:line="240" w:lineRule="auto"/>
      </w:pPr>
      <w:r w:rsidRPr="00685F10">
        <w:t xml:space="preserve">Someter a consideración la autorización de prórroga para la entrega de bienes y servicios que sean solicitados por los proveedores o prestadores de servicios, de acuerdo a lo establecido en la normatividad establecida;  </w:t>
      </w:r>
    </w:p>
    <w:p w:rsidR="00685F10" w:rsidRDefault="00685F10" w:rsidP="00685F10">
      <w:pPr>
        <w:pStyle w:val="Citas"/>
        <w:numPr>
          <w:ilvl w:val="0"/>
          <w:numId w:val="11"/>
        </w:numPr>
        <w:spacing w:before="0" w:after="0" w:line="240" w:lineRule="auto"/>
      </w:pPr>
      <w:r w:rsidRPr="00685F10">
        <w:lastRenderedPageBreak/>
        <w:t xml:space="preserve">Mantener actualizado el padrón de proveedores; tomando en consideración, el tipo de bien y servicio que ofrece cada proveedor, este deberá cubrir los documentos y requisitos que establece la normatividad respectiva; </w:t>
      </w:r>
    </w:p>
    <w:p w:rsidR="00685F10" w:rsidRDefault="00685F10" w:rsidP="00685F10">
      <w:pPr>
        <w:pStyle w:val="Citas"/>
        <w:numPr>
          <w:ilvl w:val="0"/>
          <w:numId w:val="11"/>
        </w:numPr>
        <w:spacing w:before="0" w:after="0" w:line="240" w:lineRule="auto"/>
      </w:pPr>
      <w:r w:rsidRPr="00685F10">
        <w:t xml:space="preserve">Solicitar las cotizaciones necesarias para realizar los precios de referencia y estudios de mercado, conforme la normatividad respectiva; </w:t>
      </w:r>
    </w:p>
    <w:p w:rsidR="00685F10" w:rsidRDefault="00685F10" w:rsidP="00685F10">
      <w:pPr>
        <w:pStyle w:val="Citas"/>
        <w:numPr>
          <w:ilvl w:val="0"/>
          <w:numId w:val="11"/>
        </w:numPr>
        <w:spacing w:before="0" w:after="0" w:line="240" w:lineRule="auto"/>
      </w:pPr>
      <w:r w:rsidRPr="00685F10">
        <w:t xml:space="preserve">Llevar a cabo los trámites administrativos respectivos para la integración de los comités de adquisiciones y servicios, y arrendamientos, y adquisición y enajenación de bienes inmuebles, así mismo, deberá integrar los expedientes los temas a tratar por parte de cada comité; </w:t>
      </w:r>
    </w:p>
    <w:p w:rsidR="00685F10" w:rsidRDefault="00685F10" w:rsidP="00685F10">
      <w:pPr>
        <w:pStyle w:val="Citas"/>
        <w:numPr>
          <w:ilvl w:val="0"/>
          <w:numId w:val="11"/>
        </w:numPr>
        <w:spacing w:before="0" w:after="0" w:line="240" w:lineRule="auto"/>
      </w:pPr>
      <w:r w:rsidRPr="00685F10">
        <w:t>Aplicar las penas convencionales a aquellos proveedores que incumplan en cuanto a las fechas establecidas en los contratos de aquellos materiales,</w:t>
      </w:r>
      <w:r>
        <w:t xml:space="preserve"> </w:t>
      </w:r>
      <w:r w:rsidRPr="00685F10">
        <w:t xml:space="preserve">bienes y suministros que les fueron adjudicados, conforme a lo que establece la normatividad correspondiente; </w:t>
      </w:r>
    </w:p>
    <w:p w:rsidR="00685F10" w:rsidRDefault="00685F10" w:rsidP="00685F10">
      <w:pPr>
        <w:pStyle w:val="Citas"/>
        <w:numPr>
          <w:ilvl w:val="0"/>
          <w:numId w:val="11"/>
        </w:numPr>
        <w:spacing w:before="0" w:after="0" w:line="240" w:lineRule="auto"/>
      </w:pPr>
      <w:r w:rsidRPr="00685F10">
        <w:t xml:space="preserve">Controlar y vigilar el manejo y operación del almacén municipal, estableciendo un sistema estricto de recepción, resguardo y entrega de materiales, bienes y suministros, así como implementar periódicamente la elaboración de inventarios; </w:t>
      </w:r>
    </w:p>
    <w:p w:rsidR="00685F10" w:rsidRDefault="00685F10" w:rsidP="00685F10">
      <w:pPr>
        <w:pStyle w:val="Citas"/>
        <w:numPr>
          <w:ilvl w:val="0"/>
          <w:numId w:val="11"/>
        </w:numPr>
        <w:spacing w:before="0" w:after="0" w:line="240" w:lineRule="auto"/>
      </w:pPr>
      <w:r w:rsidRPr="00685F10">
        <w:t xml:space="preserve">Integrar y elaborar el sistema anual de adquisiciones de bienes y servicios calendarizado, con base en los montos por partida, objeto de gasto del presupuesto y establecer el procedimiento para su ejecución, previa autorización de los comités de adquisiciones y servicios y de arrendamientos, adquisición y enajenación de inmuebles; </w:t>
      </w:r>
    </w:p>
    <w:p w:rsidR="00685F10" w:rsidRDefault="00685F10" w:rsidP="00685F10">
      <w:pPr>
        <w:pStyle w:val="Citas"/>
        <w:numPr>
          <w:ilvl w:val="0"/>
          <w:numId w:val="11"/>
        </w:numPr>
        <w:spacing w:before="0" w:after="0" w:line="240" w:lineRule="auto"/>
      </w:pPr>
      <w:r w:rsidRPr="00685F10">
        <w:t xml:space="preserve">Derogada;  </w:t>
      </w:r>
    </w:p>
    <w:p w:rsidR="00685F10" w:rsidRDefault="00685F10" w:rsidP="00685F10">
      <w:pPr>
        <w:pStyle w:val="Citas"/>
        <w:numPr>
          <w:ilvl w:val="0"/>
          <w:numId w:val="11"/>
        </w:numPr>
        <w:spacing w:before="0" w:after="0" w:line="240" w:lineRule="auto"/>
      </w:pPr>
      <w:r w:rsidRPr="00685F10">
        <w:t xml:space="preserve">Derogada;  </w:t>
      </w:r>
    </w:p>
    <w:p w:rsidR="00685F10" w:rsidRDefault="00685F10" w:rsidP="00685F10">
      <w:pPr>
        <w:pStyle w:val="Citas"/>
        <w:numPr>
          <w:ilvl w:val="0"/>
          <w:numId w:val="11"/>
        </w:numPr>
        <w:spacing w:before="0" w:after="0" w:line="240" w:lineRule="auto"/>
      </w:pPr>
      <w:r w:rsidRPr="00685F10">
        <w:t xml:space="preserve">Realizar los trámites que procedan con la finalidad de contratar el aseguramiento del parque vehicular y equipo especial de las unidades que se encuentren activas y en funcionamiento, para lo cual, deberá contarse con un padrón vehicular actualizado; y </w:t>
      </w:r>
    </w:p>
    <w:p w:rsidR="009109DE" w:rsidRDefault="00685F10" w:rsidP="00685F10">
      <w:pPr>
        <w:pStyle w:val="Citas"/>
        <w:numPr>
          <w:ilvl w:val="0"/>
          <w:numId w:val="11"/>
        </w:numPr>
        <w:spacing w:before="0" w:after="0" w:line="240" w:lineRule="auto"/>
      </w:pPr>
      <w:r w:rsidRPr="00685F10">
        <w:t xml:space="preserve">Las demás que le asignen otros ordenamientos, el presidente municipal y la o el Director General de Administración.  </w:t>
      </w:r>
    </w:p>
    <w:p w:rsidR="009109DE" w:rsidRDefault="009109DE" w:rsidP="00D468B9">
      <w:pPr>
        <w:pStyle w:val="Sinespaciado"/>
        <w:spacing w:line="360" w:lineRule="auto"/>
        <w:jc w:val="both"/>
        <w:rPr>
          <w:rFonts w:ascii="Palatino Linotype" w:eastAsia="Palatino Linotype" w:hAnsi="Palatino Linotype" w:cs="Palatino Linotype"/>
          <w:color w:val="000000"/>
          <w:sz w:val="24"/>
          <w:lang w:val="es-ES_tradnl" w:eastAsia="es-MX"/>
        </w:rPr>
      </w:pPr>
    </w:p>
    <w:p w:rsidR="00803BB3" w:rsidRDefault="00685F10" w:rsidP="00D468B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Conforme a las atribuciones conferidas por el Código Reglamentario de Toluca a la Tesorería Municipal y a la Dirección General de Administración, se tiene que la primera de ellas, es el área facultada para formular el presupuesto de egresos y realizar las erogaciones de la administración pública, mientras que la segunda es el área encargada de abastecer</w:t>
      </w:r>
      <w:r w:rsidR="00803BB3">
        <w:rPr>
          <w:rFonts w:ascii="Palatino Linotype" w:eastAsia="Palatino Linotype" w:hAnsi="Palatino Linotype" w:cs="Palatino Linotype"/>
          <w:color w:val="000000"/>
          <w:sz w:val="24"/>
          <w:lang w:val="es-ES_tradnl" w:eastAsia="es-MX"/>
        </w:rPr>
        <w:t xml:space="preserve"> </w:t>
      </w:r>
      <w:r>
        <w:rPr>
          <w:rFonts w:ascii="Palatino Linotype" w:eastAsia="Palatino Linotype" w:hAnsi="Palatino Linotype" w:cs="Palatino Linotype"/>
          <w:color w:val="000000"/>
          <w:sz w:val="24"/>
          <w:lang w:val="es-ES_tradnl" w:eastAsia="es-MX"/>
        </w:rPr>
        <w:t>de recursos a las diferentes áreas, así como, suscribir contra</w:t>
      </w:r>
      <w:r w:rsidR="00803BB3">
        <w:rPr>
          <w:rFonts w:ascii="Palatino Linotype" w:eastAsia="Palatino Linotype" w:hAnsi="Palatino Linotype" w:cs="Palatino Linotype"/>
          <w:color w:val="000000"/>
          <w:sz w:val="24"/>
          <w:lang w:val="es-ES_tradnl" w:eastAsia="es-MX"/>
        </w:rPr>
        <w:t xml:space="preserve">tos de bienes y servicios, y llevar  a </w:t>
      </w:r>
      <w:r w:rsidR="00583CDD">
        <w:rPr>
          <w:rFonts w:ascii="Palatino Linotype" w:eastAsia="Palatino Linotype" w:hAnsi="Palatino Linotype" w:cs="Palatino Linotype"/>
          <w:color w:val="000000"/>
          <w:sz w:val="24"/>
          <w:lang w:val="es-ES_tradnl" w:eastAsia="es-MX"/>
        </w:rPr>
        <w:t>cabo</w:t>
      </w:r>
      <w:r w:rsidR="00803BB3">
        <w:rPr>
          <w:rFonts w:ascii="Palatino Linotype" w:eastAsia="Palatino Linotype" w:hAnsi="Palatino Linotype" w:cs="Palatino Linotype"/>
          <w:color w:val="000000"/>
          <w:sz w:val="24"/>
          <w:lang w:val="es-ES_tradnl" w:eastAsia="es-MX"/>
        </w:rPr>
        <w:t xml:space="preserve"> licitaciones publicados y/o adjudicaciones. </w:t>
      </w:r>
    </w:p>
    <w:p w:rsidR="00685F10" w:rsidRDefault="00803BB3" w:rsidP="00D468B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lastRenderedPageBreak/>
        <w:t>En virtud de lo anterior, se tiene que las áreas competentes para atender la solicitud han emitido un pronunciamiento como hecho negativo</w:t>
      </w:r>
      <w:r w:rsidR="00583CDD">
        <w:rPr>
          <w:rFonts w:ascii="Palatino Linotype" w:eastAsia="Palatino Linotype" w:hAnsi="Palatino Linotype" w:cs="Palatino Linotype"/>
          <w:color w:val="000000"/>
          <w:sz w:val="24"/>
          <w:lang w:val="es-ES_tradnl" w:eastAsia="es-MX"/>
        </w:rPr>
        <w:t xml:space="preserve">, </w:t>
      </w:r>
      <w:r w:rsidR="00583CDD" w:rsidRPr="00583CDD">
        <w:rPr>
          <w:rFonts w:ascii="Palatino Linotype" w:eastAsia="Calibri" w:hAnsi="Palatino Linotype" w:cs="Arial"/>
          <w:sz w:val="24"/>
        </w:rPr>
        <w:t>por lo tanto, dichos requerimientos no pueden obran en los archivos de dicha autoridad, ya que no puede probarse por ser lógica y materialmente imposible, en razón de que, al no haber generado dicha información, no la posee, no administra, y no cuenta con la misma.</w:t>
      </w:r>
    </w:p>
    <w:p w:rsidR="00685F10" w:rsidRDefault="00685F10" w:rsidP="00D468B9">
      <w:pPr>
        <w:pStyle w:val="Sinespaciado"/>
        <w:spacing w:line="360" w:lineRule="auto"/>
        <w:jc w:val="both"/>
        <w:rPr>
          <w:rFonts w:ascii="Palatino Linotype" w:eastAsia="Palatino Linotype" w:hAnsi="Palatino Linotype" w:cs="Palatino Linotype"/>
          <w:color w:val="000000"/>
          <w:sz w:val="24"/>
          <w:lang w:val="es-ES_tradnl" w:eastAsia="es-MX"/>
        </w:rPr>
      </w:pPr>
    </w:p>
    <w:p w:rsidR="00583CDD" w:rsidRPr="007769B2" w:rsidRDefault="00583CDD" w:rsidP="00583CDD">
      <w:pPr>
        <w:autoSpaceDE w:val="0"/>
        <w:autoSpaceDN w:val="0"/>
        <w:adjustRightInd w:val="0"/>
        <w:spacing w:line="360" w:lineRule="auto"/>
        <w:jc w:val="both"/>
        <w:rPr>
          <w:rFonts w:ascii="Palatino Linotype" w:eastAsia="Calibri" w:hAnsi="Palatino Linotype" w:cs="Arial"/>
        </w:rPr>
      </w:pPr>
      <w:r w:rsidRPr="007769B2">
        <w:rPr>
          <w:rFonts w:ascii="Palatino Linotype" w:eastAsia="Calibri" w:hAnsi="Palatino Linotype" w:cs="Arial"/>
        </w:rPr>
        <w:t>De lo anterior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rsidR="00583CDD" w:rsidRPr="007769B2" w:rsidRDefault="00583CDD" w:rsidP="00583CDD">
      <w:pPr>
        <w:spacing w:line="360" w:lineRule="auto"/>
        <w:ind w:right="51"/>
        <w:jc w:val="both"/>
        <w:rPr>
          <w:rFonts w:ascii="Palatino Linotype" w:hAnsi="Palatino Linotype" w:cs="Arial"/>
        </w:rPr>
      </w:pPr>
    </w:p>
    <w:p w:rsidR="00583CDD" w:rsidRPr="007769B2" w:rsidRDefault="00583CDD" w:rsidP="00583CDD">
      <w:pPr>
        <w:autoSpaceDE w:val="0"/>
        <w:autoSpaceDN w:val="0"/>
        <w:adjustRightInd w:val="0"/>
        <w:spacing w:line="360" w:lineRule="auto"/>
        <w:jc w:val="both"/>
        <w:rPr>
          <w:rFonts w:ascii="Palatino Linotype" w:eastAsia="Calibri" w:hAnsi="Palatino Linotype" w:cs="Arial"/>
        </w:rPr>
      </w:pPr>
      <w:r w:rsidRPr="007769B2">
        <w:rPr>
          <w:rFonts w:ascii="Palatino Linotype" w:eastAsia="Calibri" w:hAnsi="Palatino Linotype" w:cs="Arial"/>
        </w:rPr>
        <w:t>Por lo anterior sirve de sustento la Tesis Aislada 267287, emanada por el Máximo Juzgador de la Nación, la cual refiere lo siguiente:</w:t>
      </w:r>
    </w:p>
    <w:p w:rsidR="00583CDD" w:rsidRPr="007769B2" w:rsidRDefault="00583CDD" w:rsidP="00583CDD"/>
    <w:p w:rsidR="00583CDD" w:rsidRPr="007769B2" w:rsidRDefault="00583CDD" w:rsidP="00583CDD">
      <w:pPr>
        <w:shd w:val="clear" w:color="auto" w:fill="FFFFFF"/>
        <w:spacing w:before="120"/>
        <w:ind w:left="851" w:rightChars="386" w:right="926"/>
        <w:jc w:val="both"/>
        <w:rPr>
          <w:rFonts w:ascii="Palatino Linotype" w:eastAsia="Calibri" w:hAnsi="Palatino Linotype"/>
          <w:color w:val="222222"/>
        </w:rPr>
      </w:pPr>
      <w:r w:rsidRPr="007769B2">
        <w:rPr>
          <w:rFonts w:ascii="Palatino Linotype" w:eastAsia="Calibri" w:hAnsi="Palatino Linotype"/>
          <w:b/>
          <w:bCs/>
          <w:i/>
          <w:iCs/>
          <w:color w:val="222222"/>
        </w:rPr>
        <w:t>HECHOS NEGATIVOS, NO SON SUSCEPTIBLES DE DEMOSTRACIÓN. ”</w:t>
      </w:r>
      <w:r w:rsidRPr="007769B2">
        <w:rPr>
          <w:rFonts w:ascii="Palatino Linotype" w:eastAsia="Calibri" w:hAnsi="Palatino Linotype"/>
          <w:i/>
          <w:iCs/>
          <w:color w:val="222222"/>
        </w:rPr>
        <w:t>Tratándose de un hecho negativo, el Juez no tiene por qué invocar prueba alguna de la que se desprenda, ya que es bien sabido que esta clase de hechos no son susceptibles de demostración.</w:t>
      </w:r>
    </w:p>
    <w:p w:rsidR="00583CDD" w:rsidRPr="007769B2" w:rsidRDefault="00583CDD" w:rsidP="00583CDD">
      <w:pPr>
        <w:shd w:val="clear" w:color="auto" w:fill="FFFFFF"/>
        <w:ind w:left="851" w:rightChars="386" w:right="926"/>
        <w:jc w:val="both"/>
        <w:rPr>
          <w:rFonts w:ascii="Palatino Linotype" w:eastAsia="Calibri" w:hAnsi="Palatino Linotype"/>
          <w:i/>
          <w:iCs/>
          <w:color w:val="222222"/>
        </w:rPr>
      </w:pPr>
      <w:r w:rsidRPr="007769B2">
        <w:rPr>
          <w:rFonts w:ascii="Palatino Linotype" w:eastAsia="Calibri" w:hAnsi="Palatino Linotype"/>
          <w:i/>
          <w:iCs/>
          <w:color w:val="222222"/>
        </w:rPr>
        <w:t>Amparo en revisión 2022/61. José García Florín (Menor). 9 de octubre de 1961. Cinco votos. Ponente: José Rivera Pérez Campos.”</w:t>
      </w:r>
    </w:p>
    <w:p w:rsidR="00583CDD" w:rsidRPr="007769B2" w:rsidRDefault="00583CDD" w:rsidP="00583CDD">
      <w:pPr>
        <w:rPr>
          <w:sz w:val="14"/>
        </w:rPr>
      </w:pPr>
    </w:p>
    <w:p w:rsidR="00583CDD" w:rsidRPr="007769B2" w:rsidRDefault="00583CDD" w:rsidP="00583CDD">
      <w:pPr>
        <w:autoSpaceDE w:val="0"/>
        <w:autoSpaceDN w:val="0"/>
        <w:adjustRightInd w:val="0"/>
        <w:spacing w:before="240" w:line="360" w:lineRule="auto"/>
        <w:jc w:val="both"/>
        <w:rPr>
          <w:rFonts w:ascii="Palatino Linotype" w:eastAsia="Calibri" w:hAnsi="Palatino Linotype" w:cs="Arial"/>
        </w:rPr>
      </w:pPr>
      <w:r w:rsidRPr="007769B2">
        <w:rPr>
          <w:rFonts w:ascii="Palatino Linotype" w:eastAsia="Calibri" w:hAnsi="Palatino Linotype" w:cs="Arial"/>
        </w:rPr>
        <w:t>De igual forma viene a colación el Criterio 7/2017, emitido por el Instituto Nacional de Transparencia, Acceso a la Información y Protección de Datos Personales, cuyo texto se transcribe a continuación:</w:t>
      </w:r>
    </w:p>
    <w:p w:rsidR="00583CDD" w:rsidRPr="007769B2" w:rsidRDefault="00583CDD" w:rsidP="00583CDD">
      <w:pPr>
        <w:tabs>
          <w:tab w:val="left" w:pos="851"/>
        </w:tabs>
        <w:spacing w:before="240" w:after="240" w:line="276" w:lineRule="auto"/>
        <w:ind w:left="851" w:right="850"/>
        <w:jc w:val="both"/>
        <w:rPr>
          <w:i/>
          <w:color w:val="222222"/>
        </w:rPr>
      </w:pPr>
      <w:r w:rsidRPr="007769B2">
        <w:rPr>
          <w:rFonts w:ascii="Palatino Linotype" w:hAnsi="Palatino Linotype"/>
          <w:b/>
          <w:i/>
          <w:color w:val="222222"/>
        </w:rPr>
        <w:t>Casos en los que no es necesario que el Comité de Transparencia confirme formalmente la inexistencia de la información.</w:t>
      </w:r>
      <w:r w:rsidRPr="007769B2">
        <w:rPr>
          <w:rFonts w:ascii="Palatino Linotype" w:hAnsi="Palatino Linotype"/>
          <w:i/>
          <w:color w:val="222222"/>
        </w:rPr>
        <w:t xml:space="preserve"> “La Ley General de Transparencia y Acceso a la Información Pública y la Ley Federal </w:t>
      </w:r>
      <w:r w:rsidRPr="007769B2">
        <w:rPr>
          <w:rFonts w:ascii="Palatino Linotype" w:hAnsi="Palatino Linotype"/>
          <w:i/>
          <w:color w:val="222222"/>
        </w:rPr>
        <w:lastRenderedPageBreak/>
        <w:t>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7769B2">
        <w:rPr>
          <w:i/>
          <w:color w:val="222222"/>
        </w:rPr>
        <w:t>.</w:t>
      </w:r>
    </w:p>
    <w:p w:rsidR="00583CDD" w:rsidRDefault="00583CDD" w:rsidP="00D468B9">
      <w:pPr>
        <w:pStyle w:val="Sinespaciado"/>
        <w:spacing w:line="360" w:lineRule="auto"/>
        <w:jc w:val="both"/>
        <w:rPr>
          <w:rFonts w:ascii="Palatino Linotype" w:eastAsia="Palatino Linotype" w:hAnsi="Palatino Linotype" w:cs="Palatino Linotype"/>
          <w:color w:val="000000"/>
          <w:sz w:val="24"/>
          <w:lang w:val="es-ES_tradnl" w:eastAsia="es-MX"/>
        </w:rPr>
      </w:pPr>
    </w:p>
    <w:p w:rsidR="00D468B9" w:rsidRPr="006F1142" w:rsidRDefault="009109DE" w:rsidP="00D468B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Q</w:t>
      </w:r>
      <w:r w:rsidR="00D468B9" w:rsidRPr="006F1142">
        <w:rPr>
          <w:rFonts w:ascii="Palatino Linotype" w:eastAsia="Palatino Linotype" w:hAnsi="Palatino Linotype" w:cs="Palatino Linotype"/>
          <w:color w:val="000000"/>
          <w:sz w:val="24"/>
          <w:lang w:val="es-ES_tradnl" w:eastAsia="es-MX"/>
        </w:rPr>
        <w:t xml:space="preserve">uedando establecido lo anterior, este Órgano Garante considera viable realizar el estudio en aras de establecer si la respuesta </w:t>
      </w:r>
      <w:r w:rsidR="00D468B9">
        <w:rPr>
          <w:rFonts w:ascii="Palatino Linotype" w:eastAsia="Palatino Linotype" w:hAnsi="Palatino Linotype" w:cs="Palatino Linotype"/>
          <w:color w:val="000000"/>
          <w:sz w:val="24"/>
          <w:lang w:val="es-ES_tradnl" w:eastAsia="es-MX"/>
        </w:rPr>
        <w:t>del Sujeto Obligado colma</w:t>
      </w:r>
      <w:r w:rsidR="00D468B9"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rsidR="00D468B9" w:rsidRPr="00177253" w:rsidRDefault="00D468B9" w:rsidP="00D468B9">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97"/>
        <w:gridCol w:w="4333"/>
        <w:gridCol w:w="1824"/>
      </w:tblGrid>
      <w:tr w:rsidR="00D468B9" w:rsidTr="00685F10">
        <w:trPr>
          <w:trHeight w:val="396"/>
        </w:trPr>
        <w:tc>
          <w:tcPr>
            <w:tcW w:w="2997" w:type="dxa"/>
            <w:shd w:val="clear" w:color="auto" w:fill="E7E6E6" w:themeFill="background2"/>
          </w:tcPr>
          <w:p w:rsidR="00D468B9" w:rsidRPr="00E80E99" w:rsidRDefault="00D468B9" w:rsidP="00685F10">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333" w:type="dxa"/>
            <w:shd w:val="clear" w:color="auto" w:fill="E7E6E6" w:themeFill="background2"/>
          </w:tcPr>
          <w:p w:rsidR="00D468B9" w:rsidRPr="00E80E99" w:rsidRDefault="00D468B9" w:rsidP="00685F10">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824" w:type="dxa"/>
            <w:shd w:val="clear" w:color="auto" w:fill="E7E6E6" w:themeFill="background2"/>
          </w:tcPr>
          <w:p w:rsidR="00D468B9" w:rsidRPr="00E80E99" w:rsidRDefault="00D468B9" w:rsidP="00685F10">
            <w:pPr>
              <w:spacing w:line="360" w:lineRule="auto"/>
              <w:jc w:val="center"/>
              <w:rPr>
                <w:rFonts w:ascii="Palatino Linotype" w:hAnsi="Palatino Linotype"/>
                <w:b/>
                <w:i/>
                <w:color w:val="000000"/>
              </w:rPr>
            </w:pPr>
            <w:r>
              <w:rPr>
                <w:rFonts w:ascii="Palatino Linotype" w:hAnsi="Palatino Linotype"/>
                <w:b/>
                <w:i/>
                <w:color w:val="000000"/>
              </w:rPr>
              <w:t>Colma</w:t>
            </w:r>
          </w:p>
        </w:tc>
      </w:tr>
      <w:tr w:rsidR="00D468B9" w:rsidTr="00685F10">
        <w:trPr>
          <w:trHeight w:val="1197"/>
        </w:trPr>
        <w:tc>
          <w:tcPr>
            <w:tcW w:w="2997" w:type="dxa"/>
          </w:tcPr>
          <w:p w:rsidR="00D468B9" w:rsidRPr="007D6649" w:rsidRDefault="009109DE" w:rsidP="00685F10">
            <w:pPr>
              <w:tabs>
                <w:tab w:val="left" w:pos="1828"/>
              </w:tabs>
              <w:jc w:val="both"/>
              <w:rPr>
                <w:rFonts w:ascii="Palatino Linotype" w:hAnsi="Palatino Linotype" w:cs="Tahoma"/>
                <w:bCs/>
                <w:sz w:val="22"/>
              </w:rPr>
            </w:pPr>
            <w:r w:rsidRPr="009109DE">
              <w:rPr>
                <w:rFonts w:ascii="Palatino Linotype" w:hAnsi="Palatino Linotype" w:cs="Tahoma"/>
                <w:bCs/>
                <w:sz w:val="22"/>
              </w:rPr>
              <w:t>Cuantos uniformes, chalecos, zapatos, pants se entregaron a los servidores públicos y policías de la administración en los que va de enero</w:t>
            </w:r>
          </w:p>
        </w:tc>
        <w:tc>
          <w:tcPr>
            <w:tcW w:w="4333" w:type="dxa"/>
          </w:tcPr>
          <w:p w:rsidR="00D468B9" w:rsidRPr="00265709" w:rsidRDefault="009109DE" w:rsidP="00685F10">
            <w:pPr>
              <w:jc w:val="both"/>
              <w:rPr>
                <w:rFonts w:ascii="Palatino Linotype" w:hAnsi="Palatino Linotype"/>
                <w:color w:val="000000"/>
              </w:rPr>
            </w:pPr>
            <w:r>
              <w:rPr>
                <w:rFonts w:ascii="Palatino Linotype" w:hAnsi="Palatino Linotype"/>
                <w:color w:val="000000"/>
              </w:rPr>
              <w:t>L</w:t>
            </w:r>
            <w:r w:rsidRPr="009109DE">
              <w:rPr>
                <w:rFonts w:ascii="Palatino Linotype" w:hAnsi="Palatino Linotype"/>
                <w:color w:val="000000"/>
              </w:rPr>
              <w:t xml:space="preserve">a Dirección de Recursos Materiales, después de haber realizado una búsqueda exhaustiva y razonable en los archivos físicos y electrónicos que obran en esa Dirección y sus Departamentos, </w:t>
            </w:r>
            <w:r>
              <w:rPr>
                <w:rFonts w:ascii="Palatino Linotype" w:hAnsi="Palatino Linotype"/>
                <w:color w:val="000000"/>
              </w:rPr>
              <w:t xml:space="preserve">informó que </w:t>
            </w:r>
            <w:r w:rsidRPr="009109DE">
              <w:rPr>
                <w:rFonts w:ascii="Palatino Linotype" w:hAnsi="Palatino Linotype"/>
                <w:color w:val="000000"/>
              </w:rPr>
              <w:t>a la fecha de la presente, no se localizó contrato</w:t>
            </w:r>
            <w:r>
              <w:rPr>
                <w:rFonts w:ascii="Palatino Linotype" w:hAnsi="Palatino Linotype"/>
                <w:color w:val="000000"/>
              </w:rPr>
              <w:t>.</w:t>
            </w:r>
          </w:p>
        </w:tc>
        <w:tc>
          <w:tcPr>
            <w:tcW w:w="1824" w:type="dxa"/>
          </w:tcPr>
          <w:p w:rsidR="00D468B9" w:rsidRPr="009109DE" w:rsidRDefault="009109DE" w:rsidP="00685F10">
            <w:pPr>
              <w:jc w:val="center"/>
              <w:rPr>
                <w:rFonts w:ascii="Palatino Linotype" w:hAnsi="Palatino Linotype"/>
                <w:b/>
                <w:i/>
              </w:rPr>
            </w:pPr>
            <w:r w:rsidRPr="009109DE">
              <w:rPr>
                <w:rFonts w:ascii="Palatino Linotype" w:hAnsi="Palatino Linotype"/>
                <w:b/>
                <w:i/>
              </w:rPr>
              <w:t>Sí</w:t>
            </w:r>
          </w:p>
        </w:tc>
      </w:tr>
      <w:tr w:rsidR="009109DE" w:rsidTr="00685F10">
        <w:trPr>
          <w:trHeight w:val="1197"/>
        </w:trPr>
        <w:tc>
          <w:tcPr>
            <w:tcW w:w="2997" w:type="dxa"/>
          </w:tcPr>
          <w:p w:rsidR="009109DE" w:rsidRPr="007D6649" w:rsidRDefault="009109DE" w:rsidP="00685F10">
            <w:pPr>
              <w:tabs>
                <w:tab w:val="left" w:pos="1828"/>
              </w:tabs>
              <w:jc w:val="both"/>
              <w:rPr>
                <w:rFonts w:ascii="Palatino Linotype" w:hAnsi="Palatino Linotype" w:cs="Tahoma"/>
                <w:bCs/>
                <w:sz w:val="22"/>
              </w:rPr>
            </w:pPr>
            <w:r w:rsidRPr="009109DE">
              <w:rPr>
                <w:rFonts w:ascii="Palatino Linotype" w:hAnsi="Palatino Linotype" w:cs="Tahoma"/>
                <w:bCs/>
                <w:sz w:val="22"/>
              </w:rPr>
              <w:t>De donde se sacó el presupuesto</w:t>
            </w:r>
          </w:p>
        </w:tc>
        <w:tc>
          <w:tcPr>
            <w:tcW w:w="4333" w:type="dxa"/>
            <w:vMerge w:val="restart"/>
          </w:tcPr>
          <w:p w:rsidR="009109DE" w:rsidRPr="00265709" w:rsidRDefault="009109DE" w:rsidP="00685F10">
            <w:pPr>
              <w:jc w:val="both"/>
              <w:rPr>
                <w:rFonts w:ascii="Palatino Linotype" w:hAnsi="Palatino Linotype"/>
                <w:color w:val="000000"/>
              </w:rPr>
            </w:pPr>
            <w:r>
              <w:rPr>
                <w:rFonts w:ascii="Palatino Linotype" w:hAnsi="Palatino Linotype"/>
                <w:color w:val="000000"/>
              </w:rPr>
              <w:t>La</w:t>
            </w:r>
            <w:r w:rsidRPr="009109DE">
              <w:rPr>
                <w:rFonts w:ascii="Palatino Linotype" w:hAnsi="Palatino Linotype"/>
                <w:color w:val="000000"/>
              </w:rPr>
              <w:t xml:space="preserve"> Tesorería Municipal y Servidor Público Habilitado, informó que la información solicitada, se encuentra en proceso de integración en términos de los periodos establecidos para la aprobación del presupuesto correspondiente al ejercicio fiscal 2025.</w:t>
            </w:r>
          </w:p>
        </w:tc>
        <w:tc>
          <w:tcPr>
            <w:tcW w:w="1824" w:type="dxa"/>
          </w:tcPr>
          <w:p w:rsidR="009109DE" w:rsidRPr="00B640D7" w:rsidRDefault="009109DE" w:rsidP="00685F10">
            <w:pPr>
              <w:jc w:val="center"/>
              <w:rPr>
                <w:rFonts w:ascii="Palatino Linotype" w:hAnsi="Palatino Linotype"/>
                <w:i/>
              </w:rPr>
            </w:pPr>
            <w:r w:rsidRPr="009109DE">
              <w:rPr>
                <w:rFonts w:ascii="Palatino Linotype" w:hAnsi="Palatino Linotype"/>
                <w:b/>
                <w:i/>
              </w:rPr>
              <w:t>Sí</w:t>
            </w:r>
          </w:p>
        </w:tc>
      </w:tr>
      <w:tr w:rsidR="009109DE" w:rsidTr="00685F10">
        <w:trPr>
          <w:trHeight w:val="1197"/>
        </w:trPr>
        <w:tc>
          <w:tcPr>
            <w:tcW w:w="2997" w:type="dxa"/>
          </w:tcPr>
          <w:p w:rsidR="009109DE" w:rsidRPr="007D6649" w:rsidRDefault="009109DE" w:rsidP="00685F10">
            <w:pPr>
              <w:tabs>
                <w:tab w:val="left" w:pos="1828"/>
              </w:tabs>
              <w:jc w:val="both"/>
              <w:rPr>
                <w:rFonts w:ascii="Palatino Linotype" w:hAnsi="Palatino Linotype" w:cs="Tahoma"/>
                <w:bCs/>
                <w:sz w:val="22"/>
              </w:rPr>
            </w:pPr>
            <w:r w:rsidRPr="009109DE">
              <w:rPr>
                <w:rFonts w:ascii="Palatino Linotype" w:hAnsi="Palatino Linotype" w:cs="Tahoma"/>
                <w:bCs/>
                <w:sz w:val="22"/>
              </w:rPr>
              <w:t>Cuanto costo cada uno de los uniformes, chalecos, zapatos</w:t>
            </w:r>
          </w:p>
        </w:tc>
        <w:tc>
          <w:tcPr>
            <w:tcW w:w="4333" w:type="dxa"/>
            <w:vMerge/>
          </w:tcPr>
          <w:p w:rsidR="009109DE" w:rsidRPr="00265709" w:rsidRDefault="009109DE" w:rsidP="00685F10">
            <w:pPr>
              <w:jc w:val="both"/>
              <w:rPr>
                <w:rFonts w:ascii="Palatino Linotype" w:hAnsi="Palatino Linotype"/>
                <w:color w:val="000000"/>
              </w:rPr>
            </w:pPr>
          </w:p>
        </w:tc>
        <w:tc>
          <w:tcPr>
            <w:tcW w:w="1824" w:type="dxa"/>
          </w:tcPr>
          <w:p w:rsidR="009109DE" w:rsidRPr="00B640D7" w:rsidRDefault="009109DE" w:rsidP="00685F10">
            <w:pPr>
              <w:jc w:val="center"/>
              <w:rPr>
                <w:rFonts w:ascii="Palatino Linotype" w:hAnsi="Palatino Linotype"/>
                <w:i/>
              </w:rPr>
            </w:pPr>
            <w:r w:rsidRPr="009109DE">
              <w:rPr>
                <w:rFonts w:ascii="Palatino Linotype" w:hAnsi="Palatino Linotype"/>
                <w:b/>
                <w:i/>
              </w:rPr>
              <w:t>Sí</w:t>
            </w:r>
          </w:p>
        </w:tc>
      </w:tr>
      <w:tr w:rsidR="009109DE" w:rsidTr="00685F10">
        <w:trPr>
          <w:trHeight w:val="1197"/>
        </w:trPr>
        <w:tc>
          <w:tcPr>
            <w:tcW w:w="2997" w:type="dxa"/>
          </w:tcPr>
          <w:p w:rsidR="009109DE" w:rsidRPr="007D6649" w:rsidRDefault="009109DE" w:rsidP="00685F10">
            <w:pPr>
              <w:tabs>
                <w:tab w:val="left" w:pos="1828"/>
              </w:tabs>
              <w:jc w:val="both"/>
              <w:rPr>
                <w:rFonts w:ascii="Palatino Linotype" w:hAnsi="Palatino Linotype" w:cs="Tahoma"/>
                <w:bCs/>
                <w:sz w:val="22"/>
              </w:rPr>
            </w:pPr>
            <w:r w:rsidRPr="009109DE">
              <w:rPr>
                <w:rFonts w:ascii="Palatino Linotype" w:hAnsi="Palatino Linotype" w:cs="Tahoma"/>
                <w:bCs/>
                <w:sz w:val="22"/>
              </w:rPr>
              <w:lastRenderedPageBreak/>
              <w:t>Contrato y factura pagadas al proveedor</w:t>
            </w:r>
          </w:p>
        </w:tc>
        <w:tc>
          <w:tcPr>
            <w:tcW w:w="4333" w:type="dxa"/>
            <w:vMerge w:val="restart"/>
          </w:tcPr>
          <w:p w:rsidR="009109DE" w:rsidRPr="00265709" w:rsidRDefault="009109DE" w:rsidP="00685F10">
            <w:pPr>
              <w:jc w:val="both"/>
              <w:rPr>
                <w:rFonts w:ascii="Palatino Linotype" w:hAnsi="Palatino Linotype"/>
                <w:color w:val="000000"/>
              </w:rPr>
            </w:pPr>
            <w:r>
              <w:rPr>
                <w:rFonts w:ascii="Palatino Linotype" w:hAnsi="Palatino Linotype"/>
                <w:color w:val="000000"/>
              </w:rPr>
              <w:t>L</w:t>
            </w:r>
            <w:r w:rsidRPr="009109DE">
              <w:rPr>
                <w:rFonts w:ascii="Palatino Linotype" w:hAnsi="Palatino Linotype"/>
                <w:color w:val="000000"/>
              </w:rPr>
              <w:t xml:space="preserve">a Dirección de Recursos Materiales, después de haber realizado una búsqueda exhaustiva y razonable en los archivos físicos y electrónicos que obran en esa Dirección y sus Departamentos, </w:t>
            </w:r>
            <w:r>
              <w:rPr>
                <w:rFonts w:ascii="Palatino Linotype" w:hAnsi="Palatino Linotype"/>
                <w:color w:val="000000"/>
              </w:rPr>
              <w:t xml:space="preserve">informó que </w:t>
            </w:r>
            <w:r w:rsidRPr="009109DE">
              <w:rPr>
                <w:rFonts w:ascii="Palatino Linotype" w:hAnsi="Palatino Linotype"/>
                <w:color w:val="000000"/>
              </w:rPr>
              <w:t>a la fecha de la presente, no se localizó contrato</w:t>
            </w:r>
            <w:r w:rsidR="00583CDD">
              <w:rPr>
                <w:rFonts w:ascii="Palatino Linotype" w:hAnsi="Palatino Linotype"/>
                <w:color w:val="000000"/>
              </w:rPr>
              <w:t>.</w:t>
            </w:r>
          </w:p>
        </w:tc>
        <w:tc>
          <w:tcPr>
            <w:tcW w:w="1824" w:type="dxa"/>
          </w:tcPr>
          <w:p w:rsidR="009109DE" w:rsidRPr="00B640D7" w:rsidRDefault="009109DE" w:rsidP="00685F10">
            <w:pPr>
              <w:jc w:val="center"/>
              <w:rPr>
                <w:rFonts w:ascii="Palatino Linotype" w:hAnsi="Palatino Linotype"/>
                <w:i/>
              </w:rPr>
            </w:pPr>
            <w:r w:rsidRPr="009109DE">
              <w:rPr>
                <w:rFonts w:ascii="Palatino Linotype" w:hAnsi="Palatino Linotype"/>
                <w:b/>
                <w:i/>
              </w:rPr>
              <w:t>Sí</w:t>
            </w:r>
          </w:p>
        </w:tc>
      </w:tr>
      <w:tr w:rsidR="009109DE" w:rsidTr="00685F10">
        <w:trPr>
          <w:trHeight w:val="1197"/>
        </w:trPr>
        <w:tc>
          <w:tcPr>
            <w:tcW w:w="2997" w:type="dxa"/>
          </w:tcPr>
          <w:p w:rsidR="009109DE" w:rsidRPr="009109DE" w:rsidRDefault="009109DE" w:rsidP="00685F10">
            <w:pPr>
              <w:tabs>
                <w:tab w:val="left" w:pos="1828"/>
              </w:tabs>
              <w:jc w:val="both"/>
              <w:rPr>
                <w:rFonts w:ascii="Palatino Linotype" w:hAnsi="Palatino Linotype" w:cs="Tahoma"/>
                <w:bCs/>
                <w:sz w:val="22"/>
              </w:rPr>
            </w:pPr>
            <w:r w:rsidRPr="009109DE">
              <w:rPr>
                <w:rFonts w:ascii="Palatino Linotype" w:hAnsi="Palatino Linotype" w:cs="Tahoma"/>
                <w:bCs/>
                <w:sz w:val="22"/>
              </w:rPr>
              <w:t>Nombre, vale o documentos donde recibo cada servidor público</w:t>
            </w:r>
          </w:p>
        </w:tc>
        <w:tc>
          <w:tcPr>
            <w:tcW w:w="4333" w:type="dxa"/>
            <w:vMerge/>
          </w:tcPr>
          <w:p w:rsidR="009109DE" w:rsidRPr="00265709" w:rsidRDefault="009109DE" w:rsidP="00685F10">
            <w:pPr>
              <w:jc w:val="both"/>
              <w:rPr>
                <w:rFonts w:ascii="Palatino Linotype" w:hAnsi="Palatino Linotype"/>
                <w:color w:val="000000"/>
              </w:rPr>
            </w:pPr>
          </w:p>
        </w:tc>
        <w:tc>
          <w:tcPr>
            <w:tcW w:w="1824" w:type="dxa"/>
          </w:tcPr>
          <w:p w:rsidR="009109DE" w:rsidRPr="00B640D7" w:rsidRDefault="009109DE" w:rsidP="00685F10">
            <w:pPr>
              <w:jc w:val="center"/>
              <w:rPr>
                <w:rFonts w:ascii="Palatino Linotype" w:hAnsi="Palatino Linotype"/>
                <w:i/>
              </w:rPr>
            </w:pPr>
            <w:r w:rsidRPr="009109DE">
              <w:rPr>
                <w:rFonts w:ascii="Palatino Linotype" w:hAnsi="Palatino Linotype"/>
                <w:b/>
                <w:i/>
              </w:rPr>
              <w:t>Sí</w:t>
            </w:r>
          </w:p>
        </w:tc>
      </w:tr>
    </w:tbl>
    <w:p w:rsidR="00D468B9" w:rsidRDefault="00D468B9" w:rsidP="00D468B9">
      <w:pPr>
        <w:spacing w:line="360" w:lineRule="auto"/>
        <w:jc w:val="both"/>
        <w:rPr>
          <w:rFonts w:ascii="Palatino Linotype" w:hAnsi="Palatino Linotype"/>
          <w:color w:val="000000"/>
        </w:rPr>
      </w:pPr>
    </w:p>
    <w:p w:rsidR="00D468B9" w:rsidRPr="000E2974" w:rsidRDefault="00D468B9" w:rsidP="00D468B9">
      <w:pPr>
        <w:spacing w:line="360" w:lineRule="auto"/>
        <w:jc w:val="both"/>
        <w:rPr>
          <w:rFonts w:ascii="Palatino Linotype" w:hAnsi="Palatino Linotype"/>
          <w:color w:val="000000"/>
        </w:rPr>
      </w:pPr>
    </w:p>
    <w:p w:rsidR="00D468B9" w:rsidRPr="009E63DA" w:rsidRDefault="00D468B9" w:rsidP="00D468B9">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D468B9" w:rsidRPr="009E63DA" w:rsidRDefault="00D468B9" w:rsidP="00D468B9">
      <w:pPr>
        <w:spacing w:line="360" w:lineRule="auto"/>
        <w:jc w:val="both"/>
        <w:rPr>
          <w:rFonts w:ascii="Palatino Linotype" w:hAnsi="Palatino Linotype"/>
          <w:color w:val="000000"/>
        </w:rPr>
      </w:pPr>
    </w:p>
    <w:p w:rsidR="00D468B9" w:rsidRPr="009E63DA" w:rsidRDefault="00D468B9" w:rsidP="00D468B9">
      <w:pPr>
        <w:ind w:left="567" w:right="567"/>
        <w:jc w:val="both"/>
        <w:rPr>
          <w:rFonts w:ascii="Palatino Linotype" w:hAnsi="Palatino Linotype"/>
          <w:b/>
          <w:i/>
        </w:rPr>
      </w:pPr>
      <w:r w:rsidRPr="009E63DA">
        <w:rPr>
          <w:rFonts w:ascii="Palatino Linotype" w:hAnsi="Palatino Linotype"/>
          <w:b/>
          <w:i/>
        </w:rPr>
        <w:t>Artículo 6</w:t>
      </w:r>
    </w:p>
    <w:p w:rsidR="00D468B9" w:rsidRPr="009E63DA" w:rsidRDefault="00D468B9" w:rsidP="00D468B9">
      <w:pPr>
        <w:ind w:left="567" w:right="567"/>
        <w:jc w:val="both"/>
        <w:rPr>
          <w:rFonts w:ascii="Palatino Linotype" w:hAnsi="Palatino Linotype"/>
          <w:i/>
        </w:rPr>
      </w:pPr>
      <w:r w:rsidRPr="009E63DA">
        <w:rPr>
          <w:rFonts w:ascii="Palatino Linotype" w:hAnsi="Palatino Linotype"/>
          <w:i/>
        </w:rPr>
        <w:t>…</w:t>
      </w:r>
    </w:p>
    <w:p w:rsidR="00D468B9" w:rsidRPr="009E63DA" w:rsidRDefault="00D468B9" w:rsidP="00D468B9">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D468B9" w:rsidRPr="009E63DA" w:rsidRDefault="00D468B9" w:rsidP="00D468B9">
      <w:pPr>
        <w:ind w:left="567" w:right="567"/>
        <w:jc w:val="both"/>
        <w:rPr>
          <w:rFonts w:ascii="Palatino Linotype" w:hAnsi="Palatino Linotype"/>
          <w:i/>
        </w:rPr>
      </w:pPr>
    </w:p>
    <w:p w:rsidR="00D468B9" w:rsidRPr="009E63DA" w:rsidRDefault="00D468B9" w:rsidP="00D468B9">
      <w:pPr>
        <w:numPr>
          <w:ilvl w:val="0"/>
          <w:numId w:val="7"/>
        </w:numPr>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w:t>
      </w:r>
      <w:r w:rsidRPr="009E63DA">
        <w:rPr>
          <w:rFonts w:ascii="Palatino Linotype" w:hAnsi="Palatino Linotype"/>
          <w:i/>
        </w:rPr>
        <w:lastRenderedPageBreak/>
        <w:t>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D468B9" w:rsidRPr="009E63DA" w:rsidRDefault="00D468B9" w:rsidP="00D468B9">
      <w:pPr>
        <w:spacing w:line="360" w:lineRule="auto"/>
        <w:jc w:val="both"/>
        <w:rPr>
          <w:rFonts w:ascii="Palatino Linotype" w:hAnsi="Palatino Linotype"/>
        </w:rPr>
      </w:pPr>
    </w:p>
    <w:p w:rsidR="00D468B9" w:rsidRPr="009E63DA" w:rsidRDefault="00D468B9" w:rsidP="00D468B9">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rsidR="00D468B9" w:rsidRPr="009E63DA" w:rsidRDefault="00D468B9" w:rsidP="00D468B9">
      <w:pPr>
        <w:ind w:left="567" w:right="567"/>
        <w:jc w:val="both"/>
        <w:rPr>
          <w:rFonts w:ascii="Palatino Linotype" w:hAnsi="Palatino Linotype"/>
        </w:rPr>
      </w:pPr>
    </w:p>
    <w:p w:rsidR="00D468B9" w:rsidRPr="009E63DA" w:rsidRDefault="00D468B9" w:rsidP="00D468B9">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D468B9" w:rsidRPr="009E63DA" w:rsidRDefault="00D468B9" w:rsidP="00D468B9">
      <w:pPr>
        <w:ind w:left="851" w:right="851"/>
        <w:jc w:val="both"/>
        <w:rPr>
          <w:rFonts w:ascii="Palatino Linotype" w:hAnsi="Palatino Linotype"/>
          <w:i/>
        </w:rPr>
      </w:pPr>
      <w:r w:rsidRPr="009E63DA">
        <w:rPr>
          <w:rFonts w:ascii="Palatino Linotype" w:hAnsi="Palatino Linotype"/>
          <w:i/>
        </w:rPr>
        <w:t>…</w:t>
      </w:r>
    </w:p>
    <w:p w:rsidR="00D468B9" w:rsidRPr="009E63DA" w:rsidRDefault="00D468B9" w:rsidP="00D468B9">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D468B9" w:rsidRPr="009E63DA" w:rsidRDefault="00D468B9" w:rsidP="00D468B9">
      <w:pPr>
        <w:ind w:left="851" w:right="851"/>
        <w:jc w:val="both"/>
        <w:rPr>
          <w:rFonts w:ascii="Palatino Linotype" w:hAnsi="Palatino Linotype"/>
          <w:i/>
        </w:rPr>
      </w:pPr>
    </w:p>
    <w:p w:rsidR="00D468B9" w:rsidRPr="009E63DA" w:rsidRDefault="00D468B9" w:rsidP="00D468B9">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D468B9" w:rsidRPr="009E63DA" w:rsidRDefault="00D468B9" w:rsidP="00D468B9">
      <w:pPr>
        <w:ind w:left="851" w:right="851"/>
        <w:jc w:val="both"/>
        <w:rPr>
          <w:rFonts w:ascii="Palatino Linotype" w:hAnsi="Palatino Linotype"/>
          <w:bCs/>
          <w:i/>
        </w:rPr>
      </w:pPr>
    </w:p>
    <w:p w:rsidR="00D468B9" w:rsidRPr="009E63DA" w:rsidRDefault="00D468B9" w:rsidP="00D468B9">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w:t>
      </w:r>
      <w:r w:rsidRPr="009E63DA">
        <w:rPr>
          <w:rFonts w:ascii="Palatino Linotype" w:hAnsi="Palatino Linotype"/>
          <w:bCs/>
          <w:i/>
        </w:rPr>
        <w:lastRenderedPageBreak/>
        <w:t>temporalmente por razones de interés público, en los términos de las causas legítimas y estrictamente necesarias previstas por esta Ley.</w:t>
      </w:r>
    </w:p>
    <w:p w:rsidR="00D468B9" w:rsidRPr="009E63DA" w:rsidRDefault="00D468B9" w:rsidP="00D468B9">
      <w:pPr>
        <w:ind w:left="851" w:right="851"/>
        <w:jc w:val="both"/>
        <w:rPr>
          <w:rFonts w:ascii="Palatino Linotype" w:hAnsi="Palatino Linotype"/>
          <w:bCs/>
          <w:i/>
        </w:rPr>
      </w:pPr>
    </w:p>
    <w:p w:rsidR="00D468B9" w:rsidRPr="009E63DA" w:rsidRDefault="00D468B9" w:rsidP="00D468B9">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D468B9" w:rsidRPr="009E63DA" w:rsidRDefault="00D468B9" w:rsidP="00D468B9">
      <w:pPr>
        <w:ind w:left="851" w:right="851"/>
        <w:jc w:val="both"/>
        <w:rPr>
          <w:rFonts w:ascii="Palatino Linotype" w:hAnsi="Palatino Linotype"/>
          <w:i/>
        </w:rPr>
      </w:pPr>
    </w:p>
    <w:p w:rsidR="00D468B9" w:rsidRPr="009E63DA" w:rsidRDefault="00D468B9" w:rsidP="00D468B9">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D468B9" w:rsidRPr="009E63DA" w:rsidRDefault="00D468B9" w:rsidP="00D468B9">
      <w:pPr>
        <w:ind w:left="851" w:right="851"/>
        <w:jc w:val="both"/>
        <w:rPr>
          <w:rFonts w:ascii="Palatino Linotype" w:hAnsi="Palatino Linotype"/>
          <w:i/>
        </w:rPr>
      </w:pPr>
    </w:p>
    <w:p w:rsidR="00D468B9" w:rsidRPr="009E63DA" w:rsidRDefault="00D468B9" w:rsidP="00D468B9">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D468B9" w:rsidRPr="009E63DA" w:rsidRDefault="00D468B9" w:rsidP="00D468B9">
      <w:pPr>
        <w:spacing w:line="360" w:lineRule="auto"/>
        <w:jc w:val="both"/>
        <w:rPr>
          <w:rFonts w:ascii="Palatino Linotype" w:hAnsi="Palatino Linotype"/>
        </w:rPr>
      </w:pPr>
    </w:p>
    <w:p w:rsidR="00D468B9" w:rsidRPr="009E63DA" w:rsidRDefault="00D468B9" w:rsidP="00D468B9">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D468B9" w:rsidRPr="009E63DA" w:rsidRDefault="00D468B9" w:rsidP="00D468B9">
      <w:pPr>
        <w:spacing w:line="360" w:lineRule="auto"/>
        <w:jc w:val="both"/>
        <w:rPr>
          <w:rFonts w:ascii="Palatino Linotype" w:hAnsi="Palatino Linotype"/>
        </w:rPr>
      </w:pPr>
    </w:p>
    <w:p w:rsidR="00D468B9" w:rsidRPr="009E63DA" w:rsidRDefault="00D468B9" w:rsidP="00D468B9">
      <w:pPr>
        <w:tabs>
          <w:tab w:val="left" w:pos="709"/>
        </w:tabs>
        <w:spacing w:line="360" w:lineRule="auto"/>
        <w:jc w:val="both"/>
        <w:rPr>
          <w:rFonts w:ascii="Palatino Linotype" w:hAnsi="Palatino Linotype"/>
        </w:rPr>
      </w:pPr>
      <w:r w:rsidRPr="009E63DA">
        <w:rPr>
          <w:rFonts w:ascii="Palatino Linotype" w:hAnsi="Palatino Linotype" w:cs="Arial"/>
        </w:rPr>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rsidR="00D468B9" w:rsidRPr="009E63DA" w:rsidRDefault="00D468B9" w:rsidP="00D468B9">
      <w:pPr>
        <w:spacing w:line="360" w:lineRule="auto"/>
        <w:jc w:val="both"/>
        <w:rPr>
          <w:rFonts w:ascii="Palatino Linotype" w:eastAsia="Calibri" w:hAnsi="Palatino Linotype" w:cs="Arial"/>
          <w:color w:val="000000"/>
          <w:lang w:val="es-ES_tradnl" w:eastAsia="es-MX"/>
        </w:rPr>
      </w:pPr>
    </w:p>
    <w:p w:rsidR="00D468B9" w:rsidRPr="009E63DA" w:rsidRDefault="00D468B9" w:rsidP="00D468B9">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lastRenderedPageBreak/>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rsidR="00D468B9" w:rsidRPr="009E63DA" w:rsidRDefault="00D468B9" w:rsidP="00D468B9">
      <w:pPr>
        <w:spacing w:line="360" w:lineRule="auto"/>
        <w:jc w:val="both"/>
        <w:rPr>
          <w:rFonts w:ascii="Palatino Linotype" w:eastAsia="Calibri" w:hAnsi="Palatino Linotype" w:cs="Arial"/>
          <w:color w:val="000000"/>
          <w:lang w:val="es-ES_tradnl" w:eastAsia="es-MX"/>
        </w:rPr>
      </w:pPr>
    </w:p>
    <w:p w:rsidR="00D468B9" w:rsidRPr="009E63DA" w:rsidRDefault="00D468B9" w:rsidP="00D468B9">
      <w:pPr>
        <w:spacing w:line="360" w:lineRule="auto"/>
        <w:jc w:val="both"/>
        <w:rPr>
          <w:rFonts w:ascii="Palatino Linotype" w:eastAsia="Calibri" w:hAnsi="Palatino Linotype" w:cs="Arial"/>
          <w:color w:val="000000"/>
          <w:sz w:val="2"/>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rsidR="00D468B9" w:rsidRPr="009E63DA" w:rsidRDefault="00D468B9" w:rsidP="00D468B9">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468B9" w:rsidRPr="009E63DA" w:rsidRDefault="00D468B9" w:rsidP="00D468B9">
      <w:pPr>
        <w:ind w:left="567" w:right="567"/>
        <w:jc w:val="both"/>
        <w:rPr>
          <w:rFonts w:ascii="Palatino Linotype" w:eastAsia="Calibri" w:hAnsi="Palatino Linotype" w:cs="Arial"/>
          <w:i/>
          <w:color w:val="000000"/>
          <w:sz w:val="2"/>
          <w:lang w:val="es-ES_tradnl" w:eastAsia="es-MX"/>
        </w:rPr>
      </w:pPr>
    </w:p>
    <w:p w:rsidR="00D468B9" w:rsidRPr="00F55BA2" w:rsidRDefault="00D468B9" w:rsidP="00D468B9">
      <w:pPr>
        <w:spacing w:line="360" w:lineRule="auto"/>
        <w:jc w:val="both"/>
        <w:rPr>
          <w:rFonts w:ascii="Palatino Linotype" w:eastAsia="Calibri" w:hAnsi="Palatino Linotype" w:cs="Arial"/>
          <w:color w:val="000000"/>
          <w:lang w:val="es-ES_tradnl" w:eastAsia="es-MX"/>
        </w:rPr>
      </w:pPr>
    </w:p>
    <w:p w:rsidR="00D468B9" w:rsidRPr="009E63DA" w:rsidRDefault="00D468B9" w:rsidP="00D468B9">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rsidR="00D468B9" w:rsidRPr="009E63DA" w:rsidRDefault="00D468B9" w:rsidP="00D468B9">
      <w:pPr>
        <w:spacing w:before="240" w:line="360" w:lineRule="auto"/>
        <w:ind w:left="851" w:right="851"/>
        <w:jc w:val="both"/>
        <w:rPr>
          <w:rFonts w:ascii="Palatino Linotype" w:hAnsi="Palatino Linotype" w:cs="Arial"/>
          <w:b/>
          <w:i/>
        </w:rPr>
      </w:pPr>
      <w:r w:rsidRPr="009E63DA">
        <w:rPr>
          <w:rFonts w:ascii="Palatino Linotype" w:hAnsi="Palatino Linotype" w:cs="Arial"/>
          <w:b/>
          <w:i/>
        </w:rPr>
        <w:lastRenderedPageBreak/>
        <w:t xml:space="preserve">“CONGRUENCIA Y EXHAUSTIVIDAD. SUS ALCANCES PARA GARANTIZAR EL DERECHO DE ACCESO A LA INFORMACIÓN. </w:t>
      </w:r>
    </w:p>
    <w:p w:rsidR="00D468B9" w:rsidRPr="009E63DA" w:rsidRDefault="00D468B9" w:rsidP="00D468B9">
      <w:pPr>
        <w:spacing w:before="240" w:line="360" w:lineRule="auto"/>
        <w:ind w:left="851" w:right="851"/>
        <w:jc w:val="both"/>
        <w:rPr>
          <w:rFonts w:ascii="Palatino Linotype" w:hAnsi="Palatino Linotype" w:cs="Arial"/>
          <w:i/>
        </w:rPr>
      </w:pPr>
      <w:r w:rsidRPr="009E63DA">
        <w:rPr>
          <w:rFonts w:ascii="Palatino Linotype" w:hAnsi="Palatino Linotype" w:cs="Arial"/>
          <w:i/>
        </w:rPr>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D468B9" w:rsidRPr="009E63DA" w:rsidRDefault="00D468B9" w:rsidP="00D468B9">
      <w:pPr>
        <w:numPr>
          <w:ilvl w:val="0"/>
          <w:numId w:val="6"/>
        </w:numPr>
        <w:spacing w:before="240"/>
        <w:ind w:right="851"/>
        <w:jc w:val="both"/>
        <w:rPr>
          <w:rFonts w:ascii="Palatino Linotype" w:hAnsi="Palatino Linotype" w:cs="Arial"/>
          <w:i/>
        </w:rPr>
      </w:pPr>
      <w:r w:rsidRPr="009E63DA">
        <w:rPr>
          <w:rFonts w:ascii="Palatino Linotype" w:hAnsi="Palatino Linotype" w:cs="Arial"/>
          <w:i/>
        </w:rPr>
        <w:t xml:space="preserve">RRA 0003/16 Comisión Nacional de las Zonas Áridas. 29 de junio de 2016. Por unanimidad. Comisionado Ponente Oscar Mauricio Guerra Ford. </w:t>
      </w:r>
    </w:p>
    <w:p w:rsidR="00D468B9" w:rsidRPr="009E63DA" w:rsidRDefault="00D468B9" w:rsidP="00D468B9">
      <w:pPr>
        <w:numPr>
          <w:ilvl w:val="0"/>
          <w:numId w:val="6"/>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rsidR="00D468B9" w:rsidRPr="009E63DA" w:rsidRDefault="00D468B9" w:rsidP="00D468B9">
      <w:pPr>
        <w:numPr>
          <w:ilvl w:val="0"/>
          <w:numId w:val="6"/>
        </w:numPr>
        <w:spacing w:before="240"/>
        <w:ind w:right="851"/>
        <w:jc w:val="both"/>
        <w:rPr>
          <w:rFonts w:ascii="Palatino Linotype" w:hAnsi="Palatino Linotype"/>
          <w:b/>
          <w:lang w:val="es-ES_tradnl"/>
        </w:rPr>
      </w:pPr>
      <w:r w:rsidRPr="009E63DA">
        <w:rPr>
          <w:rFonts w:ascii="Palatino Linotype" w:hAnsi="Palatino Linotype" w:cs="Arial"/>
          <w:i/>
        </w:rPr>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rsidR="00D468B9" w:rsidRPr="009E63DA" w:rsidRDefault="00D468B9" w:rsidP="00D468B9">
      <w:pPr>
        <w:spacing w:line="360" w:lineRule="auto"/>
        <w:jc w:val="both"/>
        <w:rPr>
          <w:rFonts w:ascii="Palatino Linotype" w:hAnsi="Palatino Linotype" w:cs="Arial"/>
          <w:noProof/>
          <w:color w:val="000000"/>
          <w:lang w:eastAsia="es-MX"/>
        </w:rPr>
      </w:pPr>
    </w:p>
    <w:p w:rsidR="00D468B9" w:rsidRPr="009E63DA" w:rsidRDefault="00D468B9" w:rsidP="00D468B9">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lastRenderedPageBreak/>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rsidR="00D468B9" w:rsidRDefault="00D468B9" w:rsidP="00D468B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D468B9" w:rsidRPr="009E63DA" w:rsidRDefault="00D468B9" w:rsidP="00D468B9">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Pr>
          <w:rFonts w:ascii="Palatino Linotype" w:hAnsi="Palatino Linotype"/>
          <w:b/>
        </w:rPr>
        <w:t xml:space="preserve">00529/TOLUCA/IP/2025 </w:t>
      </w:r>
      <w:r w:rsidRPr="009E63DA">
        <w:rPr>
          <w:rFonts w:ascii="Palatino Linotype" w:hAnsi="Palatino Linotype"/>
        </w:rPr>
        <w:t xml:space="preserve">que ha sido materia del presente fallo. </w:t>
      </w:r>
    </w:p>
    <w:p w:rsidR="00D468B9" w:rsidRPr="009E63DA" w:rsidRDefault="00D468B9" w:rsidP="00D468B9">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rsidR="00D468B9" w:rsidRPr="009E63DA" w:rsidRDefault="00D468B9" w:rsidP="00D468B9">
      <w:pPr>
        <w:spacing w:line="360" w:lineRule="auto"/>
        <w:jc w:val="both"/>
        <w:rPr>
          <w:rFonts w:ascii="Palatino Linotype" w:hAnsi="Palatino Linotype"/>
        </w:rPr>
      </w:pPr>
    </w:p>
    <w:p w:rsidR="00D468B9" w:rsidRPr="009E63DA" w:rsidRDefault="00D468B9" w:rsidP="00D468B9">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rsidR="00D468B9" w:rsidRPr="009E63DA" w:rsidRDefault="00D468B9" w:rsidP="00D468B9">
      <w:pPr>
        <w:autoSpaceDE w:val="0"/>
        <w:autoSpaceDN w:val="0"/>
        <w:adjustRightInd w:val="0"/>
        <w:spacing w:line="360" w:lineRule="auto"/>
        <w:ind w:right="49"/>
        <w:jc w:val="both"/>
        <w:rPr>
          <w:rFonts w:ascii="Palatino Linotype" w:hAnsi="Palatino Linotype" w:cs="Arial"/>
          <w:sz w:val="28"/>
          <w:szCs w:val="28"/>
          <w:lang w:val="es-ES_tradnl"/>
        </w:rPr>
      </w:pPr>
    </w:p>
    <w:p w:rsidR="00D468B9" w:rsidRPr="009E63DA" w:rsidRDefault="00D468B9" w:rsidP="00D468B9">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Pr>
          <w:rFonts w:ascii="Palatino Linotype" w:hAnsi="Palatino Linotype"/>
          <w:b/>
        </w:rPr>
        <w:t>00529/TOLUCA/IP/2025</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rsidR="00D468B9" w:rsidRDefault="00D468B9" w:rsidP="00D468B9">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rsidR="00D468B9" w:rsidRPr="009E63DA" w:rsidRDefault="00D468B9" w:rsidP="00D468B9">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lastRenderedPageBreak/>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rsidR="00D468B9" w:rsidRDefault="00D468B9" w:rsidP="00D468B9">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D468B9" w:rsidRDefault="00D468B9" w:rsidP="00D468B9">
      <w:pPr>
        <w:spacing w:line="360" w:lineRule="auto"/>
        <w:jc w:val="both"/>
        <w:rPr>
          <w:rFonts w:ascii="Palatino Linotype" w:hAnsi="Palatino Linotype" w:cs="Arial"/>
        </w:rPr>
      </w:pPr>
    </w:p>
    <w:p w:rsidR="00D468B9" w:rsidRPr="007C3942" w:rsidRDefault="00D468B9" w:rsidP="00D468B9">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583CDD">
        <w:rPr>
          <w:rFonts w:ascii="Palatino Linotype" w:hAnsi="Palatino Linotype" w:cs="Arial"/>
        </w:rPr>
        <w:t xml:space="preserve">DÉCIMO PRIMERA </w:t>
      </w:r>
      <w:r w:rsidRPr="007C3942">
        <w:rPr>
          <w:rFonts w:ascii="Palatino Linotype" w:hAnsi="Palatino Linotype" w:cs="Arial"/>
        </w:rPr>
        <w:t>SESIÓN ORDINARIA CELEBRADA EL</w:t>
      </w:r>
      <w:r w:rsidR="00583CDD">
        <w:rPr>
          <w:rFonts w:ascii="Palatino Linotype" w:hAnsi="Palatino Linotype" w:cs="Arial"/>
        </w:rPr>
        <w:t xml:space="preserve"> VEINTISÉIS</w:t>
      </w:r>
      <w:r>
        <w:rPr>
          <w:rFonts w:ascii="Palatino Linotype" w:hAnsi="Palatino Linotype" w:cs="Arial"/>
        </w:rPr>
        <w:t xml:space="preserve"> DE MARZO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2C141F">
        <w:rPr>
          <w:rFonts w:ascii="Palatino Linotype" w:hAnsi="Palatino Linotype" w:cs="Arial"/>
        </w:rPr>
        <w:t>---------------------</w:t>
      </w:r>
      <w:r>
        <w:rPr>
          <w:rFonts w:ascii="Palatino Linotype" w:hAnsi="Palatino Linotype" w:cs="Arial"/>
        </w:rPr>
        <w:t>----------</w:t>
      </w:r>
    </w:p>
    <w:p w:rsidR="00D468B9" w:rsidRDefault="00D468B9" w:rsidP="00D468B9">
      <w:pPr>
        <w:spacing w:line="360" w:lineRule="auto"/>
        <w:jc w:val="both"/>
        <w:rPr>
          <w:rFonts w:ascii="Palatino Linotype" w:hAnsi="Palatino Linotype" w:cs="Arial"/>
          <w:sz w:val="16"/>
        </w:rPr>
      </w:pPr>
      <w:r>
        <w:rPr>
          <w:rFonts w:ascii="Palatino Linotype" w:hAnsi="Palatino Linotype" w:cs="Arial"/>
          <w:sz w:val="16"/>
        </w:rPr>
        <w:t>JMV/CCR</w:t>
      </w:r>
      <w:r w:rsidR="00583CDD">
        <w:rPr>
          <w:rFonts w:ascii="Palatino Linotype" w:hAnsi="Palatino Linotype" w:cs="Arial"/>
          <w:sz w:val="16"/>
        </w:rPr>
        <w:t>/</w:t>
      </w:r>
      <w:r w:rsidR="006E0559">
        <w:rPr>
          <w:rFonts w:ascii="Palatino Linotype" w:hAnsi="Palatino Linotype" w:cs="Arial"/>
          <w:sz w:val="16"/>
        </w:rPr>
        <w:t>LMST</w:t>
      </w:r>
    </w:p>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D468B9" w:rsidRDefault="00D468B9" w:rsidP="00D468B9"/>
    <w:p w:rsidR="006728ED" w:rsidRDefault="006728ED"/>
    <w:sectPr w:rsidR="006728ED" w:rsidSect="00685F10">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F10" w:rsidRDefault="00685F10" w:rsidP="00D468B9">
      <w:r>
        <w:separator/>
      </w:r>
    </w:p>
  </w:endnote>
  <w:endnote w:type="continuationSeparator" w:id="0">
    <w:p w:rsidR="00685F10" w:rsidRDefault="00685F10" w:rsidP="00D4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10" w:rsidRPr="00A2780F" w:rsidRDefault="00685F10" w:rsidP="00685F1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41406">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41406">
      <w:rPr>
        <w:rFonts w:ascii="Arial" w:hAnsi="Arial" w:cs="Arial"/>
        <w:b/>
        <w:bCs/>
        <w:noProof/>
        <w:sz w:val="20"/>
        <w:szCs w:val="20"/>
      </w:rPr>
      <w:t>27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10" w:rsidRPr="00070856" w:rsidRDefault="00685F10" w:rsidP="00685F1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41406">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41406">
      <w:rPr>
        <w:rFonts w:ascii="Arial" w:hAnsi="Arial" w:cs="Arial"/>
        <w:b/>
        <w:bCs/>
        <w:noProof/>
        <w:sz w:val="20"/>
        <w:szCs w:val="20"/>
      </w:rPr>
      <w:t>27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F10" w:rsidRDefault="00685F10" w:rsidP="00D468B9">
      <w:r>
        <w:separator/>
      </w:r>
    </w:p>
  </w:footnote>
  <w:footnote w:type="continuationSeparator" w:id="0">
    <w:p w:rsidR="00685F10" w:rsidRDefault="00685F10" w:rsidP="00D468B9">
      <w:r>
        <w:continuationSeparator/>
      </w:r>
    </w:p>
  </w:footnote>
  <w:footnote w:id="1">
    <w:p w:rsidR="00685F10" w:rsidRPr="005552A8" w:rsidRDefault="00685F10" w:rsidP="00D468B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685F10" w:rsidRPr="005552A8" w:rsidRDefault="00685F10" w:rsidP="00D468B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685F10" w:rsidRPr="008F2CCC" w:rsidTr="00685F10">
      <w:tc>
        <w:tcPr>
          <w:tcW w:w="3620" w:type="dxa"/>
          <w:shd w:val="clear" w:color="auto" w:fill="auto"/>
        </w:tcPr>
        <w:p w:rsidR="00685F10" w:rsidRPr="007E5FC4" w:rsidRDefault="00685F10" w:rsidP="00685F1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685F10" w:rsidRPr="00664658" w:rsidRDefault="00685F10" w:rsidP="00D468B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01700/INFOEM/IP/RR/2025</w:t>
          </w:r>
        </w:p>
      </w:tc>
    </w:tr>
    <w:tr w:rsidR="00685F10" w:rsidRPr="008F2CCC" w:rsidTr="00685F10">
      <w:tc>
        <w:tcPr>
          <w:tcW w:w="3620" w:type="dxa"/>
          <w:shd w:val="clear" w:color="auto" w:fill="auto"/>
        </w:tcPr>
        <w:p w:rsidR="00685F10" w:rsidRPr="007E5FC4" w:rsidRDefault="00685F10" w:rsidP="00685F1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685F10" w:rsidRPr="00664658" w:rsidRDefault="00685F10" w:rsidP="00685F10">
          <w:pPr>
            <w:spacing w:line="276" w:lineRule="auto"/>
            <w:jc w:val="right"/>
            <w:rPr>
              <w:rFonts w:ascii="Palatino Linotype" w:hAnsi="Palatino Linotype"/>
              <w:b/>
              <w:sz w:val="22"/>
              <w:szCs w:val="22"/>
              <w:lang w:val="es-ES_tradnl"/>
            </w:rPr>
          </w:pPr>
          <w:r w:rsidRPr="00D468B9">
            <w:rPr>
              <w:rFonts w:ascii="Palatino Linotype" w:hAnsi="Palatino Linotype"/>
              <w:b/>
              <w:sz w:val="22"/>
              <w:szCs w:val="22"/>
            </w:rPr>
            <w:t>Ayuntamiento de Toluca</w:t>
          </w:r>
        </w:p>
      </w:tc>
    </w:tr>
    <w:tr w:rsidR="00685F10" w:rsidRPr="008F2CCC" w:rsidTr="00685F10">
      <w:trPr>
        <w:trHeight w:val="228"/>
      </w:trPr>
      <w:tc>
        <w:tcPr>
          <w:tcW w:w="3620" w:type="dxa"/>
          <w:shd w:val="clear" w:color="auto" w:fill="auto"/>
        </w:tcPr>
        <w:p w:rsidR="00685F10" w:rsidRPr="007E5FC4" w:rsidRDefault="00685F10" w:rsidP="00685F1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685F10" w:rsidRPr="00664658" w:rsidRDefault="00685F10" w:rsidP="00685F10">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85F10" w:rsidRDefault="00685F10" w:rsidP="00685F10">
    <w:pPr>
      <w:pStyle w:val="Encabezado"/>
      <w:tabs>
        <w:tab w:val="clear" w:pos="4252"/>
        <w:tab w:val="clear" w:pos="8504"/>
        <w:tab w:val="left" w:pos="2326"/>
      </w:tabs>
      <w:rPr>
        <w:rFonts w:ascii="Palatino Linotype" w:hAnsi="Palatino Linotype"/>
        <w:sz w:val="20"/>
      </w:rPr>
    </w:pPr>
  </w:p>
  <w:p w:rsidR="00685F10" w:rsidRPr="001779E0" w:rsidRDefault="00685F10" w:rsidP="00685F10">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714BDFE" wp14:editId="41C9742B">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685F10" w:rsidRPr="008F2CCC" w:rsidTr="00685F10">
      <w:tc>
        <w:tcPr>
          <w:tcW w:w="2977" w:type="dxa"/>
          <w:shd w:val="clear" w:color="auto" w:fill="auto"/>
        </w:tcPr>
        <w:p w:rsidR="00685F10" w:rsidRPr="007E5FC4" w:rsidRDefault="00685F10"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685F10" w:rsidRPr="008F2CCC" w:rsidRDefault="00C7409B" w:rsidP="00D468B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w:t>
          </w:r>
          <w:r w:rsidR="00685F10">
            <w:rPr>
              <w:rFonts w:ascii="Palatino Linotype" w:hAnsi="Palatino Linotype"/>
              <w:b/>
              <w:sz w:val="22"/>
              <w:szCs w:val="22"/>
              <w:lang w:val="es-ES_tradnl"/>
            </w:rPr>
            <w:t>7</w:t>
          </w:r>
          <w:r>
            <w:rPr>
              <w:rFonts w:ascii="Palatino Linotype" w:hAnsi="Palatino Linotype"/>
              <w:b/>
              <w:sz w:val="22"/>
              <w:szCs w:val="22"/>
              <w:lang w:val="es-ES_tradnl"/>
            </w:rPr>
            <w:t>0</w:t>
          </w:r>
          <w:r w:rsidR="00685F10">
            <w:rPr>
              <w:rFonts w:ascii="Palatino Linotype" w:hAnsi="Palatino Linotype"/>
              <w:b/>
              <w:sz w:val="22"/>
              <w:szCs w:val="22"/>
              <w:lang w:val="es-ES_tradnl"/>
            </w:rPr>
            <w:t>0/INFOEM/IP/RR/2025</w:t>
          </w:r>
        </w:p>
      </w:tc>
    </w:tr>
    <w:tr w:rsidR="00685F10" w:rsidRPr="008F2CCC" w:rsidTr="00685F10">
      <w:tc>
        <w:tcPr>
          <w:tcW w:w="2977" w:type="dxa"/>
          <w:shd w:val="clear" w:color="auto" w:fill="auto"/>
          <w:vAlign w:val="center"/>
        </w:tcPr>
        <w:p w:rsidR="00685F10" w:rsidRPr="007E5FC4" w:rsidRDefault="00685F10"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685F10" w:rsidRPr="008F2CCC" w:rsidRDefault="00D41406" w:rsidP="00685F1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685F10" w:rsidRPr="008F2CCC" w:rsidTr="00685F10">
      <w:trPr>
        <w:trHeight w:val="228"/>
      </w:trPr>
      <w:tc>
        <w:tcPr>
          <w:tcW w:w="2977" w:type="dxa"/>
          <w:shd w:val="clear" w:color="auto" w:fill="auto"/>
        </w:tcPr>
        <w:p w:rsidR="00685F10" w:rsidRPr="007E5FC4" w:rsidRDefault="00685F10"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685F10" w:rsidRPr="00DC41C8" w:rsidRDefault="00685F10" w:rsidP="00685F10">
          <w:pPr>
            <w:spacing w:line="360" w:lineRule="auto"/>
            <w:jc w:val="right"/>
            <w:rPr>
              <w:rFonts w:ascii="Palatino Linotype" w:hAnsi="Palatino Linotype"/>
              <w:b/>
              <w:sz w:val="22"/>
              <w:szCs w:val="22"/>
            </w:rPr>
          </w:pPr>
          <w:r w:rsidRPr="00D468B9">
            <w:rPr>
              <w:rFonts w:ascii="Palatino Linotype" w:hAnsi="Palatino Linotype"/>
              <w:b/>
              <w:sz w:val="22"/>
              <w:szCs w:val="22"/>
            </w:rPr>
            <w:t>Ayuntamiento de Toluca</w:t>
          </w:r>
        </w:p>
      </w:tc>
    </w:tr>
    <w:tr w:rsidR="00685F10" w:rsidRPr="008F2CCC" w:rsidTr="00685F10">
      <w:tc>
        <w:tcPr>
          <w:tcW w:w="2977" w:type="dxa"/>
          <w:shd w:val="clear" w:color="auto" w:fill="auto"/>
        </w:tcPr>
        <w:p w:rsidR="00685F10" w:rsidRPr="007E5FC4" w:rsidRDefault="00685F10" w:rsidP="00685F1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685F10" w:rsidRPr="008F2CCC" w:rsidRDefault="00685F10" w:rsidP="00685F1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685F10" w:rsidRPr="009F1AB6" w:rsidRDefault="00685F10">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7A669E" wp14:editId="3ABFA2C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526709"/>
    <w:multiLevelType w:val="hybridMultilevel"/>
    <w:tmpl w:val="BEECD67C"/>
    <w:lvl w:ilvl="0" w:tplc="9D7C08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619262BF"/>
    <w:multiLevelType w:val="hybridMultilevel"/>
    <w:tmpl w:val="4E5A45CA"/>
    <w:lvl w:ilvl="0" w:tplc="8C52A53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63550762"/>
    <w:multiLevelType w:val="hybridMultilevel"/>
    <w:tmpl w:val="630679B0"/>
    <w:lvl w:ilvl="0" w:tplc="813AF35A">
      <w:start w:val="2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7A6431C7"/>
    <w:multiLevelType w:val="hybridMultilevel"/>
    <w:tmpl w:val="B712C8C4"/>
    <w:lvl w:ilvl="0" w:tplc="B0202842">
      <w:start w:val="2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4"/>
  </w:num>
  <w:num w:numId="2">
    <w:abstractNumId w:val="0"/>
  </w:num>
  <w:num w:numId="3">
    <w:abstractNumId w:val="2"/>
  </w:num>
  <w:num w:numId="4">
    <w:abstractNumId w:val="3"/>
  </w:num>
  <w:num w:numId="5">
    <w:abstractNumId w:val="6"/>
  </w:num>
  <w:num w:numId="6">
    <w:abstractNumId w:val="7"/>
  </w:num>
  <w:num w:numId="7">
    <w:abstractNumId w:val="5"/>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B9"/>
    <w:rsid w:val="00217F0B"/>
    <w:rsid w:val="002C141F"/>
    <w:rsid w:val="00361D87"/>
    <w:rsid w:val="0036551A"/>
    <w:rsid w:val="00481989"/>
    <w:rsid w:val="00583CDD"/>
    <w:rsid w:val="00615C48"/>
    <w:rsid w:val="006728ED"/>
    <w:rsid w:val="00685F10"/>
    <w:rsid w:val="006E0559"/>
    <w:rsid w:val="00803BB3"/>
    <w:rsid w:val="009109DE"/>
    <w:rsid w:val="00A81C4B"/>
    <w:rsid w:val="00C03EAB"/>
    <w:rsid w:val="00C7409B"/>
    <w:rsid w:val="00D41406"/>
    <w:rsid w:val="00D46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BC52F-7525-47C9-8234-083B7A4F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8B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468B9"/>
    <w:rPr>
      <w:rFonts w:eastAsiaTheme="minorEastAsia"/>
      <w:sz w:val="24"/>
      <w:szCs w:val="24"/>
      <w:lang w:val="es-ES_tradnl" w:eastAsia="es-ES"/>
    </w:rPr>
  </w:style>
  <w:style w:type="paragraph" w:styleId="Piedepgina">
    <w:name w:val="footer"/>
    <w:basedOn w:val="Normal"/>
    <w:link w:val="PiedepginaCar"/>
    <w:uiPriority w:val="99"/>
    <w:unhideWhenUsed/>
    <w:rsid w:val="00D468B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468B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468B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468B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D468B9"/>
    <w:pPr>
      <w:spacing w:after="0" w:line="240" w:lineRule="auto"/>
    </w:pPr>
  </w:style>
  <w:style w:type="character" w:customStyle="1" w:styleId="SinespaciadoCar">
    <w:name w:val="Sin espaciado Car"/>
    <w:aliases w:val="Francesa Car,INAI Car"/>
    <w:link w:val="Sinespaciado"/>
    <w:uiPriority w:val="1"/>
    <w:locked/>
    <w:rsid w:val="00D468B9"/>
  </w:style>
  <w:style w:type="character" w:styleId="Hipervnculo">
    <w:name w:val="Hyperlink"/>
    <w:aliases w:val="Hipervínculo1,Hipervínculo11,Hipervínculo12,Hipervínculo13,Hipervínculo14,Hipervínculo15"/>
    <w:basedOn w:val="Fuentedeprrafopredeter"/>
    <w:uiPriority w:val="99"/>
    <w:unhideWhenUsed/>
    <w:rsid w:val="00D468B9"/>
    <w:rPr>
      <w:color w:val="0563C1" w:themeColor="hyperlink"/>
      <w:u w:val="single"/>
    </w:rPr>
  </w:style>
  <w:style w:type="paragraph" w:customStyle="1" w:styleId="INFOEM">
    <w:name w:val="INFOEM"/>
    <w:basedOn w:val="Normal"/>
    <w:qFormat/>
    <w:rsid w:val="00D468B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D468B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468B9"/>
    <w:rPr>
      <w:vertAlign w:val="superscript"/>
    </w:rPr>
  </w:style>
  <w:style w:type="paragraph" w:customStyle="1" w:styleId="infoemcitas">
    <w:name w:val="infoem citas"/>
    <w:basedOn w:val="Normal"/>
    <w:qFormat/>
    <w:rsid w:val="00D468B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D4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4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D468B9"/>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27</Pages>
  <Words>6218</Words>
  <Characters>34202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9</cp:revision>
  <dcterms:created xsi:type="dcterms:W3CDTF">2025-03-13T00:02:00Z</dcterms:created>
  <dcterms:modified xsi:type="dcterms:W3CDTF">2025-04-02T17:14:00Z</dcterms:modified>
</cp:coreProperties>
</file>