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BD2A" w14:textId="77777777" w:rsidR="00395935" w:rsidRPr="00391B52" w:rsidRDefault="00F629A7">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391B5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391B52">
        <w:rPr>
          <w:rFonts w:ascii="Palatino Linotype" w:eastAsia="Palatino Linotype" w:hAnsi="Palatino Linotype" w:cs="Palatino Linotype"/>
          <w:b/>
          <w:sz w:val="22"/>
          <w:szCs w:val="22"/>
        </w:rPr>
        <w:t>a dieciséis de julio de dos mil veinticinco</w:t>
      </w:r>
      <w:r w:rsidRPr="00391B52">
        <w:rPr>
          <w:rFonts w:ascii="Palatino Linotype" w:eastAsia="Palatino Linotype" w:hAnsi="Palatino Linotype" w:cs="Palatino Linotype"/>
          <w:sz w:val="22"/>
          <w:szCs w:val="22"/>
        </w:rPr>
        <w:t xml:space="preserve">. </w:t>
      </w:r>
    </w:p>
    <w:p w14:paraId="7084ED90" w14:textId="31F842B2" w:rsidR="00395935" w:rsidRPr="00391B52" w:rsidRDefault="00F629A7">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391B52">
        <w:rPr>
          <w:rFonts w:ascii="Palatino Linotype" w:eastAsia="Palatino Linotype" w:hAnsi="Palatino Linotype" w:cs="Palatino Linotype"/>
          <w:b/>
          <w:sz w:val="22"/>
          <w:szCs w:val="22"/>
        </w:rPr>
        <w:t>Visto</w:t>
      </w:r>
      <w:r w:rsidRPr="00391B52">
        <w:rPr>
          <w:rFonts w:ascii="Palatino Linotype" w:eastAsia="Palatino Linotype" w:hAnsi="Palatino Linotype" w:cs="Palatino Linotype"/>
          <w:sz w:val="22"/>
          <w:szCs w:val="22"/>
        </w:rPr>
        <w:t xml:space="preserve"> el expediente formado con motivo del recurso de revisión </w:t>
      </w:r>
      <w:r w:rsidRPr="00391B52">
        <w:rPr>
          <w:rFonts w:ascii="Palatino Linotype" w:eastAsia="Palatino Linotype" w:hAnsi="Palatino Linotype" w:cs="Palatino Linotype"/>
          <w:b/>
          <w:sz w:val="22"/>
          <w:szCs w:val="22"/>
        </w:rPr>
        <w:t>04799/INFOEM/IP/RR/2025</w:t>
      </w:r>
      <w:r w:rsidRPr="00391B52">
        <w:rPr>
          <w:rFonts w:ascii="Palatino Linotype" w:eastAsia="Palatino Linotype" w:hAnsi="Palatino Linotype" w:cs="Palatino Linotype"/>
          <w:sz w:val="22"/>
          <w:szCs w:val="22"/>
        </w:rPr>
        <w:t>, interpuesto por</w:t>
      </w:r>
      <w:r w:rsidRPr="00391B52">
        <w:t xml:space="preserve"> </w:t>
      </w:r>
      <w:r w:rsidR="003E71F4" w:rsidRPr="003E71F4">
        <w:rPr>
          <w:rFonts w:ascii="Palatino Linotype" w:eastAsia="Palatino Linotype" w:hAnsi="Palatino Linotype" w:cs="Palatino Linotype"/>
          <w:b/>
          <w:sz w:val="22"/>
          <w:szCs w:val="22"/>
        </w:rPr>
        <w:t>XXXXXXX XXXXX</w:t>
      </w:r>
      <w:r w:rsidRPr="00391B52">
        <w:rPr>
          <w:rFonts w:ascii="Palatino Linotype" w:eastAsia="Palatino Linotype" w:hAnsi="Palatino Linotype" w:cs="Palatino Linotype"/>
          <w:b/>
          <w:sz w:val="22"/>
          <w:szCs w:val="22"/>
        </w:rPr>
        <w:t>,</w:t>
      </w:r>
      <w:r w:rsidRPr="00391B52">
        <w:rPr>
          <w:rFonts w:ascii="Palatino Linotype" w:eastAsia="Palatino Linotype" w:hAnsi="Palatino Linotype" w:cs="Palatino Linotype"/>
          <w:sz w:val="22"/>
          <w:szCs w:val="22"/>
        </w:rPr>
        <w:t xml:space="preserve"> en lo sucesivo</w:t>
      </w:r>
      <w:r w:rsidRPr="00391B52">
        <w:rPr>
          <w:rFonts w:ascii="Palatino Linotype" w:eastAsia="Palatino Linotype" w:hAnsi="Palatino Linotype" w:cs="Palatino Linotype"/>
          <w:b/>
          <w:sz w:val="22"/>
          <w:szCs w:val="22"/>
        </w:rPr>
        <w:t xml:space="preserve"> la parte</w:t>
      </w:r>
      <w:r w:rsidRPr="00391B52">
        <w:rPr>
          <w:rFonts w:ascii="Palatino Linotype" w:eastAsia="Palatino Linotype" w:hAnsi="Palatino Linotype" w:cs="Palatino Linotype"/>
          <w:sz w:val="22"/>
          <w:szCs w:val="22"/>
        </w:rPr>
        <w:t xml:space="preserve"> </w:t>
      </w:r>
      <w:r w:rsidRPr="00391B52">
        <w:rPr>
          <w:rFonts w:ascii="Palatino Linotype" w:eastAsia="Palatino Linotype" w:hAnsi="Palatino Linotype" w:cs="Palatino Linotype"/>
          <w:b/>
          <w:sz w:val="22"/>
          <w:szCs w:val="22"/>
        </w:rPr>
        <w:t>Recurrente,</w:t>
      </w:r>
      <w:r w:rsidRPr="00391B52">
        <w:rPr>
          <w:rFonts w:ascii="Palatino Linotype" w:eastAsia="Palatino Linotype" w:hAnsi="Palatino Linotype" w:cs="Palatino Linotype"/>
          <w:sz w:val="22"/>
          <w:szCs w:val="22"/>
        </w:rPr>
        <w:t xml:space="preserve"> en contra de la respuesta a su solicitud por parte del </w:t>
      </w:r>
      <w:r w:rsidRPr="00391B52">
        <w:rPr>
          <w:rFonts w:ascii="Palatino Linotype" w:eastAsia="Palatino Linotype" w:hAnsi="Palatino Linotype" w:cs="Palatino Linotype"/>
          <w:b/>
          <w:sz w:val="22"/>
          <w:szCs w:val="22"/>
        </w:rPr>
        <w:t xml:space="preserve">Ayuntamiento de Ixtapan del Oro, </w:t>
      </w:r>
      <w:r w:rsidRPr="00391B52">
        <w:rPr>
          <w:rFonts w:ascii="Palatino Linotype" w:eastAsia="Palatino Linotype" w:hAnsi="Palatino Linotype" w:cs="Palatino Linotype"/>
          <w:sz w:val="22"/>
          <w:szCs w:val="22"/>
        </w:rPr>
        <w:t xml:space="preserve">en lo sucesivo el </w:t>
      </w:r>
      <w:r w:rsidRPr="00391B52">
        <w:rPr>
          <w:rFonts w:ascii="Palatino Linotype" w:eastAsia="Palatino Linotype" w:hAnsi="Palatino Linotype" w:cs="Palatino Linotype"/>
          <w:b/>
          <w:sz w:val="22"/>
          <w:szCs w:val="22"/>
        </w:rPr>
        <w:t xml:space="preserve">Sujeto Obligado, </w:t>
      </w:r>
      <w:r w:rsidRPr="00391B52">
        <w:rPr>
          <w:rFonts w:ascii="Palatino Linotype" w:eastAsia="Palatino Linotype" w:hAnsi="Palatino Linotype" w:cs="Palatino Linotype"/>
          <w:sz w:val="22"/>
          <w:szCs w:val="22"/>
        </w:rPr>
        <w:t xml:space="preserve">se procede a dictar la presente resolución con base en los siguientes: </w:t>
      </w:r>
    </w:p>
    <w:p w14:paraId="369AB083" w14:textId="77777777" w:rsidR="00395935" w:rsidRPr="00391B52" w:rsidRDefault="00F629A7">
      <w:pPr>
        <w:spacing w:before="240" w:after="240" w:line="360" w:lineRule="auto"/>
        <w:jc w:val="center"/>
        <w:rPr>
          <w:rFonts w:ascii="Palatino Linotype" w:eastAsia="Palatino Linotype" w:hAnsi="Palatino Linotype" w:cs="Palatino Linotype"/>
          <w:b/>
          <w:sz w:val="22"/>
          <w:szCs w:val="22"/>
        </w:rPr>
      </w:pPr>
      <w:r w:rsidRPr="00391B52">
        <w:rPr>
          <w:rFonts w:ascii="Palatino Linotype" w:eastAsia="Palatino Linotype" w:hAnsi="Palatino Linotype" w:cs="Palatino Linotype"/>
          <w:b/>
          <w:sz w:val="22"/>
          <w:szCs w:val="22"/>
        </w:rPr>
        <w:t>I. A N T E C E D E N T E S</w:t>
      </w:r>
    </w:p>
    <w:p w14:paraId="67726D86"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t>1. Solicitud de acceso a la información.</w:t>
      </w:r>
      <w:r w:rsidRPr="00391B52">
        <w:rPr>
          <w:rFonts w:ascii="Palatino Linotype" w:eastAsia="Palatino Linotype" w:hAnsi="Palatino Linotype" w:cs="Palatino Linotype"/>
          <w:sz w:val="22"/>
          <w:szCs w:val="22"/>
        </w:rPr>
        <w:t xml:space="preserve"> El </w:t>
      </w:r>
      <w:r w:rsidRPr="00391B52">
        <w:rPr>
          <w:rFonts w:ascii="Palatino Linotype" w:eastAsia="Palatino Linotype" w:hAnsi="Palatino Linotype" w:cs="Palatino Linotype"/>
          <w:b/>
          <w:sz w:val="22"/>
          <w:szCs w:val="22"/>
        </w:rPr>
        <w:t>dos de abril de dos mil veinticinco,</w:t>
      </w:r>
      <w:r w:rsidRPr="00391B52">
        <w:rPr>
          <w:rFonts w:ascii="Palatino Linotype" w:eastAsia="Palatino Linotype" w:hAnsi="Palatino Linotype" w:cs="Palatino Linotype"/>
          <w:sz w:val="22"/>
          <w:szCs w:val="22"/>
        </w:rPr>
        <w:t xml:space="preserve"> </w:t>
      </w:r>
      <w:r w:rsidRPr="00391B52">
        <w:rPr>
          <w:rFonts w:ascii="Palatino Linotype" w:eastAsia="Palatino Linotype" w:hAnsi="Palatino Linotype" w:cs="Palatino Linotype"/>
          <w:b/>
          <w:sz w:val="22"/>
          <w:szCs w:val="22"/>
        </w:rPr>
        <w:t>la parte</w:t>
      </w:r>
      <w:r w:rsidRPr="00391B52">
        <w:rPr>
          <w:rFonts w:ascii="Palatino Linotype" w:eastAsia="Palatino Linotype" w:hAnsi="Palatino Linotype" w:cs="Palatino Linotype"/>
          <w:sz w:val="22"/>
          <w:szCs w:val="22"/>
        </w:rPr>
        <w:t xml:space="preserve"> </w:t>
      </w:r>
      <w:r w:rsidRPr="00391B52">
        <w:rPr>
          <w:rFonts w:ascii="Palatino Linotype" w:eastAsia="Palatino Linotype" w:hAnsi="Palatino Linotype" w:cs="Palatino Linotype"/>
          <w:b/>
          <w:sz w:val="22"/>
          <w:szCs w:val="22"/>
        </w:rPr>
        <w:t xml:space="preserve">Recurrente </w:t>
      </w:r>
      <w:r w:rsidRPr="00391B52">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la solicitud de acceso a la información pública a la que se le asignó el número</w:t>
      </w:r>
      <w:r w:rsidRPr="00391B52">
        <w:t xml:space="preserve"> </w:t>
      </w:r>
      <w:r w:rsidRPr="00391B52">
        <w:rPr>
          <w:rFonts w:ascii="Palatino Linotype" w:eastAsia="Palatino Linotype" w:hAnsi="Palatino Linotype" w:cs="Palatino Linotype"/>
          <w:b/>
          <w:sz w:val="22"/>
          <w:szCs w:val="22"/>
        </w:rPr>
        <w:t xml:space="preserve">00018/IXTAORO/IP/2025; </w:t>
      </w:r>
      <w:r w:rsidRPr="00391B52">
        <w:rPr>
          <w:rFonts w:ascii="Palatino Linotype" w:eastAsia="Palatino Linotype" w:hAnsi="Palatino Linotype" w:cs="Palatino Linotype"/>
          <w:sz w:val="22"/>
          <w:szCs w:val="22"/>
        </w:rPr>
        <w:t xml:space="preserve">mediante la cual requirió la información siguiente: </w:t>
      </w:r>
    </w:p>
    <w:p w14:paraId="2BE0A903" w14:textId="77777777" w:rsidR="00395935" w:rsidRPr="00391B52" w:rsidRDefault="00F629A7">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391B52">
        <w:rPr>
          <w:rFonts w:ascii="Palatino Linotype" w:eastAsia="Palatino Linotype" w:hAnsi="Palatino Linotype" w:cs="Palatino Linotype"/>
          <w:i/>
          <w:sz w:val="22"/>
          <w:szCs w:val="22"/>
        </w:rPr>
        <w:t xml:space="preserve">“REQUIERO, CON FUNDAMENTO EN EL ARTICULO 92 DE LA LEY DE TRANSPARENCIA Y ACCESO A LA INFORMACIÓN PÚBLICA DEL ESTADO DE MEXICO, YA QUE EN EL APARTADO DE TRANSPARENCIA DE SU PAGINA WEB SOLO APARACEN LOS TITULOS DE LAS OBLIGACIONES QUE DEBE CUMPLIR PERO NO TIENE NINGUNA INFORMACIÓN DE ESTE AÑO NI EL ANTERIOR, LO QUE ES CAUSAL DIRECTA DE INCUMPLIMIENTO A LAS OBLIGACIONES ENMARCADAS EN LA LEY GENERAL DE TRANSPARENCIA Y LEY DE TRANSPARENCIA Y ACCESO A LA INFOMACON PUBLICA DEL ESTADO DE MEXICO VERSION PUBLICA DE: </w:t>
      </w:r>
      <w:r w:rsidRPr="00391B52">
        <w:rPr>
          <w:rFonts w:ascii="Palatino Linotype" w:eastAsia="Palatino Linotype" w:hAnsi="Palatino Linotype" w:cs="Palatino Linotype"/>
          <w:b/>
          <w:i/>
          <w:sz w:val="22"/>
          <w:szCs w:val="22"/>
        </w:rPr>
        <w:t>15.- VERSIÓN PUBLICA DIGITALIZADA DE LA DISPERSION DE LA NOMINA DE LA SEGUNDA DE MARZO DEL 2025</w:t>
      </w:r>
      <w:r w:rsidRPr="00391B52">
        <w:rPr>
          <w:rFonts w:ascii="Palatino Linotype" w:eastAsia="Palatino Linotype" w:hAnsi="Palatino Linotype" w:cs="Palatino Linotype"/>
          <w:i/>
          <w:sz w:val="22"/>
          <w:szCs w:val="22"/>
        </w:rPr>
        <w:t xml:space="preserve">” (Sic) </w:t>
      </w:r>
    </w:p>
    <w:p w14:paraId="64C0B12D" w14:textId="77777777" w:rsidR="00395935" w:rsidRPr="00391B52" w:rsidRDefault="00F629A7">
      <w:pPr>
        <w:spacing w:before="240" w:after="240"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lastRenderedPageBreak/>
        <w:t>Modalidad de Entrega:</w:t>
      </w:r>
      <w:r w:rsidRPr="00391B52">
        <w:rPr>
          <w:rFonts w:ascii="Palatino Linotype" w:eastAsia="Palatino Linotype" w:hAnsi="Palatino Linotype" w:cs="Palatino Linotype"/>
          <w:sz w:val="22"/>
          <w:szCs w:val="22"/>
        </w:rPr>
        <w:t xml:space="preserve"> a través del Sistema de Acceso a la Información Mexiquense (SAIMEX).</w:t>
      </w:r>
    </w:p>
    <w:p w14:paraId="4F5A0A6D" w14:textId="77777777" w:rsidR="00395935" w:rsidRPr="00391B52" w:rsidRDefault="00F629A7">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391B52">
        <w:rPr>
          <w:rFonts w:ascii="Palatino Linotype" w:eastAsia="Palatino Linotype" w:hAnsi="Palatino Linotype" w:cs="Palatino Linotype"/>
          <w:b/>
          <w:sz w:val="22"/>
          <w:szCs w:val="22"/>
        </w:rPr>
        <w:t>2.</w:t>
      </w:r>
      <w:r w:rsidRPr="00391B52">
        <w:t xml:space="preserve"> </w:t>
      </w:r>
      <w:r w:rsidRPr="00391B52">
        <w:rPr>
          <w:rFonts w:ascii="Palatino Linotype" w:eastAsia="Palatino Linotype" w:hAnsi="Palatino Linotype" w:cs="Palatino Linotype"/>
          <w:b/>
          <w:sz w:val="22"/>
          <w:szCs w:val="22"/>
        </w:rPr>
        <w:t xml:space="preserve">Respuesta. </w:t>
      </w:r>
      <w:r w:rsidRPr="00391B52">
        <w:rPr>
          <w:rFonts w:ascii="Palatino Linotype" w:eastAsia="Palatino Linotype" w:hAnsi="Palatino Linotype" w:cs="Palatino Linotype"/>
          <w:sz w:val="22"/>
          <w:szCs w:val="22"/>
        </w:rPr>
        <w:t xml:space="preserve">El </w:t>
      </w:r>
      <w:r w:rsidRPr="00391B52">
        <w:rPr>
          <w:rFonts w:ascii="Palatino Linotype" w:eastAsia="Palatino Linotype" w:hAnsi="Palatino Linotype" w:cs="Palatino Linotype"/>
          <w:b/>
          <w:sz w:val="22"/>
          <w:szCs w:val="22"/>
        </w:rPr>
        <w:t>veintitrés de abril de dos mil veinticinco</w:t>
      </w:r>
      <w:r w:rsidRPr="00391B52">
        <w:rPr>
          <w:rFonts w:ascii="Palatino Linotype" w:eastAsia="Palatino Linotype" w:hAnsi="Palatino Linotype" w:cs="Palatino Linotype"/>
          <w:sz w:val="22"/>
          <w:szCs w:val="22"/>
        </w:rPr>
        <w:t xml:space="preserve">, el </w:t>
      </w:r>
      <w:r w:rsidRPr="00391B52">
        <w:rPr>
          <w:rFonts w:ascii="Palatino Linotype" w:eastAsia="Palatino Linotype" w:hAnsi="Palatino Linotype" w:cs="Palatino Linotype"/>
          <w:b/>
          <w:sz w:val="22"/>
          <w:szCs w:val="22"/>
        </w:rPr>
        <w:t xml:space="preserve">Sujeto Obligado </w:t>
      </w:r>
      <w:r w:rsidRPr="00391B52">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4C4ED3D5" w14:textId="77777777" w:rsidR="00395935" w:rsidRPr="00391B52" w:rsidRDefault="00F629A7">
      <w:pPr>
        <w:spacing w:before="240" w:after="240"/>
        <w:ind w:left="567"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“respuesta a la solicitud 00018” (Sic)</w:t>
      </w:r>
    </w:p>
    <w:p w14:paraId="0721833A" w14:textId="77777777" w:rsidR="00395935" w:rsidRPr="00391B52" w:rsidRDefault="00F629A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Adjunto a la respuesta, el </w:t>
      </w:r>
      <w:r w:rsidRPr="00391B52">
        <w:rPr>
          <w:rFonts w:ascii="Palatino Linotype" w:eastAsia="Palatino Linotype" w:hAnsi="Palatino Linotype" w:cs="Palatino Linotype"/>
          <w:b/>
          <w:sz w:val="22"/>
          <w:szCs w:val="22"/>
        </w:rPr>
        <w:t xml:space="preserve">Sujeto Obligado </w:t>
      </w:r>
      <w:r w:rsidRPr="00391B52">
        <w:rPr>
          <w:rFonts w:ascii="Palatino Linotype" w:eastAsia="Palatino Linotype" w:hAnsi="Palatino Linotype" w:cs="Palatino Linotype"/>
          <w:sz w:val="22"/>
          <w:szCs w:val="22"/>
        </w:rPr>
        <w:t>hizo entrega de un archivo electrónico denominado “</w:t>
      </w:r>
      <w:r w:rsidRPr="00391B52">
        <w:rPr>
          <w:rFonts w:ascii="Palatino Linotype" w:eastAsia="Palatino Linotype" w:hAnsi="Palatino Linotype" w:cs="Palatino Linotype"/>
          <w:b/>
          <w:i/>
          <w:sz w:val="22"/>
          <w:szCs w:val="22"/>
        </w:rPr>
        <w:t>37.pdf</w:t>
      </w:r>
      <w:r w:rsidRPr="00391B52">
        <w:rPr>
          <w:rFonts w:ascii="Palatino Linotype" w:eastAsia="Palatino Linotype" w:hAnsi="Palatino Linotype" w:cs="Palatino Linotype"/>
          <w:sz w:val="22"/>
          <w:szCs w:val="22"/>
        </w:rPr>
        <w:t>” que contiene dos páginas en blanco, sin información.</w:t>
      </w:r>
    </w:p>
    <w:p w14:paraId="2BB3EA50" w14:textId="77777777" w:rsidR="00395935" w:rsidRPr="00391B52" w:rsidRDefault="00395935">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3030D947" w14:textId="77777777" w:rsidR="00395935" w:rsidRPr="00391B52" w:rsidRDefault="00F629A7">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91B52">
        <w:rPr>
          <w:rFonts w:ascii="Palatino Linotype" w:eastAsia="Palatino Linotype" w:hAnsi="Palatino Linotype" w:cs="Palatino Linotype"/>
          <w:b/>
          <w:sz w:val="22"/>
          <w:szCs w:val="22"/>
        </w:rPr>
        <w:t xml:space="preserve">3. Interposición del recurso de revisión. </w:t>
      </w:r>
      <w:r w:rsidRPr="00391B52">
        <w:rPr>
          <w:rFonts w:ascii="Palatino Linotype" w:eastAsia="Palatino Linotype" w:hAnsi="Palatino Linotype" w:cs="Palatino Linotype"/>
          <w:sz w:val="22"/>
          <w:szCs w:val="22"/>
        </w:rPr>
        <w:t xml:space="preserve">Inconforme con los términos de la respuesta emitida por parte del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el</w:t>
      </w:r>
      <w:r w:rsidRPr="00391B52">
        <w:rPr>
          <w:rFonts w:ascii="Palatino Linotype" w:eastAsia="Palatino Linotype" w:hAnsi="Palatino Linotype" w:cs="Palatino Linotype"/>
          <w:b/>
          <w:sz w:val="22"/>
          <w:szCs w:val="22"/>
        </w:rPr>
        <w:t xml:space="preserve"> veinticinco de abril de dos mil veinticinco,</w:t>
      </w:r>
      <w:r w:rsidRPr="00391B52">
        <w:rPr>
          <w:rFonts w:ascii="Palatino Linotype" w:eastAsia="Palatino Linotype" w:hAnsi="Palatino Linotype" w:cs="Palatino Linotype"/>
          <w:sz w:val="22"/>
          <w:szCs w:val="22"/>
        </w:rPr>
        <w:t xml:space="preserve"> </w:t>
      </w:r>
      <w:r w:rsidRPr="00391B52">
        <w:rPr>
          <w:rFonts w:ascii="Palatino Linotype" w:eastAsia="Palatino Linotype" w:hAnsi="Palatino Linotype" w:cs="Palatino Linotype"/>
          <w:b/>
          <w:sz w:val="22"/>
          <w:szCs w:val="22"/>
        </w:rPr>
        <w:t>la parte</w:t>
      </w:r>
      <w:r w:rsidRPr="00391B52">
        <w:rPr>
          <w:rFonts w:ascii="Palatino Linotype" w:eastAsia="Palatino Linotype" w:hAnsi="Palatino Linotype" w:cs="Palatino Linotype"/>
          <w:sz w:val="22"/>
          <w:szCs w:val="22"/>
        </w:rPr>
        <w:t xml:space="preserve"> </w:t>
      </w:r>
      <w:r w:rsidRPr="00391B52">
        <w:rPr>
          <w:rFonts w:ascii="Palatino Linotype" w:eastAsia="Palatino Linotype" w:hAnsi="Palatino Linotype" w:cs="Palatino Linotype"/>
          <w:b/>
          <w:sz w:val="22"/>
          <w:szCs w:val="22"/>
        </w:rPr>
        <w:t>Recurrente</w:t>
      </w:r>
      <w:r w:rsidRPr="00391B52">
        <w:rPr>
          <w:rFonts w:ascii="Palatino Linotype" w:eastAsia="Palatino Linotype" w:hAnsi="Palatino Linotype" w:cs="Palatino Linotype"/>
          <w:sz w:val="22"/>
          <w:szCs w:val="22"/>
        </w:rPr>
        <w:t xml:space="preserve"> interpuso el recurso de revisión a través de </w:t>
      </w:r>
      <w:r w:rsidRPr="00391B52">
        <w:rPr>
          <w:rFonts w:ascii="Palatino Linotype" w:eastAsia="Palatino Linotype" w:hAnsi="Palatino Linotype" w:cs="Palatino Linotype"/>
          <w:b/>
          <w:sz w:val="22"/>
          <w:szCs w:val="22"/>
        </w:rPr>
        <w:t xml:space="preserve">SAIMEX, </w:t>
      </w:r>
      <w:r w:rsidRPr="00391B52">
        <w:rPr>
          <w:rFonts w:ascii="Palatino Linotype" w:eastAsia="Palatino Linotype" w:hAnsi="Palatino Linotype" w:cs="Palatino Linotype"/>
          <w:sz w:val="22"/>
          <w:szCs w:val="22"/>
        </w:rPr>
        <w:t>en donde se manifestó de la siguiente manera:</w:t>
      </w:r>
    </w:p>
    <w:p w14:paraId="5D0C46F1" w14:textId="77777777" w:rsidR="00395935" w:rsidRPr="00391B52" w:rsidRDefault="00F629A7">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391B52">
        <w:rPr>
          <w:rFonts w:ascii="Palatino Linotype" w:eastAsia="Palatino Linotype" w:hAnsi="Palatino Linotype" w:cs="Palatino Linotype"/>
          <w:b/>
          <w:sz w:val="22"/>
          <w:szCs w:val="22"/>
        </w:rPr>
        <w:t xml:space="preserve">a) Acto impugnado: </w:t>
      </w:r>
      <w:r w:rsidRPr="00391B52">
        <w:rPr>
          <w:rFonts w:ascii="Palatino Linotype" w:eastAsia="Palatino Linotype" w:hAnsi="Palatino Linotype" w:cs="Palatino Linotype"/>
          <w:i/>
          <w:sz w:val="22"/>
          <w:szCs w:val="22"/>
        </w:rPr>
        <w:t>“RESPUESTA DEL SUJETO OBLIGADO A LA SOLICITUD DE INFORMACION 0018/IXTAORO/IP/2025” (Sic)</w:t>
      </w:r>
    </w:p>
    <w:p w14:paraId="3B0A76B3" w14:textId="77777777" w:rsidR="00395935" w:rsidRPr="00391B52" w:rsidRDefault="00F629A7">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391B52">
        <w:rPr>
          <w:rFonts w:ascii="Palatino Linotype" w:eastAsia="Palatino Linotype" w:hAnsi="Palatino Linotype" w:cs="Palatino Linotype"/>
          <w:b/>
          <w:sz w:val="22"/>
          <w:szCs w:val="22"/>
        </w:rPr>
        <w:t>b) Razones o motivos de inconformidad</w:t>
      </w:r>
      <w:r w:rsidRPr="00391B52">
        <w:rPr>
          <w:rFonts w:ascii="Palatino Linotype" w:eastAsia="Palatino Linotype" w:hAnsi="Palatino Linotype" w:cs="Palatino Linotype"/>
          <w:sz w:val="22"/>
          <w:szCs w:val="22"/>
        </w:rPr>
        <w:t xml:space="preserve">: </w:t>
      </w:r>
      <w:r w:rsidRPr="00391B52">
        <w:rPr>
          <w:rFonts w:ascii="Palatino Linotype" w:eastAsia="Palatino Linotype" w:hAnsi="Palatino Linotype" w:cs="Palatino Linotype"/>
          <w:i/>
          <w:sz w:val="22"/>
          <w:szCs w:val="22"/>
        </w:rPr>
        <w:t xml:space="preserve">“La conducta de la autoridad constituye una forma de simulación de cumplimiento, atentando directamente contra los principios rectores de la transparencia y la buena fe, y generando los siguientes agravios: Simulación de Entrega: La autoridad aparenta haber entregado la información solicitada, sin que ésta se encuentre materialmente contenida en el archivo proporcionado. Esta práctica constituye una forma de obstaculización deliberada, en contravención al artículo 4 de la LTAIPEM, que establece el principio de máxima disponibilidad y accesibilidad de la información pública. Engaño al Órgano Garante: Al subir un archivo vacío o sin datos útiles al sistema de solicitudes, se induce a error al órgano garante, simulando un cumplimiento que en realidad no se ha producido, con lo cual se vulnera el deber de veracidad, buena fe y rendición de cuentas de los sujetos obligados conforme a los artículos 2, 6, 7 y 8 de </w:t>
      </w:r>
      <w:r w:rsidRPr="00391B52">
        <w:rPr>
          <w:rFonts w:ascii="Palatino Linotype" w:eastAsia="Palatino Linotype" w:hAnsi="Palatino Linotype" w:cs="Palatino Linotype"/>
          <w:i/>
          <w:sz w:val="22"/>
          <w:szCs w:val="22"/>
        </w:rPr>
        <w:lastRenderedPageBreak/>
        <w:t xml:space="preserve">la LTAIPEM. Violación a la LGCG: La conducta también contraviene lo dispuesto en los artículos 56, 58 y 61 de la Ley General de Contabilidad Gubernamental, que establecen la obligación de publicar de manera clara, precisa y verificable los documentos relativos al Presupuesto de Egresos, a través de medios electrónicos y formatos accesibles. Negativa de Hecho: A pesar de simular una respuesta, el hecho de que el archivo esté vacío equivale a una negativa de hecho conforme a lo previsto en el artículo 148 de la LTAIPEM, ya que el solicitante no obtiene materialmente la información requerida. Este recurso se interpone al amparo de los artículos 147, 148, 149 y 150 de la Ley de Transparencia y Acceso a la Información Pública del Estado de México y Municipios. Por lo anterior, solicito a este Órgano Garante: Se tenga por no cumplida la obligación del sujeto obligado, al haberse entregado un archivo vacío o sin contenido verificable. Se requiera al Ayuntamiento de Ixtapan del Oro para que, en un plazo perentorio, </w:t>
      </w:r>
      <w:r w:rsidRPr="00391B52">
        <w:rPr>
          <w:rFonts w:ascii="Palatino Linotype" w:eastAsia="Palatino Linotype" w:hAnsi="Palatino Linotype" w:cs="Palatino Linotype"/>
          <w:b/>
          <w:i/>
          <w:sz w:val="22"/>
          <w:szCs w:val="22"/>
          <w:u w:val="single"/>
        </w:rPr>
        <w:t>remita la información solicitada en versión electrónica íntegra y legible, de manera gratuita y accesible</w:t>
      </w:r>
      <w:r w:rsidRPr="00391B52">
        <w:rPr>
          <w:rFonts w:ascii="Palatino Linotype" w:eastAsia="Palatino Linotype" w:hAnsi="Palatino Linotype" w:cs="Palatino Linotype"/>
          <w:i/>
          <w:sz w:val="22"/>
          <w:szCs w:val="22"/>
          <w:u w:val="single"/>
        </w:rPr>
        <w:t xml:space="preserve">. </w:t>
      </w:r>
      <w:r w:rsidRPr="00391B52">
        <w:rPr>
          <w:rFonts w:ascii="Palatino Linotype" w:eastAsia="Palatino Linotype" w:hAnsi="Palatino Linotype" w:cs="Palatino Linotype"/>
          <w:b/>
          <w:i/>
          <w:sz w:val="22"/>
          <w:szCs w:val="22"/>
          <w:u w:val="single"/>
        </w:rPr>
        <w:t>Se analice la posible conducta dolosa o negligente del sujeto obligado, y en su caso, se inicien las acciones correspondientes por incumplimiento a la Ley de Transparencia</w:t>
      </w:r>
      <w:r w:rsidRPr="00391B52">
        <w:rPr>
          <w:rFonts w:ascii="Palatino Linotype" w:eastAsia="Palatino Linotype" w:hAnsi="Palatino Linotype" w:cs="Palatino Linotype"/>
          <w:i/>
          <w:sz w:val="22"/>
          <w:szCs w:val="22"/>
        </w:rPr>
        <w:t xml:space="preserve">. Se exhorte a la autoridad a publicar la información pública de oficio en su portal institucional, de conformidad con sus obligaciones de transparencia de oficio. </w:t>
      </w:r>
      <w:r w:rsidRPr="00391B52">
        <w:rPr>
          <w:rFonts w:ascii="Palatino Linotype" w:eastAsia="Palatino Linotype" w:hAnsi="Palatino Linotype" w:cs="Palatino Linotype"/>
          <w:b/>
          <w:i/>
          <w:sz w:val="22"/>
          <w:szCs w:val="22"/>
        </w:rPr>
        <w:t>Se de vista a las áreas fiscalizadoras de ese Órgano Garante y al OSFEM para los efectos procedentes</w:t>
      </w:r>
      <w:r w:rsidRPr="00391B52">
        <w:rPr>
          <w:rFonts w:ascii="Palatino Linotype" w:eastAsia="Palatino Linotype" w:hAnsi="Palatino Linotype" w:cs="Palatino Linotype"/>
          <w:i/>
          <w:sz w:val="22"/>
          <w:szCs w:val="22"/>
        </w:rPr>
        <w:t>” (Sic)</w:t>
      </w:r>
    </w:p>
    <w:p w14:paraId="1B788121" w14:textId="77777777" w:rsidR="00395935" w:rsidRPr="00391B52" w:rsidRDefault="00395935">
      <w:pPr>
        <w:spacing w:line="276" w:lineRule="auto"/>
        <w:ind w:left="567" w:right="900"/>
        <w:jc w:val="both"/>
        <w:rPr>
          <w:rFonts w:ascii="Palatino Linotype" w:eastAsia="Palatino Linotype" w:hAnsi="Palatino Linotype" w:cs="Palatino Linotype"/>
          <w:i/>
          <w:sz w:val="22"/>
          <w:szCs w:val="22"/>
        </w:rPr>
      </w:pPr>
    </w:p>
    <w:p w14:paraId="78FE8921" w14:textId="77777777" w:rsidR="00395935" w:rsidRPr="00391B52" w:rsidRDefault="00F629A7">
      <w:pPr>
        <w:spacing w:line="360" w:lineRule="auto"/>
        <w:ind w:right="51"/>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t xml:space="preserve">4. Turno. </w:t>
      </w:r>
      <w:r w:rsidRPr="00391B5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91B52">
        <w:rPr>
          <w:rFonts w:ascii="Palatino Linotype" w:eastAsia="Palatino Linotype" w:hAnsi="Palatino Linotype" w:cs="Palatino Linotype"/>
          <w:b/>
          <w:sz w:val="22"/>
          <w:szCs w:val="22"/>
        </w:rPr>
        <w:t xml:space="preserve">Guadalupe Ramírez Peña, </w:t>
      </w:r>
      <w:r w:rsidRPr="00391B52">
        <w:rPr>
          <w:rFonts w:ascii="Palatino Linotype" w:eastAsia="Palatino Linotype" w:hAnsi="Palatino Linotype" w:cs="Palatino Linotype"/>
          <w:sz w:val="22"/>
          <w:szCs w:val="22"/>
        </w:rPr>
        <w:t xml:space="preserve">a efecto de que analizara sobre su admisión o su </w:t>
      </w:r>
      <w:proofErr w:type="spellStart"/>
      <w:r w:rsidRPr="00391B52">
        <w:rPr>
          <w:rFonts w:ascii="Palatino Linotype" w:eastAsia="Palatino Linotype" w:hAnsi="Palatino Linotype" w:cs="Palatino Linotype"/>
          <w:sz w:val="22"/>
          <w:szCs w:val="22"/>
        </w:rPr>
        <w:t>desechamiento</w:t>
      </w:r>
      <w:proofErr w:type="spellEnd"/>
      <w:r w:rsidRPr="00391B52">
        <w:rPr>
          <w:rFonts w:ascii="Palatino Linotype" w:eastAsia="Palatino Linotype" w:hAnsi="Palatino Linotype" w:cs="Palatino Linotype"/>
          <w:sz w:val="22"/>
          <w:szCs w:val="22"/>
        </w:rPr>
        <w:t>.</w:t>
      </w:r>
    </w:p>
    <w:p w14:paraId="57DFB564" w14:textId="77777777" w:rsidR="00395935" w:rsidRPr="00391B52" w:rsidRDefault="00395935">
      <w:pPr>
        <w:spacing w:line="360" w:lineRule="auto"/>
        <w:ind w:right="51"/>
        <w:jc w:val="both"/>
        <w:rPr>
          <w:rFonts w:ascii="Palatino Linotype" w:eastAsia="Palatino Linotype" w:hAnsi="Palatino Linotype" w:cs="Palatino Linotype"/>
          <w:sz w:val="22"/>
          <w:szCs w:val="22"/>
        </w:rPr>
      </w:pPr>
    </w:p>
    <w:p w14:paraId="3C3EA7A7"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t>5. Admisión del Recurso de revisión.</w:t>
      </w:r>
      <w:r w:rsidRPr="00391B52">
        <w:rPr>
          <w:rFonts w:ascii="Palatino Linotype" w:eastAsia="Palatino Linotype" w:hAnsi="Palatino Linotype" w:cs="Palatino Linotype"/>
          <w:sz w:val="22"/>
          <w:szCs w:val="22"/>
        </w:rPr>
        <w:t xml:space="preserve"> El </w:t>
      </w:r>
      <w:r w:rsidRPr="00391B52">
        <w:rPr>
          <w:rFonts w:ascii="Palatino Linotype" w:eastAsia="Palatino Linotype" w:hAnsi="Palatino Linotype" w:cs="Palatino Linotype"/>
          <w:b/>
          <w:sz w:val="22"/>
          <w:szCs w:val="22"/>
        </w:rPr>
        <w:t xml:space="preserve">treinta de abril de dos mil veinticinco, </w:t>
      </w:r>
      <w:r w:rsidRPr="00391B5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w:t>
      </w:r>
      <w:r w:rsidRPr="00391B52">
        <w:rPr>
          <w:rFonts w:ascii="Palatino Linotype" w:eastAsia="Palatino Linotype" w:hAnsi="Palatino Linotype" w:cs="Palatino Linotype"/>
          <w:sz w:val="22"/>
          <w:szCs w:val="22"/>
        </w:rPr>
        <w:lastRenderedPageBreak/>
        <w:t xml:space="preserve">ahora se resuelve, dando un plazo máximo de siete días hábiles para que las partes manifestaran lo que a su derecho resultara conveniente, ofrecieran pruebas, formularan alegatos y el </w:t>
      </w:r>
      <w:r w:rsidRPr="00391B52">
        <w:rPr>
          <w:rFonts w:ascii="Palatino Linotype" w:eastAsia="Palatino Linotype" w:hAnsi="Palatino Linotype" w:cs="Palatino Linotype"/>
          <w:b/>
          <w:sz w:val="22"/>
          <w:szCs w:val="22"/>
        </w:rPr>
        <w:t xml:space="preserve">Sujeto Obligado </w:t>
      </w:r>
      <w:r w:rsidRPr="00391B52">
        <w:rPr>
          <w:rFonts w:ascii="Palatino Linotype" w:eastAsia="Palatino Linotype" w:hAnsi="Palatino Linotype" w:cs="Palatino Linotype"/>
          <w:sz w:val="22"/>
          <w:szCs w:val="22"/>
        </w:rPr>
        <w:t>presentara su informe justificado.</w:t>
      </w:r>
    </w:p>
    <w:p w14:paraId="4AB281D7"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3D2BFC95" w14:textId="77777777" w:rsidR="00395935" w:rsidRPr="00391B52" w:rsidRDefault="00F629A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391B52">
        <w:rPr>
          <w:rFonts w:ascii="Palatino Linotype" w:eastAsia="Palatino Linotype" w:hAnsi="Palatino Linotype" w:cs="Palatino Linotype"/>
          <w:b/>
          <w:sz w:val="22"/>
          <w:szCs w:val="22"/>
        </w:rPr>
        <w:t>6. Manifestaciones</w:t>
      </w:r>
      <w:r w:rsidRPr="00391B52">
        <w:rPr>
          <w:rFonts w:ascii="Palatino Linotype" w:eastAsia="Palatino Linotype" w:hAnsi="Palatino Linotype" w:cs="Palatino Linotype"/>
          <w:sz w:val="22"/>
          <w:szCs w:val="22"/>
        </w:rPr>
        <w:t xml:space="preserve">. De las constancias que integran el expediente en que se actúa se advierte </w:t>
      </w:r>
      <w:proofErr w:type="gramStart"/>
      <w:r w:rsidRPr="00391B52">
        <w:rPr>
          <w:rFonts w:ascii="Palatino Linotype" w:eastAsia="Palatino Linotype" w:hAnsi="Palatino Linotype" w:cs="Palatino Linotype"/>
          <w:sz w:val="22"/>
          <w:szCs w:val="22"/>
        </w:rPr>
        <w:t>que</w:t>
      </w:r>
      <w:proofErr w:type="gramEnd"/>
      <w:r w:rsidRPr="00391B52">
        <w:rPr>
          <w:rFonts w:ascii="Palatino Linotype" w:eastAsia="Palatino Linotype" w:hAnsi="Palatino Linotype" w:cs="Palatino Linotype"/>
          <w:sz w:val="22"/>
          <w:szCs w:val="22"/>
        </w:rPr>
        <w:t xml:space="preserve"> durante el periodo de manifestaciones, el </w:t>
      </w:r>
      <w:r w:rsidRPr="00391B52">
        <w:rPr>
          <w:rFonts w:ascii="Palatino Linotype" w:eastAsia="Palatino Linotype" w:hAnsi="Palatino Linotype" w:cs="Palatino Linotype"/>
          <w:b/>
          <w:sz w:val="22"/>
          <w:szCs w:val="22"/>
        </w:rPr>
        <w:t xml:space="preserve">Sujeto Obligado </w:t>
      </w:r>
      <w:r w:rsidRPr="00391B52">
        <w:rPr>
          <w:rFonts w:ascii="Palatino Linotype" w:eastAsia="Palatino Linotype" w:hAnsi="Palatino Linotype" w:cs="Palatino Linotype"/>
          <w:sz w:val="22"/>
          <w:szCs w:val="22"/>
        </w:rPr>
        <w:t xml:space="preserve">fue omiso en rendir su informe justificado; y, la parte </w:t>
      </w:r>
      <w:r w:rsidRPr="00391B52">
        <w:rPr>
          <w:rFonts w:ascii="Palatino Linotype" w:eastAsia="Palatino Linotype" w:hAnsi="Palatino Linotype" w:cs="Palatino Linotype"/>
          <w:b/>
          <w:sz w:val="22"/>
          <w:szCs w:val="22"/>
        </w:rPr>
        <w:t>Recurrente</w:t>
      </w:r>
      <w:r w:rsidRPr="00391B52">
        <w:rPr>
          <w:rFonts w:ascii="Palatino Linotype" w:eastAsia="Palatino Linotype" w:hAnsi="Palatino Linotype" w:cs="Palatino Linotype"/>
          <w:sz w:val="22"/>
          <w:szCs w:val="22"/>
        </w:rPr>
        <w:t xml:space="preserve"> fue omisa en rendir manifestaciones o alegatos que conforme a derecho resultaran procedentes, como se muestra de la siguiente digitalización:</w:t>
      </w:r>
    </w:p>
    <w:p w14:paraId="5B85B40C" w14:textId="77777777" w:rsidR="00395935" w:rsidRPr="00391B52" w:rsidRDefault="0039593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3591AFC" w14:textId="77777777" w:rsidR="00395935" w:rsidRPr="00391B52" w:rsidRDefault="00F629A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noProof/>
          <w:sz w:val="22"/>
          <w:szCs w:val="22"/>
        </w:rPr>
        <w:drawing>
          <wp:inline distT="0" distB="0" distL="0" distR="0" wp14:anchorId="4392B776" wp14:editId="6E94F0AC">
            <wp:extent cx="5612130" cy="1335405"/>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1335405"/>
                    </a:xfrm>
                    <a:prstGeom prst="rect">
                      <a:avLst/>
                    </a:prstGeom>
                    <a:ln/>
                  </pic:spPr>
                </pic:pic>
              </a:graphicData>
            </a:graphic>
          </wp:inline>
        </w:drawing>
      </w:r>
    </w:p>
    <w:p w14:paraId="7C6CFB3A" w14:textId="77777777" w:rsidR="00395935" w:rsidRPr="00391B52" w:rsidRDefault="00395935">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7BEEDD6C" w14:textId="77777777" w:rsidR="00395935" w:rsidRPr="00391B52" w:rsidRDefault="00F629A7">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t xml:space="preserve">7. Cierre de instrucción. </w:t>
      </w:r>
      <w:r w:rsidRPr="00391B5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391B52">
        <w:rPr>
          <w:rFonts w:ascii="Palatino Linotype" w:eastAsia="Palatino Linotype" w:hAnsi="Palatino Linotype" w:cs="Palatino Linotype"/>
          <w:b/>
          <w:sz w:val="22"/>
          <w:szCs w:val="22"/>
        </w:rPr>
        <w:t>ocho de julio de dos mil veinticinco,</w:t>
      </w:r>
      <w:r w:rsidRPr="00391B52">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5B17418" w14:textId="77777777" w:rsidR="00395935" w:rsidRPr="00391B52" w:rsidRDefault="00395935">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53BF79EF" w14:textId="77777777" w:rsidR="00395935" w:rsidRPr="00391B52" w:rsidRDefault="00F629A7">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t>8. Ampliación del término para resolver</w:t>
      </w:r>
      <w:r w:rsidRPr="00391B52">
        <w:rPr>
          <w:rFonts w:ascii="Palatino Linotype" w:eastAsia="Palatino Linotype" w:hAnsi="Palatino Linotype" w:cs="Palatino Linotype"/>
          <w:sz w:val="22"/>
          <w:szCs w:val="22"/>
        </w:rPr>
        <w:t xml:space="preserve">. Mediante acuerdo del </w:t>
      </w:r>
      <w:r w:rsidRPr="00391B52">
        <w:rPr>
          <w:rFonts w:ascii="Palatino Linotype" w:eastAsia="Palatino Linotype" w:hAnsi="Palatino Linotype" w:cs="Palatino Linotype"/>
          <w:b/>
          <w:sz w:val="22"/>
          <w:szCs w:val="22"/>
        </w:rPr>
        <w:t>ocho de julio de dos mil veinticinco</w:t>
      </w:r>
      <w:r w:rsidRPr="00391B52">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3B5AF05"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1C0853EC"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6883704"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32B3435C"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Por ello, es menester precisar </w:t>
      </w:r>
      <w:proofErr w:type="gramStart"/>
      <w:r w:rsidRPr="00391B52">
        <w:rPr>
          <w:rFonts w:ascii="Palatino Linotype" w:eastAsia="Palatino Linotype" w:hAnsi="Palatino Linotype" w:cs="Palatino Linotype"/>
          <w:sz w:val="22"/>
          <w:szCs w:val="22"/>
        </w:rPr>
        <w:t>que</w:t>
      </w:r>
      <w:proofErr w:type="gramEnd"/>
      <w:r w:rsidRPr="00391B52">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222BEF06"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0A7D816A"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DA76E2"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570F787E"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78E630D"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7C7AA510"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81B51A0" w14:textId="77777777" w:rsidR="00395935" w:rsidRPr="00391B52" w:rsidRDefault="00395935">
      <w:pPr>
        <w:spacing w:line="360" w:lineRule="auto"/>
        <w:jc w:val="both"/>
        <w:rPr>
          <w:rFonts w:ascii="Palatino Linotype" w:eastAsia="Palatino Linotype" w:hAnsi="Palatino Linotype" w:cs="Palatino Linotype"/>
          <w:strike/>
          <w:sz w:val="22"/>
          <w:szCs w:val="22"/>
        </w:rPr>
      </w:pPr>
    </w:p>
    <w:p w14:paraId="1B170F84" w14:textId="77777777" w:rsidR="00395935" w:rsidRPr="00391B52" w:rsidRDefault="00F629A7">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lastRenderedPageBreak/>
        <w:t>Complejidad del Asunto:</w:t>
      </w:r>
      <w:r w:rsidRPr="00391B5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5EBAEAC1" w14:textId="77777777" w:rsidR="00395935" w:rsidRPr="00391B52" w:rsidRDefault="00F629A7">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t>Actividad Procesal del interesado</w:t>
      </w:r>
      <w:r w:rsidRPr="00391B52">
        <w:rPr>
          <w:rFonts w:ascii="Palatino Linotype" w:eastAsia="Palatino Linotype" w:hAnsi="Palatino Linotype" w:cs="Palatino Linotype"/>
          <w:sz w:val="22"/>
          <w:szCs w:val="22"/>
        </w:rPr>
        <w:t>. Acciones u omisiones del interesado.</w:t>
      </w:r>
    </w:p>
    <w:p w14:paraId="43CCE9F8" w14:textId="77777777" w:rsidR="00395935" w:rsidRPr="00391B52" w:rsidRDefault="00F629A7">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t>Conducta de la Autoridad:</w:t>
      </w:r>
      <w:r w:rsidRPr="00391B5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738B29A" w14:textId="77777777" w:rsidR="00395935" w:rsidRPr="00391B52" w:rsidRDefault="00F629A7">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t>La afectación generada en la situación jurídica de la persona involucrada en el proceso:</w:t>
      </w:r>
      <w:r w:rsidRPr="00391B52">
        <w:rPr>
          <w:rFonts w:ascii="Palatino Linotype" w:eastAsia="Palatino Linotype" w:hAnsi="Palatino Linotype" w:cs="Palatino Linotype"/>
          <w:sz w:val="22"/>
          <w:szCs w:val="22"/>
        </w:rPr>
        <w:t xml:space="preserve"> Violación a sus derechos humanos.</w:t>
      </w:r>
    </w:p>
    <w:p w14:paraId="452879D0" w14:textId="77777777" w:rsidR="00395935" w:rsidRPr="00391B52" w:rsidRDefault="00395935">
      <w:pPr>
        <w:tabs>
          <w:tab w:val="left" w:pos="993"/>
        </w:tabs>
        <w:spacing w:line="360" w:lineRule="auto"/>
        <w:ind w:left="567" w:right="900"/>
        <w:jc w:val="both"/>
        <w:rPr>
          <w:rFonts w:ascii="Palatino Linotype" w:eastAsia="Palatino Linotype" w:hAnsi="Palatino Linotype" w:cs="Palatino Linotype"/>
          <w:sz w:val="22"/>
          <w:szCs w:val="22"/>
        </w:rPr>
      </w:pPr>
    </w:p>
    <w:p w14:paraId="3CD5FF6C"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B4AA6C"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45FAE96B"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391B52">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391B52">
        <w:rPr>
          <w:rFonts w:ascii="Palatino Linotype" w:eastAsia="Palatino Linotype" w:hAnsi="Palatino Linotype" w:cs="Palatino Linotype"/>
          <w:sz w:val="22"/>
          <w:szCs w:val="22"/>
        </w:rPr>
        <w:t>, visible en la Gaceta del Seminario Judicial de la Federación con el registro digital 205635.</w:t>
      </w:r>
    </w:p>
    <w:p w14:paraId="45D99532" w14:textId="77777777" w:rsidR="00395935" w:rsidRPr="00391B52" w:rsidRDefault="00395935">
      <w:pPr>
        <w:spacing w:line="360" w:lineRule="auto"/>
        <w:jc w:val="both"/>
        <w:rPr>
          <w:rFonts w:ascii="Palatino Linotype" w:eastAsia="Palatino Linotype" w:hAnsi="Palatino Linotype" w:cs="Palatino Linotype"/>
          <w:b/>
          <w:sz w:val="22"/>
          <w:szCs w:val="22"/>
        </w:rPr>
      </w:pPr>
    </w:p>
    <w:p w14:paraId="473D8B83"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w:t>
      </w:r>
      <w:r w:rsidRPr="00391B52">
        <w:rPr>
          <w:rFonts w:ascii="Palatino Linotype" w:eastAsia="Palatino Linotype" w:hAnsi="Palatino Linotype" w:cs="Palatino Linotype"/>
          <w:sz w:val="22"/>
          <w:szCs w:val="22"/>
        </w:rPr>
        <w:lastRenderedPageBreak/>
        <w:t>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1DED18"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5A1D76A7"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75DC2B4"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23034BA9" w14:textId="77777777" w:rsidR="00395935" w:rsidRPr="00391B52" w:rsidRDefault="00F629A7">
      <w:pPr>
        <w:spacing w:line="360" w:lineRule="auto"/>
        <w:ind w:left="851" w:right="90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 </w:t>
      </w:r>
      <w:r w:rsidRPr="00391B52">
        <w:rPr>
          <w:rFonts w:ascii="Palatino Linotype" w:eastAsia="Palatino Linotype" w:hAnsi="Palatino Linotype" w:cs="Palatino Linotype"/>
          <w:b/>
          <w:i/>
          <w:sz w:val="22"/>
          <w:szCs w:val="22"/>
        </w:rPr>
        <w:t>“PLAZO RAZONABLE PARA RESOLVER. DIMENSIÓN Y EFECTOS DE ESTE CONCEPTO CUANDO SE ADUCE EXCESIVA CARGA DE TRABAJO</w:t>
      </w:r>
      <w:r w:rsidRPr="00391B52">
        <w:rPr>
          <w:rFonts w:ascii="Palatino Linotype" w:eastAsia="Palatino Linotype" w:hAnsi="Palatino Linotype" w:cs="Palatino Linotype"/>
          <w:i/>
          <w:sz w:val="22"/>
          <w:szCs w:val="22"/>
        </w:rPr>
        <w:t>.”</w:t>
      </w:r>
      <w:r w:rsidRPr="00391B52">
        <w:rPr>
          <w:rFonts w:ascii="Palatino Linotype" w:eastAsia="Palatino Linotype" w:hAnsi="Palatino Linotype" w:cs="Palatino Linotype"/>
          <w:sz w:val="22"/>
          <w:szCs w:val="22"/>
        </w:rPr>
        <w:t xml:space="preserve"> consultable en el Seminario Judicial de la Federación y su gaceta, con el registro digital 2002351.</w:t>
      </w:r>
    </w:p>
    <w:p w14:paraId="507A44D2" w14:textId="77777777" w:rsidR="00395935" w:rsidRPr="00391B52" w:rsidRDefault="00F629A7">
      <w:pPr>
        <w:spacing w:line="360" w:lineRule="auto"/>
        <w:ind w:left="851" w:right="90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391B52">
        <w:rPr>
          <w:rFonts w:ascii="Palatino Linotype" w:eastAsia="Palatino Linotype" w:hAnsi="Palatino Linotype" w:cs="Palatino Linotype"/>
          <w:sz w:val="22"/>
          <w:szCs w:val="22"/>
        </w:rPr>
        <w:t>, visible en el Seminario Judicial de la Federación y su gaceta, con el registro digital 2002350.</w:t>
      </w:r>
    </w:p>
    <w:p w14:paraId="7DAF0F7E" w14:textId="77777777" w:rsidR="00395935" w:rsidRPr="00391B52" w:rsidRDefault="00395935">
      <w:pPr>
        <w:spacing w:line="360" w:lineRule="auto"/>
        <w:ind w:left="851" w:right="900"/>
        <w:jc w:val="both"/>
        <w:rPr>
          <w:rFonts w:ascii="Palatino Linotype" w:eastAsia="Palatino Linotype" w:hAnsi="Palatino Linotype" w:cs="Palatino Linotype"/>
          <w:sz w:val="22"/>
          <w:szCs w:val="22"/>
        </w:rPr>
      </w:pPr>
    </w:p>
    <w:p w14:paraId="3FF2417F" w14:textId="77777777" w:rsidR="00395935" w:rsidRPr="00391B52" w:rsidRDefault="00F629A7">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w:t>
      </w:r>
      <w:proofErr w:type="gramStart"/>
      <w:r w:rsidRPr="00391B52">
        <w:rPr>
          <w:rFonts w:ascii="Palatino Linotype" w:eastAsia="Palatino Linotype" w:hAnsi="Palatino Linotype" w:cs="Palatino Linotype"/>
          <w:sz w:val="22"/>
          <w:szCs w:val="22"/>
        </w:rPr>
        <w:t>de  carácter</w:t>
      </w:r>
      <w:proofErr w:type="gramEnd"/>
      <w:r w:rsidRPr="00391B52">
        <w:rPr>
          <w:rFonts w:ascii="Palatino Linotype" w:eastAsia="Palatino Linotype" w:hAnsi="Palatino Linotype" w:cs="Palatino Linotype"/>
          <w:sz w:val="22"/>
          <w:szCs w:val="22"/>
        </w:rPr>
        <w:t xml:space="preserve"> excepcional.</w:t>
      </w:r>
    </w:p>
    <w:p w14:paraId="4BC76E31" w14:textId="77777777" w:rsidR="00395935" w:rsidRPr="00391B52" w:rsidRDefault="00395935">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3CDB2B76" w14:textId="77777777" w:rsidR="00395935" w:rsidRPr="00391B52" w:rsidRDefault="00F629A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3F1F29A8" w14:textId="77777777" w:rsidR="00395935" w:rsidRPr="00391B52" w:rsidRDefault="00F629A7">
      <w:pPr>
        <w:widowControl w:val="0"/>
        <w:spacing w:before="240" w:after="240" w:line="360" w:lineRule="auto"/>
        <w:jc w:val="center"/>
        <w:rPr>
          <w:rFonts w:ascii="Palatino Linotype" w:eastAsia="Palatino Linotype" w:hAnsi="Palatino Linotype" w:cs="Palatino Linotype"/>
          <w:b/>
          <w:sz w:val="22"/>
          <w:szCs w:val="22"/>
        </w:rPr>
      </w:pPr>
      <w:r w:rsidRPr="00391B52">
        <w:rPr>
          <w:rFonts w:ascii="Palatino Linotype" w:eastAsia="Palatino Linotype" w:hAnsi="Palatino Linotype" w:cs="Palatino Linotype"/>
          <w:b/>
          <w:sz w:val="22"/>
          <w:szCs w:val="22"/>
        </w:rPr>
        <w:t>II. C O N S I D E R A N D O S</w:t>
      </w:r>
    </w:p>
    <w:p w14:paraId="298DD911"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t>Primero. Competencia.</w:t>
      </w:r>
      <w:r w:rsidRPr="00391B5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1CD1C25"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74BD8F68" w14:textId="77777777" w:rsidR="00395935" w:rsidRPr="00391B52" w:rsidRDefault="00F629A7">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391B52">
        <w:rPr>
          <w:rFonts w:ascii="Palatino Linotype" w:eastAsia="Palatino Linotype" w:hAnsi="Palatino Linotype" w:cs="Palatino Linotype"/>
          <w:b/>
          <w:sz w:val="22"/>
          <w:szCs w:val="22"/>
        </w:rPr>
        <w:t>Segundo. Oportunidad y Procedibilidad del Recurso de Revisión</w:t>
      </w:r>
      <w:r w:rsidRPr="00391B5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7336C10"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7AC56F36"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391B52">
        <w:rPr>
          <w:rFonts w:ascii="Palatino Linotype" w:eastAsia="Palatino Linotype" w:hAnsi="Palatino Linotype" w:cs="Palatino Linotype"/>
          <w:b/>
          <w:sz w:val="22"/>
          <w:szCs w:val="22"/>
        </w:rPr>
        <w:t xml:space="preserve">Sujeto Obligado </w:t>
      </w:r>
      <w:r w:rsidRPr="00391B52">
        <w:rPr>
          <w:rFonts w:ascii="Palatino Linotype" w:eastAsia="Palatino Linotype" w:hAnsi="Palatino Linotype" w:cs="Palatino Linotype"/>
          <w:sz w:val="22"/>
          <w:szCs w:val="22"/>
        </w:rPr>
        <w:t>remitió la respuesta a la solicitud de información el</w:t>
      </w:r>
      <w:r w:rsidRPr="00391B52">
        <w:t xml:space="preserve"> </w:t>
      </w:r>
      <w:r w:rsidRPr="00391B52">
        <w:rPr>
          <w:rFonts w:ascii="Palatino Linotype" w:eastAsia="Palatino Linotype" w:hAnsi="Palatino Linotype" w:cs="Palatino Linotype"/>
          <w:b/>
          <w:sz w:val="22"/>
          <w:szCs w:val="22"/>
        </w:rPr>
        <w:t xml:space="preserve">veintitrés de abril de dos mil veinticinco, </w:t>
      </w:r>
      <w:r w:rsidRPr="00391B52">
        <w:rPr>
          <w:rFonts w:ascii="Palatino Linotype" w:eastAsia="Palatino Linotype" w:hAnsi="Palatino Linotype" w:cs="Palatino Linotype"/>
          <w:sz w:val="22"/>
          <w:szCs w:val="22"/>
        </w:rPr>
        <w:t xml:space="preserve">mientras que el recurso de revisión interpuesto por </w:t>
      </w:r>
      <w:r w:rsidRPr="00391B52">
        <w:rPr>
          <w:rFonts w:ascii="Palatino Linotype" w:eastAsia="Palatino Linotype" w:hAnsi="Palatino Linotype" w:cs="Palatino Linotype"/>
          <w:b/>
          <w:sz w:val="22"/>
          <w:szCs w:val="22"/>
        </w:rPr>
        <w:t>la parte</w:t>
      </w:r>
      <w:r w:rsidRPr="00391B52">
        <w:rPr>
          <w:rFonts w:ascii="Palatino Linotype" w:eastAsia="Palatino Linotype" w:hAnsi="Palatino Linotype" w:cs="Palatino Linotype"/>
          <w:sz w:val="22"/>
          <w:szCs w:val="22"/>
        </w:rPr>
        <w:t xml:space="preserve"> </w:t>
      </w:r>
      <w:r w:rsidRPr="00391B52">
        <w:rPr>
          <w:rFonts w:ascii="Palatino Linotype" w:eastAsia="Palatino Linotype" w:hAnsi="Palatino Linotype" w:cs="Palatino Linotype"/>
          <w:b/>
          <w:sz w:val="22"/>
          <w:szCs w:val="22"/>
        </w:rPr>
        <w:t>Recurrente</w:t>
      </w:r>
      <w:r w:rsidRPr="00391B52">
        <w:rPr>
          <w:rFonts w:ascii="Palatino Linotype" w:eastAsia="Palatino Linotype" w:hAnsi="Palatino Linotype" w:cs="Palatino Linotype"/>
          <w:sz w:val="22"/>
          <w:szCs w:val="22"/>
        </w:rPr>
        <w:t xml:space="preserve">, se tuvo por presentado el </w:t>
      </w:r>
      <w:r w:rsidRPr="00391B52">
        <w:rPr>
          <w:rFonts w:ascii="Palatino Linotype" w:eastAsia="Palatino Linotype" w:hAnsi="Palatino Linotype" w:cs="Palatino Linotype"/>
          <w:b/>
          <w:sz w:val="22"/>
          <w:szCs w:val="22"/>
        </w:rPr>
        <w:t xml:space="preserve">veinticinco de abril </w:t>
      </w:r>
      <w:r w:rsidRPr="00391B52">
        <w:rPr>
          <w:rFonts w:ascii="Palatino Linotype" w:eastAsia="Palatino Linotype" w:hAnsi="Palatino Linotype" w:cs="Palatino Linotype"/>
          <w:b/>
          <w:sz w:val="22"/>
          <w:szCs w:val="22"/>
        </w:rPr>
        <w:lastRenderedPageBreak/>
        <w:t>de dos mil veinticinco</w:t>
      </w:r>
      <w:r w:rsidRPr="00391B52">
        <w:rPr>
          <w:rFonts w:ascii="Palatino Linotype" w:eastAsia="Palatino Linotype" w:hAnsi="Palatino Linotype" w:cs="Palatino Linotype"/>
          <w:sz w:val="22"/>
          <w:szCs w:val="22"/>
        </w:rPr>
        <w:t xml:space="preserve"> esto es, el </w:t>
      </w:r>
      <w:r w:rsidRPr="00391B52">
        <w:rPr>
          <w:rFonts w:ascii="Palatino Linotype" w:eastAsia="Palatino Linotype" w:hAnsi="Palatino Linotype" w:cs="Palatino Linotype"/>
          <w:b/>
          <w:sz w:val="22"/>
          <w:szCs w:val="22"/>
          <w:u w:val="single"/>
        </w:rPr>
        <w:t>segundo</w:t>
      </w:r>
      <w:r w:rsidRPr="00391B52">
        <w:rPr>
          <w:rFonts w:ascii="Palatino Linotype" w:eastAsia="Palatino Linotype" w:hAnsi="Palatino Linotype" w:cs="Palatino Linotype"/>
          <w:sz w:val="22"/>
          <w:szCs w:val="22"/>
        </w:rPr>
        <w:t xml:space="preserve"> día hábil siguiente a aquel </w:t>
      </w:r>
      <w:r w:rsidRPr="00391B52">
        <w:rPr>
          <w:rFonts w:ascii="Palatino Linotype" w:eastAsia="Palatino Linotype" w:hAnsi="Palatino Linotype" w:cs="Palatino Linotype"/>
          <w:b/>
          <w:sz w:val="22"/>
          <w:szCs w:val="22"/>
        </w:rPr>
        <w:t>en que se tuvo conocimiento de la respuesta impugnada</w:t>
      </w:r>
      <w:r w:rsidRPr="00391B52">
        <w:rPr>
          <w:rFonts w:ascii="Palatino Linotype" w:eastAsia="Palatino Linotype" w:hAnsi="Palatino Linotype" w:cs="Palatino Linotype"/>
          <w:sz w:val="22"/>
          <w:szCs w:val="22"/>
        </w:rPr>
        <w:t xml:space="preserve">. </w:t>
      </w:r>
    </w:p>
    <w:p w14:paraId="03485CD0"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0A1D4426"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1FCC1C35"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7462E2C6" w14:textId="77777777" w:rsidR="00395935" w:rsidRPr="00391B52" w:rsidRDefault="00F629A7">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391B52">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0A2CC77" w14:textId="77777777" w:rsidR="00395935" w:rsidRPr="00391B52" w:rsidRDefault="00395935">
      <w:pPr>
        <w:tabs>
          <w:tab w:val="left" w:pos="7938"/>
        </w:tabs>
        <w:spacing w:line="360" w:lineRule="auto"/>
        <w:jc w:val="both"/>
        <w:rPr>
          <w:rFonts w:ascii="Palatino Linotype" w:eastAsia="Palatino Linotype" w:hAnsi="Palatino Linotype" w:cs="Palatino Linotype"/>
          <w:sz w:val="22"/>
          <w:szCs w:val="22"/>
        </w:rPr>
      </w:pPr>
    </w:p>
    <w:p w14:paraId="508ABD22"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Por otro lado, es de suma importancia mencionar que, si bien la parte</w:t>
      </w:r>
      <w:r w:rsidRPr="00391B52">
        <w:rPr>
          <w:rFonts w:ascii="Palatino Linotype" w:eastAsia="Palatino Linotype" w:hAnsi="Palatino Linotype" w:cs="Palatino Linotype"/>
          <w:b/>
          <w:sz w:val="22"/>
          <w:szCs w:val="22"/>
        </w:rPr>
        <w:t xml:space="preserve"> Recurrente</w:t>
      </w:r>
      <w:r w:rsidRPr="00391B52">
        <w:rPr>
          <w:rFonts w:ascii="Palatino Linotype" w:eastAsia="Palatino Linotype" w:hAnsi="Palatino Linotype" w:cs="Palatino Linotype"/>
          <w:sz w:val="22"/>
          <w:szCs w:val="22"/>
        </w:rPr>
        <w:t xml:space="preserve"> </w:t>
      </w:r>
      <w:r w:rsidRPr="00391B52">
        <w:rPr>
          <w:rFonts w:ascii="Palatino Linotype" w:eastAsia="Palatino Linotype" w:hAnsi="Palatino Linotype" w:cs="Palatino Linotype"/>
          <w:b/>
          <w:sz w:val="22"/>
          <w:szCs w:val="22"/>
        </w:rPr>
        <w:t>proporcionó nombre incompleto,</w:t>
      </w:r>
      <w:r w:rsidRPr="00391B52">
        <w:rPr>
          <w:rFonts w:ascii="Palatino Linotype" w:eastAsia="Palatino Linotype" w:hAnsi="Palatino Linotype" w:cs="Palatino Linotype"/>
          <w:sz w:val="22"/>
          <w:szCs w:val="22"/>
        </w:rPr>
        <w:t xml:space="preserve"> como se advierte en el detalle de seguimiento del SAIMEX; sin embargo, el no proporcionar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5869B43"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47FF5858" w14:textId="77777777" w:rsidR="00395935" w:rsidRPr="00391B52" w:rsidRDefault="00F629A7">
      <w:pPr>
        <w:spacing w:line="276" w:lineRule="auto"/>
        <w:ind w:left="851" w:right="902"/>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i/>
          <w:sz w:val="22"/>
          <w:szCs w:val="22"/>
        </w:rPr>
        <w:t>"</w:t>
      </w:r>
      <w:r w:rsidRPr="00391B52">
        <w:rPr>
          <w:rFonts w:ascii="Palatino Linotype" w:eastAsia="Palatino Linotype" w:hAnsi="Palatino Linotype" w:cs="Palatino Linotype"/>
          <w:b/>
          <w:i/>
          <w:sz w:val="22"/>
          <w:szCs w:val="22"/>
        </w:rPr>
        <w:t xml:space="preserve">Las solicitudes </w:t>
      </w:r>
      <w:r w:rsidRPr="00391B52">
        <w:rPr>
          <w:rFonts w:ascii="Palatino Linotype" w:eastAsia="Palatino Linotype" w:hAnsi="Palatino Linotype" w:cs="Palatino Linotype"/>
          <w:i/>
          <w:sz w:val="22"/>
          <w:szCs w:val="22"/>
        </w:rPr>
        <w:t xml:space="preserve">anónimas, </w:t>
      </w:r>
      <w:r w:rsidRPr="00391B52">
        <w:rPr>
          <w:rFonts w:ascii="Palatino Linotype" w:eastAsia="Palatino Linotype" w:hAnsi="Palatino Linotype" w:cs="Palatino Linotype"/>
          <w:b/>
          <w:i/>
          <w:sz w:val="22"/>
          <w:szCs w:val="22"/>
        </w:rPr>
        <w:t>con nombre incompleto</w:t>
      </w:r>
      <w:r w:rsidRPr="00391B52">
        <w:rPr>
          <w:rFonts w:ascii="Palatino Linotype" w:eastAsia="Palatino Linotype" w:hAnsi="Palatino Linotype" w:cs="Palatino Linotype"/>
          <w:i/>
          <w:sz w:val="22"/>
          <w:szCs w:val="22"/>
        </w:rPr>
        <w:t xml:space="preserve"> o seudónimo </w:t>
      </w:r>
      <w:r w:rsidRPr="00391B52">
        <w:rPr>
          <w:rFonts w:ascii="Palatino Linotype" w:eastAsia="Palatino Linotype" w:hAnsi="Palatino Linotype" w:cs="Palatino Linotype"/>
          <w:b/>
          <w:i/>
          <w:sz w:val="22"/>
          <w:szCs w:val="22"/>
        </w:rPr>
        <w:t>serán procedentes para su trámite por parte del sujeto obligado ante quien se presente</w:t>
      </w:r>
      <w:r w:rsidRPr="00391B52">
        <w:rPr>
          <w:rFonts w:ascii="Palatino Linotype" w:eastAsia="Palatino Linotype" w:hAnsi="Palatino Linotype" w:cs="Palatino Linotype"/>
          <w:i/>
          <w:sz w:val="22"/>
          <w:szCs w:val="22"/>
        </w:rPr>
        <w:t>. No podrá requerirse información adicional con motivo del nombre proporcionado por el solicitante."</w:t>
      </w:r>
    </w:p>
    <w:p w14:paraId="29ECFD50" w14:textId="77777777" w:rsidR="00395935" w:rsidRPr="00391B52" w:rsidRDefault="00395935">
      <w:pPr>
        <w:tabs>
          <w:tab w:val="left" w:pos="7938"/>
        </w:tabs>
        <w:spacing w:line="360" w:lineRule="auto"/>
        <w:jc w:val="both"/>
        <w:rPr>
          <w:rFonts w:ascii="Palatino Linotype" w:eastAsia="Palatino Linotype" w:hAnsi="Palatino Linotype" w:cs="Palatino Linotype"/>
          <w:sz w:val="22"/>
          <w:szCs w:val="22"/>
        </w:rPr>
      </w:pPr>
    </w:p>
    <w:p w14:paraId="03BEBBA2"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Finalmente, se advierte que resulta procedente la interposición del recurso, según lo manifestado por </w:t>
      </w:r>
      <w:r w:rsidRPr="00391B52">
        <w:rPr>
          <w:rFonts w:ascii="Palatino Linotype" w:eastAsia="Palatino Linotype" w:hAnsi="Palatino Linotype" w:cs="Palatino Linotype"/>
          <w:b/>
          <w:sz w:val="22"/>
          <w:szCs w:val="22"/>
        </w:rPr>
        <w:t>la parte</w:t>
      </w:r>
      <w:r w:rsidRPr="00391B52">
        <w:rPr>
          <w:rFonts w:ascii="Palatino Linotype" w:eastAsia="Palatino Linotype" w:hAnsi="Palatino Linotype" w:cs="Palatino Linotype"/>
          <w:sz w:val="22"/>
          <w:szCs w:val="22"/>
        </w:rPr>
        <w:t xml:space="preserve"> </w:t>
      </w:r>
      <w:r w:rsidRPr="00391B52">
        <w:rPr>
          <w:rFonts w:ascii="Palatino Linotype" w:eastAsia="Palatino Linotype" w:hAnsi="Palatino Linotype" w:cs="Palatino Linotype"/>
          <w:b/>
          <w:sz w:val="22"/>
          <w:szCs w:val="22"/>
        </w:rPr>
        <w:t>Recurrente</w:t>
      </w:r>
      <w:r w:rsidRPr="00391B52">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4730F9F6"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3CF2307A" w14:textId="77777777" w:rsidR="00395935" w:rsidRPr="00391B52" w:rsidRDefault="00F629A7">
      <w:pPr>
        <w:ind w:left="567"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r w:rsidRPr="00391B52">
        <w:rPr>
          <w:rFonts w:ascii="Palatino Linotype" w:eastAsia="Palatino Linotype" w:hAnsi="Palatino Linotype" w:cs="Palatino Linotype"/>
          <w:b/>
          <w:i/>
          <w:sz w:val="22"/>
          <w:szCs w:val="22"/>
        </w:rPr>
        <w:t>Artículo 179.</w:t>
      </w:r>
      <w:r w:rsidRPr="00391B5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23A978E" w14:textId="77777777" w:rsidR="00395935" w:rsidRPr="00391B52" w:rsidRDefault="00F629A7">
      <w:pPr>
        <w:ind w:left="567" w:right="902"/>
        <w:jc w:val="both"/>
        <w:rPr>
          <w:rFonts w:ascii="Palatino Linotype" w:eastAsia="Palatino Linotype" w:hAnsi="Palatino Linotype" w:cs="Palatino Linotype"/>
          <w:b/>
          <w:i/>
          <w:sz w:val="22"/>
          <w:szCs w:val="22"/>
        </w:rPr>
      </w:pPr>
      <w:r w:rsidRPr="00391B52">
        <w:rPr>
          <w:rFonts w:ascii="Palatino Linotype" w:eastAsia="Palatino Linotype" w:hAnsi="Palatino Linotype" w:cs="Palatino Linotype"/>
          <w:b/>
          <w:i/>
          <w:sz w:val="22"/>
          <w:szCs w:val="22"/>
        </w:rPr>
        <w:t>I. La negativa a la información solicitada;</w:t>
      </w:r>
    </w:p>
    <w:p w14:paraId="0CD4F742" w14:textId="77777777" w:rsidR="00395935" w:rsidRPr="00391B52" w:rsidRDefault="00F629A7">
      <w:pPr>
        <w:ind w:left="567"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p>
    <w:p w14:paraId="611E5C31" w14:textId="77777777" w:rsidR="00395935" w:rsidRPr="00391B52" w:rsidRDefault="00395935">
      <w:pPr>
        <w:ind w:left="567"/>
        <w:rPr>
          <w:rFonts w:ascii="Palatino Linotype" w:eastAsia="Palatino Linotype" w:hAnsi="Palatino Linotype" w:cs="Palatino Linotype"/>
          <w:b/>
          <w:i/>
          <w:sz w:val="22"/>
          <w:szCs w:val="22"/>
        </w:rPr>
      </w:pPr>
    </w:p>
    <w:p w14:paraId="64C3AD00" w14:textId="77777777" w:rsidR="00395935" w:rsidRPr="00391B52" w:rsidRDefault="00F629A7">
      <w:pPr>
        <w:ind w:left="567" w:right="900"/>
        <w:jc w:val="right"/>
        <w:rPr>
          <w:rFonts w:ascii="Palatino Linotype" w:eastAsia="Palatino Linotype" w:hAnsi="Palatino Linotype" w:cs="Palatino Linotype"/>
          <w:b/>
          <w:i/>
          <w:sz w:val="22"/>
          <w:szCs w:val="22"/>
        </w:rPr>
      </w:pPr>
      <w:r w:rsidRPr="00391B52">
        <w:rPr>
          <w:rFonts w:ascii="Palatino Linotype" w:eastAsia="Palatino Linotype" w:hAnsi="Palatino Linotype" w:cs="Palatino Linotype"/>
          <w:b/>
          <w:i/>
          <w:sz w:val="22"/>
          <w:szCs w:val="22"/>
        </w:rPr>
        <w:t xml:space="preserve"> </w:t>
      </w:r>
      <w:r w:rsidRPr="00391B52">
        <w:rPr>
          <w:rFonts w:ascii="Palatino Linotype" w:eastAsia="Palatino Linotype" w:hAnsi="Palatino Linotype" w:cs="Palatino Linotype"/>
          <w:i/>
          <w:sz w:val="22"/>
          <w:szCs w:val="22"/>
        </w:rPr>
        <w:t>(Énfasis añadido)</w:t>
      </w:r>
    </w:p>
    <w:p w14:paraId="41D0B3BD" w14:textId="77777777" w:rsidR="00395935" w:rsidRPr="00391B52" w:rsidRDefault="00395935">
      <w:pPr>
        <w:spacing w:line="360" w:lineRule="auto"/>
        <w:jc w:val="both"/>
        <w:rPr>
          <w:rFonts w:ascii="Palatino Linotype" w:eastAsia="Palatino Linotype" w:hAnsi="Palatino Linotype" w:cs="Palatino Linotype"/>
          <w:b/>
          <w:sz w:val="22"/>
          <w:szCs w:val="22"/>
        </w:rPr>
      </w:pPr>
    </w:p>
    <w:p w14:paraId="7E8C3239" w14:textId="77777777" w:rsidR="00395935" w:rsidRPr="00391B52" w:rsidRDefault="00F629A7">
      <w:pPr>
        <w:spacing w:line="360" w:lineRule="auto"/>
        <w:jc w:val="both"/>
        <w:rPr>
          <w:rFonts w:ascii="Palatino Linotype" w:eastAsia="Palatino Linotype" w:hAnsi="Palatino Linotype" w:cs="Palatino Linotype"/>
          <w:b/>
          <w:sz w:val="22"/>
          <w:szCs w:val="22"/>
        </w:rPr>
      </w:pPr>
      <w:r w:rsidRPr="00391B52">
        <w:rPr>
          <w:rFonts w:ascii="Palatino Linotype" w:eastAsia="Palatino Linotype" w:hAnsi="Palatino Linotype" w:cs="Palatino Linotype"/>
          <w:b/>
          <w:sz w:val="22"/>
          <w:szCs w:val="22"/>
        </w:rPr>
        <w:t xml:space="preserve">Tercero. Materia de la revisión. </w:t>
      </w:r>
      <w:r w:rsidRPr="00391B52">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391B52">
        <w:rPr>
          <w:rFonts w:ascii="Palatino Linotype" w:eastAsia="Palatino Linotype" w:hAnsi="Palatino Linotype" w:cs="Palatino Linotype"/>
          <w:b/>
          <w:sz w:val="22"/>
          <w:szCs w:val="22"/>
        </w:rPr>
        <w:t>verificar si la respuesta otorgada por el Sujeto Obligado es adecuada y suficiente para satisfacer el derecho de acceso a la información pública de la parte Recurrente,</w:t>
      </w:r>
      <w:r w:rsidRPr="00391B52">
        <w:rPr>
          <w:rFonts w:ascii="Palatino Linotype" w:eastAsia="Palatino Linotype" w:hAnsi="Palatino Linotype" w:cs="Palatino Linotype"/>
          <w:sz w:val="22"/>
          <w:szCs w:val="22"/>
        </w:rPr>
        <w:t xml:space="preserve"> o en su defecto, en caso de ser procedente, ordenar la entrega de la información oportuna.</w:t>
      </w:r>
    </w:p>
    <w:p w14:paraId="636FA95E"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4DC1744F"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t xml:space="preserve">Cuarto. Estudio del asunto. </w:t>
      </w:r>
      <w:r w:rsidRPr="00391B52">
        <w:rPr>
          <w:rFonts w:ascii="Palatino Linotype" w:eastAsia="Palatino Linotype" w:hAnsi="Palatino Linotype" w:cs="Palatino Linotype"/>
          <w:sz w:val="22"/>
          <w:szCs w:val="22"/>
        </w:rPr>
        <w:t xml:space="preserve">Antes de entrar al análisis de los pronunciamientos del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197C987"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071AF6D2" w14:textId="77777777" w:rsidR="00395935" w:rsidRPr="00391B52" w:rsidRDefault="00F629A7">
      <w:pPr>
        <w:spacing w:line="276" w:lineRule="auto"/>
        <w:ind w:left="851" w:right="85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91B5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07B814D" w14:textId="77777777" w:rsidR="00395935" w:rsidRPr="00391B52" w:rsidRDefault="00F629A7">
      <w:pPr>
        <w:spacing w:line="276" w:lineRule="auto"/>
        <w:ind w:left="851" w:right="85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0D1C247E" w14:textId="77777777" w:rsidR="00395935" w:rsidRPr="00391B52" w:rsidRDefault="00F629A7">
      <w:pPr>
        <w:spacing w:line="276" w:lineRule="auto"/>
        <w:ind w:left="851" w:right="85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91B5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BB0AE1F" w14:textId="77777777" w:rsidR="00395935" w:rsidRPr="00391B52" w:rsidRDefault="00F629A7">
      <w:pPr>
        <w:spacing w:line="276" w:lineRule="auto"/>
        <w:ind w:left="851" w:right="85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i/>
          <w:sz w:val="22"/>
          <w:szCs w:val="22"/>
        </w:rPr>
        <w:t>[…]</w:t>
      </w:r>
    </w:p>
    <w:p w14:paraId="1414A585" w14:textId="77777777" w:rsidR="00395935" w:rsidRPr="00391B52" w:rsidRDefault="00F629A7">
      <w:pPr>
        <w:spacing w:line="276" w:lineRule="auto"/>
        <w:ind w:left="851" w:right="901"/>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i/>
          <w:sz w:val="22"/>
          <w:szCs w:val="22"/>
        </w:rPr>
        <w:t>“Artículo 6o.</w:t>
      </w:r>
    </w:p>
    <w:p w14:paraId="771E9304" w14:textId="77777777" w:rsidR="00395935" w:rsidRPr="00391B52" w:rsidRDefault="00F629A7">
      <w:pPr>
        <w:spacing w:line="276" w:lineRule="auto"/>
        <w:ind w:left="851" w:right="901"/>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i/>
          <w:sz w:val="22"/>
          <w:szCs w:val="22"/>
        </w:rPr>
        <w:t>[...]</w:t>
      </w:r>
    </w:p>
    <w:p w14:paraId="6AFAE707" w14:textId="77777777" w:rsidR="00395935" w:rsidRPr="00391B52" w:rsidRDefault="00F629A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 xml:space="preserve">A. Para el ejercicio del derecho de acceso a la información, la Federación y </w:t>
      </w:r>
      <w:r w:rsidRPr="00391B52">
        <w:rPr>
          <w:rFonts w:ascii="Palatino Linotype" w:eastAsia="Palatino Linotype" w:hAnsi="Palatino Linotype" w:cs="Palatino Linotype"/>
          <w:b/>
          <w:i/>
          <w:sz w:val="22"/>
          <w:szCs w:val="22"/>
          <w:u w:val="single"/>
        </w:rPr>
        <w:t>las entidades federativas</w:t>
      </w:r>
      <w:r w:rsidRPr="00391B52">
        <w:rPr>
          <w:rFonts w:ascii="Palatino Linotype" w:eastAsia="Palatino Linotype" w:hAnsi="Palatino Linotype" w:cs="Palatino Linotype"/>
          <w:b/>
          <w:i/>
          <w:sz w:val="22"/>
          <w:szCs w:val="22"/>
        </w:rPr>
        <w:t>,</w:t>
      </w:r>
      <w:r w:rsidRPr="00391B52">
        <w:rPr>
          <w:rFonts w:ascii="Palatino Linotype" w:eastAsia="Palatino Linotype" w:hAnsi="Palatino Linotype" w:cs="Palatino Linotype"/>
          <w:i/>
          <w:sz w:val="22"/>
          <w:szCs w:val="22"/>
        </w:rPr>
        <w:t xml:space="preserve"> en el ámbito de sus respectivas competencias, se regirán por los siguientes principios y bases:</w:t>
      </w:r>
    </w:p>
    <w:p w14:paraId="367DEB02" w14:textId="77777777" w:rsidR="00395935" w:rsidRPr="00391B52" w:rsidRDefault="00F629A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 </w:t>
      </w:r>
      <w:r w:rsidRPr="00391B52">
        <w:rPr>
          <w:rFonts w:ascii="Palatino Linotype" w:eastAsia="Palatino Linotype" w:hAnsi="Palatino Linotype" w:cs="Palatino Linotype"/>
          <w:b/>
          <w:i/>
          <w:sz w:val="22"/>
          <w:szCs w:val="22"/>
        </w:rPr>
        <w:t xml:space="preserve">I. </w:t>
      </w:r>
      <w:r w:rsidRPr="00391B5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91B52">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91B52">
        <w:rPr>
          <w:rFonts w:ascii="Palatino Linotype" w:eastAsia="Palatino Linotype" w:hAnsi="Palatino Linotype" w:cs="Palatino Linotype"/>
          <w:b/>
          <w:i/>
          <w:sz w:val="22"/>
          <w:szCs w:val="22"/>
        </w:rPr>
        <w:t>es pública y sólo podrá ser reservada temporalmente por razones de interés público y seguridad nacional,</w:t>
      </w:r>
      <w:r w:rsidRPr="00391B5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7AD821F" w14:textId="77777777" w:rsidR="00395935" w:rsidRPr="00391B52" w:rsidRDefault="00F629A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391B5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7665A34B" w14:textId="77777777" w:rsidR="00395935" w:rsidRPr="00391B52" w:rsidRDefault="00F629A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 </w:t>
      </w:r>
      <w:r w:rsidRPr="00391B52">
        <w:rPr>
          <w:rFonts w:ascii="Palatino Linotype" w:eastAsia="Palatino Linotype" w:hAnsi="Palatino Linotype" w:cs="Palatino Linotype"/>
          <w:b/>
          <w:i/>
          <w:sz w:val="22"/>
          <w:szCs w:val="22"/>
        </w:rPr>
        <w:t xml:space="preserve">III. </w:t>
      </w:r>
      <w:r w:rsidRPr="00391B5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91B52">
        <w:rPr>
          <w:rFonts w:ascii="Palatino Linotype" w:eastAsia="Palatino Linotype" w:hAnsi="Palatino Linotype" w:cs="Palatino Linotype"/>
          <w:i/>
          <w:sz w:val="22"/>
          <w:szCs w:val="22"/>
        </w:rPr>
        <w:t xml:space="preserve"> a sus datos personales o a la rectificación de éstos.</w:t>
      </w:r>
    </w:p>
    <w:p w14:paraId="343671C1" w14:textId="77777777" w:rsidR="00395935" w:rsidRPr="00391B52" w:rsidRDefault="00F629A7">
      <w:pPr>
        <w:pBdr>
          <w:top w:val="nil"/>
          <w:left w:val="nil"/>
          <w:bottom w:val="nil"/>
          <w:right w:val="nil"/>
          <w:between w:val="nil"/>
        </w:pBdr>
        <w:spacing w:before="240" w:after="240"/>
        <w:ind w:left="851" w:right="851"/>
        <w:jc w:val="both"/>
      </w:pPr>
      <w:r w:rsidRPr="00391B52">
        <w:rPr>
          <w:rFonts w:ascii="Palatino Linotype" w:eastAsia="Palatino Linotype" w:hAnsi="Palatino Linotype" w:cs="Palatino Linotype"/>
          <w:b/>
          <w:i/>
          <w:sz w:val="22"/>
          <w:szCs w:val="22"/>
        </w:rPr>
        <w:lastRenderedPageBreak/>
        <w:t>…</w:t>
      </w:r>
    </w:p>
    <w:p w14:paraId="27B6B62F" w14:textId="77777777" w:rsidR="00395935" w:rsidRPr="00391B52" w:rsidRDefault="00F629A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IV.</w:t>
      </w:r>
      <w:r w:rsidRPr="00391B5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2777DDFA" w14:textId="77777777" w:rsidR="00395935" w:rsidRPr="00391B52" w:rsidRDefault="00F629A7">
      <w:pPr>
        <w:pBdr>
          <w:top w:val="nil"/>
          <w:left w:val="nil"/>
          <w:bottom w:val="nil"/>
          <w:right w:val="nil"/>
          <w:between w:val="nil"/>
        </w:pBdr>
        <w:spacing w:before="240" w:after="240"/>
        <w:ind w:left="851" w:right="851"/>
        <w:jc w:val="both"/>
      </w:pPr>
      <w:r w:rsidRPr="00391B52">
        <w:rPr>
          <w:rFonts w:ascii="Palatino Linotype" w:eastAsia="Palatino Linotype" w:hAnsi="Palatino Linotype" w:cs="Palatino Linotype"/>
          <w:b/>
          <w:i/>
          <w:sz w:val="22"/>
          <w:szCs w:val="22"/>
        </w:rPr>
        <w:t xml:space="preserve">V. </w:t>
      </w:r>
      <w:r w:rsidRPr="00391B5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C8B7C70" w14:textId="77777777" w:rsidR="00395935" w:rsidRPr="00391B52" w:rsidRDefault="00F629A7">
      <w:pPr>
        <w:pBdr>
          <w:top w:val="nil"/>
          <w:left w:val="nil"/>
          <w:bottom w:val="nil"/>
          <w:right w:val="nil"/>
          <w:between w:val="nil"/>
        </w:pBdr>
        <w:spacing w:before="240" w:after="240"/>
        <w:ind w:left="851" w:right="851"/>
        <w:jc w:val="both"/>
      </w:pPr>
      <w:r w:rsidRPr="00391B52">
        <w:rPr>
          <w:rFonts w:ascii="Palatino Linotype" w:eastAsia="Palatino Linotype" w:hAnsi="Palatino Linotype" w:cs="Palatino Linotype"/>
          <w:i/>
          <w:sz w:val="22"/>
          <w:szCs w:val="22"/>
        </w:rPr>
        <w:t> </w:t>
      </w:r>
      <w:r w:rsidRPr="00391B52">
        <w:rPr>
          <w:rFonts w:ascii="Palatino Linotype" w:eastAsia="Palatino Linotype" w:hAnsi="Palatino Linotype" w:cs="Palatino Linotype"/>
          <w:b/>
          <w:i/>
          <w:sz w:val="22"/>
          <w:szCs w:val="22"/>
        </w:rPr>
        <w:t xml:space="preserve">VI. </w:t>
      </w:r>
      <w:r w:rsidRPr="00391B5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E31AC81" w14:textId="77777777" w:rsidR="00395935" w:rsidRPr="00391B52" w:rsidRDefault="00F629A7">
      <w:pPr>
        <w:pBdr>
          <w:top w:val="nil"/>
          <w:left w:val="nil"/>
          <w:bottom w:val="nil"/>
          <w:right w:val="nil"/>
          <w:between w:val="nil"/>
        </w:pBdr>
        <w:spacing w:before="240" w:after="240"/>
        <w:ind w:left="851" w:right="851"/>
        <w:jc w:val="both"/>
      </w:pPr>
      <w:r w:rsidRPr="00391B52">
        <w:rPr>
          <w:rFonts w:ascii="Palatino Linotype" w:eastAsia="Palatino Linotype" w:hAnsi="Palatino Linotype" w:cs="Palatino Linotype"/>
          <w:i/>
          <w:sz w:val="22"/>
          <w:szCs w:val="22"/>
        </w:rPr>
        <w:t> </w:t>
      </w:r>
      <w:r w:rsidRPr="00391B52">
        <w:rPr>
          <w:rFonts w:ascii="Palatino Linotype" w:eastAsia="Palatino Linotype" w:hAnsi="Palatino Linotype" w:cs="Palatino Linotype"/>
          <w:b/>
          <w:i/>
          <w:sz w:val="22"/>
          <w:szCs w:val="22"/>
        </w:rPr>
        <w:t xml:space="preserve">VII. </w:t>
      </w:r>
      <w:r w:rsidRPr="00391B5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2B3A634" w14:textId="77777777" w:rsidR="00395935" w:rsidRPr="00391B52" w:rsidRDefault="00395935">
      <w:pPr>
        <w:spacing w:line="276" w:lineRule="auto"/>
        <w:ind w:left="851" w:right="851"/>
        <w:jc w:val="both"/>
        <w:rPr>
          <w:rFonts w:ascii="Palatino Linotype" w:eastAsia="Palatino Linotype" w:hAnsi="Palatino Linotype" w:cs="Palatino Linotype"/>
          <w:sz w:val="22"/>
          <w:szCs w:val="22"/>
        </w:rPr>
      </w:pPr>
    </w:p>
    <w:p w14:paraId="20FC14D3"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1B7A6C4"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7D8564F2" w14:textId="77777777" w:rsidR="00395935" w:rsidRPr="00391B52" w:rsidRDefault="00F629A7">
      <w:pPr>
        <w:spacing w:line="276" w:lineRule="auto"/>
        <w:ind w:left="567" w:right="616"/>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r w:rsidRPr="00391B52">
        <w:rPr>
          <w:rFonts w:ascii="Palatino Linotype" w:eastAsia="Palatino Linotype" w:hAnsi="Palatino Linotype" w:cs="Palatino Linotype"/>
          <w:b/>
          <w:i/>
          <w:sz w:val="22"/>
          <w:szCs w:val="22"/>
        </w:rPr>
        <w:t>Artículo 4</w:t>
      </w:r>
      <w:r w:rsidRPr="00391B5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17E9D85" w14:textId="77777777" w:rsidR="00395935" w:rsidRPr="00391B52" w:rsidRDefault="00395935">
      <w:pPr>
        <w:spacing w:line="276" w:lineRule="auto"/>
        <w:ind w:left="567" w:right="616"/>
        <w:jc w:val="both"/>
        <w:rPr>
          <w:rFonts w:ascii="Palatino Linotype" w:eastAsia="Palatino Linotype" w:hAnsi="Palatino Linotype" w:cs="Palatino Linotype"/>
          <w:i/>
          <w:sz w:val="22"/>
          <w:szCs w:val="22"/>
        </w:rPr>
      </w:pPr>
    </w:p>
    <w:p w14:paraId="716D9642" w14:textId="77777777" w:rsidR="00395935" w:rsidRPr="00391B52" w:rsidRDefault="00F629A7">
      <w:pPr>
        <w:spacing w:line="276" w:lineRule="auto"/>
        <w:ind w:left="567" w:right="616"/>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391B5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42A62DB" w14:textId="77777777" w:rsidR="00395935" w:rsidRPr="00391B52" w:rsidRDefault="00395935">
      <w:pPr>
        <w:spacing w:line="276" w:lineRule="auto"/>
        <w:ind w:left="567" w:right="616"/>
        <w:jc w:val="both"/>
        <w:rPr>
          <w:rFonts w:ascii="Palatino Linotype" w:eastAsia="Palatino Linotype" w:hAnsi="Palatino Linotype" w:cs="Palatino Linotype"/>
          <w:i/>
          <w:sz w:val="22"/>
          <w:szCs w:val="22"/>
        </w:rPr>
      </w:pPr>
    </w:p>
    <w:p w14:paraId="391F3AC2" w14:textId="77777777" w:rsidR="00395935" w:rsidRPr="00391B52" w:rsidRDefault="00F629A7">
      <w:pPr>
        <w:spacing w:line="276" w:lineRule="auto"/>
        <w:ind w:left="567" w:right="616"/>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91B52">
        <w:rPr>
          <w:rFonts w:ascii="Palatino Linotype" w:eastAsia="Palatino Linotype" w:hAnsi="Palatino Linotype" w:cs="Palatino Linotype"/>
          <w:i/>
          <w:sz w:val="22"/>
          <w:szCs w:val="22"/>
        </w:rPr>
        <w:t>.”</w:t>
      </w:r>
    </w:p>
    <w:p w14:paraId="7E1DFE16"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5FA99B7C"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8BEC9E1"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1A536A72" w14:textId="77777777" w:rsidR="00395935" w:rsidRPr="00391B52" w:rsidRDefault="00F629A7">
      <w:pPr>
        <w:spacing w:line="276" w:lineRule="auto"/>
        <w:ind w:left="567" w:right="616"/>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“Artículo 12.-</w:t>
      </w:r>
      <w:r w:rsidRPr="00391B5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D27699D" w14:textId="77777777" w:rsidR="00395935" w:rsidRPr="00391B52" w:rsidRDefault="00395935">
      <w:pPr>
        <w:spacing w:line="276" w:lineRule="auto"/>
        <w:ind w:left="567" w:right="616"/>
        <w:jc w:val="both"/>
        <w:rPr>
          <w:rFonts w:ascii="Palatino Linotype" w:eastAsia="Palatino Linotype" w:hAnsi="Palatino Linotype" w:cs="Palatino Linotype"/>
          <w:i/>
          <w:sz w:val="22"/>
          <w:szCs w:val="22"/>
        </w:rPr>
      </w:pPr>
    </w:p>
    <w:p w14:paraId="3C0B697A" w14:textId="77777777" w:rsidR="00395935" w:rsidRPr="00391B52" w:rsidRDefault="00F629A7">
      <w:pPr>
        <w:spacing w:line="276" w:lineRule="auto"/>
        <w:ind w:left="567" w:right="616"/>
        <w:jc w:val="both"/>
        <w:rPr>
          <w:rFonts w:ascii="Palatino Linotype" w:eastAsia="Palatino Linotype" w:hAnsi="Palatino Linotype" w:cs="Palatino Linotype"/>
          <w:b/>
          <w:i/>
          <w:sz w:val="22"/>
          <w:szCs w:val="22"/>
        </w:rPr>
      </w:pPr>
      <w:r w:rsidRPr="00391B5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91B52">
        <w:rPr>
          <w:rFonts w:ascii="Palatino Linotype" w:eastAsia="Palatino Linotype" w:hAnsi="Palatino Linotype" w:cs="Palatino Linotype"/>
          <w:i/>
          <w:sz w:val="22"/>
          <w:szCs w:val="22"/>
        </w:rPr>
        <w:t xml:space="preserve">. </w:t>
      </w:r>
      <w:r w:rsidRPr="00391B52">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sidRPr="00391B52">
        <w:rPr>
          <w:rFonts w:ascii="Palatino Linotype" w:eastAsia="Palatino Linotype" w:hAnsi="Palatino Linotype" w:cs="Palatino Linotype"/>
          <w:b/>
          <w:i/>
          <w:sz w:val="22"/>
          <w:szCs w:val="22"/>
        </w:rPr>
        <w:lastRenderedPageBreak/>
        <w:t xml:space="preserve">obligados a generarla, resumirla, efectuar cálculos o practicar investigaciones”. </w:t>
      </w:r>
    </w:p>
    <w:p w14:paraId="1CDA4510" w14:textId="77777777" w:rsidR="00395935" w:rsidRPr="00391B52" w:rsidRDefault="00395935">
      <w:pPr>
        <w:spacing w:line="360" w:lineRule="auto"/>
        <w:ind w:left="567" w:right="616"/>
        <w:jc w:val="both"/>
        <w:rPr>
          <w:rFonts w:ascii="Palatino Linotype" w:eastAsia="Palatino Linotype" w:hAnsi="Palatino Linotype" w:cs="Palatino Linotype"/>
          <w:i/>
          <w:sz w:val="22"/>
          <w:szCs w:val="22"/>
        </w:rPr>
      </w:pPr>
    </w:p>
    <w:p w14:paraId="7C98452F" w14:textId="77777777" w:rsidR="00395935" w:rsidRPr="00391B52" w:rsidRDefault="00F629A7">
      <w:pPr>
        <w:spacing w:line="360" w:lineRule="auto"/>
        <w:ind w:right="-93"/>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8A31C20" w14:textId="77777777" w:rsidR="00395935" w:rsidRPr="00391B52" w:rsidRDefault="00395935">
      <w:pPr>
        <w:spacing w:line="360" w:lineRule="auto"/>
        <w:ind w:right="-93"/>
        <w:jc w:val="both"/>
        <w:rPr>
          <w:rFonts w:ascii="Palatino Linotype" w:eastAsia="Palatino Linotype" w:hAnsi="Palatino Linotype" w:cs="Palatino Linotype"/>
          <w:sz w:val="22"/>
          <w:szCs w:val="22"/>
        </w:rPr>
      </w:pPr>
    </w:p>
    <w:p w14:paraId="247AE1CD" w14:textId="77777777" w:rsidR="00395935" w:rsidRPr="00391B52" w:rsidRDefault="00F629A7">
      <w:pPr>
        <w:spacing w:line="360" w:lineRule="auto"/>
        <w:jc w:val="both"/>
        <w:rPr>
          <w:rFonts w:ascii="Palatino Linotype" w:eastAsia="Palatino Linotype" w:hAnsi="Palatino Linotype" w:cs="Palatino Linotype"/>
          <w:b/>
          <w:sz w:val="22"/>
          <w:szCs w:val="22"/>
        </w:rPr>
      </w:pPr>
      <w:r w:rsidRPr="00391B52">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391B52">
        <w:rPr>
          <w:rFonts w:ascii="Palatino Linotype" w:eastAsia="Palatino Linotype" w:hAnsi="Palatino Linotype" w:cs="Palatino Linotype"/>
          <w:b/>
          <w:sz w:val="22"/>
          <w:szCs w:val="22"/>
        </w:rPr>
        <w:t xml:space="preserve"> </w:t>
      </w:r>
    </w:p>
    <w:p w14:paraId="193537C9" w14:textId="77777777" w:rsidR="00395935" w:rsidRPr="00391B52" w:rsidRDefault="00F629A7">
      <w:pPr>
        <w:spacing w:line="276" w:lineRule="auto"/>
        <w:ind w:left="567" w:right="616"/>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r w:rsidRPr="00391B52">
        <w:rPr>
          <w:rFonts w:ascii="Palatino Linotype" w:eastAsia="Palatino Linotype" w:hAnsi="Palatino Linotype" w:cs="Palatino Linotype"/>
          <w:b/>
          <w:i/>
          <w:sz w:val="22"/>
          <w:szCs w:val="22"/>
        </w:rPr>
        <w:t>No existe obligación de elaborar documentos ad hoc para atender las solicitudes de acceso a la información.</w:t>
      </w:r>
      <w:r w:rsidRPr="00391B5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9A9EA58" w14:textId="77777777" w:rsidR="00395935" w:rsidRPr="00391B52" w:rsidRDefault="00395935">
      <w:pPr>
        <w:spacing w:line="360" w:lineRule="auto"/>
        <w:ind w:right="-93"/>
        <w:jc w:val="both"/>
        <w:rPr>
          <w:rFonts w:ascii="Palatino Linotype" w:eastAsia="Palatino Linotype" w:hAnsi="Palatino Linotype" w:cs="Palatino Linotype"/>
          <w:sz w:val="22"/>
          <w:szCs w:val="22"/>
        </w:rPr>
      </w:pPr>
    </w:p>
    <w:p w14:paraId="76900104"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391B52">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0D83E87F"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187B154C" w14:textId="77777777" w:rsidR="00395935" w:rsidRPr="00391B52" w:rsidRDefault="00F629A7">
      <w:pPr>
        <w:spacing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4ECD130" w14:textId="77777777" w:rsidR="00395935" w:rsidRPr="00391B52" w:rsidRDefault="00395935">
      <w:pPr>
        <w:spacing w:line="360" w:lineRule="auto"/>
        <w:ind w:right="49"/>
        <w:jc w:val="both"/>
        <w:rPr>
          <w:rFonts w:ascii="Palatino Linotype" w:eastAsia="Palatino Linotype" w:hAnsi="Palatino Linotype" w:cs="Palatino Linotype"/>
          <w:sz w:val="22"/>
          <w:szCs w:val="22"/>
        </w:rPr>
      </w:pPr>
    </w:p>
    <w:p w14:paraId="4C21EA57"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C27E585" w14:textId="77777777" w:rsidR="00395935" w:rsidRPr="00391B52" w:rsidRDefault="00395935">
      <w:pPr>
        <w:spacing w:line="360" w:lineRule="auto"/>
        <w:ind w:left="851" w:right="899"/>
        <w:jc w:val="both"/>
        <w:rPr>
          <w:rFonts w:ascii="Palatino Linotype" w:eastAsia="Palatino Linotype" w:hAnsi="Palatino Linotype" w:cs="Palatino Linotype"/>
          <w:i/>
          <w:sz w:val="22"/>
          <w:szCs w:val="22"/>
        </w:rPr>
      </w:pPr>
    </w:p>
    <w:p w14:paraId="319CF7F5" w14:textId="77777777" w:rsidR="00395935" w:rsidRPr="00391B52" w:rsidRDefault="00F629A7">
      <w:pPr>
        <w:spacing w:line="276" w:lineRule="auto"/>
        <w:ind w:left="567" w:right="616"/>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r w:rsidRPr="00391B52">
        <w:rPr>
          <w:rFonts w:ascii="Palatino Linotype" w:eastAsia="Palatino Linotype" w:hAnsi="Palatino Linotype" w:cs="Palatino Linotype"/>
          <w:b/>
          <w:i/>
          <w:sz w:val="22"/>
          <w:szCs w:val="22"/>
        </w:rPr>
        <w:t xml:space="preserve">Artículo 3. </w:t>
      </w:r>
      <w:r w:rsidRPr="00391B52">
        <w:rPr>
          <w:rFonts w:ascii="Palatino Linotype" w:eastAsia="Palatino Linotype" w:hAnsi="Palatino Linotype" w:cs="Palatino Linotype"/>
          <w:i/>
          <w:sz w:val="22"/>
          <w:szCs w:val="22"/>
        </w:rPr>
        <w:t>Para los efectos de la presente Ley se entenderá por:</w:t>
      </w:r>
    </w:p>
    <w:p w14:paraId="6DE14745" w14:textId="77777777" w:rsidR="00395935" w:rsidRPr="00391B52" w:rsidRDefault="00F629A7">
      <w:pPr>
        <w:spacing w:line="276" w:lineRule="auto"/>
        <w:ind w:left="567" w:right="616"/>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p>
    <w:p w14:paraId="76781707" w14:textId="77777777" w:rsidR="00395935" w:rsidRPr="00391B52" w:rsidRDefault="00F629A7">
      <w:pPr>
        <w:spacing w:line="276" w:lineRule="auto"/>
        <w:ind w:left="567" w:right="616"/>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XI. Documento:</w:t>
      </w:r>
      <w:r w:rsidRPr="00391B52">
        <w:rPr>
          <w:rFonts w:ascii="Palatino Linotype" w:eastAsia="Palatino Linotype" w:hAnsi="Palatino Linotype" w:cs="Palatino Linotype"/>
          <w:i/>
          <w:sz w:val="22"/>
          <w:szCs w:val="22"/>
        </w:rPr>
        <w:t xml:space="preserve"> Los expedientes, reportes, estudios, actas</w:t>
      </w:r>
      <w:r w:rsidRPr="00391B52">
        <w:rPr>
          <w:rFonts w:ascii="Palatino Linotype" w:eastAsia="Palatino Linotype" w:hAnsi="Palatino Linotype" w:cs="Palatino Linotype"/>
          <w:b/>
          <w:i/>
          <w:sz w:val="22"/>
          <w:szCs w:val="22"/>
        </w:rPr>
        <w:t>,</w:t>
      </w:r>
      <w:r w:rsidRPr="00391B5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8185635" w14:textId="77777777" w:rsidR="00395935" w:rsidRPr="00391B52" w:rsidRDefault="00395935">
      <w:pPr>
        <w:spacing w:line="360" w:lineRule="auto"/>
        <w:ind w:left="851" w:right="899"/>
        <w:jc w:val="both"/>
        <w:rPr>
          <w:rFonts w:ascii="Palatino Linotype" w:eastAsia="Palatino Linotype" w:hAnsi="Palatino Linotype" w:cs="Palatino Linotype"/>
          <w:sz w:val="22"/>
          <w:szCs w:val="22"/>
        </w:rPr>
      </w:pPr>
    </w:p>
    <w:p w14:paraId="58B03A65"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BBD1A5E"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20A974A6" w14:textId="77777777" w:rsidR="00395935" w:rsidRPr="00391B52" w:rsidRDefault="00F629A7">
      <w:pPr>
        <w:spacing w:line="276" w:lineRule="auto"/>
        <w:ind w:left="567" w:right="616"/>
        <w:jc w:val="both"/>
        <w:rPr>
          <w:rFonts w:ascii="Palatino Linotype" w:eastAsia="Palatino Linotype" w:hAnsi="Palatino Linotype" w:cs="Palatino Linotype"/>
          <w:b/>
          <w:i/>
          <w:sz w:val="22"/>
          <w:szCs w:val="22"/>
        </w:rPr>
      </w:pPr>
      <w:r w:rsidRPr="00391B52">
        <w:rPr>
          <w:rFonts w:ascii="Palatino Linotype" w:eastAsia="Palatino Linotype" w:hAnsi="Palatino Linotype" w:cs="Palatino Linotype"/>
          <w:b/>
          <w:sz w:val="22"/>
          <w:szCs w:val="22"/>
        </w:rPr>
        <w:t>“</w:t>
      </w:r>
      <w:r w:rsidRPr="00391B5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91B5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ECB862" w14:textId="77777777" w:rsidR="00395935" w:rsidRPr="00391B52" w:rsidRDefault="00F629A7">
      <w:pPr>
        <w:spacing w:line="276" w:lineRule="auto"/>
        <w:ind w:left="567" w:right="616"/>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 xml:space="preserve">En </w:t>
      </w:r>
      <w:proofErr w:type="gramStart"/>
      <w:r w:rsidRPr="00391B52">
        <w:rPr>
          <w:rFonts w:ascii="Palatino Linotype" w:eastAsia="Palatino Linotype" w:hAnsi="Palatino Linotype" w:cs="Palatino Linotype"/>
          <w:i/>
          <w:sz w:val="22"/>
          <w:szCs w:val="22"/>
        </w:rPr>
        <w:t>consecuencia</w:t>
      </w:r>
      <w:proofErr w:type="gramEnd"/>
      <w:r w:rsidRPr="00391B52">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76A444B" w14:textId="77777777" w:rsidR="00395935" w:rsidRPr="00391B52" w:rsidRDefault="00F629A7">
      <w:pPr>
        <w:spacing w:line="276" w:lineRule="auto"/>
        <w:ind w:left="567" w:right="616"/>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 xml:space="preserve">1) Que se trate de información registrada en cualquier soporte documental, </w:t>
      </w:r>
      <w:proofErr w:type="gramStart"/>
      <w:r w:rsidRPr="00391B52">
        <w:rPr>
          <w:rFonts w:ascii="Palatino Linotype" w:eastAsia="Palatino Linotype" w:hAnsi="Palatino Linotype" w:cs="Palatino Linotype"/>
          <w:i/>
          <w:sz w:val="22"/>
          <w:szCs w:val="22"/>
        </w:rPr>
        <w:t>que</w:t>
      </w:r>
      <w:proofErr w:type="gramEnd"/>
      <w:r w:rsidRPr="00391B52">
        <w:rPr>
          <w:rFonts w:ascii="Palatino Linotype" w:eastAsia="Palatino Linotype" w:hAnsi="Palatino Linotype" w:cs="Palatino Linotype"/>
          <w:i/>
          <w:sz w:val="22"/>
          <w:szCs w:val="22"/>
        </w:rPr>
        <w:t xml:space="preserve"> en ejercicio de las atribuciones conferidas, sea generada por los Sujetos Obligados;</w:t>
      </w:r>
    </w:p>
    <w:p w14:paraId="22CAD008" w14:textId="77777777" w:rsidR="00395935" w:rsidRPr="00391B52" w:rsidRDefault="00F629A7">
      <w:pPr>
        <w:spacing w:line="276" w:lineRule="auto"/>
        <w:ind w:left="567" w:right="616"/>
        <w:jc w:val="both"/>
        <w:rPr>
          <w:rFonts w:ascii="Palatino Linotype" w:eastAsia="Palatino Linotype" w:hAnsi="Palatino Linotype" w:cs="Palatino Linotype"/>
          <w:b/>
          <w:i/>
          <w:sz w:val="22"/>
          <w:szCs w:val="22"/>
        </w:rPr>
      </w:pPr>
      <w:r w:rsidRPr="00391B52">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391B52">
        <w:rPr>
          <w:rFonts w:ascii="Palatino Linotype" w:eastAsia="Palatino Linotype" w:hAnsi="Palatino Linotype" w:cs="Palatino Linotype"/>
          <w:b/>
          <w:i/>
          <w:sz w:val="22"/>
          <w:szCs w:val="22"/>
        </w:rPr>
        <w:t>que</w:t>
      </w:r>
      <w:proofErr w:type="gramEnd"/>
      <w:r w:rsidRPr="00391B52">
        <w:rPr>
          <w:rFonts w:ascii="Palatino Linotype" w:eastAsia="Palatino Linotype" w:hAnsi="Palatino Linotype" w:cs="Palatino Linotype"/>
          <w:b/>
          <w:i/>
          <w:sz w:val="22"/>
          <w:szCs w:val="22"/>
        </w:rPr>
        <w:t xml:space="preserve"> en ejercicio de las atribuciones conferidas, sea administrada por los Sujetos Obligados, y</w:t>
      </w:r>
    </w:p>
    <w:p w14:paraId="599B9421" w14:textId="77777777" w:rsidR="00395935" w:rsidRPr="00391B52" w:rsidRDefault="00F629A7">
      <w:pPr>
        <w:spacing w:line="276" w:lineRule="auto"/>
        <w:ind w:left="567" w:right="616"/>
        <w:jc w:val="both"/>
        <w:rPr>
          <w:rFonts w:ascii="Palatino Linotype" w:eastAsia="Palatino Linotype" w:hAnsi="Palatino Linotype" w:cs="Palatino Linotype"/>
          <w:b/>
          <w:i/>
          <w:sz w:val="22"/>
          <w:szCs w:val="22"/>
        </w:rPr>
      </w:pPr>
      <w:r w:rsidRPr="00391B52">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391B52">
        <w:rPr>
          <w:rFonts w:ascii="Palatino Linotype" w:eastAsia="Palatino Linotype" w:hAnsi="Palatino Linotype" w:cs="Palatino Linotype"/>
          <w:b/>
          <w:i/>
          <w:sz w:val="22"/>
          <w:szCs w:val="22"/>
        </w:rPr>
        <w:t>que</w:t>
      </w:r>
      <w:proofErr w:type="gramEnd"/>
      <w:r w:rsidRPr="00391B52">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408E8BEE" w14:textId="77777777" w:rsidR="00395935" w:rsidRPr="00391B52" w:rsidRDefault="00395935">
      <w:pPr>
        <w:spacing w:line="276" w:lineRule="auto"/>
        <w:ind w:left="567" w:right="616"/>
        <w:jc w:val="both"/>
        <w:rPr>
          <w:rFonts w:ascii="Palatino Linotype" w:eastAsia="Palatino Linotype" w:hAnsi="Palatino Linotype" w:cs="Palatino Linotype"/>
          <w:b/>
          <w:i/>
          <w:sz w:val="22"/>
          <w:szCs w:val="22"/>
        </w:rPr>
      </w:pPr>
    </w:p>
    <w:p w14:paraId="379B106A"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De ahí que el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391B52">
        <w:rPr>
          <w:rFonts w:ascii="Palatino Linotype" w:eastAsia="Palatino Linotype" w:hAnsi="Palatino Linotype" w:cs="Palatino Linotype"/>
          <w:sz w:val="22"/>
          <w:szCs w:val="22"/>
        </w:rPr>
        <w:lastRenderedPageBreak/>
        <w:t>acuerdo con sus facultades, atribuciones y obligaciones señaladas por la Ley en la materia</w:t>
      </w:r>
      <w:r w:rsidRPr="00391B52">
        <w:rPr>
          <w:rFonts w:ascii="Palatino Linotype" w:eastAsia="Palatino Linotype" w:hAnsi="Palatino Linotype" w:cs="Palatino Linotype"/>
          <w:sz w:val="22"/>
          <w:szCs w:val="22"/>
          <w:vertAlign w:val="superscript"/>
        </w:rPr>
        <w:footnoteReference w:id="1"/>
      </w:r>
      <w:r w:rsidRPr="00391B52">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391B52">
        <w:rPr>
          <w:rFonts w:ascii="Palatino Linotype" w:eastAsia="Palatino Linotype" w:hAnsi="Palatino Linotype" w:cs="Palatino Linotype"/>
          <w:sz w:val="22"/>
          <w:szCs w:val="22"/>
          <w:vertAlign w:val="superscript"/>
        </w:rPr>
        <w:footnoteReference w:id="2"/>
      </w:r>
      <w:r w:rsidRPr="00391B52">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52D17C03" w14:textId="77777777" w:rsidR="00395935" w:rsidRPr="00391B52" w:rsidRDefault="003959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98F6032" w14:textId="77777777" w:rsidR="00395935" w:rsidRPr="00391B52" w:rsidRDefault="00F629A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391B52">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lo siguiente:</w:t>
      </w:r>
    </w:p>
    <w:p w14:paraId="1C6A4797" w14:textId="77777777" w:rsidR="00395935" w:rsidRPr="00391B52" w:rsidRDefault="003959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4493523" w14:textId="77777777" w:rsidR="00395935" w:rsidRPr="00391B52" w:rsidRDefault="00F629A7">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91B52">
        <w:rPr>
          <w:rFonts w:ascii="Palatino Linotype" w:eastAsia="Palatino Linotype" w:hAnsi="Palatino Linotype" w:cs="Palatino Linotype"/>
          <w:b/>
          <w:sz w:val="22"/>
          <w:szCs w:val="22"/>
        </w:rPr>
        <w:t>La dispersión de la nómina de la segunda de marzo del 2025.</w:t>
      </w:r>
    </w:p>
    <w:p w14:paraId="77884BEA" w14:textId="77777777" w:rsidR="00395935" w:rsidRPr="00391B52" w:rsidRDefault="00395935">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42D545CC" w14:textId="77777777" w:rsidR="00395935" w:rsidRPr="00391B52" w:rsidRDefault="00F629A7">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En respuesta </w:t>
      </w:r>
      <w:r w:rsidRPr="00391B52">
        <w:rPr>
          <w:rFonts w:ascii="Palatino Linotype" w:eastAsia="Palatino Linotype" w:hAnsi="Palatino Linotype" w:cs="Palatino Linotype"/>
          <w:b/>
          <w:sz w:val="22"/>
          <w:szCs w:val="22"/>
        </w:rPr>
        <w:t xml:space="preserve">el Sujeto Obligado </w:t>
      </w:r>
      <w:r w:rsidRPr="00391B52">
        <w:rPr>
          <w:rFonts w:ascii="Palatino Linotype" w:eastAsia="Palatino Linotype" w:hAnsi="Palatino Linotype" w:cs="Palatino Linotype"/>
          <w:sz w:val="22"/>
          <w:szCs w:val="22"/>
        </w:rPr>
        <w:t>por conducto de la Titular de la Unidad de Transparencia indicó que hacía entrega de la respuesta; sin embargo, del archivo adjunto se advierte que únicamente consiste en un documento con dos fojas en blanco, sin ninguna información.</w:t>
      </w:r>
    </w:p>
    <w:p w14:paraId="0AE36B45" w14:textId="77777777" w:rsidR="00395935" w:rsidRPr="00391B52" w:rsidRDefault="00395935">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5196E678" w14:textId="77777777" w:rsidR="00395935" w:rsidRPr="00391B52" w:rsidRDefault="00F629A7">
      <w:pPr>
        <w:spacing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Inconforme con la respuesta, la parte </w:t>
      </w:r>
      <w:r w:rsidRPr="00391B52">
        <w:rPr>
          <w:rFonts w:ascii="Palatino Linotype" w:eastAsia="Palatino Linotype" w:hAnsi="Palatino Linotype" w:cs="Palatino Linotype"/>
          <w:b/>
          <w:sz w:val="22"/>
          <w:szCs w:val="22"/>
        </w:rPr>
        <w:t xml:space="preserve">Recurrente </w:t>
      </w:r>
      <w:r w:rsidRPr="00391B52">
        <w:rPr>
          <w:rFonts w:ascii="Palatino Linotype" w:eastAsia="Palatino Linotype" w:hAnsi="Palatino Linotype" w:cs="Palatino Linotype"/>
          <w:sz w:val="22"/>
          <w:szCs w:val="22"/>
        </w:rPr>
        <w:t xml:space="preserve">promovió el presente recurso de revisión en el que a manera de motivos de inconformidad </w:t>
      </w:r>
      <w:r w:rsidRPr="00391B52">
        <w:rPr>
          <w:rFonts w:ascii="Palatino Linotype" w:eastAsia="Palatino Linotype" w:hAnsi="Palatino Linotype" w:cs="Palatino Linotype"/>
          <w:b/>
          <w:sz w:val="22"/>
          <w:szCs w:val="22"/>
        </w:rPr>
        <w:t>se adolece medularmente de la negativa a la entrega de lo solicitado.</w:t>
      </w:r>
    </w:p>
    <w:p w14:paraId="25147079" w14:textId="77777777" w:rsidR="00395935" w:rsidRPr="00391B52" w:rsidRDefault="00395935">
      <w:pPr>
        <w:spacing w:line="360" w:lineRule="auto"/>
        <w:ind w:right="49"/>
        <w:jc w:val="both"/>
        <w:rPr>
          <w:rFonts w:ascii="Palatino Linotype" w:eastAsia="Palatino Linotype" w:hAnsi="Palatino Linotype" w:cs="Palatino Linotype"/>
          <w:sz w:val="22"/>
          <w:szCs w:val="22"/>
        </w:rPr>
      </w:pPr>
    </w:p>
    <w:p w14:paraId="1C2B947F" w14:textId="77777777" w:rsidR="00395935" w:rsidRPr="00391B52" w:rsidRDefault="00395935">
      <w:pPr>
        <w:spacing w:line="360" w:lineRule="auto"/>
        <w:ind w:right="49"/>
        <w:jc w:val="both"/>
        <w:rPr>
          <w:rFonts w:ascii="Palatino Linotype" w:eastAsia="Palatino Linotype" w:hAnsi="Palatino Linotype" w:cs="Palatino Linotype"/>
          <w:sz w:val="22"/>
          <w:szCs w:val="22"/>
        </w:rPr>
      </w:pPr>
    </w:p>
    <w:p w14:paraId="4EEC8B00"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lastRenderedPageBreak/>
        <w:t>Admitido el presente recurso de revisión, en términos del artículo 185 fracción II</w:t>
      </w:r>
      <w:r w:rsidRPr="00391B52">
        <w:rPr>
          <w:rFonts w:ascii="Palatino Linotype" w:eastAsia="Palatino Linotype" w:hAnsi="Palatino Linotype" w:cs="Palatino Linotype"/>
          <w:sz w:val="22"/>
          <w:szCs w:val="22"/>
          <w:vertAlign w:val="superscript"/>
        </w:rPr>
        <w:footnoteReference w:id="3"/>
      </w:r>
      <w:r w:rsidRPr="00391B52">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639D680C"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28AD8787"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Cabe resaltar que, durante la etapa de manifestaciones</w:t>
      </w:r>
      <w:r w:rsidRPr="00391B52">
        <w:rPr>
          <w:rFonts w:ascii="Palatino Linotype" w:eastAsia="Palatino Linotype" w:hAnsi="Palatino Linotype" w:cs="Palatino Linotype"/>
          <w:b/>
          <w:sz w:val="22"/>
          <w:szCs w:val="22"/>
        </w:rPr>
        <w:t xml:space="preserve">, </w:t>
      </w:r>
      <w:r w:rsidRPr="00391B52">
        <w:rPr>
          <w:rFonts w:ascii="Palatino Linotype" w:eastAsia="Palatino Linotype" w:hAnsi="Palatino Linotype" w:cs="Palatino Linotype"/>
          <w:sz w:val="22"/>
          <w:szCs w:val="22"/>
        </w:rPr>
        <w:t xml:space="preserve">el </w:t>
      </w:r>
      <w:r w:rsidRPr="00391B52">
        <w:rPr>
          <w:rFonts w:ascii="Palatino Linotype" w:eastAsia="Palatino Linotype" w:hAnsi="Palatino Linotype" w:cs="Palatino Linotype"/>
          <w:b/>
          <w:sz w:val="22"/>
          <w:szCs w:val="22"/>
        </w:rPr>
        <w:t xml:space="preserve">Sujeto Obligado </w:t>
      </w:r>
      <w:r w:rsidRPr="00391B52">
        <w:rPr>
          <w:rFonts w:ascii="Palatino Linotype" w:eastAsia="Palatino Linotype" w:hAnsi="Palatino Linotype" w:cs="Palatino Linotype"/>
          <w:sz w:val="22"/>
          <w:szCs w:val="22"/>
        </w:rPr>
        <w:t xml:space="preserve">fue omiso en rendir su informe justificado, y la parte </w:t>
      </w:r>
      <w:r w:rsidRPr="00391B52">
        <w:rPr>
          <w:rFonts w:ascii="Palatino Linotype" w:eastAsia="Palatino Linotype" w:hAnsi="Palatino Linotype" w:cs="Palatino Linotype"/>
          <w:b/>
          <w:sz w:val="22"/>
          <w:szCs w:val="22"/>
        </w:rPr>
        <w:t xml:space="preserve">Recurrente </w:t>
      </w:r>
      <w:r w:rsidRPr="00391B52">
        <w:rPr>
          <w:rFonts w:ascii="Palatino Linotype" w:eastAsia="Palatino Linotype" w:hAnsi="Palatino Linotype" w:cs="Palatino Linotype"/>
          <w:sz w:val="22"/>
          <w:szCs w:val="22"/>
        </w:rPr>
        <w:t>en rendir manifestaciones o alegatos que conforme a derecho resultaran procedentes.</w:t>
      </w:r>
    </w:p>
    <w:p w14:paraId="2435007D" w14:textId="77777777" w:rsidR="00395935" w:rsidRPr="00391B52" w:rsidRDefault="00395935">
      <w:pPr>
        <w:spacing w:line="360" w:lineRule="auto"/>
        <w:jc w:val="both"/>
        <w:rPr>
          <w:rFonts w:ascii="Palatino Linotype" w:eastAsia="Palatino Linotype" w:hAnsi="Palatino Linotype" w:cs="Palatino Linotype"/>
          <w:b/>
          <w:sz w:val="22"/>
          <w:szCs w:val="22"/>
        </w:rPr>
      </w:pPr>
    </w:p>
    <w:p w14:paraId="206088F7" w14:textId="77777777" w:rsidR="00395935" w:rsidRPr="00391B52" w:rsidRDefault="00F629A7">
      <w:pPr>
        <w:spacing w:line="360" w:lineRule="auto"/>
        <w:ind w:right="-28"/>
        <w:jc w:val="both"/>
        <w:rPr>
          <w:rFonts w:ascii="Palatino Linotype" w:eastAsia="Palatino Linotype" w:hAnsi="Palatino Linotype" w:cs="Palatino Linotype"/>
          <w:b/>
          <w:sz w:val="22"/>
          <w:szCs w:val="22"/>
        </w:rPr>
      </w:pPr>
      <w:r w:rsidRPr="00391B52">
        <w:rPr>
          <w:rFonts w:ascii="Palatino Linotype" w:eastAsia="Palatino Linotype" w:hAnsi="Palatino Linotype" w:cs="Palatino Linotype"/>
          <w:b/>
          <w:sz w:val="22"/>
          <w:szCs w:val="22"/>
        </w:rPr>
        <w:t>a) La dispersión de la nómina de la segunda quincena de marzo de dos mil veinticinco:</w:t>
      </w:r>
    </w:p>
    <w:p w14:paraId="32731F22" w14:textId="77777777" w:rsidR="00395935" w:rsidRPr="00391B52" w:rsidRDefault="00395935">
      <w:pPr>
        <w:spacing w:line="360" w:lineRule="auto"/>
        <w:ind w:right="-28"/>
        <w:jc w:val="both"/>
        <w:rPr>
          <w:rFonts w:ascii="Palatino Linotype" w:eastAsia="Palatino Linotype" w:hAnsi="Palatino Linotype" w:cs="Palatino Linotype"/>
          <w:sz w:val="22"/>
          <w:szCs w:val="22"/>
        </w:rPr>
      </w:pPr>
    </w:p>
    <w:p w14:paraId="057E260F"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Atendiendo la naturaleza de la información requerida, debe decirse que el </w:t>
      </w:r>
      <w:r w:rsidRPr="00391B52">
        <w:rPr>
          <w:rFonts w:ascii="Palatino Linotype" w:eastAsia="Palatino Linotype" w:hAnsi="Palatino Linotype" w:cs="Palatino Linotype"/>
          <w:b/>
          <w:sz w:val="22"/>
          <w:szCs w:val="22"/>
        </w:rPr>
        <w:t xml:space="preserve">Sujeto Obligado </w:t>
      </w:r>
      <w:r w:rsidRPr="00391B52">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Pr="00391B52">
        <w:rPr>
          <w:rFonts w:ascii="Palatino Linotype" w:eastAsia="Palatino Linotype" w:hAnsi="Palatino Linotype" w:cs="Palatino Linotype"/>
          <w:b/>
          <w:i/>
          <w:sz w:val="22"/>
          <w:szCs w:val="22"/>
        </w:rPr>
        <w:t>los comprobantes bancarios de la dispersión de nómina</w:t>
      </w:r>
      <w:r w:rsidRPr="00391B52">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w:t>
      </w:r>
    </w:p>
    <w:p w14:paraId="5386C498"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7430EF6E"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En este tenor, de conformidad con los Lineamientos del ejercicio 2025, la información que generan los entes fiscalizables de carácter municipal con motivo de la dispersión de nómina, se encuentra contenida en el Módulo 4 Información Administrativa, Submódulo Nómina (Plataforma Digital), como se muestra a continuación:</w:t>
      </w:r>
    </w:p>
    <w:p w14:paraId="145E449A" w14:textId="77777777" w:rsidR="00395935" w:rsidRPr="00391B52" w:rsidRDefault="00F629A7">
      <w:pPr>
        <w:spacing w:line="360" w:lineRule="auto"/>
        <w:jc w:val="center"/>
        <w:rPr>
          <w:sz w:val="22"/>
          <w:szCs w:val="22"/>
        </w:rPr>
      </w:pPr>
      <w:r w:rsidRPr="00391B52">
        <w:rPr>
          <w:sz w:val="22"/>
          <w:szCs w:val="22"/>
        </w:rPr>
        <w:t xml:space="preserve">  </w:t>
      </w:r>
    </w:p>
    <w:p w14:paraId="7F7A8250" w14:textId="77777777" w:rsidR="00395935" w:rsidRPr="00391B52" w:rsidRDefault="00F629A7">
      <w:pPr>
        <w:spacing w:line="360" w:lineRule="auto"/>
        <w:jc w:val="center"/>
        <w:rPr>
          <w:sz w:val="22"/>
          <w:szCs w:val="22"/>
        </w:rPr>
      </w:pPr>
      <w:r w:rsidRPr="00391B52">
        <w:rPr>
          <w:noProof/>
          <w:sz w:val="22"/>
          <w:szCs w:val="22"/>
        </w:rPr>
        <w:lastRenderedPageBreak/>
        <w:drawing>
          <wp:inline distT="0" distB="0" distL="0" distR="0" wp14:anchorId="62E1E946" wp14:editId="0FBF06C3">
            <wp:extent cx="5610225" cy="3752850"/>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0225" cy="3752850"/>
                    </a:xfrm>
                    <a:prstGeom prst="rect">
                      <a:avLst/>
                    </a:prstGeom>
                    <a:ln/>
                  </pic:spPr>
                </pic:pic>
              </a:graphicData>
            </a:graphic>
          </wp:inline>
        </w:drawing>
      </w:r>
    </w:p>
    <w:p w14:paraId="19E62403" w14:textId="77777777" w:rsidR="00395935" w:rsidRPr="00391B52" w:rsidRDefault="00395935">
      <w:pPr>
        <w:spacing w:line="360" w:lineRule="auto"/>
        <w:ind w:right="49"/>
        <w:jc w:val="both"/>
        <w:rPr>
          <w:rFonts w:ascii="Palatino Linotype" w:eastAsia="Palatino Linotype" w:hAnsi="Palatino Linotype" w:cs="Palatino Linotype"/>
          <w:sz w:val="22"/>
          <w:szCs w:val="22"/>
        </w:rPr>
      </w:pPr>
    </w:p>
    <w:p w14:paraId="2D003EC3" w14:textId="77777777" w:rsidR="00395935" w:rsidRPr="00391B52" w:rsidRDefault="00F629A7">
      <w:pPr>
        <w:spacing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Los comprobantes bancarios de la dispersión de la nómina, se integran de manera quincenal en un solo documento en formato PDF y son los que emite la institución bancaria por la(s) transferencia(s) realizadas respecto del pago de las remuneraciones de cada servidor del Ente Público; </w:t>
      </w:r>
    </w:p>
    <w:p w14:paraId="7D74971A" w14:textId="77777777" w:rsidR="00395935" w:rsidRPr="00391B52" w:rsidRDefault="00F629A7">
      <w:pPr>
        <w:spacing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noProof/>
          <w:sz w:val="22"/>
          <w:szCs w:val="22"/>
        </w:rPr>
        <w:drawing>
          <wp:inline distT="0" distB="0" distL="0" distR="0" wp14:anchorId="2E7322A2" wp14:editId="120478BF">
            <wp:extent cx="5612130" cy="1603375"/>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1603375"/>
                    </a:xfrm>
                    <a:prstGeom prst="rect">
                      <a:avLst/>
                    </a:prstGeom>
                    <a:ln/>
                  </pic:spPr>
                </pic:pic>
              </a:graphicData>
            </a:graphic>
          </wp:inline>
        </w:drawing>
      </w:r>
    </w:p>
    <w:p w14:paraId="7CD5BF98" w14:textId="77777777" w:rsidR="00395935" w:rsidRPr="00391B52" w:rsidRDefault="00395935">
      <w:pPr>
        <w:spacing w:line="360" w:lineRule="auto"/>
        <w:ind w:right="49"/>
        <w:jc w:val="both"/>
        <w:rPr>
          <w:rFonts w:ascii="Palatino Linotype" w:eastAsia="Palatino Linotype" w:hAnsi="Palatino Linotype" w:cs="Palatino Linotype"/>
          <w:sz w:val="22"/>
          <w:szCs w:val="22"/>
        </w:rPr>
      </w:pPr>
    </w:p>
    <w:p w14:paraId="2F2433DD" w14:textId="77777777" w:rsidR="00395935" w:rsidRPr="00391B52" w:rsidRDefault="00F629A7">
      <w:pPr>
        <w:spacing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lastRenderedPageBreak/>
        <w:t xml:space="preserve">De ahí que la pretensión del particular es acceder a los comprobantes de la dispersión de la nómina de la segunda de marzo de 2025; la cual es información que obra en los archivos del </w:t>
      </w:r>
      <w:r w:rsidRPr="00391B52">
        <w:rPr>
          <w:rFonts w:ascii="Palatino Linotype" w:eastAsia="Palatino Linotype" w:hAnsi="Palatino Linotype" w:cs="Palatino Linotype"/>
          <w:b/>
          <w:sz w:val="22"/>
          <w:szCs w:val="22"/>
        </w:rPr>
        <w:t xml:space="preserve">Sujeto Obligado </w:t>
      </w:r>
      <w:r w:rsidRPr="00391B52">
        <w:rPr>
          <w:rFonts w:ascii="Palatino Linotype" w:eastAsia="Palatino Linotype" w:hAnsi="Palatino Linotype" w:cs="Palatino Linotype"/>
          <w:sz w:val="22"/>
          <w:szCs w:val="22"/>
        </w:rPr>
        <w:t>y que integra de manera quincenal.</w:t>
      </w:r>
    </w:p>
    <w:p w14:paraId="1AE672B0" w14:textId="77777777" w:rsidR="00395935" w:rsidRPr="00391B52" w:rsidRDefault="00395935">
      <w:pPr>
        <w:spacing w:line="360" w:lineRule="auto"/>
        <w:ind w:right="49"/>
        <w:jc w:val="both"/>
        <w:rPr>
          <w:rFonts w:ascii="Palatino Linotype" w:eastAsia="Palatino Linotype" w:hAnsi="Palatino Linotype" w:cs="Palatino Linotype"/>
          <w:sz w:val="22"/>
          <w:szCs w:val="22"/>
        </w:rPr>
      </w:pPr>
    </w:p>
    <w:p w14:paraId="15CA95C5" w14:textId="77777777" w:rsidR="00395935" w:rsidRPr="00391B52" w:rsidRDefault="00F629A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Ahora, del análisis al ámbito competencial del </w:t>
      </w:r>
      <w:r w:rsidRPr="00391B52">
        <w:rPr>
          <w:rFonts w:ascii="Palatino Linotype" w:eastAsia="Palatino Linotype" w:hAnsi="Palatino Linotype" w:cs="Palatino Linotype"/>
          <w:b/>
          <w:sz w:val="22"/>
          <w:szCs w:val="22"/>
        </w:rPr>
        <w:t xml:space="preserve">Sujeto Obligado </w:t>
      </w:r>
      <w:r w:rsidRPr="00391B52">
        <w:rPr>
          <w:rFonts w:ascii="Palatino Linotype" w:eastAsia="Palatino Linotype" w:hAnsi="Palatino Linotype" w:cs="Palatino Linotype"/>
          <w:sz w:val="22"/>
          <w:szCs w:val="22"/>
        </w:rPr>
        <w:t>se desprende que este es competente para conocer de la información requerida por conducto de su Tesorería Municipal, la cual conforme su Bando Municipal vigente, y el artículo 95 fracciones I y IV de la Ley Orgánica Municipal del Estado de México es la encargada de administrar la hacienda pública municipal, así como de llevar los registros contables, financieros y administrativos de los ingresos y egresos del Ayuntamiento, como se muestra:</w:t>
      </w:r>
    </w:p>
    <w:p w14:paraId="17E05327" w14:textId="77777777" w:rsidR="00395935" w:rsidRPr="00391B52" w:rsidRDefault="0039593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E2B592" w14:textId="77777777" w:rsidR="00395935" w:rsidRPr="00391B52" w:rsidRDefault="00F629A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 xml:space="preserve">“Artículo 95.- Son atribuciones del tesorero municipal: </w:t>
      </w:r>
    </w:p>
    <w:p w14:paraId="7B5C5091" w14:textId="77777777" w:rsidR="00395935" w:rsidRPr="00391B52" w:rsidRDefault="00F629A7">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391B52">
        <w:rPr>
          <w:rFonts w:ascii="Palatino Linotype" w:eastAsia="Palatino Linotype" w:hAnsi="Palatino Linotype" w:cs="Palatino Linotype"/>
          <w:b/>
          <w:i/>
          <w:sz w:val="22"/>
          <w:szCs w:val="22"/>
        </w:rPr>
        <w:t xml:space="preserve">I. Administrar la hacienda pública municipal, de conformidad con las disposiciones legales aplicables; </w:t>
      </w:r>
    </w:p>
    <w:p w14:paraId="1F8BC32A" w14:textId="77777777" w:rsidR="00395935" w:rsidRPr="00391B52" w:rsidRDefault="00F629A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p>
    <w:p w14:paraId="4FCAD8BB" w14:textId="77777777" w:rsidR="00395935" w:rsidRPr="00391B52" w:rsidRDefault="00F629A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IV. Llevar los registros contables, financieros y administrativos de los ingresos, egresos, e inventarios</w:t>
      </w:r>
      <w:r w:rsidRPr="00391B52">
        <w:rPr>
          <w:rFonts w:ascii="Palatino Linotype" w:eastAsia="Palatino Linotype" w:hAnsi="Palatino Linotype" w:cs="Palatino Linotype"/>
          <w:i/>
          <w:sz w:val="22"/>
          <w:szCs w:val="22"/>
        </w:rPr>
        <w:t>; […]”</w:t>
      </w:r>
    </w:p>
    <w:p w14:paraId="33E959CC"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1A26B51D"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De esta manera, se advierte que la unidad administrativa competente para conocer de lo solicitado es la Tesorería Municipal.</w:t>
      </w:r>
    </w:p>
    <w:p w14:paraId="59FED062"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1F8D17F2"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Sin embargo, en el caso quien se pronunció fue la Titular de la Unidad de Transparencia; por lo que se determina que el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xml:space="preserve"> </w:t>
      </w:r>
      <w:r w:rsidRPr="00391B52">
        <w:rPr>
          <w:rFonts w:ascii="Palatino Linotype" w:eastAsia="Palatino Linotype" w:hAnsi="Palatino Linotype" w:cs="Palatino Linotype"/>
          <w:b/>
          <w:sz w:val="22"/>
          <w:szCs w:val="22"/>
        </w:rPr>
        <w:t xml:space="preserve">no </w:t>
      </w:r>
      <w:r w:rsidRPr="00391B52">
        <w:rPr>
          <w:rFonts w:ascii="Palatino Linotype" w:eastAsia="Palatino Linotype" w:hAnsi="Palatino Linotype" w:cs="Palatino Linotype"/>
          <w:sz w:val="22"/>
          <w:szCs w:val="22"/>
        </w:rPr>
        <w:t xml:space="preserve">siguió el procedimiento establecido por el artículo 162 de la Ley de Transparencia y Acceso a la Información Pública del Estado de México y Municipios, ya que </w:t>
      </w:r>
      <w:r w:rsidRPr="00391B52">
        <w:rPr>
          <w:rFonts w:ascii="Palatino Linotype" w:eastAsia="Palatino Linotype" w:hAnsi="Palatino Linotype" w:cs="Palatino Linotype"/>
          <w:b/>
          <w:sz w:val="22"/>
          <w:szCs w:val="22"/>
        </w:rPr>
        <w:t xml:space="preserve">NO </w:t>
      </w:r>
      <w:r w:rsidRPr="00391B52">
        <w:rPr>
          <w:rFonts w:ascii="Palatino Linotype" w:eastAsia="Palatino Linotype" w:hAnsi="Palatino Linotype" w:cs="Palatino Linotype"/>
          <w:sz w:val="22"/>
          <w:szCs w:val="22"/>
        </w:rPr>
        <w:t>turnó la solicitud al área en la que podría obrar la información de conformidad con la fracción XXXIX del artículo tercero de la legislación local vigente en materia de transparencia: </w:t>
      </w:r>
    </w:p>
    <w:p w14:paraId="02DC5850" w14:textId="77777777" w:rsidR="00395935" w:rsidRPr="00391B52" w:rsidRDefault="00F629A7">
      <w:pPr>
        <w:pBdr>
          <w:top w:val="nil"/>
          <w:left w:val="nil"/>
          <w:bottom w:val="nil"/>
          <w:right w:val="nil"/>
          <w:between w:val="nil"/>
        </w:pBdr>
        <w:ind w:left="864" w:right="864"/>
        <w:jc w:val="both"/>
      </w:pPr>
      <w:r w:rsidRPr="00391B52">
        <w:rPr>
          <w:rFonts w:ascii="Palatino Linotype" w:eastAsia="Palatino Linotype" w:hAnsi="Palatino Linotype" w:cs="Palatino Linotype"/>
          <w:i/>
          <w:sz w:val="22"/>
          <w:szCs w:val="22"/>
        </w:rPr>
        <w:lastRenderedPageBreak/>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A34ADC8" w14:textId="77777777" w:rsidR="00395935" w:rsidRPr="00391B52" w:rsidRDefault="00395935"/>
    <w:p w14:paraId="31FBBEC1" w14:textId="77777777" w:rsidR="00395935" w:rsidRPr="00391B52" w:rsidRDefault="00F629A7">
      <w:pPr>
        <w:pBdr>
          <w:top w:val="nil"/>
          <w:left w:val="nil"/>
          <w:bottom w:val="nil"/>
          <w:right w:val="nil"/>
          <w:between w:val="nil"/>
        </w:pBdr>
        <w:shd w:val="clear" w:color="auto" w:fill="FFFFFF"/>
        <w:spacing w:line="360" w:lineRule="auto"/>
        <w:jc w:val="both"/>
        <w:rPr>
          <w:sz w:val="22"/>
          <w:szCs w:val="22"/>
        </w:rPr>
      </w:pPr>
      <w:r w:rsidRPr="00391B52">
        <w:rPr>
          <w:rFonts w:ascii="Palatino Linotype" w:eastAsia="Palatino Linotype" w:hAnsi="Palatino Linotype" w:cs="Palatino Linotype"/>
          <w:sz w:val="22"/>
          <w:szCs w:val="22"/>
        </w:rPr>
        <w:t xml:space="preserve">En este orden de ideas, se advierte que la Unidad de Transparencia </w:t>
      </w:r>
      <w:r w:rsidRPr="00391B52">
        <w:rPr>
          <w:rFonts w:ascii="Palatino Linotype" w:eastAsia="Palatino Linotype" w:hAnsi="Palatino Linotype" w:cs="Palatino Linotype"/>
          <w:b/>
          <w:sz w:val="22"/>
          <w:szCs w:val="22"/>
        </w:rPr>
        <w:t xml:space="preserve">NO </w:t>
      </w:r>
      <w:r w:rsidRPr="00391B52">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21D1CE94" w14:textId="77777777" w:rsidR="00395935" w:rsidRPr="00391B52" w:rsidRDefault="00395935"/>
    <w:p w14:paraId="08EEBCCA" w14:textId="77777777" w:rsidR="00395935" w:rsidRPr="00391B52" w:rsidRDefault="00F629A7">
      <w:pPr>
        <w:pBdr>
          <w:top w:val="nil"/>
          <w:left w:val="nil"/>
          <w:bottom w:val="nil"/>
          <w:right w:val="nil"/>
          <w:between w:val="nil"/>
        </w:pBdr>
        <w:ind w:left="864" w:right="864"/>
        <w:jc w:val="both"/>
      </w:pPr>
      <w:r w:rsidRPr="00391B52">
        <w:rPr>
          <w:rFonts w:ascii="Palatino Linotype" w:eastAsia="Palatino Linotype" w:hAnsi="Palatino Linotype" w:cs="Palatino Linotype"/>
          <w:i/>
          <w:sz w:val="22"/>
          <w:szCs w:val="22"/>
        </w:rPr>
        <w:t xml:space="preserve">“Artículo 162. Las unidades de transparencia deberán garantizar que las solicitudes </w:t>
      </w:r>
      <w:r w:rsidRPr="00391B52">
        <w:rPr>
          <w:rFonts w:ascii="Palatino Linotype" w:eastAsia="Palatino Linotype" w:hAnsi="Palatino Linotype" w:cs="Palatino Linotype"/>
          <w:b/>
          <w:i/>
          <w:sz w:val="22"/>
          <w:szCs w:val="22"/>
        </w:rPr>
        <w:t xml:space="preserve">se turnen a todas las Áreas competentes </w:t>
      </w:r>
      <w:r w:rsidRPr="00391B52">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49CD4DA0" w14:textId="77777777" w:rsidR="00395935" w:rsidRPr="00391B52" w:rsidRDefault="0039593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427CE76" w14:textId="77777777" w:rsidR="00395935" w:rsidRPr="00391B52" w:rsidRDefault="00F629A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Aunado a </w:t>
      </w:r>
      <w:proofErr w:type="gramStart"/>
      <w:r w:rsidRPr="00391B52">
        <w:rPr>
          <w:rFonts w:ascii="Palatino Linotype" w:eastAsia="Palatino Linotype" w:hAnsi="Palatino Linotype" w:cs="Palatino Linotype"/>
          <w:sz w:val="22"/>
          <w:szCs w:val="22"/>
        </w:rPr>
        <w:t>que</w:t>
      </w:r>
      <w:proofErr w:type="gramEnd"/>
      <w:r w:rsidRPr="00391B52">
        <w:rPr>
          <w:rFonts w:ascii="Palatino Linotype" w:eastAsia="Palatino Linotype" w:hAnsi="Palatino Linotype" w:cs="Palatino Linotype"/>
          <w:sz w:val="22"/>
          <w:szCs w:val="22"/>
        </w:rPr>
        <w:t xml:space="preserve"> del análisis al archivo entregado en respuesta, se advierte que este contiene dos fojas en blanco sin ninguna información, de ahí que el motivo de inconformidad del particular sea fundado; siendo procedente </w:t>
      </w:r>
      <w:r w:rsidRPr="00391B52">
        <w:rPr>
          <w:rFonts w:ascii="Palatino Linotype" w:eastAsia="Palatino Linotype" w:hAnsi="Palatino Linotype" w:cs="Palatino Linotype"/>
          <w:b/>
          <w:sz w:val="22"/>
          <w:szCs w:val="22"/>
        </w:rPr>
        <w:t xml:space="preserve">Revocar </w:t>
      </w:r>
      <w:r w:rsidRPr="00391B52">
        <w:rPr>
          <w:rFonts w:ascii="Palatino Linotype" w:eastAsia="Palatino Linotype" w:hAnsi="Palatino Linotype" w:cs="Palatino Linotype"/>
          <w:sz w:val="22"/>
          <w:szCs w:val="22"/>
        </w:rPr>
        <w:t xml:space="preserve">la respuesta del </w:t>
      </w:r>
      <w:r w:rsidRPr="00391B52">
        <w:rPr>
          <w:rFonts w:ascii="Palatino Linotype" w:eastAsia="Palatino Linotype" w:hAnsi="Palatino Linotype" w:cs="Palatino Linotype"/>
          <w:b/>
          <w:sz w:val="22"/>
          <w:szCs w:val="22"/>
        </w:rPr>
        <w:t xml:space="preserve">Sujeto Obligado </w:t>
      </w:r>
      <w:r w:rsidRPr="00391B52">
        <w:rPr>
          <w:rFonts w:ascii="Palatino Linotype" w:eastAsia="Palatino Linotype" w:hAnsi="Palatino Linotype" w:cs="Palatino Linotype"/>
          <w:sz w:val="22"/>
          <w:szCs w:val="22"/>
        </w:rPr>
        <w:t xml:space="preserve">y ordenar se entregue, de ser procedente en versión pública, </w:t>
      </w:r>
      <w:r w:rsidRPr="00391B52">
        <w:rPr>
          <w:rFonts w:ascii="Palatino Linotype" w:eastAsia="Palatino Linotype" w:hAnsi="Palatino Linotype" w:cs="Palatino Linotype"/>
          <w:b/>
          <w:sz w:val="22"/>
          <w:szCs w:val="22"/>
        </w:rPr>
        <w:t>los comprobantes de la dispersión de la nómina de la segunda quincena de marzo de dos mil veinticinco</w:t>
      </w:r>
      <w:r w:rsidRPr="00391B52">
        <w:rPr>
          <w:rFonts w:ascii="Palatino Linotype" w:eastAsia="Palatino Linotype" w:hAnsi="Palatino Linotype" w:cs="Palatino Linotype"/>
          <w:sz w:val="22"/>
          <w:szCs w:val="22"/>
        </w:rPr>
        <w:t>, de conformidad con el considerando siguiente.</w:t>
      </w:r>
    </w:p>
    <w:p w14:paraId="66286ED0" w14:textId="77777777" w:rsidR="00395935" w:rsidRPr="00391B52" w:rsidRDefault="0039593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8301B9F" w14:textId="77777777" w:rsidR="00395935" w:rsidRPr="00391B52" w:rsidRDefault="00F629A7">
      <w:pPr>
        <w:pBdr>
          <w:top w:val="nil"/>
          <w:left w:val="nil"/>
          <w:bottom w:val="nil"/>
          <w:right w:val="nil"/>
          <w:between w:val="nil"/>
        </w:pBdr>
        <w:spacing w:line="360" w:lineRule="auto"/>
        <w:jc w:val="both"/>
      </w:pPr>
      <w:r w:rsidRPr="00391B52">
        <w:rPr>
          <w:rFonts w:ascii="Palatino Linotype" w:eastAsia="Palatino Linotype" w:hAnsi="Palatino Linotype" w:cs="Palatino Linotype"/>
        </w:rPr>
        <w:t xml:space="preserve">Finalmente, respecto de las manifestaciones realizadas por el Recurrente como razones o motivos de inconformidad, consistentes en </w:t>
      </w:r>
      <w:r w:rsidRPr="00391B52">
        <w:rPr>
          <w:rFonts w:ascii="Palatino Linotype" w:eastAsia="Palatino Linotype" w:hAnsi="Palatino Linotype" w:cs="Palatino Linotype"/>
          <w:i/>
        </w:rPr>
        <w:t>“…Se analice la posible conducta dolosa o negligente del sujeto obligado, y en su caso, se inicien las acciones correspondientes por incumplimiento a la Ley de Transparencia…</w:t>
      </w:r>
      <w:r w:rsidRPr="00391B52">
        <w:rPr>
          <w:rFonts w:ascii="Palatino Linotype" w:eastAsia="Palatino Linotype" w:hAnsi="Palatino Linotype" w:cs="Palatino Linotype"/>
          <w:i/>
          <w:sz w:val="22"/>
          <w:szCs w:val="22"/>
        </w:rPr>
        <w:t xml:space="preserve"> </w:t>
      </w:r>
      <w:r w:rsidRPr="00391B52">
        <w:rPr>
          <w:rFonts w:ascii="Palatino Linotype" w:eastAsia="Palatino Linotype" w:hAnsi="Palatino Linotype" w:cs="Palatino Linotype"/>
          <w:i/>
        </w:rPr>
        <w:t>Se de vista a las áreas fiscalizadoras de ese Órgano Garante y al OSFEM para los efectos procedentes” (sic)</w:t>
      </w:r>
      <w:r w:rsidRPr="00391B52">
        <w:rPr>
          <w:rFonts w:ascii="Palatino Linotype" w:eastAsia="Palatino Linotype" w:hAnsi="Palatino Linotype" w:cs="Palatino Linotype"/>
        </w:rPr>
        <w:t xml:space="preserve">; y derivado que el Recurso de Revisión no es el medio para sancionar, este Organismo Garante sugiere </w:t>
      </w:r>
      <w:r w:rsidRPr="00391B52">
        <w:rPr>
          <w:rFonts w:ascii="Palatino Linotype" w:eastAsia="Palatino Linotype" w:hAnsi="Palatino Linotype" w:cs="Palatino Linotype"/>
        </w:rPr>
        <w:lastRenderedPageBreak/>
        <w:t>a la persona solicitante, interponer su queja o denuncia ante la autoridad competente.</w:t>
      </w:r>
    </w:p>
    <w:p w14:paraId="28A0787B"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2F3AD8BB" w14:textId="77777777" w:rsidR="00395935" w:rsidRPr="00391B52" w:rsidRDefault="00F629A7">
      <w:pPr>
        <w:spacing w:before="240" w:after="240" w:line="360" w:lineRule="auto"/>
        <w:ind w:right="51"/>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t xml:space="preserve">Quinto. Versión Pública. </w:t>
      </w:r>
      <w:r w:rsidRPr="00391B52">
        <w:rPr>
          <w:rFonts w:ascii="Palatino Linotype" w:eastAsia="Palatino Linotype" w:hAnsi="Palatino Linotype" w:cs="Palatino Linotype"/>
          <w:sz w:val="22"/>
          <w:szCs w:val="22"/>
        </w:rPr>
        <w:t>Como fue debidamente apuntado, el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F9953CC" w14:textId="77777777" w:rsidR="00395935" w:rsidRPr="00391B52" w:rsidRDefault="00F629A7">
      <w:pPr>
        <w:spacing w:before="240" w:after="240"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830BF75" w14:textId="77777777" w:rsidR="00395935" w:rsidRPr="00391B52" w:rsidRDefault="00F629A7">
      <w:pPr>
        <w:spacing w:before="240" w:after="240"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12DB934" w14:textId="77777777" w:rsidR="00395935" w:rsidRPr="00391B52" w:rsidRDefault="00F629A7">
      <w:pPr>
        <w:spacing w:before="240" w:after="240"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1226E798"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sz w:val="22"/>
          <w:szCs w:val="22"/>
        </w:rPr>
        <w:t> </w:t>
      </w:r>
      <w:r w:rsidRPr="00391B52">
        <w:rPr>
          <w:rFonts w:ascii="Palatino Linotype" w:eastAsia="Palatino Linotype" w:hAnsi="Palatino Linotype" w:cs="Palatino Linotype"/>
          <w:i/>
          <w:sz w:val="22"/>
          <w:szCs w:val="22"/>
        </w:rPr>
        <w:t>“</w:t>
      </w:r>
      <w:r w:rsidRPr="00391B52">
        <w:rPr>
          <w:rFonts w:ascii="Palatino Linotype" w:eastAsia="Palatino Linotype" w:hAnsi="Palatino Linotype" w:cs="Palatino Linotype"/>
          <w:b/>
          <w:i/>
          <w:sz w:val="22"/>
          <w:szCs w:val="22"/>
        </w:rPr>
        <w:t>Artículo 3.</w:t>
      </w:r>
      <w:r w:rsidRPr="00391B52">
        <w:rPr>
          <w:rFonts w:ascii="Palatino Linotype" w:eastAsia="Palatino Linotype" w:hAnsi="Palatino Linotype" w:cs="Palatino Linotype"/>
          <w:i/>
          <w:sz w:val="22"/>
          <w:szCs w:val="22"/>
        </w:rPr>
        <w:t xml:space="preserve"> Para los efectos de la presente Ley se entenderá por:</w:t>
      </w:r>
    </w:p>
    <w:p w14:paraId="798F74AD" w14:textId="77777777" w:rsidR="00395935" w:rsidRPr="00391B52" w:rsidRDefault="00F629A7">
      <w:pPr>
        <w:tabs>
          <w:tab w:val="left" w:pos="1276"/>
        </w:tabs>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p>
    <w:p w14:paraId="0F7C1579" w14:textId="77777777" w:rsidR="00395935" w:rsidRPr="00391B52" w:rsidRDefault="00F629A7">
      <w:pPr>
        <w:tabs>
          <w:tab w:val="left" w:pos="1276"/>
        </w:tabs>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lastRenderedPageBreak/>
        <w:t>IX. Datos personales</w:t>
      </w:r>
      <w:r w:rsidRPr="00391B52">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65089EB" w14:textId="77777777" w:rsidR="00395935" w:rsidRPr="00391B52" w:rsidRDefault="00F629A7">
      <w:pPr>
        <w:tabs>
          <w:tab w:val="left" w:pos="1276"/>
        </w:tabs>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p>
    <w:p w14:paraId="7AC7B05E" w14:textId="77777777" w:rsidR="00395935" w:rsidRPr="00391B52" w:rsidRDefault="00F629A7">
      <w:pPr>
        <w:tabs>
          <w:tab w:val="left" w:pos="1276"/>
        </w:tabs>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XX. Información clasificada</w:t>
      </w:r>
      <w:r w:rsidRPr="00391B52">
        <w:rPr>
          <w:rFonts w:ascii="Palatino Linotype" w:eastAsia="Palatino Linotype" w:hAnsi="Palatino Linotype" w:cs="Palatino Linotype"/>
          <w:i/>
          <w:sz w:val="22"/>
          <w:szCs w:val="22"/>
        </w:rPr>
        <w:t>: Aquella considerada por la presente Ley como reservada o confidencial;</w:t>
      </w:r>
    </w:p>
    <w:p w14:paraId="59C60899" w14:textId="77777777" w:rsidR="00395935" w:rsidRPr="00391B52" w:rsidRDefault="00F629A7">
      <w:pPr>
        <w:tabs>
          <w:tab w:val="left" w:pos="1276"/>
        </w:tabs>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XXI. Información confidencial</w:t>
      </w:r>
      <w:r w:rsidRPr="00391B52">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D44B891" w14:textId="77777777" w:rsidR="00395935" w:rsidRPr="00391B52" w:rsidRDefault="00F629A7">
      <w:pPr>
        <w:tabs>
          <w:tab w:val="left" w:pos="1276"/>
        </w:tabs>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p>
    <w:p w14:paraId="70694420" w14:textId="77777777" w:rsidR="00395935" w:rsidRPr="00391B52" w:rsidRDefault="00F629A7">
      <w:pPr>
        <w:tabs>
          <w:tab w:val="left" w:pos="1276"/>
        </w:tabs>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XXXII. Protección de Datos Personales</w:t>
      </w:r>
      <w:r w:rsidRPr="00391B52">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1677B56" w14:textId="77777777" w:rsidR="00395935" w:rsidRPr="00391B52" w:rsidRDefault="00F629A7">
      <w:pPr>
        <w:tabs>
          <w:tab w:val="left" w:pos="1276"/>
        </w:tabs>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p>
    <w:p w14:paraId="49F34186" w14:textId="77777777" w:rsidR="00395935" w:rsidRPr="00391B52" w:rsidRDefault="00F629A7">
      <w:pPr>
        <w:tabs>
          <w:tab w:val="left" w:pos="1276"/>
        </w:tabs>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XLV. Versión pública</w:t>
      </w:r>
      <w:r w:rsidRPr="00391B52">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4257CC3"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 Artículo 6</w:t>
      </w:r>
      <w:r w:rsidRPr="00391B52">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D2FF876"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p>
    <w:p w14:paraId="345BCCD7"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Artículo 91.</w:t>
      </w:r>
      <w:r w:rsidRPr="00391B5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391B52">
        <w:rPr>
          <w:rFonts w:ascii="Palatino Linotype" w:eastAsia="Palatino Linotype" w:hAnsi="Palatino Linotype" w:cs="Palatino Linotype"/>
          <w:i/>
          <w:sz w:val="22"/>
          <w:szCs w:val="22"/>
        </w:rPr>
        <w:br/>
        <w:t>…</w:t>
      </w:r>
    </w:p>
    <w:p w14:paraId="40CE2541"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Artículo 132.</w:t>
      </w:r>
      <w:r w:rsidRPr="00391B52">
        <w:rPr>
          <w:rFonts w:ascii="Palatino Linotype" w:eastAsia="Palatino Linotype" w:hAnsi="Palatino Linotype" w:cs="Palatino Linotype"/>
          <w:i/>
          <w:sz w:val="22"/>
          <w:szCs w:val="22"/>
        </w:rPr>
        <w:t xml:space="preserve"> La clasificación de la información se llevará a cabo en el momento en que:</w:t>
      </w:r>
    </w:p>
    <w:p w14:paraId="3F77FD97" w14:textId="77777777" w:rsidR="00395935" w:rsidRPr="00391B52" w:rsidRDefault="00F629A7">
      <w:pP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w:t>
      </w:r>
      <w:r w:rsidRPr="00391B52">
        <w:rPr>
          <w:rFonts w:ascii="Palatino Linotype" w:eastAsia="Palatino Linotype" w:hAnsi="Palatino Linotype" w:cs="Palatino Linotype"/>
          <w:i/>
          <w:sz w:val="22"/>
          <w:szCs w:val="22"/>
        </w:rPr>
        <w:t>. Se reciba una solicitud de acceso a la información;</w:t>
      </w:r>
    </w:p>
    <w:p w14:paraId="79484E90" w14:textId="77777777" w:rsidR="00395935" w:rsidRPr="00391B52" w:rsidRDefault="00F629A7">
      <w:pP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II.</w:t>
      </w:r>
      <w:r w:rsidRPr="00391B52">
        <w:rPr>
          <w:rFonts w:ascii="Palatino Linotype" w:eastAsia="Palatino Linotype" w:hAnsi="Palatino Linotype" w:cs="Palatino Linotype"/>
          <w:i/>
          <w:sz w:val="22"/>
          <w:szCs w:val="22"/>
        </w:rPr>
        <w:t xml:space="preserve"> Se determine mediante resolución de autoridad competente; o</w:t>
      </w:r>
    </w:p>
    <w:p w14:paraId="65FAD9CE" w14:textId="77777777" w:rsidR="00395935" w:rsidRPr="00391B52" w:rsidRDefault="00F629A7">
      <w:pP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lastRenderedPageBreak/>
        <w:t>III.</w:t>
      </w:r>
      <w:r w:rsidRPr="00391B52">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3829876"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w:t>
      </w:r>
    </w:p>
    <w:p w14:paraId="241FE4E6"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Artículo 137.</w:t>
      </w:r>
      <w:r w:rsidRPr="00391B52">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69D12F5"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 Artículo 143.</w:t>
      </w:r>
      <w:r w:rsidRPr="00391B52">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2ED452E" w14:textId="77777777" w:rsidR="00395935" w:rsidRPr="00391B52" w:rsidRDefault="00F629A7">
      <w:pP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w:t>
      </w:r>
      <w:r w:rsidRPr="00391B52">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383B912" w14:textId="77777777" w:rsidR="00395935" w:rsidRPr="00391B52" w:rsidRDefault="00F629A7">
      <w:pPr>
        <w:spacing w:before="240" w:after="240" w:line="360" w:lineRule="auto"/>
        <w:ind w:right="5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F5FCCB2" w14:textId="77777777" w:rsidR="00395935" w:rsidRPr="00391B52" w:rsidRDefault="00F629A7">
      <w:pPr>
        <w:spacing w:before="240" w:after="240" w:line="360" w:lineRule="auto"/>
        <w:ind w:right="5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93C9B63"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lastRenderedPageBreak/>
        <w:t xml:space="preserve">En el caso específico, la información que se ordena si bien tiene el carácter información pública en razón de que se trata de documentos que se encuentran en posesión del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391B52">
        <w:rPr>
          <w:rFonts w:ascii="Palatino Linotype" w:eastAsia="Palatino Linotype" w:hAnsi="Palatino Linotype" w:cs="Palatino Linotype"/>
          <w:b/>
          <w:sz w:val="22"/>
          <w:szCs w:val="22"/>
        </w:rPr>
        <w:t>Registro Federal de Contribuyentes</w:t>
      </w:r>
      <w:r w:rsidRPr="00391B52">
        <w:rPr>
          <w:rFonts w:ascii="Palatino Linotype" w:eastAsia="Palatino Linotype" w:hAnsi="Palatino Linotype" w:cs="Palatino Linotype"/>
          <w:sz w:val="22"/>
          <w:szCs w:val="22"/>
        </w:rPr>
        <w:t xml:space="preserve"> (RFC), los </w:t>
      </w:r>
      <w:r w:rsidRPr="00391B52">
        <w:rPr>
          <w:rFonts w:ascii="Palatino Linotype" w:eastAsia="Palatino Linotype" w:hAnsi="Palatino Linotype" w:cs="Palatino Linotype"/>
          <w:b/>
          <w:sz w:val="22"/>
          <w:szCs w:val="22"/>
        </w:rPr>
        <w:t>números de cuentas bancarias</w:t>
      </w:r>
      <w:r w:rsidRPr="00391B52">
        <w:rPr>
          <w:rFonts w:ascii="Palatino Linotype" w:eastAsia="Palatino Linotype" w:hAnsi="Palatino Linotype" w:cs="Palatino Linotype"/>
          <w:sz w:val="22"/>
          <w:szCs w:val="22"/>
        </w:rPr>
        <w:t xml:space="preserve">, claves estandarizadas – interbancarias - (CLABES) y de tarjetas, </w:t>
      </w:r>
      <w:r w:rsidRPr="00391B52">
        <w:rPr>
          <w:rFonts w:ascii="Palatino Linotype" w:eastAsia="Palatino Linotype" w:hAnsi="Palatino Linotype" w:cs="Palatino Linotype"/>
          <w:b/>
          <w:sz w:val="22"/>
          <w:szCs w:val="22"/>
        </w:rPr>
        <w:t>etc.</w:t>
      </w:r>
    </w:p>
    <w:p w14:paraId="1521ECD3" w14:textId="77777777" w:rsidR="00395935" w:rsidRPr="00391B52" w:rsidRDefault="00F629A7">
      <w:pPr>
        <w:spacing w:before="240" w:after="240" w:line="360" w:lineRule="auto"/>
        <w:ind w:right="5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187158C"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Por cuanto hace al </w:t>
      </w:r>
      <w:r w:rsidRPr="00391B52">
        <w:rPr>
          <w:rFonts w:ascii="Palatino Linotype" w:eastAsia="Palatino Linotype" w:hAnsi="Palatino Linotype" w:cs="Palatino Linotype"/>
          <w:b/>
          <w:sz w:val="22"/>
          <w:szCs w:val="22"/>
        </w:rPr>
        <w:t>Registro Federal de Contribuyentes, RFC,</w:t>
      </w:r>
      <w:r w:rsidRPr="00391B52">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391B52">
        <w:rPr>
          <w:rFonts w:ascii="Palatino Linotype" w:eastAsia="Palatino Linotype" w:hAnsi="Palatino Linotype" w:cs="Palatino Linotype"/>
          <w:sz w:val="22"/>
          <w:szCs w:val="22"/>
        </w:rPr>
        <w:t>homoclave</w:t>
      </w:r>
      <w:proofErr w:type="spellEnd"/>
      <w:r w:rsidRPr="00391B52">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46526CDB"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326F4F5"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lastRenderedPageBreak/>
        <w:t>Lo anterior se apoya del criterio orientador con clave de control SO/019/2017, emitido por el entonces Instituto Nacional de Transparencia, Acceso a la Información y Protección de Datos Personales, INAI, el cual es del tenor literal siguiente:</w:t>
      </w:r>
    </w:p>
    <w:p w14:paraId="68904E51"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 xml:space="preserve"> “Registro Federal de Contribuyentes (RFC) de personas físicas</w:t>
      </w:r>
      <w:r w:rsidRPr="00391B52">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0319682D"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391B52">
        <w:rPr>
          <w:rFonts w:ascii="Palatino Linotype" w:eastAsia="Palatino Linotype" w:hAnsi="Palatino Linotype" w:cs="Palatino Linotype"/>
          <w:sz w:val="22"/>
          <w:szCs w:val="22"/>
        </w:rPr>
        <w:t>homoclave</w:t>
      </w:r>
      <w:proofErr w:type="spellEnd"/>
      <w:r w:rsidRPr="00391B52">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0BE254C"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Respecto de los </w:t>
      </w:r>
      <w:r w:rsidRPr="00391B52">
        <w:rPr>
          <w:rFonts w:ascii="Palatino Linotype" w:eastAsia="Palatino Linotype" w:hAnsi="Palatino Linotype" w:cs="Palatino Linotype"/>
          <w:b/>
          <w:sz w:val="22"/>
          <w:szCs w:val="22"/>
        </w:rPr>
        <w:t>números de cuentas bancari</w:t>
      </w:r>
      <w:r w:rsidRPr="00391B52">
        <w:rPr>
          <w:rFonts w:ascii="Palatino Linotype" w:eastAsia="Palatino Linotype" w:hAnsi="Palatino Linotype" w:cs="Palatino Linotype"/>
          <w:sz w:val="22"/>
          <w:szCs w:val="22"/>
        </w:rPr>
        <w:t xml:space="preserve">as, </w:t>
      </w:r>
      <w:r w:rsidRPr="00391B52">
        <w:rPr>
          <w:rFonts w:ascii="Palatino Linotype" w:eastAsia="Palatino Linotype" w:hAnsi="Palatino Linotype" w:cs="Palatino Linotype"/>
          <w:b/>
          <w:sz w:val="22"/>
          <w:szCs w:val="22"/>
        </w:rPr>
        <w:t>claves estandarizadas –interbancarias- (CLABES) y de tarjetas</w:t>
      </w:r>
      <w:r w:rsidRPr="00391B52">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19A988C4"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7F07B80"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Por lo anterior, el número de cuenta bancaria debe ser clasificado como confidencial con fundamento en las fracciones I y II del artículo 143 de la Ley de la Materia vigente en la </w:t>
      </w:r>
      <w:r w:rsidRPr="00391B52">
        <w:rPr>
          <w:rFonts w:ascii="Palatino Linotype" w:eastAsia="Palatino Linotype" w:hAnsi="Palatino Linotype" w:cs="Palatino Linotype"/>
          <w:sz w:val="22"/>
          <w:szCs w:val="22"/>
        </w:rPr>
        <w:lastRenderedPageBreak/>
        <w:t>Entidad; en razón de que con su difusión se estaría poniendo en riesgo la seguridad de su titular.</w:t>
      </w:r>
    </w:p>
    <w:p w14:paraId="7FBE9BF8"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4E726D83"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16E026B7"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3039F214"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r w:rsidRPr="00391B52">
        <w:rPr>
          <w:rFonts w:ascii="Palatino Linotype" w:eastAsia="Palatino Linotype" w:hAnsi="Palatino Linotype" w:cs="Palatino Linotype"/>
          <w:b/>
          <w:i/>
          <w:sz w:val="22"/>
          <w:szCs w:val="22"/>
        </w:rPr>
        <w:t>Cuentas bancarias y/o CLABE interbancaria de personas físicas y morales privadas.</w:t>
      </w:r>
      <w:r w:rsidRPr="00391B52">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A08BA90"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391B52">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5D84377" w14:textId="77777777" w:rsidR="00752CEB" w:rsidRPr="00391B52" w:rsidRDefault="00752CEB">
      <w:pPr>
        <w:spacing w:before="240" w:after="240" w:line="360" w:lineRule="auto"/>
        <w:ind w:right="50"/>
        <w:jc w:val="both"/>
        <w:rPr>
          <w:rFonts w:ascii="Palatino Linotype" w:eastAsia="Palatino Linotype" w:hAnsi="Palatino Linotype" w:cs="Palatino Linotype"/>
          <w:sz w:val="22"/>
          <w:szCs w:val="22"/>
        </w:rPr>
      </w:pPr>
      <w:bookmarkStart w:id="9" w:name="_heading=h.35nkun2" w:colFirst="0" w:colLast="0"/>
      <w:bookmarkEnd w:id="9"/>
    </w:p>
    <w:p w14:paraId="3546BAAD" w14:textId="2374EB06" w:rsidR="00752CEB" w:rsidRPr="00391B52" w:rsidRDefault="00752CEB" w:rsidP="00752CEB">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lastRenderedPageBreak/>
        <w:t xml:space="preserve">Por otro lado, derivado de la información que se ordena entregar, pudiera existir información de la Dirección de Seguridad Pública del Ayuntamiento o su equivalente, la cual pone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391B52">
        <w:rPr>
          <w:rFonts w:ascii="Palatino Linotype" w:eastAsia="Palatino Linotype" w:hAnsi="Palatino Linotype" w:cs="Palatino Linotype"/>
          <w:b/>
          <w:sz w:val="22"/>
          <w:szCs w:val="22"/>
          <w:u w:val="single"/>
        </w:rPr>
        <w:t>sólo por cuanto hace al nombre</w:t>
      </w:r>
      <w:r w:rsidRPr="00391B52">
        <w:rPr>
          <w:rFonts w:ascii="Palatino Linotype" w:eastAsia="Palatino Linotype" w:hAnsi="Palatino Linotype" w:cs="Palatino Linotype"/>
          <w:sz w:val="22"/>
          <w:szCs w:val="22"/>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391B52">
        <w:rPr>
          <w:rFonts w:ascii="Palatino Linotype" w:eastAsia="Palatino Linotype" w:hAnsi="Palatino Linotype" w:cs="Palatino Linotype"/>
          <w:b/>
          <w:sz w:val="22"/>
          <w:szCs w:val="22"/>
        </w:rPr>
        <w:t>que desempeñen funciones operativas</w:t>
      </w:r>
      <w:r w:rsidRPr="00391B52">
        <w:rPr>
          <w:rFonts w:ascii="Palatino Linotype" w:eastAsia="Palatino Linotype" w:hAnsi="Palatino Linotype" w:cs="Palatino Linotype"/>
          <w:sz w:val="22"/>
          <w:szCs w:val="22"/>
        </w:rPr>
        <w:t>.</w:t>
      </w:r>
    </w:p>
    <w:p w14:paraId="757457DC" w14:textId="77777777" w:rsidR="00752CEB" w:rsidRPr="00391B52" w:rsidRDefault="00752CEB" w:rsidP="00752CEB">
      <w:pPr>
        <w:spacing w:line="360" w:lineRule="auto"/>
        <w:jc w:val="both"/>
        <w:rPr>
          <w:sz w:val="22"/>
          <w:szCs w:val="22"/>
        </w:rPr>
      </w:pPr>
    </w:p>
    <w:p w14:paraId="0B5B8B09" w14:textId="77777777" w:rsidR="00752CEB" w:rsidRPr="00391B52" w:rsidRDefault="00752CEB" w:rsidP="00752CEB">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Al respecto, la información </w:t>
      </w:r>
      <w:r w:rsidRPr="00391B52">
        <w:rPr>
          <w:rFonts w:ascii="Palatino Linotype" w:eastAsia="Palatino Linotype" w:hAnsi="Palatino Linotype" w:cs="Palatino Linotype"/>
          <w:b/>
          <w:sz w:val="22"/>
          <w:szCs w:val="22"/>
        </w:rPr>
        <w:t>de los elementos que realizan funciones operativas, entre ellos su nombre, deben ser protegidos</w:t>
      </w:r>
      <w:r w:rsidRPr="00391B52">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1F19257" w14:textId="77777777" w:rsidR="00752CEB" w:rsidRPr="00391B52" w:rsidRDefault="00752CEB" w:rsidP="00752CEB">
      <w:pPr>
        <w:spacing w:line="360" w:lineRule="auto"/>
        <w:jc w:val="both"/>
        <w:rPr>
          <w:sz w:val="22"/>
          <w:szCs w:val="22"/>
        </w:rPr>
      </w:pPr>
    </w:p>
    <w:p w14:paraId="3B87E4AE" w14:textId="77777777" w:rsidR="00752CEB" w:rsidRPr="00391B52" w:rsidRDefault="00752CEB" w:rsidP="00752CEB">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w:t>
      </w:r>
      <w:r w:rsidRPr="00391B52">
        <w:rPr>
          <w:rFonts w:ascii="Palatino Linotype" w:eastAsia="Palatino Linotype" w:hAnsi="Palatino Linotype" w:cs="Palatino Linotype"/>
          <w:sz w:val="22"/>
          <w:szCs w:val="22"/>
        </w:rPr>
        <w:lastRenderedPageBreak/>
        <w:t>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la solicitud, al aplicar la prueba de daño correspondiente.</w:t>
      </w:r>
    </w:p>
    <w:p w14:paraId="675CAF37" w14:textId="77777777" w:rsidR="00752CEB" w:rsidRPr="00391B52" w:rsidRDefault="00752CEB" w:rsidP="00752CEB">
      <w:pPr>
        <w:spacing w:line="360" w:lineRule="auto"/>
        <w:jc w:val="both"/>
        <w:rPr>
          <w:sz w:val="22"/>
          <w:szCs w:val="22"/>
        </w:rPr>
      </w:pPr>
    </w:p>
    <w:p w14:paraId="69BAC02C" w14:textId="77777777" w:rsidR="00752CEB" w:rsidRPr="00391B52" w:rsidRDefault="00752CEB" w:rsidP="00752CEB">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3C6B471B" w14:textId="77777777" w:rsidR="00752CEB" w:rsidRPr="00391B52" w:rsidRDefault="00752CEB" w:rsidP="00752CEB">
      <w:pPr>
        <w:spacing w:line="360" w:lineRule="auto"/>
        <w:jc w:val="both"/>
        <w:rPr>
          <w:sz w:val="22"/>
          <w:szCs w:val="22"/>
        </w:rPr>
      </w:pPr>
    </w:p>
    <w:p w14:paraId="7A939898" w14:textId="77777777" w:rsidR="00752CEB" w:rsidRPr="00391B52" w:rsidRDefault="00752CEB" w:rsidP="00752CEB">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0B51EB7E" w14:textId="77777777" w:rsidR="00752CEB" w:rsidRPr="00391B52" w:rsidRDefault="00752CEB" w:rsidP="00752CEB">
      <w:pPr>
        <w:spacing w:line="360" w:lineRule="auto"/>
        <w:jc w:val="both"/>
        <w:rPr>
          <w:sz w:val="22"/>
          <w:szCs w:val="22"/>
        </w:rPr>
      </w:pPr>
    </w:p>
    <w:p w14:paraId="60C40661" w14:textId="77777777" w:rsidR="00752CEB" w:rsidRPr="00391B52" w:rsidRDefault="00752CEB" w:rsidP="00752CEB">
      <w:pPr>
        <w:spacing w:line="360" w:lineRule="auto"/>
        <w:jc w:val="both"/>
        <w:rPr>
          <w:sz w:val="22"/>
          <w:szCs w:val="22"/>
        </w:rPr>
      </w:pPr>
      <w:r w:rsidRPr="00391B52">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orientador 06/09, emitido por el entonces Instituto Nacional de Transparencia, Acceso a la Información y Protección de Datos Personales, INAI, que establece lo siguiente:</w:t>
      </w:r>
    </w:p>
    <w:p w14:paraId="5B35ADA0" w14:textId="77777777" w:rsidR="00752CEB" w:rsidRPr="00391B52" w:rsidRDefault="00752CEB" w:rsidP="00752CEB">
      <w:pPr>
        <w:spacing w:before="120" w:after="120"/>
        <w:ind w:left="851" w:right="902"/>
        <w:jc w:val="both"/>
        <w:rPr>
          <w:sz w:val="22"/>
          <w:szCs w:val="22"/>
        </w:rPr>
      </w:pPr>
      <w:r w:rsidRPr="00391B52">
        <w:rPr>
          <w:rFonts w:ascii="Palatino Linotype" w:eastAsia="Palatino Linotype" w:hAnsi="Palatino Linotype" w:cs="Palatino Linotype"/>
          <w:b/>
          <w:i/>
          <w:sz w:val="22"/>
          <w:szCs w:val="22"/>
        </w:rPr>
        <w:lastRenderedPageBreak/>
        <w:t>“Nombres de servidores públicos dedicados a actividades en materia de seguridad, por excepción pueden considerarse información reservada.</w:t>
      </w:r>
      <w:r w:rsidRPr="00391B52">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391B52">
        <w:rPr>
          <w:rFonts w:ascii="Palatino Linotype" w:eastAsia="Palatino Linotype" w:hAnsi="Palatino Linotype" w:cs="Palatino Linotype"/>
          <w:i/>
          <w:sz w:val="22"/>
          <w:szCs w:val="22"/>
        </w:rPr>
        <w:t>obstante</w:t>
      </w:r>
      <w:proofErr w:type="gramEnd"/>
      <w:r w:rsidRPr="00391B52">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552ACAA" w14:textId="77777777" w:rsidR="00752CEB" w:rsidRPr="00391B52" w:rsidRDefault="00752CEB" w:rsidP="00752CEB">
      <w:pPr>
        <w:spacing w:line="360" w:lineRule="auto"/>
        <w:jc w:val="both"/>
        <w:rPr>
          <w:rFonts w:ascii="Palatino Linotype" w:eastAsia="Palatino Linotype" w:hAnsi="Palatino Linotype" w:cs="Palatino Linotype"/>
          <w:sz w:val="22"/>
          <w:szCs w:val="22"/>
        </w:rPr>
      </w:pPr>
    </w:p>
    <w:p w14:paraId="3FB6D1EC" w14:textId="77777777" w:rsidR="00752CEB" w:rsidRPr="00391B52" w:rsidRDefault="00752CEB" w:rsidP="00752CEB">
      <w:pPr>
        <w:spacing w:line="360" w:lineRule="auto"/>
        <w:jc w:val="both"/>
        <w:rPr>
          <w:rFonts w:ascii="Palatino Linotype" w:eastAsia="Palatino Linotype" w:hAnsi="Palatino Linotype" w:cs="Palatino Linotype"/>
          <w:b/>
          <w:sz w:val="22"/>
          <w:szCs w:val="22"/>
        </w:rPr>
      </w:pPr>
      <w:r w:rsidRPr="00391B52">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391B52">
        <w:rPr>
          <w:rFonts w:ascii="Palatino Linotype" w:eastAsia="Palatino Linotype" w:hAnsi="Palatino Linotype" w:cs="Palatino Linotype"/>
          <w:b/>
          <w:sz w:val="22"/>
          <w:szCs w:val="22"/>
        </w:rPr>
        <w:t>funciones de carácter operativo.</w:t>
      </w:r>
    </w:p>
    <w:p w14:paraId="63A00E3E" w14:textId="77777777" w:rsidR="00752CEB" w:rsidRPr="00391B52" w:rsidRDefault="00752CEB" w:rsidP="00752CEB">
      <w:pPr>
        <w:spacing w:line="360" w:lineRule="auto"/>
        <w:jc w:val="both"/>
        <w:rPr>
          <w:sz w:val="22"/>
          <w:szCs w:val="22"/>
        </w:rPr>
      </w:pPr>
    </w:p>
    <w:p w14:paraId="0E4F539E" w14:textId="77777777" w:rsidR="00752CEB" w:rsidRPr="00391B52" w:rsidRDefault="00752CEB" w:rsidP="00752CEB">
      <w:pPr>
        <w:spacing w:line="360" w:lineRule="auto"/>
        <w:jc w:val="both"/>
        <w:rPr>
          <w:sz w:val="22"/>
          <w:szCs w:val="22"/>
        </w:rPr>
      </w:pPr>
      <w:r w:rsidRPr="00391B52">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144787E1" w14:textId="77777777" w:rsidR="00752CEB" w:rsidRPr="00391B52" w:rsidRDefault="00752CEB" w:rsidP="00752CEB">
      <w:pPr>
        <w:spacing w:before="120" w:after="120"/>
        <w:ind w:left="851" w:right="760"/>
        <w:jc w:val="both"/>
        <w:rPr>
          <w:sz w:val="22"/>
          <w:szCs w:val="22"/>
        </w:rPr>
      </w:pPr>
      <w:r w:rsidRPr="00391B52">
        <w:rPr>
          <w:rFonts w:ascii="Palatino Linotype" w:eastAsia="Palatino Linotype" w:hAnsi="Palatino Linotype" w:cs="Palatino Linotype"/>
          <w:b/>
          <w:i/>
          <w:sz w:val="22"/>
          <w:szCs w:val="22"/>
        </w:rPr>
        <w:lastRenderedPageBreak/>
        <w:t xml:space="preserve">“DERECHO A LA INFORMACIÓN. SU EJERCICIO SE ENCUENTRA LIMITADO TANTO POR LOS INTERESES NACIONALES Y DE LA SOCIEDAD, COMO POR LOS DERECHOS DE TERCEROS. </w:t>
      </w:r>
      <w:r w:rsidRPr="00391B52">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391B52">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391B52">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391B52">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391B52">
        <w:rPr>
          <w:rFonts w:ascii="Palatino Linotype" w:eastAsia="Palatino Linotype" w:hAnsi="Palatino Linotype" w:cs="Palatino Linotype"/>
          <w:i/>
          <w:sz w:val="22"/>
          <w:szCs w:val="22"/>
        </w:rPr>
        <w:t>”</w:t>
      </w:r>
    </w:p>
    <w:p w14:paraId="17346E0D" w14:textId="77777777" w:rsidR="00752CEB" w:rsidRPr="00391B52" w:rsidRDefault="00752CEB" w:rsidP="00752CEB">
      <w:pPr>
        <w:rPr>
          <w:sz w:val="22"/>
          <w:szCs w:val="22"/>
        </w:rPr>
      </w:pPr>
    </w:p>
    <w:p w14:paraId="516E9BC0" w14:textId="77777777" w:rsidR="00752CEB" w:rsidRPr="00391B52" w:rsidRDefault="00752CEB" w:rsidP="00752CEB">
      <w:pPr>
        <w:spacing w:before="120" w:after="120"/>
        <w:ind w:left="851" w:right="760"/>
        <w:jc w:val="both"/>
        <w:rPr>
          <w:sz w:val="22"/>
          <w:szCs w:val="22"/>
        </w:rPr>
      </w:pPr>
      <w:r w:rsidRPr="00391B52">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391B52">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w:t>
      </w:r>
      <w:r w:rsidRPr="00391B52">
        <w:rPr>
          <w:rFonts w:ascii="Palatino Linotype" w:eastAsia="Palatino Linotype" w:hAnsi="Palatino Linotype" w:cs="Palatino Linotype"/>
          <w:i/>
          <w:sz w:val="22"/>
          <w:szCs w:val="22"/>
        </w:rPr>
        <w:lastRenderedPageBreak/>
        <w:t xml:space="preserve">Política de los Estados Unidos Mexicanos, porque es jurídicamente adecuado que en las leyes reguladoras de cada materia, </w:t>
      </w:r>
      <w:r w:rsidRPr="00391B52">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391B52">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BEA0338" w14:textId="77777777" w:rsidR="00395935" w:rsidRPr="00391B52" w:rsidRDefault="00F629A7">
      <w:pPr>
        <w:spacing w:before="240" w:after="240" w:line="360" w:lineRule="auto"/>
        <w:ind w:right="5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391B52">
        <w:rPr>
          <w:rFonts w:ascii="Palatino Linotype" w:eastAsia="Palatino Linotype" w:hAnsi="Palatino Linotype" w:cs="Palatino Linotype"/>
          <w:sz w:val="22"/>
          <w:szCs w:val="22"/>
        </w:rPr>
        <w:t>Responsable</w:t>
      </w:r>
      <w:proofErr w:type="gramEnd"/>
      <w:r w:rsidRPr="00391B52">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5B8A8489"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“Artículo 49.</w:t>
      </w:r>
      <w:r w:rsidRPr="00391B52">
        <w:rPr>
          <w:rFonts w:ascii="Palatino Linotype" w:eastAsia="Palatino Linotype" w:hAnsi="Palatino Linotype" w:cs="Palatino Linotype"/>
          <w:i/>
          <w:sz w:val="22"/>
          <w:szCs w:val="22"/>
        </w:rPr>
        <w:t xml:space="preserve"> </w:t>
      </w:r>
      <w:r w:rsidRPr="00391B52">
        <w:rPr>
          <w:rFonts w:ascii="Palatino Linotype" w:eastAsia="Palatino Linotype" w:hAnsi="Palatino Linotype" w:cs="Palatino Linotype"/>
          <w:b/>
          <w:i/>
          <w:sz w:val="22"/>
          <w:szCs w:val="22"/>
        </w:rPr>
        <w:t>Los Comités de Transparencia</w:t>
      </w:r>
      <w:r w:rsidRPr="00391B52">
        <w:rPr>
          <w:rFonts w:ascii="Palatino Linotype" w:eastAsia="Palatino Linotype" w:hAnsi="Palatino Linotype" w:cs="Palatino Linotype"/>
          <w:i/>
          <w:sz w:val="22"/>
          <w:szCs w:val="22"/>
        </w:rPr>
        <w:t xml:space="preserve"> tendrán las siguientes atribuciones:</w:t>
      </w:r>
    </w:p>
    <w:p w14:paraId="6C0B6C16" w14:textId="77777777" w:rsidR="00395935" w:rsidRPr="00391B52" w:rsidRDefault="00F629A7">
      <w:pP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VIII. Aprobar, modificar o revocar la clasificación de la información</w:t>
      </w:r>
      <w:r w:rsidRPr="00391B52">
        <w:rPr>
          <w:rFonts w:ascii="Palatino Linotype" w:eastAsia="Palatino Linotype" w:hAnsi="Palatino Linotype" w:cs="Palatino Linotype"/>
          <w:i/>
          <w:sz w:val="22"/>
          <w:szCs w:val="22"/>
        </w:rPr>
        <w:t>…”</w:t>
      </w:r>
    </w:p>
    <w:p w14:paraId="0D3E6C8D"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r w:rsidRPr="00391B52">
        <w:rPr>
          <w:rFonts w:ascii="Palatino Linotype" w:eastAsia="Palatino Linotype" w:hAnsi="Palatino Linotype" w:cs="Palatino Linotype"/>
          <w:b/>
          <w:i/>
          <w:sz w:val="22"/>
          <w:szCs w:val="22"/>
        </w:rPr>
        <w:t>Artículo 53.</w:t>
      </w:r>
      <w:r w:rsidRPr="00391B52">
        <w:rPr>
          <w:rFonts w:ascii="Palatino Linotype" w:eastAsia="Palatino Linotype" w:hAnsi="Palatino Linotype" w:cs="Palatino Linotype"/>
          <w:i/>
          <w:sz w:val="22"/>
          <w:szCs w:val="22"/>
        </w:rPr>
        <w:t xml:space="preserve"> Las </w:t>
      </w:r>
      <w:r w:rsidRPr="00391B52">
        <w:rPr>
          <w:rFonts w:ascii="Palatino Linotype" w:eastAsia="Palatino Linotype" w:hAnsi="Palatino Linotype" w:cs="Palatino Linotype"/>
          <w:b/>
          <w:i/>
          <w:sz w:val="22"/>
          <w:szCs w:val="22"/>
        </w:rPr>
        <w:t>Unidades de Transparencia</w:t>
      </w:r>
      <w:r w:rsidRPr="00391B52">
        <w:rPr>
          <w:rFonts w:ascii="Palatino Linotype" w:eastAsia="Palatino Linotype" w:hAnsi="Palatino Linotype" w:cs="Palatino Linotype"/>
          <w:i/>
          <w:sz w:val="22"/>
          <w:szCs w:val="22"/>
        </w:rPr>
        <w:t xml:space="preserve"> tendrán las siguientes </w:t>
      </w:r>
      <w:r w:rsidRPr="00391B52">
        <w:rPr>
          <w:rFonts w:ascii="Palatino Linotype" w:eastAsia="Palatino Linotype" w:hAnsi="Palatino Linotype" w:cs="Palatino Linotype"/>
          <w:b/>
          <w:i/>
          <w:sz w:val="22"/>
          <w:szCs w:val="22"/>
        </w:rPr>
        <w:t>funciones</w:t>
      </w:r>
      <w:r w:rsidRPr="00391B52">
        <w:rPr>
          <w:rFonts w:ascii="Palatino Linotype" w:eastAsia="Palatino Linotype" w:hAnsi="Palatino Linotype" w:cs="Palatino Linotype"/>
          <w:i/>
          <w:sz w:val="22"/>
          <w:szCs w:val="22"/>
        </w:rPr>
        <w:t>:</w:t>
      </w:r>
    </w:p>
    <w:p w14:paraId="2ED707B5" w14:textId="77777777" w:rsidR="00395935" w:rsidRPr="00391B52" w:rsidRDefault="00F629A7">
      <w:pP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X. Presentar ante el Comité, el proyecto de clasificación de información</w:t>
      </w:r>
      <w:r w:rsidRPr="00391B52">
        <w:rPr>
          <w:rFonts w:ascii="Palatino Linotype" w:eastAsia="Palatino Linotype" w:hAnsi="Palatino Linotype" w:cs="Palatino Linotype"/>
          <w:i/>
          <w:sz w:val="22"/>
          <w:szCs w:val="22"/>
        </w:rPr>
        <w:t xml:space="preserve">…” </w:t>
      </w:r>
    </w:p>
    <w:p w14:paraId="0A4F8439"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“Artículo 59.</w:t>
      </w:r>
      <w:r w:rsidRPr="00391B52">
        <w:rPr>
          <w:rFonts w:ascii="Palatino Linotype" w:eastAsia="Palatino Linotype" w:hAnsi="Palatino Linotype" w:cs="Palatino Linotype"/>
          <w:i/>
          <w:sz w:val="22"/>
          <w:szCs w:val="22"/>
        </w:rPr>
        <w:t xml:space="preserve"> Los </w:t>
      </w:r>
      <w:r w:rsidRPr="00391B52">
        <w:rPr>
          <w:rFonts w:ascii="Palatino Linotype" w:eastAsia="Palatino Linotype" w:hAnsi="Palatino Linotype" w:cs="Palatino Linotype"/>
          <w:b/>
          <w:i/>
          <w:sz w:val="22"/>
          <w:szCs w:val="22"/>
        </w:rPr>
        <w:t>servidores públicos habilitados</w:t>
      </w:r>
      <w:r w:rsidRPr="00391B52">
        <w:rPr>
          <w:rFonts w:ascii="Palatino Linotype" w:eastAsia="Palatino Linotype" w:hAnsi="Palatino Linotype" w:cs="Palatino Linotype"/>
          <w:i/>
          <w:sz w:val="22"/>
          <w:szCs w:val="22"/>
        </w:rPr>
        <w:t xml:space="preserve"> tendrán las </w:t>
      </w:r>
      <w:r w:rsidRPr="00391B52">
        <w:rPr>
          <w:rFonts w:ascii="Palatino Linotype" w:eastAsia="Palatino Linotype" w:hAnsi="Palatino Linotype" w:cs="Palatino Linotype"/>
          <w:b/>
          <w:i/>
          <w:sz w:val="22"/>
          <w:szCs w:val="22"/>
        </w:rPr>
        <w:t>funciones</w:t>
      </w:r>
      <w:r w:rsidRPr="00391B52">
        <w:rPr>
          <w:rFonts w:ascii="Palatino Linotype" w:eastAsia="Palatino Linotype" w:hAnsi="Palatino Linotype" w:cs="Palatino Linotype"/>
          <w:i/>
          <w:sz w:val="22"/>
          <w:szCs w:val="22"/>
        </w:rPr>
        <w:t xml:space="preserve"> siguientes:</w:t>
      </w:r>
    </w:p>
    <w:p w14:paraId="27902D8A" w14:textId="77777777" w:rsidR="00395935" w:rsidRPr="00391B52" w:rsidRDefault="00F629A7">
      <w:pP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91B52">
        <w:rPr>
          <w:rFonts w:ascii="Palatino Linotype" w:eastAsia="Palatino Linotype" w:hAnsi="Palatino Linotype" w:cs="Palatino Linotype"/>
          <w:i/>
          <w:sz w:val="22"/>
          <w:szCs w:val="22"/>
        </w:rPr>
        <w:t>, la cual tendrá los fundamentos y argumentos en que se basa dicha propuesta…”</w:t>
      </w:r>
    </w:p>
    <w:p w14:paraId="612FCEC3"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21C018F"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77481F3"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r w:rsidRPr="00391B52">
        <w:rPr>
          <w:rFonts w:ascii="Palatino Linotype" w:eastAsia="Palatino Linotype" w:hAnsi="Palatino Linotype" w:cs="Palatino Linotype"/>
          <w:b/>
          <w:i/>
          <w:sz w:val="22"/>
          <w:szCs w:val="22"/>
        </w:rPr>
        <w:t>Artículo 149.</w:t>
      </w:r>
      <w:r w:rsidRPr="00391B52">
        <w:rPr>
          <w:rFonts w:ascii="Palatino Linotype" w:eastAsia="Palatino Linotype" w:hAnsi="Palatino Linotype" w:cs="Palatino Linotype"/>
          <w:i/>
          <w:sz w:val="22"/>
          <w:szCs w:val="22"/>
        </w:rPr>
        <w:t xml:space="preserve"> El </w:t>
      </w:r>
      <w:r w:rsidRPr="00391B52">
        <w:rPr>
          <w:rFonts w:ascii="Palatino Linotype" w:eastAsia="Palatino Linotype" w:hAnsi="Palatino Linotype" w:cs="Palatino Linotype"/>
          <w:b/>
          <w:i/>
          <w:sz w:val="22"/>
          <w:szCs w:val="22"/>
        </w:rPr>
        <w:t>acuerdo que clasifique la información como confidencial</w:t>
      </w:r>
      <w:r w:rsidRPr="00391B52">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1BAA0732" w14:textId="77777777" w:rsidR="00395935" w:rsidRPr="00391B52" w:rsidRDefault="00F629A7">
      <w:pPr>
        <w:spacing w:before="240" w:after="240" w:line="360" w:lineRule="auto"/>
        <w:ind w:right="51"/>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Es decir, el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4E2D14F" w14:textId="77777777" w:rsidR="00395935" w:rsidRPr="00391B52" w:rsidRDefault="00F629A7">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w:t>
      </w:r>
      <w:r w:rsidRPr="00391B52">
        <w:rPr>
          <w:rFonts w:ascii="Palatino Linotype" w:eastAsia="Palatino Linotype" w:hAnsi="Palatino Linotype" w:cs="Palatino Linotype"/>
          <w:sz w:val="22"/>
          <w:szCs w:val="22"/>
        </w:rPr>
        <w:lastRenderedPageBreak/>
        <w:t>Clasificación y Desclasificación de la Información, así como para la Elaboración de Versiones Públicas, vigentes a la fecha de presentación de la solicitud, señalan lo siguiente:</w:t>
      </w:r>
    </w:p>
    <w:p w14:paraId="6C84B194"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 xml:space="preserve"> “Quincuagésimo. </w:t>
      </w:r>
      <w:r w:rsidRPr="00391B52">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99D7640" w14:textId="77777777" w:rsidR="00395935" w:rsidRPr="00391B52" w:rsidRDefault="00F629A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 xml:space="preserve">Quincuagésimo primero. </w:t>
      </w:r>
      <w:r w:rsidRPr="00391B52">
        <w:rPr>
          <w:rFonts w:ascii="Palatino Linotype" w:eastAsia="Palatino Linotype" w:hAnsi="Palatino Linotype" w:cs="Palatino Linotype"/>
          <w:i/>
          <w:sz w:val="22"/>
          <w:szCs w:val="22"/>
        </w:rPr>
        <w:t xml:space="preserve">Toda acta del Comité de Transparencia deberá contener: </w:t>
      </w:r>
    </w:p>
    <w:p w14:paraId="68CE35E9" w14:textId="77777777" w:rsidR="00395935" w:rsidRPr="00391B52" w:rsidRDefault="00F629A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w:t>
      </w:r>
      <w:r w:rsidRPr="00391B52">
        <w:rPr>
          <w:rFonts w:ascii="Palatino Linotype" w:eastAsia="Palatino Linotype" w:hAnsi="Palatino Linotype" w:cs="Palatino Linotype"/>
          <w:i/>
          <w:sz w:val="22"/>
          <w:szCs w:val="22"/>
        </w:rPr>
        <w:t xml:space="preserve"> El número de sesión y fecha; </w:t>
      </w:r>
    </w:p>
    <w:p w14:paraId="49F7227B" w14:textId="77777777" w:rsidR="00395935" w:rsidRPr="00391B52" w:rsidRDefault="00F629A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II</w:t>
      </w:r>
      <w:r w:rsidRPr="00391B52">
        <w:rPr>
          <w:rFonts w:ascii="Palatino Linotype" w:eastAsia="Palatino Linotype" w:hAnsi="Palatino Linotype" w:cs="Palatino Linotype"/>
          <w:i/>
          <w:sz w:val="22"/>
          <w:szCs w:val="22"/>
        </w:rPr>
        <w:t xml:space="preserve">. El nombre del área que solicitó la clasificación de información; </w:t>
      </w:r>
    </w:p>
    <w:p w14:paraId="28F2A5AC" w14:textId="77777777" w:rsidR="00395935" w:rsidRPr="00391B52" w:rsidRDefault="00F629A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III</w:t>
      </w:r>
      <w:r w:rsidRPr="00391B52">
        <w:rPr>
          <w:rFonts w:ascii="Palatino Linotype" w:eastAsia="Palatino Linotype" w:hAnsi="Palatino Linotype" w:cs="Palatino Linotype"/>
          <w:i/>
          <w:sz w:val="22"/>
          <w:szCs w:val="22"/>
        </w:rPr>
        <w:t xml:space="preserve">. La fundamentación legal y motivación correspondiente; </w:t>
      </w:r>
    </w:p>
    <w:p w14:paraId="7FCA7AEB" w14:textId="77777777" w:rsidR="00395935" w:rsidRPr="00391B52" w:rsidRDefault="00F629A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IV</w:t>
      </w:r>
      <w:r w:rsidRPr="00391B52">
        <w:rPr>
          <w:rFonts w:ascii="Palatino Linotype" w:eastAsia="Palatino Linotype" w:hAnsi="Palatino Linotype" w:cs="Palatino Linotype"/>
          <w:i/>
          <w:sz w:val="22"/>
          <w:szCs w:val="22"/>
        </w:rPr>
        <w:t xml:space="preserve">. La resolución o resoluciones aprobadas; y </w:t>
      </w:r>
    </w:p>
    <w:p w14:paraId="15DA757F" w14:textId="77777777" w:rsidR="00395935" w:rsidRPr="00391B52" w:rsidRDefault="00F629A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V</w:t>
      </w:r>
      <w:r w:rsidRPr="00391B52">
        <w:rPr>
          <w:rFonts w:ascii="Palatino Linotype" w:eastAsia="Palatino Linotype" w:hAnsi="Palatino Linotype" w:cs="Palatino Linotype"/>
          <w:i/>
          <w:sz w:val="22"/>
          <w:szCs w:val="22"/>
        </w:rPr>
        <w:t xml:space="preserve">. La rúbrica o firma digital de cada integrante del Comité de Transparencia. </w:t>
      </w:r>
    </w:p>
    <w:p w14:paraId="78DA40CE" w14:textId="77777777" w:rsidR="00395935" w:rsidRPr="00391B52" w:rsidRDefault="00F629A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7F51D76" w14:textId="77777777" w:rsidR="00395935" w:rsidRPr="00391B52" w:rsidRDefault="00F629A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w:t>
      </w:r>
      <w:r w:rsidRPr="00391B52">
        <w:rPr>
          <w:rFonts w:ascii="Palatino Linotype" w:eastAsia="Palatino Linotype" w:hAnsi="Palatino Linotype" w:cs="Palatino Linotype"/>
          <w:i/>
          <w:sz w:val="22"/>
          <w:szCs w:val="22"/>
        </w:rPr>
        <w:t xml:space="preserve"> Los motivos y razonamientos que sustenten la confirmación o modificación de la prueba de daño;</w:t>
      </w:r>
    </w:p>
    <w:p w14:paraId="4178372C" w14:textId="77777777" w:rsidR="00395935" w:rsidRPr="00391B52" w:rsidRDefault="00F629A7">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391B52">
        <w:rPr>
          <w:rFonts w:ascii="Palatino Linotype" w:eastAsia="Palatino Linotype" w:hAnsi="Palatino Linotype" w:cs="Palatino Linotype"/>
          <w:b/>
          <w:i/>
          <w:sz w:val="22"/>
          <w:szCs w:val="22"/>
        </w:rPr>
        <w:t>II</w:t>
      </w:r>
      <w:r w:rsidRPr="00391B52">
        <w:rPr>
          <w:rFonts w:ascii="Palatino Linotype" w:eastAsia="Palatino Linotype" w:hAnsi="Palatino Linotype" w:cs="Palatino Linotype"/>
          <w:i/>
          <w:sz w:val="22"/>
          <w:szCs w:val="22"/>
        </w:rPr>
        <w:t>. Descripción de las partes o secciones reservadas, en caso de clasificación parcial</w:t>
      </w:r>
      <w:r w:rsidRPr="00391B52">
        <w:rPr>
          <w:rFonts w:ascii="Palatino Linotype" w:eastAsia="Palatino Linotype" w:hAnsi="Palatino Linotype" w:cs="Palatino Linotype"/>
          <w:b/>
          <w:i/>
          <w:sz w:val="22"/>
          <w:szCs w:val="22"/>
        </w:rPr>
        <w:t xml:space="preserve">; </w:t>
      </w:r>
    </w:p>
    <w:p w14:paraId="3BE95DC3" w14:textId="77777777" w:rsidR="00395935" w:rsidRPr="00391B52" w:rsidRDefault="00F629A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III.</w:t>
      </w:r>
      <w:r w:rsidRPr="00391B52">
        <w:rPr>
          <w:rFonts w:ascii="Palatino Linotype" w:eastAsia="Palatino Linotype" w:hAnsi="Palatino Linotype" w:cs="Palatino Linotype"/>
          <w:i/>
          <w:sz w:val="22"/>
          <w:szCs w:val="22"/>
        </w:rPr>
        <w:t xml:space="preserve"> El periodo por el que mantendrá su clasificación y fecha de expiración; y </w:t>
      </w:r>
    </w:p>
    <w:p w14:paraId="02BEE653" w14:textId="77777777" w:rsidR="00395935" w:rsidRPr="00391B52" w:rsidRDefault="00F629A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IV.</w:t>
      </w:r>
      <w:r w:rsidRPr="00391B52">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096A184" w14:textId="77777777" w:rsidR="00395935" w:rsidRPr="00391B52" w:rsidRDefault="00F629A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DBF3AF7" w14:textId="77777777" w:rsidR="00395935" w:rsidRPr="00391B52" w:rsidRDefault="00F629A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C4609CC" w14:textId="77777777" w:rsidR="00395935" w:rsidRPr="00391B52" w:rsidRDefault="00F629A7">
      <w:pPr>
        <w:spacing w:before="240" w:after="240"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Para la elaboración de las versiones públicas, además, se deberán observar las formalidades establecidas en los Lineamientos Quincuagésimo segundo, Quincuagésimo cuarto, </w:t>
      </w:r>
      <w:r w:rsidRPr="00391B52">
        <w:rPr>
          <w:rFonts w:ascii="Palatino Linotype" w:eastAsia="Palatino Linotype" w:hAnsi="Palatino Linotype" w:cs="Palatino Linotype"/>
          <w:sz w:val="22"/>
          <w:szCs w:val="22"/>
        </w:rPr>
        <w:lastRenderedPageBreak/>
        <w:t>Quincuagésimo quinto, Quincuagésimo séptimo y Quincuagésimo octavo, que establecen lo siguiente:</w:t>
      </w:r>
    </w:p>
    <w:p w14:paraId="75F29872" w14:textId="77777777" w:rsidR="00395935" w:rsidRPr="00391B52" w:rsidRDefault="00F629A7">
      <w:pPr>
        <w:spacing w:before="120" w:after="120"/>
        <w:ind w:left="851" w:right="900"/>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r w:rsidRPr="00391B52">
        <w:rPr>
          <w:rFonts w:ascii="Palatino Linotype" w:eastAsia="Palatino Linotype" w:hAnsi="Palatino Linotype" w:cs="Palatino Linotype"/>
          <w:b/>
          <w:i/>
          <w:sz w:val="22"/>
          <w:szCs w:val="22"/>
        </w:rPr>
        <w:t>Quincuagésimo segundo</w:t>
      </w:r>
      <w:r w:rsidRPr="00391B52">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6CF363C" w14:textId="77777777" w:rsidR="00395935" w:rsidRPr="00391B52" w:rsidRDefault="00F629A7">
      <w:pPr>
        <w:spacing w:before="120" w:after="120"/>
        <w:ind w:left="851" w:right="900"/>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660A080" w14:textId="77777777" w:rsidR="00395935" w:rsidRPr="00391B52" w:rsidRDefault="00F629A7">
      <w:pPr>
        <w:spacing w:before="120" w:after="120"/>
        <w:ind w:left="1134" w:right="900"/>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w:t>
      </w:r>
      <w:r w:rsidRPr="00391B52">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3F9F5FD" w14:textId="77777777" w:rsidR="00395935" w:rsidRPr="00391B52" w:rsidRDefault="00F629A7">
      <w:pPr>
        <w:spacing w:before="120" w:after="120"/>
        <w:ind w:left="1134" w:right="900"/>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II.</w:t>
      </w:r>
      <w:r w:rsidRPr="00391B52">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75EBA2F" w14:textId="77777777" w:rsidR="00395935" w:rsidRPr="00391B52" w:rsidRDefault="00F629A7">
      <w:pPr>
        <w:spacing w:before="120" w:after="120"/>
        <w:ind w:left="1134" w:right="900"/>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III.</w:t>
      </w:r>
      <w:r w:rsidRPr="00391B52">
        <w:rPr>
          <w:rFonts w:ascii="Palatino Linotype" w:eastAsia="Palatino Linotype" w:hAnsi="Palatino Linotype" w:cs="Palatino Linotype"/>
          <w:i/>
          <w:sz w:val="22"/>
          <w:szCs w:val="22"/>
        </w:rPr>
        <w:t xml:space="preserve"> Señalar las personas o instancias autorizadas a acceder a la información clasificada.</w:t>
      </w:r>
    </w:p>
    <w:p w14:paraId="38197DA8" w14:textId="77777777" w:rsidR="00395935" w:rsidRPr="00391B52" w:rsidRDefault="00F629A7">
      <w:pPr>
        <w:spacing w:before="120" w:after="120"/>
        <w:ind w:left="851" w:right="900"/>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4F6750A" w14:textId="77777777" w:rsidR="00395935" w:rsidRPr="00391B52" w:rsidRDefault="00F629A7">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w:t>
      </w:r>
    </w:p>
    <w:p w14:paraId="3DF4E6C3" w14:textId="77777777" w:rsidR="00395935" w:rsidRPr="00391B52" w:rsidRDefault="00F629A7">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391B52">
        <w:rPr>
          <w:rFonts w:ascii="Palatino Linotype" w:eastAsia="Palatino Linotype" w:hAnsi="Palatino Linotype" w:cs="Palatino Linotype"/>
          <w:b/>
          <w:i/>
          <w:sz w:val="22"/>
          <w:szCs w:val="22"/>
        </w:rPr>
        <w:t xml:space="preserve">Quincuagésimo cuarto. </w:t>
      </w:r>
      <w:r w:rsidRPr="00391B52">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91B52">
        <w:rPr>
          <w:rFonts w:ascii="Palatino Linotype" w:eastAsia="Palatino Linotype" w:hAnsi="Palatino Linotype" w:cs="Palatino Linotype"/>
          <w:b/>
          <w:i/>
          <w:sz w:val="22"/>
          <w:szCs w:val="22"/>
        </w:rPr>
        <w:t xml:space="preserve"> </w:t>
      </w:r>
    </w:p>
    <w:p w14:paraId="7745906B"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 xml:space="preserve">Quincuagésimo quinto. </w:t>
      </w:r>
      <w:r w:rsidRPr="00391B52">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391B52">
        <w:rPr>
          <w:rFonts w:ascii="Palatino Linotype" w:eastAsia="Palatino Linotype" w:hAnsi="Palatino Linotype" w:cs="Palatino Linotype"/>
          <w:i/>
          <w:sz w:val="22"/>
          <w:szCs w:val="22"/>
        </w:rPr>
        <w:t>testado</w:t>
      </w:r>
      <w:proofErr w:type="spellEnd"/>
      <w:r w:rsidRPr="00391B52">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2C240F2" w14:textId="77777777" w:rsidR="00395935" w:rsidRPr="00391B52" w:rsidRDefault="00F629A7">
      <w:pPr>
        <w:spacing w:before="120" w:after="120"/>
        <w:ind w:left="851" w:right="902"/>
        <w:jc w:val="both"/>
        <w:rPr>
          <w:rFonts w:ascii="Palatino Linotype" w:eastAsia="Palatino Linotype" w:hAnsi="Palatino Linotype" w:cs="Palatino Linotype"/>
          <w:b/>
          <w:i/>
          <w:sz w:val="22"/>
          <w:szCs w:val="22"/>
        </w:rPr>
      </w:pPr>
      <w:r w:rsidRPr="00391B52">
        <w:rPr>
          <w:rFonts w:ascii="Palatino Linotype" w:eastAsia="Palatino Linotype" w:hAnsi="Palatino Linotype" w:cs="Palatino Linotype"/>
          <w:b/>
          <w:i/>
          <w:sz w:val="22"/>
          <w:szCs w:val="22"/>
        </w:rPr>
        <w:lastRenderedPageBreak/>
        <w:t>...</w:t>
      </w:r>
    </w:p>
    <w:p w14:paraId="3142694B"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Quincuagésimo séptimo</w:t>
      </w:r>
      <w:r w:rsidRPr="00391B5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BCE32DE" w14:textId="77777777" w:rsidR="00395935" w:rsidRPr="00391B52" w:rsidRDefault="00F629A7">
      <w:pP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w:t>
      </w:r>
      <w:r w:rsidRPr="00391B52">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0825993" w14:textId="77777777" w:rsidR="00395935" w:rsidRPr="00391B52" w:rsidRDefault="00F629A7">
      <w:pP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II.</w:t>
      </w:r>
      <w:r w:rsidRPr="00391B52">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3B31798" w14:textId="77777777" w:rsidR="00395935" w:rsidRPr="00391B52" w:rsidRDefault="00F629A7">
      <w:pPr>
        <w:spacing w:before="120" w:after="120"/>
        <w:ind w:left="1134"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III</w:t>
      </w:r>
      <w:r w:rsidRPr="00391B52">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89D0F17"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C58BC58" w14:textId="77777777" w:rsidR="00395935" w:rsidRPr="00391B52" w:rsidRDefault="00F629A7">
      <w:pPr>
        <w:spacing w:before="120" w:after="120"/>
        <w:ind w:left="851" w:right="902"/>
        <w:jc w:val="both"/>
        <w:rPr>
          <w:rFonts w:ascii="Palatino Linotype" w:eastAsia="Palatino Linotype" w:hAnsi="Palatino Linotype" w:cs="Palatino Linotype"/>
          <w:i/>
          <w:sz w:val="22"/>
          <w:szCs w:val="22"/>
        </w:rPr>
      </w:pPr>
      <w:r w:rsidRPr="00391B52">
        <w:rPr>
          <w:rFonts w:ascii="Palatino Linotype" w:eastAsia="Palatino Linotype" w:hAnsi="Palatino Linotype" w:cs="Palatino Linotype"/>
          <w:b/>
          <w:i/>
          <w:sz w:val="22"/>
          <w:szCs w:val="22"/>
        </w:rPr>
        <w:t>Quincuagésimo octavo</w:t>
      </w:r>
      <w:r w:rsidRPr="00391B52">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733E77BF" w14:textId="77777777" w:rsidR="00395935" w:rsidRPr="00391B52"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E84DD49" w14:textId="77777777" w:rsidR="00395935" w:rsidRPr="00391B52" w:rsidRDefault="00395935">
      <w:pPr>
        <w:spacing w:line="360" w:lineRule="auto"/>
        <w:ind w:right="51"/>
        <w:jc w:val="both"/>
        <w:rPr>
          <w:rFonts w:ascii="Palatino Linotype" w:eastAsia="Palatino Linotype" w:hAnsi="Palatino Linotype" w:cs="Palatino Linotype"/>
          <w:sz w:val="22"/>
          <w:szCs w:val="22"/>
        </w:rPr>
      </w:pPr>
    </w:p>
    <w:p w14:paraId="0A2A1FF3" w14:textId="77777777" w:rsidR="00395935" w:rsidRPr="00391B52" w:rsidRDefault="00F629A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lastRenderedPageBreak/>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0D186C5F" w14:textId="77777777" w:rsidR="00395935" w:rsidRPr="00391B52" w:rsidRDefault="00395935">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D0229BC" w14:textId="77777777" w:rsidR="00395935" w:rsidRPr="00391B52" w:rsidRDefault="00F629A7">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391B52">
        <w:rPr>
          <w:rFonts w:ascii="Palatino Linotype" w:eastAsia="Palatino Linotype" w:hAnsi="Palatino Linotype" w:cs="Palatino Linotype"/>
          <w:b/>
          <w:sz w:val="22"/>
          <w:szCs w:val="22"/>
        </w:rPr>
        <w:t>III. R E S U E L V E</w:t>
      </w:r>
    </w:p>
    <w:p w14:paraId="57081E76" w14:textId="77777777" w:rsidR="00395935" w:rsidRPr="00391B52" w:rsidRDefault="00395935">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6D8576CC" w14:textId="77777777" w:rsidR="00395935" w:rsidRPr="00391B52" w:rsidRDefault="00F629A7">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391B52">
        <w:rPr>
          <w:rFonts w:ascii="Palatino Linotype" w:eastAsia="Palatino Linotype" w:hAnsi="Palatino Linotype" w:cs="Palatino Linotype"/>
          <w:b/>
          <w:sz w:val="22"/>
          <w:szCs w:val="22"/>
        </w:rPr>
        <w:t xml:space="preserve">Primero. </w:t>
      </w:r>
      <w:r w:rsidRPr="00391B52">
        <w:rPr>
          <w:rFonts w:ascii="Palatino Linotype" w:eastAsia="Palatino Linotype" w:hAnsi="Palatino Linotype" w:cs="Palatino Linotype"/>
          <w:sz w:val="22"/>
          <w:szCs w:val="22"/>
        </w:rPr>
        <w:t xml:space="preserve">Resultan </w:t>
      </w:r>
      <w:r w:rsidRPr="00391B52">
        <w:rPr>
          <w:rFonts w:ascii="Palatino Linotype" w:eastAsia="Palatino Linotype" w:hAnsi="Palatino Linotype" w:cs="Palatino Linotype"/>
          <w:b/>
          <w:sz w:val="22"/>
          <w:szCs w:val="22"/>
        </w:rPr>
        <w:t>fundadas</w:t>
      </w:r>
      <w:r w:rsidRPr="00391B52">
        <w:rPr>
          <w:rFonts w:ascii="Palatino Linotype" w:eastAsia="Palatino Linotype" w:hAnsi="Palatino Linotype" w:cs="Palatino Linotype"/>
          <w:sz w:val="22"/>
          <w:szCs w:val="22"/>
        </w:rPr>
        <w:t xml:space="preserve"> las razones o motivos de inconformidad hechos valer por la parte</w:t>
      </w:r>
      <w:r w:rsidRPr="00391B52">
        <w:rPr>
          <w:rFonts w:ascii="Palatino Linotype" w:eastAsia="Palatino Linotype" w:hAnsi="Palatino Linotype" w:cs="Palatino Linotype"/>
          <w:b/>
          <w:sz w:val="22"/>
          <w:szCs w:val="22"/>
        </w:rPr>
        <w:t xml:space="preserve"> Recurrente</w:t>
      </w:r>
      <w:r w:rsidRPr="00391B52">
        <w:rPr>
          <w:rFonts w:ascii="Palatino Linotype" w:eastAsia="Palatino Linotype" w:hAnsi="Palatino Linotype" w:cs="Palatino Linotype"/>
          <w:sz w:val="22"/>
          <w:szCs w:val="22"/>
        </w:rPr>
        <w:t xml:space="preserve"> en el recurso de revisión </w:t>
      </w:r>
      <w:r w:rsidRPr="00391B52">
        <w:rPr>
          <w:rFonts w:ascii="Palatino Linotype" w:eastAsia="Palatino Linotype" w:hAnsi="Palatino Linotype" w:cs="Palatino Linotype"/>
          <w:b/>
          <w:sz w:val="22"/>
          <w:szCs w:val="22"/>
        </w:rPr>
        <w:t>04799/INFOEM/IP/RR/2025</w:t>
      </w:r>
      <w:r w:rsidRPr="00391B52">
        <w:rPr>
          <w:rFonts w:ascii="Palatino Linotype" w:eastAsia="Palatino Linotype" w:hAnsi="Palatino Linotype" w:cs="Palatino Linotype"/>
          <w:sz w:val="22"/>
          <w:szCs w:val="22"/>
        </w:rPr>
        <w:t xml:space="preserve">; por lo que, en términos del </w:t>
      </w:r>
      <w:r w:rsidRPr="00391B52">
        <w:rPr>
          <w:rFonts w:ascii="Palatino Linotype" w:eastAsia="Palatino Linotype" w:hAnsi="Palatino Linotype" w:cs="Palatino Linotype"/>
          <w:b/>
          <w:sz w:val="22"/>
          <w:szCs w:val="22"/>
        </w:rPr>
        <w:t>Considerando</w:t>
      </w:r>
      <w:r w:rsidRPr="00391B52">
        <w:rPr>
          <w:rFonts w:ascii="Palatino Linotype" w:eastAsia="Palatino Linotype" w:hAnsi="Palatino Linotype" w:cs="Palatino Linotype"/>
          <w:sz w:val="22"/>
          <w:szCs w:val="22"/>
        </w:rPr>
        <w:t xml:space="preserve"> </w:t>
      </w:r>
      <w:r w:rsidRPr="00391B52">
        <w:rPr>
          <w:rFonts w:ascii="Palatino Linotype" w:eastAsia="Palatino Linotype" w:hAnsi="Palatino Linotype" w:cs="Palatino Linotype"/>
          <w:b/>
          <w:sz w:val="22"/>
          <w:szCs w:val="22"/>
        </w:rPr>
        <w:t xml:space="preserve">Cuarto </w:t>
      </w:r>
      <w:r w:rsidRPr="00391B52">
        <w:rPr>
          <w:rFonts w:ascii="Palatino Linotype" w:eastAsia="Palatino Linotype" w:hAnsi="Palatino Linotype" w:cs="Palatino Linotype"/>
          <w:sz w:val="22"/>
          <w:szCs w:val="22"/>
        </w:rPr>
        <w:t xml:space="preserve">de esta resolución, se </w:t>
      </w:r>
      <w:r w:rsidRPr="00391B52">
        <w:rPr>
          <w:rFonts w:ascii="Palatino Linotype" w:eastAsia="Palatino Linotype" w:hAnsi="Palatino Linotype" w:cs="Palatino Linotype"/>
          <w:b/>
          <w:sz w:val="22"/>
          <w:szCs w:val="22"/>
        </w:rPr>
        <w:t xml:space="preserve">Revoca </w:t>
      </w:r>
      <w:r w:rsidRPr="00391B52">
        <w:rPr>
          <w:rFonts w:ascii="Palatino Linotype" w:eastAsia="Palatino Linotype" w:hAnsi="Palatino Linotype" w:cs="Palatino Linotype"/>
          <w:sz w:val="22"/>
          <w:szCs w:val="22"/>
        </w:rPr>
        <w:t xml:space="preserve">la respuesta emitida por el </w:t>
      </w:r>
      <w:r w:rsidRPr="00391B52">
        <w:rPr>
          <w:rFonts w:ascii="Palatino Linotype" w:eastAsia="Palatino Linotype" w:hAnsi="Palatino Linotype" w:cs="Palatino Linotype"/>
          <w:b/>
          <w:sz w:val="22"/>
          <w:szCs w:val="22"/>
        </w:rPr>
        <w:t>Sujeto Obligado.</w:t>
      </w:r>
    </w:p>
    <w:p w14:paraId="342B5976" w14:textId="77777777" w:rsidR="00395935" w:rsidRPr="00391B52" w:rsidRDefault="00395935">
      <w:pPr>
        <w:spacing w:line="360" w:lineRule="auto"/>
        <w:jc w:val="both"/>
        <w:rPr>
          <w:rFonts w:ascii="Palatino Linotype" w:eastAsia="Palatino Linotype" w:hAnsi="Palatino Linotype" w:cs="Palatino Linotype"/>
          <w:b/>
          <w:sz w:val="22"/>
          <w:szCs w:val="22"/>
        </w:rPr>
      </w:pPr>
    </w:p>
    <w:p w14:paraId="7E13C653" w14:textId="77777777" w:rsidR="00395935" w:rsidRPr="00391B52" w:rsidRDefault="00F629A7">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391B52">
        <w:rPr>
          <w:rFonts w:ascii="Palatino Linotype" w:eastAsia="Palatino Linotype" w:hAnsi="Palatino Linotype" w:cs="Palatino Linotype"/>
          <w:b/>
          <w:sz w:val="22"/>
          <w:szCs w:val="22"/>
        </w:rPr>
        <w:t xml:space="preserve">Segundo. </w:t>
      </w:r>
      <w:r w:rsidRPr="00391B52">
        <w:rPr>
          <w:rFonts w:ascii="Palatino Linotype" w:eastAsia="Palatino Linotype" w:hAnsi="Palatino Linotype" w:cs="Palatino Linotype"/>
          <w:sz w:val="22"/>
          <w:szCs w:val="22"/>
        </w:rPr>
        <w:t xml:space="preserve">Se </w:t>
      </w:r>
      <w:r w:rsidRPr="00391B52">
        <w:rPr>
          <w:rFonts w:ascii="Palatino Linotype" w:eastAsia="Palatino Linotype" w:hAnsi="Palatino Linotype" w:cs="Palatino Linotype"/>
          <w:b/>
          <w:sz w:val="22"/>
          <w:szCs w:val="22"/>
        </w:rPr>
        <w:t>Ordena</w:t>
      </w:r>
      <w:r w:rsidRPr="00391B52">
        <w:rPr>
          <w:rFonts w:ascii="Palatino Linotype" w:eastAsia="Palatino Linotype" w:hAnsi="Palatino Linotype" w:cs="Palatino Linotype"/>
          <w:sz w:val="22"/>
          <w:szCs w:val="22"/>
        </w:rPr>
        <w:t xml:space="preserve"> al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xml:space="preserve">, en términos de los considerandos </w:t>
      </w:r>
      <w:r w:rsidRPr="00391B52">
        <w:rPr>
          <w:rFonts w:ascii="Palatino Linotype" w:eastAsia="Palatino Linotype" w:hAnsi="Palatino Linotype" w:cs="Palatino Linotype"/>
          <w:b/>
          <w:sz w:val="22"/>
          <w:szCs w:val="22"/>
        </w:rPr>
        <w:t xml:space="preserve">Cuarto y Quinto </w:t>
      </w:r>
      <w:r w:rsidRPr="00391B52">
        <w:rPr>
          <w:rFonts w:ascii="Palatino Linotype" w:eastAsia="Palatino Linotype" w:hAnsi="Palatino Linotype" w:cs="Palatino Linotype"/>
          <w:sz w:val="22"/>
          <w:szCs w:val="22"/>
        </w:rPr>
        <w:t xml:space="preserve">de esta resolución, </w:t>
      </w:r>
      <w:r w:rsidRPr="00391B52">
        <w:rPr>
          <w:rFonts w:ascii="Palatino Linotype" w:eastAsia="Palatino Linotype" w:hAnsi="Palatino Linotype" w:cs="Palatino Linotype"/>
          <w:b/>
          <w:sz w:val="22"/>
          <w:szCs w:val="22"/>
        </w:rPr>
        <w:t xml:space="preserve">haga entrega vía Sistema de Acceso a la Información Mexiquense (SAIMEX), </w:t>
      </w:r>
      <w:r w:rsidRPr="00391B52">
        <w:rPr>
          <w:rFonts w:ascii="Palatino Linotype" w:eastAsia="Palatino Linotype" w:hAnsi="Palatino Linotype" w:cs="Palatino Linotype"/>
          <w:sz w:val="22"/>
          <w:szCs w:val="22"/>
        </w:rPr>
        <w:t>previa búsqueda exhaustiva y razonable, de ser procedente en versión pública, lo siguiente:</w:t>
      </w:r>
    </w:p>
    <w:p w14:paraId="57AC62C6" w14:textId="77777777" w:rsidR="00395935" w:rsidRPr="00391B52" w:rsidRDefault="00395935">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0B563341" w14:textId="77777777" w:rsidR="00395935" w:rsidRPr="00391B52" w:rsidRDefault="00F629A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bookmarkStart w:id="14" w:name="_heading=h.ct2c53xi3ri0" w:colFirst="0" w:colLast="0"/>
      <w:bookmarkEnd w:id="14"/>
      <w:r w:rsidRPr="00391B52">
        <w:rPr>
          <w:rFonts w:ascii="Palatino Linotype" w:eastAsia="Palatino Linotype" w:hAnsi="Palatino Linotype" w:cs="Palatino Linotype"/>
          <w:b/>
          <w:sz w:val="22"/>
          <w:szCs w:val="22"/>
        </w:rPr>
        <w:t>Los comprobantes de la dispersión de la nómina de la segunda quincena de marzo de dos mil veinticinco.</w:t>
      </w:r>
    </w:p>
    <w:p w14:paraId="04F8F89E" w14:textId="77777777" w:rsidR="00395935" w:rsidRPr="00391B52" w:rsidRDefault="00F629A7">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391B52">
        <w:rPr>
          <w:rFonts w:ascii="Palatino Linotype" w:eastAsia="Palatino Linotype" w:hAnsi="Palatino Linotype" w:cs="Palatino Linotype"/>
          <w:b/>
          <w:i/>
          <w:sz w:val="22"/>
          <w:szCs w:val="22"/>
        </w:rPr>
        <w:t>Recurrente</w:t>
      </w:r>
      <w:r w:rsidRPr="00391B52">
        <w:rPr>
          <w:rFonts w:ascii="Palatino Linotype" w:eastAsia="Palatino Linotype" w:hAnsi="Palatino Linotype" w:cs="Palatino Linotype"/>
          <w:i/>
          <w:sz w:val="22"/>
          <w:szCs w:val="22"/>
        </w:rPr>
        <w:t>, mismo que igualmente hará de su conocimiento.</w:t>
      </w:r>
      <w:r w:rsidRPr="00391B52">
        <w:rPr>
          <w:rFonts w:ascii="Palatino Linotype" w:eastAsia="Palatino Linotype" w:hAnsi="Palatino Linotype" w:cs="Palatino Linotype"/>
          <w:sz w:val="22"/>
          <w:szCs w:val="22"/>
        </w:rPr>
        <w:t xml:space="preserve"> </w:t>
      </w:r>
    </w:p>
    <w:p w14:paraId="5E667B1F" w14:textId="77777777" w:rsidR="00395935" w:rsidRPr="00391B52" w:rsidRDefault="00395935">
      <w:pPr>
        <w:pBdr>
          <w:top w:val="nil"/>
          <w:left w:val="nil"/>
          <w:bottom w:val="nil"/>
          <w:right w:val="nil"/>
          <w:between w:val="nil"/>
        </w:pBdr>
        <w:spacing w:line="276" w:lineRule="auto"/>
        <w:ind w:left="360"/>
        <w:jc w:val="both"/>
        <w:rPr>
          <w:rFonts w:ascii="Palatino Linotype" w:eastAsia="Palatino Linotype" w:hAnsi="Palatino Linotype" w:cs="Palatino Linotype"/>
          <w:i/>
          <w:sz w:val="22"/>
          <w:szCs w:val="22"/>
        </w:rPr>
      </w:pPr>
    </w:p>
    <w:p w14:paraId="1C8E372B" w14:textId="77777777" w:rsidR="00395935" w:rsidRPr="00391B52" w:rsidRDefault="00F629A7">
      <w:pPr>
        <w:spacing w:line="360" w:lineRule="auto"/>
        <w:jc w:val="both"/>
        <w:rPr>
          <w:rFonts w:ascii="Palatino Linotype" w:eastAsia="Palatino Linotype" w:hAnsi="Palatino Linotype" w:cs="Palatino Linotype"/>
          <w:sz w:val="22"/>
          <w:szCs w:val="22"/>
        </w:rPr>
      </w:pPr>
      <w:bookmarkStart w:id="15" w:name="_heading=h.59npxyxpomjd" w:colFirst="0" w:colLast="0"/>
      <w:bookmarkEnd w:id="15"/>
      <w:r w:rsidRPr="00391B52">
        <w:rPr>
          <w:rFonts w:ascii="Palatino Linotype" w:eastAsia="Palatino Linotype" w:hAnsi="Palatino Linotype" w:cs="Palatino Linotype"/>
          <w:b/>
          <w:sz w:val="22"/>
          <w:szCs w:val="22"/>
        </w:rPr>
        <w:lastRenderedPageBreak/>
        <w:t xml:space="preserve">Tercero. Notifíquese, </w:t>
      </w:r>
      <w:r w:rsidRPr="00391B52">
        <w:rPr>
          <w:rFonts w:ascii="Palatino Linotype" w:eastAsia="Palatino Linotype" w:hAnsi="Palatino Linotype" w:cs="Palatino Linotype"/>
          <w:sz w:val="22"/>
          <w:szCs w:val="22"/>
        </w:rPr>
        <w:t xml:space="preserve">vía </w:t>
      </w:r>
      <w:r w:rsidRPr="00391B52">
        <w:rPr>
          <w:rFonts w:ascii="Palatino Linotype" w:eastAsia="Palatino Linotype" w:hAnsi="Palatino Linotype" w:cs="Palatino Linotype"/>
          <w:b/>
          <w:sz w:val="22"/>
          <w:szCs w:val="22"/>
        </w:rPr>
        <w:t>SAIMEX</w:t>
      </w:r>
      <w:r w:rsidRPr="00391B52">
        <w:rPr>
          <w:rFonts w:ascii="Palatino Linotype" w:eastAsia="Palatino Linotype" w:hAnsi="Palatino Linotype" w:cs="Palatino Linotype"/>
          <w:sz w:val="22"/>
          <w:szCs w:val="22"/>
        </w:rPr>
        <w:t xml:space="preserve">, al Titular de la Unidad de Transparencia del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E73D79"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402DFE0F" w14:textId="77777777" w:rsidR="00395935" w:rsidRPr="00391B52" w:rsidRDefault="00F629A7">
      <w:pPr>
        <w:spacing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t>Cuarto.</w:t>
      </w:r>
      <w:r w:rsidRPr="00391B52">
        <w:rPr>
          <w:rFonts w:ascii="Palatino Linotype" w:eastAsia="Palatino Linotype" w:hAnsi="Palatino Linotype" w:cs="Palatino Linotype"/>
          <w:sz w:val="22"/>
          <w:szCs w:val="22"/>
        </w:rPr>
        <w:t xml:space="preserve"> </w:t>
      </w:r>
      <w:r w:rsidRPr="00391B52">
        <w:rPr>
          <w:rFonts w:ascii="Palatino Linotype" w:eastAsia="Palatino Linotype" w:hAnsi="Palatino Linotype" w:cs="Palatino Linotype"/>
          <w:b/>
          <w:sz w:val="22"/>
          <w:szCs w:val="22"/>
        </w:rPr>
        <w:t xml:space="preserve">Notifíquese, </w:t>
      </w:r>
      <w:r w:rsidRPr="00391B52">
        <w:rPr>
          <w:rFonts w:ascii="Palatino Linotype" w:eastAsia="Palatino Linotype" w:hAnsi="Palatino Linotype" w:cs="Palatino Linotype"/>
          <w:sz w:val="22"/>
          <w:szCs w:val="22"/>
        </w:rPr>
        <w:t xml:space="preserve">vía </w:t>
      </w:r>
      <w:r w:rsidRPr="00391B52">
        <w:rPr>
          <w:rFonts w:ascii="Palatino Linotype" w:eastAsia="Palatino Linotype" w:hAnsi="Palatino Linotype" w:cs="Palatino Linotype"/>
          <w:b/>
          <w:sz w:val="22"/>
          <w:szCs w:val="22"/>
        </w:rPr>
        <w:t>SAIMEX</w:t>
      </w:r>
      <w:r w:rsidRPr="00391B52">
        <w:rPr>
          <w:rFonts w:ascii="Palatino Linotype" w:eastAsia="Palatino Linotype" w:hAnsi="Palatino Linotype" w:cs="Palatino Linotype"/>
          <w:sz w:val="22"/>
          <w:szCs w:val="22"/>
        </w:rPr>
        <w:t xml:space="preserve">, al Titular de la Unidad de Transparencia del </w:t>
      </w:r>
      <w:r w:rsidRPr="00391B52">
        <w:rPr>
          <w:rFonts w:ascii="Palatino Linotype" w:eastAsia="Palatino Linotype" w:hAnsi="Palatino Linotype" w:cs="Palatino Linotype"/>
          <w:b/>
          <w:sz w:val="22"/>
          <w:szCs w:val="22"/>
        </w:rPr>
        <w:t>Sujeto Obligado,</w:t>
      </w:r>
      <w:r w:rsidRPr="00391B52">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3F785AA5" w14:textId="77777777" w:rsidR="00395935" w:rsidRPr="00391B52" w:rsidRDefault="00395935">
      <w:pPr>
        <w:spacing w:line="360" w:lineRule="auto"/>
        <w:ind w:right="49"/>
        <w:jc w:val="both"/>
        <w:rPr>
          <w:rFonts w:ascii="Palatino Linotype" w:eastAsia="Palatino Linotype" w:hAnsi="Palatino Linotype" w:cs="Palatino Linotype"/>
          <w:sz w:val="22"/>
          <w:szCs w:val="22"/>
        </w:rPr>
      </w:pPr>
    </w:p>
    <w:p w14:paraId="073A3394" w14:textId="77777777" w:rsidR="00395935" w:rsidRPr="00391B52" w:rsidRDefault="00F629A7">
      <w:pPr>
        <w:spacing w:line="360" w:lineRule="auto"/>
        <w:ind w:right="49"/>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b/>
          <w:sz w:val="22"/>
          <w:szCs w:val="22"/>
        </w:rPr>
        <w:t xml:space="preserve">Quinto. Notifíquese vía SAIMEX, </w:t>
      </w:r>
      <w:r w:rsidRPr="00391B52">
        <w:rPr>
          <w:rFonts w:ascii="Palatino Linotype" w:eastAsia="Palatino Linotype" w:hAnsi="Palatino Linotype" w:cs="Palatino Linotype"/>
          <w:sz w:val="22"/>
          <w:szCs w:val="22"/>
        </w:rPr>
        <w:t xml:space="preserve">la presente resolución a la parte </w:t>
      </w:r>
      <w:r w:rsidRPr="00391B52">
        <w:rPr>
          <w:rFonts w:ascii="Palatino Linotype" w:eastAsia="Palatino Linotype" w:hAnsi="Palatino Linotype" w:cs="Palatino Linotype"/>
          <w:b/>
          <w:sz w:val="22"/>
          <w:szCs w:val="22"/>
        </w:rPr>
        <w:t>Recurrente</w:t>
      </w:r>
      <w:r w:rsidRPr="00391B52">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ED95AC1" w14:textId="77777777" w:rsidR="00395935" w:rsidRPr="00391B52" w:rsidRDefault="00395935">
      <w:pPr>
        <w:spacing w:line="360" w:lineRule="auto"/>
        <w:jc w:val="both"/>
        <w:rPr>
          <w:rFonts w:ascii="Palatino Linotype" w:eastAsia="Palatino Linotype" w:hAnsi="Palatino Linotype" w:cs="Palatino Linotype"/>
          <w:sz w:val="22"/>
          <w:szCs w:val="22"/>
        </w:rPr>
      </w:pPr>
    </w:p>
    <w:p w14:paraId="537B7B79" w14:textId="5C9340B2" w:rsidR="00395935" w:rsidRPr="00550AD6" w:rsidRDefault="00F629A7">
      <w:pPr>
        <w:spacing w:line="360" w:lineRule="auto"/>
        <w:jc w:val="both"/>
        <w:rPr>
          <w:rFonts w:ascii="Palatino Linotype" w:eastAsia="Palatino Linotype" w:hAnsi="Palatino Linotype" w:cs="Palatino Linotype"/>
          <w:sz w:val="22"/>
          <w:szCs w:val="22"/>
        </w:rPr>
      </w:pPr>
      <w:r w:rsidRPr="00391B5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391B52">
        <w:rPr>
          <w:rFonts w:ascii="Palatino Linotype" w:eastAsia="Palatino Linotype" w:hAnsi="Palatino Linotype" w:cs="Palatino Linotype"/>
          <w:sz w:val="22"/>
          <w:szCs w:val="22"/>
        </w:rPr>
        <w:lastRenderedPageBreak/>
        <w:t>AYALA, SHARON CRISTINA MORALES MARTÍNEZ, LUIS GUSTAVO PARRA NORIEGA</w:t>
      </w:r>
      <w:r w:rsidR="00550AD6" w:rsidRPr="00391B52">
        <w:rPr>
          <w:rFonts w:ascii="Palatino Linotype" w:eastAsia="Palatino Linotype" w:hAnsi="Palatino Linotype" w:cs="Palatino Linotype"/>
          <w:sz w:val="22"/>
          <w:szCs w:val="22"/>
        </w:rPr>
        <w:t>, EMITIENDO VOTO PARTICULAR</w:t>
      </w:r>
      <w:r w:rsidRPr="00391B52">
        <w:rPr>
          <w:rFonts w:ascii="Palatino Linotype" w:eastAsia="Palatino Linotype" w:hAnsi="Palatino Linotype" w:cs="Palatino Linotype"/>
          <w:sz w:val="22"/>
          <w:szCs w:val="22"/>
        </w:rPr>
        <w:t xml:space="preserve"> Y GUADALUPE RAMÍREZ PEÑA</w:t>
      </w:r>
      <w:r w:rsidR="00550AD6" w:rsidRPr="00391B52">
        <w:rPr>
          <w:rFonts w:ascii="Palatino Linotype" w:eastAsia="Palatino Linotype" w:hAnsi="Palatino Linotype" w:cs="Palatino Linotype"/>
          <w:sz w:val="22"/>
          <w:szCs w:val="22"/>
        </w:rPr>
        <w:t>, EMITIENDO VOTO PARTICULAR</w:t>
      </w:r>
      <w:r w:rsidRPr="00391B52">
        <w:rPr>
          <w:rFonts w:ascii="Palatino Linotype" w:eastAsia="Palatino Linotype" w:hAnsi="Palatino Linotype" w:cs="Palatino Linotype"/>
          <w:sz w:val="22"/>
          <w:szCs w:val="22"/>
        </w:rPr>
        <w:t>; EN LA VIGÉSIMA SEXTA SESIÓN ORDINARIA, CELEBRADA EL DIECISEIS DE JULIO DE DOS MIL VEINTICINCO, ANTE EL SECRETARIO TÉCNICO DEL PLENO ALEXIS TAPIA RAMÍREZ.</w:t>
      </w:r>
      <w:r w:rsidRPr="00550AD6">
        <w:rPr>
          <w:rFonts w:ascii="Palatino Linotype" w:eastAsia="Palatino Linotype" w:hAnsi="Palatino Linotype" w:cs="Palatino Linotype"/>
          <w:sz w:val="22"/>
          <w:szCs w:val="22"/>
        </w:rPr>
        <w:t xml:space="preserve"> </w:t>
      </w:r>
    </w:p>
    <w:p w14:paraId="433CB73C" w14:textId="77777777" w:rsidR="00395935" w:rsidRPr="00550AD6" w:rsidRDefault="00F629A7">
      <w:pPr>
        <w:spacing w:line="360" w:lineRule="auto"/>
        <w:jc w:val="both"/>
        <w:rPr>
          <w:rFonts w:ascii="Palatino Linotype" w:eastAsia="Palatino Linotype" w:hAnsi="Palatino Linotype" w:cs="Palatino Linotype"/>
          <w:sz w:val="22"/>
          <w:szCs w:val="22"/>
        </w:rPr>
      </w:pPr>
      <w:r w:rsidRPr="00550AD6">
        <w:rPr>
          <w:rFonts w:ascii="Palatino Linotype" w:eastAsia="Palatino Linotype" w:hAnsi="Palatino Linotype" w:cs="Palatino Linotype"/>
          <w:sz w:val="22"/>
          <w:szCs w:val="22"/>
        </w:rPr>
        <w:t xml:space="preserve"> </w:t>
      </w:r>
    </w:p>
    <w:p w14:paraId="0B4E5051" w14:textId="77777777" w:rsidR="00395935" w:rsidRPr="00550AD6" w:rsidRDefault="00395935">
      <w:pPr>
        <w:rPr>
          <w:rFonts w:ascii="Palatino Linotype" w:eastAsia="Palatino Linotype" w:hAnsi="Palatino Linotype" w:cs="Palatino Linotype"/>
          <w:sz w:val="22"/>
          <w:szCs w:val="22"/>
        </w:rPr>
      </w:pPr>
      <w:bookmarkStart w:id="16" w:name="_heading=h.17dp8vu" w:colFirst="0" w:colLast="0"/>
      <w:bookmarkEnd w:id="16"/>
    </w:p>
    <w:p w14:paraId="566BECE5" w14:textId="77777777" w:rsidR="00395935" w:rsidRPr="00550AD6" w:rsidRDefault="00395935">
      <w:pPr>
        <w:rPr>
          <w:rFonts w:ascii="Palatino Linotype" w:eastAsia="Palatino Linotype" w:hAnsi="Palatino Linotype" w:cs="Palatino Linotype"/>
          <w:sz w:val="22"/>
          <w:szCs w:val="22"/>
        </w:rPr>
      </w:pPr>
    </w:p>
    <w:p w14:paraId="056BF33F" w14:textId="77777777" w:rsidR="00395935" w:rsidRPr="00550AD6" w:rsidRDefault="00395935">
      <w:pPr>
        <w:spacing w:line="360" w:lineRule="auto"/>
        <w:jc w:val="both"/>
        <w:rPr>
          <w:rFonts w:ascii="Palatino Linotype" w:eastAsia="Palatino Linotype" w:hAnsi="Palatino Linotype" w:cs="Palatino Linotype"/>
          <w:sz w:val="22"/>
          <w:szCs w:val="22"/>
        </w:rPr>
      </w:pPr>
      <w:bookmarkStart w:id="17" w:name="_heading=h.3rdcrjn" w:colFirst="0" w:colLast="0"/>
      <w:bookmarkEnd w:id="17"/>
    </w:p>
    <w:p w14:paraId="195F7A80"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7EEB4654"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22F60FCF" w14:textId="77777777" w:rsidR="00395935" w:rsidRPr="00550AD6" w:rsidRDefault="00395935">
      <w:pPr>
        <w:spacing w:line="360" w:lineRule="auto"/>
        <w:jc w:val="both"/>
        <w:rPr>
          <w:rFonts w:ascii="Palatino Linotype" w:eastAsia="Palatino Linotype" w:hAnsi="Palatino Linotype" w:cs="Palatino Linotype"/>
          <w:sz w:val="22"/>
          <w:szCs w:val="22"/>
        </w:rPr>
      </w:pPr>
      <w:bookmarkStart w:id="18" w:name="_heading=h.1t3h5sf" w:colFirst="0" w:colLast="0"/>
      <w:bookmarkEnd w:id="18"/>
    </w:p>
    <w:p w14:paraId="54C94573"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487A3108"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12B7DB19"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325D03BB"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3564F8DF"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7DAC57FA"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57B81146"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4B7B8338"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5C65DE8C"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4B178D94"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619F561B"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38B746DD"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6A266C31"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5F1180D2"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3D87DD25"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203B9AA7"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29A8B3B7"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48032C0D"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3CBDCDE2"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589024CD"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2CE0B42D" w14:textId="77777777" w:rsidR="00395935" w:rsidRPr="00550AD6" w:rsidRDefault="00395935">
      <w:pPr>
        <w:spacing w:line="360" w:lineRule="auto"/>
        <w:jc w:val="both"/>
        <w:rPr>
          <w:rFonts w:ascii="Palatino Linotype" w:eastAsia="Palatino Linotype" w:hAnsi="Palatino Linotype" w:cs="Palatino Linotype"/>
          <w:sz w:val="22"/>
          <w:szCs w:val="22"/>
        </w:rPr>
      </w:pPr>
    </w:p>
    <w:p w14:paraId="436CE4CF" w14:textId="77777777" w:rsidR="00395935" w:rsidRPr="00550AD6" w:rsidRDefault="00395935">
      <w:pPr>
        <w:spacing w:line="360" w:lineRule="auto"/>
        <w:jc w:val="both"/>
        <w:rPr>
          <w:rFonts w:ascii="Palatino Linotype" w:eastAsia="Palatino Linotype" w:hAnsi="Palatino Linotype" w:cs="Palatino Linotype"/>
          <w:sz w:val="22"/>
          <w:szCs w:val="22"/>
        </w:rPr>
      </w:pPr>
    </w:p>
    <w:sectPr w:rsidR="00395935" w:rsidRPr="00550AD6">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608F" w14:textId="77777777" w:rsidR="00690D54" w:rsidRDefault="00690D54">
      <w:r>
        <w:separator/>
      </w:r>
    </w:p>
  </w:endnote>
  <w:endnote w:type="continuationSeparator" w:id="0">
    <w:p w14:paraId="2A56C17E" w14:textId="77777777" w:rsidR="00690D54" w:rsidRDefault="0069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96FF" w14:textId="77777777" w:rsidR="00395935" w:rsidRDefault="00F629A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91B52">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91B52">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24265C6D" w14:textId="77777777" w:rsidR="00395935" w:rsidRDefault="0039593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242A" w14:textId="77777777" w:rsidR="00395935" w:rsidRDefault="00F629A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91B5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91B52">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370D32A7" w14:textId="77777777" w:rsidR="00395935" w:rsidRDefault="0039593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0588" w14:textId="77777777" w:rsidR="00690D54" w:rsidRDefault="00690D54">
      <w:r>
        <w:separator/>
      </w:r>
    </w:p>
  </w:footnote>
  <w:footnote w:type="continuationSeparator" w:id="0">
    <w:p w14:paraId="1613678F" w14:textId="77777777" w:rsidR="00690D54" w:rsidRDefault="00690D54">
      <w:r>
        <w:continuationSeparator/>
      </w:r>
    </w:p>
  </w:footnote>
  <w:footnote w:id="1">
    <w:p w14:paraId="48E07C12" w14:textId="77777777" w:rsidR="00395935" w:rsidRDefault="00F629A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67049288" w14:textId="77777777" w:rsidR="00395935" w:rsidRDefault="00F629A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5765D00" w14:textId="77777777" w:rsidR="00395935" w:rsidRDefault="00F629A7">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8DA8A91" w14:textId="77777777" w:rsidR="00395935" w:rsidRDefault="00F629A7">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90BE" w14:textId="77777777" w:rsidR="00395935" w:rsidRDefault="00F629A7">
    <w:pPr>
      <w:rPr>
        <w:rFonts w:ascii="Cambria" w:eastAsia="Cambria" w:hAnsi="Cambria" w:cs="Cambria"/>
        <w:color w:val="000000"/>
      </w:rPr>
    </w:pPr>
    <w:r>
      <w:rPr>
        <w:noProof/>
      </w:rPr>
      <w:drawing>
        <wp:anchor distT="0" distB="0" distL="0" distR="0" simplePos="0" relativeHeight="251658240" behindDoc="1" locked="0" layoutInCell="1" hidden="0" allowOverlap="1" wp14:anchorId="5E02EFA6" wp14:editId="31B0A160">
          <wp:simplePos x="0" y="0"/>
          <wp:positionH relativeFrom="column">
            <wp:posOffset>-1080105</wp:posOffset>
          </wp:positionH>
          <wp:positionV relativeFrom="paragraph">
            <wp:posOffset>-488280</wp:posOffset>
          </wp:positionV>
          <wp:extent cx="7809865" cy="10165715"/>
          <wp:effectExtent l="0" t="0" r="0" b="0"/>
          <wp:wrapNone/>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395935" w14:paraId="448F17C3" w14:textId="77777777">
      <w:tc>
        <w:tcPr>
          <w:tcW w:w="2489" w:type="dxa"/>
          <w:shd w:val="clear" w:color="auto" w:fill="auto"/>
        </w:tcPr>
        <w:p w14:paraId="65D09646" w14:textId="77777777" w:rsidR="00395935" w:rsidRDefault="00F629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0E21DFB0" w14:textId="77777777" w:rsidR="00395935" w:rsidRDefault="00F629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04799/INFOEM/IP/RR/2025</w:t>
          </w:r>
        </w:p>
      </w:tc>
    </w:tr>
    <w:tr w:rsidR="00395935" w14:paraId="23371F53" w14:textId="77777777">
      <w:trPr>
        <w:trHeight w:val="228"/>
      </w:trPr>
      <w:tc>
        <w:tcPr>
          <w:tcW w:w="2489" w:type="dxa"/>
          <w:shd w:val="clear" w:color="auto" w:fill="auto"/>
          <w:vAlign w:val="center"/>
        </w:tcPr>
        <w:p w14:paraId="408F6FDA" w14:textId="77777777" w:rsidR="00395935" w:rsidRDefault="00F629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59C2DA22" w14:textId="77777777" w:rsidR="00395935" w:rsidRDefault="00F629A7">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Ixtapan del Oro</w:t>
          </w:r>
        </w:p>
      </w:tc>
    </w:tr>
    <w:tr w:rsidR="00395935" w14:paraId="6489DB60" w14:textId="77777777">
      <w:tc>
        <w:tcPr>
          <w:tcW w:w="2489" w:type="dxa"/>
          <w:shd w:val="clear" w:color="auto" w:fill="auto"/>
          <w:vAlign w:val="center"/>
        </w:tcPr>
        <w:p w14:paraId="14B965E2" w14:textId="77777777" w:rsidR="00395935" w:rsidRDefault="00F629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27864175" w14:textId="77777777" w:rsidR="00395935" w:rsidRDefault="00F629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7B1E2B8" w14:textId="77777777" w:rsidR="00395935" w:rsidRDefault="00F629A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44B5" w14:textId="77777777" w:rsidR="00395935" w:rsidRDefault="00F629A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02BB332" wp14:editId="07865E68">
          <wp:simplePos x="0" y="0"/>
          <wp:positionH relativeFrom="column">
            <wp:posOffset>-1079484</wp:posOffset>
          </wp:positionH>
          <wp:positionV relativeFrom="paragraph">
            <wp:posOffset>-328912</wp:posOffset>
          </wp:positionV>
          <wp:extent cx="7809865" cy="10165715"/>
          <wp:effectExtent l="0" t="0" r="0" b="0"/>
          <wp:wrapNone/>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395935" w14:paraId="00490CB3" w14:textId="77777777">
      <w:tc>
        <w:tcPr>
          <w:tcW w:w="2551" w:type="dxa"/>
          <w:shd w:val="clear" w:color="auto" w:fill="auto"/>
          <w:vAlign w:val="center"/>
        </w:tcPr>
        <w:p w14:paraId="391C84D5" w14:textId="77777777" w:rsidR="00395935" w:rsidRDefault="00F629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1620B83F" w14:textId="77777777" w:rsidR="00395935" w:rsidRDefault="00F629A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04799/INFOEM/IP/RR/2025</w:t>
          </w:r>
        </w:p>
      </w:tc>
    </w:tr>
    <w:tr w:rsidR="00395935" w14:paraId="08662BFE" w14:textId="77777777">
      <w:trPr>
        <w:trHeight w:val="130"/>
      </w:trPr>
      <w:tc>
        <w:tcPr>
          <w:tcW w:w="2551" w:type="dxa"/>
          <w:shd w:val="clear" w:color="auto" w:fill="auto"/>
          <w:vAlign w:val="center"/>
        </w:tcPr>
        <w:p w14:paraId="0D78F144" w14:textId="77777777" w:rsidR="00395935" w:rsidRDefault="00F629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73CC870E" w14:textId="53744B69" w:rsidR="00395935" w:rsidRDefault="003E71F4">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w:t>
          </w:r>
        </w:p>
      </w:tc>
    </w:tr>
    <w:tr w:rsidR="00395935" w14:paraId="6A3CF63E" w14:textId="77777777">
      <w:trPr>
        <w:trHeight w:val="228"/>
      </w:trPr>
      <w:tc>
        <w:tcPr>
          <w:tcW w:w="2551" w:type="dxa"/>
          <w:shd w:val="clear" w:color="auto" w:fill="auto"/>
          <w:vAlign w:val="center"/>
        </w:tcPr>
        <w:p w14:paraId="52B2575C" w14:textId="77777777" w:rsidR="00395935" w:rsidRDefault="00F629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1ECE4515" w14:textId="77777777" w:rsidR="00395935" w:rsidRDefault="00F629A7">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Ixtapan del Oro</w:t>
          </w:r>
        </w:p>
      </w:tc>
    </w:tr>
    <w:tr w:rsidR="00395935" w14:paraId="4ECEA6FA" w14:textId="77777777">
      <w:tc>
        <w:tcPr>
          <w:tcW w:w="2551" w:type="dxa"/>
          <w:shd w:val="clear" w:color="auto" w:fill="auto"/>
          <w:vAlign w:val="center"/>
        </w:tcPr>
        <w:p w14:paraId="3FBF8A88" w14:textId="77777777" w:rsidR="00395935" w:rsidRDefault="00F629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32324D5D" w14:textId="77777777" w:rsidR="00395935" w:rsidRDefault="00F629A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E89584" w14:textId="77777777" w:rsidR="00395935" w:rsidRDefault="00395935">
    <w:pPr>
      <w:pBdr>
        <w:top w:val="nil"/>
        <w:left w:val="nil"/>
        <w:bottom w:val="nil"/>
        <w:right w:val="nil"/>
        <w:between w:val="nil"/>
      </w:pBdr>
      <w:tabs>
        <w:tab w:val="center" w:pos="4252"/>
        <w:tab w:val="right" w:pos="8504"/>
      </w:tabs>
      <w:rPr>
        <w:rFonts w:ascii="Cambria" w:eastAsia="Cambria" w:hAnsi="Cambria" w:cs="Cambria"/>
        <w:color w:val="000000"/>
      </w:rPr>
    </w:pPr>
  </w:p>
  <w:p w14:paraId="3DBCDAD8" w14:textId="77777777" w:rsidR="00395935" w:rsidRDefault="003959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1688"/>
    <w:multiLevelType w:val="multilevel"/>
    <w:tmpl w:val="2E44762A"/>
    <w:lvl w:ilvl="0">
      <w:start w:val="8"/>
      <w:numFmt w:val="bullet"/>
      <w:lvlText w:val="●"/>
      <w:lvlJc w:val="left"/>
      <w:pPr>
        <w:ind w:left="426"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7532ED"/>
    <w:multiLevelType w:val="multilevel"/>
    <w:tmpl w:val="CA84BE78"/>
    <w:lvl w:ilvl="0">
      <w:start w:val="8"/>
      <w:numFmt w:val="bullet"/>
      <w:lvlText w:val="●"/>
      <w:lvlJc w:val="left"/>
      <w:pPr>
        <w:ind w:left="426" w:hanging="360"/>
      </w:pPr>
      <w:rPr>
        <w:rFonts w:ascii="Noto Sans Symbols" w:eastAsia="Noto Sans Symbols" w:hAnsi="Noto Sans Symbols" w:cs="Noto Sans Symbols"/>
      </w:rPr>
    </w:lvl>
    <w:lvl w:ilvl="1">
      <w:start w:val="1"/>
      <w:numFmt w:val="bullet"/>
      <w:lvlText w:val="o"/>
      <w:lvlJc w:val="left"/>
      <w:pPr>
        <w:ind w:left="1146" w:hanging="360"/>
      </w:pPr>
      <w:rPr>
        <w:rFonts w:ascii="Courier New" w:eastAsia="Courier New" w:hAnsi="Courier New" w:cs="Courier New"/>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2" w15:restartNumberingAfterBreak="0">
    <w:nsid w:val="766311DE"/>
    <w:multiLevelType w:val="multilevel"/>
    <w:tmpl w:val="3146A83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D462F44"/>
    <w:multiLevelType w:val="multilevel"/>
    <w:tmpl w:val="08D8C1C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35"/>
    <w:rsid w:val="00391B52"/>
    <w:rsid w:val="00395935"/>
    <w:rsid w:val="003E71F4"/>
    <w:rsid w:val="00550AD6"/>
    <w:rsid w:val="00690D54"/>
    <w:rsid w:val="00752CEB"/>
    <w:rsid w:val="00B50A6A"/>
    <w:rsid w:val="00DF7F83"/>
    <w:rsid w:val="00F00EEA"/>
    <w:rsid w:val="00F629A7"/>
    <w:rsid w:val="00FA6F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E01A"/>
  <w15:docId w15:val="{0D979A82-AEFC-43E0-A24B-B4737124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4"/>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YVEBH0Rt5QlMtkvE2TsEnFRQg==">CgMxLjAyCWguMWZvYjl0ZTIJaC40ZDM0b2c4MghoLmdqZGd4czIJaC4zZHk2dmttMgloLjMwajB6bGwyCWguMnM4ZXlvMTIIaC50eWpjd3QyCWguM3pueXNoNzIJaC4xeTgxMHR3MgloLjM1bmt1bjIyDmguaWp2OThwbnRjZDVzMgloLjI2aW4xcmcyDWguaDduemI3OXdscmEyCWguMmV0OTJwMDIOaC5jdDJjNTN4aTNyaTAyDmguNTlucHh5eHBvbWpkMgloLjE3ZHA4dnUyCWguM3JkY3JqbjIJaC4xdDNoNXNmOAByITFaODcwSHQyVVFfeFVNaEtBSldXX2FaNHNmWHlCNWZl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10674</Words>
  <Characters>58709</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2025-07-17T20:57:00Z</cp:lastPrinted>
  <dcterms:created xsi:type="dcterms:W3CDTF">2025-08-11T19:47:00Z</dcterms:created>
  <dcterms:modified xsi:type="dcterms:W3CDTF">2025-08-11T19:47:00Z</dcterms:modified>
</cp:coreProperties>
</file>