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6B3FE" w14:textId="3916058E" w:rsidR="007D645B" w:rsidRDefault="00871098" w:rsidP="00A97F97">
      <w:pPr>
        <w:shd w:val="clear" w:color="auto" w:fill="FFFFFF"/>
        <w:spacing w:line="360" w:lineRule="auto"/>
        <w:jc w:val="both"/>
        <w:rPr>
          <w:rFonts w:ascii="Palatino Linotype" w:hAnsi="Palatino Linotype" w:cs="Arial"/>
          <w:color w:val="000000"/>
          <w:lang w:val="es-MX" w:eastAsia="es-MX"/>
        </w:rPr>
      </w:pPr>
      <w:r>
        <w:rPr>
          <w:rFonts w:ascii="Palatino Linotype" w:hAnsi="Palatino Linotype" w:cs="Arial"/>
          <w:color w:val="000000"/>
          <w:lang w:val="es-MX" w:eastAsia="es-MX"/>
        </w:rPr>
        <w:t xml:space="preserve"> </w:t>
      </w:r>
      <w:r w:rsidR="0029071C" w:rsidRPr="006A240A">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2F6ADB">
        <w:rPr>
          <w:rFonts w:ascii="Palatino Linotype" w:hAnsi="Palatino Linotype" w:cs="Arial"/>
          <w:color w:val="000000"/>
          <w:lang w:val="es-MX" w:eastAsia="es-MX"/>
        </w:rPr>
        <w:t>veintiocho de mayo</w:t>
      </w:r>
      <w:r w:rsidR="007237B8" w:rsidRPr="006A240A">
        <w:rPr>
          <w:rFonts w:ascii="Palatino Linotype" w:hAnsi="Palatino Linotype" w:cs="Arial"/>
          <w:color w:val="000000"/>
          <w:lang w:val="es-MX" w:eastAsia="es-MX"/>
        </w:rPr>
        <w:t xml:space="preserve"> </w:t>
      </w:r>
      <w:r w:rsidR="00C3593B">
        <w:rPr>
          <w:rFonts w:ascii="Palatino Linotype" w:hAnsi="Palatino Linotype" w:cs="Arial"/>
          <w:color w:val="000000"/>
          <w:lang w:val="es-MX" w:eastAsia="es-MX"/>
        </w:rPr>
        <w:t xml:space="preserve">de </w:t>
      </w:r>
      <w:r w:rsidR="007237B8" w:rsidRPr="006A240A">
        <w:rPr>
          <w:rFonts w:ascii="Palatino Linotype" w:hAnsi="Palatino Linotype" w:cs="Arial"/>
          <w:color w:val="000000"/>
          <w:lang w:val="es-MX" w:eastAsia="es-MX"/>
        </w:rPr>
        <w:t>dos mil veinti</w:t>
      </w:r>
      <w:r w:rsidR="0009050D">
        <w:rPr>
          <w:rFonts w:ascii="Palatino Linotype" w:hAnsi="Palatino Linotype" w:cs="Arial"/>
          <w:color w:val="000000"/>
          <w:lang w:val="es-MX" w:eastAsia="es-MX"/>
        </w:rPr>
        <w:t>cinco</w:t>
      </w:r>
      <w:r w:rsidR="0029071C" w:rsidRPr="006A240A">
        <w:rPr>
          <w:rFonts w:ascii="Palatino Linotype" w:hAnsi="Palatino Linotype" w:cs="Arial"/>
          <w:color w:val="000000"/>
          <w:lang w:val="es-MX" w:eastAsia="es-MX"/>
        </w:rPr>
        <w:t>.</w:t>
      </w:r>
    </w:p>
    <w:p w14:paraId="2A0F879A" w14:textId="77777777" w:rsidR="00A97F97" w:rsidRPr="00A97F97" w:rsidRDefault="00A97F97" w:rsidP="00A97F97">
      <w:pPr>
        <w:shd w:val="clear" w:color="auto" w:fill="FFFFFF"/>
        <w:spacing w:line="360" w:lineRule="auto"/>
        <w:jc w:val="both"/>
        <w:rPr>
          <w:rFonts w:ascii="Palatino Linotype" w:hAnsi="Palatino Linotype" w:cs="Arial"/>
          <w:color w:val="000000"/>
          <w:lang w:val="es-MX" w:eastAsia="es-MX"/>
        </w:rPr>
      </w:pPr>
    </w:p>
    <w:p w14:paraId="5D167B00" w14:textId="5C4A7453" w:rsidR="007D645B" w:rsidRDefault="0029071C" w:rsidP="00A97F97">
      <w:pPr>
        <w:tabs>
          <w:tab w:val="left" w:pos="1701"/>
        </w:tabs>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b/>
          <w:lang w:val="es-MX" w:eastAsia="en-US"/>
        </w:rPr>
        <w:t>VISTO</w:t>
      </w:r>
      <w:r w:rsidRPr="006A240A">
        <w:rPr>
          <w:rFonts w:ascii="Palatino Linotype" w:eastAsiaTheme="minorHAnsi" w:hAnsi="Palatino Linotype" w:cs="Arial"/>
          <w:lang w:val="es-MX" w:eastAsia="en-US"/>
        </w:rPr>
        <w:t xml:space="preserve"> el expediente electrónico formado con motivo del recurso de revisión número </w:t>
      </w:r>
      <w:r w:rsidR="007D645B" w:rsidRPr="007D645B">
        <w:rPr>
          <w:rFonts w:ascii="Palatino Linotype" w:eastAsiaTheme="minorHAnsi" w:hAnsi="Palatino Linotype" w:cs="Arial"/>
          <w:b/>
          <w:lang w:val="es-MX" w:eastAsia="en-US"/>
        </w:rPr>
        <w:t>0</w:t>
      </w:r>
      <w:r w:rsidR="002F6ADB">
        <w:rPr>
          <w:rFonts w:ascii="Palatino Linotype" w:eastAsiaTheme="minorHAnsi" w:hAnsi="Palatino Linotype" w:cs="Arial"/>
          <w:b/>
          <w:lang w:val="es-MX" w:eastAsia="en-US"/>
        </w:rPr>
        <w:t>3</w:t>
      </w:r>
      <w:r w:rsidR="00F46C75">
        <w:rPr>
          <w:rFonts w:ascii="Palatino Linotype" w:eastAsiaTheme="minorHAnsi" w:hAnsi="Palatino Linotype" w:cs="Arial"/>
          <w:b/>
          <w:lang w:val="es-MX" w:eastAsia="en-US"/>
        </w:rPr>
        <w:t>030</w:t>
      </w:r>
      <w:r w:rsidR="00951242">
        <w:rPr>
          <w:rFonts w:ascii="Palatino Linotype" w:eastAsiaTheme="minorHAnsi" w:hAnsi="Palatino Linotype" w:cs="Arial"/>
          <w:b/>
          <w:lang w:val="es-MX" w:eastAsia="en-US"/>
        </w:rPr>
        <w:t>/</w:t>
      </w:r>
      <w:r w:rsidRPr="006A240A">
        <w:rPr>
          <w:rFonts w:ascii="Palatino Linotype" w:eastAsiaTheme="minorHAnsi" w:hAnsi="Palatino Linotype" w:cs="Arial"/>
          <w:b/>
          <w:bCs/>
          <w:lang w:val="es-MX" w:eastAsia="es-MX"/>
        </w:rPr>
        <w:t>INFOEM/IP/RR/202</w:t>
      </w:r>
      <w:r w:rsidR="00B14416">
        <w:rPr>
          <w:rFonts w:ascii="Palatino Linotype" w:eastAsiaTheme="minorHAnsi" w:hAnsi="Palatino Linotype" w:cs="Arial"/>
          <w:b/>
          <w:bCs/>
          <w:lang w:val="es-MX" w:eastAsia="es-MX"/>
        </w:rPr>
        <w:t>5</w:t>
      </w:r>
      <w:r w:rsidRPr="006A240A">
        <w:rPr>
          <w:rFonts w:ascii="Palatino Linotype" w:eastAsiaTheme="minorHAnsi" w:hAnsi="Palatino Linotype" w:cs="Arial"/>
          <w:lang w:val="es-MX" w:eastAsia="en-US"/>
        </w:rPr>
        <w:t xml:space="preserve">, </w:t>
      </w:r>
      <w:r w:rsidR="00266841" w:rsidRPr="006A240A">
        <w:rPr>
          <w:rFonts w:ascii="Palatino Linotype" w:hAnsi="Palatino Linotype" w:cs="Arial"/>
        </w:rPr>
        <w:t>interpuesto</w:t>
      </w:r>
      <w:r w:rsidR="005327BF" w:rsidRPr="006A240A">
        <w:rPr>
          <w:rFonts w:ascii="Palatino Linotype" w:hAnsi="Palatino Linotype" w:cs="Arial"/>
        </w:rPr>
        <w:t xml:space="preserve"> </w:t>
      </w:r>
      <w:r w:rsidR="00B14416" w:rsidRPr="00B14416">
        <w:rPr>
          <w:rFonts w:ascii="Palatino Linotype" w:hAnsi="Palatino Linotype" w:cs="Arial"/>
        </w:rPr>
        <w:t>por un particular que al momento de ingresar la solicitud de información e interponer el recurso de revisión, no señaló nombre o seudónimo con</w:t>
      </w:r>
      <w:r w:rsidR="00B14416">
        <w:rPr>
          <w:rFonts w:ascii="Palatino Linotype" w:hAnsi="Palatino Linotype" w:cs="Arial"/>
        </w:rPr>
        <w:t xml:space="preserve"> el cual desee ser identificado</w:t>
      </w:r>
      <w:r w:rsidR="005F1F89" w:rsidRPr="006A240A">
        <w:rPr>
          <w:rFonts w:ascii="Palatino Linotype" w:hAnsi="Palatino Linotype" w:cs="Arial"/>
        </w:rPr>
        <w:t>,</w:t>
      </w:r>
      <w:r w:rsidR="005F1F89" w:rsidRPr="006A240A">
        <w:rPr>
          <w:rFonts w:ascii="Palatino Linotype" w:hAnsi="Palatino Linotype" w:cs="Arial"/>
          <w:b/>
        </w:rPr>
        <w:t xml:space="preserve"> </w:t>
      </w:r>
      <w:r w:rsidR="005F1F89" w:rsidRPr="006A240A">
        <w:rPr>
          <w:rFonts w:ascii="Palatino Linotype" w:hAnsi="Palatino Linotype" w:cs="Arial"/>
        </w:rPr>
        <w:t>en lo sucesivo</w:t>
      </w:r>
      <w:r w:rsidR="0027342B">
        <w:rPr>
          <w:rFonts w:ascii="Palatino Linotype" w:hAnsi="Palatino Linotype" w:cs="Arial"/>
        </w:rPr>
        <w:t xml:space="preserve"> la parte </w:t>
      </w:r>
      <w:r w:rsidR="005F1F89" w:rsidRPr="006A240A">
        <w:rPr>
          <w:rFonts w:ascii="Palatino Linotype" w:hAnsi="Palatino Linotype" w:cs="Arial"/>
          <w:b/>
        </w:rPr>
        <w:t>Recurrente</w:t>
      </w:r>
      <w:r w:rsidRPr="006A240A">
        <w:rPr>
          <w:rFonts w:ascii="Palatino Linotype" w:eastAsiaTheme="minorHAnsi" w:hAnsi="Palatino Linotype" w:cs="Arial"/>
          <w:lang w:val="es-MX" w:eastAsia="en-US"/>
        </w:rPr>
        <w:t>, en contra de la respuesta de</w:t>
      </w:r>
      <w:r w:rsidR="00B20C2B" w:rsidRPr="006A240A">
        <w:rPr>
          <w:rFonts w:ascii="Palatino Linotype" w:eastAsiaTheme="minorHAnsi" w:hAnsi="Palatino Linotype" w:cs="Arial"/>
          <w:lang w:val="es-MX" w:eastAsia="en-US"/>
        </w:rPr>
        <w:t>l</w:t>
      </w:r>
      <w:r w:rsidRPr="006A240A">
        <w:rPr>
          <w:rFonts w:ascii="Palatino Linotype" w:eastAsiaTheme="minorHAnsi" w:hAnsi="Palatino Linotype" w:cs="Arial"/>
          <w:lang w:val="es-MX" w:eastAsia="en-US"/>
        </w:rPr>
        <w:t xml:space="preserve"> </w:t>
      </w:r>
      <w:r w:rsidR="00344236" w:rsidRPr="00344236">
        <w:rPr>
          <w:rFonts w:ascii="Palatino Linotype" w:eastAsiaTheme="minorHAnsi" w:hAnsi="Palatino Linotype" w:cs="Arial"/>
          <w:b/>
          <w:lang w:val="es-MX" w:eastAsia="en-US"/>
        </w:rPr>
        <w:t xml:space="preserve">Ayuntamiento de </w:t>
      </w:r>
      <w:proofErr w:type="spellStart"/>
      <w:r w:rsidR="00F46C75" w:rsidRPr="00F46C75">
        <w:rPr>
          <w:rFonts w:ascii="Palatino Linotype" w:eastAsiaTheme="minorHAnsi" w:hAnsi="Palatino Linotype" w:cs="Arial"/>
          <w:b/>
          <w:lang w:val="es-MX" w:eastAsia="en-US"/>
        </w:rPr>
        <w:t>Ocuilan</w:t>
      </w:r>
      <w:proofErr w:type="spellEnd"/>
      <w:r w:rsidRPr="006A240A">
        <w:rPr>
          <w:rFonts w:ascii="Palatino Linotype" w:eastAsiaTheme="minorHAnsi" w:hAnsi="Palatino Linotype" w:cs="Arial"/>
          <w:lang w:val="es-MX" w:eastAsia="en-US"/>
        </w:rPr>
        <w:t>,</w:t>
      </w:r>
      <w:r w:rsidRPr="006A240A">
        <w:rPr>
          <w:rFonts w:ascii="Palatino Linotype" w:eastAsiaTheme="minorHAnsi" w:hAnsi="Palatino Linotype" w:cs="Arial"/>
          <w:b/>
          <w:lang w:val="es-MX" w:eastAsia="en-US"/>
        </w:rPr>
        <w:t xml:space="preserve"> </w:t>
      </w:r>
      <w:r w:rsidRPr="006A240A">
        <w:rPr>
          <w:rFonts w:ascii="Palatino Linotype" w:eastAsiaTheme="minorHAnsi" w:hAnsi="Palatino Linotype" w:cs="Arial"/>
          <w:lang w:val="es-MX" w:eastAsia="en-US"/>
        </w:rPr>
        <w:t>en lo subsecuente</w:t>
      </w:r>
      <w:r w:rsidRPr="006A240A">
        <w:rPr>
          <w:rFonts w:ascii="Palatino Linotype" w:eastAsiaTheme="minorHAnsi" w:hAnsi="Palatino Linotype" w:cs="Arial"/>
          <w:b/>
          <w:lang w:val="es-MX" w:eastAsia="en-US"/>
        </w:rPr>
        <w:t xml:space="preserve"> El Sujeto Obligado, </w:t>
      </w:r>
      <w:r w:rsidRPr="006A240A">
        <w:rPr>
          <w:rFonts w:ascii="Palatino Linotype" w:eastAsiaTheme="minorHAnsi" w:hAnsi="Palatino Linotype" w:cs="Arial"/>
          <w:lang w:val="es-MX" w:eastAsia="en-US"/>
        </w:rPr>
        <w:t>se procede a dictar la presente resolución.</w:t>
      </w:r>
    </w:p>
    <w:p w14:paraId="34051789" w14:textId="77777777" w:rsidR="00A97F97" w:rsidRPr="00A97F97" w:rsidRDefault="00A97F97" w:rsidP="00A97F97">
      <w:pPr>
        <w:tabs>
          <w:tab w:val="left" w:pos="1701"/>
        </w:tabs>
        <w:spacing w:line="360" w:lineRule="auto"/>
        <w:jc w:val="both"/>
        <w:rPr>
          <w:rFonts w:ascii="Palatino Linotype" w:eastAsiaTheme="minorHAnsi" w:hAnsi="Palatino Linotype" w:cs="Arial"/>
          <w:lang w:val="es-MX" w:eastAsia="en-US"/>
        </w:rPr>
      </w:pPr>
    </w:p>
    <w:p w14:paraId="4AFE5A3C" w14:textId="1986016B" w:rsidR="00C753C2" w:rsidRDefault="0029071C" w:rsidP="007D645B">
      <w:pPr>
        <w:spacing w:line="360" w:lineRule="auto"/>
        <w:jc w:val="center"/>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A N T E C E D E N T E S</w:t>
      </w:r>
    </w:p>
    <w:p w14:paraId="44F11F6B" w14:textId="77777777" w:rsidR="007D645B" w:rsidRPr="007D645B" w:rsidRDefault="007D645B" w:rsidP="007D645B">
      <w:pPr>
        <w:pStyle w:val="Sinespaciado"/>
        <w:rPr>
          <w:rFonts w:eastAsiaTheme="minorHAnsi"/>
          <w:lang w:eastAsia="en-US"/>
        </w:rPr>
      </w:pPr>
    </w:p>
    <w:p w14:paraId="1AD87C73" w14:textId="77777777" w:rsidR="0029071C" w:rsidRPr="006A240A" w:rsidRDefault="0029071C" w:rsidP="0029071C">
      <w:pPr>
        <w:spacing w:line="360" w:lineRule="auto"/>
        <w:jc w:val="both"/>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PRIMERO. De la solicitud de información.</w:t>
      </w:r>
    </w:p>
    <w:p w14:paraId="0ABB0306" w14:textId="210DB64D" w:rsidR="0027342B" w:rsidRDefault="0029071C" w:rsidP="00807D02">
      <w:pPr>
        <w:spacing w:line="360" w:lineRule="auto"/>
        <w:jc w:val="both"/>
        <w:rPr>
          <w:rFonts w:ascii="Palatino Linotype" w:eastAsiaTheme="minorHAnsi" w:hAnsi="Palatino Linotype" w:cs="Arial"/>
          <w:szCs w:val="22"/>
          <w:lang w:val="es-MX" w:eastAsia="en-US"/>
        </w:rPr>
      </w:pPr>
      <w:r w:rsidRPr="006A240A">
        <w:rPr>
          <w:rFonts w:ascii="Palatino Linotype" w:eastAsiaTheme="minorHAnsi" w:hAnsi="Palatino Linotype" w:cs="Arial"/>
          <w:szCs w:val="22"/>
          <w:lang w:val="es-MX" w:eastAsia="en-US"/>
        </w:rPr>
        <w:t xml:space="preserve">En fecha </w:t>
      </w:r>
      <w:r w:rsidR="001C492C">
        <w:rPr>
          <w:rFonts w:ascii="Palatino Linotype" w:eastAsiaTheme="minorHAnsi" w:hAnsi="Palatino Linotype" w:cs="Arial"/>
          <w:szCs w:val="22"/>
          <w:lang w:val="es-MX" w:eastAsia="en-US"/>
        </w:rPr>
        <w:t>catorce</w:t>
      </w:r>
      <w:r w:rsidR="00B14416">
        <w:rPr>
          <w:rFonts w:ascii="Palatino Linotype" w:eastAsiaTheme="minorHAnsi" w:hAnsi="Palatino Linotype" w:cs="Arial"/>
          <w:szCs w:val="22"/>
          <w:lang w:val="es-MX" w:eastAsia="en-US"/>
        </w:rPr>
        <w:t xml:space="preserve"> de </w:t>
      </w:r>
      <w:r w:rsidR="00807D02">
        <w:rPr>
          <w:rFonts w:ascii="Palatino Linotype" w:eastAsiaTheme="minorHAnsi" w:hAnsi="Palatino Linotype" w:cs="Arial"/>
          <w:szCs w:val="22"/>
          <w:lang w:val="es-MX" w:eastAsia="en-US"/>
        </w:rPr>
        <w:t>febrero</w:t>
      </w:r>
      <w:r w:rsidR="00B14416">
        <w:rPr>
          <w:rFonts w:ascii="Palatino Linotype" w:eastAsiaTheme="minorHAnsi" w:hAnsi="Palatino Linotype" w:cs="Arial"/>
          <w:szCs w:val="22"/>
          <w:lang w:val="es-MX" w:eastAsia="en-US"/>
        </w:rPr>
        <w:t xml:space="preserve"> de dos mil veinticinco</w:t>
      </w:r>
      <w:r w:rsidRPr="006A240A">
        <w:rPr>
          <w:rFonts w:ascii="Palatino Linotype" w:eastAsiaTheme="minorHAnsi" w:hAnsi="Palatino Linotype" w:cs="Arial"/>
          <w:szCs w:val="22"/>
          <w:lang w:val="es-MX" w:eastAsia="en-US"/>
        </w:rPr>
        <w:t xml:space="preserve">, </w:t>
      </w:r>
      <w:r w:rsidR="0027342B">
        <w:rPr>
          <w:rFonts w:ascii="Palatino Linotype" w:eastAsiaTheme="minorHAnsi" w:hAnsi="Palatino Linotype" w:cs="Arial"/>
          <w:szCs w:val="22"/>
          <w:lang w:val="es-MX" w:eastAsia="en-US"/>
        </w:rPr>
        <w:t xml:space="preserve">la parte </w:t>
      </w:r>
      <w:r w:rsidRPr="006A240A">
        <w:rPr>
          <w:rFonts w:ascii="Palatino Linotype" w:eastAsiaTheme="minorHAnsi" w:hAnsi="Palatino Linotype" w:cs="Arial"/>
          <w:b/>
          <w:szCs w:val="22"/>
          <w:lang w:val="es-MX" w:eastAsia="en-US"/>
        </w:rPr>
        <w:t>Recurrente</w:t>
      </w:r>
      <w:r w:rsidRPr="006A240A">
        <w:rPr>
          <w:rFonts w:ascii="Palatino Linotype" w:eastAsiaTheme="minorHAnsi" w:hAnsi="Palatino Linotype" w:cs="Arial"/>
          <w:szCs w:val="22"/>
          <w:lang w:val="es-MX" w:eastAsia="en-US"/>
        </w:rPr>
        <w:t xml:space="preserve">, presentó a través del Sistema de Acceso a la Información Mexiquense </w:t>
      </w:r>
      <w:r w:rsidRPr="006A240A">
        <w:rPr>
          <w:rFonts w:ascii="Palatino Linotype" w:eastAsiaTheme="minorHAnsi" w:hAnsi="Palatino Linotype" w:cs="Arial"/>
          <w:b/>
          <w:szCs w:val="22"/>
          <w:lang w:val="es-MX" w:eastAsia="en-US"/>
        </w:rPr>
        <w:t>(SAIMEX),</w:t>
      </w:r>
      <w:r w:rsidRPr="006A240A">
        <w:rPr>
          <w:rFonts w:ascii="Palatino Linotype" w:eastAsiaTheme="minorHAnsi" w:hAnsi="Palatino Linotype" w:cs="Arial"/>
          <w:szCs w:val="22"/>
          <w:lang w:val="es-MX" w:eastAsia="en-US"/>
        </w:rPr>
        <w:t xml:space="preserve"> ante el </w:t>
      </w:r>
      <w:r w:rsidRPr="006A240A">
        <w:rPr>
          <w:rFonts w:ascii="Palatino Linotype" w:eastAsiaTheme="minorHAnsi" w:hAnsi="Palatino Linotype" w:cs="Arial"/>
          <w:b/>
          <w:szCs w:val="22"/>
          <w:lang w:val="es-MX" w:eastAsia="en-US"/>
        </w:rPr>
        <w:t>Sujeto Obligado</w:t>
      </w:r>
      <w:r w:rsidRPr="006A240A">
        <w:rPr>
          <w:rFonts w:ascii="Palatino Linotype" w:eastAsiaTheme="minorHAnsi" w:hAnsi="Palatino Linotype" w:cs="Arial"/>
          <w:szCs w:val="22"/>
          <w:lang w:val="es-MX" w:eastAsia="en-US"/>
        </w:rPr>
        <w:t>, la solicitud de acceso a la información pública, a la que se le</w:t>
      </w:r>
      <w:r w:rsidR="00C753C2" w:rsidRPr="006A240A">
        <w:rPr>
          <w:rFonts w:ascii="Palatino Linotype" w:eastAsiaTheme="minorHAnsi" w:hAnsi="Palatino Linotype" w:cs="Arial"/>
          <w:szCs w:val="22"/>
          <w:lang w:val="es-MX" w:eastAsia="en-US"/>
        </w:rPr>
        <w:t xml:space="preserve"> asignó el número de expediente</w:t>
      </w:r>
      <w:r w:rsidR="00807D02">
        <w:rPr>
          <w:rFonts w:ascii="Palatino Linotype" w:eastAsiaTheme="minorHAnsi" w:hAnsi="Palatino Linotype" w:cs="Arial"/>
          <w:szCs w:val="22"/>
          <w:lang w:val="es-MX" w:eastAsia="en-US"/>
        </w:rPr>
        <w:t xml:space="preserve"> </w:t>
      </w:r>
      <w:r w:rsidR="001C492C" w:rsidRPr="001C492C">
        <w:rPr>
          <w:rFonts w:ascii="Palatino Linotype" w:eastAsiaTheme="minorHAnsi" w:hAnsi="Palatino Linotype" w:cs="Arial"/>
          <w:b/>
          <w:szCs w:val="22"/>
          <w:lang w:val="es-MX" w:eastAsia="en-US"/>
        </w:rPr>
        <w:t>00050/OCUILAN/IP/2025</w:t>
      </w:r>
      <w:r w:rsidRPr="006A240A">
        <w:rPr>
          <w:rFonts w:ascii="Palatino Linotype" w:eastAsiaTheme="minorHAnsi" w:hAnsi="Palatino Linotype" w:cs="Arial"/>
          <w:szCs w:val="22"/>
          <w:lang w:val="es-MX" w:eastAsia="en-US"/>
        </w:rPr>
        <w:t>, mediante la cual solicitó lo siguiente:</w:t>
      </w:r>
    </w:p>
    <w:p w14:paraId="172BC2B9" w14:textId="77777777" w:rsidR="00807D02" w:rsidRPr="00807D02" w:rsidRDefault="00807D02" w:rsidP="001C492C">
      <w:pPr>
        <w:pStyle w:val="Sinespaciado"/>
        <w:rPr>
          <w:rFonts w:eastAsiaTheme="minorHAnsi"/>
          <w:lang w:eastAsia="en-US"/>
        </w:rPr>
      </w:pPr>
    </w:p>
    <w:p w14:paraId="3A941F80" w14:textId="5EBE4C9C" w:rsidR="0027342B" w:rsidRDefault="0029071C" w:rsidP="001C492C">
      <w:pPr>
        <w:spacing w:line="276" w:lineRule="auto"/>
        <w:ind w:left="284" w:right="332"/>
        <w:jc w:val="both"/>
        <w:rPr>
          <w:rFonts w:ascii="Palatino Linotype" w:hAnsi="Palatino Linotype"/>
          <w:i/>
          <w:sz w:val="22"/>
          <w:szCs w:val="20"/>
          <w:lang w:val="es-ES_tradnl"/>
        </w:rPr>
      </w:pPr>
      <w:r w:rsidRPr="00E50332">
        <w:rPr>
          <w:rFonts w:ascii="Palatino Linotype" w:hAnsi="Palatino Linotype"/>
          <w:i/>
          <w:sz w:val="22"/>
          <w:szCs w:val="20"/>
          <w:lang w:val="es-MX"/>
        </w:rPr>
        <w:t>“</w:t>
      </w:r>
      <w:bookmarkStart w:id="0" w:name="_Hlk198034959"/>
      <w:r w:rsidR="001C492C" w:rsidRPr="001C492C">
        <w:rPr>
          <w:rFonts w:ascii="Palatino Linotype" w:hAnsi="Palatino Linotype"/>
          <w:i/>
          <w:sz w:val="22"/>
          <w:szCs w:val="20"/>
          <w:lang w:val="es-MX" w:eastAsia="es-MX"/>
        </w:rPr>
        <w:t xml:space="preserve">SOLICITO COPIA SIMPLE DEL AVISO DE MOVIMIENTO DE BAJA DEL SERVICIO DEL ISSEMYM DE LOS SIGUIENTES EXSERVIDORES PUBLICOS DE LA PASADA ADMINISTRACIÓN MUNICIPAL 2022-2024 </w:t>
      </w:r>
      <w:r w:rsidR="00C555E9">
        <w:rPr>
          <w:rFonts w:ascii="Palatino Linotype" w:hAnsi="Palatino Linotype"/>
          <w:i/>
          <w:sz w:val="22"/>
          <w:szCs w:val="20"/>
          <w:lang w:val="es-MX" w:eastAsia="es-MX"/>
        </w:rPr>
        <w:t>XXXXXXXXXXXXXXXXXXXXXXX</w:t>
      </w:r>
      <w:r w:rsidR="001C492C" w:rsidRPr="001C492C">
        <w:rPr>
          <w:rFonts w:ascii="Palatino Linotype" w:hAnsi="Palatino Linotype"/>
          <w:i/>
          <w:sz w:val="22"/>
          <w:szCs w:val="20"/>
          <w:lang w:val="es-MX" w:eastAsia="es-MX"/>
        </w:rPr>
        <w:t xml:space="preserve"> </w:t>
      </w:r>
      <w:r w:rsidR="00C555E9">
        <w:rPr>
          <w:rFonts w:ascii="Palatino Linotype" w:hAnsi="Palatino Linotype"/>
          <w:i/>
          <w:sz w:val="22"/>
          <w:szCs w:val="20"/>
          <w:lang w:val="es-MX" w:eastAsia="es-MX"/>
        </w:rPr>
        <w:t>XXXXXXXXXXXXXXXXXXXXXXXXXXXXXXXXXXXXXXXXXXXXXXXXXXXXXXXXXXXXXXXXXXX</w:t>
      </w:r>
      <w:r w:rsidR="00BD6364">
        <w:rPr>
          <w:rFonts w:ascii="Palatino Linotype" w:hAnsi="Palatino Linotype"/>
          <w:i/>
          <w:sz w:val="22"/>
          <w:szCs w:val="20"/>
          <w:lang w:val="es-MX" w:eastAsia="es-MX"/>
        </w:rPr>
        <w:t>”</w:t>
      </w:r>
      <w:r w:rsidR="00807D02" w:rsidRPr="00807D02">
        <w:rPr>
          <w:rFonts w:ascii="Palatino Linotype" w:hAnsi="Palatino Linotype"/>
          <w:i/>
          <w:sz w:val="22"/>
          <w:szCs w:val="20"/>
          <w:lang w:val="es-MX" w:eastAsia="es-MX"/>
        </w:rPr>
        <w:t xml:space="preserve"> </w:t>
      </w:r>
      <w:bookmarkEnd w:id="0"/>
      <w:r w:rsidRPr="00E50332">
        <w:rPr>
          <w:rFonts w:ascii="Palatino Linotype" w:hAnsi="Palatino Linotype"/>
          <w:i/>
          <w:sz w:val="22"/>
          <w:szCs w:val="20"/>
          <w:lang w:val="es-ES_tradnl"/>
        </w:rPr>
        <w:t>(Sic).</w:t>
      </w:r>
    </w:p>
    <w:p w14:paraId="7ECF9543" w14:textId="77777777" w:rsidR="00807D02" w:rsidRPr="00807D02" w:rsidRDefault="00807D02" w:rsidP="00807D02">
      <w:pPr>
        <w:spacing w:line="360" w:lineRule="auto"/>
        <w:ind w:left="284" w:right="332"/>
        <w:jc w:val="both"/>
        <w:rPr>
          <w:rFonts w:ascii="Palatino Linotype" w:hAnsi="Palatino Linotype"/>
          <w:i/>
          <w:sz w:val="22"/>
          <w:szCs w:val="20"/>
          <w:lang w:val="es-ES_tradnl"/>
        </w:rPr>
      </w:pPr>
    </w:p>
    <w:p w14:paraId="43AD7BFC" w14:textId="470417E3" w:rsidR="007D645B" w:rsidRDefault="0029071C" w:rsidP="00B14416">
      <w:pPr>
        <w:tabs>
          <w:tab w:val="left" w:pos="5647"/>
        </w:tabs>
        <w:spacing w:line="360" w:lineRule="auto"/>
        <w:ind w:right="850"/>
        <w:jc w:val="both"/>
        <w:rPr>
          <w:rFonts w:ascii="Palatino Linotype" w:eastAsiaTheme="minorHAnsi" w:hAnsi="Palatino Linotype" w:cstheme="minorBidi"/>
          <w:color w:val="000000"/>
          <w:lang w:val="es-MX" w:eastAsia="en-US"/>
        </w:rPr>
      </w:pPr>
      <w:r w:rsidRPr="006A240A">
        <w:rPr>
          <w:rFonts w:ascii="Palatino Linotype" w:hAnsi="Palatino Linotype"/>
          <w:b/>
          <w:lang w:val="es-ES_tradnl"/>
        </w:rPr>
        <w:t>MODALIDAD DE ENTREGA:</w:t>
      </w:r>
      <w:r w:rsidRPr="006A240A">
        <w:rPr>
          <w:rFonts w:ascii="Palatino Linotype" w:hAnsi="Palatino Linotype"/>
          <w:lang w:val="es-ES_tradnl"/>
        </w:rPr>
        <w:t xml:space="preserve"> </w:t>
      </w:r>
      <w:r w:rsidRPr="006A240A">
        <w:rPr>
          <w:rFonts w:ascii="Palatino Linotype" w:eastAsiaTheme="minorHAnsi" w:hAnsi="Palatino Linotype" w:cstheme="minorBidi"/>
          <w:color w:val="000000"/>
          <w:lang w:val="es-MX" w:eastAsia="en-US"/>
        </w:rPr>
        <w:t xml:space="preserve">A través del </w:t>
      </w:r>
      <w:r w:rsidRPr="006A240A">
        <w:rPr>
          <w:rFonts w:ascii="Palatino Linotype" w:eastAsiaTheme="minorHAnsi" w:hAnsi="Palatino Linotype" w:cstheme="minorBidi"/>
          <w:b/>
          <w:color w:val="000000"/>
          <w:lang w:val="es-MX" w:eastAsia="en-US"/>
        </w:rPr>
        <w:t>SAIMEX</w:t>
      </w:r>
      <w:r w:rsidRPr="006A240A">
        <w:rPr>
          <w:rFonts w:ascii="Palatino Linotype" w:eastAsiaTheme="minorHAnsi" w:hAnsi="Palatino Linotype" w:cstheme="minorBidi"/>
          <w:color w:val="000000"/>
          <w:lang w:val="es-MX" w:eastAsia="en-US"/>
        </w:rPr>
        <w:t>.</w:t>
      </w:r>
    </w:p>
    <w:p w14:paraId="208C7227" w14:textId="77777777" w:rsidR="00B14416" w:rsidRDefault="00B14416" w:rsidP="00B14416">
      <w:pPr>
        <w:pStyle w:val="Sinespaciado"/>
        <w:rPr>
          <w:rFonts w:eastAsiaTheme="minorHAnsi"/>
          <w:lang w:eastAsia="en-US"/>
        </w:rPr>
      </w:pPr>
    </w:p>
    <w:p w14:paraId="717A4484" w14:textId="2FA05996" w:rsidR="007D645B" w:rsidRPr="009A6B97" w:rsidRDefault="00B14416" w:rsidP="007D6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SEGUND</w:t>
      </w:r>
      <w:r w:rsidR="007D645B" w:rsidRPr="009A6B97">
        <w:rPr>
          <w:rFonts w:ascii="Palatino Linotype" w:eastAsiaTheme="minorHAnsi" w:hAnsi="Palatino Linotype" w:cs="Arial"/>
          <w:b/>
          <w:sz w:val="28"/>
          <w:lang w:val="es-MX" w:eastAsia="en-US"/>
        </w:rPr>
        <w:t xml:space="preserve">O. De la </w:t>
      </w:r>
      <w:r w:rsidR="00BD6364">
        <w:rPr>
          <w:rFonts w:ascii="Palatino Linotype" w:eastAsiaTheme="minorHAnsi" w:hAnsi="Palatino Linotype" w:cs="Arial"/>
          <w:b/>
          <w:sz w:val="28"/>
          <w:lang w:val="es-MX" w:eastAsia="en-US"/>
        </w:rPr>
        <w:t>respuesta del Sujeto Obligado</w:t>
      </w:r>
      <w:r w:rsidR="007D645B" w:rsidRPr="009A6B97">
        <w:rPr>
          <w:rFonts w:ascii="Palatino Linotype" w:eastAsiaTheme="minorHAnsi" w:hAnsi="Palatino Linotype" w:cs="Arial"/>
          <w:b/>
          <w:sz w:val="28"/>
          <w:lang w:val="es-MX" w:eastAsia="en-US"/>
        </w:rPr>
        <w:t xml:space="preserve">. </w:t>
      </w:r>
    </w:p>
    <w:p w14:paraId="7AA37136" w14:textId="39F73D3A" w:rsidR="007D645B" w:rsidRPr="009A6B97" w:rsidRDefault="007D645B" w:rsidP="007D645B">
      <w:pPr>
        <w:spacing w:line="360" w:lineRule="auto"/>
        <w:jc w:val="both"/>
        <w:rPr>
          <w:rFonts w:ascii="Palatino Linotype" w:eastAsiaTheme="minorHAnsi" w:hAnsi="Palatino Linotype" w:cs="Arial"/>
          <w:lang w:val="es-MX" w:eastAsia="en-US"/>
        </w:rPr>
      </w:pPr>
      <w:r w:rsidRPr="009A6B97">
        <w:rPr>
          <w:rFonts w:ascii="Palatino Linotype" w:eastAsiaTheme="minorHAnsi" w:hAnsi="Palatino Linotype" w:cs="Arial"/>
          <w:lang w:val="es-MX" w:eastAsia="en-US"/>
        </w:rPr>
        <w:t xml:space="preserve">De las constancias que obran en el sistema </w:t>
      </w:r>
      <w:r w:rsidRPr="00BD6364">
        <w:rPr>
          <w:rFonts w:ascii="Palatino Linotype" w:eastAsiaTheme="minorHAnsi" w:hAnsi="Palatino Linotype" w:cs="Arial"/>
          <w:b/>
          <w:bCs/>
          <w:lang w:val="es-MX" w:eastAsia="en-US"/>
        </w:rPr>
        <w:t>SAIMEX</w:t>
      </w:r>
      <w:r w:rsidRPr="009A6B97">
        <w:rPr>
          <w:rFonts w:ascii="Palatino Linotype" w:eastAsiaTheme="minorHAnsi" w:hAnsi="Palatino Linotype" w:cs="Arial"/>
          <w:lang w:val="es-MX" w:eastAsia="en-US"/>
        </w:rPr>
        <w:t xml:space="preserve">, se advierte que en fecha </w:t>
      </w:r>
      <w:r w:rsidR="001C492C">
        <w:rPr>
          <w:rFonts w:ascii="Palatino Linotype" w:eastAsiaTheme="minorHAnsi" w:hAnsi="Palatino Linotype" w:cs="Arial"/>
          <w:lang w:val="es-MX" w:eastAsia="en-US"/>
        </w:rPr>
        <w:t>cinco</w:t>
      </w:r>
      <w:r w:rsidR="00BD6364">
        <w:rPr>
          <w:rFonts w:ascii="Palatino Linotype" w:eastAsiaTheme="minorHAnsi" w:hAnsi="Palatino Linotype" w:cs="Arial"/>
          <w:lang w:val="es-MX" w:eastAsia="en-US"/>
        </w:rPr>
        <w:t xml:space="preserve"> de marzo</w:t>
      </w:r>
      <w:r w:rsidR="00B14416">
        <w:rPr>
          <w:rFonts w:ascii="Palatino Linotype" w:eastAsiaTheme="minorHAnsi" w:hAnsi="Palatino Linotype" w:cs="Arial"/>
          <w:lang w:val="es-MX" w:eastAsia="en-US"/>
        </w:rPr>
        <w:t xml:space="preserve"> de dos mil veinticinco</w:t>
      </w:r>
      <w:r w:rsidRPr="009A6B97">
        <w:rPr>
          <w:rFonts w:ascii="Palatino Linotype" w:eastAsiaTheme="minorHAnsi" w:hAnsi="Palatino Linotype" w:cs="Arial"/>
          <w:lang w:val="es-MX" w:eastAsia="en-US"/>
        </w:rPr>
        <w:t>,</w:t>
      </w:r>
      <w:r w:rsidR="00B14416">
        <w:rPr>
          <w:rFonts w:ascii="Palatino Linotype" w:eastAsiaTheme="minorHAnsi" w:hAnsi="Palatino Linotype" w:cs="Arial"/>
          <w:lang w:val="es-MX" w:eastAsia="en-US"/>
        </w:rPr>
        <w:t xml:space="preserve"> el </w:t>
      </w:r>
      <w:r w:rsidRPr="009A6B97">
        <w:rPr>
          <w:rFonts w:ascii="Palatino Linotype" w:eastAsiaTheme="minorHAnsi" w:hAnsi="Palatino Linotype" w:cs="Arial"/>
          <w:b/>
          <w:lang w:val="es-MX" w:eastAsia="en-US"/>
        </w:rPr>
        <w:t>Sujeto Obligado</w:t>
      </w:r>
      <w:r w:rsidRPr="009A6B97">
        <w:rPr>
          <w:rFonts w:ascii="Palatino Linotype" w:eastAsiaTheme="minorHAnsi" w:hAnsi="Palatino Linotype" w:cs="Arial"/>
          <w:lang w:val="es-MX" w:eastAsia="en-US"/>
        </w:rPr>
        <w:t xml:space="preserve"> </w:t>
      </w:r>
      <w:r w:rsidR="00BD6364">
        <w:rPr>
          <w:rFonts w:ascii="Palatino Linotype" w:eastAsiaTheme="minorHAnsi" w:hAnsi="Palatino Linotype" w:cs="Arial"/>
          <w:lang w:val="es-MX" w:eastAsia="en-US"/>
        </w:rPr>
        <w:t xml:space="preserve">emitió su respuesta a la </w:t>
      </w:r>
      <w:r w:rsidR="00807D02">
        <w:rPr>
          <w:rFonts w:ascii="Palatino Linotype" w:eastAsiaTheme="minorHAnsi" w:hAnsi="Palatino Linotype" w:cs="Arial"/>
          <w:lang w:val="es-MX" w:eastAsia="en-US"/>
        </w:rPr>
        <w:t xml:space="preserve">solicitud </w:t>
      </w:r>
      <w:r w:rsidR="00BD6364">
        <w:rPr>
          <w:rFonts w:ascii="Palatino Linotype" w:eastAsiaTheme="minorHAnsi" w:hAnsi="Palatino Linotype" w:cs="Arial"/>
          <w:lang w:val="es-MX" w:eastAsia="en-US"/>
        </w:rPr>
        <w:t>de información</w:t>
      </w:r>
      <w:r w:rsidRPr="009A6B97">
        <w:rPr>
          <w:rFonts w:ascii="Palatino Linotype" w:eastAsiaTheme="minorHAnsi" w:hAnsi="Palatino Linotype" w:cs="Arial"/>
          <w:lang w:val="es-MX" w:eastAsia="en-US"/>
        </w:rPr>
        <w:t xml:space="preserve"> en los siguientes términos:</w:t>
      </w:r>
    </w:p>
    <w:p w14:paraId="6B3B2F28" w14:textId="77777777" w:rsidR="007D645B" w:rsidRPr="009A6B97" w:rsidRDefault="007D645B" w:rsidP="007D645B">
      <w:pPr>
        <w:rPr>
          <w:lang w:val="es-MX"/>
        </w:rPr>
      </w:pPr>
    </w:p>
    <w:p w14:paraId="2A2CEAE1" w14:textId="77777777" w:rsidR="001C492C" w:rsidRPr="001C492C" w:rsidRDefault="007D645B" w:rsidP="001C492C">
      <w:pPr>
        <w:spacing w:line="276" w:lineRule="auto"/>
        <w:ind w:left="567" w:right="567"/>
        <w:jc w:val="both"/>
        <w:rPr>
          <w:rFonts w:ascii="Palatino Linotype" w:hAnsi="Palatino Linotype"/>
          <w:i/>
          <w:sz w:val="22"/>
          <w:szCs w:val="22"/>
          <w:lang w:val="es-MX" w:eastAsia="es-MX"/>
        </w:rPr>
      </w:pPr>
      <w:r w:rsidRPr="009A6B97">
        <w:rPr>
          <w:rFonts w:ascii="Palatino Linotype" w:hAnsi="Palatino Linotype"/>
          <w:i/>
          <w:sz w:val="22"/>
          <w:szCs w:val="22"/>
          <w:lang w:val="es-MX" w:eastAsia="es-MX"/>
        </w:rPr>
        <w:t>“</w:t>
      </w:r>
      <w:r w:rsidR="001C492C" w:rsidRPr="001C492C">
        <w:rPr>
          <w:rFonts w:ascii="Palatino Linotype" w:hAnsi="Palatino Linotype"/>
          <w:i/>
          <w:sz w:val="22"/>
          <w:szCs w:val="22"/>
          <w:lang w:val="es-MX" w:eastAsia="es-MX"/>
        </w:rPr>
        <w:t xml:space="preserve">Buenas tardes, por medio de la presente le hago hacer llegar la respuesta a su solicitud. </w:t>
      </w:r>
      <w:proofErr w:type="gramStart"/>
      <w:r w:rsidR="001C492C" w:rsidRPr="001C492C">
        <w:rPr>
          <w:rFonts w:ascii="Palatino Linotype" w:hAnsi="Palatino Linotype"/>
          <w:i/>
          <w:sz w:val="22"/>
          <w:szCs w:val="22"/>
          <w:lang w:val="es-MX" w:eastAsia="es-MX"/>
        </w:rPr>
        <w:t>sin</w:t>
      </w:r>
      <w:proofErr w:type="gramEnd"/>
      <w:r w:rsidR="001C492C" w:rsidRPr="001C492C">
        <w:rPr>
          <w:rFonts w:ascii="Palatino Linotype" w:hAnsi="Palatino Linotype"/>
          <w:i/>
          <w:sz w:val="22"/>
          <w:szCs w:val="22"/>
          <w:lang w:val="es-MX" w:eastAsia="es-MX"/>
        </w:rPr>
        <w:t xml:space="preserve"> más quedo a usted</w:t>
      </w:r>
    </w:p>
    <w:p w14:paraId="438A1B6D" w14:textId="77777777" w:rsidR="001C492C" w:rsidRDefault="001C492C" w:rsidP="001C492C">
      <w:pPr>
        <w:spacing w:line="276" w:lineRule="auto"/>
        <w:ind w:left="567" w:right="567"/>
        <w:jc w:val="both"/>
        <w:rPr>
          <w:rFonts w:ascii="Palatino Linotype" w:hAnsi="Palatino Linotype"/>
          <w:i/>
          <w:sz w:val="22"/>
          <w:szCs w:val="22"/>
          <w:lang w:val="es-MX" w:eastAsia="es-MX"/>
        </w:rPr>
      </w:pPr>
    </w:p>
    <w:p w14:paraId="183B86FE" w14:textId="79C63271" w:rsidR="001C492C" w:rsidRPr="001C492C" w:rsidRDefault="001C492C" w:rsidP="001C492C">
      <w:pPr>
        <w:spacing w:line="276" w:lineRule="auto"/>
        <w:ind w:left="567" w:right="567"/>
        <w:jc w:val="both"/>
        <w:rPr>
          <w:rFonts w:ascii="Palatino Linotype" w:hAnsi="Palatino Linotype"/>
          <w:i/>
          <w:sz w:val="22"/>
          <w:szCs w:val="22"/>
          <w:lang w:val="es-MX" w:eastAsia="es-MX"/>
        </w:rPr>
      </w:pPr>
      <w:r w:rsidRPr="001C492C">
        <w:rPr>
          <w:rFonts w:ascii="Palatino Linotype" w:hAnsi="Palatino Linotype"/>
          <w:i/>
          <w:sz w:val="22"/>
          <w:szCs w:val="22"/>
          <w:lang w:val="es-MX" w:eastAsia="es-MX"/>
        </w:rPr>
        <w:t>ATENTAMENTE</w:t>
      </w:r>
    </w:p>
    <w:p w14:paraId="2B153B28" w14:textId="3EB67C2A" w:rsidR="007D645B" w:rsidRDefault="001C492C" w:rsidP="001C492C">
      <w:pPr>
        <w:spacing w:line="276" w:lineRule="auto"/>
        <w:ind w:left="567" w:right="567"/>
        <w:jc w:val="both"/>
        <w:rPr>
          <w:rFonts w:ascii="Palatino Linotype" w:hAnsi="Palatino Linotype"/>
          <w:i/>
          <w:sz w:val="22"/>
          <w:szCs w:val="22"/>
          <w:lang w:val="es-MX" w:eastAsia="es-MX"/>
        </w:rPr>
      </w:pPr>
      <w:r w:rsidRPr="001C492C">
        <w:rPr>
          <w:rFonts w:ascii="Palatino Linotype" w:hAnsi="Palatino Linotype"/>
          <w:i/>
          <w:sz w:val="22"/>
          <w:szCs w:val="22"/>
          <w:lang w:val="es-MX" w:eastAsia="es-MX"/>
        </w:rPr>
        <w:t>MTRA MARÍA DEL CARMEN IBARRA LARA</w:t>
      </w:r>
      <w:r w:rsidR="007D645B" w:rsidRPr="009A6B97">
        <w:rPr>
          <w:rFonts w:ascii="Palatino Linotype" w:hAnsi="Palatino Linotype"/>
          <w:i/>
          <w:sz w:val="22"/>
          <w:szCs w:val="22"/>
          <w:lang w:val="es-MX" w:eastAsia="es-MX"/>
        </w:rPr>
        <w:t>” (Sic).</w:t>
      </w:r>
    </w:p>
    <w:p w14:paraId="1D62F330" w14:textId="77777777" w:rsidR="00807D02" w:rsidRDefault="00807D02" w:rsidP="007D645B">
      <w:pPr>
        <w:spacing w:line="360" w:lineRule="auto"/>
        <w:jc w:val="both"/>
        <w:rPr>
          <w:rFonts w:ascii="Palatino Linotype" w:eastAsiaTheme="minorHAnsi" w:hAnsi="Palatino Linotype" w:cs="Arial"/>
          <w:lang w:val="es-MX" w:eastAsia="en-US"/>
        </w:rPr>
      </w:pPr>
    </w:p>
    <w:p w14:paraId="57BBB84B" w14:textId="2EB1D5C6" w:rsidR="007D645B" w:rsidRDefault="007D645B" w:rsidP="007D645B">
      <w:pPr>
        <w:spacing w:line="360" w:lineRule="auto"/>
        <w:jc w:val="both"/>
        <w:rPr>
          <w:rFonts w:ascii="Palatino Linotype" w:hAnsi="Palatino Linotype"/>
          <w:i/>
          <w:sz w:val="22"/>
          <w:szCs w:val="22"/>
          <w:lang w:val="es-MX" w:eastAsia="es-MX"/>
        </w:rPr>
      </w:pPr>
      <w:r w:rsidRPr="00386D38">
        <w:rPr>
          <w:rFonts w:ascii="Palatino Linotype" w:eastAsiaTheme="minorHAnsi" w:hAnsi="Palatino Linotype" w:cs="Arial"/>
          <w:lang w:val="es-MX" w:eastAsia="en-US"/>
        </w:rPr>
        <w:t xml:space="preserve">El </w:t>
      </w:r>
      <w:r w:rsidRPr="00386D38">
        <w:rPr>
          <w:rFonts w:ascii="Palatino Linotype" w:eastAsiaTheme="minorHAnsi" w:hAnsi="Palatino Linotype" w:cs="Arial"/>
          <w:b/>
          <w:lang w:val="es-MX" w:eastAsia="en-US"/>
        </w:rPr>
        <w:t>Sujeto Obligado</w:t>
      </w:r>
      <w:r w:rsidRPr="00386D38">
        <w:rPr>
          <w:rFonts w:ascii="Palatino Linotype" w:eastAsiaTheme="minorHAnsi" w:hAnsi="Palatino Linotype" w:cs="Arial"/>
          <w:lang w:val="es-MX" w:eastAsia="en-US"/>
        </w:rPr>
        <w:t xml:space="preserve"> adjuntó a su respuesta, </w:t>
      </w:r>
      <w:r w:rsidR="001C492C">
        <w:rPr>
          <w:rFonts w:ascii="Palatino Linotype" w:eastAsiaTheme="minorHAnsi" w:hAnsi="Palatino Linotype" w:cs="Arial"/>
          <w:lang w:val="es-MX" w:eastAsia="en-US"/>
        </w:rPr>
        <w:t xml:space="preserve">el </w:t>
      </w:r>
      <w:r w:rsidRPr="00386D38">
        <w:rPr>
          <w:rFonts w:ascii="Palatino Linotype" w:eastAsiaTheme="minorHAnsi" w:hAnsi="Palatino Linotype" w:cs="Arial"/>
          <w:lang w:val="es-MX" w:eastAsia="en-US"/>
        </w:rPr>
        <w:t xml:space="preserve">archivo electrónico denominado </w:t>
      </w:r>
      <w:r w:rsidRPr="00386D38">
        <w:rPr>
          <w:rFonts w:ascii="Palatino Linotype" w:eastAsiaTheme="minorHAnsi" w:hAnsi="Palatino Linotype" w:cs="Arial"/>
          <w:i/>
          <w:lang w:val="es-MX" w:eastAsia="en-US"/>
        </w:rPr>
        <w:t>“</w:t>
      </w:r>
      <w:r w:rsidR="001C492C" w:rsidRPr="001C492C">
        <w:rPr>
          <w:rFonts w:ascii="Palatino Linotype" w:eastAsiaTheme="minorHAnsi" w:hAnsi="Palatino Linotype" w:cs="Arial"/>
          <w:i/>
          <w:lang w:val="es-MX" w:eastAsia="en-US"/>
        </w:rPr>
        <w:t>50.pdf</w:t>
      </w:r>
      <w:r w:rsidRPr="00386D38">
        <w:rPr>
          <w:rFonts w:ascii="Palatino Linotype" w:eastAsiaTheme="minorHAnsi" w:hAnsi="Palatino Linotype" w:cs="Arial"/>
          <w:i/>
          <w:lang w:val="es-MX" w:eastAsia="en-US"/>
        </w:rPr>
        <w:t>”;</w:t>
      </w:r>
      <w:r w:rsidRPr="00386D38">
        <w:rPr>
          <w:rFonts w:ascii="Palatino Linotype" w:eastAsiaTheme="minorHAnsi" w:hAnsi="Palatino Linotype" w:cs="Arial"/>
          <w:lang w:val="es-MX" w:eastAsia="en-US"/>
        </w:rPr>
        <w:t xml:space="preserve"> cuyo contenido no se inserta por ser del conocimiento de las partes, sin embargo, será motivo de estudio en el Considerado respectivo. </w:t>
      </w:r>
    </w:p>
    <w:p w14:paraId="1D2F2BF7" w14:textId="77777777" w:rsidR="0057280C" w:rsidRPr="0057280C" w:rsidRDefault="0057280C" w:rsidP="007D645B">
      <w:pPr>
        <w:spacing w:line="360" w:lineRule="auto"/>
        <w:jc w:val="both"/>
        <w:rPr>
          <w:rFonts w:ascii="Palatino Linotype" w:hAnsi="Palatino Linotype"/>
          <w:i/>
          <w:sz w:val="22"/>
          <w:szCs w:val="22"/>
          <w:lang w:val="es-MX" w:eastAsia="es-MX"/>
        </w:rPr>
      </w:pPr>
    </w:p>
    <w:p w14:paraId="5799EE56" w14:textId="3EF1542A" w:rsidR="007D645B" w:rsidRPr="009A6B97" w:rsidRDefault="00B14416" w:rsidP="007D6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w:t>
      </w:r>
      <w:r w:rsidR="007D645B" w:rsidRPr="009A6B97">
        <w:rPr>
          <w:rFonts w:ascii="Palatino Linotype" w:eastAsiaTheme="minorHAnsi" w:hAnsi="Palatino Linotype" w:cs="Arial"/>
          <w:b/>
          <w:sz w:val="28"/>
          <w:lang w:val="es-MX" w:eastAsia="en-US"/>
        </w:rPr>
        <w:t>O. Del recurso de revisión.</w:t>
      </w:r>
    </w:p>
    <w:p w14:paraId="451EF501" w14:textId="17D408A6" w:rsidR="007D645B" w:rsidRDefault="007D645B" w:rsidP="001C492C">
      <w:pPr>
        <w:spacing w:line="360" w:lineRule="auto"/>
        <w:jc w:val="both"/>
        <w:rPr>
          <w:rFonts w:ascii="Palatino Linotype" w:eastAsiaTheme="minorHAnsi" w:hAnsi="Palatino Linotype" w:cs="Arial"/>
          <w:lang w:val="es-MX" w:eastAsia="en-US"/>
        </w:rPr>
      </w:pPr>
      <w:r w:rsidRPr="009A6B97">
        <w:rPr>
          <w:rFonts w:ascii="Palatino Linotype" w:eastAsiaTheme="minorHAnsi" w:hAnsi="Palatino Linotype" w:cs="Arial"/>
          <w:lang w:val="es-MX" w:eastAsia="en-US"/>
        </w:rPr>
        <w:t xml:space="preserve">Inconforme con la respuesta por parte del </w:t>
      </w:r>
      <w:r w:rsidRPr="009A6B97">
        <w:rPr>
          <w:rFonts w:ascii="Palatino Linotype" w:eastAsiaTheme="minorHAnsi" w:hAnsi="Palatino Linotype" w:cs="Arial"/>
          <w:b/>
          <w:lang w:val="es-MX" w:eastAsia="en-US"/>
        </w:rPr>
        <w:t>Sujeto Obligado</w:t>
      </w:r>
      <w:r w:rsidRPr="009A6B97">
        <w:rPr>
          <w:rFonts w:ascii="Palatino Linotype" w:eastAsiaTheme="minorHAnsi" w:hAnsi="Palatino Linotype" w:cs="Arial"/>
          <w:lang w:val="es-MX" w:eastAsia="en-US"/>
        </w:rPr>
        <w:t xml:space="preserve">, </w:t>
      </w:r>
      <w:r w:rsidR="00344236">
        <w:rPr>
          <w:rFonts w:ascii="Palatino Linotype" w:eastAsiaTheme="minorHAnsi" w:hAnsi="Palatino Linotype" w:cs="Arial"/>
          <w:lang w:val="es-MX" w:eastAsia="en-US"/>
        </w:rPr>
        <w:t>el</w:t>
      </w:r>
      <w:r w:rsidRPr="009A6B97">
        <w:rPr>
          <w:rFonts w:ascii="Palatino Linotype" w:eastAsiaTheme="minorHAnsi" w:hAnsi="Palatino Linotype" w:cs="Arial"/>
          <w:lang w:val="es-MX" w:eastAsia="en-US"/>
        </w:rPr>
        <w:t xml:space="preserve"> ahora </w:t>
      </w:r>
      <w:r w:rsidRPr="009A6B97">
        <w:rPr>
          <w:rFonts w:ascii="Palatino Linotype" w:eastAsiaTheme="minorHAnsi" w:hAnsi="Palatino Linotype" w:cs="Arial"/>
          <w:b/>
          <w:lang w:val="es-MX" w:eastAsia="en-US"/>
        </w:rPr>
        <w:t>Recurrente</w:t>
      </w:r>
      <w:r w:rsidRPr="009A6B97">
        <w:rPr>
          <w:rFonts w:ascii="Palatino Linotype" w:eastAsiaTheme="minorHAnsi" w:hAnsi="Palatino Linotype" w:cs="Arial"/>
          <w:lang w:val="es-MX" w:eastAsia="en-US"/>
        </w:rPr>
        <w:t xml:space="preserve"> interpuso el presente recurso de revisión en fecha </w:t>
      </w:r>
      <w:r w:rsidR="00A97F97">
        <w:rPr>
          <w:rFonts w:ascii="Palatino Linotype" w:eastAsiaTheme="minorHAnsi" w:hAnsi="Palatino Linotype" w:cs="Arial"/>
          <w:lang w:val="es-MX" w:eastAsia="en-US"/>
        </w:rPr>
        <w:t>dieciocho</w:t>
      </w:r>
      <w:r w:rsidR="00B14416">
        <w:rPr>
          <w:rFonts w:ascii="Palatino Linotype" w:eastAsiaTheme="minorHAnsi" w:hAnsi="Palatino Linotype" w:cs="Arial"/>
          <w:lang w:val="es-MX" w:eastAsia="en-US"/>
        </w:rPr>
        <w:t xml:space="preserve"> de </w:t>
      </w:r>
      <w:r w:rsidR="00807D02">
        <w:rPr>
          <w:rFonts w:ascii="Palatino Linotype" w:eastAsiaTheme="minorHAnsi" w:hAnsi="Palatino Linotype" w:cs="Arial"/>
          <w:lang w:val="es-MX" w:eastAsia="en-US"/>
        </w:rPr>
        <w:t>marzo</w:t>
      </w:r>
      <w:r w:rsidRPr="009A6B97">
        <w:rPr>
          <w:rFonts w:ascii="Palatino Linotype" w:eastAsiaTheme="minorHAnsi" w:hAnsi="Palatino Linotype" w:cs="Arial"/>
          <w:lang w:val="es-MX" w:eastAsia="en-US"/>
        </w:rPr>
        <w:t xml:space="preserve"> de do</w:t>
      </w:r>
      <w:r w:rsidR="00B14416">
        <w:rPr>
          <w:rFonts w:ascii="Palatino Linotype" w:eastAsiaTheme="minorHAnsi" w:hAnsi="Palatino Linotype" w:cs="Arial"/>
          <w:lang w:val="es-MX" w:eastAsia="en-US"/>
        </w:rPr>
        <w:t>s mil veinticinco</w:t>
      </w:r>
      <w:r w:rsidRPr="009A6B97">
        <w:rPr>
          <w:rFonts w:ascii="Palatino Linotype" w:eastAsiaTheme="minorHAnsi" w:hAnsi="Palatino Linotype" w:cs="Arial"/>
          <w:lang w:val="es-MX" w:eastAsia="en-US"/>
        </w:rPr>
        <w:t>, el cual fue registrado</w:t>
      </w:r>
      <w:r w:rsidRPr="009A6B97">
        <w:rPr>
          <w:rFonts w:ascii="Palatino Linotype" w:eastAsiaTheme="minorHAnsi" w:hAnsi="Palatino Linotype" w:cs="Arial"/>
          <w:b/>
          <w:lang w:val="es-MX" w:eastAsia="en-US"/>
        </w:rPr>
        <w:t xml:space="preserve"> </w:t>
      </w:r>
      <w:r w:rsidRPr="009A6B97">
        <w:rPr>
          <w:rFonts w:ascii="Palatino Linotype" w:eastAsiaTheme="minorHAnsi" w:hAnsi="Palatino Linotype" w:cs="Arial"/>
          <w:lang w:val="es-MX" w:eastAsia="en-US"/>
        </w:rPr>
        <w:t xml:space="preserve">en el sistema electrónico con el expediente número </w:t>
      </w:r>
      <w:r w:rsidRPr="009A6B97">
        <w:rPr>
          <w:rFonts w:ascii="Palatino Linotype" w:eastAsiaTheme="minorHAnsi" w:hAnsi="Palatino Linotype" w:cs="Arial"/>
          <w:b/>
          <w:bCs/>
          <w:lang w:val="es-MX" w:eastAsia="es-MX"/>
        </w:rPr>
        <w:t>0</w:t>
      </w:r>
      <w:r w:rsidR="00807D02">
        <w:rPr>
          <w:rFonts w:ascii="Palatino Linotype" w:eastAsiaTheme="minorHAnsi" w:hAnsi="Palatino Linotype" w:cs="Arial"/>
          <w:b/>
          <w:bCs/>
          <w:lang w:val="es-MX" w:eastAsia="es-MX"/>
        </w:rPr>
        <w:t>3</w:t>
      </w:r>
      <w:r w:rsidR="001C492C">
        <w:rPr>
          <w:rFonts w:ascii="Palatino Linotype" w:eastAsiaTheme="minorHAnsi" w:hAnsi="Palatino Linotype" w:cs="Arial"/>
          <w:b/>
          <w:bCs/>
          <w:lang w:val="es-MX" w:eastAsia="es-MX"/>
        </w:rPr>
        <w:t>030</w:t>
      </w:r>
      <w:r w:rsidRPr="009A6B97">
        <w:rPr>
          <w:rFonts w:ascii="Palatino Linotype" w:eastAsiaTheme="minorHAnsi" w:hAnsi="Palatino Linotype" w:cs="Arial"/>
          <w:b/>
          <w:bCs/>
          <w:lang w:val="es-MX" w:eastAsia="es-MX"/>
        </w:rPr>
        <w:t>/INFOEM/IP/RR/202</w:t>
      </w:r>
      <w:r w:rsidR="00B14416">
        <w:rPr>
          <w:rFonts w:ascii="Palatino Linotype" w:eastAsiaTheme="minorHAnsi" w:hAnsi="Palatino Linotype" w:cs="Arial"/>
          <w:b/>
          <w:bCs/>
          <w:lang w:val="es-MX" w:eastAsia="es-MX"/>
        </w:rPr>
        <w:t>5</w:t>
      </w:r>
      <w:r w:rsidRPr="009A6B97">
        <w:rPr>
          <w:rFonts w:ascii="Palatino Linotype" w:eastAsiaTheme="minorHAnsi" w:hAnsi="Palatino Linotype" w:cs="Arial"/>
          <w:lang w:val="es-MX" w:eastAsia="en-US"/>
        </w:rPr>
        <w:t>, en el cual aduce, las siguientes manifestaciones:</w:t>
      </w:r>
    </w:p>
    <w:p w14:paraId="467DB15E" w14:textId="77777777" w:rsidR="001C492C" w:rsidRPr="001C492C" w:rsidRDefault="001C492C" w:rsidP="001C492C">
      <w:pPr>
        <w:spacing w:line="360" w:lineRule="auto"/>
        <w:jc w:val="both"/>
        <w:rPr>
          <w:rFonts w:ascii="Palatino Linotype" w:eastAsiaTheme="minorHAnsi" w:hAnsi="Palatino Linotype" w:cs="Arial"/>
          <w:lang w:val="es-MX" w:eastAsia="en-US"/>
        </w:rPr>
      </w:pPr>
    </w:p>
    <w:p w14:paraId="4567D74F" w14:textId="7EF73412" w:rsidR="007D645B" w:rsidRPr="0057280C" w:rsidRDefault="007D645B" w:rsidP="00A97F97">
      <w:pPr>
        <w:numPr>
          <w:ilvl w:val="0"/>
          <w:numId w:val="1"/>
        </w:numPr>
        <w:spacing w:line="259" w:lineRule="auto"/>
        <w:jc w:val="both"/>
        <w:rPr>
          <w:rFonts w:ascii="Palatino Linotype" w:hAnsi="Palatino Linotype" w:cs="Arial"/>
          <w:b/>
          <w:sz w:val="26"/>
          <w:szCs w:val="26"/>
        </w:rPr>
      </w:pPr>
      <w:r w:rsidRPr="009A6B97">
        <w:rPr>
          <w:rFonts w:ascii="Palatino Linotype" w:hAnsi="Palatino Linotype" w:cs="Arial"/>
          <w:b/>
          <w:sz w:val="26"/>
          <w:szCs w:val="26"/>
        </w:rPr>
        <w:t>Acto Impugnado:</w:t>
      </w:r>
      <w:r w:rsidR="0057280C">
        <w:rPr>
          <w:rFonts w:ascii="Palatino Linotype" w:hAnsi="Palatino Linotype" w:cs="Arial"/>
          <w:b/>
          <w:sz w:val="26"/>
          <w:szCs w:val="26"/>
        </w:rPr>
        <w:t xml:space="preserve"> </w:t>
      </w:r>
      <w:r w:rsidRPr="0057280C">
        <w:rPr>
          <w:rFonts w:ascii="Palatino Linotype" w:eastAsiaTheme="minorHAnsi" w:hAnsi="Palatino Linotype" w:cstheme="minorBidi"/>
          <w:i/>
          <w:color w:val="000000"/>
          <w:sz w:val="22"/>
          <w:szCs w:val="22"/>
          <w:lang w:val="es-MX" w:eastAsia="en-US"/>
        </w:rPr>
        <w:t>“</w:t>
      </w:r>
      <w:r w:rsidR="001C492C" w:rsidRPr="001C492C">
        <w:rPr>
          <w:rFonts w:ascii="Palatino Linotype" w:eastAsiaTheme="minorHAnsi" w:hAnsi="Palatino Linotype" w:cstheme="minorBidi"/>
          <w:i/>
          <w:color w:val="000000"/>
          <w:sz w:val="22"/>
          <w:szCs w:val="22"/>
          <w:lang w:val="es-MX" w:eastAsia="en-US"/>
        </w:rPr>
        <w:t>la INFORMACIÓN ES INCOMPLETA Y PARCIAL</w:t>
      </w:r>
      <w:r w:rsidRPr="0057280C">
        <w:rPr>
          <w:rFonts w:ascii="Palatino Linotype" w:eastAsiaTheme="minorHAnsi" w:hAnsi="Palatino Linotype" w:cstheme="minorBidi"/>
          <w:i/>
          <w:color w:val="000000"/>
          <w:sz w:val="22"/>
          <w:szCs w:val="22"/>
          <w:lang w:val="es-MX" w:eastAsia="en-US"/>
        </w:rPr>
        <w:t>” (Sic).</w:t>
      </w:r>
    </w:p>
    <w:p w14:paraId="3591075B" w14:textId="77777777" w:rsidR="001C492C" w:rsidRPr="009A6B97" w:rsidRDefault="001C492C" w:rsidP="007D645B">
      <w:pPr>
        <w:spacing w:line="276" w:lineRule="auto"/>
        <w:ind w:left="284"/>
        <w:jc w:val="both"/>
        <w:rPr>
          <w:rFonts w:ascii="Palatino Linotype" w:hAnsi="Palatino Linotype"/>
          <w:i/>
          <w:sz w:val="22"/>
          <w:szCs w:val="22"/>
          <w:lang w:val="es-MX" w:eastAsia="es-MX"/>
        </w:rPr>
      </w:pPr>
    </w:p>
    <w:p w14:paraId="3C99B748" w14:textId="08F2915C" w:rsidR="007D645B" w:rsidRPr="0057280C" w:rsidRDefault="007D645B" w:rsidP="00A97F97">
      <w:pPr>
        <w:pStyle w:val="Prrafodelista"/>
        <w:numPr>
          <w:ilvl w:val="0"/>
          <w:numId w:val="1"/>
        </w:numPr>
        <w:jc w:val="both"/>
        <w:rPr>
          <w:rFonts w:ascii="Palatino Linotype" w:hAnsi="Palatino Linotype"/>
          <w:i/>
          <w:sz w:val="26"/>
          <w:szCs w:val="26"/>
          <w:lang w:val="es-MX" w:eastAsia="es-MX"/>
        </w:rPr>
      </w:pPr>
      <w:r w:rsidRPr="009A6B97">
        <w:rPr>
          <w:rFonts w:ascii="Palatino Linotype" w:hAnsi="Palatino Linotype" w:cs="Arial"/>
          <w:b/>
          <w:sz w:val="26"/>
          <w:szCs w:val="26"/>
        </w:rPr>
        <w:t>Razones o Motivos de Inconformidad</w:t>
      </w:r>
      <w:r w:rsidRPr="009A6B97">
        <w:rPr>
          <w:rFonts w:ascii="Palatino Linotype" w:hAnsi="Palatino Linotype" w:cs="Arial"/>
          <w:sz w:val="26"/>
          <w:szCs w:val="26"/>
        </w:rPr>
        <w:t xml:space="preserve">: </w:t>
      </w:r>
      <w:r w:rsidRPr="0057280C">
        <w:rPr>
          <w:rFonts w:ascii="Palatino Linotype" w:eastAsiaTheme="minorHAnsi" w:hAnsi="Palatino Linotype" w:cs="Arial"/>
          <w:i/>
          <w:sz w:val="22"/>
          <w:szCs w:val="22"/>
          <w:lang w:val="es-MX" w:eastAsia="en-US"/>
        </w:rPr>
        <w:t>“</w:t>
      </w:r>
      <w:r w:rsidR="001C492C" w:rsidRPr="001C492C">
        <w:rPr>
          <w:rFonts w:ascii="Palatino Linotype" w:eastAsiaTheme="minorHAnsi" w:hAnsi="Palatino Linotype" w:cstheme="minorBidi"/>
          <w:i/>
          <w:color w:val="000000"/>
          <w:sz w:val="22"/>
          <w:szCs w:val="22"/>
          <w:lang w:val="es-MX" w:eastAsia="en-US"/>
        </w:rPr>
        <w:t>PORQUE NO ENTREGAN TODA LA DOCUMENTACIÓN, INDISTINTAMENTE DE LO QUE SUCEDA AL INTERIOR DEL SUJETO OBLIGADO, ES SU OBLIGACIÓN ENTREGAR LA INFORMACIÓN SOLICITADA.....</w:t>
      </w:r>
      <w:r w:rsidRPr="0057280C">
        <w:rPr>
          <w:rFonts w:ascii="Palatino Linotype" w:eastAsiaTheme="minorHAnsi" w:hAnsi="Palatino Linotype" w:cstheme="minorBidi"/>
          <w:i/>
          <w:color w:val="000000"/>
          <w:sz w:val="22"/>
          <w:szCs w:val="22"/>
          <w:lang w:val="es-MX" w:eastAsia="en-US"/>
        </w:rPr>
        <w:t>” (Sic)</w:t>
      </w:r>
    </w:p>
    <w:p w14:paraId="0CF62488" w14:textId="77777777" w:rsidR="00DB55A6" w:rsidRDefault="00DB55A6" w:rsidP="007D645B">
      <w:pPr>
        <w:spacing w:line="360" w:lineRule="auto"/>
        <w:jc w:val="both"/>
        <w:rPr>
          <w:rFonts w:ascii="Palatino Linotype" w:hAnsi="Palatino Linotype"/>
          <w:i/>
          <w:sz w:val="22"/>
          <w:szCs w:val="22"/>
          <w:lang w:val="es-MX" w:eastAsia="es-MX"/>
        </w:rPr>
      </w:pPr>
    </w:p>
    <w:p w14:paraId="2E43E7E2" w14:textId="77777777" w:rsidR="001C492C" w:rsidRDefault="001C492C" w:rsidP="007D645B">
      <w:pPr>
        <w:spacing w:line="360" w:lineRule="auto"/>
        <w:jc w:val="both"/>
        <w:rPr>
          <w:rFonts w:ascii="Palatino Linotype" w:hAnsi="Palatino Linotype"/>
          <w:i/>
          <w:sz w:val="22"/>
          <w:szCs w:val="22"/>
          <w:lang w:val="es-MX" w:eastAsia="es-MX"/>
        </w:rPr>
      </w:pPr>
    </w:p>
    <w:p w14:paraId="0FC6C2CD" w14:textId="4CCA8295" w:rsidR="007D645B" w:rsidRPr="009A6B97" w:rsidRDefault="00B14416" w:rsidP="007D6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CUAR</w:t>
      </w:r>
      <w:r w:rsidR="007D645B" w:rsidRPr="009A6B97">
        <w:rPr>
          <w:rFonts w:ascii="Palatino Linotype" w:eastAsiaTheme="minorHAnsi" w:hAnsi="Palatino Linotype" w:cs="Arial"/>
          <w:b/>
          <w:sz w:val="28"/>
          <w:lang w:val="es-MX" w:eastAsia="en-US"/>
        </w:rPr>
        <w:t>TO. Del turno del recurso de revisión.</w:t>
      </w:r>
    </w:p>
    <w:p w14:paraId="572BF66E" w14:textId="515F5756" w:rsidR="007D645B" w:rsidRDefault="007D645B" w:rsidP="007D645B">
      <w:pPr>
        <w:spacing w:line="360" w:lineRule="auto"/>
        <w:jc w:val="both"/>
        <w:rPr>
          <w:rFonts w:ascii="Palatino Linotype" w:eastAsiaTheme="minorHAnsi" w:hAnsi="Palatino Linotype" w:cs="Arial"/>
          <w:lang w:val="es-MX" w:eastAsia="en-US"/>
        </w:rPr>
      </w:pPr>
      <w:r w:rsidRPr="009A6B97">
        <w:rPr>
          <w:rFonts w:ascii="Palatino Linotype" w:eastAsiaTheme="minorHAnsi" w:hAnsi="Palatino Linotype" w:cs="Arial"/>
          <w:lang w:val="es-MX" w:eastAsia="en-US"/>
        </w:rPr>
        <w:t xml:space="preserve">Medio de impugnación que le fue turnado al Comisionado Presidente </w:t>
      </w:r>
      <w:r w:rsidRPr="009A6B97">
        <w:rPr>
          <w:rFonts w:ascii="Palatino Linotype" w:eastAsiaTheme="minorHAnsi" w:hAnsi="Palatino Linotype" w:cs="Arial"/>
          <w:b/>
          <w:lang w:val="es-MX" w:eastAsia="en-US"/>
        </w:rPr>
        <w:t>José Martínez Vilchis</w:t>
      </w:r>
      <w:r w:rsidRPr="009A6B97">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6021E7">
        <w:rPr>
          <w:rFonts w:ascii="Palatino Linotype" w:eastAsiaTheme="minorHAnsi" w:hAnsi="Palatino Linotype" w:cs="Arial"/>
          <w:lang w:val="es-MX" w:eastAsia="en-US"/>
        </w:rPr>
        <w:t>veinticuatro de marzo</w:t>
      </w:r>
      <w:r w:rsidR="0057280C">
        <w:rPr>
          <w:rFonts w:ascii="Palatino Linotype" w:eastAsiaTheme="minorHAnsi" w:hAnsi="Palatino Linotype" w:cs="Arial"/>
          <w:lang w:val="es-MX" w:eastAsia="en-US"/>
        </w:rPr>
        <w:t xml:space="preserve"> de dos mil veintic</w:t>
      </w:r>
      <w:r w:rsidR="00B14416">
        <w:rPr>
          <w:rFonts w:ascii="Palatino Linotype" w:eastAsiaTheme="minorHAnsi" w:hAnsi="Palatino Linotype" w:cs="Arial"/>
          <w:lang w:val="es-MX" w:eastAsia="en-US"/>
        </w:rPr>
        <w:t>inco</w:t>
      </w:r>
      <w:r w:rsidRPr="009A6B97">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07E76BD3" w14:textId="77777777" w:rsidR="00B14416" w:rsidRPr="009A6B97" w:rsidRDefault="00B14416" w:rsidP="007D645B">
      <w:pPr>
        <w:spacing w:line="360" w:lineRule="auto"/>
        <w:jc w:val="both"/>
        <w:rPr>
          <w:rFonts w:ascii="Palatino Linotype" w:eastAsiaTheme="minorHAnsi" w:hAnsi="Palatino Linotype" w:cs="Arial"/>
          <w:lang w:val="es-MX" w:eastAsia="en-US"/>
        </w:rPr>
      </w:pPr>
    </w:p>
    <w:p w14:paraId="43E07F9D" w14:textId="0363FB4F" w:rsidR="007D645B" w:rsidRPr="009A6B97" w:rsidRDefault="00B14416" w:rsidP="007D6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w:t>
      </w:r>
      <w:r w:rsidR="007D645B" w:rsidRPr="009A6B97">
        <w:rPr>
          <w:rFonts w:ascii="Palatino Linotype" w:eastAsiaTheme="minorHAnsi" w:hAnsi="Palatino Linotype" w:cs="Arial"/>
          <w:b/>
          <w:sz w:val="28"/>
          <w:lang w:val="es-MX" w:eastAsia="en-US"/>
        </w:rPr>
        <w:t>TO. De la etapa de manifestaciones y/o alegatos.</w:t>
      </w:r>
    </w:p>
    <w:p w14:paraId="114E3931" w14:textId="58DA6440" w:rsidR="00B14416" w:rsidRDefault="007D645B" w:rsidP="00B14416">
      <w:pPr>
        <w:spacing w:line="360" w:lineRule="auto"/>
        <w:jc w:val="both"/>
        <w:rPr>
          <w:rFonts w:ascii="Palatino Linotype" w:eastAsiaTheme="minorHAnsi" w:hAnsi="Palatino Linotype" w:cs="Arial"/>
          <w:lang w:val="es-MX" w:eastAsia="en-US"/>
        </w:rPr>
      </w:pPr>
      <w:r w:rsidRPr="009A6B97">
        <w:rPr>
          <w:rFonts w:ascii="Palatino Linotype" w:eastAsiaTheme="minorHAnsi" w:hAnsi="Palatino Linotype" w:cs="Arial"/>
          <w:lang w:val="es-MX" w:eastAsia="en-US"/>
        </w:rPr>
        <w:t>Una vez transcurrido el término legal referido se destaca que</w:t>
      </w:r>
      <w:r>
        <w:rPr>
          <w:rFonts w:ascii="Palatino Linotype" w:eastAsiaTheme="minorHAnsi" w:hAnsi="Palatino Linotype" w:cs="Arial"/>
          <w:lang w:val="es-MX" w:eastAsia="en-US"/>
        </w:rPr>
        <w:t>,</w:t>
      </w:r>
      <w:r w:rsidR="00B14416">
        <w:rPr>
          <w:rFonts w:ascii="Palatino Linotype" w:eastAsiaTheme="minorHAnsi" w:hAnsi="Palatino Linotype" w:cs="Arial"/>
          <w:lang w:val="es-MX" w:eastAsia="en-US"/>
        </w:rPr>
        <w:t xml:space="preserve"> el </w:t>
      </w:r>
      <w:r w:rsidR="00B14416" w:rsidRPr="00374FE7">
        <w:rPr>
          <w:rFonts w:ascii="Palatino Linotype" w:eastAsiaTheme="minorHAnsi" w:hAnsi="Palatino Linotype" w:cs="Arial"/>
          <w:b/>
          <w:lang w:val="es-MX" w:eastAsia="en-US"/>
        </w:rPr>
        <w:t>Sujeto Obligado</w:t>
      </w:r>
      <w:r w:rsidR="00B14416" w:rsidRPr="00374FE7">
        <w:rPr>
          <w:rFonts w:ascii="Palatino Linotype" w:eastAsiaTheme="minorHAnsi" w:hAnsi="Palatino Linotype" w:cs="Arial"/>
          <w:lang w:val="es-MX" w:eastAsia="en-US"/>
        </w:rPr>
        <w:t xml:space="preserve"> </w:t>
      </w:r>
      <w:r w:rsidR="001C492C">
        <w:rPr>
          <w:rFonts w:ascii="Palatino Linotype" w:eastAsiaTheme="minorHAnsi" w:hAnsi="Palatino Linotype" w:cs="Arial"/>
          <w:lang w:val="es-MX" w:eastAsia="en-US"/>
        </w:rPr>
        <w:t>fue omiso en rendir</w:t>
      </w:r>
      <w:r w:rsidR="00B14416">
        <w:rPr>
          <w:rFonts w:ascii="Palatino Linotype" w:eastAsiaTheme="minorHAnsi" w:hAnsi="Palatino Linotype" w:cs="Arial"/>
          <w:lang w:val="es-MX" w:eastAsia="en-US"/>
        </w:rPr>
        <w:t xml:space="preserve"> </w:t>
      </w:r>
      <w:r w:rsidR="00B14416" w:rsidRPr="00374FE7">
        <w:rPr>
          <w:rFonts w:ascii="Palatino Linotype" w:eastAsiaTheme="minorHAnsi" w:hAnsi="Palatino Linotype" w:cs="Arial"/>
          <w:lang w:val="es-MX" w:eastAsia="en-US"/>
        </w:rPr>
        <w:t>su informe justificado</w:t>
      </w:r>
      <w:r w:rsidR="00B14416">
        <w:rPr>
          <w:rFonts w:ascii="Palatino Linotype" w:eastAsiaTheme="minorHAnsi" w:hAnsi="Palatino Linotype" w:cs="Arial"/>
          <w:lang w:val="es-MX" w:eastAsia="en-US"/>
        </w:rPr>
        <w:t xml:space="preserve">; </w:t>
      </w:r>
      <w:r w:rsidR="00B14416" w:rsidRPr="00374FE7">
        <w:rPr>
          <w:rFonts w:ascii="Palatino Linotype" w:eastAsiaTheme="minorHAnsi" w:hAnsi="Palatino Linotype" w:cs="Arial"/>
          <w:lang w:val="es-MX" w:eastAsia="en-US"/>
        </w:rPr>
        <w:t xml:space="preserve">asimismo, se aprecia que la parte </w:t>
      </w:r>
      <w:r w:rsidR="00B14416" w:rsidRPr="00374FE7">
        <w:rPr>
          <w:rFonts w:ascii="Palatino Linotype" w:eastAsiaTheme="minorHAnsi" w:hAnsi="Palatino Linotype" w:cs="Arial"/>
          <w:b/>
          <w:lang w:val="es-MX" w:eastAsia="en-US"/>
        </w:rPr>
        <w:t>Recurrente</w:t>
      </w:r>
      <w:r w:rsidR="00B14416" w:rsidRPr="00374FE7">
        <w:rPr>
          <w:rFonts w:ascii="Palatino Linotype" w:eastAsiaTheme="minorHAnsi" w:hAnsi="Palatino Linotype" w:cs="Arial"/>
          <w:lang w:val="es-MX" w:eastAsia="en-US"/>
        </w:rPr>
        <w:t xml:space="preserve"> </w:t>
      </w:r>
      <w:r w:rsidR="001C492C">
        <w:rPr>
          <w:rFonts w:ascii="Palatino Linotype" w:eastAsiaTheme="minorHAnsi" w:hAnsi="Palatino Linotype" w:cs="Arial"/>
          <w:lang w:val="es-MX" w:eastAsia="en-US"/>
        </w:rPr>
        <w:t>tampoco</w:t>
      </w:r>
      <w:r w:rsidR="00B14416" w:rsidRPr="00374FE7">
        <w:rPr>
          <w:rFonts w:ascii="Palatino Linotype" w:eastAsiaTheme="minorHAnsi" w:hAnsi="Palatino Linotype" w:cs="Arial"/>
          <w:lang w:val="es-MX" w:eastAsia="en-US"/>
        </w:rPr>
        <w:t xml:space="preserve"> realizó alegatos, ni ofreció pruebas o manifestaciones, lo anterior de conformidad con la siguiente imagen:</w:t>
      </w:r>
    </w:p>
    <w:p w14:paraId="3A5399EC" w14:textId="77777777" w:rsidR="00BD6364" w:rsidRDefault="00BD6364" w:rsidP="001C492C">
      <w:pPr>
        <w:pStyle w:val="Sinespaciado"/>
        <w:rPr>
          <w:rFonts w:eastAsiaTheme="minorHAnsi"/>
          <w:lang w:eastAsia="en-US"/>
        </w:rPr>
      </w:pPr>
    </w:p>
    <w:p w14:paraId="4D3C4757" w14:textId="682086D3" w:rsidR="0057280C" w:rsidRDefault="001C492C" w:rsidP="00714A67">
      <w:pPr>
        <w:spacing w:line="360" w:lineRule="auto"/>
        <w:jc w:val="both"/>
        <w:rPr>
          <w:rFonts w:ascii="Palatino Linotype" w:eastAsiaTheme="minorHAnsi" w:hAnsi="Palatino Linotype" w:cs="Arial"/>
          <w:noProof/>
          <w:lang w:val="es-MX" w:eastAsia="es-MX"/>
        </w:rPr>
      </w:pPr>
      <w:r w:rsidRPr="001C492C">
        <w:rPr>
          <w:rFonts w:ascii="Palatino Linotype" w:eastAsiaTheme="minorHAnsi" w:hAnsi="Palatino Linotype" w:cs="Arial"/>
          <w:noProof/>
          <w:lang w:val="es-MX" w:eastAsia="es-MX"/>
        </w:rPr>
        <w:drawing>
          <wp:inline distT="0" distB="0" distL="0" distR="0" wp14:anchorId="42E13CD2" wp14:editId="280D8F86">
            <wp:extent cx="5791835" cy="1407795"/>
            <wp:effectExtent l="152400" t="152400" r="361315" b="363855"/>
            <wp:docPr id="20795216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521613" name=""/>
                    <pic:cNvPicPr/>
                  </pic:nvPicPr>
                  <pic:blipFill>
                    <a:blip r:embed="rId8"/>
                    <a:stretch>
                      <a:fillRect/>
                    </a:stretch>
                  </pic:blipFill>
                  <pic:spPr>
                    <a:xfrm>
                      <a:off x="0" y="0"/>
                      <a:ext cx="5791835" cy="1407795"/>
                    </a:xfrm>
                    <a:prstGeom prst="rect">
                      <a:avLst/>
                    </a:prstGeom>
                    <a:ln>
                      <a:noFill/>
                    </a:ln>
                    <a:effectLst>
                      <a:outerShdw blurRad="292100" dist="139700" dir="2700000" algn="tl" rotWithShape="0">
                        <a:srgbClr val="333333">
                          <a:alpha val="65000"/>
                        </a:srgbClr>
                      </a:outerShdw>
                    </a:effectLst>
                  </pic:spPr>
                </pic:pic>
              </a:graphicData>
            </a:graphic>
          </wp:inline>
        </w:drawing>
      </w:r>
    </w:p>
    <w:p w14:paraId="18FBE5C6" w14:textId="3444D4AB" w:rsidR="007D645B" w:rsidRPr="009A6B97" w:rsidRDefault="00B14416" w:rsidP="007D645B">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SEXT</w:t>
      </w:r>
      <w:r w:rsidR="007D645B" w:rsidRPr="009A6B97">
        <w:rPr>
          <w:rFonts w:ascii="Palatino Linotype" w:eastAsiaTheme="minorHAnsi" w:hAnsi="Palatino Linotype" w:cs="Arial"/>
          <w:b/>
          <w:sz w:val="28"/>
          <w:lang w:val="es-MX" w:eastAsia="en-US"/>
        </w:rPr>
        <w:t>O. Del cierre de instrucción.</w:t>
      </w:r>
      <w:r w:rsidR="007D645B" w:rsidRPr="009A6B97">
        <w:rPr>
          <w:rFonts w:ascii="Palatino Linotype" w:eastAsiaTheme="minorHAnsi" w:hAnsi="Palatino Linotype" w:cs="Arial"/>
          <w:b/>
          <w:sz w:val="28"/>
          <w:lang w:val="es-MX" w:eastAsia="en-US"/>
        </w:rPr>
        <w:tab/>
      </w:r>
    </w:p>
    <w:p w14:paraId="12AA9CFF" w14:textId="3EDCBB4B" w:rsidR="007D645B" w:rsidRDefault="007D645B" w:rsidP="007D645B">
      <w:pPr>
        <w:spacing w:line="360" w:lineRule="auto"/>
        <w:jc w:val="both"/>
        <w:rPr>
          <w:rFonts w:ascii="Palatino Linotype" w:eastAsiaTheme="minorHAnsi" w:hAnsi="Palatino Linotype" w:cs="Arial"/>
          <w:lang w:val="es-MX" w:eastAsia="en-US"/>
        </w:rPr>
      </w:pPr>
      <w:r w:rsidRPr="009A6B97">
        <w:rPr>
          <w:rFonts w:ascii="Palatino Linotype" w:eastAsiaTheme="minorHAnsi" w:hAnsi="Palatino Linotype" w:cs="Arial"/>
          <w:lang w:val="es-MX" w:eastAsia="en-US"/>
        </w:rPr>
        <w:t xml:space="preserve">Así, una vez transcurrido el término legal, permitió decretarse el cierre de instrucción en fecha </w:t>
      </w:r>
      <w:r w:rsidR="006021E7">
        <w:rPr>
          <w:rFonts w:ascii="Palatino Linotype" w:eastAsiaTheme="minorHAnsi" w:hAnsi="Palatino Linotype" w:cs="Arial"/>
          <w:lang w:val="es-MX" w:eastAsia="en-US"/>
        </w:rPr>
        <w:t>nueve de abril</w:t>
      </w:r>
      <w:r w:rsidRPr="009A6B97">
        <w:rPr>
          <w:rFonts w:ascii="Palatino Linotype" w:eastAsiaTheme="minorHAnsi" w:hAnsi="Palatino Linotype" w:cs="Arial"/>
          <w:lang w:val="es-MX" w:eastAsia="en-US"/>
        </w:rPr>
        <w:t xml:space="preserve"> del año en curso, en términos del artículo 185, Fracción VI, de la Ley de Transparencia y Acceso a la Información Pública del Estado de México y Municipios, iniciando el término legal para dictar resolución definitiva del asunto.</w:t>
      </w:r>
    </w:p>
    <w:p w14:paraId="1F5D923B" w14:textId="77777777" w:rsidR="006021E7" w:rsidRPr="00553D79" w:rsidRDefault="006021E7" w:rsidP="006021E7">
      <w:pPr>
        <w:spacing w:line="360" w:lineRule="auto"/>
        <w:jc w:val="both"/>
        <w:rPr>
          <w:rFonts w:ascii="Palatino Linotype" w:hAnsi="Palatino Linotype" w:cs="Arial"/>
          <w:b/>
        </w:rPr>
      </w:pPr>
      <w:r w:rsidRPr="00553D79">
        <w:rPr>
          <w:rFonts w:ascii="Palatino Linotype" w:hAnsi="Palatino Linotype" w:cs="Arial"/>
          <w:b/>
          <w:sz w:val="28"/>
        </w:rPr>
        <w:lastRenderedPageBreak/>
        <w:t>SÉPTIMO</w:t>
      </w:r>
      <w:r w:rsidRPr="00553D79">
        <w:rPr>
          <w:rFonts w:ascii="Palatino Linotype" w:hAnsi="Palatino Linotype" w:cs="Arial"/>
          <w:b/>
        </w:rPr>
        <w:t xml:space="preserve">. </w:t>
      </w:r>
      <w:r w:rsidRPr="00553D79">
        <w:rPr>
          <w:rFonts w:ascii="Palatino Linotype" w:hAnsi="Palatino Linotype" w:cs="Arial"/>
          <w:b/>
          <w:sz w:val="28"/>
          <w:szCs w:val="28"/>
        </w:rPr>
        <w:t>De la ampliación de plazo para resolver.</w:t>
      </w:r>
    </w:p>
    <w:p w14:paraId="63BFAC6F" w14:textId="63B518B2" w:rsidR="006021E7" w:rsidRPr="00553D79" w:rsidRDefault="006021E7" w:rsidP="006021E7">
      <w:pPr>
        <w:spacing w:line="360" w:lineRule="auto"/>
        <w:jc w:val="both"/>
        <w:rPr>
          <w:rFonts w:ascii="Palatino Linotype" w:hAnsi="Palatino Linotype"/>
          <w:lang w:val="es-MX"/>
        </w:rPr>
      </w:pPr>
      <w:r w:rsidRPr="00553D79">
        <w:rPr>
          <w:rFonts w:ascii="Palatino Linotype" w:hAnsi="Palatino Linotype" w:cs="Arial"/>
          <w:lang w:val="es-MX"/>
        </w:rPr>
        <w:t>E</w:t>
      </w:r>
      <w:r w:rsidRPr="00553D79">
        <w:rPr>
          <w:rFonts w:ascii="Palatino Linotype" w:hAnsi="Palatino Linotype"/>
          <w:lang w:val="es-MX"/>
        </w:rPr>
        <w:t xml:space="preserve">n fecha </w:t>
      </w:r>
      <w:r>
        <w:rPr>
          <w:rFonts w:ascii="Palatino Linotype" w:hAnsi="Palatino Linotype"/>
          <w:lang w:val="es-MX"/>
        </w:rPr>
        <w:t>catorce de mayo</w:t>
      </w:r>
      <w:r w:rsidRPr="00553D79">
        <w:rPr>
          <w:rFonts w:ascii="Palatino Linotype" w:hAnsi="Palatino Linotype"/>
          <w:lang w:val="es-MX"/>
        </w:rPr>
        <w:t xml:space="preserve"> del año en curso, se amplió el término para resolver el recurso de revisión en términos del artículo 181, párrafo tercero, de la Ley de Transparencia y Acceso a la Información Pública del Estado de México y Municipios por un plazo de quince días hábiles.</w:t>
      </w:r>
    </w:p>
    <w:p w14:paraId="0A547B1F" w14:textId="77777777" w:rsidR="005327BF" w:rsidRPr="006A240A" w:rsidRDefault="005327BF" w:rsidP="00B96A17">
      <w:pPr>
        <w:spacing w:line="360" w:lineRule="auto"/>
        <w:jc w:val="both"/>
        <w:rPr>
          <w:rFonts w:ascii="Palatino Linotype" w:hAnsi="Palatino Linotype"/>
          <w:lang w:val="es-MX"/>
        </w:rPr>
      </w:pPr>
    </w:p>
    <w:p w14:paraId="2FDBFDAE" w14:textId="77777777" w:rsidR="00E74701" w:rsidRPr="006A240A" w:rsidRDefault="00E74701" w:rsidP="00D57F74">
      <w:pPr>
        <w:spacing w:line="360" w:lineRule="auto"/>
        <w:jc w:val="center"/>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C O N S I D E R A N</w:t>
      </w:r>
      <w:r w:rsidR="00D57F74" w:rsidRPr="006A240A">
        <w:rPr>
          <w:rFonts w:ascii="Palatino Linotype" w:eastAsiaTheme="minorHAnsi" w:hAnsi="Palatino Linotype" w:cs="Arial"/>
          <w:b/>
          <w:sz w:val="28"/>
          <w:lang w:val="es-MX" w:eastAsia="en-US"/>
        </w:rPr>
        <w:t xml:space="preserve"> D O </w:t>
      </w:r>
    </w:p>
    <w:p w14:paraId="259FBCF3" w14:textId="77777777" w:rsidR="00D57F74" w:rsidRPr="006A240A" w:rsidRDefault="00D57F74" w:rsidP="00D57F74">
      <w:pPr>
        <w:spacing w:line="360" w:lineRule="auto"/>
        <w:jc w:val="center"/>
        <w:rPr>
          <w:rFonts w:ascii="Palatino Linotype" w:eastAsiaTheme="minorHAnsi" w:hAnsi="Palatino Linotype" w:cs="Arial"/>
          <w:b/>
          <w:sz w:val="6"/>
          <w:lang w:val="es-MX" w:eastAsia="en-US"/>
        </w:rPr>
      </w:pPr>
    </w:p>
    <w:p w14:paraId="7C208DB7" w14:textId="77777777" w:rsidR="0029071C" w:rsidRPr="006A240A" w:rsidRDefault="0029071C" w:rsidP="0029071C">
      <w:pPr>
        <w:spacing w:line="360" w:lineRule="auto"/>
        <w:jc w:val="both"/>
        <w:rPr>
          <w:rFonts w:ascii="Palatino Linotype" w:eastAsiaTheme="minorHAnsi" w:hAnsi="Palatino Linotype" w:cs="Arial"/>
          <w:sz w:val="28"/>
          <w:lang w:val="es-MX" w:eastAsia="en-US"/>
        </w:rPr>
      </w:pPr>
      <w:r w:rsidRPr="006A240A">
        <w:rPr>
          <w:rFonts w:ascii="Palatino Linotype" w:eastAsiaTheme="minorHAnsi" w:hAnsi="Palatino Linotype" w:cs="Arial"/>
          <w:b/>
          <w:sz w:val="28"/>
          <w:lang w:val="es-MX" w:eastAsia="en-US"/>
        </w:rPr>
        <w:t>PRIMERO. De la competencia</w:t>
      </w:r>
      <w:r w:rsidRPr="006A240A">
        <w:rPr>
          <w:rFonts w:ascii="Palatino Linotype" w:eastAsiaTheme="minorHAnsi" w:hAnsi="Palatino Linotype" w:cs="Arial"/>
          <w:sz w:val="28"/>
          <w:lang w:val="es-MX" w:eastAsia="en-US"/>
        </w:rPr>
        <w:t>.</w:t>
      </w:r>
    </w:p>
    <w:p w14:paraId="24BF2268" w14:textId="05153103" w:rsidR="00C145A0" w:rsidRDefault="006021E7" w:rsidP="00CC0B81">
      <w:pPr>
        <w:spacing w:line="360" w:lineRule="auto"/>
        <w:jc w:val="both"/>
        <w:rPr>
          <w:rFonts w:ascii="Palatino Linotype" w:eastAsiaTheme="minorHAnsi" w:hAnsi="Palatino Linotype" w:cs="Arial"/>
          <w:lang w:val="es-MX" w:eastAsia="en-US"/>
        </w:rPr>
      </w:pPr>
      <w:r w:rsidRPr="006021E7">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w:t>
      </w:r>
      <w:r>
        <w:rPr>
          <w:rFonts w:ascii="Palatino Linotype" w:eastAsiaTheme="minorHAnsi" w:hAnsi="Palatino Linotype" w:cs="Arial"/>
          <w:lang w:val="es-MX" w:eastAsia="en-US"/>
        </w:rPr>
        <w:t>,</w:t>
      </w:r>
      <w:r w:rsidRPr="006021E7">
        <w:rPr>
          <w:rFonts w:ascii="Palatino Linotype" w:eastAsiaTheme="minorHAnsi" w:hAnsi="Palatino Linotype" w:cs="Arial"/>
          <w:lang w:val="es-MX" w:eastAsia="en-US"/>
        </w:rPr>
        <w:t xml:space="preserve">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0DF55AA9" w14:textId="77777777" w:rsidR="001C492C" w:rsidRDefault="001C492C" w:rsidP="00CC0B81">
      <w:pPr>
        <w:spacing w:line="360" w:lineRule="auto"/>
        <w:jc w:val="both"/>
        <w:rPr>
          <w:rFonts w:ascii="Palatino Linotype" w:eastAsiaTheme="minorHAnsi" w:hAnsi="Palatino Linotype" w:cs="Arial"/>
          <w:lang w:val="es-MX" w:eastAsia="en-US"/>
        </w:rPr>
      </w:pPr>
    </w:p>
    <w:p w14:paraId="7A9D3570"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 xml:space="preserve">SEGUNDO. De los alcances del Recurso de Revisión. </w:t>
      </w:r>
    </w:p>
    <w:p w14:paraId="441CAA29" w14:textId="5BF76C7C" w:rsidR="005327BF"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Anterior a todo debe destacarse que el recurso de revisión tiene el fin y alcance que señalan los numerales 176, 179,</w:t>
      </w:r>
      <w:r w:rsidR="00DB55A6">
        <w:rPr>
          <w:rFonts w:ascii="Palatino Linotype" w:eastAsiaTheme="minorHAnsi" w:hAnsi="Palatino Linotype" w:cs="Arial"/>
          <w:lang w:val="es-MX" w:eastAsia="en-US"/>
        </w:rPr>
        <w:t xml:space="preserve"> fracción V, </w:t>
      </w:r>
      <w:r w:rsidRPr="006A240A">
        <w:rPr>
          <w:rFonts w:ascii="Palatino Linotype" w:eastAsiaTheme="minorHAnsi" w:hAnsi="Palatino Linotype" w:cs="Arial"/>
          <w:lang w:val="es-MX" w:eastAsia="en-US"/>
        </w:rPr>
        <w:t xml:space="preserve">181 párrafo cuarto, 194 y 195 y demás aplicables de la Ley de Transparencia y Acceso a la Información Pública del Estado de México y Municipios vigente y será analizado conforme a las actuaciones que obren en </w:t>
      </w:r>
      <w:r w:rsidRPr="006A240A">
        <w:rPr>
          <w:rFonts w:ascii="Palatino Linotype" w:eastAsiaTheme="minorHAnsi" w:hAnsi="Palatino Linotype" w:cs="Arial"/>
          <w:lang w:val="es-MX" w:eastAsia="en-US"/>
        </w:rPr>
        <w:lastRenderedPageBreak/>
        <w:t>el expediente electrónico con la finalidad de reparar cualquier posible afectación al derecho de acceso a la información pública y garantizando el principio rector de máxima publicidad.</w:t>
      </w:r>
    </w:p>
    <w:p w14:paraId="5E1B7350" w14:textId="77777777" w:rsidR="00A97F97" w:rsidRDefault="00A97F97" w:rsidP="0029071C">
      <w:pPr>
        <w:autoSpaceDE w:val="0"/>
        <w:autoSpaceDN w:val="0"/>
        <w:adjustRightInd w:val="0"/>
        <w:spacing w:line="360" w:lineRule="auto"/>
        <w:jc w:val="both"/>
        <w:rPr>
          <w:rFonts w:ascii="Palatino Linotype" w:eastAsiaTheme="minorHAnsi" w:hAnsi="Palatino Linotype" w:cs="Arial"/>
          <w:lang w:val="es-MX" w:eastAsia="en-US"/>
        </w:rPr>
      </w:pPr>
    </w:p>
    <w:p w14:paraId="1B9228DF" w14:textId="77777777" w:rsidR="00A97F97" w:rsidRPr="00734C1B" w:rsidRDefault="00A97F97" w:rsidP="00A97F97">
      <w:pPr>
        <w:autoSpaceDE w:val="0"/>
        <w:autoSpaceDN w:val="0"/>
        <w:adjustRightInd w:val="0"/>
        <w:spacing w:line="360" w:lineRule="auto"/>
        <w:jc w:val="both"/>
        <w:rPr>
          <w:rFonts w:ascii="Palatino Linotype" w:eastAsiaTheme="minorHAnsi" w:hAnsi="Palatino Linotype" w:cs="Arial"/>
          <w:lang w:val="es-MX" w:eastAsia="en-US"/>
        </w:rPr>
      </w:pPr>
      <w:r w:rsidRPr="00734C1B">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5136B3E6" w14:textId="77777777" w:rsidR="00A97F97" w:rsidRPr="00734C1B" w:rsidRDefault="00A97F97" w:rsidP="00A97F97">
      <w:pPr>
        <w:autoSpaceDE w:val="0"/>
        <w:autoSpaceDN w:val="0"/>
        <w:adjustRightInd w:val="0"/>
        <w:spacing w:line="360" w:lineRule="auto"/>
        <w:jc w:val="both"/>
        <w:rPr>
          <w:rFonts w:ascii="Palatino Linotype" w:eastAsiaTheme="minorHAnsi" w:hAnsi="Palatino Linotype" w:cs="Arial"/>
          <w:lang w:val="es-MX" w:eastAsia="en-US"/>
        </w:rPr>
      </w:pPr>
    </w:p>
    <w:p w14:paraId="3AA063EF" w14:textId="77777777" w:rsidR="00A97F97" w:rsidRPr="00734C1B" w:rsidRDefault="00A97F97" w:rsidP="00A97F97">
      <w:pPr>
        <w:autoSpaceDE w:val="0"/>
        <w:autoSpaceDN w:val="0"/>
        <w:adjustRightInd w:val="0"/>
        <w:spacing w:line="360" w:lineRule="auto"/>
        <w:jc w:val="both"/>
        <w:rPr>
          <w:rFonts w:ascii="Palatino Linotype" w:eastAsiaTheme="minorHAnsi" w:hAnsi="Palatino Linotype" w:cs="Arial"/>
          <w:lang w:val="es-MX" w:eastAsia="en-US"/>
        </w:rPr>
      </w:pPr>
      <w:r w:rsidRPr="00734C1B">
        <w:rPr>
          <w:rFonts w:ascii="Palatino Linotype" w:eastAsiaTheme="minorHAnsi" w:hAnsi="Palatino Linotype" w:cs="Arial"/>
          <w:lang w:val="es-MX" w:eastAsia="en-US"/>
        </w:rPr>
        <w:t>Resulta procedente la interposición del recurso de revisión, ya que se actualiza la causal de procedencia señalada en el artículo 179, fracción I</w:t>
      </w:r>
      <w:r>
        <w:rPr>
          <w:rFonts w:ascii="Palatino Linotype" w:eastAsiaTheme="minorHAnsi" w:hAnsi="Palatino Linotype" w:cs="Arial"/>
          <w:lang w:val="es-MX" w:eastAsia="en-US"/>
        </w:rPr>
        <w:t>,</w:t>
      </w:r>
      <w:r w:rsidRPr="00734C1B">
        <w:rPr>
          <w:rFonts w:ascii="Palatino Linotype" w:eastAsiaTheme="minorHAnsi" w:hAnsi="Palatino Linotype" w:cs="Arial"/>
          <w:lang w:val="es-MX" w:eastAsia="en-US"/>
        </w:rPr>
        <w:t xml:space="preserve"> de la Ley de Transparencia y Acceso a la Información Pública del Estado de México y Municipios.</w:t>
      </w:r>
    </w:p>
    <w:p w14:paraId="36269873" w14:textId="77777777" w:rsidR="00A97F97" w:rsidRPr="00734C1B" w:rsidRDefault="00A97F97" w:rsidP="00A97F97">
      <w:pPr>
        <w:autoSpaceDE w:val="0"/>
        <w:autoSpaceDN w:val="0"/>
        <w:adjustRightInd w:val="0"/>
        <w:spacing w:line="360" w:lineRule="auto"/>
        <w:jc w:val="both"/>
        <w:rPr>
          <w:rFonts w:ascii="Palatino Linotype" w:eastAsiaTheme="minorHAnsi" w:hAnsi="Palatino Linotype" w:cs="Arial"/>
          <w:lang w:val="es-MX" w:eastAsia="en-US"/>
        </w:rPr>
      </w:pPr>
    </w:p>
    <w:p w14:paraId="01B33857" w14:textId="77777777" w:rsidR="00A97F97" w:rsidRPr="009D0958" w:rsidRDefault="00A97F97" w:rsidP="00A97F97">
      <w:pPr>
        <w:autoSpaceDE w:val="0"/>
        <w:autoSpaceDN w:val="0"/>
        <w:adjustRightInd w:val="0"/>
        <w:spacing w:line="360" w:lineRule="auto"/>
        <w:jc w:val="both"/>
        <w:rPr>
          <w:rFonts w:ascii="Palatino Linotype" w:eastAsiaTheme="minorHAnsi" w:hAnsi="Palatino Linotype" w:cs="Arial"/>
          <w:lang w:val="es-MX" w:eastAsia="en-US"/>
        </w:rPr>
      </w:pPr>
      <w:r w:rsidRPr="00734C1B">
        <w:rPr>
          <w:rFonts w:ascii="Palatino Linotype" w:eastAsiaTheme="minorHAnsi" w:hAnsi="Palatino Linotype" w:cs="Arial"/>
          <w:lang w:val="es-MX" w:eastAsia="en-US"/>
        </w:rPr>
        <w:t xml:space="preserve">Así las cosas, al no existir causas de improcedencia invocadas por las partes ni advertidas de oficio por este </w:t>
      </w:r>
      <w:proofErr w:type="spellStart"/>
      <w:r w:rsidRPr="00734C1B">
        <w:rPr>
          <w:rFonts w:ascii="Palatino Linotype" w:eastAsiaTheme="minorHAnsi" w:hAnsi="Palatino Linotype" w:cs="Arial"/>
          <w:lang w:val="es-MX" w:eastAsia="en-US"/>
        </w:rPr>
        <w:t>Resolutor</w:t>
      </w:r>
      <w:proofErr w:type="spellEnd"/>
      <w:r w:rsidRPr="00734C1B">
        <w:rPr>
          <w:rFonts w:ascii="Palatino Linotype" w:eastAsiaTheme="minorHAnsi" w:hAnsi="Palatino Linotype" w:cs="Arial"/>
          <w:lang w:val="es-MX" w:eastAsia="en-US"/>
        </w:rPr>
        <w:t xml:space="preserve">, se </w:t>
      </w:r>
      <w:proofErr w:type="gramStart"/>
      <w:r w:rsidRPr="00734C1B">
        <w:rPr>
          <w:rFonts w:ascii="Palatino Linotype" w:eastAsiaTheme="minorHAnsi" w:hAnsi="Palatino Linotype" w:cs="Arial"/>
          <w:lang w:val="es-MX" w:eastAsia="en-US"/>
        </w:rPr>
        <w:t>procede</w:t>
      </w:r>
      <w:proofErr w:type="gramEnd"/>
      <w:r w:rsidRPr="00734C1B">
        <w:rPr>
          <w:rFonts w:ascii="Palatino Linotype" w:eastAsiaTheme="minorHAnsi" w:hAnsi="Palatino Linotype" w:cs="Arial"/>
          <w:lang w:val="es-MX" w:eastAsia="en-US"/>
        </w:rPr>
        <w:t xml:space="preserve"> al análisis del fondo de los asuntos en los siguientes términos.</w:t>
      </w:r>
    </w:p>
    <w:p w14:paraId="0129A734" w14:textId="77777777" w:rsidR="00E81C20" w:rsidRDefault="00E81C20" w:rsidP="0029071C">
      <w:pPr>
        <w:autoSpaceDE w:val="0"/>
        <w:autoSpaceDN w:val="0"/>
        <w:adjustRightInd w:val="0"/>
        <w:spacing w:line="360" w:lineRule="auto"/>
        <w:jc w:val="both"/>
        <w:rPr>
          <w:rFonts w:ascii="Palatino Linotype" w:eastAsiaTheme="minorHAnsi" w:hAnsi="Palatino Linotype" w:cs="Arial"/>
          <w:lang w:val="es-MX" w:eastAsia="en-US"/>
        </w:rPr>
      </w:pPr>
    </w:p>
    <w:p w14:paraId="7D0CEFB1" w14:textId="77777777" w:rsidR="00B14416" w:rsidRPr="00913034" w:rsidRDefault="00B14416" w:rsidP="00B14416">
      <w:pPr>
        <w:autoSpaceDE w:val="0"/>
        <w:autoSpaceDN w:val="0"/>
        <w:adjustRightInd w:val="0"/>
        <w:spacing w:line="360" w:lineRule="auto"/>
        <w:jc w:val="both"/>
        <w:rPr>
          <w:rFonts w:ascii="Palatino Linotype" w:hAnsi="Palatino Linotype" w:cs="Arial"/>
          <w:b/>
        </w:rPr>
      </w:pPr>
      <w:r w:rsidRPr="00913034">
        <w:rPr>
          <w:rFonts w:ascii="Palatino Linotype" w:hAnsi="Palatino Linotype" w:cs="Arial"/>
          <w:b/>
          <w:sz w:val="28"/>
        </w:rPr>
        <w:t>TERCERO. Cuestiones de previo y especial pronunciamiento</w:t>
      </w:r>
      <w:r w:rsidRPr="00913034">
        <w:rPr>
          <w:rFonts w:ascii="Palatino Linotype" w:hAnsi="Palatino Linotype" w:cs="Arial"/>
          <w:b/>
        </w:rPr>
        <w:t>.</w:t>
      </w:r>
    </w:p>
    <w:p w14:paraId="74545F1F" w14:textId="77777777" w:rsidR="00B14416" w:rsidRDefault="00B14416" w:rsidP="00B14416">
      <w:pPr>
        <w:spacing w:line="360" w:lineRule="auto"/>
        <w:jc w:val="both"/>
        <w:rPr>
          <w:rFonts w:ascii="Palatino Linotype" w:hAnsi="Palatino Linotype" w:cs="Arial"/>
        </w:rPr>
      </w:pPr>
      <w:r w:rsidRPr="00913034">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913034">
        <w:rPr>
          <w:rFonts w:ascii="Palatino Linotype" w:hAnsi="Palatino Linotype"/>
          <w:b/>
        </w:rPr>
        <w:t>Recurrente,</w:t>
      </w:r>
      <w:r w:rsidRPr="00913034">
        <w:rPr>
          <w:rFonts w:ascii="Palatino Linotype" w:hAnsi="Palatino Linotype"/>
        </w:rPr>
        <w:t xml:space="preserve"> por lo que en este punto se tiene por satisfecho, ya que el artículo 180, de la Ley de Transparencia y Acceso a la </w:t>
      </w:r>
      <w:r w:rsidRPr="00913034">
        <w:rPr>
          <w:rFonts w:ascii="Palatino Linotype" w:hAnsi="Palatino Linotype"/>
        </w:rPr>
        <w:lastRenderedPageBreak/>
        <w:t>Información Pública del Estado de México y Municipios último párrafo, prevé que no es requisito indispensable contener el nombre cuando se hace la impugnación de manera electrónica, ello porque no se advierte nombre en específico</w:t>
      </w:r>
      <w:r w:rsidRPr="00913034">
        <w:rPr>
          <w:rFonts w:ascii="Palatino Linotype" w:hAnsi="Palatino Linotype" w:cs="Arial"/>
        </w:rPr>
        <w:t>, del cual no se colige que corresponda al nombre de una persona.</w:t>
      </w:r>
    </w:p>
    <w:p w14:paraId="5F5C2DA0" w14:textId="77777777" w:rsidR="001C492C" w:rsidRPr="00913034" w:rsidRDefault="001C492C" w:rsidP="00B14416">
      <w:pPr>
        <w:spacing w:line="360" w:lineRule="auto"/>
        <w:jc w:val="both"/>
        <w:rPr>
          <w:rFonts w:ascii="Palatino Linotype" w:hAnsi="Palatino Linotype"/>
        </w:rPr>
      </w:pPr>
    </w:p>
    <w:p w14:paraId="0D08D5C7" w14:textId="77777777" w:rsidR="00B14416" w:rsidRPr="00913034" w:rsidRDefault="00B14416" w:rsidP="00B14416">
      <w:pPr>
        <w:widowControl w:val="0"/>
        <w:autoSpaceDE w:val="0"/>
        <w:autoSpaceDN w:val="0"/>
        <w:adjustRightInd w:val="0"/>
        <w:spacing w:line="360" w:lineRule="auto"/>
        <w:jc w:val="both"/>
        <w:rPr>
          <w:rFonts w:ascii="Palatino Linotype" w:hAnsi="Palatino Linotype" w:cs="Arial"/>
        </w:rPr>
      </w:pPr>
      <w:r w:rsidRPr="00913034">
        <w:rPr>
          <w:rFonts w:ascii="Palatino Linotype" w:hAnsi="Palatino Linotype" w:cs="Arial"/>
        </w:rPr>
        <w:t xml:space="preserve">Esta Ponencia considera importante abordar el análisis de los requisitos de </w:t>
      </w:r>
      <w:proofErr w:type="spellStart"/>
      <w:r w:rsidRPr="00913034">
        <w:rPr>
          <w:rFonts w:ascii="Palatino Linotype" w:hAnsi="Palatino Linotype" w:cs="Arial"/>
        </w:rPr>
        <w:t>procedibilidad</w:t>
      </w:r>
      <w:proofErr w:type="spellEnd"/>
      <w:r w:rsidRPr="00913034">
        <w:rPr>
          <w:rFonts w:ascii="Palatino Linotype" w:hAnsi="Palatino Linotype" w:cs="Arial"/>
        </w:rPr>
        <w:t xml:space="preserve"> de los recursos de revisión, así el artículo 180 de la </w:t>
      </w:r>
      <w:r w:rsidRPr="00913034">
        <w:rPr>
          <w:rFonts w:ascii="Palatino Linotype" w:hAnsi="Palatino Linotype" w:cs="Arial"/>
          <w:lang w:eastAsia="es-MX"/>
        </w:rPr>
        <w:t xml:space="preserve">Ley de Transparencia y Acceso a la Información Pública del Estado de México y Municipios, que </w:t>
      </w:r>
      <w:r w:rsidRPr="00913034">
        <w:rPr>
          <w:rFonts w:ascii="Palatino Linotype" w:hAnsi="Palatino Linotype" w:cs="Arial"/>
        </w:rPr>
        <w:t>establece lo siguiente:</w:t>
      </w:r>
    </w:p>
    <w:p w14:paraId="26FDF5FB" w14:textId="77777777" w:rsidR="00B14416" w:rsidRPr="00913034" w:rsidRDefault="00B14416" w:rsidP="00B14416">
      <w:pPr>
        <w:rPr>
          <w:lang w:val="es-MX"/>
        </w:rPr>
      </w:pPr>
    </w:p>
    <w:p w14:paraId="77D26AFB" w14:textId="77777777" w:rsidR="00B14416" w:rsidRPr="00913034" w:rsidRDefault="00B14416" w:rsidP="00B14416">
      <w:pPr>
        <w:ind w:left="851" w:right="851"/>
        <w:jc w:val="both"/>
        <w:rPr>
          <w:rFonts w:ascii="Palatino Linotype" w:hAnsi="Palatino Linotype"/>
          <w:b/>
          <w:i/>
          <w:sz w:val="22"/>
        </w:rPr>
      </w:pPr>
      <w:r w:rsidRPr="00913034">
        <w:rPr>
          <w:rFonts w:ascii="Palatino Linotype" w:hAnsi="Palatino Linotype"/>
          <w:i/>
          <w:sz w:val="22"/>
        </w:rPr>
        <w:t>“</w:t>
      </w:r>
      <w:r w:rsidRPr="00913034">
        <w:rPr>
          <w:rFonts w:ascii="Palatino Linotype" w:hAnsi="Palatino Linotype"/>
          <w:b/>
          <w:i/>
          <w:sz w:val="22"/>
        </w:rPr>
        <w:t xml:space="preserve">Artículo 180. </w:t>
      </w:r>
      <w:r w:rsidRPr="00913034">
        <w:rPr>
          <w:rFonts w:ascii="Palatino Linotype" w:hAnsi="Palatino Linotype"/>
          <w:i/>
          <w:sz w:val="22"/>
        </w:rPr>
        <w:t xml:space="preserve">El </w:t>
      </w:r>
      <w:r w:rsidRPr="00913034">
        <w:rPr>
          <w:rFonts w:ascii="Palatino Linotype" w:hAnsi="Palatino Linotype" w:cs="Arial"/>
          <w:i/>
          <w:sz w:val="22"/>
        </w:rPr>
        <w:t>recurso</w:t>
      </w:r>
      <w:r w:rsidRPr="00913034">
        <w:rPr>
          <w:rFonts w:ascii="Palatino Linotype" w:hAnsi="Palatino Linotype"/>
          <w:i/>
          <w:sz w:val="22"/>
        </w:rPr>
        <w:t xml:space="preserve"> </w:t>
      </w:r>
      <w:r w:rsidRPr="00913034">
        <w:rPr>
          <w:rFonts w:ascii="Palatino Linotype" w:hAnsi="Palatino Linotype" w:cs="Arial"/>
          <w:i/>
          <w:sz w:val="22"/>
          <w:lang w:eastAsia="es-MX"/>
        </w:rPr>
        <w:t>de</w:t>
      </w:r>
      <w:r w:rsidRPr="00913034">
        <w:rPr>
          <w:rFonts w:ascii="Palatino Linotype" w:hAnsi="Palatino Linotype"/>
          <w:i/>
          <w:sz w:val="22"/>
        </w:rPr>
        <w:t xml:space="preserve"> revisión contendrá:</w:t>
      </w:r>
      <w:r w:rsidRPr="00913034">
        <w:rPr>
          <w:rFonts w:ascii="Palatino Linotype" w:hAnsi="Palatino Linotype"/>
          <w:b/>
          <w:i/>
          <w:sz w:val="22"/>
        </w:rPr>
        <w:t xml:space="preserve"> </w:t>
      </w:r>
    </w:p>
    <w:p w14:paraId="5E5F265A" w14:textId="77777777" w:rsidR="00B14416" w:rsidRPr="00913034" w:rsidRDefault="00B14416" w:rsidP="00B14416">
      <w:pPr>
        <w:ind w:left="851" w:right="851"/>
        <w:jc w:val="both"/>
        <w:rPr>
          <w:rFonts w:ascii="Palatino Linotype" w:hAnsi="Palatino Linotype"/>
          <w:b/>
          <w:i/>
          <w:sz w:val="22"/>
        </w:rPr>
      </w:pPr>
      <w:r w:rsidRPr="00913034">
        <w:rPr>
          <w:rFonts w:ascii="Palatino Linotype" w:hAnsi="Palatino Linotype"/>
          <w:b/>
          <w:i/>
          <w:sz w:val="22"/>
        </w:rPr>
        <w:t xml:space="preserve">I. </w:t>
      </w:r>
      <w:r w:rsidRPr="00913034">
        <w:rPr>
          <w:rFonts w:ascii="Palatino Linotype" w:hAnsi="Palatino Linotype"/>
          <w:i/>
          <w:sz w:val="22"/>
        </w:rPr>
        <w:t xml:space="preserve">El sujeto obligado ante </w:t>
      </w:r>
      <w:r w:rsidRPr="00913034">
        <w:rPr>
          <w:rFonts w:ascii="Palatino Linotype" w:hAnsi="Palatino Linotype" w:cs="Arial"/>
          <w:i/>
          <w:sz w:val="22"/>
        </w:rPr>
        <w:t>la</w:t>
      </w:r>
      <w:r w:rsidRPr="00913034">
        <w:rPr>
          <w:rFonts w:ascii="Palatino Linotype" w:hAnsi="Palatino Linotype"/>
          <w:i/>
          <w:sz w:val="22"/>
        </w:rPr>
        <w:t xml:space="preserve"> cual </w:t>
      </w:r>
      <w:r w:rsidRPr="00913034">
        <w:rPr>
          <w:rFonts w:ascii="Palatino Linotype" w:hAnsi="Palatino Linotype" w:cs="Arial"/>
          <w:i/>
          <w:sz w:val="22"/>
          <w:lang w:eastAsia="es-MX"/>
        </w:rPr>
        <w:t>se</w:t>
      </w:r>
      <w:r w:rsidRPr="00913034">
        <w:rPr>
          <w:rFonts w:ascii="Palatino Linotype" w:hAnsi="Palatino Linotype"/>
          <w:i/>
          <w:sz w:val="22"/>
        </w:rPr>
        <w:t xml:space="preserve"> presentó la solicitud;</w:t>
      </w:r>
      <w:r w:rsidRPr="00913034">
        <w:rPr>
          <w:rFonts w:ascii="Palatino Linotype" w:hAnsi="Palatino Linotype"/>
          <w:b/>
          <w:i/>
          <w:sz w:val="22"/>
        </w:rPr>
        <w:t xml:space="preserve"> </w:t>
      </w:r>
    </w:p>
    <w:p w14:paraId="034F3E9D" w14:textId="77777777" w:rsidR="00B14416" w:rsidRPr="00913034" w:rsidRDefault="00B14416" w:rsidP="00B14416">
      <w:pPr>
        <w:ind w:left="851" w:right="851"/>
        <w:jc w:val="both"/>
        <w:rPr>
          <w:rFonts w:ascii="Palatino Linotype" w:hAnsi="Palatino Linotype"/>
          <w:b/>
          <w:i/>
          <w:sz w:val="22"/>
        </w:rPr>
      </w:pPr>
      <w:r w:rsidRPr="00913034">
        <w:rPr>
          <w:rFonts w:ascii="Palatino Linotype" w:hAnsi="Palatino Linotype"/>
          <w:b/>
          <w:i/>
          <w:sz w:val="22"/>
        </w:rPr>
        <w:t xml:space="preserve">II. </w:t>
      </w:r>
      <w:r w:rsidRPr="00913034">
        <w:rPr>
          <w:rFonts w:ascii="Palatino Linotype" w:hAnsi="Palatino Linotype"/>
          <w:b/>
          <w:i/>
          <w:sz w:val="22"/>
          <w:u w:val="single"/>
        </w:rPr>
        <w:t xml:space="preserve">El nombre del solicitante </w:t>
      </w:r>
      <w:r w:rsidRPr="00913034">
        <w:rPr>
          <w:rFonts w:ascii="Palatino Linotype" w:hAnsi="Palatino Linotype" w:cs="Arial"/>
          <w:b/>
          <w:i/>
          <w:sz w:val="22"/>
          <w:u w:val="single"/>
          <w:lang w:eastAsia="es-MX"/>
        </w:rPr>
        <w:t>que</w:t>
      </w:r>
      <w:r w:rsidRPr="00913034">
        <w:rPr>
          <w:rFonts w:ascii="Palatino Linotype" w:hAnsi="Palatino Linotype"/>
          <w:b/>
          <w:i/>
          <w:sz w:val="22"/>
          <w:u w:val="single"/>
        </w:rPr>
        <w:t xml:space="preserve"> recurre</w:t>
      </w:r>
      <w:r w:rsidRPr="00913034">
        <w:rPr>
          <w:rFonts w:ascii="Palatino Linotype" w:hAnsi="Palatino Linotype"/>
          <w:b/>
          <w:i/>
          <w:sz w:val="22"/>
        </w:rPr>
        <w:t xml:space="preserve"> </w:t>
      </w:r>
      <w:r w:rsidRPr="00913034">
        <w:rPr>
          <w:rFonts w:ascii="Palatino Linotype" w:hAnsi="Palatino Linotype"/>
          <w:i/>
          <w:sz w:val="22"/>
        </w:rPr>
        <w:t>o de su representante y, en su caso, del tercero interesado, así como la dirección o medio que señale para recibir notificaciones;</w:t>
      </w:r>
      <w:r w:rsidRPr="00913034">
        <w:rPr>
          <w:rFonts w:ascii="Palatino Linotype" w:hAnsi="Palatino Linotype"/>
          <w:b/>
          <w:i/>
          <w:sz w:val="22"/>
        </w:rPr>
        <w:t xml:space="preserve"> </w:t>
      </w:r>
    </w:p>
    <w:p w14:paraId="1221C070" w14:textId="77777777" w:rsidR="00B14416" w:rsidRPr="00913034" w:rsidRDefault="00B14416" w:rsidP="00B14416">
      <w:pPr>
        <w:widowControl w:val="0"/>
        <w:autoSpaceDE w:val="0"/>
        <w:autoSpaceDN w:val="0"/>
        <w:adjustRightInd w:val="0"/>
        <w:spacing w:line="360" w:lineRule="auto"/>
        <w:jc w:val="both"/>
        <w:rPr>
          <w:rFonts w:ascii="Palatino Linotype" w:hAnsi="Palatino Linotype"/>
        </w:rPr>
      </w:pPr>
    </w:p>
    <w:p w14:paraId="33E05365" w14:textId="77777777" w:rsidR="00B14416" w:rsidRPr="00913034" w:rsidRDefault="00B14416" w:rsidP="00B14416">
      <w:pPr>
        <w:widowControl w:val="0"/>
        <w:autoSpaceDE w:val="0"/>
        <w:autoSpaceDN w:val="0"/>
        <w:adjustRightInd w:val="0"/>
        <w:spacing w:line="360" w:lineRule="auto"/>
        <w:jc w:val="both"/>
        <w:rPr>
          <w:rFonts w:ascii="Palatino Linotype" w:hAnsi="Palatino Linotype"/>
        </w:rPr>
      </w:pPr>
      <w:r w:rsidRPr="00913034">
        <w:rPr>
          <w:rFonts w:ascii="Palatino Linotype" w:hAnsi="Palatino Linotype"/>
        </w:rPr>
        <w:t xml:space="preserve">En principio, de una interpretación del artículo transcrito se observan los requisitos que </w:t>
      </w:r>
      <w:r w:rsidRPr="00913034">
        <w:rPr>
          <w:rFonts w:ascii="Palatino Linotype" w:hAnsi="Palatino Linotype" w:cs="Arial"/>
        </w:rPr>
        <w:t>deberán</w:t>
      </w:r>
      <w:r w:rsidRPr="00913034">
        <w:rPr>
          <w:rFonts w:ascii="Palatino Linotype" w:hAnsi="Palatino Linotype"/>
        </w:rPr>
        <w:t xml:space="preserve"> contener los recursos de revisión; sobre el particular, de la revisión del expediente electrónico del </w:t>
      </w:r>
      <w:r w:rsidRPr="00913034">
        <w:rPr>
          <w:rFonts w:ascii="Palatino Linotype" w:hAnsi="Palatino Linotype"/>
          <w:b/>
        </w:rPr>
        <w:t>SAIMEX</w:t>
      </w:r>
      <w:r w:rsidRPr="00913034">
        <w:rPr>
          <w:rFonts w:ascii="Palatino Linotype" w:hAnsi="Palatino Linotype"/>
        </w:rPr>
        <w:t xml:space="preserve"> se desprende que el solicitante y ahora </w:t>
      </w:r>
      <w:r w:rsidRPr="00913034">
        <w:rPr>
          <w:rFonts w:ascii="Palatino Linotype" w:hAnsi="Palatino Linotype"/>
          <w:b/>
        </w:rPr>
        <w:t>Recurrente</w:t>
      </w:r>
      <w:r w:rsidRPr="00913034">
        <w:rPr>
          <w:rFonts w:ascii="Palatino Linotype" w:hAnsi="Palatino Linotype"/>
        </w:rPr>
        <w:t xml:space="preserve">, en ejercicio de su derecho de acceso a la información pública, no proporcionó un nombre para que </w:t>
      </w:r>
      <w:r w:rsidRPr="00913034">
        <w:rPr>
          <w:rFonts w:ascii="Palatino Linotype" w:hAnsi="Palatino Linotype" w:cs="Arial"/>
        </w:rPr>
        <w:t>sea</w:t>
      </w:r>
      <w:r w:rsidRPr="00913034">
        <w:rPr>
          <w:rFonts w:ascii="Palatino Linotype" w:hAnsi="Palatino Linotype"/>
        </w:rPr>
        <w:t xml:space="preserve"> identificado; por lo que no tiene certeza sobre su identidad, lo que en estricto sentido, no se colmarían los requisitos establecidos en el citado artículo 180, de la Ley de Transparencia.</w:t>
      </w:r>
    </w:p>
    <w:p w14:paraId="3FEC17D8" w14:textId="77777777" w:rsidR="00B14416" w:rsidRPr="00913034" w:rsidRDefault="00B14416" w:rsidP="00B14416">
      <w:pPr>
        <w:widowControl w:val="0"/>
        <w:autoSpaceDE w:val="0"/>
        <w:autoSpaceDN w:val="0"/>
        <w:adjustRightInd w:val="0"/>
        <w:spacing w:line="360" w:lineRule="auto"/>
        <w:jc w:val="both"/>
        <w:rPr>
          <w:rFonts w:ascii="Palatino Linotype" w:hAnsi="Palatino Linotype"/>
        </w:rPr>
      </w:pPr>
    </w:p>
    <w:p w14:paraId="5F5B7E40" w14:textId="77777777" w:rsidR="00B14416" w:rsidRPr="00913034" w:rsidRDefault="00B14416" w:rsidP="00B14416">
      <w:pPr>
        <w:widowControl w:val="0"/>
        <w:autoSpaceDE w:val="0"/>
        <w:autoSpaceDN w:val="0"/>
        <w:adjustRightInd w:val="0"/>
        <w:spacing w:line="360" w:lineRule="auto"/>
        <w:jc w:val="both"/>
        <w:rPr>
          <w:rFonts w:ascii="Palatino Linotype" w:hAnsi="Palatino Linotype" w:cs="Arial"/>
        </w:rPr>
      </w:pPr>
      <w:r w:rsidRPr="00913034">
        <w:rPr>
          <w:rFonts w:ascii="Palatino Linotype" w:hAnsi="Palatino Linotype"/>
        </w:rPr>
        <w:t xml:space="preserve">No obstante lo anterior, debe destacarse que el artículo 15, de </w:t>
      </w:r>
      <w:r w:rsidRPr="00913034">
        <w:rPr>
          <w:rFonts w:ascii="Palatino Linotype" w:hAnsi="Palatino Linotype" w:cs="Arial"/>
          <w:lang w:eastAsia="es-MX"/>
        </w:rPr>
        <w:t xml:space="preserve">Ley de Transparencia y Acceso a la </w:t>
      </w:r>
      <w:r w:rsidRPr="00913034">
        <w:rPr>
          <w:rFonts w:ascii="Palatino Linotype" w:hAnsi="Palatino Linotype" w:cs="Arial"/>
        </w:rPr>
        <w:t>Información</w:t>
      </w:r>
      <w:r w:rsidRPr="00913034">
        <w:rPr>
          <w:rFonts w:ascii="Palatino Linotype" w:hAnsi="Palatino Linotype" w:cs="Arial"/>
          <w:lang w:eastAsia="es-MX"/>
        </w:rPr>
        <w:t xml:space="preserve"> Pública del Estado de México y Municipios </w:t>
      </w:r>
      <w:r w:rsidRPr="00913034">
        <w:rPr>
          <w:rFonts w:ascii="Palatino Linotype" w:hAnsi="Palatino Linotype" w:cs="Arial"/>
          <w:iCs/>
        </w:rPr>
        <w:t xml:space="preserve">prevé que, </w:t>
      </w:r>
      <w:r w:rsidRPr="00913034">
        <w:rPr>
          <w:rFonts w:ascii="Palatino Linotype" w:hAnsi="Palatino Linotype"/>
        </w:rPr>
        <w:t xml:space="preserve">toda persona tendrá acceso a la información </w:t>
      </w:r>
      <w:r w:rsidRPr="00913034">
        <w:rPr>
          <w:rFonts w:ascii="Palatino Linotype" w:hAnsi="Palatino Linotype" w:cs="Arial"/>
        </w:rPr>
        <w:t xml:space="preserve">sin necesidad de acreditar interés alguno o justificar su utilización, de lo que se infiere que para el </w:t>
      </w:r>
      <w:r w:rsidRPr="00913034">
        <w:rPr>
          <w:rFonts w:ascii="Palatino Linotype" w:hAnsi="Palatino Linotype"/>
        </w:rPr>
        <w:t>ejercicio</w:t>
      </w:r>
      <w:r w:rsidRPr="00913034">
        <w:rPr>
          <w:rFonts w:ascii="Palatino Linotype" w:hAnsi="Palatino Linotype" w:cs="Arial"/>
        </w:rPr>
        <w:t xml:space="preserve"> del derecho de acceso </w:t>
      </w:r>
      <w:r w:rsidRPr="00913034">
        <w:rPr>
          <w:rFonts w:ascii="Palatino Linotype" w:hAnsi="Palatino Linotype" w:cs="Arial"/>
        </w:rPr>
        <w:lastRenderedPageBreak/>
        <w:t xml:space="preserve">a la información pública, el nombre no es un requisito </w:t>
      </w:r>
      <w:r w:rsidRPr="00913034">
        <w:rPr>
          <w:rFonts w:ascii="Palatino Linotype" w:hAnsi="Palatino Linotype" w:cs="Arial"/>
          <w:i/>
        </w:rPr>
        <w:t>sine qua non</w:t>
      </w:r>
      <w:r w:rsidRPr="00913034">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540753B6" w14:textId="77777777" w:rsidR="00B14416" w:rsidRPr="00913034" w:rsidRDefault="00B14416" w:rsidP="00B14416">
      <w:pPr>
        <w:widowControl w:val="0"/>
        <w:autoSpaceDE w:val="0"/>
        <w:autoSpaceDN w:val="0"/>
        <w:adjustRightInd w:val="0"/>
        <w:spacing w:line="360" w:lineRule="auto"/>
        <w:jc w:val="both"/>
        <w:rPr>
          <w:rFonts w:ascii="Palatino Linotype" w:hAnsi="Palatino Linotype" w:cs="Arial"/>
        </w:rPr>
      </w:pPr>
    </w:p>
    <w:p w14:paraId="5993255B" w14:textId="38234DA0" w:rsidR="00B14416" w:rsidRDefault="00B14416" w:rsidP="00B14416">
      <w:pPr>
        <w:autoSpaceDE w:val="0"/>
        <w:autoSpaceDN w:val="0"/>
        <w:adjustRightInd w:val="0"/>
        <w:spacing w:line="360" w:lineRule="auto"/>
        <w:jc w:val="both"/>
        <w:rPr>
          <w:rFonts w:ascii="Palatino Linotype" w:eastAsiaTheme="minorHAnsi" w:hAnsi="Palatino Linotype" w:cs="Arial"/>
          <w:lang w:val="es-MX" w:eastAsia="en-US"/>
        </w:rPr>
      </w:pPr>
      <w:r w:rsidRPr="00913034">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913034">
        <w:rPr>
          <w:rFonts w:ascii="Palatino Linotype" w:hAnsi="Palatino Linotype" w:cs="Arial"/>
        </w:rPr>
        <w:t>derecho</w:t>
      </w:r>
      <w:r w:rsidRPr="00913034">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517DDDA1" w14:textId="77777777" w:rsidR="00803913" w:rsidRPr="00803913" w:rsidRDefault="00803913" w:rsidP="00803913">
      <w:pPr>
        <w:widowControl w:val="0"/>
        <w:autoSpaceDE w:val="0"/>
        <w:autoSpaceDN w:val="0"/>
        <w:adjustRightInd w:val="0"/>
        <w:spacing w:line="360" w:lineRule="auto"/>
        <w:jc w:val="both"/>
        <w:rPr>
          <w:rFonts w:ascii="Palatino Linotype" w:hAnsi="Palatino Linotype"/>
        </w:rPr>
      </w:pPr>
    </w:p>
    <w:p w14:paraId="325C04EB" w14:textId="0DDD5091" w:rsidR="0029071C" w:rsidRPr="006A240A" w:rsidRDefault="00B14416" w:rsidP="0029071C">
      <w:pPr>
        <w:autoSpaceDE w:val="0"/>
        <w:autoSpaceDN w:val="0"/>
        <w:adjustRightInd w:val="0"/>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CUART</w:t>
      </w:r>
      <w:r w:rsidR="0029071C" w:rsidRPr="006A240A">
        <w:rPr>
          <w:rFonts w:ascii="Palatino Linotype" w:eastAsiaTheme="minorHAnsi" w:hAnsi="Palatino Linotype" w:cs="Arial"/>
          <w:b/>
          <w:sz w:val="28"/>
          <w:lang w:val="es-MX" w:eastAsia="en-US"/>
        </w:rPr>
        <w:t xml:space="preserve">O. Del estudio de las causas de improcedencia. </w:t>
      </w:r>
    </w:p>
    <w:p w14:paraId="10AC382B" w14:textId="7398B180" w:rsidR="00574FDC"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El estudio de las causas de improcedencia que se hagan valer por las partes o que se advierta de oficio por este </w:t>
      </w:r>
      <w:proofErr w:type="spellStart"/>
      <w:r w:rsidRPr="006A240A">
        <w:rPr>
          <w:rFonts w:ascii="Palatino Linotype" w:eastAsiaTheme="minorHAnsi" w:hAnsi="Palatino Linotype" w:cs="Arial"/>
          <w:lang w:val="es-MX" w:eastAsia="en-US"/>
        </w:rPr>
        <w:t>Resolutor</w:t>
      </w:r>
      <w:proofErr w:type="spellEnd"/>
      <w:r w:rsidRPr="006A240A">
        <w:rPr>
          <w:rFonts w:ascii="Palatino Linotype" w:eastAsiaTheme="minorHAnsi" w:hAnsi="Palatino Linotype" w:cs="Arial"/>
          <w:lang w:val="es-MX" w:eastAsia="en-US"/>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w:t>
      </w:r>
      <w:r w:rsidRPr="006A240A">
        <w:rPr>
          <w:rFonts w:ascii="Palatino Linotype" w:eastAsiaTheme="minorHAnsi" w:hAnsi="Palatino Linotype" w:cs="Arial"/>
          <w:lang w:val="es-MX" w:eastAsia="en-US"/>
        </w:rPr>
        <w:lastRenderedPageBreak/>
        <w:t>la justicia, ya que éste no se coarta por regular causas de improcedencia y sobreseimiento con tales fines</w:t>
      </w:r>
      <w:r w:rsidR="008A64CB" w:rsidRPr="006A240A">
        <w:rPr>
          <w:rStyle w:val="Refdenotaalpie"/>
          <w:rFonts w:ascii="Palatino Linotype" w:eastAsiaTheme="minorHAnsi" w:hAnsi="Palatino Linotype" w:cs="Arial"/>
          <w:lang w:val="es-MX" w:eastAsia="en-US"/>
        </w:rPr>
        <w:footnoteReference w:id="1"/>
      </w:r>
      <w:r w:rsidRPr="006A240A">
        <w:rPr>
          <w:rFonts w:ascii="Palatino Linotype" w:eastAsiaTheme="minorHAnsi" w:hAnsi="Palatino Linotype" w:cs="Arial"/>
          <w:lang w:val="es-MX" w:eastAsia="en-US"/>
        </w:rPr>
        <w:t>.</w:t>
      </w:r>
    </w:p>
    <w:p w14:paraId="41A9D104" w14:textId="77777777" w:rsidR="00E81C20" w:rsidRDefault="00E81C20" w:rsidP="0029071C">
      <w:pPr>
        <w:autoSpaceDE w:val="0"/>
        <w:autoSpaceDN w:val="0"/>
        <w:adjustRightInd w:val="0"/>
        <w:spacing w:line="360" w:lineRule="auto"/>
        <w:jc w:val="both"/>
        <w:rPr>
          <w:rFonts w:ascii="Palatino Linotype" w:eastAsiaTheme="minorHAnsi" w:hAnsi="Palatino Linotype" w:cs="Arial"/>
          <w:lang w:val="es-MX" w:eastAsia="en-US"/>
        </w:rPr>
      </w:pPr>
    </w:p>
    <w:p w14:paraId="39F37588"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Por lo que una vez que se analizó el expediente en estudio se cae en la cuenta de que no se actualiza ninguna de las casuales a continuación transcritas:</w:t>
      </w:r>
    </w:p>
    <w:p w14:paraId="4BF0A6D1" w14:textId="77777777" w:rsidR="0029071C" w:rsidRPr="006A240A" w:rsidRDefault="0029071C" w:rsidP="0029071C">
      <w:pPr>
        <w:rPr>
          <w:lang w:val="es-MX"/>
        </w:rPr>
      </w:pPr>
    </w:p>
    <w:p w14:paraId="6A3C738B"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w:t>
      </w:r>
      <w:r w:rsidRPr="006A240A">
        <w:rPr>
          <w:rFonts w:ascii="Palatino Linotype" w:hAnsi="Palatino Linotype" w:cs="Arial"/>
          <w:b/>
          <w:i/>
          <w:sz w:val="22"/>
          <w:szCs w:val="22"/>
        </w:rPr>
        <w:t>Artículo 191.</w:t>
      </w:r>
      <w:r w:rsidRPr="006A240A">
        <w:rPr>
          <w:rFonts w:ascii="Palatino Linotype" w:hAnsi="Palatino Linotype" w:cs="Arial"/>
          <w:i/>
          <w:sz w:val="22"/>
          <w:szCs w:val="22"/>
        </w:rPr>
        <w:t xml:space="preserve"> El recurso será desechado por improcedente cuando:  </w:t>
      </w:r>
    </w:p>
    <w:p w14:paraId="2C29909C"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I. Sea extemporáneo por haber transcurrido el plazo establecido en la presente Ley, a partir de la respuesta;  </w:t>
      </w:r>
    </w:p>
    <w:p w14:paraId="519D86D7"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II. Se esté tramitando ante el Poder Judicial de la Federación algún recurso o medio de defensa interpuesto por el recurrente;  </w:t>
      </w:r>
    </w:p>
    <w:p w14:paraId="234ABB9A"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III. No actualice alguno de los supuestos previstos en la presente Ley;  </w:t>
      </w:r>
    </w:p>
    <w:p w14:paraId="050BC017"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IV. No se haya desahogado la prevención en los términos establecidos en la presente Ley;</w:t>
      </w:r>
    </w:p>
    <w:p w14:paraId="2ED4EE39"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V. Se impugne la veracidad de la información proporcionada;  </w:t>
      </w:r>
    </w:p>
    <w:p w14:paraId="39C3DF91"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VI. Se trate de una consulta, o trámite en específico; y  </w:t>
      </w:r>
    </w:p>
    <w:p w14:paraId="2A6495DE"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VII. El recurrente amplíe su solicitud en el recurso de revisión, únicamente respecto de los nuevos contenidos.”</w:t>
      </w:r>
    </w:p>
    <w:p w14:paraId="71A1AD30" w14:textId="77777777" w:rsidR="001C492C" w:rsidRDefault="001C492C" w:rsidP="0029071C">
      <w:pPr>
        <w:autoSpaceDE w:val="0"/>
        <w:autoSpaceDN w:val="0"/>
        <w:adjustRightInd w:val="0"/>
        <w:spacing w:line="360" w:lineRule="auto"/>
        <w:jc w:val="both"/>
        <w:rPr>
          <w:rFonts w:ascii="Palatino Linotype" w:eastAsiaTheme="minorHAnsi" w:hAnsi="Palatino Linotype" w:cs="Arial"/>
          <w:lang w:val="es-MX" w:eastAsia="en-US"/>
        </w:rPr>
      </w:pPr>
    </w:p>
    <w:p w14:paraId="081ADDEC" w14:textId="6E4F41F1" w:rsidR="0029071C" w:rsidRPr="006A240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Ya que no fue interpuesto de forma extemporánea, no se está tramitando ante el Poder Judicial Federal, no es una consulta, o trámite en específico, ni tampoco se advierte que </w:t>
      </w:r>
      <w:r w:rsidRPr="006A240A">
        <w:rPr>
          <w:rFonts w:ascii="Palatino Linotype" w:eastAsiaTheme="minorHAnsi" w:hAnsi="Palatino Linotype" w:cs="Arial"/>
          <w:lang w:val="es-MX" w:eastAsia="en-US"/>
        </w:rPr>
        <w:lastRenderedPageBreak/>
        <w:t>el recurrente amplíe su solicitud en el recurso de revisión, por lo que al no existir causas de improcedencia invocadas por las partes ni advertidas de oficio, este Órgano Garante de la Transparencia se avoca al análisis del fondo del asunto que nos ocupa.</w:t>
      </w:r>
    </w:p>
    <w:p w14:paraId="09C06CCC" w14:textId="77777777" w:rsidR="00EA46CC" w:rsidRPr="006A240A" w:rsidRDefault="00EA46CC" w:rsidP="0029071C">
      <w:pPr>
        <w:autoSpaceDE w:val="0"/>
        <w:autoSpaceDN w:val="0"/>
        <w:adjustRightInd w:val="0"/>
        <w:spacing w:line="360" w:lineRule="auto"/>
        <w:jc w:val="both"/>
        <w:rPr>
          <w:rFonts w:ascii="Palatino Linotype" w:hAnsi="Palatino Linotype" w:cs="Arial"/>
        </w:rPr>
      </w:pPr>
    </w:p>
    <w:p w14:paraId="361A7B38" w14:textId="77777777" w:rsidR="0029071C" w:rsidRPr="006A240A" w:rsidRDefault="0029071C" w:rsidP="0029071C">
      <w:pPr>
        <w:autoSpaceDE w:val="0"/>
        <w:autoSpaceDN w:val="0"/>
        <w:adjustRightInd w:val="0"/>
        <w:spacing w:line="360" w:lineRule="auto"/>
        <w:jc w:val="both"/>
        <w:rPr>
          <w:rFonts w:ascii="Palatino Linotype" w:hAnsi="Palatino Linotype" w:cs="Arial"/>
        </w:rPr>
      </w:pPr>
      <w:r w:rsidRPr="006A240A">
        <w:rPr>
          <w:rFonts w:ascii="Palatino Linotype" w:hAnsi="Palatino Linotype" w:cs="Arial"/>
        </w:rPr>
        <w:t xml:space="preserve">Así las cosas, al no existir causas de improcedencia invocadas por las partes ni advertidas de oficio por este </w:t>
      </w:r>
      <w:proofErr w:type="spellStart"/>
      <w:r w:rsidRPr="006A240A">
        <w:rPr>
          <w:rFonts w:ascii="Palatino Linotype" w:hAnsi="Palatino Linotype" w:cs="Arial"/>
        </w:rPr>
        <w:t>Resolutor</w:t>
      </w:r>
      <w:proofErr w:type="spellEnd"/>
      <w:r w:rsidRPr="006A240A">
        <w:rPr>
          <w:rFonts w:ascii="Palatino Linotype" w:hAnsi="Palatino Linotype" w:cs="Arial"/>
        </w:rPr>
        <w:t xml:space="preserve">, se </w:t>
      </w:r>
      <w:proofErr w:type="gramStart"/>
      <w:r w:rsidRPr="006A240A">
        <w:rPr>
          <w:rFonts w:ascii="Palatino Linotype" w:hAnsi="Palatino Linotype" w:cs="Arial"/>
        </w:rPr>
        <w:t>procede</w:t>
      </w:r>
      <w:proofErr w:type="gramEnd"/>
      <w:r w:rsidRPr="006A240A">
        <w:rPr>
          <w:rFonts w:ascii="Palatino Linotype" w:hAnsi="Palatino Linotype" w:cs="Arial"/>
        </w:rPr>
        <w:t xml:space="preserve"> al análisis del fondo de los asuntos en los siguientes términos.</w:t>
      </w:r>
    </w:p>
    <w:p w14:paraId="30F5D428" w14:textId="77777777" w:rsidR="00F712EE" w:rsidRPr="006A240A" w:rsidRDefault="00F712EE" w:rsidP="0029071C">
      <w:pPr>
        <w:autoSpaceDE w:val="0"/>
        <w:autoSpaceDN w:val="0"/>
        <w:adjustRightInd w:val="0"/>
        <w:spacing w:line="360" w:lineRule="auto"/>
        <w:jc w:val="both"/>
        <w:rPr>
          <w:rFonts w:ascii="Palatino Linotype" w:hAnsi="Palatino Linotype" w:cs="Arial"/>
        </w:rPr>
      </w:pPr>
    </w:p>
    <w:p w14:paraId="61D8E0F0" w14:textId="489E8911" w:rsidR="0029071C" w:rsidRPr="006A240A" w:rsidRDefault="00B14416" w:rsidP="0029071C">
      <w:pPr>
        <w:autoSpaceDE w:val="0"/>
        <w:autoSpaceDN w:val="0"/>
        <w:adjustRightInd w:val="0"/>
        <w:spacing w:line="360" w:lineRule="auto"/>
        <w:jc w:val="both"/>
        <w:rPr>
          <w:rFonts w:ascii="Palatino Linotype" w:hAnsi="Palatino Linotype" w:cs="Arial"/>
          <w:sz w:val="28"/>
        </w:rPr>
      </w:pPr>
      <w:r>
        <w:rPr>
          <w:rFonts w:ascii="Palatino Linotype" w:hAnsi="Palatino Linotype" w:cs="Arial"/>
          <w:b/>
          <w:sz w:val="28"/>
        </w:rPr>
        <w:t>QUIN</w:t>
      </w:r>
      <w:r w:rsidR="00266841" w:rsidRPr="006A240A">
        <w:rPr>
          <w:rFonts w:ascii="Palatino Linotype" w:hAnsi="Palatino Linotype" w:cs="Arial"/>
          <w:b/>
          <w:sz w:val="28"/>
        </w:rPr>
        <w:t>T</w:t>
      </w:r>
      <w:r w:rsidR="0029071C" w:rsidRPr="006A240A">
        <w:rPr>
          <w:rFonts w:ascii="Palatino Linotype" w:hAnsi="Palatino Linotype" w:cs="Arial"/>
          <w:b/>
          <w:sz w:val="28"/>
        </w:rPr>
        <w:t>O. Del estudio y resolución del asunto.</w:t>
      </w:r>
      <w:r w:rsidR="0029071C" w:rsidRPr="006A240A">
        <w:rPr>
          <w:rFonts w:ascii="Palatino Linotype" w:hAnsi="Palatino Linotype" w:cs="Arial"/>
          <w:sz w:val="28"/>
        </w:rPr>
        <w:t xml:space="preserve"> </w:t>
      </w:r>
    </w:p>
    <w:p w14:paraId="583A524B"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5073F1CB"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p>
    <w:p w14:paraId="0B0FDDD4" w14:textId="77777777" w:rsidR="00574FDC" w:rsidRPr="006A240A" w:rsidRDefault="0029071C" w:rsidP="0029071C">
      <w:pPr>
        <w:spacing w:line="360" w:lineRule="auto"/>
        <w:ind w:right="141"/>
        <w:jc w:val="both"/>
        <w:rPr>
          <w:rFonts w:ascii="Palatino Linotype" w:eastAsiaTheme="minorHAnsi" w:hAnsi="Palatino Linotype" w:cstheme="minorBidi"/>
          <w:lang w:val="es-MX" w:eastAsia="es-MX"/>
        </w:rPr>
      </w:pPr>
      <w:r w:rsidRPr="006A240A">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6A240A">
        <w:rPr>
          <w:rFonts w:ascii="Palatino Linotype" w:eastAsiaTheme="minorHAnsi" w:hAnsi="Palatino Linotype" w:cstheme="minorBidi"/>
          <w:b/>
          <w:lang w:val="es-MX" w:eastAsia="es-MX"/>
        </w:rPr>
        <w:t xml:space="preserve"> </w:t>
      </w:r>
      <w:r w:rsidRPr="006A240A">
        <w:rPr>
          <w:rFonts w:ascii="Palatino Linotype" w:eastAsiaTheme="minorHAnsi" w:hAnsi="Palatino Linotype" w:cstheme="minorBidi"/>
          <w:lang w:val="es-MX" w:eastAsia="es-MX"/>
        </w:rPr>
        <w:t>parte</w:t>
      </w:r>
      <w:r w:rsidR="001D2DE0" w:rsidRPr="006A240A">
        <w:rPr>
          <w:rFonts w:ascii="Palatino Linotype" w:eastAsiaTheme="minorHAnsi" w:hAnsi="Palatino Linotype" w:cstheme="minorBidi"/>
          <w:b/>
          <w:lang w:val="es-MX" w:eastAsia="es-MX"/>
        </w:rPr>
        <w:t xml:space="preserve"> </w:t>
      </w:r>
      <w:r w:rsidRPr="006A240A">
        <w:rPr>
          <w:rFonts w:ascii="Palatino Linotype" w:eastAsiaTheme="minorHAnsi" w:hAnsi="Palatino Linotype" w:cstheme="minorBidi"/>
          <w:b/>
          <w:lang w:val="es-MX" w:eastAsia="es-MX"/>
        </w:rPr>
        <w:t>Recurrente</w:t>
      </w:r>
      <w:r w:rsidRPr="006A240A">
        <w:rPr>
          <w:rFonts w:ascii="Palatino Linotype" w:eastAsiaTheme="minorHAnsi" w:hAnsi="Palatino Linotype" w:cstheme="minorBidi"/>
          <w:lang w:val="es-MX" w:eastAsia="es-MX"/>
        </w:rPr>
        <w:t xml:space="preserve">, para ello analizaremos lo solicitado </w:t>
      </w:r>
      <w:r w:rsidR="00574FDC" w:rsidRPr="006A240A">
        <w:rPr>
          <w:rFonts w:ascii="Palatino Linotype" w:eastAsiaTheme="minorHAnsi" w:hAnsi="Palatino Linotype" w:cstheme="minorBidi"/>
          <w:lang w:val="es-MX" w:eastAsia="es-MX"/>
        </w:rPr>
        <w:t>y la información proporcionada.</w:t>
      </w:r>
    </w:p>
    <w:p w14:paraId="11F4CA7B" w14:textId="77777777" w:rsidR="00FC2CC2" w:rsidRDefault="00FC2CC2" w:rsidP="0029071C">
      <w:pPr>
        <w:spacing w:line="360" w:lineRule="auto"/>
        <w:ind w:right="141"/>
        <w:jc w:val="both"/>
        <w:rPr>
          <w:rFonts w:ascii="Palatino Linotype" w:eastAsiaTheme="minorHAnsi" w:hAnsi="Palatino Linotype" w:cstheme="minorBidi"/>
          <w:lang w:val="es-MX" w:eastAsia="es-MX"/>
        </w:rPr>
      </w:pPr>
    </w:p>
    <w:p w14:paraId="17EC8D05" w14:textId="77777777" w:rsidR="001C492C" w:rsidRDefault="001C492C" w:rsidP="0029071C">
      <w:pPr>
        <w:spacing w:line="360" w:lineRule="auto"/>
        <w:ind w:right="141"/>
        <w:jc w:val="both"/>
        <w:rPr>
          <w:rFonts w:ascii="Palatino Linotype" w:eastAsiaTheme="minorHAnsi" w:hAnsi="Palatino Linotype" w:cstheme="minorBidi"/>
          <w:lang w:val="es-MX" w:eastAsia="es-MX"/>
        </w:rPr>
      </w:pPr>
    </w:p>
    <w:p w14:paraId="0D4831C7" w14:textId="77777777" w:rsidR="001C492C" w:rsidRPr="006A240A" w:rsidRDefault="001C492C" w:rsidP="0029071C">
      <w:pPr>
        <w:spacing w:line="360" w:lineRule="auto"/>
        <w:ind w:right="141"/>
        <w:jc w:val="both"/>
        <w:rPr>
          <w:rFonts w:ascii="Palatino Linotype" w:eastAsiaTheme="minorHAnsi" w:hAnsi="Palatino Linotype" w:cstheme="minorBidi"/>
          <w:lang w:val="es-MX" w:eastAsia="es-MX"/>
        </w:rPr>
      </w:pPr>
    </w:p>
    <w:p w14:paraId="2A298C62" w14:textId="77777777" w:rsidR="00A97F97" w:rsidRDefault="0029071C" w:rsidP="00A97F97">
      <w:pPr>
        <w:spacing w:line="360" w:lineRule="auto"/>
        <w:ind w:right="141"/>
        <w:jc w:val="both"/>
        <w:rPr>
          <w:rFonts w:ascii="Palatino Linotype" w:eastAsiaTheme="minorHAnsi" w:hAnsi="Palatino Linotype" w:cstheme="minorBidi"/>
          <w:b/>
          <w:szCs w:val="22"/>
          <w:lang w:val="es-MX" w:eastAsia="es-MX"/>
        </w:rPr>
      </w:pPr>
      <w:r w:rsidRPr="00197B1A">
        <w:rPr>
          <w:rFonts w:ascii="Palatino Linotype" w:eastAsiaTheme="minorHAnsi" w:hAnsi="Palatino Linotype" w:cstheme="minorBidi"/>
          <w:b/>
          <w:szCs w:val="22"/>
          <w:lang w:val="es-MX" w:eastAsia="es-MX"/>
        </w:rPr>
        <w:lastRenderedPageBreak/>
        <w:t>REQUERIMIENTOS SOLICITADOS:</w:t>
      </w:r>
      <w:r w:rsidR="00A26BD8" w:rsidRPr="00197B1A">
        <w:rPr>
          <w:rFonts w:ascii="Palatino Linotype" w:eastAsiaTheme="minorHAnsi" w:hAnsi="Palatino Linotype" w:cstheme="minorBidi"/>
          <w:b/>
          <w:szCs w:val="22"/>
          <w:lang w:val="es-MX" w:eastAsia="es-MX"/>
        </w:rPr>
        <w:t xml:space="preserve"> </w:t>
      </w:r>
    </w:p>
    <w:p w14:paraId="60DE8A0C" w14:textId="59F489A4" w:rsidR="001C492C" w:rsidRDefault="001C492C" w:rsidP="00C8325A">
      <w:pPr>
        <w:pStyle w:val="Prrafodelista"/>
        <w:numPr>
          <w:ilvl w:val="0"/>
          <w:numId w:val="29"/>
        </w:numPr>
        <w:spacing w:line="360" w:lineRule="auto"/>
        <w:ind w:right="49"/>
        <w:jc w:val="both"/>
        <w:rPr>
          <w:rFonts w:ascii="Palatino Linotype" w:eastAsiaTheme="minorHAnsi" w:hAnsi="Palatino Linotype" w:cstheme="minorBidi"/>
          <w:szCs w:val="22"/>
          <w:lang w:val="es-MX" w:eastAsia="es-MX"/>
        </w:rPr>
      </w:pPr>
      <w:bookmarkStart w:id="1" w:name="_Hlk198113007"/>
      <w:r>
        <w:rPr>
          <w:rFonts w:ascii="Palatino Linotype" w:eastAsiaTheme="minorHAnsi" w:hAnsi="Palatino Linotype" w:cstheme="minorBidi"/>
          <w:szCs w:val="22"/>
          <w:lang w:val="es-MX" w:eastAsia="es-MX"/>
        </w:rPr>
        <w:t xml:space="preserve">El </w:t>
      </w:r>
      <w:r w:rsidRPr="001C492C">
        <w:rPr>
          <w:rFonts w:ascii="Palatino Linotype" w:eastAsiaTheme="minorHAnsi" w:hAnsi="Palatino Linotype" w:cstheme="minorBidi"/>
          <w:szCs w:val="22"/>
          <w:lang w:val="es-MX" w:eastAsia="es-MX"/>
        </w:rPr>
        <w:t xml:space="preserve">aviso de movimiento de baja del servicio del ISSEMYM de los siguientes </w:t>
      </w:r>
      <w:r>
        <w:rPr>
          <w:rFonts w:ascii="Palatino Linotype" w:eastAsiaTheme="minorHAnsi" w:hAnsi="Palatino Linotype" w:cstheme="minorBidi"/>
          <w:szCs w:val="22"/>
          <w:lang w:val="es-MX" w:eastAsia="es-MX"/>
        </w:rPr>
        <w:t xml:space="preserve">ex </w:t>
      </w:r>
      <w:r w:rsidRPr="001C492C">
        <w:rPr>
          <w:rFonts w:ascii="Palatino Linotype" w:eastAsiaTheme="minorHAnsi" w:hAnsi="Palatino Linotype" w:cstheme="minorBidi"/>
          <w:szCs w:val="22"/>
          <w:lang w:val="es-MX" w:eastAsia="es-MX"/>
        </w:rPr>
        <w:t>servidores públicos de la pasada Administración Municipal 2022-2024</w:t>
      </w:r>
      <w:r>
        <w:rPr>
          <w:rFonts w:ascii="Palatino Linotype" w:eastAsiaTheme="minorHAnsi" w:hAnsi="Palatino Linotype" w:cstheme="minorBidi"/>
          <w:szCs w:val="22"/>
          <w:lang w:val="es-MX" w:eastAsia="es-MX"/>
        </w:rPr>
        <w:t>:</w:t>
      </w:r>
      <w:r w:rsidRPr="001C492C">
        <w:rPr>
          <w:rFonts w:ascii="Palatino Linotype" w:eastAsiaTheme="minorHAnsi" w:hAnsi="Palatino Linotype" w:cstheme="minorBidi"/>
          <w:szCs w:val="22"/>
          <w:lang w:val="es-MX" w:eastAsia="es-MX"/>
        </w:rPr>
        <w:t xml:space="preserve"> </w:t>
      </w:r>
    </w:p>
    <w:p w14:paraId="4C19A0DD" w14:textId="678CB38F" w:rsidR="001C492C" w:rsidRDefault="00C555E9" w:rsidP="004C61B0">
      <w:pPr>
        <w:pStyle w:val="Prrafodelista"/>
        <w:numPr>
          <w:ilvl w:val="0"/>
          <w:numId w:val="33"/>
        </w:numPr>
        <w:spacing w:line="360" w:lineRule="auto"/>
        <w:ind w:right="49"/>
        <w:jc w:val="both"/>
        <w:rPr>
          <w:rFonts w:ascii="Palatino Linotype" w:eastAsiaTheme="minorHAnsi" w:hAnsi="Palatino Linotype" w:cstheme="minorBidi"/>
          <w:szCs w:val="22"/>
          <w:lang w:val="es-MX" w:eastAsia="es-MX"/>
        </w:rPr>
      </w:pPr>
      <w:r>
        <w:rPr>
          <w:rFonts w:ascii="Palatino Linotype" w:eastAsiaTheme="minorHAnsi" w:hAnsi="Palatino Linotype" w:cstheme="minorBidi"/>
          <w:szCs w:val="22"/>
          <w:lang w:val="es-MX" w:eastAsia="es-MX"/>
        </w:rPr>
        <w:t>XXXXXXXXXXXXXXXXXX</w:t>
      </w:r>
      <w:r w:rsidR="001C492C">
        <w:rPr>
          <w:rFonts w:ascii="Palatino Linotype" w:eastAsiaTheme="minorHAnsi" w:hAnsi="Palatino Linotype" w:cstheme="minorBidi"/>
          <w:szCs w:val="22"/>
          <w:lang w:val="es-MX" w:eastAsia="es-MX"/>
        </w:rPr>
        <w:t>.</w:t>
      </w:r>
    </w:p>
    <w:p w14:paraId="770BBA7E" w14:textId="29E1802C" w:rsidR="001C492C" w:rsidRPr="001C492C" w:rsidRDefault="00C555E9" w:rsidP="004C61B0">
      <w:pPr>
        <w:pStyle w:val="Prrafodelista"/>
        <w:numPr>
          <w:ilvl w:val="0"/>
          <w:numId w:val="33"/>
        </w:numPr>
        <w:spacing w:line="360" w:lineRule="auto"/>
        <w:ind w:right="49"/>
        <w:jc w:val="both"/>
        <w:rPr>
          <w:rFonts w:ascii="Palatino Linotype" w:eastAsiaTheme="minorHAnsi" w:hAnsi="Palatino Linotype" w:cstheme="minorBidi"/>
          <w:szCs w:val="22"/>
          <w:lang w:val="es-MX" w:eastAsia="es-MX"/>
        </w:rPr>
      </w:pPr>
      <w:r>
        <w:rPr>
          <w:rFonts w:ascii="Palatino Linotype" w:eastAsiaTheme="minorHAnsi" w:hAnsi="Palatino Linotype" w:cstheme="minorBidi"/>
          <w:szCs w:val="22"/>
          <w:lang w:val="es-MX" w:eastAsia="es-MX"/>
        </w:rPr>
        <w:t>XXXXXXXXXXXXXXX</w:t>
      </w:r>
      <w:r w:rsidR="001C492C">
        <w:rPr>
          <w:rFonts w:ascii="Palatino Linotype" w:eastAsiaTheme="minorHAnsi" w:hAnsi="Palatino Linotype" w:cstheme="minorBidi"/>
          <w:szCs w:val="22"/>
          <w:lang w:val="es-MX" w:eastAsia="es-MX"/>
        </w:rPr>
        <w:t>.</w:t>
      </w:r>
    </w:p>
    <w:p w14:paraId="46076332" w14:textId="3DD0FCFF" w:rsidR="001C492C" w:rsidRPr="001C492C" w:rsidRDefault="00C555E9" w:rsidP="007F62EE">
      <w:pPr>
        <w:pStyle w:val="Prrafodelista"/>
        <w:numPr>
          <w:ilvl w:val="0"/>
          <w:numId w:val="33"/>
        </w:numPr>
        <w:spacing w:line="360" w:lineRule="auto"/>
        <w:ind w:right="49"/>
        <w:jc w:val="both"/>
        <w:rPr>
          <w:rFonts w:ascii="Palatino Linotype" w:eastAsiaTheme="minorHAnsi" w:hAnsi="Palatino Linotype" w:cstheme="minorBidi"/>
          <w:szCs w:val="22"/>
          <w:lang w:val="es-MX" w:eastAsia="es-MX"/>
        </w:rPr>
      </w:pPr>
      <w:r>
        <w:rPr>
          <w:rFonts w:ascii="Palatino Linotype" w:eastAsiaTheme="minorHAnsi" w:hAnsi="Palatino Linotype" w:cstheme="minorBidi"/>
          <w:szCs w:val="22"/>
          <w:lang w:val="es-MX" w:eastAsia="es-MX"/>
        </w:rPr>
        <w:t>XXXXXXXXXXXXXXXXXXXX</w:t>
      </w:r>
      <w:r w:rsidR="001C492C">
        <w:rPr>
          <w:rFonts w:ascii="Palatino Linotype" w:eastAsiaTheme="minorHAnsi" w:hAnsi="Palatino Linotype" w:cstheme="minorBidi"/>
          <w:szCs w:val="22"/>
          <w:lang w:val="es-MX" w:eastAsia="es-MX"/>
        </w:rPr>
        <w:t>.</w:t>
      </w:r>
      <w:bookmarkStart w:id="2" w:name="_GoBack"/>
      <w:bookmarkEnd w:id="2"/>
    </w:p>
    <w:p w14:paraId="37185C81" w14:textId="52CA1FB1" w:rsidR="00A97F97" w:rsidRPr="00C8325A" w:rsidRDefault="00C555E9" w:rsidP="001C492C">
      <w:pPr>
        <w:pStyle w:val="Prrafodelista"/>
        <w:numPr>
          <w:ilvl w:val="0"/>
          <w:numId w:val="33"/>
        </w:numPr>
        <w:spacing w:line="360" w:lineRule="auto"/>
        <w:ind w:right="49"/>
        <w:jc w:val="both"/>
        <w:rPr>
          <w:rFonts w:ascii="Palatino Linotype" w:eastAsiaTheme="minorHAnsi" w:hAnsi="Palatino Linotype" w:cstheme="minorBidi"/>
          <w:szCs w:val="22"/>
          <w:lang w:val="es-MX" w:eastAsia="es-MX"/>
        </w:rPr>
      </w:pPr>
      <w:r>
        <w:rPr>
          <w:rFonts w:ascii="Palatino Linotype" w:eastAsiaTheme="minorHAnsi" w:hAnsi="Palatino Linotype" w:cstheme="minorBidi"/>
          <w:szCs w:val="22"/>
          <w:lang w:val="es-MX" w:eastAsia="es-MX"/>
        </w:rPr>
        <w:t>XXXXXXXXXXXXXXX</w:t>
      </w:r>
    </w:p>
    <w:p w14:paraId="081C469F" w14:textId="77777777" w:rsidR="00C8325A" w:rsidRDefault="00C8325A" w:rsidP="00737A9B">
      <w:pPr>
        <w:spacing w:line="360" w:lineRule="auto"/>
        <w:ind w:right="49"/>
        <w:jc w:val="both"/>
        <w:rPr>
          <w:rFonts w:ascii="Palatino Linotype" w:eastAsiaTheme="minorHAnsi" w:hAnsi="Palatino Linotype" w:cstheme="minorBidi"/>
          <w:lang w:val="es-MX" w:eastAsia="es-MX"/>
        </w:rPr>
      </w:pPr>
    </w:p>
    <w:p w14:paraId="1EB02B53" w14:textId="70434573" w:rsidR="00F85B63" w:rsidRDefault="0029071C" w:rsidP="00DE6CF9">
      <w:pPr>
        <w:spacing w:line="360" w:lineRule="auto"/>
        <w:ind w:right="49"/>
        <w:jc w:val="both"/>
        <w:rPr>
          <w:rFonts w:ascii="Palatino Linotype" w:eastAsiaTheme="minorHAnsi" w:hAnsi="Palatino Linotype" w:cstheme="minorBidi"/>
          <w:lang w:val="es-MX" w:eastAsia="es-MX"/>
        </w:rPr>
      </w:pPr>
      <w:r w:rsidRPr="00737A9B">
        <w:rPr>
          <w:rFonts w:ascii="Palatino Linotype" w:eastAsiaTheme="minorHAnsi" w:hAnsi="Palatino Linotype" w:cstheme="minorBidi"/>
          <w:lang w:val="es-MX" w:eastAsia="es-MX"/>
        </w:rPr>
        <w:t>Atento a la solicitud de información</w:t>
      </w:r>
      <w:r w:rsidR="00561D99">
        <w:rPr>
          <w:rFonts w:ascii="Palatino Linotype" w:eastAsiaTheme="minorHAnsi" w:hAnsi="Palatino Linotype" w:cstheme="minorBidi"/>
          <w:lang w:val="es-MX" w:eastAsia="es-MX"/>
        </w:rPr>
        <w:t xml:space="preserve"> el </w:t>
      </w:r>
      <w:r w:rsidRPr="00737A9B">
        <w:rPr>
          <w:rFonts w:ascii="Palatino Linotype" w:eastAsiaTheme="minorHAnsi" w:hAnsi="Palatino Linotype" w:cstheme="minorBidi"/>
          <w:b/>
          <w:lang w:val="es-MX" w:eastAsia="es-MX"/>
        </w:rPr>
        <w:t>Sujeto Obligado</w:t>
      </w:r>
      <w:r w:rsidRPr="00737A9B">
        <w:rPr>
          <w:rFonts w:ascii="Palatino Linotype" w:eastAsiaTheme="minorHAnsi" w:hAnsi="Palatino Linotype" w:cstheme="minorBidi"/>
          <w:lang w:val="es-MX" w:eastAsia="es-MX"/>
        </w:rPr>
        <w:t>,</w:t>
      </w:r>
      <w:r w:rsidR="00480299">
        <w:rPr>
          <w:rFonts w:ascii="Palatino Linotype" w:eastAsiaTheme="minorHAnsi" w:hAnsi="Palatino Linotype" w:cstheme="minorBidi"/>
          <w:lang w:val="es-MX" w:eastAsia="es-MX"/>
        </w:rPr>
        <w:t xml:space="preserve"> a través del oficio número </w:t>
      </w:r>
      <w:r w:rsidR="001C492C">
        <w:rPr>
          <w:rFonts w:ascii="Palatino Linotype" w:eastAsiaTheme="minorHAnsi" w:hAnsi="Palatino Linotype" w:cstheme="minorBidi"/>
          <w:b/>
          <w:bCs/>
          <w:lang w:val="es-MX" w:eastAsia="es-MX"/>
        </w:rPr>
        <w:t>PMO/DARM/OI/188</w:t>
      </w:r>
      <w:r w:rsidR="00480299" w:rsidRPr="00480299">
        <w:rPr>
          <w:rFonts w:ascii="Palatino Linotype" w:eastAsiaTheme="minorHAnsi" w:hAnsi="Palatino Linotype" w:cstheme="minorBidi"/>
          <w:b/>
          <w:bCs/>
          <w:lang w:val="es-MX" w:eastAsia="es-MX"/>
        </w:rPr>
        <w:t>/2025</w:t>
      </w:r>
      <w:r w:rsidR="00480299">
        <w:rPr>
          <w:rFonts w:ascii="Palatino Linotype" w:eastAsiaTheme="minorHAnsi" w:hAnsi="Palatino Linotype" w:cstheme="minorBidi"/>
          <w:lang w:val="es-MX" w:eastAsia="es-MX"/>
        </w:rPr>
        <w:t xml:space="preserve">, firmado por </w:t>
      </w:r>
      <w:bookmarkStart w:id="3" w:name="_Hlk198048519"/>
      <w:r w:rsidR="001C492C">
        <w:rPr>
          <w:rFonts w:ascii="Palatino Linotype" w:eastAsiaTheme="minorHAnsi" w:hAnsi="Palatino Linotype" w:cstheme="minorBidi"/>
          <w:lang w:val="es-MX" w:eastAsia="es-MX"/>
        </w:rPr>
        <w:t xml:space="preserve">el </w:t>
      </w:r>
      <w:bookmarkStart w:id="4" w:name="_Hlk198742682"/>
      <w:r w:rsidR="001C492C">
        <w:rPr>
          <w:rFonts w:ascii="Palatino Linotype" w:eastAsiaTheme="minorHAnsi" w:hAnsi="Palatino Linotype" w:cstheme="minorBidi"/>
          <w:lang w:val="es-MX" w:eastAsia="es-MX"/>
        </w:rPr>
        <w:t>Director de Administración y Recursos Materiales</w:t>
      </w:r>
      <w:bookmarkEnd w:id="4"/>
      <w:r w:rsidR="00480299">
        <w:rPr>
          <w:rFonts w:ascii="Palatino Linotype" w:eastAsiaTheme="minorHAnsi" w:hAnsi="Palatino Linotype" w:cstheme="minorBidi"/>
          <w:lang w:val="es-MX" w:eastAsia="es-MX"/>
        </w:rPr>
        <w:t xml:space="preserve">, informó </w:t>
      </w:r>
      <w:r w:rsidR="001C492C">
        <w:rPr>
          <w:rFonts w:ascii="Palatino Linotype" w:eastAsiaTheme="minorHAnsi" w:hAnsi="Palatino Linotype" w:cstheme="minorBidi"/>
          <w:lang w:val="es-MX" w:eastAsia="es-MX"/>
        </w:rPr>
        <w:t xml:space="preserve">al particular que, </w:t>
      </w:r>
      <w:r w:rsidR="001C492C" w:rsidRPr="00764B25">
        <w:rPr>
          <w:rFonts w:ascii="Palatino Linotype" w:eastAsiaTheme="minorHAnsi" w:hAnsi="Palatino Linotype" w:cstheme="minorBidi"/>
          <w:b/>
          <w:bCs/>
          <w:u w:val="single"/>
          <w:lang w:val="es-MX" w:eastAsia="es-MX"/>
        </w:rPr>
        <w:t>podía hacer la consulta directa</w:t>
      </w:r>
      <w:r w:rsidR="001C492C">
        <w:rPr>
          <w:rFonts w:ascii="Palatino Linotype" w:eastAsiaTheme="minorHAnsi" w:hAnsi="Palatino Linotype" w:cstheme="minorBidi"/>
          <w:lang w:val="es-MX" w:eastAsia="es-MX"/>
        </w:rPr>
        <w:t xml:space="preserve"> en la oficina de administración y recursos</w:t>
      </w:r>
      <w:r w:rsidR="00764B25">
        <w:rPr>
          <w:rFonts w:ascii="Palatino Linotype" w:eastAsiaTheme="minorHAnsi" w:hAnsi="Palatino Linotype" w:cstheme="minorBidi"/>
          <w:lang w:val="es-MX" w:eastAsia="es-MX"/>
        </w:rPr>
        <w:t xml:space="preserve"> materiales ubicada en Av. Lázaro Cárdenas #1 </w:t>
      </w:r>
      <w:proofErr w:type="spellStart"/>
      <w:r w:rsidR="00764B25">
        <w:rPr>
          <w:rFonts w:ascii="Palatino Linotype" w:eastAsiaTheme="minorHAnsi" w:hAnsi="Palatino Linotype" w:cstheme="minorBidi"/>
          <w:lang w:val="es-MX" w:eastAsia="es-MX"/>
        </w:rPr>
        <w:t>Ocuilan</w:t>
      </w:r>
      <w:proofErr w:type="spellEnd"/>
      <w:r w:rsidR="00764B25">
        <w:rPr>
          <w:rFonts w:ascii="Palatino Linotype" w:eastAsiaTheme="minorHAnsi" w:hAnsi="Palatino Linotype" w:cstheme="minorBidi"/>
          <w:lang w:val="es-MX" w:eastAsia="es-MX"/>
        </w:rPr>
        <w:t xml:space="preserve"> de Arteaga</w:t>
      </w:r>
      <w:r w:rsidR="00480299">
        <w:rPr>
          <w:rFonts w:ascii="Palatino Linotype" w:eastAsiaTheme="minorHAnsi" w:hAnsi="Palatino Linotype" w:cstheme="minorBidi"/>
          <w:lang w:val="es-MX" w:eastAsia="es-MX"/>
        </w:rPr>
        <w:t xml:space="preserve">. </w:t>
      </w:r>
    </w:p>
    <w:bookmarkEnd w:id="1"/>
    <w:bookmarkEnd w:id="3"/>
    <w:p w14:paraId="21057C88" w14:textId="77777777" w:rsidR="00F85B63" w:rsidRDefault="00F85B63" w:rsidP="00DE6CF9">
      <w:pPr>
        <w:spacing w:line="360" w:lineRule="auto"/>
        <w:ind w:right="49"/>
        <w:jc w:val="both"/>
        <w:rPr>
          <w:rFonts w:ascii="Palatino Linotype" w:eastAsiaTheme="minorHAnsi" w:hAnsi="Palatino Linotype" w:cstheme="minorBidi"/>
          <w:lang w:val="es-MX" w:eastAsia="es-MX"/>
        </w:rPr>
      </w:pPr>
    </w:p>
    <w:p w14:paraId="336F8F6F" w14:textId="61B119F9" w:rsidR="00F85B63" w:rsidRPr="00F85B63" w:rsidRDefault="00F85B63" w:rsidP="00F85B63">
      <w:pPr>
        <w:autoSpaceDE w:val="0"/>
        <w:autoSpaceDN w:val="0"/>
        <w:adjustRightInd w:val="0"/>
        <w:spacing w:line="360" w:lineRule="auto"/>
        <w:jc w:val="both"/>
        <w:rPr>
          <w:rFonts w:ascii="Palatino Linotype" w:eastAsiaTheme="minorHAnsi" w:hAnsi="Palatino Linotype" w:cs="Arial"/>
          <w:bCs/>
          <w:szCs w:val="22"/>
          <w:lang w:val="es-MX" w:eastAsia="en-US"/>
        </w:rPr>
      </w:pPr>
      <w:r w:rsidRPr="00F85B63">
        <w:rPr>
          <w:rFonts w:ascii="Palatino Linotype" w:eastAsiaTheme="minorHAnsi" w:hAnsi="Palatino Linotype" w:cs="Arial"/>
          <w:bCs/>
          <w:szCs w:val="22"/>
          <w:lang w:val="es-MX" w:eastAsia="en-US"/>
        </w:rPr>
        <w:t>Es de destacar que</w:t>
      </w:r>
      <w:r>
        <w:rPr>
          <w:rFonts w:ascii="Palatino Linotype" w:eastAsiaTheme="minorHAnsi" w:hAnsi="Palatino Linotype" w:cs="Arial"/>
          <w:bCs/>
          <w:szCs w:val="22"/>
          <w:lang w:val="es-MX" w:eastAsia="en-US"/>
        </w:rPr>
        <w:t>,</w:t>
      </w:r>
      <w:r w:rsidRPr="00F85B63">
        <w:rPr>
          <w:rFonts w:ascii="Palatino Linotype" w:eastAsiaTheme="minorHAnsi" w:hAnsi="Palatino Linotype" w:cs="Arial"/>
          <w:bCs/>
          <w:szCs w:val="22"/>
          <w:lang w:val="es-MX" w:eastAsia="en-US"/>
        </w:rPr>
        <w:t xml:space="preserve"> al haber un pronunciamiento por parte de un Servidor Público dentro de sus atribuciones, este Órgano Garante, no está facultado para manifestarse sobre la veracidad de lo afirmado por parte del </w:t>
      </w:r>
      <w:r w:rsidRPr="00F85B63">
        <w:rPr>
          <w:rFonts w:ascii="Palatino Linotype" w:eastAsiaTheme="minorHAnsi" w:hAnsi="Palatino Linotype" w:cs="Arial"/>
          <w:b/>
          <w:bCs/>
          <w:szCs w:val="22"/>
          <w:lang w:val="es-MX" w:eastAsia="en-US"/>
        </w:rPr>
        <w:t>Sujeto Obligado</w:t>
      </w:r>
      <w:r w:rsidRPr="00F85B63">
        <w:rPr>
          <w:rFonts w:ascii="Palatino Linotype" w:eastAsiaTheme="minorHAnsi" w:hAnsi="Palatino Linotype" w:cs="Arial"/>
          <w:bCs/>
          <w:szCs w:val="22"/>
          <w:lang w:val="es-MX" w:eastAsia="en-US"/>
        </w:rPr>
        <w:t xml:space="preserve"> pues no existe precepto legal alguno en la Ley de la materia que lo faculte para ello. </w:t>
      </w:r>
    </w:p>
    <w:p w14:paraId="5D3DA30A" w14:textId="77777777" w:rsidR="00683574" w:rsidRPr="006A240A" w:rsidRDefault="00683574" w:rsidP="00572099">
      <w:pPr>
        <w:spacing w:line="360" w:lineRule="auto"/>
        <w:ind w:right="141"/>
        <w:jc w:val="both"/>
        <w:rPr>
          <w:rFonts w:ascii="Palatino Linotype" w:eastAsiaTheme="minorHAnsi" w:hAnsi="Palatino Linotype" w:cs="Arial"/>
          <w:bCs/>
          <w:lang w:val="es-MX" w:eastAsia="en-US"/>
        </w:rPr>
      </w:pPr>
    </w:p>
    <w:p w14:paraId="4194A689" w14:textId="7DE34B34" w:rsidR="00572099" w:rsidRPr="006A240A" w:rsidRDefault="00E11B18" w:rsidP="00572099">
      <w:pPr>
        <w:spacing w:line="360" w:lineRule="auto"/>
        <w:ind w:right="141"/>
        <w:jc w:val="both"/>
        <w:rPr>
          <w:rFonts w:ascii="Palatino Linotype" w:eastAsiaTheme="minorHAnsi" w:hAnsi="Palatino Linotype" w:cs="Arial"/>
          <w:bCs/>
          <w:i/>
          <w:lang w:val="es-MX" w:eastAsia="en-US"/>
        </w:rPr>
      </w:pPr>
      <w:r w:rsidRPr="006A240A">
        <w:rPr>
          <w:rFonts w:ascii="Palatino Linotype" w:eastAsiaTheme="minorHAnsi" w:hAnsi="Palatino Linotype" w:cs="Arial"/>
          <w:bCs/>
          <w:lang w:val="es-MX" w:eastAsia="en-US"/>
        </w:rPr>
        <w:t xml:space="preserve">Es así que derivado de la respuesta emitida por </w:t>
      </w:r>
      <w:r w:rsidRPr="006A240A">
        <w:rPr>
          <w:rFonts w:ascii="Palatino Linotype" w:eastAsiaTheme="minorHAnsi" w:hAnsi="Palatino Linotype" w:cs="Arial"/>
          <w:b/>
          <w:bCs/>
          <w:lang w:val="es-MX" w:eastAsia="en-US"/>
        </w:rPr>
        <w:t>El Sujeto Obligado</w:t>
      </w:r>
      <w:r w:rsidRPr="006A240A">
        <w:rPr>
          <w:rFonts w:ascii="Palatino Linotype" w:eastAsiaTheme="minorHAnsi" w:hAnsi="Palatino Linotype" w:cs="Arial"/>
          <w:bCs/>
          <w:lang w:val="es-MX" w:eastAsia="en-US"/>
        </w:rPr>
        <w:t>,</w:t>
      </w:r>
      <w:r w:rsidR="0073033B">
        <w:rPr>
          <w:rFonts w:ascii="Palatino Linotype" w:eastAsiaTheme="minorHAnsi" w:hAnsi="Palatino Linotype" w:cs="Arial"/>
          <w:bCs/>
          <w:lang w:val="es-MX" w:eastAsia="en-US"/>
        </w:rPr>
        <w:t xml:space="preserve"> la parte </w:t>
      </w:r>
      <w:r w:rsidRPr="006A240A">
        <w:rPr>
          <w:rFonts w:ascii="Palatino Linotype" w:eastAsiaTheme="minorHAnsi" w:hAnsi="Palatino Linotype" w:cs="Arial"/>
          <w:b/>
          <w:bCs/>
          <w:lang w:val="es-MX" w:eastAsia="en-US"/>
        </w:rPr>
        <w:t>Recurrente</w:t>
      </w:r>
      <w:r w:rsidRPr="006A240A">
        <w:rPr>
          <w:rFonts w:ascii="Palatino Linotype" w:eastAsiaTheme="minorHAnsi" w:hAnsi="Palatino Linotype" w:cs="Arial"/>
          <w:bCs/>
          <w:lang w:val="es-MX" w:eastAsia="en-US"/>
        </w:rPr>
        <w:t>, interpuso el presente recurso de revisión, señalando sustancialmente como su</w:t>
      </w:r>
      <w:r w:rsidR="00FA0962">
        <w:rPr>
          <w:rFonts w:ascii="Palatino Linotype" w:eastAsiaTheme="minorHAnsi" w:hAnsi="Palatino Linotype" w:cs="Arial"/>
          <w:bCs/>
          <w:lang w:val="es-MX" w:eastAsia="en-US"/>
        </w:rPr>
        <w:t>s</w:t>
      </w:r>
      <w:r w:rsidR="006A2694" w:rsidRPr="006A240A">
        <w:rPr>
          <w:rFonts w:ascii="Palatino Linotype" w:eastAsiaTheme="minorHAnsi" w:hAnsi="Palatino Linotype" w:cs="Arial"/>
          <w:bCs/>
          <w:lang w:val="es-MX" w:eastAsia="en-US"/>
        </w:rPr>
        <w:t xml:space="preserve"> </w:t>
      </w:r>
      <w:r w:rsidR="00FA0962">
        <w:rPr>
          <w:rFonts w:ascii="Palatino Linotype" w:eastAsiaTheme="minorHAnsi" w:hAnsi="Palatino Linotype" w:cs="Arial"/>
          <w:bCs/>
          <w:lang w:val="es-MX" w:eastAsia="en-US"/>
        </w:rPr>
        <w:t>razones o motivos de inconformidad</w:t>
      </w:r>
      <w:r w:rsidRPr="006A240A">
        <w:rPr>
          <w:rFonts w:ascii="Palatino Linotype" w:eastAsiaTheme="minorHAnsi" w:hAnsi="Palatino Linotype" w:cs="Arial"/>
          <w:bCs/>
          <w:lang w:val="es-MX" w:eastAsia="en-US"/>
        </w:rPr>
        <w:t>, lo siguiente:</w:t>
      </w:r>
      <w:r w:rsidR="00E9680B" w:rsidRPr="006A240A">
        <w:rPr>
          <w:rFonts w:ascii="Palatino Linotype" w:eastAsiaTheme="minorHAnsi" w:hAnsi="Palatino Linotype" w:cs="Arial"/>
          <w:bCs/>
          <w:lang w:val="es-MX" w:eastAsia="en-US"/>
        </w:rPr>
        <w:t xml:space="preserve"> </w:t>
      </w:r>
      <w:r w:rsidRPr="006A240A">
        <w:rPr>
          <w:rFonts w:ascii="Palatino Linotype" w:eastAsiaTheme="minorHAnsi" w:hAnsi="Palatino Linotype" w:cs="Arial"/>
          <w:bCs/>
          <w:i/>
          <w:lang w:val="es-MX" w:eastAsia="en-US"/>
        </w:rPr>
        <w:t>“</w:t>
      </w:r>
      <w:r w:rsidR="00764B25" w:rsidRPr="00764B25">
        <w:rPr>
          <w:rFonts w:ascii="Palatino Linotype" w:eastAsiaTheme="minorHAnsi" w:hAnsi="Palatino Linotype" w:cs="Arial"/>
          <w:i/>
          <w:lang w:val="es-MX" w:eastAsia="en-US"/>
        </w:rPr>
        <w:t>PORQUE NO ENTREGAN TODA LA DOCUMENTACIÓN, INDISTINTAMENTE DE LO QUE SUCEDA AL INTERIOR DEL SUJETO OBLIGADO, ES SU OBLIGACIÓN ENTREGAR LA INFORMACIÓN SOLICITADA.....</w:t>
      </w:r>
      <w:r w:rsidRPr="006A240A">
        <w:rPr>
          <w:rFonts w:ascii="Palatino Linotype" w:eastAsiaTheme="minorHAnsi" w:hAnsi="Palatino Linotype" w:cs="Arial"/>
          <w:bCs/>
          <w:i/>
          <w:lang w:val="es-MX" w:eastAsia="en-US"/>
        </w:rPr>
        <w:t>” (Sic).</w:t>
      </w:r>
    </w:p>
    <w:p w14:paraId="6C277C3B" w14:textId="5EC41861" w:rsidR="008A12CF" w:rsidRPr="006A240A" w:rsidRDefault="00E9680B" w:rsidP="008A12CF">
      <w:pPr>
        <w:tabs>
          <w:tab w:val="left" w:pos="709"/>
        </w:tabs>
        <w:spacing w:line="360" w:lineRule="auto"/>
        <w:contextualSpacing/>
        <w:jc w:val="both"/>
        <w:rPr>
          <w:rFonts w:ascii="Palatino Linotype" w:hAnsi="Palatino Linotype" w:cs="Arial"/>
        </w:rPr>
      </w:pPr>
      <w:r w:rsidRPr="006A240A">
        <w:rPr>
          <w:rFonts w:ascii="Palatino Linotype" w:hAnsi="Palatino Linotype" w:cs="Arial"/>
          <w:lang w:val="es-ES_tradnl"/>
        </w:rPr>
        <w:lastRenderedPageBreak/>
        <w:t>Ante ello</w:t>
      </w:r>
      <w:r w:rsidR="008A12CF" w:rsidRPr="006A240A">
        <w:rPr>
          <w:rFonts w:ascii="Palatino Linotype" w:hAnsi="Palatino Linotype" w:cs="Arial"/>
          <w:lang w:val="es-ES_tradnl"/>
        </w:rPr>
        <w:t xml:space="preserve">, es de </w:t>
      </w:r>
      <w:r w:rsidR="008A12CF" w:rsidRPr="006A240A">
        <w:rPr>
          <w:rFonts w:ascii="Palatino Linotype" w:hAnsi="Palatino Linotype" w:cs="Arial"/>
        </w:rPr>
        <w:t>señalar que el artículo 4, párrafo segundo de la Ley de Transparencia y Acceso a la Información Pública del Estado de México y Municipios, dispone:</w:t>
      </w:r>
    </w:p>
    <w:p w14:paraId="41D5D28D" w14:textId="77777777" w:rsidR="00791193" w:rsidRPr="006A240A" w:rsidRDefault="00791193" w:rsidP="00791193">
      <w:pPr>
        <w:pStyle w:val="Sinespaciado"/>
      </w:pPr>
    </w:p>
    <w:p w14:paraId="42FB5373"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t>“</w:t>
      </w:r>
      <w:r w:rsidRPr="006A240A">
        <w:rPr>
          <w:rFonts w:ascii="Palatino Linotype" w:hAnsi="Palatino Linotype" w:cs="Arial"/>
          <w:b/>
          <w:i/>
          <w:sz w:val="22"/>
        </w:rPr>
        <w:t xml:space="preserve">Artículo 4. </w:t>
      </w:r>
      <w:r w:rsidRPr="006A240A">
        <w:rPr>
          <w:rFonts w:ascii="Palatino Linotype" w:hAnsi="Palatino Linotype" w:cs="Arial"/>
          <w:i/>
          <w:sz w:val="22"/>
        </w:rPr>
        <w:t xml:space="preserve">… </w:t>
      </w:r>
    </w:p>
    <w:p w14:paraId="3EBD2FA7"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w:t>
      </w:r>
      <w:r w:rsidR="00FC1FC5" w:rsidRPr="006A240A">
        <w:rPr>
          <w:rFonts w:ascii="Palatino Linotype" w:hAnsi="Palatino Linotype" w:cs="Arial"/>
          <w:i/>
          <w:sz w:val="22"/>
        </w:rPr>
        <w:t>evistas por esta Ley.</w:t>
      </w:r>
      <w:r w:rsidRPr="006A240A">
        <w:rPr>
          <w:rFonts w:ascii="Palatino Linotype" w:hAnsi="Palatino Linotype" w:cs="Arial"/>
          <w:i/>
          <w:sz w:val="22"/>
        </w:rPr>
        <w:t>”</w:t>
      </w:r>
    </w:p>
    <w:p w14:paraId="7ADA0171" w14:textId="77777777" w:rsidR="00E9680B" w:rsidRPr="006A240A" w:rsidRDefault="00E9680B" w:rsidP="008A12CF">
      <w:pPr>
        <w:tabs>
          <w:tab w:val="left" w:pos="709"/>
        </w:tabs>
        <w:spacing w:line="360" w:lineRule="auto"/>
        <w:contextualSpacing/>
        <w:jc w:val="both"/>
        <w:rPr>
          <w:rFonts w:ascii="Palatino Linotype" w:hAnsi="Palatino Linotype" w:cs="Arial"/>
          <w:lang w:val="es-ES_tradnl"/>
        </w:rPr>
      </w:pPr>
    </w:p>
    <w:p w14:paraId="18763BD9" w14:textId="77777777" w:rsidR="008A12CF" w:rsidRPr="006A240A" w:rsidRDefault="008A12CF" w:rsidP="008A12CF">
      <w:pPr>
        <w:tabs>
          <w:tab w:val="left" w:pos="709"/>
        </w:tabs>
        <w:spacing w:line="360" w:lineRule="auto"/>
        <w:contextualSpacing/>
        <w:jc w:val="both"/>
        <w:rPr>
          <w:rFonts w:ascii="Palatino Linotype" w:hAnsi="Palatino Linotype" w:cs="Arial"/>
          <w:lang w:val="es-ES_tradnl"/>
        </w:rPr>
      </w:pPr>
      <w:r w:rsidRPr="006A240A">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0AE2A79C" w14:textId="77777777" w:rsidR="008A12CF" w:rsidRPr="006A240A" w:rsidRDefault="008A12CF" w:rsidP="008A12CF">
      <w:pPr>
        <w:tabs>
          <w:tab w:val="left" w:pos="709"/>
        </w:tabs>
        <w:spacing w:line="360" w:lineRule="auto"/>
        <w:contextualSpacing/>
        <w:jc w:val="both"/>
        <w:rPr>
          <w:rFonts w:ascii="Palatino Linotype" w:hAnsi="Palatino Linotype" w:cs="Arial"/>
        </w:rPr>
      </w:pPr>
    </w:p>
    <w:p w14:paraId="4F59E477" w14:textId="77D99F47" w:rsidR="008A12CF" w:rsidRDefault="008A12CF" w:rsidP="00376422">
      <w:pPr>
        <w:tabs>
          <w:tab w:val="left" w:pos="709"/>
        </w:tabs>
        <w:spacing w:line="360" w:lineRule="auto"/>
        <w:contextualSpacing/>
        <w:jc w:val="both"/>
        <w:rPr>
          <w:rFonts w:ascii="Palatino Linotype" w:hAnsi="Palatino Linotype" w:cs="Arial"/>
        </w:rPr>
      </w:pPr>
      <w:r w:rsidRPr="006A240A">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w:t>
      </w:r>
      <w:r w:rsidR="00376422">
        <w:rPr>
          <w:rFonts w:ascii="Palatino Linotype" w:hAnsi="Palatino Linotype" w:cs="Arial"/>
        </w:rPr>
        <w:t xml:space="preserve">como se señala a continuación: </w:t>
      </w:r>
    </w:p>
    <w:p w14:paraId="72C06A84" w14:textId="77777777" w:rsidR="00376422" w:rsidRPr="00376422" w:rsidRDefault="00376422" w:rsidP="00376422">
      <w:pPr>
        <w:tabs>
          <w:tab w:val="left" w:pos="709"/>
        </w:tabs>
        <w:spacing w:line="360" w:lineRule="auto"/>
        <w:contextualSpacing/>
        <w:jc w:val="both"/>
        <w:rPr>
          <w:rFonts w:ascii="Palatino Linotype" w:hAnsi="Palatino Linotype" w:cs="Arial"/>
        </w:rPr>
      </w:pPr>
    </w:p>
    <w:p w14:paraId="469E78F4" w14:textId="77777777" w:rsidR="008A12CF" w:rsidRPr="006A240A" w:rsidRDefault="008A12CF" w:rsidP="00E9680B">
      <w:pPr>
        <w:ind w:left="567" w:right="616"/>
        <w:jc w:val="both"/>
        <w:rPr>
          <w:rFonts w:ascii="Palatino Linotype" w:hAnsi="Palatino Linotype" w:cs="Arial"/>
          <w:i/>
          <w:sz w:val="22"/>
        </w:rPr>
      </w:pPr>
      <w:r w:rsidRPr="006A240A">
        <w:rPr>
          <w:rFonts w:ascii="Palatino Linotype" w:hAnsi="Palatino Linotype" w:cs="Arial"/>
          <w:i/>
          <w:sz w:val="22"/>
        </w:rPr>
        <w:t>“</w:t>
      </w:r>
      <w:r w:rsidRPr="006A240A">
        <w:rPr>
          <w:rFonts w:ascii="Palatino Linotype" w:hAnsi="Palatino Linotype" w:cs="Arial"/>
          <w:b/>
          <w:i/>
          <w:sz w:val="22"/>
        </w:rPr>
        <w:t>Artículo 12.</w:t>
      </w:r>
      <w:r w:rsidRPr="006A240A">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48930CAB" w14:textId="77777777" w:rsidR="008A12CF" w:rsidRPr="006A240A" w:rsidRDefault="008A12CF" w:rsidP="00E9680B">
      <w:pPr>
        <w:ind w:left="567" w:right="616"/>
        <w:jc w:val="both"/>
        <w:rPr>
          <w:rFonts w:ascii="Palatino Linotype" w:hAnsi="Palatino Linotype" w:cs="Arial"/>
          <w:i/>
          <w:sz w:val="22"/>
        </w:rPr>
      </w:pPr>
    </w:p>
    <w:p w14:paraId="4C59E8C4" w14:textId="77777777" w:rsidR="00CC0B81" w:rsidRPr="006A240A" w:rsidRDefault="008A12CF" w:rsidP="00581DC8">
      <w:pPr>
        <w:ind w:left="567" w:right="616"/>
        <w:jc w:val="both"/>
        <w:rPr>
          <w:rFonts w:ascii="Palatino Linotype" w:hAnsi="Palatino Linotype" w:cs="Arial"/>
          <w:i/>
          <w:sz w:val="22"/>
        </w:rPr>
      </w:pPr>
      <w:r w:rsidRPr="006A240A">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425E3C4" w14:textId="7622484F" w:rsidR="00376422" w:rsidRDefault="008A12CF" w:rsidP="008A12CF">
      <w:pPr>
        <w:tabs>
          <w:tab w:val="left" w:pos="709"/>
        </w:tabs>
        <w:spacing w:line="360" w:lineRule="auto"/>
        <w:contextualSpacing/>
        <w:jc w:val="both"/>
        <w:rPr>
          <w:rFonts w:ascii="Palatino Linotype" w:hAnsi="Palatino Linotype" w:cs="Arial"/>
        </w:rPr>
      </w:pPr>
      <w:r w:rsidRPr="006A240A">
        <w:rPr>
          <w:rFonts w:ascii="Palatino Linotype" w:hAnsi="Palatino Linotype" w:cs="Arial"/>
        </w:rPr>
        <w:lastRenderedPageBreak/>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w:t>
      </w:r>
      <w:r w:rsidR="00376422">
        <w:rPr>
          <w:rFonts w:ascii="Palatino Linotype" w:hAnsi="Palatino Linotype" w:cs="Arial"/>
        </w:rPr>
        <w:t>cceso a la información pública.</w:t>
      </w:r>
    </w:p>
    <w:p w14:paraId="6A7BFC21" w14:textId="77777777" w:rsidR="00480299" w:rsidRPr="006A240A" w:rsidRDefault="00480299" w:rsidP="008A12CF">
      <w:pPr>
        <w:tabs>
          <w:tab w:val="left" w:pos="709"/>
        </w:tabs>
        <w:spacing w:line="360" w:lineRule="auto"/>
        <w:contextualSpacing/>
        <w:jc w:val="both"/>
        <w:rPr>
          <w:rFonts w:ascii="Palatino Linotype" w:hAnsi="Palatino Linotype" w:cs="Arial"/>
        </w:rPr>
      </w:pPr>
    </w:p>
    <w:p w14:paraId="64352026" w14:textId="77777777" w:rsidR="008A12CF" w:rsidRPr="006A240A" w:rsidRDefault="008A12CF" w:rsidP="008A12CF">
      <w:pPr>
        <w:tabs>
          <w:tab w:val="left" w:pos="709"/>
        </w:tabs>
        <w:spacing w:line="360" w:lineRule="auto"/>
        <w:contextualSpacing/>
        <w:jc w:val="both"/>
        <w:rPr>
          <w:rFonts w:ascii="Palatino Linotype" w:hAnsi="Palatino Linotype" w:cs="Arial"/>
        </w:rPr>
      </w:pPr>
      <w:r w:rsidRPr="006A240A">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6A240A">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6A240A">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651F4B43" w14:textId="77777777" w:rsidR="008A12CF" w:rsidRPr="006A240A" w:rsidRDefault="008A12CF" w:rsidP="008A12CF">
      <w:pPr>
        <w:pStyle w:val="Sinespaciado"/>
      </w:pPr>
    </w:p>
    <w:p w14:paraId="7C973409"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t>“</w:t>
      </w:r>
      <w:r w:rsidRPr="006A240A">
        <w:rPr>
          <w:rFonts w:ascii="Palatino Linotype" w:hAnsi="Palatino Linotype" w:cs="Arial"/>
          <w:b/>
          <w:i/>
          <w:sz w:val="22"/>
        </w:rPr>
        <w:t xml:space="preserve">Artículo 3. </w:t>
      </w:r>
      <w:r w:rsidRPr="006A240A">
        <w:rPr>
          <w:rFonts w:ascii="Palatino Linotype" w:hAnsi="Palatino Linotype" w:cs="Arial"/>
          <w:i/>
          <w:sz w:val="22"/>
        </w:rPr>
        <w:t>Para los efectos de la presente Ley se entenderá por:</w:t>
      </w:r>
    </w:p>
    <w:p w14:paraId="4FB43049"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t>(…)</w:t>
      </w:r>
    </w:p>
    <w:p w14:paraId="4EAD3377"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b/>
          <w:i/>
          <w:sz w:val="22"/>
        </w:rPr>
        <w:t>XI. Documento:</w:t>
      </w:r>
      <w:r w:rsidRPr="006A240A">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6A240A">
        <w:rPr>
          <w:rFonts w:ascii="Palatino Linotype" w:hAnsi="Palatino Linotype" w:cs="Arial"/>
          <w:b/>
          <w:i/>
          <w:sz w:val="22"/>
          <w:u w:val="single"/>
        </w:rPr>
        <w:t>registro que documente el ejercicio de las facultades, funciones y competencias de los sujetos obligados</w:t>
      </w:r>
      <w:r w:rsidRPr="006A240A">
        <w:rPr>
          <w:rFonts w:ascii="Palatino Linotype" w:hAnsi="Palatino Linotype" w:cs="Arial"/>
          <w:i/>
          <w:sz w:val="22"/>
          <w:u w:val="single"/>
        </w:rPr>
        <w:t>,</w:t>
      </w:r>
      <w:r w:rsidRPr="006A240A">
        <w:rPr>
          <w:rFonts w:ascii="Palatino Linotype" w:hAnsi="Palatino Linotype" w:cs="Arial"/>
          <w:i/>
          <w:sz w:val="22"/>
        </w:rPr>
        <w:t xml:space="preserve"> sus servidores públicos e integrantes, </w:t>
      </w:r>
      <w:r w:rsidRPr="006A240A">
        <w:rPr>
          <w:rFonts w:ascii="Palatino Linotype" w:hAnsi="Palatino Linotype" w:cs="Arial"/>
          <w:b/>
          <w:i/>
          <w:sz w:val="22"/>
          <w:u w:val="single"/>
        </w:rPr>
        <w:t>sin importar su fuente o fecha de elaboración.</w:t>
      </w:r>
      <w:r w:rsidRPr="006A240A">
        <w:rPr>
          <w:rFonts w:ascii="Palatino Linotype" w:hAnsi="Palatino Linotype" w:cs="Arial"/>
          <w:i/>
          <w:sz w:val="22"/>
        </w:rPr>
        <w:t xml:space="preserve"> Los documentos podrán estar en cualquier medio, sea escrito, impreso, sonoro, visual, electrónico, informático u holográfico;</w:t>
      </w:r>
    </w:p>
    <w:p w14:paraId="659C38FD"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t>(…)”</w:t>
      </w:r>
    </w:p>
    <w:p w14:paraId="35433D2B" w14:textId="77777777" w:rsidR="008A12CF" w:rsidRPr="006A240A" w:rsidRDefault="008A12CF" w:rsidP="008A12CF">
      <w:pPr>
        <w:rPr>
          <w:sz w:val="14"/>
        </w:rPr>
      </w:pPr>
    </w:p>
    <w:p w14:paraId="6F8E6CBD" w14:textId="77777777" w:rsidR="008A12CF" w:rsidRPr="006A240A" w:rsidRDefault="008A12CF" w:rsidP="008A12CF"/>
    <w:p w14:paraId="367EAE83" w14:textId="376CEF85" w:rsidR="008A12CF" w:rsidRDefault="008A12CF" w:rsidP="00EA0618">
      <w:pPr>
        <w:spacing w:before="240" w:after="240" w:line="360" w:lineRule="auto"/>
        <w:ind w:right="49"/>
        <w:contextualSpacing/>
        <w:jc w:val="both"/>
        <w:rPr>
          <w:rFonts w:ascii="Palatino Linotype" w:eastAsia="MS Mincho" w:hAnsi="Palatino Linotype"/>
        </w:rPr>
      </w:pPr>
      <w:r w:rsidRPr="006A240A">
        <w:rPr>
          <w:rFonts w:ascii="Palatino Linotype" w:hAnsi="Palatino Linotype" w:cs="Arial"/>
        </w:rPr>
        <w:lastRenderedPageBreak/>
        <w:t xml:space="preserve">Además, </w:t>
      </w:r>
      <w:r w:rsidRPr="006A240A">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0563E436" w14:textId="77777777" w:rsidR="00F85B63" w:rsidRPr="00EA0618" w:rsidRDefault="00F85B63" w:rsidP="00EA0618">
      <w:pPr>
        <w:spacing w:before="240" w:after="240" w:line="360" w:lineRule="auto"/>
        <w:ind w:right="49"/>
        <w:contextualSpacing/>
        <w:jc w:val="both"/>
        <w:rPr>
          <w:rFonts w:ascii="Palatino Linotype" w:hAnsi="Palatino Linotype" w:cs="Arial"/>
          <w:lang w:eastAsia="es-MX"/>
        </w:rPr>
      </w:pPr>
    </w:p>
    <w:p w14:paraId="34F9B181" w14:textId="77777777" w:rsidR="008A12CF" w:rsidRPr="006A240A" w:rsidRDefault="008A12CF" w:rsidP="00FC1FC5">
      <w:pPr>
        <w:spacing w:line="360" w:lineRule="auto"/>
        <w:jc w:val="both"/>
        <w:rPr>
          <w:rFonts w:ascii="Palatino Linotype" w:hAnsi="Palatino Linotype" w:cs="Arial"/>
          <w:color w:val="222222"/>
          <w:szCs w:val="19"/>
          <w:lang w:eastAsia="es-MX"/>
        </w:rPr>
      </w:pPr>
      <w:r w:rsidRPr="006A240A">
        <w:rPr>
          <w:rFonts w:ascii="Palatino Linotype" w:hAnsi="Palatino Linotype"/>
          <w:color w:val="000000"/>
        </w:rPr>
        <w:t xml:space="preserve">Sirve como apoyo </w:t>
      </w:r>
      <w:r w:rsidRPr="006A240A">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6A1B7A80" w14:textId="77777777" w:rsidR="008A12CF" w:rsidRPr="006A240A" w:rsidRDefault="008A12CF" w:rsidP="008A12CF">
      <w:pPr>
        <w:pStyle w:val="Sinespaciado"/>
        <w:rPr>
          <w:lang w:eastAsia="es-MX"/>
        </w:rPr>
      </w:pPr>
    </w:p>
    <w:p w14:paraId="3B377C22" w14:textId="77777777" w:rsidR="008A12CF" w:rsidRPr="006A240A" w:rsidRDefault="008A12CF" w:rsidP="00351E9D">
      <w:pPr>
        <w:shd w:val="clear" w:color="auto" w:fill="FFFFFF"/>
        <w:tabs>
          <w:tab w:val="left" w:pos="8647"/>
        </w:tabs>
        <w:ind w:left="567" w:right="616"/>
        <w:jc w:val="both"/>
        <w:rPr>
          <w:rFonts w:ascii="Palatino Linotype" w:hAnsi="Palatino Linotype" w:cs="Arial"/>
          <w:i/>
          <w:iCs/>
          <w:color w:val="222222"/>
          <w:sz w:val="22"/>
          <w:lang w:eastAsia="es-MX"/>
        </w:rPr>
      </w:pPr>
      <w:r w:rsidRPr="006A240A">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6A240A">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5AA1F2F3" w14:textId="77777777" w:rsidR="008A12CF" w:rsidRPr="006A240A" w:rsidRDefault="008A12CF" w:rsidP="008A12CF">
      <w:pPr>
        <w:pStyle w:val="Sinespaciado"/>
      </w:pPr>
    </w:p>
    <w:p w14:paraId="11F242E0" w14:textId="77777777" w:rsidR="008A12CF" w:rsidRPr="006A240A" w:rsidRDefault="008A12CF" w:rsidP="008A12CF">
      <w:pPr>
        <w:pStyle w:val="Sinespaciado"/>
      </w:pPr>
    </w:p>
    <w:p w14:paraId="15FC42C0" w14:textId="7C8FB0EE" w:rsidR="008A12CF" w:rsidRPr="006A240A" w:rsidRDefault="008A12CF" w:rsidP="008A12CF">
      <w:pPr>
        <w:spacing w:line="360" w:lineRule="auto"/>
        <w:contextualSpacing/>
        <w:jc w:val="both"/>
        <w:rPr>
          <w:rFonts w:ascii="Palatino Linotype" w:hAnsi="Palatino Linotype" w:cs="Arial"/>
        </w:rPr>
      </w:pPr>
      <w:r w:rsidRPr="006A240A">
        <w:rPr>
          <w:rFonts w:ascii="Palatino Linotype" w:hAnsi="Palatino Linotype" w:cs="Arial"/>
          <w:bCs/>
        </w:rPr>
        <w:t xml:space="preserve">Además, </w:t>
      </w:r>
      <w:r w:rsidRPr="006A240A">
        <w:rPr>
          <w:rFonts w:ascii="Palatino Linotype" w:hAnsi="Palatino Linotype" w:cs="Arial"/>
        </w:rPr>
        <w:t xml:space="preserve">a Ley de Transparencia y Acceso a la Información Pública del Estado de México y Municipios, prevé en su artículo 23, fracción </w:t>
      </w:r>
      <w:r w:rsidR="004C6BB5" w:rsidRPr="006A240A">
        <w:rPr>
          <w:rFonts w:ascii="Palatino Linotype" w:hAnsi="Palatino Linotype" w:cs="Arial"/>
        </w:rPr>
        <w:t>IV</w:t>
      </w:r>
      <w:r w:rsidRPr="006A240A">
        <w:rPr>
          <w:rFonts w:ascii="Palatino Linotype" w:hAnsi="Palatino Linotype" w:cs="Arial"/>
        </w:rPr>
        <w:t>, que son Sujetos Obligados a Transparentar y permitir el acceso a su información y proteger los datos que obren en su poder:</w:t>
      </w:r>
    </w:p>
    <w:p w14:paraId="09997C25" w14:textId="77777777" w:rsidR="00581DC8" w:rsidRPr="006A240A" w:rsidRDefault="00581DC8" w:rsidP="00581DC8">
      <w:pPr>
        <w:pStyle w:val="Sinespaciado"/>
      </w:pPr>
    </w:p>
    <w:p w14:paraId="2E250855" w14:textId="77777777" w:rsidR="004C6BB5" w:rsidRPr="006A240A" w:rsidRDefault="00581DC8" w:rsidP="004C6BB5">
      <w:pPr>
        <w:ind w:left="567" w:right="616"/>
        <w:contextualSpacing/>
        <w:jc w:val="both"/>
        <w:rPr>
          <w:rFonts w:ascii="Palatino Linotype" w:hAnsi="Palatino Linotype" w:cs="Arial"/>
          <w:i/>
          <w:sz w:val="22"/>
        </w:rPr>
      </w:pPr>
      <w:r w:rsidRPr="006A240A">
        <w:rPr>
          <w:rFonts w:ascii="Palatino Linotype" w:hAnsi="Palatino Linotype" w:cs="Arial"/>
          <w:b/>
          <w:i/>
          <w:sz w:val="22"/>
        </w:rPr>
        <w:t>Artículo 23.</w:t>
      </w:r>
      <w:r w:rsidRPr="006A240A">
        <w:rPr>
          <w:rFonts w:ascii="Palatino Linotype" w:hAnsi="Palatino Linotype" w:cs="Arial"/>
          <w:i/>
          <w:sz w:val="22"/>
        </w:rPr>
        <w:t xml:space="preserve"> Son sujetos obligados a transparentar y permitir el acceso a su información y proteger los datos personales que obren en su poder:</w:t>
      </w:r>
    </w:p>
    <w:p w14:paraId="4720E822" w14:textId="77777777" w:rsidR="004C6BB5" w:rsidRPr="006A240A" w:rsidRDefault="004C6BB5" w:rsidP="004C6BB5">
      <w:pPr>
        <w:ind w:left="567" w:right="616"/>
        <w:contextualSpacing/>
        <w:jc w:val="both"/>
        <w:rPr>
          <w:rFonts w:ascii="Palatino Linotype" w:hAnsi="Palatino Linotype" w:cs="Arial"/>
          <w:b/>
          <w:i/>
          <w:sz w:val="22"/>
        </w:rPr>
      </w:pPr>
    </w:p>
    <w:p w14:paraId="3CFBD3F6" w14:textId="5DBD6D8F" w:rsidR="00031EFF" w:rsidRPr="006A240A" w:rsidRDefault="004C6BB5" w:rsidP="004C6BB5">
      <w:pPr>
        <w:ind w:left="567" w:right="616"/>
        <w:contextualSpacing/>
        <w:jc w:val="both"/>
        <w:rPr>
          <w:rFonts w:ascii="Palatino Linotype" w:hAnsi="Palatino Linotype" w:cs="Arial"/>
          <w:bCs/>
          <w:i/>
          <w:sz w:val="22"/>
        </w:rPr>
      </w:pPr>
      <w:r w:rsidRPr="006A240A">
        <w:rPr>
          <w:rFonts w:ascii="Palatino Linotype" w:hAnsi="Palatino Linotype" w:cs="Arial"/>
          <w:b/>
          <w:i/>
          <w:sz w:val="22"/>
        </w:rPr>
        <w:t xml:space="preserve">IV. </w:t>
      </w:r>
      <w:r w:rsidRPr="006A240A">
        <w:rPr>
          <w:rFonts w:ascii="Palatino Linotype" w:hAnsi="Palatino Linotype" w:cs="Arial"/>
          <w:bCs/>
          <w:i/>
          <w:sz w:val="22"/>
        </w:rPr>
        <w:t>Los ayuntamientos y las dependencias, organismos, órganos y entidades de la administración municipal;</w:t>
      </w:r>
    </w:p>
    <w:p w14:paraId="5444B6C2" w14:textId="77777777" w:rsidR="004C6BB5" w:rsidRPr="006A240A" w:rsidRDefault="004C6BB5" w:rsidP="00F30C1D">
      <w:pPr>
        <w:spacing w:line="360" w:lineRule="auto"/>
        <w:jc w:val="both"/>
        <w:rPr>
          <w:rFonts w:ascii="Palatino Linotype" w:hAnsi="Palatino Linotype" w:cs="Arial"/>
        </w:rPr>
      </w:pPr>
    </w:p>
    <w:p w14:paraId="23FF5392" w14:textId="03F3F990" w:rsidR="00087797" w:rsidRPr="006A240A" w:rsidRDefault="008A12CF" w:rsidP="00F30C1D">
      <w:pPr>
        <w:spacing w:line="360" w:lineRule="auto"/>
        <w:jc w:val="both"/>
        <w:rPr>
          <w:rFonts w:ascii="Palatino Linotype" w:hAnsi="Palatino Linotype" w:cs="Arial"/>
        </w:rPr>
      </w:pPr>
      <w:r w:rsidRPr="006A240A">
        <w:rPr>
          <w:rFonts w:ascii="Palatino Linotype" w:hAnsi="Palatino Linotype" w:cs="Arial"/>
        </w:rPr>
        <w:t>Por lo que, de la respuesta emitida por parte</w:t>
      </w:r>
      <w:r w:rsidR="004C6BB5" w:rsidRPr="006A240A">
        <w:rPr>
          <w:rFonts w:ascii="Palatino Linotype" w:hAnsi="Palatino Linotype" w:cs="Arial"/>
        </w:rPr>
        <w:t xml:space="preserve"> </w:t>
      </w:r>
      <w:r w:rsidRPr="006A240A">
        <w:rPr>
          <w:rFonts w:ascii="Palatino Linotype" w:hAnsi="Palatino Linotype" w:cs="Arial"/>
        </w:rPr>
        <w:t xml:space="preserve">del </w:t>
      </w:r>
      <w:r w:rsidRPr="006A240A">
        <w:rPr>
          <w:rFonts w:ascii="Palatino Linotype" w:hAnsi="Palatino Linotype" w:cs="Arial"/>
          <w:b/>
        </w:rPr>
        <w:t>Sujeto Obligado</w:t>
      </w:r>
      <w:r w:rsidRPr="006A240A">
        <w:rPr>
          <w:rFonts w:ascii="Palatino Linotype" w:hAnsi="Palatino Linotype" w:cs="Arial"/>
        </w:rPr>
        <w:t xml:space="preserve"> generó, se enuncia cada una de la</w:t>
      </w:r>
      <w:r w:rsidR="004C6BB5" w:rsidRPr="006A240A">
        <w:rPr>
          <w:rFonts w:ascii="Palatino Linotype" w:hAnsi="Palatino Linotype" w:cs="Arial"/>
        </w:rPr>
        <w:t>s</w:t>
      </w:r>
      <w:r w:rsidRPr="006A240A">
        <w:rPr>
          <w:rFonts w:ascii="Palatino Linotype" w:hAnsi="Palatino Linotype" w:cs="Arial"/>
        </w:rPr>
        <w:t xml:space="preserve"> respuesta</w:t>
      </w:r>
      <w:r w:rsidR="004C6BB5" w:rsidRPr="006A240A">
        <w:rPr>
          <w:rFonts w:ascii="Palatino Linotype" w:hAnsi="Palatino Linotype" w:cs="Arial"/>
        </w:rPr>
        <w:t>s</w:t>
      </w:r>
      <w:r w:rsidRPr="006A240A">
        <w:rPr>
          <w:rFonts w:ascii="Palatino Linotype" w:hAnsi="Palatino Linotype" w:cs="Arial"/>
        </w:rPr>
        <w:t xml:space="preserve"> proporcionada</w:t>
      </w:r>
      <w:r w:rsidR="004C6BB5" w:rsidRPr="006A240A">
        <w:rPr>
          <w:rFonts w:ascii="Palatino Linotype" w:hAnsi="Palatino Linotype" w:cs="Arial"/>
        </w:rPr>
        <w:t>s</w:t>
      </w:r>
      <w:r w:rsidRPr="006A240A">
        <w:rPr>
          <w:rFonts w:ascii="Palatino Linotype" w:hAnsi="Palatino Linotype" w:cs="Arial"/>
        </w:rPr>
        <w:t>, con la finalidad de saber si se da cumplimiento a todos los requerimientos y si lo motivos de inconformidad resultan procedentes, de conformidad con lo siguiente:</w:t>
      </w:r>
    </w:p>
    <w:p w14:paraId="1535BB4B" w14:textId="77777777" w:rsidR="00F30C1D" w:rsidRPr="006A240A" w:rsidRDefault="00F30C1D" w:rsidP="00F30C1D">
      <w:pPr>
        <w:spacing w:line="360" w:lineRule="auto"/>
        <w:jc w:val="both"/>
        <w:rPr>
          <w:rFonts w:ascii="Palatino Linotype" w:hAnsi="Palatino Linotype" w:cs="Arial"/>
        </w:rPr>
      </w:pPr>
    </w:p>
    <w:p w14:paraId="495EE903" w14:textId="004A6045" w:rsidR="00FC079F" w:rsidRPr="006A240A" w:rsidRDefault="00F30C1D" w:rsidP="00F30C1D">
      <w:pPr>
        <w:spacing w:line="360" w:lineRule="auto"/>
        <w:jc w:val="both"/>
        <w:rPr>
          <w:rFonts w:ascii="Palatino Linotype" w:eastAsiaTheme="minorHAnsi" w:hAnsi="Palatino Linotype" w:cs="Arial"/>
          <w:szCs w:val="22"/>
          <w:lang w:val="es-MX" w:eastAsia="en-US"/>
        </w:rPr>
      </w:pPr>
      <w:r w:rsidRPr="006A240A">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6A240A">
        <w:rPr>
          <w:rFonts w:ascii="Palatino Linotype" w:eastAsiaTheme="minorHAnsi" w:hAnsi="Palatino Linotype" w:cs="Arial"/>
          <w:b/>
          <w:szCs w:val="22"/>
          <w:lang w:val="es-MX" w:eastAsia="en-US"/>
        </w:rPr>
        <w:t>SAIMEX</w:t>
      </w:r>
      <w:r w:rsidRPr="006A240A">
        <w:rPr>
          <w:rFonts w:ascii="Palatino Linotype" w:eastAsiaTheme="minorHAnsi" w:hAnsi="Palatino Linotype" w:cs="Arial"/>
          <w:szCs w:val="22"/>
          <w:lang w:val="es-MX" w:eastAsia="en-US"/>
        </w:rPr>
        <w:t>, a efecto de determinar si con la información remitida por</w:t>
      </w:r>
      <w:r w:rsidR="0075607A">
        <w:rPr>
          <w:rFonts w:ascii="Palatino Linotype" w:eastAsiaTheme="minorHAnsi" w:hAnsi="Palatino Linotype" w:cs="Arial"/>
          <w:szCs w:val="22"/>
          <w:lang w:val="es-MX" w:eastAsia="en-US"/>
        </w:rPr>
        <w:t xml:space="preserve"> el </w:t>
      </w:r>
      <w:r w:rsidRPr="006A240A">
        <w:rPr>
          <w:rFonts w:ascii="Palatino Linotype" w:eastAsiaTheme="minorHAnsi" w:hAnsi="Palatino Linotype" w:cs="Arial"/>
          <w:b/>
          <w:szCs w:val="22"/>
          <w:lang w:val="es-MX" w:eastAsia="en-US"/>
        </w:rPr>
        <w:t>Sujeto Obligado</w:t>
      </w:r>
      <w:r w:rsidRPr="006A240A">
        <w:rPr>
          <w:rFonts w:ascii="Palatino Linotype" w:eastAsiaTheme="minorHAnsi" w:hAnsi="Palatino Linotype" w:cs="Arial"/>
          <w:szCs w:val="22"/>
          <w:lang w:val="es-MX" w:eastAsia="en-US"/>
        </w:rPr>
        <w:t xml:space="preserve"> a través de su respuesta</w:t>
      </w:r>
      <w:r w:rsidR="006D5540">
        <w:rPr>
          <w:rFonts w:ascii="Palatino Linotype" w:eastAsiaTheme="minorHAnsi" w:hAnsi="Palatino Linotype" w:cs="Arial"/>
          <w:szCs w:val="22"/>
          <w:lang w:val="es-MX" w:eastAsia="en-US"/>
        </w:rPr>
        <w:t xml:space="preserve"> </w:t>
      </w:r>
      <w:r w:rsidRPr="006A240A">
        <w:rPr>
          <w:rFonts w:ascii="Palatino Linotype" w:eastAsiaTheme="minorHAnsi" w:hAnsi="Palatino Linotype" w:cs="Arial"/>
          <w:szCs w:val="22"/>
          <w:lang w:val="es-MX" w:eastAsia="en-US"/>
        </w:rPr>
        <w:t>se colma lo requerido en dicha solicitud.</w:t>
      </w:r>
    </w:p>
    <w:p w14:paraId="31074477" w14:textId="798AF1EC" w:rsidR="001D09E1" w:rsidRPr="006A240A" w:rsidRDefault="001D09E1" w:rsidP="00306F04">
      <w:pPr>
        <w:spacing w:line="360" w:lineRule="auto"/>
        <w:jc w:val="both"/>
        <w:rPr>
          <w:rFonts w:ascii="Palatino Linotype" w:eastAsiaTheme="minorHAnsi" w:hAnsi="Palatino Linotype" w:cs="Arial"/>
          <w:szCs w:val="22"/>
          <w:lang w:val="es-MX" w:eastAsia="en-US"/>
        </w:rPr>
      </w:pPr>
    </w:p>
    <w:p w14:paraId="7C3B5BE9" w14:textId="0437950E" w:rsidR="00012FFE" w:rsidRDefault="001D09E1" w:rsidP="00012FFE">
      <w:pPr>
        <w:spacing w:line="360" w:lineRule="auto"/>
        <w:ind w:right="49"/>
        <w:jc w:val="both"/>
        <w:rPr>
          <w:rFonts w:ascii="Palatino Linotype" w:eastAsiaTheme="minorHAnsi" w:hAnsi="Palatino Linotype" w:cstheme="minorBidi"/>
          <w:szCs w:val="22"/>
          <w:lang w:val="es-MX" w:eastAsia="es-MX"/>
        </w:rPr>
      </w:pPr>
      <w:r w:rsidRPr="006A240A">
        <w:rPr>
          <w:rFonts w:ascii="Palatino Linotype" w:eastAsiaTheme="minorHAnsi" w:hAnsi="Palatino Linotype" w:cs="Arial"/>
          <w:bCs/>
          <w:lang w:val="es-MX" w:eastAsia="en-US"/>
        </w:rPr>
        <w:t xml:space="preserve">Atento a ello, </w:t>
      </w:r>
      <w:r w:rsidR="002273B6" w:rsidRPr="006A240A">
        <w:rPr>
          <w:rFonts w:ascii="Palatino Linotype" w:eastAsiaTheme="minorHAnsi" w:hAnsi="Palatino Linotype" w:cs="Arial"/>
          <w:bCs/>
          <w:lang w:val="es-MX" w:eastAsia="en-US"/>
        </w:rPr>
        <w:t>primeramente,</w:t>
      </w:r>
      <w:r w:rsidRPr="006A240A">
        <w:rPr>
          <w:rFonts w:ascii="Palatino Linotype" w:eastAsiaTheme="minorHAnsi" w:hAnsi="Palatino Linotype" w:cs="Arial"/>
          <w:bCs/>
          <w:lang w:val="es-MX" w:eastAsia="en-US"/>
        </w:rPr>
        <w:t xml:space="preserve"> es importante señalar que </w:t>
      </w:r>
      <w:r w:rsidR="006E6297" w:rsidRPr="006A240A">
        <w:rPr>
          <w:rFonts w:ascii="Palatino Linotype" w:eastAsiaTheme="minorHAnsi" w:hAnsi="Palatino Linotype" w:cs="Arial"/>
          <w:bCs/>
          <w:lang w:val="es-MX" w:eastAsia="en-US"/>
        </w:rPr>
        <w:t xml:space="preserve">la pretensión del </w:t>
      </w:r>
      <w:r w:rsidR="004C6BB5" w:rsidRPr="006A240A">
        <w:rPr>
          <w:rFonts w:ascii="Palatino Linotype" w:eastAsiaTheme="minorHAnsi" w:hAnsi="Palatino Linotype" w:cs="Arial"/>
          <w:bCs/>
          <w:lang w:val="es-MX" w:eastAsia="en-US"/>
        </w:rPr>
        <w:t>s</w:t>
      </w:r>
      <w:r w:rsidR="006E6297" w:rsidRPr="006A240A">
        <w:rPr>
          <w:rFonts w:ascii="Palatino Linotype" w:eastAsiaTheme="minorHAnsi" w:hAnsi="Palatino Linotype" w:cs="Arial"/>
          <w:bCs/>
          <w:lang w:val="es-MX" w:eastAsia="en-US"/>
        </w:rPr>
        <w:t>olicitante es obtener información</w:t>
      </w:r>
      <w:r w:rsidR="00306F04" w:rsidRPr="006A240A">
        <w:rPr>
          <w:rFonts w:ascii="Palatino Linotype" w:eastAsiaTheme="minorHAnsi" w:hAnsi="Palatino Linotype" w:cs="Arial"/>
          <w:bCs/>
          <w:lang w:val="es-MX" w:eastAsia="en-US"/>
        </w:rPr>
        <w:t xml:space="preserve"> </w:t>
      </w:r>
      <w:r w:rsidR="00012FFE">
        <w:rPr>
          <w:rFonts w:ascii="Palatino Linotype" w:eastAsiaTheme="minorHAnsi" w:hAnsi="Palatino Linotype" w:cs="Arial"/>
          <w:bCs/>
          <w:lang w:val="es-MX" w:eastAsia="en-US"/>
        </w:rPr>
        <w:t>de</w:t>
      </w:r>
      <w:r w:rsidR="00012FFE">
        <w:rPr>
          <w:rFonts w:ascii="Palatino Linotype" w:eastAsiaTheme="minorHAnsi" w:hAnsi="Palatino Linotype" w:cstheme="minorBidi"/>
          <w:szCs w:val="22"/>
          <w:lang w:val="es-MX" w:eastAsia="es-MX"/>
        </w:rPr>
        <w:t xml:space="preserve">l </w:t>
      </w:r>
      <w:r w:rsidR="00012FFE" w:rsidRPr="001C492C">
        <w:rPr>
          <w:rFonts w:ascii="Palatino Linotype" w:eastAsiaTheme="minorHAnsi" w:hAnsi="Palatino Linotype" w:cstheme="minorBidi"/>
          <w:szCs w:val="22"/>
          <w:lang w:val="es-MX" w:eastAsia="es-MX"/>
        </w:rPr>
        <w:t xml:space="preserve">aviso de movimiento de baja del servicio del ISSEMYM de </w:t>
      </w:r>
      <w:r w:rsidR="00012FFE">
        <w:rPr>
          <w:rFonts w:ascii="Palatino Linotype" w:eastAsiaTheme="minorHAnsi" w:hAnsi="Palatino Linotype" w:cstheme="minorBidi"/>
          <w:szCs w:val="22"/>
          <w:lang w:val="es-MX" w:eastAsia="es-MX"/>
        </w:rPr>
        <w:t>cuatro</w:t>
      </w:r>
      <w:r w:rsidR="00012FFE" w:rsidRPr="001C492C">
        <w:rPr>
          <w:rFonts w:ascii="Palatino Linotype" w:eastAsiaTheme="minorHAnsi" w:hAnsi="Palatino Linotype" w:cstheme="minorBidi"/>
          <w:szCs w:val="22"/>
          <w:lang w:val="es-MX" w:eastAsia="es-MX"/>
        </w:rPr>
        <w:t xml:space="preserve"> </w:t>
      </w:r>
      <w:r w:rsidR="00012FFE">
        <w:rPr>
          <w:rFonts w:ascii="Palatino Linotype" w:eastAsiaTheme="minorHAnsi" w:hAnsi="Palatino Linotype" w:cstheme="minorBidi"/>
          <w:szCs w:val="22"/>
          <w:lang w:val="es-MX" w:eastAsia="es-MX"/>
        </w:rPr>
        <w:t xml:space="preserve">ex </w:t>
      </w:r>
      <w:r w:rsidR="00012FFE" w:rsidRPr="001C492C">
        <w:rPr>
          <w:rFonts w:ascii="Palatino Linotype" w:eastAsiaTheme="minorHAnsi" w:hAnsi="Palatino Linotype" w:cstheme="minorBidi"/>
          <w:szCs w:val="22"/>
          <w:lang w:val="es-MX" w:eastAsia="es-MX"/>
        </w:rPr>
        <w:t>servidores públicos de la pasada Administración Municipal 2022-2024</w:t>
      </w:r>
      <w:r w:rsidR="00012FFE">
        <w:rPr>
          <w:rFonts w:ascii="Palatino Linotype" w:eastAsiaTheme="minorHAnsi" w:hAnsi="Palatino Linotype" w:cstheme="minorBidi"/>
          <w:szCs w:val="22"/>
          <w:lang w:val="es-MX" w:eastAsia="es-MX"/>
        </w:rPr>
        <w:t>.</w:t>
      </w:r>
    </w:p>
    <w:p w14:paraId="27132C1B" w14:textId="77777777" w:rsidR="00012FFE" w:rsidRDefault="00012FFE" w:rsidP="00012FFE">
      <w:pPr>
        <w:spacing w:line="360" w:lineRule="auto"/>
        <w:ind w:right="49"/>
        <w:jc w:val="both"/>
        <w:rPr>
          <w:rFonts w:ascii="Palatino Linotype" w:eastAsiaTheme="minorHAnsi" w:hAnsi="Palatino Linotype" w:cstheme="minorBidi"/>
          <w:szCs w:val="22"/>
          <w:lang w:val="es-MX" w:eastAsia="es-MX"/>
        </w:rPr>
      </w:pPr>
    </w:p>
    <w:p w14:paraId="47047E7E" w14:textId="3D17F888" w:rsidR="009A0722" w:rsidRPr="009A0722" w:rsidRDefault="00012FFE" w:rsidP="009A0722">
      <w:pPr>
        <w:spacing w:line="360" w:lineRule="auto"/>
        <w:ind w:right="49"/>
        <w:jc w:val="both"/>
        <w:rPr>
          <w:rFonts w:ascii="Palatino Linotype" w:hAnsi="Palatino Linotype"/>
          <w:lang w:val="es-MX"/>
        </w:rPr>
      </w:pPr>
      <w:r w:rsidRPr="009A0722">
        <w:rPr>
          <w:rFonts w:ascii="Palatino Linotype" w:hAnsi="Palatino Linotype"/>
          <w:lang w:val="es-MX"/>
        </w:rPr>
        <w:t>Derivado de lo anterior y tomando en cuenta la información solicitada, es importante traer a contexto</w:t>
      </w:r>
      <w:r w:rsidR="009A0722" w:rsidRPr="009A0722">
        <w:rPr>
          <w:rFonts w:ascii="Palatino Linotype" w:hAnsi="Palatino Linotype"/>
          <w:lang w:val="es-MX"/>
        </w:rPr>
        <w:t xml:space="preserve"> </w:t>
      </w:r>
      <w:r w:rsidR="009A0722" w:rsidRPr="009A0722">
        <w:rPr>
          <w:rFonts w:ascii="Palatino Linotype" w:hAnsi="Palatino Linotype" w:cs="Tahoma"/>
          <w:bCs/>
          <w:iCs/>
          <w:lang w:val="es-MX"/>
        </w:rPr>
        <w:t xml:space="preserve">la </w:t>
      </w:r>
      <w:r w:rsidR="009A0722" w:rsidRPr="009A0722">
        <w:rPr>
          <w:rFonts w:ascii="Palatino Linotype" w:hAnsi="Palatino Linotype" w:cs="Tahoma"/>
          <w:b/>
          <w:bCs/>
          <w:iCs/>
          <w:lang w:val="es-MX"/>
        </w:rPr>
        <w:t xml:space="preserve">Guía técnica 07. La administración del personal municipal </w:t>
      </w:r>
      <w:r w:rsidR="009A0722" w:rsidRPr="009A0722">
        <w:rPr>
          <w:rFonts w:ascii="Palatino Linotype" w:eastAsia="Calibri" w:hAnsi="Palatino Linotype" w:cs="Tahoma"/>
          <w:bCs/>
          <w:lang w:val="es-MX"/>
        </w:rPr>
        <w:t xml:space="preserve">del Instituto Nacional de Administración Pública estableced que, dentro de las actividades básicas de la administración de personal, se encuentran las siguientes: </w:t>
      </w:r>
    </w:p>
    <w:p w14:paraId="12757CAC" w14:textId="77777777" w:rsidR="009A0722" w:rsidRPr="009A0722" w:rsidRDefault="009A0722" w:rsidP="009A0722">
      <w:pPr>
        <w:spacing w:line="360" w:lineRule="auto"/>
        <w:contextualSpacing/>
        <w:jc w:val="both"/>
        <w:rPr>
          <w:rFonts w:ascii="Palatino Linotype" w:eastAsia="Calibri" w:hAnsi="Palatino Linotype" w:cs="Tahoma"/>
          <w:bCs/>
          <w:lang w:val="es-MX"/>
        </w:rPr>
      </w:pPr>
    </w:p>
    <w:p w14:paraId="403C7E3E" w14:textId="77777777" w:rsidR="009A0722" w:rsidRPr="009A0722" w:rsidRDefault="009A0722" w:rsidP="009A0722">
      <w:pPr>
        <w:numPr>
          <w:ilvl w:val="0"/>
          <w:numId w:val="34"/>
        </w:numPr>
        <w:spacing w:line="360" w:lineRule="auto"/>
        <w:contextualSpacing/>
        <w:jc w:val="both"/>
        <w:rPr>
          <w:rFonts w:ascii="Palatino Linotype" w:hAnsi="Palatino Linotype" w:cs="Tahoma"/>
          <w:iCs/>
          <w:lang w:val="es-MX"/>
        </w:rPr>
      </w:pPr>
      <w:r w:rsidRPr="009A0722">
        <w:rPr>
          <w:rFonts w:ascii="Palatino Linotype" w:hAnsi="Palatino Linotype" w:cs="Tahoma"/>
          <w:b/>
          <w:bCs/>
          <w:iCs/>
          <w:lang w:val="es-MX"/>
        </w:rPr>
        <w:t>Formalización de la relación laboral</w:t>
      </w:r>
      <w:r w:rsidRPr="009A0722">
        <w:rPr>
          <w:rFonts w:ascii="Palatino Linotype" w:hAnsi="Palatino Linotype" w:cs="Tahoma"/>
          <w:iCs/>
          <w:lang w:val="es-MX"/>
        </w:rPr>
        <w:t xml:space="preserve">: La formalización de la relación de trabajo se realiza a través del contrato y del nombramiento, mediante los cuales la </w:t>
      </w:r>
      <w:r w:rsidRPr="009A0722">
        <w:rPr>
          <w:rFonts w:ascii="Palatino Linotype" w:hAnsi="Palatino Linotype" w:cs="Tahoma"/>
          <w:iCs/>
          <w:lang w:val="es-MX"/>
        </w:rPr>
        <w:lastRenderedPageBreak/>
        <w:t>administración municipal acepta y reconoce el ingreso de una persona para ocupar algún puesto vacante y otorga a sus trabajadores los derechos y obligaciones que fijan las leyes.</w:t>
      </w:r>
    </w:p>
    <w:p w14:paraId="6BC3ED5B" w14:textId="77777777" w:rsidR="009A0722" w:rsidRPr="009A0722" w:rsidRDefault="009A0722" w:rsidP="009A0722">
      <w:pPr>
        <w:spacing w:line="360" w:lineRule="auto"/>
        <w:ind w:left="720"/>
        <w:contextualSpacing/>
        <w:jc w:val="both"/>
        <w:rPr>
          <w:rFonts w:ascii="Palatino Linotype" w:hAnsi="Palatino Linotype" w:cs="Tahoma"/>
          <w:iCs/>
          <w:lang w:val="es-MX"/>
        </w:rPr>
      </w:pPr>
    </w:p>
    <w:p w14:paraId="5675BE48" w14:textId="77777777" w:rsidR="009A0722" w:rsidRPr="009A0722" w:rsidRDefault="009A0722" w:rsidP="009A0722">
      <w:pPr>
        <w:numPr>
          <w:ilvl w:val="0"/>
          <w:numId w:val="34"/>
        </w:numPr>
        <w:spacing w:line="360" w:lineRule="auto"/>
        <w:contextualSpacing/>
        <w:jc w:val="both"/>
        <w:rPr>
          <w:rFonts w:ascii="Palatino Linotype" w:hAnsi="Palatino Linotype" w:cs="Tahoma"/>
          <w:iCs/>
          <w:lang w:val="es-MX"/>
        </w:rPr>
      </w:pPr>
      <w:r w:rsidRPr="009A0722">
        <w:rPr>
          <w:rFonts w:ascii="Palatino Linotype" w:hAnsi="Palatino Linotype" w:cs="Tahoma"/>
          <w:b/>
          <w:bCs/>
          <w:iCs/>
          <w:lang w:val="es-MX"/>
        </w:rPr>
        <w:t>Terminación de la relación laboral</w:t>
      </w:r>
      <w:r w:rsidRPr="009A0722">
        <w:rPr>
          <w:rFonts w:ascii="Palatino Linotype" w:hAnsi="Palatino Linotype" w:cs="Tahoma"/>
          <w:iCs/>
          <w:lang w:val="es-MX"/>
        </w:rPr>
        <w:t xml:space="preserve">: Un empleado puede dejar de prestar sus servicios al municipio por diferentes casusas, como son: jubilación, renuncia, terminación, suspensión o rescisión del contrato. </w:t>
      </w:r>
    </w:p>
    <w:p w14:paraId="7E11C4AB" w14:textId="77777777" w:rsidR="009A0722" w:rsidRPr="009A0722" w:rsidRDefault="009A0722" w:rsidP="009A0722">
      <w:pPr>
        <w:spacing w:line="360" w:lineRule="auto"/>
        <w:contextualSpacing/>
        <w:jc w:val="both"/>
        <w:rPr>
          <w:rFonts w:ascii="Palatino Linotype" w:hAnsi="Palatino Linotype" w:cs="Tahoma"/>
          <w:iCs/>
          <w:lang w:val="es-MX"/>
        </w:rPr>
      </w:pPr>
    </w:p>
    <w:p w14:paraId="21FCC064" w14:textId="77777777" w:rsidR="009A0722" w:rsidRDefault="009A0722" w:rsidP="009A0722">
      <w:pPr>
        <w:spacing w:line="360" w:lineRule="auto"/>
        <w:contextualSpacing/>
        <w:jc w:val="both"/>
        <w:rPr>
          <w:rFonts w:ascii="Palatino Linotype" w:hAnsi="Palatino Linotype" w:cs="Tahoma"/>
          <w:iCs/>
        </w:rPr>
      </w:pPr>
      <w:r w:rsidRPr="009A0722">
        <w:rPr>
          <w:rFonts w:ascii="Palatino Linotype" w:hAnsi="Palatino Linotype" w:cs="Tahoma"/>
          <w:iCs/>
          <w:lang w:val="es-MX"/>
        </w:rPr>
        <w:t xml:space="preserve">En ese contexto, los artículos 50 y 89 de la </w:t>
      </w:r>
      <w:r w:rsidRPr="009A0722">
        <w:rPr>
          <w:rFonts w:ascii="Palatino Linotype" w:hAnsi="Palatino Linotype" w:cs="Tahoma"/>
          <w:iCs/>
        </w:rPr>
        <w:t xml:space="preserve">Ley del Trabajo de los Servidores Públicos del Estado y Municipios, precisan que el nombramiento, contrato o formato único de movimiento de personal son documentos que obligan al servidor público a cumplir los deberes inherentes al puesto especificado. </w:t>
      </w:r>
    </w:p>
    <w:p w14:paraId="1E15C496" w14:textId="77777777" w:rsidR="009A0722" w:rsidRDefault="009A0722" w:rsidP="009A0722">
      <w:pPr>
        <w:spacing w:line="360" w:lineRule="auto"/>
        <w:contextualSpacing/>
        <w:jc w:val="both"/>
        <w:rPr>
          <w:rFonts w:ascii="Palatino Linotype" w:hAnsi="Palatino Linotype" w:cs="Tahoma"/>
          <w:iCs/>
        </w:rPr>
      </w:pPr>
    </w:p>
    <w:p w14:paraId="0AB2BF46" w14:textId="786D8F0C" w:rsidR="009A0722" w:rsidRPr="009A0722" w:rsidRDefault="009A0722" w:rsidP="009A0722">
      <w:pPr>
        <w:spacing w:line="360" w:lineRule="auto"/>
        <w:contextualSpacing/>
        <w:jc w:val="both"/>
        <w:rPr>
          <w:rFonts w:ascii="Palatino Linotype" w:hAnsi="Palatino Linotype" w:cs="Tahoma"/>
          <w:iCs/>
        </w:rPr>
      </w:pPr>
      <w:r w:rsidRPr="009A0722">
        <w:rPr>
          <w:rFonts w:ascii="Palatino Linotype" w:hAnsi="Palatino Linotype" w:cs="Tahoma"/>
          <w:iCs/>
        </w:rPr>
        <w:t xml:space="preserve">Del mismo modo, son causas de terminación de la relación laboral sin responsabilidad para las instituciones públicas las siguientes: la renuncia del servidor público, el mutuo acuerdo de las partes, el vencimiento del término o conclusión de la administración en la cual fue contratado, la muerte del servidor público y la incapacidad permanente del servidor público. </w:t>
      </w:r>
    </w:p>
    <w:p w14:paraId="06608A52" w14:textId="77777777" w:rsidR="009A0722" w:rsidRPr="009A0722" w:rsidRDefault="009A0722" w:rsidP="009A0722">
      <w:pPr>
        <w:spacing w:line="360" w:lineRule="auto"/>
        <w:contextualSpacing/>
        <w:jc w:val="both"/>
        <w:rPr>
          <w:rFonts w:ascii="Palatino Linotype" w:hAnsi="Palatino Linotype" w:cs="Tahoma"/>
          <w:iCs/>
        </w:rPr>
      </w:pPr>
    </w:p>
    <w:p w14:paraId="40A70D82" w14:textId="77777777" w:rsidR="009A0722" w:rsidRPr="009A0722" w:rsidRDefault="009A0722" w:rsidP="009A0722">
      <w:pPr>
        <w:spacing w:line="360" w:lineRule="auto"/>
        <w:contextualSpacing/>
        <w:jc w:val="both"/>
        <w:rPr>
          <w:rFonts w:ascii="Palatino Linotype" w:eastAsia="Calibri" w:hAnsi="Palatino Linotype" w:cs="Tahoma"/>
          <w:bCs/>
          <w:lang w:val="es-MX"/>
        </w:rPr>
      </w:pPr>
      <w:r w:rsidRPr="009A0722">
        <w:rPr>
          <w:rFonts w:ascii="Palatino Linotype" w:hAnsi="Palatino Linotype" w:cs="Tahoma"/>
          <w:iCs/>
        </w:rPr>
        <w:t xml:space="preserve">Así, se advierte que derivado de las </w:t>
      </w:r>
      <w:r w:rsidRPr="009A0722">
        <w:rPr>
          <w:rFonts w:ascii="Palatino Linotype" w:eastAsia="Calibri" w:hAnsi="Palatino Linotype" w:cs="Tahoma"/>
          <w:bCs/>
          <w:lang w:val="es-MX"/>
        </w:rPr>
        <w:t xml:space="preserve">actividades básicas de la administración de personal, las Instituciones Públicas realizan diversos actos por medio de los cuales se da cuenta del inicial y terminación de la relación laboral con los servidores públicos. </w:t>
      </w:r>
    </w:p>
    <w:p w14:paraId="63BE0406" w14:textId="77777777" w:rsidR="009A0722" w:rsidRPr="009A0722" w:rsidRDefault="009A0722" w:rsidP="009A0722">
      <w:pPr>
        <w:spacing w:line="360" w:lineRule="auto"/>
        <w:contextualSpacing/>
        <w:jc w:val="both"/>
        <w:rPr>
          <w:rFonts w:ascii="Palatino Linotype" w:eastAsia="Calibri" w:hAnsi="Palatino Linotype" w:cs="Tahoma"/>
          <w:bCs/>
          <w:lang w:val="es-MX"/>
        </w:rPr>
      </w:pPr>
    </w:p>
    <w:p w14:paraId="0BAD452E" w14:textId="77777777" w:rsidR="009A0722" w:rsidRPr="009A0722" w:rsidRDefault="009A0722" w:rsidP="009A0722">
      <w:pPr>
        <w:spacing w:line="360" w:lineRule="auto"/>
        <w:jc w:val="both"/>
        <w:rPr>
          <w:rFonts w:ascii="Palatino Linotype" w:eastAsia="Calibri" w:hAnsi="Palatino Linotype" w:cs="Tahoma"/>
          <w:bCs/>
          <w:lang w:val="es-MX" w:eastAsia="en-US"/>
        </w:rPr>
      </w:pPr>
      <w:r w:rsidRPr="009A0722">
        <w:rPr>
          <w:rFonts w:ascii="Palatino Linotype" w:eastAsia="Calibri" w:hAnsi="Palatino Linotype" w:cs="Tahoma"/>
          <w:bCs/>
          <w:lang w:val="es-MX" w:eastAsia="en-US"/>
        </w:rPr>
        <w:t xml:space="preserve">En ese orden de ideas, el Manual de Procedimientos para la afiliación y credencialización de los derechohabientes del ISSEMYM, que establece, que el servidor </w:t>
      </w:r>
      <w:r w:rsidRPr="009A0722">
        <w:rPr>
          <w:rFonts w:ascii="Palatino Linotype" w:eastAsia="Calibri" w:hAnsi="Palatino Linotype" w:cs="Tahoma"/>
          <w:bCs/>
          <w:lang w:val="es-MX" w:eastAsia="en-US"/>
        </w:rPr>
        <w:lastRenderedPageBreak/>
        <w:t xml:space="preserve">público designado por la institución pública, que incluye a los Municipios (Usuario Autorizado), será el responsable de generar y entregar con oportunidad a los trabajadores, </w:t>
      </w:r>
      <w:r w:rsidRPr="009A0722">
        <w:rPr>
          <w:rFonts w:ascii="Palatino Linotype" w:eastAsia="Calibri" w:hAnsi="Palatino Linotype" w:cs="Tahoma"/>
          <w:b/>
          <w:bCs/>
          <w:lang w:val="es-MX" w:eastAsia="en-US"/>
        </w:rPr>
        <w:t xml:space="preserve">los Avisos de Movimiento (Alta y Baja), </w:t>
      </w:r>
      <w:r w:rsidRPr="009A0722">
        <w:rPr>
          <w:rFonts w:ascii="Palatino Linotype" w:eastAsia="Calibri" w:hAnsi="Palatino Linotype" w:cs="Tahoma"/>
          <w:bCs/>
          <w:lang w:val="es-MX" w:eastAsia="en-US"/>
        </w:rPr>
        <w:t>para realizar sus respectivos trámites ante el Instituto de Seguridad Social del Estado de México y Municipios.</w:t>
      </w:r>
    </w:p>
    <w:p w14:paraId="05EA1C49" w14:textId="77777777" w:rsidR="00012FFE" w:rsidRPr="00012FFE" w:rsidRDefault="00012FFE" w:rsidP="00012FFE">
      <w:pPr>
        <w:spacing w:line="360" w:lineRule="auto"/>
        <w:ind w:right="49"/>
        <w:jc w:val="both"/>
        <w:rPr>
          <w:rFonts w:ascii="Palatino Linotype" w:eastAsiaTheme="minorHAnsi" w:hAnsi="Palatino Linotype" w:cstheme="minorBidi"/>
          <w:szCs w:val="22"/>
          <w:lang w:val="es-MX" w:eastAsia="es-MX"/>
        </w:rPr>
      </w:pPr>
    </w:p>
    <w:p w14:paraId="0C41E64B" w14:textId="4D3A9B3C" w:rsidR="00012FFE" w:rsidRDefault="009A0722" w:rsidP="00012FFE">
      <w:pPr>
        <w:spacing w:line="360" w:lineRule="auto"/>
        <w:ind w:right="49"/>
        <w:jc w:val="both"/>
        <w:rPr>
          <w:rFonts w:ascii="Palatino Linotype" w:eastAsiaTheme="minorHAnsi" w:hAnsi="Palatino Linotype" w:cstheme="minorBidi"/>
          <w:lang w:val="es-MX" w:eastAsia="es-MX"/>
        </w:rPr>
      </w:pPr>
      <w:r w:rsidRPr="009A0722">
        <w:rPr>
          <w:rFonts w:ascii="Palatino Linotype" w:eastAsiaTheme="minorHAnsi" w:hAnsi="Palatino Linotype" w:cstheme="minorBidi"/>
          <w:lang w:val="es-MX" w:eastAsia="es-MX"/>
        </w:rPr>
        <w:t>Ahora bien, en respuesta</w:t>
      </w:r>
      <w:r w:rsidR="00012FFE">
        <w:rPr>
          <w:rFonts w:ascii="Palatino Linotype" w:eastAsiaTheme="minorHAnsi" w:hAnsi="Palatino Linotype" w:cstheme="minorBidi"/>
          <w:lang w:val="es-MX" w:eastAsia="es-MX"/>
        </w:rPr>
        <w:t xml:space="preserve">, el </w:t>
      </w:r>
      <w:r w:rsidR="00012FFE" w:rsidRPr="00737A9B">
        <w:rPr>
          <w:rFonts w:ascii="Palatino Linotype" w:eastAsiaTheme="minorHAnsi" w:hAnsi="Palatino Linotype" w:cstheme="minorBidi"/>
          <w:b/>
          <w:lang w:val="es-MX" w:eastAsia="es-MX"/>
        </w:rPr>
        <w:t>Sujeto Obligado</w:t>
      </w:r>
      <w:r w:rsidR="00012FFE" w:rsidRPr="00737A9B">
        <w:rPr>
          <w:rFonts w:ascii="Palatino Linotype" w:eastAsiaTheme="minorHAnsi" w:hAnsi="Palatino Linotype" w:cstheme="minorBidi"/>
          <w:lang w:val="es-MX" w:eastAsia="es-MX"/>
        </w:rPr>
        <w:t>,</w:t>
      </w:r>
      <w:r w:rsidR="00012FFE">
        <w:rPr>
          <w:rFonts w:ascii="Palatino Linotype" w:eastAsiaTheme="minorHAnsi" w:hAnsi="Palatino Linotype" w:cstheme="minorBidi"/>
          <w:lang w:val="es-MX" w:eastAsia="es-MX"/>
        </w:rPr>
        <w:t xml:space="preserve"> a través Dirección de Administración y Recursos Materiales, informó al particular que, </w:t>
      </w:r>
      <w:r w:rsidR="00012FFE" w:rsidRPr="00764B25">
        <w:rPr>
          <w:rFonts w:ascii="Palatino Linotype" w:eastAsiaTheme="minorHAnsi" w:hAnsi="Palatino Linotype" w:cstheme="minorBidi"/>
          <w:b/>
          <w:bCs/>
          <w:u w:val="single"/>
          <w:lang w:val="es-MX" w:eastAsia="es-MX"/>
        </w:rPr>
        <w:t>podía hacer la consulta directa</w:t>
      </w:r>
      <w:r w:rsidR="00012FFE">
        <w:rPr>
          <w:rFonts w:ascii="Palatino Linotype" w:eastAsiaTheme="minorHAnsi" w:hAnsi="Palatino Linotype" w:cstheme="minorBidi"/>
          <w:lang w:val="es-MX" w:eastAsia="es-MX"/>
        </w:rPr>
        <w:t xml:space="preserve"> en la oficina de administración y recursos materiales ubicada en Av. Lázaro Cárdenas #1 </w:t>
      </w:r>
      <w:proofErr w:type="spellStart"/>
      <w:r w:rsidR="00012FFE">
        <w:rPr>
          <w:rFonts w:ascii="Palatino Linotype" w:eastAsiaTheme="minorHAnsi" w:hAnsi="Palatino Linotype" w:cstheme="minorBidi"/>
          <w:lang w:val="es-MX" w:eastAsia="es-MX"/>
        </w:rPr>
        <w:t>Ocuilan</w:t>
      </w:r>
      <w:proofErr w:type="spellEnd"/>
      <w:r w:rsidR="00012FFE">
        <w:rPr>
          <w:rFonts w:ascii="Palatino Linotype" w:eastAsiaTheme="minorHAnsi" w:hAnsi="Palatino Linotype" w:cstheme="minorBidi"/>
          <w:lang w:val="es-MX" w:eastAsia="es-MX"/>
        </w:rPr>
        <w:t xml:space="preserve"> de Arteaga. </w:t>
      </w:r>
    </w:p>
    <w:p w14:paraId="3DA77EEC" w14:textId="77777777" w:rsidR="009A0722" w:rsidRDefault="009A0722" w:rsidP="00012FFE">
      <w:pPr>
        <w:spacing w:line="360" w:lineRule="auto"/>
        <w:ind w:right="49"/>
        <w:jc w:val="both"/>
        <w:rPr>
          <w:rFonts w:ascii="Palatino Linotype" w:eastAsiaTheme="minorHAnsi" w:hAnsi="Palatino Linotype" w:cstheme="minorBidi"/>
          <w:lang w:val="es-MX" w:eastAsia="es-MX"/>
        </w:rPr>
      </w:pPr>
    </w:p>
    <w:p w14:paraId="32D22AAF" w14:textId="51ABE00F" w:rsidR="009A0722" w:rsidRDefault="009A0722" w:rsidP="00012FFE">
      <w:pPr>
        <w:spacing w:line="360" w:lineRule="auto"/>
        <w:ind w:right="49"/>
        <w:jc w:val="both"/>
        <w:rPr>
          <w:rFonts w:ascii="Palatino Linotype" w:eastAsiaTheme="minorHAnsi" w:hAnsi="Palatino Linotype" w:cstheme="minorBidi"/>
          <w:lang w:val="es-MX" w:eastAsia="es-MX"/>
        </w:rPr>
      </w:pPr>
      <w:r w:rsidRPr="009A0722">
        <w:rPr>
          <w:rFonts w:ascii="Palatino Linotype" w:eastAsiaTheme="minorHAnsi" w:hAnsi="Palatino Linotype" w:cstheme="minorBidi"/>
          <w:lang w:val="es-MX" w:eastAsia="es-MX"/>
        </w:rPr>
        <w:t>No obstante</w:t>
      </w:r>
      <w:r>
        <w:rPr>
          <w:rFonts w:ascii="Palatino Linotype" w:eastAsiaTheme="minorHAnsi" w:hAnsi="Palatino Linotype" w:cstheme="minorBidi"/>
          <w:lang w:val="es-MX" w:eastAsia="es-MX"/>
        </w:rPr>
        <w:t>,</w:t>
      </w:r>
      <w:r w:rsidRPr="009A0722">
        <w:rPr>
          <w:rFonts w:ascii="Palatino Linotype" w:eastAsiaTheme="minorHAnsi" w:hAnsi="Palatino Linotype" w:cstheme="minorBidi"/>
          <w:lang w:val="es-MX" w:eastAsia="es-MX"/>
        </w:rPr>
        <w:t xml:space="preserve"> lo anterior, este Órgano Garante estima conveniente delimitar el estudio de la presente resolución a lo argumentado por el Recurrente en su recurso de revisión respecto al cambio de modalidad de entrega a consulta directa o </w:t>
      </w:r>
      <w:r w:rsidRPr="009A0722">
        <w:rPr>
          <w:rFonts w:ascii="Palatino Linotype" w:eastAsiaTheme="minorHAnsi" w:hAnsi="Palatino Linotype" w:cstheme="minorBidi"/>
          <w:i/>
          <w:iCs/>
          <w:lang w:val="es-MX" w:eastAsia="es-MX"/>
        </w:rPr>
        <w:t>in situ</w:t>
      </w:r>
      <w:r w:rsidRPr="009A0722">
        <w:rPr>
          <w:rFonts w:ascii="Palatino Linotype" w:eastAsiaTheme="minorHAnsi" w:hAnsi="Palatino Linotype" w:cstheme="minorBidi"/>
          <w:lang w:val="es-MX" w:eastAsia="es-MX"/>
        </w:rPr>
        <w:t>;</w:t>
      </w:r>
      <w:r w:rsidRPr="009A0722">
        <w:t xml:space="preserve"> </w:t>
      </w:r>
      <w:r w:rsidRPr="009A0722">
        <w:rPr>
          <w:rFonts w:ascii="Palatino Linotype" w:eastAsiaTheme="minorHAnsi" w:hAnsi="Palatino Linotype" w:cstheme="minorBidi"/>
          <w:lang w:val="es-MX" w:eastAsia="es-MX"/>
        </w:rPr>
        <w:t xml:space="preserve">pues son estos actos los que, a consideración del </w:t>
      </w:r>
      <w:r w:rsidRPr="009A0722">
        <w:rPr>
          <w:rFonts w:ascii="Palatino Linotype" w:eastAsiaTheme="minorHAnsi" w:hAnsi="Palatino Linotype" w:cstheme="minorBidi"/>
          <w:b/>
          <w:bCs/>
          <w:lang w:val="es-MX" w:eastAsia="es-MX"/>
        </w:rPr>
        <w:t>Recurrente</w:t>
      </w:r>
      <w:r w:rsidRPr="009A0722">
        <w:rPr>
          <w:rFonts w:ascii="Palatino Linotype" w:eastAsiaTheme="minorHAnsi" w:hAnsi="Palatino Linotype" w:cstheme="minorBidi"/>
          <w:lang w:val="es-MX" w:eastAsia="es-MX"/>
        </w:rPr>
        <w:t>, le causan agravio a su derecho de acceso a la información.</w:t>
      </w:r>
    </w:p>
    <w:p w14:paraId="09CBB0E9" w14:textId="77777777" w:rsidR="009A0722" w:rsidRDefault="009A0722" w:rsidP="00012FFE">
      <w:pPr>
        <w:spacing w:line="360" w:lineRule="auto"/>
        <w:ind w:right="49"/>
        <w:jc w:val="both"/>
        <w:rPr>
          <w:rFonts w:ascii="Palatino Linotype" w:eastAsiaTheme="minorHAnsi" w:hAnsi="Palatino Linotype" w:cstheme="minorBidi"/>
          <w:lang w:val="es-MX" w:eastAsia="es-MX"/>
        </w:rPr>
      </w:pPr>
    </w:p>
    <w:p w14:paraId="4718B4E9" w14:textId="77777777" w:rsidR="009A0722" w:rsidRPr="00BE5EFE" w:rsidRDefault="009A0722" w:rsidP="009A0722">
      <w:pPr>
        <w:spacing w:line="360" w:lineRule="auto"/>
        <w:jc w:val="both"/>
        <w:rPr>
          <w:rFonts w:ascii="Palatino Linotype" w:hAnsi="Palatino Linotype" w:cs="Arial"/>
        </w:rPr>
      </w:pPr>
      <w:r w:rsidRPr="00BE5EFE">
        <w:rPr>
          <w:rFonts w:ascii="Palatino Linotype" w:hAnsi="Palatino Linotype" w:cs="Arial"/>
        </w:rPr>
        <w:t xml:space="preserve">Asimismo, </w:t>
      </w:r>
      <w:r w:rsidRPr="00BE5EFE">
        <w:rPr>
          <w:rFonts w:ascii="Palatino Linotype" w:hAnsi="Palatino Linotype"/>
          <w:lang w:val="es-ES_tradnl"/>
        </w:rPr>
        <w:t xml:space="preserve">es de destacar que la información fue requerida a través del </w:t>
      </w:r>
      <w:r w:rsidRPr="00BE5EFE">
        <w:rPr>
          <w:rFonts w:ascii="Palatino Linotype" w:hAnsi="Palatino Linotype"/>
          <w:b/>
          <w:lang w:val="es-ES_tradnl"/>
        </w:rPr>
        <w:t>SAIMEX</w:t>
      </w:r>
      <w:r w:rsidRPr="00BE5EFE">
        <w:rPr>
          <w:rFonts w:ascii="Palatino Linotype" w:hAnsi="Palatino Linotype"/>
          <w:lang w:val="es-ES_tradnl"/>
        </w:rPr>
        <w:t xml:space="preserve">; sin embargo, el </w:t>
      </w:r>
      <w:r w:rsidRPr="00BE5EFE">
        <w:rPr>
          <w:rFonts w:ascii="Palatino Linotype" w:hAnsi="Palatino Linotype"/>
          <w:b/>
          <w:lang w:val="es-ES_tradnl"/>
        </w:rPr>
        <w:t xml:space="preserve">Sujeto Obligado </w:t>
      </w:r>
      <w:r w:rsidRPr="00BE5EFE">
        <w:rPr>
          <w:rFonts w:ascii="Palatino Linotype" w:hAnsi="Palatino Linotype"/>
          <w:lang w:val="es-ES_tradnl"/>
        </w:rPr>
        <w:t xml:space="preserve">pretende realizar un cambio de modalidad para la entrega de la información, por lo tanto, la actuación del </w:t>
      </w:r>
      <w:r w:rsidRPr="00BE5EFE">
        <w:rPr>
          <w:rFonts w:ascii="Palatino Linotype" w:hAnsi="Palatino Linotype"/>
          <w:b/>
          <w:lang w:val="es-ES_tradnl"/>
        </w:rPr>
        <w:t xml:space="preserve">Sujeto Obligado </w:t>
      </w:r>
      <w:r w:rsidRPr="00BE5EFE">
        <w:rPr>
          <w:rFonts w:ascii="Palatino Linotype" w:eastAsia="MS Mincho" w:hAnsi="Palatino Linotype" w:cs="Arial"/>
          <w:szCs w:val="23"/>
          <w:lang w:val="es-ES_tradnl"/>
        </w:rPr>
        <w:t xml:space="preserve">constituye una afectación al derecho humano de acceso a la información pública del particular, toda vez que pretendió cambiar la modalidad de entrega de la información; </w:t>
      </w:r>
      <w:r w:rsidRPr="00BE5EFE">
        <w:rPr>
          <w:rFonts w:ascii="Palatino Linotype" w:hAnsi="Palatino Linotype" w:cs="Arial"/>
        </w:rPr>
        <w:t xml:space="preserve">de esta forma, solamente intenta realizar el cambio de modalidad ya que como se ha dicho, el particular mencionó que la manera de entrega de la información sería a través del </w:t>
      </w:r>
      <w:r w:rsidRPr="00BE5EFE">
        <w:rPr>
          <w:rFonts w:ascii="Palatino Linotype" w:hAnsi="Palatino Linotype" w:cs="Arial"/>
          <w:b/>
        </w:rPr>
        <w:t>SAIMEX</w:t>
      </w:r>
      <w:r w:rsidRPr="00BE5EFE">
        <w:rPr>
          <w:rFonts w:ascii="Palatino Linotype" w:hAnsi="Palatino Linotype" w:cs="Arial"/>
        </w:rPr>
        <w:t xml:space="preserve">, adicionalmente, en la actualidad existen medios electrónicos que facilita la entrega de información, que a decir de éste Órgano Garante, el cambio de modalidad </w:t>
      </w:r>
      <w:r w:rsidRPr="00BE5EFE">
        <w:rPr>
          <w:rFonts w:ascii="Palatino Linotype" w:hAnsi="Palatino Linotype" w:cs="Arial"/>
        </w:rPr>
        <w:lastRenderedPageBreak/>
        <w:t>no es procedente, en virtud de lo establecido por el artículo 164, de la Ley de Transparencia y Acceso a la Información Pública del Estado de México y Municipios que contempla los siguiente:</w:t>
      </w:r>
    </w:p>
    <w:p w14:paraId="19E11BD3" w14:textId="77777777" w:rsidR="009A0722" w:rsidRPr="00BE5EFE" w:rsidRDefault="009A0722" w:rsidP="009A0722">
      <w:pPr>
        <w:rPr>
          <w:sz w:val="14"/>
          <w:lang w:val="es-MX"/>
        </w:rPr>
      </w:pPr>
    </w:p>
    <w:p w14:paraId="6BF52493" w14:textId="77777777" w:rsidR="009A0722" w:rsidRPr="00BE5EFE" w:rsidRDefault="009A0722" w:rsidP="009A0722">
      <w:pPr>
        <w:rPr>
          <w:sz w:val="14"/>
          <w:lang w:val="es-MX"/>
        </w:rPr>
      </w:pPr>
    </w:p>
    <w:p w14:paraId="3688FAB6" w14:textId="77777777" w:rsidR="009A0722" w:rsidRPr="00BE5EFE" w:rsidRDefault="009A0722" w:rsidP="009A0722">
      <w:pPr>
        <w:tabs>
          <w:tab w:val="left" w:pos="709"/>
        </w:tabs>
        <w:spacing w:line="276" w:lineRule="auto"/>
        <w:ind w:left="567" w:right="567"/>
        <w:jc w:val="both"/>
        <w:rPr>
          <w:rFonts w:ascii="Palatino Linotype" w:hAnsi="Palatino Linotype" w:cs="Arial"/>
          <w:i/>
          <w:sz w:val="22"/>
        </w:rPr>
      </w:pPr>
      <w:r w:rsidRPr="00BE5EFE">
        <w:rPr>
          <w:rFonts w:ascii="Palatino Linotype" w:hAnsi="Palatino Linotype" w:cs="Arial"/>
          <w:b/>
          <w:i/>
          <w:sz w:val="22"/>
        </w:rPr>
        <w:t>“Artículo 164.</w:t>
      </w:r>
      <w:r w:rsidRPr="00BE5EFE">
        <w:rPr>
          <w:rFonts w:ascii="Palatino Linotype" w:hAnsi="Palatino Linotype" w:cs="Arial"/>
          <w:i/>
          <w:sz w:val="22"/>
        </w:rPr>
        <w:t xml:space="preserve"> </w:t>
      </w:r>
      <w:r w:rsidRPr="00BE5EFE">
        <w:rPr>
          <w:rFonts w:ascii="Palatino Linotype" w:hAnsi="Palatino Linotype" w:cs="Arial"/>
          <w:b/>
          <w:i/>
          <w:sz w:val="22"/>
          <w:u w:val="single"/>
        </w:rPr>
        <w:t>El acceso se dará en la modalidad de entrega y, en su caso, de envío elegidos por el solicitante.</w:t>
      </w:r>
      <w:r w:rsidRPr="00BE5EFE">
        <w:rPr>
          <w:rFonts w:ascii="Palatino Linotype" w:hAnsi="Palatino Linotype" w:cs="Arial"/>
          <w:i/>
          <w:sz w:val="22"/>
        </w:rPr>
        <w:t xml:space="preserve"> Cuando la información no pueda entregarse o enviarse en la modalidad solicitada, el sujeto obligado deberá ofrecer otra u otras modalidades de entrega. </w:t>
      </w:r>
    </w:p>
    <w:p w14:paraId="4006F3C1" w14:textId="77777777" w:rsidR="009A0722" w:rsidRPr="00BE5EFE" w:rsidRDefault="009A0722" w:rsidP="009A0722">
      <w:pPr>
        <w:tabs>
          <w:tab w:val="left" w:pos="709"/>
        </w:tabs>
        <w:spacing w:line="276" w:lineRule="auto"/>
        <w:ind w:left="567" w:right="567"/>
        <w:jc w:val="both"/>
        <w:rPr>
          <w:rFonts w:ascii="Palatino Linotype" w:hAnsi="Palatino Linotype" w:cs="Arial"/>
          <w:b/>
          <w:i/>
          <w:sz w:val="22"/>
          <w:u w:val="single"/>
        </w:rPr>
      </w:pPr>
    </w:p>
    <w:p w14:paraId="65C21292" w14:textId="77777777" w:rsidR="009A0722" w:rsidRPr="00BE5EFE" w:rsidRDefault="009A0722" w:rsidP="009A0722">
      <w:pPr>
        <w:tabs>
          <w:tab w:val="left" w:pos="709"/>
        </w:tabs>
        <w:spacing w:line="276" w:lineRule="auto"/>
        <w:ind w:left="567" w:right="567"/>
        <w:jc w:val="both"/>
        <w:rPr>
          <w:rFonts w:ascii="Palatino Linotype" w:hAnsi="Palatino Linotype" w:cs="Arial"/>
          <w:i/>
          <w:sz w:val="22"/>
        </w:rPr>
      </w:pPr>
      <w:r w:rsidRPr="00BE5EFE">
        <w:rPr>
          <w:rFonts w:ascii="Palatino Linotype" w:hAnsi="Palatino Linotype" w:cs="Arial"/>
          <w:b/>
          <w:i/>
          <w:sz w:val="22"/>
          <w:u w:val="single"/>
        </w:rPr>
        <w:t>En cualquier caso, se deberá fundar y motivar la necesidad de ofrecer otras modalidades.</w:t>
      </w:r>
      <w:r w:rsidRPr="00BE5EFE">
        <w:rPr>
          <w:rFonts w:ascii="Palatino Linotype" w:hAnsi="Palatino Linotype" w:cs="Arial"/>
          <w:i/>
          <w:sz w:val="22"/>
        </w:rPr>
        <w:t>”</w:t>
      </w:r>
    </w:p>
    <w:p w14:paraId="614F549C" w14:textId="77777777" w:rsidR="009A0722" w:rsidRPr="00BE5EFE" w:rsidRDefault="009A0722" w:rsidP="009A0722">
      <w:pPr>
        <w:tabs>
          <w:tab w:val="left" w:pos="709"/>
        </w:tabs>
        <w:spacing w:line="360" w:lineRule="auto"/>
        <w:jc w:val="right"/>
        <w:rPr>
          <w:rFonts w:ascii="Palatino Linotype" w:hAnsi="Palatino Linotype" w:cs="Arial"/>
          <w:b/>
          <w:i/>
          <w:sz w:val="18"/>
        </w:rPr>
      </w:pPr>
      <w:r w:rsidRPr="00BE5EFE">
        <w:rPr>
          <w:rFonts w:ascii="Palatino Linotype" w:hAnsi="Palatino Linotype" w:cs="Arial"/>
          <w:b/>
          <w:i/>
          <w:sz w:val="18"/>
        </w:rPr>
        <w:t xml:space="preserve">[Énfasis añadido] </w:t>
      </w:r>
    </w:p>
    <w:p w14:paraId="3B6DE241" w14:textId="77777777" w:rsidR="009A0722" w:rsidRPr="00BE5EFE" w:rsidRDefault="009A0722" w:rsidP="009A0722">
      <w:pPr>
        <w:spacing w:before="240" w:after="240" w:line="360" w:lineRule="auto"/>
        <w:contextualSpacing/>
        <w:jc w:val="both"/>
        <w:rPr>
          <w:rFonts w:ascii="Palatino Linotype" w:hAnsi="Palatino Linotype"/>
        </w:rPr>
      </w:pPr>
    </w:p>
    <w:p w14:paraId="018D9B94" w14:textId="77777777" w:rsidR="009A0722" w:rsidRPr="00BE5EFE" w:rsidRDefault="009A0722" w:rsidP="009A0722">
      <w:pPr>
        <w:spacing w:before="240" w:after="240" w:line="360" w:lineRule="auto"/>
        <w:contextualSpacing/>
        <w:jc w:val="both"/>
        <w:rPr>
          <w:rFonts w:ascii="Palatino Linotype" w:hAnsi="Palatino Linotype"/>
          <w:b/>
        </w:rPr>
      </w:pPr>
      <w:r w:rsidRPr="00BE5EFE">
        <w:rPr>
          <w:rFonts w:ascii="Palatino Linotype" w:hAnsi="Palatino Linotype"/>
        </w:rPr>
        <w:t xml:space="preserve">La Ley de Transparencia en cita, busca privilegiar la entrega de la información solicitada en la modalidad requerida por el particular. Así el artículo establece que tanto la modalidad de entrega como la forma de envío de la información se hará preferentemente como lo haya señalado el requirente. En los casos en que esto no sea posible, el </w:t>
      </w:r>
      <w:r w:rsidRPr="00BE5EFE">
        <w:rPr>
          <w:rFonts w:ascii="Palatino Linotype" w:hAnsi="Palatino Linotype"/>
          <w:b/>
        </w:rPr>
        <w:t xml:space="preserve">Sujeto Obligado </w:t>
      </w:r>
      <w:r w:rsidRPr="00BE5EFE">
        <w:rPr>
          <w:rFonts w:ascii="Palatino Linotype" w:hAnsi="Palatino Linotype"/>
        </w:rPr>
        <w:t xml:space="preserve">podrá garantizar la entrega a través de cualquier otro medio, siempre y cuando funde y motive la razón para hacerlo. </w:t>
      </w:r>
    </w:p>
    <w:p w14:paraId="30962694" w14:textId="77777777" w:rsidR="009A0722" w:rsidRPr="00BE5EFE" w:rsidRDefault="009A0722" w:rsidP="009A0722">
      <w:pPr>
        <w:spacing w:before="240" w:after="240" w:line="360" w:lineRule="auto"/>
        <w:contextualSpacing/>
        <w:jc w:val="both"/>
        <w:rPr>
          <w:rFonts w:ascii="Palatino Linotype" w:hAnsi="Palatino Linotype"/>
          <w:b/>
        </w:rPr>
      </w:pPr>
    </w:p>
    <w:p w14:paraId="0B52BCE2" w14:textId="77777777" w:rsidR="009A0722" w:rsidRPr="00BE5EFE" w:rsidRDefault="009A0722" w:rsidP="009A0722">
      <w:pPr>
        <w:spacing w:before="240" w:after="240" w:line="360" w:lineRule="auto"/>
        <w:contextualSpacing/>
        <w:jc w:val="both"/>
        <w:rPr>
          <w:rFonts w:ascii="Palatino Linotype" w:hAnsi="Palatino Linotype"/>
        </w:rPr>
      </w:pPr>
      <w:r w:rsidRPr="00BE5EFE">
        <w:rPr>
          <w:rFonts w:ascii="Palatino Linotype" w:hAnsi="Palatino Linotype"/>
        </w:rPr>
        <w:t>La necesidad de fundar y motivar es imperante en todos los actos que emite cualquier autoridad, es decir, todo acto que pronuncie en el ejercicio de sus atribuciones, debe expresar los fundamentos legales que le dieron origen y las razones por las que se deben aplicar al caso concreto.</w:t>
      </w:r>
    </w:p>
    <w:p w14:paraId="0024E32A" w14:textId="77777777" w:rsidR="009A0722" w:rsidRPr="00BE5EFE" w:rsidRDefault="009A0722" w:rsidP="009A0722">
      <w:pPr>
        <w:spacing w:before="240" w:after="240" w:line="360" w:lineRule="auto"/>
        <w:contextualSpacing/>
        <w:jc w:val="both"/>
        <w:rPr>
          <w:rFonts w:ascii="Palatino Linotype" w:hAnsi="Palatino Linotype"/>
        </w:rPr>
      </w:pPr>
    </w:p>
    <w:p w14:paraId="222B6ECE" w14:textId="77777777" w:rsidR="009A0722" w:rsidRPr="00BE5EFE" w:rsidRDefault="009A0722" w:rsidP="009A0722">
      <w:pPr>
        <w:spacing w:line="360" w:lineRule="auto"/>
        <w:contextualSpacing/>
        <w:jc w:val="both"/>
        <w:rPr>
          <w:rFonts w:ascii="Palatino Linotype" w:hAnsi="Palatino Linotype" w:cs="Arial"/>
          <w:color w:val="222222"/>
          <w:lang w:eastAsia="es-MX"/>
        </w:rPr>
      </w:pPr>
      <w:r w:rsidRPr="00BE5EFE">
        <w:rPr>
          <w:rFonts w:ascii="Palatino Linotype" w:hAnsi="Palatino Linotype" w:cs="Arial"/>
          <w:color w:val="222222"/>
          <w:lang w:eastAsia="es-MX"/>
        </w:rPr>
        <w:t>Han sido vastos los estudios doctrinarios relativos a estos derechos fundamentales y al principio de legalidad en ellos contenidos; como ejemplo, el procesalista José Ovalle Fabela, en su obra “</w:t>
      </w:r>
      <w:r w:rsidRPr="00BE5EFE">
        <w:rPr>
          <w:rFonts w:ascii="Palatino Linotype" w:hAnsi="Palatino Linotype" w:cs="Arial"/>
          <w:b/>
          <w:color w:val="222222"/>
          <w:lang w:eastAsia="es-MX"/>
        </w:rPr>
        <w:t>Garantías Constitucionales del Proceso”</w:t>
      </w:r>
      <w:r w:rsidRPr="00BE5EFE">
        <w:rPr>
          <w:rFonts w:ascii="Palatino Linotype" w:hAnsi="Palatino Linotype" w:cs="Arial"/>
          <w:color w:val="222222"/>
          <w:lang w:eastAsia="es-MX"/>
        </w:rPr>
        <w:t xml:space="preserve">, refiere que </w:t>
      </w:r>
      <w:r w:rsidRPr="00BE5EFE">
        <w:rPr>
          <w:rFonts w:ascii="Palatino Linotype" w:hAnsi="Palatino Linotype" w:cs="Arial"/>
          <w:i/>
          <w:color w:val="222222"/>
          <w:lang w:eastAsia="es-MX"/>
        </w:rPr>
        <w:t xml:space="preserve">“...la garantía de fundamentación impone a las autoridades el deber de precisar las disposiciones jurídicas que </w:t>
      </w:r>
      <w:r w:rsidRPr="00BE5EFE">
        <w:rPr>
          <w:rFonts w:ascii="Palatino Linotype" w:hAnsi="Palatino Linotype" w:cs="Arial"/>
          <w:i/>
          <w:color w:val="222222"/>
          <w:lang w:eastAsia="es-MX"/>
        </w:rPr>
        <w:lastRenderedPageBreak/>
        <w:t>aplican a los hechos de que se trate y que sustenten su competencia, así como de manifestar los razonamientos que demuestren la aplicabilidad de dichas 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w:t>
      </w:r>
      <w:r w:rsidRPr="00BE5EFE">
        <w:rPr>
          <w:vertAlign w:val="superscript"/>
        </w:rPr>
        <w:footnoteReference w:id="2"/>
      </w:r>
    </w:p>
    <w:p w14:paraId="77469AEE" w14:textId="77777777" w:rsidR="009A0722" w:rsidRPr="00BE5EFE" w:rsidRDefault="009A0722" w:rsidP="009A0722">
      <w:pPr>
        <w:spacing w:before="240" w:after="240" w:line="360" w:lineRule="auto"/>
        <w:contextualSpacing/>
        <w:jc w:val="both"/>
        <w:rPr>
          <w:rFonts w:ascii="Palatino Linotype" w:hAnsi="Palatino Linotype" w:cs="Arial"/>
          <w:color w:val="222222"/>
          <w:lang w:eastAsia="es-MX"/>
        </w:rPr>
      </w:pPr>
    </w:p>
    <w:p w14:paraId="6AB294FB" w14:textId="77777777" w:rsidR="009A0722" w:rsidRPr="00BE5EFE" w:rsidRDefault="009A0722" w:rsidP="009A0722">
      <w:pPr>
        <w:spacing w:before="240" w:after="240" w:line="360" w:lineRule="auto"/>
        <w:contextualSpacing/>
        <w:jc w:val="both"/>
        <w:rPr>
          <w:rFonts w:ascii="Palatino Linotype" w:hAnsi="Palatino Linotype" w:cs="Arial"/>
          <w:color w:val="222222"/>
          <w:lang w:eastAsia="es-MX"/>
        </w:rPr>
      </w:pPr>
      <w:r w:rsidRPr="00BE5EFE">
        <w:rPr>
          <w:rFonts w:ascii="Palatino Linotype" w:hAnsi="Palatino Linotype" w:cs="Arial"/>
          <w:color w:val="222222"/>
          <w:lang w:eastAsia="es-MX"/>
        </w:rPr>
        <w:t>Por su parte, el intérprete judicial del país ha establecido una jurisprudencia respecto a qué debe entenderse por fundamentación y motivación, en los siguientes términos:</w:t>
      </w:r>
    </w:p>
    <w:p w14:paraId="600A54CC" w14:textId="77777777" w:rsidR="009A0722" w:rsidRPr="00BE5EFE" w:rsidRDefault="009A0722" w:rsidP="009A0722">
      <w:pPr>
        <w:rPr>
          <w:rFonts w:asciiTheme="minorHAnsi" w:eastAsiaTheme="minorHAnsi" w:hAnsiTheme="minorHAnsi" w:cstheme="minorBidi"/>
          <w:sz w:val="2"/>
          <w:szCs w:val="22"/>
          <w:lang w:eastAsia="es-MX"/>
        </w:rPr>
      </w:pPr>
    </w:p>
    <w:p w14:paraId="0763FA5E" w14:textId="77777777" w:rsidR="009A0722" w:rsidRPr="00BE5EFE" w:rsidRDefault="009A0722" w:rsidP="009A0722">
      <w:pPr>
        <w:rPr>
          <w:sz w:val="12"/>
          <w:lang w:val="es-MX" w:eastAsia="es-MX"/>
        </w:rPr>
      </w:pPr>
    </w:p>
    <w:p w14:paraId="21889CFA" w14:textId="77777777" w:rsidR="009A0722" w:rsidRPr="00BE5EFE" w:rsidRDefault="009A0722" w:rsidP="009A0722">
      <w:pPr>
        <w:ind w:left="851" w:right="618"/>
        <w:contextualSpacing/>
        <w:jc w:val="both"/>
        <w:rPr>
          <w:rFonts w:ascii="Palatino Linotype" w:hAnsi="Palatino Linotype" w:cs="Arial"/>
          <w:i/>
          <w:color w:val="000000"/>
          <w:sz w:val="22"/>
        </w:rPr>
      </w:pPr>
      <w:r w:rsidRPr="00BE5EFE">
        <w:rPr>
          <w:rFonts w:ascii="Palatino Linotype" w:hAnsi="Palatino Linotype" w:cs="Arial"/>
          <w:b/>
          <w:i/>
          <w:color w:val="000000"/>
          <w:sz w:val="22"/>
        </w:rPr>
        <w:t>FUNDAMENTACIÓN Y MOTIVACIÓN.</w:t>
      </w:r>
      <w:r w:rsidRPr="00BE5EFE">
        <w:rPr>
          <w:rFonts w:ascii="Palatino Linotype" w:hAnsi="Palatino Linotype" w:cs="Arial"/>
          <w:i/>
          <w:color w:val="000000"/>
          <w:sz w:val="22"/>
        </w:rPr>
        <w:t xml:space="preserve"> La </w:t>
      </w:r>
      <w:r w:rsidRPr="00BE5EFE">
        <w:rPr>
          <w:rFonts w:ascii="Palatino Linotype" w:hAnsi="Palatino Linotype" w:cs="Arial"/>
          <w:i/>
          <w:color w:val="000000"/>
          <w:sz w:val="22"/>
          <w:u w:val="single"/>
        </w:rPr>
        <w:t>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r w:rsidRPr="00BE5EFE">
        <w:rPr>
          <w:rFonts w:ascii="Palatino Linotype" w:hAnsi="Palatino Linotype" w:cs="Arial"/>
          <w:i/>
          <w:color w:val="000000"/>
          <w:sz w:val="22"/>
        </w:rPr>
        <w:t>.</w:t>
      </w:r>
    </w:p>
    <w:p w14:paraId="10FAD879" w14:textId="77777777" w:rsidR="009A0722" w:rsidRPr="00BE5EFE" w:rsidRDefault="009A0722" w:rsidP="009A0722">
      <w:pPr>
        <w:spacing w:line="360" w:lineRule="auto"/>
        <w:ind w:right="618"/>
        <w:contextualSpacing/>
        <w:jc w:val="both"/>
        <w:rPr>
          <w:rFonts w:ascii="Palatino Linotype" w:hAnsi="Palatino Linotype" w:cs="Arial"/>
          <w:i/>
          <w:color w:val="000000"/>
          <w:sz w:val="22"/>
        </w:rPr>
      </w:pPr>
    </w:p>
    <w:p w14:paraId="024F4F89" w14:textId="77777777" w:rsidR="009A0722" w:rsidRPr="00BE5EFE" w:rsidRDefault="009A0722" w:rsidP="009A0722">
      <w:pPr>
        <w:ind w:left="851" w:right="618"/>
        <w:contextualSpacing/>
        <w:jc w:val="both"/>
        <w:rPr>
          <w:rFonts w:ascii="Palatino Linotype" w:hAnsi="Palatino Linotype" w:cs="Arial"/>
          <w:i/>
          <w:color w:val="000000"/>
          <w:sz w:val="20"/>
        </w:rPr>
      </w:pPr>
      <w:r w:rsidRPr="00BE5EFE">
        <w:rPr>
          <w:rFonts w:ascii="Palatino Linotype" w:hAnsi="Palatino Linotype" w:cs="Arial"/>
          <w:b/>
          <w:i/>
          <w:color w:val="000000"/>
          <w:sz w:val="20"/>
        </w:rPr>
        <w:t>SEGUNDO TRIBUNAL COLEGIADO DEL SEXTO CIRCUITO</w:t>
      </w:r>
      <w:r w:rsidRPr="00BE5EFE">
        <w:rPr>
          <w:rFonts w:ascii="Palatino Linotype" w:hAnsi="Palatino Linotype" w:cs="Arial"/>
          <w:i/>
          <w:color w:val="000000"/>
          <w:sz w:val="20"/>
        </w:rPr>
        <w:t>.</w:t>
      </w:r>
    </w:p>
    <w:p w14:paraId="37AAE960" w14:textId="77777777" w:rsidR="009A0722" w:rsidRPr="00BE5EFE" w:rsidRDefault="009A0722" w:rsidP="009A0722">
      <w:pPr>
        <w:ind w:left="851" w:right="618"/>
        <w:contextualSpacing/>
        <w:jc w:val="both"/>
        <w:rPr>
          <w:rFonts w:ascii="Palatino Linotype" w:hAnsi="Palatino Linotype" w:cs="Arial"/>
          <w:i/>
          <w:color w:val="000000"/>
          <w:sz w:val="20"/>
        </w:rPr>
      </w:pPr>
      <w:r w:rsidRPr="00BE5EFE">
        <w:rPr>
          <w:rFonts w:ascii="Palatino Linotype" w:hAnsi="Palatino Linotype" w:cs="Arial"/>
          <w:i/>
          <w:color w:val="000000"/>
          <w:sz w:val="20"/>
        </w:rPr>
        <w:t>Amparo directo 194/88. Bufete Industrial Construcciones, S.A. de C.V. 28 de junio de 1988. Unanimidad de votos. Ponente: Gustavo Calvillo Rangel. Secretario: Jorge Alberto González Álvarez.</w:t>
      </w:r>
    </w:p>
    <w:p w14:paraId="32C7E0F8" w14:textId="77777777" w:rsidR="009A0722" w:rsidRPr="00BE5EFE" w:rsidRDefault="009A0722" w:rsidP="009A0722">
      <w:pPr>
        <w:ind w:left="851" w:right="618"/>
        <w:contextualSpacing/>
        <w:jc w:val="both"/>
        <w:rPr>
          <w:rFonts w:ascii="Palatino Linotype" w:hAnsi="Palatino Linotype" w:cs="Arial"/>
          <w:i/>
          <w:color w:val="000000"/>
          <w:sz w:val="22"/>
        </w:rPr>
      </w:pPr>
    </w:p>
    <w:p w14:paraId="390E5373" w14:textId="77777777" w:rsidR="009A0722" w:rsidRPr="00BE5EFE" w:rsidRDefault="009A0722" w:rsidP="009A0722">
      <w:pPr>
        <w:ind w:left="851" w:right="618"/>
        <w:contextualSpacing/>
        <w:jc w:val="both"/>
        <w:rPr>
          <w:rFonts w:ascii="Palatino Linotype" w:hAnsi="Palatino Linotype" w:cs="Arial"/>
          <w:i/>
          <w:color w:val="000000"/>
          <w:sz w:val="20"/>
        </w:rPr>
      </w:pPr>
      <w:r w:rsidRPr="00BE5EFE">
        <w:rPr>
          <w:rFonts w:ascii="Palatino Linotype" w:hAnsi="Palatino Linotype" w:cs="Arial"/>
          <w:i/>
          <w:color w:val="000000"/>
          <w:sz w:val="20"/>
        </w:rPr>
        <w:t xml:space="preserve">Revisión fiscal 103/88. Instituto Mexicano del Seguro Social. 18 de octubre de 1988. Unanimidad de votos. Ponente: Arnoldo Nájera Virgen. Secretario: Alejandro </w:t>
      </w:r>
      <w:proofErr w:type="spellStart"/>
      <w:r w:rsidRPr="00BE5EFE">
        <w:rPr>
          <w:rFonts w:ascii="Palatino Linotype" w:hAnsi="Palatino Linotype" w:cs="Arial"/>
          <w:i/>
          <w:color w:val="000000"/>
          <w:sz w:val="20"/>
        </w:rPr>
        <w:t>Esponda</w:t>
      </w:r>
      <w:proofErr w:type="spellEnd"/>
      <w:r w:rsidRPr="00BE5EFE">
        <w:rPr>
          <w:rFonts w:ascii="Palatino Linotype" w:hAnsi="Palatino Linotype" w:cs="Arial"/>
          <w:i/>
          <w:color w:val="000000"/>
          <w:sz w:val="20"/>
        </w:rPr>
        <w:t xml:space="preserve"> Rincón.</w:t>
      </w:r>
    </w:p>
    <w:p w14:paraId="75A435F2" w14:textId="77777777" w:rsidR="009A0722" w:rsidRPr="00BE5EFE" w:rsidRDefault="009A0722" w:rsidP="009A0722">
      <w:pPr>
        <w:rPr>
          <w:sz w:val="22"/>
          <w:lang w:val="es-MX"/>
        </w:rPr>
      </w:pPr>
    </w:p>
    <w:p w14:paraId="37B67695" w14:textId="77777777" w:rsidR="009A0722" w:rsidRPr="00BE5EFE" w:rsidRDefault="009A0722" w:rsidP="009A0722">
      <w:pPr>
        <w:ind w:left="851" w:right="618"/>
        <w:contextualSpacing/>
        <w:jc w:val="both"/>
        <w:rPr>
          <w:rFonts w:ascii="Palatino Linotype" w:hAnsi="Palatino Linotype" w:cs="Arial"/>
          <w:i/>
          <w:color w:val="000000"/>
          <w:sz w:val="20"/>
        </w:rPr>
      </w:pPr>
      <w:r w:rsidRPr="00BE5EFE">
        <w:rPr>
          <w:rFonts w:ascii="Palatino Linotype" w:hAnsi="Palatino Linotype" w:cs="Arial"/>
          <w:i/>
          <w:color w:val="000000"/>
          <w:sz w:val="20"/>
        </w:rPr>
        <w:t xml:space="preserve">Amparo en revisión 333/88. </w:t>
      </w:r>
      <w:proofErr w:type="spellStart"/>
      <w:r w:rsidRPr="00BE5EFE">
        <w:rPr>
          <w:rFonts w:ascii="Palatino Linotype" w:hAnsi="Palatino Linotype" w:cs="Arial"/>
          <w:i/>
          <w:color w:val="000000"/>
          <w:sz w:val="20"/>
        </w:rPr>
        <w:t>Adilia</w:t>
      </w:r>
      <w:proofErr w:type="spellEnd"/>
      <w:r w:rsidRPr="00BE5EFE">
        <w:rPr>
          <w:rFonts w:ascii="Palatino Linotype" w:hAnsi="Palatino Linotype" w:cs="Arial"/>
          <w:i/>
          <w:color w:val="000000"/>
          <w:sz w:val="20"/>
        </w:rPr>
        <w:t xml:space="preserve"> Romero. 26 de octubre de 1988. Unanimidad de votos. Ponente: Arnoldo Nájera Virgen. Secretario: Enrique Crispín Campos Ramírez.</w:t>
      </w:r>
    </w:p>
    <w:p w14:paraId="6DEFFABB" w14:textId="77777777" w:rsidR="009A0722" w:rsidRPr="00BE5EFE" w:rsidRDefault="009A0722" w:rsidP="009A0722">
      <w:pPr>
        <w:rPr>
          <w:sz w:val="22"/>
          <w:lang w:val="es-MX"/>
        </w:rPr>
      </w:pPr>
    </w:p>
    <w:p w14:paraId="2A72D883" w14:textId="77777777" w:rsidR="009A0722" w:rsidRPr="00BE5EFE" w:rsidRDefault="009A0722" w:rsidP="009A0722">
      <w:pPr>
        <w:ind w:left="851" w:right="618"/>
        <w:contextualSpacing/>
        <w:jc w:val="both"/>
        <w:rPr>
          <w:rFonts w:ascii="Palatino Linotype" w:hAnsi="Palatino Linotype" w:cs="Arial"/>
          <w:i/>
          <w:color w:val="000000"/>
          <w:sz w:val="20"/>
        </w:rPr>
      </w:pPr>
      <w:r w:rsidRPr="00BE5EFE">
        <w:rPr>
          <w:rFonts w:ascii="Palatino Linotype" w:hAnsi="Palatino Linotype" w:cs="Arial"/>
          <w:i/>
          <w:color w:val="000000"/>
          <w:sz w:val="20"/>
        </w:rPr>
        <w:t xml:space="preserve">Amparo en revisión 597/95. Emilio Maurer Bretón. 15 de noviembre de 1995. Unanimidad de votos. Ponente: Clementina Ramírez Moguel </w:t>
      </w:r>
      <w:proofErr w:type="spellStart"/>
      <w:r w:rsidRPr="00BE5EFE">
        <w:rPr>
          <w:rFonts w:ascii="Palatino Linotype" w:hAnsi="Palatino Linotype" w:cs="Arial"/>
          <w:i/>
          <w:color w:val="000000"/>
          <w:sz w:val="20"/>
        </w:rPr>
        <w:t>Goyzueta</w:t>
      </w:r>
      <w:proofErr w:type="spellEnd"/>
      <w:r w:rsidRPr="00BE5EFE">
        <w:rPr>
          <w:rFonts w:ascii="Palatino Linotype" w:hAnsi="Palatino Linotype" w:cs="Arial"/>
          <w:i/>
          <w:color w:val="000000"/>
          <w:sz w:val="20"/>
        </w:rPr>
        <w:t>. Secretario: Gonzalo Carrera Molina.</w:t>
      </w:r>
    </w:p>
    <w:p w14:paraId="12E8E7BE" w14:textId="77777777" w:rsidR="009A0722" w:rsidRPr="00BE5EFE" w:rsidRDefault="009A0722" w:rsidP="009A0722">
      <w:pPr>
        <w:rPr>
          <w:sz w:val="22"/>
          <w:lang w:val="es-MX"/>
        </w:rPr>
      </w:pPr>
    </w:p>
    <w:p w14:paraId="0C0F28D0" w14:textId="77777777" w:rsidR="009A0722" w:rsidRPr="00BE5EFE" w:rsidRDefault="009A0722" w:rsidP="009A0722">
      <w:pPr>
        <w:ind w:left="851" w:right="618"/>
        <w:contextualSpacing/>
        <w:jc w:val="both"/>
        <w:rPr>
          <w:rFonts w:ascii="Palatino Linotype" w:hAnsi="Palatino Linotype" w:cs="Arial"/>
          <w:i/>
          <w:color w:val="000000"/>
          <w:sz w:val="20"/>
        </w:rPr>
      </w:pPr>
      <w:r w:rsidRPr="00BE5EFE">
        <w:rPr>
          <w:rFonts w:ascii="Palatino Linotype" w:hAnsi="Palatino Linotype" w:cs="Arial"/>
          <w:i/>
          <w:color w:val="000000"/>
          <w:sz w:val="20"/>
        </w:rPr>
        <w:t xml:space="preserve">Amparo directo 7/96. Pedro Vicente López Miro. 21 de febrero de 1996. Unanimidad de votos. Ponente: María Eugenia Estela Martínez Cardiel. Secretario: Enrique </w:t>
      </w:r>
      <w:proofErr w:type="spellStart"/>
      <w:r w:rsidRPr="00BE5EFE">
        <w:rPr>
          <w:rFonts w:ascii="Palatino Linotype" w:hAnsi="Palatino Linotype" w:cs="Arial"/>
          <w:i/>
          <w:color w:val="000000"/>
          <w:sz w:val="20"/>
        </w:rPr>
        <w:t>Baigts</w:t>
      </w:r>
      <w:proofErr w:type="spellEnd"/>
      <w:r w:rsidRPr="00BE5EFE">
        <w:rPr>
          <w:rFonts w:ascii="Palatino Linotype" w:hAnsi="Palatino Linotype" w:cs="Arial"/>
          <w:i/>
          <w:color w:val="000000"/>
          <w:sz w:val="20"/>
        </w:rPr>
        <w:t xml:space="preserve"> Muñoz.</w:t>
      </w:r>
    </w:p>
    <w:p w14:paraId="3C9D5D4C" w14:textId="77777777" w:rsidR="009A0722" w:rsidRPr="00BE5EFE" w:rsidRDefault="009A0722" w:rsidP="009A0722">
      <w:pPr>
        <w:rPr>
          <w:sz w:val="6"/>
          <w:lang w:val="es-MX" w:eastAsia="es-MX"/>
        </w:rPr>
      </w:pPr>
    </w:p>
    <w:p w14:paraId="7C110D1D" w14:textId="77777777" w:rsidR="009A0722" w:rsidRPr="00BE5EFE" w:rsidRDefault="009A0722" w:rsidP="009A0722">
      <w:pPr>
        <w:spacing w:before="240" w:after="240" w:line="360" w:lineRule="auto"/>
        <w:contextualSpacing/>
        <w:jc w:val="both"/>
        <w:rPr>
          <w:rFonts w:ascii="Palatino Linotype" w:hAnsi="Palatino Linotype" w:cs="Arial"/>
          <w:color w:val="222222"/>
          <w:lang w:eastAsia="es-MX"/>
        </w:rPr>
      </w:pPr>
    </w:p>
    <w:p w14:paraId="35310FF1" w14:textId="77777777" w:rsidR="009A0722" w:rsidRPr="00BE5EFE" w:rsidRDefault="009A0722" w:rsidP="009A0722">
      <w:pPr>
        <w:spacing w:before="240" w:after="240" w:line="360" w:lineRule="auto"/>
        <w:contextualSpacing/>
        <w:jc w:val="both"/>
        <w:rPr>
          <w:rFonts w:ascii="Palatino Linotype" w:hAnsi="Palatino Linotype" w:cs="Arial"/>
          <w:color w:val="222222"/>
          <w:lang w:eastAsia="es-MX"/>
        </w:rPr>
      </w:pPr>
      <w:r w:rsidRPr="00BE5EFE">
        <w:rPr>
          <w:rFonts w:ascii="Palatino Linotype" w:hAnsi="Palatino Linotype" w:cs="Arial"/>
          <w:color w:val="222222"/>
          <w:lang w:eastAsia="es-MX"/>
        </w:rPr>
        <w:lastRenderedPageBreak/>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363D5483" w14:textId="77777777" w:rsidR="009A0722" w:rsidRPr="00BE5EFE" w:rsidRDefault="009A0722" w:rsidP="009A0722">
      <w:pPr>
        <w:spacing w:before="240" w:after="240" w:line="360" w:lineRule="auto"/>
        <w:contextualSpacing/>
        <w:jc w:val="both"/>
        <w:rPr>
          <w:rFonts w:ascii="Palatino Linotype" w:hAnsi="Palatino Linotype" w:cs="Arial"/>
          <w:color w:val="222222"/>
          <w:lang w:eastAsia="es-MX"/>
        </w:rPr>
      </w:pPr>
    </w:p>
    <w:p w14:paraId="69DFF5C3" w14:textId="77777777" w:rsidR="009A0722" w:rsidRPr="00BE5EFE" w:rsidRDefault="009A0722" w:rsidP="009A0722">
      <w:pPr>
        <w:spacing w:before="240" w:after="240" w:line="360" w:lineRule="auto"/>
        <w:contextualSpacing/>
        <w:jc w:val="both"/>
        <w:rPr>
          <w:rFonts w:ascii="Palatino Linotype" w:hAnsi="Palatino Linotype" w:cs="Arial"/>
          <w:color w:val="222222"/>
          <w:lang w:eastAsia="es-MX"/>
        </w:rPr>
      </w:pPr>
      <w:r w:rsidRPr="00BE5EFE">
        <w:rPr>
          <w:rFonts w:ascii="Palatino Linotype" w:hAnsi="Palatino Linotype" w:cs="Arial"/>
          <w:color w:val="222222"/>
          <w:lang w:eastAsia="es-MX"/>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sienta afectada pueda impugnar la decisión, permitiéndole una real y auténtica defensa.</w:t>
      </w:r>
    </w:p>
    <w:p w14:paraId="4FE42151" w14:textId="77777777" w:rsidR="009A0722" w:rsidRPr="00BE5EFE" w:rsidRDefault="009A0722" w:rsidP="009A0722">
      <w:pPr>
        <w:spacing w:before="240" w:after="240" w:line="360" w:lineRule="auto"/>
        <w:contextualSpacing/>
        <w:jc w:val="both"/>
        <w:rPr>
          <w:rFonts w:ascii="Palatino Linotype" w:hAnsi="Palatino Linotype" w:cs="Arial"/>
          <w:color w:val="222222"/>
          <w:lang w:eastAsia="es-MX"/>
        </w:rPr>
      </w:pPr>
    </w:p>
    <w:p w14:paraId="7DDEF458" w14:textId="77777777" w:rsidR="009A0722" w:rsidRPr="00BE5EFE" w:rsidRDefault="009A0722" w:rsidP="009A0722">
      <w:pPr>
        <w:spacing w:line="360" w:lineRule="auto"/>
        <w:jc w:val="both"/>
        <w:rPr>
          <w:rFonts w:ascii="Palatino Linotype" w:hAnsi="Palatino Linotype"/>
          <w:i/>
        </w:rPr>
      </w:pPr>
      <w:r w:rsidRPr="00BE5EFE">
        <w:rPr>
          <w:rFonts w:ascii="Palatino Linotype" w:hAnsi="Palatino Linotype"/>
        </w:rPr>
        <w:t>En vista de las consideraciones señaladas, se advierte que el</w:t>
      </w:r>
      <w:r w:rsidRPr="00BE5EFE">
        <w:rPr>
          <w:rFonts w:ascii="Palatino Linotype" w:hAnsi="Palatino Linotype"/>
          <w:b/>
        </w:rPr>
        <w:t xml:space="preserve"> Sujeto Obligado</w:t>
      </w:r>
      <w:r w:rsidRPr="00BE5EFE">
        <w:rPr>
          <w:rFonts w:ascii="Palatino Linotype" w:hAnsi="Palatino Linotype"/>
        </w:rPr>
        <w:t xml:space="preserve">, no justifica en ningún momento de forma fundada y motiva su cambio de modalidad de entrega de la información de vía </w:t>
      </w:r>
      <w:r w:rsidRPr="00BE5EFE">
        <w:rPr>
          <w:rFonts w:ascii="Palatino Linotype" w:hAnsi="Palatino Linotype"/>
          <w:b/>
          <w:i/>
        </w:rPr>
        <w:t>SAIMEX</w:t>
      </w:r>
      <w:r w:rsidRPr="00BE5EFE">
        <w:rPr>
          <w:rFonts w:ascii="Palatino Linotype" w:hAnsi="Palatino Linotype"/>
        </w:rPr>
        <w:t xml:space="preserve"> a </w:t>
      </w:r>
      <w:r w:rsidRPr="00BE5EFE">
        <w:rPr>
          <w:rFonts w:ascii="Palatino Linotype" w:hAnsi="Palatino Linotype"/>
          <w:b/>
          <w:i/>
        </w:rPr>
        <w:t>CONSULTA DIRECTA</w:t>
      </w:r>
      <w:r w:rsidRPr="00BE5EFE">
        <w:rPr>
          <w:rFonts w:ascii="Palatino Linotype" w:hAnsi="Palatino Linotype"/>
        </w:rPr>
        <w:t xml:space="preserve">. </w:t>
      </w:r>
    </w:p>
    <w:p w14:paraId="7104F208" w14:textId="77777777" w:rsidR="009A0722" w:rsidRPr="009A0722" w:rsidRDefault="009A0722" w:rsidP="00012FFE">
      <w:pPr>
        <w:spacing w:line="360" w:lineRule="auto"/>
        <w:ind w:right="49"/>
        <w:jc w:val="both"/>
        <w:rPr>
          <w:rFonts w:ascii="Palatino Linotype" w:eastAsiaTheme="minorHAnsi" w:hAnsi="Palatino Linotype" w:cstheme="minorBidi"/>
          <w:lang w:eastAsia="es-MX"/>
        </w:rPr>
      </w:pPr>
    </w:p>
    <w:p w14:paraId="733E4A51" w14:textId="77777777" w:rsidR="009A0722" w:rsidRPr="00BE5EFE" w:rsidRDefault="009A0722" w:rsidP="009A0722">
      <w:pPr>
        <w:tabs>
          <w:tab w:val="left" w:pos="709"/>
        </w:tabs>
        <w:spacing w:line="360" w:lineRule="auto"/>
        <w:jc w:val="both"/>
        <w:rPr>
          <w:rFonts w:ascii="Palatino Linotype" w:hAnsi="Palatino Linotype"/>
        </w:rPr>
      </w:pPr>
      <w:r w:rsidRPr="00BE5EFE">
        <w:rPr>
          <w:rFonts w:ascii="Palatino Linotype" w:hAnsi="Palatino Linotype" w:cs="Arial"/>
        </w:rPr>
        <w:t xml:space="preserve">Por tal razón, este Órgano Garante en uso de las facultades que la propia legislación le otorga deberá ordenar la entrega de la información solicitada, dada la aceptación del </w:t>
      </w:r>
      <w:r w:rsidRPr="00BE5EFE">
        <w:rPr>
          <w:rFonts w:ascii="Palatino Linotype" w:hAnsi="Palatino Linotype" w:cs="Arial"/>
          <w:b/>
        </w:rPr>
        <w:t>Sujeto Obligado</w:t>
      </w:r>
      <w:r w:rsidRPr="00BE5EFE">
        <w:rPr>
          <w:rFonts w:ascii="Palatino Linotype" w:hAnsi="Palatino Linotype" w:cs="Arial"/>
        </w:rPr>
        <w:t xml:space="preserve"> de generar, poseer o administrarla, es decir, de tener conocimiento de lo requerido</w:t>
      </w:r>
      <w:r w:rsidRPr="00BE5EFE">
        <w:rPr>
          <w:rFonts w:ascii="Palatino Linotype" w:hAnsi="Palatino Linotype"/>
        </w:rPr>
        <w:t xml:space="preserve">. En los casos en que esto no sea posible, el </w:t>
      </w:r>
      <w:r w:rsidRPr="00BE5EFE">
        <w:rPr>
          <w:rFonts w:ascii="Palatino Linotype" w:hAnsi="Palatino Linotype"/>
          <w:b/>
        </w:rPr>
        <w:t xml:space="preserve">Sujeto Obligado </w:t>
      </w:r>
      <w:r w:rsidRPr="00BE5EFE">
        <w:rPr>
          <w:rFonts w:ascii="Palatino Linotype" w:hAnsi="Palatino Linotype"/>
        </w:rPr>
        <w:t xml:space="preserve">podrá garantizar la entrega a través de cualquier otro medio, siempre y cuando funde y motive la razón para hacerlo. </w:t>
      </w:r>
    </w:p>
    <w:p w14:paraId="37B5EB08" w14:textId="77777777" w:rsidR="009A0722" w:rsidRPr="00BE5EFE" w:rsidRDefault="009A0722" w:rsidP="009A0722">
      <w:pPr>
        <w:tabs>
          <w:tab w:val="left" w:pos="709"/>
        </w:tabs>
        <w:spacing w:line="360" w:lineRule="auto"/>
        <w:jc w:val="both"/>
        <w:rPr>
          <w:rFonts w:ascii="Palatino Linotype" w:hAnsi="Palatino Linotype"/>
        </w:rPr>
      </w:pPr>
    </w:p>
    <w:p w14:paraId="59065112" w14:textId="77777777" w:rsidR="009A0722" w:rsidRPr="00BE5EFE" w:rsidRDefault="009A0722" w:rsidP="009A0722">
      <w:pPr>
        <w:tabs>
          <w:tab w:val="left" w:pos="709"/>
        </w:tabs>
        <w:spacing w:line="360" w:lineRule="auto"/>
        <w:jc w:val="both"/>
        <w:rPr>
          <w:rFonts w:ascii="Palatino Linotype" w:hAnsi="Palatino Linotype"/>
        </w:rPr>
      </w:pPr>
      <w:r w:rsidRPr="00BE5EFE">
        <w:rPr>
          <w:rFonts w:ascii="Palatino Linotype" w:hAnsi="Palatino Linotype"/>
        </w:rPr>
        <w:t xml:space="preserve">La necesidad de fundar y motivar es imperante en todos los actos que emite cualquier autoridad, por lo que constituye una restricción indirecta del derecho acceso a la información pública, dado que no proporciona la información que requirió el particular </w:t>
      </w:r>
      <w:r w:rsidRPr="00BE5EFE">
        <w:rPr>
          <w:rFonts w:ascii="Palatino Linotype" w:hAnsi="Palatino Linotype"/>
        </w:rPr>
        <w:lastRenderedPageBreak/>
        <w:t xml:space="preserve">y que de manera libre el decidió sobre la vía de la modalidad de entrega de la misma situación que no se respetó. </w:t>
      </w:r>
    </w:p>
    <w:p w14:paraId="6260FE19" w14:textId="77777777" w:rsidR="009A0722" w:rsidRPr="00BE5EFE" w:rsidRDefault="009A0722" w:rsidP="009A0722">
      <w:pPr>
        <w:tabs>
          <w:tab w:val="left" w:pos="709"/>
        </w:tabs>
        <w:spacing w:line="360" w:lineRule="auto"/>
        <w:jc w:val="both"/>
        <w:rPr>
          <w:rFonts w:ascii="Palatino Linotype" w:hAnsi="Palatino Linotype"/>
        </w:rPr>
      </w:pPr>
    </w:p>
    <w:p w14:paraId="3E00E7C3" w14:textId="77777777" w:rsidR="009A0722" w:rsidRPr="00BE5EFE" w:rsidRDefault="009A0722" w:rsidP="009A0722">
      <w:pPr>
        <w:tabs>
          <w:tab w:val="left" w:pos="709"/>
        </w:tabs>
        <w:spacing w:line="360" w:lineRule="auto"/>
        <w:jc w:val="both"/>
        <w:rPr>
          <w:rFonts w:ascii="Palatino Linotype" w:hAnsi="Palatino Linotype" w:cs="Arial"/>
        </w:rPr>
      </w:pPr>
      <w:r w:rsidRPr="00BE5EFE">
        <w:rPr>
          <w:rFonts w:ascii="Palatino Linotype" w:hAnsi="Palatino Linotype"/>
        </w:rPr>
        <w:t xml:space="preserve">Ahora bien, la ley de la materia señala en su artículo 158, los casos en que de manera excepcional se puede proceder al cambio de modalidad: </w:t>
      </w:r>
    </w:p>
    <w:p w14:paraId="43C80625" w14:textId="77777777" w:rsidR="009A0722" w:rsidRPr="00BE5EFE" w:rsidRDefault="009A0722" w:rsidP="009A0722">
      <w:pPr>
        <w:rPr>
          <w:sz w:val="16"/>
          <w:lang w:val="es-MX" w:eastAsia="es-CO"/>
        </w:rPr>
      </w:pPr>
    </w:p>
    <w:p w14:paraId="6BA09F44" w14:textId="77777777" w:rsidR="009A0722" w:rsidRPr="00BE5EFE" w:rsidRDefault="009A0722" w:rsidP="009A0722">
      <w:pPr>
        <w:spacing w:before="240" w:after="240"/>
        <w:ind w:left="567" w:right="709"/>
        <w:jc w:val="both"/>
        <w:rPr>
          <w:rFonts w:ascii="Palatino Linotype" w:hAnsi="Palatino Linotype"/>
          <w:i/>
          <w:sz w:val="22"/>
        </w:rPr>
      </w:pPr>
      <w:r w:rsidRPr="00BE5EFE">
        <w:rPr>
          <w:rFonts w:ascii="Palatino Linotype" w:hAnsi="Palatino Linotype"/>
          <w:i/>
          <w:sz w:val="22"/>
        </w:rPr>
        <w:t>“</w:t>
      </w:r>
      <w:r w:rsidRPr="00BE5EFE">
        <w:rPr>
          <w:rFonts w:ascii="Palatino Linotype" w:hAnsi="Palatino Linotype"/>
          <w:b/>
          <w:i/>
          <w:sz w:val="22"/>
        </w:rPr>
        <w:t>Artículo 158.</w:t>
      </w:r>
      <w:r w:rsidRPr="00BE5EFE">
        <w:rPr>
          <w:rFonts w:ascii="Palatino Linotype" w:hAnsi="Palatino Linotype"/>
          <w:i/>
          <w:sz w:val="22"/>
        </w:rPr>
        <w:t xml:space="preserve"> De manera excepcional, cuando </w:t>
      </w:r>
      <w:r w:rsidRPr="00BE5EFE">
        <w:rPr>
          <w:rFonts w:ascii="Palatino Linotype" w:hAnsi="Palatino Linotype"/>
          <w:b/>
          <w:i/>
          <w:sz w:val="22"/>
          <w:u w:val="single"/>
        </w:rPr>
        <w:t>de forma fundada y motivada</w:t>
      </w:r>
      <w:r w:rsidRPr="00BE5EFE">
        <w:rPr>
          <w:rFonts w:ascii="Palatino Linotype" w:hAnsi="Palatino Linotype"/>
          <w:i/>
          <w:sz w:val="22"/>
        </w:rPr>
        <w:t xml:space="preserve"> así lo determine el sujeto obligado, en aquellos casos en que la información solicitada que ya se encuentre en su posesión implique análisis, estudio o procesamiento de documentos cuya entrega o reproducción sobrepase </w:t>
      </w:r>
      <w:r w:rsidRPr="00BE5EFE">
        <w:rPr>
          <w:rFonts w:ascii="Palatino Linotype" w:hAnsi="Palatino Linotype"/>
          <w:b/>
          <w:i/>
          <w:sz w:val="22"/>
          <w:u w:val="single"/>
        </w:rPr>
        <w:t>las capacidades técnicas administrativas</w:t>
      </w:r>
      <w:r w:rsidRPr="00BE5EFE">
        <w:rPr>
          <w:rFonts w:ascii="Palatino Linotype" w:hAnsi="Palatino Linotype"/>
          <w:i/>
          <w:sz w:val="22"/>
        </w:rPr>
        <w:t xml:space="preserve"> </w:t>
      </w:r>
      <w:r w:rsidRPr="00BE5EFE">
        <w:rPr>
          <w:rFonts w:ascii="Palatino Linotype" w:hAnsi="Palatino Linotype"/>
          <w:b/>
          <w:i/>
          <w:sz w:val="22"/>
          <w:u w:val="single"/>
        </w:rPr>
        <w:t>y humanas del sujeto obligado</w:t>
      </w:r>
      <w:r w:rsidRPr="00BE5EFE">
        <w:rPr>
          <w:rFonts w:ascii="Palatino Linotype" w:hAnsi="Palatino Linotype"/>
          <w:i/>
          <w:sz w:val="22"/>
        </w:rPr>
        <w:t xml:space="preserve"> para cumplir con la solicitud, en los plazos establecidos para dichos efectos, se podrá poner a disposición del solicitante los documentos en </w:t>
      </w:r>
      <w:r w:rsidRPr="00BE5EFE">
        <w:rPr>
          <w:rFonts w:ascii="Palatino Linotype" w:hAnsi="Palatino Linotype"/>
          <w:b/>
          <w:i/>
          <w:sz w:val="22"/>
        </w:rPr>
        <w:t>consulta directa,</w:t>
      </w:r>
      <w:r w:rsidRPr="00BE5EFE">
        <w:rPr>
          <w:rFonts w:ascii="Palatino Linotype" w:hAnsi="Palatino Linotype"/>
          <w:i/>
          <w:sz w:val="22"/>
        </w:rPr>
        <w:t xml:space="preserve"> salvo la información clasificada.</w:t>
      </w:r>
    </w:p>
    <w:p w14:paraId="0C0AEE24" w14:textId="77777777" w:rsidR="009A0722" w:rsidRPr="00BE5EFE" w:rsidRDefault="009A0722" w:rsidP="009A0722">
      <w:pPr>
        <w:spacing w:before="240" w:after="240"/>
        <w:ind w:left="567" w:right="709"/>
        <w:jc w:val="both"/>
        <w:rPr>
          <w:rFonts w:ascii="Palatino Linotype" w:hAnsi="Palatino Linotype"/>
          <w:i/>
          <w:sz w:val="22"/>
        </w:rPr>
      </w:pPr>
      <w:r w:rsidRPr="00BE5EFE">
        <w:rPr>
          <w:rFonts w:ascii="Palatino Linotype" w:hAnsi="Palatino Linotype"/>
          <w:i/>
          <w:sz w:val="22"/>
        </w:rPr>
        <w:t>En todo caso, se facilitará su copia simple o certificada, así como su reproducción por cualquier medio disponible en las instalaciones del sujeto obligado o que, en su caso, aporte el solicitante.”</w:t>
      </w:r>
    </w:p>
    <w:p w14:paraId="1A5E8710" w14:textId="77777777" w:rsidR="009A0722" w:rsidRPr="00BE5EFE" w:rsidRDefault="009A0722" w:rsidP="009A0722">
      <w:pPr>
        <w:rPr>
          <w:rFonts w:asciiTheme="minorHAnsi" w:eastAsiaTheme="minorHAnsi" w:hAnsiTheme="minorHAnsi" w:cstheme="minorBidi"/>
          <w:sz w:val="22"/>
          <w:szCs w:val="22"/>
          <w:lang w:val="es-MX" w:eastAsia="en-US"/>
        </w:rPr>
      </w:pPr>
    </w:p>
    <w:p w14:paraId="37703C31" w14:textId="77777777" w:rsidR="009A0722" w:rsidRPr="00BE5EFE" w:rsidRDefault="009A0722" w:rsidP="009A0722">
      <w:pPr>
        <w:tabs>
          <w:tab w:val="left" w:pos="709"/>
        </w:tabs>
        <w:spacing w:line="360" w:lineRule="auto"/>
        <w:jc w:val="both"/>
        <w:rPr>
          <w:rFonts w:ascii="Palatino Linotype" w:hAnsi="Palatino Linotype" w:cs="Arial"/>
        </w:rPr>
      </w:pPr>
      <w:r w:rsidRPr="00BE5EFE">
        <w:rPr>
          <w:rFonts w:ascii="Palatino Linotype" w:hAnsi="Palatino Linotype" w:cs="Arial"/>
        </w:rPr>
        <w:t xml:space="preserve">Sobre lo anterior, es de señalar que el Órgano Garante Nacional, a través de diversas resoluciones de los Recursos de Inconformidad, entre las cuales se encuentran el </w:t>
      </w:r>
      <w:r w:rsidRPr="00BE5EFE">
        <w:rPr>
          <w:rFonts w:ascii="Palatino Linotype" w:hAnsi="Palatino Linotype" w:cs="Arial"/>
          <w:b/>
          <w:i/>
        </w:rPr>
        <w:t>RIA 136/20</w:t>
      </w:r>
      <w:r w:rsidRPr="00BE5EFE">
        <w:rPr>
          <w:rFonts w:ascii="Palatino Linotype" w:hAnsi="Palatino Linotype" w:cs="Arial"/>
        </w:rPr>
        <w:t xml:space="preserve">, </w:t>
      </w:r>
      <w:r w:rsidRPr="00BE5EFE">
        <w:rPr>
          <w:rFonts w:ascii="Palatino Linotype" w:hAnsi="Palatino Linotype" w:cs="Arial"/>
          <w:b/>
          <w:i/>
        </w:rPr>
        <w:t>RIA 140/20</w:t>
      </w:r>
      <w:r w:rsidRPr="00BE5EFE">
        <w:rPr>
          <w:rFonts w:ascii="Palatino Linotype" w:hAnsi="Palatino Linotype" w:cs="Arial"/>
        </w:rPr>
        <w:t xml:space="preserve">, </w:t>
      </w:r>
      <w:r w:rsidRPr="00BE5EFE">
        <w:rPr>
          <w:rFonts w:ascii="Palatino Linotype" w:hAnsi="Palatino Linotype" w:cs="Arial"/>
          <w:b/>
          <w:i/>
        </w:rPr>
        <w:t>RIA 153/20</w:t>
      </w:r>
      <w:r w:rsidRPr="00BE5EFE">
        <w:rPr>
          <w:rFonts w:ascii="Palatino Linotype" w:hAnsi="Palatino Linotype" w:cs="Arial"/>
        </w:rPr>
        <w:t xml:space="preserve">, </w:t>
      </w:r>
      <w:r w:rsidRPr="00BE5EFE">
        <w:rPr>
          <w:rFonts w:ascii="Palatino Linotype" w:hAnsi="Palatino Linotype" w:cs="Arial"/>
          <w:b/>
          <w:i/>
        </w:rPr>
        <w:t>RIA 237/20</w:t>
      </w:r>
      <w:r w:rsidRPr="00BE5EFE">
        <w:rPr>
          <w:rFonts w:ascii="Palatino Linotype" w:hAnsi="Palatino Linotype" w:cs="Arial"/>
        </w:rPr>
        <w:t xml:space="preserve">, </w:t>
      </w:r>
      <w:r w:rsidRPr="00BE5EFE">
        <w:rPr>
          <w:rFonts w:ascii="Palatino Linotype" w:hAnsi="Palatino Linotype" w:cs="Arial"/>
          <w:b/>
          <w:i/>
        </w:rPr>
        <w:t>RIA 257/20</w:t>
      </w:r>
      <w:r w:rsidRPr="00BE5EFE">
        <w:rPr>
          <w:rFonts w:ascii="Palatino Linotype" w:hAnsi="Palatino Linotype" w:cs="Arial"/>
        </w:rPr>
        <w:t xml:space="preserve">, </w:t>
      </w:r>
      <w:r w:rsidRPr="00BE5EFE">
        <w:rPr>
          <w:rFonts w:ascii="Palatino Linotype" w:hAnsi="Palatino Linotype" w:cs="Arial"/>
          <w:b/>
          <w:i/>
        </w:rPr>
        <w:t>RIA 258/20</w:t>
      </w:r>
      <w:r w:rsidRPr="00BE5EFE">
        <w:rPr>
          <w:rFonts w:ascii="Palatino Linotype" w:hAnsi="Palatino Linotype" w:cs="Arial"/>
        </w:rPr>
        <w:t xml:space="preserve">, entre otros, ha considerado que no resultaba suficiente justificar una imposibilidad técnica y humana para acreditar un cambio de modalidad, sino que era necesario demostrar otros impedimentos, como la cantidad y formato de la documentación, que fuera de imposible reproducción en el medio elegido por los solicitantes, que la información ameritara el cruce de información en los sistemas de datos, entre otros. </w:t>
      </w:r>
    </w:p>
    <w:p w14:paraId="67C1F34C" w14:textId="77777777" w:rsidR="009A0722" w:rsidRPr="00BE5EFE" w:rsidRDefault="009A0722" w:rsidP="009A0722">
      <w:pPr>
        <w:tabs>
          <w:tab w:val="left" w:pos="709"/>
        </w:tabs>
        <w:spacing w:line="360" w:lineRule="auto"/>
        <w:jc w:val="both"/>
        <w:rPr>
          <w:rFonts w:ascii="Palatino Linotype" w:hAnsi="Palatino Linotype" w:cs="Arial"/>
        </w:rPr>
      </w:pPr>
    </w:p>
    <w:p w14:paraId="169FA01A" w14:textId="77777777" w:rsidR="009A0722" w:rsidRPr="00BE5EFE" w:rsidRDefault="009A0722" w:rsidP="009A0722">
      <w:pPr>
        <w:tabs>
          <w:tab w:val="left" w:pos="709"/>
        </w:tabs>
        <w:spacing w:line="360" w:lineRule="auto"/>
        <w:jc w:val="both"/>
        <w:rPr>
          <w:rFonts w:ascii="Palatino Linotype" w:hAnsi="Palatino Linotype" w:cs="Arial"/>
        </w:rPr>
      </w:pPr>
      <w:r w:rsidRPr="00BE5EFE">
        <w:rPr>
          <w:rFonts w:ascii="Palatino Linotype" w:hAnsi="Palatino Linotype" w:cs="Arial"/>
        </w:rPr>
        <w:t xml:space="preserve">Además, precisan que no se debe ceñir el cambio de modalidad, directamente a consulta directa, sino que los sujetos obligados, deben de buscar la posibilidad de </w:t>
      </w:r>
      <w:r w:rsidRPr="00BE5EFE">
        <w:rPr>
          <w:rFonts w:ascii="Palatino Linotype" w:hAnsi="Palatino Linotype" w:cs="Arial"/>
        </w:rPr>
        <w:lastRenderedPageBreak/>
        <w:t>proporcionarla en las otras formas que establecen en la Ley, ya sean electrónicas o físicas.</w:t>
      </w:r>
    </w:p>
    <w:p w14:paraId="04CDB1BB" w14:textId="77777777" w:rsidR="009A0722" w:rsidRPr="00BE5EFE" w:rsidRDefault="009A0722" w:rsidP="009A0722">
      <w:pPr>
        <w:tabs>
          <w:tab w:val="left" w:pos="709"/>
        </w:tabs>
        <w:spacing w:line="360" w:lineRule="auto"/>
        <w:jc w:val="both"/>
        <w:rPr>
          <w:rFonts w:ascii="Palatino Linotype" w:hAnsi="Palatino Linotype"/>
        </w:rPr>
      </w:pPr>
    </w:p>
    <w:p w14:paraId="622813D2" w14:textId="77777777" w:rsidR="009A0722" w:rsidRPr="00BE5EFE" w:rsidRDefault="009A0722" w:rsidP="009A0722">
      <w:pPr>
        <w:rPr>
          <w:sz w:val="2"/>
        </w:rPr>
      </w:pPr>
    </w:p>
    <w:p w14:paraId="368D44AB" w14:textId="77777777" w:rsidR="009A0722" w:rsidRDefault="009A0722" w:rsidP="009A0722">
      <w:pPr>
        <w:spacing w:line="360" w:lineRule="auto"/>
        <w:jc w:val="both"/>
        <w:rPr>
          <w:rFonts w:ascii="Palatino Linotype" w:eastAsiaTheme="minorHAnsi" w:hAnsi="Palatino Linotype" w:cstheme="minorBidi"/>
          <w:lang w:val="es-MX" w:eastAsia="en-US"/>
        </w:rPr>
      </w:pPr>
      <w:r w:rsidRPr="00BE5EFE">
        <w:rPr>
          <w:rFonts w:ascii="Palatino Linotype" w:eastAsiaTheme="minorHAnsi" w:hAnsi="Palatino Linotype" w:cstheme="minorBidi"/>
          <w:lang w:val="es-MX" w:eastAsia="en-US"/>
        </w:rPr>
        <w:t>De lo anterior, se desprende que, el</w:t>
      </w:r>
      <w:r w:rsidRPr="00BE5EFE">
        <w:rPr>
          <w:rFonts w:ascii="Palatino Linotype" w:eastAsiaTheme="minorHAnsi" w:hAnsi="Palatino Linotype" w:cstheme="minorBidi"/>
          <w:b/>
          <w:lang w:val="es-MX" w:eastAsia="en-US"/>
        </w:rPr>
        <w:t xml:space="preserve"> Sujeto Obligado</w:t>
      </w:r>
      <w:r w:rsidRPr="00BE5EFE">
        <w:rPr>
          <w:rFonts w:ascii="Palatino Linotype" w:eastAsiaTheme="minorHAnsi" w:hAnsi="Palatino Linotype" w:cstheme="minorBidi"/>
          <w:lang w:val="es-MX" w:eastAsia="en-US"/>
        </w:rPr>
        <w:t xml:space="preserve"> no procedió al cambio de modalidad de manera fundada y motivada, y además que el cambio de vía a </w:t>
      </w:r>
      <w:r w:rsidRPr="00BE5EFE">
        <w:rPr>
          <w:rFonts w:ascii="Palatino Linotype" w:eastAsiaTheme="minorHAnsi" w:hAnsi="Palatino Linotype" w:cstheme="minorBidi"/>
          <w:b/>
          <w:i/>
          <w:lang w:val="es-MX" w:eastAsia="en-US"/>
        </w:rPr>
        <w:t>consulta directa</w:t>
      </w:r>
      <w:r w:rsidRPr="00BE5EFE">
        <w:rPr>
          <w:rFonts w:ascii="Palatino Linotype" w:eastAsiaTheme="minorHAnsi" w:hAnsi="Palatino Linotype" w:cstheme="minorBidi"/>
          <w:lang w:val="es-MX" w:eastAsia="en-US"/>
        </w:rPr>
        <w:t xml:space="preserve">, está fuera de la legalidad que establece la Ley en la materia y es por ello que, en el presente asunto no se justifica el cambio de modalidad, y con el objeto de reparar la afectación al derecho humano de acceso a la información tutelado por este Órgano Garante, deberá remitir la información solicitada por el ahora </w:t>
      </w:r>
      <w:r w:rsidRPr="00BE5EFE">
        <w:rPr>
          <w:rFonts w:ascii="Palatino Linotype" w:eastAsiaTheme="minorHAnsi" w:hAnsi="Palatino Linotype" w:cstheme="minorBidi"/>
          <w:b/>
          <w:lang w:val="es-MX" w:eastAsia="en-US"/>
        </w:rPr>
        <w:t>Recurrente</w:t>
      </w:r>
      <w:r w:rsidRPr="00BE5EFE">
        <w:rPr>
          <w:rFonts w:ascii="Palatino Linotype" w:eastAsiaTheme="minorHAnsi" w:hAnsi="Palatino Linotype" w:cstheme="minorBidi"/>
          <w:lang w:val="es-MX" w:eastAsia="en-US"/>
        </w:rPr>
        <w:t>.</w:t>
      </w:r>
    </w:p>
    <w:p w14:paraId="077BCE6E" w14:textId="77777777" w:rsidR="00880014" w:rsidRDefault="00880014" w:rsidP="009A0722">
      <w:pPr>
        <w:spacing w:line="360" w:lineRule="auto"/>
        <w:jc w:val="both"/>
        <w:rPr>
          <w:rFonts w:ascii="Palatino Linotype" w:eastAsiaTheme="minorHAnsi" w:hAnsi="Palatino Linotype" w:cstheme="minorBidi"/>
          <w:lang w:val="es-MX" w:eastAsia="en-US"/>
        </w:rPr>
      </w:pPr>
    </w:p>
    <w:p w14:paraId="18BBC549" w14:textId="77777777" w:rsidR="00880014" w:rsidRDefault="00880014" w:rsidP="00880014">
      <w:pPr>
        <w:spacing w:line="360" w:lineRule="auto"/>
        <w:jc w:val="both"/>
        <w:rPr>
          <w:rFonts w:ascii="Palatino Linotype" w:hAnsi="Palatino Linotype"/>
          <w:lang w:val="es-MX" w:eastAsia="en-US"/>
        </w:rPr>
      </w:pPr>
      <w:r>
        <w:rPr>
          <w:rFonts w:ascii="Palatino Linotype" w:hAnsi="Palatino Linotype"/>
          <w:lang w:val="es-MX" w:eastAsia="en-US"/>
        </w:rPr>
        <w:t xml:space="preserve">Finalmente, los </w:t>
      </w:r>
      <w:r w:rsidRPr="00DC3FEA">
        <w:rPr>
          <w:rFonts w:ascii="Palatino Linotype" w:hAnsi="Palatino Linotype"/>
          <w:lang w:val="es-MX" w:eastAsia="en-US"/>
        </w:rPr>
        <w:t xml:space="preserve">Lineamientos para la operación del Sistema de Acceso a la Información Mexiquense </w:t>
      </w:r>
      <w:r w:rsidRPr="007C242C">
        <w:rPr>
          <w:rFonts w:ascii="Palatino Linotype" w:hAnsi="Palatino Linotype"/>
          <w:b/>
          <w:lang w:val="es-MX" w:eastAsia="en-US"/>
        </w:rPr>
        <w:t>(SAIMEX)</w:t>
      </w:r>
      <w:r w:rsidRPr="00DC3FEA">
        <w:rPr>
          <w:rFonts w:ascii="Palatino Linotype" w:hAnsi="Palatino Linotype"/>
          <w:lang w:val="es-MX" w:eastAsia="en-US"/>
        </w:rPr>
        <w:t xml:space="preserve"> y del Sistema de Acceso, Rectificación, Cancelación y Oposición de Datos Personales del Estado de México </w:t>
      </w:r>
      <w:r w:rsidRPr="007C242C">
        <w:rPr>
          <w:rFonts w:ascii="Palatino Linotype" w:hAnsi="Palatino Linotype"/>
          <w:b/>
          <w:lang w:val="es-MX" w:eastAsia="en-US"/>
        </w:rPr>
        <w:t>(SARCOEM)</w:t>
      </w:r>
      <w:r>
        <w:rPr>
          <w:rFonts w:ascii="Palatino Linotype" w:hAnsi="Palatino Linotype"/>
          <w:lang w:val="es-MX" w:eastAsia="en-US"/>
        </w:rPr>
        <w:t xml:space="preserve">, aprobados por el Pleno del INFOEM en la </w:t>
      </w:r>
      <w:r w:rsidRPr="00DC3FEA">
        <w:rPr>
          <w:rFonts w:ascii="Palatino Linotype" w:hAnsi="Palatino Linotype"/>
          <w:lang w:val="es-MX" w:eastAsia="en-US"/>
        </w:rPr>
        <w:t>Décima Segunda Sesión Ordinaria celebrada el diez de abril de dos mil veinticuatro</w:t>
      </w:r>
      <w:r>
        <w:rPr>
          <w:rFonts w:ascii="Palatino Linotype" w:hAnsi="Palatino Linotype"/>
          <w:lang w:val="es-MX" w:eastAsia="en-US"/>
        </w:rPr>
        <w:t>, establecen lo siguiente:</w:t>
      </w:r>
    </w:p>
    <w:p w14:paraId="768C39CA" w14:textId="77777777" w:rsidR="00880014" w:rsidRDefault="00880014" w:rsidP="00880014">
      <w:pPr>
        <w:spacing w:line="360" w:lineRule="auto"/>
        <w:jc w:val="both"/>
        <w:rPr>
          <w:rFonts w:ascii="Palatino Linotype" w:hAnsi="Palatino Linotype"/>
          <w:lang w:val="es-MX" w:eastAsia="en-US"/>
        </w:rPr>
      </w:pPr>
    </w:p>
    <w:p w14:paraId="7C91E407" w14:textId="77777777" w:rsidR="00880014" w:rsidRPr="00DC3FEA" w:rsidRDefault="00880014" w:rsidP="00880014">
      <w:pPr>
        <w:ind w:left="567" w:right="616"/>
        <w:jc w:val="both"/>
        <w:rPr>
          <w:rFonts w:ascii="Palatino Linotype" w:hAnsi="Palatino Linotype"/>
          <w:i/>
          <w:iCs/>
          <w:sz w:val="22"/>
          <w:szCs w:val="22"/>
          <w:lang w:eastAsia="en-US"/>
        </w:rPr>
      </w:pPr>
      <w:r w:rsidRPr="00DC3FEA">
        <w:rPr>
          <w:rFonts w:ascii="Palatino Linotype" w:hAnsi="Palatino Linotype"/>
          <w:i/>
          <w:iCs/>
          <w:sz w:val="22"/>
          <w:szCs w:val="22"/>
          <w:lang w:eastAsia="en-US"/>
        </w:rPr>
        <w:t>“</w:t>
      </w:r>
      <w:r w:rsidRPr="00DC3FEA">
        <w:rPr>
          <w:rFonts w:ascii="Palatino Linotype" w:hAnsi="Palatino Linotype"/>
          <w:b/>
          <w:bCs/>
          <w:i/>
          <w:iCs/>
          <w:sz w:val="22"/>
          <w:szCs w:val="22"/>
          <w:lang w:eastAsia="en-US"/>
        </w:rPr>
        <w:t>VIGÉSIMO TERCERO.</w:t>
      </w:r>
      <w:r w:rsidRPr="00DC3FEA">
        <w:rPr>
          <w:rFonts w:ascii="Palatino Linotype" w:hAnsi="Palatino Linotype"/>
          <w:i/>
          <w:iCs/>
          <w:sz w:val="22"/>
          <w:szCs w:val="22"/>
          <w:lang w:eastAsia="en-US"/>
        </w:rPr>
        <w:t xml:space="preserve"> En el registro de la solicitud en los sistemas electrónicos, los particulares deberán establecer la modalidad en la que se prefiere el acceso o la entrega de la información. </w:t>
      </w:r>
    </w:p>
    <w:p w14:paraId="03E5E53F" w14:textId="77777777" w:rsidR="00880014" w:rsidRPr="00DC3FEA" w:rsidRDefault="00880014" w:rsidP="00880014">
      <w:pPr>
        <w:ind w:left="567" w:right="616"/>
        <w:jc w:val="both"/>
        <w:rPr>
          <w:rFonts w:ascii="Palatino Linotype" w:hAnsi="Palatino Linotype"/>
          <w:i/>
          <w:iCs/>
          <w:sz w:val="22"/>
          <w:szCs w:val="22"/>
          <w:lang w:eastAsia="en-US"/>
        </w:rPr>
      </w:pPr>
    </w:p>
    <w:p w14:paraId="25984960" w14:textId="77777777" w:rsidR="00880014" w:rsidRPr="00DC3FEA" w:rsidRDefault="00880014" w:rsidP="00880014">
      <w:pPr>
        <w:ind w:left="567" w:right="616"/>
        <w:jc w:val="both"/>
        <w:rPr>
          <w:rFonts w:ascii="Palatino Linotype" w:hAnsi="Palatino Linotype"/>
          <w:i/>
          <w:iCs/>
          <w:sz w:val="22"/>
          <w:szCs w:val="22"/>
          <w:lang w:eastAsia="en-US"/>
        </w:rPr>
      </w:pPr>
      <w:r w:rsidRPr="00DC3FEA">
        <w:rPr>
          <w:rFonts w:ascii="Palatino Linotype" w:hAnsi="Palatino Linotype"/>
          <w:b/>
          <w:bCs/>
          <w:i/>
          <w:iCs/>
          <w:sz w:val="22"/>
          <w:szCs w:val="22"/>
          <w:lang w:eastAsia="en-US"/>
        </w:rPr>
        <w:t>VIGÉSIMO CUARTO.</w:t>
      </w:r>
      <w:r w:rsidRPr="00DC3FEA">
        <w:rPr>
          <w:rFonts w:ascii="Palatino Linotype" w:hAnsi="Palatino Linotype"/>
          <w:i/>
          <w:iCs/>
          <w:sz w:val="22"/>
          <w:szCs w:val="22"/>
          <w:lang w:eastAsia="en-US"/>
        </w:rPr>
        <w:t xml:space="preserve"> Los sujetos obligados deberán entregar la información solicitada o permitir su acceso, en la modalidad que señale el solicitante.</w:t>
      </w:r>
    </w:p>
    <w:p w14:paraId="5E43B726" w14:textId="77777777" w:rsidR="00880014" w:rsidRPr="00DC3FEA" w:rsidRDefault="00880014" w:rsidP="00880014">
      <w:pPr>
        <w:ind w:left="567" w:right="616"/>
        <w:jc w:val="both"/>
        <w:rPr>
          <w:rFonts w:ascii="Palatino Linotype" w:hAnsi="Palatino Linotype"/>
          <w:i/>
          <w:iCs/>
          <w:sz w:val="22"/>
          <w:szCs w:val="22"/>
          <w:lang w:eastAsia="en-US"/>
        </w:rPr>
      </w:pPr>
    </w:p>
    <w:p w14:paraId="66D60D63" w14:textId="77777777" w:rsidR="00880014" w:rsidRPr="00DC3FEA" w:rsidRDefault="00880014" w:rsidP="00880014">
      <w:pPr>
        <w:ind w:left="567" w:right="616"/>
        <w:jc w:val="both"/>
        <w:rPr>
          <w:rFonts w:ascii="Palatino Linotype" w:hAnsi="Palatino Linotype"/>
          <w:i/>
          <w:iCs/>
          <w:sz w:val="22"/>
          <w:szCs w:val="22"/>
          <w:lang w:eastAsia="en-US"/>
        </w:rPr>
      </w:pPr>
      <w:r w:rsidRPr="00BB23EA">
        <w:rPr>
          <w:rFonts w:ascii="Palatino Linotype" w:hAnsi="Palatino Linotype"/>
          <w:i/>
          <w:iCs/>
          <w:sz w:val="22"/>
          <w:szCs w:val="22"/>
          <w:u w:val="single"/>
          <w:lang w:eastAsia="en-US"/>
        </w:rPr>
        <w:t>Los sistemas electrónicos cuentan con una capacidad máxima de carga dentro del servidor con un peso total de quinientos megabytes o su equivalente a ocho mil fojas aproximadamente, por lo que, cuando la información no pueda entregarse o enviarse a través de dichos sistemas en la modalidad solicitada, el sujeto obligado deberá ofrecer otra u otras modalidades de entrega</w:t>
      </w:r>
      <w:r w:rsidRPr="00DC3FEA">
        <w:rPr>
          <w:rFonts w:ascii="Palatino Linotype" w:hAnsi="Palatino Linotype"/>
          <w:i/>
          <w:iCs/>
          <w:sz w:val="22"/>
          <w:szCs w:val="22"/>
          <w:lang w:eastAsia="en-US"/>
        </w:rPr>
        <w:t xml:space="preserve">. </w:t>
      </w:r>
    </w:p>
    <w:p w14:paraId="3CCC6DF9" w14:textId="77777777" w:rsidR="00880014" w:rsidRPr="00DC3FEA" w:rsidRDefault="00880014" w:rsidP="00880014">
      <w:pPr>
        <w:ind w:left="567" w:right="616"/>
        <w:jc w:val="both"/>
        <w:rPr>
          <w:rFonts w:ascii="Palatino Linotype" w:hAnsi="Palatino Linotype"/>
          <w:i/>
          <w:iCs/>
          <w:sz w:val="22"/>
          <w:szCs w:val="22"/>
          <w:lang w:eastAsia="en-US"/>
        </w:rPr>
      </w:pPr>
    </w:p>
    <w:p w14:paraId="09A3CF97" w14:textId="77777777" w:rsidR="00880014" w:rsidRPr="00DC3FEA" w:rsidRDefault="00880014" w:rsidP="00880014">
      <w:pPr>
        <w:ind w:left="567" w:right="616"/>
        <w:jc w:val="both"/>
        <w:rPr>
          <w:rFonts w:ascii="Palatino Linotype" w:hAnsi="Palatino Linotype"/>
          <w:i/>
          <w:iCs/>
          <w:sz w:val="22"/>
          <w:szCs w:val="22"/>
          <w:lang w:eastAsia="en-US"/>
        </w:rPr>
      </w:pPr>
      <w:r w:rsidRPr="00DC3FEA">
        <w:rPr>
          <w:rFonts w:ascii="Palatino Linotype" w:hAnsi="Palatino Linotype"/>
          <w:b/>
          <w:bCs/>
          <w:i/>
          <w:iCs/>
          <w:sz w:val="22"/>
          <w:szCs w:val="22"/>
          <w:lang w:eastAsia="en-US"/>
        </w:rPr>
        <w:lastRenderedPageBreak/>
        <w:t>VIGÉSIMO QUINTO.</w:t>
      </w:r>
      <w:r w:rsidRPr="00DC3FEA">
        <w:rPr>
          <w:rFonts w:ascii="Palatino Linotype" w:hAnsi="Palatino Linotype"/>
          <w:i/>
          <w:iCs/>
          <w:sz w:val="22"/>
          <w:szCs w:val="22"/>
          <w:lang w:eastAsia="en-US"/>
        </w:rPr>
        <w:t xml:space="preserve"> </w:t>
      </w:r>
      <w:r w:rsidRPr="00BB23EA">
        <w:rPr>
          <w:rFonts w:ascii="Palatino Linotype" w:hAnsi="Palatino Linotype"/>
          <w:i/>
          <w:iCs/>
          <w:sz w:val="22"/>
          <w:szCs w:val="22"/>
          <w:u w:val="single"/>
          <w:lang w:eastAsia="en-US"/>
        </w:rPr>
        <w:t>El Sujeto Obligado de encontrarse impedido para otorgar la información a través del sistema electrónico correspondiente, deberá fundar y motivar la imposibilidad y ofrecer al particular las siguientes modalidades de entrega de información</w:t>
      </w:r>
      <w:r w:rsidRPr="00DC3FEA">
        <w:rPr>
          <w:rFonts w:ascii="Palatino Linotype" w:hAnsi="Palatino Linotype"/>
          <w:i/>
          <w:iCs/>
          <w:sz w:val="22"/>
          <w:szCs w:val="22"/>
          <w:lang w:eastAsia="en-US"/>
        </w:rPr>
        <w:t>:</w:t>
      </w:r>
    </w:p>
    <w:p w14:paraId="6C5F7712" w14:textId="77777777" w:rsidR="00880014" w:rsidRPr="00DC3FEA" w:rsidRDefault="00880014" w:rsidP="00880014">
      <w:pPr>
        <w:ind w:left="567" w:right="616"/>
        <w:jc w:val="both"/>
        <w:rPr>
          <w:rFonts w:ascii="Palatino Linotype" w:hAnsi="Palatino Linotype"/>
          <w:i/>
          <w:iCs/>
          <w:sz w:val="22"/>
          <w:szCs w:val="22"/>
          <w:lang w:eastAsia="en-US"/>
        </w:rPr>
      </w:pPr>
    </w:p>
    <w:p w14:paraId="2567D59E" w14:textId="77777777" w:rsidR="00880014" w:rsidRPr="00DC3FEA" w:rsidRDefault="00880014" w:rsidP="00880014">
      <w:pPr>
        <w:ind w:left="567" w:right="616"/>
        <w:jc w:val="both"/>
        <w:rPr>
          <w:rFonts w:ascii="Palatino Linotype" w:hAnsi="Palatino Linotype"/>
          <w:i/>
          <w:iCs/>
          <w:sz w:val="22"/>
          <w:szCs w:val="22"/>
          <w:lang w:eastAsia="en-US"/>
        </w:rPr>
      </w:pPr>
      <w:r w:rsidRPr="00DC3FEA">
        <w:rPr>
          <w:rFonts w:ascii="Palatino Linotype" w:hAnsi="Palatino Linotype"/>
          <w:b/>
          <w:bCs/>
          <w:i/>
          <w:iCs/>
          <w:sz w:val="22"/>
          <w:szCs w:val="22"/>
          <w:lang w:eastAsia="en-US"/>
        </w:rPr>
        <w:t>I.</w:t>
      </w:r>
      <w:r w:rsidRPr="00DC3FEA">
        <w:rPr>
          <w:rFonts w:ascii="Palatino Linotype" w:hAnsi="Palatino Linotype"/>
          <w:i/>
          <w:iCs/>
          <w:sz w:val="22"/>
          <w:szCs w:val="22"/>
          <w:lang w:eastAsia="en-US"/>
        </w:rPr>
        <w:t xml:space="preserve"> Disco compacto;</w:t>
      </w:r>
    </w:p>
    <w:p w14:paraId="1B7ACD6A" w14:textId="77777777" w:rsidR="00880014" w:rsidRPr="00DC3FEA" w:rsidRDefault="00880014" w:rsidP="00880014">
      <w:pPr>
        <w:ind w:left="567" w:right="616"/>
        <w:jc w:val="both"/>
        <w:rPr>
          <w:rFonts w:ascii="Palatino Linotype" w:hAnsi="Palatino Linotype"/>
          <w:i/>
          <w:iCs/>
          <w:sz w:val="22"/>
          <w:szCs w:val="22"/>
          <w:lang w:eastAsia="en-US"/>
        </w:rPr>
      </w:pPr>
      <w:r w:rsidRPr="00DC3FEA">
        <w:rPr>
          <w:rFonts w:ascii="Palatino Linotype" w:hAnsi="Palatino Linotype"/>
          <w:b/>
          <w:bCs/>
          <w:i/>
          <w:iCs/>
          <w:sz w:val="22"/>
          <w:szCs w:val="22"/>
          <w:lang w:eastAsia="en-US"/>
        </w:rPr>
        <w:t>II.</w:t>
      </w:r>
      <w:r w:rsidRPr="00DC3FEA">
        <w:rPr>
          <w:rFonts w:ascii="Palatino Linotype" w:hAnsi="Palatino Linotype"/>
          <w:i/>
          <w:iCs/>
          <w:sz w:val="22"/>
          <w:szCs w:val="22"/>
          <w:lang w:eastAsia="en-US"/>
        </w:rPr>
        <w:t xml:space="preserve"> Dispositivo de almacenamiento aportado por el particular (CD o USB);</w:t>
      </w:r>
    </w:p>
    <w:p w14:paraId="51272C21" w14:textId="77777777" w:rsidR="00880014" w:rsidRPr="00DC3FEA" w:rsidRDefault="00880014" w:rsidP="00880014">
      <w:pPr>
        <w:ind w:left="567" w:right="616"/>
        <w:jc w:val="both"/>
        <w:rPr>
          <w:rFonts w:ascii="Palatino Linotype" w:hAnsi="Palatino Linotype"/>
          <w:i/>
          <w:iCs/>
          <w:sz w:val="22"/>
          <w:szCs w:val="22"/>
          <w:lang w:eastAsia="en-US"/>
        </w:rPr>
      </w:pPr>
      <w:r w:rsidRPr="00DC3FEA">
        <w:rPr>
          <w:rFonts w:ascii="Palatino Linotype" w:hAnsi="Palatino Linotype"/>
          <w:b/>
          <w:bCs/>
          <w:i/>
          <w:iCs/>
          <w:sz w:val="22"/>
          <w:szCs w:val="22"/>
          <w:lang w:eastAsia="en-US"/>
        </w:rPr>
        <w:t>III.</w:t>
      </w:r>
      <w:r w:rsidRPr="00DC3FEA">
        <w:rPr>
          <w:rFonts w:ascii="Palatino Linotype" w:hAnsi="Palatino Linotype"/>
          <w:i/>
          <w:iCs/>
          <w:sz w:val="22"/>
          <w:szCs w:val="22"/>
          <w:lang w:eastAsia="en-US"/>
        </w:rPr>
        <w:t xml:space="preserve"> Copias simples o </w:t>
      </w:r>
      <w:proofErr w:type="gramStart"/>
      <w:r w:rsidRPr="00DC3FEA">
        <w:rPr>
          <w:rFonts w:ascii="Palatino Linotype" w:hAnsi="Palatino Linotype"/>
          <w:i/>
          <w:iCs/>
          <w:sz w:val="22"/>
          <w:szCs w:val="22"/>
          <w:lang w:eastAsia="en-US"/>
        </w:rPr>
        <w:t>certificadas previo pago</w:t>
      </w:r>
      <w:proofErr w:type="gramEnd"/>
      <w:r w:rsidRPr="00DC3FEA">
        <w:rPr>
          <w:rFonts w:ascii="Palatino Linotype" w:hAnsi="Palatino Linotype"/>
          <w:i/>
          <w:iCs/>
          <w:sz w:val="22"/>
          <w:szCs w:val="22"/>
          <w:lang w:eastAsia="en-US"/>
        </w:rPr>
        <w:t xml:space="preserve"> de derechos correspondientes;</w:t>
      </w:r>
    </w:p>
    <w:p w14:paraId="66D4D8E9" w14:textId="77777777" w:rsidR="00880014" w:rsidRPr="00DC3FEA" w:rsidRDefault="00880014" w:rsidP="00880014">
      <w:pPr>
        <w:ind w:left="567" w:right="616"/>
        <w:jc w:val="both"/>
        <w:rPr>
          <w:rFonts w:ascii="Palatino Linotype" w:hAnsi="Palatino Linotype"/>
          <w:i/>
          <w:iCs/>
          <w:sz w:val="22"/>
          <w:szCs w:val="22"/>
          <w:lang w:eastAsia="en-US"/>
        </w:rPr>
      </w:pPr>
      <w:r w:rsidRPr="00DC3FEA">
        <w:rPr>
          <w:rFonts w:ascii="Palatino Linotype" w:hAnsi="Palatino Linotype"/>
          <w:b/>
          <w:bCs/>
          <w:i/>
          <w:iCs/>
          <w:sz w:val="22"/>
          <w:szCs w:val="22"/>
          <w:lang w:eastAsia="en-US"/>
        </w:rPr>
        <w:t>IV.</w:t>
      </w:r>
      <w:r w:rsidRPr="00DC3FEA">
        <w:rPr>
          <w:rFonts w:ascii="Palatino Linotype" w:hAnsi="Palatino Linotype"/>
          <w:i/>
          <w:iCs/>
          <w:sz w:val="22"/>
          <w:szCs w:val="22"/>
          <w:lang w:eastAsia="en-US"/>
        </w:rPr>
        <w:t xml:space="preserve"> Entrega en la unidad de Transparencia o a domicilio por correo postal certificado, previo pago derechos correspondientes;</w:t>
      </w:r>
    </w:p>
    <w:p w14:paraId="0E924434" w14:textId="77777777" w:rsidR="00880014" w:rsidRPr="00DC3FEA" w:rsidRDefault="00880014" w:rsidP="00880014">
      <w:pPr>
        <w:ind w:left="567" w:right="616"/>
        <w:jc w:val="both"/>
        <w:rPr>
          <w:rFonts w:ascii="Palatino Linotype" w:hAnsi="Palatino Linotype"/>
          <w:i/>
          <w:iCs/>
          <w:sz w:val="22"/>
          <w:szCs w:val="22"/>
          <w:lang w:eastAsia="en-US"/>
        </w:rPr>
      </w:pPr>
      <w:r w:rsidRPr="00DC3FEA">
        <w:rPr>
          <w:rFonts w:ascii="Palatino Linotype" w:hAnsi="Palatino Linotype"/>
          <w:b/>
          <w:bCs/>
          <w:i/>
          <w:iCs/>
          <w:sz w:val="22"/>
          <w:szCs w:val="22"/>
          <w:lang w:eastAsia="en-US"/>
        </w:rPr>
        <w:t>V.</w:t>
      </w:r>
      <w:r w:rsidRPr="00DC3FEA">
        <w:rPr>
          <w:rFonts w:ascii="Palatino Linotype" w:hAnsi="Palatino Linotype"/>
          <w:i/>
          <w:iCs/>
          <w:sz w:val="22"/>
          <w:szCs w:val="22"/>
          <w:lang w:eastAsia="en-US"/>
        </w:rPr>
        <w:t xml:space="preserve"> En su caso, correo electrónico o vínculo electrónico. En caso de que el particular proporcione el dispositivo electrónico para la entrega de la información, la reproducción se hará sin costo. </w:t>
      </w:r>
    </w:p>
    <w:p w14:paraId="1C4F4567" w14:textId="77777777" w:rsidR="00880014" w:rsidRPr="00DC3FEA" w:rsidRDefault="00880014" w:rsidP="00880014">
      <w:pPr>
        <w:ind w:left="567" w:right="616"/>
        <w:jc w:val="both"/>
        <w:rPr>
          <w:rFonts w:ascii="Palatino Linotype" w:hAnsi="Palatino Linotype"/>
          <w:i/>
          <w:iCs/>
          <w:sz w:val="22"/>
          <w:szCs w:val="22"/>
          <w:lang w:eastAsia="en-US"/>
        </w:rPr>
      </w:pPr>
    </w:p>
    <w:p w14:paraId="282630F9" w14:textId="77777777" w:rsidR="00880014" w:rsidRPr="00DC3FEA" w:rsidRDefault="00880014" w:rsidP="00880014">
      <w:pPr>
        <w:ind w:left="567" w:right="616"/>
        <w:jc w:val="both"/>
        <w:rPr>
          <w:rFonts w:ascii="Palatino Linotype" w:hAnsi="Palatino Linotype"/>
          <w:i/>
          <w:iCs/>
          <w:sz w:val="22"/>
          <w:szCs w:val="22"/>
          <w:lang w:eastAsia="en-US"/>
        </w:rPr>
      </w:pPr>
      <w:r w:rsidRPr="00DC3FEA">
        <w:rPr>
          <w:rFonts w:ascii="Palatino Linotype" w:hAnsi="Palatino Linotype"/>
          <w:b/>
          <w:bCs/>
          <w:i/>
          <w:iCs/>
          <w:sz w:val="22"/>
          <w:szCs w:val="22"/>
          <w:lang w:eastAsia="en-US"/>
        </w:rPr>
        <w:t xml:space="preserve">VIGÉSIMO SEXTO. </w:t>
      </w:r>
      <w:r w:rsidRPr="00DC3FEA">
        <w:rPr>
          <w:rFonts w:ascii="Palatino Linotype" w:hAnsi="Palatino Linotype"/>
          <w:i/>
          <w:iCs/>
          <w:sz w:val="22"/>
          <w:szCs w:val="22"/>
          <w:lang w:eastAsia="en-US"/>
        </w:rPr>
        <w:t xml:space="preserve">Para la entrega de la información en una modalidad distinta a los medios electrónicos, </w:t>
      </w:r>
      <w:r w:rsidRPr="00DC3FEA">
        <w:rPr>
          <w:rFonts w:ascii="Palatino Linotype" w:hAnsi="Palatino Linotype"/>
          <w:i/>
          <w:iCs/>
          <w:sz w:val="22"/>
          <w:szCs w:val="22"/>
          <w:u w:val="single"/>
          <w:lang w:eastAsia="en-US"/>
        </w:rPr>
        <w:t>el Sujeto Obligado deberá indicar a través de los sistemas electrónicos el nombre del servidor público que lo atenderá, domicilio de la Unidad de Transparencia, los días, horarios de atención, y en su caso los costos de reproducción</w:t>
      </w:r>
      <w:r w:rsidRPr="00DC3FEA">
        <w:rPr>
          <w:rFonts w:ascii="Palatino Linotype" w:hAnsi="Palatino Linotype"/>
          <w:i/>
          <w:iCs/>
          <w:sz w:val="22"/>
          <w:szCs w:val="22"/>
          <w:lang w:eastAsia="en-US"/>
        </w:rPr>
        <w:t>.</w:t>
      </w:r>
    </w:p>
    <w:p w14:paraId="5C318EE8" w14:textId="77777777" w:rsidR="00880014" w:rsidRPr="00DC3FEA" w:rsidRDefault="00880014" w:rsidP="00880014">
      <w:pPr>
        <w:ind w:left="567" w:right="616"/>
        <w:jc w:val="both"/>
        <w:rPr>
          <w:rFonts w:ascii="Palatino Linotype" w:hAnsi="Palatino Linotype"/>
          <w:i/>
          <w:iCs/>
          <w:sz w:val="22"/>
          <w:szCs w:val="22"/>
          <w:lang w:eastAsia="en-US"/>
        </w:rPr>
      </w:pPr>
    </w:p>
    <w:p w14:paraId="74443AF0" w14:textId="77777777" w:rsidR="00880014" w:rsidRPr="00C57C2D" w:rsidRDefault="00880014" w:rsidP="00880014">
      <w:pPr>
        <w:ind w:left="567" w:right="616"/>
        <w:jc w:val="both"/>
        <w:rPr>
          <w:rFonts w:ascii="Palatino Linotype" w:hAnsi="Palatino Linotype"/>
          <w:i/>
          <w:iCs/>
          <w:sz w:val="22"/>
          <w:szCs w:val="22"/>
          <w:lang w:val="es-MX" w:eastAsia="en-US"/>
        </w:rPr>
      </w:pPr>
      <w:r w:rsidRPr="00DC3FEA">
        <w:rPr>
          <w:rFonts w:ascii="Palatino Linotype" w:hAnsi="Palatino Linotype"/>
          <w:i/>
          <w:iCs/>
          <w:sz w:val="22"/>
          <w:szCs w:val="22"/>
        </w:rPr>
        <w:t>En caso que la información se programe de manera calendarizada, el Sujeto Obligado, deberá tener disponible la información correspondiente a la entrega de la primera fecha. En caso que el particular no acuda por la información, el Sujeto Obligado, no tendrá la obligación de generar las subsecuentes, hasta en tanto no se presente por el primer soporte documental.”</w:t>
      </w:r>
    </w:p>
    <w:p w14:paraId="74563299" w14:textId="77777777" w:rsidR="000C7247" w:rsidRPr="000C7247" w:rsidRDefault="000C7247" w:rsidP="000C7247">
      <w:pPr>
        <w:spacing w:line="360" w:lineRule="auto"/>
        <w:jc w:val="both"/>
        <w:rPr>
          <w:rFonts w:ascii="Palatino Linotype" w:eastAsiaTheme="minorHAnsi" w:hAnsi="Palatino Linotype" w:cstheme="minorBidi"/>
          <w:lang w:val="es-MX" w:eastAsia="en-US"/>
        </w:rPr>
      </w:pPr>
    </w:p>
    <w:p w14:paraId="5EE5D9C3" w14:textId="0B7AD154" w:rsidR="000C7247" w:rsidRDefault="000C7247" w:rsidP="000C7247">
      <w:pPr>
        <w:spacing w:line="360" w:lineRule="auto"/>
        <w:jc w:val="both"/>
        <w:rPr>
          <w:rFonts w:ascii="Palatino Linotype" w:eastAsiaTheme="minorHAnsi" w:hAnsi="Palatino Linotype" w:cstheme="minorBidi"/>
          <w:lang w:val="es-MX" w:eastAsia="en-US"/>
        </w:rPr>
      </w:pPr>
      <w:r w:rsidRPr="000C7247">
        <w:rPr>
          <w:rFonts w:ascii="Palatino Linotype" w:eastAsiaTheme="minorHAnsi" w:hAnsi="Palatino Linotype" w:cstheme="minorBidi"/>
          <w:lang w:val="es-MX" w:eastAsia="en-US"/>
        </w:rPr>
        <w:t xml:space="preserve">En ese sentido, el </w:t>
      </w:r>
      <w:r w:rsidRPr="000C7247">
        <w:rPr>
          <w:rFonts w:ascii="Palatino Linotype" w:eastAsiaTheme="minorHAnsi" w:hAnsi="Palatino Linotype" w:cstheme="minorBidi"/>
          <w:b/>
          <w:bCs/>
          <w:lang w:val="es-MX" w:eastAsia="en-US"/>
        </w:rPr>
        <w:t>Sujeto Obligado</w:t>
      </w:r>
      <w:r w:rsidRPr="000C7247">
        <w:rPr>
          <w:rFonts w:ascii="Palatino Linotype" w:eastAsiaTheme="minorHAnsi" w:hAnsi="Palatino Linotype" w:cstheme="minorBidi"/>
          <w:lang w:val="es-MX" w:eastAsia="en-US"/>
        </w:rPr>
        <w:t xml:space="preserve"> </w:t>
      </w:r>
      <w:r w:rsidRPr="000C7247">
        <w:rPr>
          <w:rFonts w:ascii="Palatino Linotype" w:eastAsiaTheme="minorHAnsi" w:hAnsi="Palatino Linotype" w:cstheme="minorBidi"/>
          <w:u w:val="single"/>
          <w:lang w:val="es-MX" w:eastAsia="en-US"/>
        </w:rPr>
        <w:t xml:space="preserve">no hizo referencia a la imposibilidad de entregar la información mediante el </w:t>
      </w:r>
      <w:r w:rsidRPr="000C7247">
        <w:rPr>
          <w:rFonts w:ascii="Palatino Linotype" w:eastAsiaTheme="minorHAnsi" w:hAnsi="Palatino Linotype" w:cstheme="minorBidi"/>
          <w:b/>
          <w:bCs/>
          <w:u w:val="single"/>
          <w:lang w:val="es-MX" w:eastAsia="en-US"/>
        </w:rPr>
        <w:t>SAIMEX</w:t>
      </w:r>
      <w:r w:rsidRPr="000C7247">
        <w:rPr>
          <w:rFonts w:ascii="Palatino Linotype" w:eastAsiaTheme="minorHAnsi" w:hAnsi="Palatino Linotype" w:cstheme="minorBidi"/>
          <w:u w:val="single"/>
          <w:lang w:val="es-MX" w:eastAsia="en-US"/>
        </w:rPr>
        <w:t xml:space="preserve"> debido a las capacidades del sistema</w:t>
      </w:r>
      <w:r w:rsidRPr="000C7247">
        <w:rPr>
          <w:rFonts w:ascii="Palatino Linotype" w:eastAsiaTheme="minorHAnsi" w:hAnsi="Palatino Linotype" w:cstheme="minorBidi"/>
          <w:lang w:val="es-MX" w:eastAsia="en-US"/>
        </w:rPr>
        <w:t>, sino que, únicamente requirió al particular acudir a las oficinas de</w:t>
      </w:r>
      <w:r w:rsidR="00880014">
        <w:rPr>
          <w:rFonts w:ascii="Palatino Linotype" w:eastAsiaTheme="minorHAnsi" w:hAnsi="Palatino Linotype" w:cstheme="minorBidi"/>
          <w:lang w:val="es-MX" w:eastAsia="en-US"/>
        </w:rPr>
        <w:t xml:space="preserve"> la</w:t>
      </w:r>
      <w:r w:rsidRPr="000C7247">
        <w:rPr>
          <w:rFonts w:ascii="Palatino Linotype" w:eastAsiaTheme="minorHAnsi" w:hAnsi="Palatino Linotype" w:cstheme="minorBidi"/>
          <w:lang w:val="es-MX" w:eastAsia="en-US"/>
        </w:rPr>
        <w:t xml:space="preserve"> </w:t>
      </w:r>
      <w:r w:rsidR="00880014" w:rsidRPr="00880014">
        <w:rPr>
          <w:rFonts w:ascii="Palatino Linotype" w:eastAsiaTheme="minorHAnsi" w:hAnsi="Palatino Linotype" w:cstheme="minorBidi"/>
          <w:b/>
          <w:bCs/>
          <w:lang w:val="es-MX" w:eastAsia="en-US"/>
        </w:rPr>
        <w:t>Direc</w:t>
      </w:r>
      <w:r w:rsidR="00880014">
        <w:rPr>
          <w:rFonts w:ascii="Palatino Linotype" w:eastAsiaTheme="minorHAnsi" w:hAnsi="Palatino Linotype" w:cstheme="minorBidi"/>
          <w:b/>
          <w:bCs/>
          <w:lang w:val="es-MX" w:eastAsia="en-US"/>
        </w:rPr>
        <w:t>ción</w:t>
      </w:r>
      <w:r w:rsidR="00880014" w:rsidRPr="00880014">
        <w:rPr>
          <w:rFonts w:ascii="Palatino Linotype" w:eastAsiaTheme="minorHAnsi" w:hAnsi="Palatino Linotype" w:cstheme="minorBidi"/>
          <w:b/>
          <w:bCs/>
          <w:lang w:val="es-MX" w:eastAsia="en-US"/>
        </w:rPr>
        <w:t xml:space="preserve"> de Administración y Recursos Materiales</w:t>
      </w:r>
      <w:r w:rsidRPr="000C7247">
        <w:rPr>
          <w:rFonts w:ascii="Palatino Linotype" w:eastAsiaTheme="minorHAnsi" w:hAnsi="Palatino Linotype" w:cstheme="minorBidi"/>
          <w:lang w:val="es-MX" w:eastAsia="en-US"/>
        </w:rPr>
        <w:t xml:space="preserve">. No obstante, se debe señalar que, en antecedentes similares, la Dirección General de Informática de este Instituto ha informado que con relación al peso máximo de archivos que soporta el </w:t>
      </w:r>
      <w:r w:rsidRPr="00880014">
        <w:rPr>
          <w:rFonts w:ascii="Palatino Linotype" w:eastAsiaTheme="minorHAnsi" w:hAnsi="Palatino Linotype" w:cstheme="minorBidi"/>
          <w:b/>
          <w:bCs/>
          <w:lang w:val="es-MX" w:eastAsia="en-US"/>
        </w:rPr>
        <w:t>SAIMEX</w:t>
      </w:r>
      <w:r w:rsidRPr="000C7247">
        <w:rPr>
          <w:rFonts w:ascii="Palatino Linotype" w:eastAsiaTheme="minorHAnsi" w:hAnsi="Palatino Linotype" w:cstheme="minorBidi"/>
          <w:lang w:val="es-MX" w:eastAsia="en-US"/>
        </w:rPr>
        <w:t xml:space="preserve"> para adjuntar como respuesta a las solicitudes de información, se puedan adjuntar archivos con un peso aproximado de hasta 500 Mb o un equivalente de hasta 8,000 hojas, garantizando que el ciudadano no tenga problemas en la descarga de la información usando conexiones a internet convencionales bajo parámetros de escaneo en resolución </w:t>
      </w:r>
      <w:r w:rsidRPr="000C7247">
        <w:rPr>
          <w:rFonts w:ascii="Palatino Linotype" w:eastAsiaTheme="minorHAnsi" w:hAnsi="Palatino Linotype" w:cstheme="minorBidi"/>
          <w:lang w:val="es-MX" w:eastAsia="en-US"/>
        </w:rPr>
        <w:lastRenderedPageBreak/>
        <w:t>máxima de 150Dpi's, escala de grises y formato «PDF» extraído directamente del escáner.</w:t>
      </w:r>
    </w:p>
    <w:p w14:paraId="069D9611" w14:textId="77777777" w:rsidR="009A0722" w:rsidRDefault="009A0722" w:rsidP="009A0722">
      <w:pPr>
        <w:spacing w:line="360" w:lineRule="auto"/>
        <w:jc w:val="both"/>
        <w:rPr>
          <w:rFonts w:ascii="Palatino Linotype" w:eastAsiaTheme="minorHAnsi" w:hAnsi="Palatino Linotype" w:cstheme="minorBidi"/>
          <w:lang w:val="es-MX" w:eastAsia="en-US"/>
        </w:rPr>
      </w:pPr>
    </w:p>
    <w:p w14:paraId="51505472" w14:textId="1E775ABA" w:rsidR="009A0722" w:rsidRPr="00662A6B" w:rsidRDefault="009A0722" w:rsidP="009A0722">
      <w:pPr>
        <w:spacing w:line="360" w:lineRule="auto"/>
        <w:jc w:val="both"/>
        <w:rPr>
          <w:rFonts w:ascii="Palatino Linotype" w:hAnsi="Palatino Linotype" w:cs="Arial"/>
        </w:rPr>
      </w:pPr>
      <w:r w:rsidRPr="00662A6B">
        <w:rPr>
          <w:rFonts w:ascii="Palatino Linotype" w:hAnsi="Palatino Linotype" w:cs="Arial"/>
        </w:rPr>
        <w:t xml:space="preserve">En virtud de que mediante respuesta a la solicitud de información, el </w:t>
      </w:r>
      <w:r w:rsidRPr="00662A6B">
        <w:rPr>
          <w:rFonts w:ascii="Palatino Linotype" w:hAnsi="Palatino Linotype" w:cs="Arial"/>
          <w:b/>
        </w:rPr>
        <w:t>Sujeto Obligado</w:t>
      </w:r>
      <w:r w:rsidRPr="00662A6B">
        <w:rPr>
          <w:rFonts w:ascii="Palatino Linotype" w:hAnsi="Palatino Linotype" w:cs="Arial"/>
        </w:rPr>
        <w:t xml:space="preserve"> propuso un cambio de modalidad de entrega, poniendo a disposición del </w:t>
      </w:r>
      <w:r w:rsidRPr="00662A6B">
        <w:rPr>
          <w:rFonts w:ascii="Palatino Linotype" w:hAnsi="Palatino Linotype" w:cs="Arial"/>
          <w:b/>
        </w:rPr>
        <w:t>Recurrente</w:t>
      </w:r>
      <w:r w:rsidRPr="00662A6B">
        <w:rPr>
          <w:rFonts w:ascii="Palatino Linotype" w:hAnsi="Palatino Linotype" w:cs="Arial"/>
        </w:rPr>
        <w:t xml:space="preserve"> la información en consulta directa,</w:t>
      </w:r>
      <w:r w:rsidR="00662A6B" w:rsidRPr="00662A6B">
        <w:rPr>
          <w:rFonts w:ascii="Palatino Linotype" w:hAnsi="Palatino Linotype" w:cs="Arial"/>
        </w:rPr>
        <w:t xml:space="preserve"> y tomando en consideración que, </w:t>
      </w:r>
      <w:r w:rsidR="00662A6B" w:rsidRPr="00880014">
        <w:rPr>
          <w:rFonts w:ascii="Palatino Linotype" w:hAnsi="Palatino Linotype" w:cs="Arial"/>
          <w:u w:val="single"/>
        </w:rPr>
        <w:t>únicamente son cuatro documentos solicitados</w:t>
      </w:r>
      <w:r w:rsidRPr="00880014">
        <w:rPr>
          <w:rFonts w:ascii="Palatino Linotype" w:hAnsi="Palatino Linotype" w:cs="Arial"/>
          <w:u w:val="single"/>
        </w:rPr>
        <w:t xml:space="preserve">, es de concluirse en este punto, que el </w:t>
      </w:r>
      <w:r w:rsidRPr="00880014">
        <w:rPr>
          <w:rFonts w:ascii="Palatino Linotype" w:hAnsi="Palatino Linotype" w:cs="Arial"/>
          <w:b/>
          <w:u w:val="single"/>
        </w:rPr>
        <w:t>Sujeto Obligado</w:t>
      </w:r>
      <w:r w:rsidRPr="00880014">
        <w:rPr>
          <w:rFonts w:ascii="Palatino Linotype" w:hAnsi="Palatino Linotype" w:cs="Arial"/>
          <w:u w:val="single"/>
        </w:rPr>
        <w:t xml:space="preserve"> no acredita la necesidad del cambio de modalidad de la entrega de información, en consecuencia, es dable ordenar la entrega de la información en la vía peticionada, es decir a través del </w:t>
      </w:r>
      <w:r w:rsidRPr="00880014">
        <w:rPr>
          <w:rFonts w:ascii="Palatino Linotype" w:hAnsi="Palatino Linotype" w:cs="Arial"/>
          <w:b/>
          <w:u w:val="single"/>
        </w:rPr>
        <w:t>SAIMEX</w:t>
      </w:r>
      <w:r w:rsidRPr="00880014">
        <w:rPr>
          <w:rFonts w:ascii="Palatino Linotype" w:hAnsi="Palatino Linotype" w:cs="Arial"/>
          <w:u w:val="single"/>
        </w:rPr>
        <w:t>, al no tenerse por cumplidos los requisitos de procedencia</w:t>
      </w:r>
      <w:r w:rsidRPr="00662A6B">
        <w:rPr>
          <w:rFonts w:ascii="Palatino Linotype" w:hAnsi="Palatino Linotype" w:cs="Arial"/>
        </w:rPr>
        <w:t>.</w:t>
      </w:r>
    </w:p>
    <w:p w14:paraId="11C47FC5" w14:textId="77777777" w:rsidR="009A0722" w:rsidRPr="00BE5EFE" w:rsidRDefault="009A0722" w:rsidP="009A0722">
      <w:pPr>
        <w:spacing w:line="360" w:lineRule="auto"/>
        <w:jc w:val="both"/>
        <w:rPr>
          <w:rFonts w:ascii="Palatino Linotype" w:hAnsi="Palatino Linotype" w:cs="Arial"/>
          <w:color w:val="000000" w:themeColor="text1"/>
        </w:rPr>
      </w:pPr>
    </w:p>
    <w:p w14:paraId="3A6660B0" w14:textId="77777777" w:rsidR="009A0722" w:rsidRPr="00BE5EFE" w:rsidRDefault="009A0722" w:rsidP="009A0722">
      <w:pPr>
        <w:spacing w:line="360" w:lineRule="auto"/>
        <w:jc w:val="both"/>
        <w:rPr>
          <w:rFonts w:ascii="Palatino Linotype" w:eastAsiaTheme="minorHAnsi" w:hAnsi="Palatino Linotype" w:cs="Arial"/>
          <w:szCs w:val="22"/>
          <w:lang w:val="es-MX" w:eastAsia="en-US"/>
        </w:rPr>
      </w:pPr>
      <w:r w:rsidRPr="00BE5EFE">
        <w:rPr>
          <w:rFonts w:ascii="Palatino Linotype" w:hAnsi="Palatino Linotype" w:cs="Arial"/>
        </w:rPr>
        <w:t xml:space="preserve">Adicionalmente, es de precisar que, aunque la solicitud de información y la respuesta estén dirigidas y atendidas por un </w:t>
      </w:r>
      <w:r w:rsidRPr="00BE5EFE">
        <w:rPr>
          <w:rFonts w:ascii="Palatino Linotype" w:hAnsi="Palatino Linotype" w:cs="Arial"/>
          <w:b/>
        </w:rPr>
        <w:t>Sujeto Obligado</w:t>
      </w:r>
      <w:r w:rsidRPr="00BE5EFE">
        <w:rPr>
          <w:rFonts w:ascii="Palatino Linotype" w:hAnsi="Palatino Linotype" w:cs="Arial"/>
        </w:rPr>
        <w:t xml:space="preserve">, lo cierto es que también tienen diversas Unidades Administrativas y cada área cuenta con un </w:t>
      </w:r>
      <w:r w:rsidRPr="00BE5EFE">
        <w:rPr>
          <w:rFonts w:ascii="Palatino Linotype" w:hAnsi="Palatino Linotype" w:cs="Arial"/>
          <w:b/>
        </w:rPr>
        <w:t>Servidor Público Habilitado</w:t>
      </w:r>
      <w:r w:rsidRPr="00BE5EFE">
        <w:rPr>
          <w:rFonts w:ascii="Palatino Linotype" w:hAnsi="Palatino Linotype" w:cs="Arial"/>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04981BA7" w14:textId="77777777" w:rsidR="009A0722" w:rsidRPr="00BE5EFE" w:rsidRDefault="009A0722" w:rsidP="009A0722">
      <w:pPr>
        <w:rPr>
          <w:rFonts w:ascii="Palatino Linotype" w:hAnsi="Palatino Linotype"/>
          <w:lang w:val="es-MX"/>
        </w:rPr>
      </w:pPr>
    </w:p>
    <w:p w14:paraId="5A6995BB" w14:textId="77777777" w:rsidR="009A0722" w:rsidRPr="00BE5EFE" w:rsidRDefault="009A0722" w:rsidP="009A0722">
      <w:pPr>
        <w:autoSpaceDE w:val="0"/>
        <w:autoSpaceDN w:val="0"/>
        <w:adjustRightInd w:val="0"/>
        <w:ind w:left="567" w:right="708"/>
        <w:jc w:val="both"/>
        <w:rPr>
          <w:rFonts w:ascii="Palatino Linotype" w:hAnsi="Palatino Linotype" w:cs="Arial"/>
          <w:i/>
          <w:sz w:val="22"/>
        </w:rPr>
      </w:pPr>
      <w:r w:rsidRPr="00BE5EFE">
        <w:rPr>
          <w:rFonts w:ascii="Palatino Linotype" w:hAnsi="Palatino Linotype" w:cs="Arial"/>
          <w:b/>
          <w:i/>
          <w:sz w:val="22"/>
        </w:rPr>
        <w:t>Artículo 3.</w:t>
      </w:r>
      <w:r w:rsidRPr="00BE5EFE">
        <w:rPr>
          <w:rFonts w:ascii="Palatino Linotype" w:hAnsi="Palatino Linotype" w:cs="Arial"/>
          <w:i/>
          <w:sz w:val="22"/>
        </w:rPr>
        <w:t xml:space="preserve"> Para los efectos de la presente Ley se entenderá por:</w:t>
      </w:r>
    </w:p>
    <w:p w14:paraId="1FA20C64" w14:textId="77777777" w:rsidR="009A0722" w:rsidRPr="00BE5EFE" w:rsidRDefault="009A0722" w:rsidP="009A0722">
      <w:pPr>
        <w:autoSpaceDE w:val="0"/>
        <w:autoSpaceDN w:val="0"/>
        <w:adjustRightInd w:val="0"/>
        <w:ind w:left="567" w:right="708"/>
        <w:jc w:val="both"/>
        <w:rPr>
          <w:rFonts w:ascii="Palatino Linotype" w:hAnsi="Palatino Linotype" w:cs="Arial"/>
          <w:i/>
          <w:sz w:val="22"/>
        </w:rPr>
      </w:pPr>
      <w:r w:rsidRPr="00BE5EFE">
        <w:rPr>
          <w:rFonts w:ascii="Palatino Linotype" w:hAnsi="Palatino Linotype" w:cs="Arial"/>
          <w:i/>
          <w:sz w:val="22"/>
        </w:rPr>
        <w:t>(…)</w:t>
      </w:r>
    </w:p>
    <w:p w14:paraId="26C2098F" w14:textId="77777777" w:rsidR="009A0722" w:rsidRPr="00BE5EFE" w:rsidRDefault="009A0722" w:rsidP="009A0722">
      <w:pPr>
        <w:autoSpaceDE w:val="0"/>
        <w:autoSpaceDN w:val="0"/>
        <w:adjustRightInd w:val="0"/>
        <w:ind w:left="567" w:right="708"/>
        <w:jc w:val="both"/>
        <w:rPr>
          <w:rFonts w:ascii="Palatino Linotype" w:hAnsi="Palatino Linotype" w:cs="Arial"/>
          <w:i/>
          <w:sz w:val="22"/>
        </w:rPr>
      </w:pPr>
      <w:r w:rsidRPr="00BE5EFE">
        <w:rPr>
          <w:rFonts w:ascii="Palatino Linotype" w:hAnsi="Palatino Linotype" w:cs="Arial"/>
          <w:b/>
          <w:i/>
          <w:sz w:val="22"/>
        </w:rPr>
        <w:t xml:space="preserve">XXXIX. Servidor público habilitado: </w:t>
      </w:r>
      <w:r w:rsidRPr="00BE5EFE">
        <w:rPr>
          <w:rFonts w:ascii="Palatino Linotype" w:hAnsi="Palatino Linotype" w:cs="Arial"/>
          <w:i/>
          <w:sz w:val="22"/>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7CF57362" w14:textId="77777777" w:rsidR="009A0722" w:rsidRPr="00BE5EFE" w:rsidRDefault="009A0722" w:rsidP="009A0722">
      <w:pPr>
        <w:autoSpaceDE w:val="0"/>
        <w:autoSpaceDN w:val="0"/>
        <w:adjustRightInd w:val="0"/>
        <w:ind w:left="567" w:right="708"/>
        <w:jc w:val="both"/>
        <w:rPr>
          <w:rFonts w:ascii="Palatino Linotype" w:hAnsi="Palatino Linotype" w:cs="Arial"/>
          <w:i/>
          <w:sz w:val="22"/>
        </w:rPr>
      </w:pPr>
      <w:r w:rsidRPr="00BE5EFE">
        <w:rPr>
          <w:rFonts w:ascii="Palatino Linotype" w:hAnsi="Palatino Linotype" w:cs="Arial"/>
          <w:i/>
          <w:sz w:val="22"/>
        </w:rPr>
        <w:t>(…)</w:t>
      </w:r>
    </w:p>
    <w:p w14:paraId="6F587EE5" w14:textId="77777777" w:rsidR="009A0722" w:rsidRPr="00BE5EFE" w:rsidRDefault="009A0722" w:rsidP="009A0722">
      <w:pPr>
        <w:autoSpaceDE w:val="0"/>
        <w:autoSpaceDN w:val="0"/>
        <w:adjustRightInd w:val="0"/>
        <w:ind w:left="567" w:right="708"/>
        <w:jc w:val="both"/>
        <w:rPr>
          <w:rFonts w:ascii="Palatino Linotype" w:hAnsi="Palatino Linotype" w:cs="Arial"/>
          <w:i/>
          <w:sz w:val="22"/>
        </w:rPr>
      </w:pPr>
      <w:r w:rsidRPr="00BE5EFE">
        <w:rPr>
          <w:rFonts w:ascii="Palatino Linotype" w:hAnsi="Palatino Linotype" w:cs="Arial"/>
          <w:b/>
          <w:i/>
          <w:sz w:val="22"/>
        </w:rPr>
        <w:lastRenderedPageBreak/>
        <w:t>Artículo 58.</w:t>
      </w:r>
      <w:r w:rsidRPr="00BE5EFE">
        <w:rPr>
          <w:rFonts w:ascii="Palatino Linotype" w:hAnsi="Palatino Linotype" w:cs="Arial"/>
          <w:i/>
          <w:sz w:val="22"/>
        </w:rPr>
        <w:t xml:space="preserve"> Los servidores públicos habilitados serán designados por el titular del sujeto obligado a propuesta del responsable de la Unidad de Transparencia.</w:t>
      </w:r>
    </w:p>
    <w:p w14:paraId="3109009E" w14:textId="77777777" w:rsidR="009A0722" w:rsidRPr="00BE5EFE" w:rsidRDefault="009A0722" w:rsidP="009A0722">
      <w:pPr>
        <w:autoSpaceDE w:val="0"/>
        <w:autoSpaceDN w:val="0"/>
        <w:adjustRightInd w:val="0"/>
        <w:ind w:left="567" w:right="708"/>
        <w:jc w:val="both"/>
        <w:rPr>
          <w:rFonts w:ascii="Palatino Linotype" w:hAnsi="Palatino Linotype" w:cs="Arial"/>
          <w:i/>
          <w:sz w:val="22"/>
        </w:rPr>
      </w:pPr>
    </w:p>
    <w:p w14:paraId="416976C1" w14:textId="77777777" w:rsidR="009A0722" w:rsidRPr="00BE5EFE" w:rsidRDefault="009A0722" w:rsidP="009A0722">
      <w:pPr>
        <w:autoSpaceDE w:val="0"/>
        <w:autoSpaceDN w:val="0"/>
        <w:adjustRightInd w:val="0"/>
        <w:ind w:left="567" w:right="708"/>
        <w:jc w:val="both"/>
        <w:rPr>
          <w:rFonts w:ascii="Palatino Linotype" w:hAnsi="Palatino Linotype" w:cs="Arial"/>
          <w:i/>
          <w:sz w:val="22"/>
        </w:rPr>
      </w:pPr>
      <w:r w:rsidRPr="00BE5EFE">
        <w:rPr>
          <w:rFonts w:ascii="Palatino Linotype" w:hAnsi="Palatino Linotype" w:cs="Arial"/>
          <w:b/>
          <w:i/>
          <w:sz w:val="22"/>
        </w:rPr>
        <w:t>Artículo 59.</w:t>
      </w:r>
      <w:r w:rsidRPr="00BE5EFE">
        <w:rPr>
          <w:rFonts w:ascii="Palatino Linotype" w:hAnsi="Palatino Linotype" w:cs="Arial"/>
          <w:i/>
          <w:sz w:val="22"/>
        </w:rPr>
        <w:t xml:space="preserve"> </w:t>
      </w:r>
      <w:r w:rsidRPr="00BE5EFE">
        <w:rPr>
          <w:rFonts w:ascii="Palatino Linotype" w:hAnsi="Palatino Linotype" w:cs="Arial"/>
          <w:b/>
          <w:i/>
          <w:sz w:val="22"/>
          <w:u w:val="single"/>
        </w:rPr>
        <w:t>Los servidores públicos habilitados</w:t>
      </w:r>
      <w:r w:rsidRPr="00BE5EFE">
        <w:rPr>
          <w:rFonts w:ascii="Palatino Linotype" w:hAnsi="Palatino Linotype" w:cs="Arial"/>
          <w:i/>
          <w:sz w:val="22"/>
        </w:rPr>
        <w:t xml:space="preserve"> tendrán las funciones siguientes:</w:t>
      </w:r>
    </w:p>
    <w:p w14:paraId="05FD9D4A" w14:textId="77777777" w:rsidR="009A0722" w:rsidRPr="00BE5EFE" w:rsidRDefault="009A0722" w:rsidP="009A0722">
      <w:pPr>
        <w:autoSpaceDE w:val="0"/>
        <w:autoSpaceDN w:val="0"/>
        <w:adjustRightInd w:val="0"/>
        <w:ind w:left="567" w:right="708"/>
        <w:jc w:val="both"/>
        <w:rPr>
          <w:rFonts w:ascii="Palatino Linotype" w:hAnsi="Palatino Linotype" w:cs="Arial"/>
          <w:i/>
          <w:sz w:val="22"/>
        </w:rPr>
      </w:pPr>
      <w:r w:rsidRPr="00BE5EFE">
        <w:rPr>
          <w:rFonts w:ascii="Palatino Linotype" w:hAnsi="Palatino Linotype" w:cs="Arial"/>
          <w:i/>
          <w:sz w:val="22"/>
        </w:rPr>
        <w:t xml:space="preserve">I. </w:t>
      </w:r>
      <w:r w:rsidRPr="00BE5EFE">
        <w:rPr>
          <w:rFonts w:ascii="Palatino Linotype" w:hAnsi="Palatino Linotype" w:cs="Arial"/>
          <w:b/>
          <w:i/>
          <w:sz w:val="22"/>
          <w:u w:val="single"/>
        </w:rPr>
        <w:t>Localizar la información que le solicite la Unidad de Transparencia</w:t>
      </w:r>
      <w:r w:rsidRPr="00BE5EFE">
        <w:rPr>
          <w:rFonts w:ascii="Palatino Linotype" w:hAnsi="Palatino Linotype" w:cs="Arial"/>
          <w:i/>
          <w:sz w:val="22"/>
        </w:rPr>
        <w:t>;</w:t>
      </w:r>
    </w:p>
    <w:p w14:paraId="6D87C4D2" w14:textId="77777777" w:rsidR="009A0722" w:rsidRPr="00BE5EFE" w:rsidRDefault="009A0722" w:rsidP="009A0722">
      <w:pPr>
        <w:autoSpaceDE w:val="0"/>
        <w:autoSpaceDN w:val="0"/>
        <w:adjustRightInd w:val="0"/>
        <w:ind w:left="567" w:right="708"/>
        <w:jc w:val="both"/>
        <w:rPr>
          <w:rFonts w:ascii="Palatino Linotype" w:hAnsi="Palatino Linotype" w:cs="Arial"/>
          <w:i/>
          <w:sz w:val="22"/>
        </w:rPr>
      </w:pPr>
    </w:p>
    <w:p w14:paraId="0C969B30" w14:textId="77777777" w:rsidR="009A0722" w:rsidRPr="00BE5EFE" w:rsidRDefault="009A0722" w:rsidP="009A0722">
      <w:pPr>
        <w:autoSpaceDE w:val="0"/>
        <w:autoSpaceDN w:val="0"/>
        <w:adjustRightInd w:val="0"/>
        <w:ind w:left="567" w:right="708"/>
        <w:jc w:val="both"/>
        <w:rPr>
          <w:rFonts w:ascii="Palatino Linotype" w:hAnsi="Palatino Linotype" w:cs="Arial"/>
          <w:i/>
          <w:sz w:val="22"/>
        </w:rPr>
      </w:pPr>
      <w:r w:rsidRPr="00BE5EFE">
        <w:rPr>
          <w:rFonts w:ascii="Palatino Linotype" w:hAnsi="Palatino Linotype" w:cs="Arial"/>
          <w:i/>
          <w:sz w:val="22"/>
        </w:rPr>
        <w:t xml:space="preserve">II. </w:t>
      </w:r>
      <w:r w:rsidRPr="00BE5EFE">
        <w:rPr>
          <w:rFonts w:ascii="Palatino Linotype" w:hAnsi="Palatino Linotype" w:cs="Arial"/>
          <w:b/>
          <w:i/>
          <w:sz w:val="22"/>
          <w:u w:val="single"/>
        </w:rPr>
        <w:t>Proporcionar la información que obre en los archivos y que le sea solicitada por la Unidad de Transparencia</w:t>
      </w:r>
      <w:r w:rsidRPr="00BE5EFE">
        <w:rPr>
          <w:rFonts w:ascii="Palatino Linotype" w:hAnsi="Palatino Linotype" w:cs="Arial"/>
          <w:i/>
          <w:sz w:val="22"/>
        </w:rPr>
        <w:t>;</w:t>
      </w:r>
    </w:p>
    <w:p w14:paraId="08CC2D53" w14:textId="77777777" w:rsidR="009A0722" w:rsidRPr="00BE5EFE" w:rsidRDefault="009A0722" w:rsidP="009A0722">
      <w:pPr>
        <w:autoSpaceDE w:val="0"/>
        <w:autoSpaceDN w:val="0"/>
        <w:adjustRightInd w:val="0"/>
        <w:ind w:left="567" w:right="708"/>
        <w:jc w:val="both"/>
        <w:rPr>
          <w:rFonts w:ascii="Palatino Linotype" w:hAnsi="Palatino Linotype" w:cs="Arial"/>
          <w:i/>
          <w:sz w:val="22"/>
        </w:rPr>
      </w:pPr>
    </w:p>
    <w:p w14:paraId="1BF37510" w14:textId="77777777" w:rsidR="009A0722" w:rsidRPr="00BE5EFE" w:rsidRDefault="009A0722" w:rsidP="009A0722">
      <w:pPr>
        <w:autoSpaceDE w:val="0"/>
        <w:autoSpaceDN w:val="0"/>
        <w:adjustRightInd w:val="0"/>
        <w:ind w:left="567" w:right="708"/>
        <w:jc w:val="both"/>
        <w:rPr>
          <w:rFonts w:ascii="Palatino Linotype" w:hAnsi="Palatino Linotype" w:cs="Arial"/>
          <w:i/>
          <w:sz w:val="22"/>
        </w:rPr>
      </w:pPr>
      <w:r w:rsidRPr="00BE5EFE">
        <w:rPr>
          <w:rFonts w:ascii="Palatino Linotype" w:hAnsi="Palatino Linotype" w:cs="Arial"/>
          <w:i/>
          <w:sz w:val="22"/>
        </w:rPr>
        <w:t>III. Apoyar a la Unidad de Transparencia en lo que esta le solicite para el cumplimiento de sus funciones;</w:t>
      </w:r>
    </w:p>
    <w:p w14:paraId="65DEAB38" w14:textId="77777777" w:rsidR="009A0722" w:rsidRPr="00BE5EFE" w:rsidRDefault="009A0722" w:rsidP="009A0722">
      <w:pPr>
        <w:autoSpaceDE w:val="0"/>
        <w:autoSpaceDN w:val="0"/>
        <w:adjustRightInd w:val="0"/>
        <w:ind w:left="567" w:right="708"/>
        <w:jc w:val="both"/>
        <w:rPr>
          <w:rFonts w:ascii="Palatino Linotype" w:hAnsi="Palatino Linotype" w:cs="Arial"/>
          <w:i/>
          <w:sz w:val="22"/>
        </w:rPr>
      </w:pPr>
    </w:p>
    <w:p w14:paraId="2A5B7D54" w14:textId="77777777" w:rsidR="009A0722" w:rsidRPr="00BE5EFE" w:rsidRDefault="009A0722" w:rsidP="009A0722">
      <w:pPr>
        <w:autoSpaceDE w:val="0"/>
        <w:autoSpaceDN w:val="0"/>
        <w:adjustRightInd w:val="0"/>
        <w:ind w:left="567" w:right="708"/>
        <w:jc w:val="both"/>
        <w:rPr>
          <w:rFonts w:ascii="Palatino Linotype" w:hAnsi="Palatino Linotype" w:cs="Arial"/>
          <w:i/>
          <w:sz w:val="22"/>
        </w:rPr>
      </w:pPr>
      <w:r w:rsidRPr="00BE5EFE">
        <w:rPr>
          <w:rFonts w:ascii="Palatino Linotype" w:hAnsi="Palatino Linotype" w:cs="Arial"/>
          <w:i/>
          <w:sz w:val="22"/>
        </w:rPr>
        <w:t>IV. Proporcionar a la Unidad de Transparencia, las modificaciones a la información pública de oficio que obre en su poder;</w:t>
      </w:r>
    </w:p>
    <w:p w14:paraId="12E3CE45" w14:textId="77777777" w:rsidR="009A0722" w:rsidRPr="00BE5EFE" w:rsidRDefault="009A0722" w:rsidP="009A0722">
      <w:pPr>
        <w:autoSpaceDE w:val="0"/>
        <w:autoSpaceDN w:val="0"/>
        <w:adjustRightInd w:val="0"/>
        <w:ind w:left="567" w:right="708"/>
        <w:jc w:val="both"/>
        <w:rPr>
          <w:rFonts w:ascii="Palatino Linotype" w:hAnsi="Palatino Linotype" w:cs="Arial"/>
          <w:i/>
          <w:sz w:val="22"/>
        </w:rPr>
      </w:pPr>
    </w:p>
    <w:p w14:paraId="486CDCDF" w14:textId="77777777" w:rsidR="009A0722" w:rsidRPr="00BE5EFE" w:rsidRDefault="009A0722" w:rsidP="009A0722">
      <w:pPr>
        <w:autoSpaceDE w:val="0"/>
        <w:autoSpaceDN w:val="0"/>
        <w:adjustRightInd w:val="0"/>
        <w:ind w:left="567" w:right="708"/>
        <w:jc w:val="both"/>
        <w:rPr>
          <w:rFonts w:ascii="Palatino Linotype" w:hAnsi="Palatino Linotype" w:cs="Arial"/>
          <w:i/>
          <w:sz w:val="22"/>
        </w:rPr>
      </w:pPr>
      <w:r w:rsidRPr="00BE5EFE">
        <w:rPr>
          <w:rFonts w:ascii="Palatino Linotype" w:hAnsi="Palatino Linotype" w:cs="Arial"/>
          <w:i/>
          <w:sz w:val="22"/>
        </w:rPr>
        <w:t>V. Integrar y presentar al responsable de la Unidad de Transparencia la propuesta de clasificación de información, la cual tendrá los fundamentos y argumentos en que se basa dicha propuesta;</w:t>
      </w:r>
    </w:p>
    <w:p w14:paraId="13622C82" w14:textId="77777777" w:rsidR="009A0722" w:rsidRPr="00BE5EFE" w:rsidRDefault="009A0722" w:rsidP="009A0722">
      <w:pPr>
        <w:autoSpaceDE w:val="0"/>
        <w:autoSpaceDN w:val="0"/>
        <w:adjustRightInd w:val="0"/>
        <w:ind w:left="567" w:right="708"/>
        <w:jc w:val="both"/>
        <w:rPr>
          <w:rFonts w:ascii="Palatino Linotype" w:hAnsi="Palatino Linotype" w:cs="Arial"/>
          <w:i/>
          <w:sz w:val="22"/>
        </w:rPr>
      </w:pPr>
    </w:p>
    <w:p w14:paraId="3852345E" w14:textId="77777777" w:rsidR="009A0722" w:rsidRPr="00BE5EFE" w:rsidRDefault="009A0722" w:rsidP="009A0722">
      <w:pPr>
        <w:autoSpaceDE w:val="0"/>
        <w:autoSpaceDN w:val="0"/>
        <w:adjustRightInd w:val="0"/>
        <w:ind w:left="567" w:right="708"/>
        <w:jc w:val="both"/>
        <w:rPr>
          <w:rFonts w:ascii="Palatino Linotype" w:hAnsi="Palatino Linotype" w:cs="Arial"/>
          <w:i/>
          <w:sz w:val="22"/>
        </w:rPr>
      </w:pPr>
      <w:r w:rsidRPr="00BE5EFE">
        <w:rPr>
          <w:rFonts w:ascii="Palatino Linotype" w:hAnsi="Palatino Linotype" w:cs="Arial"/>
          <w:i/>
          <w:sz w:val="22"/>
        </w:rPr>
        <w:t>VI. Verificar, una vez analizado el contenido de la información, que no se encuentre en los supuestos de información clasificada; y</w:t>
      </w:r>
    </w:p>
    <w:p w14:paraId="44AFDC61" w14:textId="77777777" w:rsidR="009A0722" w:rsidRPr="00BE5EFE" w:rsidRDefault="009A0722" w:rsidP="009A0722">
      <w:pPr>
        <w:autoSpaceDE w:val="0"/>
        <w:autoSpaceDN w:val="0"/>
        <w:adjustRightInd w:val="0"/>
        <w:ind w:left="567" w:right="708"/>
        <w:jc w:val="both"/>
        <w:rPr>
          <w:rFonts w:ascii="Palatino Linotype" w:hAnsi="Palatino Linotype" w:cs="Arial"/>
          <w:i/>
          <w:sz w:val="22"/>
        </w:rPr>
      </w:pPr>
    </w:p>
    <w:p w14:paraId="29A65419" w14:textId="77777777" w:rsidR="009A0722" w:rsidRPr="00BE5EFE" w:rsidRDefault="009A0722" w:rsidP="009A0722">
      <w:pPr>
        <w:autoSpaceDE w:val="0"/>
        <w:autoSpaceDN w:val="0"/>
        <w:adjustRightInd w:val="0"/>
        <w:ind w:left="567" w:right="708"/>
        <w:jc w:val="both"/>
        <w:rPr>
          <w:rFonts w:ascii="Palatino Linotype" w:hAnsi="Palatino Linotype" w:cs="Arial"/>
          <w:i/>
          <w:sz w:val="22"/>
        </w:rPr>
      </w:pPr>
      <w:r w:rsidRPr="00BE5EFE">
        <w:rPr>
          <w:rFonts w:ascii="Palatino Linotype" w:hAnsi="Palatino Linotype" w:cs="Arial"/>
          <w:i/>
          <w:sz w:val="22"/>
        </w:rPr>
        <w:t>VII. Dar cuenta a la Unidad de Transparencia del vencimiento de los plazos de reserva.</w:t>
      </w:r>
    </w:p>
    <w:p w14:paraId="6CF51B45" w14:textId="77777777" w:rsidR="009A0722" w:rsidRPr="00BE5EFE" w:rsidRDefault="009A0722" w:rsidP="009A0722">
      <w:pPr>
        <w:spacing w:line="360" w:lineRule="auto"/>
        <w:jc w:val="both"/>
        <w:rPr>
          <w:rFonts w:ascii="Palatino Linotype" w:hAnsi="Palatino Linotype"/>
          <w:lang w:eastAsia="es-MX"/>
        </w:rPr>
      </w:pPr>
    </w:p>
    <w:p w14:paraId="12241E41" w14:textId="77777777" w:rsidR="009A0722" w:rsidRPr="00BE5EFE" w:rsidRDefault="009A0722" w:rsidP="009A0722">
      <w:pPr>
        <w:spacing w:line="360" w:lineRule="auto"/>
        <w:jc w:val="both"/>
        <w:rPr>
          <w:rFonts w:ascii="Palatino Linotype" w:hAnsi="Palatino Linotype"/>
          <w:lang w:eastAsia="es-MX"/>
        </w:rPr>
      </w:pPr>
      <w:r w:rsidRPr="00BE5EFE">
        <w:rPr>
          <w:rFonts w:ascii="Palatino Linotype" w:hAnsi="Palatino Linotype"/>
          <w:lang w:eastAsia="es-MX"/>
        </w:rPr>
        <w:t>En otras palabras, cumplió con lo que para tal efecto dispone el artículo 162, de la Ley de Transparencia y Acceso a la Información Pública del Estado de México y Municipios, que índica:</w:t>
      </w:r>
    </w:p>
    <w:p w14:paraId="0EA96494" w14:textId="77777777" w:rsidR="009A0722" w:rsidRPr="00BE5EFE" w:rsidRDefault="009A0722" w:rsidP="009A0722">
      <w:pPr>
        <w:spacing w:line="360" w:lineRule="auto"/>
        <w:jc w:val="both"/>
        <w:rPr>
          <w:rFonts w:ascii="Palatino Linotype" w:hAnsi="Palatino Linotype"/>
          <w:sz w:val="10"/>
          <w:lang w:eastAsia="es-MX"/>
        </w:rPr>
      </w:pPr>
    </w:p>
    <w:p w14:paraId="138447C0" w14:textId="77777777" w:rsidR="009A0722" w:rsidRPr="00BE5EFE" w:rsidRDefault="009A0722" w:rsidP="009A0722">
      <w:pPr>
        <w:spacing w:line="360" w:lineRule="auto"/>
        <w:jc w:val="both"/>
        <w:rPr>
          <w:rFonts w:ascii="Palatino Linotype" w:hAnsi="Palatino Linotype"/>
          <w:sz w:val="10"/>
          <w:lang w:eastAsia="es-MX"/>
        </w:rPr>
      </w:pPr>
    </w:p>
    <w:p w14:paraId="54C15D40" w14:textId="77777777" w:rsidR="009A0722" w:rsidRPr="00BE5EFE" w:rsidRDefault="009A0722" w:rsidP="009A0722">
      <w:pPr>
        <w:ind w:left="567"/>
        <w:jc w:val="both"/>
        <w:rPr>
          <w:rFonts w:ascii="Palatino Linotype" w:hAnsi="Palatino Linotype"/>
          <w:i/>
          <w:sz w:val="20"/>
          <w:szCs w:val="20"/>
          <w:lang w:eastAsia="es-MX"/>
        </w:rPr>
      </w:pPr>
      <w:r w:rsidRPr="00BE5EFE">
        <w:rPr>
          <w:rFonts w:ascii="Palatino Linotype" w:hAnsi="Palatino Linotype"/>
          <w:i/>
          <w:sz w:val="22"/>
          <w:szCs w:val="20"/>
          <w:lang w:eastAsia="es-MX"/>
        </w:rPr>
        <w:t>“</w:t>
      </w:r>
      <w:r w:rsidRPr="00BE5EFE">
        <w:rPr>
          <w:rFonts w:ascii="Palatino Linotype" w:hAnsi="Palatino Linotype"/>
          <w:b/>
          <w:bCs/>
          <w:i/>
          <w:sz w:val="22"/>
          <w:szCs w:val="20"/>
          <w:lang w:eastAsia="es-MX"/>
        </w:rPr>
        <w:t xml:space="preserve">Artículo 162. </w:t>
      </w:r>
      <w:r w:rsidRPr="00BE5EFE">
        <w:rPr>
          <w:rFonts w:ascii="Palatino Linotype" w:hAnsi="Palatino Linotype"/>
          <w:i/>
          <w:sz w:val="22"/>
          <w:szCs w:val="20"/>
          <w:u w:val="single"/>
          <w:lang w:eastAsia="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BE5EFE">
        <w:rPr>
          <w:rFonts w:ascii="Palatino Linotype" w:hAnsi="Palatino Linotype"/>
          <w:i/>
          <w:sz w:val="22"/>
          <w:szCs w:val="20"/>
          <w:lang w:eastAsia="es-MX"/>
        </w:rPr>
        <w:t>”</w:t>
      </w:r>
    </w:p>
    <w:p w14:paraId="19234B8D" w14:textId="77777777" w:rsidR="009A0722" w:rsidRPr="00BE5EFE" w:rsidRDefault="009A0722" w:rsidP="009A0722">
      <w:pPr>
        <w:spacing w:line="360" w:lineRule="auto"/>
        <w:jc w:val="both"/>
        <w:rPr>
          <w:rFonts w:ascii="Palatino Linotype" w:hAnsi="Palatino Linotype"/>
          <w:lang w:eastAsia="es-MX"/>
        </w:rPr>
      </w:pPr>
    </w:p>
    <w:p w14:paraId="7A1617E4" w14:textId="759D0D0F" w:rsidR="009A0722" w:rsidRDefault="009A0722" w:rsidP="009A0722">
      <w:pPr>
        <w:spacing w:line="360" w:lineRule="auto"/>
        <w:jc w:val="both"/>
        <w:rPr>
          <w:rFonts w:ascii="Palatino Linotype" w:hAnsi="Palatino Linotype"/>
        </w:rPr>
      </w:pPr>
      <w:r w:rsidRPr="00BE5EFE">
        <w:rPr>
          <w:rFonts w:ascii="Palatino Linotype" w:hAnsi="Palatino Linotype"/>
          <w:lang w:eastAsia="es-MX"/>
        </w:rPr>
        <w:t>Bajo ese contexto, se considera que</w:t>
      </w:r>
      <w:r>
        <w:rPr>
          <w:rFonts w:ascii="Palatino Linotype" w:hAnsi="Palatino Linotype"/>
          <w:lang w:eastAsia="es-MX"/>
        </w:rPr>
        <w:t>,</w:t>
      </w:r>
      <w:r w:rsidRPr="00BE5EFE">
        <w:rPr>
          <w:rFonts w:ascii="Palatino Linotype" w:hAnsi="Palatino Linotype"/>
          <w:lang w:eastAsia="es-MX"/>
        </w:rPr>
        <w:t xml:space="preserve"> con el pronunciamiento realizado desde su respuesta primigenia por el </w:t>
      </w:r>
      <w:r w:rsidRPr="00BE5EFE">
        <w:rPr>
          <w:rFonts w:ascii="Palatino Linotype" w:hAnsi="Palatino Linotype"/>
          <w:b/>
          <w:lang w:eastAsia="es-MX"/>
        </w:rPr>
        <w:t>Sujeto Obligado</w:t>
      </w:r>
      <w:r w:rsidRPr="00BE5EFE">
        <w:rPr>
          <w:rFonts w:ascii="Palatino Linotype" w:hAnsi="Palatino Linotype"/>
          <w:lang w:eastAsia="es-MX"/>
        </w:rPr>
        <w:t>, no colma con la</w:t>
      </w:r>
      <w:r w:rsidRPr="00BE5EFE">
        <w:rPr>
          <w:rFonts w:ascii="Palatino Linotype" w:hAnsi="Palatino Linotype"/>
        </w:rPr>
        <w:t xml:space="preserve"> información solicitada por el particular.</w:t>
      </w:r>
    </w:p>
    <w:p w14:paraId="3C9F8475" w14:textId="29389D56" w:rsidR="009A0722" w:rsidRPr="00BE5EFE" w:rsidRDefault="009A0722" w:rsidP="009A0722">
      <w:pPr>
        <w:spacing w:line="360" w:lineRule="auto"/>
        <w:jc w:val="both"/>
        <w:rPr>
          <w:rFonts w:ascii="Palatino Linotype" w:hAnsi="Palatino Linotype"/>
          <w:lang w:eastAsia="es-MX"/>
        </w:rPr>
      </w:pPr>
      <w:r w:rsidRPr="00BE5EFE">
        <w:rPr>
          <w:rFonts w:ascii="Palatino Linotype" w:hAnsi="Palatino Linotype"/>
          <w:lang w:eastAsia="es-MX"/>
        </w:rPr>
        <w:lastRenderedPageBreak/>
        <w:t>Por lo anterior, se desprende que</w:t>
      </w:r>
      <w:r>
        <w:rPr>
          <w:rFonts w:ascii="Palatino Linotype" w:hAnsi="Palatino Linotype"/>
          <w:lang w:eastAsia="es-MX"/>
        </w:rPr>
        <w:t>,</w:t>
      </w:r>
      <w:r w:rsidRPr="00BE5EFE">
        <w:rPr>
          <w:rFonts w:ascii="Palatino Linotype" w:hAnsi="Palatino Linotype"/>
          <w:lang w:eastAsia="es-MX"/>
        </w:rPr>
        <w:t xml:space="preserve"> en respuesta, el Servidor Público Habilitado de la </w:t>
      </w:r>
      <w:r w:rsidRPr="009A0722">
        <w:rPr>
          <w:rFonts w:ascii="Palatino Linotype" w:hAnsi="Palatino Linotype"/>
          <w:b/>
          <w:bCs/>
          <w:lang w:eastAsia="es-MX"/>
        </w:rPr>
        <w:t>Dirección de Administración y Recursos Materiales</w:t>
      </w:r>
      <w:r w:rsidRPr="00BE5EFE">
        <w:rPr>
          <w:rFonts w:ascii="Palatino Linotype" w:hAnsi="Palatino Linotype"/>
          <w:lang w:eastAsia="es-MX"/>
        </w:rPr>
        <w:t>, en el ámbito de sus atribuciones, se pronunció respecto de la información solicitada, por lo que es dable la entrega</w:t>
      </w:r>
      <w:r>
        <w:rPr>
          <w:rFonts w:ascii="Palatino Linotype" w:hAnsi="Palatino Linotype"/>
          <w:lang w:eastAsia="es-MX"/>
        </w:rPr>
        <w:t xml:space="preserve"> </w:t>
      </w:r>
      <w:r w:rsidRPr="00BE5EFE">
        <w:rPr>
          <w:rFonts w:ascii="Palatino Linotype" w:hAnsi="Palatino Linotype"/>
          <w:lang w:eastAsia="es-MX"/>
        </w:rPr>
        <w:t xml:space="preserve">en versión pública, </w:t>
      </w:r>
      <w:r>
        <w:rPr>
          <w:rFonts w:ascii="Palatino Linotype" w:hAnsi="Palatino Linotype"/>
          <w:lang w:eastAsia="es-MX"/>
        </w:rPr>
        <w:t xml:space="preserve">de la información requerida, </w:t>
      </w:r>
      <w:r w:rsidRPr="00BE5EFE">
        <w:rPr>
          <w:rFonts w:ascii="Palatino Linotype" w:hAnsi="Palatino Linotype"/>
          <w:lang w:eastAsia="es-MX"/>
        </w:rPr>
        <w:t>de conformidad con lo siguiente:</w:t>
      </w:r>
    </w:p>
    <w:p w14:paraId="4EA95571" w14:textId="77777777" w:rsidR="009A0722" w:rsidRPr="00BE5EFE" w:rsidRDefault="009A0722" w:rsidP="009A0722">
      <w:pPr>
        <w:spacing w:line="360" w:lineRule="auto"/>
        <w:jc w:val="both"/>
        <w:rPr>
          <w:rFonts w:ascii="Palatino Linotype" w:hAnsi="Palatino Linotype"/>
          <w:lang w:eastAsia="es-MX"/>
        </w:rPr>
      </w:pPr>
    </w:p>
    <w:p w14:paraId="513FC131" w14:textId="77777777" w:rsidR="009A0722" w:rsidRPr="00BE5EFE" w:rsidRDefault="009A0722" w:rsidP="009A0722">
      <w:pPr>
        <w:pStyle w:val="Prrafodelista"/>
        <w:numPr>
          <w:ilvl w:val="0"/>
          <w:numId w:val="35"/>
        </w:numPr>
        <w:spacing w:line="360" w:lineRule="auto"/>
        <w:jc w:val="both"/>
        <w:rPr>
          <w:rFonts w:ascii="Palatino Linotype" w:hAnsi="Palatino Linotype" w:cs="Arial"/>
          <w:b/>
        </w:rPr>
      </w:pPr>
      <w:r w:rsidRPr="00BE5EFE">
        <w:rPr>
          <w:rFonts w:ascii="Palatino Linotype" w:hAnsi="Palatino Linotype" w:cs="Arial"/>
          <w:b/>
          <w:i/>
          <w:sz w:val="28"/>
        </w:rPr>
        <w:t>De la versión pública</w:t>
      </w:r>
    </w:p>
    <w:p w14:paraId="15E35948" w14:textId="77777777" w:rsidR="009A0722" w:rsidRPr="00BE5EFE" w:rsidRDefault="009A0722" w:rsidP="009A0722">
      <w:pPr>
        <w:pStyle w:val="Prrafodelista"/>
        <w:autoSpaceDE w:val="0"/>
        <w:autoSpaceDN w:val="0"/>
        <w:adjustRightInd w:val="0"/>
        <w:spacing w:line="360" w:lineRule="auto"/>
        <w:ind w:left="0"/>
        <w:jc w:val="both"/>
        <w:rPr>
          <w:rFonts w:ascii="Palatino Linotype" w:eastAsiaTheme="minorHAnsi" w:hAnsi="Palatino Linotype" w:cs="Arial"/>
          <w:lang w:val="es-MX" w:eastAsia="en-US"/>
        </w:rPr>
      </w:pPr>
      <w:r w:rsidRPr="00BE5EFE">
        <w:rPr>
          <w:rFonts w:ascii="Palatino Linotype" w:eastAsiaTheme="minorHAnsi" w:hAnsi="Palatino Linotype" w:cs="Arial"/>
          <w:lang w:val="es-MX" w:eastAsia="en-US"/>
        </w:rPr>
        <w:t>De la naturaleza de la información se desprende que para el caso de que la documentación a entregar contenga datos personales susceptibles clasificar como confidenciales o reservados, por lo que es responsabilidad del Sujeto Obligado vigilar su cumplimiento mediante la emisión de versiones públicas.</w:t>
      </w:r>
    </w:p>
    <w:p w14:paraId="4DE4E8E3" w14:textId="77777777" w:rsidR="009A0722" w:rsidRPr="00BE5EFE" w:rsidRDefault="009A0722" w:rsidP="009A0722">
      <w:pPr>
        <w:pStyle w:val="Prrafodelista"/>
        <w:autoSpaceDE w:val="0"/>
        <w:autoSpaceDN w:val="0"/>
        <w:adjustRightInd w:val="0"/>
        <w:spacing w:line="360" w:lineRule="auto"/>
        <w:ind w:left="0"/>
        <w:jc w:val="both"/>
        <w:rPr>
          <w:rFonts w:ascii="Palatino Linotype" w:eastAsiaTheme="minorHAnsi" w:hAnsi="Palatino Linotype" w:cs="Arial"/>
          <w:lang w:val="es-MX" w:eastAsia="en-US"/>
        </w:rPr>
      </w:pPr>
    </w:p>
    <w:p w14:paraId="61C71C1D" w14:textId="77777777" w:rsidR="009A0722" w:rsidRPr="00BE5EFE" w:rsidRDefault="009A0722" w:rsidP="009A0722">
      <w:pPr>
        <w:spacing w:line="360" w:lineRule="auto"/>
        <w:jc w:val="both"/>
        <w:rPr>
          <w:rFonts w:ascii="Palatino Linotype" w:hAnsi="Palatino Linotype" w:cs="Arial"/>
        </w:rPr>
      </w:pPr>
      <w:r w:rsidRPr="00BE5EFE">
        <w:rPr>
          <w:rFonts w:ascii="Palatino Linotype" w:hAnsi="Palatino Linotype" w:cs="Arial"/>
        </w:rPr>
        <w:t>Para tales efectos se deberá observar lo dispuesto por los artículos 3 fracciones IX, XX, XXI y XLV, 91, 132 fracciones II y III, y 143, fracción I, de la Ley de Transparencia y Acceso a la Información Pública del Estado de México y Municipios que establecen:</w:t>
      </w:r>
    </w:p>
    <w:p w14:paraId="2E8E6199" w14:textId="77777777" w:rsidR="009A0722" w:rsidRPr="00BE5EFE" w:rsidRDefault="009A0722" w:rsidP="009A0722">
      <w:pPr>
        <w:spacing w:line="360" w:lineRule="auto"/>
        <w:jc w:val="both"/>
        <w:rPr>
          <w:rFonts w:ascii="Palatino Linotype" w:hAnsi="Palatino Linotype" w:cs="Arial"/>
        </w:rPr>
      </w:pPr>
    </w:p>
    <w:p w14:paraId="2742F4FD" w14:textId="77777777" w:rsidR="009A0722" w:rsidRPr="00BE5EFE" w:rsidRDefault="009A0722" w:rsidP="009A0722">
      <w:pPr>
        <w:ind w:left="567" w:right="616"/>
        <w:jc w:val="both"/>
        <w:rPr>
          <w:rFonts w:ascii="Palatino Linotype" w:hAnsi="Palatino Linotype" w:cs="Arial"/>
          <w:i/>
          <w:sz w:val="22"/>
        </w:rPr>
      </w:pPr>
      <w:r w:rsidRPr="00BE5EFE">
        <w:rPr>
          <w:rFonts w:ascii="Palatino Linotype" w:hAnsi="Palatino Linotype" w:cs="Arial"/>
          <w:b/>
          <w:i/>
          <w:sz w:val="22"/>
        </w:rPr>
        <w:t>Artículo 3.</w:t>
      </w:r>
      <w:r w:rsidRPr="00BE5EFE">
        <w:rPr>
          <w:rFonts w:ascii="Palatino Linotype" w:hAnsi="Palatino Linotype" w:cs="Arial"/>
          <w:i/>
          <w:sz w:val="22"/>
        </w:rPr>
        <w:t xml:space="preserve"> Para los efectos de la presente Ley se entenderá por:</w:t>
      </w:r>
    </w:p>
    <w:p w14:paraId="4EBD4F8C" w14:textId="77777777" w:rsidR="009A0722" w:rsidRPr="00BE5EFE" w:rsidRDefault="009A0722" w:rsidP="009A0722">
      <w:pPr>
        <w:ind w:left="567" w:right="616"/>
        <w:jc w:val="both"/>
        <w:rPr>
          <w:rFonts w:ascii="Palatino Linotype" w:hAnsi="Palatino Linotype" w:cs="Arial"/>
          <w:i/>
          <w:sz w:val="22"/>
        </w:rPr>
      </w:pPr>
      <w:r w:rsidRPr="00BE5EFE">
        <w:rPr>
          <w:rFonts w:ascii="Palatino Linotype" w:hAnsi="Palatino Linotype" w:cs="Arial"/>
          <w:i/>
          <w:sz w:val="22"/>
        </w:rPr>
        <w:t>[…]</w:t>
      </w:r>
    </w:p>
    <w:p w14:paraId="4FA18C32" w14:textId="77777777" w:rsidR="009A0722" w:rsidRPr="00BE5EFE" w:rsidRDefault="009A0722" w:rsidP="009A0722">
      <w:pPr>
        <w:ind w:left="567" w:right="616"/>
        <w:jc w:val="both"/>
        <w:rPr>
          <w:rFonts w:ascii="Palatino Linotype" w:hAnsi="Palatino Linotype" w:cs="Arial"/>
          <w:i/>
          <w:sz w:val="22"/>
        </w:rPr>
      </w:pPr>
    </w:p>
    <w:p w14:paraId="038C27F2" w14:textId="77777777" w:rsidR="009A0722" w:rsidRPr="00BE5EFE" w:rsidRDefault="009A0722" w:rsidP="009A0722">
      <w:pPr>
        <w:ind w:left="567" w:right="616"/>
        <w:jc w:val="both"/>
        <w:rPr>
          <w:rFonts w:ascii="Palatino Linotype" w:hAnsi="Palatino Linotype" w:cs="Arial"/>
          <w:i/>
          <w:sz w:val="22"/>
        </w:rPr>
      </w:pPr>
      <w:r w:rsidRPr="00BE5EFE">
        <w:rPr>
          <w:rFonts w:ascii="Palatino Linotype" w:hAnsi="Palatino Linotype" w:cs="Arial"/>
          <w:b/>
          <w:i/>
          <w:sz w:val="22"/>
        </w:rPr>
        <w:t>IX. Datos personales:</w:t>
      </w:r>
      <w:r w:rsidRPr="00BE5EFE">
        <w:rPr>
          <w:rFonts w:ascii="Palatino Linotype" w:hAnsi="Palatino Linotype" w:cs="Arial"/>
          <w:i/>
          <w:sz w:val="22"/>
        </w:rPr>
        <w:t xml:space="preserve"> La información concerniente a una persona, identificada o identificable según lo dispuesto por la Ley de Protección de Datos Personales del Estado de México; </w:t>
      </w:r>
    </w:p>
    <w:p w14:paraId="32E510DC" w14:textId="77777777" w:rsidR="009A0722" w:rsidRPr="00BE5EFE" w:rsidRDefault="009A0722" w:rsidP="009A0722">
      <w:pPr>
        <w:ind w:left="567" w:right="616"/>
        <w:jc w:val="both"/>
        <w:rPr>
          <w:rFonts w:ascii="Palatino Linotype" w:hAnsi="Palatino Linotype" w:cs="Arial"/>
          <w:i/>
          <w:sz w:val="22"/>
        </w:rPr>
      </w:pPr>
      <w:r w:rsidRPr="00BE5EFE">
        <w:rPr>
          <w:rFonts w:ascii="Palatino Linotype" w:hAnsi="Palatino Linotype" w:cs="Arial"/>
          <w:b/>
          <w:i/>
          <w:sz w:val="22"/>
        </w:rPr>
        <w:t>XX. Información clasificada:</w:t>
      </w:r>
      <w:r w:rsidRPr="00BE5EFE">
        <w:rPr>
          <w:rFonts w:ascii="Palatino Linotype" w:hAnsi="Palatino Linotype" w:cs="Arial"/>
          <w:i/>
          <w:sz w:val="22"/>
        </w:rPr>
        <w:t xml:space="preserve"> Aquella considerada por la presente Ley como reservada o confidencial;</w:t>
      </w:r>
    </w:p>
    <w:p w14:paraId="18C48644" w14:textId="77777777" w:rsidR="009A0722" w:rsidRPr="00BE5EFE" w:rsidRDefault="009A0722" w:rsidP="009A0722">
      <w:pPr>
        <w:ind w:left="567" w:right="616"/>
        <w:jc w:val="both"/>
        <w:rPr>
          <w:rFonts w:ascii="Palatino Linotype" w:hAnsi="Palatino Linotype" w:cs="Arial"/>
          <w:i/>
          <w:sz w:val="22"/>
        </w:rPr>
      </w:pPr>
      <w:r w:rsidRPr="00BE5EFE">
        <w:rPr>
          <w:rFonts w:ascii="Palatino Linotype" w:hAnsi="Palatino Linotype" w:cs="Arial"/>
          <w:b/>
          <w:i/>
          <w:sz w:val="22"/>
        </w:rPr>
        <w:t>XXI. Información confidencial:</w:t>
      </w:r>
      <w:r w:rsidRPr="00BE5EFE">
        <w:rPr>
          <w:rFonts w:ascii="Palatino Linotype" w:hAnsi="Palatino Linotype" w:cs="Arial"/>
          <w:i/>
          <w:sz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65F96F9" w14:textId="77777777" w:rsidR="009A0722" w:rsidRPr="00BE5EFE" w:rsidRDefault="009A0722" w:rsidP="009A0722">
      <w:pPr>
        <w:ind w:left="567" w:right="616"/>
        <w:jc w:val="both"/>
        <w:rPr>
          <w:rFonts w:ascii="Palatino Linotype" w:hAnsi="Palatino Linotype" w:cs="Arial"/>
          <w:i/>
          <w:sz w:val="22"/>
        </w:rPr>
      </w:pPr>
      <w:r w:rsidRPr="00BE5EFE">
        <w:rPr>
          <w:rFonts w:ascii="Palatino Linotype" w:hAnsi="Palatino Linotype" w:cs="Arial"/>
          <w:b/>
          <w:i/>
          <w:sz w:val="22"/>
        </w:rPr>
        <w:t>XLV. Versión pública:</w:t>
      </w:r>
      <w:r w:rsidRPr="00BE5EFE">
        <w:rPr>
          <w:rFonts w:ascii="Palatino Linotype" w:hAnsi="Palatino Linotype" w:cs="Arial"/>
          <w:i/>
          <w:sz w:val="22"/>
        </w:rPr>
        <w:t xml:space="preserve"> Documento en el que se elimine, suprime o borra la información clasificada como reservada o confidencial para permitir su acceso.</w:t>
      </w:r>
    </w:p>
    <w:p w14:paraId="5C2FB81B" w14:textId="77777777" w:rsidR="009A0722" w:rsidRPr="00BE5EFE" w:rsidRDefault="009A0722" w:rsidP="009A0722">
      <w:pPr>
        <w:ind w:left="567" w:right="616"/>
        <w:jc w:val="both"/>
        <w:rPr>
          <w:rFonts w:ascii="Palatino Linotype" w:hAnsi="Palatino Linotype" w:cs="Arial"/>
          <w:i/>
          <w:sz w:val="22"/>
        </w:rPr>
      </w:pPr>
      <w:r w:rsidRPr="00BE5EFE">
        <w:rPr>
          <w:rFonts w:ascii="Palatino Linotype" w:hAnsi="Palatino Linotype" w:cs="Arial"/>
          <w:i/>
          <w:sz w:val="22"/>
        </w:rPr>
        <w:t>[…]</w:t>
      </w:r>
    </w:p>
    <w:p w14:paraId="2DB6C1FF" w14:textId="77777777" w:rsidR="009A0722" w:rsidRPr="00BE5EFE" w:rsidRDefault="009A0722" w:rsidP="009A0722">
      <w:pPr>
        <w:ind w:left="567" w:right="616"/>
        <w:jc w:val="both"/>
        <w:rPr>
          <w:rFonts w:ascii="Palatino Linotype" w:hAnsi="Palatino Linotype" w:cs="Arial"/>
          <w:i/>
          <w:sz w:val="22"/>
        </w:rPr>
      </w:pPr>
      <w:r w:rsidRPr="00BE5EFE">
        <w:rPr>
          <w:rFonts w:ascii="Palatino Linotype" w:hAnsi="Palatino Linotype" w:cs="Arial"/>
          <w:b/>
          <w:i/>
          <w:sz w:val="22"/>
        </w:rPr>
        <w:t>Artículo 91.</w:t>
      </w:r>
      <w:r w:rsidRPr="00BE5EFE">
        <w:rPr>
          <w:rFonts w:ascii="Palatino Linotype" w:hAnsi="Palatino Linotype" w:cs="Arial"/>
          <w:i/>
          <w:sz w:val="22"/>
        </w:rPr>
        <w:t xml:space="preserve"> El acceso a la información pública será restringido excepcionalmente, cuando ésta sea clasificada como reservada o confidencial.</w:t>
      </w:r>
    </w:p>
    <w:p w14:paraId="573D1379" w14:textId="77777777" w:rsidR="009A0722" w:rsidRPr="00BE5EFE" w:rsidRDefault="009A0722" w:rsidP="009A0722">
      <w:pPr>
        <w:ind w:left="567" w:right="616"/>
        <w:jc w:val="both"/>
        <w:rPr>
          <w:rFonts w:ascii="Palatino Linotype" w:hAnsi="Palatino Linotype" w:cs="Arial"/>
          <w:i/>
          <w:sz w:val="22"/>
        </w:rPr>
      </w:pPr>
    </w:p>
    <w:p w14:paraId="5D20FFDE" w14:textId="77777777" w:rsidR="009A0722" w:rsidRPr="00BE5EFE" w:rsidRDefault="009A0722" w:rsidP="009A0722">
      <w:pPr>
        <w:ind w:left="567" w:right="616"/>
        <w:jc w:val="both"/>
        <w:rPr>
          <w:rFonts w:ascii="Palatino Linotype" w:hAnsi="Palatino Linotype" w:cs="Arial"/>
          <w:i/>
          <w:sz w:val="22"/>
        </w:rPr>
      </w:pPr>
      <w:r w:rsidRPr="00BE5EFE">
        <w:rPr>
          <w:rFonts w:ascii="Palatino Linotype" w:hAnsi="Palatino Linotype" w:cs="Arial"/>
          <w:b/>
          <w:i/>
          <w:sz w:val="22"/>
        </w:rPr>
        <w:t>Artículo 132.</w:t>
      </w:r>
      <w:r w:rsidRPr="00BE5EFE">
        <w:rPr>
          <w:rFonts w:ascii="Palatino Linotype" w:hAnsi="Palatino Linotype" w:cs="Arial"/>
          <w:i/>
          <w:sz w:val="22"/>
        </w:rPr>
        <w:t xml:space="preserve"> </w:t>
      </w:r>
      <w:r w:rsidRPr="00BE5EFE">
        <w:rPr>
          <w:rFonts w:ascii="Palatino Linotype" w:hAnsi="Palatino Linotype" w:cs="Arial"/>
          <w:i/>
          <w:sz w:val="22"/>
          <w:u w:val="single"/>
        </w:rPr>
        <w:t>La clasificación de la información se llevará a cabo en el momento en que</w:t>
      </w:r>
      <w:r w:rsidRPr="00BE5EFE">
        <w:rPr>
          <w:rFonts w:ascii="Palatino Linotype" w:hAnsi="Palatino Linotype" w:cs="Arial"/>
          <w:i/>
          <w:sz w:val="22"/>
        </w:rPr>
        <w:t>:</w:t>
      </w:r>
    </w:p>
    <w:p w14:paraId="5604CB9A" w14:textId="77777777" w:rsidR="009A0722" w:rsidRPr="00BE5EFE" w:rsidRDefault="009A0722" w:rsidP="009A0722">
      <w:pPr>
        <w:ind w:left="567" w:right="616"/>
        <w:jc w:val="both"/>
        <w:rPr>
          <w:rFonts w:ascii="Palatino Linotype" w:hAnsi="Palatino Linotype" w:cs="Arial"/>
          <w:i/>
          <w:sz w:val="22"/>
        </w:rPr>
      </w:pPr>
      <w:r w:rsidRPr="00BE5EFE">
        <w:rPr>
          <w:rFonts w:ascii="Palatino Linotype" w:hAnsi="Palatino Linotype" w:cs="Arial"/>
          <w:b/>
          <w:i/>
          <w:sz w:val="22"/>
        </w:rPr>
        <w:t>I.</w:t>
      </w:r>
      <w:r w:rsidRPr="00BE5EFE">
        <w:rPr>
          <w:rFonts w:ascii="Palatino Linotype" w:hAnsi="Palatino Linotype" w:cs="Arial"/>
          <w:i/>
          <w:sz w:val="22"/>
        </w:rPr>
        <w:t xml:space="preserve"> Se reciba una solicitud de acceso a la información;</w:t>
      </w:r>
    </w:p>
    <w:p w14:paraId="1103B8A0" w14:textId="77777777" w:rsidR="009A0722" w:rsidRPr="00BE5EFE" w:rsidRDefault="009A0722" w:rsidP="009A0722">
      <w:pPr>
        <w:ind w:left="567" w:right="616"/>
        <w:jc w:val="both"/>
        <w:rPr>
          <w:rFonts w:ascii="Palatino Linotype" w:hAnsi="Palatino Linotype" w:cs="Arial"/>
          <w:i/>
          <w:sz w:val="22"/>
          <w:u w:val="single"/>
        </w:rPr>
      </w:pPr>
      <w:r w:rsidRPr="00BE5EFE">
        <w:rPr>
          <w:rFonts w:ascii="Palatino Linotype" w:hAnsi="Palatino Linotype" w:cs="Arial"/>
          <w:b/>
          <w:i/>
          <w:sz w:val="22"/>
        </w:rPr>
        <w:t>II.</w:t>
      </w:r>
      <w:r w:rsidRPr="00BE5EFE">
        <w:rPr>
          <w:rFonts w:ascii="Palatino Linotype" w:hAnsi="Palatino Linotype" w:cs="Arial"/>
          <w:i/>
          <w:sz w:val="22"/>
        </w:rPr>
        <w:t xml:space="preserve"> </w:t>
      </w:r>
      <w:r w:rsidRPr="00BE5EFE">
        <w:rPr>
          <w:rFonts w:ascii="Palatino Linotype" w:hAnsi="Palatino Linotype" w:cs="Arial"/>
          <w:i/>
          <w:sz w:val="22"/>
          <w:u w:val="single"/>
        </w:rPr>
        <w:t>Se determine mediante resolución de autoridad competente; o</w:t>
      </w:r>
    </w:p>
    <w:p w14:paraId="56CE9842" w14:textId="77777777" w:rsidR="009A0722" w:rsidRPr="00BE5EFE" w:rsidRDefault="009A0722" w:rsidP="009A0722">
      <w:pPr>
        <w:ind w:left="567" w:right="616"/>
        <w:jc w:val="both"/>
        <w:rPr>
          <w:rFonts w:ascii="Palatino Linotype" w:hAnsi="Palatino Linotype" w:cs="Arial"/>
          <w:i/>
          <w:sz w:val="22"/>
          <w:u w:val="single"/>
        </w:rPr>
      </w:pPr>
      <w:r w:rsidRPr="00BE5EFE">
        <w:rPr>
          <w:rFonts w:ascii="Palatino Linotype" w:hAnsi="Palatino Linotype" w:cs="Arial"/>
          <w:b/>
          <w:i/>
          <w:sz w:val="22"/>
        </w:rPr>
        <w:t>III.</w:t>
      </w:r>
      <w:r w:rsidRPr="00BE5EFE">
        <w:rPr>
          <w:rFonts w:ascii="Palatino Linotype" w:hAnsi="Palatino Linotype" w:cs="Arial"/>
          <w:i/>
          <w:sz w:val="22"/>
        </w:rPr>
        <w:t xml:space="preserve"> </w:t>
      </w:r>
      <w:r w:rsidRPr="00BE5EFE">
        <w:rPr>
          <w:rFonts w:ascii="Palatino Linotype" w:hAnsi="Palatino Linotype" w:cs="Arial"/>
          <w:i/>
          <w:sz w:val="22"/>
          <w:u w:val="single"/>
        </w:rPr>
        <w:t>Se generen versiones públicas para dar cumplimiento a las obligaciones de transparencia previstas en esta Ley.</w:t>
      </w:r>
    </w:p>
    <w:p w14:paraId="4EB3F66A" w14:textId="77777777" w:rsidR="009A0722" w:rsidRPr="00BE5EFE" w:rsidRDefault="009A0722" w:rsidP="009A0722">
      <w:pPr>
        <w:ind w:left="567" w:right="616"/>
        <w:jc w:val="both"/>
        <w:rPr>
          <w:rFonts w:ascii="Palatino Linotype" w:hAnsi="Palatino Linotype" w:cs="Arial"/>
          <w:i/>
          <w:sz w:val="22"/>
        </w:rPr>
      </w:pPr>
      <w:r w:rsidRPr="00BE5EFE">
        <w:rPr>
          <w:rFonts w:ascii="Palatino Linotype" w:hAnsi="Palatino Linotype" w:cs="Arial"/>
          <w:i/>
          <w:sz w:val="22"/>
        </w:rPr>
        <w:t>[…]</w:t>
      </w:r>
    </w:p>
    <w:p w14:paraId="69012390" w14:textId="77777777" w:rsidR="009A0722" w:rsidRPr="00BE5EFE" w:rsidRDefault="009A0722" w:rsidP="009A0722">
      <w:pPr>
        <w:ind w:left="567" w:right="616"/>
        <w:jc w:val="both"/>
        <w:rPr>
          <w:rFonts w:ascii="Palatino Linotype" w:hAnsi="Palatino Linotype" w:cs="Arial"/>
          <w:i/>
          <w:sz w:val="22"/>
        </w:rPr>
      </w:pPr>
    </w:p>
    <w:p w14:paraId="6BBE2A18" w14:textId="77777777" w:rsidR="009A0722" w:rsidRPr="00BE5EFE" w:rsidRDefault="009A0722" w:rsidP="009A0722">
      <w:pPr>
        <w:ind w:left="567" w:right="616"/>
        <w:jc w:val="both"/>
        <w:rPr>
          <w:rFonts w:ascii="Palatino Linotype" w:hAnsi="Palatino Linotype" w:cs="Arial"/>
          <w:i/>
          <w:sz w:val="22"/>
        </w:rPr>
      </w:pPr>
      <w:r w:rsidRPr="00BE5EFE">
        <w:rPr>
          <w:rFonts w:ascii="Palatino Linotype" w:hAnsi="Palatino Linotype" w:cs="Arial"/>
          <w:b/>
          <w:i/>
          <w:sz w:val="22"/>
        </w:rPr>
        <w:t>Artículo 143.</w:t>
      </w:r>
      <w:r w:rsidRPr="00BE5EFE">
        <w:rPr>
          <w:rFonts w:ascii="Palatino Linotype" w:hAnsi="Palatino Linotype" w:cs="Arial"/>
          <w:i/>
          <w:sz w:val="22"/>
        </w:rPr>
        <w:t xml:space="preserve"> </w:t>
      </w:r>
      <w:r w:rsidRPr="00BE5EFE">
        <w:rPr>
          <w:rFonts w:ascii="Palatino Linotype" w:hAnsi="Palatino Linotype" w:cs="Arial"/>
          <w:i/>
          <w:sz w:val="22"/>
          <w:u w:val="single"/>
        </w:rPr>
        <w:t>Para los efectos de esta Ley se considera información confidencial, la clasificada como tal, de manera permanente, por su naturaleza, cuando</w:t>
      </w:r>
      <w:r w:rsidRPr="00BE5EFE">
        <w:rPr>
          <w:rFonts w:ascii="Palatino Linotype" w:hAnsi="Palatino Linotype" w:cs="Arial"/>
          <w:i/>
          <w:sz w:val="22"/>
        </w:rPr>
        <w:t>:</w:t>
      </w:r>
    </w:p>
    <w:p w14:paraId="7961D24D" w14:textId="77777777" w:rsidR="009A0722" w:rsidRPr="00BE5EFE" w:rsidRDefault="009A0722" w:rsidP="009A0722">
      <w:pPr>
        <w:ind w:left="567" w:right="616"/>
        <w:jc w:val="both"/>
        <w:rPr>
          <w:rFonts w:ascii="Palatino Linotype" w:hAnsi="Palatino Linotype" w:cs="Arial"/>
          <w:i/>
          <w:sz w:val="22"/>
        </w:rPr>
      </w:pPr>
    </w:p>
    <w:p w14:paraId="38CDD048" w14:textId="77777777" w:rsidR="009A0722" w:rsidRPr="00BE5EFE" w:rsidRDefault="009A0722" w:rsidP="009A0722">
      <w:pPr>
        <w:ind w:left="567" w:right="616"/>
        <w:jc w:val="both"/>
        <w:rPr>
          <w:rFonts w:ascii="Palatino Linotype" w:hAnsi="Palatino Linotype" w:cs="Arial"/>
          <w:i/>
          <w:sz w:val="22"/>
        </w:rPr>
      </w:pPr>
      <w:r w:rsidRPr="00BE5EFE">
        <w:rPr>
          <w:rFonts w:ascii="Palatino Linotype" w:hAnsi="Palatino Linotype" w:cs="Arial"/>
          <w:b/>
          <w:i/>
          <w:sz w:val="22"/>
        </w:rPr>
        <w:t>I.</w:t>
      </w:r>
      <w:r w:rsidRPr="00BE5EFE">
        <w:rPr>
          <w:rFonts w:ascii="Palatino Linotype" w:hAnsi="Palatino Linotype" w:cs="Arial"/>
          <w:i/>
          <w:sz w:val="22"/>
        </w:rPr>
        <w:t xml:space="preserve"> </w:t>
      </w:r>
      <w:r w:rsidRPr="00BE5EFE">
        <w:rPr>
          <w:rFonts w:ascii="Palatino Linotype" w:hAnsi="Palatino Linotype" w:cs="Arial"/>
          <w:i/>
          <w:sz w:val="22"/>
          <w:u w:val="single"/>
        </w:rPr>
        <w:t xml:space="preserve">Se refiera a la información privada y los datos personales concernientes a una persona física o </w:t>
      </w:r>
      <w:proofErr w:type="gramStart"/>
      <w:r w:rsidRPr="00BE5EFE">
        <w:rPr>
          <w:rFonts w:ascii="Palatino Linotype" w:hAnsi="Palatino Linotype" w:cs="Arial"/>
          <w:i/>
          <w:sz w:val="22"/>
          <w:u w:val="single"/>
        </w:rPr>
        <w:t>jurídico</w:t>
      </w:r>
      <w:proofErr w:type="gramEnd"/>
      <w:r w:rsidRPr="00BE5EFE">
        <w:rPr>
          <w:rFonts w:ascii="Palatino Linotype" w:hAnsi="Palatino Linotype" w:cs="Arial"/>
          <w:i/>
          <w:sz w:val="22"/>
          <w:u w:val="single"/>
        </w:rPr>
        <w:t xml:space="preserve"> colectiva identificada o identificable</w:t>
      </w:r>
      <w:r w:rsidRPr="00BE5EFE">
        <w:rPr>
          <w:rFonts w:ascii="Palatino Linotype" w:hAnsi="Palatino Linotype" w:cs="Arial"/>
          <w:i/>
          <w:sz w:val="22"/>
        </w:rPr>
        <w:t>;</w:t>
      </w:r>
    </w:p>
    <w:p w14:paraId="4ABC1AD2" w14:textId="77777777" w:rsidR="009A0722" w:rsidRPr="00BE5EFE" w:rsidRDefault="009A0722" w:rsidP="009A0722">
      <w:pPr>
        <w:ind w:left="567" w:right="616"/>
        <w:jc w:val="both"/>
        <w:rPr>
          <w:rFonts w:ascii="Palatino Linotype" w:hAnsi="Palatino Linotype" w:cs="Arial"/>
          <w:i/>
          <w:sz w:val="22"/>
          <w:u w:val="single"/>
        </w:rPr>
      </w:pPr>
      <w:r w:rsidRPr="00BE5EFE">
        <w:rPr>
          <w:rFonts w:ascii="Palatino Linotype" w:hAnsi="Palatino Linotype" w:cs="Arial"/>
          <w:b/>
          <w:i/>
          <w:sz w:val="22"/>
        </w:rPr>
        <w:t>II.</w:t>
      </w:r>
      <w:r w:rsidRPr="00BE5EFE">
        <w:rPr>
          <w:rFonts w:ascii="Palatino Linotype" w:hAnsi="Palatino Linotype" w:cs="Arial"/>
          <w:i/>
          <w:sz w:val="22"/>
        </w:rPr>
        <w:t xml:space="preserve"> </w:t>
      </w:r>
      <w:r w:rsidRPr="00BE5EFE">
        <w:rPr>
          <w:rFonts w:ascii="Palatino Linotype" w:hAnsi="Palatino Linotype" w:cs="Arial"/>
          <w:i/>
          <w:sz w:val="22"/>
          <w:u w:val="single"/>
        </w:rPr>
        <w:t>Los secretos bancario, fiduciario, industrial, comercial, fiscal, bursátil y postal, cuya titularidad corresponda a particulares, sujetos de derecho internacional o a sujetos obligados cuando no involucren el ejercicio de recursos públicos; y</w:t>
      </w:r>
    </w:p>
    <w:p w14:paraId="2D5DBAC3" w14:textId="77777777" w:rsidR="009A0722" w:rsidRPr="00BE5EFE" w:rsidRDefault="009A0722" w:rsidP="009A0722">
      <w:pPr>
        <w:ind w:left="567" w:right="616"/>
        <w:jc w:val="both"/>
        <w:rPr>
          <w:rFonts w:ascii="Palatino Linotype" w:hAnsi="Palatino Linotype" w:cs="Arial"/>
          <w:i/>
          <w:sz w:val="22"/>
        </w:rPr>
      </w:pPr>
      <w:r w:rsidRPr="00BE5EFE">
        <w:rPr>
          <w:rFonts w:ascii="Palatino Linotype" w:hAnsi="Palatino Linotype" w:cs="Arial"/>
          <w:b/>
          <w:i/>
          <w:sz w:val="22"/>
        </w:rPr>
        <w:t>III.</w:t>
      </w:r>
      <w:r w:rsidRPr="00BE5EFE">
        <w:rPr>
          <w:rFonts w:ascii="Palatino Linotype" w:hAnsi="Palatino Linotype" w:cs="Arial"/>
          <w:i/>
          <w:sz w:val="22"/>
        </w:rPr>
        <w:t xml:space="preserve"> La que presenten los particulares a los sujetos obligados, de conformidad con lo dispuesto por las leyes o los tratados internacionales.</w:t>
      </w:r>
    </w:p>
    <w:p w14:paraId="7FD2A7D3" w14:textId="77777777" w:rsidR="009A0722" w:rsidRPr="00BE5EFE" w:rsidRDefault="009A0722" w:rsidP="009A0722">
      <w:pPr>
        <w:ind w:left="567" w:right="616"/>
        <w:jc w:val="both"/>
        <w:rPr>
          <w:rFonts w:ascii="Palatino Linotype" w:hAnsi="Palatino Linotype" w:cs="Arial"/>
          <w:i/>
          <w:sz w:val="22"/>
        </w:rPr>
      </w:pPr>
      <w:r w:rsidRPr="00BE5EFE">
        <w:rPr>
          <w:rFonts w:ascii="Palatino Linotype" w:hAnsi="Palatino Linotype" w:cs="Arial"/>
          <w:i/>
          <w:sz w:val="22"/>
        </w:rPr>
        <w:t>La información confidencial no estará sujeta a temporalidad alguna y sólo podrán tener acceso a ella los titulares de la misma, sus representantes y los servidores públicos facultados para ello.</w:t>
      </w:r>
    </w:p>
    <w:p w14:paraId="4F7D3373" w14:textId="77777777" w:rsidR="009A0722" w:rsidRPr="00BE5EFE" w:rsidRDefault="009A0722" w:rsidP="009A0722">
      <w:pPr>
        <w:ind w:left="567" w:right="616"/>
        <w:jc w:val="both"/>
        <w:rPr>
          <w:rFonts w:ascii="Palatino Linotype" w:hAnsi="Palatino Linotype" w:cs="Arial"/>
          <w:i/>
          <w:sz w:val="22"/>
        </w:rPr>
      </w:pPr>
      <w:r w:rsidRPr="00BE5EFE">
        <w:rPr>
          <w:rFonts w:ascii="Palatino Linotype" w:hAnsi="Palatino Linotype" w:cs="Arial"/>
          <w:i/>
          <w:sz w:val="22"/>
        </w:rPr>
        <w:t>No se considerará confidencial la información que se encuentre en los registros públicos o en fuentes de acceso público, ni tampoco la que sea considerada por la presente ley como información pública. [Sic]</w:t>
      </w:r>
    </w:p>
    <w:p w14:paraId="112BAEE7" w14:textId="77777777" w:rsidR="009A0722" w:rsidRPr="00BE5EFE" w:rsidRDefault="009A0722" w:rsidP="009A0722">
      <w:pPr>
        <w:spacing w:line="360" w:lineRule="auto"/>
        <w:jc w:val="both"/>
        <w:rPr>
          <w:rFonts w:ascii="Palatino Linotype" w:hAnsi="Palatino Linotype"/>
        </w:rPr>
      </w:pPr>
    </w:p>
    <w:p w14:paraId="53E18B84" w14:textId="77777777" w:rsidR="009A0722" w:rsidRDefault="009A0722" w:rsidP="009A0722">
      <w:pPr>
        <w:spacing w:line="360" w:lineRule="auto"/>
        <w:jc w:val="both"/>
        <w:rPr>
          <w:rFonts w:ascii="Palatino Linotype" w:hAnsi="Palatino Linotype"/>
        </w:rPr>
      </w:pPr>
      <w:r w:rsidRPr="00BE5EFE">
        <w:rPr>
          <w:rFonts w:ascii="Palatino Linotype" w:hAnsi="Palatino Linotype"/>
        </w:rPr>
        <w:t xml:space="preserve">Igualmente, los </w:t>
      </w:r>
      <w:r w:rsidRPr="00BE5EFE">
        <w:rPr>
          <w:rFonts w:ascii="Palatino Linotype" w:hAnsi="Palatino Linotype"/>
          <w:i/>
        </w:rPr>
        <w:t>Lineamientos Generales en Materia de Clasificación y Desclasificación de la Información, así como para la elaboración de Versiones Públicas</w:t>
      </w:r>
      <w:r w:rsidRPr="00BE5EFE">
        <w:rPr>
          <w:rFonts w:ascii="Palatino Linotype" w:hAnsi="Palatino Linotype"/>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741BD394" w14:textId="77777777" w:rsidR="00662A6B" w:rsidRDefault="00662A6B" w:rsidP="009A0722">
      <w:pPr>
        <w:spacing w:line="360" w:lineRule="auto"/>
        <w:jc w:val="both"/>
        <w:rPr>
          <w:rFonts w:ascii="Palatino Linotype" w:hAnsi="Palatino Linotype"/>
        </w:rPr>
      </w:pPr>
    </w:p>
    <w:p w14:paraId="52978415" w14:textId="77777777" w:rsidR="00880014" w:rsidRDefault="00880014" w:rsidP="009A0722">
      <w:pPr>
        <w:spacing w:line="360" w:lineRule="auto"/>
        <w:jc w:val="both"/>
        <w:rPr>
          <w:rFonts w:ascii="Palatino Linotype" w:hAnsi="Palatino Linotype"/>
        </w:rPr>
      </w:pPr>
    </w:p>
    <w:p w14:paraId="3065154A" w14:textId="0B77FFB8" w:rsidR="00662A6B" w:rsidRPr="00662A6B" w:rsidRDefault="00662A6B" w:rsidP="00662A6B">
      <w:pPr>
        <w:numPr>
          <w:ilvl w:val="0"/>
          <w:numId w:val="37"/>
        </w:numPr>
        <w:spacing w:line="360" w:lineRule="auto"/>
        <w:contextualSpacing/>
        <w:jc w:val="both"/>
        <w:rPr>
          <w:rFonts w:ascii="Palatino Linotype" w:eastAsia="Palatino Linotype" w:hAnsi="Palatino Linotype" w:cs="Palatino Linotype"/>
          <w:b/>
          <w:lang w:val="es-MX"/>
        </w:rPr>
      </w:pPr>
      <w:r w:rsidRPr="00662A6B">
        <w:rPr>
          <w:rFonts w:ascii="Palatino Linotype" w:eastAsia="Palatino Linotype" w:hAnsi="Palatino Linotype" w:cs="Palatino Linotype"/>
          <w:b/>
          <w:lang w:val="es-MX"/>
        </w:rPr>
        <w:lastRenderedPageBreak/>
        <w:t>Clave Única de Registro de Población (CURP)</w:t>
      </w:r>
    </w:p>
    <w:p w14:paraId="30EE7C38" w14:textId="77777777" w:rsidR="00662A6B" w:rsidRPr="00662A6B" w:rsidRDefault="00662A6B" w:rsidP="00662A6B">
      <w:pPr>
        <w:spacing w:line="360" w:lineRule="auto"/>
        <w:ind w:right="-28"/>
        <w:contextualSpacing/>
        <w:jc w:val="both"/>
        <w:rPr>
          <w:rFonts w:ascii="Palatino Linotype" w:eastAsia="Palatino Linotype" w:hAnsi="Palatino Linotype" w:cs="Palatino Linotype"/>
          <w:lang w:val="es-MX"/>
        </w:rPr>
      </w:pPr>
      <w:r w:rsidRPr="00662A6B">
        <w:rPr>
          <w:rFonts w:ascii="Palatino Linotype" w:eastAsia="Palatino Linotype" w:hAnsi="Palatino Linotype" w:cs="Palatino Linotype"/>
          <w:lang w:val="es-MX"/>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48203CFF" w14:textId="77777777" w:rsidR="00662A6B" w:rsidRPr="00662A6B" w:rsidRDefault="00662A6B" w:rsidP="00662A6B">
      <w:pPr>
        <w:spacing w:line="360" w:lineRule="auto"/>
        <w:ind w:right="-28"/>
        <w:contextualSpacing/>
        <w:jc w:val="both"/>
        <w:rPr>
          <w:rFonts w:ascii="Palatino Linotype" w:eastAsia="Palatino Linotype" w:hAnsi="Palatino Linotype" w:cs="Palatino Linotype"/>
          <w:lang w:val="es-MX"/>
        </w:rPr>
      </w:pPr>
      <w:r w:rsidRPr="00662A6B">
        <w:rPr>
          <w:rFonts w:ascii="Palatino Linotype" w:eastAsia="Palatino Linotype" w:hAnsi="Palatino Linotype" w:cs="Palatino Linotype"/>
          <w:lang w:val="es-MX"/>
        </w:rPr>
        <w:t xml:space="preserve"> </w:t>
      </w:r>
    </w:p>
    <w:p w14:paraId="17D0D583" w14:textId="77777777" w:rsidR="00662A6B" w:rsidRPr="00662A6B" w:rsidRDefault="00662A6B" w:rsidP="00662A6B">
      <w:pPr>
        <w:spacing w:line="360" w:lineRule="auto"/>
        <w:ind w:right="-28"/>
        <w:contextualSpacing/>
        <w:jc w:val="both"/>
        <w:rPr>
          <w:rFonts w:ascii="Palatino Linotype" w:eastAsia="Palatino Linotype" w:hAnsi="Palatino Linotype" w:cs="Palatino Linotype"/>
          <w:lang w:val="es-MX"/>
        </w:rPr>
      </w:pPr>
      <w:r w:rsidRPr="00662A6B">
        <w:rPr>
          <w:rFonts w:ascii="Palatino Linotype" w:eastAsia="Palatino Linotype" w:hAnsi="Palatino Linotype" w:cs="Palatino Linotype"/>
          <w:lang w:val="es-MX"/>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419BB205" w14:textId="77777777" w:rsidR="00662A6B" w:rsidRPr="00662A6B" w:rsidRDefault="00662A6B" w:rsidP="00662A6B">
      <w:pPr>
        <w:spacing w:line="360" w:lineRule="auto"/>
        <w:ind w:right="-28"/>
        <w:contextualSpacing/>
        <w:jc w:val="both"/>
        <w:rPr>
          <w:rFonts w:ascii="Palatino Linotype" w:eastAsia="Palatino Linotype" w:hAnsi="Palatino Linotype" w:cs="Palatino Linotype"/>
          <w:lang w:val="es-MX"/>
        </w:rPr>
      </w:pPr>
      <w:r w:rsidRPr="00662A6B">
        <w:rPr>
          <w:rFonts w:ascii="Palatino Linotype" w:eastAsia="Palatino Linotype" w:hAnsi="Palatino Linotype" w:cs="Palatino Linotype"/>
          <w:lang w:val="es-MX"/>
        </w:rPr>
        <w:t xml:space="preserve"> </w:t>
      </w:r>
    </w:p>
    <w:p w14:paraId="0D0942D6" w14:textId="77777777" w:rsidR="00662A6B" w:rsidRPr="00662A6B" w:rsidRDefault="00662A6B" w:rsidP="00662A6B">
      <w:pPr>
        <w:spacing w:line="360" w:lineRule="auto"/>
        <w:ind w:right="-28"/>
        <w:contextualSpacing/>
        <w:jc w:val="both"/>
        <w:rPr>
          <w:rFonts w:ascii="Palatino Linotype" w:eastAsia="Palatino Linotype" w:hAnsi="Palatino Linotype" w:cs="Palatino Linotype"/>
          <w:lang w:val="es-MX"/>
        </w:rPr>
      </w:pPr>
      <w:r w:rsidRPr="00662A6B">
        <w:rPr>
          <w:rFonts w:ascii="Palatino Linotype" w:eastAsia="Palatino Linotype" w:hAnsi="Palatino Linotype" w:cs="Palatino Linotype"/>
          <w:lang w:val="es-MX"/>
        </w:rPr>
        <w:t xml:space="preserve">En ese orden de ideas, la Secretaría de Gobernación en las direcciones </w:t>
      </w:r>
      <w:hyperlink r:id="rId9" w:history="1">
        <w:r w:rsidRPr="00662A6B">
          <w:rPr>
            <w:rFonts w:ascii="Palatino Linotype" w:eastAsia="Palatino Linotype" w:hAnsi="Palatino Linotype" w:cs="Palatino Linotype"/>
            <w:color w:val="0563C1"/>
            <w:u w:val="single"/>
            <w:lang w:val="es-MX"/>
          </w:rPr>
          <w:t>https://consultas.curp.gob.mx/CurpSP/html/informacionecurpPS.html</w:t>
        </w:r>
      </w:hyperlink>
      <w:r w:rsidRPr="00662A6B">
        <w:rPr>
          <w:rFonts w:ascii="Palatino Linotype" w:eastAsia="Palatino Linotype" w:hAnsi="Palatino Linotype" w:cs="Palatino Linotype"/>
          <w:lang w:val="es-MX"/>
        </w:rPr>
        <w:t xml:space="preserve">  y </w:t>
      </w:r>
      <w:hyperlink r:id="rId10" w:history="1">
        <w:r w:rsidRPr="00662A6B">
          <w:rPr>
            <w:rFonts w:ascii="Palatino Linotype" w:eastAsia="Palatino Linotype" w:hAnsi="Palatino Linotype" w:cs="Palatino Linotype"/>
            <w:color w:val="0563C1"/>
            <w:u w:val="single"/>
            <w:lang w:val="es-MX"/>
          </w:rPr>
          <w:t>https://www.gob.mx/segob/renapo/acciones-y-programas/clave-unica-de-registro-depoblacion-curp-142226</w:t>
        </w:r>
      </w:hyperlink>
      <w:r w:rsidRPr="00662A6B">
        <w:rPr>
          <w:rFonts w:ascii="Palatino Linotype" w:eastAsia="Palatino Linotype" w:hAnsi="Palatino Linotype" w:cs="Palatino Linotype"/>
          <w:lang w:val="es-MX"/>
        </w:rPr>
        <w:t xml:space="preserve">  (consultadas el veinticinco de febrero de dos mil veinticinco),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se </w:t>
      </w:r>
      <w:r w:rsidRPr="00662A6B">
        <w:rPr>
          <w:rFonts w:ascii="Palatino Linotype" w:eastAsia="Palatino Linotype" w:hAnsi="Palatino Linotype" w:cs="Palatino Linotype"/>
          <w:b/>
          <w:lang w:val="es-MX"/>
        </w:rPr>
        <w:t xml:space="preserve">generan a partir de los datos contenidos en el documento probatorio de la identidad del interesado </w:t>
      </w:r>
      <w:r w:rsidRPr="00662A6B">
        <w:rPr>
          <w:rFonts w:ascii="Palatino Linotype" w:eastAsia="Palatino Linotype" w:hAnsi="Palatino Linotype" w:cs="Palatino Linotype"/>
          <w:lang w:val="es-MX"/>
        </w:rPr>
        <w:t>(acta de nacimiento, carta de naturalización o documento migratorio) de la siguiente forma:</w:t>
      </w:r>
    </w:p>
    <w:p w14:paraId="3755B720" w14:textId="77777777" w:rsidR="00662A6B" w:rsidRPr="00662A6B" w:rsidRDefault="00662A6B" w:rsidP="00662A6B">
      <w:pPr>
        <w:spacing w:line="360" w:lineRule="auto"/>
        <w:ind w:right="-28"/>
        <w:contextualSpacing/>
        <w:jc w:val="both"/>
        <w:rPr>
          <w:rFonts w:ascii="Palatino Linotype" w:eastAsia="Palatino Linotype" w:hAnsi="Palatino Linotype" w:cs="Palatino Linotype"/>
          <w:lang w:val="es-MX"/>
        </w:rPr>
      </w:pPr>
      <w:r w:rsidRPr="00662A6B">
        <w:rPr>
          <w:rFonts w:ascii="Palatino Linotype" w:eastAsia="Palatino Linotype" w:hAnsi="Palatino Linotype" w:cs="Palatino Linotype"/>
          <w:lang w:val="es-MX"/>
        </w:rPr>
        <w:t xml:space="preserve"> </w:t>
      </w:r>
    </w:p>
    <w:p w14:paraId="6E5F26FB" w14:textId="77777777" w:rsidR="00662A6B" w:rsidRPr="00662A6B" w:rsidRDefault="00662A6B" w:rsidP="00662A6B">
      <w:pPr>
        <w:numPr>
          <w:ilvl w:val="0"/>
          <w:numId w:val="36"/>
        </w:numPr>
        <w:spacing w:line="360" w:lineRule="auto"/>
        <w:ind w:right="-28"/>
        <w:contextualSpacing/>
        <w:jc w:val="both"/>
        <w:rPr>
          <w:rFonts w:ascii="Palatino Linotype" w:eastAsia="Palatino Linotype" w:hAnsi="Palatino Linotype" w:cs="Palatino Linotype"/>
          <w:lang w:val="es-MX"/>
        </w:rPr>
      </w:pPr>
      <w:r w:rsidRPr="00662A6B">
        <w:rPr>
          <w:rFonts w:ascii="Palatino Linotype" w:eastAsia="Palatino Linotype" w:hAnsi="Palatino Linotype" w:cs="Palatino Linotype"/>
          <w:lang w:val="es-MX"/>
        </w:rPr>
        <w:t xml:space="preserve">El primero y segundo apellidos, así como al nombre de pila; </w:t>
      </w:r>
    </w:p>
    <w:p w14:paraId="53675BA6" w14:textId="77777777" w:rsidR="00662A6B" w:rsidRPr="00662A6B" w:rsidRDefault="00662A6B" w:rsidP="00662A6B">
      <w:pPr>
        <w:numPr>
          <w:ilvl w:val="0"/>
          <w:numId w:val="36"/>
        </w:numPr>
        <w:spacing w:line="360" w:lineRule="auto"/>
        <w:ind w:right="-28"/>
        <w:contextualSpacing/>
        <w:jc w:val="both"/>
        <w:rPr>
          <w:rFonts w:ascii="Palatino Linotype" w:eastAsia="Palatino Linotype" w:hAnsi="Palatino Linotype" w:cs="Palatino Linotype"/>
          <w:lang w:val="es-MX"/>
        </w:rPr>
      </w:pPr>
      <w:r w:rsidRPr="00662A6B">
        <w:rPr>
          <w:rFonts w:ascii="Palatino Linotype" w:eastAsia="Palatino Linotype" w:hAnsi="Palatino Linotype" w:cs="Palatino Linotype"/>
          <w:lang w:val="es-MX"/>
        </w:rPr>
        <w:lastRenderedPageBreak/>
        <w:t xml:space="preserve">La fecha de nacimiento; </w:t>
      </w:r>
    </w:p>
    <w:p w14:paraId="3F33E1DF" w14:textId="77777777" w:rsidR="00662A6B" w:rsidRPr="00662A6B" w:rsidRDefault="00662A6B" w:rsidP="00662A6B">
      <w:pPr>
        <w:numPr>
          <w:ilvl w:val="0"/>
          <w:numId w:val="36"/>
        </w:numPr>
        <w:spacing w:line="360" w:lineRule="auto"/>
        <w:ind w:right="-28"/>
        <w:contextualSpacing/>
        <w:jc w:val="both"/>
        <w:rPr>
          <w:rFonts w:ascii="Palatino Linotype" w:eastAsia="Palatino Linotype" w:hAnsi="Palatino Linotype" w:cs="Palatino Linotype"/>
          <w:lang w:val="es-MX"/>
        </w:rPr>
      </w:pPr>
      <w:r w:rsidRPr="00662A6B">
        <w:rPr>
          <w:rFonts w:ascii="Palatino Linotype" w:eastAsia="Palatino Linotype" w:hAnsi="Palatino Linotype" w:cs="Palatino Linotype"/>
          <w:lang w:val="es-MX"/>
        </w:rPr>
        <w:t xml:space="preserve">El sexo, y </w:t>
      </w:r>
    </w:p>
    <w:p w14:paraId="446CF770" w14:textId="77777777" w:rsidR="00662A6B" w:rsidRPr="00662A6B" w:rsidRDefault="00662A6B" w:rsidP="00662A6B">
      <w:pPr>
        <w:numPr>
          <w:ilvl w:val="0"/>
          <w:numId w:val="36"/>
        </w:numPr>
        <w:spacing w:line="360" w:lineRule="auto"/>
        <w:ind w:right="-28"/>
        <w:contextualSpacing/>
        <w:jc w:val="both"/>
        <w:rPr>
          <w:rFonts w:ascii="Palatino Linotype" w:eastAsia="Palatino Linotype" w:hAnsi="Palatino Linotype" w:cs="Palatino Linotype"/>
          <w:lang w:val="es-MX"/>
        </w:rPr>
      </w:pPr>
      <w:r w:rsidRPr="00662A6B">
        <w:rPr>
          <w:rFonts w:ascii="Palatino Linotype" w:eastAsia="Palatino Linotype" w:hAnsi="Palatino Linotype" w:cs="Palatino Linotype"/>
          <w:lang w:val="es-MX"/>
        </w:rPr>
        <w:t>La entidad federativa de nacimiento.</w:t>
      </w:r>
    </w:p>
    <w:p w14:paraId="235D4BD8" w14:textId="77777777" w:rsidR="00662A6B" w:rsidRPr="00662A6B" w:rsidRDefault="00662A6B" w:rsidP="00662A6B">
      <w:pPr>
        <w:spacing w:line="360" w:lineRule="auto"/>
        <w:ind w:right="-28"/>
        <w:contextualSpacing/>
        <w:jc w:val="both"/>
        <w:rPr>
          <w:rFonts w:ascii="Palatino Linotype" w:eastAsia="Palatino Linotype" w:hAnsi="Palatino Linotype" w:cs="Palatino Linotype"/>
          <w:lang w:val="es-MX"/>
        </w:rPr>
      </w:pPr>
      <w:r w:rsidRPr="00662A6B">
        <w:rPr>
          <w:rFonts w:ascii="Palatino Linotype" w:eastAsia="Palatino Linotype" w:hAnsi="Palatino Linotype" w:cs="Palatino Linotype"/>
          <w:lang w:val="es-MX"/>
        </w:rPr>
        <w:t xml:space="preserve"> </w:t>
      </w:r>
    </w:p>
    <w:p w14:paraId="4D33743C" w14:textId="77777777" w:rsidR="00662A6B" w:rsidRDefault="00662A6B" w:rsidP="00662A6B">
      <w:pPr>
        <w:spacing w:line="360" w:lineRule="auto"/>
        <w:ind w:right="-28"/>
        <w:contextualSpacing/>
        <w:jc w:val="both"/>
        <w:rPr>
          <w:rFonts w:ascii="Palatino Linotype" w:eastAsia="Palatino Linotype" w:hAnsi="Palatino Linotype" w:cs="Palatino Linotype"/>
          <w:lang w:val="es-MX"/>
        </w:rPr>
      </w:pPr>
      <w:r w:rsidRPr="00662A6B">
        <w:rPr>
          <w:rFonts w:ascii="Palatino Linotype" w:eastAsia="Palatino Linotype" w:hAnsi="Palatino Linotype" w:cs="Palatino Linotype"/>
          <w:lang w:val="es-MX"/>
        </w:rPr>
        <w:t>Los dos últimos elementos de la Clave Única de Registro de Población evitan la duplicidad de la Clave y garantizan su correcta integración.</w:t>
      </w:r>
    </w:p>
    <w:p w14:paraId="4DC3B303" w14:textId="77777777" w:rsidR="00662A6B" w:rsidRPr="00662A6B" w:rsidRDefault="00662A6B" w:rsidP="00662A6B">
      <w:pPr>
        <w:spacing w:line="360" w:lineRule="auto"/>
        <w:ind w:right="-28"/>
        <w:contextualSpacing/>
        <w:jc w:val="both"/>
        <w:rPr>
          <w:rFonts w:ascii="Palatino Linotype" w:eastAsia="Palatino Linotype" w:hAnsi="Palatino Linotype" w:cs="Palatino Linotype"/>
          <w:lang w:val="es-MX"/>
        </w:rPr>
      </w:pPr>
    </w:p>
    <w:p w14:paraId="49FF08AC" w14:textId="77777777" w:rsidR="00662A6B" w:rsidRPr="00662A6B" w:rsidRDefault="00662A6B" w:rsidP="00662A6B">
      <w:pPr>
        <w:spacing w:line="360" w:lineRule="auto"/>
        <w:ind w:right="-28"/>
        <w:contextualSpacing/>
        <w:jc w:val="both"/>
        <w:rPr>
          <w:rFonts w:ascii="Palatino Linotype" w:eastAsia="Palatino Linotype" w:hAnsi="Palatino Linotype" w:cs="Palatino Linotype"/>
          <w:lang w:val="es-MX"/>
        </w:rPr>
      </w:pPr>
      <w:r w:rsidRPr="00662A6B">
        <w:rPr>
          <w:rFonts w:ascii="Palatino Linotype" w:eastAsia="Palatino Linotype" w:hAnsi="Palatino Linotype" w:cs="Palatino Linotype"/>
          <w:lang w:val="es-MX"/>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57FC9762" w14:textId="77777777" w:rsidR="00662A6B" w:rsidRPr="00662A6B" w:rsidRDefault="00662A6B" w:rsidP="00662A6B">
      <w:pPr>
        <w:spacing w:line="360" w:lineRule="auto"/>
        <w:ind w:right="-28"/>
        <w:contextualSpacing/>
        <w:jc w:val="both"/>
        <w:rPr>
          <w:rFonts w:ascii="Palatino Linotype" w:eastAsia="Palatino Linotype" w:hAnsi="Palatino Linotype" w:cs="Palatino Linotype"/>
          <w:lang w:val="es-MX"/>
        </w:rPr>
      </w:pPr>
      <w:r w:rsidRPr="00662A6B">
        <w:rPr>
          <w:rFonts w:ascii="Palatino Linotype" w:eastAsia="Palatino Linotype" w:hAnsi="Palatino Linotype" w:cs="Palatino Linotype"/>
          <w:lang w:val="es-MX"/>
        </w:rPr>
        <w:t xml:space="preserve"> </w:t>
      </w:r>
    </w:p>
    <w:p w14:paraId="10486FD5" w14:textId="77777777" w:rsidR="00662A6B" w:rsidRPr="00662A6B" w:rsidRDefault="00662A6B" w:rsidP="00662A6B">
      <w:pPr>
        <w:spacing w:line="360" w:lineRule="auto"/>
        <w:ind w:right="-28"/>
        <w:contextualSpacing/>
        <w:jc w:val="both"/>
        <w:rPr>
          <w:rFonts w:ascii="Palatino Linotype" w:eastAsia="Palatino Linotype" w:hAnsi="Palatino Linotype" w:cs="Palatino Linotype"/>
          <w:lang w:val="es-MX"/>
        </w:rPr>
      </w:pPr>
      <w:r w:rsidRPr="00662A6B">
        <w:rPr>
          <w:rFonts w:ascii="Palatino Linotype" w:eastAsia="Palatino Linotype" w:hAnsi="Palatino Linotype" w:cs="Palatino Linotype"/>
          <w:lang w:val="es-MX"/>
        </w:rPr>
        <w:t>Situación que se robustece, con el Criterio de Interpretación, de la Segunda Época, con número de registro SO/018/2017, emitido por el Instituto Nacional de Transparencia, Acceso a la Información y Protección de Datos Personales, que establece lo siguiente:</w:t>
      </w:r>
    </w:p>
    <w:p w14:paraId="45F70111" w14:textId="77777777" w:rsidR="00662A6B" w:rsidRPr="00662A6B" w:rsidRDefault="00662A6B" w:rsidP="00662A6B">
      <w:pPr>
        <w:spacing w:line="360" w:lineRule="auto"/>
        <w:ind w:right="-28"/>
        <w:contextualSpacing/>
        <w:jc w:val="both"/>
        <w:rPr>
          <w:rFonts w:ascii="Palatino Linotype" w:eastAsia="Palatino Linotype" w:hAnsi="Palatino Linotype" w:cs="Palatino Linotype"/>
          <w:sz w:val="22"/>
          <w:szCs w:val="22"/>
          <w:lang w:val="es-MX"/>
        </w:rPr>
      </w:pPr>
      <w:r w:rsidRPr="00662A6B">
        <w:rPr>
          <w:rFonts w:ascii="Palatino Linotype" w:eastAsia="Palatino Linotype" w:hAnsi="Palatino Linotype" w:cs="Palatino Linotype"/>
          <w:sz w:val="22"/>
          <w:szCs w:val="22"/>
          <w:lang w:val="es-MX"/>
        </w:rPr>
        <w:t xml:space="preserve"> </w:t>
      </w:r>
    </w:p>
    <w:p w14:paraId="2FF0B5FB" w14:textId="77777777" w:rsidR="00662A6B" w:rsidRPr="00662A6B" w:rsidRDefault="00662A6B" w:rsidP="00662A6B">
      <w:pPr>
        <w:ind w:left="567" w:right="567"/>
        <w:contextualSpacing/>
        <w:jc w:val="both"/>
        <w:rPr>
          <w:rFonts w:ascii="Palatino Linotype" w:eastAsia="Palatino Linotype" w:hAnsi="Palatino Linotype" w:cs="Palatino Linotype"/>
          <w:i/>
          <w:iCs/>
          <w:sz w:val="22"/>
          <w:szCs w:val="22"/>
          <w:lang w:val="es-MX"/>
        </w:rPr>
      </w:pPr>
      <w:r w:rsidRPr="00662A6B">
        <w:rPr>
          <w:rFonts w:ascii="Palatino Linotype" w:eastAsia="Palatino Linotype" w:hAnsi="Palatino Linotype" w:cs="Palatino Linotype"/>
          <w:b/>
          <w:i/>
          <w:iCs/>
          <w:sz w:val="22"/>
          <w:szCs w:val="22"/>
          <w:lang w:val="es-MX"/>
        </w:rPr>
        <w:t>“Clave Única de Registro de Población (CURP).</w:t>
      </w:r>
      <w:r w:rsidRPr="00662A6B">
        <w:rPr>
          <w:rFonts w:ascii="Palatino Linotype" w:eastAsia="Palatino Linotype" w:hAnsi="Palatino Linotype" w:cs="Palatino Linotype"/>
          <w:i/>
          <w:iCs/>
          <w:sz w:val="22"/>
          <w:szCs w:val="22"/>
          <w:lang w:val="es-MX"/>
        </w:rPr>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408218A1" w14:textId="77777777" w:rsidR="00662A6B" w:rsidRPr="00662A6B" w:rsidRDefault="00662A6B" w:rsidP="00662A6B">
      <w:pPr>
        <w:spacing w:line="360" w:lineRule="auto"/>
        <w:ind w:right="-28"/>
        <w:contextualSpacing/>
        <w:jc w:val="both"/>
        <w:rPr>
          <w:rFonts w:ascii="Palatino Linotype" w:eastAsia="Palatino Linotype" w:hAnsi="Palatino Linotype" w:cs="Palatino Linotype"/>
          <w:sz w:val="22"/>
          <w:szCs w:val="22"/>
          <w:lang w:val="es-MX"/>
        </w:rPr>
      </w:pPr>
      <w:r w:rsidRPr="00662A6B">
        <w:rPr>
          <w:rFonts w:ascii="Palatino Linotype" w:eastAsia="Palatino Linotype" w:hAnsi="Palatino Linotype" w:cs="Palatino Linotype"/>
          <w:sz w:val="22"/>
          <w:szCs w:val="22"/>
          <w:lang w:val="es-MX"/>
        </w:rPr>
        <w:t xml:space="preserve"> </w:t>
      </w:r>
    </w:p>
    <w:p w14:paraId="59F7A60A" w14:textId="77777777" w:rsidR="00662A6B" w:rsidRPr="00662A6B" w:rsidRDefault="00662A6B" w:rsidP="00662A6B">
      <w:pPr>
        <w:spacing w:line="360" w:lineRule="auto"/>
        <w:ind w:right="-28"/>
        <w:contextualSpacing/>
        <w:jc w:val="both"/>
        <w:rPr>
          <w:rFonts w:ascii="Palatino Linotype" w:eastAsia="Palatino Linotype" w:hAnsi="Palatino Linotype" w:cs="Palatino Linotype"/>
          <w:lang w:val="es-MX"/>
        </w:rPr>
      </w:pPr>
      <w:r w:rsidRPr="00662A6B">
        <w:rPr>
          <w:rFonts w:ascii="Palatino Linotype" w:eastAsia="Palatino Linotype" w:hAnsi="Palatino Linotype" w:cs="Palatino Linotype"/>
          <w:lang w:val="es-MX"/>
        </w:rPr>
        <w:t xml:space="preserve">De acuerdo con lo anterior, resulta procedente la clasificación de la Clave Única de Registro de Población, por tratarse de un dato personal confidencial, en términos del </w:t>
      </w:r>
      <w:r w:rsidRPr="00662A6B">
        <w:rPr>
          <w:rFonts w:ascii="Palatino Linotype" w:eastAsia="Palatino Linotype" w:hAnsi="Palatino Linotype" w:cs="Palatino Linotype"/>
          <w:lang w:val="es-MX"/>
        </w:rPr>
        <w:lastRenderedPageBreak/>
        <w:t>artículo 143, fracción I, de la Ley de Transparencia y Acceso a la Información Pública del Estado de México y Municipios.</w:t>
      </w:r>
    </w:p>
    <w:p w14:paraId="0CA9A766" w14:textId="77777777" w:rsidR="00662A6B" w:rsidRPr="00662A6B" w:rsidRDefault="00662A6B" w:rsidP="00662A6B">
      <w:pPr>
        <w:spacing w:line="360" w:lineRule="auto"/>
        <w:ind w:right="-28"/>
        <w:contextualSpacing/>
        <w:jc w:val="both"/>
        <w:rPr>
          <w:rFonts w:ascii="Palatino Linotype" w:eastAsia="Palatino Linotype" w:hAnsi="Palatino Linotype" w:cs="Palatino Linotype"/>
          <w:lang w:val="es-MX"/>
        </w:rPr>
      </w:pPr>
    </w:p>
    <w:p w14:paraId="69ADF5FC" w14:textId="194D6E05" w:rsidR="00662A6B" w:rsidRPr="00662A6B" w:rsidRDefault="00662A6B" w:rsidP="00662A6B">
      <w:pPr>
        <w:numPr>
          <w:ilvl w:val="0"/>
          <w:numId w:val="37"/>
        </w:numPr>
        <w:spacing w:line="360" w:lineRule="auto"/>
        <w:contextualSpacing/>
        <w:jc w:val="both"/>
        <w:rPr>
          <w:rFonts w:ascii="Palatino Linotype" w:eastAsia="Palatino Linotype" w:hAnsi="Palatino Linotype" w:cs="Palatino Linotype"/>
          <w:b/>
          <w:lang w:val="es-MX"/>
        </w:rPr>
      </w:pPr>
      <w:r w:rsidRPr="00662A6B">
        <w:rPr>
          <w:rFonts w:ascii="Palatino Linotype" w:eastAsia="Palatino Linotype" w:hAnsi="Palatino Linotype" w:cs="Palatino Linotype"/>
          <w:b/>
          <w:lang w:val="es-MX"/>
        </w:rPr>
        <w:t>Registro Federal de Contribuyentes (RFC)</w:t>
      </w:r>
    </w:p>
    <w:p w14:paraId="51C2B8C3" w14:textId="77777777" w:rsidR="00662A6B" w:rsidRPr="00662A6B" w:rsidRDefault="00662A6B" w:rsidP="00662A6B">
      <w:pPr>
        <w:spacing w:line="360" w:lineRule="auto"/>
        <w:ind w:right="-28"/>
        <w:contextualSpacing/>
        <w:jc w:val="both"/>
        <w:rPr>
          <w:rFonts w:ascii="Palatino Linotype" w:eastAsia="Palatino Linotype" w:hAnsi="Palatino Linotype" w:cs="Palatino Linotype"/>
          <w:lang w:val="es-MX"/>
        </w:rPr>
      </w:pPr>
      <w:r w:rsidRPr="00662A6B">
        <w:rPr>
          <w:rFonts w:ascii="Palatino Linotype" w:eastAsia="Palatino Linotype" w:hAnsi="Palatino Linotype" w:cs="Palatino Linotype"/>
          <w:lang w:val="es-MX"/>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3636E01D" w14:textId="77777777" w:rsidR="00662A6B" w:rsidRPr="00662A6B" w:rsidRDefault="00662A6B" w:rsidP="00662A6B">
      <w:pPr>
        <w:spacing w:line="360" w:lineRule="auto"/>
        <w:ind w:right="-28"/>
        <w:contextualSpacing/>
        <w:jc w:val="both"/>
        <w:rPr>
          <w:rFonts w:ascii="Palatino Linotype" w:eastAsia="Palatino Linotype" w:hAnsi="Palatino Linotype" w:cs="Palatino Linotype"/>
          <w:lang w:val="es-MX"/>
        </w:rPr>
      </w:pPr>
      <w:r w:rsidRPr="00662A6B">
        <w:rPr>
          <w:rFonts w:ascii="Palatino Linotype" w:eastAsia="Palatino Linotype" w:hAnsi="Palatino Linotype" w:cs="Palatino Linotype"/>
          <w:lang w:val="es-MX"/>
        </w:rPr>
        <w:t xml:space="preserve"> </w:t>
      </w:r>
    </w:p>
    <w:p w14:paraId="7240991D" w14:textId="77777777" w:rsidR="00662A6B" w:rsidRPr="00662A6B" w:rsidRDefault="00662A6B" w:rsidP="00662A6B">
      <w:pPr>
        <w:spacing w:line="360" w:lineRule="auto"/>
        <w:ind w:right="-28"/>
        <w:contextualSpacing/>
        <w:jc w:val="both"/>
        <w:rPr>
          <w:rFonts w:ascii="Palatino Linotype" w:eastAsia="Palatino Linotype" w:hAnsi="Palatino Linotype" w:cs="Palatino Linotype"/>
          <w:lang w:val="es-MX"/>
        </w:rPr>
      </w:pPr>
      <w:r w:rsidRPr="00662A6B">
        <w:rPr>
          <w:rFonts w:ascii="Palatino Linotype" w:eastAsia="Palatino Linotype" w:hAnsi="Palatino Linotype" w:cs="Palatino Linotype"/>
          <w:lang w:val="es-MX"/>
        </w:rPr>
        <w:t xml:space="preserve">De acuerdo a lo establecido en el artículo en comento, esta clave se compone de trece caracteres alfanuméricos, con datos obtenidos de los apellidos, nombre(s), fecha de nacimiento del titular, más una </w:t>
      </w:r>
      <w:proofErr w:type="spellStart"/>
      <w:r w:rsidRPr="00662A6B">
        <w:rPr>
          <w:rFonts w:ascii="Palatino Linotype" w:eastAsia="Palatino Linotype" w:hAnsi="Palatino Linotype" w:cs="Palatino Linotype"/>
          <w:lang w:val="es-MX"/>
        </w:rPr>
        <w:t>homoclave</w:t>
      </w:r>
      <w:proofErr w:type="spellEnd"/>
      <w:r w:rsidRPr="00662A6B">
        <w:rPr>
          <w:rFonts w:ascii="Palatino Linotype" w:eastAsia="Palatino Linotype" w:hAnsi="Palatino Linotype" w:cs="Palatino Linotype"/>
          <w:lang w:val="es-MX"/>
        </w:rPr>
        <w:t xml:space="preserve"> que establece el sistema automático del Servicio de Administración Tributaria.</w:t>
      </w:r>
    </w:p>
    <w:p w14:paraId="333EF2E9" w14:textId="77777777" w:rsidR="00662A6B" w:rsidRPr="00662A6B" w:rsidRDefault="00662A6B" w:rsidP="00662A6B">
      <w:pPr>
        <w:spacing w:line="360" w:lineRule="auto"/>
        <w:ind w:right="-28"/>
        <w:contextualSpacing/>
        <w:jc w:val="both"/>
        <w:rPr>
          <w:rFonts w:ascii="Palatino Linotype" w:eastAsia="Palatino Linotype" w:hAnsi="Palatino Linotype" w:cs="Palatino Linotype"/>
          <w:lang w:val="es-MX"/>
        </w:rPr>
      </w:pPr>
      <w:r w:rsidRPr="00662A6B">
        <w:rPr>
          <w:rFonts w:ascii="Palatino Linotype" w:eastAsia="Palatino Linotype" w:hAnsi="Palatino Linotype" w:cs="Palatino Linotype"/>
          <w:lang w:val="es-MX"/>
        </w:rPr>
        <w:t xml:space="preserve"> </w:t>
      </w:r>
    </w:p>
    <w:p w14:paraId="10F99469" w14:textId="77777777" w:rsidR="00662A6B" w:rsidRPr="00662A6B" w:rsidRDefault="00662A6B" w:rsidP="00662A6B">
      <w:pPr>
        <w:spacing w:line="360" w:lineRule="auto"/>
        <w:ind w:right="-28"/>
        <w:contextualSpacing/>
        <w:jc w:val="both"/>
        <w:rPr>
          <w:rFonts w:ascii="Palatino Linotype" w:eastAsia="Palatino Linotype" w:hAnsi="Palatino Linotype" w:cs="Palatino Linotype"/>
          <w:lang w:val="es-MX"/>
        </w:rPr>
      </w:pPr>
      <w:r w:rsidRPr="00662A6B">
        <w:rPr>
          <w:rFonts w:ascii="Palatino Linotype" w:eastAsia="Palatino Linotype" w:hAnsi="Palatino Linotype" w:cs="Palatino Linotype"/>
          <w:lang w:val="es-MX"/>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51BF49B9" w14:textId="77777777" w:rsidR="00662A6B" w:rsidRPr="00662A6B" w:rsidRDefault="00662A6B" w:rsidP="00662A6B">
      <w:pPr>
        <w:spacing w:line="360" w:lineRule="auto"/>
        <w:ind w:right="-28"/>
        <w:contextualSpacing/>
        <w:jc w:val="both"/>
        <w:rPr>
          <w:rFonts w:ascii="Palatino Linotype" w:eastAsia="Palatino Linotype" w:hAnsi="Palatino Linotype" w:cs="Palatino Linotype"/>
          <w:lang w:val="es-MX"/>
        </w:rPr>
      </w:pPr>
      <w:r w:rsidRPr="00662A6B">
        <w:rPr>
          <w:rFonts w:ascii="Palatino Linotype" w:eastAsia="Palatino Linotype" w:hAnsi="Palatino Linotype" w:cs="Palatino Linotype"/>
          <w:lang w:val="es-MX"/>
        </w:rPr>
        <w:t xml:space="preserve"> </w:t>
      </w:r>
    </w:p>
    <w:p w14:paraId="327C2649" w14:textId="77777777" w:rsidR="00662A6B" w:rsidRPr="00662A6B" w:rsidRDefault="00662A6B" w:rsidP="00662A6B">
      <w:pPr>
        <w:spacing w:line="360" w:lineRule="auto"/>
        <w:ind w:right="-28"/>
        <w:contextualSpacing/>
        <w:jc w:val="both"/>
        <w:rPr>
          <w:rFonts w:ascii="Palatino Linotype" w:eastAsia="Palatino Linotype" w:hAnsi="Palatino Linotype" w:cs="Palatino Linotype"/>
          <w:lang w:val="es-MX"/>
        </w:rPr>
      </w:pPr>
      <w:r w:rsidRPr="00662A6B">
        <w:rPr>
          <w:rFonts w:ascii="Palatino Linotype" w:eastAsia="Palatino Linotype" w:hAnsi="Palatino Linotype" w:cs="Palatino Linotype"/>
          <w:lang w:val="es-MX"/>
        </w:rPr>
        <w:lastRenderedPageBreak/>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5FD57D75" w14:textId="77777777" w:rsidR="00662A6B" w:rsidRPr="00662A6B" w:rsidRDefault="00662A6B" w:rsidP="00662A6B">
      <w:pPr>
        <w:spacing w:line="360" w:lineRule="auto"/>
        <w:ind w:right="-28"/>
        <w:contextualSpacing/>
        <w:jc w:val="both"/>
        <w:rPr>
          <w:rFonts w:ascii="Palatino Linotype" w:eastAsia="Palatino Linotype" w:hAnsi="Palatino Linotype" w:cs="Palatino Linotype"/>
          <w:lang w:val="es-MX"/>
        </w:rPr>
      </w:pPr>
    </w:p>
    <w:p w14:paraId="1C3AE186" w14:textId="77777777" w:rsidR="00662A6B" w:rsidRPr="00662A6B" w:rsidRDefault="00662A6B" w:rsidP="00662A6B">
      <w:pPr>
        <w:spacing w:line="360" w:lineRule="auto"/>
        <w:ind w:right="-28"/>
        <w:contextualSpacing/>
        <w:jc w:val="both"/>
        <w:rPr>
          <w:rFonts w:ascii="Palatino Linotype" w:eastAsia="Palatino Linotype" w:hAnsi="Palatino Linotype" w:cs="Palatino Linotype"/>
          <w:lang w:val="es-MX"/>
        </w:rPr>
      </w:pPr>
      <w:r w:rsidRPr="00662A6B">
        <w:rPr>
          <w:rFonts w:ascii="Palatino Linotype" w:eastAsia="Palatino Linotype" w:hAnsi="Palatino Linotype" w:cs="Palatino Linotype"/>
          <w:lang w:val="es-MX"/>
        </w:rPr>
        <w:t>Lo anterior, resulta congruente con el Criterio de Interpretación, de la Segunda Época, con número de registro SO/019/2017, emitido por el Instituto Nacional de Transparencia, Acceso a la Información y Protección de Datos Personales, en el cual se señala lo siguiente:</w:t>
      </w:r>
    </w:p>
    <w:p w14:paraId="19EA9A5D" w14:textId="77777777" w:rsidR="00662A6B" w:rsidRPr="00662A6B" w:rsidRDefault="00662A6B" w:rsidP="00662A6B">
      <w:pPr>
        <w:spacing w:line="360" w:lineRule="auto"/>
        <w:ind w:right="-28"/>
        <w:contextualSpacing/>
        <w:jc w:val="both"/>
        <w:rPr>
          <w:rFonts w:ascii="Palatino Linotype" w:eastAsia="Palatino Linotype" w:hAnsi="Palatino Linotype" w:cs="Palatino Linotype"/>
          <w:sz w:val="22"/>
          <w:szCs w:val="22"/>
          <w:lang w:val="es-MX"/>
        </w:rPr>
      </w:pPr>
      <w:r w:rsidRPr="00662A6B">
        <w:rPr>
          <w:rFonts w:ascii="Palatino Linotype" w:eastAsia="Palatino Linotype" w:hAnsi="Palatino Linotype" w:cs="Palatino Linotype"/>
          <w:sz w:val="22"/>
          <w:szCs w:val="22"/>
          <w:lang w:val="es-MX"/>
        </w:rPr>
        <w:t xml:space="preserve"> </w:t>
      </w:r>
    </w:p>
    <w:p w14:paraId="58309C9A" w14:textId="77777777" w:rsidR="00662A6B" w:rsidRPr="00662A6B" w:rsidRDefault="00662A6B" w:rsidP="00662A6B">
      <w:pPr>
        <w:ind w:left="567" w:right="567"/>
        <w:contextualSpacing/>
        <w:jc w:val="both"/>
        <w:rPr>
          <w:rFonts w:ascii="Palatino Linotype" w:eastAsia="Palatino Linotype" w:hAnsi="Palatino Linotype" w:cs="Palatino Linotype"/>
          <w:i/>
          <w:sz w:val="22"/>
          <w:szCs w:val="22"/>
          <w:lang w:val="es-MX"/>
        </w:rPr>
      </w:pPr>
      <w:r w:rsidRPr="00662A6B">
        <w:rPr>
          <w:rFonts w:ascii="Palatino Linotype" w:eastAsia="Palatino Linotype" w:hAnsi="Palatino Linotype" w:cs="Palatino Linotype"/>
          <w:b/>
          <w:i/>
          <w:sz w:val="22"/>
          <w:szCs w:val="22"/>
          <w:lang w:val="es-MX"/>
        </w:rPr>
        <w:t>“Registro Federal de Contribuyentes (RFC) de personas físicas.</w:t>
      </w:r>
      <w:r w:rsidRPr="00662A6B">
        <w:rPr>
          <w:rFonts w:ascii="Palatino Linotype" w:eastAsia="Palatino Linotype" w:hAnsi="Palatino Linotype" w:cs="Palatino Linotype"/>
          <w:i/>
          <w:sz w:val="22"/>
          <w:szCs w:val="22"/>
          <w:lang w:val="es-MX"/>
        </w:rPr>
        <w:t xml:space="preserve"> El RFC es una clave de carácter fiscal, única e irrepetible, que permite identificar al titular, su edad y fecha de nacimiento, por lo que es un dato personal de carácter confidencial.”</w:t>
      </w:r>
    </w:p>
    <w:p w14:paraId="5BF4B056" w14:textId="77777777" w:rsidR="00662A6B" w:rsidRPr="00662A6B" w:rsidRDefault="00662A6B" w:rsidP="00662A6B">
      <w:pPr>
        <w:spacing w:line="360" w:lineRule="auto"/>
        <w:ind w:right="-28"/>
        <w:contextualSpacing/>
        <w:jc w:val="both"/>
        <w:rPr>
          <w:rFonts w:ascii="Palatino Linotype" w:eastAsia="Palatino Linotype" w:hAnsi="Palatino Linotype" w:cs="Palatino Linotype"/>
          <w:sz w:val="22"/>
          <w:szCs w:val="22"/>
          <w:lang w:val="es-MX"/>
        </w:rPr>
      </w:pPr>
    </w:p>
    <w:p w14:paraId="551DBEC3" w14:textId="77777777" w:rsidR="00662A6B" w:rsidRDefault="00662A6B" w:rsidP="00662A6B">
      <w:pPr>
        <w:spacing w:line="360" w:lineRule="auto"/>
        <w:ind w:right="-28"/>
        <w:contextualSpacing/>
        <w:jc w:val="both"/>
        <w:rPr>
          <w:rFonts w:ascii="Palatino Linotype" w:eastAsia="Palatino Linotype" w:hAnsi="Palatino Linotype" w:cs="Palatino Linotype"/>
          <w:lang w:val="es-MX"/>
        </w:rPr>
      </w:pPr>
      <w:r w:rsidRPr="00662A6B">
        <w:rPr>
          <w:rFonts w:ascii="Palatino Linotype" w:eastAsia="Palatino Linotype" w:hAnsi="Palatino Linotype" w:cs="Palatino Linotype"/>
          <w:lang w:val="es-MX"/>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21789477" w14:textId="77777777" w:rsidR="00662A6B" w:rsidRDefault="00662A6B" w:rsidP="00662A6B">
      <w:pPr>
        <w:spacing w:line="360" w:lineRule="auto"/>
        <w:ind w:right="-28"/>
        <w:contextualSpacing/>
        <w:jc w:val="both"/>
        <w:rPr>
          <w:rFonts w:ascii="Palatino Linotype" w:eastAsia="Palatino Linotype" w:hAnsi="Palatino Linotype" w:cs="Palatino Linotype"/>
          <w:lang w:val="es-MX"/>
        </w:rPr>
      </w:pPr>
    </w:p>
    <w:p w14:paraId="5EE73D16" w14:textId="174BA9B2" w:rsidR="00662A6B" w:rsidRPr="00662A6B" w:rsidRDefault="00662A6B" w:rsidP="00662A6B">
      <w:pPr>
        <w:numPr>
          <w:ilvl w:val="0"/>
          <w:numId w:val="37"/>
        </w:numPr>
        <w:spacing w:line="360" w:lineRule="auto"/>
        <w:contextualSpacing/>
        <w:jc w:val="both"/>
        <w:rPr>
          <w:rFonts w:ascii="Palatino Linotype" w:eastAsia="Palatino Linotype" w:hAnsi="Palatino Linotype" w:cs="Palatino Linotype"/>
          <w:lang w:val="es-MX"/>
        </w:rPr>
      </w:pPr>
      <w:r w:rsidRPr="00662A6B">
        <w:rPr>
          <w:rFonts w:ascii="Palatino Linotype" w:eastAsia="Palatino Linotype" w:hAnsi="Palatino Linotype" w:cs="Palatino Linotype"/>
          <w:b/>
          <w:lang w:val="es-MX"/>
        </w:rPr>
        <w:t xml:space="preserve">Número de seguridad social del </w:t>
      </w:r>
      <w:bookmarkStart w:id="5" w:name="_Hlk198116708"/>
      <w:r w:rsidRPr="00662A6B">
        <w:rPr>
          <w:rFonts w:ascii="Palatino Linotype" w:eastAsia="Palatino Linotype" w:hAnsi="Palatino Linotype" w:cs="Palatino Linotype"/>
          <w:b/>
          <w:lang w:val="es-MX"/>
        </w:rPr>
        <w:t>Instituto de Seguridad Social del Estado de México y Municipios</w:t>
      </w:r>
    </w:p>
    <w:bookmarkEnd w:id="5"/>
    <w:p w14:paraId="681F70B2" w14:textId="77777777" w:rsidR="00662A6B" w:rsidRPr="00662A6B" w:rsidRDefault="00662A6B" w:rsidP="00662A6B">
      <w:pPr>
        <w:spacing w:line="360" w:lineRule="auto"/>
        <w:ind w:right="-28"/>
        <w:contextualSpacing/>
        <w:jc w:val="both"/>
        <w:rPr>
          <w:rFonts w:ascii="Palatino Linotype" w:eastAsia="Palatino Linotype" w:hAnsi="Palatino Linotype" w:cs="Palatino Linotype"/>
          <w:lang w:val="es-MX"/>
        </w:rPr>
      </w:pPr>
      <w:r w:rsidRPr="00662A6B">
        <w:rPr>
          <w:rFonts w:ascii="Palatino Linotype" w:eastAsia="Palatino Linotype" w:hAnsi="Palatino Linotype" w:cs="Palatino Linotype"/>
          <w:lang w:val="es-MX"/>
        </w:rPr>
        <w:t xml:space="preserve">El Instituto de Seguridad Social del Estado de México y Municipios (ISSEMYM) es el organismo público encargado de proporcionar los servicios de seguridad social a los </w:t>
      </w:r>
      <w:r w:rsidRPr="00662A6B">
        <w:rPr>
          <w:rFonts w:ascii="Palatino Linotype" w:eastAsia="Palatino Linotype" w:hAnsi="Palatino Linotype" w:cs="Palatino Linotype"/>
          <w:lang w:val="es-MX"/>
        </w:rPr>
        <w:lastRenderedPageBreak/>
        <w:t>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19335899" w14:textId="77777777" w:rsidR="00662A6B" w:rsidRPr="00662A6B" w:rsidRDefault="00662A6B" w:rsidP="00662A6B">
      <w:pPr>
        <w:spacing w:line="360" w:lineRule="auto"/>
        <w:ind w:right="-28"/>
        <w:contextualSpacing/>
        <w:jc w:val="both"/>
        <w:rPr>
          <w:rFonts w:ascii="Palatino Linotype" w:eastAsia="Palatino Linotype" w:hAnsi="Palatino Linotype" w:cs="Palatino Linotype"/>
          <w:lang w:val="es-MX"/>
        </w:rPr>
      </w:pPr>
      <w:r w:rsidRPr="00662A6B">
        <w:rPr>
          <w:rFonts w:ascii="Palatino Linotype" w:eastAsia="Palatino Linotype" w:hAnsi="Palatino Linotype" w:cs="Palatino Linotype"/>
          <w:lang w:val="es-MX"/>
        </w:rPr>
        <w:t xml:space="preserve"> </w:t>
      </w:r>
    </w:p>
    <w:p w14:paraId="61DAA9B1" w14:textId="77777777" w:rsidR="00662A6B" w:rsidRPr="00662A6B" w:rsidRDefault="00662A6B" w:rsidP="00662A6B">
      <w:pPr>
        <w:spacing w:line="360" w:lineRule="auto"/>
        <w:ind w:right="-28"/>
        <w:contextualSpacing/>
        <w:jc w:val="both"/>
        <w:rPr>
          <w:rFonts w:ascii="Palatino Linotype" w:eastAsia="Palatino Linotype" w:hAnsi="Palatino Linotype" w:cs="Palatino Linotype"/>
          <w:lang w:val="es-MX"/>
        </w:rPr>
      </w:pPr>
      <w:r w:rsidRPr="00662A6B">
        <w:rPr>
          <w:rFonts w:ascii="Palatino Linotype" w:eastAsia="Palatino Linotype" w:hAnsi="Palatino Linotype" w:cs="Palatino Linotype"/>
          <w:lang w:val="es-MX"/>
        </w:rPr>
        <w:t>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14:paraId="1CACC96A" w14:textId="77777777" w:rsidR="00662A6B" w:rsidRPr="00662A6B" w:rsidRDefault="00662A6B" w:rsidP="00662A6B">
      <w:pPr>
        <w:spacing w:line="360" w:lineRule="auto"/>
        <w:ind w:right="-28"/>
        <w:contextualSpacing/>
        <w:jc w:val="both"/>
        <w:rPr>
          <w:rFonts w:ascii="Palatino Linotype" w:eastAsia="Palatino Linotype" w:hAnsi="Palatino Linotype" w:cs="Palatino Linotype"/>
          <w:lang w:val="es-MX"/>
        </w:rPr>
      </w:pPr>
      <w:r w:rsidRPr="00662A6B">
        <w:rPr>
          <w:rFonts w:ascii="Palatino Linotype" w:eastAsia="Palatino Linotype" w:hAnsi="Palatino Linotype" w:cs="Palatino Linotype"/>
          <w:lang w:val="es-MX"/>
        </w:rPr>
        <w:t xml:space="preserve"> </w:t>
      </w:r>
    </w:p>
    <w:p w14:paraId="2BB7A061" w14:textId="77777777" w:rsidR="00662A6B" w:rsidRPr="00662A6B" w:rsidRDefault="00662A6B" w:rsidP="00662A6B">
      <w:pPr>
        <w:spacing w:line="360" w:lineRule="auto"/>
        <w:ind w:right="-28"/>
        <w:contextualSpacing/>
        <w:jc w:val="both"/>
        <w:rPr>
          <w:rFonts w:ascii="Palatino Linotype" w:eastAsia="Palatino Linotype" w:hAnsi="Palatino Linotype" w:cs="Palatino Linotype"/>
          <w:lang w:val="es-MX"/>
        </w:rPr>
      </w:pPr>
      <w:r w:rsidRPr="00662A6B">
        <w:rPr>
          <w:rFonts w:ascii="Palatino Linotype" w:eastAsia="Palatino Linotype" w:hAnsi="Palatino Linotype" w:cs="Palatino Linotype"/>
          <w:lang w:val="es-MX"/>
        </w:rP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3E907DE8" w14:textId="77777777" w:rsidR="00662A6B" w:rsidRPr="00662A6B" w:rsidRDefault="00662A6B" w:rsidP="00662A6B">
      <w:pPr>
        <w:spacing w:line="360" w:lineRule="auto"/>
        <w:ind w:right="-28"/>
        <w:contextualSpacing/>
        <w:jc w:val="both"/>
        <w:rPr>
          <w:rFonts w:ascii="Palatino Linotype" w:eastAsia="Palatino Linotype" w:hAnsi="Palatino Linotype" w:cs="Palatino Linotype"/>
          <w:lang w:val="es-MX"/>
        </w:rPr>
      </w:pPr>
      <w:r w:rsidRPr="00662A6B">
        <w:rPr>
          <w:rFonts w:ascii="Palatino Linotype" w:eastAsia="Palatino Linotype" w:hAnsi="Palatino Linotype" w:cs="Palatino Linotype"/>
          <w:lang w:val="es-MX"/>
        </w:rPr>
        <w:t xml:space="preserve"> </w:t>
      </w:r>
    </w:p>
    <w:p w14:paraId="483B10DC" w14:textId="77777777" w:rsidR="00662A6B" w:rsidRPr="00662A6B" w:rsidRDefault="00662A6B" w:rsidP="00662A6B">
      <w:pPr>
        <w:spacing w:line="360" w:lineRule="auto"/>
        <w:ind w:right="-28"/>
        <w:contextualSpacing/>
        <w:jc w:val="both"/>
        <w:rPr>
          <w:rFonts w:ascii="Palatino Linotype" w:eastAsia="Palatino Linotype" w:hAnsi="Palatino Linotype" w:cs="Palatino Linotype"/>
          <w:lang w:val="es-MX"/>
        </w:rPr>
      </w:pPr>
      <w:r w:rsidRPr="00662A6B">
        <w:rPr>
          <w:rFonts w:ascii="Palatino Linotype" w:eastAsia="Palatino Linotype" w:hAnsi="Palatino Linotype" w:cs="Palatino Linotype"/>
          <w:lang w:val="es-MX"/>
        </w:rPr>
        <w:lastRenderedPageBreak/>
        <w:t>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14:paraId="1D02B120" w14:textId="77777777" w:rsidR="00662A6B" w:rsidRPr="00662A6B" w:rsidRDefault="00662A6B" w:rsidP="00662A6B">
      <w:pPr>
        <w:spacing w:line="360" w:lineRule="auto"/>
        <w:ind w:right="-28"/>
        <w:contextualSpacing/>
        <w:jc w:val="both"/>
        <w:rPr>
          <w:rFonts w:ascii="Palatino Linotype" w:eastAsia="Palatino Linotype" w:hAnsi="Palatino Linotype" w:cs="Palatino Linotype"/>
          <w:lang w:val="es-MX"/>
        </w:rPr>
      </w:pPr>
    </w:p>
    <w:p w14:paraId="5C325190" w14:textId="4A0F1C39" w:rsidR="00662A6B" w:rsidRPr="00662A6B" w:rsidRDefault="00662A6B" w:rsidP="00662A6B">
      <w:pPr>
        <w:numPr>
          <w:ilvl w:val="0"/>
          <w:numId w:val="37"/>
        </w:numPr>
        <w:spacing w:line="360" w:lineRule="auto"/>
        <w:jc w:val="both"/>
        <w:rPr>
          <w:rFonts w:ascii="Palatino Linotype" w:hAnsi="Palatino Linotype" w:cs="Tahoma"/>
          <w:bCs/>
          <w:iCs/>
          <w:lang w:val="es-MX" w:eastAsia="es-MX"/>
        </w:rPr>
      </w:pPr>
      <w:r w:rsidRPr="00662A6B">
        <w:rPr>
          <w:rFonts w:ascii="Palatino Linotype" w:hAnsi="Palatino Linotype" w:cs="Tahoma"/>
          <w:b/>
          <w:iCs/>
          <w:lang w:val="es-MX" w:eastAsia="es-MX"/>
        </w:rPr>
        <w:t>Sueldos y percepciones</w:t>
      </w:r>
    </w:p>
    <w:p w14:paraId="116FF5FB" w14:textId="77777777" w:rsidR="00662A6B" w:rsidRDefault="00662A6B" w:rsidP="00662A6B">
      <w:pPr>
        <w:spacing w:line="360" w:lineRule="auto"/>
        <w:jc w:val="both"/>
        <w:rPr>
          <w:rFonts w:ascii="Palatino Linotype" w:hAnsi="Palatino Linotype" w:cs="Tahoma"/>
          <w:bCs/>
          <w:iCs/>
        </w:rPr>
      </w:pPr>
      <w:r w:rsidRPr="00662A6B">
        <w:rPr>
          <w:rFonts w:ascii="Palatino Linotype" w:hAnsi="Palatino Linotype" w:cs="Tahoma"/>
          <w:bCs/>
          <w:iCs/>
          <w:lang w:val="es-MX" w:eastAsia="es-MX"/>
        </w:rPr>
        <w:t xml:space="preserve">Al respecto, caber recordar </w:t>
      </w:r>
      <w:r w:rsidRPr="00662A6B">
        <w:rPr>
          <w:rFonts w:ascii="Palatino Linotype" w:hAnsi="Palatino Linotype" w:cs="Tahoma"/>
          <w:bCs/>
          <w:iCs/>
        </w:rPr>
        <w:t>que conforme al artículo 70, fracción VIII, de la Ley General de Transparencia y Acceso a la Información Pública y 92, fracción VIII, de la Ley de Transparencia y Acceso a la Información Pública del Estado de México y Municipios, las remuneraciones que reciben los servidores públicos, guardan la naturaleza de publicas tanto los sueldos, como las prestaciones (gratificaciones, primas, comisiones, dietas, bonos, estímulos, entre otros).</w:t>
      </w:r>
    </w:p>
    <w:p w14:paraId="2C3CB9CF" w14:textId="77777777" w:rsidR="008B4D4C" w:rsidRPr="00662A6B" w:rsidRDefault="008B4D4C" w:rsidP="00662A6B">
      <w:pPr>
        <w:spacing w:line="360" w:lineRule="auto"/>
        <w:jc w:val="both"/>
        <w:rPr>
          <w:rFonts w:ascii="Palatino Linotype" w:hAnsi="Palatino Linotype" w:cs="Tahoma"/>
          <w:bCs/>
          <w:iCs/>
        </w:rPr>
      </w:pPr>
    </w:p>
    <w:p w14:paraId="17047E5B" w14:textId="77777777" w:rsidR="00662A6B" w:rsidRPr="00662A6B" w:rsidRDefault="00662A6B" w:rsidP="00662A6B">
      <w:pPr>
        <w:spacing w:line="360" w:lineRule="auto"/>
        <w:jc w:val="both"/>
        <w:rPr>
          <w:rFonts w:ascii="Palatino Linotype" w:hAnsi="Palatino Linotype" w:cs="Arial"/>
          <w:bCs/>
          <w:lang w:val="es-MX"/>
        </w:rPr>
      </w:pPr>
      <w:r w:rsidRPr="00662A6B">
        <w:rPr>
          <w:rFonts w:ascii="Palatino Linotype" w:hAnsi="Palatino Linotype" w:cs="Tahoma"/>
        </w:rPr>
        <w:t xml:space="preserve">Como se logra observar que, mediante los recibos de pago, el Sujeto Obligado busca acreditar la manera en que se ejercieron determinados recursos públicos; sobre el tema, </w:t>
      </w:r>
      <w:r w:rsidRPr="00662A6B">
        <w:rPr>
          <w:rFonts w:ascii="Palatino Linotype" w:hAnsi="Palatino Linotype" w:cs="Arial"/>
          <w:bCs/>
          <w:lang w:val="es-MX"/>
        </w:rPr>
        <w:t>según Arizmendi, Guillermo (2016), en la “Ley General de Transparencia y Acceso a la Información Pública Comentada” (p. 240 y 241), los recursos públicos, deber ser administrados con responsabilidad y transparencia.</w:t>
      </w:r>
    </w:p>
    <w:p w14:paraId="227023F4" w14:textId="77777777" w:rsidR="00662A6B" w:rsidRPr="00662A6B" w:rsidRDefault="00662A6B" w:rsidP="00662A6B">
      <w:pPr>
        <w:shd w:val="clear" w:color="auto" w:fill="FFFFFF"/>
        <w:spacing w:line="360" w:lineRule="auto"/>
        <w:jc w:val="both"/>
        <w:rPr>
          <w:rFonts w:ascii="Palatino Linotype" w:hAnsi="Palatino Linotype" w:cs="Tahoma"/>
        </w:rPr>
      </w:pPr>
    </w:p>
    <w:p w14:paraId="432018A3" w14:textId="77777777" w:rsidR="00662A6B" w:rsidRPr="00662A6B" w:rsidRDefault="00662A6B" w:rsidP="00662A6B">
      <w:pPr>
        <w:spacing w:line="360" w:lineRule="auto"/>
        <w:jc w:val="both"/>
        <w:rPr>
          <w:rFonts w:ascii="Palatino Linotype" w:hAnsi="Palatino Linotype" w:cs="Tahoma"/>
          <w:b/>
        </w:rPr>
      </w:pPr>
      <w:r w:rsidRPr="00662A6B">
        <w:rPr>
          <w:rFonts w:ascii="Palatino Linotype" w:hAnsi="Palatino Linotype" w:cs="Tahoma"/>
        </w:rPr>
        <w:t xml:space="preserve">En ese orden de ideas, según Trujillo, Humberto (2019), en el “Diccionario de Transparencia y Acceso a la Información Pública” (p. 276), </w:t>
      </w:r>
      <w:r w:rsidRPr="00662A6B">
        <w:rPr>
          <w:rFonts w:ascii="Palatino Linotype" w:hAnsi="Palatino Linotype" w:cs="Tahoma"/>
          <w:b/>
        </w:rPr>
        <w:t xml:space="preserve">los recursos públicos son los ingresos económicos, que obtiene el Estado y que asigna (a partir del presupuesto) al ejercicio de sus actividades, los cuales deben ser asignados de </w:t>
      </w:r>
      <w:r w:rsidRPr="00662A6B">
        <w:rPr>
          <w:rFonts w:ascii="Palatino Linotype" w:hAnsi="Palatino Linotype" w:cs="Tahoma"/>
          <w:b/>
        </w:rPr>
        <w:lastRenderedPageBreak/>
        <w:t>manera transparente y bajo un sistema de rendición de cuentas, para que las personas puedan monitorear, evaluar y cuestionar su gasto.</w:t>
      </w:r>
    </w:p>
    <w:p w14:paraId="415E0C9E" w14:textId="77777777" w:rsidR="00662A6B" w:rsidRPr="00662A6B" w:rsidRDefault="00662A6B" w:rsidP="00662A6B">
      <w:pPr>
        <w:spacing w:line="360" w:lineRule="auto"/>
        <w:jc w:val="both"/>
        <w:rPr>
          <w:rFonts w:ascii="Palatino Linotype" w:hAnsi="Palatino Linotype" w:cs="Tahoma"/>
          <w:b/>
        </w:rPr>
      </w:pPr>
    </w:p>
    <w:p w14:paraId="5016D659" w14:textId="77777777" w:rsidR="00662A6B" w:rsidRPr="00662A6B" w:rsidRDefault="00662A6B" w:rsidP="00662A6B">
      <w:pPr>
        <w:spacing w:line="360" w:lineRule="auto"/>
        <w:jc w:val="both"/>
        <w:rPr>
          <w:rFonts w:ascii="Palatino Linotype" w:hAnsi="Palatino Linotype" w:cs="Tahoma"/>
          <w:lang w:val="es-MX"/>
        </w:rPr>
      </w:pPr>
      <w:r w:rsidRPr="00662A6B">
        <w:rPr>
          <w:rFonts w:ascii="Palatino Linotype" w:hAnsi="Palatino Linotype" w:cs="Tahoma"/>
        </w:rPr>
        <w:t xml:space="preserve">En ese orden de ideas, los artículos 134 de la Constitución Política de los Estados Unidos Mexicanos y el 129 de la Constitución Política del Estado Libre y Soberano de México, establecen que los recursos públicos de que dispongan, entre otros, los Municipios, se administrarán con eficiencia, eficacia, economía, </w:t>
      </w:r>
      <w:r w:rsidRPr="00662A6B">
        <w:rPr>
          <w:rFonts w:ascii="Palatino Linotype" w:hAnsi="Palatino Linotype" w:cs="Tahoma"/>
          <w:b/>
        </w:rPr>
        <w:t xml:space="preserve">transparencia </w:t>
      </w:r>
      <w:r w:rsidRPr="00662A6B">
        <w:rPr>
          <w:rFonts w:ascii="Palatino Linotype" w:hAnsi="Palatino Linotype" w:cs="Tahoma"/>
        </w:rPr>
        <w:t xml:space="preserve">y honradez; sobre lo referido,  </w:t>
      </w:r>
      <w:r w:rsidRPr="00662A6B">
        <w:rPr>
          <w:rFonts w:ascii="Palatino Linotype" w:hAnsi="Palatino Linotype" w:cs="Tahoma"/>
          <w:lang w:val="es-MX"/>
        </w:rPr>
        <w:t>la Tesis número 1a.CXLV/2009, Novena Época, publicada en el Semanario Judicial de la Federación, Tomo XXX, de septiembre de dos mil nueve, (p. 2712), establece lo siguiente:</w:t>
      </w:r>
    </w:p>
    <w:p w14:paraId="0188FC45" w14:textId="77777777" w:rsidR="00662A6B" w:rsidRPr="00662A6B" w:rsidRDefault="00662A6B" w:rsidP="00662A6B">
      <w:pPr>
        <w:spacing w:line="360" w:lineRule="auto"/>
        <w:jc w:val="both"/>
        <w:rPr>
          <w:rFonts w:ascii="Palatino Linotype" w:hAnsi="Palatino Linotype" w:cs="Tahoma"/>
          <w:sz w:val="22"/>
          <w:szCs w:val="22"/>
          <w:lang w:val="es-MX"/>
        </w:rPr>
      </w:pPr>
    </w:p>
    <w:p w14:paraId="172A0314" w14:textId="77777777" w:rsidR="00662A6B" w:rsidRPr="00662A6B" w:rsidRDefault="00662A6B" w:rsidP="00662A6B">
      <w:pPr>
        <w:ind w:left="567" w:right="567"/>
        <w:jc w:val="both"/>
        <w:rPr>
          <w:rFonts w:ascii="Palatino Linotype" w:hAnsi="Palatino Linotype" w:cs="Tahoma"/>
          <w:bCs/>
          <w:i/>
          <w:iCs/>
          <w:sz w:val="22"/>
          <w:szCs w:val="22"/>
        </w:rPr>
      </w:pPr>
      <w:r w:rsidRPr="00662A6B">
        <w:rPr>
          <w:rFonts w:ascii="Palatino Linotype" w:hAnsi="Palatino Linotype" w:cs="Tahoma"/>
          <w:b/>
          <w:bCs/>
          <w:i/>
          <w:iCs/>
          <w:sz w:val="22"/>
          <w:szCs w:val="22"/>
        </w:rPr>
        <w:t>“</w:t>
      </w:r>
      <w:r w:rsidRPr="00662A6B">
        <w:rPr>
          <w:rFonts w:ascii="Palatino Linotype" w:hAnsi="Palatino Linotype" w:cs="Tahoma"/>
          <w:b/>
          <w:bCs/>
          <w:i/>
          <w:iCs/>
          <w:sz w:val="22"/>
          <w:szCs w:val="22"/>
          <w:lang w:val="es-MX"/>
        </w:rPr>
        <w:t xml:space="preserve">GASTO PÚBLICO. EL ARTÍCULO 134 DE LA CONSTITUCIÓN POLÍTICA DE LOS ESTADOS UNIDOS MEXICANOS ELEVA A RANGO CONSTITUCIONAL LOS PRINCIPIOS DE LEGALIDAD, EFICIENCIA, EFICACIA, ECONOMÍA, TRANSPARENCIA Y HONRADEZ EN ESTA MATERIA. </w:t>
      </w:r>
      <w:r w:rsidRPr="00662A6B">
        <w:rPr>
          <w:rFonts w:ascii="Palatino Linotype" w:hAnsi="Palatino Linotype" w:cs="Tahoma"/>
          <w:bCs/>
          <w:i/>
          <w:iCs/>
          <w:sz w:val="22"/>
          <w:szCs w:val="22"/>
          <w:lang w:val="es-MX"/>
        </w:rPr>
        <w:t>Del citado precepto constitucional se advierte que el correcto ejercicio del gasto público se salvaguarda por los siguientes principios: 1. Legalidad, en tanto que debe estar prescrito en el Presupuesto de Egresos o, en su defecto, en una ley expedida por el Congreso de la Unión, lo cual significa la sujeción de las autoridades a un modelo normativo previamente establecido; 2. Honradez, pues implica que no debe llevarse a cabo de manera abusiva, ni para un destino diverso al programado; 3. Eficiencia, en el entendido de que las autoridades deben disponer de los medios que estimen convenientes para que el ejercicio del gasto público logre el fin para el cual se programó y destinó; 4. Eficacia, ya que es indispensable contar con la capacidad suficiente para lograr las metas estimadas; 5. Economía, en el sentido de que el gasto público debe ejercerse recta y prudentemente, lo cual implica que los servidores públicos siempre deben buscar las mejores condiciones de contratación para el Estado, y 6. Transparencia, para permitir hacer del conocimiento público el ejercicio del gasto estatal.</w:t>
      </w:r>
      <w:r w:rsidRPr="00662A6B">
        <w:rPr>
          <w:rFonts w:ascii="Palatino Linotype" w:hAnsi="Palatino Linotype" w:cs="Tahoma"/>
          <w:bCs/>
          <w:i/>
          <w:iCs/>
          <w:sz w:val="22"/>
          <w:szCs w:val="22"/>
        </w:rPr>
        <w:t>”</w:t>
      </w:r>
    </w:p>
    <w:p w14:paraId="41C4DB93" w14:textId="77777777" w:rsidR="00662A6B" w:rsidRPr="00662A6B" w:rsidRDefault="00662A6B" w:rsidP="00662A6B">
      <w:pPr>
        <w:spacing w:line="360" w:lineRule="auto"/>
        <w:jc w:val="both"/>
        <w:rPr>
          <w:rFonts w:ascii="Palatino Linotype" w:hAnsi="Palatino Linotype" w:cs="Tahoma"/>
          <w:bCs/>
          <w:iCs/>
          <w:sz w:val="22"/>
          <w:szCs w:val="22"/>
        </w:rPr>
      </w:pPr>
    </w:p>
    <w:p w14:paraId="382870EB" w14:textId="77777777" w:rsidR="00662A6B" w:rsidRPr="00662A6B" w:rsidRDefault="00662A6B" w:rsidP="00662A6B">
      <w:pPr>
        <w:spacing w:line="360" w:lineRule="auto"/>
        <w:jc w:val="both"/>
        <w:rPr>
          <w:rFonts w:ascii="Palatino Linotype" w:hAnsi="Palatino Linotype" w:cs="Tahoma"/>
          <w:bCs/>
          <w:iCs/>
        </w:rPr>
      </w:pPr>
      <w:r w:rsidRPr="00662A6B">
        <w:rPr>
          <w:rFonts w:ascii="Palatino Linotype" w:hAnsi="Palatino Linotype" w:cs="Tahoma"/>
          <w:bCs/>
          <w:iCs/>
        </w:rPr>
        <w:t>Como se logra observar, el ejercicio de recursos públicos por parte de los tres niveles de Gobierno, que incluye a los Municipios, debe seguir el Principio de Transparencia, que implica permitir a la ciudadanía conocer en la forma en que se gasta el Estado, los recursos con los que cuenta para el cumplimiento de sus obligaciones y atribuciones.</w:t>
      </w:r>
    </w:p>
    <w:p w14:paraId="1D2E2C92" w14:textId="77777777" w:rsidR="00662A6B" w:rsidRPr="00662A6B" w:rsidRDefault="00662A6B" w:rsidP="00662A6B">
      <w:pPr>
        <w:spacing w:line="360" w:lineRule="auto"/>
        <w:jc w:val="both"/>
        <w:rPr>
          <w:rFonts w:ascii="Palatino Linotype" w:hAnsi="Palatino Linotype" w:cs="Tahoma"/>
        </w:rPr>
      </w:pPr>
      <w:r w:rsidRPr="00662A6B">
        <w:rPr>
          <w:rFonts w:ascii="Palatino Linotype" w:hAnsi="Palatino Linotype" w:cs="Tahoma"/>
          <w:bCs/>
          <w:iCs/>
        </w:rPr>
        <w:lastRenderedPageBreak/>
        <w:t xml:space="preserve">Al respecto, </w:t>
      </w:r>
      <w:r w:rsidRPr="00662A6B">
        <w:rPr>
          <w:rFonts w:ascii="Palatino Linotype" w:hAnsi="Palatino Linotype" w:cs="Tahoma"/>
        </w:rPr>
        <w:t xml:space="preserve">según Merino, Mauricio (2019), en el “Diccionario de Transparencia y Acceso a la Información Pública” (p. 276), </w:t>
      </w:r>
      <w:r w:rsidRPr="00662A6B">
        <w:rPr>
          <w:rFonts w:ascii="Palatino Linotype" w:hAnsi="Palatino Linotype" w:cs="Tahoma"/>
          <w:b/>
        </w:rPr>
        <w:t xml:space="preserve">la rendición de cuentas, </w:t>
      </w:r>
      <w:r w:rsidRPr="00662A6B">
        <w:rPr>
          <w:rFonts w:ascii="Palatino Linotype" w:hAnsi="Palatino Linotype" w:cs="Tahoma"/>
        </w:rPr>
        <w:t xml:space="preserve">es un ejercicio de transparencia e información pública; es un medio a través del cual los gobiernos informan al público de sus actividades, </w:t>
      </w:r>
      <w:r w:rsidRPr="00662A6B">
        <w:rPr>
          <w:rFonts w:ascii="Palatino Linotype" w:hAnsi="Palatino Linotype" w:cs="Tahoma"/>
          <w:b/>
        </w:rPr>
        <w:t>de los recursos que han ejercido</w:t>
      </w:r>
      <w:r w:rsidRPr="00662A6B">
        <w:rPr>
          <w:rFonts w:ascii="Palatino Linotype" w:hAnsi="Palatino Linotype" w:cs="Tahoma"/>
        </w:rPr>
        <w:t xml:space="preserve"> y de los resultados obtenidos.</w:t>
      </w:r>
    </w:p>
    <w:p w14:paraId="0F70AEA4" w14:textId="77777777" w:rsidR="00662A6B" w:rsidRPr="00662A6B" w:rsidRDefault="00662A6B" w:rsidP="00662A6B">
      <w:pPr>
        <w:spacing w:line="360" w:lineRule="auto"/>
        <w:jc w:val="both"/>
        <w:rPr>
          <w:rFonts w:ascii="Palatino Linotype" w:hAnsi="Palatino Linotype" w:cs="Tahoma"/>
        </w:rPr>
      </w:pPr>
    </w:p>
    <w:p w14:paraId="70E88CA3" w14:textId="77777777" w:rsidR="00662A6B" w:rsidRDefault="00662A6B" w:rsidP="00662A6B">
      <w:pPr>
        <w:spacing w:line="360" w:lineRule="auto"/>
        <w:jc w:val="both"/>
        <w:rPr>
          <w:rFonts w:ascii="Palatino Linotype" w:hAnsi="Palatino Linotype" w:cs="Tahoma"/>
        </w:rPr>
      </w:pPr>
      <w:r w:rsidRPr="00662A6B">
        <w:rPr>
          <w:rFonts w:ascii="Palatino Linotype" w:hAnsi="Palatino Linotype" w:cs="Tahoma"/>
        </w:rPr>
        <w:t>Conforme a lo anterior, se logra vislumbrar que cualquier tipo de erogación de recursos por parte de las instituciones públicas, guarda la naturaleza de pública; por lo que, las remuneraciones, sueldos y prestaciones de los servidores públicos, rinde cuentas de los recursos utilizados por el Ayuntamiento, para el pago de personal; por lo que, no resulta procedente la clasificación de dichos datos, en términos del artículo 143, fracción I, de la Ley de la materia.</w:t>
      </w:r>
    </w:p>
    <w:p w14:paraId="3E48263C" w14:textId="77777777" w:rsidR="00662A6B" w:rsidRPr="00662A6B" w:rsidRDefault="00662A6B" w:rsidP="00662A6B">
      <w:pPr>
        <w:spacing w:line="360" w:lineRule="auto"/>
        <w:jc w:val="both"/>
        <w:rPr>
          <w:rFonts w:ascii="Palatino Linotype" w:hAnsi="Palatino Linotype" w:cs="Tahoma"/>
        </w:rPr>
      </w:pPr>
    </w:p>
    <w:p w14:paraId="14FB86CB" w14:textId="478E1D95" w:rsidR="00662A6B" w:rsidRPr="00662A6B" w:rsidRDefault="00662A6B" w:rsidP="00662A6B">
      <w:pPr>
        <w:numPr>
          <w:ilvl w:val="0"/>
          <w:numId w:val="37"/>
        </w:numPr>
        <w:spacing w:line="360" w:lineRule="auto"/>
        <w:jc w:val="both"/>
        <w:rPr>
          <w:rFonts w:ascii="Palatino Linotype" w:eastAsia="Calibri" w:hAnsi="Palatino Linotype"/>
          <w:b/>
          <w:bCs/>
          <w:lang w:val="es-MX"/>
        </w:rPr>
      </w:pPr>
      <w:r w:rsidRPr="00662A6B">
        <w:rPr>
          <w:rFonts w:ascii="Palatino Linotype" w:eastAsia="Calibri" w:hAnsi="Palatino Linotype"/>
          <w:b/>
          <w:bCs/>
          <w:lang w:val="es-MX"/>
        </w:rPr>
        <w:t>Deducciones por Ley</w:t>
      </w:r>
    </w:p>
    <w:p w14:paraId="106ED9AA" w14:textId="77777777" w:rsidR="00662A6B" w:rsidRPr="00662A6B" w:rsidRDefault="00662A6B" w:rsidP="00662A6B">
      <w:pPr>
        <w:spacing w:line="360" w:lineRule="auto"/>
        <w:jc w:val="both"/>
        <w:rPr>
          <w:rFonts w:ascii="Palatino Linotype" w:eastAsia="Calibri" w:hAnsi="Palatino Linotype"/>
          <w:lang w:val="es-MX"/>
        </w:rPr>
      </w:pPr>
      <w:r w:rsidRPr="00662A6B">
        <w:rPr>
          <w:rFonts w:ascii="Palatino Linotype" w:eastAsia="Calibri" w:hAnsi="Palatino Linotype"/>
          <w:lang w:val="es-MX"/>
        </w:rPr>
        <w:t>Sobre dichos datos, el artículo 84 de la Ley del Trabajo de los Servidores Públicos del Estado de México y Municipios, establece que a los trabajadores gubernamentales se les podrán aplicar diversos descuentos o deducciones, entre las cuales, se encuentran los gravámenes fiscales relacionados con el sueldo (ISR o ISPT), descuentos ordenados por el Instituto de Seguridad Social del Estado de México y Municipios, con motivo de las cuotas para acceder a los servicios de salud y descuentos por faltas de puntualidad o de asistencias justificadas.</w:t>
      </w:r>
    </w:p>
    <w:p w14:paraId="07A0FFEA" w14:textId="77777777" w:rsidR="00662A6B" w:rsidRPr="00662A6B" w:rsidRDefault="00662A6B" w:rsidP="00662A6B">
      <w:pPr>
        <w:spacing w:line="360" w:lineRule="auto"/>
        <w:jc w:val="both"/>
        <w:rPr>
          <w:rFonts w:ascii="Palatino Linotype" w:eastAsia="Calibri" w:hAnsi="Palatino Linotype"/>
          <w:lang w:val="es-MX"/>
        </w:rPr>
      </w:pPr>
    </w:p>
    <w:p w14:paraId="46866D7A" w14:textId="77777777" w:rsidR="00662A6B" w:rsidRPr="00662A6B" w:rsidRDefault="00662A6B" w:rsidP="00662A6B">
      <w:pPr>
        <w:spacing w:line="360" w:lineRule="auto"/>
        <w:jc w:val="both"/>
        <w:rPr>
          <w:rFonts w:ascii="Palatino Linotype" w:eastAsia="Calibri" w:hAnsi="Palatino Linotype"/>
          <w:lang w:val="es-MX"/>
        </w:rPr>
      </w:pPr>
      <w:r w:rsidRPr="00662A6B">
        <w:rPr>
          <w:rFonts w:ascii="Palatino Linotype" w:eastAsia="Calibri" w:hAnsi="Palatino Linotype"/>
          <w:lang w:val="es-MX"/>
        </w:rPr>
        <w:t xml:space="preserve">Conforme a lo anterior dichas deducciones, suelen ser obligatorias y dan cuenta, de que el Sujeto Obligado cumple con sus responsabilidades como patrón, relacionadas </w:t>
      </w:r>
      <w:r w:rsidRPr="00662A6B">
        <w:rPr>
          <w:rFonts w:ascii="Palatino Linotype" w:eastAsia="Calibri" w:hAnsi="Palatino Linotype"/>
          <w:lang w:val="es-MX"/>
        </w:rPr>
        <w:lastRenderedPageBreak/>
        <w:t>con la retención de parte del ingreso de sus trabajadores, para cubrir las deducciones genéricas y obligatorias.</w:t>
      </w:r>
    </w:p>
    <w:p w14:paraId="2E22C760" w14:textId="77777777" w:rsidR="00662A6B" w:rsidRPr="00662A6B" w:rsidRDefault="00662A6B" w:rsidP="00662A6B">
      <w:pPr>
        <w:spacing w:line="360" w:lineRule="auto"/>
        <w:jc w:val="both"/>
        <w:rPr>
          <w:rFonts w:ascii="Palatino Linotype" w:eastAsia="Calibri" w:hAnsi="Palatino Linotype"/>
          <w:lang w:val="es-MX"/>
        </w:rPr>
      </w:pPr>
    </w:p>
    <w:p w14:paraId="0747707D" w14:textId="77777777" w:rsidR="00662A6B" w:rsidRPr="00662A6B" w:rsidRDefault="00662A6B" w:rsidP="00662A6B">
      <w:pPr>
        <w:spacing w:line="360" w:lineRule="auto"/>
        <w:jc w:val="both"/>
        <w:rPr>
          <w:rFonts w:ascii="Palatino Linotype" w:eastAsia="Calibri" w:hAnsi="Palatino Linotype"/>
          <w:lang w:val="es-MX"/>
        </w:rPr>
      </w:pPr>
      <w:r w:rsidRPr="00662A6B">
        <w:rPr>
          <w:rFonts w:ascii="Palatino Linotype" w:eastAsia="Calibri" w:hAnsi="Palatino Linotype"/>
          <w:lang w:val="es-MX"/>
        </w:rPr>
        <w:t>Como se logra observar, dichas deducciones, son las renciones que realizan las dependencias y entidades, de manera obligatoria por estar establecidas en diversas leyes, como la Ley del Impuesto sobre la Renta y la Ley de Seguridad Social para los Servidores Públicos del Estado de México y Municipios (gravámenes fiscales), o bien, la Ley de Servidores Públicos del Estado de México y Municipios (descuentos por faltas o inasistencias).</w:t>
      </w:r>
    </w:p>
    <w:p w14:paraId="5AB3313E" w14:textId="77777777" w:rsidR="00662A6B" w:rsidRPr="00662A6B" w:rsidRDefault="00662A6B" w:rsidP="00662A6B">
      <w:pPr>
        <w:spacing w:line="360" w:lineRule="auto"/>
        <w:jc w:val="both"/>
        <w:rPr>
          <w:rFonts w:ascii="Palatino Linotype" w:eastAsia="Calibri" w:hAnsi="Palatino Linotype"/>
          <w:lang w:val="es-MX"/>
        </w:rPr>
      </w:pPr>
    </w:p>
    <w:p w14:paraId="2774FC74" w14:textId="77777777" w:rsidR="00662A6B" w:rsidRPr="00662A6B" w:rsidRDefault="00662A6B" w:rsidP="00662A6B">
      <w:pPr>
        <w:spacing w:line="360" w:lineRule="auto"/>
        <w:jc w:val="both"/>
        <w:rPr>
          <w:rFonts w:ascii="Palatino Linotype" w:eastAsia="Calibri" w:hAnsi="Palatino Linotype"/>
          <w:lang w:val="es-MX"/>
        </w:rPr>
      </w:pPr>
      <w:r w:rsidRPr="00662A6B">
        <w:rPr>
          <w:rFonts w:ascii="Palatino Linotype" w:eastAsia="Calibri" w:hAnsi="Palatino Linotype"/>
          <w:lang w:val="es-MX"/>
        </w:rPr>
        <w:t>Además, se advierte en el presente caso, que la servidora pública si cuenta con estas deducciones, pues el Sujeto Obligado, clasificó de manera correcta, su número de seguridad social (régimen de trabajo).</w:t>
      </w:r>
    </w:p>
    <w:p w14:paraId="4E05BB51" w14:textId="77777777" w:rsidR="00662A6B" w:rsidRPr="00662A6B" w:rsidRDefault="00662A6B" w:rsidP="00662A6B">
      <w:pPr>
        <w:spacing w:line="360" w:lineRule="auto"/>
        <w:jc w:val="both"/>
        <w:rPr>
          <w:rFonts w:ascii="Palatino Linotype" w:eastAsia="Calibri" w:hAnsi="Palatino Linotype"/>
          <w:lang w:val="es-MX"/>
        </w:rPr>
      </w:pPr>
    </w:p>
    <w:p w14:paraId="4CEFEFB6" w14:textId="77777777" w:rsidR="00662A6B" w:rsidRPr="00662A6B" w:rsidRDefault="00662A6B" w:rsidP="00662A6B">
      <w:pPr>
        <w:spacing w:line="360" w:lineRule="auto"/>
        <w:jc w:val="both"/>
        <w:rPr>
          <w:rFonts w:ascii="Palatino Linotype" w:eastAsia="Calibri" w:hAnsi="Palatino Linotype"/>
          <w:lang w:val="es-MX"/>
        </w:rPr>
      </w:pPr>
      <w:r w:rsidRPr="00662A6B">
        <w:rPr>
          <w:rFonts w:ascii="Palatino Linotype" w:eastAsia="Calibri" w:hAnsi="Palatino Linotype"/>
          <w:lang w:val="es-MX"/>
        </w:rPr>
        <w:t>Por tal circunstancia y toda vez, que las deducciones por Ley, son de carácter obligatorio y ayuda a rendir cuentas, de que el Ayuntamiento de Teotihuacán cumple con sus funciones de patrón, al retener determinado monto del sueldo de los servidores públicos, es que se considera que son de naturaleza pública y, por lo tanto, no procede la clasificación, en términos del artículo 143, fracción I, de la Ley de Transparencia y Acceso a la Información Pública del Estado de México y Municipios.</w:t>
      </w:r>
    </w:p>
    <w:p w14:paraId="2BCBF86D" w14:textId="77777777" w:rsidR="00662A6B" w:rsidRPr="00662A6B" w:rsidRDefault="00662A6B" w:rsidP="00662A6B">
      <w:pPr>
        <w:spacing w:line="360" w:lineRule="auto"/>
        <w:jc w:val="both"/>
        <w:rPr>
          <w:rFonts w:ascii="Palatino Linotype" w:eastAsia="Calibri" w:hAnsi="Palatino Linotype"/>
          <w:lang w:val="es-MX"/>
        </w:rPr>
      </w:pPr>
    </w:p>
    <w:p w14:paraId="4B346241" w14:textId="0ACBA0DF" w:rsidR="00662A6B" w:rsidRPr="00662A6B" w:rsidRDefault="00662A6B" w:rsidP="00662A6B">
      <w:pPr>
        <w:numPr>
          <w:ilvl w:val="0"/>
          <w:numId w:val="37"/>
        </w:numPr>
        <w:spacing w:line="360" w:lineRule="auto"/>
        <w:jc w:val="both"/>
        <w:rPr>
          <w:rFonts w:ascii="Palatino Linotype" w:eastAsia="Calibri" w:hAnsi="Palatino Linotype" w:cs="Tahoma"/>
          <w:b/>
          <w:lang w:val="es-MX" w:eastAsia="en-US"/>
        </w:rPr>
      </w:pPr>
      <w:r w:rsidRPr="00662A6B">
        <w:rPr>
          <w:rFonts w:ascii="Palatino Linotype" w:eastAsia="Calibri" w:hAnsi="Palatino Linotype" w:cs="Tahoma"/>
          <w:b/>
          <w:lang w:val="es-MX" w:eastAsia="en-US"/>
        </w:rPr>
        <w:t>Descuentos personales</w:t>
      </w:r>
    </w:p>
    <w:p w14:paraId="33AA4130" w14:textId="77777777" w:rsidR="00662A6B" w:rsidRPr="00662A6B" w:rsidRDefault="00662A6B" w:rsidP="00662A6B">
      <w:pPr>
        <w:spacing w:line="360" w:lineRule="auto"/>
        <w:jc w:val="both"/>
        <w:rPr>
          <w:rFonts w:ascii="Palatino Linotype" w:eastAsia="Calibri" w:hAnsi="Palatino Linotype" w:cs="Tahoma"/>
          <w:bCs/>
          <w:lang w:val="es-MX" w:eastAsia="en-US"/>
        </w:rPr>
      </w:pPr>
      <w:r w:rsidRPr="00662A6B">
        <w:rPr>
          <w:rFonts w:ascii="Palatino Linotype" w:eastAsia="Calibri" w:hAnsi="Palatino Linotype" w:cs="Tahoma"/>
          <w:bCs/>
          <w:lang w:val="es-MX" w:eastAsia="en-US"/>
        </w:rPr>
        <w:t xml:space="preserve">Es necesario precisar que existen deducciones que se generan con motivo de una decisión libre y voluntaria de los servidores públicos, como son: créditos personales, cuotas sindicales y fondo de resistencia del Sindicato Único de Trabajadores de los </w:t>
      </w:r>
      <w:r w:rsidRPr="00662A6B">
        <w:rPr>
          <w:rFonts w:ascii="Palatino Linotype" w:eastAsia="Calibri" w:hAnsi="Palatino Linotype" w:cs="Tahoma"/>
          <w:bCs/>
          <w:lang w:val="es-MX" w:eastAsia="en-US"/>
        </w:rPr>
        <w:lastRenderedPageBreak/>
        <w:t>Poderes, Municipios e Institución Descentralizadas del Estado de México, seguro de vida, accidentes y enfermedades.</w:t>
      </w:r>
    </w:p>
    <w:p w14:paraId="2593A5A8" w14:textId="77777777" w:rsidR="00662A6B" w:rsidRPr="00662A6B" w:rsidRDefault="00662A6B" w:rsidP="00662A6B">
      <w:pPr>
        <w:spacing w:line="360" w:lineRule="auto"/>
        <w:jc w:val="both"/>
        <w:rPr>
          <w:rFonts w:ascii="Palatino Linotype" w:eastAsia="Calibri" w:hAnsi="Palatino Linotype" w:cs="Tahoma"/>
          <w:bCs/>
          <w:lang w:val="es-MX" w:eastAsia="en-US"/>
        </w:rPr>
      </w:pPr>
    </w:p>
    <w:p w14:paraId="2C46E1FE" w14:textId="77777777" w:rsidR="00662A6B" w:rsidRPr="00662A6B" w:rsidRDefault="00662A6B" w:rsidP="00662A6B">
      <w:pPr>
        <w:spacing w:line="360" w:lineRule="auto"/>
        <w:jc w:val="both"/>
        <w:rPr>
          <w:rFonts w:ascii="Palatino Linotype" w:eastAsia="Calibri" w:hAnsi="Palatino Linotype" w:cs="Tahoma"/>
          <w:bCs/>
          <w:lang w:val="es-MX" w:eastAsia="en-US"/>
        </w:rPr>
      </w:pPr>
      <w:r w:rsidRPr="00662A6B">
        <w:rPr>
          <w:rFonts w:ascii="Palatino Linotype" w:eastAsia="Calibri" w:hAnsi="Palatino Linotype" w:cs="Tahoma"/>
          <w:bCs/>
          <w:lang w:val="es-MX" w:eastAsia="en-US"/>
        </w:rPr>
        <w:t xml:space="preserve">Asimismo, hay otras que se generan con motivo de una sentencia judicial, como es la pensión alimenticia que periódicamente se retira de la cuenta de un empleado, a efecto de que sea entregado a un tercero.  </w:t>
      </w:r>
    </w:p>
    <w:p w14:paraId="36589D73" w14:textId="77777777" w:rsidR="00662A6B" w:rsidRPr="00662A6B" w:rsidRDefault="00662A6B" w:rsidP="00662A6B">
      <w:pPr>
        <w:spacing w:line="360" w:lineRule="auto"/>
        <w:jc w:val="both"/>
        <w:rPr>
          <w:rFonts w:ascii="Palatino Linotype" w:eastAsia="Calibri" w:hAnsi="Palatino Linotype" w:cs="Tahoma"/>
          <w:bCs/>
          <w:lang w:val="es-MX" w:eastAsia="en-US"/>
        </w:rPr>
      </w:pPr>
    </w:p>
    <w:p w14:paraId="009D05E5" w14:textId="77777777" w:rsidR="00662A6B" w:rsidRPr="00662A6B" w:rsidRDefault="00662A6B" w:rsidP="00662A6B">
      <w:pPr>
        <w:spacing w:line="360" w:lineRule="auto"/>
        <w:jc w:val="both"/>
        <w:rPr>
          <w:rFonts w:ascii="Palatino Linotype" w:eastAsia="Calibri" w:hAnsi="Palatino Linotype" w:cs="Tahoma"/>
          <w:bCs/>
          <w:lang w:val="es-MX" w:eastAsia="en-US"/>
        </w:rPr>
      </w:pPr>
      <w:r w:rsidRPr="00662A6B">
        <w:rPr>
          <w:rFonts w:ascii="Palatino Linotype" w:eastAsia="Calibri" w:hAnsi="Palatino Linotype" w:cs="Tahoma"/>
          <w:bCs/>
          <w:lang w:val="es-MX" w:eastAsia="en-US"/>
        </w:rPr>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14:paraId="22F7CFC0" w14:textId="77777777" w:rsidR="00662A6B" w:rsidRPr="00662A6B" w:rsidRDefault="00662A6B" w:rsidP="00662A6B">
      <w:pPr>
        <w:spacing w:line="360" w:lineRule="auto"/>
        <w:jc w:val="both"/>
        <w:rPr>
          <w:rFonts w:ascii="Palatino Linotype" w:eastAsia="Calibri" w:hAnsi="Palatino Linotype" w:cs="Tahoma"/>
          <w:bCs/>
          <w:lang w:val="es-MX" w:eastAsia="en-US"/>
        </w:rPr>
      </w:pPr>
    </w:p>
    <w:p w14:paraId="17E9BD03" w14:textId="77777777" w:rsidR="00662A6B" w:rsidRPr="00662A6B" w:rsidRDefault="00662A6B" w:rsidP="00662A6B">
      <w:pPr>
        <w:spacing w:line="360" w:lineRule="auto"/>
        <w:jc w:val="both"/>
        <w:rPr>
          <w:rFonts w:ascii="Palatino Linotype" w:eastAsia="Calibri" w:hAnsi="Palatino Linotype" w:cs="Tahoma"/>
          <w:bCs/>
          <w:lang w:val="es-MX" w:eastAsia="en-US"/>
        </w:rPr>
      </w:pPr>
      <w:r w:rsidRPr="00662A6B">
        <w:rPr>
          <w:rFonts w:ascii="Palatino Linotype" w:eastAsia="Calibri" w:hAnsi="Palatino Linotype" w:cs="Tahoma"/>
          <w:bCs/>
          <w:lang w:val="es-MX" w:eastAsia="en-US"/>
        </w:rPr>
        <w:t xml:space="preserve">Así, dichas deducciones reflejan el destino que un servidor público da a su patrimonio y, por lo tanto, resulta procedente clasificar dichos datos, en el caso, que obren, en los documentos que dan cuenta de lo requerido, en términos del artículo 143, fracción I de la Ley de Transparencia y Acceso a la Información Pública del Estado de México y Municipios. </w:t>
      </w:r>
    </w:p>
    <w:p w14:paraId="0EB21841" w14:textId="77777777" w:rsidR="009A0722" w:rsidRPr="00BE5EFE" w:rsidRDefault="009A0722" w:rsidP="009A0722">
      <w:pPr>
        <w:spacing w:line="360" w:lineRule="auto"/>
        <w:ind w:right="851"/>
        <w:jc w:val="both"/>
        <w:rPr>
          <w:rFonts w:ascii="Palatino Linotype" w:hAnsi="Palatino Linotype"/>
        </w:rPr>
      </w:pPr>
    </w:p>
    <w:p w14:paraId="61592C29" w14:textId="77777777" w:rsidR="009A0722" w:rsidRPr="00BE5EFE" w:rsidRDefault="009A0722" w:rsidP="009A0722">
      <w:pPr>
        <w:spacing w:line="360" w:lineRule="auto"/>
        <w:jc w:val="both"/>
        <w:rPr>
          <w:rFonts w:ascii="Palatino Linotype" w:hAnsi="Palatino Linotype" w:cs="Arial"/>
          <w:lang w:eastAsia="es-CO"/>
        </w:rPr>
      </w:pPr>
      <w:r w:rsidRPr="00BE5EFE">
        <w:rPr>
          <w:rFonts w:ascii="Palatino Linotype" w:hAnsi="Palatino Linotype" w:cs="Arial"/>
          <w:lang w:eastAsia="es-CO"/>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BE5EFE">
        <w:rPr>
          <w:rFonts w:ascii="Palatino Linotype" w:hAnsi="Palatino Linotype" w:cs="Arial"/>
          <w:b/>
          <w:lang w:eastAsia="es-CO"/>
        </w:rPr>
        <w:t>Sujeto Obligado</w:t>
      </w:r>
      <w:r w:rsidRPr="00BE5EFE">
        <w:rPr>
          <w:rFonts w:ascii="Palatino Linotype" w:hAnsi="Palatino Linotype" w:cs="Arial"/>
          <w:lang w:eastAsia="es-CO"/>
        </w:rPr>
        <w:t xml:space="preserve"> a testar, suprimir o eliminar datos de dicho soporte documental, ya que no hacerlo, se reitera que lo entregado no tendría un </w:t>
      </w:r>
      <w:r w:rsidRPr="00BE5EFE">
        <w:rPr>
          <w:rFonts w:ascii="Palatino Linotype" w:hAnsi="Palatino Linotype" w:cs="Arial"/>
          <w:lang w:eastAsia="es-CO"/>
        </w:rPr>
        <w:lastRenderedPageBreak/>
        <w:t>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350003BA" w14:textId="77777777" w:rsidR="009A0722" w:rsidRPr="00BE5EFE" w:rsidRDefault="009A0722" w:rsidP="009A0722">
      <w:pPr>
        <w:spacing w:line="360" w:lineRule="auto"/>
        <w:jc w:val="both"/>
        <w:rPr>
          <w:rFonts w:ascii="Palatino Linotype" w:eastAsiaTheme="minorHAnsi" w:hAnsi="Palatino Linotype" w:cs="Arial"/>
          <w:color w:val="000000" w:themeColor="text1"/>
          <w:szCs w:val="22"/>
          <w:lang w:val="es-MX" w:eastAsia="en-US"/>
        </w:rPr>
      </w:pPr>
    </w:p>
    <w:p w14:paraId="5C9BC073" w14:textId="01ECE053" w:rsidR="009A0722" w:rsidRDefault="009A0722" w:rsidP="009A0722">
      <w:pPr>
        <w:spacing w:line="360" w:lineRule="auto"/>
        <w:jc w:val="both"/>
        <w:rPr>
          <w:rFonts w:ascii="Palatino Linotype" w:hAnsi="Palatino Linotype"/>
        </w:rPr>
      </w:pPr>
      <w:r w:rsidRPr="00BE5EFE">
        <w:rPr>
          <w:rFonts w:ascii="Palatino Linotype" w:hAnsi="Palatino Linotype"/>
        </w:rPr>
        <w:t xml:space="preserve">En mérito de lo expuesto en líneas anteriores, resultan fundados los motivos de inconformidad que arguye </w:t>
      </w:r>
      <w:r w:rsidRPr="00BE5EFE">
        <w:rPr>
          <w:rFonts w:ascii="Palatino Linotype" w:hAnsi="Palatino Linotype"/>
          <w:b/>
        </w:rPr>
        <w:t>El Recurrente</w:t>
      </w:r>
      <w:r w:rsidRPr="00BE5EFE">
        <w:rPr>
          <w:rFonts w:ascii="Palatino Linotype" w:hAnsi="Palatino Linotype"/>
        </w:rPr>
        <w:t xml:space="preserve"> en su medio de impugnación que fue materia de estudio, por ello con fundamento en la </w:t>
      </w:r>
      <w:r w:rsidRPr="00BE5EFE">
        <w:rPr>
          <w:rFonts w:ascii="Palatino Linotype" w:hAnsi="Palatino Linotype"/>
          <w:i/>
        </w:rPr>
        <w:t>primera hipótesis</w:t>
      </w:r>
      <w:r w:rsidRPr="00BE5EFE">
        <w:rPr>
          <w:rFonts w:ascii="Palatino Linotype" w:hAnsi="Palatino Linotype"/>
        </w:rPr>
        <w:t xml:space="preserve"> de la fracción III, del artículo 186,</w:t>
      </w:r>
      <w:r w:rsidRPr="00BE5EFE">
        <w:rPr>
          <w:rFonts w:ascii="Palatino Linotype" w:hAnsi="Palatino Linotype"/>
          <w:b/>
        </w:rPr>
        <w:t xml:space="preserve"> </w:t>
      </w:r>
      <w:r w:rsidRPr="00BE5EFE">
        <w:rPr>
          <w:rFonts w:ascii="Palatino Linotype" w:hAnsi="Palatino Linotype"/>
        </w:rPr>
        <w:t xml:space="preserve">de la Ley de Transparencia y Acceso a la Información Pública del Estado de México y Municipios, se </w:t>
      </w:r>
      <w:r w:rsidRPr="00BE5EFE">
        <w:rPr>
          <w:rFonts w:ascii="Palatino Linotype" w:hAnsi="Palatino Linotype"/>
          <w:b/>
        </w:rPr>
        <w:t xml:space="preserve">REVOCA </w:t>
      </w:r>
      <w:r w:rsidRPr="00BE5EFE">
        <w:rPr>
          <w:rFonts w:ascii="Palatino Linotype" w:hAnsi="Palatino Linotype"/>
        </w:rPr>
        <w:t>la respuesta a la solicitud de información número</w:t>
      </w:r>
      <w:r w:rsidRPr="00BE5EFE">
        <w:rPr>
          <w:rFonts w:ascii="Palatino Linotype" w:hAnsi="Palatino Linotype"/>
          <w:b/>
        </w:rPr>
        <w:t xml:space="preserve"> </w:t>
      </w:r>
      <w:r w:rsidR="00662A6B" w:rsidRPr="00662A6B">
        <w:rPr>
          <w:rFonts w:ascii="Palatino Linotype" w:eastAsiaTheme="minorHAnsi" w:hAnsi="Palatino Linotype" w:cs="Arial"/>
          <w:b/>
          <w:szCs w:val="22"/>
          <w:lang w:val="es-MX" w:eastAsia="en-US"/>
        </w:rPr>
        <w:t>00050/OCUILAN/IP/2025</w:t>
      </w:r>
      <w:r w:rsidRPr="00BE5EFE">
        <w:rPr>
          <w:rFonts w:ascii="Palatino Linotype" w:hAnsi="Palatino Linotype"/>
        </w:rPr>
        <w:t>,</w:t>
      </w:r>
      <w:r w:rsidRPr="00BE5EFE">
        <w:rPr>
          <w:rFonts w:ascii="Palatino Linotype" w:hAnsi="Palatino Linotype"/>
          <w:b/>
        </w:rPr>
        <w:t xml:space="preserve"> </w:t>
      </w:r>
      <w:r w:rsidRPr="00BE5EFE">
        <w:rPr>
          <w:rFonts w:ascii="Palatino Linotype" w:hAnsi="Palatino Linotype"/>
          <w:bCs/>
        </w:rPr>
        <w:t>que ha sido materia del presente fallo</w:t>
      </w:r>
      <w:r w:rsidRPr="00BE5EFE">
        <w:rPr>
          <w:rFonts w:ascii="Palatino Linotype" w:hAnsi="Palatino Linotype"/>
        </w:rPr>
        <w:t>.</w:t>
      </w:r>
    </w:p>
    <w:p w14:paraId="0AB42789" w14:textId="77777777" w:rsidR="00662A6B" w:rsidRDefault="00662A6B" w:rsidP="009A0722">
      <w:pPr>
        <w:spacing w:line="360" w:lineRule="auto"/>
        <w:jc w:val="both"/>
        <w:rPr>
          <w:rFonts w:ascii="Palatino Linotype" w:hAnsi="Palatino Linotype"/>
        </w:rPr>
      </w:pPr>
    </w:p>
    <w:p w14:paraId="6CC0FEE6" w14:textId="77777777" w:rsidR="00662A6B" w:rsidRDefault="00662A6B" w:rsidP="00662A6B">
      <w:pPr>
        <w:spacing w:line="360" w:lineRule="auto"/>
        <w:jc w:val="center"/>
        <w:rPr>
          <w:rFonts w:ascii="Palatino Linotype" w:hAnsi="Palatino Linotype"/>
          <w:b/>
          <w:bCs/>
          <w:spacing w:val="60"/>
          <w:sz w:val="28"/>
          <w:lang w:val="es-ES_tradnl"/>
        </w:rPr>
      </w:pPr>
      <w:r w:rsidRPr="006037CA">
        <w:rPr>
          <w:rFonts w:ascii="Palatino Linotype" w:hAnsi="Palatino Linotype"/>
          <w:b/>
          <w:bCs/>
          <w:spacing w:val="60"/>
          <w:sz w:val="28"/>
          <w:lang w:val="es-ES_tradnl"/>
        </w:rPr>
        <w:t>SE    RESUELVE</w:t>
      </w:r>
    </w:p>
    <w:p w14:paraId="42FFB3A4" w14:textId="77777777" w:rsidR="00662A6B" w:rsidRPr="00561D99" w:rsidRDefault="00662A6B" w:rsidP="00662A6B">
      <w:pPr>
        <w:pStyle w:val="Sinespaciado"/>
      </w:pPr>
    </w:p>
    <w:p w14:paraId="669B7E9B" w14:textId="1265B77B" w:rsidR="00662A6B" w:rsidRDefault="00662A6B" w:rsidP="00662A6B">
      <w:pPr>
        <w:autoSpaceDE w:val="0"/>
        <w:autoSpaceDN w:val="0"/>
        <w:adjustRightInd w:val="0"/>
        <w:spacing w:line="360" w:lineRule="auto"/>
        <w:ind w:right="49"/>
        <w:jc w:val="both"/>
        <w:rPr>
          <w:rFonts w:ascii="Palatino Linotype" w:hAnsi="Palatino Linotype" w:cs="Arial"/>
        </w:rPr>
      </w:pPr>
      <w:r w:rsidRPr="006037CA">
        <w:rPr>
          <w:rFonts w:ascii="Palatino Linotype" w:hAnsi="Palatino Linotype" w:cs="Arial"/>
          <w:b/>
          <w:sz w:val="28"/>
          <w:szCs w:val="28"/>
          <w:lang w:val="es-ES_tradnl"/>
        </w:rPr>
        <w:t>PRIMERO.</w:t>
      </w:r>
      <w:r w:rsidRPr="006037CA">
        <w:rPr>
          <w:rFonts w:ascii="Palatino Linotype" w:hAnsi="Palatino Linotype" w:cs="Arial"/>
          <w:lang w:val="es-ES_tradnl"/>
        </w:rPr>
        <w:t xml:space="preserve"> </w:t>
      </w:r>
      <w:r w:rsidRPr="006037CA">
        <w:rPr>
          <w:rFonts w:ascii="Palatino Linotype" w:hAnsi="Palatino Linotype" w:cs="Arial"/>
        </w:rPr>
        <w:t>Se</w:t>
      </w:r>
      <w:r w:rsidRPr="006037CA">
        <w:rPr>
          <w:rFonts w:ascii="Palatino Linotype" w:hAnsi="Palatino Linotype" w:cs="Arial"/>
          <w:b/>
        </w:rPr>
        <w:t xml:space="preserve"> </w:t>
      </w:r>
      <w:r>
        <w:rPr>
          <w:rFonts w:ascii="Palatino Linotype" w:hAnsi="Palatino Linotype" w:cs="Arial"/>
          <w:b/>
        </w:rPr>
        <w:t>REVO</w:t>
      </w:r>
      <w:r w:rsidRPr="006037CA">
        <w:rPr>
          <w:rFonts w:ascii="Palatino Linotype" w:hAnsi="Palatino Linotype" w:cs="Arial"/>
          <w:b/>
        </w:rPr>
        <w:t xml:space="preserve">CA </w:t>
      </w:r>
      <w:r w:rsidRPr="006037CA">
        <w:rPr>
          <w:rFonts w:ascii="Palatino Linotype" w:eastAsia="Arial Unicode MS" w:hAnsi="Palatino Linotype" w:cs="Arial"/>
        </w:rPr>
        <w:t>la respuesta entregada por</w:t>
      </w:r>
      <w:r>
        <w:rPr>
          <w:rFonts w:ascii="Palatino Linotype" w:eastAsia="Arial Unicode MS" w:hAnsi="Palatino Linotype" w:cs="Arial"/>
        </w:rPr>
        <w:t xml:space="preserve"> el </w:t>
      </w:r>
      <w:r w:rsidRPr="006037CA">
        <w:rPr>
          <w:rFonts w:ascii="Palatino Linotype" w:eastAsia="Arial Unicode MS" w:hAnsi="Palatino Linotype" w:cs="Arial"/>
          <w:b/>
        </w:rPr>
        <w:t xml:space="preserve">Sujeto Obligado </w:t>
      </w:r>
      <w:r w:rsidRPr="006037CA">
        <w:rPr>
          <w:rFonts w:ascii="Palatino Linotype" w:eastAsia="Arial Unicode MS" w:hAnsi="Palatino Linotype" w:cs="Arial"/>
        </w:rPr>
        <w:t xml:space="preserve">a la solicitud de información </w:t>
      </w:r>
      <w:bookmarkStart w:id="6" w:name="_Hlk198116754"/>
      <w:r w:rsidRPr="006037CA">
        <w:rPr>
          <w:rFonts w:ascii="Palatino Linotype" w:eastAsia="Arial Unicode MS" w:hAnsi="Palatino Linotype" w:cs="Arial"/>
        </w:rPr>
        <w:t xml:space="preserve">número </w:t>
      </w:r>
      <w:r w:rsidRPr="00662A6B">
        <w:rPr>
          <w:rFonts w:ascii="Palatino Linotype" w:hAnsi="Palatino Linotype" w:cs="Arial"/>
          <w:b/>
        </w:rPr>
        <w:t>00050/OCUILAN/IP/2025</w:t>
      </w:r>
      <w:bookmarkEnd w:id="6"/>
      <w:r w:rsidRPr="006037CA">
        <w:rPr>
          <w:rFonts w:ascii="Palatino Linotype" w:hAnsi="Palatino Linotype" w:cs="Arial"/>
        </w:rPr>
        <w:t>, por resultar fundados los motivos de inconformidad vertidos por el</w:t>
      </w:r>
      <w:r w:rsidRPr="006037CA">
        <w:rPr>
          <w:rFonts w:ascii="Palatino Linotype" w:hAnsi="Palatino Linotype" w:cs="Arial"/>
          <w:b/>
        </w:rPr>
        <w:t xml:space="preserve"> Recurrente</w:t>
      </w:r>
      <w:r w:rsidRPr="006037CA">
        <w:rPr>
          <w:rFonts w:ascii="Palatino Linotype" w:hAnsi="Palatino Linotype" w:cs="Arial"/>
        </w:rPr>
        <w:t xml:space="preserve">, en términos del Considerando </w:t>
      </w:r>
      <w:r>
        <w:rPr>
          <w:rFonts w:ascii="Palatino Linotype" w:hAnsi="Palatino Linotype" w:cs="Arial"/>
          <w:b/>
        </w:rPr>
        <w:t>QUIN</w:t>
      </w:r>
      <w:r w:rsidRPr="006037CA">
        <w:rPr>
          <w:rFonts w:ascii="Palatino Linotype" w:hAnsi="Palatino Linotype" w:cs="Arial"/>
          <w:b/>
        </w:rPr>
        <w:t>TO</w:t>
      </w:r>
      <w:r w:rsidRPr="006037CA">
        <w:rPr>
          <w:rFonts w:ascii="Palatino Linotype" w:hAnsi="Palatino Linotype" w:cs="Arial"/>
        </w:rPr>
        <w:t xml:space="preserve"> de esta resolución.</w:t>
      </w:r>
    </w:p>
    <w:p w14:paraId="7654ECF4" w14:textId="77777777" w:rsidR="00662A6B" w:rsidRPr="00561D99" w:rsidRDefault="00662A6B" w:rsidP="00662A6B">
      <w:pPr>
        <w:autoSpaceDE w:val="0"/>
        <w:autoSpaceDN w:val="0"/>
        <w:adjustRightInd w:val="0"/>
        <w:spacing w:line="360" w:lineRule="auto"/>
        <w:ind w:right="49"/>
        <w:jc w:val="both"/>
        <w:rPr>
          <w:rFonts w:ascii="Palatino Linotype" w:hAnsi="Palatino Linotype" w:cs="Arial"/>
        </w:rPr>
      </w:pPr>
    </w:p>
    <w:p w14:paraId="33133504" w14:textId="781F7760" w:rsidR="00662A6B" w:rsidRDefault="00662A6B" w:rsidP="00662A6B">
      <w:pPr>
        <w:spacing w:line="360" w:lineRule="auto"/>
        <w:jc w:val="both"/>
        <w:rPr>
          <w:rFonts w:ascii="Palatino Linotype" w:hAnsi="Palatino Linotype" w:cs="Arial"/>
        </w:rPr>
      </w:pPr>
      <w:r w:rsidRPr="006037CA">
        <w:rPr>
          <w:rFonts w:ascii="Palatino Linotype" w:hAnsi="Palatino Linotype" w:cs="Arial"/>
          <w:b/>
          <w:sz w:val="28"/>
          <w:szCs w:val="28"/>
        </w:rPr>
        <w:t>SEGUNDO.</w:t>
      </w:r>
      <w:r w:rsidRPr="006037CA">
        <w:rPr>
          <w:rFonts w:ascii="Palatino Linotype" w:hAnsi="Palatino Linotype" w:cs="Arial"/>
        </w:rPr>
        <w:t xml:space="preserve"> Se </w:t>
      </w:r>
      <w:r w:rsidRPr="006037CA">
        <w:rPr>
          <w:rFonts w:ascii="Palatino Linotype" w:hAnsi="Palatino Linotype" w:cs="Arial"/>
          <w:b/>
        </w:rPr>
        <w:t>ORDENA</w:t>
      </w:r>
      <w:r w:rsidRPr="006037CA">
        <w:rPr>
          <w:rFonts w:ascii="Palatino Linotype" w:hAnsi="Palatino Linotype" w:cs="Arial"/>
        </w:rPr>
        <w:t xml:space="preserve"> al </w:t>
      </w:r>
      <w:r w:rsidRPr="006037CA">
        <w:rPr>
          <w:rFonts w:ascii="Palatino Linotype" w:hAnsi="Palatino Linotype" w:cs="Arial"/>
          <w:b/>
        </w:rPr>
        <w:t>Sujeto Obligado</w:t>
      </w:r>
      <w:r w:rsidRPr="006037CA">
        <w:rPr>
          <w:rFonts w:ascii="Palatino Linotype" w:hAnsi="Palatino Linotype" w:cs="Arial"/>
        </w:rPr>
        <w:t xml:space="preserve"> haga entrega al </w:t>
      </w:r>
      <w:r w:rsidRPr="006037CA">
        <w:rPr>
          <w:rFonts w:ascii="Palatino Linotype" w:hAnsi="Palatino Linotype" w:cs="Arial"/>
          <w:b/>
        </w:rPr>
        <w:t xml:space="preserve">Recurrente </w:t>
      </w:r>
      <w:r w:rsidRPr="006037CA">
        <w:rPr>
          <w:rFonts w:ascii="Palatino Linotype" w:hAnsi="Palatino Linotype" w:cs="Arial"/>
        </w:rPr>
        <w:t xml:space="preserve">en términos del Considerando </w:t>
      </w:r>
      <w:r>
        <w:rPr>
          <w:rFonts w:ascii="Palatino Linotype" w:hAnsi="Palatino Linotype" w:cs="Arial"/>
          <w:b/>
        </w:rPr>
        <w:t>QUIN</w:t>
      </w:r>
      <w:r w:rsidRPr="006037CA">
        <w:rPr>
          <w:rFonts w:ascii="Palatino Linotype" w:hAnsi="Palatino Linotype" w:cs="Arial"/>
          <w:b/>
        </w:rPr>
        <w:t xml:space="preserve">TO </w:t>
      </w:r>
      <w:r w:rsidRPr="006037CA">
        <w:rPr>
          <w:rFonts w:ascii="Palatino Linotype" w:hAnsi="Palatino Linotype" w:cs="Arial"/>
        </w:rPr>
        <w:t>de esta resolución, a través del</w:t>
      </w:r>
      <w:r w:rsidRPr="006037CA">
        <w:rPr>
          <w:rFonts w:ascii="Palatino Linotype" w:hAnsi="Palatino Linotype" w:cs="Arial"/>
          <w:b/>
        </w:rPr>
        <w:t xml:space="preserve"> </w:t>
      </w:r>
      <w:r w:rsidRPr="006037CA">
        <w:rPr>
          <w:rFonts w:ascii="Palatino Linotype" w:hAnsi="Palatino Linotype" w:cs="Arial"/>
        </w:rPr>
        <w:t xml:space="preserve">Sistema de Acceso a la Información Mexiquense </w:t>
      </w:r>
      <w:r w:rsidRPr="006037CA">
        <w:rPr>
          <w:rFonts w:ascii="Palatino Linotype" w:hAnsi="Palatino Linotype" w:cs="Arial"/>
          <w:b/>
        </w:rPr>
        <w:t>(SAIMEX)</w:t>
      </w:r>
      <w:r>
        <w:rPr>
          <w:rFonts w:ascii="Palatino Linotype" w:hAnsi="Palatino Linotype" w:cs="Arial"/>
        </w:rPr>
        <w:t xml:space="preserve">, la versión pública, de lo </w:t>
      </w:r>
      <w:r w:rsidRPr="006037CA">
        <w:rPr>
          <w:rFonts w:ascii="Palatino Linotype" w:hAnsi="Palatino Linotype" w:cs="Arial"/>
        </w:rPr>
        <w:t>siguiente:</w:t>
      </w:r>
    </w:p>
    <w:p w14:paraId="02E5B558" w14:textId="77777777" w:rsidR="00662A6B" w:rsidRPr="00561D99" w:rsidRDefault="00662A6B" w:rsidP="0048783A">
      <w:pPr>
        <w:pStyle w:val="Sinespaciado"/>
      </w:pPr>
    </w:p>
    <w:p w14:paraId="1597BE0C" w14:textId="649A4079" w:rsidR="00662A6B" w:rsidRDefault="00662A6B" w:rsidP="0048783A">
      <w:pPr>
        <w:pStyle w:val="Prrafodelista"/>
        <w:numPr>
          <w:ilvl w:val="0"/>
          <w:numId w:val="9"/>
        </w:numPr>
        <w:spacing w:line="276" w:lineRule="auto"/>
        <w:jc w:val="both"/>
        <w:rPr>
          <w:rFonts w:ascii="Palatino Linotype" w:hAnsi="Palatino Linotype" w:cs="Tahoma"/>
        </w:rPr>
      </w:pPr>
      <w:r w:rsidRPr="00662A6B">
        <w:rPr>
          <w:rFonts w:ascii="Palatino Linotype" w:hAnsi="Palatino Linotype" w:cs="Tahoma"/>
        </w:rPr>
        <w:lastRenderedPageBreak/>
        <w:t xml:space="preserve">Los avisos de movimiento de baja ante </w:t>
      </w:r>
      <w:r>
        <w:rPr>
          <w:rFonts w:ascii="Palatino Linotype" w:hAnsi="Palatino Linotype" w:cs="Tahoma"/>
        </w:rPr>
        <w:t xml:space="preserve">el </w:t>
      </w:r>
      <w:r w:rsidRPr="00662A6B">
        <w:rPr>
          <w:rFonts w:ascii="Palatino Linotype" w:hAnsi="Palatino Linotype" w:cs="Tahoma"/>
        </w:rPr>
        <w:t>Instituto de Seguridad Social del Estado de México y Municipios</w:t>
      </w:r>
      <w:r>
        <w:rPr>
          <w:rFonts w:ascii="Palatino Linotype" w:hAnsi="Palatino Linotype" w:cs="Tahoma"/>
        </w:rPr>
        <w:t xml:space="preserve">, de las personas referidas en la solicitud de información </w:t>
      </w:r>
      <w:r w:rsidRPr="00662A6B">
        <w:rPr>
          <w:rFonts w:ascii="Palatino Linotype" w:hAnsi="Palatino Linotype" w:cs="Tahoma"/>
        </w:rPr>
        <w:t xml:space="preserve">número </w:t>
      </w:r>
      <w:r w:rsidRPr="00662A6B">
        <w:rPr>
          <w:rFonts w:ascii="Palatino Linotype" w:hAnsi="Palatino Linotype" w:cs="Tahoma"/>
          <w:b/>
        </w:rPr>
        <w:t>00050/OCUILAN/IP/2025</w:t>
      </w:r>
      <w:r>
        <w:rPr>
          <w:rFonts w:ascii="Palatino Linotype" w:hAnsi="Palatino Linotype" w:cs="Tahoma"/>
          <w:bCs/>
        </w:rPr>
        <w:t>.</w:t>
      </w:r>
    </w:p>
    <w:p w14:paraId="77142CB7" w14:textId="77777777" w:rsidR="00662A6B" w:rsidRPr="00662A6B" w:rsidRDefault="00662A6B" w:rsidP="00662A6B">
      <w:pPr>
        <w:pStyle w:val="Sinespaciado"/>
      </w:pPr>
    </w:p>
    <w:p w14:paraId="2581D2E9" w14:textId="77777777" w:rsidR="00662A6B" w:rsidRDefault="00662A6B" w:rsidP="0048783A">
      <w:pPr>
        <w:ind w:left="426" w:right="332"/>
        <w:jc w:val="both"/>
        <w:rPr>
          <w:rFonts w:ascii="Palatino Linotype" w:hAnsi="Palatino Linotype"/>
          <w:i/>
          <w:sz w:val="22"/>
        </w:rPr>
      </w:pPr>
      <w:r w:rsidRPr="00800C72">
        <w:rPr>
          <w:rFonts w:ascii="Palatino Linotype" w:hAnsi="Palatino Linotype"/>
          <w:i/>
          <w:sz w:val="22"/>
        </w:rPr>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w:t>
      </w:r>
      <w:r w:rsidRPr="00800C72">
        <w:rPr>
          <w:rFonts w:ascii="Palatino Linotype" w:hAnsi="Palatino Linotype"/>
          <w:b/>
          <w:i/>
          <w:sz w:val="22"/>
        </w:rPr>
        <w:t>Recurrente</w:t>
      </w:r>
      <w:r w:rsidRPr="00800C72">
        <w:rPr>
          <w:rFonts w:ascii="Palatino Linotype" w:hAnsi="Palatino Linotype"/>
          <w:i/>
          <w:sz w:val="22"/>
        </w:rPr>
        <w:t>.</w:t>
      </w:r>
    </w:p>
    <w:p w14:paraId="0084EC65" w14:textId="77777777" w:rsidR="00662A6B" w:rsidRDefault="00662A6B" w:rsidP="00662A6B">
      <w:pPr>
        <w:ind w:left="426" w:right="190"/>
        <w:jc w:val="both"/>
        <w:rPr>
          <w:rFonts w:ascii="Palatino Linotype" w:hAnsi="Palatino Linotype"/>
          <w:i/>
          <w:sz w:val="22"/>
        </w:rPr>
      </w:pPr>
    </w:p>
    <w:p w14:paraId="066D9791" w14:textId="77777777" w:rsidR="00662A6B" w:rsidRPr="00AA1CCC" w:rsidRDefault="00662A6B" w:rsidP="00662A6B">
      <w:pPr>
        <w:ind w:right="141"/>
        <w:jc w:val="both"/>
        <w:rPr>
          <w:rFonts w:ascii="Palatino Linotype" w:hAnsi="Palatino Linotype"/>
          <w:i/>
          <w:sz w:val="14"/>
        </w:rPr>
      </w:pPr>
    </w:p>
    <w:p w14:paraId="355C43FC" w14:textId="77777777" w:rsidR="00662A6B" w:rsidRDefault="00662A6B" w:rsidP="00662A6B">
      <w:pPr>
        <w:autoSpaceDE w:val="0"/>
        <w:autoSpaceDN w:val="0"/>
        <w:adjustRightInd w:val="0"/>
        <w:spacing w:line="360" w:lineRule="auto"/>
        <w:ind w:right="49"/>
        <w:jc w:val="both"/>
        <w:rPr>
          <w:rFonts w:ascii="Palatino Linotype" w:hAnsi="Palatino Linotype" w:cs="Arial"/>
          <w:szCs w:val="28"/>
          <w:lang w:val="es-ES_tradnl"/>
        </w:rPr>
      </w:pPr>
      <w:r w:rsidRPr="006037CA">
        <w:rPr>
          <w:rFonts w:ascii="Palatino Linotype" w:hAnsi="Palatino Linotype" w:cs="Arial"/>
          <w:b/>
          <w:sz w:val="28"/>
          <w:szCs w:val="28"/>
          <w:lang w:val="es-ES_tradnl"/>
        </w:rPr>
        <w:t xml:space="preserve">TERCERO. </w:t>
      </w:r>
      <w:r w:rsidRPr="006037CA">
        <w:rPr>
          <w:rFonts w:ascii="Palatino Linotype" w:hAnsi="Palatino Linotype" w:cs="Arial"/>
          <w:b/>
          <w:szCs w:val="28"/>
          <w:lang w:val="es-ES_tradnl"/>
        </w:rPr>
        <w:t xml:space="preserve">NOTIFÍQUESE </w:t>
      </w:r>
      <w:r w:rsidRPr="006037CA">
        <w:rPr>
          <w:rFonts w:ascii="Palatino Linotype" w:hAnsi="Palatino Linotype" w:cs="Arial"/>
          <w:szCs w:val="28"/>
          <w:lang w:val="es-ES_tradnl"/>
        </w:rPr>
        <w:t xml:space="preserve">la presente resolución </w:t>
      </w:r>
      <w:r w:rsidRPr="006037CA">
        <w:rPr>
          <w:rFonts w:ascii="Palatino Linotype" w:hAnsi="Palatino Linotype" w:cs="Arial"/>
        </w:rPr>
        <w:t xml:space="preserve">a través del Sistema de Acceso a la Información Mexiquense </w:t>
      </w:r>
      <w:r w:rsidRPr="006037CA">
        <w:rPr>
          <w:rFonts w:ascii="Palatino Linotype" w:hAnsi="Palatino Linotype" w:cs="Arial"/>
          <w:b/>
        </w:rPr>
        <w:t>(SAIMEX)</w:t>
      </w:r>
      <w:r w:rsidRPr="006037CA">
        <w:rPr>
          <w:rFonts w:ascii="Palatino Linotype" w:hAnsi="Palatino Linotype" w:cs="Arial"/>
          <w:szCs w:val="28"/>
          <w:lang w:val="es-ES_tradnl"/>
        </w:rPr>
        <w:t xml:space="preserve"> al Titular de la Unidad de Transparencia del </w:t>
      </w:r>
      <w:r w:rsidRPr="006037CA">
        <w:rPr>
          <w:rFonts w:ascii="Palatino Linotype" w:hAnsi="Palatino Linotype" w:cs="Arial"/>
          <w:b/>
          <w:szCs w:val="28"/>
          <w:lang w:val="es-ES_tradnl"/>
        </w:rPr>
        <w:t>Sujeto Obligado</w:t>
      </w:r>
      <w:r w:rsidRPr="006037CA">
        <w:rPr>
          <w:rFonts w:ascii="Palatino Linotype" w:hAnsi="Palatino Linotype" w:cs="Arial"/>
          <w:szCs w:val="28"/>
          <w:lang w:val="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w:t>
      </w:r>
      <w:r>
        <w:rPr>
          <w:rFonts w:ascii="Palatino Linotype" w:hAnsi="Palatino Linotype" w:cs="Arial"/>
          <w:szCs w:val="28"/>
          <w:lang w:val="es-ES_tradnl"/>
        </w:rPr>
        <w:t xml:space="preserve"> III; 214, 215 y 216 de la Ley </w:t>
      </w:r>
      <w:r w:rsidRPr="006037CA">
        <w:rPr>
          <w:rFonts w:ascii="Palatino Linotype" w:hAnsi="Palatino Linotype" w:cs="Arial"/>
          <w:szCs w:val="28"/>
          <w:lang w:val="es-ES_tradnl"/>
        </w:rPr>
        <w:t>de Transparencia y Acceso a la Información Pública del Estado de México y Municipios.</w:t>
      </w:r>
    </w:p>
    <w:p w14:paraId="2FA8E343" w14:textId="77777777" w:rsidR="00662A6B" w:rsidRPr="00561D99" w:rsidRDefault="00662A6B" w:rsidP="00662A6B">
      <w:pPr>
        <w:autoSpaceDE w:val="0"/>
        <w:autoSpaceDN w:val="0"/>
        <w:adjustRightInd w:val="0"/>
        <w:spacing w:line="360" w:lineRule="auto"/>
        <w:ind w:right="49"/>
        <w:jc w:val="both"/>
        <w:rPr>
          <w:rFonts w:ascii="Palatino Linotype" w:hAnsi="Palatino Linotype" w:cs="Arial"/>
          <w:szCs w:val="28"/>
          <w:lang w:val="es-ES_tradnl"/>
        </w:rPr>
      </w:pPr>
    </w:p>
    <w:p w14:paraId="7D234B2E" w14:textId="77777777" w:rsidR="00662A6B" w:rsidRDefault="00662A6B" w:rsidP="00662A6B">
      <w:pPr>
        <w:spacing w:line="360" w:lineRule="auto"/>
        <w:jc w:val="both"/>
        <w:rPr>
          <w:rFonts w:ascii="Palatino Linotype" w:hAnsi="Palatino Linotype" w:cs="Arial"/>
          <w:bCs/>
          <w:szCs w:val="28"/>
        </w:rPr>
      </w:pPr>
      <w:r w:rsidRPr="006037CA">
        <w:rPr>
          <w:rFonts w:ascii="Palatino Linotype" w:hAnsi="Palatino Linotype" w:cs="Arial"/>
          <w:b/>
          <w:bCs/>
          <w:sz w:val="28"/>
          <w:szCs w:val="28"/>
        </w:rPr>
        <w:t>CUARTO.</w:t>
      </w:r>
      <w:r w:rsidRPr="006037CA">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6037CA">
        <w:rPr>
          <w:rFonts w:ascii="Palatino Linotype" w:hAnsi="Palatino Linotype" w:cs="Arial"/>
          <w:b/>
          <w:bCs/>
          <w:szCs w:val="28"/>
        </w:rPr>
        <w:t>Sujeto Obligado</w:t>
      </w:r>
      <w:r w:rsidRPr="006037CA">
        <w:rPr>
          <w:rFonts w:ascii="Palatino Linotype" w:hAnsi="Palatino Linotype" w:cs="Arial"/>
          <w:bCs/>
          <w:szCs w:val="28"/>
        </w:rPr>
        <w:t xml:space="preserve"> de manera fundada y motivada, podrá solicitar una ampliación de plazo para el cumplimiento de la presente resolución.</w:t>
      </w:r>
    </w:p>
    <w:p w14:paraId="4E0810FE" w14:textId="77777777" w:rsidR="00662A6B" w:rsidRPr="00561D99" w:rsidRDefault="00662A6B" w:rsidP="00662A6B">
      <w:pPr>
        <w:spacing w:line="360" w:lineRule="auto"/>
        <w:jc w:val="both"/>
        <w:rPr>
          <w:rFonts w:ascii="Palatino Linotype" w:hAnsi="Palatino Linotype" w:cs="Arial"/>
          <w:bCs/>
          <w:szCs w:val="28"/>
        </w:rPr>
      </w:pPr>
    </w:p>
    <w:p w14:paraId="0B0F590F" w14:textId="09988F55" w:rsidR="00764B25" w:rsidRDefault="00662A6B" w:rsidP="00662A6B">
      <w:pPr>
        <w:autoSpaceDE w:val="0"/>
        <w:autoSpaceDN w:val="0"/>
        <w:adjustRightInd w:val="0"/>
        <w:spacing w:line="360" w:lineRule="auto"/>
        <w:ind w:right="49"/>
        <w:jc w:val="both"/>
        <w:rPr>
          <w:rFonts w:ascii="Palatino Linotype" w:hAnsi="Palatino Linotype" w:cs="Arial"/>
        </w:rPr>
      </w:pPr>
      <w:r w:rsidRPr="006037CA">
        <w:rPr>
          <w:rFonts w:ascii="Palatino Linotype" w:hAnsi="Palatino Linotype" w:cs="Arial"/>
          <w:b/>
          <w:sz w:val="28"/>
          <w:szCs w:val="28"/>
        </w:rPr>
        <w:t>QUINTO.</w:t>
      </w:r>
      <w:r w:rsidRPr="006037CA">
        <w:rPr>
          <w:rFonts w:ascii="Palatino Linotype" w:hAnsi="Palatino Linotype" w:cs="Arial"/>
          <w:b/>
        </w:rPr>
        <w:t xml:space="preserve"> NOTIFÍQUESE</w:t>
      </w:r>
      <w:r w:rsidRPr="006037CA">
        <w:rPr>
          <w:rFonts w:ascii="Palatino Linotype" w:hAnsi="Palatino Linotype" w:cs="Arial"/>
        </w:rPr>
        <w:t xml:space="preserve"> al </w:t>
      </w:r>
      <w:r w:rsidRPr="006037CA">
        <w:rPr>
          <w:rFonts w:ascii="Palatino Linotype" w:hAnsi="Palatino Linotype" w:cs="Arial"/>
          <w:b/>
        </w:rPr>
        <w:t>Recurrente</w:t>
      </w:r>
      <w:r w:rsidRPr="006037CA">
        <w:rPr>
          <w:rFonts w:ascii="Palatino Linotype" w:hAnsi="Palatino Linotype" w:cs="Arial"/>
        </w:rPr>
        <w:t xml:space="preserve"> la presente resolución a través del Sistema de Acceso a la Información Mexiquense </w:t>
      </w:r>
      <w:r w:rsidRPr="006037CA">
        <w:rPr>
          <w:rFonts w:ascii="Palatino Linotype" w:hAnsi="Palatino Linotype" w:cs="Arial"/>
          <w:b/>
        </w:rPr>
        <w:t>(SAIMEX),</w:t>
      </w:r>
      <w:r w:rsidRPr="006037CA">
        <w:rPr>
          <w:rFonts w:ascii="Palatino Linotype" w:hAnsi="Palatino Linotype" w:cs="Arial"/>
        </w:rPr>
        <w:t xml:space="preserve"> y hágase de su conocimiento que </w:t>
      </w:r>
      <w:r w:rsidRPr="006037CA">
        <w:rPr>
          <w:rFonts w:ascii="Palatino Linotype" w:hAnsi="Palatino Linotype" w:cs="Arial"/>
        </w:rPr>
        <w:lastRenderedPageBreak/>
        <w:t>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14CF31AF" w14:textId="77777777" w:rsidR="00662A6B" w:rsidRPr="00662A6B" w:rsidRDefault="00662A6B" w:rsidP="00662A6B">
      <w:pPr>
        <w:autoSpaceDE w:val="0"/>
        <w:autoSpaceDN w:val="0"/>
        <w:adjustRightInd w:val="0"/>
        <w:spacing w:line="360" w:lineRule="auto"/>
        <w:ind w:right="49"/>
        <w:jc w:val="both"/>
        <w:rPr>
          <w:rFonts w:ascii="Palatino Linotype" w:hAnsi="Palatino Linotype" w:cs="Arial"/>
        </w:rPr>
      </w:pPr>
    </w:p>
    <w:p w14:paraId="708C2C7B" w14:textId="28554937" w:rsidR="00B10A2E" w:rsidRDefault="0029071C" w:rsidP="00D01A63">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ASÍ LO RESUELVE, POR UNANIMIDAD DE VOTOS, EL PLENO DEL</w:t>
      </w:r>
      <w:r w:rsidRPr="006A240A">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6A240A">
        <w:rPr>
          <w:rFonts w:ascii="Palatino Linotype" w:eastAsiaTheme="minorHAnsi" w:hAnsi="Palatino Linotype" w:cs="Arial"/>
          <w:lang w:val="es-MX" w:eastAsia="en-US"/>
        </w:rPr>
        <w:t>, CONFORMADO POR LOS COMISIONADOS JOSÉ MARTÍNEZ VILCHIS; MARÍA DEL ROSARIO MEJÍA AYALA; SHARON CRISTINA MORALES MARTÍNEZ</w:t>
      </w:r>
      <w:r w:rsidR="00F41BF5">
        <w:rPr>
          <w:rFonts w:ascii="Palatino Linotype" w:eastAsiaTheme="minorHAnsi" w:hAnsi="Palatino Linotype" w:cs="Arial"/>
          <w:lang w:val="es-MX" w:eastAsia="en-US"/>
        </w:rPr>
        <w:t xml:space="preserve"> </w:t>
      </w:r>
      <w:r w:rsidR="00F41BF5">
        <w:rPr>
          <w:rFonts w:ascii="Palatino Linotype" w:eastAsia="Palatino Linotype" w:hAnsi="Palatino Linotype" w:cs="Palatino Linotype"/>
        </w:rPr>
        <w:t>(AUSENCIA JUSTIFICADA</w:t>
      </w:r>
      <w:r w:rsidR="00C3593B">
        <w:rPr>
          <w:rFonts w:ascii="Palatino Linotype" w:eastAsia="Palatino Linotype" w:hAnsi="Palatino Linotype" w:cs="Palatino Linotype"/>
        </w:rPr>
        <w:t>)</w:t>
      </w:r>
      <w:r w:rsidR="00F41BF5">
        <w:rPr>
          <w:rFonts w:ascii="Palatino Linotype" w:eastAsia="Palatino Linotype" w:hAnsi="Palatino Linotype" w:cs="Palatino Linotype"/>
        </w:rPr>
        <w:t xml:space="preserve"> </w:t>
      </w:r>
      <w:r w:rsidR="008D1030">
        <w:rPr>
          <w:rFonts w:ascii="Palatino Linotype" w:eastAsiaTheme="minorHAnsi" w:hAnsi="Palatino Linotype" w:cs="Arial"/>
          <w:lang w:val="es-MX" w:eastAsia="en-US"/>
        </w:rPr>
        <w:t xml:space="preserve"> </w:t>
      </w:r>
      <w:r w:rsidRPr="006A240A">
        <w:rPr>
          <w:rFonts w:ascii="Palatino Linotype" w:eastAsiaTheme="minorHAnsi" w:hAnsi="Palatino Linotype" w:cs="Arial"/>
          <w:lang w:val="es-MX" w:eastAsia="en-US"/>
        </w:rPr>
        <w:t xml:space="preserve">Y GUADALUPE RAMÍREZ PEÑA; EN LA </w:t>
      </w:r>
      <w:r w:rsidR="00A97F97">
        <w:rPr>
          <w:rFonts w:ascii="Palatino Linotype" w:eastAsiaTheme="minorHAnsi" w:hAnsi="Palatino Linotype" w:cs="Arial"/>
          <w:lang w:val="es-MX" w:eastAsia="en-US"/>
        </w:rPr>
        <w:t xml:space="preserve">DÉCIMA </w:t>
      </w:r>
      <w:r w:rsidR="002F6ADB">
        <w:rPr>
          <w:rFonts w:ascii="Palatino Linotype" w:eastAsiaTheme="minorHAnsi" w:hAnsi="Palatino Linotype" w:cs="Arial"/>
          <w:lang w:val="es-MX" w:eastAsia="en-US"/>
        </w:rPr>
        <w:t>NOVEN</w:t>
      </w:r>
      <w:r w:rsidR="00A97F97">
        <w:rPr>
          <w:rFonts w:ascii="Palatino Linotype" w:eastAsiaTheme="minorHAnsi" w:hAnsi="Palatino Linotype" w:cs="Arial"/>
          <w:lang w:val="es-MX" w:eastAsia="en-US"/>
        </w:rPr>
        <w:t>A</w:t>
      </w:r>
      <w:r w:rsidR="007D645B">
        <w:rPr>
          <w:rFonts w:ascii="Palatino Linotype" w:eastAsiaTheme="minorHAnsi" w:hAnsi="Palatino Linotype" w:cs="Arial"/>
          <w:lang w:val="es-MX" w:eastAsia="en-US"/>
        </w:rPr>
        <w:t xml:space="preserve"> </w:t>
      </w:r>
      <w:r w:rsidR="00C37A05" w:rsidRPr="006A240A">
        <w:rPr>
          <w:rFonts w:ascii="Palatino Linotype" w:eastAsiaTheme="minorHAnsi" w:hAnsi="Palatino Linotype" w:cs="Arial"/>
          <w:lang w:val="es-MX" w:eastAsia="en-US"/>
        </w:rPr>
        <w:t xml:space="preserve">SESIÓN </w:t>
      </w:r>
      <w:r w:rsidR="00C753C2" w:rsidRPr="006A240A">
        <w:rPr>
          <w:rFonts w:ascii="Palatino Linotype" w:eastAsiaTheme="minorHAnsi" w:hAnsi="Palatino Linotype" w:cs="Arial"/>
          <w:lang w:val="es-MX" w:eastAsia="en-US"/>
        </w:rPr>
        <w:t xml:space="preserve">ORDINARIA CELEBRADA </w:t>
      </w:r>
      <w:r w:rsidR="00C37A05" w:rsidRPr="006A240A">
        <w:rPr>
          <w:rFonts w:ascii="Palatino Linotype" w:eastAsiaTheme="minorHAnsi" w:hAnsi="Palatino Linotype" w:cs="Arial"/>
          <w:lang w:val="es-MX" w:eastAsia="en-US"/>
        </w:rPr>
        <w:t xml:space="preserve">EL </w:t>
      </w:r>
      <w:r w:rsidR="00A97F97">
        <w:rPr>
          <w:rFonts w:ascii="Palatino Linotype" w:hAnsi="Palatino Linotype" w:cs="Arial"/>
          <w:color w:val="000000"/>
          <w:lang w:val="es-MX" w:eastAsia="es-MX"/>
        </w:rPr>
        <w:t>VEINTI</w:t>
      </w:r>
      <w:r w:rsidR="002F6ADB">
        <w:rPr>
          <w:rFonts w:ascii="Palatino Linotype" w:hAnsi="Palatino Linotype" w:cs="Arial"/>
          <w:color w:val="000000"/>
          <w:lang w:val="es-MX" w:eastAsia="es-MX"/>
        </w:rPr>
        <w:t>OCHO</w:t>
      </w:r>
      <w:r w:rsidR="00561D99">
        <w:rPr>
          <w:rFonts w:ascii="Palatino Linotype" w:hAnsi="Palatino Linotype" w:cs="Arial"/>
          <w:color w:val="000000"/>
          <w:lang w:val="es-MX" w:eastAsia="es-MX"/>
        </w:rPr>
        <w:t xml:space="preserve"> DE MA</w:t>
      </w:r>
      <w:r w:rsidR="002F6ADB">
        <w:rPr>
          <w:rFonts w:ascii="Palatino Linotype" w:hAnsi="Palatino Linotype" w:cs="Arial"/>
          <w:color w:val="000000"/>
          <w:lang w:val="es-MX" w:eastAsia="es-MX"/>
        </w:rPr>
        <w:t>Y</w:t>
      </w:r>
      <w:r w:rsidR="00561D99">
        <w:rPr>
          <w:rFonts w:ascii="Palatino Linotype" w:hAnsi="Palatino Linotype" w:cs="Arial"/>
          <w:color w:val="000000"/>
          <w:lang w:val="es-MX" w:eastAsia="es-MX"/>
        </w:rPr>
        <w:t>O DOS MIL VEINTICINCO</w:t>
      </w:r>
      <w:r w:rsidRPr="006A240A">
        <w:rPr>
          <w:rFonts w:ascii="Palatino Linotype" w:eastAsiaTheme="minorHAnsi" w:hAnsi="Palatino Linotype" w:cs="Arial"/>
          <w:lang w:val="es-MX" w:eastAsia="en-US"/>
        </w:rPr>
        <w:t xml:space="preserve">, </w:t>
      </w:r>
      <w:r w:rsidR="00B253F0" w:rsidRPr="006A240A">
        <w:rPr>
          <w:rFonts w:ascii="Palatino Linotype" w:eastAsiaTheme="minorHAnsi" w:hAnsi="Palatino Linotype" w:cs="Arial"/>
          <w:lang w:val="es-MX" w:eastAsia="en-US"/>
        </w:rPr>
        <w:t>ANTE EL SECRETARIO TÉCNICO DEL PLENO, ALEXIS TAPIA RAMÍREZ</w:t>
      </w:r>
      <w:r w:rsidR="00054E04" w:rsidRPr="006A240A">
        <w:rPr>
          <w:rFonts w:ascii="Palatino Linotype" w:eastAsiaTheme="minorHAnsi" w:hAnsi="Palatino Linotype" w:cs="Arial"/>
          <w:lang w:val="es-MX" w:eastAsia="en-US"/>
        </w:rPr>
        <w:t>.</w:t>
      </w:r>
      <w:r w:rsidR="00880014">
        <w:rPr>
          <w:rFonts w:ascii="Palatino Linotype" w:eastAsiaTheme="minorHAnsi" w:hAnsi="Palatino Linotype" w:cs="Arial"/>
          <w:lang w:val="es-MX" w:eastAsia="en-US"/>
        </w:rPr>
        <w:t>---------------------------------------------------------------------------------------------------</w:t>
      </w:r>
      <w:r w:rsidR="00880014" w:rsidRPr="00880014">
        <w:rPr>
          <w:rFonts w:ascii="Palatino Linotype" w:eastAsiaTheme="minorHAnsi" w:hAnsi="Palatino Linotype" w:cs="Arial"/>
          <w:lang w:val="es-MX" w:eastAsia="en-US"/>
        </w:rPr>
        <w:t xml:space="preserve"> </w:t>
      </w:r>
      <w:r w:rsidR="00880014">
        <w:rPr>
          <w:rFonts w:ascii="Palatino Linotype" w:eastAsiaTheme="minorHAnsi" w:hAnsi="Palatino Linotype" w:cs="Arial"/>
          <w:lang w:val="es-MX" w:eastAsia="en-US"/>
        </w:rPr>
        <w:t>--------------------------------------------------------------------------------------------------------------------------------------------------------------------------------------------------------------------------------------------------------------------------------------------------------------------------------------------------------------------------------------------------------------------------------------------------------------------------------------------------------------------------------------------------------------------------------------------------------------------------------------------------------------------------------------------------------------------------------------------------------------------------------------------------------------------------------------------------------------------------------------------------------------------------------------------------------------------------------------------------------------------------------------------------------------------------------------------------------------------------</w:t>
      </w:r>
      <w:r w:rsidR="008B4D4C">
        <w:rPr>
          <w:rFonts w:ascii="Palatino Linotype" w:eastAsiaTheme="minorHAnsi" w:hAnsi="Palatino Linotype" w:cs="Arial"/>
          <w:lang w:val="es-MX" w:eastAsia="en-US"/>
        </w:rPr>
        <w:t>----------------------------------------------------------</w:t>
      </w:r>
      <w:r w:rsidR="00C3593B" w:rsidRPr="00C3593B">
        <w:rPr>
          <w:rFonts w:ascii="Palatino Linotype" w:eastAsiaTheme="minorHAnsi" w:hAnsi="Palatino Linotype" w:cs="Arial"/>
          <w:lang w:val="es-ES_tradnl" w:eastAsia="en-US"/>
        </w:rPr>
        <w:t>------------------------------------------------------------------------------------------------------------------</w:t>
      </w:r>
      <w:r w:rsidR="00880014" w:rsidRPr="00880014">
        <w:rPr>
          <w:rFonts w:ascii="Palatino Linotype" w:eastAsiaTheme="minorHAnsi" w:hAnsi="Palatino Linotype" w:cs="Arial"/>
          <w:sz w:val="18"/>
          <w:szCs w:val="18"/>
          <w:lang w:val="es-MX" w:eastAsia="en-US"/>
        </w:rPr>
        <w:t>JMV/CCR/</w:t>
      </w:r>
      <w:proofErr w:type="spellStart"/>
      <w:r w:rsidR="00880014" w:rsidRPr="00880014">
        <w:rPr>
          <w:rFonts w:ascii="Palatino Linotype" w:eastAsiaTheme="minorHAnsi" w:hAnsi="Palatino Linotype" w:cs="Arial"/>
          <w:sz w:val="18"/>
          <w:szCs w:val="18"/>
          <w:lang w:val="es-MX" w:eastAsia="en-US"/>
        </w:rPr>
        <w:t>jasm</w:t>
      </w:r>
      <w:proofErr w:type="spellEnd"/>
    </w:p>
    <w:p w14:paraId="3045BEB7" w14:textId="77777777" w:rsidR="0029071C" w:rsidRDefault="0029071C" w:rsidP="003E56C9"/>
    <w:p w14:paraId="7EB24772" w14:textId="77777777" w:rsidR="0029071C" w:rsidRDefault="0029071C" w:rsidP="003E56C9"/>
    <w:p w14:paraId="186BDFDF" w14:textId="77777777" w:rsidR="0029071C" w:rsidRDefault="0029071C" w:rsidP="003E56C9"/>
    <w:p w14:paraId="7D78206F" w14:textId="77777777" w:rsidR="0029071C" w:rsidRDefault="0029071C" w:rsidP="003E56C9"/>
    <w:p w14:paraId="04814BE6" w14:textId="77777777" w:rsidR="0029071C" w:rsidRDefault="0029071C" w:rsidP="003E56C9"/>
    <w:p w14:paraId="6F49568C" w14:textId="77777777" w:rsidR="0029071C" w:rsidRDefault="0029071C" w:rsidP="003E56C9"/>
    <w:p w14:paraId="6B8A2833" w14:textId="77777777" w:rsidR="0029071C" w:rsidRDefault="0029071C" w:rsidP="003E56C9"/>
    <w:p w14:paraId="2E3529BC" w14:textId="77777777" w:rsidR="0029071C" w:rsidRDefault="0029071C" w:rsidP="003E56C9"/>
    <w:p w14:paraId="488ED8DA" w14:textId="77777777" w:rsidR="0029071C" w:rsidRDefault="0029071C" w:rsidP="003E56C9"/>
    <w:p w14:paraId="2B220EF2" w14:textId="77777777" w:rsidR="0029071C" w:rsidRDefault="0029071C" w:rsidP="003E56C9"/>
    <w:p w14:paraId="54A41508" w14:textId="77777777" w:rsidR="0029071C" w:rsidRDefault="0029071C" w:rsidP="003E56C9"/>
    <w:p w14:paraId="35C7B9CF" w14:textId="77777777" w:rsidR="0029071C" w:rsidRDefault="0029071C" w:rsidP="003E56C9"/>
    <w:p w14:paraId="4A30153D" w14:textId="77777777" w:rsidR="0029071C" w:rsidRDefault="0029071C" w:rsidP="003E56C9"/>
    <w:p w14:paraId="31AB933D" w14:textId="77777777" w:rsidR="0029071C" w:rsidRDefault="0029071C" w:rsidP="003E56C9"/>
    <w:p w14:paraId="1E3C48FA" w14:textId="77777777" w:rsidR="0029071C" w:rsidRDefault="0029071C" w:rsidP="003E56C9"/>
    <w:p w14:paraId="09C8730B" w14:textId="77777777" w:rsidR="0029071C" w:rsidRDefault="0029071C" w:rsidP="003E56C9"/>
    <w:p w14:paraId="69F226C3" w14:textId="77777777" w:rsidR="0029071C" w:rsidRDefault="0029071C" w:rsidP="003E56C9"/>
    <w:p w14:paraId="09C608C5" w14:textId="77777777" w:rsidR="0029071C" w:rsidRDefault="0029071C" w:rsidP="003E56C9"/>
    <w:p w14:paraId="0D4B1FB2" w14:textId="77777777" w:rsidR="0029071C" w:rsidRDefault="0029071C" w:rsidP="003E56C9"/>
    <w:p w14:paraId="160BB700" w14:textId="77777777" w:rsidR="0029071C" w:rsidRDefault="0029071C" w:rsidP="003E56C9"/>
    <w:p w14:paraId="5A782B7A" w14:textId="77777777" w:rsidR="0029071C" w:rsidRDefault="0029071C" w:rsidP="003E56C9"/>
    <w:p w14:paraId="4F28D52A" w14:textId="77777777" w:rsidR="0029071C" w:rsidRDefault="0029071C" w:rsidP="003E56C9"/>
    <w:p w14:paraId="6C869109" w14:textId="77777777" w:rsidR="0029071C" w:rsidRDefault="0029071C" w:rsidP="003E56C9"/>
    <w:p w14:paraId="0176EBE0" w14:textId="77777777" w:rsidR="0029071C" w:rsidRDefault="0029071C" w:rsidP="003E56C9"/>
    <w:p w14:paraId="4A43AF8A" w14:textId="77777777" w:rsidR="0029071C" w:rsidRDefault="0029071C" w:rsidP="003E56C9"/>
    <w:p w14:paraId="21B21FB2" w14:textId="77777777" w:rsidR="0029071C" w:rsidRDefault="0029071C" w:rsidP="003E56C9"/>
    <w:p w14:paraId="4976B772" w14:textId="77777777" w:rsidR="0029071C" w:rsidRDefault="0029071C" w:rsidP="003E56C9"/>
    <w:p w14:paraId="6A686AB3" w14:textId="77777777" w:rsidR="0029071C" w:rsidRDefault="0029071C" w:rsidP="003E56C9"/>
    <w:p w14:paraId="42D25082" w14:textId="77777777" w:rsidR="0029071C" w:rsidRDefault="0029071C" w:rsidP="003E56C9"/>
    <w:p w14:paraId="19677241" w14:textId="77777777" w:rsidR="0029071C" w:rsidRDefault="0029071C" w:rsidP="003E56C9"/>
    <w:p w14:paraId="3096F816" w14:textId="77777777" w:rsidR="0029071C" w:rsidRDefault="0029071C" w:rsidP="003E56C9"/>
    <w:p w14:paraId="2AB840FB" w14:textId="77777777" w:rsidR="0029071C" w:rsidRDefault="0029071C" w:rsidP="003E56C9"/>
    <w:p w14:paraId="79A1A09E" w14:textId="77777777" w:rsidR="0029071C" w:rsidRDefault="0029071C" w:rsidP="003E56C9"/>
    <w:p w14:paraId="489BB985" w14:textId="77777777" w:rsidR="0029071C" w:rsidRDefault="0029071C" w:rsidP="003E56C9"/>
    <w:p w14:paraId="1929015B" w14:textId="5F0B5836" w:rsidR="0029071C" w:rsidRPr="003E56C9" w:rsidRDefault="0029071C" w:rsidP="003E56C9"/>
    <w:sectPr w:rsidR="0029071C" w:rsidRPr="003E56C9" w:rsidSect="00742DA4">
      <w:headerReference w:type="even" r:id="rId11"/>
      <w:headerReference w:type="default" r:id="rId12"/>
      <w:footerReference w:type="default" r:id="rId13"/>
      <w:headerReference w:type="first" r:id="rId14"/>
      <w:footerReference w:type="first" r:id="rId15"/>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6656E" w14:textId="77777777" w:rsidR="00177093" w:rsidRDefault="00177093" w:rsidP="000B5E25">
      <w:r>
        <w:separator/>
      </w:r>
    </w:p>
  </w:endnote>
  <w:endnote w:type="continuationSeparator" w:id="0">
    <w:p w14:paraId="089C2E43" w14:textId="77777777" w:rsidR="00177093" w:rsidRDefault="00177093"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77777777" w:rsidR="00283FC5" w:rsidRPr="000D3AD4" w:rsidRDefault="00283FC5"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C555E9">
      <w:rPr>
        <w:rFonts w:ascii="Palatino Linotype" w:hAnsi="Palatino Linotype" w:cs="Arial"/>
        <w:bCs/>
        <w:noProof/>
        <w:sz w:val="20"/>
        <w:szCs w:val="20"/>
      </w:rPr>
      <w:t>11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C555E9">
      <w:rPr>
        <w:rFonts w:ascii="Palatino Linotype" w:hAnsi="Palatino Linotype" w:cs="Arial"/>
        <w:bCs/>
        <w:noProof/>
        <w:sz w:val="20"/>
        <w:szCs w:val="20"/>
      </w:rPr>
      <w:t>40</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77777777" w:rsidR="00283FC5" w:rsidRPr="000D3AD4" w:rsidRDefault="00283FC5"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C555E9">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C555E9">
      <w:rPr>
        <w:rFonts w:ascii="Palatino Linotype" w:hAnsi="Palatino Linotype" w:cs="Arial"/>
        <w:bCs/>
        <w:noProof/>
        <w:sz w:val="20"/>
        <w:szCs w:val="20"/>
      </w:rPr>
      <w:t>40</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5AB13" w14:textId="77777777" w:rsidR="00177093" w:rsidRDefault="00177093" w:rsidP="000B5E25">
      <w:r>
        <w:separator/>
      </w:r>
    </w:p>
  </w:footnote>
  <w:footnote w:type="continuationSeparator" w:id="0">
    <w:p w14:paraId="59E56BBA" w14:textId="77777777" w:rsidR="00177093" w:rsidRDefault="00177093" w:rsidP="000B5E25">
      <w:r>
        <w:continuationSeparator/>
      </w:r>
    </w:p>
  </w:footnote>
  <w:footnote w:id="1">
    <w:p w14:paraId="415B7283" w14:textId="77777777" w:rsidR="00283FC5" w:rsidRPr="008A64CB" w:rsidRDefault="00283FC5" w:rsidP="008A64CB">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C44E7F9" w14:textId="77777777" w:rsidR="00283FC5" w:rsidRDefault="00283FC5" w:rsidP="008A64CB">
      <w:pPr>
        <w:autoSpaceDE w:val="0"/>
        <w:autoSpaceDN w:val="0"/>
        <w:adjustRightInd w:val="0"/>
        <w:ind w:right="49"/>
        <w:jc w:val="both"/>
        <w:rPr>
          <w:rFonts w:ascii="Palatino Linotype" w:hAnsi="Palatino Linotype"/>
          <w:i/>
          <w:sz w:val="18"/>
          <w:szCs w:val="22"/>
        </w:rPr>
      </w:pPr>
    </w:p>
    <w:p w14:paraId="2A843A3D" w14:textId="77777777" w:rsidR="00283FC5" w:rsidRPr="008A64CB" w:rsidRDefault="00283FC5" w:rsidP="008A64CB">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8A64CB">
        <w:rPr>
          <w:rFonts w:ascii="Palatino Linotype" w:hAnsi="Palatino Linotype"/>
          <w:i/>
          <w:sz w:val="18"/>
          <w:szCs w:val="22"/>
        </w:rPr>
        <w:t>concesoria</w:t>
      </w:r>
      <w:proofErr w:type="spellEnd"/>
      <w:r w:rsidRPr="008A64CB">
        <w:rPr>
          <w:rFonts w:ascii="Palatino Linotype" w:hAnsi="Palatino Linotype"/>
          <w:i/>
          <w:sz w:val="18"/>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2DBAF686" w14:textId="77777777" w:rsidR="00283FC5" w:rsidRPr="008A64CB" w:rsidRDefault="00283FC5">
      <w:pPr>
        <w:pStyle w:val="Textonotapie"/>
        <w:rPr>
          <w:lang w:val="es-MX"/>
        </w:rPr>
      </w:pPr>
    </w:p>
  </w:footnote>
  <w:footnote w:id="2">
    <w:p w14:paraId="6D50BE97" w14:textId="77777777" w:rsidR="009A0722" w:rsidRPr="007C3435" w:rsidRDefault="009A0722" w:rsidP="009A0722">
      <w:pPr>
        <w:pStyle w:val="Textonotapie"/>
        <w:jc w:val="both"/>
        <w:rPr>
          <w:rFonts w:ascii="Palatino Linotype" w:hAnsi="Palatino Linotype"/>
          <w:i/>
          <w:sz w:val="18"/>
        </w:rPr>
      </w:pPr>
      <w:r w:rsidRPr="00034B44">
        <w:rPr>
          <w:rStyle w:val="Refdenotaalpie"/>
          <w:rFonts w:ascii="Palatino Linotype" w:hAnsi="Palatino Linotype"/>
          <w:sz w:val="18"/>
        </w:rPr>
        <w:footnoteRef/>
      </w:r>
      <w:r w:rsidRPr="00034B44">
        <w:rPr>
          <w:rFonts w:ascii="Palatino Linotype" w:hAnsi="Palatino Linotype"/>
          <w:sz w:val="18"/>
        </w:rPr>
        <w:t xml:space="preserve"> </w:t>
      </w:r>
      <w:r w:rsidRPr="007C3435">
        <w:rPr>
          <w:rFonts w:ascii="Palatino Linotype" w:hAnsi="Palatino Linotype"/>
          <w:i/>
          <w:sz w:val="18"/>
        </w:rPr>
        <w:t xml:space="preserve">Tribunales Colegiados de Circuito. Novena </w:t>
      </w:r>
      <w:proofErr w:type="spellStart"/>
      <w:r w:rsidRPr="007C3435">
        <w:rPr>
          <w:rFonts w:ascii="Palatino Linotype" w:hAnsi="Palatino Linotype"/>
          <w:i/>
          <w:sz w:val="18"/>
        </w:rPr>
        <w:t>Epoca</w:t>
      </w:r>
      <w:proofErr w:type="spellEnd"/>
      <w:r w:rsidRPr="007C3435">
        <w:rPr>
          <w:rFonts w:ascii="Palatino Linotype" w:hAnsi="Palatino Linotype"/>
          <w:i/>
          <w:sz w:val="18"/>
        </w:rPr>
        <w:t xml:space="preserve">. Semanario Judicial de la Federación y su Gaceta. Tomo III, marzo de 1996. </w:t>
      </w:r>
      <w:proofErr w:type="spellStart"/>
      <w:r w:rsidRPr="007C3435">
        <w:rPr>
          <w:rFonts w:ascii="Palatino Linotype" w:hAnsi="Palatino Linotype"/>
          <w:i/>
          <w:sz w:val="18"/>
        </w:rPr>
        <w:t>Pág</w:t>
      </w:r>
      <w:proofErr w:type="spellEnd"/>
      <w:r w:rsidRPr="007C3435">
        <w:rPr>
          <w:rFonts w:ascii="Palatino Linotype" w:hAnsi="Palatino Linotype"/>
          <w:i/>
          <w:sz w:val="18"/>
        </w:rPr>
        <w:t xml:space="preserve"> 769. Consultado en http://sjf.scjn.gob.mx/sjfsist/Documentos/Tesis/203/203143.pdf  el viernes 16 de junio de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283FC5" w:rsidRDefault="00C555E9">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693"/>
      <w:gridCol w:w="3974"/>
    </w:tblGrid>
    <w:tr w:rsidR="00283FC5" w:rsidRPr="008F2CCC" w14:paraId="6A2352FA" w14:textId="77777777" w:rsidTr="00BC757D">
      <w:tc>
        <w:tcPr>
          <w:tcW w:w="2693" w:type="dxa"/>
          <w:shd w:val="clear" w:color="auto" w:fill="auto"/>
          <w:vAlign w:val="center"/>
        </w:tcPr>
        <w:p w14:paraId="217E963F" w14:textId="77777777" w:rsidR="00283FC5" w:rsidRPr="008F5DAE" w:rsidRDefault="00283FC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3974" w:type="dxa"/>
          <w:shd w:val="clear" w:color="auto" w:fill="auto"/>
          <w:vAlign w:val="center"/>
        </w:tcPr>
        <w:p w14:paraId="1056B9D1" w14:textId="157AF2CE" w:rsidR="00283FC5" w:rsidRPr="0029071C" w:rsidRDefault="00283FC5" w:rsidP="0009050D">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2F6ADB">
            <w:rPr>
              <w:rFonts w:ascii="Palatino Linotype" w:hAnsi="Palatino Linotype"/>
              <w:sz w:val="22"/>
              <w:szCs w:val="22"/>
              <w:lang w:val="es-ES_tradnl"/>
            </w:rPr>
            <w:t>3</w:t>
          </w:r>
          <w:r w:rsidR="00F46C75">
            <w:rPr>
              <w:rFonts w:ascii="Palatino Linotype" w:hAnsi="Palatino Linotype"/>
              <w:sz w:val="22"/>
              <w:szCs w:val="22"/>
              <w:lang w:val="es-ES_tradnl"/>
            </w:rPr>
            <w:t>030</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283FC5" w:rsidRPr="008F2CCC" w14:paraId="1F299A1F" w14:textId="77777777" w:rsidTr="00BC757D">
      <w:trPr>
        <w:trHeight w:val="228"/>
      </w:trPr>
      <w:tc>
        <w:tcPr>
          <w:tcW w:w="2693" w:type="dxa"/>
          <w:shd w:val="clear" w:color="auto" w:fill="auto"/>
          <w:vAlign w:val="center"/>
        </w:tcPr>
        <w:p w14:paraId="683328AB" w14:textId="77777777" w:rsidR="00283FC5" w:rsidRPr="008F5DAE" w:rsidRDefault="00283FC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3974" w:type="dxa"/>
          <w:shd w:val="clear" w:color="auto" w:fill="auto"/>
          <w:vAlign w:val="center"/>
        </w:tcPr>
        <w:p w14:paraId="0DAC1EE3" w14:textId="0EE79AD0" w:rsidR="00283FC5" w:rsidRPr="0029071C" w:rsidRDefault="00283FC5" w:rsidP="00B6659F">
          <w:pPr>
            <w:spacing w:line="276" w:lineRule="auto"/>
            <w:jc w:val="right"/>
            <w:rPr>
              <w:rFonts w:ascii="Palatino Linotype" w:hAnsi="Palatino Linotype"/>
              <w:sz w:val="22"/>
              <w:szCs w:val="22"/>
            </w:rPr>
          </w:pPr>
          <w:r>
            <w:rPr>
              <w:rFonts w:ascii="Palatino Linotype" w:hAnsi="Palatino Linotype"/>
              <w:sz w:val="22"/>
              <w:szCs w:val="22"/>
            </w:rPr>
            <w:t xml:space="preserve">Ayuntamiento de </w:t>
          </w:r>
          <w:proofErr w:type="spellStart"/>
          <w:r w:rsidR="00F46C75" w:rsidRPr="00F46C75">
            <w:rPr>
              <w:rFonts w:ascii="Palatino Linotype" w:hAnsi="Palatino Linotype"/>
              <w:sz w:val="22"/>
              <w:szCs w:val="22"/>
            </w:rPr>
            <w:t>Ocuilan</w:t>
          </w:r>
          <w:proofErr w:type="spellEnd"/>
        </w:p>
      </w:tc>
    </w:tr>
    <w:tr w:rsidR="00283FC5" w:rsidRPr="008F2CCC" w14:paraId="46D09EF7" w14:textId="77777777" w:rsidTr="00BC757D">
      <w:tc>
        <w:tcPr>
          <w:tcW w:w="2693" w:type="dxa"/>
          <w:shd w:val="clear" w:color="auto" w:fill="auto"/>
          <w:vAlign w:val="center"/>
        </w:tcPr>
        <w:p w14:paraId="1A0A5ED2" w14:textId="77777777" w:rsidR="00283FC5" w:rsidRPr="008F5DAE" w:rsidRDefault="00283FC5" w:rsidP="00BC757D">
          <w:pPr>
            <w:spacing w:line="276" w:lineRule="auto"/>
            <w:jc w:val="center"/>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3974" w:type="dxa"/>
          <w:shd w:val="clear" w:color="auto" w:fill="auto"/>
          <w:vAlign w:val="center"/>
        </w:tcPr>
        <w:p w14:paraId="1AE463AD" w14:textId="77777777" w:rsidR="00283FC5" w:rsidRPr="0029071C" w:rsidRDefault="00283FC5"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283FC5" w:rsidRPr="001779E0" w:rsidRDefault="00C555E9"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5.25pt;margin-top:-117.8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951" w:type="dxa"/>
      <w:tblInd w:w="2263" w:type="dxa"/>
      <w:tblLayout w:type="fixed"/>
      <w:tblLook w:val="04A0" w:firstRow="1" w:lastRow="0" w:firstColumn="1" w:lastColumn="0" w:noHBand="0" w:noVBand="1"/>
    </w:tblPr>
    <w:tblGrid>
      <w:gridCol w:w="2552"/>
      <w:gridCol w:w="4399"/>
    </w:tblGrid>
    <w:tr w:rsidR="00283FC5" w:rsidRPr="008F2CCC" w14:paraId="647E1A5E" w14:textId="77777777" w:rsidTr="00515252">
      <w:tc>
        <w:tcPr>
          <w:tcW w:w="2552" w:type="dxa"/>
          <w:shd w:val="clear" w:color="auto" w:fill="auto"/>
          <w:vAlign w:val="center"/>
        </w:tcPr>
        <w:p w14:paraId="61C1A94D" w14:textId="77777777" w:rsidR="00283FC5" w:rsidRPr="008F5DAE" w:rsidRDefault="00283FC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399" w:type="dxa"/>
          <w:shd w:val="clear" w:color="auto" w:fill="auto"/>
          <w:vAlign w:val="center"/>
        </w:tcPr>
        <w:p w14:paraId="5D88CF1B" w14:textId="2E2B3D0A" w:rsidR="00283FC5" w:rsidRPr="0029071C" w:rsidRDefault="00283FC5" w:rsidP="0009050D">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2F6ADB">
            <w:rPr>
              <w:rFonts w:ascii="Palatino Linotype" w:hAnsi="Palatino Linotype"/>
              <w:sz w:val="22"/>
              <w:szCs w:val="22"/>
              <w:lang w:val="es-ES_tradnl"/>
            </w:rPr>
            <w:t>3</w:t>
          </w:r>
          <w:r w:rsidR="00F46C75">
            <w:rPr>
              <w:rFonts w:ascii="Palatino Linotype" w:hAnsi="Palatino Linotype"/>
              <w:sz w:val="22"/>
              <w:szCs w:val="22"/>
              <w:lang w:val="es-ES_tradnl"/>
            </w:rPr>
            <w:t>030</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283FC5" w:rsidRPr="008F2CCC" w14:paraId="34929B82" w14:textId="77777777" w:rsidTr="00515252">
      <w:tc>
        <w:tcPr>
          <w:tcW w:w="2552" w:type="dxa"/>
          <w:shd w:val="clear" w:color="auto" w:fill="auto"/>
          <w:vAlign w:val="center"/>
        </w:tcPr>
        <w:p w14:paraId="54C68700" w14:textId="77777777" w:rsidR="00283FC5" w:rsidRPr="008F5DAE" w:rsidRDefault="00283FC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399" w:type="dxa"/>
          <w:shd w:val="clear" w:color="auto" w:fill="auto"/>
          <w:vAlign w:val="center"/>
        </w:tcPr>
        <w:p w14:paraId="5F35F8B2" w14:textId="7C3ADB8D" w:rsidR="00283FC5" w:rsidRPr="006D30E6" w:rsidRDefault="00C555E9"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283FC5" w:rsidRPr="008F2CCC" w14:paraId="15459416" w14:textId="77777777" w:rsidTr="00515252">
      <w:trPr>
        <w:trHeight w:val="228"/>
      </w:trPr>
      <w:tc>
        <w:tcPr>
          <w:tcW w:w="2552" w:type="dxa"/>
          <w:shd w:val="clear" w:color="auto" w:fill="auto"/>
          <w:vAlign w:val="center"/>
        </w:tcPr>
        <w:p w14:paraId="776491B5" w14:textId="77777777" w:rsidR="00283FC5" w:rsidRPr="008F5DAE" w:rsidRDefault="00283FC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399" w:type="dxa"/>
          <w:shd w:val="clear" w:color="auto" w:fill="auto"/>
          <w:vAlign w:val="center"/>
        </w:tcPr>
        <w:p w14:paraId="6836B188" w14:textId="29C4D3EC" w:rsidR="00283FC5" w:rsidRPr="0029071C" w:rsidRDefault="00283FC5" w:rsidP="0009050D">
          <w:pPr>
            <w:spacing w:line="276" w:lineRule="auto"/>
            <w:jc w:val="right"/>
            <w:rPr>
              <w:rFonts w:ascii="Palatino Linotype" w:hAnsi="Palatino Linotype"/>
              <w:sz w:val="22"/>
              <w:szCs w:val="22"/>
            </w:rPr>
          </w:pPr>
          <w:r w:rsidRPr="00BC757D">
            <w:rPr>
              <w:rFonts w:ascii="Palatino Linotype" w:hAnsi="Palatino Linotype"/>
              <w:sz w:val="22"/>
              <w:szCs w:val="22"/>
            </w:rPr>
            <w:t xml:space="preserve">Ayuntamiento de </w:t>
          </w:r>
          <w:proofErr w:type="spellStart"/>
          <w:r w:rsidR="00F46C75" w:rsidRPr="00F46C75">
            <w:rPr>
              <w:rFonts w:ascii="Palatino Linotype" w:hAnsi="Palatino Linotype"/>
              <w:sz w:val="22"/>
              <w:szCs w:val="22"/>
            </w:rPr>
            <w:t>Ocuilan</w:t>
          </w:r>
          <w:proofErr w:type="spellEnd"/>
        </w:p>
      </w:tc>
    </w:tr>
    <w:tr w:rsidR="00283FC5" w:rsidRPr="008F2CCC" w14:paraId="5C009CDE" w14:textId="77777777" w:rsidTr="00515252">
      <w:tc>
        <w:tcPr>
          <w:tcW w:w="2552" w:type="dxa"/>
          <w:shd w:val="clear" w:color="auto" w:fill="auto"/>
          <w:vAlign w:val="center"/>
        </w:tcPr>
        <w:p w14:paraId="294ED620" w14:textId="77777777" w:rsidR="00283FC5" w:rsidRPr="008F5DAE" w:rsidRDefault="00283FC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399" w:type="dxa"/>
          <w:shd w:val="clear" w:color="auto" w:fill="auto"/>
          <w:vAlign w:val="center"/>
        </w:tcPr>
        <w:p w14:paraId="50796410" w14:textId="77777777" w:rsidR="00283FC5" w:rsidRPr="0029071C" w:rsidRDefault="00283FC5"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2B66FDDC" w14:textId="44AA7E40" w:rsidR="00283FC5" w:rsidRDefault="00C555E9">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22.1pt;width:628.7pt;height:818.9pt;z-index:-251658240;mso-position-horizontal-relative:margin;mso-position-vertical-relative:margin" o:allowincell="f">
          <v:imagedata r:id="rId1" o:title="logo infoem (1)"/>
          <w10:wrap anchorx="margin" anchory="margin"/>
        </v:shape>
      </w:pict>
    </w:r>
  </w:p>
  <w:p w14:paraId="17DC856D" w14:textId="5B3CC04F" w:rsidR="00283FC5" w:rsidRPr="009F1AB6" w:rsidRDefault="00283FC5">
    <w:pPr>
      <w:pStyle w:val="Encabezado"/>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visibility:visible;mso-wrap-style:square" o:bullet="t">
        <v:imagedata r:id="rId1" o:title=""/>
      </v:shape>
    </w:pict>
  </w:numPicBullet>
  <w:abstractNum w:abstractNumId="0" w15:restartNumberingAfterBreak="0">
    <w:nsid w:val="01F5536A"/>
    <w:multiLevelType w:val="hybridMultilevel"/>
    <w:tmpl w:val="C5C2390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6F3D9F"/>
    <w:multiLevelType w:val="hybridMultilevel"/>
    <w:tmpl w:val="7054CC2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F4066C"/>
    <w:multiLevelType w:val="hybridMultilevel"/>
    <w:tmpl w:val="21C625C4"/>
    <w:lvl w:ilvl="0" w:tplc="88D616B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D04AB7"/>
    <w:multiLevelType w:val="hybridMultilevel"/>
    <w:tmpl w:val="F88E1E48"/>
    <w:lvl w:ilvl="0" w:tplc="17080DF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6B530D"/>
    <w:multiLevelType w:val="hybridMultilevel"/>
    <w:tmpl w:val="0218C6FA"/>
    <w:lvl w:ilvl="0" w:tplc="1AC66E5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B57C04"/>
    <w:multiLevelType w:val="hybridMultilevel"/>
    <w:tmpl w:val="DCA2F3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9A17E5"/>
    <w:multiLevelType w:val="hybridMultilevel"/>
    <w:tmpl w:val="CA54A4F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FBA60E1"/>
    <w:multiLevelType w:val="hybridMultilevel"/>
    <w:tmpl w:val="6E7AA488"/>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1503027"/>
    <w:multiLevelType w:val="hybridMultilevel"/>
    <w:tmpl w:val="142414EE"/>
    <w:lvl w:ilvl="0" w:tplc="F2309F8A">
      <w:numFmt w:val="bullet"/>
      <w:lvlText w:val=""/>
      <w:lvlJc w:val="left"/>
      <w:pPr>
        <w:ind w:left="1080" w:hanging="360"/>
      </w:pPr>
      <w:rPr>
        <w:rFonts w:ascii="Symbol" w:eastAsiaTheme="minorHAnsi" w:hAnsi="Symbol"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8A04532"/>
    <w:multiLevelType w:val="hybridMultilevel"/>
    <w:tmpl w:val="AD204A88"/>
    <w:lvl w:ilvl="0" w:tplc="BC4AE6F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7936BF"/>
    <w:multiLevelType w:val="hybridMultilevel"/>
    <w:tmpl w:val="03DA2C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165956"/>
    <w:multiLevelType w:val="hybridMultilevel"/>
    <w:tmpl w:val="0B703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B6E3099"/>
    <w:multiLevelType w:val="hybridMultilevel"/>
    <w:tmpl w:val="256CFDB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DB46CEB"/>
    <w:multiLevelType w:val="hybridMultilevel"/>
    <w:tmpl w:val="D48A362A"/>
    <w:lvl w:ilvl="0" w:tplc="62FA79D2">
      <w:start w:val="1"/>
      <w:numFmt w:val="decimal"/>
      <w:lvlText w:val="%1."/>
      <w:lvlJc w:val="left"/>
      <w:pPr>
        <w:ind w:left="720" w:hanging="360"/>
      </w:pPr>
      <w:rPr>
        <w:rFonts w:ascii="Palatino Linotype" w:eastAsia="Times New Roman" w:hAnsi="Palatino Linotype" w:cs="Arial"/>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C94AF1"/>
    <w:multiLevelType w:val="hybridMultilevel"/>
    <w:tmpl w:val="2F46F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623728D"/>
    <w:multiLevelType w:val="hybridMultilevel"/>
    <w:tmpl w:val="DA6CED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6BD0C78"/>
    <w:multiLevelType w:val="hybridMultilevel"/>
    <w:tmpl w:val="B2E0C5B6"/>
    <w:lvl w:ilvl="0" w:tplc="5A528DB4">
      <w:start w:val="1"/>
      <w:numFmt w:val="upperRoman"/>
      <w:lvlText w:val="%1."/>
      <w:lvlJc w:val="left"/>
      <w:pPr>
        <w:ind w:left="7841" w:hanging="186"/>
      </w:pPr>
      <w:rPr>
        <w:rFonts w:ascii="Palatino Linotype" w:eastAsia="Arial" w:hAnsi="Palatino Linotype" w:cs="Arial" w:hint="default"/>
        <w:b/>
        <w:bCs/>
        <w:i/>
        <w:spacing w:val="-19"/>
        <w:w w:val="99"/>
        <w:sz w:val="22"/>
        <w:szCs w:val="20"/>
      </w:rPr>
    </w:lvl>
    <w:lvl w:ilvl="1" w:tplc="EC0E6474">
      <w:start w:val="1"/>
      <w:numFmt w:val="lowerLetter"/>
      <w:lvlText w:val="%2)"/>
      <w:lvlJc w:val="left"/>
      <w:pPr>
        <w:ind w:left="6875" w:hanging="212"/>
      </w:pPr>
      <w:rPr>
        <w:rFonts w:ascii="Palatino Linotype" w:eastAsia="Arial" w:hAnsi="Palatino Linotype" w:cs="Arial" w:hint="default"/>
        <w:b/>
        <w:bCs/>
        <w:w w:val="99"/>
        <w:sz w:val="22"/>
        <w:szCs w:val="22"/>
      </w:rPr>
    </w:lvl>
    <w:lvl w:ilvl="2" w:tplc="698A2EE6">
      <w:start w:val="1"/>
      <w:numFmt w:val="decimal"/>
      <w:lvlText w:val="%3)"/>
      <w:lvlJc w:val="left"/>
      <w:pPr>
        <w:ind w:left="806" w:hanging="238"/>
      </w:pPr>
      <w:rPr>
        <w:rFonts w:ascii="Palatino Linotype" w:eastAsia="Arial" w:hAnsi="Palatino Linotype" w:cs="Arial" w:hint="default"/>
        <w:b/>
        <w:bCs/>
        <w:spacing w:val="-25"/>
        <w:w w:val="99"/>
        <w:sz w:val="22"/>
        <w:szCs w:val="22"/>
      </w:rPr>
    </w:lvl>
    <w:lvl w:ilvl="3" w:tplc="2A961D5E">
      <w:numFmt w:val="bullet"/>
      <w:lvlText w:val="•"/>
      <w:lvlJc w:val="left"/>
      <w:pPr>
        <w:ind w:left="9569" w:hanging="238"/>
      </w:pPr>
      <w:rPr>
        <w:rFonts w:hint="default"/>
      </w:rPr>
    </w:lvl>
    <w:lvl w:ilvl="4" w:tplc="0BC4BF6C">
      <w:numFmt w:val="bullet"/>
      <w:lvlText w:val="•"/>
      <w:lvlJc w:val="left"/>
      <w:pPr>
        <w:ind w:left="9889" w:hanging="238"/>
      </w:pPr>
      <w:rPr>
        <w:rFonts w:hint="default"/>
      </w:rPr>
    </w:lvl>
    <w:lvl w:ilvl="5" w:tplc="29F6170C">
      <w:numFmt w:val="bullet"/>
      <w:lvlText w:val="•"/>
      <w:lvlJc w:val="left"/>
      <w:pPr>
        <w:ind w:left="11229" w:hanging="238"/>
      </w:pPr>
      <w:rPr>
        <w:rFonts w:hint="default"/>
      </w:rPr>
    </w:lvl>
    <w:lvl w:ilvl="6" w:tplc="71985FCC">
      <w:numFmt w:val="bullet"/>
      <w:lvlText w:val="•"/>
      <w:lvlJc w:val="left"/>
      <w:pPr>
        <w:ind w:left="12569" w:hanging="238"/>
      </w:pPr>
      <w:rPr>
        <w:rFonts w:hint="default"/>
      </w:rPr>
    </w:lvl>
    <w:lvl w:ilvl="7" w:tplc="922C3072">
      <w:numFmt w:val="bullet"/>
      <w:lvlText w:val="•"/>
      <w:lvlJc w:val="left"/>
      <w:pPr>
        <w:ind w:left="13910" w:hanging="238"/>
      </w:pPr>
      <w:rPr>
        <w:rFonts w:hint="default"/>
      </w:rPr>
    </w:lvl>
    <w:lvl w:ilvl="8" w:tplc="D15AF54C">
      <w:numFmt w:val="bullet"/>
      <w:lvlText w:val="•"/>
      <w:lvlJc w:val="left"/>
      <w:pPr>
        <w:ind w:left="15250" w:hanging="238"/>
      </w:pPr>
      <w:rPr>
        <w:rFonts w:hint="default"/>
      </w:rPr>
    </w:lvl>
  </w:abstractNum>
  <w:abstractNum w:abstractNumId="20" w15:restartNumberingAfterBreak="0">
    <w:nsid w:val="4A4C7ABB"/>
    <w:multiLevelType w:val="hybridMultilevel"/>
    <w:tmpl w:val="5CAC874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E566DB7"/>
    <w:multiLevelType w:val="hybridMultilevel"/>
    <w:tmpl w:val="B9B4D748"/>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50C73ADF"/>
    <w:multiLevelType w:val="hybridMultilevel"/>
    <w:tmpl w:val="206081AE"/>
    <w:lvl w:ilvl="0" w:tplc="D8969ADA">
      <w:start w:val="9"/>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0CC6069"/>
    <w:multiLevelType w:val="hybridMultilevel"/>
    <w:tmpl w:val="17FC5D6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27C30B8"/>
    <w:multiLevelType w:val="hybridMultilevel"/>
    <w:tmpl w:val="E97CCA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35357CA"/>
    <w:multiLevelType w:val="hybridMultilevel"/>
    <w:tmpl w:val="3E98A7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4312B06"/>
    <w:multiLevelType w:val="hybridMultilevel"/>
    <w:tmpl w:val="A698B864"/>
    <w:lvl w:ilvl="0" w:tplc="7AA0B6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8C84753"/>
    <w:multiLevelType w:val="hybridMultilevel"/>
    <w:tmpl w:val="DEC26DA6"/>
    <w:lvl w:ilvl="0" w:tplc="50D4421E">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E0A6F5A"/>
    <w:multiLevelType w:val="hybridMultilevel"/>
    <w:tmpl w:val="25DE337C"/>
    <w:lvl w:ilvl="0" w:tplc="04FEE78A">
      <w:start w:val="9"/>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8DE4A2A"/>
    <w:multiLevelType w:val="hybridMultilevel"/>
    <w:tmpl w:val="C28C0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A835F2B"/>
    <w:multiLevelType w:val="hybridMultilevel"/>
    <w:tmpl w:val="98C0900E"/>
    <w:lvl w:ilvl="0" w:tplc="F81263B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DB34DE7"/>
    <w:multiLevelType w:val="hybridMultilevel"/>
    <w:tmpl w:val="15A47548"/>
    <w:lvl w:ilvl="0" w:tplc="EB56C8F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9464325"/>
    <w:multiLevelType w:val="hybridMultilevel"/>
    <w:tmpl w:val="8A623B0A"/>
    <w:lvl w:ilvl="0" w:tplc="080A0011">
      <w:start w:val="1"/>
      <w:numFmt w:val="decimal"/>
      <w:lvlText w:val="%1)"/>
      <w:lvlJc w:val="left"/>
      <w:pPr>
        <w:ind w:left="720" w:hanging="360"/>
      </w:pPr>
      <w:rPr>
        <w:rFont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EFD7FFC"/>
    <w:multiLevelType w:val="multilevel"/>
    <w:tmpl w:val="633A2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5"/>
  </w:num>
  <w:num w:numId="2">
    <w:abstractNumId w:val="14"/>
  </w:num>
  <w:num w:numId="3">
    <w:abstractNumId w:val="7"/>
  </w:num>
  <w:num w:numId="4">
    <w:abstractNumId w:val="29"/>
  </w:num>
  <w:num w:numId="5">
    <w:abstractNumId w:val="32"/>
  </w:num>
  <w:num w:numId="6">
    <w:abstractNumId w:val="36"/>
  </w:num>
  <w:num w:numId="7">
    <w:abstractNumId w:val="11"/>
  </w:num>
  <w:num w:numId="8">
    <w:abstractNumId w:val="30"/>
  </w:num>
  <w:num w:numId="9">
    <w:abstractNumId w:val="34"/>
  </w:num>
  <w:num w:numId="10">
    <w:abstractNumId w:val="3"/>
  </w:num>
  <w:num w:numId="11">
    <w:abstractNumId w:val="31"/>
  </w:num>
  <w:num w:numId="12">
    <w:abstractNumId w:val="10"/>
  </w:num>
  <w:num w:numId="13">
    <w:abstractNumId w:val="6"/>
  </w:num>
  <w:num w:numId="14">
    <w:abstractNumId w:val="23"/>
  </w:num>
  <w:num w:numId="15">
    <w:abstractNumId w:val="15"/>
  </w:num>
  <w:num w:numId="16">
    <w:abstractNumId w:val="19"/>
  </w:num>
  <w:num w:numId="17">
    <w:abstractNumId w:val="12"/>
  </w:num>
  <w:num w:numId="18">
    <w:abstractNumId w:val="0"/>
  </w:num>
  <w:num w:numId="19">
    <w:abstractNumId w:val="33"/>
  </w:num>
  <w:num w:numId="20">
    <w:abstractNumId w:val="21"/>
  </w:num>
  <w:num w:numId="21">
    <w:abstractNumId w:val="17"/>
  </w:num>
  <w:num w:numId="22">
    <w:abstractNumId w:val="18"/>
  </w:num>
  <w:num w:numId="23">
    <w:abstractNumId w:val="16"/>
  </w:num>
  <w:num w:numId="24">
    <w:abstractNumId w:val="20"/>
  </w:num>
  <w:num w:numId="25">
    <w:abstractNumId w:val="24"/>
  </w:num>
  <w:num w:numId="26">
    <w:abstractNumId w:val="27"/>
  </w:num>
  <w:num w:numId="27">
    <w:abstractNumId w:val="22"/>
  </w:num>
  <w:num w:numId="28">
    <w:abstractNumId w:val="28"/>
  </w:num>
  <w:num w:numId="29">
    <w:abstractNumId w:val="4"/>
  </w:num>
  <w:num w:numId="30">
    <w:abstractNumId w:val="1"/>
  </w:num>
  <w:num w:numId="31">
    <w:abstractNumId w:val="25"/>
  </w:num>
  <w:num w:numId="32">
    <w:abstractNumId w:val="13"/>
  </w:num>
  <w:num w:numId="33">
    <w:abstractNumId w:val="9"/>
  </w:num>
  <w:num w:numId="34">
    <w:abstractNumId w:val="26"/>
  </w:num>
  <w:num w:numId="35">
    <w:abstractNumId w:val="2"/>
  </w:num>
  <w:num w:numId="36">
    <w:abstractNumId w:val="37"/>
  </w:num>
  <w:num w:numId="37">
    <w:abstractNumId w:val="8"/>
  </w:num>
  <w:num w:numId="3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07FD"/>
    <w:rsid w:val="00001981"/>
    <w:rsid w:val="0000611A"/>
    <w:rsid w:val="00007BC3"/>
    <w:rsid w:val="000120BC"/>
    <w:rsid w:val="00012FFE"/>
    <w:rsid w:val="000153AF"/>
    <w:rsid w:val="00020AF3"/>
    <w:rsid w:val="0002117B"/>
    <w:rsid w:val="00031EFF"/>
    <w:rsid w:val="00032D08"/>
    <w:rsid w:val="00036F8B"/>
    <w:rsid w:val="00037D70"/>
    <w:rsid w:val="000478CF"/>
    <w:rsid w:val="00054E04"/>
    <w:rsid w:val="00056A58"/>
    <w:rsid w:val="000572E9"/>
    <w:rsid w:val="000671F2"/>
    <w:rsid w:val="00070547"/>
    <w:rsid w:val="00071173"/>
    <w:rsid w:val="000775FC"/>
    <w:rsid w:val="00087797"/>
    <w:rsid w:val="0009050D"/>
    <w:rsid w:val="00091A55"/>
    <w:rsid w:val="00093AE1"/>
    <w:rsid w:val="00094CC7"/>
    <w:rsid w:val="000A057D"/>
    <w:rsid w:val="000A34BB"/>
    <w:rsid w:val="000A6F14"/>
    <w:rsid w:val="000A717C"/>
    <w:rsid w:val="000A7F15"/>
    <w:rsid w:val="000B33A7"/>
    <w:rsid w:val="000B3CCA"/>
    <w:rsid w:val="000B468E"/>
    <w:rsid w:val="000B5876"/>
    <w:rsid w:val="000B5E25"/>
    <w:rsid w:val="000B7C6C"/>
    <w:rsid w:val="000C14B9"/>
    <w:rsid w:val="000C43CE"/>
    <w:rsid w:val="000C49B8"/>
    <w:rsid w:val="000C5FDF"/>
    <w:rsid w:val="000C615C"/>
    <w:rsid w:val="000C7247"/>
    <w:rsid w:val="000D0214"/>
    <w:rsid w:val="000D3AD4"/>
    <w:rsid w:val="000D64B0"/>
    <w:rsid w:val="000E592F"/>
    <w:rsid w:val="000F16BA"/>
    <w:rsid w:val="00100C2B"/>
    <w:rsid w:val="00101AD8"/>
    <w:rsid w:val="00105738"/>
    <w:rsid w:val="0010712B"/>
    <w:rsid w:val="00115B15"/>
    <w:rsid w:val="00123996"/>
    <w:rsid w:val="0012510D"/>
    <w:rsid w:val="001256AE"/>
    <w:rsid w:val="00131427"/>
    <w:rsid w:val="001337CA"/>
    <w:rsid w:val="00140AA7"/>
    <w:rsid w:val="00140E1B"/>
    <w:rsid w:val="0014397A"/>
    <w:rsid w:val="00143F6E"/>
    <w:rsid w:val="00151D4C"/>
    <w:rsid w:val="00152DAD"/>
    <w:rsid w:val="001558F3"/>
    <w:rsid w:val="00160C09"/>
    <w:rsid w:val="00161787"/>
    <w:rsid w:val="001660E9"/>
    <w:rsid w:val="001676E1"/>
    <w:rsid w:val="00170AA7"/>
    <w:rsid w:val="001762FA"/>
    <w:rsid w:val="00177093"/>
    <w:rsid w:val="00184176"/>
    <w:rsid w:val="00186CCB"/>
    <w:rsid w:val="00191418"/>
    <w:rsid w:val="0019170F"/>
    <w:rsid w:val="00193F09"/>
    <w:rsid w:val="00197B1A"/>
    <w:rsid w:val="001A46ED"/>
    <w:rsid w:val="001A6109"/>
    <w:rsid w:val="001C054C"/>
    <w:rsid w:val="001C14AC"/>
    <w:rsid w:val="001C492C"/>
    <w:rsid w:val="001C7F56"/>
    <w:rsid w:val="001D09E1"/>
    <w:rsid w:val="001D2DE0"/>
    <w:rsid w:val="001D4046"/>
    <w:rsid w:val="001D5495"/>
    <w:rsid w:val="001E2DA3"/>
    <w:rsid w:val="001E45B5"/>
    <w:rsid w:val="001F1FCC"/>
    <w:rsid w:val="001F2305"/>
    <w:rsid w:val="001F2E4C"/>
    <w:rsid w:val="001F3672"/>
    <w:rsid w:val="001F6BF1"/>
    <w:rsid w:val="0020249A"/>
    <w:rsid w:val="00202C04"/>
    <w:rsid w:val="002167BB"/>
    <w:rsid w:val="00217E6C"/>
    <w:rsid w:val="00225163"/>
    <w:rsid w:val="002273B6"/>
    <w:rsid w:val="00227FAE"/>
    <w:rsid w:val="002313F8"/>
    <w:rsid w:val="00235936"/>
    <w:rsid w:val="00236A71"/>
    <w:rsid w:val="00236CBA"/>
    <w:rsid w:val="00242014"/>
    <w:rsid w:val="0024323F"/>
    <w:rsid w:val="002447CD"/>
    <w:rsid w:val="00246DC1"/>
    <w:rsid w:val="00247138"/>
    <w:rsid w:val="00251C5D"/>
    <w:rsid w:val="00253578"/>
    <w:rsid w:val="00255F1A"/>
    <w:rsid w:val="00261BC7"/>
    <w:rsid w:val="00263AF4"/>
    <w:rsid w:val="00266841"/>
    <w:rsid w:val="00266CD3"/>
    <w:rsid w:val="00267458"/>
    <w:rsid w:val="00267BB5"/>
    <w:rsid w:val="00272BA6"/>
    <w:rsid w:val="0027342B"/>
    <w:rsid w:val="002755AD"/>
    <w:rsid w:val="00283FC5"/>
    <w:rsid w:val="00286546"/>
    <w:rsid w:val="0029071C"/>
    <w:rsid w:val="002934B4"/>
    <w:rsid w:val="00295B3F"/>
    <w:rsid w:val="00297A54"/>
    <w:rsid w:val="002A040B"/>
    <w:rsid w:val="002A3EFB"/>
    <w:rsid w:val="002A45F3"/>
    <w:rsid w:val="002A4B43"/>
    <w:rsid w:val="002A672B"/>
    <w:rsid w:val="002A676F"/>
    <w:rsid w:val="002B48AD"/>
    <w:rsid w:val="002B5B5A"/>
    <w:rsid w:val="002C0BE5"/>
    <w:rsid w:val="002C240F"/>
    <w:rsid w:val="002C62EC"/>
    <w:rsid w:val="002D17B8"/>
    <w:rsid w:val="002D25E0"/>
    <w:rsid w:val="002D32D2"/>
    <w:rsid w:val="002D61F7"/>
    <w:rsid w:val="002D6656"/>
    <w:rsid w:val="002D6E4B"/>
    <w:rsid w:val="002E3085"/>
    <w:rsid w:val="002E4315"/>
    <w:rsid w:val="002F3B20"/>
    <w:rsid w:val="002F3F9D"/>
    <w:rsid w:val="002F55B9"/>
    <w:rsid w:val="002F6ADB"/>
    <w:rsid w:val="00302343"/>
    <w:rsid w:val="00306F04"/>
    <w:rsid w:val="00307006"/>
    <w:rsid w:val="0030701F"/>
    <w:rsid w:val="00313F8E"/>
    <w:rsid w:val="00314E62"/>
    <w:rsid w:val="00316511"/>
    <w:rsid w:val="00320F38"/>
    <w:rsid w:val="00322715"/>
    <w:rsid w:val="00326B44"/>
    <w:rsid w:val="00327151"/>
    <w:rsid w:val="00330FC3"/>
    <w:rsid w:val="00331E82"/>
    <w:rsid w:val="00335C6A"/>
    <w:rsid w:val="003370A0"/>
    <w:rsid w:val="00340A06"/>
    <w:rsid w:val="00343753"/>
    <w:rsid w:val="00343F0B"/>
    <w:rsid w:val="00344236"/>
    <w:rsid w:val="003502CA"/>
    <w:rsid w:val="00351E9D"/>
    <w:rsid w:val="003520C5"/>
    <w:rsid w:val="0035559A"/>
    <w:rsid w:val="00357C37"/>
    <w:rsid w:val="00360FB7"/>
    <w:rsid w:val="00363F90"/>
    <w:rsid w:val="00365F0F"/>
    <w:rsid w:val="00371835"/>
    <w:rsid w:val="0037207F"/>
    <w:rsid w:val="003746DE"/>
    <w:rsid w:val="00376422"/>
    <w:rsid w:val="00377DDD"/>
    <w:rsid w:val="003804E8"/>
    <w:rsid w:val="003806D2"/>
    <w:rsid w:val="00380D3E"/>
    <w:rsid w:val="003816D4"/>
    <w:rsid w:val="003818CD"/>
    <w:rsid w:val="00386D38"/>
    <w:rsid w:val="00393723"/>
    <w:rsid w:val="00396DB6"/>
    <w:rsid w:val="003A4562"/>
    <w:rsid w:val="003A769D"/>
    <w:rsid w:val="003B0E84"/>
    <w:rsid w:val="003B153A"/>
    <w:rsid w:val="003B1C85"/>
    <w:rsid w:val="003B4CF3"/>
    <w:rsid w:val="003B70B0"/>
    <w:rsid w:val="003C6E1C"/>
    <w:rsid w:val="003C7A9B"/>
    <w:rsid w:val="003D0889"/>
    <w:rsid w:val="003D1214"/>
    <w:rsid w:val="003D5C8A"/>
    <w:rsid w:val="003E21A7"/>
    <w:rsid w:val="003E56C9"/>
    <w:rsid w:val="003F22BA"/>
    <w:rsid w:val="003F28C1"/>
    <w:rsid w:val="003F684E"/>
    <w:rsid w:val="004018F9"/>
    <w:rsid w:val="00402765"/>
    <w:rsid w:val="00415D24"/>
    <w:rsid w:val="00424FFC"/>
    <w:rsid w:val="00425E0F"/>
    <w:rsid w:val="004309A2"/>
    <w:rsid w:val="00430BAC"/>
    <w:rsid w:val="00430CDF"/>
    <w:rsid w:val="004344EA"/>
    <w:rsid w:val="00434788"/>
    <w:rsid w:val="0043515A"/>
    <w:rsid w:val="004403F7"/>
    <w:rsid w:val="00441335"/>
    <w:rsid w:val="00441462"/>
    <w:rsid w:val="00442FD8"/>
    <w:rsid w:val="00443892"/>
    <w:rsid w:val="004445A1"/>
    <w:rsid w:val="00444719"/>
    <w:rsid w:val="004454D4"/>
    <w:rsid w:val="004459B3"/>
    <w:rsid w:val="00445CAA"/>
    <w:rsid w:val="004514F1"/>
    <w:rsid w:val="004672ED"/>
    <w:rsid w:val="0047203A"/>
    <w:rsid w:val="00474B1F"/>
    <w:rsid w:val="00474D3D"/>
    <w:rsid w:val="00480299"/>
    <w:rsid w:val="0048783A"/>
    <w:rsid w:val="00491137"/>
    <w:rsid w:val="00492129"/>
    <w:rsid w:val="004A0B63"/>
    <w:rsid w:val="004A26CF"/>
    <w:rsid w:val="004A2D65"/>
    <w:rsid w:val="004A5E01"/>
    <w:rsid w:val="004B200D"/>
    <w:rsid w:val="004B2314"/>
    <w:rsid w:val="004B4B9F"/>
    <w:rsid w:val="004B5F63"/>
    <w:rsid w:val="004C6BB5"/>
    <w:rsid w:val="004C7090"/>
    <w:rsid w:val="004D18B6"/>
    <w:rsid w:val="004D193E"/>
    <w:rsid w:val="004D5D2F"/>
    <w:rsid w:val="004D6F71"/>
    <w:rsid w:val="004E06F5"/>
    <w:rsid w:val="004E3A1A"/>
    <w:rsid w:val="004E5628"/>
    <w:rsid w:val="004F5303"/>
    <w:rsid w:val="004F5A12"/>
    <w:rsid w:val="004F7F8A"/>
    <w:rsid w:val="00500B82"/>
    <w:rsid w:val="0050130E"/>
    <w:rsid w:val="0050243E"/>
    <w:rsid w:val="005128C2"/>
    <w:rsid w:val="00515252"/>
    <w:rsid w:val="00517275"/>
    <w:rsid w:val="00524546"/>
    <w:rsid w:val="00524A8D"/>
    <w:rsid w:val="0052578D"/>
    <w:rsid w:val="00526853"/>
    <w:rsid w:val="005327BF"/>
    <w:rsid w:val="0053343D"/>
    <w:rsid w:val="00535341"/>
    <w:rsid w:val="00541687"/>
    <w:rsid w:val="0054391A"/>
    <w:rsid w:val="00545ABC"/>
    <w:rsid w:val="00555C87"/>
    <w:rsid w:val="00561A6E"/>
    <w:rsid w:val="00561D99"/>
    <w:rsid w:val="00563B39"/>
    <w:rsid w:val="00572099"/>
    <w:rsid w:val="0057280C"/>
    <w:rsid w:val="0057289F"/>
    <w:rsid w:val="00574FDC"/>
    <w:rsid w:val="005803C9"/>
    <w:rsid w:val="00581DC8"/>
    <w:rsid w:val="00584DBE"/>
    <w:rsid w:val="0059032F"/>
    <w:rsid w:val="0059614C"/>
    <w:rsid w:val="00597D71"/>
    <w:rsid w:val="005A4C88"/>
    <w:rsid w:val="005A6216"/>
    <w:rsid w:val="005B0692"/>
    <w:rsid w:val="005B234D"/>
    <w:rsid w:val="005B26AD"/>
    <w:rsid w:val="005B36A8"/>
    <w:rsid w:val="005B5693"/>
    <w:rsid w:val="005C2ACA"/>
    <w:rsid w:val="005C6646"/>
    <w:rsid w:val="005D14FC"/>
    <w:rsid w:val="005D77CC"/>
    <w:rsid w:val="005E09AB"/>
    <w:rsid w:val="005E3D88"/>
    <w:rsid w:val="005E5716"/>
    <w:rsid w:val="005F1F89"/>
    <w:rsid w:val="005F38DA"/>
    <w:rsid w:val="005F4BFB"/>
    <w:rsid w:val="006000C5"/>
    <w:rsid w:val="006002E0"/>
    <w:rsid w:val="006021E7"/>
    <w:rsid w:val="0061406C"/>
    <w:rsid w:val="00620280"/>
    <w:rsid w:val="0062349E"/>
    <w:rsid w:val="006258FD"/>
    <w:rsid w:val="006328B0"/>
    <w:rsid w:val="00632E48"/>
    <w:rsid w:val="00643B58"/>
    <w:rsid w:val="00660D13"/>
    <w:rsid w:val="00661CC3"/>
    <w:rsid w:val="00662A6B"/>
    <w:rsid w:val="0068062F"/>
    <w:rsid w:val="006810FF"/>
    <w:rsid w:val="00681299"/>
    <w:rsid w:val="00681ED0"/>
    <w:rsid w:val="00683574"/>
    <w:rsid w:val="00694976"/>
    <w:rsid w:val="006A240A"/>
    <w:rsid w:val="006A2694"/>
    <w:rsid w:val="006A7AA4"/>
    <w:rsid w:val="006B0E22"/>
    <w:rsid w:val="006B1301"/>
    <w:rsid w:val="006B26B2"/>
    <w:rsid w:val="006B321A"/>
    <w:rsid w:val="006B35CB"/>
    <w:rsid w:val="006B418F"/>
    <w:rsid w:val="006B61F3"/>
    <w:rsid w:val="006C3931"/>
    <w:rsid w:val="006D1713"/>
    <w:rsid w:val="006D30E6"/>
    <w:rsid w:val="006D3A03"/>
    <w:rsid w:val="006D5540"/>
    <w:rsid w:val="006E08FA"/>
    <w:rsid w:val="006E6297"/>
    <w:rsid w:val="006F5F93"/>
    <w:rsid w:val="00703F77"/>
    <w:rsid w:val="007048C2"/>
    <w:rsid w:val="00704A02"/>
    <w:rsid w:val="00710FED"/>
    <w:rsid w:val="00714A67"/>
    <w:rsid w:val="00715F45"/>
    <w:rsid w:val="00716632"/>
    <w:rsid w:val="00717A0C"/>
    <w:rsid w:val="0072075B"/>
    <w:rsid w:val="007237B8"/>
    <w:rsid w:val="00725DCB"/>
    <w:rsid w:val="0072658E"/>
    <w:rsid w:val="0073033B"/>
    <w:rsid w:val="00732345"/>
    <w:rsid w:val="007348B7"/>
    <w:rsid w:val="00737A9B"/>
    <w:rsid w:val="00742DA4"/>
    <w:rsid w:val="007527E8"/>
    <w:rsid w:val="007532C7"/>
    <w:rsid w:val="00754241"/>
    <w:rsid w:val="0075607A"/>
    <w:rsid w:val="00756F04"/>
    <w:rsid w:val="0075755F"/>
    <w:rsid w:val="00757D60"/>
    <w:rsid w:val="00760B2C"/>
    <w:rsid w:val="00764B25"/>
    <w:rsid w:val="007659E9"/>
    <w:rsid w:val="00766D86"/>
    <w:rsid w:val="00770F18"/>
    <w:rsid w:val="00776479"/>
    <w:rsid w:val="007764BB"/>
    <w:rsid w:val="007828DC"/>
    <w:rsid w:val="0078344B"/>
    <w:rsid w:val="00791193"/>
    <w:rsid w:val="00796A2C"/>
    <w:rsid w:val="007A118C"/>
    <w:rsid w:val="007A1BDF"/>
    <w:rsid w:val="007A1F70"/>
    <w:rsid w:val="007A37FE"/>
    <w:rsid w:val="007A401E"/>
    <w:rsid w:val="007A417D"/>
    <w:rsid w:val="007A7DBD"/>
    <w:rsid w:val="007B6F6F"/>
    <w:rsid w:val="007C1D5B"/>
    <w:rsid w:val="007C3435"/>
    <w:rsid w:val="007C35A4"/>
    <w:rsid w:val="007C3E46"/>
    <w:rsid w:val="007C478B"/>
    <w:rsid w:val="007D2A81"/>
    <w:rsid w:val="007D645B"/>
    <w:rsid w:val="007E52D5"/>
    <w:rsid w:val="007E534B"/>
    <w:rsid w:val="007E6F30"/>
    <w:rsid w:val="007E7C02"/>
    <w:rsid w:val="007F7462"/>
    <w:rsid w:val="00800A80"/>
    <w:rsid w:val="00800C72"/>
    <w:rsid w:val="00803913"/>
    <w:rsid w:val="00807D02"/>
    <w:rsid w:val="0081709C"/>
    <w:rsid w:val="00823690"/>
    <w:rsid w:val="0083345F"/>
    <w:rsid w:val="00835035"/>
    <w:rsid w:val="00836D9E"/>
    <w:rsid w:val="00843F80"/>
    <w:rsid w:val="00844392"/>
    <w:rsid w:val="00845F96"/>
    <w:rsid w:val="008500D3"/>
    <w:rsid w:val="00852668"/>
    <w:rsid w:val="008578BF"/>
    <w:rsid w:val="00864E58"/>
    <w:rsid w:val="008660D6"/>
    <w:rsid w:val="00871098"/>
    <w:rsid w:val="00877235"/>
    <w:rsid w:val="00880014"/>
    <w:rsid w:val="008803EF"/>
    <w:rsid w:val="00882980"/>
    <w:rsid w:val="00886303"/>
    <w:rsid w:val="00895FE3"/>
    <w:rsid w:val="00896D29"/>
    <w:rsid w:val="008A12CF"/>
    <w:rsid w:val="008A1A90"/>
    <w:rsid w:val="008A64CB"/>
    <w:rsid w:val="008B082B"/>
    <w:rsid w:val="008B4D4C"/>
    <w:rsid w:val="008B6546"/>
    <w:rsid w:val="008C3B24"/>
    <w:rsid w:val="008D1030"/>
    <w:rsid w:val="008D5BD3"/>
    <w:rsid w:val="008D638A"/>
    <w:rsid w:val="008E01E4"/>
    <w:rsid w:val="008E28B2"/>
    <w:rsid w:val="008E7F32"/>
    <w:rsid w:val="008F148C"/>
    <w:rsid w:val="008F5D37"/>
    <w:rsid w:val="008F5DAE"/>
    <w:rsid w:val="008F7C23"/>
    <w:rsid w:val="00900C9B"/>
    <w:rsid w:val="00901487"/>
    <w:rsid w:val="009072AA"/>
    <w:rsid w:val="00907F13"/>
    <w:rsid w:val="00914306"/>
    <w:rsid w:val="00921551"/>
    <w:rsid w:val="009217E8"/>
    <w:rsid w:val="00925B0B"/>
    <w:rsid w:val="0092622F"/>
    <w:rsid w:val="00926C44"/>
    <w:rsid w:val="0093645B"/>
    <w:rsid w:val="0094381A"/>
    <w:rsid w:val="00951242"/>
    <w:rsid w:val="00961002"/>
    <w:rsid w:val="0096424E"/>
    <w:rsid w:val="00973F9B"/>
    <w:rsid w:val="009758CB"/>
    <w:rsid w:val="00980909"/>
    <w:rsid w:val="00984706"/>
    <w:rsid w:val="009933D0"/>
    <w:rsid w:val="00993406"/>
    <w:rsid w:val="00994DBB"/>
    <w:rsid w:val="00997D8F"/>
    <w:rsid w:val="009A0722"/>
    <w:rsid w:val="009A0F77"/>
    <w:rsid w:val="009A5223"/>
    <w:rsid w:val="009A6017"/>
    <w:rsid w:val="009A6521"/>
    <w:rsid w:val="009A6B97"/>
    <w:rsid w:val="009A6D6A"/>
    <w:rsid w:val="009A7E94"/>
    <w:rsid w:val="009B23B7"/>
    <w:rsid w:val="009B2B6B"/>
    <w:rsid w:val="009C052A"/>
    <w:rsid w:val="009D2E87"/>
    <w:rsid w:val="009D39B3"/>
    <w:rsid w:val="009D7E06"/>
    <w:rsid w:val="009E0C45"/>
    <w:rsid w:val="009E0E89"/>
    <w:rsid w:val="009E1F26"/>
    <w:rsid w:val="009E3A2B"/>
    <w:rsid w:val="009E46C3"/>
    <w:rsid w:val="009F4FF4"/>
    <w:rsid w:val="009F62C3"/>
    <w:rsid w:val="009F71DC"/>
    <w:rsid w:val="00A0100D"/>
    <w:rsid w:val="00A031D1"/>
    <w:rsid w:val="00A03269"/>
    <w:rsid w:val="00A05133"/>
    <w:rsid w:val="00A05D3A"/>
    <w:rsid w:val="00A100B7"/>
    <w:rsid w:val="00A11793"/>
    <w:rsid w:val="00A16F28"/>
    <w:rsid w:val="00A22FB2"/>
    <w:rsid w:val="00A2385C"/>
    <w:rsid w:val="00A26BD8"/>
    <w:rsid w:val="00A31156"/>
    <w:rsid w:val="00A320DF"/>
    <w:rsid w:val="00A43B03"/>
    <w:rsid w:val="00A44C61"/>
    <w:rsid w:val="00A5260D"/>
    <w:rsid w:val="00A535E4"/>
    <w:rsid w:val="00A54C18"/>
    <w:rsid w:val="00A6692F"/>
    <w:rsid w:val="00A66F64"/>
    <w:rsid w:val="00A6775F"/>
    <w:rsid w:val="00A72262"/>
    <w:rsid w:val="00A753F2"/>
    <w:rsid w:val="00A7773A"/>
    <w:rsid w:val="00A83B4F"/>
    <w:rsid w:val="00A846BD"/>
    <w:rsid w:val="00A9389D"/>
    <w:rsid w:val="00A94441"/>
    <w:rsid w:val="00A97381"/>
    <w:rsid w:val="00A97F97"/>
    <w:rsid w:val="00AA1CCC"/>
    <w:rsid w:val="00AA26B4"/>
    <w:rsid w:val="00AA2A9D"/>
    <w:rsid w:val="00AB15E3"/>
    <w:rsid w:val="00AB4982"/>
    <w:rsid w:val="00AC3DB9"/>
    <w:rsid w:val="00AC687D"/>
    <w:rsid w:val="00AD33BE"/>
    <w:rsid w:val="00AD59C1"/>
    <w:rsid w:val="00AE1A47"/>
    <w:rsid w:val="00AE4A3C"/>
    <w:rsid w:val="00AE5995"/>
    <w:rsid w:val="00AE6704"/>
    <w:rsid w:val="00AE78CA"/>
    <w:rsid w:val="00AF3EC1"/>
    <w:rsid w:val="00B00107"/>
    <w:rsid w:val="00B01BD5"/>
    <w:rsid w:val="00B04476"/>
    <w:rsid w:val="00B05B83"/>
    <w:rsid w:val="00B07EBD"/>
    <w:rsid w:val="00B10A2E"/>
    <w:rsid w:val="00B10AF2"/>
    <w:rsid w:val="00B14416"/>
    <w:rsid w:val="00B17992"/>
    <w:rsid w:val="00B20C2B"/>
    <w:rsid w:val="00B22965"/>
    <w:rsid w:val="00B22D8E"/>
    <w:rsid w:val="00B22E97"/>
    <w:rsid w:val="00B23344"/>
    <w:rsid w:val="00B24B11"/>
    <w:rsid w:val="00B250D7"/>
    <w:rsid w:val="00B253F0"/>
    <w:rsid w:val="00B309E3"/>
    <w:rsid w:val="00B31853"/>
    <w:rsid w:val="00B31EA1"/>
    <w:rsid w:val="00B36260"/>
    <w:rsid w:val="00B43F41"/>
    <w:rsid w:val="00B50B07"/>
    <w:rsid w:val="00B52C22"/>
    <w:rsid w:val="00B5421D"/>
    <w:rsid w:val="00B57219"/>
    <w:rsid w:val="00B579E5"/>
    <w:rsid w:val="00B642EC"/>
    <w:rsid w:val="00B6659F"/>
    <w:rsid w:val="00B71058"/>
    <w:rsid w:val="00B7320F"/>
    <w:rsid w:val="00B74436"/>
    <w:rsid w:val="00B802A5"/>
    <w:rsid w:val="00B8098B"/>
    <w:rsid w:val="00B80C9E"/>
    <w:rsid w:val="00B80EA6"/>
    <w:rsid w:val="00B83E10"/>
    <w:rsid w:val="00B85697"/>
    <w:rsid w:val="00B85F29"/>
    <w:rsid w:val="00B911AF"/>
    <w:rsid w:val="00B9358F"/>
    <w:rsid w:val="00B96A17"/>
    <w:rsid w:val="00BA0F27"/>
    <w:rsid w:val="00BA27FC"/>
    <w:rsid w:val="00BA43DC"/>
    <w:rsid w:val="00BB02B0"/>
    <w:rsid w:val="00BB06D2"/>
    <w:rsid w:val="00BB134B"/>
    <w:rsid w:val="00BB2537"/>
    <w:rsid w:val="00BB347A"/>
    <w:rsid w:val="00BB6185"/>
    <w:rsid w:val="00BB76A3"/>
    <w:rsid w:val="00BC0CFA"/>
    <w:rsid w:val="00BC462B"/>
    <w:rsid w:val="00BC757D"/>
    <w:rsid w:val="00BD14B3"/>
    <w:rsid w:val="00BD1F54"/>
    <w:rsid w:val="00BD269F"/>
    <w:rsid w:val="00BD3782"/>
    <w:rsid w:val="00BD4B93"/>
    <w:rsid w:val="00BD6364"/>
    <w:rsid w:val="00BD677A"/>
    <w:rsid w:val="00BD6F27"/>
    <w:rsid w:val="00BD7095"/>
    <w:rsid w:val="00BD74AF"/>
    <w:rsid w:val="00BE233B"/>
    <w:rsid w:val="00BE7A6E"/>
    <w:rsid w:val="00BF6E0F"/>
    <w:rsid w:val="00C02B7F"/>
    <w:rsid w:val="00C0414E"/>
    <w:rsid w:val="00C058C8"/>
    <w:rsid w:val="00C120DF"/>
    <w:rsid w:val="00C145A0"/>
    <w:rsid w:val="00C20F80"/>
    <w:rsid w:val="00C249A6"/>
    <w:rsid w:val="00C34564"/>
    <w:rsid w:val="00C3593B"/>
    <w:rsid w:val="00C37A05"/>
    <w:rsid w:val="00C4326C"/>
    <w:rsid w:val="00C43F9E"/>
    <w:rsid w:val="00C447D6"/>
    <w:rsid w:val="00C46AF7"/>
    <w:rsid w:val="00C555E9"/>
    <w:rsid w:val="00C56DD5"/>
    <w:rsid w:val="00C63F7B"/>
    <w:rsid w:val="00C6588E"/>
    <w:rsid w:val="00C703EE"/>
    <w:rsid w:val="00C70447"/>
    <w:rsid w:val="00C753C2"/>
    <w:rsid w:val="00C76847"/>
    <w:rsid w:val="00C802FB"/>
    <w:rsid w:val="00C8325A"/>
    <w:rsid w:val="00C8502C"/>
    <w:rsid w:val="00C85653"/>
    <w:rsid w:val="00C86669"/>
    <w:rsid w:val="00C931C2"/>
    <w:rsid w:val="00CA216C"/>
    <w:rsid w:val="00CA39A5"/>
    <w:rsid w:val="00CA4BF9"/>
    <w:rsid w:val="00CB54CA"/>
    <w:rsid w:val="00CC0700"/>
    <w:rsid w:val="00CC0B81"/>
    <w:rsid w:val="00CC6C65"/>
    <w:rsid w:val="00CD024D"/>
    <w:rsid w:val="00CD0A7D"/>
    <w:rsid w:val="00CD3A41"/>
    <w:rsid w:val="00CD431E"/>
    <w:rsid w:val="00CD6D45"/>
    <w:rsid w:val="00CE02B9"/>
    <w:rsid w:val="00CE1C82"/>
    <w:rsid w:val="00CE51D0"/>
    <w:rsid w:val="00CE6A53"/>
    <w:rsid w:val="00CF1DF5"/>
    <w:rsid w:val="00CF4AB0"/>
    <w:rsid w:val="00CF7FBE"/>
    <w:rsid w:val="00D0093C"/>
    <w:rsid w:val="00D01A63"/>
    <w:rsid w:val="00D02FC5"/>
    <w:rsid w:val="00D051B1"/>
    <w:rsid w:val="00D10C88"/>
    <w:rsid w:val="00D12C36"/>
    <w:rsid w:val="00D13B13"/>
    <w:rsid w:val="00D13D7F"/>
    <w:rsid w:val="00D16003"/>
    <w:rsid w:val="00D21ECE"/>
    <w:rsid w:val="00D27727"/>
    <w:rsid w:val="00D34428"/>
    <w:rsid w:val="00D409F2"/>
    <w:rsid w:val="00D43EBF"/>
    <w:rsid w:val="00D4431A"/>
    <w:rsid w:val="00D50E4E"/>
    <w:rsid w:val="00D553D4"/>
    <w:rsid w:val="00D57210"/>
    <w:rsid w:val="00D57AED"/>
    <w:rsid w:val="00D57F74"/>
    <w:rsid w:val="00D80B28"/>
    <w:rsid w:val="00D83603"/>
    <w:rsid w:val="00D901D7"/>
    <w:rsid w:val="00D92BFE"/>
    <w:rsid w:val="00DA2014"/>
    <w:rsid w:val="00DB1F5E"/>
    <w:rsid w:val="00DB55A6"/>
    <w:rsid w:val="00DC1583"/>
    <w:rsid w:val="00DC2B31"/>
    <w:rsid w:val="00DC5B5A"/>
    <w:rsid w:val="00DD136D"/>
    <w:rsid w:val="00DD1866"/>
    <w:rsid w:val="00DD5A69"/>
    <w:rsid w:val="00DE0A8D"/>
    <w:rsid w:val="00DE347D"/>
    <w:rsid w:val="00DE562A"/>
    <w:rsid w:val="00DE6CF9"/>
    <w:rsid w:val="00DE7148"/>
    <w:rsid w:val="00DF0080"/>
    <w:rsid w:val="00DF2507"/>
    <w:rsid w:val="00DF62A4"/>
    <w:rsid w:val="00DF6342"/>
    <w:rsid w:val="00DF665C"/>
    <w:rsid w:val="00DF700F"/>
    <w:rsid w:val="00E00D15"/>
    <w:rsid w:val="00E11B18"/>
    <w:rsid w:val="00E14823"/>
    <w:rsid w:val="00E174F8"/>
    <w:rsid w:val="00E33297"/>
    <w:rsid w:val="00E341AD"/>
    <w:rsid w:val="00E40343"/>
    <w:rsid w:val="00E40828"/>
    <w:rsid w:val="00E42B2B"/>
    <w:rsid w:val="00E50332"/>
    <w:rsid w:val="00E54537"/>
    <w:rsid w:val="00E5647F"/>
    <w:rsid w:val="00E57BDB"/>
    <w:rsid w:val="00E625D3"/>
    <w:rsid w:val="00E65F37"/>
    <w:rsid w:val="00E70B77"/>
    <w:rsid w:val="00E711DE"/>
    <w:rsid w:val="00E74019"/>
    <w:rsid w:val="00E74701"/>
    <w:rsid w:val="00E75E5F"/>
    <w:rsid w:val="00E81C20"/>
    <w:rsid w:val="00E823B8"/>
    <w:rsid w:val="00E849A6"/>
    <w:rsid w:val="00E85E17"/>
    <w:rsid w:val="00E87189"/>
    <w:rsid w:val="00E90222"/>
    <w:rsid w:val="00E9091C"/>
    <w:rsid w:val="00E92136"/>
    <w:rsid w:val="00E93BB3"/>
    <w:rsid w:val="00E9680B"/>
    <w:rsid w:val="00EA0618"/>
    <w:rsid w:val="00EA46CC"/>
    <w:rsid w:val="00EA49B9"/>
    <w:rsid w:val="00EA5AA1"/>
    <w:rsid w:val="00EA61B9"/>
    <w:rsid w:val="00EA75FB"/>
    <w:rsid w:val="00EA7BF4"/>
    <w:rsid w:val="00EB6C62"/>
    <w:rsid w:val="00EB7A95"/>
    <w:rsid w:val="00EC0266"/>
    <w:rsid w:val="00EC19DC"/>
    <w:rsid w:val="00EC41DC"/>
    <w:rsid w:val="00EC6154"/>
    <w:rsid w:val="00EC7868"/>
    <w:rsid w:val="00ED2E2C"/>
    <w:rsid w:val="00ED6373"/>
    <w:rsid w:val="00ED7827"/>
    <w:rsid w:val="00EE0F34"/>
    <w:rsid w:val="00EE2FB1"/>
    <w:rsid w:val="00EE49B2"/>
    <w:rsid w:val="00EE4D9C"/>
    <w:rsid w:val="00EE515E"/>
    <w:rsid w:val="00EE571A"/>
    <w:rsid w:val="00EE6265"/>
    <w:rsid w:val="00EE7518"/>
    <w:rsid w:val="00EF193B"/>
    <w:rsid w:val="00EF7F82"/>
    <w:rsid w:val="00F01B15"/>
    <w:rsid w:val="00F01C71"/>
    <w:rsid w:val="00F1159D"/>
    <w:rsid w:val="00F12F52"/>
    <w:rsid w:val="00F221AF"/>
    <w:rsid w:val="00F239B9"/>
    <w:rsid w:val="00F240DF"/>
    <w:rsid w:val="00F241AD"/>
    <w:rsid w:val="00F30B8C"/>
    <w:rsid w:val="00F30C1D"/>
    <w:rsid w:val="00F30C33"/>
    <w:rsid w:val="00F3172F"/>
    <w:rsid w:val="00F32EBF"/>
    <w:rsid w:val="00F34A32"/>
    <w:rsid w:val="00F41BF5"/>
    <w:rsid w:val="00F43F9A"/>
    <w:rsid w:val="00F455F1"/>
    <w:rsid w:val="00F46C75"/>
    <w:rsid w:val="00F50C03"/>
    <w:rsid w:val="00F538CE"/>
    <w:rsid w:val="00F551C6"/>
    <w:rsid w:val="00F56606"/>
    <w:rsid w:val="00F570D3"/>
    <w:rsid w:val="00F61C9C"/>
    <w:rsid w:val="00F62221"/>
    <w:rsid w:val="00F63223"/>
    <w:rsid w:val="00F66C7B"/>
    <w:rsid w:val="00F7084F"/>
    <w:rsid w:val="00F712EE"/>
    <w:rsid w:val="00F73BB1"/>
    <w:rsid w:val="00F8513C"/>
    <w:rsid w:val="00F85B63"/>
    <w:rsid w:val="00F90EBA"/>
    <w:rsid w:val="00F97C38"/>
    <w:rsid w:val="00FA0962"/>
    <w:rsid w:val="00FA10A1"/>
    <w:rsid w:val="00FA5223"/>
    <w:rsid w:val="00FA7ED5"/>
    <w:rsid w:val="00FB3B4B"/>
    <w:rsid w:val="00FB4C7D"/>
    <w:rsid w:val="00FC079F"/>
    <w:rsid w:val="00FC0DAE"/>
    <w:rsid w:val="00FC1FC5"/>
    <w:rsid w:val="00FC2CC2"/>
    <w:rsid w:val="00FC3BA4"/>
    <w:rsid w:val="00FC6F08"/>
    <w:rsid w:val="00FC7C09"/>
    <w:rsid w:val="00FC7CC7"/>
    <w:rsid w:val="00FE2FFB"/>
    <w:rsid w:val="00FE5AB1"/>
    <w:rsid w:val="00FF2D02"/>
    <w:rsid w:val="00FF6617"/>
    <w:rsid w:val="00FF69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54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b.mx/segob/renapo/acciones-y-programas/clave-unica-de-registro-depoblacion-curp-142226" TargetMode="External"/><Relationship Id="rId4" Type="http://schemas.openxmlformats.org/officeDocument/2006/relationships/settings" Target="settings.xml"/><Relationship Id="rId9" Type="http://schemas.openxmlformats.org/officeDocument/2006/relationships/hyperlink" Target="https://consultas.curp.gob.mx/CurpSP/html/informacionecurpPS.html"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0721A-2563-4B4A-8C36-72BFBC8CD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40</Pages>
  <Words>10189</Words>
  <Characters>56045</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12</cp:revision>
  <cp:lastPrinted>2025-05-30T16:43:00Z</cp:lastPrinted>
  <dcterms:created xsi:type="dcterms:W3CDTF">2025-05-14T02:36:00Z</dcterms:created>
  <dcterms:modified xsi:type="dcterms:W3CDTF">2025-06-04T00:15:00Z</dcterms:modified>
</cp:coreProperties>
</file>