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7BA0"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7063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junio de dos mil veinticinco. </w:t>
      </w:r>
    </w:p>
    <w:p w14:paraId="00638B36" w14:textId="54337400" w:rsidR="00B857F4" w:rsidRPr="0070638E" w:rsidRDefault="000245BB">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70638E">
        <w:rPr>
          <w:rFonts w:ascii="Palatino Linotype" w:eastAsia="Palatino Linotype" w:hAnsi="Palatino Linotype" w:cs="Palatino Linotype"/>
          <w:b/>
        </w:rPr>
        <w:t>VISTO</w:t>
      </w:r>
      <w:r w:rsidRPr="0070638E">
        <w:rPr>
          <w:rFonts w:ascii="Palatino Linotype" w:eastAsia="Palatino Linotype" w:hAnsi="Palatino Linotype" w:cs="Palatino Linotype"/>
        </w:rPr>
        <w:t xml:space="preserve"> el expediente formado con motivo del recurso de revisión </w:t>
      </w:r>
      <w:r w:rsidRPr="0070638E">
        <w:rPr>
          <w:rFonts w:ascii="Palatino Linotype" w:eastAsia="Palatino Linotype" w:hAnsi="Palatino Linotype" w:cs="Palatino Linotype"/>
          <w:b/>
        </w:rPr>
        <w:t>03859/INFOEM/IP/RR/2025</w:t>
      </w:r>
      <w:r w:rsidRPr="0070638E">
        <w:rPr>
          <w:rFonts w:ascii="Palatino Linotype" w:eastAsia="Palatino Linotype" w:hAnsi="Palatino Linotype" w:cs="Palatino Linotype"/>
        </w:rPr>
        <w:t>, interpuesto por</w:t>
      </w:r>
      <w:r w:rsidRPr="0070638E">
        <w:rPr>
          <w:rFonts w:ascii="Palatino Linotype" w:eastAsia="Palatino Linotype" w:hAnsi="Palatino Linotype" w:cs="Palatino Linotype"/>
          <w:b/>
        </w:rPr>
        <w:t xml:space="preserve">  </w:t>
      </w:r>
      <w:r w:rsidR="003F1A67" w:rsidRPr="003F1A67">
        <w:rPr>
          <w:rFonts w:ascii="Palatino Linotype" w:eastAsia="Palatino Linotype" w:hAnsi="Palatino Linotype" w:cs="Palatino Linotype"/>
          <w:b/>
        </w:rPr>
        <w:t>XXXXXX XXXXXXX XXXXXX</w:t>
      </w:r>
      <w:r w:rsidRPr="0070638E">
        <w:rPr>
          <w:rFonts w:ascii="Palatino Linotype" w:eastAsia="Palatino Linotype" w:hAnsi="Palatino Linotype" w:cs="Palatino Linotype"/>
          <w:b/>
        </w:rPr>
        <w:t>,</w:t>
      </w:r>
      <w:r w:rsidRPr="0070638E">
        <w:rPr>
          <w:rFonts w:ascii="Palatino Linotype" w:eastAsia="Palatino Linotype" w:hAnsi="Palatino Linotype" w:cs="Palatino Linotype"/>
        </w:rPr>
        <w:t xml:space="preserve"> en lo sucesivo</w:t>
      </w:r>
      <w:r w:rsidRPr="0070638E">
        <w:rPr>
          <w:rFonts w:ascii="Palatino Linotype" w:eastAsia="Palatino Linotype" w:hAnsi="Palatino Linotype" w:cs="Palatino Linotype"/>
          <w:b/>
        </w:rPr>
        <w:t xml:space="preserve"> </w:t>
      </w:r>
      <w:r w:rsidRPr="0070638E">
        <w:rPr>
          <w:rFonts w:ascii="Palatino Linotype" w:eastAsia="Palatino Linotype" w:hAnsi="Palatino Linotype" w:cs="Palatino Linotype"/>
        </w:rPr>
        <w:t xml:space="preserve">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xml:space="preserve"> en contra de la respuesta a la solicitud de información con número de folio</w:t>
      </w:r>
      <w:r w:rsidRPr="0070638E">
        <w:rPr>
          <w:rFonts w:ascii="Palatino Linotype" w:eastAsia="Palatino Linotype" w:hAnsi="Palatino Linotype" w:cs="Palatino Linotype"/>
          <w:b/>
        </w:rPr>
        <w:t xml:space="preserve"> 00014/OASZINACAN/IP/2025, </w:t>
      </w:r>
      <w:r w:rsidRPr="0070638E">
        <w:rPr>
          <w:rFonts w:ascii="Palatino Linotype" w:eastAsia="Palatino Linotype" w:hAnsi="Palatino Linotype" w:cs="Palatino Linotype"/>
        </w:rPr>
        <w:t xml:space="preserve">por parte del </w:t>
      </w:r>
      <w:r w:rsidRPr="0070638E">
        <w:rPr>
          <w:rFonts w:ascii="Palatino Linotype" w:eastAsia="Palatino Linotype" w:hAnsi="Palatino Linotype" w:cs="Palatino Linotype"/>
          <w:b/>
        </w:rPr>
        <w:t xml:space="preserve">Organismo Público Descentralizado para la Prestación de Los Servicios de Agua Potable Alcantarillado y Saneamiento de Zinacantepec, </w:t>
      </w:r>
      <w:r w:rsidRPr="0070638E">
        <w:rPr>
          <w:rFonts w:ascii="Palatino Linotype" w:eastAsia="Palatino Linotype" w:hAnsi="Palatino Linotype" w:cs="Palatino Linotype"/>
        </w:rPr>
        <w:t xml:space="preserve">en lo sucesivo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se procede a dictar la presente resolución con base en los siguientes: </w:t>
      </w:r>
    </w:p>
    <w:p w14:paraId="05E0412E" w14:textId="77777777" w:rsidR="00B857F4" w:rsidRPr="0070638E" w:rsidRDefault="000245BB">
      <w:pPr>
        <w:spacing w:before="240" w:after="240" w:line="360" w:lineRule="auto"/>
        <w:jc w:val="center"/>
        <w:rPr>
          <w:rFonts w:ascii="Palatino Linotype" w:eastAsia="Palatino Linotype" w:hAnsi="Palatino Linotype" w:cs="Palatino Linotype"/>
          <w:b/>
        </w:rPr>
      </w:pPr>
      <w:r w:rsidRPr="0070638E">
        <w:rPr>
          <w:rFonts w:ascii="Palatino Linotype" w:eastAsia="Palatino Linotype" w:hAnsi="Palatino Linotype" w:cs="Palatino Linotype"/>
          <w:b/>
        </w:rPr>
        <w:t>I. A N T E C E D E N T E S</w:t>
      </w:r>
    </w:p>
    <w:p w14:paraId="07313BC9" w14:textId="77777777" w:rsidR="00B857F4" w:rsidRPr="0070638E" w:rsidRDefault="000245BB">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70638E">
        <w:rPr>
          <w:rFonts w:ascii="Palatino Linotype" w:eastAsia="Palatino Linotype" w:hAnsi="Palatino Linotype" w:cs="Palatino Linotype"/>
          <w:b/>
        </w:rPr>
        <w:t>1. Solicitud de acceso a la información.</w:t>
      </w:r>
      <w:r w:rsidRPr="0070638E">
        <w:rPr>
          <w:rFonts w:ascii="Palatino Linotype" w:eastAsia="Palatino Linotype" w:hAnsi="Palatino Linotype" w:cs="Palatino Linotype"/>
        </w:rPr>
        <w:t xml:space="preserve"> El </w:t>
      </w:r>
      <w:r w:rsidRPr="0070638E">
        <w:rPr>
          <w:rFonts w:ascii="Palatino Linotype" w:eastAsia="Palatino Linotype" w:hAnsi="Palatino Linotype" w:cs="Palatino Linotype"/>
          <w:b/>
        </w:rPr>
        <w:t>siete de marzo de dos mil veinticinco,</w:t>
      </w:r>
      <w:r w:rsidRPr="0070638E">
        <w:rPr>
          <w:rFonts w:ascii="Palatino Linotype" w:eastAsia="Palatino Linotype" w:hAnsi="Palatino Linotype" w:cs="Palatino Linotype"/>
        </w:rPr>
        <w:t xml:space="preserve">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 xml:space="preserve">presentó su solicitud de acceso a la información ante el </w:t>
      </w:r>
      <w:r w:rsidRPr="0070638E">
        <w:rPr>
          <w:rFonts w:ascii="Palatino Linotype" w:eastAsia="Palatino Linotype" w:hAnsi="Palatino Linotype" w:cs="Palatino Linotype"/>
          <w:b/>
        </w:rPr>
        <w:t>Sujeto Obligado</w:t>
      </w:r>
      <w:r w:rsidRPr="0070638E">
        <w:rPr>
          <w:rFonts w:ascii="Palatino Linotype" w:eastAsia="Palatino Linotype" w:hAnsi="Palatino Linotype" w:cs="Palatino Linotype"/>
        </w:rPr>
        <w:t xml:space="preserve">, a través del Sistema de Acceso a la Información Mexiquense, en lo subsecuente el </w:t>
      </w:r>
      <w:r w:rsidRPr="0070638E">
        <w:rPr>
          <w:rFonts w:ascii="Palatino Linotype" w:eastAsia="Palatino Linotype" w:hAnsi="Palatino Linotype" w:cs="Palatino Linotype"/>
          <w:b/>
        </w:rPr>
        <w:t>SAIMEX;</w:t>
      </w:r>
      <w:r w:rsidRPr="0070638E">
        <w:rPr>
          <w:rFonts w:ascii="Palatino Linotype" w:eastAsia="Palatino Linotype" w:hAnsi="Palatino Linotype" w:cs="Palatino Linotype"/>
        </w:rPr>
        <w:t xml:space="preserve"> mediante la cual requirió lo siguiente:</w:t>
      </w:r>
    </w:p>
    <w:p w14:paraId="06CF471B" w14:textId="77777777" w:rsidR="00B857F4" w:rsidRPr="0070638E" w:rsidRDefault="000245BB">
      <w:pPr>
        <w:spacing w:before="120" w:after="120"/>
        <w:ind w:left="851" w:right="902"/>
        <w:jc w:val="both"/>
        <w:rPr>
          <w:rFonts w:ascii="Palatino Linotype" w:eastAsia="Palatino Linotype" w:hAnsi="Palatino Linotype" w:cs="Palatino Linotype"/>
          <w:b/>
          <w:i/>
          <w:sz w:val="22"/>
          <w:szCs w:val="22"/>
        </w:rPr>
      </w:pPr>
      <w:r w:rsidRPr="0070638E">
        <w:rPr>
          <w:rFonts w:ascii="Palatino Linotype" w:eastAsia="Palatino Linotype" w:hAnsi="Palatino Linotype" w:cs="Palatino Linotype"/>
          <w:i/>
          <w:sz w:val="22"/>
          <w:szCs w:val="22"/>
        </w:rPr>
        <w:t xml:space="preserve"> “Solicito el tabulador de sueldos 2025</w:t>
      </w:r>
      <w:r w:rsidRPr="0070638E">
        <w:rPr>
          <w:rFonts w:ascii="Palatino Linotype" w:eastAsia="Palatino Linotype" w:hAnsi="Palatino Linotype" w:cs="Palatino Linotype"/>
          <w:b/>
          <w:i/>
          <w:sz w:val="22"/>
          <w:szCs w:val="22"/>
        </w:rPr>
        <w:t>”</w:t>
      </w:r>
      <w:r w:rsidRPr="0070638E">
        <w:rPr>
          <w:rFonts w:ascii="Palatino Linotype" w:eastAsia="Palatino Linotype" w:hAnsi="Palatino Linotype" w:cs="Palatino Linotype"/>
          <w:i/>
          <w:sz w:val="22"/>
          <w:szCs w:val="22"/>
        </w:rPr>
        <w:t xml:space="preserve"> (sic) </w:t>
      </w:r>
    </w:p>
    <w:p w14:paraId="58E78321"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70638E">
        <w:rPr>
          <w:rFonts w:ascii="Palatino Linotype" w:eastAsia="Palatino Linotype" w:hAnsi="Palatino Linotype" w:cs="Palatino Linotype"/>
          <w:b/>
        </w:rPr>
        <w:t>Modalidad de Entrega:</w:t>
      </w:r>
      <w:r w:rsidRPr="0070638E">
        <w:rPr>
          <w:rFonts w:ascii="Palatino Linotype" w:eastAsia="Palatino Linotype" w:hAnsi="Palatino Linotype" w:cs="Palatino Linotype"/>
        </w:rPr>
        <w:t xml:space="preserve"> a través del</w:t>
      </w:r>
      <w:r w:rsidRPr="0070638E">
        <w:rPr>
          <w:rFonts w:ascii="Palatino Linotype" w:eastAsia="Palatino Linotype" w:hAnsi="Palatino Linotype" w:cs="Palatino Linotype"/>
          <w:b/>
        </w:rPr>
        <w:t xml:space="preserve"> SAIMEX.</w:t>
      </w:r>
    </w:p>
    <w:p w14:paraId="449E608B"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lastRenderedPageBreak/>
        <w:t xml:space="preserve">2. Respuesta. </w:t>
      </w:r>
      <w:r w:rsidRPr="0070638E">
        <w:rPr>
          <w:rFonts w:ascii="Palatino Linotype" w:eastAsia="Palatino Linotype" w:hAnsi="Palatino Linotype" w:cs="Palatino Linotype"/>
        </w:rPr>
        <w:t xml:space="preserve">El </w:t>
      </w:r>
      <w:r w:rsidRPr="0070638E">
        <w:rPr>
          <w:rFonts w:ascii="Palatino Linotype" w:eastAsia="Palatino Linotype" w:hAnsi="Palatino Linotype" w:cs="Palatino Linotype"/>
          <w:b/>
        </w:rPr>
        <w:t>veinticinco de marzo de dos mil veinticinco,</w:t>
      </w:r>
      <w:r w:rsidRPr="0070638E">
        <w:rPr>
          <w:rFonts w:ascii="Palatino Linotype" w:eastAsia="Palatino Linotype" w:hAnsi="Palatino Linotype" w:cs="Palatino Linotype"/>
        </w:rPr>
        <w:t xml:space="preserve">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AEA84AC" w14:textId="77777777" w:rsidR="00B857F4" w:rsidRPr="0070638E" w:rsidRDefault="000245BB">
      <w:pPr>
        <w:spacing w:before="240" w:after="24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“…Se anexa oficio de respuesta...” (sic)</w:t>
      </w:r>
    </w:p>
    <w:p w14:paraId="61F07B98"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adjuntó lo siguiente:</w:t>
      </w:r>
    </w:p>
    <w:p w14:paraId="61C27080"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 </w:t>
      </w:r>
      <w:proofErr w:type="spellStart"/>
      <w:r w:rsidRPr="0070638E">
        <w:rPr>
          <w:rFonts w:ascii="Palatino Linotype" w:eastAsia="Palatino Linotype" w:hAnsi="Palatino Linotype" w:cs="Palatino Linotype"/>
        </w:rPr>
        <w:t>Memorandum</w:t>
      </w:r>
      <w:proofErr w:type="spellEnd"/>
      <w:r w:rsidRPr="0070638E">
        <w:rPr>
          <w:rFonts w:ascii="Palatino Linotype" w:eastAsia="Palatino Linotype" w:hAnsi="Palatino Linotype" w:cs="Palatino Linotype"/>
        </w:rPr>
        <w:t xml:space="preserve"> número OPDAPAS/DG/TRANS/025/2025, del veinticinco de marzo de dos mil veinticinco, mediante el cual el Titular de la Unidad de Transparencia y Acceso a la Información Pública, notificó la respuesta a la persona solicitante.</w:t>
      </w:r>
    </w:p>
    <w:p w14:paraId="7B62C91F"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Oficio número OPDAPAS/</w:t>
      </w:r>
      <w:proofErr w:type="spellStart"/>
      <w:r w:rsidRPr="0070638E">
        <w:rPr>
          <w:rFonts w:ascii="Palatino Linotype" w:eastAsia="Palatino Linotype" w:hAnsi="Palatino Linotype" w:cs="Palatino Linotype"/>
        </w:rPr>
        <w:t>DAFyC</w:t>
      </w:r>
      <w:proofErr w:type="spellEnd"/>
      <w:r w:rsidRPr="0070638E">
        <w:rPr>
          <w:rFonts w:ascii="Palatino Linotype" w:eastAsia="Palatino Linotype" w:hAnsi="Palatino Linotype" w:cs="Palatino Linotype"/>
        </w:rPr>
        <w:t xml:space="preserve">/030/2025, del trece de marzo de dos mil veinticinco, mediante el cual el Director de Administración, </w:t>
      </w:r>
      <w:r w:rsidRPr="0070638E">
        <w:rPr>
          <w:rFonts w:ascii="Palatino Linotype" w:eastAsia="Palatino Linotype" w:hAnsi="Palatino Linotype" w:cs="Palatino Linotype"/>
        </w:rPr>
        <w:br/>
        <w:t xml:space="preserve">Finanzas y Comercialización, manifestó que el tabulador de sueldos 2025, se encuentra disponible para su consulta en la Gaceta de Gobierno, año uno, volumen uno, número trece, del veinticuatro de febrero de dos mil veinticinco. </w:t>
      </w:r>
    </w:p>
    <w:p w14:paraId="17CA9650"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b/>
        </w:rPr>
        <w:t xml:space="preserve">3. Interposición del recurso de revisión. </w:t>
      </w:r>
      <w:r w:rsidRPr="0070638E">
        <w:rPr>
          <w:rFonts w:ascii="Palatino Linotype" w:eastAsia="Palatino Linotype" w:hAnsi="Palatino Linotype" w:cs="Palatino Linotype"/>
        </w:rPr>
        <w:t xml:space="preserve">Inconforme con los términos de la respuesta emitida por parte del </w:t>
      </w:r>
      <w:r w:rsidRPr="0070638E">
        <w:rPr>
          <w:rFonts w:ascii="Palatino Linotype" w:eastAsia="Palatino Linotype" w:hAnsi="Palatino Linotype" w:cs="Palatino Linotype"/>
          <w:b/>
        </w:rPr>
        <w:t>Sujeto Obligado</w:t>
      </w:r>
      <w:r w:rsidRPr="0070638E">
        <w:rPr>
          <w:rFonts w:ascii="Palatino Linotype" w:eastAsia="Palatino Linotype" w:hAnsi="Palatino Linotype" w:cs="Palatino Linotype"/>
        </w:rPr>
        <w:t xml:space="preserve">, el </w:t>
      </w:r>
      <w:r w:rsidRPr="0070638E">
        <w:rPr>
          <w:rFonts w:ascii="Palatino Linotype" w:eastAsia="Palatino Linotype" w:hAnsi="Palatino Linotype" w:cs="Palatino Linotype"/>
          <w:b/>
        </w:rPr>
        <w:t>dos de abril de dos mil veinticinco,</w:t>
      </w:r>
      <w:r w:rsidRPr="0070638E">
        <w:rPr>
          <w:rFonts w:ascii="Palatino Linotype" w:eastAsia="Palatino Linotype" w:hAnsi="Palatino Linotype" w:cs="Palatino Linotype"/>
        </w:rPr>
        <w:t xml:space="preserve"> 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xml:space="preserve"> interpuso el recurso de revisión a través de </w:t>
      </w:r>
      <w:r w:rsidRPr="0070638E">
        <w:rPr>
          <w:rFonts w:ascii="Palatino Linotype" w:eastAsia="Palatino Linotype" w:hAnsi="Palatino Linotype" w:cs="Palatino Linotype"/>
          <w:b/>
        </w:rPr>
        <w:t xml:space="preserve">SAIMEX, </w:t>
      </w:r>
      <w:r w:rsidRPr="0070638E">
        <w:rPr>
          <w:rFonts w:ascii="Palatino Linotype" w:eastAsia="Palatino Linotype" w:hAnsi="Palatino Linotype" w:cs="Palatino Linotype"/>
        </w:rPr>
        <w:t>en donde se manifestó de la siguiente manera:</w:t>
      </w:r>
    </w:p>
    <w:p w14:paraId="51F52BD7" w14:textId="77777777" w:rsidR="00B857F4" w:rsidRPr="0070638E" w:rsidRDefault="000245BB">
      <w:pPr>
        <w:spacing w:before="240" w:after="240" w:line="360" w:lineRule="auto"/>
        <w:ind w:right="49"/>
        <w:jc w:val="both"/>
        <w:rPr>
          <w:rFonts w:ascii="Palatino Linotype" w:eastAsia="Palatino Linotype" w:hAnsi="Palatino Linotype" w:cs="Palatino Linotype"/>
          <w:b/>
        </w:rPr>
      </w:pPr>
      <w:r w:rsidRPr="0070638E">
        <w:rPr>
          <w:rFonts w:ascii="Palatino Linotype" w:eastAsia="Palatino Linotype" w:hAnsi="Palatino Linotype" w:cs="Palatino Linotype"/>
          <w:b/>
        </w:rPr>
        <w:t xml:space="preserve">Acto impugnado: </w:t>
      </w:r>
    </w:p>
    <w:p w14:paraId="459FBA76" w14:textId="77777777" w:rsidR="00B857F4" w:rsidRPr="0070638E" w:rsidRDefault="000245BB">
      <w:pPr>
        <w:tabs>
          <w:tab w:val="left" w:pos="2745"/>
        </w:tabs>
        <w:spacing w:before="240" w:after="240"/>
        <w:ind w:left="851" w:right="900"/>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“Responde de manera irónica, simulando la entrega de la información.” (sic)</w:t>
      </w:r>
    </w:p>
    <w:p w14:paraId="1BC1152A" w14:textId="77777777" w:rsidR="00B857F4" w:rsidRPr="0070638E" w:rsidRDefault="000245BB">
      <w:pPr>
        <w:spacing w:line="360" w:lineRule="auto"/>
        <w:jc w:val="both"/>
        <w:rPr>
          <w:rFonts w:ascii="Palatino Linotype" w:eastAsia="Palatino Linotype" w:hAnsi="Palatino Linotype" w:cs="Palatino Linotype"/>
        </w:rPr>
      </w:pPr>
      <w:bookmarkStart w:id="4" w:name="_heading=h.30j0zll" w:colFirst="0" w:colLast="0"/>
      <w:bookmarkEnd w:id="4"/>
      <w:r w:rsidRPr="0070638E">
        <w:rPr>
          <w:rFonts w:ascii="Palatino Linotype" w:eastAsia="Palatino Linotype" w:hAnsi="Palatino Linotype" w:cs="Palatino Linotype"/>
          <w:b/>
        </w:rPr>
        <w:lastRenderedPageBreak/>
        <w:t>Y, Razones o motivos de inconformidad</w:t>
      </w:r>
      <w:r w:rsidRPr="0070638E">
        <w:rPr>
          <w:rFonts w:ascii="Palatino Linotype" w:eastAsia="Palatino Linotype" w:hAnsi="Palatino Linotype" w:cs="Palatino Linotype"/>
        </w:rPr>
        <w:t>:</w:t>
      </w:r>
    </w:p>
    <w:p w14:paraId="5955ACFF" w14:textId="77777777" w:rsidR="00B857F4" w:rsidRPr="0070638E" w:rsidRDefault="000245BB">
      <w:pPr>
        <w:tabs>
          <w:tab w:val="left" w:pos="2745"/>
        </w:tabs>
        <w:spacing w:before="240" w:after="240"/>
        <w:ind w:left="851" w:right="900"/>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 xml:space="preserve">“El tesorero del organismo de agua hace referencia a la gaceta de gobierno, sin embargo; le hago de su conocimiento que hay distintos órdenes de gobierno para su publicación; el cual no especificó. Por otro lado, en esta ocasión me referí al organismo de agua de Zinacantepec, el cual tiene su propio tabulador de sueldos, ya que de lo contrario me hubiera dirigido sin mayor problema </w:t>
      </w:r>
      <w:proofErr w:type="spellStart"/>
      <w:r w:rsidRPr="0070638E">
        <w:rPr>
          <w:rFonts w:ascii="Palatino Linotype" w:eastAsia="Palatino Linotype" w:hAnsi="Palatino Linotype" w:cs="Palatino Linotype"/>
          <w:i/>
          <w:sz w:val="22"/>
          <w:szCs w:val="22"/>
        </w:rPr>
        <w:t>o</w:t>
      </w:r>
      <w:proofErr w:type="spellEnd"/>
      <w:r w:rsidRPr="0070638E">
        <w:rPr>
          <w:rFonts w:ascii="Palatino Linotype" w:eastAsia="Palatino Linotype" w:hAnsi="Palatino Linotype" w:cs="Palatino Linotype"/>
          <w:i/>
          <w:sz w:val="22"/>
          <w:szCs w:val="22"/>
        </w:rPr>
        <w:t xml:space="preserve"> otro SUJETO OBLIGADO. Ojalá el </w:t>
      </w:r>
      <w:proofErr w:type="spellStart"/>
      <w:r w:rsidRPr="0070638E">
        <w:rPr>
          <w:rFonts w:ascii="Palatino Linotype" w:eastAsia="Palatino Linotype" w:hAnsi="Palatino Linotype" w:cs="Palatino Linotype"/>
          <w:i/>
          <w:sz w:val="22"/>
          <w:szCs w:val="22"/>
        </w:rPr>
        <w:t>infoem</w:t>
      </w:r>
      <w:proofErr w:type="spellEnd"/>
      <w:r w:rsidRPr="0070638E">
        <w:rPr>
          <w:rFonts w:ascii="Palatino Linotype" w:eastAsia="Palatino Linotype" w:hAnsi="Palatino Linotype" w:cs="Palatino Linotype"/>
          <w:i/>
          <w:sz w:val="22"/>
          <w:szCs w:val="22"/>
        </w:rPr>
        <w:t xml:space="preserve"> tome cartas en el asunto en el manejo del acceso a la información de este sujeto obligado.” (sic)</w:t>
      </w:r>
    </w:p>
    <w:p w14:paraId="46DA8A14" w14:textId="77777777" w:rsidR="00B857F4" w:rsidRPr="0070638E" w:rsidRDefault="000245BB">
      <w:pPr>
        <w:spacing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t xml:space="preserve">4. Turno. </w:t>
      </w:r>
      <w:r w:rsidRPr="0070638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0638E">
        <w:rPr>
          <w:rFonts w:ascii="Palatino Linotype" w:eastAsia="Palatino Linotype" w:hAnsi="Palatino Linotype" w:cs="Palatino Linotype"/>
          <w:b/>
        </w:rPr>
        <w:t xml:space="preserve">Guadalupe Ramírez Peña, </w:t>
      </w:r>
      <w:r w:rsidRPr="0070638E">
        <w:rPr>
          <w:rFonts w:ascii="Palatino Linotype" w:eastAsia="Palatino Linotype" w:hAnsi="Palatino Linotype" w:cs="Palatino Linotype"/>
        </w:rPr>
        <w:t xml:space="preserve">a efecto de que analizara sobre su admisión o su </w:t>
      </w:r>
      <w:proofErr w:type="spellStart"/>
      <w:r w:rsidRPr="0070638E">
        <w:rPr>
          <w:rFonts w:ascii="Palatino Linotype" w:eastAsia="Palatino Linotype" w:hAnsi="Palatino Linotype" w:cs="Palatino Linotype"/>
        </w:rPr>
        <w:t>desechamiento</w:t>
      </w:r>
      <w:proofErr w:type="spellEnd"/>
      <w:r w:rsidRPr="0070638E">
        <w:rPr>
          <w:rFonts w:ascii="Palatino Linotype" w:eastAsia="Palatino Linotype" w:hAnsi="Palatino Linotype" w:cs="Palatino Linotype"/>
        </w:rPr>
        <w:t>.</w:t>
      </w:r>
    </w:p>
    <w:p w14:paraId="48EFFA21" w14:textId="77777777" w:rsidR="00B857F4" w:rsidRPr="0070638E" w:rsidRDefault="000245BB">
      <w:pPr>
        <w:spacing w:before="240" w:after="240" w:line="360" w:lineRule="auto"/>
        <w:jc w:val="both"/>
        <w:rPr>
          <w:rFonts w:ascii="Palatino Linotype" w:eastAsia="Palatino Linotype" w:hAnsi="Palatino Linotype" w:cs="Palatino Linotype"/>
          <w:b/>
        </w:rPr>
      </w:pPr>
      <w:bookmarkStart w:id="5" w:name="_heading=h.2s8eyo1" w:colFirst="0" w:colLast="0"/>
      <w:bookmarkEnd w:id="5"/>
      <w:r w:rsidRPr="0070638E">
        <w:rPr>
          <w:rFonts w:ascii="Palatino Linotype" w:eastAsia="Palatino Linotype" w:hAnsi="Palatino Linotype" w:cs="Palatino Linotype"/>
          <w:b/>
        </w:rPr>
        <w:t>5. Admisión del Recurso de revisión.</w:t>
      </w:r>
      <w:r w:rsidRPr="0070638E">
        <w:rPr>
          <w:rFonts w:ascii="Palatino Linotype" w:eastAsia="Palatino Linotype" w:hAnsi="Palatino Linotype" w:cs="Palatino Linotype"/>
        </w:rPr>
        <w:t xml:space="preserve"> El</w:t>
      </w:r>
      <w:r w:rsidRPr="0070638E">
        <w:rPr>
          <w:rFonts w:ascii="Palatino Linotype" w:eastAsia="Palatino Linotype" w:hAnsi="Palatino Linotype" w:cs="Palatino Linotype"/>
          <w:b/>
        </w:rPr>
        <w:t xml:space="preserve"> siete de abril de dos mil veinticinco, </w:t>
      </w:r>
      <w:r w:rsidRPr="0070638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presentara su informe justificado.</w:t>
      </w:r>
    </w:p>
    <w:p w14:paraId="395BAE2A"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t>6. Manifestaciones</w:t>
      </w:r>
      <w:r w:rsidRPr="0070638E">
        <w:rPr>
          <w:rFonts w:ascii="Palatino Linotype" w:eastAsia="Palatino Linotype" w:hAnsi="Palatino Linotype" w:cs="Palatino Linotype"/>
        </w:rPr>
        <w:t xml:space="preserve">. De las constancias que obran en el expediente electrónico del SAIMEX se desprende que el </w:t>
      </w:r>
      <w:r w:rsidRPr="0070638E">
        <w:rPr>
          <w:rFonts w:ascii="Palatino Linotype" w:eastAsia="Palatino Linotype" w:hAnsi="Palatino Linotype" w:cs="Palatino Linotype"/>
          <w:b/>
        </w:rPr>
        <w:t>Sujeto Obligado</w:t>
      </w:r>
      <w:r w:rsidRPr="0070638E">
        <w:rPr>
          <w:rFonts w:ascii="Palatino Linotype" w:eastAsia="Palatino Linotype" w:hAnsi="Palatino Linotype" w:cs="Palatino Linotype"/>
        </w:rPr>
        <w:t xml:space="preserve"> no rindió su Informe Justificado, del </w:t>
      </w:r>
      <w:r w:rsidRPr="0070638E">
        <w:rPr>
          <w:rFonts w:ascii="Palatino Linotype" w:eastAsia="Palatino Linotype" w:hAnsi="Palatino Linotype" w:cs="Palatino Linotype"/>
        </w:rPr>
        <w:lastRenderedPageBreak/>
        <w:t>mismo modo la parte</w:t>
      </w:r>
      <w:r w:rsidRPr="0070638E">
        <w:rPr>
          <w:rFonts w:ascii="Palatino Linotype" w:eastAsia="Palatino Linotype" w:hAnsi="Palatino Linotype" w:cs="Palatino Linotype"/>
          <w:b/>
        </w:rPr>
        <w:t xml:space="preserve"> Recurrente</w:t>
      </w:r>
      <w:r w:rsidRPr="0070638E">
        <w:rPr>
          <w:rFonts w:ascii="Palatino Linotype" w:eastAsia="Palatino Linotype" w:hAnsi="Palatino Linotype" w:cs="Palatino Linotype"/>
        </w:rPr>
        <w:t xml:space="preserve"> omitió realizar manifestaciones, como se observa a continuación:</w:t>
      </w:r>
    </w:p>
    <w:p w14:paraId="0D35437F"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noProof/>
        </w:rPr>
        <w:drawing>
          <wp:inline distT="0" distB="0" distL="0" distR="0" wp14:anchorId="0CEA8CDC" wp14:editId="1D2A8A3F">
            <wp:extent cx="5612130" cy="1558290"/>
            <wp:effectExtent l="0" t="0" r="0" b="0"/>
            <wp:docPr id="20832964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58290"/>
                    </a:xfrm>
                    <a:prstGeom prst="rect">
                      <a:avLst/>
                    </a:prstGeom>
                    <a:ln/>
                  </pic:spPr>
                </pic:pic>
              </a:graphicData>
            </a:graphic>
          </wp:inline>
        </w:drawing>
      </w:r>
    </w:p>
    <w:p w14:paraId="4F6B287E"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t xml:space="preserve">7. Cierre de instrucción. </w:t>
      </w:r>
      <w:r w:rsidRPr="0070638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70638E">
        <w:rPr>
          <w:rFonts w:ascii="Palatino Linotype" w:eastAsia="Palatino Linotype" w:hAnsi="Palatino Linotype" w:cs="Palatino Linotype"/>
          <w:b/>
        </w:rPr>
        <w:t>dos de junio de dos mil veinticinco</w:t>
      </w:r>
      <w:r w:rsidRPr="0070638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CFD3CF1"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t>8</w:t>
      </w:r>
      <w:r w:rsidRPr="0070638E">
        <w:rPr>
          <w:rFonts w:ascii="Palatino Linotype" w:eastAsia="Palatino Linotype" w:hAnsi="Palatino Linotype" w:cs="Palatino Linotype"/>
        </w:rPr>
        <w:t xml:space="preserve">. </w:t>
      </w:r>
      <w:r w:rsidRPr="0070638E">
        <w:rPr>
          <w:rFonts w:ascii="Palatino Linotype" w:eastAsia="Palatino Linotype" w:hAnsi="Palatino Linotype" w:cs="Palatino Linotype"/>
          <w:b/>
        </w:rPr>
        <w:t>Ampliación del término para resolver</w:t>
      </w:r>
      <w:r w:rsidRPr="0070638E">
        <w:rPr>
          <w:rFonts w:ascii="Palatino Linotype" w:eastAsia="Palatino Linotype" w:hAnsi="Palatino Linotype" w:cs="Palatino Linotype"/>
        </w:rPr>
        <w:t xml:space="preserve">. El </w:t>
      </w:r>
      <w:r w:rsidRPr="0070638E">
        <w:rPr>
          <w:rFonts w:ascii="Palatino Linotype" w:eastAsia="Palatino Linotype" w:hAnsi="Palatino Linotype" w:cs="Palatino Linotype"/>
          <w:b/>
        </w:rPr>
        <w:t>cuatro de junio de dos mil veinticinco</w:t>
      </w:r>
      <w:r w:rsidRPr="0070638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A17DB37"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circunstancia atípica que ha rebasado las capacidades </w:t>
      </w:r>
      <w:r w:rsidRPr="0070638E">
        <w:rPr>
          <w:rFonts w:ascii="Palatino Linotype" w:eastAsia="Palatino Linotype" w:hAnsi="Palatino Linotype" w:cs="Palatino Linotype"/>
        </w:rPr>
        <w:lastRenderedPageBreak/>
        <w:t>técnicas y humanas del personal encargado de la proyección de las resoluciones a dichos medios de impugnación.</w:t>
      </w:r>
    </w:p>
    <w:p w14:paraId="0041BBE1"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D1539E"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81CD09"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A3A511"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7C004BFF" w14:textId="77777777" w:rsidR="00B857F4" w:rsidRPr="0070638E" w:rsidRDefault="000245BB">
      <w:pPr>
        <w:spacing w:before="240" w:after="240" w:line="360" w:lineRule="auto"/>
        <w:ind w:left="280"/>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a)</w:t>
      </w:r>
      <w:r w:rsidRPr="0070638E">
        <w:rPr>
          <w:sz w:val="14"/>
          <w:szCs w:val="14"/>
        </w:rPr>
        <w:t xml:space="preserve">   </w:t>
      </w:r>
      <w:r w:rsidRPr="0070638E">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32707923" w14:textId="77777777" w:rsidR="00B857F4" w:rsidRPr="0070638E" w:rsidRDefault="000245BB">
      <w:pPr>
        <w:spacing w:before="240" w:after="240" w:line="360" w:lineRule="auto"/>
        <w:ind w:left="280"/>
        <w:jc w:val="both"/>
        <w:rPr>
          <w:rFonts w:ascii="Palatino Linotype" w:eastAsia="Palatino Linotype" w:hAnsi="Palatino Linotype" w:cs="Palatino Linotype"/>
        </w:rPr>
      </w:pPr>
      <w:r w:rsidRPr="0070638E">
        <w:rPr>
          <w:rFonts w:ascii="Palatino Linotype" w:eastAsia="Palatino Linotype" w:hAnsi="Palatino Linotype" w:cs="Palatino Linotype"/>
        </w:rPr>
        <w:t>b)</w:t>
      </w:r>
      <w:r w:rsidRPr="0070638E">
        <w:rPr>
          <w:sz w:val="14"/>
          <w:szCs w:val="14"/>
        </w:rPr>
        <w:t xml:space="preserve">   </w:t>
      </w:r>
      <w:r w:rsidRPr="0070638E">
        <w:rPr>
          <w:rFonts w:ascii="Palatino Linotype" w:eastAsia="Palatino Linotype" w:hAnsi="Palatino Linotype" w:cs="Palatino Linotype"/>
        </w:rPr>
        <w:t>Actividad Procesal del interesado. Acciones u omisiones del interesado.</w:t>
      </w:r>
    </w:p>
    <w:p w14:paraId="1FE4052A" w14:textId="77777777" w:rsidR="00B857F4" w:rsidRPr="0070638E" w:rsidRDefault="000245BB">
      <w:pPr>
        <w:spacing w:before="240" w:after="240" w:line="360" w:lineRule="auto"/>
        <w:ind w:left="280"/>
        <w:jc w:val="both"/>
        <w:rPr>
          <w:rFonts w:ascii="Palatino Linotype" w:eastAsia="Palatino Linotype" w:hAnsi="Palatino Linotype" w:cs="Palatino Linotype"/>
        </w:rPr>
      </w:pPr>
      <w:r w:rsidRPr="0070638E">
        <w:rPr>
          <w:rFonts w:ascii="Palatino Linotype" w:eastAsia="Palatino Linotype" w:hAnsi="Palatino Linotype" w:cs="Palatino Linotype"/>
        </w:rPr>
        <w:t>c)</w:t>
      </w:r>
      <w:r w:rsidRPr="0070638E">
        <w:rPr>
          <w:sz w:val="14"/>
          <w:szCs w:val="14"/>
        </w:rPr>
        <w:tab/>
      </w:r>
      <w:r w:rsidRPr="0070638E">
        <w:rPr>
          <w:rFonts w:ascii="Palatino Linotype" w:eastAsia="Palatino Linotype" w:hAnsi="Palatino Linotype" w:cs="Palatino Linotype"/>
        </w:rPr>
        <w:t>Conducta de la Autoridad: Las Acciones u omisiones realizadas en el procedimiento. Así como si la autoridad actuó con la debida diligencia.</w:t>
      </w:r>
    </w:p>
    <w:p w14:paraId="09A6E0BF" w14:textId="77777777" w:rsidR="00B857F4" w:rsidRPr="0070638E" w:rsidRDefault="000245BB">
      <w:pPr>
        <w:spacing w:before="240" w:after="240" w:line="360" w:lineRule="auto"/>
        <w:ind w:left="280"/>
        <w:jc w:val="both"/>
        <w:rPr>
          <w:rFonts w:ascii="Palatino Linotype" w:eastAsia="Palatino Linotype" w:hAnsi="Palatino Linotype" w:cs="Palatino Linotype"/>
        </w:rPr>
      </w:pPr>
      <w:r w:rsidRPr="0070638E">
        <w:rPr>
          <w:rFonts w:ascii="Palatino Linotype" w:eastAsia="Palatino Linotype" w:hAnsi="Palatino Linotype" w:cs="Palatino Linotype"/>
        </w:rPr>
        <w:t>d) La afectación generada en la situación jurídica de la persona involucrada en el proceso: Violación a sus derechos humanos.</w:t>
      </w:r>
    </w:p>
    <w:p w14:paraId="6208B39C"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DF58AB"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0638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0638E">
        <w:rPr>
          <w:rFonts w:ascii="Palatino Linotype" w:eastAsia="Palatino Linotype" w:hAnsi="Palatino Linotype" w:cs="Palatino Linotype"/>
        </w:rPr>
        <w:t>, visible en la Gaceta del Seminario Judicial de la Federación con el registro digital 205635.</w:t>
      </w:r>
    </w:p>
    <w:p w14:paraId="4D59484D"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3783F2"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CDC0D0" w14:textId="77777777" w:rsidR="00B857F4" w:rsidRPr="0070638E" w:rsidRDefault="000245BB">
      <w:pPr>
        <w:spacing w:before="120" w:after="120" w:line="360" w:lineRule="auto"/>
        <w:ind w:left="860" w:right="900"/>
        <w:jc w:val="both"/>
        <w:rPr>
          <w:rFonts w:ascii="Palatino Linotype" w:eastAsia="Palatino Linotype" w:hAnsi="Palatino Linotype" w:cs="Palatino Linotype"/>
          <w:sz w:val="22"/>
          <w:szCs w:val="22"/>
        </w:rPr>
      </w:pPr>
      <w:r w:rsidRPr="0070638E">
        <w:rPr>
          <w:rFonts w:ascii="Palatino Linotype" w:eastAsia="Palatino Linotype" w:hAnsi="Palatino Linotype" w:cs="Palatino Linotype"/>
        </w:rPr>
        <w:t xml:space="preserve"> </w:t>
      </w: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b/>
          <w:i/>
          <w:sz w:val="22"/>
          <w:szCs w:val="22"/>
        </w:rPr>
        <w:t>PLAZO RAZONABLE PARA RESOLVER. DIMENSIÓN Y EFECTOS DE ESTE CONCEPTO CUANDO SE ADUCE EXCESIVA CARGA DE TRABAJO</w:t>
      </w: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sz w:val="22"/>
          <w:szCs w:val="22"/>
        </w:rPr>
        <w:t xml:space="preserve"> consultable en el Seminario Judicial de la Federación y su gaceta, con el registro digital 2002351.</w:t>
      </w:r>
    </w:p>
    <w:p w14:paraId="096AECF8" w14:textId="77777777" w:rsidR="00B857F4" w:rsidRPr="0070638E" w:rsidRDefault="000245BB">
      <w:pPr>
        <w:spacing w:before="120" w:after="120" w:line="360" w:lineRule="auto"/>
        <w:ind w:left="860" w:right="900"/>
        <w:jc w:val="both"/>
        <w:rPr>
          <w:rFonts w:ascii="Palatino Linotype" w:eastAsia="Palatino Linotype" w:hAnsi="Palatino Linotype" w:cs="Palatino Linotype"/>
          <w:sz w:val="22"/>
          <w:szCs w:val="22"/>
        </w:rPr>
      </w:pP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sz w:val="22"/>
          <w:szCs w:val="22"/>
        </w:rPr>
        <w:t>, visible en el Seminario Judicial de la Federación y su gaceta, con el registro digital 2002350.</w:t>
      </w:r>
    </w:p>
    <w:p w14:paraId="66118DE1" w14:textId="77777777" w:rsidR="00B857F4" w:rsidRPr="0070638E" w:rsidRDefault="000245BB">
      <w:pPr>
        <w:spacing w:before="240" w:after="240" w:line="360" w:lineRule="auto"/>
        <w:jc w:val="both"/>
        <w:rPr>
          <w:rFonts w:ascii="Palatino Linotype" w:eastAsia="Palatino Linotype" w:hAnsi="Palatino Linotype" w:cs="Palatino Linotype"/>
          <w:sz w:val="22"/>
          <w:szCs w:val="22"/>
        </w:rPr>
      </w:pPr>
      <w:r w:rsidRPr="0070638E">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4A7CDBE3"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0C6390" w14:textId="77777777" w:rsidR="00B857F4" w:rsidRPr="0070638E" w:rsidRDefault="000245BB">
      <w:pPr>
        <w:widowControl w:val="0"/>
        <w:spacing w:before="240" w:after="240" w:line="360" w:lineRule="auto"/>
        <w:jc w:val="center"/>
        <w:rPr>
          <w:rFonts w:ascii="Palatino Linotype" w:eastAsia="Palatino Linotype" w:hAnsi="Palatino Linotype" w:cs="Palatino Linotype"/>
          <w:b/>
        </w:rPr>
      </w:pPr>
      <w:r w:rsidRPr="0070638E">
        <w:rPr>
          <w:rFonts w:ascii="Palatino Linotype" w:eastAsia="Palatino Linotype" w:hAnsi="Palatino Linotype" w:cs="Palatino Linotype"/>
          <w:b/>
        </w:rPr>
        <w:t>II. C O N S I D E R A N D O S</w:t>
      </w:r>
    </w:p>
    <w:p w14:paraId="7D546BD1" w14:textId="5D962271"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b/>
        </w:rPr>
        <w:t>Primero. Competencia.</w:t>
      </w:r>
      <w:r w:rsidRPr="0070638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A813EE" w:rsidRPr="0070638E">
        <w:rPr>
          <w:rFonts w:ascii="Palatino Linotype" w:eastAsia="Palatino Linotype" w:hAnsi="Palatino Linotype" w:cs="Palatino Linotype"/>
        </w:rPr>
        <w:t>trigésimo noveno, cuadragésimo, y cuadragésimo primero</w:t>
      </w:r>
      <w:r w:rsidRPr="0070638E">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AB92F55"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70638E">
        <w:rPr>
          <w:rFonts w:ascii="Palatino Linotype" w:eastAsia="Palatino Linotype" w:hAnsi="Palatino Linotype" w:cs="Palatino Linotype"/>
          <w:b/>
        </w:rPr>
        <w:t>Segundo. Oportunidad y Procedibilidad del Recurso de Revisión</w:t>
      </w:r>
      <w:r w:rsidRPr="0070638E">
        <w:rPr>
          <w:rFonts w:ascii="Palatino Linotype" w:eastAsia="Palatino Linotype" w:hAnsi="Palatino Linotype" w:cs="Palatino Linotype"/>
        </w:rPr>
        <w:t xml:space="preserve">. Previo al estudio del fondo del asunto, se procede a analizar los requisitos de oportunidad y </w:t>
      </w:r>
      <w:r w:rsidRPr="0070638E">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1D5993D7"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remitió la respuesta a la solicitud de información el día </w:t>
      </w:r>
      <w:r w:rsidRPr="0070638E">
        <w:rPr>
          <w:rFonts w:ascii="Palatino Linotype" w:eastAsia="Palatino Linotype" w:hAnsi="Palatino Linotype" w:cs="Palatino Linotype"/>
          <w:b/>
        </w:rPr>
        <w:t xml:space="preserve">veinticinco de marzo de dos mil veinticinco, </w:t>
      </w:r>
      <w:r w:rsidRPr="0070638E">
        <w:rPr>
          <w:rFonts w:ascii="Palatino Linotype" w:eastAsia="Palatino Linotype" w:hAnsi="Palatino Linotype" w:cs="Palatino Linotype"/>
        </w:rPr>
        <w:t xml:space="preserve">mientras que el recurso de revisión interpuesto por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se tuvo por presentado el día</w:t>
      </w:r>
      <w:r w:rsidRPr="0070638E">
        <w:rPr>
          <w:rFonts w:ascii="Palatino Linotype" w:eastAsia="Palatino Linotype" w:hAnsi="Palatino Linotype" w:cs="Palatino Linotype"/>
          <w:b/>
        </w:rPr>
        <w:t xml:space="preserve"> veintiséis de marzo de febrero de dos mil veinticinco, </w:t>
      </w:r>
      <w:r w:rsidRPr="0070638E">
        <w:rPr>
          <w:rFonts w:ascii="Palatino Linotype" w:eastAsia="Palatino Linotype" w:hAnsi="Palatino Linotype" w:cs="Palatino Linotype"/>
        </w:rPr>
        <w:t>esto es, al sexto día hábil posterior a aquel en el que tuvo conocimiento de la respuesta impugnada. En este sentido, se concluye que el presente recurso de revisión se encuentra dentro de los márgenes temporales previstos en las disposiciones legales referidas.</w:t>
      </w:r>
    </w:p>
    <w:p w14:paraId="10896F48" w14:textId="77777777" w:rsidR="00B857F4" w:rsidRPr="0070638E" w:rsidRDefault="000245BB">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70638E">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7EDE46"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xml:space="preserve"> en sus motivos de inconformidad, de acuerdo al artículo 179, fracción I del ordenamiento legal citado, que a la letra dice: </w:t>
      </w:r>
    </w:p>
    <w:p w14:paraId="3521D0FD" w14:textId="77777777" w:rsidR="00B857F4" w:rsidRPr="0070638E" w:rsidRDefault="000245BB">
      <w:pPr>
        <w:tabs>
          <w:tab w:val="left" w:pos="7938"/>
        </w:tabs>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b/>
          <w:i/>
          <w:sz w:val="22"/>
          <w:szCs w:val="22"/>
        </w:rPr>
        <w:t>Artículo 179.</w:t>
      </w:r>
      <w:r w:rsidRPr="0070638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D5B3E2B" w14:textId="77777777" w:rsidR="00B857F4" w:rsidRPr="0070638E" w:rsidRDefault="000245BB">
      <w:pPr>
        <w:tabs>
          <w:tab w:val="left" w:pos="7938"/>
        </w:tabs>
        <w:spacing w:before="120" w:after="120"/>
        <w:ind w:left="1134" w:right="900"/>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t>I.</w:t>
      </w:r>
      <w:r w:rsidRPr="0070638E">
        <w:rPr>
          <w:rFonts w:ascii="Palatino Linotype" w:eastAsia="Palatino Linotype" w:hAnsi="Palatino Linotype" w:cs="Palatino Linotype"/>
          <w:i/>
          <w:sz w:val="22"/>
          <w:szCs w:val="22"/>
        </w:rPr>
        <w:t xml:space="preserve"> La negativa a la información solicitada;</w:t>
      </w:r>
    </w:p>
    <w:p w14:paraId="606CE3AB" w14:textId="77777777" w:rsidR="00B857F4" w:rsidRPr="0070638E" w:rsidRDefault="000245BB">
      <w:pPr>
        <w:spacing w:before="240" w:after="240" w:line="360" w:lineRule="auto"/>
        <w:jc w:val="both"/>
        <w:rPr>
          <w:rFonts w:ascii="Palatino Linotype" w:eastAsia="Palatino Linotype" w:hAnsi="Palatino Linotype" w:cs="Palatino Linotype"/>
          <w:b/>
        </w:rPr>
      </w:pPr>
      <w:r w:rsidRPr="0070638E">
        <w:rPr>
          <w:rFonts w:ascii="Palatino Linotype" w:eastAsia="Palatino Linotype" w:hAnsi="Palatino Linotype" w:cs="Palatino Linotype"/>
          <w:b/>
        </w:rPr>
        <w:t xml:space="preserve">Tercero. Materia de la revisión. </w:t>
      </w:r>
      <w:r w:rsidRPr="0070638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0638E">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0638E">
        <w:rPr>
          <w:rFonts w:ascii="Palatino Linotype" w:eastAsia="Palatino Linotype" w:hAnsi="Palatino Linotype" w:cs="Palatino Linotype"/>
        </w:rPr>
        <w:t xml:space="preserve">de 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o en su defecto, en caso de ser procedente, ordenar la entrega de información.</w:t>
      </w:r>
    </w:p>
    <w:p w14:paraId="4C66EE43"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70638E">
        <w:rPr>
          <w:rFonts w:ascii="Palatino Linotype" w:eastAsia="Palatino Linotype" w:hAnsi="Palatino Linotype" w:cs="Palatino Linotype"/>
          <w:b/>
        </w:rPr>
        <w:t xml:space="preserve">Cuarto. Estudio del asunto. </w:t>
      </w:r>
      <w:r w:rsidRPr="0070638E">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CF63B2"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lastRenderedPageBreak/>
        <w:t>“</w:t>
      </w:r>
      <w:r w:rsidRPr="0070638E">
        <w:rPr>
          <w:rFonts w:ascii="Palatino Linotype" w:eastAsia="Palatino Linotype" w:hAnsi="Palatino Linotype" w:cs="Palatino Linotype"/>
          <w:b/>
          <w:i/>
          <w:sz w:val="22"/>
          <w:szCs w:val="22"/>
        </w:rPr>
        <w:t>Artículo 4</w:t>
      </w:r>
      <w:r w:rsidRPr="0070638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63077F5"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638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76D91A"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638E">
        <w:rPr>
          <w:rFonts w:ascii="Palatino Linotype" w:eastAsia="Palatino Linotype" w:hAnsi="Palatino Linotype" w:cs="Palatino Linotype"/>
          <w:i/>
          <w:sz w:val="22"/>
          <w:szCs w:val="22"/>
        </w:rPr>
        <w:t>.”</w:t>
      </w:r>
    </w:p>
    <w:p w14:paraId="2673B840"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0704831"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t>“Artículo 12.-</w:t>
      </w:r>
      <w:r w:rsidRPr="0070638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8E4A95"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70638E">
        <w:rPr>
          <w:rFonts w:ascii="Palatino Linotype" w:eastAsia="Palatino Linotype" w:hAnsi="Palatino Linotype" w:cs="Palatino Linotype"/>
          <w:i/>
          <w:sz w:val="22"/>
          <w:szCs w:val="22"/>
        </w:rPr>
        <w:t xml:space="preserve">. </w:t>
      </w:r>
      <w:r w:rsidRPr="0070638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3CFF43F" w14:textId="77777777" w:rsidR="00B857F4" w:rsidRPr="0070638E" w:rsidRDefault="000245BB">
      <w:pPr>
        <w:spacing w:before="240" w:after="240" w:line="360" w:lineRule="auto"/>
        <w:ind w:right="-93"/>
        <w:jc w:val="both"/>
        <w:rPr>
          <w:rFonts w:ascii="Palatino Linotype" w:eastAsia="Palatino Linotype" w:hAnsi="Palatino Linotype" w:cs="Palatino Linotype"/>
        </w:rPr>
      </w:pPr>
      <w:r w:rsidRPr="0070638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BD9DE9D" w14:textId="77777777" w:rsidR="00B857F4" w:rsidRPr="0070638E" w:rsidRDefault="000245BB">
      <w:pPr>
        <w:spacing w:before="240" w:after="240" w:line="360" w:lineRule="auto"/>
        <w:jc w:val="both"/>
        <w:rPr>
          <w:rFonts w:ascii="Palatino Linotype" w:eastAsia="Palatino Linotype" w:hAnsi="Palatino Linotype" w:cs="Palatino Linotype"/>
          <w:b/>
        </w:rPr>
      </w:pPr>
      <w:r w:rsidRPr="0070638E">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70638E">
        <w:rPr>
          <w:rFonts w:ascii="Palatino Linotype" w:eastAsia="Palatino Linotype" w:hAnsi="Palatino Linotype" w:cs="Palatino Linotype"/>
          <w:b/>
        </w:rPr>
        <w:t xml:space="preserve"> </w:t>
      </w:r>
    </w:p>
    <w:p w14:paraId="703E230B"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 xml:space="preserve"> “</w:t>
      </w:r>
      <w:r w:rsidRPr="0070638E">
        <w:rPr>
          <w:rFonts w:ascii="Palatino Linotype" w:eastAsia="Palatino Linotype" w:hAnsi="Palatino Linotype" w:cs="Palatino Linotype"/>
          <w:b/>
          <w:i/>
          <w:sz w:val="22"/>
          <w:szCs w:val="22"/>
        </w:rPr>
        <w:t>No existe obligación de elaborar documentos ad hoc para atender las solicitudes de acceso a la información.</w:t>
      </w:r>
      <w:r w:rsidRPr="0070638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w:t>
      </w:r>
      <w:r w:rsidRPr="0070638E">
        <w:rPr>
          <w:rFonts w:ascii="Palatino Linotype" w:eastAsia="Palatino Linotype" w:hAnsi="Palatino Linotype" w:cs="Palatino Linotype"/>
          <w:i/>
          <w:sz w:val="22"/>
          <w:szCs w:val="22"/>
        </w:rPr>
        <w:lastRenderedPageBreak/>
        <w:t xml:space="preserve">particular, proporcionando la información con la que cuentan en el formato en que la misma obre en sus archivos; sin necesidad de elaborar documentos ad hoc para atender las solicitudes de información.” </w:t>
      </w:r>
    </w:p>
    <w:p w14:paraId="1AD3607F" w14:textId="77777777" w:rsidR="00B857F4" w:rsidRPr="0070638E" w:rsidRDefault="000245BB">
      <w:pPr>
        <w:spacing w:before="120" w:after="12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A29B996" w14:textId="77777777" w:rsidR="00B857F4" w:rsidRPr="0070638E" w:rsidRDefault="000245BB">
      <w:pPr>
        <w:spacing w:before="120" w:after="12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DC173F9"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w:t>
      </w:r>
      <w:r w:rsidRPr="0070638E">
        <w:rPr>
          <w:rFonts w:ascii="Palatino Linotype" w:eastAsia="Palatino Linotype" w:hAnsi="Palatino Linotype" w:cs="Palatino Linotype"/>
          <w:b/>
          <w:i/>
          <w:sz w:val="22"/>
          <w:szCs w:val="22"/>
        </w:rPr>
        <w:t xml:space="preserve">Artículo 3. </w:t>
      </w:r>
      <w:r w:rsidRPr="0070638E">
        <w:rPr>
          <w:rFonts w:ascii="Palatino Linotype" w:eastAsia="Palatino Linotype" w:hAnsi="Palatino Linotype" w:cs="Palatino Linotype"/>
          <w:i/>
          <w:sz w:val="22"/>
          <w:szCs w:val="22"/>
        </w:rPr>
        <w:t>Para los efectos de la presente Ley se entenderá por:</w:t>
      </w:r>
    </w:p>
    <w:p w14:paraId="318B1869"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w:t>
      </w:r>
    </w:p>
    <w:p w14:paraId="40343ED9"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i/>
          <w:sz w:val="22"/>
          <w:szCs w:val="22"/>
        </w:rPr>
        <w:t>XI. Documento:</w:t>
      </w:r>
      <w:r w:rsidRPr="0070638E">
        <w:rPr>
          <w:rFonts w:ascii="Palatino Linotype" w:eastAsia="Palatino Linotype" w:hAnsi="Palatino Linotype" w:cs="Palatino Linotype"/>
          <w:i/>
          <w:sz w:val="22"/>
          <w:szCs w:val="22"/>
        </w:rPr>
        <w:t xml:space="preserve"> Los expedientes, reportes, estudios, actas</w:t>
      </w:r>
      <w:r w:rsidRPr="0070638E">
        <w:rPr>
          <w:rFonts w:ascii="Palatino Linotype" w:eastAsia="Palatino Linotype" w:hAnsi="Palatino Linotype" w:cs="Palatino Linotype"/>
          <w:b/>
          <w:i/>
          <w:sz w:val="22"/>
          <w:szCs w:val="22"/>
        </w:rPr>
        <w:t>,</w:t>
      </w:r>
      <w:r w:rsidRPr="0070638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w:t>
      </w:r>
      <w:r w:rsidRPr="0070638E">
        <w:rPr>
          <w:rFonts w:ascii="Palatino Linotype" w:eastAsia="Palatino Linotype" w:hAnsi="Palatino Linotype" w:cs="Palatino Linotype"/>
          <w:i/>
          <w:sz w:val="22"/>
          <w:szCs w:val="22"/>
        </w:rPr>
        <w:lastRenderedPageBreak/>
        <w:t xml:space="preserve">y competencias de los sujetos obligados, sus servidores públicos e integrantes, sin importar su fuente o fecha de elaboración. Los documentos podrán estar en cualquier medio, sea escrito, impreso, sonoro, visual, electrónico, informático u holográfico…” </w:t>
      </w:r>
    </w:p>
    <w:p w14:paraId="2F5BE858"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ED45D1"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b/>
          <w:sz w:val="22"/>
          <w:szCs w:val="22"/>
        </w:rPr>
        <w:t>“</w:t>
      </w:r>
      <w:r w:rsidRPr="0070638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0638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9C5890" w14:textId="77777777" w:rsidR="00B857F4" w:rsidRPr="0070638E" w:rsidRDefault="000245BB">
      <w:pPr>
        <w:spacing w:before="120" w:after="120"/>
        <w:ind w:left="851"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FE6D0C"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3AA2C05"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677A50" w14:textId="77777777" w:rsidR="00B857F4" w:rsidRPr="0070638E" w:rsidRDefault="000245BB">
      <w:pPr>
        <w:spacing w:before="120" w:after="120"/>
        <w:ind w:left="1134" w:right="902"/>
        <w:jc w:val="both"/>
        <w:rPr>
          <w:rFonts w:ascii="Palatino Linotype" w:eastAsia="Palatino Linotype" w:hAnsi="Palatino Linotype" w:cs="Palatino Linotype"/>
          <w:i/>
          <w:sz w:val="22"/>
          <w:szCs w:val="22"/>
        </w:rPr>
      </w:pPr>
      <w:r w:rsidRPr="0070638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56CBEEE8" w14:textId="77777777" w:rsidR="00B857F4" w:rsidRPr="0070638E" w:rsidRDefault="000245BB">
      <w:pPr>
        <w:spacing w:before="240" w:after="240" w:line="360" w:lineRule="auto"/>
        <w:ind w:right="51"/>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8991BB0"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4C824E0" w14:textId="77777777" w:rsidR="00B857F4" w:rsidRPr="0070638E" w:rsidRDefault="000245BB">
      <w:pPr>
        <w:spacing w:before="240" w:after="240" w:line="360" w:lineRule="auto"/>
        <w:ind w:right="51"/>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xml:space="preserve"> requirió al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le proporcione, información consistente en lo siguiente:</w:t>
      </w:r>
    </w:p>
    <w:p w14:paraId="1D3B7B78" w14:textId="77777777" w:rsidR="00B857F4" w:rsidRPr="0070638E" w:rsidRDefault="000245BB">
      <w:pPr>
        <w:spacing w:before="240" w:after="240" w:line="360" w:lineRule="auto"/>
        <w:ind w:left="284" w:right="49"/>
        <w:jc w:val="both"/>
        <w:rPr>
          <w:rFonts w:ascii="Palatino Linotype" w:eastAsia="Palatino Linotype" w:hAnsi="Palatino Linotype" w:cs="Palatino Linotype"/>
        </w:rPr>
      </w:pPr>
      <w:r w:rsidRPr="0070638E">
        <w:rPr>
          <w:rFonts w:ascii="Palatino Linotype" w:eastAsia="Palatino Linotype" w:hAnsi="Palatino Linotype" w:cs="Palatino Linotype"/>
        </w:rPr>
        <w:t>1. Tabulador de sueldos de 2025.</w:t>
      </w:r>
    </w:p>
    <w:p w14:paraId="0DFC791F"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En respuesta,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por conducto del Director de Administración, </w:t>
      </w:r>
      <w:r w:rsidRPr="0070638E">
        <w:rPr>
          <w:rFonts w:ascii="Palatino Linotype" w:eastAsia="Palatino Linotype" w:hAnsi="Palatino Linotype" w:cs="Palatino Linotype"/>
        </w:rPr>
        <w:br/>
        <w:t xml:space="preserve">Finanzas y Comercialización  refirió que el tabulador de sueldos 2025, se encuentra disponible para su consulta en la Gaceta de Gobierno, año uno, volumen uno, número trece, del veinticuatro de febrero de dos mil veinticinco. </w:t>
      </w:r>
    </w:p>
    <w:p w14:paraId="29BF5B87"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Al no estar conforme con los términos de la respuesta proporcionada,</w:t>
      </w:r>
      <w:r w:rsidRPr="0070638E">
        <w:rPr>
          <w:rFonts w:ascii="Palatino Linotype" w:eastAsia="Palatino Linotype" w:hAnsi="Palatino Linotype" w:cs="Palatino Linotype"/>
          <w:b/>
        </w:rPr>
        <w:t xml:space="preserve"> </w:t>
      </w:r>
      <w:r w:rsidRPr="0070638E">
        <w:rPr>
          <w:rFonts w:ascii="Palatino Linotype" w:eastAsia="Palatino Linotype" w:hAnsi="Palatino Linotype" w:cs="Palatino Linotype"/>
        </w:rPr>
        <w:t>la persona solicitante interpuso el recurso de revisión que se resuelve, mediante el cual alegó, en lo medular, la negativa en la entrega de la información, al no especificar a que gaceta de gobierno se hace referencia, dado que existen diferentes órdenes de gobierno.</w:t>
      </w:r>
    </w:p>
    <w:p w14:paraId="2D27058A"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Durante el periodo de manifestaciones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fue omiso en rendir su informe justificado, y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D0C3B26" w14:textId="77777777" w:rsidR="00B857F4" w:rsidRPr="0070638E" w:rsidRDefault="000245BB">
      <w:pPr>
        <w:spacing w:before="280" w:after="28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70638E">
        <w:rPr>
          <w:rFonts w:ascii="Palatino Linotype" w:eastAsia="Palatino Linotype" w:hAnsi="Palatino Linotype" w:cs="Palatino Linotype"/>
          <w:b/>
        </w:rPr>
        <w:lastRenderedPageBreak/>
        <w:t xml:space="preserve">Sujeto Obligado, </w:t>
      </w:r>
      <w:r w:rsidRPr="0070638E">
        <w:rPr>
          <w:rFonts w:ascii="Palatino Linotype" w:eastAsia="Palatino Linotype" w:hAnsi="Palatino Linotype" w:cs="Palatino Linotype"/>
        </w:rPr>
        <w:t xml:space="preserve">en contraposición con el motivo de inconformidad alegado por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9460D99" w14:textId="77777777" w:rsidR="00B857F4" w:rsidRPr="0070638E" w:rsidRDefault="000245BB">
      <w:pPr>
        <w:spacing w:before="280" w:after="28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en contraposición con el motivo de inconformidad alegado por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F849CE5"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D83CFC3"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w:t>
      </w:r>
      <w:r w:rsidRPr="0070638E">
        <w:rPr>
          <w:rFonts w:ascii="Palatino Linotype" w:eastAsia="Palatino Linotype" w:hAnsi="Palatino Linotype" w:cs="Palatino Linotype"/>
        </w:rPr>
        <w:lastRenderedPageBreak/>
        <w:t>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24C64C20" w14:textId="77777777" w:rsidR="00B857F4" w:rsidRPr="0070638E" w:rsidRDefault="000245BB">
      <w:pPr>
        <w:spacing w:before="240" w:after="240" w:line="360" w:lineRule="auto"/>
        <w:ind w:right="51"/>
        <w:jc w:val="both"/>
        <w:rPr>
          <w:rFonts w:ascii="Palatino Linotype" w:eastAsia="Palatino Linotype" w:hAnsi="Palatino Linotype" w:cs="Palatino Linotype"/>
        </w:rPr>
      </w:pPr>
      <w:r w:rsidRPr="0070638E">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6632AC2"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w:t>
      </w:r>
      <w:r w:rsidRPr="0070638E">
        <w:rPr>
          <w:rFonts w:ascii="Palatino Linotype" w:eastAsia="Palatino Linotype" w:hAnsi="Palatino Linotype" w:cs="Palatino Linotype"/>
        </w:rPr>
        <w:lastRenderedPageBreak/>
        <w:t>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56C4B18" w14:textId="77777777" w:rsidR="00B857F4" w:rsidRPr="0070638E" w:rsidRDefault="000245BB">
      <w:pPr>
        <w:spacing w:before="280" w:after="28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En el caso particular, derivado del análisis de las constancias que obran en el expediente electrónico en el que se actúa, se advirtió que la Unidad de Transparencia, turnó la solicitud de información para su atención a la Dirección de </w:t>
      </w:r>
      <w:proofErr w:type="spellStart"/>
      <w:r w:rsidRPr="0070638E">
        <w:rPr>
          <w:rFonts w:ascii="Palatino Linotype" w:eastAsia="Palatino Linotype" w:hAnsi="Palatino Linotype" w:cs="Palatino Linotype"/>
        </w:rPr>
        <w:t>de</w:t>
      </w:r>
      <w:proofErr w:type="spellEnd"/>
      <w:r w:rsidRPr="0070638E">
        <w:rPr>
          <w:rFonts w:ascii="Palatino Linotype" w:eastAsia="Palatino Linotype" w:hAnsi="Palatino Linotype" w:cs="Palatino Linotype"/>
        </w:rPr>
        <w:t xml:space="preserve"> Administración, Finanzas y Comercialización, como la dependencia responsable de, dirigir y gestionar las acciones para la administración y distribución de los recursos humanos, materiales y financieros del Organismo de conformidad con el artículo 19 del Reglamento Interno del Organismo  Público Descentralizado para la Prestación de los Servicios de Agua Potable, Alcantarillado y Saneamiento de Zinacantepec, entre cuyas funciones se encuentran la de siguientes en su parte conducente:</w:t>
      </w:r>
    </w:p>
    <w:p w14:paraId="26897970" w14:textId="77777777" w:rsidR="00B857F4" w:rsidRPr="0070638E" w:rsidRDefault="000245BB">
      <w:pPr>
        <w:spacing w:before="280" w:after="280" w:line="360" w:lineRule="auto"/>
        <w:ind w:left="284"/>
        <w:jc w:val="both"/>
        <w:rPr>
          <w:rFonts w:ascii="Palatino Linotype" w:eastAsia="Palatino Linotype" w:hAnsi="Palatino Linotype" w:cs="Palatino Linotype"/>
        </w:rPr>
      </w:pPr>
      <w:r w:rsidRPr="0070638E">
        <w:rPr>
          <w:rFonts w:ascii="Palatino Linotype" w:eastAsia="Palatino Linotype" w:hAnsi="Palatino Linotype" w:cs="Palatino Linotype"/>
        </w:rPr>
        <w:t>- Supervisar la Elaboración de los anteproyectos y proyectos de presupuestos de ingresos y egresos del Organismo, de acuerdo con la normatividad vigente aplicable;</w:t>
      </w:r>
    </w:p>
    <w:p w14:paraId="03048D7D" w14:textId="77777777" w:rsidR="00B857F4" w:rsidRPr="0070638E" w:rsidRDefault="000245BB">
      <w:pPr>
        <w:spacing w:before="280" w:after="280" w:line="360" w:lineRule="auto"/>
        <w:ind w:left="284"/>
        <w:jc w:val="both"/>
        <w:rPr>
          <w:rFonts w:ascii="Palatino Linotype" w:eastAsia="Palatino Linotype" w:hAnsi="Palatino Linotype" w:cs="Palatino Linotype"/>
        </w:rPr>
      </w:pPr>
      <w:r w:rsidRPr="0070638E">
        <w:rPr>
          <w:rFonts w:ascii="Palatino Linotype" w:eastAsia="Palatino Linotype" w:hAnsi="Palatino Linotype" w:cs="Palatino Linotype"/>
        </w:rPr>
        <w:t>- Supervisar la elaboración y distribución oportuna de la nómina para el pago al personal que labora en el Organismo, apegándose a la normatividad en la materia y al presupuesto autorizado;</w:t>
      </w:r>
    </w:p>
    <w:p w14:paraId="60B4B90B"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Con base en lo previo, se colige que el Departamento de Recursos Humanos, adscrito a la Tesorería del Organismo cuenta competencia para conocer de la información que es del interés de la persona solicitante,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102BC387"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Ahora bien, es de mencionar que en atención a la solicitud de información el servidor público habilitado no negó la existencia de la información, por el contrario, asumió que esta se generó, tan es así que indicó que el tabulador de sueldos 2025, se encontraba disponible para su consulta en la Gaceta de Gobierno.</w:t>
      </w:r>
    </w:p>
    <w:p w14:paraId="79F8C511"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En tal sentido, debemos traer a colación el artículo 161 de la Ley de Transparencia y Acceso a la Información Pública del Estado de México y Municipios</w:t>
      </w:r>
      <w:r w:rsidRPr="0070638E">
        <w:rPr>
          <w:rFonts w:ascii="Palatino Linotype" w:eastAsia="Palatino Linotype" w:hAnsi="Palatino Linotype" w:cs="Palatino Linotype"/>
          <w:i/>
        </w:rPr>
        <w:t xml:space="preserve">, </w:t>
      </w:r>
      <w:r w:rsidRPr="0070638E">
        <w:rPr>
          <w:rFonts w:ascii="Palatino Linotype" w:eastAsia="Palatino Linotype" w:hAnsi="Palatino Linotype" w:cs="Palatino Linotype"/>
        </w:rPr>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w:t>
      </w:r>
      <w:r w:rsidRPr="0070638E">
        <w:rPr>
          <w:rFonts w:ascii="Palatino Linotype" w:eastAsia="Palatino Linotype" w:hAnsi="Palatino Linotype" w:cs="Palatino Linotype"/>
        </w:rPr>
        <w:lastRenderedPageBreak/>
        <w:t>saber al solicitante como podrá consultar, reproducir o adquirir la información, en un plazo no mayor a cinco días hábiles, comprendiendo:</w:t>
      </w:r>
    </w:p>
    <w:p w14:paraId="57AD11C3"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a) La fuente</w:t>
      </w:r>
    </w:p>
    <w:p w14:paraId="258F57F5"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b) El lugar y</w:t>
      </w:r>
    </w:p>
    <w:p w14:paraId="072E1DFC"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c) La forma</w:t>
      </w:r>
    </w:p>
    <w:p w14:paraId="0F410712"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Asimismo, se establece que la fuente de la información deberá ser:</w:t>
      </w:r>
    </w:p>
    <w:p w14:paraId="4CB8EBB2"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a) Precisa</w:t>
      </w:r>
    </w:p>
    <w:p w14:paraId="6D36E14E"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b) Concreta</w:t>
      </w:r>
    </w:p>
    <w:p w14:paraId="6D6E5EC6" w14:textId="77777777" w:rsidR="00B857F4" w:rsidRPr="0070638E" w:rsidRDefault="000245BB">
      <w:pPr>
        <w:spacing w:before="120" w:after="120" w:line="276" w:lineRule="auto"/>
        <w:ind w:left="284" w:right="51"/>
        <w:jc w:val="both"/>
        <w:rPr>
          <w:rFonts w:ascii="Palatino Linotype" w:eastAsia="Palatino Linotype" w:hAnsi="Palatino Linotype" w:cs="Palatino Linotype"/>
        </w:rPr>
      </w:pPr>
      <w:r w:rsidRPr="0070638E">
        <w:rPr>
          <w:rFonts w:ascii="Palatino Linotype" w:eastAsia="Palatino Linotype" w:hAnsi="Palatino Linotype" w:cs="Palatino Linotype"/>
        </w:rPr>
        <w:t>c) Y no debe implicar que el solicitante realice una búsqueda en toda la información que se encuentre disponible.</w:t>
      </w:r>
    </w:p>
    <w:p w14:paraId="3E36D26F"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5833B394"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En el presente asunto, el servidor público habilitado pretendió proporcionar datos para la localización de la gaceta de gobierno, tales como que correspondía al año uno, volumen uno, número trece, del veinticuatro de febrero de dos mil veinticinco, lo cual cumple con el elemento relativo a la fuente.</w:t>
      </w:r>
    </w:p>
    <w:p w14:paraId="527D2B00"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Sin embargo, omitió informar sobre el lugar donde se encontraba publicada la referida gaceta, así como la forma en la que se podía consultar la información, por lo tanto, se concluye que la orientación proporcionada no es precisa, ni concreta, </w:t>
      </w:r>
      <w:r w:rsidRPr="0070638E">
        <w:rPr>
          <w:rFonts w:ascii="Palatino Linotype" w:eastAsia="Palatino Linotype" w:hAnsi="Palatino Linotype" w:cs="Palatino Linotype"/>
        </w:rPr>
        <w:lastRenderedPageBreak/>
        <w:t>además de implicar que la persona solicitante realice una búsqueda en toda la información disponible, como se ilustra a continuación de manera ejemplificativa al realizar la consulta en el buscador Google con los datos proporcionados:</w:t>
      </w:r>
    </w:p>
    <w:p w14:paraId="26E790F8" w14:textId="77777777" w:rsidR="00B857F4" w:rsidRPr="0070638E" w:rsidRDefault="000245BB">
      <w:pPr>
        <w:tabs>
          <w:tab w:val="left" w:pos="3544"/>
        </w:tabs>
        <w:spacing w:before="240" w:after="240" w:line="360" w:lineRule="auto"/>
        <w:ind w:right="49"/>
        <w:jc w:val="center"/>
        <w:rPr>
          <w:rFonts w:ascii="Palatino Linotype" w:eastAsia="Palatino Linotype" w:hAnsi="Palatino Linotype" w:cs="Palatino Linotype"/>
        </w:rPr>
      </w:pPr>
      <w:r w:rsidRPr="0070638E">
        <w:rPr>
          <w:rFonts w:ascii="Palatino Linotype" w:eastAsia="Palatino Linotype" w:hAnsi="Palatino Linotype" w:cs="Palatino Linotype"/>
          <w:noProof/>
        </w:rPr>
        <w:drawing>
          <wp:inline distT="0" distB="0" distL="0" distR="0" wp14:anchorId="040660D1" wp14:editId="03BCE1CF">
            <wp:extent cx="5400000" cy="2423218"/>
            <wp:effectExtent l="0" t="0" r="0" b="0"/>
            <wp:docPr id="20832964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400000" cy="2423218"/>
                    </a:xfrm>
                    <a:prstGeom prst="rect">
                      <a:avLst/>
                    </a:prstGeom>
                    <a:ln/>
                  </pic:spPr>
                </pic:pic>
              </a:graphicData>
            </a:graphic>
          </wp:inline>
        </w:drawing>
      </w:r>
    </w:p>
    <w:p w14:paraId="1CB13823"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Atento a lo anterior, es evidente que la información proporcionada no colma el requerimiento de información, por consiguiente, resulta dable ordenar la entrega del tabulador de sueldos de 2025, vigente al siete de marzo de dos mil veinticinco.</w:t>
      </w:r>
    </w:p>
    <w:p w14:paraId="55C3597A" w14:textId="77777777" w:rsidR="00B857F4" w:rsidRPr="0070638E" w:rsidRDefault="000245BB">
      <w:pPr>
        <w:tabs>
          <w:tab w:val="left" w:pos="3544"/>
        </w:tabs>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No obsta mencionar que dicho documento forma parte del Presupuesto de Egresos como se desprende del Manual para la Planeación, Programación y Presupuesto de Egresos Municipal, que debe publicarse a más tardar el veinticinco de febrero de cada ejercicio fiscal, y que se presenta a través del formato PbRM-05, cuya finalidad consiste en registrar las remuneraciones que se perciben por el empleo, cargo o </w:t>
      </w:r>
      <w:r w:rsidRPr="0070638E">
        <w:rPr>
          <w:rFonts w:ascii="Palatino Linotype" w:eastAsia="Palatino Linotype" w:hAnsi="Palatino Linotype" w:cs="Palatino Linotype"/>
        </w:rPr>
        <w:lastRenderedPageBreak/>
        <w:t>comisión de cualquier naturaleza por los servidores públicos, mismo que se inserta a continuación para mejor referencia, así como su instructivo de llenado:</w:t>
      </w:r>
    </w:p>
    <w:p w14:paraId="424C7117" w14:textId="77777777" w:rsidR="00B857F4" w:rsidRPr="0070638E" w:rsidRDefault="000245BB">
      <w:pPr>
        <w:tabs>
          <w:tab w:val="left" w:pos="3544"/>
        </w:tabs>
        <w:spacing w:before="240" w:after="240" w:line="360" w:lineRule="auto"/>
        <w:ind w:right="49"/>
        <w:jc w:val="center"/>
        <w:rPr>
          <w:rFonts w:ascii="Palatino Linotype" w:eastAsia="Palatino Linotype" w:hAnsi="Palatino Linotype" w:cs="Palatino Linotype"/>
        </w:rPr>
      </w:pPr>
      <w:r w:rsidRPr="0070638E">
        <w:rPr>
          <w:rFonts w:ascii="Palatino Linotype" w:eastAsia="Palatino Linotype" w:hAnsi="Palatino Linotype" w:cs="Palatino Linotype"/>
          <w:noProof/>
        </w:rPr>
        <w:lastRenderedPageBreak/>
        <w:drawing>
          <wp:inline distT="0" distB="0" distL="0" distR="0" wp14:anchorId="002F784D" wp14:editId="3826DAFE">
            <wp:extent cx="4500000" cy="3210203"/>
            <wp:effectExtent l="0" t="0" r="0" b="0"/>
            <wp:docPr id="20832964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2132" b="8043"/>
                    <a:stretch>
                      <a:fillRect/>
                    </a:stretch>
                  </pic:blipFill>
                  <pic:spPr>
                    <a:xfrm>
                      <a:off x="0" y="0"/>
                      <a:ext cx="4500000" cy="3210203"/>
                    </a:xfrm>
                    <a:prstGeom prst="rect">
                      <a:avLst/>
                    </a:prstGeom>
                    <a:ln/>
                  </pic:spPr>
                </pic:pic>
              </a:graphicData>
            </a:graphic>
          </wp:inline>
        </w:drawing>
      </w:r>
      <w:r w:rsidRPr="0070638E">
        <w:rPr>
          <w:rFonts w:ascii="Palatino Linotype" w:eastAsia="Palatino Linotype" w:hAnsi="Palatino Linotype" w:cs="Palatino Linotype"/>
          <w:noProof/>
        </w:rPr>
        <w:drawing>
          <wp:inline distT="0" distB="0" distL="0" distR="0" wp14:anchorId="45AC24E1" wp14:editId="780FB576">
            <wp:extent cx="4860000" cy="3420916"/>
            <wp:effectExtent l="0" t="0" r="0" b="0"/>
            <wp:docPr id="20832964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60000" cy="3420916"/>
                    </a:xfrm>
                    <a:prstGeom prst="rect">
                      <a:avLst/>
                    </a:prstGeom>
                    <a:ln/>
                  </pic:spPr>
                </pic:pic>
              </a:graphicData>
            </a:graphic>
          </wp:inline>
        </w:drawing>
      </w:r>
    </w:p>
    <w:p w14:paraId="099B5C0C"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 xml:space="preserve">Correlativo a lo anterior, se reitera que para tener por satisfecho el Derecho de acceso de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es dable ordenar se haga entrega del tabulador de sueldos del ejercicio 2025, vigente al siete de marzo de dos mil veinticinco.</w:t>
      </w:r>
    </w:p>
    <w:p w14:paraId="2826DFEC"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De lo hasta aquí expuesto, se concluye que los motivos de inconformidad de la parte </w:t>
      </w:r>
      <w:r w:rsidRPr="0070638E">
        <w:rPr>
          <w:rFonts w:ascii="Palatino Linotype" w:eastAsia="Palatino Linotype" w:hAnsi="Palatino Linotype" w:cs="Palatino Linotype"/>
          <w:b/>
        </w:rPr>
        <w:t xml:space="preserve">Recurrente </w:t>
      </w:r>
      <w:r w:rsidRPr="0070638E">
        <w:rPr>
          <w:rFonts w:ascii="Palatino Linotype" w:eastAsia="Palatino Linotype" w:hAnsi="Palatino Linotype" w:cs="Palatino Linotype"/>
        </w:rPr>
        <w:t xml:space="preserve">devienen fundados, siendo procedente </w:t>
      </w:r>
      <w:r w:rsidRPr="0070638E">
        <w:rPr>
          <w:rFonts w:ascii="Palatino Linotype" w:eastAsia="Palatino Linotype" w:hAnsi="Palatino Linotype" w:cs="Palatino Linotype"/>
          <w:i/>
        </w:rPr>
        <w:t xml:space="preserve">Revocar </w:t>
      </w:r>
      <w:r w:rsidRPr="0070638E">
        <w:rPr>
          <w:rFonts w:ascii="Palatino Linotype" w:eastAsia="Palatino Linotype" w:hAnsi="Palatino Linotype" w:cs="Palatino Linotype"/>
        </w:rPr>
        <w:t xml:space="preserve">la respuesta proporcionada por el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66936F9" w14:textId="2D91C6DD" w:rsidR="00B857F4" w:rsidRPr="0070638E" w:rsidRDefault="000245BB">
      <w:pPr>
        <w:tabs>
          <w:tab w:val="left" w:pos="4678"/>
        </w:tabs>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Así, con fundamento en lo prescrito en los artículos 5 párrafos </w:t>
      </w:r>
      <w:r w:rsidR="00A813EE" w:rsidRPr="0070638E">
        <w:rPr>
          <w:rFonts w:ascii="Palatino Linotype" w:eastAsia="Palatino Linotype" w:hAnsi="Palatino Linotype" w:cs="Palatino Linotype"/>
        </w:rPr>
        <w:t xml:space="preserve">trigésimo noveno, cuadragésimo, y cuadragésimo primero </w:t>
      </w:r>
      <w:r w:rsidRPr="0070638E">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3D6EF148" w14:textId="77777777" w:rsidR="00B857F4" w:rsidRPr="0070638E" w:rsidRDefault="000245B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0638E">
        <w:rPr>
          <w:rFonts w:ascii="Palatino Linotype" w:eastAsia="Palatino Linotype" w:hAnsi="Palatino Linotype" w:cs="Palatino Linotype"/>
          <w:b/>
        </w:rPr>
        <w:t>III. R E S U E L V E</w:t>
      </w:r>
    </w:p>
    <w:p w14:paraId="642B36B0"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70638E">
        <w:rPr>
          <w:rFonts w:ascii="Palatino Linotype" w:eastAsia="Palatino Linotype" w:hAnsi="Palatino Linotype" w:cs="Palatino Linotype"/>
          <w:b/>
        </w:rPr>
        <w:t xml:space="preserve">Primero. </w:t>
      </w:r>
      <w:r w:rsidRPr="0070638E">
        <w:rPr>
          <w:rFonts w:ascii="Palatino Linotype" w:eastAsia="Palatino Linotype" w:hAnsi="Palatino Linotype" w:cs="Palatino Linotype"/>
        </w:rPr>
        <w:t>Resultan</w:t>
      </w:r>
      <w:r w:rsidRPr="0070638E">
        <w:rPr>
          <w:rFonts w:ascii="Palatino Linotype" w:eastAsia="Palatino Linotype" w:hAnsi="Palatino Linotype" w:cs="Palatino Linotype"/>
          <w:b/>
        </w:rPr>
        <w:t xml:space="preserve"> fundadas</w:t>
      </w:r>
      <w:r w:rsidRPr="0070638E">
        <w:rPr>
          <w:rFonts w:ascii="Palatino Linotype" w:eastAsia="Palatino Linotype" w:hAnsi="Palatino Linotype" w:cs="Palatino Linotype"/>
        </w:rPr>
        <w:t xml:space="preserve"> las razones o motivos de inconformidad hechos valer por la parte</w:t>
      </w:r>
      <w:r w:rsidRPr="0070638E">
        <w:rPr>
          <w:rFonts w:ascii="Palatino Linotype" w:eastAsia="Palatino Linotype" w:hAnsi="Palatino Linotype" w:cs="Palatino Linotype"/>
          <w:b/>
        </w:rPr>
        <w:t xml:space="preserve"> Recurrente</w:t>
      </w:r>
      <w:r w:rsidRPr="0070638E">
        <w:rPr>
          <w:rFonts w:ascii="Palatino Linotype" w:eastAsia="Palatino Linotype" w:hAnsi="Palatino Linotype" w:cs="Palatino Linotype"/>
        </w:rPr>
        <w:t xml:space="preserve"> en el recurso de revisión </w:t>
      </w:r>
      <w:r w:rsidRPr="0070638E">
        <w:rPr>
          <w:rFonts w:ascii="Palatino Linotype" w:eastAsia="Palatino Linotype" w:hAnsi="Palatino Linotype" w:cs="Palatino Linotype"/>
          <w:b/>
        </w:rPr>
        <w:t>03859/INFOEM/IP/RR/2025</w:t>
      </w:r>
      <w:r w:rsidRPr="0070638E">
        <w:rPr>
          <w:rFonts w:ascii="Palatino Linotype" w:eastAsia="Palatino Linotype" w:hAnsi="Palatino Linotype" w:cs="Palatino Linotype"/>
        </w:rPr>
        <w:t xml:space="preserve">; por lo que, en términos del </w:t>
      </w:r>
      <w:r w:rsidRPr="0070638E">
        <w:rPr>
          <w:rFonts w:ascii="Palatino Linotype" w:eastAsia="Palatino Linotype" w:hAnsi="Palatino Linotype" w:cs="Palatino Linotype"/>
          <w:b/>
        </w:rPr>
        <w:t>Considerando</w:t>
      </w:r>
      <w:r w:rsidRPr="0070638E">
        <w:rPr>
          <w:rFonts w:ascii="Palatino Linotype" w:eastAsia="Palatino Linotype" w:hAnsi="Palatino Linotype" w:cs="Palatino Linotype"/>
        </w:rPr>
        <w:t xml:space="preserve"> </w:t>
      </w:r>
      <w:r w:rsidRPr="0070638E">
        <w:rPr>
          <w:rFonts w:ascii="Palatino Linotype" w:eastAsia="Palatino Linotype" w:hAnsi="Palatino Linotype" w:cs="Palatino Linotype"/>
          <w:b/>
        </w:rPr>
        <w:t xml:space="preserve">Cuarto </w:t>
      </w:r>
      <w:r w:rsidRPr="0070638E">
        <w:rPr>
          <w:rFonts w:ascii="Palatino Linotype" w:eastAsia="Palatino Linotype" w:hAnsi="Palatino Linotype" w:cs="Palatino Linotype"/>
        </w:rPr>
        <w:t xml:space="preserve">de esta resolución, se </w:t>
      </w:r>
      <w:r w:rsidRPr="0070638E">
        <w:rPr>
          <w:rFonts w:ascii="Palatino Linotype" w:eastAsia="Palatino Linotype" w:hAnsi="Palatino Linotype" w:cs="Palatino Linotype"/>
          <w:b/>
        </w:rPr>
        <w:t xml:space="preserve">Revoca </w:t>
      </w:r>
      <w:r w:rsidRPr="0070638E">
        <w:rPr>
          <w:rFonts w:ascii="Palatino Linotype" w:eastAsia="Palatino Linotype" w:hAnsi="Palatino Linotype" w:cs="Palatino Linotype"/>
        </w:rPr>
        <w:t xml:space="preserve">la respuesta emitida por el </w:t>
      </w:r>
      <w:r w:rsidRPr="0070638E">
        <w:rPr>
          <w:rFonts w:ascii="Palatino Linotype" w:eastAsia="Palatino Linotype" w:hAnsi="Palatino Linotype" w:cs="Palatino Linotype"/>
          <w:b/>
        </w:rPr>
        <w:t xml:space="preserve">Sujeto Obligado. </w:t>
      </w:r>
    </w:p>
    <w:p w14:paraId="68DDEE7A" w14:textId="77777777" w:rsidR="00B857F4" w:rsidRPr="0070638E" w:rsidRDefault="000245BB">
      <w:pPr>
        <w:spacing w:before="240" w:after="240" w:line="360" w:lineRule="auto"/>
        <w:ind w:right="49"/>
        <w:jc w:val="both"/>
        <w:rPr>
          <w:rFonts w:ascii="Palatino Linotype" w:eastAsia="Palatino Linotype" w:hAnsi="Palatino Linotype" w:cs="Palatino Linotype"/>
        </w:rPr>
      </w:pPr>
      <w:r w:rsidRPr="0070638E">
        <w:rPr>
          <w:rFonts w:ascii="Palatino Linotype" w:eastAsia="Palatino Linotype" w:hAnsi="Palatino Linotype" w:cs="Palatino Linotype"/>
          <w:b/>
        </w:rPr>
        <w:t xml:space="preserve">Segundo. </w:t>
      </w:r>
      <w:r w:rsidRPr="0070638E">
        <w:rPr>
          <w:rFonts w:ascii="Palatino Linotype" w:eastAsia="Palatino Linotype" w:hAnsi="Palatino Linotype" w:cs="Palatino Linotype"/>
        </w:rPr>
        <w:t xml:space="preserve">Se </w:t>
      </w:r>
      <w:r w:rsidRPr="0070638E">
        <w:rPr>
          <w:rFonts w:ascii="Palatino Linotype" w:eastAsia="Palatino Linotype" w:hAnsi="Palatino Linotype" w:cs="Palatino Linotype"/>
          <w:b/>
        </w:rPr>
        <w:t xml:space="preserve">Ordena </w:t>
      </w:r>
      <w:r w:rsidRPr="0070638E">
        <w:rPr>
          <w:rFonts w:ascii="Palatino Linotype" w:eastAsia="Palatino Linotype" w:hAnsi="Palatino Linotype" w:cs="Palatino Linotype"/>
        </w:rPr>
        <w:t xml:space="preserve">al </w:t>
      </w:r>
      <w:r w:rsidRPr="0070638E">
        <w:rPr>
          <w:rFonts w:ascii="Palatino Linotype" w:eastAsia="Palatino Linotype" w:hAnsi="Palatino Linotype" w:cs="Palatino Linotype"/>
          <w:b/>
        </w:rPr>
        <w:t xml:space="preserve">Sujeto Obligado, </w:t>
      </w:r>
      <w:r w:rsidRPr="0070638E">
        <w:rPr>
          <w:rFonts w:ascii="Palatino Linotype" w:eastAsia="Palatino Linotype" w:hAnsi="Palatino Linotype" w:cs="Palatino Linotype"/>
        </w:rPr>
        <w:t xml:space="preserve">en términos del </w:t>
      </w:r>
      <w:r w:rsidRPr="0070638E">
        <w:rPr>
          <w:rFonts w:ascii="Palatino Linotype" w:eastAsia="Palatino Linotype" w:hAnsi="Palatino Linotype" w:cs="Palatino Linotype"/>
          <w:b/>
        </w:rPr>
        <w:t>Considerando</w:t>
      </w:r>
      <w:r w:rsidRPr="0070638E">
        <w:rPr>
          <w:rFonts w:ascii="Palatino Linotype" w:eastAsia="Palatino Linotype" w:hAnsi="Palatino Linotype" w:cs="Palatino Linotype"/>
        </w:rPr>
        <w:t xml:space="preserve"> </w:t>
      </w:r>
      <w:r w:rsidRPr="0070638E">
        <w:rPr>
          <w:rFonts w:ascii="Palatino Linotype" w:eastAsia="Palatino Linotype" w:hAnsi="Palatino Linotype" w:cs="Palatino Linotype"/>
          <w:b/>
        </w:rPr>
        <w:t xml:space="preserve">Cuarto </w:t>
      </w:r>
      <w:r w:rsidRPr="0070638E">
        <w:rPr>
          <w:rFonts w:ascii="Palatino Linotype" w:eastAsia="Palatino Linotype" w:hAnsi="Palatino Linotype" w:cs="Palatino Linotype"/>
        </w:rPr>
        <w:t xml:space="preserve">de esta resolución, haga entrega, vía </w:t>
      </w:r>
      <w:r w:rsidRPr="0070638E">
        <w:rPr>
          <w:rFonts w:ascii="Palatino Linotype" w:eastAsia="Palatino Linotype" w:hAnsi="Palatino Linotype" w:cs="Palatino Linotype"/>
          <w:b/>
        </w:rPr>
        <w:t>SAIMEX</w:t>
      </w:r>
      <w:r w:rsidRPr="0070638E">
        <w:rPr>
          <w:rFonts w:ascii="Palatino Linotype" w:eastAsia="Palatino Linotype" w:hAnsi="Palatino Linotype" w:cs="Palatino Linotype"/>
        </w:rPr>
        <w:t>, de lo siguiente:</w:t>
      </w:r>
    </w:p>
    <w:p w14:paraId="2512B7C8" w14:textId="77777777" w:rsidR="00B857F4" w:rsidRPr="0070638E" w:rsidRDefault="000245BB">
      <w:pPr>
        <w:numPr>
          <w:ilvl w:val="0"/>
          <w:numId w:val="1"/>
        </w:numPr>
        <w:pBdr>
          <w:top w:val="nil"/>
          <w:left w:val="nil"/>
          <w:bottom w:val="nil"/>
          <w:right w:val="nil"/>
          <w:between w:val="nil"/>
        </w:pBdr>
        <w:tabs>
          <w:tab w:val="left" w:pos="851"/>
        </w:tabs>
        <w:spacing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lastRenderedPageBreak/>
        <w:t>Tabulador de sueldos del ejercicio 2025, vigente al siete de marzo de dos mil veinticinco.</w:t>
      </w:r>
    </w:p>
    <w:p w14:paraId="5A2137FD"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10" w:name="_heading=h.ei2t79ui5rhz" w:colFirst="0" w:colLast="0"/>
      <w:bookmarkEnd w:id="10"/>
      <w:r w:rsidRPr="0070638E">
        <w:rPr>
          <w:rFonts w:ascii="Palatino Linotype" w:eastAsia="Palatino Linotype" w:hAnsi="Palatino Linotype" w:cs="Palatino Linotype"/>
          <w:b/>
        </w:rPr>
        <w:t xml:space="preserve">Tercero. Notifíquese, </w:t>
      </w:r>
      <w:r w:rsidRPr="0070638E">
        <w:rPr>
          <w:rFonts w:ascii="Palatino Linotype" w:eastAsia="Palatino Linotype" w:hAnsi="Palatino Linotype" w:cs="Palatino Linotype"/>
        </w:rPr>
        <w:t xml:space="preserve">vía </w:t>
      </w:r>
      <w:r w:rsidRPr="0070638E">
        <w:rPr>
          <w:rFonts w:ascii="Palatino Linotype" w:eastAsia="Palatino Linotype" w:hAnsi="Palatino Linotype" w:cs="Palatino Linotype"/>
          <w:b/>
        </w:rPr>
        <w:t>SAIMEX</w:t>
      </w:r>
      <w:r w:rsidRPr="0070638E">
        <w:rPr>
          <w:rFonts w:ascii="Palatino Linotype" w:eastAsia="Palatino Linotype" w:hAnsi="Palatino Linotype" w:cs="Palatino Linotype"/>
        </w:rPr>
        <w:t xml:space="preserve">, al Titular de la Unidad de Transparencia del </w:t>
      </w:r>
      <w:r w:rsidRPr="0070638E">
        <w:rPr>
          <w:rFonts w:ascii="Palatino Linotype" w:eastAsia="Palatino Linotype" w:hAnsi="Palatino Linotype" w:cs="Palatino Linotype"/>
          <w:b/>
        </w:rPr>
        <w:t>Sujeto Obligado,</w:t>
      </w:r>
      <w:r w:rsidRPr="0070638E">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6DD7ED" w14:textId="77777777" w:rsidR="00B857F4" w:rsidRPr="0070638E" w:rsidRDefault="000245BB">
      <w:pPr>
        <w:spacing w:before="240" w:after="240" w:line="360" w:lineRule="auto"/>
        <w:jc w:val="both"/>
        <w:rPr>
          <w:rFonts w:ascii="Palatino Linotype" w:eastAsia="Palatino Linotype" w:hAnsi="Palatino Linotype" w:cs="Palatino Linotype"/>
        </w:rPr>
      </w:pPr>
      <w:r w:rsidRPr="0070638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0638E">
        <w:rPr>
          <w:rFonts w:ascii="Palatino Linotype" w:eastAsia="Palatino Linotype" w:hAnsi="Palatino Linotype" w:cs="Palatino Linotype"/>
          <w:b/>
        </w:rPr>
        <w:t>Sujeto Obligado</w:t>
      </w:r>
      <w:r w:rsidRPr="0070638E">
        <w:rPr>
          <w:rFonts w:ascii="Palatino Linotype" w:eastAsia="Palatino Linotype" w:hAnsi="Palatino Linotype" w:cs="Palatino Linotype"/>
        </w:rPr>
        <w:t xml:space="preserve"> de manera fundada y motivada, podrá solicitar una ampliación de plazo para el cumplimiento de la presente resolución.</w:t>
      </w:r>
    </w:p>
    <w:p w14:paraId="5C0171F8" w14:textId="77777777" w:rsidR="00B857F4" w:rsidRPr="0070638E" w:rsidRDefault="000245BB">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70638E">
        <w:rPr>
          <w:rFonts w:ascii="Palatino Linotype" w:eastAsia="Palatino Linotype" w:hAnsi="Palatino Linotype" w:cs="Palatino Linotype"/>
          <w:b/>
        </w:rPr>
        <w:t xml:space="preserve">Cuarto.  Notifíquese, </w:t>
      </w:r>
      <w:r w:rsidRPr="0070638E">
        <w:rPr>
          <w:rFonts w:ascii="Palatino Linotype" w:eastAsia="Palatino Linotype" w:hAnsi="Palatino Linotype" w:cs="Palatino Linotype"/>
        </w:rPr>
        <w:t xml:space="preserve">vía </w:t>
      </w:r>
      <w:r w:rsidRPr="0070638E">
        <w:rPr>
          <w:rFonts w:ascii="Palatino Linotype" w:eastAsia="Palatino Linotype" w:hAnsi="Palatino Linotype" w:cs="Palatino Linotype"/>
          <w:b/>
        </w:rPr>
        <w:t>SAIMEX</w:t>
      </w:r>
      <w:r w:rsidRPr="0070638E">
        <w:rPr>
          <w:rFonts w:ascii="Palatino Linotype" w:eastAsia="Palatino Linotype" w:hAnsi="Palatino Linotype" w:cs="Palatino Linotype"/>
        </w:rPr>
        <w:t xml:space="preserve"> a la parte </w:t>
      </w:r>
      <w:r w:rsidRPr="0070638E">
        <w:rPr>
          <w:rFonts w:ascii="Palatino Linotype" w:eastAsia="Palatino Linotype" w:hAnsi="Palatino Linotype" w:cs="Palatino Linotype"/>
          <w:b/>
        </w:rPr>
        <w:t>Recurrente</w:t>
      </w:r>
      <w:r w:rsidRPr="0070638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E7E0CE3" w14:textId="77777777" w:rsidR="00B857F4" w:rsidRPr="0013627E" w:rsidRDefault="000245BB">
      <w:pPr>
        <w:tabs>
          <w:tab w:val="left" w:pos="8647"/>
        </w:tabs>
        <w:spacing w:before="240" w:after="240" w:line="360" w:lineRule="auto"/>
        <w:ind w:right="51"/>
        <w:jc w:val="both"/>
        <w:rPr>
          <w:rFonts w:ascii="Palatino Linotype" w:eastAsia="Palatino Linotype" w:hAnsi="Palatino Linotype" w:cs="Palatino Linotype"/>
        </w:rPr>
      </w:pPr>
      <w:bookmarkStart w:id="12" w:name="_heading=h.fz1rcl7htz6v" w:colFirst="0" w:colLast="0"/>
      <w:bookmarkEnd w:id="12"/>
      <w:r w:rsidRPr="0070638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04C1397C" w14:textId="77777777" w:rsidR="00B857F4" w:rsidRPr="0013627E" w:rsidRDefault="00B857F4">
      <w:pPr>
        <w:spacing w:line="360" w:lineRule="auto"/>
        <w:jc w:val="both"/>
        <w:rPr>
          <w:rFonts w:ascii="Palatino Linotype" w:eastAsia="Palatino Linotype" w:hAnsi="Palatino Linotype" w:cs="Palatino Linotype"/>
        </w:rPr>
      </w:pPr>
    </w:p>
    <w:p w14:paraId="03C6F56F" w14:textId="77777777" w:rsidR="00B857F4" w:rsidRPr="0013627E" w:rsidRDefault="00B857F4">
      <w:pPr>
        <w:spacing w:line="360" w:lineRule="auto"/>
        <w:jc w:val="both"/>
        <w:rPr>
          <w:rFonts w:ascii="Palatino Linotype" w:eastAsia="Palatino Linotype" w:hAnsi="Palatino Linotype" w:cs="Palatino Linotype"/>
        </w:rPr>
      </w:pPr>
    </w:p>
    <w:p w14:paraId="02C25D53" w14:textId="77777777" w:rsidR="00B857F4" w:rsidRPr="0013627E" w:rsidRDefault="00B857F4">
      <w:pPr>
        <w:spacing w:line="360" w:lineRule="auto"/>
        <w:jc w:val="both"/>
        <w:rPr>
          <w:rFonts w:ascii="Palatino Linotype" w:eastAsia="Palatino Linotype" w:hAnsi="Palatino Linotype" w:cs="Palatino Linotype"/>
        </w:rPr>
      </w:pPr>
    </w:p>
    <w:p w14:paraId="7582DCE4" w14:textId="77777777" w:rsidR="00B857F4" w:rsidRPr="0013627E" w:rsidRDefault="00B857F4">
      <w:pPr>
        <w:spacing w:line="360" w:lineRule="auto"/>
        <w:jc w:val="both"/>
        <w:rPr>
          <w:rFonts w:ascii="Palatino Linotype" w:eastAsia="Palatino Linotype" w:hAnsi="Palatino Linotype" w:cs="Palatino Linotype"/>
        </w:rPr>
      </w:pPr>
    </w:p>
    <w:p w14:paraId="38610952" w14:textId="77777777" w:rsidR="00B857F4" w:rsidRPr="0013627E" w:rsidRDefault="00B857F4">
      <w:pPr>
        <w:spacing w:line="360" w:lineRule="auto"/>
        <w:jc w:val="both"/>
        <w:rPr>
          <w:rFonts w:ascii="Palatino Linotype" w:eastAsia="Palatino Linotype" w:hAnsi="Palatino Linotype" w:cs="Palatino Linotype"/>
        </w:rPr>
      </w:pPr>
    </w:p>
    <w:p w14:paraId="7DAF6E52" w14:textId="77777777" w:rsidR="00B857F4" w:rsidRPr="0013627E" w:rsidRDefault="00B857F4">
      <w:pPr>
        <w:spacing w:line="360" w:lineRule="auto"/>
        <w:jc w:val="both"/>
        <w:rPr>
          <w:rFonts w:ascii="Palatino Linotype" w:eastAsia="Palatino Linotype" w:hAnsi="Palatino Linotype" w:cs="Palatino Linotype"/>
        </w:rPr>
      </w:pPr>
    </w:p>
    <w:p w14:paraId="4E283055" w14:textId="77777777" w:rsidR="00B857F4" w:rsidRPr="0013627E" w:rsidRDefault="00B857F4">
      <w:pPr>
        <w:spacing w:line="360" w:lineRule="auto"/>
        <w:jc w:val="both"/>
        <w:rPr>
          <w:rFonts w:ascii="Palatino Linotype" w:eastAsia="Palatino Linotype" w:hAnsi="Palatino Linotype" w:cs="Palatino Linotype"/>
        </w:rPr>
      </w:pPr>
    </w:p>
    <w:p w14:paraId="76D3001F" w14:textId="77777777" w:rsidR="00B857F4" w:rsidRPr="0013627E" w:rsidRDefault="00B857F4">
      <w:pPr>
        <w:spacing w:line="360" w:lineRule="auto"/>
        <w:jc w:val="both"/>
        <w:rPr>
          <w:rFonts w:ascii="Palatino Linotype" w:eastAsia="Palatino Linotype" w:hAnsi="Palatino Linotype" w:cs="Palatino Linotype"/>
        </w:rPr>
      </w:pPr>
    </w:p>
    <w:p w14:paraId="17B89DE6" w14:textId="77777777" w:rsidR="00B857F4" w:rsidRPr="0013627E" w:rsidRDefault="00B857F4">
      <w:pPr>
        <w:spacing w:line="360" w:lineRule="auto"/>
        <w:jc w:val="both"/>
        <w:rPr>
          <w:rFonts w:ascii="Palatino Linotype" w:eastAsia="Palatino Linotype" w:hAnsi="Palatino Linotype" w:cs="Palatino Linotype"/>
        </w:rPr>
      </w:pPr>
    </w:p>
    <w:p w14:paraId="208E451E" w14:textId="77777777" w:rsidR="00B857F4" w:rsidRPr="0013627E" w:rsidRDefault="00B857F4">
      <w:pPr>
        <w:spacing w:line="360" w:lineRule="auto"/>
        <w:jc w:val="both"/>
        <w:rPr>
          <w:rFonts w:ascii="Palatino Linotype" w:eastAsia="Palatino Linotype" w:hAnsi="Palatino Linotype" w:cs="Palatino Linotype"/>
        </w:rPr>
      </w:pPr>
    </w:p>
    <w:p w14:paraId="0CFE4B18" w14:textId="77777777" w:rsidR="00B857F4" w:rsidRPr="0013627E" w:rsidRDefault="00B857F4">
      <w:pPr>
        <w:spacing w:line="360" w:lineRule="auto"/>
        <w:jc w:val="both"/>
        <w:rPr>
          <w:rFonts w:ascii="Palatino Linotype" w:eastAsia="Palatino Linotype" w:hAnsi="Palatino Linotype" w:cs="Palatino Linotype"/>
        </w:rPr>
      </w:pPr>
    </w:p>
    <w:p w14:paraId="12939E3B" w14:textId="77777777" w:rsidR="00B857F4" w:rsidRPr="0013627E" w:rsidRDefault="00B857F4">
      <w:pPr>
        <w:spacing w:line="360" w:lineRule="auto"/>
        <w:jc w:val="center"/>
        <w:rPr>
          <w:rFonts w:ascii="Palatino Linotype" w:eastAsia="Palatino Linotype" w:hAnsi="Palatino Linotype" w:cs="Palatino Linotype"/>
        </w:rPr>
      </w:pPr>
    </w:p>
    <w:p w14:paraId="4429EDFD" w14:textId="77777777" w:rsidR="00B857F4" w:rsidRPr="0013627E" w:rsidRDefault="00B857F4">
      <w:pPr>
        <w:spacing w:line="360" w:lineRule="auto"/>
        <w:jc w:val="both"/>
        <w:rPr>
          <w:rFonts w:ascii="Palatino Linotype" w:eastAsia="Palatino Linotype" w:hAnsi="Palatino Linotype" w:cs="Palatino Linotype"/>
        </w:rPr>
      </w:pPr>
    </w:p>
    <w:p w14:paraId="179BD15D" w14:textId="77777777" w:rsidR="00B857F4" w:rsidRPr="0013627E" w:rsidRDefault="00B857F4">
      <w:pPr>
        <w:spacing w:line="360" w:lineRule="auto"/>
        <w:jc w:val="both"/>
        <w:rPr>
          <w:rFonts w:ascii="Palatino Linotype" w:eastAsia="Palatino Linotype" w:hAnsi="Palatino Linotype" w:cs="Palatino Linotype"/>
        </w:rPr>
      </w:pPr>
    </w:p>
    <w:p w14:paraId="4FBB9714" w14:textId="77777777" w:rsidR="00B857F4" w:rsidRPr="0013627E" w:rsidRDefault="00B857F4">
      <w:pPr>
        <w:spacing w:line="360" w:lineRule="auto"/>
        <w:jc w:val="both"/>
        <w:rPr>
          <w:rFonts w:ascii="Palatino Linotype" w:eastAsia="Palatino Linotype" w:hAnsi="Palatino Linotype" w:cs="Palatino Linotype"/>
        </w:rPr>
      </w:pPr>
    </w:p>
    <w:p w14:paraId="6A9FC03E" w14:textId="77777777" w:rsidR="00B857F4" w:rsidRPr="0013627E" w:rsidRDefault="00B857F4">
      <w:pPr>
        <w:spacing w:line="360" w:lineRule="auto"/>
        <w:jc w:val="both"/>
        <w:rPr>
          <w:rFonts w:ascii="Palatino Linotype" w:eastAsia="Palatino Linotype" w:hAnsi="Palatino Linotype" w:cs="Palatino Linotype"/>
        </w:rPr>
      </w:pPr>
    </w:p>
    <w:p w14:paraId="0D9EEC88" w14:textId="77777777" w:rsidR="00B857F4" w:rsidRPr="0013627E" w:rsidRDefault="00B857F4">
      <w:pPr>
        <w:spacing w:line="360" w:lineRule="auto"/>
        <w:jc w:val="both"/>
        <w:rPr>
          <w:rFonts w:ascii="Palatino Linotype" w:eastAsia="Palatino Linotype" w:hAnsi="Palatino Linotype" w:cs="Palatino Linotype"/>
        </w:rPr>
      </w:pPr>
    </w:p>
    <w:p w14:paraId="24E4E75D" w14:textId="77777777" w:rsidR="00B857F4" w:rsidRPr="0013627E" w:rsidRDefault="00B857F4">
      <w:pPr>
        <w:spacing w:line="360" w:lineRule="auto"/>
        <w:jc w:val="both"/>
        <w:rPr>
          <w:rFonts w:ascii="Palatino Linotype" w:eastAsia="Palatino Linotype" w:hAnsi="Palatino Linotype" w:cs="Palatino Linotype"/>
        </w:rPr>
      </w:pPr>
    </w:p>
    <w:p w14:paraId="7C8C98F9" w14:textId="77777777" w:rsidR="00B857F4" w:rsidRPr="0013627E" w:rsidRDefault="00B857F4">
      <w:pPr>
        <w:spacing w:line="360" w:lineRule="auto"/>
        <w:jc w:val="both"/>
        <w:rPr>
          <w:rFonts w:ascii="Palatino Linotype" w:eastAsia="Palatino Linotype" w:hAnsi="Palatino Linotype" w:cs="Palatino Linotype"/>
        </w:rPr>
      </w:pPr>
    </w:p>
    <w:p w14:paraId="38D57F85" w14:textId="77777777" w:rsidR="00B857F4" w:rsidRPr="0013627E" w:rsidRDefault="00B857F4">
      <w:pPr>
        <w:spacing w:line="360" w:lineRule="auto"/>
        <w:jc w:val="both"/>
        <w:rPr>
          <w:rFonts w:ascii="Palatino Linotype" w:eastAsia="Palatino Linotype" w:hAnsi="Palatino Linotype" w:cs="Palatino Linotype"/>
        </w:rPr>
      </w:pPr>
    </w:p>
    <w:p w14:paraId="7189DCEB" w14:textId="77777777" w:rsidR="00B857F4" w:rsidRPr="0013627E" w:rsidRDefault="00B857F4">
      <w:pPr>
        <w:spacing w:line="360" w:lineRule="auto"/>
        <w:jc w:val="both"/>
        <w:rPr>
          <w:rFonts w:ascii="Palatino Linotype" w:eastAsia="Palatino Linotype" w:hAnsi="Palatino Linotype" w:cs="Palatino Linotype"/>
        </w:rPr>
      </w:pPr>
    </w:p>
    <w:p w14:paraId="50ED07C6" w14:textId="77777777" w:rsidR="00B857F4" w:rsidRPr="0013627E" w:rsidRDefault="00B857F4">
      <w:pPr>
        <w:spacing w:line="360" w:lineRule="auto"/>
        <w:jc w:val="both"/>
        <w:rPr>
          <w:rFonts w:ascii="Palatino Linotype" w:eastAsia="Palatino Linotype" w:hAnsi="Palatino Linotype" w:cs="Palatino Linotype"/>
        </w:rPr>
      </w:pPr>
    </w:p>
    <w:p w14:paraId="3050200E" w14:textId="77777777" w:rsidR="00B857F4" w:rsidRPr="0013627E" w:rsidRDefault="00B857F4">
      <w:pPr>
        <w:spacing w:line="360" w:lineRule="auto"/>
        <w:jc w:val="both"/>
        <w:rPr>
          <w:rFonts w:ascii="Palatino Linotype" w:eastAsia="Palatino Linotype" w:hAnsi="Palatino Linotype" w:cs="Palatino Linotype"/>
        </w:rPr>
      </w:pPr>
    </w:p>
    <w:sectPr w:rsidR="00B857F4" w:rsidRPr="0013627E">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103E" w14:textId="77777777" w:rsidR="00D31543" w:rsidRDefault="00D31543">
      <w:r>
        <w:separator/>
      </w:r>
    </w:p>
  </w:endnote>
  <w:endnote w:type="continuationSeparator" w:id="0">
    <w:p w14:paraId="3BB26160" w14:textId="77777777" w:rsidR="00D31543" w:rsidRDefault="00D3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6410" w14:textId="77777777" w:rsidR="00B857F4" w:rsidRDefault="000245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638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638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1EBA5F0" w14:textId="77777777" w:rsidR="00B857F4" w:rsidRDefault="00B857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BD91" w14:textId="77777777" w:rsidR="00B857F4" w:rsidRDefault="000245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63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638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4105C89" w14:textId="77777777" w:rsidR="00B857F4" w:rsidRDefault="00B857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E74C" w14:textId="77777777" w:rsidR="00D31543" w:rsidRDefault="00D31543">
      <w:r>
        <w:separator/>
      </w:r>
    </w:p>
  </w:footnote>
  <w:footnote w:type="continuationSeparator" w:id="0">
    <w:p w14:paraId="7C29A0F1" w14:textId="77777777" w:rsidR="00D31543" w:rsidRDefault="00D3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3170" w14:textId="77777777" w:rsidR="00B857F4" w:rsidRDefault="000245BB">
    <w:pPr>
      <w:rPr>
        <w:rFonts w:ascii="Cambria" w:eastAsia="Cambria" w:hAnsi="Cambria" w:cs="Cambria"/>
        <w:color w:val="000000"/>
      </w:rPr>
    </w:pPr>
    <w:r>
      <w:rPr>
        <w:noProof/>
      </w:rPr>
      <w:drawing>
        <wp:anchor distT="0" distB="0" distL="0" distR="0" simplePos="0" relativeHeight="251658240" behindDoc="1" locked="0" layoutInCell="1" hidden="0" allowOverlap="1" wp14:anchorId="13C34320" wp14:editId="44F2EE3A">
          <wp:simplePos x="0" y="0"/>
          <wp:positionH relativeFrom="column">
            <wp:posOffset>-1080093</wp:posOffset>
          </wp:positionH>
          <wp:positionV relativeFrom="paragraph">
            <wp:posOffset>-488265</wp:posOffset>
          </wp:positionV>
          <wp:extent cx="7809865" cy="10165715"/>
          <wp:effectExtent l="0" t="0" r="0" b="0"/>
          <wp:wrapNone/>
          <wp:docPr id="20832964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B857F4" w14:paraId="060F192B" w14:textId="77777777">
      <w:tc>
        <w:tcPr>
          <w:tcW w:w="2489" w:type="dxa"/>
          <w:shd w:val="clear" w:color="auto" w:fill="auto"/>
        </w:tcPr>
        <w:p w14:paraId="50CA6DF4" w14:textId="77777777" w:rsidR="00B857F4" w:rsidRDefault="000245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0E9026F" w14:textId="77777777" w:rsidR="00B857F4" w:rsidRDefault="000245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03859/INFOEM/IP/RR/2025</w:t>
          </w:r>
        </w:p>
      </w:tc>
    </w:tr>
    <w:tr w:rsidR="00B857F4" w14:paraId="78C3EA1C" w14:textId="77777777">
      <w:trPr>
        <w:trHeight w:val="228"/>
      </w:trPr>
      <w:tc>
        <w:tcPr>
          <w:tcW w:w="2489" w:type="dxa"/>
          <w:shd w:val="clear" w:color="auto" w:fill="auto"/>
          <w:vAlign w:val="center"/>
        </w:tcPr>
        <w:p w14:paraId="0C454CFC" w14:textId="77777777" w:rsidR="00B857F4" w:rsidRDefault="000245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9A70DA9" w14:textId="77777777" w:rsidR="00B857F4" w:rsidRDefault="000245B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Zinacantepec</w:t>
          </w:r>
        </w:p>
      </w:tc>
    </w:tr>
    <w:tr w:rsidR="00B857F4" w14:paraId="77954B9B" w14:textId="77777777">
      <w:tc>
        <w:tcPr>
          <w:tcW w:w="2489" w:type="dxa"/>
          <w:shd w:val="clear" w:color="auto" w:fill="auto"/>
          <w:vAlign w:val="center"/>
        </w:tcPr>
        <w:p w14:paraId="0EF91ECC" w14:textId="77777777" w:rsidR="00B857F4" w:rsidRDefault="000245B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61F3DDF" w14:textId="77777777" w:rsidR="00B857F4" w:rsidRDefault="000245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8270F8" w14:textId="77777777" w:rsidR="00B857F4" w:rsidRDefault="000245B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B351" w14:textId="77777777" w:rsidR="00B857F4" w:rsidRDefault="000245B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6AA0B7A" wp14:editId="34870A15">
          <wp:simplePos x="0" y="0"/>
          <wp:positionH relativeFrom="column">
            <wp:posOffset>-1080119</wp:posOffset>
          </wp:positionH>
          <wp:positionV relativeFrom="paragraph">
            <wp:posOffset>-369894</wp:posOffset>
          </wp:positionV>
          <wp:extent cx="7809865" cy="10165715"/>
          <wp:effectExtent l="0" t="0" r="0" b="0"/>
          <wp:wrapNone/>
          <wp:docPr id="20832964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B857F4" w14:paraId="38DC0FC8" w14:textId="77777777">
      <w:tc>
        <w:tcPr>
          <w:tcW w:w="2489" w:type="dxa"/>
          <w:shd w:val="clear" w:color="auto" w:fill="auto"/>
        </w:tcPr>
        <w:p w14:paraId="66830756" w14:textId="77777777" w:rsidR="00B857F4" w:rsidRDefault="000245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BBD5112" w14:textId="77777777" w:rsidR="00B857F4" w:rsidRDefault="000245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03859/INFOEM/IP/RR/2025</w:t>
          </w:r>
        </w:p>
      </w:tc>
    </w:tr>
    <w:tr w:rsidR="00B857F4" w14:paraId="3E618F1F" w14:textId="77777777">
      <w:tc>
        <w:tcPr>
          <w:tcW w:w="2489" w:type="dxa"/>
          <w:shd w:val="clear" w:color="auto" w:fill="auto"/>
        </w:tcPr>
        <w:p w14:paraId="6D56493D" w14:textId="77777777" w:rsidR="00B857F4" w:rsidRDefault="000245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244A458" w14:textId="641E097B" w:rsidR="00B857F4" w:rsidRDefault="003F1A6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XXXXXX </w:t>
          </w:r>
        </w:p>
      </w:tc>
    </w:tr>
    <w:tr w:rsidR="00B857F4" w14:paraId="108EA0E7" w14:textId="77777777">
      <w:trPr>
        <w:trHeight w:val="228"/>
      </w:trPr>
      <w:tc>
        <w:tcPr>
          <w:tcW w:w="2489" w:type="dxa"/>
          <w:shd w:val="clear" w:color="auto" w:fill="auto"/>
          <w:vAlign w:val="center"/>
        </w:tcPr>
        <w:p w14:paraId="3FBC7938" w14:textId="77777777" w:rsidR="00B857F4" w:rsidRDefault="000245B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C8334D5" w14:textId="77777777" w:rsidR="00B857F4" w:rsidRDefault="000245B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Zinacantepec</w:t>
          </w:r>
        </w:p>
      </w:tc>
    </w:tr>
    <w:tr w:rsidR="00B857F4" w14:paraId="483B8330" w14:textId="77777777">
      <w:tc>
        <w:tcPr>
          <w:tcW w:w="2489" w:type="dxa"/>
          <w:shd w:val="clear" w:color="auto" w:fill="auto"/>
          <w:vAlign w:val="center"/>
        </w:tcPr>
        <w:p w14:paraId="4ABF895F" w14:textId="77777777" w:rsidR="00B857F4" w:rsidRDefault="000245B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105D7FB" w14:textId="77777777" w:rsidR="00B857F4" w:rsidRDefault="000245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249B76" w14:textId="77777777" w:rsidR="00B857F4" w:rsidRDefault="00B857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6311F"/>
    <w:multiLevelType w:val="multilevel"/>
    <w:tmpl w:val="6172C2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1B0806"/>
    <w:multiLevelType w:val="multilevel"/>
    <w:tmpl w:val="FC421D9C"/>
    <w:lvl w:ilvl="0">
      <w:start w:val="1"/>
      <w:numFmt w:val="decimal"/>
      <w:pStyle w:val="Listaconvietas3"/>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F4"/>
    <w:rsid w:val="000245BB"/>
    <w:rsid w:val="0013627E"/>
    <w:rsid w:val="003F1A67"/>
    <w:rsid w:val="003F3D33"/>
    <w:rsid w:val="0070638E"/>
    <w:rsid w:val="00A813EE"/>
    <w:rsid w:val="00B857F4"/>
    <w:rsid w:val="00D315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74BE"/>
  <w15:docId w15:val="{DA9136CC-25A7-4046-AA4E-79C521DD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CF50DF"/>
    <w:pPr>
      <w:numPr>
        <w:numId w:val="2"/>
      </w:numPr>
      <w:contextualSpacing/>
    </w:pPr>
    <w:rPr>
      <w:lang w:eastAsia="es-ES"/>
    </w:r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VO0tAJd7jeizv2JH78Y6C6/Rg==">CgMxLjAyCWguM3JkY3JqbjIOaC5kYWozajJ4bzZxNjYyCGguZ2pkZ3hzMgloLjNkeTZ2a20yCWguMzBqMHpsbDIJaC4yczhleW8xMghoLnR5amN3dDIJaC4zem55c2g3MgloLjJldDkycDAyCGgubG54Yno5Mg5oLmVpMnQ3OXVpNXJoejIOaC5vdDNxcTZ2eGEwOGYyDmguZnoxcmNsN2h0ejZ2OAByITExaFBDd1FPM0d6VFExUWlqX0NnNGR5VWRzWW1PMkNvXw==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5479</Words>
  <Characters>30136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2025-06-20T19:30:00Z</cp:lastPrinted>
  <dcterms:created xsi:type="dcterms:W3CDTF">2025-06-27T19:57:00Z</dcterms:created>
  <dcterms:modified xsi:type="dcterms:W3CDTF">2025-06-27T19:57:00Z</dcterms:modified>
</cp:coreProperties>
</file>