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1259832666"/>
        <w:docPartObj>
          <w:docPartGallery w:val="Table of Contents"/>
          <w:docPartUnique/>
        </w:docPartObj>
      </w:sdtPr>
      <w:sdtEndPr>
        <w:rPr>
          <w:b/>
          <w:bCs/>
        </w:rPr>
      </w:sdtEndPr>
      <w:sdtContent>
        <w:p w14:paraId="5B8FD9A9" w14:textId="52993433" w:rsidR="000C1B3F" w:rsidRPr="00005743" w:rsidRDefault="000C1B3F">
          <w:pPr>
            <w:pStyle w:val="TtulodeTDC"/>
            <w:rPr>
              <w:sz w:val="22"/>
              <w:szCs w:val="22"/>
            </w:rPr>
          </w:pPr>
          <w:r w:rsidRPr="00005743">
            <w:rPr>
              <w:sz w:val="22"/>
              <w:szCs w:val="22"/>
              <w:lang w:val="es-ES"/>
            </w:rPr>
            <w:t>Tabla de contenido</w:t>
          </w:r>
        </w:p>
        <w:p w14:paraId="59DA794E" w14:textId="77777777" w:rsidR="000C1B3F" w:rsidRPr="00005743" w:rsidRDefault="000C1B3F">
          <w:pPr>
            <w:pStyle w:val="TDC1"/>
            <w:tabs>
              <w:tab w:val="right" w:leader="dot" w:pos="9034"/>
            </w:tabs>
            <w:rPr>
              <w:rFonts w:asciiTheme="minorHAnsi" w:eastAsiaTheme="minorEastAsia" w:hAnsiTheme="minorHAnsi" w:cstheme="minorBidi"/>
              <w:noProof/>
              <w:sz w:val="22"/>
              <w:szCs w:val="22"/>
            </w:rPr>
          </w:pPr>
          <w:r w:rsidRPr="00005743">
            <w:rPr>
              <w:b/>
              <w:bCs/>
              <w:sz w:val="22"/>
              <w:szCs w:val="22"/>
              <w:lang w:val="es-ES"/>
            </w:rPr>
            <w:fldChar w:fldCharType="begin"/>
          </w:r>
          <w:r w:rsidRPr="00005743">
            <w:rPr>
              <w:b/>
              <w:bCs/>
              <w:sz w:val="22"/>
              <w:szCs w:val="22"/>
              <w:lang w:val="es-ES"/>
            </w:rPr>
            <w:instrText xml:space="preserve"> TOC \o "1-3" \h \z \u </w:instrText>
          </w:r>
          <w:r w:rsidRPr="00005743">
            <w:rPr>
              <w:b/>
              <w:bCs/>
              <w:sz w:val="22"/>
              <w:szCs w:val="22"/>
              <w:lang w:val="es-ES"/>
            </w:rPr>
            <w:fldChar w:fldCharType="separate"/>
          </w:r>
          <w:hyperlink w:anchor="_Toc210916235" w:history="1">
            <w:r w:rsidRPr="00005743">
              <w:rPr>
                <w:rStyle w:val="Hipervnculo"/>
                <w:rFonts w:ascii="Palatino Linotype" w:eastAsia="Palatino Linotype" w:hAnsi="Palatino Linotype" w:cs="Palatino Linotype"/>
                <w:b/>
                <w:noProof/>
                <w:sz w:val="22"/>
                <w:szCs w:val="22"/>
              </w:rPr>
              <w:t>A N T E C E D E N T E S</w:t>
            </w:r>
            <w:r w:rsidRPr="00005743">
              <w:rPr>
                <w:noProof/>
                <w:webHidden/>
                <w:sz w:val="22"/>
                <w:szCs w:val="22"/>
              </w:rPr>
              <w:tab/>
            </w:r>
            <w:r w:rsidRPr="00005743">
              <w:rPr>
                <w:noProof/>
                <w:webHidden/>
                <w:sz w:val="22"/>
                <w:szCs w:val="22"/>
              </w:rPr>
              <w:fldChar w:fldCharType="begin"/>
            </w:r>
            <w:r w:rsidRPr="00005743">
              <w:rPr>
                <w:noProof/>
                <w:webHidden/>
                <w:sz w:val="22"/>
                <w:szCs w:val="22"/>
              </w:rPr>
              <w:instrText xml:space="preserve"> PAGEREF _Toc210916235 \h </w:instrText>
            </w:r>
            <w:r w:rsidRPr="00005743">
              <w:rPr>
                <w:noProof/>
                <w:webHidden/>
                <w:sz w:val="22"/>
                <w:szCs w:val="22"/>
              </w:rPr>
            </w:r>
            <w:r w:rsidRPr="00005743">
              <w:rPr>
                <w:noProof/>
                <w:webHidden/>
                <w:sz w:val="22"/>
                <w:szCs w:val="22"/>
              </w:rPr>
              <w:fldChar w:fldCharType="separate"/>
            </w:r>
            <w:r w:rsidR="00BE28FD">
              <w:rPr>
                <w:noProof/>
                <w:webHidden/>
                <w:sz w:val="22"/>
                <w:szCs w:val="22"/>
              </w:rPr>
              <w:t>2</w:t>
            </w:r>
            <w:r w:rsidRPr="00005743">
              <w:rPr>
                <w:noProof/>
                <w:webHidden/>
                <w:sz w:val="22"/>
                <w:szCs w:val="22"/>
              </w:rPr>
              <w:fldChar w:fldCharType="end"/>
            </w:r>
          </w:hyperlink>
        </w:p>
        <w:p w14:paraId="2D6C96DB"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36" w:history="1">
            <w:r w:rsidR="000C1B3F" w:rsidRPr="00005743">
              <w:rPr>
                <w:rStyle w:val="Hipervnculo"/>
                <w:rFonts w:ascii="Palatino Linotype" w:eastAsia="Palatino Linotype" w:hAnsi="Palatino Linotype" w:cs="Palatino Linotype"/>
                <w:noProof/>
                <w:sz w:val="22"/>
                <w:szCs w:val="22"/>
              </w:rPr>
              <w:t>I. Presentación de las solicitudes de información</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_Toc210916236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2</w:t>
            </w:r>
            <w:r w:rsidR="000C1B3F" w:rsidRPr="00005743">
              <w:rPr>
                <w:noProof/>
                <w:webHidden/>
                <w:sz w:val="22"/>
                <w:szCs w:val="22"/>
              </w:rPr>
              <w:fldChar w:fldCharType="end"/>
            </w:r>
          </w:hyperlink>
        </w:p>
        <w:p w14:paraId="39E40A27"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37" w:history="1">
            <w:r w:rsidR="000C1B3F" w:rsidRPr="00005743">
              <w:rPr>
                <w:rStyle w:val="Hipervnculo"/>
                <w:rFonts w:ascii="Palatino Linotype" w:eastAsia="Palatino Linotype" w:hAnsi="Palatino Linotype" w:cs="Palatino Linotype"/>
                <w:noProof/>
                <w:sz w:val="22"/>
                <w:szCs w:val="22"/>
              </w:rPr>
              <w:t>II. Respuestas del Sujeto Obligado</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_Toc210916237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3</w:t>
            </w:r>
            <w:r w:rsidR="000C1B3F" w:rsidRPr="00005743">
              <w:rPr>
                <w:noProof/>
                <w:webHidden/>
                <w:sz w:val="22"/>
                <w:szCs w:val="22"/>
              </w:rPr>
              <w:fldChar w:fldCharType="end"/>
            </w:r>
          </w:hyperlink>
        </w:p>
        <w:p w14:paraId="7C6655A7"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38" w:history="1">
            <w:r w:rsidR="000C1B3F" w:rsidRPr="00005743">
              <w:rPr>
                <w:rStyle w:val="Hipervnculo"/>
                <w:rFonts w:ascii="Palatino Linotype" w:eastAsia="Palatino Linotype" w:hAnsi="Palatino Linotype" w:cs="Palatino Linotype"/>
                <w:noProof/>
                <w:sz w:val="22"/>
                <w:szCs w:val="22"/>
              </w:rPr>
              <w:t>II. Interposición del Recurso de Revisión</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_Toc210916238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4</w:t>
            </w:r>
            <w:r w:rsidR="000C1B3F" w:rsidRPr="00005743">
              <w:rPr>
                <w:noProof/>
                <w:webHidden/>
                <w:sz w:val="22"/>
                <w:szCs w:val="22"/>
              </w:rPr>
              <w:fldChar w:fldCharType="end"/>
            </w:r>
          </w:hyperlink>
        </w:p>
        <w:p w14:paraId="7CF0DF8D"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39" w:history="1">
            <w:r w:rsidR="000C1B3F" w:rsidRPr="00005743">
              <w:rPr>
                <w:rStyle w:val="Hipervnculo"/>
                <w:rFonts w:ascii="Palatino Linotype" w:eastAsia="Palatino Linotype" w:hAnsi="Palatino Linotype" w:cs="Palatino Linotype"/>
                <w:noProof/>
                <w:sz w:val="22"/>
                <w:szCs w:val="22"/>
              </w:rPr>
              <w:t>IV. Trámite del Recurso de Revisión ante el Instituto</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_Toc210916239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5</w:t>
            </w:r>
            <w:r w:rsidR="000C1B3F" w:rsidRPr="00005743">
              <w:rPr>
                <w:noProof/>
                <w:webHidden/>
                <w:sz w:val="22"/>
                <w:szCs w:val="22"/>
              </w:rPr>
              <w:fldChar w:fldCharType="end"/>
            </w:r>
          </w:hyperlink>
        </w:p>
        <w:p w14:paraId="3FBD160A" w14:textId="77777777" w:rsidR="000C1B3F" w:rsidRPr="00005743" w:rsidRDefault="008D5E3A">
          <w:pPr>
            <w:pStyle w:val="TDC1"/>
            <w:tabs>
              <w:tab w:val="right" w:leader="dot" w:pos="9034"/>
            </w:tabs>
            <w:rPr>
              <w:rFonts w:asciiTheme="minorHAnsi" w:eastAsiaTheme="minorEastAsia" w:hAnsiTheme="minorHAnsi" w:cstheme="minorBidi"/>
              <w:noProof/>
              <w:sz w:val="22"/>
              <w:szCs w:val="22"/>
            </w:rPr>
          </w:pPr>
          <w:hyperlink w:anchor="_Toc210916240" w:history="1">
            <w:r w:rsidR="000C1B3F" w:rsidRPr="00005743">
              <w:rPr>
                <w:rStyle w:val="Hipervnculo"/>
                <w:rFonts w:ascii="Palatino Linotype" w:eastAsia="Palatino Linotype" w:hAnsi="Palatino Linotype" w:cs="Palatino Linotype"/>
                <w:b/>
                <w:noProof/>
                <w:sz w:val="22"/>
                <w:szCs w:val="22"/>
              </w:rPr>
              <w:t>C O N S I D E R A N D O S</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_Toc210916240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8</w:t>
            </w:r>
            <w:r w:rsidR="000C1B3F" w:rsidRPr="00005743">
              <w:rPr>
                <w:noProof/>
                <w:webHidden/>
                <w:sz w:val="22"/>
                <w:szCs w:val="22"/>
              </w:rPr>
              <w:fldChar w:fldCharType="end"/>
            </w:r>
          </w:hyperlink>
        </w:p>
        <w:p w14:paraId="5403542D"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1" w:history="1">
            <w:r w:rsidR="000C1B3F" w:rsidRPr="00005743">
              <w:rPr>
                <w:rStyle w:val="Hipervnculo"/>
                <w:rFonts w:ascii="Palatino Linotype" w:eastAsia="Palatino Linotype" w:hAnsi="Palatino Linotype" w:cs="Palatino Linotype"/>
                <w:noProof/>
                <w:sz w:val="22"/>
                <w:szCs w:val="22"/>
              </w:rPr>
              <w:t>PRIMERO. Competencia</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_Toc210916241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8</w:t>
            </w:r>
            <w:r w:rsidR="000C1B3F" w:rsidRPr="00005743">
              <w:rPr>
                <w:noProof/>
                <w:webHidden/>
                <w:sz w:val="22"/>
                <w:szCs w:val="22"/>
              </w:rPr>
              <w:fldChar w:fldCharType="end"/>
            </w:r>
          </w:hyperlink>
        </w:p>
        <w:p w14:paraId="1EC11452"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2" w:history="1">
            <w:r w:rsidR="000C1B3F" w:rsidRPr="00005743">
              <w:rPr>
                <w:rStyle w:val="Hipervnculo"/>
                <w:rFonts w:ascii="Palatino Linotype" w:eastAsia="Palatino Linotype" w:hAnsi="Palatino Linotype" w:cs="Palatino Linotype"/>
                <w:noProof/>
                <w:sz w:val="22"/>
                <w:szCs w:val="22"/>
              </w:rPr>
              <w:t>SEGUNDO. Causales de improcedencia y sobreseimiento</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_Toc210916242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9</w:t>
            </w:r>
            <w:r w:rsidR="000C1B3F" w:rsidRPr="00005743">
              <w:rPr>
                <w:noProof/>
                <w:webHidden/>
                <w:sz w:val="22"/>
                <w:szCs w:val="22"/>
              </w:rPr>
              <w:fldChar w:fldCharType="end"/>
            </w:r>
          </w:hyperlink>
        </w:p>
        <w:p w14:paraId="70355CB0"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3" w:history="1">
            <w:r w:rsidR="000C1B3F" w:rsidRPr="00005743">
              <w:rPr>
                <w:rStyle w:val="Hipervnculo"/>
                <w:rFonts w:ascii="Palatino Linotype" w:eastAsia="Palatino Linotype" w:hAnsi="Palatino Linotype" w:cs="Palatino Linotype"/>
                <w:noProof/>
                <w:sz w:val="22"/>
                <w:szCs w:val="22"/>
              </w:rPr>
              <w:t>TERCERO. Determinación de la Controversia</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_Toc210916243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10</w:t>
            </w:r>
            <w:r w:rsidR="000C1B3F" w:rsidRPr="00005743">
              <w:rPr>
                <w:noProof/>
                <w:webHidden/>
                <w:sz w:val="22"/>
                <w:szCs w:val="22"/>
              </w:rPr>
              <w:fldChar w:fldCharType="end"/>
            </w:r>
          </w:hyperlink>
        </w:p>
        <w:p w14:paraId="4A31B00B"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4" w:history="1">
            <w:r w:rsidR="000C1B3F" w:rsidRPr="00005743">
              <w:rPr>
                <w:rStyle w:val="Hipervnculo"/>
                <w:rFonts w:ascii="Palatino Linotype" w:eastAsia="Palatino Linotype" w:hAnsi="Palatino Linotype" w:cs="Palatino Linotype"/>
                <w:noProof/>
                <w:sz w:val="22"/>
                <w:szCs w:val="22"/>
              </w:rPr>
              <w:t>CUARTO. Marco normativo aplicable en materia de transparencia y acceso a la información pública</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_Toc210916244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12</w:t>
            </w:r>
            <w:r w:rsidR="000C1B3F" w:rsidRPr="00005743">
              <w:rPr>
                <w:noProof/>
                <w:webHidden/>
                <w:sz w:val="22"/>
                <w:szCs w:val="22"/>
              </w:rPr>
              <w:fldChar w:fldCharType="end"/>
            </w:r>
          </w:hyperlink>
        </w:p>
        <w:p w14:paraId="6F3B633F"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5" w:history="1">
            <w:r w:rsidR="000C1B3F" w:rsidRPr="00005743">
              <w:rPr>
                <w:rStyle w:val="Hipervnculo"/>
                <w:rFonts w:ascii="Palatino Linotype" w:eastAsia="Palatino Linotype" w:hAnsi="Palatino Linotype" w:cs="Palatino Linotype"/>
                <w:noProof/>
                <w:sz w:val="22"/>
                <w:szCs w:val="22"/>
              </w:rPr>
              <w:t>QUINTO. Estudio de Fondo</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_Toc210916245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13</w:t>
            </w:r>
            <w:r w:rsidR="000C1B3F" w:rsidRPr="00005743">
              <w:rPr>
                <w:noProof/>
                <w:webHidden/>
                <w:sz w:val="22"/>
                <w:szCs w:val="22"/>
              </w:rPr>
              <w:fldChar w:fldCharType="end"/>
            </w:r>
          </w:hyperlink>
        </w:p>
        <w:p w14:paraId="545B4C24" w14:textId="77777777" w:rsidR="000C1B3F" w:rsidRPr="00005743" w:rsidRDefault="008D5E3A">
          <w:pPr>
            <w:pStyle w:val="TDC2"/>
            <w:tabs>
              <w:tab w:val="right" w:leader="dot" w:pos="9034"/>
            </w:tabs>
            <w:rPr>
              <w:rFonts w:asciiTheme="minorHAnsi" w:eastAsiaTheme="minorEastAsia" w:hAnsiTheme="minorHAnsi" w:cstheme="minorBidi"/>
              <w:noProof/>
              <w:sz w:val="22"/>
              <w:szCs w:val="22"/>
            </w:rPr>
          </w:pPr>
          <w:hyperlink w:anchor="_Toc210916246" w:history="1">
            <w:r w:rsidR="000C1B3F" w:rsidRPr="00005743">
              <w:rPr>
                <w:rStyle w:val="Hipervnculo"/>
                <w:rFonts w:ascii="Palatino Linotype" w:eastAsia="Palatino Linotype" w:hAnsi="Palatino Linotype" w:cs="Palatino Linotype"/>
                <w:noProof/>
                <w:sz w:val="22"/>
                <w:szCs w:val="22"/>
              </w:rPr>
              <w:t>SEXTO. Decisión</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_Toc210916246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37</w:t>
            </w:r>
            <w:r w:rsidR="000C1B3F" w:rsidRPr="00005743">
              <w:rPr>
                <w:noProof/>
                <w:webHidden/>
                <w:sz w:val="22"/>
                <w:szCs w:val="22"/>
              </w:rPr>
              <w:fldChar w:fldCharType="end"/>
            </w:r>
          </w:hyperlink>
        </w:p>
        <w:p w14:paraId="4D84DC6A" w14:textId="77777777" w:rsidR="000C1B3F" w:rsidRPr="00005743" w:rsidRDefault="008D5E3A">
          <w:pPr>
            <w:pStyle w:val="TDC1"/>
            <w:tabs>
              <w:tab w:val="right" w:leader="dot" w:pos="9034"/>
            </w:tabs>
            <w:rPr>
              <w:rFonts w:asciiTheme="minorHAnsi" w:eastAsiaTheme="minorEastAsia" w:hAnsiTheme="minorHAnsi" w:cstheme="minorBidi"/>
              <w:noProof/>
              <w:sz w:val="22"/>
              <w:szCs w:val="22"/>
            </w:rPr>
          </w:pPr>
          <w:hyperlink w:anchor="_Toc210916247" w:history="1">
            <w:r w:rsidR="000C1B3F" w:rsidRPr="00005743">
              <w:rPr>
                <w:rStyle w:val="Hipervnculo"/>
                <w:rFonts w:ascii="Palatino Linotype" w:eastAsia="Palatino Linotype" w:hAnsi="Palatino Linotype" w:cs="Palatino Linotype"/>
                <w:b/>
                <w:noProof/>
                <w:sz w:val="22"/>
                <w:szCs w:val="22"/>
              </w:rPr>
              <w:t>R E S U E L V E</w:t>
            </w:r>
            <w:r w:rsidR="000C1B3F" w:rsidRPr="00005743">
              <w:rPr>
                <w:noProof/>
                <w:webHidden/>
                <w:sz w:val="22"/>
                <w:szCs w:val="22"/>
              </w:rPr>
              <w:tab/>
            </w:r>
            <w:r w:rsidR="000C1B3F" w:rsidRPr="00005743">
              <w:rPr>
                <w:noProof/>
                <w:webHidden/>
                <w:sz w:val="22"/>
                <w:szCs w:val="22"/>
              </w:rPr>
              <w:fldChar w:fldCharType="begin"/>
            </w:r>
            <w:r w:rsidR="000C1B3F" w:rsidRPr="00005743">
              <w:rPr>
                <w:noProof/>
                <w:webHidden/>
                <w:sz w:val="22"/>
                <w:szCs w:val="22"/>
              </w:rPr>
              <w:instrText xml:space="preserve"> PAGEREF _Toc210916247 \h </w:instrText>
            </w:r>
            <w:r w:rsidR="000C1B3F" w:rsidRPr="00005743">
              <w:rPr>
                <w:noProof/>
                <w:webHidden/>
                <w:sz w:val="22"/>
                <w:szCs w:val="22"/>
              </w:rPr>
            </w:r>
            <w:r w:rsidR="000C1B3F" w:rsidRPr="00005743">
              <w:rPr>
                <w:noProof/>
                <w:webHidden/>
                <w:sz w:val="22"/>
                <w:szCs w:val="22"/>
              </w:rPr>
              <w:fldChar w:fldCharType="separate"/>
            </w:r>
            <w:r w:rsidR="00BE28FD">
              <w:rPr>
                <w:noProof/>
                <w:webHidden/>
                <w:sz w:val="22"/>
                <w:szCs w:val="22"/>
              </w:rPr>
              <w:t>38</w:t>
            </w:r>
            <w:r w:rsidR="000C1B3F" w:rsidRPr="00005743">
              <w:rPr>
                <w:noProof/>
                <w:webHidden/>
                <w:sz w:val="22"/>
                <w:szCs w:val="22"/>
              </w:rPr>
              <w:fldChar w:fldCharType="end"/>
            </w:r>
          </w:hyperlink>
        </w:p>
        <w:p w14:paraId="389E10EC" w14:textId="7D08B874" w:rsidR="000C1B3F" w:rsidRDefault="000C1B3F">
          <w:r w:rsidRPr="00005743">
            <w:rPr>
              <w:b/>
              <w:bCs/>
              <w:sz w:val="22"/>
              <w:szCs w:val="22"/>
              <w:lang w:val="es-ES"/>
            </w:rPr>
            <w:fldChar w:fldCharType="end"/>
          </w:r>
        </w:p>
      </w:sdtContent>
    </w:sdt>
    <w:p w14:paraId="0153CB44"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06A995B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2E084AA"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br w:type="page"/>
      </w:r>
      <w:r w:rsidRPr="000C1B3F">
        <w:rPr>
          <w:rFonts w:ascii="Palatino Linotype" w:eastAsia="Palatino Linotype" w:hAnsi="Palatino Linotype" w:cs="Palatino Linotype"/>
          <w:color w:val="000000"/>
          <w:sz w:val="22"/>
          <w:szCs w:val="22"/>
        </w:rPr>
        <w:lastRenderedPageBreak/>
        <w:t>Resolución del Pleno del Instituto de Transparencia, Acceso a la Información Pública y Protección de Datos Personales del Estado de México y Municipios, con domicilio en Metepec, Estado de México, de fecha ocho de octubre de dos mil veinticinco.</w:t>
      </w:r>
      <w:r w:rsidRPr="000C1B3F">
        <w:rPr>
          <w:rFonts w:ascii="Palatino Linotype" w:eastAsia="Palatino Linotype" w:hAnsi="Palatino Linotype" w:cs="Palatino Linotype"/>
          <w:sz w:val="22"/>
          <w:szCs w:val="22"/>
        </w:rPr>
        <w:t xml:space="preserve"> </w:t>
      </w:r>
    </w:p>
    <w:p w14:paraId="6A4E392B"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5F40524" w14:textId="77777777" w:rsidR="006A0905" w:rsidRPr="000C1B3F" w:rsidRDefault="00921788">
      <w:pPr>
        <w:spacing w:line="360" w:lineRule="auto"/>
        <w:jc w:val="both"/>
        <w:rPr>
          <w:rFonts w:ascii="Palatino Linotype" w:eastAsia="Palatino Linotype" w:hAnsi="Palatino Linotype" w:cs="Palatino Linotype"/>
          <w:b/>
          <w:sz w:val="22"/>
          <w:szCs w:val="22"/>
        </w:rPr>
      </w:pPr>
      <w:r w:rsidRPr="000C1B3F">
        <w:rPr>
          <w:rFonts w:ascii="Palatino Linotype" w:eastAsia="Palatino Linotype" w:hAnsi="Palatino Linotype" w:cs="Palatino Linotype"/>
          <w:b/>
          <w:color w:val="000000"/>
          <w:sz w:val="22"/>
          <w:szCs w:val="22"/>
        </w:rPr>
        <w:t xml:space="preserve">VISTO </w:t>
      </w:r>
      <w:r w:rsidRPr="000C1B3F">
        <w:rPr>
          <w:rFonts w:ascii="Palatino Linotype" w:eastAsia="Palatino Linotype" w:hAnsi="Palatino Linotype" w:cs="Palatino Linotype"/>
          <w:color w:val="000000"/>
          <w:sz w:val="22"/>
          <w:szCs w:val="22"/>
        </w:rPr>
        <w:t xml:space="preserve">el expediente conformado con motivo de los Recursos de Revisión </w:t>
      </w:r>
      <w:r w:rsidRPr="007E539E">
        <w:rPr>
          <w:rFonts w:ascii="Palatino Linotype" w:eastAsia="Palatino Linotype" w:hAnsi="Palatino Linotype" w:cs="Palatino Linotype"/>
          <w:b/>
          <w:bCs/>
          <w:color w:val="000000"/>
          <w:sz w:val="22"/>
          <w:szCs w:val="22"/>
        </w:rPr>
        <w:t xml:space="preserve">09216/INFOEM/IP/RR/2025 y </w:t>
      </w:r>
      <w:r w:rsidRPr="007E539E">
        <w:rPr>
          <w:rFonts w:ascii="Palatino Linotype" w:eastAsia="Palatino Linotype" w:hAnsi="Palatino Linotype" w:cs="Palatino Linotype"/>
          <w:b/>
          <w:bCs/>
          <w:sz w:val="22"/>
          <w:szCs w:val="22"/>
        </w:rPr>
        <w:t>09228/INFOEM/IP/RR/2025</w:t>
      </w:r>
      <w:r w:rsidRPr="000C1B3F">
        <w:rPr>
          <w:rFonts w:ascii="Palatino Linotype" w:eastAsia="Palatino Linotype" w:hAnsi="Palatino Linotype" w:cs="Palatino Linotype"/>
          <w:bCs/>
          <w:sz w:val="22"/>
          <w:szCs w:val="22"/>
        </w:rPr>
        <w:t xml:space="preserve"> </w:t>
      </w:r>
      <w:r w:rsidRPr="000C1B3F">
        <w:rPr>
          <w:rFonts w:ascii="Palatino Linotype" w:eastAsia="Palatino Linotype" w:hAnsi="Palatino Linotype" w:cs="Palatino Linotype"/>
          <w:bCs/>
          <w:color w:val="000000"/>
          <w:sz w:val="22"/>
          <w:szCs w:val="22"/>
        </w:rPr>
        <w:t xml:space="preserve">interpuestos por un Particular, en lo subsecuente la persona </w:t>
      </w:r>
      <w:r w:rsidRPr="000C1B3F">
        <w:rPr>
          <w:rFonts w:ascii="Palatino Linotype" w:eastAsia="Palatino Linotype" w:hAnsi="Palatino Linotype" w:cs="Palatino Linotype"/>
          <w:bCs/>
          <w:color w:val="0D0D0D"/>
          <w:sz w:val="22"/>
          <w:szCs w:val="22"/>
        </w:rPr>
        <w:t>Recurrente o Particular</w:t>
      </w:r>
      <w:r w:rsidRPr="000C1B3F">
        <w:rPr>
          <w:rFonts w:ascii="Palatino Linotype" w:eastAsia="Palatino Linotype" w:hAnsi="Palatino Linotype" w:cs="Palatino Linotype"/>
          <w:bCs/>
          <w:color w:val="000000"/>
          <w:sz w:val="22"/>
          <w:szCs w:val="22"/>
        </w:rPr>
        <w:t xml:space="preserve">, en contra de las respuestas del Sujeto Obligado, </w:t>
      </w:r>
      <w:r w:rsidRPr="007E539E">
        <w:rPr>
          <w:rFonts w:ascii="Palatino Linotype" w:eastAsia="Palatino Linotype" w:hAnsi="Palatino Linotype" w:cs="Palatino Linotype"/>
          <w:b/>
          <w:bCs/>
          <w:sz w:val="22"/>
          <w:szCs w:val="22"/>
        </w:rPr>
        <w:t>Ayuntamiento de Toluca</w:t>
      </w:r>
      <w:r w:rsidRPr="000C1B3F">
        <w:rPr>
          <w:rFonts w:ascii="Palatino Linotype" w:eastAsia="Palatino Linotype" w:hAnsi="Palatino Linotype" w:cs="Palatino Linotype"/>
          <w:bCs/>
          <w:color w:val="000000"/>
          <w:sz w:val="22"/>
          <w:szCs w:val="22"/>
        </w:rPr>
        <w:t>, a las solicitudes de acceso a la información pública 03396/TOLUCA/IP/2025 y 03397/TOLUCA/IP/2025,</w:t>
      </w:r>
      <w:r w:rsidRPr="000C1B3F">
        <w:rPr>
          <w:rFonts w:ascii="Palatino Linotype" w:eastAsia="Palatino Linotype" w:hAnsi="Palatino Linotype" w:cs="Palatino Linotype"/>
          <w:b/>
          <w:color w:val="000000"/>
          <w:sz w:val="22"/>
          <w:szCs w:val="22"/>
        </w:rPr>
        <w:t xml:space="preserve"> </w:t>
      </w:r>
      <w:r w:rsidRPr="000C1B3F">
        <w:rPr>
          <w:rFonts w:ascii="Palatino Linotype" w:eastAsia="Palatino Linotype" w:hAnsi="Palatino Linotype" w:cs="Palatino Linotype"/>
          <w:color w:val="000000"/>
          <w:sz w:val="22"/>
          <w:szCs w:val="22"/>
        </w:rPr>
        <w:t xml:space="preserve">se emite la presente resolución, con base en los antecedentes y considerandos que a continuación se exponen: </w:t>
      </w:r>
    </w:p>
    <w:p w14:paraId="0D76286C" w14:textId="77777777" w:rsidR="006A0905" w:rsidRPr="000C1B3F" w:rsidRDefault="006A0905">
      <w:pPr>
        <w:tabs>
          <w:tab w:val="left" w:pos="2835"/>
        </w:tabs>
        <w:spacing w:line="360" w:lineRule="auto"/>
        <w:jc w:val="both"/>
        <w:rPr>
          <w:rFonts w:ascii="Palatino Linotype" w:eastAsia="Palatino Linotype" w:hAnsi="Palatino Linotype" w:cs="Palatino Linotype"/>
          <w:sz w:val="22"/>
          <w:szCs w:val="22"/>
        </w:rPr>
      </w:pPr>
    </w:p>
    <w:p w14:paraId="08F971C2" w14:textId="77777777" w:rsidR="006A0905" w:rsidRPr="000C1B3F" w:rsidRDefault="00921788">
      <w:pPr>
        <w:pStyle w:val="Ttulo1"/>
        <w:spacing w:before="0" w:line="360" w:lineRule="auto"/>
        <w:jc w:val="center"/>
        <w:rPr>
          <w:rFonts w:ascii="Palatino Linotype" w:eastAsia="Palatino Linotype" w:hAnsi="Palatino Linotype" w:cs="Palatino Linotype"/>
          <w:b/>
          <w:color w:val="000000"/>
          <w:sz w:val="22"/>
          <w:szCs w:val="22"/>
        </w:rPr>
      </w:pPr>
      <w:bookmarkStart w:id="0" w:name="_Toc210916235"/>
      <w:r w:rsidRPr="000C1B3F">
        <w:rPr>
          <w:rFonts w:ascii="Palatino Linotype" w:eastAsia="Palatino Linotype" w:hAnsi="Palatino Linotype" w:cs="Palatino Linotype"/>
          <w:b/>
          <w:color w:val="000000"/>
          <w:sz w:val="22"/>
          <w:szCs w:val="22"/>
        </w:rPr>
        <w:t>A N T E C E D E N T E S</w:t>
      </w:r>
      <w:bookmarkEnd w:id="0"/>
    </w:p>
    <w:p w14:paraId="648DCDA1"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F16957F" w14:textId="77777777" w:rsidR="006A0905" w:rsidRPr="000C1B3F" w:rsidRDefault="00921788">
      <w:pPr>
        <w:pStyle w:val="Ttulo2"/>
        <w:spacing w:before="0" w:after="0" w:line="360" w:lineRule="auto"/>
        <w:rPr>
          <w:rFonts w:ascii="Palatino Linotype" w:eastAsia="Palatino Linotype" w:hAnsi="Palatino Linotype" w:cs="Palatino Linotype"/>
          <w:b w:val="0"/>
          <w:sz w:val="22"/>
          <w:szCs w:val="22"/>
        </w:rPr>
      </w:pPr>
      <w:bookmarkStart w:id="1" w:name="_Toc210916236"/>
      <w:r w:rsidRPr="000C1B3F">
        <w:rPr>
          <w:rFonts w:ascii="Palatino Linotype" w:eastAsia="Palatino Linotype" w:hAnsi="Palatino Linotype" w:cs="Palatino Linotype"/>
          <w:sz w:val="22"/>
          <w:szCs w:val="22"/>
        </w:rPr>
        <w:t>I. Presentación de las solicitudes de información</w:t>
      </w:r>
      <w:bookmarkEnd w:id="1"/>
    </w:p>
    <w:p w14:paraId="1071F438" w14:textId="77777777" w:rsidR="006A0905" w:rsidRPr="000C1B3F" w:rsidRDefault="006A0905">
      <w:pPr>
        <w:tabs>
          <w:tab w:val="left" w:pos="567"/>
        </w:tabs>
        <w:spacing w:line="360" w:lineRule="auto"/>
        <w:jc w:val="both"/>
        <w:rPr>
          <w:rFonts w:ascii="Palatino Linotype" w:eastAsia="Palatino Linotype" w:hAnsi="Palatino Linotype" w:cs="Palatino Linotype"/>
          <w:sz w:val="22"/>
          <w:szCs w:val="22"/>
        </w:rPr>
      </w:pPr>
    </w:p>
    <w:p w14:paraId="7EB2BBF7"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En fecha once de junio de dos mil veinticinco, la persona Solicitante presentó solicitudes de acceso a la información pública, a través del Sistema de Acceso a la Información Mexiquense, en lo sucesivo el SAIMEX, ante el Ayuntamiento de Toluca, mediante las que requirió lo siguiente: </w:t>
      </w:r>
    </w:p>
    <w:p w14:paraId="29E1F8B4"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D0EE289" w14:textId="77777777" w:rsidR="006A0905" w:rsidRPr="000C1B3F" w:rsidRDefault="00921788">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color w:val="000000"/>
        </w:rPr>
      </w:pPr>
      <w:r w:rsidRPr="000C1B3F">
        <w:rPr>
          <w:rFonts w:ascii="Palatino Linotype" w:eastAsia="Palatino Linotype" w:hAnsi="Palatino Linotype" w:cs="Palatino Linotype"/>
          <w:b/>
          <w:color w:val="000000"/>
        </w:rPr>
        <w:t>Número de Folio de la Solicitud: 03396/TOLUCA/IP/2025</w:t>
      </w:r>
    </w:p>
    <w:p w14:paraId="1F15971C" w14:textId="77777777" w:rsidR="006A0905" w:rsidRPr="000C1B3F" w:rsidRDefault="00921788">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0C1B3F">
        <w:rPr>
          <w:rFonts w:ascii="Palatino Linotype" w:eastAsia="Palatino Linotype" w:hAnsi="Palatino Linotype" w:cs="Palatino Linotype"/>
          <w:b/>
        </w:rPr>
        <w:t>DESCRIPCIÓN CLARA Y PRECISA DE LA INFORMACIÓN SOLICITADA:</w:t>
      </w:r>
    </w:p>
    <w:p w14:paraId="1A52D1E2" w14:textId="77777777" w:rsidR="006A0905" w:rsidRPr="000C1B3F" w:rsidRDefault="00921788">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 xml:space="preserve">“Los recibos de </w:t>
      </w:r>
      <w:proofErr w:type="spellStart"/>
      <w:r w:rsidRPr="000C1B3F">
        <w:rPr>
          <w:rFonts w:ascii="Palatino Linotype" w:eastAsia="Palatino Linotype" w:hAnsi="Palatino Linotype" w:cs="Palatino Linotype"/>
          <w:i/>
          <w:color w:val="000000"/>
        </w:rPr>
        <w:t>nomina</w:t>
      </w:r>
      <w:proofErr w:type="spellEnd"/>
      <w:r w:rsidRPr="000C1B3F">
        <w:rPr>
          <w:rFonts w:ascii="Palatino Linotype" w:eastAsia="Palatino Linotype" w:hAnsi="Palatino Linotype" w:cs="Palatino Linotype"/>
          <w:i/>
          <w:color w:val="000000"/>
        </w:rPr>
        <w:t xml:space="preserve"> y credenciales de todos los servidores públicos de la unidad de transparencia de la </w:t>
      </w:r>
      <w:proofErr w:type="spellStart"/>
      <w:r w:rsidRPr="000C1B3F">
        <w:rPr>
          <w:rFonts w:ascii="Palatino Linotype" w:eastAsia="Palatino Linotype" w:hAnsi="Palatino Linotype" w:cs="Palatino Linotype"/>
          <w:i/>
          <w:color w:val="000000"/>
        </w:rPr>
        <w:t>ultima</w:t>
      </w:r>
      <w:proofErr w:type="spellEnd"/>
      <w:r w:rsidRPr="000C1B3F">
        <w:rPr>
          <w:rFonts w:ascii="Palatino Linotype" w:eastAsia="Palatino Linotype" w:hAnsi="Palatino Linotype" w:cs="Palatino Linotype"/>
          <w:i/>
          <w:color w:val="000000"/>
        </w:rPr>
        <w:t xml:space="preserve"> quincena de mayo 2025.”</w:t>
      </w:r>
      <w:r w:rsidRPr="000C1B3F">
        <w:rPr>
          <w:rFonts w:ascii="Palatino Linotype" w:eastAsia="Palatino Linotype" w:hAnsi="Palatino Linotype" w:cs="Palatino Linotype"/>
          <w:b/>
          <w:i/>
          <w:color w:val="000000"/>
        </w:rPr>
        <w:t xml:space="preserve"> </w:t>
      </w:r>
    </w:p>
    <w:p w14:paraId="764A943B" w14:textId="77777777" w:rsidR="006A0905" w:rsidRPr="000C1B3F" w:rsidRDefault="006A0905">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26258010" w14:textId="77777777" w:rsidR="006A0905" w:rsidRPr="000C1B3F" w:rsidRDefault="00921788">
      <w:pPr>
        <w:tabs>
          <w:tab w:val="left" w:pos="567"/>
        </w:tabs>
        <w:spacing w:line="360" w:lineRule="auto"/>
        <w:ind w:left="567" w:right="539"/>
        <w:jc w:val="both"/>
        <w:rPr>
          <w:rFonts w:ascii="Palatino Linotype" w:eastAsia="Palatino Linotype" w:hAnsi="Palatino Linotype" w:cs="Palatino Linotype"/>
          <w:b/>
          <w:color w:val="000000"/>
        </w:rPr>
      </w:pPr>
      <w:r w:rsidRPr="000C1B3F">
        <w:rPr>
          <w:rFonts w:ascii="Palatino Linotype" w:eastAsia="Palatino Linotype" w:hAnsi="Palatino Linotype" w:cs="Palatino Linotype"/>
          <w:b/>
          <w:color w:val="000000"/>
        </w:rPr>
        <w:lastRenderedPageBreak/>
        <w:t>Número de Folio de la Solicitud: 03397/TOLUCA/IP/2025</w:t>
      </w:r>
    </w:p>
    <w:p w14:paraId="07AEBD8F" w14:textId="77777777" w:rsidR="006A0905" w:rsidRPr="000C1B3F" w:rsidRDefault="00921788">
      <w:pPr>
        <w:tabs>
          <w:tab w:val="left" w:pos="567"/>
        </w:tabs>
        <w:spacing w:line="360" w:lineRule="auto"/>
        <w:ind w:left="567" w:right="539"/>
        <w:jc w:val="both"/>
        <w:rPr>
          <w:rFonts w:ascii="Palatino Linotype" w:eastAsia="Palatino Linotype" w:hAnsi="Palatino Linotype" w:cs="Palatino Linotype"/>
          <w:b/>
        </w:rPr>
      </w:pPr>
      <w:r w:rsidRPr="000C1B3F">
        <w:rPr>
          <w:rFonts w:ascii="Palatino Linotype" w:eastAsia="Palatino Linotype" w:hAnsi="Palatino Linotype" w:cs="Palatino Linotype"/>
          <w:b/>
        </w:rPr>
        <w:t>DESCRIPCIÓN CLARA Y PRECISA DE LA INFORMACIÓN SOLICITADA:</w:t>
      </w:r>
    </w:p>
    <w:p w14:paraId="55AABEF6" w14:textId="77777777" w:rsidR="006A0905" w:rsidRPr="000C1B3F" w:rsidRDefault="00921788">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 xml:space="preserve">“Los recibos de </w:t>
      </w:r>
      <w:proofErr w:type="spellStart"/>
      <w:r w:rsidRPr="000C1B3F">
        <w:rPr>
          <w:rFonts w:ascii="Palatino Linotype" w:eastAsia="Palatino Linotype" w:hAnsi="Palatino Linotype" w:cs="Palatino Linotype"/>
          <w:i/>
          <w:color w:val="000000"/>
        </w:rPr>
        <w:t>nomina</w:t>
      </w:r>
      <w:proofErr w:type="spellEnd"/>
      <w:r w:rsidRPr="000C1B3F">
        <w:rPr>
          <w:rFonts w:ascii="Palatino Linotype" w:eastAsia="Palatino Linotype" w:hAnsi="Palatino Linotype" w:cs="Palatino Linotype"/>
          <w:i/>
          <w:color w:val="000000"/>
        </w:rPr>
        <w:t xml:space="preserve"> y credenciales de todos los servidores públicos de la contraloría de la </w:t>
      </w:r>
      <w:proofErr w:type="spellStart"/>
      <w:r w:rsidRPr="000C1B3F">
        <w:rPr>
          <w:rFonts w:ascii="Palatino Linotype" w:eastAsia="Palatino Linotype" w:hAnsi="Palatino Linotype" w:cs="Palatino Linotype"/>
          <w:i/>
          <w:color w:val="000000"/>
        </w:rPr>
        <w:t>ultima</w:t>
      </w:r>
      <w:proofErr w:type="spellEnd"/>
      <w:r w:rsidRPr="000C1B3F">
        <w:rPr>
          <w:rFonts w:ascii="Palatino Linotype" w:eastAsia="Palatino Linotype" w:hAnsi="Palatino Linotype" w:cs="Palatino Linotype"/>
          <w:i/>
          <w:color w:val="000000"/>
        </w:rPr>
        <w:t xml:space="preserve"> quincena de mayo 2025.” (Sic.) </w:t>
      </w:r>
    </w:p>
    <w:p w14:paraId="126CBD0F"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709DAC2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todas solicitudes de información, la persona Solicitante, señaló como modalidad de entrega </w:t>
      </w:r>
      <w:r w:rsidRPr="000C1B3F">
        <w:rPr>
          <w:rFonts w:ascii="Palatino Linotype" w:eastAsia="Palatino Linotype" w:hAnsi="Palatino Linotype" w:cs="Palatino Linotype"/>
          <w:i/>
          <w:color w:val="000000"/>
          <w:sz w:val="22"/>
          <w:szCs w:val="22"/>
        </w:rPr>
        <w:t>“A través del SAIMEX”</w:t>
      </w:r>
    </w:p>
    <w:p w14:paraId="6BE368B4" w14:textId="77777777" w:rsidR="006A0905" w:rsidRPr="000C1B3F" w:rsidRDefault="006A0905">
      <w:pPr>
        <w:pStyle w:val="Ttulo2"/>
        <w:spacing w:before="0" w:after="0" w:line="360" w:lineRule="auto"/>
        <w:rPr>
          <w:rFonts w:ascii="Palatino Linotype" w:eastAsia="Palatino Linotype" w:hAnsi="Palatino Linotype" w:cs="Palatino Linotype"/>
          <w:color w:val="000000"/>
          <w:sz w:val="22"/>
          <w:szCs w:val="22"/>
        </w:rPr>
      </w:pPr>
    </w:p>
    <w:p w14:paraId="0E34B54F" w14:textId="77777777" w:rsidR="006A0905" w:rsidRPr="000C1B3F" w:rsidRDefault="00921788">
      <w:pPr>
        <w:pStyle w:val="Ttulo2"/>
        <w:spacing w:before="0" w:after="0" w:line="360" w:lineRule="auto"/>
        <w:rPr>
          <w:rFonts w:ascii="Palatino Linotype" w:eastAsia="Palatino Linotype" w:hAnsi="Palatino Linotype" w:cs="Palatino Linotype"/>
          <w:b w:val="0"/>
          <w:color w:val="000000"/>
          <w:sz w:val="22"/>
          <w:szCs w:val="22"/>
        </w:rPr>
      </w:pPr>
      <w:bookmarkStart w:id="2" w:name="_Toc210916237"/>
      <w:r w:rsidRPr="000C1B3F">
        <w:rPr>
          <w:rFonts w:ascii="Palatino Linotype" w:eastAsia="Palatino Linotype" w:hAnsi="Palatino Linotype" w:cs="Palatino Linotype"/>
          <w:color w:val="000000"/>
          <w:sz w:val="22"/>
          <w:szCs w:val="22"/>
        </w:rPr>
        <w:t>II. Respuestas del Sujeto Obligado</w:t>
      </w:r>
      <w:bookmarkEnd w:id="2"/>
    </w:p>
    <w:p w14:paraId="171C4B2E" w14:textId="77777777" w:rsidR="006A0905" w:rsidRPr="000C1B3F" w:rsidRDefault="006A0905">
      <w:pPr>
        <w:tabs>
          <w:tab w:val="left" w:pos="567"/>
        </w:tabs>
        <w:spacing w:line="360" w:lineRule="auto"/>
        <w:jc w:val="both"/>
        <w:rPr>
          <w:rFonts w:ascii="Palatino Linotype" w:eastAsia="Palatino Linotype" w:hAnsi="Palatino Linotype" w:cs="Palatino Linotype"/>
          <w:sz w:val="22"/>
          <w:szCs w:val="22"/>
        </w:rPr>
      </w:pPr>
    </w:p>
    <w:p w14:paraId="337CCF05" w14:textId="77777777" w:rsidR="006A0905" w:rsidRPr="000C1B3F" w:rsidRDefault="00921788">
      <w:pPr>
        <w:tabs>
          <w:tab w:val="left" w:pos="567"/>
        </w:tabs>
        <w:spacing w:line="360" w:lineRule="auto"/>
        <w:jc w:val="both"/>
        <w:rPr>
          <w:rFonts w:ascii="Palatino Linotype" w:eastAsia="Palatino Linotype" w:hAnsi="Palatino Linotype" w:cs="Palatino Linotype"/>
          <w:color w:val="000000"/>
          <w:sz w:val="22"/>
          <w:szCs w:val="22"/>
        </w:rPr>
      </w:pPr>
      <w:bookmarkStart w:id="3" w:name="_heading=h.2s8eyo1" w:colFirst="0" w:colLast="0"/>
      <w:bookmarkEnd w:id="3"/>
      <w:r w:rsidRPr="000C1B3F">
        <w:rPr>
          <w:rFonts w:ascii="Palatino Linotype" w:eastAsia="Palatino Linotype" w:hAnsi="Palatino Linotype" w:cs="Palatino Linotype"/>
          <w:sz w:val="22"/>
          <w:szCs w:val="22"/>
        </w:rPr>
        <w:t>En fecha dos de julio de dos mil veinticinco, el Sujeto Obligado notificó las respuestas a las solicitudes de acceso a la información, a través del SAIMEX, en los siguientes términos:</w:t>
      </w:r>
    </w:p>
    <w:p w14:paraId="561ECC34" w14:textId="77777777" w:rsidR="006A0905" w:rsidRPr="000C1B3F" w:rsidRDefault="006A0905">
      <w:pPr>
        <w:tabs>
          <w:tab w:val="left" w:pos="567"/>
        </w:tabs>
        <w:spacing w:line="360" w:lineRule="auto"/>
        <w:jc w:val="both"/>
        <w:rPr>
          <w:rFonts w:ascii="Palatino Linotype" w:eastAsia="Palatino Linotype" w:hAnsi="Palatino Linotype" w:cs="Palatino Linotype"/>
          <w:color w:val="000000"/>
          <w:sz w:val="22"/>
          <w:szCs w:val="22"/>
        </w:rPr>
      </w:pPr>
    </w:p>
    <w:p w14:paraId="768CDB7A" w14:textId="77777777" w:rsidR="006A0905" w:rsidRPr="000C1B3F" w:rsidRDefault="00921788">
      <w:pPr>
        <w:tabs>
          <w:tab w:val="left" w:pos="567"/>
        </w:tabs>
        <w:spacing w:line="360" w:lineRule="auto"/>
        <w:ind w:right="539"/>
        <w:jc w:val="both"/>
        <w:rPr>
          <w:rFonts w:ascii="Palatino Linotype" w:eastAsia="Palatino Linotype" w:hAnsi="Palatino Linotype" w:cs="Palatino Linotype"/>
          <w:b/>
          <w:color w:val="000000"/>
          <w:sz w:val="22"/>
          <w:szCs w:val="22"/>
          <w:u w:val="single"/>
        </w:rPr>
      </w:pPr>
      <w:r w:rsidRPr="000C1B3F">
        <w:rPr>
          <w:rFonts w:ascii="Palatino Linotype" w:eastAsia="Palatino Linotype" w:hAnsi="Palatino Linotype" w:cs="Palatino Linotype"/>
          <w:b/>
          <w:color w:val="000000"/>
          <w:sz w:val="22"/>
          <w:szCs w:val="22"/>
          <w:u w:val="single"/>
        </w:rPr>
        <w:t>Número de Folio de la Solicitud: 03396/TOLUCA/IP/2025</w:t>
      </w:r>
    </w:p>
    <w:p w14:paraId="47638AD4" w14:textId="77777777" w:rsidR="000136B4" w:rsidRPr="000C1B3F" w:rsidRDefault="000136B4">
      <w:pPr>
        <w:tabs>
          <w:tab w:val="left" w:pos="567"/>
        </w:tabs>
        <w:spacing w:line="360" w:lineRule="auto"/>
        <w:ind w:right="539"/>
        <w:jc w:val="both"/>
        <w:rPr>
          <w:rFonts w:ascii="Palatino Linotype" w:eastAsia="Palatino Linotype" w:hAnsi="Palatino Linotype" w:cs="Palatino Linotype"/>
          <w:b/>
          <w:color w:val="000000"/>
          <w:sz w:val="22"/>
          <w:szCs w:val="22"/>
          <w:u w:val="single"/>
        </w:rPr>
      </w:pPr>
    </w:p>
    <w:p w14:paraId="14CCC970" w14:textId="77777777" w:rsidR="006A0905" w:rsidRPr="000C1B3F" w:rsidRDefault="00921788">
      <w:pPr>
        <w:tabs>
          <w:tab w:val="left" w:pos="567"/>
        </w:tabs>
        <w:spacing w:line="360" w:lineRule="auto"/>
        <w:ind w:right="539"/>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Sujeto Obligado remitió los siguientes documentos:</w:t>
      </w:r>
    </w:p>
    <w:p w14:paraId="56DE9379" w14:textId="77777777" w:rsidR="000136B4" w:rsidRPr="000C1B3F" w:rsidRDefault="000136B4">
      <w:pPr>
        <w:tabs>
          <w:tab w:val="left" w:pos="567"/>
        </w:tabs>
        <w:spacing w:line="360" w:lineRule="auto"/>
        <w:ind w:right="539"/>
        <w:jc w:val="both"/>
        <w:rPr>
          <w:rFonts w:ascii="Palatino Linotype" w:eastAsia="Palatino Linotype" w:hAnsi="Palatino Linotype" w:cs="Palatino Linotype"/>
          <w:color w:val="000000"/>
          <w:sz w:val="22"/>
          <w:szCs w:val="22"/>
        </w:rPr>
      </w:pPr>
    </w:p>
    <w:p w14:paraId="0F5899BE" w14:textId="77777777" w:rsidR="006A0905" w:rsidRPr="000C1B3F" w:rsidRDefault="00921788">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b/>
          <w:i/>
          <w:color w:val="000000"/>
          <w:sz w:val="22"/>
          <w:szCs w:val="22"/>
        </w:rPr>
        <w:t xml:space="preserve">NOTIF. </w:t>
      </w:r>
      <w:proofErr w:type="spellStart"/>
      <w:r w:rsidRPr="000C1B3F">
        <w:rPr>
          <w:rFonts w:ascii="Palatino Linotype" w:eastAsia="Palatino Linotype" w:hAnsi="Palatino Linotype" w:cs="Palatino Linotype"/>
          <w:b/>
          <w:i/>
          <w:color w:val="000000"/>
          <w:sz w:val="22"/>
          <w:szCs w:val="22"/>
        </w:rPr>
        <w:t>CIUDADANo</w:t>
      </w:r>
      <w:proofErr w:type="spellEnd"/>
      <w:r w:rsidRPr="000C1B3F">
        <w:rPr>
          <w:rFonts w:ascii="Palatino Linotype" w:eastAsia="Palatino Linotype" w:hAnsi="Palatino Linotype" w:cs="Palatino Linotype"/>
          <w:b/>
          <w:i/>
          <w:color w:val="000000"/>
          <w:sz w:val="22"/>
          <w:szCs w:val="22"/>
        </w:rPr>
        <w:t xml:space="preserve"> S. 3396.pdf; </w:t>
      </w:r>
      <w:r w:rsidRPr="000C1B3F">
        <w:rPr>
          <w:rFonts w:ascii="Palatino Linotype" w:eastAsia="Palatino Linotype" w:hAnsi="Palatino Linotype" w:cs="Palatino Linotype"/>
          <w:color w:val="000000"/>
          <w:sz w:val="22"/>
          <w:szCs w:val="22"/>
        </w:rPr>
        <w:t>del que se desprenden los siguientes:</w:t>
      </w:r>
    </w:p>
    <w:p w14:paraId="550ECF83" w14:textId="77777777" w:rsidR="006A0905" w:rsidRPr="000C1B3F" w:rsidRDefault="00921788">
      <w:pPr>
        <w:numPr>
          <w:ilvl w:val="1"/>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color w:val="000000"/>
          <w:sz w:val="22"/>
          <w:szCs w:val="22"/>
        </w:rPr>
        <w:t>Oficio suscrito por la Directora General de Administración en el que remitió la respuesta de la Dirección de Recursos Humanos.</w:t>
      </w:r>
    </w:p>
    <w:p w14:paraId="343BA4FD" w14:textId="77777777" w:rsidR="006A0905" w:rsidRPr="000C1B3F" w:rsidRDefault="00921788">
      <w:pPr>
        <w:numPr>
          <w:ilvl w:val="1"/>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color w:val="000000"/>
          <w:sz w:val="22"/>
          <w:szCs w:val="22"/>
        </w:rPr>
        <w:t>Oficio suscrito por la Directora de Recursos Humanos, en el que informó lo siguiente:</w:t>
      </w:r>
    </w:p>
    <w:p w14:paraId="6F3553ED" w14:textId="77777777" w:rsidR="006A0905" w:rsidRPr="000C1B3F" w:rsidRDefault="006A0905">
      <w:pPr>
        <w:pBdr>
          <w:top w:val="nil"/>
          <w:left w:val="nil"/>
          <w:bottom w:val="nil"/>
          <w:right w:val="nil"/>
          <w:between w:val="nil"/>
        </w:pBdr>
        <w:tabs>
          <w:tab w:val="left" w:pos="567"/>
        </w:tabs>
        <w:spacing w:line="360" w:lineRule="auto"/>
        <w:ind w:left="1440"/>
        <w:jc w:val="both"/>
        <w:rPr>
          <w:rFonts w:ascii="Palatino Linotype" w:eastAsia="Palatino Linotype" w:hAnsi="Palatino Linotype" w:cs="Palatino Linotype"/>
          <w:b/>
          <w:i/>
          <w:color w:val="000000"/>
          <w:sz w:val="22"/>
          <w:szCs w:val="22"/>
        </w:rPr>
      </w:pPr>
    </w:p>
    <w:p w14:paraId="6BE19904" w14:textId="77777777"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“Para dar respuesta a la solicitud, y después del análisis de la información solicitada, le comento que la información la podrá consultar en la página de internet:</w:t>
      </w:r>
    </w:p>
    <w:p w14:paraId="48B81A46" w14:textId="77777777"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noProof/>
        </w:rPr>
        <w:lastRenderedPageBreak/>
        <w:drawing>
          <wp:inline distT="0" distB="0" distL="0" distR="0" wp14:anchorId="1476CEF0" wp14:editId="2CED7CC5">
            <wp:extent cx="4800600" cy="342900"/>
            <wp:effectExtent l="0" t="0" r="0" b="0"/>
            <wp:docPr id="163261685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800600" cy="342900"/>
                    </a:xfrm>
                    <a:prstGeom prst="rect">
                      <a:avLst/>
                    </a:prstGeom>
                    <a:ln/>
                  </pic:spPr>
                </pic:pic>
              </a:graphicData>
            </a:graphic>
          </wp:inline>
        </w:drawing>
      </w:r>
    </w:p>
    <w:p w14:paraId="59D4D7F4" w14:textId="77777777"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En cuanto a las credenciales de servidor público, no se envían debido a que se está llevando a cabo el trámite de credencialización por lo que aún no se hace entrega de ellas.”</w:t>
      </w:r>
    </w:p>
    <w:p w14:paraId="20182350" w14:textId="77777777" w:rsidR="000136B4" w:rsidRPr="000C1B3F" w:rsidRDefault="000136B4">
      <w:pPr>
        <w:tabs>
          <w:tab w:val="left" w:pos="567"/>
        </w:tabs>
        <w:spacing w:line="360" w:lineRule="auto"/>
        <w:jc w:val="both"/>
        <w:rPr>
          <w:rFonts w:ascii="Palatino Linotype" w:eastAsia="Palatino Linotype" w:hAnsi="Palatino Linotype" w:cs="Palatino Linotype"/>
          <w:i/>
          <w:color w:val="000000"/>
        </w:rPr>
      </w:pPr>
    </w:p>
    <w:p w14:paraId="556D9464" w14:textId="77777777" w:rsidR="006A0905" w:rsidRPr="000C1B3F" w:rsidRDefault="00921788">
      <w:pPr>
        <w:shd w:val="clear" w:color="auto" w:fill="FFFFFF"/>
        <w:tabs>
          <w:tab w:val="left" w:pos="567"/>
        </w:tabs>
        <w:spacing w:line="360" w:lineRule="auto"/>
        <w:ind w:right="539"/>
        <w:jc w:val="both"/>
        <w:rPr>
          <w:rFonts w:ascii="Palatino Linotype" w:eastAsia="Palatino Linotype" w:hAnsi="Palatino Linotype" w:cs="Palatino Linotype"/>
          <w:b/>
          <w:color w:val="000000"/>
          <w:sz w:val="22"/>
          <w:szCs w:val="22"/>
          <w:u w:val="single"/>
        </w:rPr>
      </w:pPr>
      <w:r w:rsidRPr="000C1B3F">
        <w:rPr>
          <w:rFonts w:ascii="Palatino Linotype" w:eastAsia="Palatino Linotype" w:hAnsi="Palatino Linotype" w:cs="Palatino Linotype"/>
          <w:b/>
          <w:color w:val="000000"/>
          <w:sz w:val="22"/>
          <w:szCs w:val="22"/>
          <w:u w:val="single"/>
        </w:rPr>
        <w:t>Número de Folio de la Solicitud: 03397/TOLUCA/IP/2025</w:t>
      </w:r>
    </w:p>
    <w:p w14:paraId="67E2979E" w14:textId="77777777" w:rsidR="006A0905" w:rsidRPr="000C1B3F" w:rsidRDefault="006A0905">
      <w:pPr>
        <w:tabs>
          <w:tab w:val="left" w:pos="567"/>
        </w:tabs>
        <w:spacing w:line="360" w:lineRule="auto"/>
        <w:ind w:right="539"/>
        <w:jc w:val="both"/>
        <w:rPr>
          <w:rFonts w:ascii="Palatino Linotype" w:eastAsia="Palatino Linotype" w:hAnsi="Palatino Linotype" w:cs="Palatino Linotype"/>
          <w:color w:val="000000"/>
          <w:sz w:val="22"/>
          <w:szCs w:val="22"/>
        </w:rPr>
      </w:pPr>
    </w:p>
    <w:p w14:paraId="7ADF79B0" w14:textId="77777777" w:rsidR="006A0905" w:rsidRPr="000C1B3F" w:rsidRDefault="00921788">
      <w:pPr>
        <w:tabs>
          <w:tab w:val="left" w:pos="567"/>
        </w:tabs>
        <w:spacing w:line="360" w:lineRule="auto"/>
        <w:ind w:right="539"/>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Sujeto Obligado remitió los siguientes documentos:</w:t>
      </w:r>
    </w:p>
    <w:p w14:paraId="3EB08E8E" w14:textId="77777777" w:rsidR="000136B4" w:rsidRPr="000C1B3F" w:rsidRDefault="000136B4">
      <w:pPr>
        <w:tabs>
          <w:tab w:val="left" w:pos="567"/>
        </w:tabs>
        <w:spacing w:line="360" w:lineRule="auto"/>
        <w:ind w:right="539"/>
        <w:jc w:val="both"/>
        <w:rPr>
          <w:rFonts w:ascii="Palatino Linotype" w:eastAsia="Palatino Linotype" w:hAnsi="Palatino Linotype" w:cs="Palatino Linotype"/>
          <w:color w:val="000000"/>
          <w:sz w:val="22"/>
          <w:szCs w:val="22"/>
        </w:rPr>
      </w:pPr>
    </w:p>
    <w:p w14:paraId="6A4C475A" w14:textId="77777777" w:rsidR="006A0905" w:rsidRPr="000C1B3F" w:rsidRDefault="00921788">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b/>
          <w:i/>
          <w:color w:val="000000"/>
          <w:sz w:val="22"/>
          <w:szCs w:val="22"/>
        </w:rPr>
        <w:t xml:space="preserve">NOTIF. </w:t>
      </w:r>
      <w:proofErr w:type="spellStart"/>
      <w:r w:rsidRPr="000C1B3F">
        <w:rPr>
          <w:rFonts w:ascii="Palatino Linotype" w:eastAsia="Palatino Linotype" w:hAnsi="Palatino Linotype" w:cs="Palatino Linotype"/>
          <w:b/>
          <w:i/>
          <w:color w:val="000000"/>
          <w:sz w:val="22"/>
          <w:szCs w:val="22"/>
        </w:rPr>
        <w:t>CIUDADANo</w:t>
      </w:r>
      <w:proofErr w:type="spellEnd"/>
      <w:r w:rsidRPr="000C1B3F">
        <w:rPr>
          <w:rFonts w:ascii="Palatino Linotype" w:eastAsia="Palatino Linotype" w:hAnsi="Palatino Linotype" w:cs="Palatino Linotype"/>
          <w:b/>
          <w:i/>
          <w:color w:val="000000"/>
          <w:sz w:val="22"/>
          <w:szCs w:val="22"/>
        </w:rPr>
        <w:t xml:space="preserve"> S. 3397.pdf;</w:t>
      </w:r>
      <w:r w:rsidRPr="000C1B3F">
        <w:rPr>
          <w:rFonts w:ascii="Palatino Linotype" w:eastAsia="Palatino Linotype" w:hAnsi="Palatino Linotype" w:cs="Palatino Linotype"/>
          <w:color w:val="000000"/>
          <w:sz w:val="22"/>
          <w:szCs w:val="22"/>
        </w:rPr>
        <w:t xml:space="preserve"> del que se desprenden los siguientes:</w:t>
      </w:r>
    </w:p>
    <w:p w14:paraId="0B5A2FA0" w14:textId="77777777" w:rsidR="006A0905" w:rsidRPr="000C1B3F" w:rsidRDefault="00921788">
      <w:pPr>
        <w:numPr>
          <w:ilvl w:val="1"/>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color w:val="000000"/>
          <w:sz w:val="22"/>
          <w:szCs w:val="22"/>
        </w:rPr>
        <w:t>Oficio suscrito por la Directora General de Administración en el que remitió la respuesta de la Dirección de Recursos Humanos.</w:t>
      </w:r>
    </w:p>
    <w:p w14:paraId="1DE1BE21" w14:textId="77777777" w:rsidR="006A0905" w:rsidRPr="000C1B3F" w:rsidRDefault="00921788">
      <w:pPr>
        <w:numPr>
          <w:ilvl w:val="1"/>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r w:rsidRPr="000C1B3F">
        <w:rPr>
          <w:rFonts w:ascii="Palatino Linotype" w:eastAsia="Palatino Linotype" w:hAnsi="Palatino Linotype" w:cs="Palatino Linotype"/>
          <w:color w:val="000000"/>
          <w:sz w:val="22"/>
          <w:szCs w:val="22"/>
        </w:rPr>
        <w:t>Oficio suscrito por la Directora de Recursos Humanos, en el que informó lo siguiente:</w:t>
      </w:r>
    </w:p>
    <w:p w14:paraId="0B76FB6B" w14:textId="77777777" w:rsidR="000136B4" w:rsidRPr="000C1B3F" w:rsidRDefault="000136B4">
      <w:pPr>
        <w:tabs>
          <w:tab w:val="left" w:pos="567"/>
        </w:tabs>
        <w:spacing w:line="360" w:lineRule="auto"/>
        <w:jc w:val="both"/>
        <w:rPr>
          <w:rFonts w:ascii="Palatino Linotype" w:eastAsia="Palatino Linotype" w:hAnsi="Palatino Linotype" w:cs="Palatino Linotype"/>
          <w:i/>
          <w:color w:val="000000"/>
        </w:rPr>
      </w:pPr>
    </w:p>
    <w:p w14:paraId="7847C9E2" w14:textId="1659BB66"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“Para dar respuesta a la solicitud, y después del análisis de la información solicitada, le comento que la información la podrá consultar en la página de internet:</w:t>
      </w:r>
    </w:p>
    <w:p w14:paraId="7518D165" w14:textId="77777777"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noProof/>
        </w:rPr>
        <w:drawing>
          <wp:inline distT="0" distB="0" distL="0" distR="0" wp14:anchorId="2DD85228" wp14:editId="5ED49209">
            <wp:extent cx="4781550" cy="257175"/>
            <wp:effectExtent l="0" t="0" r="0" b="0"/>
            <wp:docPr id="16326168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781550" cy="257175"/>
                    </a:xfrm>
                    <a:prstGeom prst="rect">
                      <a:avLst/>
                    </a:prstGeom>
                    <a:ln/>
                  </pic:spPr>
                </pic:pic>
              </a:graphicData>
            </a:graphic>
          </wp:inline>
        </w:drawing>
      </w:r>
    </w:p>
    <w:p w14:paraId="5425F7EA" w14:textId="77777777" w:rsidR="006A0905" w:rsidRPr="000C1B3F" w:rsidRDefault="00921788">
      <w:pPr>
        <w:tabs>
          <w:tab w:val="left" w:pos="567"/>
        </w:tabs>
        <w:spacing w:line="360" w:lineRule="auto"/>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En cuanto a las credenciales de servidor público, no se envían debido a que se está llevando a cabo el trámite de credencialización por lo que aún no se hace entrega de ellas.”</w:t>
      </w:r>
    </w:p>
    <w:p w14:paraId="4FA4BF52" w14:textId="77777777" w:rsidR="006A0905" w:rsidRPr="000C1B3F" w:rsidRDefault="006A0905">
      <w:pPr>
        <w:pStyle w:val="Ttulo2"/>
        <w:spacing w:before="0" w:after="0" w:line="360" w:lineRule="auto"/>
        <w:rPr>
          <w:rFonts w:ascii="Palatino Linotype" w:eastAsia="Palatino Linotype" w:hAnsi="Palatino Linotype" w:cs="Palatino Linotype"/>
          <w:color w:val="000000"/>
          <w:sz w:val="22"/>
          <w:szCs w:val="22"/>
        </w:rPr>
      </w:pPr>
    </w:p>
    <w:p w14:paraId="7E4C9B88" w14:textId="77777777" w:rsidR="006A0905" w:rsidRPr="000C1B3F" w:rsidRDefault="00921788">
      <w:pPr>
        <w:pStyle w:val="Ttulo2"/>
        <w:spacing w:before="0" w:after="0" w:line="360" w:lineRule="auto"/>
        <w:rPr>
          <w:rFonts w:ascii="Palatino Linotype" w:eastAsia="Palatino Linotype" w:hAnsi="Palatino Linotype" w:cs="Palatino Linotype"/>
          <w:b w:val="0"/>
          <w:color w:val="000000"/>
          <w:sz w:val="22"/>
          <w:szCs w:val="22"/>
        </w:rPr>
      </w:pPr>
      <w:bookmarkStart w:id="4" w:name="_Toc210916238"/>
      <w:r w:rsidRPr="000C1B3F">
        <w:rPr>
          <w:rFonts w:ascii="Palatino Linotype" w:eastAsia="Palatino Linotype" w:hAnsi="Palatino Linotype" w:cs="Palatino Linotype"/>
          <w:color w:val="000000"/>
          <w:sz w:val="22"/>
          <w:szCs w:val="22"/>
        </w:rPr>
        <w:t>II. Interposición del Recurso de Revisión</w:t>
      </w:r>
      <w:bookmarkEnd w:id="4"/>
    </w:p>
    <w:p w14:paraId="5BF79C14"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452B85DB"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En fecha seis de agosto de dos mil veinticinco, se recibieron en este Instituto, a través del SAIMEX, los Recursos de Revisión interpuestos por la persona Recurrente, ante el Sujeto Obligado, en todos los casos, se argumentó la inconformidad en los mismos términos, a saber:</w:t>
      </w:r>
    </w:p>
    <w:p w14:paraId="31BAED30" w14:textId="77777777" w:rsidR="006A0905" w:rsidRPr="000C1B3F" w:rsidRDefault="006A0905">
      <w:pPr>
        <w:spacing w:line="360" w:lineRule="auto"/>
        <w:jc w:val="both"/>
        <w:rPr>
          <w:rFonts w:ascii="Palatino Linotype" w:eastAsia="Palatino Linotype" w:hAnsi="Palatino Linotype" w:cs="Palatino Linotype"/>
          <w:sz w:val="22"/>
          <w:szCs w:val="22"/>
        </w:rPr>
      </w:pPr>
    </w:p>
    <w:tbl>
      <w:tblPr>
        <w:tblStyle w:val="a2"/>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976"/>
        <w:gridCol w:w="3369"/>
      </w:tblGrid>
      <w:tr w:rsidR="006A0905" w:rsidRPr="000C1B3F" w14:paraId="1F9C4D36" w14:textId="77777777">
        <w:tc>
          <w:tcPr>
            <w:tcW w:w="2689" w:type="dxa"/>
            <w:shd w:val="clear" w:color="auto" w:fill="CCCCFF"/>
            <w:vAlign w:val="center"/>
          </w:tcPr>
          <w:p w14:paraId="6B2A20FA" w14:textId="77777777" w:rsidR="006A0905" w:rsidRPr="000C1B3F" w:rsidRDefault="00921788">
            <w:pPr>
              <w:spacing w:line="360" w:lineRule="auto"/>
              <w:jc w:val="center"/>
              <w:rPr>
                <w:rFonts w:ascii="Palatino Linotype" w:eastAsia="Palatino Linotype" w:hAnsi="Palatino Linotype" w:cs="Palatino Linotype"/>
                <w:b/>
              </w:rPr>
            </w:pPr>
            <w:r w:rsidRPr="000C1B3F">
              <w:rPr>
                <w:rFonts w:ascii="Palatino Linotype" w:eastAsia="Palatino Linotype" w:hAnsi="Palatino Linotype" w:cs="Palatino Linotype"/>
                <w:b/>
              </w:rPr>
              <w:t>RECURSO DE REVISIÓN</w:t>
            </w:r>
          </w:p>
          <w:p w14:paraId="4A400F28" w14:textId="77777777" w:rsidR="006A0905" w:rsidRPr="000C1B3F" w:rsidRDefault="00921788">
            <w:pPr>
              <w:spacing w:line="360" w:lineRule="auto"/>
              <w:jc w:val="center"/>
              <w:rPr>
                <w:rFonts w:ascii="Palatino Linotype" w:eastAsia="Palatino Linotype" w:hAnsi="Palatino Linotype" w:cs="Palatino Linotype"/>
                <w:b/>
              </w:rPr>
            </w:pPr>
            <w:r w:rsidRPr="000C1B3F">
              <w:rPr>
                <w:rFonts w:ascii="Palatino Linotype" w:eastAsia="Palatino Linotype" w:hAnsi="Palatino Linotype" w:cs="Palatino Linotype"/>
                <w:b/>
              </w:rPr>
              <w:t>SOLICITUD</w:t>
            </w:r>
          </w:p>
        </w:tc>
        <w:tc>
          <w:tcPr>
            <w:tcW w:w="2976" w:type="dxa"/>
            <w:shd w:val="clear" w:color="auto" w:fill="CCCCFF"/>
            <w:vAlign w:val="center"/>
          </w:tcPr>
          <w:p w14:paraId="16924095" w14:textId="77777777" w:rsidR="006A0905" w:rsidRPr="000C1B3F" w:rsidRDefault="00921788">
            <w:pPr>
              <w:pBdr>
                <w:top w:val="nil"/>
                <w:left w:val="nil"/>
                <w:bottom w:val="nil"/>
                <w:right w:val="nil"/>
                <w:between w:val="nil"/>
              </w:pBdr>
              <w:tabs>
                <w:tab w:val="left" w:pos="567"/>
              </w:tabs>
              <w:spacing w:line="360" w:lineRule="auto"/>
              <w:ind w:right="-177"/>
              <w:jc w:val="center"/>
              <w:rPr>
                <w:rFonts w:ascii="Palatino Linotype" w:eastAsia="Palatino Linotype" w:hAnsi="Palatino Linotype" w:cs="Palatino Linotype"/>
                <w:b/>
              </w:rPr>
            </w:pPr>
            <w:r w:rsidRPr="000C1B3F">
              <w:rPr>
                <w:rFonts w:ascii="Palatino Linotype" w:eastAsia="Palatino Linotype" w:hAnsi="Palatino Linotype" w:cs="Palatino Linotype"/>
                <w:b/>
              </w:rPr>
              <w:t>ACTO IMPUGNADO</w:t>
            </w:r>
          </w:p>
        </w:tc>
        <w:tc>
          <w:tcPr>
            <w:tcW w:w="3369" w:type="dxa"/>
            <w:shd w:val="clear" w:color="auto" w:fill="CCCCFF"/>
            <w:vAlign w:val="center"/>
          </w:tcPr>
          <w:p w14:paraId="03C45FCF" w14:textId="77777777" w:rsidR="006A0905" w:rsidRPr="000C1B3F" w:rsidRDefault="00921788">
            <w:pPr>
              <w:spacing w:line="360" w:lineRule="auto"/>
              <w:jc w:val="center"/>
              <w:rPr>
                <w:rFonts w:ascii="Palatino Linotype" w:eastAsia="Palatino Linotype" w:hAnsi="Palatino Linotype" w:cs="Palatino Linotype"/>
                <w:b/>
              </w:rPr>
            </w:pPr>
            <w:r w:rsidRPr="000C1B3F">
              <w:rPr>
                <w:rFonts w:ascii="Palatino Linotype" w:eastAsia="Palatino Linotype" w:hAnsi="Palatino Linotype" w:cs="Palatino Linotype"/>
                <w:b/>
              </w:rPr>
              <w:t>RAZONES O MOTIVOS DE LA INCONFORMIDAD</w:t>
            </w:r>
          </w:p>
        </w:tc>
      </w:tr>
      <w:tr w:rsidR="006A0905" w:rsidRPr="000C1B3F" w14:paraId="106A1049" w14:textId="77777777">
        <w:tc>
          <w:tcPr>
            <w:tcW w:w="2689" w:type="dxa"/>
          </w:tcPr>
          <w:p w14:paraId="4A4ACF42"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09216/INFOEM/IP/RR/2025</w:t>
            </w:r>
          </w:p>
          <w:p w14:paraId="32FDEB1F" w14:textId="77777777" w:rsidR="006A0905" w:rsidRPr="000C1B3F" w:rsidRDefault="006A0905">
            <w:pPr>
              <w:spacing w:line="360" w:lineRule="auto"/>
              <w:jc w:val="both"/>
              <w:rPr>
                <w:rFonts w:ascii="Palatino Linotype" w:eastAsia="Palatino Linotype" w:hAnsi="Palatino Linotype" w:cs="Palatino Linotype"/>
                <w:b/>
              </w:rPr>
            </w:pPr>
          </w:p>
          <w:p w14:paraId="5231DD6D"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03396/TOLUCA/IP/2025</w:t>
            </w:r>
          </w:p>
        </w:tc>
        <w:tc>
          <w:tcPr>
            <w:tcW w:w="2976" w:type="dxa"/>
          </w:tcPr>
          <w:p w14:paraId="5E087E48" w14:textId="77777777" w:rsidR="006A0905" w:rsidRPr="000C1B3F" w:rsidRDefault="00921788">
            <w:pPr>
              <w:spacing w:line="360" w:lineRule="auto"/>
              <w:jc w:val="both"/>
              <w:rPr>
                <w:rFonts w:ascii="Palatino Linotype" w:eastAsia="Palatino Linotype" w:hAnsi="Palatino Linotype" w:cs="Palatino Linotype"/>
                <w:i/>
              </w:rPr>
            </w:pPr>
            <w:r w:rsidRPr="000C1B3F">
              <w:rPr>
                <w:rFonts w:ascii="Palatino Linotype" w:eastAsia="Palatino Linotype" w:hAnsi="Palatino Linotype" w:cs="Palatino Linotype"/>
                <w:i/>
              </w:rPr>
              <w:t>“NO HACEN ENTREGA DE LA INFORMACIÓN SOLICITA LA NIEGA” (Sic.)</w:t>
            </w:r>
          </w:p>
        </w:tc>
        <w:tc>
          <w:tcPr>
            <w:tcW w:w="3369" w:type="dxa"/>
          </w:tcPr>
          <w:p w14:paraId="06E16847" w14:textId="77777777" w:rsidR="006A0905" w:rsidRPr="000C1B3F" w:rsidRDefault="00921788">
            <w:pPr>
              <w:spacing w:line="360" w:lineRule="auto"/>
              <w:jc w:val="both"/>
              <w:rPr>
                <w:rFonts w:ascii="Palatino Linotype" w:eastAsia="Palatino Linotype" w:hAnsi="Palatino Linotype" w:cs="Palatino Linotype"/>
                <w:i/>
              </w:rPr>
            </w:pPr>
            <w:r w:rsidRPr="000C1B3F">
              <w:rPr>
                <w:rFonts w:ascii="Palatino Linotype" w:eastAsia="Palatino Linotype" w:hAnsi="Palatino Linotype" w:cs="Palatino Linotype"/>
                <w:i/>
              </w:rPr>
              <w:t>“NO HACEN ENTREGA DE LA INFORMACIÓN SOLICITA LA NIEGA” (Sic.)</w:t>
            </w:r>
          </w:p>
        </w:tc>
      </w:tr>
      <w:tr w:rsidR="006A0905" w:rsidRPr="000C1B3F" w14:paraId="123DE6F7" w14:textId="77777777">
        <w:tc>
          <w:tcPr>
            <w:tcW w:w="2689" w:type="dxa"/>
          </w:tcPr>
          <w:p w14:paraId="4FFF859A"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09228/INFOEM/IP/RR/2025</w:t>
            </w:r>
          </w:p>
          <w:p w14:paraId="18B550EB" w14:textId="77777777" w:rsidR="006A0905" w:rsidRPr="000C1B3F" w:rsidRDefault="006A0905">
            <w:pPr>
              <w:spacing w:line="360" w:lineRule="auto"/>
              <w:jc w:val="both"/>
              <w:rPr>
                <w:rFonts w:ascii="Palatino Linotype" w:eastAsia="Palatino Linotype" w:hAnsi="Palatino Linotype" w:cs="Palatino Linotype"/>
                <w:b/>
              </w:rPr>
            </w:pPr>
          </w:p>
          <w:p w14:paraId="7EEE1764"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03397/TOLUCA/IP/2025</w:t>
            </w:r>
          </w:p>
        </w:tc>
        <w:tc>
          <w:tcPr>
            <w:tcW w:w="2976" w:type="dxa"/>
          </w:tcPr>
          <w:p w14:paraId="0F04573C" w14:textId="77777777" w:rsidR="006A0905" w:rsidRPr="000C1B3F" w:rsidRDefault="00921788">
            <w:pPr>
              <w:spacing w:line="360" w:lineRule="auto"/>
              <w:jc w:val="both"/>
              <w:rPr>
                <w:rFonts w:ascii="Palatino Linotype" w:eastAsia="Palatino Linotype" w:hAnsi="Palatino Linotype" w:cs="Palatino Linotype"/>
                <w:i/>
              </w:rPr>
            </w:pPr>
            <w:r w:rsidRPr="000C1B3F">
              <w:rPr>
                <w:rFonts w:ascii="Palatino Linotype" w:eastAsia="Palatino Linotype" w:hAnsi="Palatino Linotype" w:cs="Palatino Linotype"/>
                <w:i/>
              </w:rPr>
              <w:t>“NO ENTREGA LA INFORMAICÓN QUE ES PUBLICA SON OPACOS Y CORRUPTOS” (Sic.)</w:t>
            </w:r>
          </w:p>
        </w:tc>
        <w:tc>
          <w:tcPr>
            <w:tcW w:w="3369" w:type="dxa"/>
          </w:tcPr>
          <w:p w14:paraId="34934EAC" w14:textId="77777777" w:rsidR="006A0905" w:rsidRPr="000C1B3F" w:rsidRDefault="00921788">
            <w:pPr>
              <w:spacing w:line="360" w:lineRule="auto"/>
              <w:jc w:val="both"/>
              <w:rPr>
                <w:rFonts w:ascii="Palatino Linotype" w:eastAsia="Palatino Linotype" w:hAnsi="Palatino Linotype" w:cs="Palatino Linotype"/>
                <w:i/>
              </w:rPr>
            </w:pPr>
            <w:r w:rsidRPr="000C1B3F">
              <w:rPr>
                <w:rFonts w:ascii="Palatino Linotype" w:eastAsia="Palatino Linotype" w:hAnsi="Palatino Linotype" w:cs="Palatino Linotype"/>
                <w:i/>
              </w:rPr>
              <w:t>“NO ENTREGA LA INFORMAICÓN QUE ES PUBLICA SON OPACOS Y CORRUPTOS” (Sic.)</w:t>
            </w:r>
          </w:p>
        </w:tc>
      </w:tr>
    </w:tbl>
    <w:p w14:paraId="6BD25A55" w14:textId="77777777" w:rsidR="006A0905" w:rsidRPr="000C1B3F" w:rsidRDefault="006A0905">
      <w:pPr>
        <w:pStyle w:val="Ttulo2"/>
        <w:spacing w:before="0" w:after="0" w:line="360" w:lineRule="auto"/>
        <w:rPr>
          <w:rFonts w:ascii="Palatino Linotype" w:eastAsia="Palatino Linotype" w:hAnsi="Palatino Linotype" w:cs="Palatino Linotype"/>
          <w:color w:val="000000"/>
          <w:sz w:val="22"/>
          <w:szCs w:val="22"/>
        </w:rPr>
      </w:pPr>
    </w:p>
    <w:p w14:paraId="7FE06F74" w14:textId="77777777" w:rsidR="006A0905" w:rsidRPr="000C1B3F" w:rsidRDefault="00921788">
      <w:pPr>
        <w:pStyle w:val="Ttulo2"/>
        <w:spacing w:before="0" w:after="0" w:line="360" w:lineRule="auto"/>
        <w:rPr>
          <w:rFonts w:ascii="Palatino Linotype" w:eastAsia="Palatino Linotype" w:hAnsi="Palatino Linotype" w:cs="Palatino Linotype"/>
          <w:b w:val="0"/>
          <w:color w:val="000000"/>
          <w:sz w:val="22"/>
          <w:szCs w:val="22"/>
        </w:rPr>
      </w:pPr>
      <w:bookmarkStart w:id="5" w:name="_Toc210916239"/>
      <w:r w:rsidRPr="000C1B3F">
        <w:rPr>
          <w:rFonts w:ascii="Palatino Linotype" w:eastAsia="Palatino Linotype" w:hAnsi="Palatino Linotype" w:cs="Palatino Linotype"/>
          <w:color w:val="000000"/>
          <w:sz w:val="22"/>
          <w:szCs w:val="22"/>
        </w:rPr>
        <w:t>IV. Trámite del Recurso de Revisión ante el Instituto</w:t>
      </w:r>
      <w:bookmarkEnd w:id="5"/>
    </w:p>
    <w:p w14:paraId="6020A9A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01956E4"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 xml:space="preserve">a) Turno de los Medios de Impugnación. </w:t>
      </w:r>
      <w:r w:rsidRPr="000C1B3F">
        <w:rPr>
          <w:rFonts w:ascii="Palatino Linotype" w:eastAsia="Palatino Linotype" w:hAnsi="Palatino Linotype" w:cs="Palatino Linotype"/>
          <w:color w:val="000000"/>
          <w:sz w:val="22"/>
          <w:szCs w:val="22"/>
        </w:rPr>
        <w:t xml:space="preserve">El seis de agosto de dos mil veinticinco, el SAIMEX, asignó los número de expedientes </w:t>
      </w:r>
      <w:r w:rsidRPr="000C1B3F">
        <w:rPr>
          <w:rFonts w:ascii="Palatino Linotype" w:eastAsia="Palatino Linotype" w:hAnsi="Palatino Linotype" w:cs="Palatino Linotype"/>
          <w:b/>
          <w:sz w:val="22"/>
          <w:szCs w:val="22"/>
        </w:rPr>
        <w:t>09216/INFOEM/IP/RR/2025 y 09228/INFOEM/IP/RR/2025</w:t>
      </w:r>
      <w:r w:rsidRPr="000C1B3F">
        <w:rPr>
          <w:rFonts w:ascii="Palatino Linotype" w:eastAsia="Palatino Linotype" w:hAnsi="Palatino Linotype" w:cs="Palatino Linotype"/>
          <w:b/>
          <w:color w:val="000000"/>
          <w:sz w:val="22"/>
          <w:szCs w:val="22"/>
        </w:rPr>
        <w:t xml:space="preserve">, </w:t>
      </w:r>
      <w:r w:rsidRPr="000C1B3F">
        <w:rPr>
          <w:rFonts w:ascii="Palatino Linotype" w:eastAsia="Palatino Linotype" w:hAnsi="Palatino Linotype" w:cs="Palatino Linotype"/>
          <w:color w:val="000000"/>
          <w:sz w:val="22"/>
          <w:szCs w:val="22"/>
        </w:rPr>
        <w:t>a los medios de impugnación que nos ocupan, con base en el sistema aprobado por el Pleno de este Órgano Garante y lo turnó a la Comisionada María Del Rosario Mejía Ayala y al Comisionado Ponente Luis Gustavo Parra Noriega, para los efectos del artículo 185, fracción I, de la Ley de Transparencia y Acceso a la Información Pública del Estado de México y Municipios.</w:t>
      </w:r>
    </w:p>
    <w:p w14:paraId="47273FE5"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47CB1094"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 xml:space="preserve">b) Admisión de los Recursos de Revisión. </w:t>
      </w:r>
      <w:r w:rsidRPr="000C1B3F">
        <w:rPr>
          <w:rFonts w:ascii="Palatino Linotype" w:eastAsia="Palatino Linotype" w:hAnsi="Palatino Linotype" w:cs="Palatino Linotype"/>
          <w:color w:val="000000"/>
          <w:sz w:val="22"/>
          <w:szCs w:val="22"/>
        </w:rPr>
        <w:t xml:space="preserve">En fecha once de agosto de dos mil veinticinco, se notificó vía SAIMEX los acuerdos mediante los cuales se acordó la admisión de los Recursos de Revisión interpuestos por la persona Recurrente en contra del Sujeto Obligado, en términos del artículo 185, fracciones I y II de la Ley de Transparencia y Acceso a la Información Pública </w:t>
      </w:r>
      <w:r w:rsidRPr="000C1B3F">
        <w:rPr>
          <w:rFonts w:ascii="Palatino Linotype" w:eastAsia="Palatino Linotype" w:hAnsi="Palatino Linotype" w:cs="Palatino Linotype"/>
          <w:color w:val="000000"/>
          <w:sz w:val="22"/>
          <w:szCs w:val="22"/>
        </w:rPr>
        <w:lastRenderedPageBreak/>
        <w:t xml:space="preserve">del Estado de México y Municipios, en el que se les otorgó un plazo de siete días hábiles posteriores a la misma, para que </w:t>
      </w:r>
      <w:r w:rsidRPr="000C1B3F">
        <w:rPr>
          <w:rFonts w:ascii="Palatino Linotype" w:eastAsia="Palatino Linotype" w:hAnsi="Palatino Linotype" w:cs="Palatino Linotype"/>
          <w:sz w:val="22"/>
          <w:szCs w:val="22"/>
        </w:rPr>
        <w:t>manifestara</w:t>
      </w:r>
      <w:r w:rsidRPr="000C1B3F">
        <w:rPr>
          <w:rFonts w:ascii="Palatino Linotype" w:eastAsia="Palatino Linotype" w:hAnsi="Palatino Linotype" w:cs="Palatino Linotype"/>
          <w:color w:val="000000"/>
          <w:sz w:val="22"/>
          <w:szCs w:val="22"/>
        </w:rPr>
        <w:t xml:space="preserve"> lo que a su derecho conviniera y </w:t>
      </w:r>
      <w:r w:rsidRPr="000C1B3F">
        <w:rPr>
          <w:rFonts w:ascii="Palatino Linotype" w:eastAsia="Palatino Linotype" w:hAnsi="Palatino Linotype" w:cs="Palatino Linotype"/>
          <w:sz w:val="22"/>
          <w:szCs w:val="22"/>
        </w:rPr>
        <w:t>formularán</w:t>
      </w:r>
      <w:r w:rsidRPr="000C1B3F">
        <w:rPr>
          <w:rFonts w:ascii="Palatino Linotype" w:eastAsia="Palatino Linotype" w:hAnsi="Palatino Linotype" w:cs="Palatino Linotype"/>
          <w:color w:val="000000"/>
          <w:sz w:val="22"/>
          <w:szCs w:val="22"/>
        </w:rPr>
        <w:t xml:space="preserve"> alegatos.</w:t>
      </w:r>
    </w:p>
    <w:p w14:paraId="5447D62E"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2F08970"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bookmarkStart w:id="6" w:name="_heading=h.gjdgxs" w:colFirst="0" w:colLast="0"/>
      <w:bookmarkEnd w:id="6"/>
      <w:r w:rsidRPr="000C1B3F">
        <w:rPr>
          <w:rFonts w:ascii="Palatino Linotype" w:eastAsia="Palatino Linotype" w:hAnsi="Palatino Linotype" w:cs="Palatino Linotype"/>
          <w:b/>
          <w:sz w:val="22"/>
          <w:szCs w:val="22"/>
        </w:rPr>
        <w:t>c) Acumulación de los asuntos.</w:t>
      </w:r>
      <w:r w:rsidRPr="000C1B3F">
        <w:rPr>
          <w:rFonts w:ascii="Palatino Linotype" w:eastAsia="Palatino Linotype" w:hAnsi="Palatino Linotype" w:cs="Palatino Linotype"/>
          <w:sz w:val="22"/>
          <w:szCs w:val="22"/>
        </w:rPr>
        <w:t xml:space="preserve"> El dos de octubre de dos mil veinticinco, se notificó vía SAIMEX el acuerdo mediante el cual se informó, que en fecha veintiuno de agosto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sidRPr="000C1B3F">
        <w:rPr>
          <w:rFonts w:ascii="Palatino Linotype" w:eastAsia="Palatino Linotype" w:hAnsi="Palatino Linotype" w:cs="Palatino Linotype"/>
          <w:b/>
          <w:color w:val="000000"/>
          <w:sz w:val="22"/>
          <w:szCs w:val="22"/>
        </w:rPr>
        <w:t xml:space="preserve"> 09228/INFOEM/IP/RR/2025 </w:t>
      </w:r>
      <w:r w:rsidRPr="000C1B3F">
        <w:rPr>
          <w:rFonts w:ascii="Palatino Linotype" w:eastAsia="Palatino Linotype" w:hAnsi="Palatino Linotype" w:cs="Palatino Linotype"/>
          <w:color w:val="000000"/>
          <w:sz w:val="22"/>
          <w:szCs w:val="22"/>
        </w:rPr>
        <w:t>al diverso</w:t>
      </w:r>
      <w:r w:rsidRPr="000C1B3F">
        <w:rPr>
          <w:rFonts w:ascii="Palatino Linotype" w:eastAsia="Palatino Linotype" w:hAnsi="Palatino Linotype" w:cs="Palatino Linotype"/>
          <w:b/>
          <w:color w:val="000000"/>
          <w:sz w:val="22"/>
          <w:szCs w:val="22"/>
        </w:rPr>
        <w:t xml:space="preserve"> 09216/INFOEM/IP/RR/2025, </w:t>
      </w:r>
      <w:r w:rsidRPr="000C1B3F">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sidRPr="000C1B3F">
        <w:rPr>
          <w:rFonts w:ascii="Palatino Linotype" w:eastAsia="Palatino Linotype" w:hAnsi="Palatino Linotype" w:cs="Palatino Linotype"/>
          <w:sz w:val="22"/>
          <w:szCs w:val="22"/>
        </w:rPr>
        <w:t>Ayuntamiento de Toluca</w:t>
      </w:r>
      <w:r w:rsidRPr="000C1B3F">
        <w:rPr>
          <w:rFonts w:ascii="Palatino Linotype" w:eastAsia="Palatino Linotype" w:hAnsi="Palatino Linotype" w:cs="Palatino Linotype"/>
          <w:color w:val="000000"/>
          <w:sz w:val="22"/>
          <w:szCs w:val="22"/>
        </w:rPr>
        <w:t>.</w:t>
      </w:r>
    </w:p>
    <w:p w14:paraId="40D568A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61C95C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 xml:space="preserve">c) Informe Justificado. </w:t>
      </w:r>
      <w:r w:rsidRPr="000C1B3F">
        <w:rPr>
          <w:rFonts w:ascii="Palatino Linotype" w:eastAsia="Palatino Linotype" w:hAnsi="Palatino Linotype" w:cs="Palatino Linotype"/>
          <w:color w:val="000000"/>
          <w:sz w:val="22"/>
          <w:szCs w:val="22"/>
        </w:rPr>
        <w:t>En fechas veinte de agosto de dos mil veinticinco, se recibió en este Instituto, a través del SAIMEX, los Informes Justificados, por parte del Sujeto Obligado, en los siguientes términos:</w:t>
      </w:r>
    </w:p>
    <w:p w14:paraId="21AAB53B" w14:textId="77777777" w:rsidR="006A0905" w:rsidRPr="000C1B3F" w:rsidRDefault="006A0905">
      <w:pPr>
        <w:spacing w:line="360" w:lineRule="auto"/>
        <w:ind w:right="539"/>
        <w:jc w:val="both"/>
        <w:rPr>
          <w:rFonts w:ascii="Palatino Linotype" w:eastAsia="Palatino Linotype" w:hAnsi="Palatino Linotype" w:cs="Palatino Linotype"/>
          <w:color w:val="000000"/>
          <w:sz w:val="22"/>
          <w:szCs w:val="22"/>
        </w:rPr>
      </w:pPr>
    </w:p>
    <w:tbl>
      <w:tblPr>
        <w:tblStyle w:val="a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237"/>
      </w:tblGrid>
      <w:tr w:rsidR="006A0905" w:rsidRPr="000C1B3F" w14:paraId="782216BE" w14:textId="77777777">
        <w:tc>
          <w:tcPr>
            <w:tcW w:w="2689" w:type="dxa"/>
            <w:shd w:val="clear" w:color="auto" w:fill="CCCCFF"/>
            <w:vAlign w:val="center"/>
          </w:tcPr>
          <w:p w14:paraId="2CF76C48" w14:textId="77777777" w:rsidR="006A0905" w:rsidRPr="000C1B3F" w:rsidRDefault="00921788">
            <w:pPr>
              <w:spacing w:line="360" w:lineRule="auto"/>
              <w:jc w:val="center"/>
              <w:rPr>
                <w:rFonts w:ascii="Palatino Linotype" w:eastAsia="Palatino Linotype" w:hAnsi="Palatino Linotype" w:cs="Palatino Linotype"/>
                <w:b/>
              </w:rPr>
            </w:pPr>
            <w:r w:rsidRPr="000C1B3F">
              <w:rPr>
                <w:rFonts w:ascii="Palatino Linotype" w:eastAsia="Palatino Linotype" w:hAnsi="Palatino Linotype" w:cs="Palatino Linotype"/>
                <w:b/>
              </w:rPr>
              <w:t>RECURSO DE REVISIÓN</w:t>
            </w:r>
          </w:p>
          <w:p w14:paraId="2B01C373" w14:textId="77777777" w:rsidR="006A0905" w:rsidRPr="000C1B3F" w:rsidRDefault="00921788">
            <w:pPr>
              <w:spacing w:line="360" w:lineRule="auto"/>
              <w:jc w:val="center"/>
              <w:rPr>
                <w:rFonts w:ascii="Palatino Linotype" w:eastAsia="Palatino Linotype" w:hAnsi="Palatino Linotype" w:cs="Palatino Linotype"/>
                <w:b/>
              </w:rPr>
            </w:pPr>
            <w:r w:rsidRPr="000C1B3F">
              <w:rPr>
                <w:rFonts w:ascii="Palatino Linotype" w:eastAsia="Palatino Linotype" w:hAnsi="Palatino Linotype" w:cs="Palatino Linotype"/>
                <w:b/>
              </w:rPr>
              <w:t>SOLICITUD</w:t>
            </w:r>
          </w:p>
        </w:tc>
        <w:tc>
          <w:tcPr>
            <w:tcW w:w="6237" w:type="dxa"/>
            <w:shd w:val="clear" w:color="auto" w:fill="CCCCFF"/>
            <w:vAlign w:val="center"/>
          </w:tcPr>
          <w:p w14:paraId="7DB3DC94" w14:textId="77777777" w:rsidR="006A0905" w:rsidRPr="000C1B3F" w:rsidRDefault="00921788">
            <w:pPr>
              <w:pBdr>
                <w:top w:val="nil"/>
                <w:left w:val="nil"/>
                <w:bottom w:val="nil"/>
                <w:right w:val="nil"/>
                <w:between w:val="nil"/>
              </w:pBdr>
              <w:tabs>
                <w:tab w:val="left" w:pos="567"/>
              </w:tabs>
              <w:spacing w:line="360" w:lineRule="auto"/>
              <w:ind w:right="-177"/>
              <w:jc w:val="center"/>
              <w:rPr>
                <w:rFonts w:ascii="Palatino Linotype" w:eastAsia="Palatino Linotype" w:hAnsi="Palatino Linotype" w:cs="Palatino Linotype"/>
                <w:b/>
              </w:rPr>
            </w:pPr>
            <w:r w:rsidRPr="000C1B3F">
              <w:rPr>
                <w:rFonts w:ascii="Palatino Linotype" w:eastAsia="Palatino Linotype" w:hAnsi="Palatino Linotype" w:cs="Palatino Linotype"/>
                <w:b/>
              </w:rPr>
              <w:t xml:space="preserve">INFORME JUSTIFICADO </w:t>
            </w:r>
          </w:p>
        </w:tc>
      </w:tr>
      <w:tr w:rsidR="006A0905" w:rsidRPr="000C1B3F" w14:paraId="143DA232" w14:textId="77777777">
        <w:tc>
          <w:tcPr>
            <w:tcW w:w="2689" w:type="dxa"/>
          </w:tcPr>
          <w:p w14:paraId="4ECF7653"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09216/INFOEM/IP/RR/2025</w:t>
            </w:r>
          </w:p>
          <w:p w14:paraId="07FB3F5F" w14:textId="77777777" w:rsidR="006A0905" w:rsidRPr="000C1B3F" w:rsidRDefault="006A0905">
            <w:pPr>
              <w:spacing w:line="360" w:lineRule="auto"/>
              <w:jc w:val="both"/>
              <w:rPr>
                <w:rFonts w:ascii="Palatino Linotype" w:eastAsia="Palatino Linotype" w:hAnsi="Palatino Linotype" w:cs="Palatino Linotype"/>
                <w:b/>
              </w:rPr>
            </w:pPr>
          </w:p>
          <w:p w14:paraId="4CBAE498"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lastRenderedPageBreak/>
              <w:t>03396/TOLUCA/IP/2025</w:t>
            </w:r>
          </w:p>
        </w:tc>
        <w:tc>
          <w:tcPr>
            <w:tcW w:w="6237" w:type="dxa"/>
          </w:tcPr>
          <w:p w14:paraId="38E08731" w14:textId="77777777" w:rsidR="006A0905" w:rsidRPr="000C1B3F" w:rsidRDefault="00921788">
            <w:pPr>
              <w:spacing w:line="360" w:lineRule="auto"/>
              <w:jc w:val="both"/>
              <w:rPr>
                <w:rFonts w:ascii="Palatino Linotype" w:eastAsia="Palatino Linotype" w:hAnsi="Palatino Linotype" w:cs="Palatino Linotype"/>
              </w:rPr>
            </w:pPr>
            <w:r w:rsidRPr="000C1B3F">
              <w:rPr>
                <w:rFonts w:ascii="Palatino Linotype" w:eastAsia="Palatino Linotype" w:hAnsi="Palatino Linotype" w:cs="Palatino Linotype"/>
                <w:b/>
                <w:i/>
              </w:rPr>
              <w:lastRenderedPageBreak/>
              <w:t xml:space="preserve">- Ratificación 09216.pdf; </w:t>
            </w:r>
            <w:r w:rsidRPr="000C1B3F">
              <w:rPr>
                <w:rFonts w:ascii="Palatino Linotype" w:eastAsia="Palatino Linotype" w:hAnsi="Palatino Linotype" w:cs="Palatino Linotype"/>
              </w:rPr>
              <w:t xml:space="preserve">Oficio suscrito por el Titular de la Unidad de Transparencia en el que ratificó la respuesta inicial. </w:t>
            </w:r>
          </w:p>
          <w:p w14:paraId="18AF32D4" w14:textId="77777777" w:rsidR="006A0905" w:rsidRPr="000C1B3F" w:rsidRDefault="00921788">
            <w:pPr>
              <w:spacing w:line="360" w:lineRule="auto"/>
              <w:jc w:val="both"/>
              <w:rPr>
                <w:rFonts w:ascii="Palatino Linotype" w:eastAsia="Palatino Linotype" w:hAnsi="Palatino Linotype" w:cs="Palatino Linotype"/>
              </w:rPr>
            </w:pPr>
            <w:r w:rsidRPr="000C1B3F">
              <w:rPr>
                <w:rFonts w:ascii="Palatino Linotype" w:eastAsia="Palatino Linotype" w:hAnsi="Palatino Linotype" w:cs="Palatino Linotype"/>
                <w:b/>
                <w:i/>
              </w:rPr>
              <w:lastRenderedPageBreak/>
              <w:t xml:space="preserve">- ANEXOS 9216-2025.pdf; </w:t>
            </w:r>
            <w:r w:rsidRPr="000C1B3F">
              <w:rPr>
                <w:rFonts w:ascii="Palatino Linotype" w:eastAsia="Palatino Linotype" w:hAnsi="Palatino Linotype" w:cs="Palatino Linotype"/>
              </w:rPr>
              <w:t xml:space="preserve"> del que se desprende un oficio suscrito por la Directora General de Administración en el que ratificó la respuesta inicial.</w:t>
            </w:r>
          </w:p>
        </w:tc>
      </w:tr>
      <w:tr w:rsidR="006A0905" w:rsidRPr="000C1B3F" w14:paraId="210145EF" w14:textId="77777777">
        <w:tc>
          <w:tcPr>
            <w:tcW w:w="2689" w:type="dxa"/>
          </w:tcPr>
          <w:p w14:paraId="1B840DF7"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lastRenderedPageBreak/>
              <w:t>09228/INFOEM/IP/RR/2025</w:t>
            </w:r>
          </w:p>
          <w:p w14:paraId="3418803E" w14:textId="77777777" w:rsidR="006A0905" w:rsidRPr="000C1B3F" w:rsidRDefault="006A0905">
            <w:pPr>
              <w:spacing w:line="360" w:lineRule="auto"/>
              <w:jc w:val="both"/>
              <w:rPr>
                <w:rFonts w:ascii="Palatino Linotype" w:eastAsia="Palatino Linotype" w:hAnsi="Palatino Linotype" w:cs="Palatino Linotype"/>
                <w:b/>
              </w:rPr>
            </w:pPr>
          </w:p>
          <w:p w14:paraId="2AFC9740" w14:textId="77777777" w:rsidR="006A0905" w:rsidRPr="000C1B3F" w:rsidRDefault="00921788">
            <w:pPr>
              <w:spacing w:line="360" w:lineRule="auto"/>
              <w:jc w:val="both"/>
              <w:rPr>
                <w:rFonts w:ascii="Palatino Linotype" w:eastAsia="Palatino Linotype" w:hAnsi="Palatino Linotype" w:cs="Palatino Linotype"/>
                <w:b/>
              </w:rPr>
            </w:pPr>
            <w:r w:rsidRPr="000C1B3F">
              <w:rPr>
                <w:rFonts w:ascii="Palatino Linotype" w:eastAsia="Palatino Linotype" w:hAnsi="Palatino Linotype" w:cs="Palatino Linotype"/>
                <w:b/>
              </w:rPr>
              <w:t>03397/TOLUCA/IP/2025</w:t>
            </w:r>
          </w:p>
        </w:tc>
        <w:tc>
          <w:tcPr>
            <w:tcW w:w="6237" w:type="dxa"/>
          </w:tcPr>
          <w:p w14:paraId="37434C17" w14:textId="77777777" w:rsidR="006A0905" w:rsidRPr="000C1B3F" w:rsidRDefault="00921788">
            <w:pPr>
              <w:spacing w:line="360" w:lineRule="auto"/>
              <w:jc w:val="both"/>
              <w:rPr>
                <w:rFonts w:ascii="Palatino Linotype" w:eastAsia="Palatino Linotype" w:hAnsi="Palatino Linotype" w:cs="Palatino Linotype"/>
              </w:rPr>
            </w:pPr>
            <w:r w:rsidRPr="000C1B3F">
              <w:rPr>
                <w:rFonts w:ascii="Palatino Linotype" w:eastAsia="Palatino Linotype" w:hAnsi="Palatino Linotype" w:cs="Palatino Linotype"/>
                <w:b/>
                <w:i/>
              </w:rPr>
              <w:t xml:space="preserve">- Ratificación 09228.pdf; </w:t>
            </w:r>
            <w:r w:rsidRPr="000C1B3F">
              <w:rPr>
                <w:rFonts w:ascii="Palatino Linotype" w:eastAsia="Palatino Linotype" w:hAnsi="Palatino Linotype" w:cs="Palatino Linotype"/>
              </w:rPr>
              <w:t xml:space="preserve">Oficio suscrito por el Titular de la Unidad de Transparencia en el que ratificó la respuesta inicial. </w:t>
            </w:r>
          </w:p>
          <w:p w14:paraId="2BCAE007" w14:textId="77777777" w:rsidR="006A0905" w:rsidRPr="000C1B3F" w:rsidRDefault="00921788">
            <w:pPr>
              <w:spacing w:line="360" w:lineRule="auto"/>
              <w:jc w:val="both"/>
              <w:rPr>
                <w:rFonts w:ascii="Palatino Linotype" w:eastAsia="Palatino Linotype" w:hAnsi="Palatino Linotype" w:cs="Palatino Linotype"/>
              </w:rPr>
            </w:pPr>
            <w:r w:rsidRPr="000C1B3F">
              <w:rPr>
                <w:rFonts w:ascii="Palatino Linotype" w:eastAsia="Palatino Linotype" w:hAnsi="Palatino Linotype" w:cs="Palatino Linotype"/>
                <w:b/>
                <w:i/>
              </w:rPr>
              <w:t xml:space="preserve">- ANEXOS 9228-2025.pdf; </w:t>
            </w:r>
            <w:r w:rsidRPr="000C1B3F">
              <w:rPr>
                <w:rFonts w:ascii="Palatino Linotype" w:eastAsia="Palatino Linotype" w:hAnsi="Palatino Linotype" w:cs="Palatino Linotype"/>
              </w:rPr>
              <w:t xml:space="preserve"> del que se desprende un oficio suscrito por la Directora General de Administración en el que ratificó la respuesta inicial.</w:t>
            </w:r>
          </w:p>
        </w:tc>
      </w:tr>
    </w:tbl>
    <w:p w14:paraId="48E4B00D" w14:textId="77777777" w:rsidR="006A0905" w:rsidRPr="000C1B3F" w:rsidRDefault="006A0905">
      <w:pPr>
        <w:spacing w:line="360" w:lineRule="auto"/>
        <w:ind w:right="539"/>
        <w:jc w:val="both"/>
        <w:rPr>
          <w:rFonts w:ascii="Palatino Linotype" w:eastAsia="Palatino Linotype" w:hAnsi="Palatino Linotype" w:cs="Palatino Linotype"/>
          <w:i/>
          <w:color w:val="000000"/>
          <w:sz w:val="22"/>
          <w:szCs w:val="22"/>
        </w:rPr>
      </w:pPr>
    </w:p>
    <w:p w14:paraId="0842AE7B"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 xml:space="preserve">d) Vista de Informe Justificado. </w:t>
      </w:r>
      <w:r w:rsidRPr="000C1B3F">
        <w:rPr>
          <w:rFonts w:ascii="Palatino Linotype" w:eastAsia="Palatino Linotype" w:hAnsi="Palatino Linotype" w:cs="Palatino Linotype"/>
          <w:color w:val="000000"/>
          <w:sz w:val="22"/>
          <w:szCs w:val="22"/>
        </w:rPr>
        <w:t>El dos de octubre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012C4A4D"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1B2B267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 xml:space="preserve">e) Manifestaciones de la parte Recurrente. </w:t>
      </w:r>
      <w:r w:rsidRPr="000C1B3F">
        <w:rPr>
          <w:rFonts w:ascii="Palatino Linotype" w:eastAsia="Palatino Linotype" w:hAnsi="Palatino Linotype" w:cs="Palatino Linotype"/>
          <w:color w:val="000000"/>
          <w:sz w:val="22"/>
          <w:szCs w:val="22"/>
        </w:rPr>
        <w:t>De las constancias que integran el expediente se advierte que la parte Recurrente no añadió manifestaciones.</w:t>
      </w:r>
    </w:p>
    <w:p w14:paraId="6170844B"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34901264"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e)</w:t>
      </w:r>
      <w:r w:rsidRPr="000C1B3F">
        <w:rPr>
          <w:rFonts w:ascii="Palatino Linotype" w:eastAsia="Palatino Linotype" w:hAnsi="Palatino Linotype" w:cs="Palatino Linotype"/>
          <w:color w:val="000000"/>
          <w:sz w:val="22"/>
          <w:szCs w:val="22"/>
        </w:rPr>
        <w:t xml:space="preserve"> </w:t>
      </w:r>
      <w:r w:rsidRPr="000C1B3F">
        <w:rPr>
          <w:rFonts w:ascii="Palatino Linotype" w:eastAsia="Palatino Linotype" w:hAnsi="Palatino Linotype" w:cs="Palatino Linotype"/>
          <w:b/>
          <w:color w:val="000000"/>
          <w:sz w:val="22"/>
          <w:szCs w:val="22"/>
        </w:rPr>
        <w:t>Ampliación de plazo para resolver</w:t>
      </w:r>
      <w:r w:rsidRPr="000C1B3F">
        <w:rPr>
          <w:rFonts w:ascii="Palatino Linotype" w:eastAsia="Palatino Linotype" w:hAnsi="Palatino Linotype" w:cs="Palatino Linotype"/>
          <w:color w:val="000000"/>
          <w:sz w:val="22"/>
          <w:szCs w:val="22"/>
        </w:rPr>
        <w:t>. El veintitrés de septiembre de dos mil veinticinco, el Comisionado Ponente, con fundamento en lo dispuesto por el artículo 181, párrafo tercero, de la Ley de Transparencia y Acceso a la Información Pública del Estado de México y Municipios, acordó ampliar por unos quince días, el plazo para resolver el Recurso de Revisión que nos ocupa; acto que fue notificado a las partes en la misma fecha, mediante el SAIMEX.</w:t>
      </w:r>
    </w:p>
    <w:p w14:paraId="161E6018"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659436D" w14:textId="77777777" w:rsidR="006A0905" w:rsidRPr="000C1B3F" w:rsidRDefault="00921788">
      <w:pPr>
        <w:spacing w:line="360" w:lineRule="auto"/>
        <w:jc w:val="both"/>
        <w:rPr>
          <w:rFonts w:ascii="Palatino Linotype" w:eastAsia="Palatino Linotype" w:hAnsi="Palatino Linotype" w:cs="Palatino Linotype"/>
          <w:b/>
          <w:sz w:val="22"/>
          <w:szCs w:val="22"/>
        </w:rPr>
      </w:pPr>
      <w:r w:rsidRPr="000C1B3F">
        <w:rPr>
          <w:rFonts w:ascii="Palatino Linotype" w:eastAsia="Palatino Linotype" w:hAnsi="Palatino Linotype" w:cs="Palatino Linotype"/>
          <w:b/>
          <w:sz w:val="22"/>
          <w:szCs w:val="22"/>
        </w:rPr>
        <w:lastRenderedPageBreak/>
        <w:t xml:space="preserve">f) Cierre de instrucción. </w:t>
      </w:r>
      <w:r w:rsidRPr="000C1B3F">
        <w:rPr>
          <w:rFonts w:ascii="Palatino Linotype" w:eastAsia="Palatino Linotype" w:hAnsi="Palatino Linotype" w:cs="Palatino Linotype"/>
          <w:sz w:val="22"/>
          <w:szCs w:val="22"/>
        </w:rPr>
        <w:t xml:space="preserve">El ocho 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SAIMEX. </w:t>
      </w:r>
    </w:p>
    <w:p w14:paraId="497C63BF"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440B643D"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0411477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5EE4DE9" w14:textId="77777777" w:rsidR="006A0905" w:rsidRPr="000C1B3F" w:rsidRDefault="00921788">
      <w:pPr>
        <w:pStyle w:val="Ttulo1"/>
        <w:spacing w:before="0" w:line="360" w:lineRule="auto"/>
        <w:jc w:val="center"/>
        <w:rPr>
          <w:rFonts w:ascii="Palatino Linotype" w:eastAsia="Palatino Linotype" w:hAnsi="Palatino Linotype" w:cs="Palatino Linotype"/>
          <w:b/>
          <w:color w:val="000000"/>
          <w:sz w:val="22"/>
          <w:szCs w:val="22"/>
        </w:rPr>
      </w:pPr>
      <w:bookmarkStart w:id="7" w:name="_Toc210916240"/>
      <w:r w:rsidRPr="000C1B3F">
        <w:rPr>
          <w:rFonts w:ascii="Palatino Linotype" w:eastAsia="Palatino Linotype" w:hAnsi="Palatino Linotype" w:cs="Palatino Linotype"/>
          <w:b/>
          <w:color w:val="000000"/>
          <w:sz w:val="22"/>
          <w:szCs w:val="22"/>
        </w:rPr>
        <w:t>C O N S I D E R A N D O S</w:t>
      </w:r>
      <w:bookmarkEnd w:id="7"/>
    </w:p>
    <w:p w14:paraId="422F9C4A" w14:textId="77777777" w:rsidR="006A0905" w:rsidRPr="000C1B3F" w:rsidRDefault="006A0905">
      <w:pPr>
        <w:spacing w:line="360" w:lineRule="auto"/>
        <w:rPr>
          <w:rFonts w:ascii="Palatino Linotype" w:eastAsia="Palatino Linotype" w:hAnsi="Palatino Linotype" w:cs="Palatino Linotype"/>
          <w:b/>
          <w:sz w:val="22"/>
          <w:szCs w:val="22"/>
        </w:rPr>
      </w:pPr>
    </w:p>
    <w:p w14:paraId="378BA903" w14:textId="77777777" w:rsidR="006A0905" w:rsidRPr="000C1B3F" w:rsidRDefault="00921788">
      <w:pPr>
        <w:pStyle w:val="Ttulo2"/>
        <w:spacing w:before="0" w:after="0" w:line="360" w:lineRule="auto"/>
        <w:rPr>
          <w:rFonts w:ascii="Palatino Linotype" w:eastAsia="Palatino Linotype" w:hAnsi="Palatino Linotype" w:cs="Palatino Linotype"/>
          <w:b w:val="0"/>
          <w:sz w:val="22"/>
          <w:szCs w:val="22"/>
        </w:rPr>
      </w:pPr>
      <w:bookmarkStart w:id="8" w:name="_Toc210916241"/>
      <w:r w:rsidRPr="000C1B3F">
        <w:rPr>
          <w:rFonts w:ascii="Palatino Linotype" w:eastAsia="Palatino Linotype" w:hAnsi="Palatino Linotype" w:cs="Palatino Linotype"/>
          <w:color w:val="000000"/>
          <w:sz w:val="22"/>
          <w:szCs w:val="22"/>
        </w:rPr>
        <w:t xml:space="preserve">PRIMERO. </w:t>
      </w:r>
      <w:r w:rsidRPr="000C1B3F">
        <w:rPr>
          <w:rFonts w:ascii="Palatino Linotype" w:eastAsia="Palatino Linotype" w:hAnsi="Palatino Linotype" w:cs="Palatino Linotype"/>
          <w:sz w:val="22"/>
          <w:szCs w:val="22"/>
        </w:rPr>
        <w:t>Competencia</w:t>
      </w:r>
      <w:bookmarkEnd w:id="8"/>
    </w:p>
    <w:p w14:paraId="03DFA1AC"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354A0533"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3B6347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007A940" w14:textId="77777777" w:rsidR="006A0905" w:rsidRPr="000C1B3F" w:rsidRDefault="00921788">
      <w:pPr>
        <w:pStyle w:val="Ttulo2"/>
        <w:spacing w:before="0" w:after="0" w:line="360" w:lineRule="auto"/>
        <w:rPr>
          <w:rFonts w:ascii="Palatino Linotype" w:eastAsia="Palatino Linotype" w:hAnsi="Palatino Linotype" w:cs="Palatino Linotype"/>
          <w:color w:val="000000"/>
          <w:sz w:val="22"/>
          <w:szCs w:val="22"/>
        </w:rPr>
      </w:pPr>
      <w:bookmarkStart w:id="9" w:name="_Toc210916242"/>
      <w:r w:rsidRPr="000C1B3F">
        <w:rPr>
          <w:rFonts w:ascii="Palatino Linotype" w:eastAsia="Palatino Linotype" w:hAnsi="Palatino Linotype" w:cs="Palatino Linotype"/>
          <w:color w:val="000000"/>
          <w:sz w:val="22"/>
          <w:szCs w:val="22"/>
        </w:rPr>
        <w:lastRenderedPageBreak/>
        <w:t>SEGUNDO. Causales de improcedencia y sobreseimiento</w:t>
      </w:r>
      <w:bookmarkEnd w:id="9"/>
    </w:p>
    <w:p w14:paraId="30F4C50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9369F84"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F9250DC"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B34F3D2"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97A8859"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5CCD75A1" w14:textId="77777777" w:rsidR="006A0905" w:rsidRPr="000C1B3F" w:rsidRDefault="00921788">
      <w:pPr>
        <w:spacing w:line="360" w:lineRule="auto"/>
        <w:jc w:val="both"/>
        <w:rPr>
          <w:rFonts w:ascii="Palatino Linotype" w:eastAsia="Palatino Linotype" w:hAnsi="Palatino Linotype" w:cs="Palatino Linotype"/>
          <w:b/>
          <w:sz w:val="22"/>
          <w:szCs w:val="22"/>
        </w:rPr>
      </w:pPr>
      <w:r w:rsidRPr="000C1B3F">
        <w:rPr>
          <w:rFonts w:ascii="Palatino Linotype" w:eastAsia="Palatino Linotype" w:hAnsi="Palatino Linotype" w:cs="Palatino Linotype"/>
          <w:b/>
          <w:sz w:val="22"/>
          <w:szCs w:val="22"/>
        </w:rPr>
        <w:t>Causales de sobreseimiento</w:t>
      </w:r>
    </w:p>
    <w:p w14:paraId="51267D46"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CA0D3D3"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Por lo que hace a las causales de sobreseimiento, del análisis realizado por este Instituto, se advierte que</w:t>
      </w:r>
      <w:r w:rsidRPr="000C1B3F">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sidRPr="000C1B3F">
        <w:rPr>
          <w:rFonts w:ascii="Palatino Linotype" w:eastAsia="Palatino Linotype" w:hAnsi="Palatino Linotype" w:cs="Palatino Linotype"/>
          <w:sz w:val="22"/>
          <w:szCs w:val="22"/>
        </w:rPr>
        <w:t xml:space="preserve">lo </w:t>
      </w:r>
      <w:r w:rsidRPr="000C1B3F">
        <w:rPr>
          <w:rFonts w:ascii="Palatino Linotype" w:eastAsia="Palatino Linotype" w:hAnsi="Palatino Linotype" w:cs="Palatino Linotype"/>
          <w:sz w:val="22"/>
          <w:szCs w:val="22"/>
        </w:rPr>
        <w:lastRenderedPageBreak/>
        <w:t xml:space="preserve">anterior, en virtud de que no existe constancia en el expediente en que se actúa, de que la persona Recurrente se hubiera desistido del recurso, hubiera fallecido, que sobreviene alguna causal de improcedencia, que el Sujeto Obligado hubiese modificado o revocado el acto impugnado, o bien que el recurso de revisión hubiera quedado sin materia. Por tales motivos, se considera procedente entrar al fondo del presente asunto. </w:t>
      </w:r>
    </w:p>
    <w:p w14:paraId="50EB26FC"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68436983" w14:textId="77777777" w:rsidR="006A0905" w:rsidRPr="000C1B3F" w:rsidRDefault="00921788">
      <w:pPr>
        <w:pStyle w:val="Ttulo2"/>
        <w:spacing w:before="0" w:after="0" w:line="360" w:lineRule="auto"/>
        <w:rPr>
          <w:rFonts w:ascii="Palatino Linotype" w:eastAsia="Palatino Linotype" w:hAnsi="Palatino Linotype" w:cs="Palatino Linotype"/>
          <w:b w:val="0"/>
          <w:sz w:val="22"/>
          <w:szCs w:val="22"/>
        </w:rPr>
      </w:pPr>
      <w:bookmarkStart w:id="10" w:name="_Toc210916243"/>
      <w:r w:rsidRPr="000C1B3F">
        <w:rPr>
          <w:rFonts w:ascii="Palatino Linotype" w:eastAsia="Palatino Linotype" w:hAnsi="Palatino Linotype" w:cs="Palatino Linotype"/>
          <w:sz w:val="22"/>
          <w:szCs w:val="22"/>
        </w:rPr>
        <w:t>TERCERO. Determinación de la Controversia</w:t>
      </w:r>
      <w:bookmarkEnd w:id="10"/>
    </w:p>
    <w:p w14:paraId="7D33A9DE" w14:textId="77777777" w:rsidR="006A0905" w:rsidRPr="000C1B3F" w:rsidRDefault="006A0905">
      <w:pPr>
        <w:tabs>
          <w:tab w:val="left" w:pos="4962"/>
        </w:tabs>
        <w:spacing w:line="360" w:lineRule="auto"/>
        <w:jc w:val="both"/>
        <w:rPr>
          <w:rFonts w:ascii="Palatino Linotype" w:eastAsia="Palatino Linotype" w:hAnsi="Palatino Linotype" w:cs="Palatino Linotype"/>
          <w:sz w:val="22"/>
          <w:szCs w:val="22"/>
        </w:rPr>
      </w:pPr>
    </w:p>
    <w:p w14:paraId="42089D57"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de lo siguiente:</w:t>
      </w:r>
    </w:p>
    <w:p w14:paraId="5F88D77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1FBEC74D" w14:textId="77777777" w:rsidR="006A0905" w:rsidRPr="000C1B3F" w:rsidRDefault="00921788">
      <w:pPr>
        <w:spacing w:line="360" w:lineRule="auto"/>
        <w:jc w:val="both"/>
        <w:rPr>
          <w:rFonts w:ascii="Palatino Linotype" w:eastAsia="Palatino Linotype" w:hAnsi="Palatino Linotype" w:cs="Palatino Linotype"/>
          <w:b/>
          <w:sz w:val="22"/>
          <w:szCs w:val="22"/>
        </w:rPr>
      </w:pPr>
      <w:r w:rsidRPr="000C1B3F">
        <w:rPr>
          <w:rFonts w:ascii="Palatino Linotype" w:eastAsia="Palatino Linotype" w:hAnsi="Palatino Linotype" w:cs="Palatino Linotype"/>
          <w:b/>
          <w:sz w:val="22"/>
          <w:szCs w:val="22"/>
        </w:rPr>
        <w:t>De las personas servidoras públicas adscritas a la Unidad de Transparencia y a la Contraloría Municipal:</w:t>
      </w:r>
    </w:p>
    <w:p w14:paraId="74F08AFE"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4B11310D" w14:textId="77777777" w:rsidR="006A0905" w:rsidRPr="000C1B3F" w:rsidRDefault="0092178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Recibos de nómina de la última quincena de mayo de 2025</w:t>
      </w:r>
    </w:p>
    <w:p w14:paraId="17F1F97A" w14:textId="77777777" w:rsidR="000136B4" w:rsidRPr="000C1B3F" w:rsidRDefault="000136B4" w:rsidP="000136B4">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6D93A672" w14:textId="77777777" w:rsidR="006A0905" w:rsidRPr="000C1B3F" w:rsidRDefault="0092178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Credenciales</w:t>
      </w:r>
    </w:p>
    <w:p w14:paraId="546564BD"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0D69448"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En este tenor, en respuesta el Sujeto Obligado</w:t>
      </w:r>
      <w:r w:rsidRPr="000C1B3F">
        <w:rPr>
          <w:rFonts w:ascii="Palatino Linotype" w:eastAsia="Palatino Linotype" w:hAnsi="Palatino Linotype" w:cs="Palatino Linotype"/>
          <w:b/>
          <w:sz w:val="22"/>
          <w:szCs w:val="22"/>
        </w:rPr>
        <w:t xml:space="preserve">, </w:t>
      </w:r>
      <w:r w:rsidRPr="000C1B3F">
        <w:rPr>
          <w:rFonts w:ascii="Palatino Linotype" w:eastAsia="Palatino Linotype" w:hAnsi="Palatino Linotype" w:cs="Palatino Linotype"/>
          <w:sz w:val="22"/>
          <w:szCs w:val="22"/>
        </w:rPr>
        <w:t xml:space="preserve">a través de la </w:t>
      </w:r>
      <w:r w:rsidRPr="000C1B3F">
        <w:rPr>
          <w:rFonts w:ascii="Palatino Linotype" w:eastAsia="Palatino Linotype" w:hAnsi="Palatino Linotype" w:cs="Palatino Linotype"/>
          <w:color w:val="000000"/>
          <w:sz w:val="22"/>
          <w:szCs w:val="22"/>
        </w:rPr>
        <w:t>Directora de Recursos Humanos</w:t>
      </w:r>
      <w:r w:rsidRPr="000C1B3F">
        <w:rPr>
          <w:rFonts w:ascii="Palatino Linotype" w:eastAsia="Palatino Linotype" w:hAnsi="Palatino Linotype" w:cs="Palatino Linotype"/>
          <w:sz w:val="22"/>
          <w:szCs w:val="22"/>
        </w:rPr>
        <w:t xml:space="preserve"> indicó una liga de </w:t>
      </w:r>
      <w:r w:rsidRPr="000C1B3F">
        <w:rPr>
          <w:rFonts w:ascii="Palatino Linotype" w:eastAsia="Palatino Linotype" w:hAnsi="Palatino Linotype" w:cs="Palatino Linotype"/>
          <w:i/>
          <w:sz w:val="22"/>
          <w:szCs w:val="22"/>
        </w:rPr>
        <w:t xml:space="preserve">Internet </w:t>
      </w:r>
      <w:r w:rsidRPr="000C1B3F">
        <w:rPr>
          <w:rFonts w:ascii="Palatino Linotype" w:eastAsia="Palatino Linotype" w:hAnsi="Palatino Linotype" w:cs="Palatino Linotype"/>
          <w:sz w:val="22"/>
          <w:szCs w:val="22"/>
        </w:rPr>
        <w:t xml:space="preserve">para consultar las remuneraciones en formato cerrado y señaló que, respecto a las credenciales, se estaba haciendo el proceso de credencialización, por lo que, no contaba con ellas.  </w:t>
      </w:r>
    </w:p>
    <w:p w14:paraId="53035E0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33B2482"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lastRenderedPageBreak/>
        <w:t xml:space="preserve">Derivado de ello, la parte </w:t>
      </w:r>
      <w:r w:rsidRPr="000C1B3F">
        <w:rPr>
          <w:rFonts w:ascii="Palatino Linotype" w:eastAsia="Palatino Linotype" w:hAnsi="Palatino Linotype" w:cs="Palatino Linotype"/>
          <w:b/>
          <w:sz w:val="22"/>
          <w:szCs w:val="22"/>
        </w:rPr>
        <w:t xml:space="preserve">Recurrente </w:t>
      </w:r>
      <w:r w:rsidRPr="000C1B3F">
        <w:rPr>
          <w:rFonts w:ascii="Palatino Linotype" w:eastAsia="Palatino Linotype" w:hAnsi="Palatino Linotype" w:cs="Palatino Linotype"/>
          <w:sz w:val="22"/>
          <w:szCs w:val="22"/>
        </w:rPr>
        <w:t>se inconformó bajo el argumento de que no le fue entregada la información. Además, en el caso del Recurso de Revisión 09228/INFOEM/IP/RR/2025, señaló lo siguiente:</w:t>
      </w:r>
    </w:p>
    <w:p w14:paraId="4EF473A1"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1304D09E" w14:textId="77777777" w:rsidR="006A0905" w:rsidRPr="000C1B3F" w:rsidRDefault="00921788">
      <w:pPr>
        <w:spacing w:line="360" w:lineRule="auto"/>
        <w:jc w:val="center"/>
        <w:rPr>
          <w:rFonts w:ascii="Palatino Linotype" w:eastAsia="Palatino Linotype" w:hAnsi="Palatino Linotype" w:cs="Palatino Linotype"/>
          <w:sz w:val="22"/>
          <w:szCs w:val="22"/>
        </w:rPr>
      </w:pPr>
      <w:r w:rsidRPr="000C1B3F">
        <w:rPr>
          <w:rFonts w:ascii="Palatino Linotype" w:eastAsia="Palatino Linotype" w:hAnsi="Palatino Linotype" w:cs="Palatino Linotype"/>
          <w:i/>
          <w:sz w:val="22"/>
          <w:szCs w:val="22"/>
        </w:rPr>
        <w:t>“…SON OPACOS Y CORRUPTOS” (Sic.)</w:t>
      </w:r>
    </w:p>
    <w:p w14:paraId="3AC3EACE"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0913BD87" w14:textId="77777777" w:rsidR="006A0905" w:rsidRPr="000C1B3F" w:rsidRDefault="00921788">
      <w:pPr>
        <w:spacing w:line="360" w:lineRule="auto"/>
        <w:ind w:right="-28"/>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color w:val="000000"/>
          <w:sz w:val="22"/>
          <w:szCs w:val="22"/>
        </w:rPr>
        <w:t xml:space="preserve">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w:t>
      </w:r>
      <w:r w:rsidRPr="000C1B3F">
        <w:rPr>
          <w:rFonts w:ascii="Palatino Linotype" w:eastAsia="Palatino Linotype" w:hAnsi="Palatino Linotype" w:cs="Palatino Linotype"/>
          <w:b/>
          <w:color w:val="000000"/>
          <w:sz w:val="22"/>
          <w:szCs w:val="22"/>
        </w:rPr>
        <w:t>IMPROCEDENTES</w:t>
      </w:r>
      <w:r w:rsidRPr="000C1B3F">
        <w:rPr>
          <w:rFonts w:ascii="Palatino Linotype" w:eastAsia="Palatino Linotype" w:hAnsi="Palatino Linotype" w:cs="Palatino Linotype"/>
          <w:color w:val="000000"/>
          <w:sz w:val="22"/>
          <w:szCs w:val="22"/>
        </w:rPr>
        <w:t xml:space="preserve">; por lo que deben desestimarse para todos los efectos a que haya lugar. </w:t>
      </w:r>
      <w:r w:rsidRPr="000C1B3F">
        <w:rPr>
          <w:rFonts w:ascii="Palatino Linotype" w:eastAsia="Palatino Linotype" w:hAnsi="Palatino Linotype" w:cs="Palatino Linotype"/>
          <w:sz w:val="22"/>
          <w:szCs w:val="22"/>
        </w:rPr>
        <w:t xml:space="preserve">Así pues, subsiste únicamente el motivo de agravio porque no entregaron lo solicitado. </w:t>
      </w:r>
    </w:p>
    <w:p w14:paraId="555A8B9B" w14:textId="77777777" w:rsidR="006A0905" w:rsidRPr="000C1B3F" w:rsidRDefault="006A0905">
      <w:pPr>
        <w:spacing w:line="360" w:lineRule="auto"/>
        <w:ind w:right="-28"/>
        <w:jc w:val="both"/>
        <w:rPr>
          <w:rFonts w:ascii="Palatino Linotype" w:eastAsia="Palatino Linotype" w:hAnsi="Palatino Linotype" w:cs="Palatino Linotype"/>
          <w:color w:val="000000"/>
          <w:sz w:val="22"/>
          <w:szCs w:val="22"/>
        </w:rPr>
      </w:pPr>
    </w:p>
    <w:p w14:paraId="0DAA8F8E"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Durante la etapa de manifestaciones el </w:t>
      </w:r>
      <w:r w:rsidRPr="000C1B3F">
        <w:rPr>
          <w:rFonts w:ascii="Palatino Linotype" w:eastAsia="Palatino Linotype" w:hAnsi="Palatino Linotype" w:cs="Palatino Linotype"/>
          <w:b/>
          <w:sz w:val="22"/>
          <w:szCs w:val="22"/>
        </w:rPr>
        <w:t xml:space="preserve">Sujeto Obligado </w:t>
      </w:r>
      <w:r w:rsidRPr="000C1B3F">
        <w:rPr>
          <w:rFonts w:ascii="Palatino Linotype" w:eastAsia="Palatino Linotype" w:hAnsi="Palatino Linotype" w:cs="Palatino Linotype"/>
          <w:sz w:val="22"/>
          <w:szCs w:val="22"/>
        </w:rPr>
        <w:t xml:space="preserve">ratificó la respuesta inicial, mientras que la parte </w:t>
      </w:r>
      <w:r w:rsidRPr="000C1B3F">
        <w:rPr>
          <w:rFonts w:ascii="Palatino Linotype" w:eastAsia="Palatino Linotype" w:hAnsi="Palatino Linotype" w:cs="Palatino Linotype"/>
          <w:b/>
          <w:sz w:val="22"/>
          <w:szCs w:val="22"/>
        </w:rPr>
        <w:t xml:space="preserve">Recurrente </w:t>
      </w:r>
      <w:r w:rsidRPr="000C1B3F">
        <w:rPr>
          <w:rFonts w:ascii="Palatino Linotype" w:eastAsia="Palatino Linotype" w:hAnsi="Palatino Linotype" w:cs="Palatino Linotype"/>
          <w:sz w:val="22"/>
          <w:szCs w:val="22"/>
        </w:rPr>
        <w:t>fue omisa en añadir manifestaciones.</w:t>
      </w:r>
    </w:p>
    <w:p w14:paraId="6351F0AF"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98B48F5" w14:textId="789F9AF9" w:rsidR="006A0905" w:rsidRPr="000C1B3F" w:rsidRDefault="00921788">
      <w:pPr>
        <w:tabs>
          <w:tab w:val="left" w:pos="4962"/>
        </w:tabs>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Así pues, de las constancias que integran el expediente, se advierte que en el asunto que nos ocupa se actualiza la causal de procedencia señalada en el artículo 179, fracciones </w:t>
      </w:r>
      <w:r w:rsidR="000136B4" w:rsidRPr="000C1B3F">
        <w:rPr>
          <w:rFonts w:ascii="Palatino Linotype" w:eastAsia="Palatino Linotype" w:hAnsi="Palatino Linotype" w:cs="Palatino Linotype"/>
          <w:sz w:val="22"/>
          <w:szCs w:val="22"/>
        </w:rPr>
        <w:t>VI</w:t>
      </w:r>
      <w:r w:rsidRPr="000C1B3F">
        <w:rPr>
          <w:rFonts w:ascii="Palatino Linotype" w:eastAsia="Palatino Linotype" w:hAnsi="Palatino Linotype" w:cs="Palatino Linotype"/>
          <w:sz w:val="22"/>
          <w:szCs w:val="22"/>
        </w:rPr>
        <w:t xml:space="preserve">, de la Ley de la materia; por la </w:t>
      </w:r>
      <w:r w:rsidR="000136B4" w:rsidRPr="000C1B3F">
        <w:rPr>
          <w:rFonts w:ascii="Palatino Linotype" w:eastAsia="Palatino Linotype" w:hAnsi="Palatino Linotype" w:cs="Palatino Linotype"/>
          <w:sz w:val="22"/>
          <w:szCs w:val="22"/>
        </w:rPr>
        <w:t>entrega de información que no corresponde con lo solicitado.</w:t>
      </w:r>
    </w:p>
    <w:p w14:paraId="4F7AC19C" w14:textId="77777777" w:rsidR="006A0905" w:rsidRPr="000C1B3F" w:rsidRDefault="006A0905">
      <w:pPr>
        <w:tabs>
          <w:tab w:val="left" w:pos="4962"/>
        </w:tabs>
        <w:spacing w:line="360" w:lineRule="auto"/>
        <w:jc w:val="both"/>
        <w:rPr>
          <w:rFonts w:ascii="Palatino Linotype" w:eastAsia="Palatino Linotype" w:hAnsi="Palatino Linotype" w:cs="Palatino Linotype"/>
          <w:sz w:val="22"/>
          <w:szCs w:val="22"/>
        </w:rPr>
      </w:pPr>
    </w:p>
    <w:p w14:paraId="33625903" w14:textId="77777777" w:rsidR="006A0905" w:rsidRPr="000C1B3F" w:rsidRDefault="00921788">
      <w:pPr>
        <w:tabs>
          <w:tab w:val="left" w:pos="4962"/>
        </w:tabs>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EFD8BAC" w14:textId="77777777" w:rsidR="006A0905" w:rsidRPr="000C1B3F" w:rsidRDefault="006A0905">
      <w:pPr>
        <w:tabs>
          <w:tab w:val="left" w:pos="4962"/>
        </w:tabs>
        <w:spacing w:line="360" w:lineRule="auto"/>
        <w:jc w:val="both"/>
        <w:rPr>
          <w:rFonts w:ascii="Palatino Linotype" w:eastAsia="Palatino Linotype" w:hAnsi="Palatino Linotype" w:cs="Palatino Linotype"/>
          <w:sz w:val="22"/>
          <w:szCs w:val="22"/>
        </w:rPr>
      </w:pPr>
    </w:p>
    <w:p w14:paraId="3FE43F8B" w14:textId="77777777" w:rsidR="006A0905" w:rsidRPr="000C1B3F" w:rsidRDefault="00921788">
      <w:pPr>
        <w:pStyle w:val="Ttulo2"/>
        <w:spacing w:before="0" w:after="0" w:line="360" w:lineRule="auto"/>
        <w:jc w:val="both"/>
        <w:rPr>
          <w:rFonts w:ascii="Palatino Linotype" w:eastAsia="Palatino Linotype" w:hAnsi="Palatino Linotype" w:cs="Palatino Linotype"/>
          <w:b w:val="0"/>
          <w:sz w:val="22"/>
          <w:szCs w:val="22"/>
        </w:rPr>
      </w:pPr>
      <w:bookmarkStart w:id="11" w:name="_Toc210916244"/>
      <w:r w:rsidRPr="000C1B3F">
        <w:rPr>
          <w:rFonts w:ascii="Palatino Linotype" w:eastAsia="Palatino Linotype" w:hAnsi="Palatino Linotype" w:cs="Palatino Linotype"/>
          <w:sz w:val="22"/>
          <w:szCs w:val="22"/>
        </w:rPr>
        <w:lastRenderedPageBreak/>
        <w:t>CUARTO. Marco normativo aplicable en materia de transparencia y acceso a la información pública</w:t>
      </w:r>
      <w:bookmarkEnd w:id="11"/>
    </w:p>
    <w:p w14:paraId="32668D3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3444907"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DB2676A"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10360722"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BC4A9E"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698749C4"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0625D12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73D57CB0"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601D5CA1"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61776D85"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DB169C6"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A339E54"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El artículo 19, que, se presume que la información debe existir si se refiere a las facultades, competencias y funciones que los ordenamientos jurídicos aplicables otorgan a los sujetos </w:t>
      </w:r>
      <w:r w:rsidRPr="000C1B3F">
        <w:rPr>
          <w:rFonts w:ascii="Palatino Linotype" w:eastAsia="Palatino Linotype" w:hAnsi="Palatino Linotype" w:cs="Palatino Linotype"/>
          <w:sz w:val="22"/>
          <w:szCs w:val="22"/>
        </w:rPr>
        <w:lastRenderedPageBreak/>
        <w:t>obligados y en caso de que dichas facultades no se hayan ejercido, se deberá motivar la respuesta en función de las causas que motivaron tal circunstancia.</w:t>
      </w:r>
    </w:p>
    <w:p w14:paraId="094DEEB6"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0DCB68B4" w14:textId="77777777" w:rsidR="006A0905" w:rsidRPr="000C1B3F" w:rsidRDefault="00921788">
      <w:pPr>
        <w:pStyle w:val="Ttulo2"/>
        <w:spacing w:before="0" w:after="0" w:line="360" w:lineRule="auto"/>
        <w:rPr>
          <w:rFonts w:ascii="Palatino Linotype" w:eastAsia="Palatino Linotype" w:hAnsi="Palatino Linotype" w:cs="Palatino Linotype"/>
          <w:b w:val="0"/>
          <w:sz w:val="22"/>
          <w:szCs w:val="22"/>
        </w:rPr>
      </w:pPr>
      <w:bookmarkStart w:id="12" w:name="_Toc210916245"/>
      <w:r w:rsidRPr="000C1B3F">
        <w:rPr>
          <w:rFonts w:ascii="Palatino Linotype" w:eastAsia="Palatino Linotype" w:hAnsi="Palatino Linotype" w:cs="Palatino Linotype"/>
          <w:sz w:val="22"/>
          <w:szCs w:val="22"/>
        </w:rPr>
        <w:t>QUINTO. Estudio de Fondo</w:t>
      </w:r>
      <w:bookmarkEnd w:id="12"/>
    </w:p>
    <w:p w14:paraId="4F7C77CA"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750C5546"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Una vez expuesto lo anterior, es preciso proceder a la contextualización de la solicitud de información, que se relaciona con nómina y credenciales de la Unidad de Transparencia y de la Contraloría Municipal.</w:t>
      </w:r>
    </w:p>
    <w:p w14:paraId="753056E9"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A832BD8"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Al respecto, es preciso señalar que la Ley Orgánica Municipal del Estado de México prevé en su artículo 111 que en la estructura orgánica de los Municipios se deba contar con un órgano interno de control cuyo titular se denominará Contralora o Contralor, además, el Bando Municipal 2025, señala en el artículo 90, fracción I, numeral 3, la existencia del Órgano Interno de Control, y en el artículo 91, fracción III, que dicha área tiene como principales funciones la de control y fiscalización municipal, por tanto, se aprecia que el Órgano Interno de Control equivale a la Contraloría Municipal. No se omite señalar que no es posible tener por experto en la materia a la persona Recurrente y, por tanto, se suple en su favor el nombre del área.</w:t>
      </w:r>
    </w:p>
    <w:p w14:paraId="7535D96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DE23FC0"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Por su parte, el artículo 50 de la Ley de Transparencia y Acceso a la Información Pública del Estado de México y Municipios prevé que los Sujetos Obligados contarán con un área denominada Unidad de Transparencia que será la responsable para la atención de las solicitudes de información. Aunado a ello, el Código Reglamentario Municipal de Toluca de 2025,  en su artículo 5.43 prevé la existencia de la Unidad de Transparencia cuyo titular será designado por la persona titular de la Presidencia Municipal. </w:t>
      </w:r>
    </w:p>
    <w:p w14:paraId="5BB481FD"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36EBAD90" w14:textId="77777777" w:rsidR="006A0905" w:rsidRPr="000C1B3F" w:rsidRDefault="0092178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lastRenderedPageBreak/>
        <w:t>Recibos de nómina</w:t>
      </w:r>
    </w:p>
    <w:p w14:paraId="0A6E4150"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2CC3EED"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color w:val="000000"/>
          <w:sz w:val="22"/>
          <w:szCs w:val="22"/>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0C1B3F">
        <w:rPr>
          <w:rFonts w:ascii="Palatino Linotype" w:eastAsia="Palatino Linotype" w:hAnsi="Palatino Linotype" w:cs="Palatino Linotype"/>
          <w:b/>
          <w:color w:val="000000"/>
          <w:sz w:val="22"/>
          <w:szCs w:val="22"/>
        </w:rPr>
        <w:t>servidores públicos a todas las personas que desempeñen un empleo, cargo o comisión en los Municipios.</w:t>
      </w:r>
    </w:p>
    <w:p w14:paraId="3096F206" w14:textId="77777777" w:rsidR="006A0905" w:rsidRPr="000C1B3F" w:rsidRDefault="006A0905">
      <w:pPr>
        <w:spacing w:line="360" w:lineRule="auto"/>
        <w:jc w:val="both"/>
        <w:rPr>
          <w:rFonts w:ascii="Palatino Linotype" w:eastAsia="Palatino Linotype" w:hAnsi="Palatino Linotype" w:cs="Palatino Linotype"/>
          <w:b/>
          <w:color w:val="FF0000"/>
          <w:sz w:val="22"/>
          <w:szCs w:val="22"/>
        </w:rPr>
      </w:pPr>
    </w:p>
    <w:p w14:paraId="29CFA78C"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Además, el artículo 4°, fracción VI, de la Ley del Trabajo de los servidores públicos del Estado y Municipios, precisa que son </w:t>
      </w:r>
      <w:r w:rsidRPr="000C1B3F">
        <w:rPr>
          <w:rFonts w:ascii="Palatino Linotype" w:eastAsia="Palatino Linotype" w:hAnsi="Palatino Linotype" w:cs="Palatino Linotype"/>
          <w:b/>
          <w:color w:val="000000"/>
          <w:sz w:val="22"/>
          <w:szCs w:val="22"/>
        </w:rPr>
        <w:t>servidores públicos,</w:t>
      </w:r>
      <w:r w:rsidRPr="000C1B3F">
        <w:rPr>
          <w:rFonts w:ascii="Palatino Linotype" w:eastAsia="Palatino Linotype" w:hAnsi="Palatino Linotype" w:cs="Palatino Linotype"/>
          <w:color w:val="000000"/>
          <w:sz w:val="22"/>
          <w:szCs w:val="22"/>
        </w:rPr>
        <w:t xml:space="preserve"> todas las personas físicas que presten a una institución pública un trabajo personal subordinado, mediante el pago de un sueldo.</w:t>
      </w:r>
    </w:p>
    <w:p w14:paraId="1E5B77C2" w14:textId="77777777" w:rsidR="006A0905" w:rsidRPr="000C1B3F" w:rsidRDefault="006A0905">
      <w:pPr>
        <w:widowControl w:val="0"/>
        <w:spacing w:line="360" w:lineRule="auto"/>
        <w:jc w:val="both"/>
        <w:rPr>
          <w:rFonts w:ascii="Palatino Linotype" w:eastAsia="Palatino Linotype" w:hAnsi="Palatino Linotype" w:cs="Palatino Linotype"/>
          <w:color w:val="FF0000"/>
          <w:sz w:val="22"/>
          <w:szCs w:val="22"/>
        </w:rPr>
      </w:pPr>
    </w:p>
    <w:p w14:paraId="360E1569" w14:textId="77777777" w:rsidR="006A0905" w:rsidRPr="000C1B3F" w:rsidRDefault="00921788">
      <w:pPr>
        <w:widowControl w:val="0"/>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5581F01" w14:textId="77777777" w:rsidR="006A0905" w:rsidRPr="000C1B3F" w:rsidRDefault="006A0905">
      <w:pPr>
        <w:widowControl w:val="0"/>
        <w:spacing w:line="360" w:lineRule="auto"/>
        <w:jc w:val="both"/>
        <w:rPr>
          <w:rFonts w:ascii="Palatino Linotype" w:eastAsia="Palatino Linotype" w:hAnsi="Palatino Linotype" w:cs="Palatino Linotype"/>
          <w:color w:val="000000"/>
          <w:sz w:val="22"/>
          <w:szCs w:val="22"/>
        </w:rPr>
      </w:pPr>
    </w:p>
    <w:p w14:paraId="30AA5C9B" w14:textId="77777777" w:rsidR="006A0905" w:rsidRPr="000C1B3F" w:rsidRDefault="00921788">
      <w:pPr>
        <w:widowControl w:val="0"/>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E2AEDA2" w14:textId="77777777" w:rsidR="006A0905" w:rsidRPr="000C1B3F" w:rsidRDefault="00921788">
      <w:pPr>
        <w:widowControl w:val="0"/>
        <w:spacing w:line="360" w:lineRule="auto"/>
        <w:jc w:val="both"/>
        <w:rPr>
          <w:rFonts w:ascii="Palatino Linotype" w:eastAsia="Palatino Linotype" w:hAnsi="Palatino Linotype" w:cs="Palatino Linotype"/>
          <w:b/>
          <w:color w:val="FF0000"/>
          <w:sz w:val="22"/>
          <w:szCs w:val="22"/>
        </w:rPr>
      </w:pPr>
      <w:r w:rsidRPr="000C1B3F">
        <w:rPr>
          <w:rFonts w:ascii="Palatino Linotype" w:eastAsia="Palatino Linotype" w:hAnsi="Palatino Linotype" w:cs="Palatino Linotype"/>
          <w:color w:val="000000"/>
          <w:sz w:val="22"/>
          <w:szCs w:val="22"/>
        </w:rPr>
        <w:lastRenderedPageBreak/>
        <w:t>Por otra parte, respecto al documento requerido</w:t>
      </w:r>
      <w:r w:rsidRPr="000C1B3F">
        <w:rPr>
          <w:rFonts w:ascii="Palatino Linotype" w:eastAsia="Palatino Linotype" w:hAnsi="Palatino Linotype" w:cs="Palatino Linotype"/>
          <w:sz w:val="22"/>
          <w:szCs w:val="22"/>
        </w:rPr>
        <w:t>, el Glosario localizado en la página de Transparencia Presupuestaria de la Secretaría de Hacienda y Crédito Público (</w:t>
      </w:r>
      <w:hyperlink r:id="rId11">
        <w:r w:rsidR="006A0905" w:rsidRPr="000C1B3F">
          <w:rPr>
            <w:rFonts w:ascii="Palatino Linotype" w:eastAsia="Palatino Linotype" w:hAnsi="Palatino Linotype" w:cs="Palatino Linotype"/>
            <w:color w:val="0563C1"/>
            <w:sz w:val="22"/>
            <w:szCs w:val="22"/>
            <w:u w:val="single"/>
          </w:rPr>
          <w:t>http://www.transparenciapresupuestaria.gob.mx/es/PTP/Glosario</w:t>
        </w:r>
      </w:hyperlink>
      <w:r w:rsidRPr="000C1B3F">
        <w:rPr>
          <w:rFonts w:ascii="Palatino Linotype" w:eastAsia="Palatino Linotype" w:hAnsi="Palatino Linotype" w:cs="Palatino Linotype"/>
          <w:sz w:val="22"/>
          <w:szCs w:val="22"/>
        </w:rPr>
        <w:t xml:space="preserve">), establece que la </w:t>
      </w:r>
      <w:r w:rsidRPr="000C1B3F">
        <w:rPr>
          <w:rFonts w:ascii="Palatino Linotype" w:eastAsia="Palatino Linotype" w:hAnsi="Palatino Linotype" w:cs="Palatino Linotype"/>
          <w:b/>
          <w:sz w:val="22"/>
          <w:szCs w:val="22"/>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FEB605A" w14:textId="77777777" w:rsidR="006A0905" w:rsidRPr="000C1B3F" w:rsidRDefault="006A0905">
      <w:pPr>
        <w:widowControl w:val="0"/>
        <w:spacing w:line="360" w:lineRule="auto"/>
        <w:jc w:val="both"/>
        <w:rPr>
          <w:rFonts w:ascii="Palatino Linotype" w:eastAsia="Palatino Linotype" w:hAnsi="Palatino Linotype" w:cs="Palatino Linotype"/>
          <w:color w:val="FF0000"/>
          <w:sz w:val="22"/>
          <w:szCs w:val="22"/>
        </w:rPr>
      </w:pPr>
    </w:p>
    <w:p w14:paraId="03DC4A52" w14:textId="77777777" w:rsidR="006A0905" w:rsidRPr="000C1B3F" w:rsidRDefault="00921788">
      <w:pPr>
        <w:widowControl w:val="0"/>
        <w:spacing w:line="360" w:lineRule="auto"/>
        <w:jc w:val="both"/>
        <w:rPr>
          <w:rFonts w:ascii="Palatino Linotype" w:eastAsia="Palatino Linotype" w:hAnsi="Palatino Linotype" w:cs="Palatino Linotype"/>
          <w:b/>
          <w:color w:val="FF0000"/>
          <w:sz w:val="22"/>
          <w:szCs w:val="22"/>
        </w:rPr>
      </w:pPr>
      <w:r w:rsidRPr="000C1B3F">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2">
        <w:r w:rsidR="006A0905" w:rsidRPr="000C1B3F">
          <w:rPr>
            <w:rFonts w:ascii="Palatino Linotype" w:eastAsia="Palatino Linotype" w:hAnsi="Palatino Linotype" w:cs="Palatino Linotype"/>
            <w:color w:val="0563C1"/>
            <w:sz w:val="22"/>
            <w:szCs w:val="22"/>
            <w:u w:val="single"/>
          </w:rPr>
          <w:t>https://www.apartados.hacienda.gob.mx/contabilidad/documentos/informe_cuenta/1998/cuenta_publica/Glosario/n.htm</w:t>
        </w:r>
      </w:hyperlink>
      <w:r w:rsidRPr="000C1B3F">
        <w:rPr>
          <w:rFonts w:ascii="Palatino Linotype" w:eastAsia="Palatino Linotype" w:hAnsi="Palatino Linotype" w:cs="Palatino Linotype"/>
          <w:sz w:val="22"/>
          <w:szCs w:val="22"/>
        </w:rPr>
        <w:t xml:space="preserve">),  establece que la </w:t>
      </w:r>
      <w:r w:rsidRPr="000C1B3F">
        <w:rPr>
          <w:rFonts w:ascii="Palatino Linotype" w:eastAsia="Palatino Linotype" w:hAnsi="Palatino Linotype" w:cs="Palatino Linotype"/>
          <w:b/>
          <w:sz w:val="22"/>
          <w:szCs w:val="22"/>
          <w:u w:val="single"/>
        </w:rPr>
        <w:t>nómina es un listado general</w:t>
      </w:r>
      <w:r w:rsidRPr="000C1B3F">
        <w:rPr>
          <w:rFonts w:ascii="Palatino Linotype" w:eastAsia="Palatino Linotype" w:hAnsi="Palatino Linotype" w:cs="Palatino Linotype"/>
          <w:b/>
          <w:sz w:val="22"/>
          <w:szCs w:val="22"/>
        </w:rPr>
        <w:t xml:space="preserve"> de los trabajadores de una institución, en el cual se asientan las percepciones brutas, deducciones y alcance neto de las mismas.</w:t>
      </w:r>
    </w:p>
    <w:p w14:paraId="351BD560" w14:textId="77777777" w:rsidR="006A0905" w:rsidRPr="000C1B3F" w:rsidRDefault="006A0905">
      <w:pPr>
        <w:widowControl w:val="0"/>
        <w:spacing w:line="360" w:lineRule="auto"/>
        <w:jc w:val="both"/>
        <w:rPr>
          <w:rFonts w:ascii="Palatino Linotype" w:eastAsia="Palatino Linotype" w:hAnsi="Palatino Linotype" w:cs="Palatino Linotype"/>
          <w:color w:val="FF0000"/>
          <w:sz w:val="22"/>
          <w:szCs w:val="22"/>
        </w:rPr>
      </w:pPr>
    </w:p>
    <w:p w14:paraId="07D59673" w14:textId="77777777" w:rsidR="006A0905" w:rsidRPr="000C1B3F" w:rsidRDefault="00921788">
      <w:pPr>
        <w:widowControl w:val="0"/>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Conforme a lo anterior, se puede advertir que la nómina se puede referir a lo siguiente: </w:t>
      </w:r>
    </w:p>
    <w:p w14:paraId="27F973B3" w14:textId="77777777" w:rsidR="006A0905" w:rsidRPr="000C1B3F" w:rsidRDefault="006A0905">
      <w:pPr>
        <w:widowControl w:val="0"/>
        <w:spacing w:line="360" w:lineRule="auto"/>
        <w:jc w:val="both"/>
        <w:rPr>
          <w:rFonts w:ascii="Palatino Linotype" w:eastAsia="Palatino Linotype" w:hAnsi="Palatino Linotype" w:cs="Palatino Linotype"/>
          <w:sz w:val="22"/>
          <w:szCs w:val="22"/>
        </w:rPr>
      </w:pPr>
    </w:p>
    <w:p w14:paraId="27D85D2A" w14:textId="77777777" w:rsidR="006A0905" w:rsidRPr="000C1B3F" w:rsidRDefault="00921788">
      <w:pPr>
        <w:widowControl w:val="0"/>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Relación de trabajadores con las percepciones monetarias de cada uno.</w:t>
      </w:r>
    </w:p>
    <w:p w14:paraId="327AE482" w14:textId="77777777" w:rsidR="006A0905" w:rsidRPr="000C1B3F" w:rsidRDefault="006A0905">
      <w:pPr>
        <w:widowControl w:val="0"/>
        <w:spacing w:line="360" w:lineRule="auto"/>
        <w:jc w:val="both"/>
        <w:rPr>
          <w:rFonts w:ascii="Palatino Linotype" w:eastAsia="Palatino Linotype" w:hAnsi="Palatino Linotype" w:cs="Palatino Linotype"/>
          <w:sz w:val="22"/>
          <w:szCs w:val="22"/>
        </w:rPr>
      </w:pPr>
    </w:p>
    <w:p w14:paraId="2F9D174F" w14:textId="77777777" w:rsidR="006A0905" w:rsidRPr="000C1B3F" w:rsidRDefault="00921788">
      <w:pPr>
        <w:widowControl w:val="0"/>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Recibo individual que contiene las prestaciones y deducciones de un trabajador. </w:t>
      </w:r>
    </w:p>
    <w:p w14:paraId="38940180" w14:textId="77777777" w:rsidR="006A0905" w:rsidRPr="000C1B3F" w:rsidRDefault="006A0905">
      <w:pPr>
        <w:widowControl w:val="0"/>
        <w:spacing w:line="360" w:lineRule="auto"/>
        <w:jc w:val="both"/>
        <w:rPr>
          <w:rFonts w:ascii="Palatino Linotype" w:eastAsia="Palatino Linotype" w:hAnsi="Palatino Linotype" w:cs="Palatino Linotype"/>
          <w:sz w:val="22"/>
          <w:szCs w:val="22"/>
        </w:rPr>
      </w:pPr>
    </w:p>
    <w:p w14:paraId="210A5023" w14:textId="77777777" w:rsidR="006A0905" w:rsidRPr="000C1B3F" w:rsidRDefault="00921788">
      <w:pPr>
        <w:widowControl w:val="0"/>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color w:val="FF0000"/>
          <w:sz w:val="22"/>
          <w:szCs w:val="22"/>
        </w:rPr>
      </w:pPr>
      <w:r w:rsidRPr="000C1B3F">
        <w:rPr>
          <w:rFonts w:ascii="Palatino Linotype" w:eastAsia="Palatino Linotype" w:hAnsi="Palatino Linotype" w:cs="Palatino Linotype"/>
          <w:b/>
          <w:color w:val="000000"/>
          <w:sz w:val="22"/>
          <w:szCs w:val="22"/>
        </w:rPr>
        <w:t>Listado general de los servidores públicos de una institución o dependencia, en el cual se asientan las percepciones brutas, deducciones y alcance neto de las mismas.</w:t>
      </w:r>
    </w:p>
    <w:p w14:paraId="23B110E1" w14:textId="77777777" w:rsidR="006A0905" w:rsidRPr="000C1B3F" w:rsidRDefault="006A0905">
      <w:pPr>
        <w:widowControl w:val="0"/>
        <w:spacing w:line="360" w:lineRule="auto"/>
        <w:jc w:val="both"/>
        <w:rPr>
          <w:rFonts w:ascii="Palatino Linotype" w:eastAsia="Palatino Linotype" w:hAnsi="Palatino Linotype" w:cs="Palatino Linotype"/>
          <w:sz w:val="22"/>
          <w:szCs w:val="22"/>
        </w:rPr>
      </w:pPr>
    </w:p>
    <w:p w14:paraId="5AE14A20" w14:textId="77777777" w:rsidR="006A0905" w:rsidRPr="000C1B3F" w:rsidRDefault="00921788">
      <w:pPr>
        <w:widowControl w:val="0"/>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En ese contexto, los Lineamientos para la Integración y Entrega del Informe Trimestrales </w:t>
      </w:r>
      <w:r w:rsidRPr="000C1B3F">
        <w:rPr>
          <w:rFonts w:ascii="Palatino Linotype" w:eastAsia="Palatino Linotype" w:hAnsi="Palatino Linotype" w:cs="Palatino Linotype"/>
          <w:sz w:val="22"/>
          <w:szCs w:val="22"/>
        </w:rPr>
        <w:lastRenderedPageBreak/>
        <w:t>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w:t>
      </w:r>
    </w:p>
    <w:p w14:paraId="0FE584EB" w14:textId="77777777" w:rsidR="006A0905" w:rsidRPr="000C1B3F" w:rsidRDefault="006A0905">
      <w:pPr>
        <w:widowControl w:val="0"/>
        <w:spacing w:line="360" w:lineRule="auto"/>
        <w:jc w:val="both"/>
        <w:rPr>
          <w:rFonts w:ascii="Palatino Linotype" w:eastAsia="Palatino Linotype" w:hAnsi="Palatino Linotype" w:cs="Palatino Linotype"/>
          <w:sz w:val="22"/>
          <w:szCs w:val="22"/>
        </w:rPr>
      </w:pPr>
    </w:p>
    <w:p w14:paraId="7328F64C" w14:textId="77777777" w:rsidR="006A0905" w:rsidRPr="000C1B3F" w:rsidRDefault="00921788">
      <w:pPr>
        <w:spacing w:line="360" w:lineRule="auto"/>
        <w:ind w:right="-28"/>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Por otro lado, la lista de raya consiste en un registro contable que contienen la relación de los trabajadores, en los que se asientan sus remuneraciones; sin embargo, en el presente caso, en dicho documento únicamente se encuentran los trabajadores contratados por determinado tiempo o eventuales; lo anterior, conforme al artículo 804, fracción II, de la Ley Federal de Trabajo, que señala que el patrón tiene la obligación de conservar y en su caso exhibir en juicio los documentos consistentes en </w:t>
      </w:r>
      <w:r w:rsidRPr="000C1B3F">
        <w:rPr>
          <w:rFonts w:ascii="Palatino Linotype" w:eastAsia="Palatino Linotype" w:hAnsi="Palatino Linotype" w:cs="Palatino Linotype"/>
          <w:b/>
          <w:sz w:val="22"/>
          <w:szCs w:val="22"/>
        </w:rPr>
        <w:t>la lista de raya</w:t>
      </w:r>
      <w:r w:rsidRPr="000C1B3F">
        <w:rPr>
          <w:rFonts w:ascii="Palatino Linotype" w:eastAsia="Palatino Linotype" w:hAnsi="Palatino Linotype" w:cs="Palatino Linotype"/>
          <w:sz w:val="22"/>
          <w:szCs w:val="22"/>
        </w:rPr>
        <w:t xml:space="preserve">, cuando se lleven en el centro de trabajo o recibos de pagos de salarios. </w:t>
      </w:r>
    </w:p>
    <w:p w14:paraId="057DB407" w14:textId="77777777" w:rsidR="006A0905" w:rsidRPr="000C1B3F" w:rsidRDefault="006A0905">
      <w:pPr>
        <w:spacing w:line="360" w:lineRule="auto"/>
        <w:ind w:right="-28"/>
        <w:jc w:val="both"/>
        <w:rPr>
          <w:rFonts w:ascii="Palatino Linotype" w:eastAsia="Palatino Linotype" w:hAnsi="Palatino Linotype" w:cs="Palatino Linotype"/>
          <w:sz w:val="22"/>
          <w:szCs w:val="22"/>
        </w:rPr>
      </w:pPr>
    </w:p>
    <w:p w14:paraId="4270321B" w14:textId="77777777" w:rsidR="006A0905" w:rsidRPr="000C1B3F" w:rsidRDefault="00921788">
      <w:pPr>
        <w:spacing w:line="360" w:lineRule="auto"/>
        <w:ind w:right="-28"/>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En ese orden de ideas, el artículo 50 de la Ley del Trabajo de los Servidores Públicos del Estado y Municipios, señala que el servidor público que se </w:t>
      </w:r>
      <w:r w:rsidRPr="000C1B3F">
        <w:rPr>
          <w:rFonts w:ascii="Palatino Linotype" w:eastAsia="Palatino Linotype" w:hAnsi="Palatino Linotype" w:cs="Palatino Linotype"/>
          <w:b/>
          <w:sz w:val="22"/>
          <w:szCs w:val="22"/>
        </w:rPr>
        <w:t>encuentre en la lista de raya</w:t>
      </w:r>
      <w:r w:rsidRPr="000C1B3F">
        <w:rPr>
          <w:rFonts w:ascii="Palatino Linotype" w:eastAsia="Palatino Linotype" w:hAnsi="Palatino Linotype" w:cs="Palatino Linotype"/>
          <w:sz w:val="22"/>
          <w:szCs w:val="22"/>
        </w:rPr>
        <w:t>, se obliga a cumplir con los deberes inherentes al puesto especificado en el contrato, nombramiento o formato único de Movimiento de Personal.</w:t>
      </w:r>
    </w:p>
    <w:p w14:paraId="653F0D2C"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EE9493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Aunado a lo anterior el artículo 3.21 del Código Reglamentario Municipal de Toluca 2025, establece las facultades de la Tesorería Municipal, de la que destaca las descritas en las fracciones XXV, XXVI y XXVIII, que determinan la atribución de pagar la nómina, gestionar y preparar el pago de nómina y/o listas de raya que deben pagarse, así como de informar a la </w:t>
      </w:r>
      <w:r w:rsidRPr="000C1B3F">
        <w:rPr>
          <w:rFonts w:ascii="Palatino Linotype" w:eastAsia="Palatino Linotype" w:hAnsi="Palatino Linotype" w:cs="Palatino Linotype"/>
          <w:color w:val="000000"/>
          <w:sz w:val="22"/>
          <w:szCs w:val="22"/>
        </w:rPr>
        <w:lastRenderedPageBreak/>
        <w:t xml:space="preserve">Dirección de Recursos Humanos sobre la nómina pagada y pagos cancelados, por tanto, </w:t>
      </w:r>
      <w:r w:rsidRPr="000C1B3F">
        <w:rPr>
          <w:rFonts w:ascii="Palatino Linotype" w:eastAsia="Palatino Linotype" w:hAnsi="Palatino Linotype" w:cs="Palatino Linotype"/>
          <w:b/>
          <w:color w:val="000000"/>
          <w:sz w:val="22"/>
          <w:szCs w:val="22"/>
        </w:rPr>
        <w:t xml:space="preserve">la Tesorería Municipal puede ser competente para conocer de la información solicitada.  </w:t>
      </w:r>
    </w:p>
    <w:p w14:paraId="16ABBDD2"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559DE326"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color w:val="000000"/>
          <w:sz w:val="22"/>
          <w:szCs w:val="22"/>
        </w:rPr>
        <w:t>Por su parte, el artículo 3.33, fracción VI.</w:t>
      </w:r>
      <w:r w:rsidRPr="000C1B3F">
        <w:rPr>
          <w:rFonts w:ascii="Palatino Linotype" w:eastAsia="Palatino Linotype" w:hAnsi="Palatino Linotype" w:cs="Palatino Linotype"/>
          <w:b/>
          <w:color w:val="000000"/>
          <w:sz w:val="22"/>
          <w:szCs w:val="22"/>
        </w:rPr>
        <w:t xml:space="preserve"> </w:t>
      </w:r>
      <w:r w:rsidRPr="000C1B3F">
        <w:rPr>
          <w:rFonts w:ascii="Palatino Linotype" w:eastAsia="Palatino Linotype" w:hAnsi="Palatino Linotype" w:cs="Palatino Linotype"/>
          <w:color w:val="000000"/>
          <w:sz w:val="22"/>
          <w:szCs w:val="22"/>
        </w:rPr>
        <w:t xml:space="preserve">del Código Reglamentario Municipal de Toluca, señala que la Dirección de Recursos Humanos, tiene atribuciones para coadyuvar con la Tesorería Municipal en la elaboración y distribución oportuna de la nómina para el pago al personal que labora en el Ayuntamiento, por concepto de sueldos, prestaciones, liquidaciones y finiquitos apegándose al presupuesto autorizado aplicado a través del capítulo 1000; así como en lo relativo a las determinaciones de los impuestos y la emisión de los CFDI correspondientes una vez realizado el pago; por tanto, se aprecia que </w:t>
      </w:r>
      <w:r w:rsidRPr="000C1B3F">
        <w:rPr>
          <w:rFonts w:ascii="Palatino Linotype" w:eastAsia="Palatino Linotype" w:hAnsi="Palatino Linotype" w:cs="Palatino Linotype"/>
          <w:b/>
          <w:color w:val="000000"/>
          <w:sz w:val="22"/>
          <w:szCs w:val="22"/>
        </w:rPr>
        <w:t xml:space="preserve">la Dirección de Recursos Humanos puede ser competente también para conocer del sueldo. </w:t>
      </w:r>
    </w:p>
    <w:p w14:paraId="25201C0C"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BE0B9C5" w14:textId="77777777" w:rsidR="006A0905" w:rsidRPr="000C1B3F" w:rsidRDefault="0092178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Credenciales</w:t>
      </w:r>
    </w:p>
    <w:p w14:paraId="5743AA5C"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9EB658F" w14:textId="77777777" w:rsidR="006A0905" w:rsidRPr="000C1B3F" w:rsidRDefault="00921788">
      <w:pPr>
        <w:spacing w:line="360" w:lineRule="auto"/>
        <w:jc w:val="both"/>
        <w:rPr>
          <w:rFonts w:ascii="Palatino Linotype" w:eastAsia="Palatino Linotype" w:hAnsi="Palatino Linotype" w:cs="Palatino Linotype"/>
          <w:b/>
          <w:sz w:val="22"/>
          <w:szCs w:val="22"/>
        </w:rPr>
      </w:pPr>
      <w:r w:rsidRPr="000C1B3F">
        <w:rPr>
          <w:rFonts w:ascii="Palatino Linotype" w:eastAsia="Palatino Linotype" w:hAnsi="Palatino Linotype" w:cs="Palatino Linotype"/>
          <w:sz w:val="22"/>
          <w:szCs w:val="22"/>
        </w:rPr>
        <w:t xml:space="preserve">Al respecto, el artículo 93, fracciones XVI y XVII de la Ley del Trabajo de los Servidores Públicos del Estado y Municipios, además de diversas razones, entre ellas la de portar y hacer uso de credenciales de identificación no autorizadas por la autoridad competente, aunado a registrar asistencia con un gafete –credencial distinta al suyo, con lo que se advierte que los servidores públicos pueden contar con credenciales expedidas por el Sujeto Obligado.  </w:t>
      </w:r>
    </w:p>
    <w:p w14:paraId="36A40C7F"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E802D0B"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Ahora bien, para el caso de las credenciales de las personas servidoras públicas, al respecto, se debe tener en consideración que de conformidad con el artículo 11.82, fracción XII del Código Reglamentario Municipal de Toluca 2025, señala como parte de las obligaciones de las y los servidores públicos la de portar en lugar visible, durante la jornada laboral, el gafete / credencial expedido por la </w:t>
      </w:r>
      <w:r w:rsidRPr="000C1B3F">
        <w:rPr>
          <w:rFonts w:ascii="Palatino Linotype" w:eastAsia="Palatino Linotype" w:hAnsi="Palatino Linotype" w:cs="Palatino Linotype"/>
          <w:b/>
          <w:color w:val="000000"/>
          <w:sz w:val="22"/>
          <w:szCs w:val="22"/>
        </w:rPr>
        <w:t xml:space="preserve">Dirección General de Administración, por lo que dicha área </w:t>
      </w:r>
      <w:r w:rsidRPr="000C1B3F">
        <w:rPr>
          <w:rFonts w:ascii="Palatino Linotype" w:eastAsia="Palatino Linotype" w:hAnsi="Palatino Linotype" w:cs="Palatino Linotype"/>
          <w:b/>
          <w:color w:val="000000"/>
          <w:sz w:val="22"/>
          <w:szCs w:val="22"/>
        </w:rPr>
        <w:lastRenderedPageBreak/>
        <w:t>resulta competente para conocer de la información solicitada correspondiente a las credenciales de las personas servidoras públicas.</w:t>
      </w:r>
      <w:r w:rsidRPr="000C1B3F">
        <w:rPr>
          <w:rFonts w:ascii="Palatino Linotype" w:eastAsia="Palatino Linotype" w:hAnsi="Palatino Linotype" w:cs="Palatino Linotype"/>
          <w:color w:val="000000"/>
          <w:sz w:val="22"/>
          <w:szCs w:val="22"/>
        </w:rPr>
        <w:t xml:space="preserve"> </w:t>
      </w:r>
    </w:p>
    <w:p w14:paraId="264CCEB9"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Ante dicha circunstancia, es necesario precisar que de las constancias que obran en el expediente electrónico, se logra advertir que se pronunció la Directora General de Administración y la Dirección de Recursos Humanos, por lo que, resulta necesario hacer referencia al </w:t>
      </w:r>
      <w:r w:rsidRPr="000C1B3F">
        <w:rPr>
          <w:rFonts w:ascii="Palatino Linotype" w:eastAsia="Palatino Linotype" w:hAnsi="Palatino Linotype" w:cs="Palatino Linotype"/>
          <w:b/>
          <w:sz w:val="22"/>
          <w:szCs w:val="22"/>
        </w:rPr>
        <w:t>procedimiento de búsqueda que deben seguir los Sujetos Obligados para localizar la información,</w:t>
      </w:r>
      <w:r w:rsidRPr="000C1B3F">
        <w:rPr>
          <w:rFonts w:ascii="Palatino Linotype" w:eastAsia="Palatino Linotype" w:hAnsi="Palatino Linotype" w:cs="Palatino Linotype"/>
          <w:sz w:val="22"/>
          <w:szCs w:val="22"/>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BA34CDF"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72C8F3A8"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Conforme a lo anterior se logra advertir </w:t>
      </w:r>
      <w:r w:rsidRPr="000C1B3F">
        <w:rPr>
          <w:rFonts w:ascii="Palatino Linotype" w:eastAsia="Palatino Linotype" w:hAnsi="Palatino Linotype" w:cs="Palatino Linotype"/>
          <w:b/>
          <w:sz w:val="22"/>
          <w:szCs w:val="22"/>
        </w:rPr>
        <w:t xml:space="preserve">que el Sujeto Obligado cumplió parcialmente con el procedimiento de búsqueda </w:t>
      </w:r>
      <w:r w:rsidRPr="000C1B3F">
        <w:rPr>
          <w:rFonts w:ascii="Palatino Linotype" w:eastAsia="Palatino Linotype" w:hAnsi="Palatino Linotype" w:cs="Palatino Linotype"/>
          <w:sz w:val="22"/>
          <w:szCs w:val="22"/>
        </w:rPr>
        <w:t xml:space="preserve">previsto en el artículo 162 de la Ley de Transparencia y Acceso a la Información Pública del Estado de México y Municipios, toda vez que turnó la solicitud de información a algunas de las áreas competentes para conocer respecto de lo solicitado, en el que </w:t>
      </w:r>
      <w:r w:rsidRPr="000C1B3F">
        <w:rPr>
          <w:rFonts w:ascii="Palatino Linotype" w:eastAsia="Palatino Linotype" w:hAnsi="Palatino Linotype" w:cs="Palatino Linotype"/>
          <w:b/>
          <w:sz w:val="22"/>
          <w:szCs w:val="22"/>
        </w:rPr>
        <w:t>faltó el</w:t>
      </w:r>
      <w:r w:rsidRPr="000C1B3F">
        <w:rPr>
          <w:rFonts w:ascii="Palatino Linotype" w:eastAsia="Palatino Linotype" w:hAnsi="Palatino Linotype" w:cs="Palatino Linotype"/>
          <w:sz w:val="22"/>
          <w:szCs w:val="22"/>
        </w:rPr>
        <w:t xml:space="preserve"> </w:t>
      </w:r>
      <w:r w:rsidRPr="000C1B3F">
        <w:rPr>
          <w:rFonts w:ascii="Palatino Linotype" w:eastAsia="Palatino Linotype" w:hAnsi="Palatino Linotype" w:cs="Palatino Linotype"/>
          <w:b/>
          <w:sz w:val="22"/>
          <w:szCs w:val="22"/>
        </w:rPr>
        <w:t>turno a la Tesorería Municipal.</w:t>
      </w:r>
    </w:p>
    <w:p w14:paraId="22385C8F" w14:textId="77777777" w:rsidR="006A0905" w:rsidRPr="000C1B3F" w:rsidRDefault="006A0905">
      <w:pPr>
        <w:spacing w:line="360" w:lineRule="auto"/>
        <w:jc w:val="both"/>
        <w:rPr>
          <w:rFonts w:ascii="Palatino Linotype" w:eastAsia="Palatino Linotype" w:hAnsi="Palatino Linotype" w:cs="Palatino Linotype"/>
          <w:b/>
          <w:sz w:val="22"/>
          <w:szCs w:val="22"/>
        </w:rPr>
      </w:pPr>
    </w:p>
    <w:p w14:paraId="67439C69" w14:textId="10D55A46"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Al respecto, cabe recordar que la parte Recurrente pretende </w:t>
      </w:r>
      <w:r w:rsidR="000136B4" w:rsidRPr="000C1B3F">
        <w:rPr>
          <w:rFonts w:ascii="Palatino Linotype" w:eastAsia="Palatino Linotype" w:hAnsi="Palatino Linotype" w:cs="Palatino Linotype"/>
          <w:sz w:val="22"/>
          <w:szCs w:val="22"/>
        </w:rPr>
        <w:t>acceder respecto a los servidores públicos adscritos a la Unidad de Transparencia y la Contraloría Municipal en funciones al once de junio de dos mil veinticinco, lo siguiente:</w:t>
      </w:r>
    </w:p>
    <w:p w14:paraId="483E0716" w14:textId="77777777" w:rsidR="000136B4" w:rsidRPr="000C1B3F" w:rsidRDefault="000136B4">
      <w:pPr>
        <w:spacing w:line="360" w:lineRule="auto"/>
        <w:jc w:val="both"/>
        <w:rPr>
          <w:rFonts w:ascii="Palatino Linotype" w:eastAsia="Palatino Linotype" w:hAnsi="Palatino Linotype" w:cs="Palatino Linotype"/>
          <w:sz w:val="22"/>
          <w:szCs w:val="22"/>
        </w:rPr>
      </w:pPr>
    </w:p>
    <w:p w14:paraId="6171CF48" w14:textId="6D807D45" w:rsidR="006A0905" w:rsidRPr="000C1B3F" w:rsidRDefault="00921788">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Cs/>
          <w:color w:val="000000"/>
          <w:sz w:val="22"/>
          <w:szCs w:val="22"/>
        </w:rPr>
      </w:pPr>
      <w:r w:rsidRPr="000C1B3F">
        <w:rPr>
          <w:rFonts w:ascii="Palatino Linotype" w:eastAsia="Palatino Linotype" w:hAnsi="Palatino Linotype" w:cs="Palatino Linotype"/>
          <w:bCs/>
          <w:color w:val="000000"/>
          <w:sz w:val="22"/>
          <w:szCs w:val="22"/>
        </w:rPr>
        <w:t xml:space="preserve">Recibos de nómina de </w:t>
      </w:r>
      <w:r w:rsidR="000136B4" w:rsidRPr="000C1B3F">
        <w:rPr>
          <w:rFonts w:ascii="Palatino Linotype" w:eastAsia="Palatino Linotype" w:hAnsi="Palatino Linotype" w:cs="Palatino Linotype"/>
          <w:bCs/>
          <w:color w:val="000000"/>
          <w:sz w:val="22"/>
          <w:szCs w:val="22"/>
        </w:rPr>
        <w:t>la segunda</w:t>
      </w:r>
      <w:r w:rsidRPr="000C1B3F">
        <w:rPr>
          <w:rFonts w:ascii="Palatino Linotype" w:eastAsia="Palatino Linotype" w:hAnsi="Palatino Linotype" w:cs="Palatino Linotype"/>
          <w:bCs/>
          <w:color w:val="000000"/>
          <w:sz w:val="22"/>
          <w:szCs w:val="22"/>
        </w:rPr>
        <w:t xml:space="preserve"> quincena de mayo de </w:t>
      </w:r>
      <w:r w:rsidR="000136B4" w:rsidRPr="000C1B3F">
        <w:rPr>
          <w:rFonts w:ascii="Palatino Linotype" w:eastAsia="Palatino Linotype" w:hAnsi="Palatino Linotype" w:cs="Palatino Linotype"/>
          <w:bCs/>
          <w:color w:val="000000"/>
          <w:sz w:val="22"/>
          <w:szCs w:val="22"/>
        </w:rPr>
        <w:t>dos mil veinticinco, y</w:t>
      </w:r>
    </w:p>
    <w:p w14:paraId="6629E17C" w14:textId="77777777" w:rsidR="006A0905" w:rsidRPr="000C1B3F" w:rsidRDefault="00921788">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Cs/>
          <w:color w:val="000000"/>
          <w:sz w:val="22"/>
          <w:szCs w:val="22"/>
        </w:rPr>
      </w:pPr>
      <w:r w:rsidRPr="000C1B3F">
        <w:rPr>
          <w:rFonts w:ascii="Palatino Linotype" w:eastAsia="Palatino Linotype" w:hAnsi="Palatino Linotype" w:cs="Palatino Linotype"/>
          <w:bCs/>
          <w:color w:val="000000"/>
          <w:sz w:val="22"/>
          <w:szCs w:val="22"/>
        </w:rPr>
        <w:t>Credenciales</w:t>
      </w:r>
    </w:p>
    <w:p w14:paraId="222B86C9"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lastRenderedPageBreak/>
        <w:t>Así pues, en atención a la respuesta se procede a su análisis de forma separada, en los siguientes términos:</w:t>
      </w:r>
    </w:p>
    <w:p w14:paraId="7ADE830A"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5561569" w14:textId="77777777" w:rsidR="006A0905" w:rsidRPr="000C1B3F" w:rsidRDefault="00921788">
      <w:pPr>
        <w:numPr>
          <w:ilvl w:val="1"/>
          <w:numId w:val="4"/>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u w:val="single"/>
        </w:rPr>
      </w:pPr>
      <w:r w:rsidRPr="000C1B3F">
        <w:rPr>
          <w:rFonts w:ascii="Palatino Linotype" w:eastAsia="Palatino Linotype" w:hAnsi="Palatino Linotype" w:cs="Palatino Linotype"/>
          <w:b/>
          <w:color w:val="000000"/>
          <w:sz w:val="22"/>
          <w:szCs w:val="22"/>
          <w:u w:val="single"/>
        </w:rPr>
        <w:t>Recibos de nómina</w:t>
      </w:r>
    </w:p>
    <w:p w14:paraId="128043E0"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DB89CF9"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este contexto normativo, se procede al análisis de la respuesta proporcionada por el Sujeto Obligado, puesto que </w:t>
      </w:r>
      <w:r w:rsidRPr="000C1B3F">
        <w:rPr>
          <w:rFonts w:ascii="Palatino Linotype" w:eastAsia="Palatino Linotype" w:hAnsi="Palatino Linotype" w:cs="Palatino Linotype"/>
          <w:sz w:val="22"/>
          <w:szCs w:val="22"/>
        </w:rPr>
        <w:t xml:space="preserve">la Dirección de Recursos Humanos, indicó una liga de </w:t>
      </w:r>
      <w:r w:rsidRPr="000C1B3F">
        <w:rPr>
          <w:rFonts w:ascii="Palatino Linotype" w:eastAsia="Palatino Linotype" w:hAnsi="Palatino Linotype" w:cs="Palatino Linotype"/>
          <w:i/>
          <w:sz w:val="22"/>
          <w:szCs w:val="22"/>
        </w:rPr>
        <w:t xml:space="preserve">Internet </w:t>
      </w:r>
      <w:r w:rsidRPr="000C1B3F">
        <w:rPr>
          <w:rFonts w:ascii="Palatino Linotype" w:eastAsia="Palatino Linotype" w:hAnsi="Palatino Linotype" w:cs="Palatino Linotype"/>
          <w:sz w:val="22"/>
          <w:szCs w:val="22"/>
        </w:rPr>
        <w:t>para consultar las remuneraciones en formato cerrado</w:t>
      </w:r>
      <w:r w:rsidRPr="000C1B3F">
        <w:rPr>
          <w:rFonts w:ascii="Palatino Linotype" w:eastAsia="Palatino Linotype" w:hAnsi="Palatino Linotype" w:cs="Palatino Linotype"/>
          <w:color w:val="000000"/>
          <w:sz w:val="22"/>
          <w:szCs w:val="22"/>
        </w:rPr>
        <w:t>, al respecto, es preciso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0E6AE9EE"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369D116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2B149E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266CE036" w14:textId="77777777" w:rsidR="006A0905" w:rsidRPr="000C1B3F" w:rsidRDefault="00921788">
      <w:pPr>
        <w:numPr>
          <w:ilvl w:val="0"/>
          <w:numId w:val="6"/>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Dato abierto:</w:t>
      </w:r>
      <w:r w:rsidRPr="000C1B3F">
        <w:rPr>
          <w:rFonts w:ascii="Palatino Linotype" w:eastAsia="Palatino Linotype" w:hAnsi="Palatino Linotype" w:cs="Palatino Linotype"/>
          <w:color w:val="000000"/>
          <w:sz w:val="22"/>
          <w:szCs w:val="22"/>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9E2416C"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37F4A2DA" w14:textId="77777777" w:rsidR="006A0905" w:rsidRPr="000C1B3F" w:rsidRDefault="00921788">
      <w:pPr>
        <w:numPr>
          <w:ilvl w:val="0"/>
          <w:numId w:val="6"/>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Formato accesible:</w:t>
      </w:r>
      <w:r w:rsidRPr="000C1B3F">
        <w:rPr>
          <w:rFonts w:ascii="Palatino Linotype" w:eastAsia="Palatino Linotype" w:hAnsi="Palatino Linotype" w:cs="Palatino Linotype"/>
          <w:color w:val="000000"/>
          <w:sz w:val="22"/>
          <w:szCs w:val="22"/>
        </w:rPr>
        <w:t xml:space="preserve"> Conjunto de características técnicas y de presentación de la información que corresponden a la estructura lógica usada para almacenar datos de forma integral y facilitan su procesamiento digital, cuyas especificaciones estás </w:t>
      </w:r>
      <w:r w:rsidRPr="000C1B3F">
        <w:rPr>
          <w:rFonts w:ascii="Palatino Linotype" w:eastAsia="Palatino Linotype" w:hAnsi="Palatino Linotype" w:cs="Palatino Linotype"/>
          <w:color w:val="000000"/>
          <w:sz w:val="22"/>
          <w:szCs w:val="22"/>
        </w:rPr>
        <w:lastRenderedPageBreak/>
        <w:t>disponibles públicamente y que permite el acceso sin restricción de uso por parte de los usuarios.</w:t>
      </w:r>
    </w:p>
    <w:p w14:paraId="3F185E23"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24E02F7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las personas Particulares, para obtener la información contenida estas.</w:t>
      </w:r>
    </w:p>
    <w:p w14:paraId="478AD941"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34BD5C58"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F8C6B9E"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909697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Cómo se logra observar, el Sujeto Obligado si bien señaló una página electrónica y que la información se encontraba en los estados comparativos de egresos, omitió proporcionar en formato abierto, lo cual implica la dificultad de acceder a la misma, pues se traduce al hecho de que la Particular tendría que colocar cada dígito alfanumérico, y cuya equivocación implicaría no acceder a la información contenida en las mismas; de igual forma omitió y señalar en qué parte de los estados comparativos de egresos se localiza el pago por los eventos señalados en la solicitud. </w:t>
      </w:r>
    </w:p>
    <w:p w14:paraId="691F9E45"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BA8EAA6" w14:textId="3E4C3D07" w:rsidR="000136B4"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Sin menoscabar lo anterior, este Instituto revisó la liga electrónica remitida en ambas respuestas, de la que se advierte que remite al Sitio de Información Pública de Oficio </w:t>
      </w:r>
      <w:r w:rsidRPr="000C1B3F">
        <w:rPr>
          <w:rFonts w:ascii="Palatino Linotype" w:eastAsia="Palatino Linotype" w:hAnsi="Palatino Linotype" w:cs="Palatino Linotype"/>
          <w:color w:val="000000"/>
          <w:sz w:val="22"/>
          <w:szCs w:val="22"/>
        </w:rPr>
        <w:lastRenderedPageBreak/>
        <w:t>Mexiquense, en lo sucesivo IPOMEX, del Sujeto Obligado, del ejercicio 2025, en su apartado de “</w:t>
      </w:r>
      <w:r w:rsidRPr="000C1B3F">
        <w:rPr>
          <w:rFonts w:ascii="Palatino Linotype" w:eastAsia="Palatino Linotype" w:hAnsi="Palatino Linotype" w:cs="Palatino Linotype"/>
          <w:i/>
          <w:color w:val="000000"/>
          <w:sz w:val="22"/>
          <w:szCs w:val="22"/>
        </w:rPr>
        <w:t xml:space="preserve">Remuneraciones”, </w:t>
      </w:r>
      <w:r w:rsidRPr="000C1B3F">
        <w:rPr>
          <w:rFonts w:ascii="Palatino Linotype" w:eastAsia="Palatino Linotype" w:hAnsi="Palatino Linotype" w:cs="Palatino Linotype"/>
          <w:color w:val="000000"/>
          <w:sz w:val="22"/>
          <w:szCs w:val="22"/>
        </w:rPr>
        <w:t xml:space="preserve">en el que se señala el listado de áreas, </w:t>
      </w:r>
      <w:r w:rsidR="000136B4" w:rsidRPr="000C1B3F">
        <w:rPr>
          <w:rFonts w:ascii="Palatino Linotype" w:eastAsia="Palatino Linotype" w:hAnsi="Palatino Linotype" w:cs="Palatino Linotype"/>
          <w:color w:val="000000"/>
          <w:sz w:val="22"/>
          <w:szCs w:val="22"/>
        </w:rPr>
        <w:t>tal como se muestra a continuación:</w:t>
      </w:r>
      <w:r w:rsidRPr="000C1B3F">
        <w:rPr>
          <w:rFonts w:ascii="Palatino Linotype" w:eastAsia="Palatino Linotype" w:hAnsi="Palatino Linotype" w:cs="Palatino Linotype"/>
          <w:color w:val="000000"/>
          <w:sz w:val="22"/>
          <w:szCs w:val="22"/>
        </w:rPr>
        <w:t xml:space="preserve"> </w:t>
      </w:r>
    </w:p>
    <w:p w14:paraId="74026E0C" w14:textId="77777777" w:rsidR="000136B4" w:rsidRPr="000C1B3F" w:rsidRDefault="000136B4">
      <w:pPr>
        <w:spacing w:line="360" w:lineRule="auto"/>
        <w:jc w:val="both"/>
        <w:rPr>
          <w:rFonts w:ascii="Palatino Linotype" w:eastAsia="Palatino Linotype" w:hAnsi="Palatino Linotype" w:cs="Palatino Linotype"/>
          <w:color w:val="000000"/>
          <w:sz w:val="22"/>
          <w:szCs w:val="22"/>
        </w:rPr>
      </w:pPr>
    </w:p>
    <w:p w14:paraId="29545B83" w14:textId="0DCE051F" w:rsidR="006A0905" w:rsidRPr="000C1B3F" w:rsidRDefault="000136B4" w:rsidP="000136B4">
      <w:pPr>
        <w:spacing w:line="360" w:lineRule="auto"/>
        <w:jc w:val="center"/>
        <w:rPr>
          <w:rFonts w:ascii="Palatino Linotype" w:eastAsia="Palatino Linotype" w:hAnsi="Palatino Linotype" w:cs="Palatino Linotype"/>
          <w:color w:val="000000"/>
          <w:sz w:val="22"/>
          <w:szCs w:val="22"/>
        </w:rPr>
      </w:pPr>
      <w:r w:rsidRPr="000C1B3F">
        <w:rPr>
          <w:noProof/>
        </w:rPr>
        <w:drawing>
          <wp:inline distT="0" distB="0" distL="0" distR="0" wp14:anchorId="1BF34461" wp14:editId="0EFDDD5E">
            <wp:extent cx="3190875" cy="3048000"/>
            <wp:effectExtent l="0" t="0" r="9525" b="0"/>
            <wp:docPr id="16326168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3">
                      <a:extLst>
                        <a:ext uri="{28A0092B-C50C-407E-A947-70E740481C1C}">
                          <a14:useLocalDpi xmlns:a14="http://schemas.microsoft.com/office/drawing/2010/main" val="0"/>
                        </a:ext>
                      </a:extLst>
                    </a:blip>
                    <a:srcRect t="18581"/>
                    <a:stretch/>
                  </pic:blipFill>
                  <pic:spPr bwMode="auto">
                    <a:xfrm>
                      <a:off x="0" y="0"/>
                      <a:ext cx="3190875" cy="3048000"/>
                    </a:xfrm>
                    <a:prstGeom prst="rect">
                      <a:avLst/>
                    </a:prstGeom>
                    <a:ln>
                      <a:noFill/>
                    </a:ln>
                    <a:extLst>
                      <a:ext uri="{53640926-AAD7-44D8-BBD7-CCE9431645EC}">
                        <a14:shadowObscured xmlns:a14="http://schemas.microsoft.com/office/drawing/2010/main"/>
                      </a:ext>
                    </a:extLst>
                  </pic:spPr>
                </pic:pic>
              </a:graphicData>
            </a:graphic>
          </wp:inline>
        </w:drawing>
      </w:r>
    </w:p>
    <w:p w14:paraId="123F9ECA" w14:textId="77777777" w:rsidR="000136B4" w:rsidRPr="000C1B3F" w:rsidRDefault="000136B4">
      <w:pPr>
        <w:spacing w:line="360" w:lineRule="auto"/>
        <w:jc w:val="both"/>
        <w:rPr>
          <w:rFonts w:ascii="Palatino Linotype" w:eastAsia="Palatino Linotype" w:hAnsi="Palatino Linotype" w:cs="Palatino Linotype"/>
          <w:color w:val="000000"/>
          <w:sz w:val="22"/>
          <w:szCs w:val="22"/>
        </w:rPr>
      </w:pPr>
    </w:p>
    <w:p w14:paraId="24477E71" w14:textId="3D18D2E5"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Del anterior se advierte que la liga no remite a los recibos de nómina sino a un listado de remuneraciones, además el Sujeto Obligado remitió la liga en formato cerrado y no señaló el procedimiento para obtener la información, por lo que la parte Recurrente tendría que buscar en el sitio para advertir la información requerida y no lo </w:t>
      </w:r>
      <w:r w:rsidRPr="000C1B3F">
        <w:rPr>
          <w:rFonts w:ascii="Palatino Linotype" w:eastAsia="Palatino Linotype" w:hAnsi="Palatino Linotype" w:cs="Palatino Linotype"/>
          <w:sz w:val="22"/>
          <w:szCs w:val="22"/>
        </w:rPr>
        <w:t>remitirá</w:t>
      </w:r>
      <w:r w:rsidRPr="000C1B3F">
        <w:rPr>
          <w:rFonts w:ascii="Palatino Linotype" w:eastAsia="Palatino Linotype" w:hAnsi="Palatino Linotype" w:cs="Palatino Linotype"/>
          <w:color w:val="000000"/>
          <w:sz w:val="22"/>
          <w:szCs w:val="22"/>
        </w:rPr>
        <w:t xml:space="preserve"> a los recibos de nómina solicitados, en consecuencia, la respuesta proporcionada por el Sujeto Obligado no da cuenta de lo solicitado. Por tanto, el Sujeto Obligado deberá realizar la búsqueda de la información y entregar los documentos que den cuenta de los recibos de nómina de las áreas y temporalidad solicitada. </w:t>
      </w:r>
    </w:p>
    <w:p w14:paraId="00C72619" w14:textId="77777777" w:rsidR="000136B4" w:rsidRPr="000C1B3F" w:rsidRDefault="000136B4">
      <w:pPr>
        <w:spacing w:line="360" w:lineRule="auto"/>
        <w:jc w:val="both"/>
        <w:rPr>
          <w:rFonts w:ascii="Palatino Linotype" w:eastAsia="Palatino Linotype" w:hAnsi="Palatino Linotype" w:cs="Palatino Linotype"/>
          <w:color w:val="000000"/>
          <w:sz w:val="22"/>
          <w:szCs w:val="22"/>
        </w:rPr>
      </w:pPr>
    </w:p>
    <w:p w14:paraId="65CA8453"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lastRenderedPageBreak/>
        <w:t>Para el caso de que la información tenga datos personales confidenciales, deberá realizar la versión pública correspondiente y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254344BD"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0B0BF4F" w14:textId="77777777" w:rsidR="006A0905" w:rsidRPr="000C1B3F" w:rsidRDefault="00921788">
      <w:pPr>
        <w:numPr>
          <w:ilvl w:val="1"/>
          <w:numId w:val="4"/>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u w:val="single"/>
        </w:rPr>
      </w:pPr>
      <w:r w:rsidRPr="000C1B3F">
        <w:rPr>
          <w:rFonts w:ascii="Palatino Linotype" w:eastAsia="Palatino Linotype" w:hAnsi="Palatino Linotype" w:cs="Palatino Linotype"/>
          <w:b/>
          <w:color w:val="000000"/>
          <w:sz w:val="22"/>
          <w:szCs w:val="22"/>
          <w:u w:val="single"/>
        </w:rPr>
        <w:t>Credenciales</w:t>
      </w:r>
    </w:p>
    <w:p w14:paraId="37A7F97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21A13CF"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Por cuanto hace a las credenciales, el Sujeto Obligado a través de la </w:t>
      </w:r>
      <w:r w:rsidRPr="000C1B3F">
        <w:rPr>
          <w:rFonts w:ascii="Palatino Linotype" w:eastAsia="Palatino Linotype" w:hAnsi="Palatino Linotype" w:cs="Palatino Linotype"/>
          <w:color w:val="000000"/>
          <w:sz w:val="22"/>
          <w:szCs w:val="22"/>
        </w:rPr>
        <w:t>Directora de Recursos Humanos</w:t>
      </w:r>
      <w:r w:rsidRPr="000C1B3F">
        <w:rPr>
          <w:rFonts w:ascii="Palatino Linotype" w:eastAsia="Palatino Linotype" w:hAnsi="Palatino Linotype" w:cs="Palatino Linotype"/>
          <w:sz w:val="22"/>
          <w:szCs w:val="22"/>
        </w:rPr>
        <w:t xml:space="preserve"> señaló que, respecto a las credenciales, se estaba haciendo el proceso de credencialización, por lo que, no contaba con ellas. </w:t>
      </w:r>
    </w:p>
    <w:p w14:paraId="7D76D445"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2BA66BB"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Al respecto es preciso señalar que el Sujeto Obligado no indicó si se encuentran en proceso de credencialización todo el personal de las áreas de la Unidad de Transparencia y de la Contraloría, o bien, se trata únicamente del personal que ingresó en el año 2025; ello en atención a que, este Organismo Garante localizó en el IPOMEX del Sujeto Obligado, del año 2025, en el apartado de “</w:t>
      </w:r>
      <w:r w:rsidRPr="000C1B3F">
        <w:rPr>
          <w:rFonts w:ascii="Palatino Linotype" w:eastAsia="Palatino Linotype" w:hAnsi="Palatino Linotype" w:cs="Palatino Linotype"/>
          <w:i/>
          <w:sz w:val="22"/>
          <w:szCs w:val="22"/>
        </w:rPr>
        <w:t>Remuneraciones”</w:t>
      </w:r>
      <w:r w:rsidRPr="000C1B3F">
        <w:rPr>
          <w:rFonts w:ascii="Palatino Linotype" w:eastAsia="Palatino Linotype" w:hAnsi="Palatino Linotype" w:cs="Palatino Linotype"/>
          <w:sz w:val="22"/>
          <w:szCs w:val="22"/>
        </w:rPr>
        <w:t xml:space="preserve"> de la descarga de la información de la Unidad de Transparencia y del Órgano de Control Interno, se advierte la fecha de ingreso del personal y algunos señalan una fecha de ingreso de los años 1997, 2022, 2023; o 2000, 1989, 1990, entre otras fechas, a fin de acreditar lo anterior se inserta impresión de pantalla:</w:t>
      </w:r>
    </w:p>
    <w:p w14:paraId="540403F3"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39187052" w14:textId="77777777" w:rsidR="006A0905" w:rsidRPr="000C1B3F" w:rsidRDefault="0092178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Del Órgano de Control Interno</w:t>
      </w:r>
    </w:p>
    <w:p w14:paraId="7999DAF8"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1E724C7D" w14:textId="77777777" w:rsidR="006A0905" w:rsidRPr="000C1B3F" w:rsidRDefault="00921788">
      <w:pPr>
        <w:spacing w:line="360" w:lineRule="auto"/>
        <w:jc w:val="center"/>
        <w:rPr>
          <w:rFonts w:ascii="Palatino Linotype" w:eastAsia="Palatino Linotype" w:hAnsi="Palatino Linotype" w:cs="Palatino Linotype"/>
          <w:sz w:val="22"/>
          <w:szCs w:val="22"/>
        </w:rPr>
      </w:pPr>
      <w:r w:rsidRPr="000C1B3F">
        <w:rPr>
          <w:rFonts w:ascii="Palatino Linotype" w:eastAsia="Palatino Linotype" w:hAnsi="Palatino Linotype" w:cs="Palatino Linotype"/>
          <w:noProof/>
          <w:sz w:val="22"/>
          <w:szCs w:val="22"/>
        </w:rPr>
        <w:lastRenderedPageBreak/>
        <w:drawing>
          <wp:inline distT="0" distB="0" distL="0" distR="0" wp14:anchorId="487F5341" wp14:editId="6C2E4530">
            <wp:extent cx="4714875" cy="2105025"/>
            <wp:effectExtent l="0" t="0" r="9525" b="9525"/>
            <wp:docPr id="16326168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715610" cy="2105353"/>
                    </a:xfrm>
                    <a:prstGeom prst="rect">
                      <a:avLst/>
                    </a:prstGeom>
                    <a:ln/>
                  </pic:spPr>
                </pic:pic>
              </a:graphicData>
            </a:graphic>
          </wp:inline>
        </w:drawing>
      </w:r>
    </w:p>
    <w:p w14:paraId="21ED1C92"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206DD99E" w14:textId="77777777" w:rsidR="006A0905" w:rsidRPr="000C1B3F" w:rsidRDefault="0092178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 la Unidad de Transparencia</w:t>
      </w:r>
    </w:p>
    <w:p w14:paraId="31424E4D" w14:textId="77777777" w:rsidR="006A0905" w:rsidRPr="000C1B3F" w:rsidRDefault="00921788">
      <w:pPr>
        <w:spacing w:line="360" w:lineRule="auto"/>
        <w:jc w:val="center"/>
        <w:rPr>
          <w:rFonts w:ascii="Palatino Linotype" w:eastAsia="Palatino Linotype" w:hAnsi="Palatino Linotype" w:cs="Palatino Linotype"/>
          <w:sz w:val="22"/>
          <w:szCs w:val="22"/>
        </w:rPr>
      </w:pPr>
      <w:r w:rsidRPr="000C1B3F">
        <w:rPr>
          <w:rFonts w:ascii="Palatino Linotype" w:eastAsia="Palatino Linotype" w:hAnsi="Palatino Linotype" w:cs="Palatino Linotype"/>
          <w:noProof/>
          <w:sz w:val="22"/>
          <w:szCs w:val="22"/>
        </w:rPr>
        <w:drawing>
          <wp:inline distT="0" distB="0" distL="0" distR="0" wp14:anchorId="23F1115A" wp14:editId="723371D9">
            <wp:extent cx="4949931" cy="1486512"/>
            <wp:effectExtent l="0" t="0" r="0" b="0"/>
            <wp:docPr id="16326168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949931" cy="1486512"/>
                    </a:xfrm>
                    <a:prstGeom prst="rect">
                      <a:avLst/>
                    </a:prstGeom>
                    <a:ln/>
                  </pic:spPr>
                </pic:pic>
              </a:graphicData>
            </a:graphic>
          </wp:inline>
        </w:drawing>
      </w:r>
    </w:p>
    <w:p w14:paraId="57C2B9E3"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6462121A"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En atención a lo anterior, se advierte que existe personal que pertenece al Sujeto Obligado desde una temporalidad anterior al año en el que se realizó la solicitud, en este sentido, se cuenta con algún indicio de que el personal con fecha de ingreso anterior al año en curso, pueda contar con credencial.</w:t>
      </w:r>
    </w:p>
    <w:p w14:paraId="215D6B14"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17E1ACDE"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En </w:t>
      </w:r>
      <w:proofErr w:type="spellStart"/>
      <w:r w:rsidRPr="000C1B3F">
        <w:rPr>
          <w:rFonts w:ascii="Palatino Linotype" w:eastAsia="Palatino Linotype" w:hAnsi="Palatino Linotype" w:cs="Palatino Linotype"/>
          <w:sz w:val="22"/>
          <w:szCs w:val="22"/>
        </w:rPr>
        <w:t>estes</w:t>
      </w:r>
      <w:proofErr w:type="spellEnd"/>
      <w:r w:rsidRPr="000C1B3F">
        <w:rPr>
          <w:rFonts w:ascii="Palatino Linotype" w:eastAsia="Palatino Linotype" w:hAnsi="Palatino Linotype" w:cs="Palatino Linotype"/>
          <w:sz w:val="22"/>
          <w:szCs w:val="22"/>
        </w:rPr>
        <w:t xml:space="preserve"> sentido, si bien este Organismo Garante no cuenta con facultades para pronunciarse sobre la veracidad de lo entregado por el Sujeto Obligado, en el presente caso se advierte que existe personal con fecha de ingreso anterior al año en curso, y que en atención a la </w:t>
      </w:r>
      <w:r w:rsidRPr="000C1B3F">
        <w:rPr>
          <w:rFonts w:ascii="Palatino Linotype" w:eastAsia="Palatino Linotype" w:hAnsi="Palatino Linotype" w:cs="Palatino Linotype"/>
          <w:sz w:val="22"/>
          <w:szCs w:val="22"/>
        </w:rPr>
        <w:lastRenderedPageBreak/>
        <w:t>temporalidad con la que cuenta laborando en el Sujeto Obligado deberá contar con la credencial correspondiente.</w:t>
      </w:r>
    </w:p>
    <w:p w14:paraId="47B188E1"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00DCFD7A" w14:textId="26D9CA0E"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En todo caso, en respuesta el Sujeto Obligado no explicó de forma clara y precisa los motivos por los que todo el personal no cuenta con la credencial a la fecha de la solicitud, por tanto, resulta procedente ordenar la entrega de las credenciales</w:t>
      </w:r>
      <w:r w:rsidR="005B0168" w:rsidRPr="000C1B3F">
        <w:rPr>
          <w:rFonts w:ascii="Palatino Linotype" w:eastAsia="Palatino Linotype" w:hAnsi="Palatino Linotype" w:cs="Palatino Linotype"/>
          <w:sz w:val="22"/>
          <w:szCs w:val="22"/>
        </w:rPr>
        <w:t>; lo cual resulta importante, pues se localizó la circular 20601000/026/2025, emitida por la Dirección General de Administración, por medio de la cual se les informa a los servidores públicos adscritos al Ayuntamiento, que a partir del diecinueve de marzo de dos mil veinticinco, deberán portar en un lugar visible, durante la jornada laboral y solo en actividades propias del servicio el gafete institucional, tal como se muestra a continuación:</w:t>
      </w:r>
    </w:p>
    <w:p w14:paraId="38F4EDB7"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4DF61180" w14:textId="4ED9C2EB" w:rsidR="006A0905" w:rsidRPr="000C1B3F" w:rsidRDefault="005B0168" w:rsidP="005B0168">
      <w:pPr>
        <w:spacing w:line="360" w:lineRule="auto"/>
        <w:jc w:val="center"/>
        <w:rPr>
          <w:rFonts w:ascii="Palatino Linotype" w:eastAsia="Palatino Linotype" w:hAnsi="Palatino Linotype" w:cs="Palatino Linotype"/>
          <w:sz w:val="22"/>
          <w:szCs w:val="22"/>
        </w:rPr>
      </w:pPr>
      <w:r w:rsidRPr="000C1B3F">
        <w:rPr>
          <w:rFonts w:ascii="Palatino Linotype" w:eastAsia="Palatino Linotype" w:hAnsi="Palatino Linotype" w:cs="Palatino Linotype"/>
          <w:noProof/>
          <w:sz w:val="22"/>
          <w:szCs w:val="22"/>
        </w:rPr>
        <w:drawing>
          <wp:inline distT="0" distB="0" distL="0" distR="0" wp14:anchorId="1317879E" wp14:editId="66A94F5D">
            <wp:extent cx="4063604" cy="3590925"/>
            <wp:effectExtent l="0" t="0" r="0" b="0"/>
            <wp:docPr id="1796265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65178" name=""/>
                    <pic:cNvPicPr/>
                  </pic:nvPicPr>
                  <pic:blipFill>
                    <a:blip r:embed="rId16"/>
                    <a:stretch>
                      <a:fillRect/>
                    </a:stretch>
                  </pic:blipFill>
                  <pic:spPr>
                    <a:xfrm>
                      <a:off x="0" y="0"/>
                      <a:ext cx="4075102" cy="3601085"/>
                    </a:xfrm>
                    <a:prstGeom prst="rect">
                      <a:avLst/>
                    </a:prstGeom>
                  </pic:spPr>
                </pic:pic>
              </a:graphicData>
            </a:graphic>
          </wp:inline>
        </w:drawing>
      </w:r>
    </w:p>
    <w:p w14:paraId="740A27ED" w14:textId="085695F4"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lastRenderedPageBreak/>
        <w:t xml:space="preserve">En atención a todo lo antes expuesto, resultan </w:t>
      </w:r>
      <w:r w:rsidRPr="000C1B3F">
        <w:rPr>
          <w:rFonts w:ascii="Palatino Linotype" w:eastAsia="Palatino Linotype" w:hAnsi="Palatino Linotype" w:cs="Palatino Linotype"/>
          <w:b/>
          <w:sz w:val="22"/>
          <w:szCs w:val="22"/>
        </w:rPr>
        <w:t>FUNDADOS</w:t>
      </w:r>
      <w:r w:rsidRPr="000C1B3F">
        <w:rPr>
          <w:rFonts w:ascii="Palatino Linotype" w:eastAsia="Palatino Linotype" w:hAnsi="Palatino Linotype" w:cs="Palatino Linotype"/>
          <w:sz w:val="22"/>
          <w:szCs w:val="22"/>
        </w:rPr>
        <w:t xml:space="preserve"> los motivos de inconformidad y es procedente</w:t>
      </w:r>
      <w:r w:rsidRPr="000C1B3F">
        <w:rPr>
          <w:rFonts w:ascii="Palatino Linotype" w:eastAsia="Palatino Linotype" w:hAnsi="Palatino Linotype" w:cs="Palatino Linotype"/>
          <w:b/>
          <w:sz w:val="22"/>
          <w:szCs w:val="22"/>
        </w:rPr>
        <w:t xml:space="preserve"> REVOCAR</w:t>
      </w:r>
      <w:r w:rsidRPr="000C1B3F">
        <w:rPr>
          <w:rFonts w:ascii="Palatino Linotype" w:eastAsia="Palatino Linotype" w:hAnsi="Palatino Linotype" w:cs="Palatino Linotype"/>
          <w:sz w:val="22"/>
          <w:szCs w:val="22"/>
        </w:rPr>
        <w:t xml:space="preserve"> la respuesta inicial y ordenar la entrega de la información.</w:t>
      </w:r>
    </w:p>
    <w:p w14:paraId="44AA936D"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5EE69ED4"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Ahora bien, no pasa desapercibido que los documentos que den cuenta de lo solicitado pudieran contener de manera enunciativa más no limitativa los siguientes datos:</w:t>
      </w:r>
    </w:p>
    <w:p w14:paraId="506809E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424FAE91" w14:textId="77777777" w:rsidR="006A0905" w:rsidRPr="000C1B3F" w:rsidRDefault="00921788">
      <w:pPr>
        <w:numPr>
          <w:ilvl w:val="0"/>
          <w:numId w:val="8"/>
        </w:numPr>
        <w:spacing w:line="360" w:lineRule="auto"/>
        <w:jc w:val="both"/>
        <w:rPr>
          <w:rFonts w:ascii="Palatino Linotype" w:eastAsia="Palatino Linotype" w:hAnsi="Palatino Linotype" w:cs="Palatino Linotype"/>
          <w:color w:val="000000"/>
          <w:sz w:val="22"/>
          <w:szCs w:val="22"/>
        </w:rPr>
      </w:pPr>
      <w:bookmarkStart w:id="13" w:name="_heading=h.htxo5f8qb84d" w:colFirst="0" w:colLast="0"/>
      <w:bookmarkEnd w:id="13"/>
      <w:r w:rsidRPr="000C1B3F">
        <w:rPr>
          <w:rFonts w:ascii="Palatino Linotype" w:eastAsia="Palatino Linotype" w:hAnsi="Palatino Linotype" w:cs="Palatino Linotype"/>
          <w:color w:val="000000"/>
          <w:sz w:val="22"/>
          <w:szCs w:val="22"/>
        </w:rPr>
        <w:t>Clave Única de Registro de Población (CURP);</w:t>
      </w:r>
    </w:p>
    <w:p w14:paraId="05E8C280" w14:textId="77777777" w:rsidR="006A0905" w:rsidRPr="000C1B3F" w:rsidRDefault="00921788">
      <w:pPr>
        <w:numPr>
          <w:ilvl w:val="0"/>
          <w:numId w:val="8"/>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Registro Federal de Contribuyentes del servidor público (RFC);</w:t>
      </w:r>
    </w:p>
    <w:p w14:paraId="4D7A6976" w14:textId="77777777" w:rsidR="006A0905" w:rsidRPr="000C1B3F" w:rsidRDefault="00921788">
      <w:pPr>
        <w:numPr>
          <w:ilvl w:val="0"/>
          <w:numId w:val="8"/>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Número de seguridad social del Instituto de Seguridad Social del Estado de México y Municipios;</w:t>
      </w:r>
    </w:p>
    <w:p w14:paraId="6C2CC036" w14:textId="77777777" w:rsidR="006A0905" w:rsidRPr="000C1B3F" w:rsidRDefault="00921788">
      <w:pPr>
        <w:numPr>
          <w:ilvl w:val="0"/>
          <w:numId w:val="8"/>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Deducciones personales, y</w:t>
      </w:r>
    </w:p>
    <w:p w14:paraId="0BD6CA7C" w14:textId="77777777" w:rsidR="006A0905" w:rsidRPr="000C1B3F" w:rsidRDefault="00921788">
      <w:pPr>
        <w:numPr>
          <w:ilvl w:val="0"/>
          <w:numId w:val="8"/>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Cuenta Bancaria.</w:t>
      </w:r>
    </w:p>
    <w:p w14:paraId="7B0B1873" w14:textId="0A6F0389" w:rsidR="00DA59A4" w:rsidRPr="000C1B3F" w:rsidRDefault="00DA59A4">
      <w:pPr>
        <w:numPr>
          <w:ilvl w:val="0"/>
          <w:numId w:val="8"/>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Fotografía</w:t>
      </w:r>
    </w:p>
    <w:p w14:paraId="4A22BC0E" w14:textId="77777777" w:rsidR="006A0905" w:rsidRPr="000C1B3F" w:rsidRDefault="006A0905">
      <w:pPr>
        <w:spacing w:line="360" w:lineRule="auto"/>
        <w:ind w:right="-93"/>
        <w:jc w:val="both"/>
        <w:rPr>
          <w:rFonts w:ascii="Palatino Linotype" w:eastAsia="Palatino Linotype" w:hAnsi="Palatino Linotype" w:cs="Palatino Linotype"/>
          <w:color w:val="000000"/>
          <w:sz w:val="22"/>
          <w:szCs w:val="22"/>
        </w:rPr>
      </w:pPr>
    </w:p>
    <w:p w14:paraId="31954A17" w14:textId="77777777" w:rsidR="006A0905" w:rsidRPr="000C1B3F" w:rsidRDefault="00921788">
      <w:pPr>
        <w:spacing w:line="360" w:lineRule="auto"/>
        <w:ind w:right="-28"/>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4748288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6468FAA"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0C1B3F">
        <w:rPr>
          <w:rFonts w:ascii="Palatino Linotype" w:eastAsia="Palatino Linotype" w:hAnsi="Palatino Linotype" w:cs="Palatino Linotype"/>
          <w:color w:val="000000"/>
          <w:sz w:val="22"/>
          <w:szCs w:val="22"/>
        </w:rPr>
        <w:lastRenderedPageBreak/>
        <w:t xml:space="preserve">derechos de terceros o cuando se </w:t>
      </w:r>
      <w:r w:rsidRPr="000C1B3F">
        <w:rPr>
          <w:rFonts w:ascii="Palatino Linotype" w:eastAsia="Palatino Linotype" w:hAnsi="Palatino Linotype" w:cs="Palatino Linotype"/>
          <w:sz w:val="22"/>
          <w:szCs w:val="22"/>
        </w:rPr>
        <w:t>transmitan</w:t>
      </w:r>
      <w:r w:rsidRPr="000C1B3F">
        <w:rPr>
          <w:rFonts w:ascii="Palatino Linotype" w:eastAsia="Palatino Linotype" w:hAnsi="Palatino Linotype" w:cs="Palatino Linotype"/>
          <w:color w:val="000000"/>
          <w:sz w:val="22"/>
          <w:szCs w:val="22"/>
        </w:rPr>
        <w:t xml:space="preserve"> entre sujetos obligados en términos de los tratados y los acuerdos interinstitucionales.</w:t>
      </w:r>
    </w:p>
    <w:p w14:paraId="4C024C71"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0F3B632B"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términos de lo expuesto, la documentación y aquellos datos que se consideren confidenciales, serán una limitante del derecho de acceso a la información, siempre y cuando:</w:t>
      </w:r>
    </w:p>
    <w:p w14:paraId="74583379"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76BB9467" w14:textId="77777777" w:rsidR="006A0905" w:rsidRPr="000C1B3F" w:rsidRDefault="00921788">
      <w:pPr>
        <w:numPr>
          <w:ilvl w:val="0"/>
          <w:numId w:val="9"/>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w:t>
      </w:r>
      <w:r w:rsidRPr="000C1B3F">
        <w:rPr>
          <w:rFonts w:ascii="Palatino Linotype" w:eastAsia="Palatino Linotype" w:hAnsi="Palatino Linotype" w:cs="Palatino Linotype"/>
          <w:sz w:val="22"/>
          <w:szCs w:val="22"/>
        </w:rPr>
        <w:t>jurídica</w:t>
      </w:r>
      <w:r w:rsidRPr="000C1B3F">
        <w:rPr>
          <w:rFonts w:ascii="Palatino Linotype" w:eastAsia="Palatino Linotype" w:hAnsi="Palatino Linotype" w:cs="Palatino Linotype"/>
          <w:color w:val="000000"/>
          <w:sz w:val="22"/>
          <w:szCs w:val="22"/>
        </w:rPr>
        <w:t xml:space="preserve"> colectiva y que esta sea identificada o identificable. </w:t>
      </w:r>
    </w:p>
    <w:p w14:paraId="15391F8B" w14:textId="77777777" w:rsidR="006A0905" w:rsidRPr="000C1B3F" w:rsidRDefault="006A0905">
      <w:pPr>
        <w:spacing w:line="360" w:lineRule="auto"/>
        <w:ind w:left="360"/>
        <w:jc w:val="both"/>
        <w:rPr>
          <w:rFonts w:ascii="Palatino Linotype" w:eastAsia="Palatino Linotype" w:hAnsi="Palatino Linotype" w:cs="Palatino Linotype"/>
          <w:color w:val="000000"/>
          <w:sz w:val="22"/>
          <w:szCs w:val="22"/>
        </w:rPr>
      </w:pPr>
    </w:p>
    <w:p w14:paraId="4B7BCF2B" w14:textId="77777777" w:rsidR="006A0905" w:rsidRPr="000C1B3F" w:rsidRDefault="00921788">
      <w:pPr>
        <w:numPr>
          <w:ilvl w:val="0"/>
          <w:numId w:val="9"/>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Para la difusión de los datos, se </w:t>
      </w:r>
      <w:r w:rsidRPr="000C1B3F">
        <w:rPr>
          <w:rFonts w:ascii="Palatino Linotype" w:eastAsia="Palatino Linotype" w:hAnsi="Palatino Linotype" w:cs="Palatino Linotype"/>
          <w:sz w:val="22"/>
          <w:szCs w:val="22"/>
        </w:rPr>
        <w:t>requiere</w:t>
      </w:r>
      <w:r w:rsidRPr="000C1B3F">
        <w:rPr>
          <w:rFonts w:ascii="Palatino Linotype" w:eastAsia="Palatino Linotype" w:hAnsi="Palatino Linotype" w:cs="Palatino Linotype"/>
          <w:color w:val="000000"/>
          <w:sz w:val="22"/>
          <w:szCs w:val="22"/>
        </w:rPr>
        <w:t xml:space="preserve"> el consentimiento del titular. </w:t>
      </w:r>
    </w:p>
    <w:p w14:paraId="67C77CE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B0EE941"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61745D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5DE4FA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CA25C49" w14:textId="77777777" w:rsidR="006A0905" w:rsidRPr="000C1B3F" w:rsidRDefault="006A0905">
      <w:pPr>
        <w:spacing w:line="360" w:lineRule="auto"/>
        <w:ind w:right="-28"/>
        <w:jc w:val="both"/>
        <w:rPr>
          <w:rFonts w:ascii="Palatino Linotype" w:eastAsia="Palatino Linotype" w:hAnsi="Palatino Linotype" w:cs="Palatino Linotype"/>
          <w:color w:val="000000"/>
          <w:sz w:val="22"/>
          <w:szCs w:val="22"/>
        </w:rPr>
      </w:pPr>
    </w:p>
    <w:p w14:paraId="6BBB3336" w14:textId="77777777" w:rsidR="006A0905" w:rsidRPr="000C1B3F" w:rsidRDefault="00921788">
      <w:pPr>
        <w:numPr>
          <w:ilvl w:val="0"/>
          <w:numId w:val="10"/>
        </w:num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Clave Única de Registro de Población (CURP)</w:t>
      </w:r>
    </w:p>
    <w:p w14:paraId="07A87E8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60AC7B3"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69C02E1"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A275E4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359DE1C"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9AA90B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ese orden de ideas, la Secretaría de Gobernación en las direcciones </w:t>
      </w:r>
      <w:hyperlink r:id="rId17">
        <w:r w:rsidR="006A0905" w:rsidRPr="000C1B3F">
          <w:rPr>
            <w:rFonts w:ascii="Palatino Linotype" w:eastAsia="Palatino Linotype" w:hAnsi="Palatino Linotype" w:cs="Palatino Linotype"/>
            <w:color w:val="000000"/>
            <w:sz w:val="22"/>
            <w:szCs w:val="22"/>
            <w:u w:val="single"/>
          </w:rPr>
          <w:t>https://consultas.curp.gob.mx/CurpSP/html/informacionecurpPS.html</w:t>
        </w:r>
      </w:hyperlink>
      <w:r w:rsidRPr="000C1B3F">
        <w:rPr>
          <w:rFonts w:ascii="Palatino Linotype" w:eastAsia="Palatino Linotype" w:hAnsi="Palatino Linotype" w:cs="Palatino Linotype"/>
          <w:color w:val="000000"/>
          <w:sz w:val="22"/>
          <w:szCs w:val="22"/>
        </w:rPr>
        <w:t xml:space="preserve"> y </w:t>
      </w:r>
      <w:hyperlink r:id="rId18">
        <w:r w:rsidR="006A0905" w:rsidRPr="000C1B3F">
          <w:rPr>
            <w:rFonts w:ascii="Palatino Linotype" w:eastAsia="Palatino Linotype" w:hAnsi="Palatino Linotype" w:cs="Palatino Linotype"/>
            <w:color w:val="000000"/>
            <w:sz w:val="22"/>
            <w:szCs w:val="22"/>
            <w:u w:val="single"/>
          </w:rPr>
          <w:t>https://www.gob.mx/segob/renapo/acciones-y-programas/clave-unica-de-registro-de-poblacion-curp-142226</w:t>
        </w:r>
      </w:hyperlink>
      <w:r w:rsidRPr="000C1B3F">
        <w:rPr>
          <w:rFonts w:ascii="Palatino Linotype" w:eastAsia="Palatino Linotype" w:hAnsi="Palatino Linotype" w:cs="Palatino Linotype"/>
          <w:color w:val="000000"/>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C1B3F">
        <w:rPr>
          <w:rFonts w:ascii="Palatino Linotype" w:eastAsia="Palatino Linotype" w:hAnsi="Palatino Linotype" w:cs="Palatino Linotype"/>
          <w:b/>
          <w:color w:val="000000"/>
          <w:sz w:val="22"/>
          <w:szCs w:val="22"/>
        </w:rPr>
        <w:t>se generan a partir de los datos contenidos en el documento probatorio de la identidad</w:t>
      </w:r>
      <w:r w:rsidRPr="000C1B3F">
        <w:rPr>
          <w:rFonts w:ascii="Palatino Linotype" w:eastAsia="Palatino Linotype" w:hAnsi="Palatino Linotype" w:cs="Palatino Linotype"/>
          <w:color w:val="000000"/>
          <w:sz w:val="22"/>
          <w:szCs w:val="22"/>
        </w:rPr>
        <w:t xml:space="preserve"> </w:t>
      </w:r>
      <w:r w:rsidRPr="000C1B3F">
        <w:rPr>
          <w:rFonts w:ascii="Palatino Linotype" w:eastAsia="Palatino Linotype" w:hAnsi="Palatino Linotype" w:cs="Palatino Linotype"/>
          <w:b/>
          <w:color w:val="000000"/>
          <w:sz w:val="22"/>
          <w:szCs w:val="22"/>
        </w:rPr>
        <w:t xml:space="preserve">del interesado </w:t>
      </w:r>
      <w:r w:rsidRPr="000C1B3F">
        <w:rPr>
          <w:rFonts w:ascii="Palatino Linotype" w:eastAsia="Palatino Linotype" w:hAnsi="Palatino Linotype" w:cs="Palatino Linotype"/>
          <w:color w:val="000000"/>
          <w:sz w:val="22"/>
          <w:szCs w:val="22"/>
        </w:rPr>
        <w:t>(acta de nacimiento, carta de naturalización o documento migratorio) de la siguiente forma:</w:t>
      </w:r>
    </w:p>
    <w:p w14:paraId="0F7FA83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F63E0C7" w14:textId="77777777" w:rsidR="006A0905" w:rsidRPr="000C1B3F" w:rsidRDefault="00921788">
      <w:pPr>
        <w:numPr>
          <w:ilvl w:val="0"/>
          <w:numId w:val="11"/>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primero y segundo apellidos, así como al nombre de pila;</w:t>
      </w:r>
    </w:p>
    <w:p w14:paraId="25B2F3A2" w14:textId="77777777" w:rsidR="006A0905" w:rsidRPr="000C1B3F" w:rsidRDefault="00921788">
      <w:pPr>
        <w:numPr>
          <w:ilvl w:val="0"/>
          <w:numId w:val="11"/>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La fecha de nacimiento;</w:t>
      </w:r>
    </w:p>
    <w:p w14:paraId="5D395050" w14:textId="77777777" w:rsidR="006A0905" w:rsidRPr="000C1B3F" w:rsidRDefault="00921788">
      <w:pPr>
        <w:numPr>
          <w:ilvl w:val="0"/>
          <w:numId w:val="11"/>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sexo, y</w:t>
      </w:r>
    </w:p>
    <w:p w14:paraId="7ACAEB52" w14:textId="77777777" w:rsidR="006A0905" w:rsidRPr="000C1B3F" w:rsidRDefault="00921788">
      <w:pPr>
        <w:numPr>
          <w:ilvl w:val="0"/>
          <w:numId w:val="11"/>
        </w:num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La entidad federativa de nacimiento.</w:t>
      </w:r>
    </w:p>
    <w:p w14:paraId="55B295F5"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F2FCAD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Los dos últimos elementos de la Clave Única de Registro de Población evitan la duplicidad de la Clave y garantizan su correcta integración.</w:t>
      </w:r>
    </w:p>
    <w:p w14:paraId="278691F3"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7099CEF2"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A5188B"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73AB656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115F4478" w14:textId="77777777" w:rsidR="006A0905" w:rsidRPr="000C1B3F" w:rsidRDefault="006A0905">
      <w:pPr>
        <w:spacing w:line="360" w:lineRule="auto"/>
        <w:ind w:left="567" w:right="567"/>
        <w:jc w:val="both"/>
        <w:rPr>
          <w:rFonts w:ascii="Palatino Linotype" w:eastAsia="Palatino Linotype" w:hAnsi="Palatino Linotype" w:cs="Palatino Linotype"/>
          <w:color w:val="000000"/>
          <w:sz w:val="22"/>
          <w:szCs w:val="22"/>
        </w:rPr>
      </w:pPr>
    </w:p>
    <w:p w14:paraId="0ED26DDD" w14:textId="77777777" w:rsidR="006A0905" w:rsidRPr="000C1B3F" w:rsidRDefault="00921788">
      <w:pPr>
        <w:spacing w:line="360" w:lineRule="auto"/>
        <w:ind w:left="567" w:right="567"/>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b/>
          <w:i/>
          <w:color w:val="000000"/>
        </w:rPr>
        <w:t xml:space="preserve">“Clave Única de Registro de Población (CURP). </w:t>
      </w:r>
      <w:r w:rsidRPr="000C1B3F">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w:t>
      </w:r>
      <w:r w:rsidRPr="000C1B3F">
        <w:rPr>
          <w:rFonts w:ascii="Palatino Linotype" w:eastAsia="Palatino Linotype" w:hAnsi="Palatino Linotype" w:cs="Palatino Linotype"/>
          <w:i/>
          <w:color w:val="000000"/>
        </w:rPr>
        <w:lastRenderedPageBreak/>
        <w:t xml:space="preserve">información que distingue plenamente a una persona física del resto de los habitantes del país, por lo que la CURP está considerada como información confidencial.” </w:t>
      </w:r>
    </w:p>
    <w:p w14:paraId="39CD689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18323044"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8725826"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5AC9388" w14:textId="77777777" w:rsidR="006A0905" w:rsidRPr="000C1B3F" w:rsidRDefault="00921788">
      <w:pPr>
        <w:numPr>
          <w:ilvl w:val="0"/>
          <w:numId w:val="10"/>
        </w:num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Registro Federal de Contribuyentes (RFC)</w:t>
      </w:r>
    </w:p>
    <w:p w14:paraId="38A4873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1AE36B3F"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19620D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177585A2"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0C1B3F">
        <w:rPr>
          <w:rFonts w:ascii="Palatino Linotype" w:eastAsia="Palatino Linotype" w:hAnsi="Palatino Linotype" w:cs="Palatino Linotype"/>
          <w:color w:val="000000"/>
          <w:sz w:val="22"/>
          <w:szCs w:val="22"/>
        </w:rPr>
        <w:t>homoclave</w:t>
      </w:r>
      <w:proofErr w:type="spellEnd"/>
      <w:r w:rsidRPr="000C1B3F">
        <w:rPr>
          <w:rFonts w:ascii="Palatino Linotype" w:eastAsia="Palatino Linotype" w:hAnsi="Palatino Linotype" w:cs="Palatino Linotype"/>
          <w:color w:val="000000"/>
          <w:sz w:val="22"/>
          <w:szCs w:val="22"/>
        </w:rPr>
        <w:t xml:space="preserve"> que establece el sistema automático del Servicio de Administración Tributaria.</w:t>
      </w:r>
    </w:p>
    <w:p w14:paraId="129468ED"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28A141A"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0C1B3F">
        <w:rPr>
          <w:rFonts w:ascii="Palatino Linotype" w:eastAsia="Palatino Linotype" w:hAnsi="Palatino Linotype" w:cs="Palatino Linotype"/>
          <w:color w:val="000000"/>
          <w:sz w:val="22"/>
          <w:szCs w:val="22"/>
        </w:rPr>
        <w:lastRenderedPageBreak/>
        <w:t>contribuyentes; mientras que los particulares tramitan dicho dato, con el único propósito de realizar mediante esa clave de identificación, operaciones o actividades de naturaleza fiscal.</w:t>
      </w:r>
    </w:p>
    <w:p w14:paraId="663218A3"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AE8145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Así, el Registro Federal de Contribuyentes, es un dato personal, ya que hace a las personas físicas </w:t>
      </w:r>
      <w:r w:rsidRPr="000C1B3F">
        <w:rPr>
          <w:rFonts w:ascii="Palatino Linotype" w:eastAsia="Palatino Linotype" w:hAnsi="Palatino Linotype" w:cs="Palatino Linotype"/>
          <w:sz w:val="22"/>
          <w:szCs w:val="22"/>
        </w:rPr>
        <w:t>identificadas</w:t>
      </w:r>
      <w:r w:rsidRPr="000C1B3F">
        <w:rPr>
          <w:rFonts w:ascii="Palatino Linotype" w:eastAsia="Palatino Linotype" w:hAnsi="Palatino Linotype" w:cs="Palatino Linotype"/>
          <w:color w:val="000000"/>
          <w:sz w:val="22"/>
          <w:szCs w:val="22"/>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0C1B3F">
        <w:rPr>
          <w:rFonts w:ascii="Palatino Linotype" w:eastAsia="Palatino Linotype" w:hAnsi="Palatino Linotype" w:cs="Palatino Linotype"/>
          <w:sz w:val="22"/>
          <w:szCs w:val="22"/>
        </w:rPr>
        <w:t>involucradas</w:t>
      </w:r>
      <w:proofErr w:type="gramEnd"/>
      <w:r w:rsidRPr="000C1B3F">
        <w:rPr>
          <w:rFonts w:ascii="Palatino Linotype" w:eastAsia="Palatino Linotype" w:hAnsi="Palatino Linotype" w:cs="Palatino Linotype"/>
          <w:color w:val="000000"/>
          <w:sz w:val="22"/>
          <w:szCs w:val="22"/>
        </w:rPr>
        <w:t xml:space="preserve">, en el pago de estos, en el presente caso, del pago del Impuesto Sobre el Producto del Trabajo. </w:t>
      </w:r>
    </w:p>
    <w:p w14:paraId="2460E908"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34D89DD1"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752B2075"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128917ED" w14:textId="77777777" w:rsidR="006A0905" w:rsidRPr="000C1B3F" w:rsidRDefault="00921788">
      <w:pPr>
        <w:spacing w:line="360" w:lineRule="auto"/>
        <w:ind w:left="567" w:right="567"/>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b/>
          <w:i/>
          <w:color w:val="000000"/>
        </w:rPr>
        <w:t>“Registro Federal de Contribuyentes (RFC) de personas físicas.</w:t>
      </w:r>
      <w:r w:rsidRPr="000C1B3F">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30679679" w14:textId="77777777" w:rsidR="006A0905" w:rsidRPr="000C1B3F" w:rsidRDefault="006A0905">
      <w:pPr>
        <w:spacing w:line="360" w:lineRule="auto"/>
        <w:ind w:left="567" w:right="567"/>
        <w:jc w:val="both"/>
        <w:rPr>
          <w:rFonts w:ascii="Palatino Linotype" w:eastAsia="Palatino Linotype" w:hAnsi="Palatino Linotype" w:cs="Palatino Linotype"/>
          <w:i/>
          <w:color w:val="000000"/>
          <w:sz w:val="22"/>
          <w:szCs w:val="22"/>
        </w:rPr>
      </w:pPr>
    </w:p>
    <w:p w14:paraId="11045C5A"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F57AB9B" w14:textId="77777777" w:rsidR="006A0905" w:rsidRPr="000C1B3F" w:rsidRDefault="006A0905">
      <w:pPr>
        <w:tabs>
          <w:tab w:val="center" w:pos="4522"/>
        </w:tabs>
        <w:spacing w:line="360" w:lineRule="auto"/>
        <w:jc w:val="both"/>
        <w:rPr>
          <w:rFonts w:ascii="Palatino Linotype" w:eastAsia="Palatino Linotype" w:hAnsi="Palatino Linotype" w:cs="Palatino Linotype"/>
          <w:color w:val="000000"/>
          <w:sz w:val="22"/>
          <w:szCs w:val="22"/>
        </w:rPr>
      </w:pPr>
    </w:p>
    <w:p w14:paraId="115F3B05" w14:textId="77777777" w:rsidR="006A0905" w:rsidRPr="000C1B3F" w:rsidRDefault="00921788">
      <w:pPr>
        <w:numPr>
          <w:ilvl w:val="0"/>
          <w:numId w:val="10"/>
        </w:num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lastRenderedPageBreak/>
        <w:t>Número de seguridad social del Instituto de Seguridad Social del Estado de México y Municipios</w:t>
      </w:r>
    </w:p>
    <w:p w14:paraId="0D67DCE7"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6492323A"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79DD0A2"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C59B077"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7D3A85C"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0DEEB72E"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E67FFD7"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6CE8FEE"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7D747978" w14:textId="77777777" w:rsidR="006A0905" w:rsidRPr="000C1B3F" w:rsidRDefault="00921788">
      <w:pPr>
        <w:numPr>
          <w:ilvl w:val="0"/>
          <w:numId w:val="12"/>
        </w:num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Deducciones personales</w:t>
      </w:r>
    </w:p>
    <w:p w14:paraId="7864F2E4" w14:textId="77777777" w:rsidR="006A0905" w:rsidRPr="000C1B3F" w:rsidRDefault="006A0905">
      <w:pPr>
        <w:spacing w:line="360" w:lineRule="auto"/>
        <w:ind w:left="720"/>
        <w:jc w:val="both"/>
        <w:rPr>
          <w:rFonts w:ascii="Palatino Linotype" w:eastAsia="Palatino Linotype" w:hAnsi="Palatino Linotype" w:cs="Palatino Linotype"/>
          <w:b/>
          <w:color w:val="000000"/>
          <w:sz w:val="22"/>
          <w:szCs w:val="22"/>
        </w:rPr>
      </w:pPr>
    </w:p>
    <w:p w14:paraId="53C7103C"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6C6ADEF"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F0B5F06"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Asimismo, hay otras que se generan con motivo de una sentencia judicial, como es la pensión alimenticia que periódicamente se retira de la cuenta de un empleado, a efecto de que sea entregado a un tercero.  </w:t>
      </w:r>
    </w:p>
    <w:p w14:paraId="524941AB"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F692AD1"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09C6AC4"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BB8CF0C"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2BEBE424" w14:textId="77777777" w:rsidR="006A0905" w:rsidRPr="000C1B3F" w:rsidRDefault="006A0905">
      <w:pPr>
        <w:spacing w:line="360" w:lineRule="auto"/>
        <w:jc w:val="both"/>
        <w:rPr>
          <w:rFonts w:ascii="Palatino Linotype" w:eastAsia="Palatino Linotype" w:hAnsi="Palatino Linotype" w:cs="Palatino Linotype"/>
          <w:b/>
          <w:color w:val="000000"/>
          <w:sz w:val="22"/>
          <w:szCs w:val="22"/>
        </w:rPr>
      </w:pPr>
    </w:p>
    <w:p w14:paraId="139BF865" w14:textId="77777777" w:rsidR="006A0905" w:rsidRPr="000C1B3F" w:rsidRDefault="00921788">
      <w:pPr>
        <w:numPr>
          <w:ilvl w:val="0"/>
          <w:numId w:val="12"/>
        </w:num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color w:val="000000"/>
          <w:sz w:val="22"/>
          <w:szCs w:val="22"/>
        </w:rPr>
        <w:t>Cuenta bancaria de servidores públicos</w:t>
      </w:r>
    </w:p>
    <w:p w14:paraId="619500D3" w14:textId="77777777" w:rsidR="006A0905" w:rsidRPr="000C1B3F" w:rsidRDefault="006A0905">
      <w:pPr>
        <w:spacing w:line="360" w:lineRule="auto"/>
        <w:ind w:left="720"/>
        <w:jc w:val="both"/>
        <w:rPr>
          <w:rFonts w:ascii="Palatino Linotype" w:eastAsia="Palatino Linotype" w:hAnsi="Palatino Linotype" w:cs="Palatino Linotype"/>
          <w:b/>
          <w:color w:val="000000"/>
          <w:sz w:val="22"/>
          <w:szCs w:val="22"/>
        </w:rPr>
      </w:pPr>
    </w:p>
    <w:p w14:paraId="2C4D7918"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0C1B3F">
        <w:rPr>
          <w:rFonts w:ascii="Palatino Linotype" w:eastAsia="Palatino Linotype" w:hAnsi="Palatino Linotype" w:cs="Palatino Linotype"/>
          <w:sz w:val="22"/>
          <w:szCs w:val="22"/>
        </w:rPr>
        <w:t>de fondos</w:t>
      </w:r>
      <w:r w:rsidRPr="000C1B3F">
        <w:rPr>
          <w:rFonts w:ascii="Palatino Linotype" w:eastAsia="Palatino Linotype" w:hAnsi="Palatino Linotype" w:cs="Palatino Linotype"/>
          <w:color w:val="000000"/>
          <w:sz w:val="22"/>
          <w:szCs w:val="22"/>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332B4A69"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w:t>
      </w:r>
    </w:p>
    <w:p w14:paraId="1ED27CEE"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0C0F87B0"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4AD51A84" w14:textId="77777777" w:rsidR="006A0905" w:rsidRPr="000C1B3F" w:rsidRDefault="00921788">
      <w:pPr>
        <w:spacing w:line="360" w:lineRule="auto"/>
        <w:ind w:left="567" w:right="567"/>
        <w:jc w:val="both"/>
        <w:rPr>
          <w:rFonts w:ascii="Palatino Linotype" w:eastAsia="Palatino Linotype" w:hAnsi="Palatino Linotype" w:cs="Palatino Linotype"/>
          <w:i/>
          <w:color w:val="000000"/>
        </w:rPr>
      </w:pPr>
      <w:r w:rsidRPr="000C1B3F">
        <w:rPr>
          <w:rFonts w:ascii="Palatino Linotype" w:eastAsia="Palatino Linotype" w:hAnsi="Palatino Linotype" w:cs="Palatino Linotype"/>
          <w:i/>
          <w:color w:val="000000"/>
        </w:rPr>
        <w:t>“</w:t>
      </w:r>
      <w:r w:rsidRPr="000C1B3F">
        <w:rPr>
          <w:rFonts w:ascii="Palatino Linotype" w:eastAsia="Palatino Linotype" w:hAnsi="Palatino Linotype" w:cs="Palatino Linotype"/>
          <w:b/>
          <w:i/>
          <w:color w:val="000000"/>
        </w:rPr>
        <w:t>Cuentas bancarias y/o CLABE interbancaria de personas físicas y morales privadas.</w:t>
      </w:r>
      <w:r w:rsidRPr="000C1B3F">
        <w:rPr>
          <w:rFonts w:ascii="Palatino Linotype" w:eastAsia="Palatino Linotype" w:hAnsi="Palatino Linotype" w:cs="Palatino Linotype"/>
          <w:i/>
          <w:color w:val="000000"/>
        </w:rPr>
        <w:t xml:space="preserve"> El número de cuenta bancaria y/o CLABE interbancaria de particulares es información confidencial, al tratarse de un conjunto de caracteres numéricos utilizados por los grupos financieros para </w:t>
      </w:r>
      <w:r w:rsidRPr="000C1B3F">
        <w:rPr>
          <w:rFonts w:ascii="Palatino Linotype" w:eastAsia="Palatino Linotype" w:hAnsi="Palatino Linotype" w:cs="Palatino Linotype"/>
          <w:i/>
          <w:color w:val="000000"/>
        </w:rPr>
        <w:lastRenderedPageBreak/>
        <w:t>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6720E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4B662DC9"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 xml:space="preserve">Por lo cual, se puede colegir que dichos datos no guardan relación con el servicio público ni con los recursos públicos, pues </w:t>
      </w:r>
      <w:r w:rsidRPr="000C1B3F">
        <w:rPr>
          <w:rFonts w:ascii="Palatino Linotype" w:eastAsia="Palatino Linotype" w:hAnsi="Palatino Linotype" w:cs="Palatino Linotype"/>
          <w:sz w:val="22"/>
          <w:szCs w:val="22"/>
        </w:rPr>
        <w:t>sólo</w:t>
      </w:r>
      <w:r w:rsidRPr="000C1B3F">
        <w:rPr>
          <w:rFonts w:ascii="Palatino Linotype" w:eastAsia="Palatino Linotype" w:hAnsi="Palatino Linotype" w:cs="Palatino Linotype"/>
          <w:color w:val="000000"/>
          <w:sz w:val="22"/>
          <w:szCs w:val="22"/>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92B5E6F" w14:textId="77777777" w:rsidR="00DA59A4" w:rsidRPr="000C1B3F" w:rsidRDefault="00DA59A4" w:rsidP="00DA59A4">
      <w:pPr>
        <w:spacing w:line="360" w:lineRule="auto"/>
        <w:jc w:val="both"/>
        <w:rPr>
          <w:rFonts w:ascii="Palatino Linotype" w:eastAsia="Palatino Linotype" w:hAnsi="Palatino Linotype" w:cs="Palatino Linotype"/>
          <w:sz w:val="22"/>
          <w:szCs w:val="22"/>
        </w:rPr>
      </w:pPr>
    </w:p>
    <w:p w14:paraId="0FD2B652" w14:textId="77777777" w:rsidR="00DA59A4" w:rsidRPr="000C1B3F" w:rsidRDefault="00DA59A4" w:rsidP="00DA59A4">
      <w:pPr>
        <w:numPr>
          <w:ilvl w:val="0"/>
          <w:numId w:val="15"/>
        </w:numPr>
        <w:spacing w:after="160" w:line="360" w:lineRule="auto"/>
        <w:contextualSpacing/>
        <w:jc w:val="both"/>
        <w:rPr>
          <w:rFonts w:ascii="Palatino Linotype" w:hAnsi="Palatino Linotype"/>
          <w:b/>
          <w:color w:val="000000"/>
          <w:sz w:val="22"/>
          <w:szCs w:val="24"/>
          <w:lang w:eastAsia="es-ES"/>
        </w:rPr>
      </w:pPr>
      <w:r w:rsidRPr="000C1B3F">
        <w:rPr>
          <w:rFonts w:ascii="Palatino Linotype" w:hAnsi="Palatino Linotype"/>
          <w:b/>
          <w:color w:val="000000"/>
          <w:sz w:val="22"/>
          <w:szCs w:val="24"/>
          <w:lang w:eastAsia="es-ES"/>
        </w:rPr>
        <w:t>Fotografía</w:t>
      </w:r>
    </w:p>
    <w:p w14:paraId="21A93425" w14:textId="77777777" w:rsidR="00DA59A4" w:rsidRPr="000C1B3F" w:rsidRDefault="00DA59A4" w:rsidP="00DA59A4">
      <w:pPr>
        <w:spacing w:line="360" w:lineRule="auto"/>
        <w:ind w:left="720"/>
        <w:contextualSpacing/>
        <w:jc w:val="both"/>
        <w:rPr>
          <w:rFonts w:ascii="Palatino Linotype" w:hAnsi="Palatino Linotype"/>
          <w:b/>
          <w:color w:val="000000"/>
          <w:sz w:val="22"/>
          <w:szCs w:val="24"/>
          <w:lang w:eastAsia="es-ES"/>
        </w:rPr>
      </w:pPr>
    </w:p>
    <w:p w14:paraId="73422670" w14:textId="77777777" w:rsidR="00DA59A4" w:rsidRPr="000C1B3F" w:rsidRDefault="00DA59A4" w:rsidP="00DA59A4">
      <w:pPr>
        <w:spacing w:line="360" w:lineRule="auto"/>
        <w:jc w:val="both"/>
        <w:rPr>
          <w:rFonts w:ascii="Palatino Linotype" w:hAnsi="Palatino Linotype"/>
          <w:color w:val="000000"/>
          <w:sz w:val="22"/>
          <w:szCs w:val="22"/>
        </w:rPr>
      </w:pPr>
      <w:r w:rsidRPr="000C1B3F">
        <w:rPr>
          <w:rFonts w:ascii="Palatino Linotype" w:hAnsi="Palatino Linotype"/>
          <w:color w:val="000000"/>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BC97CF7" w14:textId="77777777" w:rsidR="00DA59A4" w:rsidRPr="000C1B3F" w:rsidRDefault="00DA59A4" w:rsidP="00DA59A4">
      <w:pPr>
        <w:spacing w:line="360" w:lineRule="auto"/>
        <w:jc w:val="both"/>
        <w:rPr>
          <w:rFonts w:ascii="Palatino Linotype" w:hAnsi="Palatino Linotype"/>
          <w:color w:val="000000"/>
          <w:sz w:val="22"/>
          <w:szCs w:val="22"/>
        </w:rPr>
      </w:pPr>
    </w:p>
    <w:p w14:paraId="0BCBE753" w14:textId="77777777" w:rsidR="00DA59A4" w:rsidRPr="000C1B3F" w:rsidRDefault="00DA59A4" w:rsidP="00DA59A4">
      <w:pPr>
        <w:spacing w:line="360" w:lineRule="auto"/>
        <w:jc w:val="both"/>
        <w:rPr>
          <w:rFonts w:ascii="Palatino Linotype" w:hAnsi="Palatino Linotype"/>
          <w:color w:val="000000"/>
          <w:sz w:val="22"/>
          <w:szCs w:val="22"/>
        </w:rPr>
      </w:pPr>
      <w:r w:rsidRPr="000C1B3F">
        <w:rPr>
          <w:rFonts w:ascii="Palatino Linotype" w:hAnsi="Palatino Linotype"/>
          <w:color w:val="000000"/>
          <w:sz w:val="22"/>
          <w:szCs w:val="22"/>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w:t>
      </w:r>
      <w:r w:rsidRPr="000C1B3F">
        <w:rPr>
          <w:rFonts w:ascii="Palatino Linotype" w:hAnsi="Palatino Linotype"/>
          <w:color w:val="000000"/>
          <w:sz w:val="22"/>
          <w:szCs w:val="22"/>
        </w:rPr>
        <w:lastRenderedPageBreak/>
        <w:t>público, por lo que es posible advertir que existe cierto interés público, cuando la fotografía obra en documentos de servidores públicos vinculados con el cumplimiento de disposiciones legales.</w:t>
      </w:r>
    </w:p>
    <w:p w14:paraId="28761B98" w14:textId="77777777" w:rsidR="00DA59A4" w:rsidRPr="000C1B3F" w:rsidRDefault="00DA59A4" w:rsidP="00DA59A4">
      <w:pPr>
        <w:spacing w:line="360" w:lineRule="auto"/>
        <w:jc w:val="both"/>
        <w:rPr>
          <w:rFonts w:ascii="Palatino Linotype" w:hAnsi="Palatino Linotype"/>
          <w:color w:val="000000"/>
          <w:sz w:val="22"/>
          <w:szCs w:val="22"/>
        </w:rPr>
      </w:pPr>
    </w:p>
    <w:p w14:paraId="560D51C9" w14:textId="77777777" w:rsidR="00DA59A4" w:rsidRPr="000C1B3F" w:rsidRDefault="00DA59A4" w:rsidP="00DA59A4">
      <w:pPr>
        <w:spacing w:line="360" w:lineRule="auto"/>
        <w:jc w:val="both"/>
        <w:rPr>
          <w:rFonts w:ascii="Palatino Linotype" w:hAnsi="Palatino Linotype"/>
          <w:color w:val="000000"/>
          <w:sz w:val="22"/>
          <w:szCs w:val="22"/>
        </w:rPr>
      </w:pPr>
      <w:r w:rsidRPr="000C1B3F">
        <w:rPr>
          <w:rFonts w:ascii="Palatino Linotype" w:hAnsi="Palatino Linotype"/>
          <w:color w:val="000000"/>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807755E" w14:textId="77777777" w:rsidR="00DA59A4" w:rsidRPr="000C1B3F" w:rsidRDefault="00DA59A4" w:rsidP="00DA59A4">
      <w:pPr>
        <w:spacing w:line="360" w:lineRule="auto"/>
        <w:jc w:val="both"/>
        <w:rPr>
          <w:rFonts w:ascii="Palatino Linotype" w:hAnsi="Palatino Linotype" w:cs="Tahoma"/>
          <w:bCs/>
          <w:sz w:val="22"/>
          <w:szCs w:val="22"/>
          <w:lang w:val="es-ES" w:eastAsia="es-ES"/>
        </w:rPr>
      </w:pPr>
    </w:p>
    <w:p w14:paraId="312E7FD3" w14:textId="77777777" w:rsidR="00DA59A4" w:rsidRPr="000C1B3F" w:rsidRDefault="00DA59A4" w:rsidP="00DA59A4">
      <w:pPr>
        <w:spacing w:line="360" w:lineRule="auto"/>
        <w:ind w:right="-93"/>
        <w:jc w:val="both"/>
        <w:rPr>
          <w:rFonts w:ascii="Palatino Linotype" w:hAnsi="Palatino Linotype"/>
          <w:color w:val="000000"/>
          <w:sz w:val="22"/>
          <w:szCs w:val="22"/>
        </w:rPr>
      </w:pPr>
      <w:r w:rsidRPr="000C1B3F">
        <w:rPr>
          <w:rFonts w:ascii="Palatino Linotype" w:hAnsi="Palatino Linotype"/>
          <w:color w:val="000000"/>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FEA91F9" w14:textId="77777777" w:rsidR="00DA59A4" w:rsidRPr="000C1B3F" w:rsidRDefault="00DA59A4" w:rsidP="00DA59A4">
      <w:pPr>
        <w:spacing w:line="360" w:lineRule="auto"/>
        <w:ind w:right="-93"/>
        <w:jc w:val="both"/>
        <w:rPr>
          <w:rFonts w:ascii="Palatino Linotype" w:hAnsi="Palatino Linotype"/>
          <w:color w:val="000000"/>
          <w:sz w:val="22"/>
          <w:szCs w:val="22"/>
        </w:rPr>
      </w:pPr>
    </w:p>
    <w:p w14:paraId="44EEF2DF" w14:textId="77777777" w:rsidR="00DA59A4" w:rsidRPr="000C1B3F" w:rsidRDefault="00DA59A4" w:rsidP="00DA59A4">
      <w:pPr>
        <w:spacing w:line="360" w:lineRule="auto"/>
        <w:ind w:right="-93"/>
        <w:jc w:val="both"/>
        <w:rPr>
          <w:rFonts w:ascii="Palatino Linotype" w:hAnsi="Palatino Linotype"/>
          <w:color w:val="000000"/>
          <w:sz w:val="22"/>
          <w:szCs w:val="22"/>
        </w:rPr>
      </w:pPr>
      <w:r w:rsidRPr="000C1B3F">
        <w:rPr>
          <w:rFonts w:ascii="Palatino Linotype" w:hAnsi="Palatino Linotype"/>
          <w:color w:val="000000"/>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0C1B3F">
        <w:rPr>
          <w:rFonts w:ascii="Palatino Linotype" w:hAnsi="Palatino Linotype"/>
          <w:color w:val="000000"/>
          <w:sz w:val="22"/>
          <w:szCs w:val="22"/>
        </w:rPr>
        <w:lastRenderedPageBreak/>
        <w:t>cumplimiento de disposiciones normativas o el ejercicio de funciones revisten un interés público.</w:t>
      </w:r>
    </w:p>
    <w:p w14:paraId="1DE820B1" w14:textId="77777777" w:rsidR="00DA59A4" w:rsidRPr="000C1B3F" w:rsidRDefault="00DA59A4" w:rsidP="00DA59A4">
      <w:pPr>
        <w:spacing w:line="360" w:lineRule="auto"/>
        <w:ind w:right="-93"/>
        <w:jc w:val="both"/>
        <w:rPr>
          <w:rFonts w:ascii="Palatino Linotype" w:hAnsi="Palatino Linotype"/>
          <w:color w:val="000000"/>
          <w:sz w:val="22"/>
          <w:szCs w:val="22"/>
        </w:rPr>
      </w:pPr>
    </w:p>
    <w:p w14:paraId="6D3AEB4F" w14:textId="77777777" w:rsidR="00DA59A4" w:rsidRPr="000C1B3F" w:rsidRDefault="00DA59A4" w:rsidP="00DA59A4">
      <w:pPr>
        <w:spacing w:line="360" w:lineRule="auto"/>
        <w:ind w:right="-93"/>
        <w:jc w:val="both"/>
        <w:rPr>
          <w:rFonts w:ascii="Palatino Linotype" w:hAnsi="Palatino Linotype"/>
          <w:color w:val="000000"/>
          <w:sz w:val="22"/>
          <w:szCs w:val="22"/>
        </w:rPr>
      </w:pPr>
      <w:r w:rsidRPr="000C1B3F">
        <w:rPr>
          <w:rFonts w:ascii="Palatino Linotype" w:hAnsi="Palatino Linotype"/>
          <w:color w:val="000000"/>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8621AB5" w14:textId="77777777" w:rsidR="00DA59A4" w:rsidRPr="000C1B3F" w:rsidRDefault="00DA59A4" w:rsidP="00DA59A4">
      <w:pPr>
        <w:spacing w:line="360" w:lineRule="auto"/>
        <w:ind w:right="-93"/>
        <w:jc w:val="both"/>
        <w:rPr>
          <w:rFonts w:ascii="Palatino Linotype" w:hAnsi="Palatino Linotype"/>
          <w:color w:val="000000"/>
          <w:sz w:val="22"/>
          <w:szCs w:val="22"/>
        </w:rPr>
      </w:pPr>
    </w:p>
    <w:p w14:paraId="36A73F89" w14:textId="77777777" w:rsidR="00DA59A4" w:rsidRPr="000C1B3F" w:rsidRDefault="00DA59A4" w:rsidP="00DA59A4">
      <w:pPr>
        <w:spacing w:line="360" w:lineRule="auto"/>
        <w:jc w:val="both"/>
        <w:rPr>
          <w:rFonts w:ascii="Palatino Linotype" w:hAnsi="Palatino Linotype"/>
          <w:color w:val="000000"/>
          <w:sz w:val="22"/>
          <w:szCs w:val="22"/>
        </w:rPr>
      </w:pPr>
      <w:r w:rsidRPr="000C1B3F">
        <w:rPr>
          <w:rFonts w:ascii="Palatino Linotype" w:hAnsi="Palatino Linotype"/>
          <w:color w:val="000000"/>
          <w:sz w:val="22"/>
          <w:szCs w:val="22"/>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FC3C709" w14:textId="77777777" w:rsidR="00DA59A4" w:rsidRPr="000C1B3F" w:rsidRDefault="00DA59A4">
      <w:pPr>
        <w:spacing w:line="360" w:lineRule="auto"/>
        <w:jc w:val="both"/>
        <w:rPr>
          <w:rFonts w:ascii="Palatino Linotype" w:eastAsia="Palatino Linotype" w:hAnsi="Palatino Linotype" w:cs="Palatino Linotype"/>
          <w:sz w:val="22"/>
          <w:szCs w:val="22"/>
        </w:rPr>
      </w:pPr>
    </w:p>
    <w:p w14:paraId="1125E9EC" w14:textId="77777777" w:rsidR="006A0905" w:rsidRPr="000C1B3F" w:rsidRDefault="00921788">
      <w:pPr>
        <w:spacing w:line="360" w:lineRule="auto"/>
        <w:ind w:right="-28"/>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sz w:val="22"/>
          <w:szCs w:val="22"/>
        </w:rPr>
        <w:t>Por lo que, para atender el requerimiento deberá proporcionar los documentos solicitados en versión pública; p</w:t>
      </w:r>
      <w:r w:rsidRPr="000C1B3F">
        <w:rPr>
          <w:rFonts w:ascii="Palatino Linotype" w:eastAsia="Palatino Linotype" w:hAnsi="Palatino Linotype" w:cs="Palatino Linotype"/>
          <w:color w:val="000000"/>
          <w:sz w:val="22"/>
          <w:szCs w:val="22"/>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768BC7E4" w14:textId="77777777" w:rsidR="006A0905" w:rsidRPr="000C1B3F" w:rsidRDefault="006A0905">
      <w:pPr>
        <w:spacing w:line="360" w:lineRule="auto"/>
        <w:rPr>
          <w:rFonts w:ascii="Palatino Linotype" w:eastAsia="Palatino Linotype" w:hAnsi="Palatino Linotype" w:cs="Palatino Linotype"/>
          <w:sz w:val="22"/>
          <w:szCs w:val="22"/>
        </w:rPr>
      </w:pPr>
    </w:p>
    <w:p w14:paraId="6B8068C4" w14:textId="77777777" w:rsidR="006A0905" w:rsidRPr="000C1B3F" w:rsidRDefault="00921788">
      <w:pPr>
        <w:pStyle w:val="Ttulo2"/>
        <w:spacing w:before="0" w:after="0" w:line="360" w:lineRule="auto"/>
        <w:rPr>
          <w:rFonts w:ascii="Palatino Linotype" w:eastAsia="Palatino Linotype" w:hAnsi="Palatino Linotype" w:cs="Palatino Linotype"/>
          <w:b w:val="0"/>
          <w:sz w:val="22"/>
          <w:szCs w:val="22"/>
        </w:rPr>
      </w:pPr>
      <w:bookmarkStart w:id="14" w:name="_Toc210916246"/>
      <w:r w:rsidRPr="000C1B3F">
        <w:rPr>
          <w:rFonts w:ascii="Palatino Linotype" w:eastAsia="Palatino Linotype" w:hAnsi="Palatino Linotype" w:cs="Palatino Linotype"/>
          <w:sz w:val="22"/>
          <w:szCs w:val="22"/>
        </w:rPr>
        <w:t>SEXTO. Decisión</w:t>
      </w:r>
      <w:bookmarkEnd w:id="14"/>
    </w:p>
    <w:p w14:paraId="3840199F"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0E23AA54"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Con fundamento en el artículo 186, fracción III, de la Ley de Transparencia y Acceso a la Información Pública del Estado de México y Municipios, este Instituto considera procedente</w:t>
      </w:r>
      <w:r w:rsidRPr="000C1B3F">
        <w:rPr>
          <w:rFonts w:ascii="Palatino Linotype" w:eastAsia="Palatino Linotype" w:hAnsi="Palatino Linotype" w:cs="Palatino Linotype"/>
          <w:b/>
          <w:sz w:val="22"/>
          <w:szCs w:val="22"/>
        </w:rPr>
        <w:t xml:space="preserve"> REVOCAR </w:t>
      </w:r>
      <w:r w:rsidRPr="000C1B3F">
        <w:rPr>
          <w:rFonts w:ascii="Palatino Linotype" w:eastAsia="Palatino Linotype" w:hAnsi="Palatino Linotype" w:cs="Palatino Linotype"/>
          <w:sz w:val="22"/>
          <w:szCs w:val="22"/>
        </w:rPr>
        <w:t>las respuestas otorgadas por el Sujeto Obligado</w:t>
      </w:r>
      <w:r w:rsidRPr="000C1B3F">
        <w:rPr>
          <w:rFonts w:ascii="Palatino Linotype" w:eastAsia="Palatino Linotype" w:hAnsi="Palatino Linotype" w:cs="Palatino Linotype"/>
          <w:b/>
          <w:sz w:val="22"/>
          <w:szCs w:val="22"/>
        </w:rPr>
        <w:t xml:space="preserve"> </w:t>
      </w:r>
      <w:r w:rsidRPr="000C1B3F">
        <w:rPr>
          <w:rFonts w:ascii="Palatino Linotype" w:eastAsia="Palatino Linotype" w:hAnsi="Palatino Linotype" w:cs="Palatino Linotype"/>
          <w:sz w:val="22"/>
          <w:szCs w:val="22"/>
        </w:rPr>
        <w:t xml:space="preserve">a las solicitudes de información </w:t>
      </w:r>
      <w:r w:rsidRPr="000C1B3F">
        <w:rPr>
          <w:rFonts w:ascii="Palatino Linotype" w:eastAsia="Palatino Linotype" w:hAnsi="Palatino Linotype" w:cs="Palatino Linotype"/>
          <w:b/>
          <w:color w:val="000000"/>
          <w:sz w:val="22"/>
          <w:szCs w:val="22"/>
        </w:rPr>
        <w:t>03396/TOLUCA/IP/2025 y 03397/TOLUCA/IP/2025</w:t>
      </w:r>
      <w:r w:rsidRPr="000C1B3F">
        <w:rPr>
          <w:rFonts w:ascii="Palatino Linotype" w:eastAsia="Palatino Linotype" w:hAnsi="Palatino Linotype" w:cs="Palatino Linotype"/>
          <w:b/>
          <w:sz w:val="22"/>
          <w:szCs w:val="22"/>
        </w:rPr>
        <w:t xml:space="preserve">, </w:t>
      </w:r>
      <w:r w:rsidRPr="000C1B3F">
        <w:rPr>
          <w:rFonts w:ascii="Palatino Linotype" w:eastAsia="Palatino Linotype" w:hAnsi="Palatino Linotype" w:cs="Palatino Linotype"/>
          <w:sz w:val="22"/>
          <w:szCs w:val="22"/>
        </w:rPr>
        <w:t xml:space="preserve">por resultar </w:t>
      </w:r>
      <w:r w:rsidRPr="000C1B3F">
        <w:rPr>
          <w:rFonts w:ascii="Palatino Linotype" w:eastAsia="Palatino Linotype" w:hAnsi="Palatino Linotype" w:cs="Palatino Linotype"/>
          <w:b/>
          <w:sz w:val="22"/>
          <w:szCs w:val="22"/>
        </w:rPr>
        <w:t>PARCIALMENTE</w:t>
      </w:r>
      <w:r w:rsidRPr="000C1B3F">
        <w:rPr>
          <w:rFonts w:ascii="Palatino Linotype" w:eastAsia="Palatino Linotype" w:hAnsi="Palatino Linotype" w:cs="Palatino Linotype"/>
          <w:sz w:val="22"/>
          <w:szCs w:val="22"/>
        </w:rPr>
        <w:t xml:space="preserve"> </w:t>
      </w:r>
      <w:r w:rsidRPr="000C1B3F">
        <w:rPr>
          <w:rFonts w:ascii="Palatino Linotype" w:eastAsia="Palatino Linotype" w:hAnsi="Palatino Linotype" w:cs="Palatino Linotype"/>
          <w:b/>
          <w:sz w:val="22"/>
          <w:szCs w:val="22"/>
        </w:rPr>
        <w:t>FUNDADAS</w:t>
      </w:r>
      <w:r w:rsidRPr="000C1B3F">
        <w:rPr>
          <w:rFonts w:ascii="Palatino Linotype" w:eastAsia="Palatino Linotype" w:hAnsi="Palatino Linotype" w:cs="Palatino Linotype"/>
          <w:sz w:val="22"/>
          <w:szCs w:val="22"/>
        </w:rPr>
        <w:t xml:space="preserve"> las razones o motivos de inconformidad hechos valer por la persona Recurrente, en los Recursos de Revisión</w:t>
      </w:r>
      <w:r w:rsidRPr="000C1B3F">
        <w:rPr>
          <w:rFonts w:ascii="Palatino Linotype" w:eastAsia="Palatino Linotype" w:hAnsi="Palatino Linotype" w:cs="Palatino Linotype"/>
          <w:b/>
          <w:color w:val="0D0D0D"/>
          <w:sz w:val="22"/>
          <w:szCs w:val="22"/>
        </w:rPr>
        <w:t xml:space="preserve"> </w:t>
      </w:r>
      <w:r w:rsidRPr="000C1B3F">
        <w:rPr>
          <w:rFonts w:ascii="Palatino Linotype" w:eastAsia="Palatino Linotype" w:hAnsi="Palatino Linotype" w:cs="Palatino Linotype"/>
          <w:b/>
          <w:color w:val="000000"/>
          <w:sz w:val="22"/>
          <w:szCs w:val="22"/>
        </w:rPr>
        <w:t>09216/INFOEM/IP/RR/2025 y</w:t>
      </w:r>
      <w:r w:rsidRPr="000C1B3F">
        <w:rPr>
          <w:rFonts w:ascii="Palatino Linotype" w:eastAsia="Palatino Linotype" w:hAnsi="Palatino Linotype" w:cs="Palatino Linotype"/>
          <w:color w:val="000000"/>
          <w:sz w:val="22"/>
          <w:szCs w:val="22"/>
        </w:rPr>
        <w:t xml:space="preserve"> </w:t>
      </w:r>
      <w:r w:rsidRPr="000C1B3F">
        <w:rPr>
          <w:rFonts w:ascii="Palatino Linotype" w:eastAsia="Palatino Linotype" w:hAnsi="Palatino Linotype" w:cs="Palatino Linotype"/>
          <w:b/>
          <w:sz w:val="22"/>
          <w:szCs w:val="22"/>
        </w:rPr>
        <w:t>09228/INFOEM/IP/RR/2025</w:t>
      </w:r>
      <w:r w:rsidRPr="000C1B3F">
        <w:rPr>
          <w:rFonts w:ascii="Palatino Linotype" w:eastAsia="Palatino Linotype" w:hAnsi="Palatino Linotype" w:cs="Palatino Linotype"/>
          <w:b/>
          <w:color w:val="0D0D0D"/>
          <w:sz w:val="22"/>
          <w:szCs w:val="22"/>
        </w:rPr>
        <w:t xml:space="preserve">, </w:t>
      </w:r>
      <w:r w:rsidRPr="000C1B3F">
        <w:rPr>
          <w:rFonts w:ascii="Palatino Linotype" w:eastAsia="Palatino Linotype" w:hAnsi="Palatino Linotype" w:cs="Palatino Linotype"/>
          <w:sz w:val="22"/>
          <w:szCs w:val="22"/>
        </w:rPr>
        <w:t xml:space="preserve">en consecuencia procede </w:t>
      </w:r>
      <w:r w:rsidRPr="000C1B3F">
        <w:rPr>
          <w:rFonts w:ascii="Palatino Linotype" w:eastAsia="Palatino Linotype" w:hAnsi="Palatino Linotype" w:cs="Palatino Linotype"/>
          <w:b/>
          <w:sz w:val="22"/>
          <w:szCs w:val="22"/>
        </w:rPr>
        <w:t>ORDENAR</w:t>
      </w:r>
      <w:r w:rsidRPr="000C1B3F">
        <w:rPr>
          <w:rFonts w:ascii="Palatino Linotype" w:eastAsia="Palatino Linotype" w:hAnsi="Palatino Linotype" w:cs="Palatino Linotype"/>
          <w:sz w:val="22"/>
          <w:szCs w:val="22"/>
        </w:rPr>
        <w:t>, la entrega de la información.</w:t>
      </w:r>
    </w:p>
    <w:p w14:paraId="094A0986"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785C0536" w14:textId="77777777" w:rsidR="006A0905" w:rsidRPr="000C1B3F" w:rsidRDefault="00921788">
      <w:pPr>
        <w:spacing w:line="360" w:lineRule="auto"/>
        <w:jc w:val="both"/>
        <w:rPr>
          <w:rFonts w:ascii="Palatino Linotype" w:eastAsia="Palatino Linotype" w:hAnsi="Palatino Linotype" w:cs="Palatino Linotype"/>
          <w:b/>
          <w:sz w:val="22"/>
          <w:szCs w:val="22"/>
          <w:u w:val="single"/>
        </w:rPr>
      </w:pPr>
      <w:r w:rsidRPr="000C1B3F">
        <w:rPr>
          <w:rFonts w:ascii="Palatino Linotype" w:eastAsia="Palatino Linotype" w:hAnsi="Palatino Linotype" w:cs="Palatino Linotype"/>
          <w:b/>
          <w:sz w:val="22"/>
          <w:szCs w:val="22"/>
          <w:u w:val="single"/>
        </w:rPr>
        <w:t>Términos de la Resolución para la persona Recurrente</w:t>
      </w:r>
    </w:p>
    <w:p w14:paraId="7D40D6E9" w14:textId="77777777" w:rsidR="006A0905" w:rsidRPr="000C1B3F" w:rsidRDefault="006A0905">
      <w:pPr>
        <w:spacing w:line="360" w:lineRule="auto"/>
        <w:jc w:val="both"/>
        <w:rPr>
          <w:rFonts w:ascii="Palatino Linotype" w:eastAsia="Palatino Linotype" w:hAnsi="Palatino Linotype" w:cs="Palatino Linotype"/>
          <w:sz w:val="22"/>
          <w:szCs w:val="22"/>
          <w:u w:val="single"/>
        </w:rPr>
      </w:pPr>
    </w:p>
    <w:p w14:paraId="3B8190DF" w14:textId="77777777" w:rsidR="006A0905" w:rsidRPr="000C1B3F" w:rsidRDefault="00921788">
      <w:pPr>
        <w:spacing w:line="360" w:lineRule="auto"/>
        <w:jc w:val="both"/>
        <w:rPr>
          <w:rFonts w:ascii="Palatino Linotype" w:eastAsia="Palatino Linotype" w:hAnsi="Palatino Linotype" w:cs="Palatino Linotype"/>
          <w:sz w:val="22"/>
          <w:szCs w:val="22"/>
          <w:u w:val="single"/>
        </w:rPr>
      </w:pPr>
      <w:r w:rsidRPr="000C1B3F">
        <w:rPr>
          <w:rFonts w:ascii="Palatino Linotype" w:eastAsia="Palatino Linotype" w:hAnsi="Palatino Linotype" w:cs="Palatino Linotype"/>
          <w:sz w:val="22"/>
          <w:szCs w:val="22"/>
          <w:u w:val="single"/>
        </w:rPr>
        <w:t xml:space="preserve">Se hace del conocimiento de la persona Recurrente que este Organismo Garante determinó concederle la razón, puesto que el Sujeto Obligado no entregó la información por lo se ordena su entrega. </w:t>
      </w:r>
    </w:p>
    <w:p w14:paraId="749F87F6" w14:textId="77777777" w:rsidR="006A0905" w:rsidRPr="000C1B3F" w:rsidRDefault="006A0905">
      <w:pPr>
        <w:spacing w:line="360" w:lineRule="auto"/>
        <w:jc w:val="both"/>
        <w:rPr>
          <w:rFonts w:ascii="Palatino Linotype" w:eastAsia="Palatino Linotype" w:hAnsi="Palatino Linotype" w:cs="Palatino Linotype"/>
          <w:sz w:val="22"/>
          <w:szCs w:val="22"/>
          <w:u w:val="single"/>
        </w:rPr>
      </w:pPr>
    </w:p>
    <w:p w14:paraId="272FD71D" w14:textId="77777777" w:rsidR="006A0905" w:rsidRPr="000C1B3F" w:rsidRDefault="00921788">
      <w:pPr>
        <w:spacing w:line="360" w:lineRule="auto"/>
        <w:jc w:val="both"/>
        <w:rPr>
          <w:rFonts w:ascii="Palatino Linotype" w:eastAsia="Palatino Linotype" w:hAnsi="Palatino Linotype" w:cs="Palatino Linotype"/>
          <w:sz w:val="22"/>
          <w:szCs w:val="22"/>
          <w:u w:val="single"/>
        </w:rPr>
      </w:pPr>
      <w:r w:rsidRPr="000C1B3F">
        <w:rPr>
          <w:rFonts w:ascii="Palatino Linotype" w:eastAsia="Palatino Linotype" w:hAnsi="Palatino Linotype" w:cs="Palatino Linotype"/>
          <w:sz w:val="22"/>
          <w:szCs w:val="22"/>
          <w:u w:val="single"/>
        </w:rPr>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p>
    <w:p w14:paraId="715C38FE" w14:textId="77777777" w:rsidR="006A0905" w:rsidRPr="000C1B3F" w:rsidRDefault="006A0905">
      <w:pPr>
        <w:spacing w:line="360" w:lineRule="auto"/>
        <w:jc w:val="both"/>
        <w:rPr>
          <w:rFonts w:ascii="Palatino Linotype" w:eastAsia="Palatino Linotype" w:hAnsi="Palatino Linotype" w:cs="Palatino Linotype"/>
          <w:sz w:val="22"/>
          <w:szCs w:val="22"/>
          <w:u w:val="single"/>
        </w:rPr>
      </w:pPr>
    </w:p>
    <w:p w14:paraId="7A0350B8" w14:textId="77777777" w:rsidR="006A0905" w:rsidRPr="000C1B3F" w:rsidRDefault="00921788">
      <w:pPr>
        <w:spacing w:line="360" w:lineRule="auto"/>
        <w:jc w:val="both"/>
        <w:rPr>
          <w:rFonts w:ascii="Palatino Linotype" w:eastAsia="Palatino Linotype" w:hAnsi="Palatino Linotype" w:cs="Palatino Linotype"/>
          <w:sz w:val="22"/>
          <w:szCs w:val="22"/>
          <w:u w:val="single"/>
        </w:rPr>
      </w:pPr>
      <w:r w:rsidRPr="000C1B3F">
        <w:rPr>
          <w:rFonts w:ascii="Palatino Linotype" w:eastAsia="Palatino Linotype" w:hAnsi="Palatino Linotype" w:cs="Palatino Linotype"/>
          <w:sz w:val="22"/>
          <w:szCs w:val="22"/>
          <w:u w:val="single"/>
        </w:rPr>
        <w:t>La labor del INFOEM, es apoyar a la población para acceder a la información pública y garantizar la protección de sus datos personales.</w:t>
      </w:r>
    </w:p>
    <w:p w14:paraId="6C3CAB23" w14:textId="77777777" w:rsidR="006A0905" w:rsidRPr="000C1B3F" w:rsidRDefault="006A0905">
      <w:pPr>
        <w:spacing w:line="360" w:lineRule="auto"/>
        <w:jc w:val="both"/>
        <w:rPr>
          <w:rFonts w:ascii="Palatino Linotype" w:eastAsia="Palatino Linotype" w:hAnsi="Palatino Linotype" w:cs="Palatino Linotype"/>
          <w:sz w:val="22"/>
          <w:szCs w:val="22"/>
        </w:rPr>
      </w:pPr>
    </w:p>
    <w:p w14:paraId="6E7E4723"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lastRenderedPageBreak/>
        <w:t>Por lo expuesto y fundado, este Pleno:</w:t>
      </w:r>
    </w:p>
    <w:p w14:paraId="7D7BF96E" w14:textId="77777777" w:rsidR="006A0905" w:rsidRPr="000C1B3F" w:rsidRDefault="00921788">
      <w:pPr>
        <w:pStyle w:val="Ttulo1"/>
        <w:spacing w:before="0" w:line="360" w:lineRule="auto"/>
        <w:jc w:val="center"/>
        <w:rPr>
          <w:rFonts w:ascii="Palatino Linotype" w:eastAsia="Palatino Linotype" w:hAnsi="Palatino Linotype" w:cs="Palatino Linotype"/>
          <w:b/>
          <w:color w:val="000000"/>
          <w:sz w:val="22"/>
          <w:szCs w:val="22"/>
        </w:rPr>
      </w:pPr>
      <w:bookmarkStart w:id="15" w:name="_Toc210916247"/>
      <w:r w:rsidRPr="000C1B3F">
        <w:rPr>
          <w:rFonts w:ascii="Palatino Linotype" w:eastAsia="Palatino Linotype" w:hAnsi="Palatino Linotype" w:cs="Palatino Linotype"/>
          <w:b/>
          <w:color w:val="000000"/>
          <w:sz w:val="22"/>
          <w:szCs w:val="22"/>
        </w:rPr>
        <w:t>R E S U E L V E</w:t>
      </w:r>
      <w:bookmarkEnd w:id="15"/>
    </w:p>
    <w:p w14:paraId="181CEA93" w14:textId="77777777" w:rsidR="006A0905" w:rsidRPr="000C1B3F" w:rsidRDefault="006A0905">
      <w:pPr>
        <w:spacing w:line="360" w:lineRule="auto"/>
        <w:jc w:val="center"/>
        <w:rPr>
          <w:rFonts w:ascii="Palatino Linotype" w:eastAsia="Palatino Linotype" w:hAnsi="Palatino Linotype" w:cs="Palatino Linotype"/>
          <w:b/>
          <w:sz w:val="22"/>
          <w:szCs w:val="22"/>
        </w:rPr>
      </w:pPr>
    </w:p>
    <w:p w14:paraId="285FB563" w14:textId="7CC36C15" w:rsidR="006A0905" w:rsidRPr="000C1B3F" w:rsidRDefault="00921788">
      <w:pPr>
        <w:tabs>
          <w:tab w:val="left" w:pos="4962"/>
        </w:tabs>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b/>
          <w:sz w:val="22"/>
          <w:szCs w:val="22"/>
        </w:rPr>
        <w:t>PRIMERO.</w:t>
      </w:r>
      <w:r w:rsidRPr="000C1B3F">
        <w:rPr>
          <w:rFonts w:ascii="Palatino Linotype" w:eastAsia="Palatino Linotype" w:hAnsi="Palatino Linotype" w:cs="Palatino Linotype"/>
          <w:sz w:val="22"/>
          <w:szCs w:val="22"/>
        </w:rPr>
        <w:t xml:space="preserve"> Se </w:t>
      </w:r>
      <w:r w:rsidRPr="000C1B3F">
        <w:rPr>
          <w:rFonts w:ascii="Palatino Linotype" w:eastAsia="Palatino Linotype" w:hAnsi="Palatino Linotype" w:cs="Palatino Linotype"/>
          <w:b/>
          <w:sz w:val="22"/>
          <w:szCs w:val="22"/>
        </w:rPr>
        <w:t xml:space="preserve">REVOCAN </w:t>
      </w:r>
      <w:r w:rsidRPr="000C1B3F">
        <w:rPr>
          <w:rFonts w:ascii="Palatino Linotype" w:eastAsia="Palatino Linotype" w:hAnsi="Palatino Linotype" w:cs="Palatino Linotype"/>
          <w:sz w:val="22"/>
          <w:szCs w:val="22"/>
        </w:rPr>
        <w:t>las respuestas entregadas por el Sujeto Obligado a las solicitudes de acceso a la información con número de folio </w:t>
      </w:r>
      <w:r w:rsidRPr="000C1B3F">
        <w:rPr>
          <w:rFonts w:ascii="Palatino Linotype" w:eastAsia="Palatino Linotype" w:hAnsi="Palatino Linotype" w:cs="Palatino Linotype"/>
          <w:bCs/>
          <w:color w:val="000000"/>
          <w:sz w:val="22"/>
          <w:szCs w:val="22"/>
        </w:rPr>
        <w:t>03396/TOLUCA/IP/2025 y 03397/TOLUCA/IP/2025</w:t>
      </w:r>
      <w:r w:rsidRPr="000C1B3F">
        <w:rPr>
          <w:rFonts w:ascii="Palatino Linotype" w:eastAsia="Palatino Linotype" w:hAnsi="Palatino Linotype" w:cs="Palatino Linotype"/>
          <w:sz w:val="22"/>
          <w:szCs w:val="22"/>
        </w:rPr>
        <w:t xml:space="preserve">, por resultar </w:t>
      </w:r>
      <w:r w:rsidRPr="000C1B3F">
        <w:rPr>
          <w:rFonts w:ascii="Palatino Linotype" w:eastAsia="Palatino Linotype" w:hAnsi="Palatino Linotype" w:cs="Palatino Linotype"/>
          <w:b/>
          <w:sz w:val="22"/>
          <w:szCs w:val="22"/>
        </w:rPr>
        <w:t>FUNDADAS</w:t>
      </w:r>
      <w:r w:rsidRPr="000C1B3F">
        <w:rPr>
          <w:rFonts w:ascii="Palatino Linotype" w:eastAsia="Palatino Linotype" w:hAnsi="Palatino Linotype" w:cs="Palatino Linotype"/>
          <w:sz w:val="22"/>
          <w:szCs w:val="22"/>
        </w:rPr>
        <w:t xml:space="preserve"> las razones o motivos de inconformidad hechas valer por la persona Recurrente, en términos de los Considerandos QUINTO y SEXTO de esta Resolución.</w:t>
      </w:r>
    </w:p>
    <w:p w14:paraId="7ABE6257"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4E1D3E30" w14:textId="34E2339F" w:rsidR="005B0168"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b/>
          <w:color w:val="000000"/>
          <w:sz w:val="22"/>
          <w:szCs w:val="22"/>
        </w:rPr>
        <w:t xml:space="preserve">SEGUNDO. </w:t>
      </w:r>
      <w:r w:rsidRPr="000C1B3F">
        <w:rPr>
          <w:rFonts w:ascii="Palatino Linotype" w:eastAsia="Palatino Linotype" w:hAnsi="Palatino Linotype" w:cs="Palatino Linotype"/>
          <w:color w:val="000000"/>
          <w:sz w:val="22"/>
          <w:szCs w:val="22"/>
        </w:rPr>
        <w:t xml:space="preserve">Se </w:t>
      </w:r>
      <w:r w:rsidRPr="000C1B3F">
        <w:rPr>
          <w:rFonts w:ascii="Palatino Linotype" w:eastAsia="Palatino Linotype" w:hAnsi="Palatino Linotype" w:cs="Palatino Linotype"/>
          <w:b/>
          <w:color w:val="000000"/>
          <w:sz w:val="22"/>
          <w:szCs w:val="22"/>
        </w:rPr>
        <w:t>ORDENA</w:t>
      </w:r>
      <w:r w:rsidRPr="000C1B3F">
        <w:rPr>
          <w:rFonts w:ascii="Palatino Linotype" w:eastAsia="Palatino Linotype" w:hAnsi="Palatino Linotype" w:cs="Palatino Linotype"/>
          <w:color w:val="000000"/>
          <w:sz w:val="22"/>
          <w:szCs w:val="22"/>
        </w:rPr>
        <w:t xml:space="preserve"> al Sujeto Obligado, a efecto de entregue, previa búsqueda exhaustiva y razonable, a través del SAIMEX, en su caso</w:t>
      </w:r>
      <w:r w:rsidR="005B0168" w:rsidRPr="000C1B3F">
        <w:rPr>
          <w:rFonts w:ascii="Palatino Linotype" w:eastAsia="Palatino Linotype" w:hAnsi="Palatino Linotype" w:cs="Palatino Linotype"/>
          <w:color w:val="000000"/>
          <w:sz w:val="22"/>
          <w:szCs w:val="22"/>
        </w:rPr>
        <w:t>,</w:t>
      </w:r>
      <w:r w:rsidRPr="000C1B3F">
        <w:rPr>
          <w:rFonts w:ascii="Palatino Linotype" w:eastAsia="Palatino Linotype" w:hAnsi="Palatino Linotype" w:cs="Palatino Linotype"/>
          <w:color w:val="000000"/>
          <w:sz w:val="22"/>
          <w:szCs w:val="22"/>
        </w:rPr>
        <w:t xml:space="preserve"> en versión pública, </w:t>
      </w:r>
      <w:r w:rsidR="005B0168" w:rsidRPr="000C1B3F">
        <w:rPr>
          <w:rFonts w:ascii="Palatino Linotype" w:eastAsia="Palatino Linotype" w:hAnsi="Palatino Linotype" w:cs="Palatino Linotype"/>
          <w:color w:val="000000"/>
          <w:sz w:val="22"/>
          <w:szCs w:val="22"/>
        </w:rPr>
        <w:t>respecto a los servidores públicos adscritos a la Unidad de Transparencia y Contraloría Municipal en funciones al once de junio de dos mil veinticinco, los documentos que den cuenta de lo siguiente:</w:t>
      </w:r>
    </w:p>
    <w:p w14:paraId="34F8346C" w14:textId="77777777" w:rsidR="006A0905" w:rsidRPr="000C1B3F" w:rsidRDefault="006A0905">
      <w:pPr>
        <w:spacing w:line="360" w:lineRule="auto"/>
        <w:jc w:val="both"/>
        <w:rPr>
          <w:rFonts w:ascii="Palatino Linotype" w:eastAsia="Palatino Linotype" w:hAnsi="Palatino Linotype" w:cs="Palatino Linotype"/>
          <w:bCs/>
          <w:sz w:val="22"/>
          <w:szCs w:val="22"/>
        </w:rPr>
      </w:pPr>
    </w:p>
    <w:p w14:paraId="30FFF4DE" w14:textId="6F5F031F" w:rsidR="006A0905" w:rsidRPr="000C1B3F" w:rsidRDefault="0092178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Cs/>
          <w:color w:val="000000"/>
          <w:sz w:val="22"/>
          <w:szCs w:val="22"/>
        </w:rPr>
      </w:pPr>
      <w:r w:rsidRPr="000C1B3F">
        <w:rPr>
          <w:rFonts w:ascii="Palatino Linotype" w:eastAsia="Palatino Linotype" w:hAnsi="Palatino Linotype" w:cs="Palatino Linotype"/>
          <w:bCs/>
          <w:color w:val="000000"/>
          <w:sz w:val="22"/>
          <w:szCs w:val="22"/>
        </w:rPr>
        <w:t xml:space="preserve">Recibos de nómina de la </w:t>
      </w:r>
      <w:r w:rsidR="005B0168" w:rsidRPr="000C1B3F">
        <w:rPr>
          <w:rFonts w:ascii="Palatino Linotype" w:eastAsia="Palatino Linotype" w:hAnsi="Palatino Linotype" w:cs="Palatino Linotype"/>
          <w:bCs/>
          <w:color w:val="000000"/>
          <w:sz w:val="22"/>
          <w:szCs w:val="22"/>
        </w:rPr>
        <w:t>segunda</w:t>
      </w:r>
      <w:r w:rsidRPr="000C1B3F">
        <w:rPr>
          <w:rFonts w:ascii="Palatino Linotype" w:eastAsia="Palatino Linotype" w:hAnsi="Palatino Linotype" w:cs="Palatino Linotype"/>
          <w:bCs/>
          <w:color w:val="000000"/>
          <w:sz w:val="22"/>
          <w:szCs w:val="22"/>
        </w:rPr>
        <w:t xml:space="preserve"> quincena de mayo de </w:t>
      </w:r>
      <w:r w:rsidR="005B0168" w:rsidRPr="000C1B3F">
        <w:rPr>
          <w:rFonts w:ascii="Palatino Linotype" w:eastAsia="Palatino Linotype" w:hAnsi="Palatino Linotype" w:cs="Palatino Linotype"/>
          <w:bCs/>
          <w:color w:val="000000"/>
          <w:sz w:val="22"/>
          <w:szCs w:val="22"/>
        </w:rPr>
        <w:t>dos mil veinticinco, y</w:t>
      </w:r>
    </w:p>
    <w:p w14:paraId="6661B61F" w14:textId="672D26E0" w:rsidR="006A0905" w:rsidRPr="000C1B3F" w:rsidRDefault="0092178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Cs/>
          <w:color w:val="000000"/>
          <w:sz w:val="22"/>
          <w:szCs w:val="22"/>
        </w:rPr>
      </w:pPr>
      <w:r w:rsidRPr="000C1B3F">
        <w:rPr>
          <w:rFonts w:ascii="Palatino Linotype" w:eastAsia="Palatino Linotype" w:hAnsi="Palatino Linotype" w:cs="Palatino Linotype"/>
          <w:bCs/>
          <w:color w:val="000000"/>
          <w:sz w:val="22"/>
          <w:szCs w:val="22"/>
        </w:rPr>
        <w:t>Credenciales</w:t>
      </w:r>
      <w:r w:rsidR="005B0168" w:rsidRPr="000C1B3F">
        <w:rPr>
          <w:rFonts w:ascii="Palatino Linotype" w:eastAsia="Palatino Linotype" w:hAnsi="Palatino Linotype" w:cs="Palatino Linotype"/>
          <w:bCs/>
          <w:color w:val="000000"/>
          <w:sz w:val="22"/>
          <w:szCs w:val="22"/>
        </w:rPr>
        <w:t xml:space="preserve"> institucionales.</w:t>
      </w:r>
    </w:p>
    <w:p w14:paraId="4D94BC6C" w14:textId="77777777" w:rsidR="006A0905" w:rsidRPr="000C1B3F" w:rsidRDefault="006A0905">
      <w:pPr>
        <w:tabs>
          <w:tab w:val="left" w:pos="4962"/>
        </w:tabs>
        <w:spacing w:line="360" w:lineRule="auto"/>
        <w:jc w:val="both"/>
        <w:rPr>
          <w:rFonts w:ascii="Palatino Linotype" w:eastAsia="Palatino Linotype" w:hAnsi="Palatino Linotype" w:cs="Palatino Linotype"/>
          <w:sz w:val="22"/>
          <w:szCs w:val="22"/>
        </w:rPr>
      </w:pPr>
    </w:p>
    <w:p w14:paraId="40738A29" w14:textId="77777777" w:rsidR="005B0168" w:rsidRPr="000C1B3F" w:rsidRDefault="005B0168" w:rsidP="005B0168">
      <w:pPr>
        <w:spacing w:line="360" w:lineRule="auto"/>
        <w:ind w:right="-93"/>
        <w:jc w:val="both"/>
        <w:rPr>
          <w:rFonts w:ascii="Palatino Linotype" w:eastAsia="Calibri" w:hAnsi="Palatino Linotype" w:cs="Tahoma"/>
          <w:bCs/>
          <w:sz w:val="22"/>
          <w:szCs w:val="22"/>
          <w:lang w:eastAsia="en-US"/>
        </w:rPr>
      </w:pPr>
      <w:r w:rsidRPr="000C1B3F">
        <w:rPr>
          <w:rFonts w:ascii="Palatino Linotype" w:eastAsia="Calibri" w:hAnsi="Palatino Linotype" w:cs="Tahoma"/>
          <w:bCs/>
          <w:sz w:val="22"/>
          <w:szCs w:val="22"/>
          <w:lang w:eastAsia="en-US"/>
        </w:rPr>
        <w:t>Para el caso de que se requiera la entrega de versión pública, se deberá proporcionar el Acuerdo donde el Comité de Transparencia, confirme la eliminación de los datos personales confidenciales, con fundamento en los artículos 49, fracciones II y VIII, 132, fracción III, 143, fracción I y 149, de la Ley de Transparencia y Acceso a la Información Pública del Estado de México y Municipios.</w:t>
      </w:r>
    </w:p>
    <w:p w14:paraId="3EDEFE96"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BF5BCF7" w14:textId="77777777" w:rsidR="006A0905" w:rsidRPr="000C1B3F" w:rsidRDefault="00921788">
      <w:pPr>
        <w:spacing w:line="360" w:lineRule="auto"/>
        <w:jc w:val="both"/>
        <w:rPr>
          <w:rFonts w:ascii="Palatino Linotype" w:eastAsia="Palatino Linotype" w:hAnsi="Palatino Linotype" w:cs="Palatino Linotype"/>
          <w:b/>
          <w:color w:val="000000"/>
          <w:sz w:val="22"/>
          <w:szCs w:val="22"/>
        </w:rPr>
      </w:pPr>
      <w:r w:rsidRPr="000C1B3F">
        <w:rPr>
          <w:rFonts w:ascii="Palatino Linotype" w:eastAsia="Palatino Linotype" w:hAnsi="Palatino Linotype" w:cs="Palatino Linotype"/>
          <w:b/>
          <w:smallCaps/>
          <w:color w:val="000000"/>
          <w:sz w:val="22"/>
          <w:szCs w:val="22"/>
        </w:rPr>
        <w:lastRenderedPageBreak/>
        <w:t>TERCERO</w:t>
      </w:r>
      <w:r w:rsidRPr="000C1B3F">
        <w:rPr>
          <w:rFonts w:ascii="Palatino Linotype" w:eastAsia="Palatino Linotype" w:hAnsi="Palatino Linotype" w:cs="Palatino Linotype"/>
          <w:b/>
          <w:color w:val="000000"/>
          <w:sz w:val="22"/>
          <w:szCs w:val="22"/>
        </w:rPr>
        <w:t xml:space="preserve">. NOTIFÍQUESE POR SAIMEX </w:t>
      </w:r>
      <w:r w:rsidRPr="000C1B3F">
        <w:rPr>
          <w:rFonts w:ascii="Palatino Linotype" w:eastAsia="Palatino Linotype" w:hAnsi="Palatino Linotype" w:cs="Palatino Linotype"/>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5F4059"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5A347078" w14:textId="77777777" w:rsidR="006A0905" w:rsidRPr="000C1B3F" w:rsidRDefault="00921788">
      <w:pPr>
        <w:spacing w:line="360" w:lineRule="auto"/>
        <w:jc w:val="both"/>
        <w:rPr>
          <w:rFonts w:ascii="Palatino Linotype" w:eastAsia="Palatino Linotype" w:hAnsi="Palatino Linotype" w:cs="Palatino Linotype"/>
          <w:color w:val="000000"/>
          <w:sz w:val="22"/>
          <w:szCs w:val="22"/>
        </w:rPr>
      </w:pPr>
      <w:r w:rsidRPr="000C1B3F">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CB9924"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25BEC2FC" w14:textId="77777777" w:rsidR="006A0905" w:rsidRPr="000C1B3F" w:rsidRDefault="00921788">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b/>
          <w:color w:val="000000"/>
          <w:sz w:val="22"/>
          <w:szCs w:val="22"/>
        </w:rPr>
        <w:t xml:space="preserve">CUARTO. </w:t>
      </w:r>
      <w:r w:rsidRPr="000C1B3F">
        <w:rPr>
          <w:rFonts w:ascii="Palatino Linotype" w:eastAsia="Palatino Linotype" w:hAnsi="Palatino Linotype" w:cs="Palatino Linotype"/>
          <w:b/>
          <w:sz w:val="22"/>
          <w:szCs w:val="22"/>
        </w:rPr>
        <w:t xml:space="preserve">NOTIFÍQUESE POR SAIMEX </w:t>
      </w:r>
      <w:r w:rsidRPr="000C1B3F">
        <w:rPr>
          <w:rFonts w:ascii="Palatino Linotype" w:eastAsia="Palatino Linotype" w:hAnsi="Palatino Linotype" w:cs="Palatino Linotype"/>
          <w:sz w:val="22"/>
          <w:szCs w:val="22"/>
        </w:rPr>
        <w:t xml:space="preserve">a </w:t>
      </w:r>
      <w:r w:rsidRPr="000C1B3F">
        <w:rPr>
          <w:rFonts w:ascii="Palatino Linotype" w:eastAsia="Palatino Linotype" w:hAnsi="Palatino Linotype" w:cs="Palatino Linotype"/>
          <w:color w:val="000000"/>
          <w:sz w:val="22"/>
          <w:szCs w:val="22"/>
        </w:rPr>
        <w:t xml:space="preserve">la persona </w:t>
      </w:r>
      <w:r w:rsidRPr="000C1B3F">
        <w:rPr>
          <w:rFonts w:ascii="Palatino Linotype" w:eastAsia="Palatino Linotype" w:hAnsi="Palatino Linotype" w:cs="Palatino Linotype"/>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B0D46" w14:textId="77777777" w:rsidR="006A0905" w:rsidRPr="000C1B3F" w:rsidRDefault="006A0905">
      <w:pPr>
        <w:spacing w:line="360" w:lineRule="auto"/>
        <w:jc w:val="both"/>
        <w:rPr>
          <w:rFonts w:ascii="Palatino Linotype" w:eastAsia="Palatino Linotype" w:hAnsi="Palatino Linotype" w:cs="Palatino Linotype"/>
          <w:color w:val="000000"/>
          <w:sz w:val="22"/>
          <w:szCs w:val="22"/>
        </w:rPr>
      </w:pPr>
    </w:p>
    <w:p w14:paraId="6DC9295D" w14:textId="1F4B3EC7" w:rsidR="006A0905" w:rsidRDefault="000C1B3F">
      <w:pPr>
        <w:spacing w:line="360" w:lineRule="auto"/>
        <w:jc w:val="both"/>
        <w:rPr>
          <w:rFonts w:ascii="Palatino Linotype" w:eastAsia="Palatino Linotype" w:hAnsi="Palatino Linotype" w:cs="Palatino Linotype"/>
          <w:sz w:val="22"/>
          <w:szCs w:val="22"/>
        </w:rPr>
      </w:pPr>
      <w:r w:rsidRPr="000C1B3F">
        <w:rPr>
          <w:rFonts w:ascii="Palatino Linotype" w:eastAsia="Palatino Linotype" w:hAnsi="Palatino Linotype" w:cs="Palatino Linotype"/>
          <w:sz w:val="22"/>
          <w:szCs w:val="22"/>
        </w:rPr>
        <w:t xml:space="preserve">ASÍ LO RESUELVE, POR </w:t>
      </w:r>
      <w:r w:rsidRPr="000C1B3F">
        <w:rPr>
          <w:rFonts w:ascii="Palatino Linotype" w:eastAsia="Palatino Linotype" w:hAnsi="Palatino Linotype" w:cs="Palatino Linotype"/>
          <w:b/>
          <w:sz w:val="22"/>
          <w:szCs w:val="22"/>
        </w:rPr>
        <w:t>UNANIMIDAD</w:t>
      </w:r>
      <w:r w:rsidRPr="000C1B3F">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CON VOTO </w:t>
      </w:r>
      <w:r w:rsidRPr="000C1B3F">
        <w:rPr>
          <w:rFonts w:ascii="Palatino Linotype" w:eastAsia="Palatino Linotype" w:hAnsi="Palatino Linotype" w:cs="Palatino Linotype"/>
          <w:sz w:val="22"/>
          <w:szCs w:val="22"/>
        </w:rPr>
        <w:lastRenderedPageBreak/>
        <w:t>PARTICULAR, LUIS GUSTAVO PARRA NORIEGA  Y GUADALUPE RAMÍREZ PEÑA (AUSENCIA JUSTIFICADA), EN LA TRIGÉSIMA SEXTA SESIÓN ORDINARIA, CELEBRADA EL OCHO DE OCTUBRE DE DOS MIL VEINTICINCO, ANTE LA COORDINADORA DE PROYECTOS CATALINA CAMARILLO ROSAS</w:t>
      </w:r>
      <w:r w:rsidR="007E539E">
        <w:rPr>
          <w:rFonts w:ascii="Palatino Linotype" w:eastAsia="Palatino Linotype" w:hAnsi="Palatino Linotype" w:cs="Palatino Linotype"/>
          <w:sz w:val="22"/>
          <w:szCs w:val="22"/>
        </w:rPr>
        <w:t>,</w:t>
      </w:r>
      <w:bookmarkStart w:id="16" w:name="_GoBack"/>
      <w:bookmarkEnd w:id="16"/>
      <w:r w:rsidRPr="000C1B3F">
        <w:rPr>
          <w:rFonts w:ascii="Palatino Linotype" w:eastAsia="Palatino Linotype" w:hAnsi="Palatino Linotype" w:cs="Palatino Linotype"/>
          <w:sz w:val="22"/>
          <w:szCs w:val="22"/>
        </w:rPr>
        <w:t xml:space="preserve"> EN SUPLENCIA DEL SECRETARIO TÉCNICO DEL PLENO ALEXIS TAPIA RAMÍREZ.</w:t>
      </w:r>
    </w:p>
    <w:p w14:paraId="5944BD29" w14:textId="77777777" w:rsidR="006A0905" w:rsidRDefault="006A0905">
      <w:pPr>
        <w:spacing w:line="360" w:lineRule="auto"/>
        <w:jc w:val="both"/>
        <w:rPr>
          <w:rFonts w:ascii="Palatino Linotype" w:eastAsia="Palatino Linotype" w:hAnsi="Palatino Linotype" w:cs="Palatino Linotype"/>
          <w:sz w:val="22"/>
          <w:szCs w:val="22"/>
        </w:rPr>
      </w:pPr>
    </w:p>
    <w:p w14:paraId="3D19A8C8" w14:textId="77777777" w:rsidR="006A0905" w:rsidRDefault="006A0905">
      <w:pPr>
        <w:spacing w:line="360" w:lineRule="auto"/>
        <w:jc w:val="both"/>
        <w:rPr>
          <w:rFonts w:ascii="Palatino Linotype" w:eastAsia="Palatino Linotype" w:hAnsi="Palatino Linotype" w:cs="Palatino Linotype"/>
          <w:sz w:val="22"/>
          <w:szCs w:val="22"/>
        </w:rPr>
      </w:pPr>
    </w:p>
    <w:p w14:paraId="1C6CE729" w14:textId="77777777" w:rsidR="006A0905" w:rsidRDefault="006A0905">
      <w:pPr>
        <w:spacing w:line="360" w:lineRule="auto"/>
        <w:jc w:val="both"/>
        <w:rPr>
          <w:rFonts w:ascii="Palatino Linotype" w:eastAsia="Palatino Linotype" w:hAnsi="Palatino Linotype" w:cs="Palatino Linotype"/>
          <w:sz w:val="22"/>
          <w:szCs w:val="22"/>
        </w:rPr>
      </w:pPr>
    </w:p>
    <w:p w14:paraId="18ECD5F5" w14:textId="77777777" w:rsidR="006A0905" w:rsidRDefault="006A0905">
      <w:pPr>
        <w:spacing w:line="360" w:lineRule="auto"/>
        <w:jc w:val="both"/>
        <w:rPr>
          <w:rFonts w:ascii="Palatino Linotype" w:eastAsia="Palatino Linotype" w:hAnsi="Palatino Linotype" w:cs="Palatino Linotype"/>
          <w:sz w:val="22"/>
          <w:szCs w:val="22"/>
        </w:rPr>
      </w:pPr>
    </w:p>
    <w:p w14:paraId="50D8C51C" w14:textId="77777777" w:rsidR="006A0905" w:rsidRDefault="006A0905">
      <w:pPr>
        <w:spacing w:line="360" w:lineRule="auto"/>
        <w:jc w:val="both"/>
        <w:rPr>
          <w:rFonts w:ascii="Palatino Linotype" w:eastAsia="Palatino Linotype" w:hAnsi="Palatino Linotype" w:cs="Palatino Linotype"/>
          <w:sz w:val="22"/>
          <w:szCs w:val="22"/>
        </w:rPr>
      </w:pPr>
    </w:p>
    <w:p w14:paraId="270EAA5A" w14:textId="77777777" w:rsidR="006A0905" w:rsidRDefault="006A0905">
      <w:pPr>
        <w:spacing w:line="360" w:lineRule="auto"/>
        <w:jc w:val="both"/>
        <w:rPr>
          <w:rFonts w:ascii="Palatino Linotype" w:eastAsia="Palatino Linotype" w:hAnsi="Palatino Linotype" w:cs="Palatino Linotype"/>
          <w:sz w:val="22"/>
          <w:szCs w:val="22"/>
        </w:rPr>
      </w:pPr>
    </w:p>
    <w:p w14:paraId="78A9F6BD" w14:textId="77777777" w:rsidR="006A0905" w:rsidRDefault="006A0905">
      <w:pPr>
        <w:spacing w:line="360" w:lineRule="auto"/>
        <w:jc w:val="both"/>
        <w:rPr>
          <w:rFonts w:ascii="Palatino Linotype" w:eastAsia="Palatino Linotype" w:hAnsi="Palatino Linotype" w:cs="Palatino Linotype"/>
          <w:sz w:val="22"/>
          <w:szCs w:val="22"/>
        </w:rPr>
      </w:pPr>
    </w:p>
    <w:p w14:paraId="2B6BABC5" w14:textId="77777777" w:rsidR="006A0905" w:rsidRDefault="006A0905">
      <w:pPr>
        <w:spacing w:line="360" w:lineRule="auto"/>
        <w:jc w:val="both"/>
        <w:rPr>
          <w:rFonts w:ascii="Palatino Linotype" w:eastAsia="Palatino Linotype" w:hAnsi="Palatino Linotype" w:cs="Palatino Linotype"/>
          <w:sz w:val="22"/>
          <w:szCs w:val="22"/>
        </w:rPr>
      </w:pPr>
    </w:p>
    <w:p w14:paraId="5CA968D3" w14:textId="77777777" w:rsidR="006A0905" w:rsidRDefault="006A0905">
      <w:pPr>
        <w:spacing w:line="360" w:lineRule="auto"/>
        <w:jc w:val="both"/>
        <w:rPr>
          <w:rFonts w:ascii="Palatino Linotype" w:eastAsia="Palatino Linotype" w:hAnsi="Palatino Linotype" w:cs="Palatino Linotype"/>
          <w:sz w:val="22"/>
          <w:szCs w:val="22"/>
        </w:rPr>
      </w:pPr>
    </w:p>
    <w:p w14:paraId="6A2752B2" w14:textId="77777777" w:rsidR="006A0905" w:rsidRDefault="006A0905">
      <w:pPr>
        <w:spacing w:line="360" w:lineRule="auto"/>
        <w:jc w:val="both"/>
        <w:rPr>
          <w:rFonts w:ascii="Palatino Linotype" w:eastAsia="Palatino Linotype" w:hAnsi="Palatino Linotype" w:cs="Palatino Linotype"/>
          <w:sz w:val="22"/>
          <w:szCs w:val="22"/>
        </w:rPr>
      </w:pPr>
    </w:p>
    <w:p w14:paraId="019C7406" w14:textId="77777777" w:rsidR="006A0905" w:rsidRDefault="006A0905">
      <w:pPr>
        <w:spacing w:line="360" w:lineRule="auto"/>
        <w:jc w:val="both"/>
        <w:rPr>
          <w:rFonts w:ascii="Palatino Linotype" w:eastAsia="Palatino Linotype" w:hAnsi="Palatino Linotype" w:cs="Palatino Linotype"/>
          <w:sz w:val="22"/>
          <w:szCs w:val="22"/>
        </w:rPr>
      </w:pPr>
    </w:p>
    <w:p w14:paraId="6A1BB93B" w14:textId="77777777" w:rsidR="006A0905" w:rsidRDefault="006A0905">
      <w:pPr>
        <w:spacing w:line="360" w:lineRule="auto"/>
        <w:jc w:val="both"/>
        <w:rPr>
          <w:rFonts w:ascii="Palatino Linotype" w:eastAsia="Palatino Linotype" w:hAnsi="Palatino Linotype" w:cs="Palatino Linotype"/>
          <w:sz w:val="22"/>
          <w:szCs w:val="22"/>
        </w:rPr>
      </w:pPr>
    </w:p>
    <w:p w14:paraId="449E0F56" w14:textId="77777777" w:rsidR="006A0905" w:rsidRDefault="006A0905">
      <w:pPr>
        <w:spacing w:line="360" w:lineRule="auto"/>
        <w:jc w:val="both"/>
        <w:rPr>
          <w:rFonts w:ascii="Palatino Linotype" w:eastAsia="Palatino Linotype" w:hAnsi="Palatino Linotype" w:cs="Palatino Linotype"/>
          <w:sz w:val="22"/>
          <w:szCs w:val="22"/>
        </w:rPr>
      </w:pPr>
    </w:p>
    <w:p w14:paraId="7EBF21B1" w14:textId="77777777" w:rsidR="006A0905" w:rsidRDefault="006A0905">
      <w:pPr>
        <w:spacing w:line="360" w:lineRule="auto"/>
        <w:jc w:val="both"/>
        <w:rPr>
          <w:rFonts w:ascii="Palatino Linotype" w:eastAsia="Palatino Linotype" w:hAnsi="Palatino Linotype" w:cs="Palatino Linotype"/>
          <w:sz w:val="22"/>
          <w:szCs w:val="22"/>
        </w:rPr>
      </w:pPr>
    </w:p>
    <w:p w14:paraId="057C8023" w14:textId="77777777" w:rsidR="006A0905" w:rsidRDefault="006A0905">
      <w:pPr>
        <w:spacing w:line="360" w:lineRule="auto"/>
        <w:jc w:val="both"/>
        <w:rPr>
          <w:rFonts w:ascii="Palatino Linotype" w:eastAsia="Palatino Linotype" w:hAnsi="Palatino Linotype" w:cs="Palatino Linotype"/>
          <w:sz w:val="22"/>
          <w:szCs w:val="22"/>
        </w:rPr>
      </w:pPr>
    </w:p>
    <w:p w14:paraId="144C6382" w14:textId="77777777" w:rsidR="006A0905" w:rsidRDefault="006A0905">
      <w:pPr>
        <w:spacing w:line="360" w:lineRule="auto"/>
        <w:jc w:val="both"/>
        <w:rPr>
          <w:rFonts w:ascii="Palatino Linotype" w:eastAsia="Palatino Linotype" w:hAnsi="Palatino Linotype" w:cs="Palatino Linotype"/>
          <w:sz w:val="22"/>
          <w:szCs w:val="22"/>
        </w:rPr>
      </w:pPr>
    </w:p>
    <w:p w14:paraId="51922CD2" w14:textId="77777777" w:rsidR="006A0905" w:rsidRDefault="006A0905">
      <w:pPr>
        <w:spacing w:line="360" w:lineRule="auto"/>
        <w:jc w:val="both"/>
        <w:rPr>
          <w:rFonts w:ascii="Palatino Linotype" w:eastAsia="Palatino Linotype" w:hAnsi="Palatino Linotype" w:cs="Palatino Linotype"/>
          <w:sz w:val="22"/>
          <w:szCs w:val="22"/>
        </w:rPr>
      </w:pPr>
    </w:p>
    <w:p w14:paraId="6FCE4FC6" w14:textId="77777777" w:rsidR="006A0905" w:rsidRDefault="006A0905">
      <w:pPr>
        <w:spacing w:line="360" w:lineRule="auto"/>
        <w:jc w:val="both"/>
        <w:rPr>
          <w:rFonts w:ascii="Palatino Linotype" w:eastAsia="Palatino Linotype" w:hAnsi="Palatino Linotype" w:cs="Palatino Linotype"/>
          <w:sz w:val="22"/>
          <w:szCs w:val="22"/>
        </w:rPr>
      </w:pPr>
    </w:p>
    <w:p w14:paraId="58D756D0" w14:textId="77777777" w:rsidR="006A0905" w:rsidRDefault="006A0905">
      <w:pPr>
        <w:spacing w:line="360" w:lineRule="auto"/>
        <w:jc w:val="both"/>
        <w:rPr>
          <w:rFonts w:ascii="Palatino Linotype" w:eastAsia="Palatino Linotype" w:hAnsi="Palatino Linotype" w:cs="Palatino Linotype"/>
          <w:sz w:val="22"/>
          <w:szCs w:val="22"/>
        </w:rPr>
      </w:pPr>
    </w:p>
    <w:p w14:paraId="582A5B61" w14:textId="77777777" w:rsidR="006A0905" w:rsidRDefault="006A0905">
      <w:pPr>
        <w:spacing w:line="360" w:lineRule="auto"/>
        <w:jc w:val="both"/>
        <w:rPr>
          <w:rFonts w:ascii="Palatino Linotype" w:eastAsia="Palatino Linotype" w:hAnsi="Palatino Linotype" w:cs="Palatino Linotype"/>
          <w:sz w:val="22"/>
          <w:szCs w:val="22"/>
        </w:rPr>
      </w:pPr>
    </w:p>
    <w:p w14:paraId="6C006EB4" w14:textId="77777777" w:rsidR="006A0905" w:rsidRDefault="006A0905">
      <w:pPr>
        <w:spacing w:line="360" w:lineRule="auto"/>
        <w:jc w:val="both"/>
        <w:rPr>
          <w:rFonts w:ascii="Palatino Linotype" w:eastAsia="Palatino Linotype" w:hAnsi="Palatino Linotype" w:cs="Palatino Linotype"/>
          <w:sz w:val="22"/>
          <w:szCs w:val="22"/>
        </w:rPr>
      </w:pPr>
    </w:p>
    <w:p w14:paraId="67A3E0C1" w14:textId="77777777" w:rsidR="006A0905" w:rsidRDefault="006A0905">
      <w:pPr>
        <w:spacing w:line="360" w:lineRule="auto"/>
        <w:jc w:val="both"/>
        <w:rPr>
          <w:rFonts w:ascii="Palatino Linotype" w:eastAsia="Palatino Linotype" w:hAnsi="Palatino Linotype" w:cs="Palatino Linotype"/>
          <w:sz w:val="22"/>
          <w:szCs w:val="22"/>
        </w:rPr>
      </w:pPr>
    </w:p>
    <w:p w14:paraId="14F24593" w14:textId="77777777" w:rsidR="006A0905" w:rsidRDefault="006A0905">
      <w:pPr>
        <w:spacing w:line="360" w:lineRule="auto"/>
        <w:jc w:val="both"/>
        <w:rPr>
          <w:rFonts w:ascii="Palatino Linotype" w:eastAsia="Palatino Linotype" w:hAnsi="Palatino Linotype" w:cs="Palatino Linotype"/>
          <w:sz w:val="22"/>
          <w:szCs w:val="22"/>
        </w:rPr>
      </w:pPr>
    </w:p>
    <w:p w14:paraId="2D63DCBD" w14:textId="77777777" w:rsidR="006A0905" w:rsidRDefault="006A0905">
      <w:pPr>
        <w:spacing w:line="360" w:lineRule="auto"/>
        <w:jc w:val="both"/>
        <w:rPr>
          <w:rFonts w:ascii="Palatino Linotype" w:eastAsia="Palatino Linotype" w:hAnsi="Palatino Linotype" w:cs="Palatino Linotype"/>
          <w:sz w:val="22"/>
          <w:szCs w:val="22"/>
        </w:rPr>
      </w:pPr>
    </w:p>
    <w:p w14:paraId="6B180B4F" w14:textId="77777777" w:rsidR="006A0905" w:rsidRDefault="006A0905">
      <w:pPr>
        <w:spacing w:line="360" w:lineRule="auto"/>
        <w:jc w:val="both"/>
        <w:rPr>
          <w:rFonts w:ascii="Palatino Linotype" w:eastAsia="Palatino Linotype" w:hAnsi="Palatino Linotype" w:cs="Palatino Linotype"/>
          <w:sz w:val="22"/>
          <w:szCs w:val="22"/>
        </w:rPr>
      </w:pPr>
    </w:p>
    <w:sectPr w:rsidR="006A0905">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18301" w14:textId="77777777" w:rsidR="008D5E3A" w:rsidRDefault="008D5E3A">
      <w:r>
        <w:separator/>
      </w:r>
    </w:p>
  </w:endnote>
  <w:endnote w:type="continuationSeparator" w:id="0">
    <w:p w14:paraId="010A181A" w14:textId="77777777" w:rsidR="008D5E3A" w:rsidRDefault="008D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8684" w14:textId="77777777" w:rsidR="006A0905" w:rsidRDefault="006A0905">
    <w:pPr>
      <w:pBdr>
        <w:top w:val="nil"/>
        <w:left w:val="nil"/>
        <w:bottom w:val="nil"/>
        <w:right w:val="nil"/>
        <w:between w:val="nil"/>
      </w:pBdr>
      <w:tabs>
        <w:tab w:val="center" w:pos="4419"/>
        <w:tab w:val="right" w:pos="8838"/>
      </w:tabs>
      <w:jc w:val="right"/>
      <w:rPr>
        <w:color w:val="000000"/>
        <w:sz w:val="26"/>
        <w:szCs w:val="26"/>
      </w:rPr>
    </w:pPr>
  </w:p>
  <w:p w14:paraId="463D6DD7" w14:textId="77777777" w:rsidR="006A0905" w:rsidRDefault="009217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28FD">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28FD">
      <w:rPr>
        <w:b/>
        <w:noProof/>
        <w:color w:val="000000"/>
        <w:sz w:val="24"/>
        <w:szCs w:val="24"/>
      </w:rPr>
      <w:t>41</w:t>
    </w:r>
    <w:r>
      <w:rPr>
        <w:b/>
        <w:color w:val="000000"/>
        <w:sz w:val="24"/>
        <w:szCs w:val="24"/>
      </w:rPr>
      <w:fldChar w:fldCharType="end"/>
    </w:r>
  </w:p>
  <w:p w14:paraId="3DAB9C8F" w14:textId="77777777" w:rsidR="006A0905" w:rsidRDefault="006A09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79992" w14:textId="77777777" w:rsidR="006A0905" w:rsidRDefault="006A0905">
    <w:pPr>
      <w:pBdr>
        <w:top w:val="nil"/>
        <w:left w:val="nil"/>
        <w:bottom w:val="nil"/>
        <w:right w:val="nil"/>
        <w:between w:val="nil"/>
      </w:pBdr>
      <w:tabs>
        <w:tab w:val="center" w:pos="4419"/>
        <w:tab w:val="right" w:pos="8838"/>
      </w:tabs>
      <w:jc w:val="right"/>
      <w:rPr>
        <w:color w:val="000000"/>
      </w:rPr>
    </w:pPr>
  </w:p>
  <w:p w14:paraId="525B41CA" w14:textId="77777777" w:rsidR="006A0905" w:rsidRDefault="0092178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E28F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E28FD">
      <w:rPr>
        <w:b/>
        <w:noProof/>
        <w:color w:val="000000"/>
        <w:sz w:val="24"/>
        <w:szCs w:val="24"/>
      </w:rPr>
      <w:t>41</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EA823" w14:textId="77777777" w:rsidR="008D5E3A" w:rsidRDefault="008D5E3A">
      <w:r>
        <w:separator/>
      </w:r>
    </w:p>
  </w:footnote>
  <w:footnote w:type="continuationSeparator" w:id="0">
    <w:p w14:paraId="1DAAAAB8" w14:textId="77777777" w:rsidR="008D5E3A" w:rsidRDefault="008D5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072D" w14:textId="77777777" w:rsidR="006A0905" w:rsidRDefault="008D5E3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3EC5A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6.05pt;margin-top:-141.45pt;width:663.5pt;height:12in;z-index:-251658240;mso-wrap-edited:f;mso-position-horizontal:absolute;mso-position-horizontal-relative:margin;mso-position-vertical:absolute;mso-position-vertical-relative:margin" o:allowincell="f">
          <v:imagedata r:id="rId1" o:title="MARCA DE AGUA - HOJA RESOLUCIÓN"/>
          <w10:wrap anchorx="margin" anchory="margin"/>
        </v:shape>
      </w:pict>
    </w:r>
  </w:p>
  <w:tbl>
    <w:tblPr>
      <w:tblStyle w:val="a4"/>
      <w:tblW w:w="9782" w:type="dxa"/>
      <w:tblInd w:w="0" w:type="dxa"/>
      <w:tblLayout w:type="fixed"/>
      <w:tblLook w:val="0400" w:firstRow="0" w:lastRow="0" w:firstColumn="0" w:lastColumn="0" w:noHBand="0" w:noVBand="1"/>
    </w:tblPr>
    <w:tblGrid>
      <w:gridCol w:w="2127"/>
      <w:gridCol w:w="7655"/>
    </w:tblGrid>
    <w:tr w:rsidR="006A0905" w14:paraId="0E61CE48" w14:textId="77777777">
      <w:trPr>
        <w:trHeight w:val="1412"/>
      </w:trPr>
      <w:tc>
        <w:tcPr>
          <w:tcW w:w="2127" w:type="dxa"/>
        </w:tcPr>
        <w:p w14:paraId="522F133A" w14:textId="77777777" w:rsidR="006A0905" w:rsidRDefault="006A0905">
          <w:pPr>
            <w:tabs>
              <w:tab w:val="right" w:pos="4273"/>
            </w:tabs>
            <w:rPr>
              <w:rFonts w:ascii="Garamond" w:eastAsia="Garamond" w:hAnsi="Garamond" w:cs="Garamond"/>
              <w:sz w:val="16"/>
              <w:szCs w:val="16"/>
            </w:rPr>
          </w:pPr>
        </w:p>
      </w:tc>
      <w:tc>
        <w:tcPr>
          <w:tcW w:w="7655" w:type="dxa"/>
        </w:tcPr>
        <w:p w14:paraId="730175A7" w14:textId="77777777" w:rsidR="006A0905" w:rsidRDefault="006A0905">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5"/>
            <w:tblW w:w="6110" w:type="dxa"/>
            <w:tblInd w:w="730" w:type="dxa"/>
            <w:tblLayout w:type="fixed"/>
            <w:tblLook w:val="0400" w:firstRow="0" w:lastRow="0" w:firstColumn="0" w:lastColumn="0" w:noHBand="0" w:noVBand="1"/>
          </w:tblPr>
          <w:tblGrid>
            <w:gridCol w:w="2552"/>
            <w:gridCol w:w="3558"/>
          </w:tblGrid>
          <w:tr w:rsidR="006A0905" w14:paraId="2A25274A" w14:textId="77777777">
            <w:trPr>
              <w:trHeight w:val="216"/>
            </w:trPr>
            <w:tc>
              <w:tcPr>
                <w:tcW w:w="2552" w:type="dxa"/>
              </w:tcPr>
              <w:p w14:paraId="1A0B82DA" w14:textId="77777777" w:rsidR="006A0905" w:rsidRDefault="00921788">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58" w:type="dxa"/>
              </w:tcPr>
              <w:p w14:paraId="46A7B059" w14:textId="77777777" w:rsidR="006A0905" w:rsidRPr="000136B4" w:rsidRDefault="00921788">
                <w:pPr>
                  <w:tabs>
                    <w:tab w:val="right" w:pos="8838"/>
                  </w:tabs>
                  <w:ind w:left="-108" w:right="132"/>
                  <w:jc w:val="both"/>
                  <w:rPr>
                    <w:rFonts w:ascii="Palatino Linotype" w:eastAsia="Palatino Linotype" w:hAnsi="Palatino Linotype" w:cs="Palatino Linotype"/>
                    <w:bCs/>
                    <w:sz w:val="22"/>
                    <w:szCs w:val="22"/>
                  </w:rPr>
                </w:pPr>
                <w:r w:rsidRPr="000136B4">
                  <w:rPr>
                    <w:rFonts w:ascii="Palatino Linotype" w:eastAsia="Palatino Linotype" w:hAnsi="Palatino Linotype" w:cs="Palatino Linotype"/>
                    <w:bCs/>
                    <w:sz w:val="22"/>
                    <w:szCs w:val="22"/>
                  </w:rPr>
                  <w:t>09216/INFOEM/IP/RR/2025 y acumulado</w:t>
                </w:r>
              </w:p>
            </w:tc>
          </w:tr>
          <w:tr w:rsidR="006A0905" w14:paraId="779EFFB8" w14:textId="77777777">
            <w:trPr>
              <w:trHeight w:val="216"/>
            </w:trPr>
            <w:tc>
              <w:tcPr>
                <w:tcW w:w="2552" w:type="dxa"/>
              </w:tcPr>
              <w:p w14:paraId="6E611D5E" w14:textId="77777777" w:rsidR="006A0905" w:rsidRDefault="00921788">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58" w:type="dxa"/>
              </w:tcPr>
              <w:p w14:paraId="1EB09709" w14:textId="77777777" w:rsidR="006A0905" w:rsidRDefault="00921788">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6A0905" w14:paraId="56E7074B" w14:textId="77777777">
            <w:trPr>
              <w:trHeight w:val="206"/>
            </w:trPr>
            <w:tc>
              <w:tcPr>
                <w:tcW w:w="2552" w:type="dxa"/>
              </w:tcPr>
              <w:p w14:paraId="29C532AD" w14:textId="77777777" w:rsidR="006A0905" w:rsidRDefault="00921788">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58" w:type="dxa"/>
              </w:tcPr>
              <w:p w14:paraId="0D35E201" w14:textId="77777777" w:rsidR="006A0905" w:rsidRDefault="00921788">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672BFAF5" w14:textId="77777777" w:rsidR="006A0905" w:rsidRDefault="006A0905">
                <w:pPr>
                  <w:tabs>
                    <w:tab w:val="right" w:pos="8838"/>
                  </w:tabs>
                  <w:ind w:left="-108"/>
                  <w:jc w:val="both"/>
                  <w:rPr>
                    <w:rFonts w:ascii="Palatino Linotype" w:eastAsia="Palatino Linotype" w:hAnsi="Palatino Linotype" w:cs="Palatino Linotype"/>
                    <w:sz w:val="22"/>
                    <w:szCs w:val="22"/>
                  </w:rPr>
                </w:pPr>
              </w:p>
              <w:p w14:paraId="1D47647E" w14:textId="77777777" w:rsidR="006A0905" w:rsidRDefault="006A0905">
                <w:pPr>
                  <w:tabs>
                    <w:tab w:val="right" w:pos="8838"/>
                  </w:tabs>
                  <w:ind w:left="-108"/>
                  <w:jc w:val="both"/>
                  <w:rPr>
                    <w:rFonts w:ascii="Palatino Linotype" w:eastAsia="Palatino Linotype" w:hAnsi="Palatino Linotype" w:cs="Palatino Linotype"/>
                    <w:b/>
                    <w:sz w:val="14"/>
                    <w:szCs w:val="14"/>
                  </w:rPr>
                </w:pPr>
              </w:p>
            </w:tc>
          </w:tr>
        </w:tbl>
        <w:p w14:paraId="780FBA0F" w14:textId="77777777" w:rsidR="006A0905" w:rsidRDefault="006A0905">
          <w:pPr>
            <w:tabs>
              <w:tab w:val="right" w:pos="8838"/>
            </w:tabs>
            <w:ind w:left="-28"/>
            <w:jc w:val="both"/>
            <w:rPr>
              <w:rFonts w:ascii="Arial" w:eastAsia="Arial" w:hAnsi="Arial" w:cs="Arial"/>
              <w:b/>
              <w:sz w:val="22"/>
              <w:szCs w:val="22"/>
            </w:rPr>
          </w:pPr>
        </w:p>
      </w:tc>
    </w:tr>
  </w:tbl>
  <w:p w14:paraId="59336B4F" w14:textId="77777777" w:rsidR="006A0905" w:rsidRDefault="006A0905">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03E1" w14:textId="77777777" w:rsidR="006A0905" w:rsidRDefault="008D5E3A">
    <w:r>
      <w:rPr>
        <w:rFonts w:ascii="Palatino Linotype" w:eastAsia="Palatino Linotype" w:hAnsi="Palatino Linotype" w:cs="Palatino Linotype"/>
        <w:b/>
        <w:sz w:val="22"/>
        <w:szCs w:val="22"/>
      </w:rPr>
      <w:pict w14:anchorId="4085E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margin-left:-79.1pt;margin-top:-148.05pt;width:663.5pt;height:12in;z-index:-251659264;mso-position-horizontal:absolute;mso-position-horizontal-relative:margin;mso-position-vertical:absolute;mso-position-vertical-relative:margin">
          <v:imagedata r:id="rId1" o:title="image2"/>
          <w10:wrap anchorx="margin" anchory="margin"/>
        </v:shape>
      </w:pict>
    </w:r>
  </w:p>
  <w:tbl>
    <w:tblPr>
      <w:tblStyle w:val="a6"/>
      <w:tblpPr w:leftFromText="141" w:rightFromText="141" w:vertAnchor="page" w:horzAnchor="margin" w:tblpY="556"/>
      <w:tblW w:w="9067" w:type="dxa"/>
      <w:tblInd w:w="0" w:type="dxa"/>
      <w:tblLayout w:type="fixed"/>
      <w:tblLook w:val="0400" w:firstRow="0" w:lastRow="0" w:firstColumn="0" w:lastColumn="0" w:noHBand="0" w:noVBand="1"/>
    </w:tblPr>
    <w:tblGrid>
      <w:gridCol w:w="3119"/>
      <w:gridCol w:w="2693"/>
      <w:gridCol w:w="3255"/>
    </w:tblGrid>
    <w:tr w:rsidR="006A0905" w14:paraId="7D8D09D6" w14:textId="77777777">
      <w:trPr>
        <w:trHeight w:val="518"/>
      </w:trPr>
      <w:tc>
        <w:tcPr>
          <w:tcW w:w="3119" w:type="dxa"/>
        </w:tcPr>
        <w:p w14:paraId="6C4E7B78" w14:textId="77777777" w:rsidR="006A0905" w:rsidRDefault="006A0905">
          <w:pPr>
            <w:tabs>
              <w:tab w:val="right" w:pos="2168"/>
            </w:tabs>
            <w:ind w:right="-105"/>
            <w:rPr>
              <w:rFonts w:ascii="Palatino Linotype" w:eastAsia="Palatino Linotype" w:hAnsi="Palatino Linotype" w:cs="Palatino Linotype"/>
              <w:b/>
              <w:sz w:val="22"/>
              <w:szCs w:val="22"/>
            </w:rPr>
          </w:pPr>
        </w:p>
      </w:tc>
      <w:tc>
        <w:tcPr>
          <w:tcW w:w="2693" w:type="dxa"/>
        </w:tcPr>
        <w:p w14:paraId="19E3954B" w14:textId="77777777" w:rsidR="006A0905" w:rsidRDefault="006A0905">
          <w:pPr>
            <w:tabs>
              <w:tab w:val="left" w:pos="1735"/>
              <w:tab w:val="right" w:pos="8838"/>
            </w:tabs>
            <w:rPr>
              <w:rFonts w:ascii="Palatino Linotype" w:eastAsia="Palatino Linotype" w:hAnsi="Palatino Linotype" w:cs="Palatino Linotype"/>
              <w:b/>
              <w:sz w:val="22"/>
              <w:szCs w:val="22"/>
            </w:rPr>
          </w:pPr>
        </w:p>
        <w:p w14:paraId="4AE32AE6" w14:textId="77777777" w:rsidR="006A0905" w:rsidRDefault="006A0905">
          <w:pPr>
            <w:tabs>
              <w:tab w:val="left" w:pos="1735"/>
              <w:tab w:val="right" w:pos="8838"/>
            </w:tabs>
            <w:rPr>
              <w:rFonts w:ascii="Palatino Linotype" w:eastAsia="Palatino Linotype" w:hAnsi="Palatino Linotype" w:cs="Palatino Linotype"/>
              <w:b/>
              <w:sz w:val="22"/>
              <w:szCs w:val="22"/>
            </w:rPr>
          </w:pPr>
        </w:p>
        <w:p w14:paraId="07F18C6E" w14:textId="77777777" w:rsidR="006A0905" w:rsidRDefault="00921788">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tcPr>
        <w:p w14:paraId="58A50764" w14:textId="77777777" w:rsidR="006A0905" w:rsidRDefault="006A0905">
          <w:pPr>
            <w:tabs>
              <w:tab w:val="left" w:pos="2299"/>
              <w:tab w:val="right" w:pos="8838"/>
            </w:tabs>
            <w:ind w:left="-102" w:right="163"/>
            <w:jc w:val="both"/>
            <w:rPr>
              <w:rFonts w:ascii="Palatino Linotype" w:eastAsia="Palatino Linotype" w:hAnsi="Palatino Linotype" w:cs="Palatino Linotype"/>
              <w:b/>
              <w:sz w:val="22"/>
              <w:szCs w:val="22"/>
            </w:rPr>
          </w:pPr>
        </w:p>
        <w:p w14:paraId="4E196058" w14:textId="77777777" w:rsidR="006A0905" w:rsidRDefault="006A0905">
          <w:pPr>
            <w:tabs>
              <w:tab w:val="left" w:pos="2299"/>
              <w:tab w:val="left" w:pos="3150"/>
              <w:tab w:val="right" w:pos="8838"/>
            </w:tabs>
            <w:ind w:left="-102" w:right="163"/>
            <w:jc w:val="both"/>
            <w:rPr>
              <w:rFonts w:ascii="Palatino Linotype" w:eastAsia="Palatino Linotype" w:hAnsi="Palatino Linotype" w:cs="Palatino Linotype"/>
              <w:sz w:val="22"/>
              <w:szCs w:val="22"/>
            </w:rPr>
          </w:pPr>
        </w:p>
        <w:p w14:paraId="3E91E1B7" w14:textId="77777777" w:rsidR="006A0905" w:rsidRPr="000136B4" w:rsidRDefault="00921788">
          <w:pPr>
            <w:tabs>
              <w:tab w:val="left" w:pos="2299"/>
              <w:tab w:val="left" w:pos="3150"/>
              <w:tab w:val="right" w:pos="8838"/>
            </w:tabs>
            <w:ind w:left="-102" w:right="163"/>
            <w:jc w:val="both"/>
            <w:rPr>
              <w:rFonts w:ascii="Palatino Linotype" w:eastAsia="Palatino Linotype" w:hAnsi="Palatino Linotype" w:cs="Palatino Linotype"/>
              <w:bCs/>
              <w:sz w:val="22"/>
              <w:szCs w:val="22"/>
            </w:rPr>
          </w:pPr>
          <w:r w:rsidRPr="000136B4">
            <w:rPr>
              <w:rFonts w:ascii="Palatino Linotype" w:eastAsia="Palatino Linotype" w:hAnsi="Palatino Linotype" w:cs="Palatino Linotype"/>
              <w:bCs/>
              <w:sz w:val="22"/>
              <w:szCs w:val="22"/>
            </w:rPr>
            <w:t>09216/INFOEM/IP/RR/2025 y acumulado</w:t>
          </w:r>
        </w:p>
      </w:tc>
    </w:tr>
    <w:tr w:rsidR="006A0905" w14:paraId="4EF99DA3" w14:textId="77777777">
      <w:trPr>
        <w:trHeight w:val="131"/>
      </w:trPr>
      <w:tc>
        <w:tcPr>
          <w:tcW w:w="3119" w:type="dxa"/>
        </w:tcPr>
        <w:p w14:paraId="26BF4736" w14:textId="77777777" w:rsidR="006A0905" w:rsidRDefault="006A0905">
          <w:pPr>
            <w:tabs>
              <w:tab w:val="right" w:pos="8838"/>
            </w:tabs>
            <w:ind w:right="-105"/>
            <w:rPr>
              <w:rFonts w:ascii="Palatino Linotype" w:eastAsia="Palatino Linotype" w:hAnsi="Palatino Linotype" w:cs="Palatino Linotype"/>
              <w:b/>
              <w:sz w:val="22"/>
              <w:szCs w:val="22"/>
            </w:rPr>
          </w:pPr>
        </w:p>
      </w:tc>
      <w:tc>
        <w:tcPr>
          <w:tcW w:w="2693" w:type="dxa"/>
        </w:tcPr>
        <w:p w14:paraId="131BAED3" w14:textId="77777777" w:rsidR="006A0905" w:rsidRDefault="00921788">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255" w:type="dxa"/>
        </w:tcPr>
        <w:p w14:paraId="280E7DB7" w14:textId="77777777" w:rsidR="006A0905" w:rsidRDefault="006A0905">
          <w:pPr>
            <w:tabs>
              <w:tab w:val="left" w:pos="2299"/>
              <w:tab w:val="right" w:pos="8838"/>
            </w:tabs>
            <w:ind w:left="-102" w:right="163"/>
            <w:jc w:val="both"/>
            <w:rPr>
              <w:rFonts w:ascii="Palatino Linotype" w:eastAsia="Palatino Linotype" w:hAnsi="Palatino Linotype" w:cs="Palatino Linotype"/>
              <w:sz w:val="22"/>
              <w:szCs w:val="22"/>
            </w:rPr>
          </w:pPr>
        </w:p>
      </w:tc>
    </w:tr>
    <w:tr w:rsidR="006A0905" w14:paraId="36AFE390" w14:textId="77777777">
      <w:trPr>
        <w:trHeight w:val="260"/>
      </w:trPr>
      <w:tc>
        <w:tcPr>
          <w:tcW w:w="3119" w:type="dxa"/>
        </w:tcPr>
        <w:p w14:paraId="59214CFB" w14:textId="77777777" w:rsidR="006A0905" w:rsidRDefault="006A0905">
          <w:pPr>
            <w:tabs>
              <w:tab w:val="right" w:pos="8838"/>
            </w:tabs>
            <w:ind w:right="26"/>
            <w:rPr>
              <w:rFonts w:ascii="Palatino Linotype" w:eastAsia="Palatino Linotype" w:hAnsi="Palatino Linotype" w:cs="Palatino Linotype"/>
              <w:b/>
              <w:sz w:val="22"/>
              <w:szCs w:val="22"/>
            </w:rPr>
          </w:pPr>
        </w:p>
      </w:tc>
      <w:tc>
        <w:tcPr>
          <w:tcW w:w="2693" w:type="dxa"/>
        </w:tcPr>
        <w:p w14:paraId="6D93200F" w14:textId="77777777" w:rsidR="006A0905" w:rsidRDefault="00921788">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tcPr>
        <w:p w14:paraId="4041C859" w14:textId="77777777" w:rsidR="006A0905" w:rsidRDefault="00921788">
          <w:pPr>
            <w:tabs>
              <w:tab w:val="left" w:pos="2299"/>
              <w:tab w:val="right" w:pos="8838"/>
            </w:tabs>
            <w:ind w:left="-102" w:right="16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6A0905" w14:paraId="37871F98" w14:textId="77777777">
      <w:trPr>
        <w:trHeight w:val="260"/>
      </w:trPr>
      <w:tc>
        <w:tcPr>
          <w:tcW w:w="3119" w:type="dxa"/>
        </w:tcPr>
        <w:p w14:paraId="14B9CE00" w14:textId="77777777" w:rsidR="006A0905" w:rsidRDefault="006A0905">
          <w:pPr>
            <w:tabs>
              <w:tab w:val="right" w:pos="8838"/>
            </w:tabs>
            <w:ind w:right="-105"/>
            <w:rPr>
              <w:rFonts w:ascii="Palatino Linotype" w:eastAsia="Palatino Linotype" w:hAnsi="Palatino Linotype" w:cs="Palatino Linotype"/>
              <w:b/>
              <w:sz w:val="22"/>
              <w:szCs w:val="22"/>
            </w:rPr>
          </w:pPr>
        </w:p>
      </w:tc>
      <w:tc>
        <w:tcPr>
          <w:tcW w:w="2693" w:type="dxa"/>
        </w:tcPr>
        <w:p w14:paraId="3720A2CD" w14:textId="77777777" w:rsidR="006A0905" w:rsidRDefault="00921788">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55" w:type="dxa"/>
        </w:tcPr>
        <w:p w14:paraId="7A127347" w14:textId="77777777" w:rsidR="006A0905" w:rsidRDefault="00921788">
          <w:pPr>
            <w:tabs>
              <w:tab w:val="left" w:pos="2299"/>
              <w:tab w:val="right" w:pos="8838"/>
            </w:tabs>
            <w:ind w:left="-102" w:right="16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0DD5EB5" w14:textId="77777777" w:rsidR="006A0905" w:rsidRDefault="006A0905">
          <w:pPr>
            <w:tabs>
              <w:tab w:val="left" w:pos="2299"/>
              <w:tab w:val="right" w:pos="8838"/>
            </w:tabs>
            <w:ind w:left="-102" w:right="163"/>
            <w:rPr>
              <w:rFonts w:ascii="Palatino Linotype" w:eastAsia="Palatino Linotype" w:hAnsi="Palatino Linotype" w:cs="Palatino Linotype"/>
              <w:sz w:val="22"/>
              <w:szCs w:val="22"/>
            </w:rPr>
          </w:pPr>
        </w:p>
      </w:tc>
    </w:tr>
  </w:tbl>
  <w:p w14:paraId="55D3DBE4" w14:textId="77777777" w:rsidR="006A0905" w:rsidRDefault="006A09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A8D"/>
    <w:multiLevelType w:val="multilevel"/>
    <w:tmpl w:val="81C2966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76D3A"/>
    <w:multiLevelType w:val="multilevel"/>
    <w:tmpl w:val="1D4E7AD0"/>
    <w:lvl w:ilvl="0">
      <w:start w:val="1"/>
      <w:numFmt w:val="upperLetter"/>
      <w:lvlText w:val="%1."/>
      <w:lvlJc w:val="left"/>
      <w:pPr>
        <w:ind w:left="720" w:hanging="360"/>
      </w:pPr>
      <w:rPr>
        <w:color w:val="00000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A50239"/>
    <w:multiLevelType w:val="multilevel"/>
    <w:tmpl w:val="DF6CB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E53E07"/>
    <w:multiLevelType w:val="multilevel"/>
    <w:tmpl w:val="C76048C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965E4"/>
    <w:multiLevelType w:val="multilevel"/>
    <w:tmpl w:val="6364475E"/>
    <w:lvl w:ilvl="0">
      <w:start w:val="1"/>
      <w:numFmt w:val="lowerRoman"/>
      <w:lvlText w:val="%1."/>
      <w:lvlJc w:val="right"/>
      <w:pPr>
        <w:ind w:left="720" w:hanging="360"/>
      </w:pPr>
      <w:rPr>
        <w:color w:val="00000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FC0FB5"/>
    <w:multiLevelType w:val="multilevel"/>
    <w:tmpl w:val="83E80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F7A17"/>
    <w:multiLevelType w:val="multilevel"/>
    <w:tmpl w:val="2690E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595532"/>
    <w:multiLevelType w:val="multilevel"/>
    <w:tmpl w:val="72CEB628"/>
    <w:lvl w:ilvl="0">
      <w:start w:val="2"/>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0F212E"/>
    <w:multiLevelType w:val="multilevel"/>
    <w:tmpl w:val="52808FF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9B01F6"/>
    <w:multiLevelType w:val="multilevel"/>
    <w:tmpl w:val="D0700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D32289"/>
    <w:multiLevelType w:val="multilevel"/>
    <w:tmpl w:val="40183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9351C6"/>
    <w:multiLevelType w:val="multilevel"/>
    <w:tmpl w:val="A2066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856FCD"/>
    <w:multiLevelType w:val="multilevel"/>
    <w:tmpl w:val="9F726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EF488F"/>
    <w:multiLevelType w:val="multilevel"/>
    <w:tmpl w:val="97366B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4"/>
  </w:num>
  <w:num w:numId="4">
    <w:abstractNumId w:val="1"/>
  </w:num>
  <w:num w:numId="5">
    <w:abstractNumId w:val="12"/>
  </w:num>
  <w:num w:numId="6">
    <w:abstractNumId w:val="13"/>
  </w:num>
  <w:num w:numId="7">
    <w:abstractNumId w:val="0"/>
  </w:num>
  <w:num w:numId="8">
    <w:abstractNumId w:val="10"/>
  </w:num>
  <w:num w:numId="9">
    <w:abstractNumId w:val="6"/>
  </w:num>
  <w:num w:numId="10">
    <w:abstractNumId w:val="3"/>
  </w:num>
  <w:num w:numId="11">
    <w:abstractNumId w:val="2"/>
  </w:num>
  <w:num w:numId="12">
    <w:abstractNumId w:val="9"/>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05"/>
    <w:rsid w:val="00005743"/>
    <w:rsid w:val="000136B4"/>
    <w:rsid w:val="000C1B3F"/>
    <w:rsid w:val="004B42A7"/>
    <w:rsid w:val="005B0168"/>
    <w:rsid w:val="006A0905"/>
    <w:rsid w:val="0076731A"/>
    <w:rsid w:val="007E539E"/>
    <w:rsid w:val="00805022"/>
    <w:rsid w:val="008D5E3A"/>
    <w:rsid w:val="00921788"/>
    <w:rsid w:val="00BE28FD"/>
    <w:rsid w:val="00DA59A4"/>
    <w:rsid w:val="00DD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4C882E"/>
  <w15:docId w15:val="{70816B62-2586-4F38-A6EA-B26C0828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31">
    <w:name w:val="31"/>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30">
    <w:name w:val="30"/>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9">
    <w:name w:val="29"/>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8">
    <w:name w:val="28"/>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0"/>
    <w:rPr>
      <w:rFonts w:ascii="Calibri" w:eastAsia="Calibri" w:hAnsi="Calibri" w:cs="Calibri"/>
    </w:r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21">
    <w:name w:val="2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2"/>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4"/>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4D369D"/>
    <w:rPr>
      <w:color w:val="605E5C"/>
      <w:shd w:val="clear" w:color="auto" w:fill="E1DFDD"/>
    </w:rPr>
  </w:style>
  <w:style w:type="table" w:customStyle="1" w:styleId="3">
    <w:name w:val="3"/>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5"/>
    <w:rPr>
      <w:rFonts w:ascii="Calibri" w:eastAsia="Calibri" w:hAnsi="Calibri" w:cs="Calibri"/>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E26737"/>
    <w:rPr>
      <w:color w:val="605E5C"/>
      <w:shd w:val="clear" w:color="auto" w:fill="E1DFDD"/>
    </w:rPr>
  </w:style>
  <w:style w:type="table" w:customStyle="1" w:styleId="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1C36E8"/>
    <w:rPr>
      <w:color w:val="605E5C"/>
      <w:shd w:val="clear" w:color="auto" w:fill="E1DFDD"/>
    </w:rPr>
  </w:style>
  <w:style w:type="character" w:customStyle="1" w:styleId="UnresolvedMention">
    <w:name w:val="Unresolved Mention"/>
    <w:basedOn w:val="Fuentedeprrafopredeter"/>
    <w:uiPriority w:val="99"/>
    <w:semiHidden/>
    <w:unhideWhenUsed/>
    <w:rsid w:val="00B54E0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gob.mx/segob/renapo/acciones-y-programas/clave-unica-de-registro-de-poblacion-curp-142226"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apartados.hacienda.gob.mx/contabilidad/documentos/informe_cuenta/1998/cuenta_publica/Glosario/n.htm" TargetMode="External"/><Relationship Id="rId17"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presupuestaria.gob.mx/es/PTP/Glosari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pHUyhgQWuU2fYiwTsV8pHMepA==">CgMxLjAyDmguZjNxdTQxMW42aHl4Mg5oLnE5ZDZhN2VtanBhMzIOaC5xanRuNGVlaG0xajkyCWguMnM4ZXlvMTINaC4yY2g5NzB4a2IybjIOaC56ZzRheXoxMXNjMXIyCGguZ2pkZ3hzMg5oLmJ1NzU4eDVrcmExaDIOaC5oZWsxeHo3MDRmcnoyDmgubnNka3ZmYXZ0M29tMg1oLnZ2MGFnN2RjMGp4Mg5oLnQwZWMxb2l6bzdiNDIOaC51ZjJnOXMzNW94eWIyDmguaHR4bzVmOHFiODRkMg5oLmprdGd1YzlqMnQ5NzIOaC55dGljNThhY3Uwamo4AHIhMUZoYUxTSHoxVllGQ21Ma3ZoZXItZktLQ2dMbHpZdXB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8A9FBB-4829-4194-AF09-7DC29E28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9114</Words>
  <Characters>50132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2025-10-09T23:28:00Z</cp:lastPrinted>
  <dcterms:created xsi:type="dcterms:W3CDTF">2025-10-09T23:28:00Z</dcterms:created>
  <dcterms:modified xsi:type="dcterms:W3CDTF">2025-10-09T23:28:00Z</dcterms:modified>
</cp:coreProperties>
</file>