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76D" w:rsidRPr="003F0C56" w:rsidRDefault="00F6576D" w:rsidP="00F6576D">
      <w:pPr>
        <w:spacing w:line="360" w:lineRule="auto"/>
        <w:jc w:val="both"/>
        <w:rPr>
          <w:rFonts w:ascii="Palatino Linotype" w:hAnsi="Palatino Linotype"/>
        </w:rPr>
      </w:pPr>
      <w:r w:rsidRPr="003F0C5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BC45C1" w:rsidRPr="003F0C56">
        <w:rPr>
          <w:rFonts w:ascii="Palatino Linotype" w:hAnsi="Palatino Linotype"/>
        </w:rPr>
        <w:t>ocho de octubre</w:t>
      </w:r>
      <w:r w:rsidRPr="003F0C56">
        <w:rPr>
          <w:rFonts w:ascii="Palatino Linotype" w:hAnsi="Palatino Linotype"/>
        </w:rPr>
        <w:t xml:space="preserve"> de dos mil veinticinco.</w:t>
      </w:r>
    </w:p>
    <w:p w:rsidR="00F6576D" w:rsidRPr="003F0C56" w:rsidRDefault="00F6576D" w:rsidP="00F6576D">
      <w:pPr>
        <w:spacing w:line="360" w:lineRule="auto"/>
        <w:jc w:val="both"/>
        <w:rPr>
          <w:rFonts w:ascii="Palatino Linotype" w:hAnsi="Palatino Linotype"/>
        </w:rPr>
      </w:pPr>
    </w:p>
    <w:p w:rsidR="00F6576D" w:rsidRPr="003F0C56" w:rsidRDefault="00F6576D" w:rsidP="00F6576D">
      <w:pPr>
        <w:tabs>
          <w:tab w:val="left" w:pos="1701"/>
        </w:tabs>
        <w:spacing w:before="240" w:line="360" w:lineRule="auto"/>
        <w:jc w:val="both"/>
        <w:rPr>
          <w:rFonts w:ascii="Palatino Linotype" w:hAnsi="Palatino Linotype" w:cs="Arial"/>
          <w:sz w:val="28"/>
        </w:rPr>
      </w:pPr>
      <w:r w:rsidRPr="003F0C56">
        <w:rPr>
          <w:rFonts w:ascii="Palatino Linotype" w:hAnsi="Palatino Linotype" w:cs="Arial"/>
          <w:b/>
        </w:rPr>
        <w:t>VISTO</w:t>
      </w:r>
      <w:r w:rsidRPr="003F0C56">
        <w:rPr>
          <w:rFonts w:ascii="Palatino Linotype" w:hAnsi="Palatino Linotype" w:cs="Arial"/>
        </w:rPr>
        <w:t xml:space="preserve"> el expediente electrónico formado con motivo del recurso de revisión número</w:t>
      </w:r>
      <w:r w:rsidRPr="003F0C56">
        <w:rPr>
          <w:rFonts w:ascii="Palatino Linotype" w:hAnsi="Palatino Linotype" w:cs="Arial"/>
          <w:b/>
        </w:rPr>
        <w:t xml:space="preserve"> </w:t>
      </w:r>
      <w:r w:rsidRPr="003F0C56">
        <w:rPr>
          <w:rFonts w:ascii="Palatino Linotype" w:hAnsi="Palatino Linotype" w:cs="Arial"/>
          <w:b/>
          <w:bCs/>
          <w:lang w:eastAsia="es-MX"/>
        </w:rPr>
        <w:t xml:space="preserve">07810/INFOEM/IP/RR/2025, </w:t>
      </w:r>
      <w:r w:rsidRPr="003F0C56">
        <w:rPr>
          <w:rFonts w:ascii="Palatino Linotype" w:hAnsi="Palatino Linotype"/>
        </w:rPr>
        <w:t xml:space="preserve">interpuesto por </w:t>
      </w:r>
      <w:r w:rsidR="00BC45C1" w:rsidRPr="003F0C56">
        <w:rPr>
          <w:rFonts w:ascii="Palatino Linotype" w:hAnsi="Palatino Linotype"/>
        </w:rPr>
        <w:t>“</w:t>
      </w:r>
      <w:r w:rsidR="005B3B67">
        <w:rPr>
          <w:rFonts w:ascii="Palatino Linotype" w:hAnsi="Palatino Linotype"/>
        </w:rPr>
        <w:t>XXXXXXXXXXXXXX</w:t>
      </w:r>
      <w:bookmarkStart w:id="0" w:name="_GoBack"/>
      <w:bookmarkEnd w:id="0"/>
      <w:r w:rsidR="00BC45C1" w:rsidRPr="003F0C56">
        <w:rPr>
          <w:rFonts w:ascii="Palatino Linotype" w:hAnsi="Palatino Linotype"/>
        </w:rPr>
        <w:t>”</w:t>
      </w:r>
      <w:r w:rsidRPr="003F0C56">
        <w:rPr>
          <w:rFonts w:ascii="Palatino Linotype" w:hAnsi="Palatino Linotype"/>
        </w:rPr>
        <w:t xml:space="preserve">, en lo sucesivo la parte </w:t>
      </w:r>
      <w:r w:rsidRPr="003F0C56">
        <w:rPr>
          <w:rFonts w:ascii="Palatino Linotype" w:hAnsi="Palatino Linotype"/>
          <w:b/>
        </w:rPr>
        <w:t>Recurrente</w:t>
      </w:r>
      <w:r w:rsidRPr="003F0C56">
        <w:rPr>
          <w:rFonts w:ascii="Palatino Linotype" w:hAnsi="Palatino Linotype"/>
        </w:rPr>
        <w:t xml:space="preserve">, en lo sucesivo la parte </w:t>
      </w:r>
      <w:r w:rsidRPr="003F0C56">
        <w:rPr>
          <w:rFonts w:ascii="Palatino Linotype" w:hAnsi="Palatino Linotype"/>
          <w:b/>
        </w:rPr>
        <w:t>Recurrente</w:t>
      </w:r>
      <w:r w:rsidRPr="003F0C56">
        <w:rPr>
          <w:rFonts w:ascii="Palatino Linotype" w:hAnsi="Palatino Linotype"/>
        </w:rPr>
        <w:t xml:space="preserve">, en contra de la respuesta del </w:t>
      </w:r>
      <w:r w:rsidRPr="003F0C56">
        <w:rPr>
          <w:rFonts w:ascii="Palatino Linotype" w:hAnsi="Palatino Linotype"/>
          <w:b/>
        </w:rPr>
        <w:t>Ayuntamiento de Atizapán de Zaragoza</w:t>
      </w:r>
      <w:r w:rsidRPr="003F0C56">
        <w:rPr>
          <w:rFonts w:ascii="Palatino Linotype" w:hAnsi="Palatino Linotype"/>
        </w:rPr>
        <w:t xml:space="preserve">, en lo subsecuente el </w:t>
      </w:r>
      <w:r w:rsidRPr="003F0C56">
        <w:rPr>
          <w:rFonts w:ascii="Palatino Linotype" w:hAnsi="Palatino Linotype"/>
          <w:b/>
        </w:rPr>
        <w:t>Sujeto Obligado</w:t>
      </w:r>
      <w:r w:rsidRPr="003F0C56">
        <w:rPr>
          <w:rFonts w:ascii="Palatino Linotype" w:hAnsi="Palatino Linotype"/>
        </w:rPr>
        <w:t>, se procede a dictar la presente resolución.</w:t>
      </w:r>
    </w:p>
    <w:p w:rsidR="00F6576D" w:rsidRPr="003F0C56" w:rsidRDefault="00F6576D" w:rsidP="00F6576D">
      <w:pPr>
        <w:pStyle w:val="infoemcitas"/>
        <w:jc w:val="center"/>
        <w:rPr>
          <w:b/>
          <w:bCs/>
          <w:i w:val="0"/>
          <w:iCs/>
          <w:sz w:val="28"/>
          <w:szCs w:val="28"/>
        </w:rPr>
      </w:pPr>
    </w:p>
    <w:p w:rsidR="00F6576D" w:rsidRPr="003F0C56" w:rsidRDefault="00F6576D" w:rsidP="00F6576D">
      <w:pPr>
        <w:pStyle w:val="infoemcitas"/>
        <w:jc w:val="center"/>
        <w:rPr>
          <w:b/>
          <w:bCs/>
          <w:i w:val="0"/>
          <w:iCs/>
          <w:sz w:val="28"/>
          <w:szCs w:val="28"/>
        </w:rPr>
      </w:pPr>
      <w:r w:rsidRPr="003F0C56">
        <w:rPr>
          <w:b/>
          <w:bCs/>
          <w:i w:val="0"/>
          <w:iCs/>
          <w:sz w:val="28"/>
          <w:szCs w:val="28"/>
        </w:rPr>
        <w:t>A N T E C E D E N T E S   D E L   A S U N T O</w:t>
      </w:r>
    </w:p>
    <w:p w:rsidR="00F6576D" w:rsidRPr="003F0C56" w:rsidRDefault="00F6576D" w:rsidP="00F6576D">
      <w:pPr>
        <w:spacing w:before="240" w:after="240" w:line="360" w:lineRule="auto"/>
        <w:jc w:val="both"/>
        <w:rPr>
          <w:rFonts w:ascii="Palatino Linotype" w:hAnsi="Palatino Linotype"/>
        </w:rPr>
      </w:pPr>
      <w:r w:rsidRPr="003F0C56">
        <w:rPr>
          <w:rFonts w:ascii="Palatino Linotype" w:hAnsi="Palatino Linotype" w:cs="Arial"/>
          <w:b/>
          <w:sz w:val="28"/>
        </w:rPr>
        <w:t>PRIMERO.</w:t>
      </w:r>
      <w:r w:rsidRPr="003F0C56">
        <w:rPr>
          <w:rFonts w:ascii="Palatino Linotype" w:hAnsi="Palatino Linotype" w:cs="Arial"/>
        </w:rPr>
        <w:t xml:space="preserve"> </w:t>
      </w:r>
      <w:r w:rsidRPr="003F0C56">
        <w:rPr>
          <w:rFonts w:ascii="Palatino Linotype" w:hAnsi="Palatino Linotype"/>
          <w:b/>
          <w:sz w:val="28"/>
          <w:szCs w:val="28"/>
        </w:rPr>
        <w:t>De la Solicitud de Información.</w:t>
      </w:r>
    </w:p>
    <w:p w:rsidR="00F6576D" w:rsidRPr="003F0C56" w:rsidRDefault="00F6576D" w:rsidP="00F6576D">
      <w:pPr>
        <w:spacing w:before="240" w:line="360" w:lineRule="auto"/>
        <w:jc w:val="both"/>
        <w:rPr>
          <w:rFonts w:ascii="Palatino Linotype" w:hAnsi="Palatino Linotype" w:cs="Arial"/>
        </w:rPr>
      </w:pPr>
      <w:r w:rsidRPr="003F0C56">
        <w:rPr>
          <w:rFonts w:ascii="Palatino Linotype" w:hAnsi="Palatino Linotype" w:cs="Arial"/>
        </w:rPr>
        <w:t xml:space="preserve">Con fecha </w:t>
      </w:r>
      <w:r w:rsidR="00580E30" w:rsidRPr="003F0C56">
        <w:rPr>
          <w:rFonts w:ascii="Palatino Linotype" w:hAnsi="Palatino Linotype" w:cs="Arial"/>
          <w:b/>
        </w:rPr>
        <w:t>veintidós</w:t>
      </w:r>
      <w:r w:rsidRPr="003F0C56">
        <w:rPr>
          <w:rFonts w:ascii="Palatino Linotype" w:hAnsi="Palatino Linotype" w:cs="Arial"/>
          <w:b/>
        </w:rPr>
        <w:t xml:space="preserve"> de mayo de dos mil veinticinco</w:t>
      </w:r>
      <w:r w:rsidRPr="003F0C56">
        <w:rPr>
          <w:rFonts w:ascii="Palatino Linotype" w:hAnsi="Palatino Linotype" w:cs="Arial"/>
        </w:rPr>
        <w:t>, la parte</w:t>
      </w:r>
      <w:r w:rsidRPr="003F0C56">
        <w:rPr>
          <w:rFonts w:ascii="Palatino Linotype" w:hAnsi="Palatino Linotype" w:cs="Arial"/>
          <w:b/>
        </w:rPr>
        <w:t xml:space="preserve"> Recurrente </w:t>
      </w:r>
      <w:r w:rsidRPr="003F0C56">
        <w:rPr>
          <w:rFonts w:ascii="Palatino Linotype" w:hAnsi="Palatino Linotype" w:cs="Arial"/>
        </w:rPr>
        <w:t>presentó a través del Sistema de Acceso a la Información Mexiquense (</w:t>
      </w:r>
      <w:r w:rsidRPr="003F0C56">
        <w:rPr>
          <w:rFonts w:ascii="Palatino Linotype" w:hAnsi="Palatino Linotype" w:cs="Arial"/>
          <w:b/>
        </w:rPr>
        <w:t>SAIMEX)</w:t>
      </w:r>
      <w:r w:rsidRPr="003F0C56">
        <w:rPr>
          <w:rFonts w:ascii="Palatino Linotype" w:hAnsi="Palatino Linotype" w:cs="Arial"/>
        </w:rPr>
        <w:t xml:space="preserve"> ante </w:t>
      </w:r>
      <w:r w:rsidRPr="003F0C56">
        <w:rPr>
          <w:rFonts w:ascii="Palatino Linotype" w:hAnsi="Palatino Linotype" w:cs="Arial"/>
          <w:b/>
        </w:rPr>
        <w:t>El Sujeto Obligado</w:t>
      </w:r>
      <w:r w:rsidRPr="003F0C56">
        <w:rPr>
          <w:rFonts w:ascii="Palatino Linotype" w:hAnsi="Palatino Linotype" w:cs="Arial"/>
        </w:rPr>
        <w:t xml:space="preserve">, solicitud de acceso a la información pública, registrada bajo el número de expediente </w:t>
      </w:r>
      <w:r w:rsidR="00580E30" w:rsidRPr="003F0C56">
        <w:rPr>
          <w:rFonts w:ascii="Palatino Linotype" w:hAnsi="Palatino Linotype" w:cs="Arial"/>
          <w:b/>
        </w:rPr>
        <w:t>00332/ATIZARA/IP/2025</w:t>
      </w:r>
      <w:r w:rsidRPr="003F0C56">
        <w:rPr>
          <w:rFonts w:ascii="Palatino Linotype" w:hAnsi="Palatino Linotype" w:cs="Arial"/>
          <w:b/>
        </w:rPr>
        <w:t xml:space="preserve">, </w:t>
      </w:r>
      <w:r w:rsidRPr="003F0C56">
        <w:rPr>
          <w:rFonts w:ascii="Palatino Linotype" w:hAnsi="Palatino Linotype" w:cs="Arial"/>
        </w:rPr>
        <w:t>mediante la cual solicitó información en el tenor siguiente:</w:t>
      </w:r>
    </w:p>
    <w:p w:rsidR="00F6576D" w:rsidRPr="003F0C56" w:rsidRDefault="00F6576D" w:rsidP="00F6576D">
      <w:pPr>
        <w:pStyle w:val="INFOEM"/>
        <w:rPr>
          <w:lang w:val="es-ES_tradnl" w:eastAsia="es-ES"/>
        </w:rPr>
      </w:pPr>
      <w:r w:rsidRPr="003F0C56">
        <w:rPr>
          <w:lang w:val="es-ES_tradnl" w:eastAsia="es-ES"/>
        </w:rPr>
        <w:t>“</w:t>
      </w:r>
      <w:r w:rsidR="00580E30" w:rsidRPr="003F0C56">
        <w:rPr>
          <w:lang w:val="es-ES" w:eastAsia="es-ES"/>
        </w:rPr>
        <w:t xml:space="preserve">: ‘’Me </w:t>
      </w:r>
      <w:proofErr w:type="spellStart"/>
      <w:r w:rsidR="00580E30" w:rsidRPr="003F0C56">
        <w:rPr>
          <w:lang w:val="es-ES" w:eastAsia="es-ES"/>
        </w:rPr>
        <w:t>podrian</w:t>
      </w:r>
      <w:proofErr w:type="spellEnd"/>
      <w:r w:rsidR="00580E30" w:rsidRPr="003F0C56">
        <w:rPr>
          <w:lang w:val="es-ES" w:eastAsia="es-ES"/>
        </w:rPr>
        <w:t xml:space="preserve"> mandar el </w:t>
      </w:r>
      <w:proofErr w:type="spellStart"/>
      <w:r w:rsidR="00580E30" w:rsidRPr="003F0C56">
        <w:rPr>
          <w:lang w:val="es-ES" w:eastAsia="es-ES"/>
        </w:rPr>
        <w:t>numero</w:t>
      </w:r>
      <w:proofErr w:type="spellEnd"/>
      <w:r w:rsidR="00580E30" w:rsidRPr="003F0C56">
        <w:rPr>
          <w:lang w:val="es-ES" w:eastAsia="es-ES"/>
        </w:rPr>
        <w:t xml:space="preserve"> de luminarias que se han cambiado en los meses de abril al 20 de mayo en que calles y colonias han sido estos cambios y saber si las luminarias son </w:t>
      </w:r>
      <w:proofErr w:type="spellStart"/>
      <w:r w:rsidR="00580E30" w:rsidRPr="003F0C56">
        <w:rPr>
          <w:lang w:val="es-ES" w:eastAsia="es-ES"/>
        </w:rPr>
        <w:t>arrentadas</w:t>
      </w:r>
      <w:proofErr w:type="spellEnd"/>
      <w:r w:rsidR="00580E30" w:rsidRPr="003F0C56">
        <w:rPr>
          <w:lang w:val="es-ES" w:eastAsia="es-ES"/>
        </w:rPr>
        <w:t xml:space="preserve"> o compradas</w:t>
      </w:r>
      <w:proofErr w:type="gramStart"/>
      <w:r w:rsidR="00580E30" w:rsidRPr="003F0C56">
        <w:rPr>
          <w:lang w:val="es-ES" w:eastAsia="es-ES"/>
        </w:rPr>
        <w:t>.’’</w:t>
      </w:r>
      <w:proofErr w:type="gramEnd"/>
      <w:r w:rsidRPr="003F0C56">
        <w:rPr>
          <w:lang w:val="es-ES_tradnl" w:eastAsia="es-ES"/>
        </w:rPr>
        <w:t>” (Sic)</w:t>
      </w:r>
    </w:p>
    <w:p w:rsidR="00F6576D" w:rsidRPr="003F0C56" w:rsidRDefault="00F6576D" w:rsidP="00F6576D">
      <w:pPr>
        <w:spacing w:before="240" w:line="360" w:lineRule="auto"/>
        <w:jc w:val="both"/>
        <w:rPr>
          <w:rFonts w:ascii="Palatino Linotype" w:hAnsi="Palatino Linotype"/>
          <w:lang w:val="es-ES_tradnl"/>
        </w:rPr>
      </w:pPr>
      <w:r w:rsidRPr="003F0C56">
        <w:rPr>
          <w:rFonts w:ascii="Palatino Linotype" w:hAnsi="Palatino Linotype"/>
          <w:b/>
          <w:lang w:val="es-ES_tradnl"/>
        </w:rPr>
        <w:lastRenderedPageBreak/>
        <w:t>Modalidad de entrega:</w:t>
      </w:r>
      <w:r w:rsidRPr="003F0C56">
        <w:rPr>
          <w:rFonts w:ascii="Palatino Linotype" w:hAnsi="Palatino Linotype"/>
          <w:lang w:val="es-ES_tradnl"/>
        </w:rPr>
        <w:t xml:space="preserve"> A través del SAIMEX.</w:t>
      </w:r>
    </w:p>
    <w:p w:rsidR="00F6576D" w:rsidRPr="003F0C56" w:rsidRDefault="00F6576D" w:rsidP="00F6576D">
      <w:pPr>
        <w:spacing w:before="240" w:line="360" w:lineRule="auto"/>
        <w:jc w:val="both"/>
        <w:rPr>
          <w:rFonts w:ascii="Palatino Linotype" w:hAnsi="Palatino Linotype" w:cs="Arial"/>
          <w:b/>
          <w:sz w:val="28"/>
        </w:rPr>
      </w:pPr>
    </w:p>
    <w:p w:rsidR="00580E30" w:rsidRPr="003F0C56" w:rsidRDefault="00F6576D" w:rsidP="00F6576D">
      <w:pPr>
        <w:spacing w:before="240" w:line="360" w:lineRule="auto"/>
        <w:jc w:val="both"/>
        <w:rPr>
          <w:rFonts w:ascii="Palatino Linotype" w:hAnsi="Palatino Linotype" w:cs="Arial"/>
          <w:b/>
          <w:sz w:val="28"/>
        </w:rPr>
      </w:pPr>
      <w:r w:rsidRPr="003F0C56">
        <w:rPr>
          <w:rFonts w:ascii="Palatino Linotype" w:hAnsi="Palatino Linotype" w:cs="Arial"/>
          <w:b/>
          <w:sz w:val="28"/>
        </w:rPr>
        <w:t>SEGUNDO. De la</w:t>
      </w:r>
      <w:r w:rsidR="00580E30" w:rsidRPr="003F0C56">
        <w:rPr>
          <w:rFonts w:ascii="Palatino Linotype" w:hAnsi="Palatino Linotype" w:cs="Arial"/>
          <w:b/>
          <w:sz w:val="28"/>
        </w:rPr>
        <w:t xml:space="preserve"> prórroga. </w:t>
      </w:r>
    </w:p>
    <w:p w:rsidR="00580E30" w:rsidRPr="003F0C56" w:rsidRDefault="00340EB5" w:rsidP="00F6576D">
      <w:pPr>
        <w:spacing w:before="240" w:line="360" w:lineRule="auto"/>
        <w:jc w:val="both"/>
        <w:rPr>
          <w:rFonts w:ascii="Palatino Linotype" w:hAnsi="Palatino Linotype" w:cs="Arial"/>
        </w:rPr>
      </w:pPr>
      <w:r w:rsidRPr="003F0C56">
        <w:rPr>
          <w:rFonts w:ascii="Palatino Linotype" w:hAnsi="Palatino Linotype" w:cs="Arial"/>
        </w:rPr>
        <w:t xml:space="preserve">En fecha </w:t>
      </w:r>
      <w:r w:rsidR="00ED240A" w:rsidRPr="003F0C56">
        <w:rPr>
          <w:rFonts w:ascii="Palatino Linotype" w:hAnsi="Palatino Linotype" w:cs="Arial"/>
          <w:b/>
        </w:rPr>
        <w:t>doce de junio de dos mil veinticinco</w:t>
      </w:r>
      <w:r w:rsidR="00ED240A" w:rsidRPr="003F0C56">
        <w:rPr>
          <w:rFonts w:ascii="Palatino Linotype" w:hAnsi="Palatino Linotype" w:cs="Arial"/>
        </w:rPr>
        <w:t xml:space="preserve"> el Sujeto Obligado notificó a la parte Recurrente una prórroga para dar respuesta, en los términos siguientes:</w:t>
      </w:r>
    </w:p>
    <w:p w:rsidR="00ED240A" w:rsidRPr="003F0C56" w:rsidRDefault="00ED240A" w:rsidP="00ED240A">
      <w:pPr>
        <w:pStyle w:val="INFOEM"/>
      </w:pPr>
      <w:r w:rsidRPr="003F0C56">
        <w:t>“…</w:t>
      </w:r>
    </w:p>
    <w:p w:rsidR="00ED240A" w:rsidRPr="003F0C56" w:rsidRDefault="00ED240A" w:rsidP="00ED240A">
      <w:pPr>
        <w:pStyle w:val="INFOEM"/>
      </w:pPr>
      <w:r w:rsidRPr="003F0C56">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ED240A" w:rsidRPr="003F0C56" w:rsidRDefault="00ED240A" w:rsidP="00ED240A">
      <w:pPr>
        <w:pStyle w:val="INFOEM"/>
      </w:pPr>
      <w:r w:rsidRPr="003F0C56">
        <w:t>Con fundamento en los artículos 4, 23 fracción IV, 24 último párrafo, 53 fracción VI, 59, 160, 163 segundo párrafo y demás relativos de la Ley de Transparencia y Acceso a la Información Pública del Estado de México y Municipios, se solicita la prórroga para la entrega de la información, debido al número de solicitudes recibidas por esta Dependencia retrasa la búsqueda de la información, por lo que resulta necesaria la ampliación de plazo legal para la correcta atención de dicha solicitud.</w:t>
      </w:r>
    </w:p>
    <w:p w:rsidR="00ED240A" w:rsidRPr="003F0C56" w:rsidRDefault="00ED240A" w:rsidP="00ED240A">
      <w:pPr>
        <w:pStyle w:val="INFOEM"/>
      </w:pPr>
      <w:r w:rsidRPr="003F0C56">
        <w:t>…” (Sic)</w:t>
      </w:r>
    </w:p>
    <w:p w:rsidR="00ED240A" w:rsidRPr="003F0C56" w:rsidRDefault="00ED240A" w:rsidP="00F6576D">
      <w:pPr>
        <w:spacing w:before="240" w:line="360" w:lineRule="auto"/>
        <w:jc w:val="both"/>
        <w:rPr>
          <w:rFonts w:ascii="Palatino Linotype" w:hAnsi="Palatino Linotype" w:cs="Arial"/>
          <w:b/>
          <w:sz w:val="28"/>
        </w:rPr>
      </w:pPr>
    </w:p>
    <w:p w:rsidR="00F6576D" w:rsidRPr="003F0C56" w:rsidRDefault="00ED240A" w:rsidP="00F6576D">
      <w:pPr>
        <w:spacing w:before="240" w:line="360" w:lineRule="auto"/>
        <w:jc w:val="both"/>
        <w:rPr>
          <w:rFonts w:ascii="Palatino Linotype" w:hAnsi="Palatino Linotype"/>
        </w:rPr>
      </w:pPr>
      <w:r w:rsidRPr="003F0C56">
        <w:rPr>
          <w:rFonts w:ascii="Palatino Linotype" w:hAnsi="Palatino Linotype" w:cs="Arial"/>
          <w:b/>
          <w:sz w:val="28"/>
        </w:rPr>
        <w:t>TERCERO. De la</w:t>
      </w:r>
      <w:r w:rsidR="00F6576D" w:rsidRPr="003F0C56">
        <w:rPr>
          <w:rFonts w:ascii="Palatino Linotype" w:hAnsi="Palatino Linotype" w:cs="Arial"/>
          <w:b/>
          <w:sz w:val="28"/>
        </w:rPr>
        <w:t xml:space="preserve"> </w:t>
      </w:r>
      <w:r w:rsidR="00F6576D" w:rsidRPr="003F0C56">
        <w:rPr>
          <w:rFonts w:ascii="Palatino Linotype" w:hAnsi="Palatino Linotype" w:cs="Arial"/>
          <w:b/>
          <w:sz w:val="28"/>
          <w:szCs w:val="20"/>
        </w:rPr>
        <w:t>respuesta o entrega de la información</w:t>
      </w:r>
    </w:p>
    <w:p w:rsidR="00F6576D" w:rsidRPr="003F0C56" w:rsidRDefault="00F6576D" w:rsidP="00F6576D">
      <w:pPr>
        <w:pStyle w:val="Sinespaciado"/>
        <w:spacing w:line="360" w:lineRule="auto"/>
        <w:jc w:val="both"/>
        <w:rPr>
          <w:rFonts w:ascii="Palatino Linotype" w:hAnsi="Palatino Linotype" w:cs="Arial"/>
          <w:b/>
          <w:sz w:val="24"/>
        </w:rPr>
      </w:pPr>
      <w:r w:rsidRPr="003F0C56">
        <w:rPr>
          <w:rFonts w:ascii="Palatino Linotype" w:hAnsi="Palatino Linotype"/>
          <w:sz w:val="24"/>
        </w:rPr>
        <w:lastRenderedPageBreak/>
        <w:t xml:space="preserve">De las constancias que obran en el expediente electrónico, se advierte que el </w:t>
      </w:r>
      <w:r w:rsidRPr="003F0C56">
        <w:rPr>
          <w:rFonts w:ascii="Palatino Linotype" w:hAnsi="Palatino Linotype" w:cs="Arial"/>
          <w:sz w:val="24"/>
        </w:rPr>
        <w:t xml:space="preserve">día </w:t>
      </w:r>
      <w:r w:rsidR="00ED240A" w:rsidRPr="003F0C56">
        <w:rPr>
          <w:rFonts w:ascii="Palatino Linotype" w:hAnsi="Palatino Linotype" w:cs="Arial"/>
          <w:b/>
          <w:sz w:val="24"/>
        </w:rPr>
        <w:t>veintitrés</w:t>
      </w:r>
      <w:r w:rsidR="00580E30" w:rsidRPr="003F0C56">
        <w:rPr>
          <w:rFonts w:ascii="Palatino Linotype" w:hAnsi="Palatino Linotype" w:cs="Arial"/>
          <w:b/>
          <w:sz w:val="24"/>
        </w:rPr>
        <w:t xml:space="preserve"> de junio</w:t>
      </w:r>
      <w:r w:rsidRPr="003F0C56">
        <w:rPr>
          <w:rFonts w:ascii="Palatino Linotype" w:hAnsi="Palatino Linotype" w:cs="Arial"/>
          <w:b/>
          <w:sz w:val="24"/>
        </w:rPr>
        <w:t xml:space="preserve"> de dos mil veinticinco</w:t>
      </w:r>
      <w:r w:rsidRPr="003F0C56">
        <w:rPr>
          <w:rFonts w:ascii="Palatino Linotype" w:hAnsi="Palatino Linotype" w:cs="Arial"/>
          <w:sz w:val="24"/>
        </w:rPr>
        <w:t xml:space="preserve">, el </w:t>
      </w:r>
      <w:r w:rsidRPr="003F0C56">
        <w:rPr>
          <w:rFonts w:ascii="Palatino Linotype" w:hAnsi="Palatino Linotype" w:cs="Arial"/>
          <w:b/>
          <w:sz w:val="24"/>
        </w:rPr>
        <w:t>Sujeto Obligado</w:t>
      </w:r>
      <w:r w:rsidRPr="003F0C56">
        <w:rPr>
          <w:rFonts w:ascii="Palatino Linotype" w:hAnsi="Palatino Linotype" w:cs="Arial"/>
          <w:sz w:val="24"/>
        </w:rPr>
        <w:t xml:space="preserve"> dio respuesta a la solicitud de información en los siguientes términos: </w:t>
      </w:r>
    </w:p>
    <w:p w:rsidR="00F6576D" w:rsidRPr="003F0C56" w:rsidRDefault="00F6576D" w:rsidP="00F6576D">
      <w:pPr>
        <w:spacing w:line="360" w:lineRule="auto"/>
        <w:jc w:val="both"/>
        <w:rPr>
          <w:rFonts w:ascii="Palatino Linotype" w:hAnsi="Palatino Linotype" w:cs="Arial"/>
        </w:rPr>
      </w:pPr>
    </w:p>
    <w:p w:rsidR="00ED240A" w:rsidRPr="003F0C56" w:rsidRDefault="00ED240A" w:rsidP="00ED240A">
      <w:pPr>
        <w:pStyle w:val="INFOEM"/>
      </w:pPr>
      <w:r w:rsidRPr="003F0C56">
        <w:t>“…</w:t>
      </w:r>
    </w:p>
    <w:p w:rsidR="00ED240A" w:rsidRPr="003F0C56" w:rsidRDefault="00ED240A" w:rsidP="00ED240A">
      <w:pPr>
        <w:pStyle w:val="INFOEM"/>
      </w:pPr>
      <w:r w:rsidRPr="003F0C56">
        <w:t>En respuesta a la solicitud recibida, nos permitimos hacer de su conocimiento que con fundamento en el artículo 53, Fracciones: II, V y VI de la Ley de Transparencia y Acceso a la Información Pública del Estado de México y Municipios, le contestamos que:</w:t>
      </w:r>
    </w:p>
    <w:p w:rsidR="00ED240A" w:rsidRPr="003F0C56" w:rsidRDefault="00ED240A" w:rsidP="00ED240A">
      <w:pPr>
        <w:pStyle w:val="INFOEM"/>
      </w:pPr>
      <w:r w:rsidRPr="003F0C56">
        <w:t xml:space="preserve">El que suscribe, Director de Servicios Públicos del Ayuntamiento de Atizapán de Zaragoza, Estado de México, Administración 2025-2027, nombramiento otorgado durante la primera sesión solemne de Cabildo, celebrada el primero de enero del año dos mil veinticinco, con fundamento en el artículo 115 fracción III inciso b) de la Constitución Política de los Estados Unidos Mexicanos; 122,124 de la Constitución Política del Estado Libre y Soberano de México; 125 de la Ley Orgánica Municipal del Estado de México; 72, 73 fracción I, II, XVIII y 74 fracción II.II del Reglamento Orgánico de la Administración Pública Municipal de Atizapán de Zaragoza, Estado de México; 71 y 91 fracción II del Bando Municipal vigente me permito atender la siguiente solicitud ingresada al portal de Transparencia del Estado de México: ‘’Me </w:t>
      </w:r>
      <w:proofErr w:type="spellStart"/>
      <w:r w:rsidRPr="003F0C56">
        <w:t>podrian</w:t>
      </w:r>
      <w:proofErr w:type="spellEnd"/>
      <w:r w:rsidRPr="003F0C56">
        <w:t xml:space="preserve"> mandar el </w:t>
      </w:r>
      <w:proofErr w:type="spellStart"/>
      <w:r w:rsidRPr="003F0C56">
        <w:t>numero</w:t>
      </w:r>
      <w:proofErr w:type="spellEnd"/>
      <w:r w:rsidRPr="003F0C56">
        <w:t xml:space="preserve"> de luminarias que se han cambiado en los meses de abril al 20 de mayo en que calles y colonias han sido estos cambios y saber si las luminarias son </w:t>
      </w:r>
      <w:proofErr w:type="spellStart"/>
      <w:r w:rsidRPr="003F0C56">
        <w:t>arrentadas</w:t>
      </w:r>
      <w:proofErr w:type="spellEnd"/>
      <w:r w:rsidRPr="003F0C56">
        <w:t xml:space="preserve"> o compradas. ’’ (SIC) Atendiendo su solicitud, en términos del artículo 12 de la Ley de Transparencia y Acceso a la Información de Estado de México y Municipios que a la letra dice: ‘’Quienes generen, recopilen, administren, manejen, </w:t>
      </w:r>
      <w:r w:rsidRPr="003F0C56">
        <w:lastRenderedPageBreak/>
        <w:t xml:space="preserve">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 Se hace de su conocimiento que en los archivos que obran en esta Dirección, se encontró lo siguiente: Durante los meses de abril al 20 de mayo del presente año, si bien desconocemos el término </w:t>
      </w:r>
      <w:proofErr w:type="spellStart"/>
      <w:r w:rsidRPr="003F0C56">
        <w:t>arrentar</w:t>
      </w:r>
      <w:proofErr w:type="spellEnd"/>
      <w:r w:rsidRPr="003F0C56">
        <w:t>, por lo que si su pregunta se encamina a una acción de arrendamiento se le da a conocer que son arrendadas, lo que respecta a la colocación de luminaria nuevas, es información que se está generando, por lo cual señalar una cifra se considera información no exacta o errónea por lo que esta Dirección no la reconoce.</w:t>
      </w:r>
    </w:p>
    <w:p w:rsidR="00ED240A" w:rsidRPr="003F0C56" w:rsidRDefault="00ED240A" w:rsidP="00ED240A">
      <w:pPr>
        <w:pStyle w:val="INFOEM"/>
      </w:pPr>
      <w:r w:rsidRPr="003F0C56">
        <w:t>…” (Sic)</w:t>
      </w:r>
    </w:p>
    <w:p w:rsidR="00F6576D" w:rsidRPr="003F0C56" w:rsidRDefault="00F6576D" w:rsidP="00F6576D">
      <w:pPr>
        <w:spacing w:line="360" w:lineRule="auto"/>
        <w:ind w:right="567"/>
        <w:jc w:val="both"/>
        <w:rPr>
          <w:rFonts w:ascii="Palatino Linotype" w:hAnsi="Palatino Linotype" w:cs="Arial"/>
        </w:rPr>
      </w:pPr>
    </w:p>
    <w:p w:rsidR="00F6576D" w:rsidRPr="003F0C56" w:rsidRDefault="00ED240A" w:rsidP="00F6576D">
      <w:pPr>
        <w:spacing w:before="240" w:line="360" w:lineRule="auto"/>
        <w:jc w:val="both"/>
        <w:rPr>
          <w:rFonts w:ascii="Palatino Linotype" w:hAnsi="Palatino Linotype" w:cs="Arial"/>
          <w:b/>
          <w:sz w:val="28"/>
        </w:rPr>
      </w:pPr>
      <w:r w:rsidRPr="003F0C56">
        <w:rPr>
          <w:rFonts w:ascii="Palatino Linotype" w:hAnsi="Palatino Linotype" w:cs="Arial"/>
          <w:b/>
          <w:sz w:val="28"/>
        </w:rPr>
        <w:t xml:space="preserve">CUARTO. </w:t>
      </w:r>
      <w:r w:rsidR="00F6576D" w:rsidRPr="003F0C56">
        <w:rPr>
          <w:rFonts w:ascii="Palatino Linotype" w:hAnsi="Palatino Linotype" w:cs="Arial"/>
          <w:b/>
          <w:sz w:val="32"/>
        </w:rPr>
        <w:t xml:space="preserve"> </w:t>
      </w:r>
      <w:r w:rsidR="00F6576D" w:rsidRPr="003F0C56">
        <w:rPr>
          <w:rFonts w:ascii="Palatino Linotype" w:hAnsi="Palatino Linotype"/>
          <w:b/>
          <w:sz w:val="28"/>
        </w:rPr>
        <w:t>Del recurso de revisión.</w:t>
      </w:r>
    </w:p>
    <w:p w:rsidR="00F6576D" w:rsidRPr="003F0C56" w:rsidRDefault="00F6576D" w:rsidP="00F6576D">
      <w:pPr>
        <w:spacing w:before="240" w:line="360" w:lineRule="auto"/>
        <w:jc w:val="both"/>
        <w:rPr>
          <w:rFonts w:ascii="Palatino Linotype" w:hAnsi="Palatino Linotype" w:cs="Arial"/>
        </w:rPr>
      </w:pPr>
      <w:r w:rsidRPr="003F0C56">
        <w:rPr>
          <w:rFonts w:ascii="Palatino Linotype" w:hAnsi="Palatino Linotype" w:cs="Arial"/>
        </w:rPr>
        <w:t xml:space="preserve">Inconforme con la respuesta notificada por </w:t>
      </w:r>
      <w:r w:rsidRPr="003F0C56">
        <w:rPr>
          <w:rFonts w:ascii="Palatino Linotype" w:hAnsi="Palatino Linotype" w:cs="Arial"/>
          <w:b/>
        </w:rPr>
        <w:t xml:space="preserve">El Sujeto Obligado, </w:t>
      </w:r>
      <w:r w:rsidRPr="003F0C56">
        <w:rPr>
          <w:rFonts w:ascii="Palatino Linotype" w:hAnsi="Palatino Linotype" w:cs="Arial"/>
        </w:rPr>
        <w:t>el</w:t>
      </w:r>
      <w:r w:rsidRPr="003F0C56">
        <w:rPr>
          <w:rFonts w:ascii="Palatino Linotype" w:hAnsi="Palatino Linotype" w:cs="Arial"/>
          <w:b/>
        </w:rPr>
        <w:t xml:space="preserve"> Recurrente </w:t>
      </w:r>
      <w:r w:rsidRPr="003F0C56">
        <w:rPr>
          <w:rFonts w:ascii="Palatino Linotype" w:hAnsi="Palatino Linotype" w:cs="Arial"/>
        </w:rPr>
        <w:t xml:space="preserve">interpuso recurso de revisión, en fecha </w:t>
      </w:r>
      <w:r w:rsidR="00ED240A" w:rsidRPr="003F0C56">
        <w:rPr>
          <w:rFonts w:ascii="Palatino Linotype" w:hAnsi="Palatino Linotype" w:cs="Arial"/>
          <w:b/>
        </w:rPr>
        <w:t>veintiséis</w:t>
      </w:r>
      <w:r w:rsidRPr="003F0C56">
        <w:rPr>
          <w:rFonts w:ascii="Palatino Linotype" w:hAnsi="Palatino Linotype" w:cs="Arial"/>
          <w:b/>
        </w:rPr>
        <w:t xml:space="preserve"> </w:t>
      </w:r>
      <w:r w:rsidR="00340EB5" w:rsidRPr="003F0C56">
        <w:rPr>
          <w:rFonts w:ascii="Palatino Linotype" w:hAnsi="Palatino Linotype" w:cs="Arial"/>
          <w:b/>
        </w:rPr>
        <w:t>de junio</w:t>
      </w:r>
      <w:r w:rsidRPr="003F0C56">
        <w:rPr>
          <w:rFonts w:ascii="Palatino Linotype" w:hAnsi="Palatino Linotype" w:cs="Arial"/>
          <w:b/>
        </w:rPr>
        <w:t xml:space="preserve"> de dos mil veinticinco</w:t>
      </w:r>
      <w:r w:rsidRPr="003F0C56">
        <w:rPr>
          <w:rFonts w:ascii="Palatino Linotype" w:hAnsi="Palatino Linotype" w:cs="Arial"/>
        </w:rPr>
        <w:t xml:space="preserve">, el cual fue registrado en el sistema electrónico con el expediente número </w:t>
      </w:r>
      <w:r w:rsidRPr="003F0C56">
        <w:rPr>
          <w:rFonts w:ascii="Palatino Linotype" w:hAnsi="Palatino Linotype" w:cs="Arial"/>
          <w:b/>
        </w:rPr>
        <w:t xml:space="preserve">07810/INFOEM/IP/RR/2025; </w:t>
      </w:r>
      <w:r w:rsidRPr="003F0C56">
        <w:rPr>
          <w:rFonts w:ascii="Palatino Linotype" w:hAnsi="Palatino Linotype" w:cs="Arial"/>
        </w:rPr>
        <w:t>en los cuales arguye las siguientes manifestaciones:</w:t>
      </w:r>
    </w:p>
    <w:p w:rsidR="00F6576D" w:rsidRPr="003F0C56" w:rsidRDefault="00F6576D" w:rsidP="00F6576D">
      <w:pPr>
        <w:pStyle w:val="Prrafodelista"/>
        <w:numPr>
          <w:ilvl w:val="0"/>
          <w:numId w:val="2"/>
        </w:numPr>
        <w:spacing w:before="240" w:line="360" w:lineRule="auto"/>
        <w:ind w:left="142" w:firstLine="0"/>
        <w:jc w:val="both"/>
        <w:rPr>
          <w:rFonts w:ascii="Palatino Linotype" w:hAnsi="Palatino Linotype" w:cs="Arial"/>
          <w:b/>
          <w:i/>
        </w:rPr>
      </w:pPr>
      <w:r w:rsidRPr="003F0C56">
        <w:rPr>
          <w:rFonts w:ascii="Palatino Linotype" w:hAnsi="Palatino Linotype" w:cs="Arial"/>
          <w:b/>
          <w:i/>
        </w:rPr>
        <w:t xml:space="preserve">Acto impugnado </w:t>
      </w:r>
    </w:p>
    <w:p w:rsidR="00F6576D" w:rsidRPr="003F0C56" w:rsidRDefault="00F6576D" w:rsidP="00F6576D">
      <w:pPr>
        <w:pStyle w:val="INFOEM"/>
        <w:ind w:left="720"/>
      </w:pPr>
      <w:r w:rsidRPr="003F0C56">
        <w:lastRenderedPageBreak/>
        <w:t>“</w:t>
      </w:r>
      <w:r w:rsidR="00ED240A" w:rsidRPr="003F0C56">
        <w:t xml:space="preserve">Durante los meses de abril al 20 de mayo del presente año, si bien desconocemos el término </w:t>
      </w:r>
      <w:proofErr w:type="spellStart"/>
      <w:r w:rsidR="00ED240A" w:rsidRPr="003F0C56">
        <w:t>arrentar</w:t>
      </w:r>
      <w:proofErr w:type="spellEnd"/>
      <w:r w:rsidR="00ED240A" w:rsidRPr="003F0C56">
        <w:t>, por lo que si su pregunta se encamina a una acción de arrendamiento se le da a conocer que son arrendadas, lo que respecta a la colocación de luminaria nuevas, es información que se está generando, por lo cual señalar una cifra se considera información no exacta o errónea por lo que esta Dirección no la reconoce.</w:t>
      </w:r>
      <w:r w:rsidRPr="003F0C56">
        <w:t>” (</w:t>
      </w:r>
      <w:proofErr w:type="gramStart"/>
      <w:r w:rsidRPr="003F0C56">
        <w:t>sic</w:t>
      </w:r>
      <w:proofErr w:type="gramEnd"/>
      <w:r w:rsidRPr="003F0C56">
        <w:t>)</w:t>
      </w:r>
    </w:p>
    <w:p w:rsidR="00F6576D" w:rsidRPr="003F0C56" w:rsidRDefault="00F6576D" w:rsidP="00F6576D">
      <w:pPr>
        <w:pStyle w:val="Prrafodelista"/>
        <w:numPr>
          <w:ilvl w:val="0"/>
          <w:numId w:val="2"/>
        </w:numPr>
        <w:spacing w:before="240" w:line="360" w:lineRule="auto"/>
        <w:ind w:left="142" w:firstLine="0"/>
        <w:jc w:val="both"/>
        <w:rPr>
          <w:rFonts w:ascii="Palatino Linotype" w:hAnsi="Palatino Linotype" w:cs="Arial"/>
          <w:b/>
          <w:i/>
        </w:rPr>
      </w:pPr>
      <w:r w:rsidRPr="003F0C56">
        <w:rPr>
          <w:rFonts w:ascii="Palatino Linotype" w:hAnsi="Palatino Linotype" w:cs="Arial"/>
          <w:b/>
          <w:i/>
        </w:rPr>
        <w:t>Razones o motivos de inconformidad</w:t>
      </w:r>
    </w:p>
    <w:p w:rsidR="00F6576D" w:rsidRPr="003F0C56" w:rsidRDefault="00F6576D" w:rsidP="00F6576D">
      <w:pPr>
        <w:pStyle w:val="INFOEM"/>
        <w:ind w:left="709"/>
      </w:pPr>
      <w:r w:rsidRPr="003F0C56">
        <w:t>“</w:t>
      </w:r>
      <w:r w:rsidR="00ED240A" w:rsidRPr="003F0C56">
        <w:rPr>
          <w:lang w:val="es-ES"/>
        </w:rPr>
        <w:t xml:space="preserve">no me proporcionan la </w:t>
      </w:r>
      <w:proofErr w:type="spellStart"/>
      <w:r w:rsidR="00ED240A" w:rsidRPr="003F0C56">
        <w:rPr>
          <w:lang w:val="es-ES"/>
        </w:rPr>
        <w:t>informacion</w:t>
      </w:r>
      <w:proofErr w:type="spellEnd"/>
      <w:r w:rsidR="00ED240A" w:rsidRPr="003F0C56">
        <w:rPr>
          <w:lang w:val="es-ES"/>
        </w:rPr>
        <w:t xml:space="preserve"> se </w:t>
      </w:r>
      <w:proofErr w:type="spellStart"/>
      <w:r w:rsidR="00ED240A" w:rsidRPr="003F0C56">
        <w:rPr>
          <w:lang w:val="es-ES"/>
        </w:rPr>
        <w:t>estan</w:t>
      </w:r>
      <w:proofErr w:type="spellEnd"/>
      <w:r w:rsidR="00ED240A" w:rsidRPr="003F0C56">
        <w:rPr>
          <w:lang w:val="es-ES"/>
        </w:rPr>
        <w:t xml:space="preserve"> negando a </w:t>
      </w:r>
      <w:proofErr w:type="spellStart"/>
      <w:r w:rsidR="00ED240A" w:rsidRPr="003F0C56">
        <w:rPr>
          <w:lang w:val="es-ES"/>
        </w:rPr>
        <w:t>darmela</w:t>
      </w:r>
      <w:proofErr w:type="spellEnd"/>
      <w:r w:rsidR="00ED240A" w:rsidRPr="003F0C56">
        <w:rPr>
          <w:lang w:val="es-ES"/>
        </w:rPr>
        <w:t xml:space="preserve"> no me dan el dato </w:t>
      </w:r>
      <w:proofErr w:type="spellStart"/>
      <w:r w:rsidR="00ED240A" w:rsidRPr="003F0C56">
        <w:rPr>
          <w:lang w:val="es-ES"/>
        </w:rPr>
        <w:t>excato</w:t>
      </w:r>
      <w:proofErr w:type="spellEnd"/>
      <w:r w:rsidR="00ED240A" w:rsidRPr="003F0C56">
        <w:rPr>
          <w:lang w:val="es-ES"/>
        </w:rPr>
        <w:t xml:space="preserve"> de cuantas luminarias se cambiaron en el municipio, </w:t>
      </w:r>
      <w:proofErr w:type="spellStart"/>
      <w:r w:rsidR="00ED240A" w:rsidRPr="003F0C56">
        <w:rPr>
          <w:lang w:val="es-ES"/>
        </w:rPr>
        <w:t>asi</w:t>
      </w:r>
      <w:proofErr w:type="spellEnd"/>
      <w:r w:rsidR="00ED240A" w:rsidRPr="003F0C56">
        <w:rPr>
          <w:lang w:val="es-ES"/>
        </w:rPr>
        <w:t xml:space="preserve"> como de cuantas luminarias nuevas se han puesto y si estas luminarias se compraron o se rentaron</w:t>
      </w:r>
      <w:r w:rsidRPr="003F0C56">
        <w:t>” (sic)</w:t>
      </w:r>
    </w:p>
    <w:p w:rsidR="00F6576D" w:rsidRPr="003F0C56" w:rsidRDefault="00F6576D" w:rsidP="00F6576D">
      <w:pPr>
        <w:spacing w:before="240" w:line="360" w:lineRule="auto"/>
        <w:jc w:val="both"/>
        <w:rPr>
          <w:rFonts w:ascii="Palatino Linotype" w:hAnsi="Palatino Linotype" w:cs="Arial"/>
        </w:rPr>
      </w:pPr>
    </w:p>
    <w:p w:rsidR="00F6576D" w:rsidRPr="003F0C56" w:rsidRDefault="004B6F1F" w:rsidP="00F6576D">
      <w:pPr>
        <w:spacing w:before="240" w:line="360" w:lineRule="auto"/>
        <w:jc w:val="both"/>
        <w:rPr>
          <w:rFonts w:ascii="Palatino Linotype" w:hAnsi="Palatino Linotype" w:cs="Arial"/>
          <w:b/>
        </w:rPr>
      </w:pPr>
      <w:r w:rsidRPr="003F0C56">
        <w:rPr>
          <w:rFonts w:ascii="Palatino Linotype" w:hAnsi="Palatino Linotype" w:cs="Arial"/>
          <w:b/>
          <w:sz w:val="28"/>
        </w:rPr>
        <w:t>QUINTO</w:t>
      </w:r>
      <w:r w:rsidR="00F6576D" w:rsidRPr="003F0C56">
        <w:rPr>
          <w:rFonts w:ascii="Palatino Linotype" w:hAnsi="Palatino Linotype" w:cs="Arial"/>
          <w:b/>
          <w:sz w:val="28"/>
        </w:rPr>
        <w:t>.</w:t>
      </w:r>
      <w:r w:rsidR="00F6576D" w:rsidRPr="003F0C56">
        <w:rPr>
          <w:rFonts w:ascii="Palatino Linotype" w:hAnsi="Palatino Linotype" w:cs="Arial"/>
          <w:b/>
        </w:rPr>
        <w:t xml:space="preserve"> </w:t>
      </w:r>
      <w:r w:rsidR="00F6576D" w:rsidRPr="003F0C56">
        <w:rPr>
          <w:rFonts w:ascii="Palatino Linotype" w:hAnsi="Palatino Linotype" w:cs="Arial"/>
          <w:b/>
          <w:sz w:val="28"/>
          <w:szCs w:val="28"/>
        </w:rPr>
        <w:t>Del turno y admisión del recurso de revisión.</w:t>
      </w:r>
    </w:p>
    <w:p w:rsidR="00F6576D" w:rsidRPr="003F0C56" w:rsidRDefault="00F6576D" w:rsidP="00F6576D">
      <w:pPr>
        <w:spacing w:before="240" w:line="360" w:lineRule="auto"/>
        <w:jc w:val="both"/>
        <w:rPr>
          <w:rFonts w:ascii="Palatino Linotype" w:hAnsi="Palatino Linotype" w:cs="Arial"/>
          <w:sz w:val="28"/>
        </w:rPr>
      </w:pPr>
      <w:r w:rsidRPr="003F0C56">
        <w:rPr>
          <w:rFonts w:ascii="Palatino Linotype" w:hAnsi="Palatino Linotype"/>
        </w:rPr>
        <w:t xml:space="preserve">El medio de impugnación fue turnado al Comisionado Presidente </w:t>
      </w:r>
      <w:r w:rsidRPr="003F0C56">
        <w:rPr>
          <w:rFonts w:ascii="Palatino Linotype" w:hAnsi="Palatino Linotype"/>
          <w:b/>
        </w:rPr>
        <w:t>José Martínez Vilchis,</w:t>
      </w:r>
      <w:r w:rsidRPr="003F0C56">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3F0C56">
        <w:rPr>
          <w:rFonts w:ascii="Palatino Linotype" w:hAnsi="Palatino Linotype"/>
          <w:b/>
        </w:rPr>
        <w:t>admisión</w:t>
      </w:r>
      <w:r w:rsidRPr="003F0C56">
        <w:rPr>
          <w:rFonts w:ascii="Palatino Linotype" w:hAnsi="Palatino Linotype"/>
        </w:rPr>
        <w:t xml:space="preserve"> en fecha </w:t>
      </w:r>
      <w:r w:rsidR="0055029A" w:rsidRPr="003F0C56">
        <w:rPr>
          <w:rFonts w:ascii="Palatino Linotype" w:hAnsi="Palatino Linotype"/>
          <w:b/>
        </w:rPr>
        <w:t>primero d</w:t>
      </w:r>
      <w:r w:rsidRPr="003F0C56">
        <w:rPr>
          <w:rFonts w:ascii="Palatino Linotype" w:hAnsi="Palatino Linotype"/>
          <w:b/>
        </w:rPr>
        <w:t>e ju</w:t>
      </w:r>
      <w:r w:rsidR="0055029A" w:rsidRPr="003F0C56">
        <w:rPr>
          <w:rFonts w:ascii="Palatino Linotype" w:hAnsi="Palatino Linotype"/>
          <w:b/>
        </w:rPr>
        <w:t>l</w:t>
      </w:r>
      <w:r w:rsidRPr="003F0C56">
        <w:rPr>
          <w:rFonts w:ascii="Palatino Linotype" w:hAnsi="Palatino Linotype"/>
          <w:b/>
        </w:rPr>
        <w:t>io de dos mil veinticinco</w:t>
      </w:r>
      <w:r w:rsidRPr="003F0C56">
        <w:rPr>
          <w:rFonts w:ascii="Palatino Linotype" w:hAnsi="Palatino Linotype"/>
        </w:rPr>
        <w:t>, determinándose en ellos, un plazo de siete días para que las partes manifestaran lo que a su derecho corresponda en términos del numeral ya citado.</w:t>
      </w:r>
    </w:p>
    <w:p w:rsidR="00F6576D" w:rsidRPr="003F0C56" w:rsidRDefault="00F6576D" w:rsidP="00F6576D">
      <w:pPr>
        <w:spacing w:before="240" w:line="360" w:lineRule="auto"/>
        <w:jc w:val="both"/>
        <w:rPr>
          <w:rFonts w:ascii="Palatino Linotype" w:hAnsi="Palatino Linotype" w:cs="Arial"/>
          <w:sz w:val="28"/>
        </w:rPr>
      </w:pPr>
    </w:p>
    <w:p w:rsidR="00F6576D" w:rsidRPr="003F0C56" w:rsidRDefault="004B6F1F" w:rsidP="00F6576D">
      <w:pPr>
        <w:pStyle w:val="Prrafodelista"/>
        <w:spacing w:line="360" w:lineRule="auto"/>
        <w:ind w:left="0"/>
        <w:jc w:val="both"/>
        <w:rPr>
          <w:rFonts w:ascii="Palatino Linotype" w:hAnsi="Palatino Linotype" w:cs="Arial"/>
          <w:b/>
          <w:sz w:val="28"/>
          <w:szCs w:val="28"/>
        </w:rPr>
      </w:pPr>
      <w:r w:rsidRPr="003F0C56">
        <w:rPr>
          <w:rFonts w:ascii="Palatino Linotype" w:hAnsi="Palatino Linotype" w:cs="Arial"/>
          <w:b/>
          <w:sz w:val="28"/>
          <w:szCs w:val="28"/>
        </w:rPr>
        <w:t>SEXTO</w:t>
      </w:r>
      <w:r w:rsidR="00F6576D" w:rsidRPr="003F0C56">
        <w:rPr>
          <w:rFonts w:ascii="Palatino Linotype" w:hAnsi="Palatino Linotype" w:cs="Arial"/>
          <w:b/>
          <w:sz w:val="28"/>
          <w:szCs w:val="28"/>
        </w:rPr>
        <w:t>. De la etapa de instrucción.</w:t>
      </w:r>
    </w:p>
    <w:p w:rsidR="00F6576D" w:rsidRPr="003F0C56" w:rsidRDefault="00F6576D" w:rsidP="00F6576D">
      <w:pPr>
        <w:spacing w:line="360" w:lineRule="auto"/>
        <w:jc w:val="both"/>
        <w:rPr>
          <w:rFonts w:ascii="Palatino Linotype" w:hAnsi="Palatino Linotype"/>
        </w:rPr>
      </w:pPr>
      <w:r w:rsidRPr="003F0C56">
        <w:rPr>
          <w:rFonts w:ascii="Palatino Linotype" w:hAnsi="Palatino Linotype" w:cs="Arial"/>
        </w:rPr>
        <w:lastRenderedPageBreak/>
        <w:t xml:space="preserve">De las constancias que obran en el expediente electrónico del SAIMEX, se advierte que el </w:t>
      </w:r>
      <w:r w:rsidRPr="003F0C56">
        <w:rPr>
          <w:rFonts w:ascii="Palatino Linotype" w:hAnsi="Palatino Linotype" w:cs="Arial"/>
          <w:b/>
        </w:rPr>
        <w:t>Sujeto Obligado</w:t>
      </w:r>
      <w:r w:rsidRPr="003F0C56">
        <w:rPr>
          <w:rFonts w:ascii="Palatino Linotype" w:hAnsi="Palatino Linotype" w:cs="Arial"/>
        </w:rPr>
        <w:t xml:space="preserve"> rindió su informe justificado en fecha </w:t>
      </w:r>
      <w:r w:rsidR="0055029A" w:rsidRPr="003F0C56">
        <w:rPr>
          <w:rFonts w:ascii="Palatino Linotype" w:hAnsi="Palatino Linotype" w:cs="Arial"/>
        </w:rPr>
        <w:t>ocho de julio</w:t>
      </w:r>
      <w:r w:rsidRPr="003F0C56">
        <w:rPr>
          <w:rFonts w:ascii="Palatino Linotype" w:hAnsi="Palatino Linotype" w:cs="Arial"/>
        </w:rPr>
        <w:t xml:space="preserve"> de dos mil veinticinco, por medio de los archivos electrónicos “</w:t>
      </w:r>
      <w:r w:rsidR="0055029A" w:rsidRPr="003F0C56">
        <w:rPr>
          <w:rFonts w:ascii="Palatino Linotype" w:hAnsi="Palatino Linotype" w:cs="Arial"/>
          <w:b/>
          <w:i/>
        </w:rPr>
        <w:t>[</w:t>
      </w:r>
      <w:proofErr w:type="spellStart"/>
      <w:r w:rsidR="0055029A" w:rsidRPr="003F0C56">
        <w:rPr>
          <w:rFonts w:ascii="Palatino Linotype" w:hAnsi="Palatino Linotype" w:cs="Arial"/>
          <w:b/>
          <w:i/>
        </w:rPr>
        <w:t>Untitled</w:t>
      </w:r>
      <w:proofErr w:type="spellEnd"/>
      <w:proofErr w:type="gramStart"/>
      <w:r w:rsidR="0055029A" w:rsidRPr="003F0C56">
        <w:rPr>
          <w:rFonts w:ascii="Palatino Linotype" w:hAnsi="Palatino Linotype" w:cs="Arial"/>
          <w:b/>
          <w:i/>
        </w:rPr>
        <w:t>]_</w:t>
      </w:r>
      <w:proofErr w:type="gramEnd"/>
      <w:r w:rsidR="0055029A" w:rsidRPr="003F0C56">
        <w:rPr>
          <w:rFonts w:ascii="Palatino Linotype" w:hAnsi="Palatino Linotype" w:cs="Arial"/>
          <w:b/>
          <w:i/>
        </w:rPr>
        <w:t>2025070814221254.pdf</w:t>
      </w:r>
      <w:r w:rsidRPr="003F0C56">
        <w:rPr>
          <w:rFonts w:ascii="Palatino Linotype" w:hAnsi="Palatino Linotype" w:cs="Arial"/>
          <w:b/>
          <w:i/>
        </w:rPr>
        <w:t>”</w:t>
      </w:r>
      <w:r w:rsidRPr="003F0C56">
        <w:rPr>
          <w:rFonts w:ascii="Palatino Linotype" w:hAnsi="Palatino Linotype" w:cs="Arial"/>
        </w:rPr>
        <w:t xml:space="preserve">, mismos que fueron puestos a la vista del Recurrente en fecha </w:t>
      </w:r>
      <w:r w:rsidR="0055029A" w:rsidRPr="003F0C56">
        <w:rPr>
          <w:rFonts w:ascii="Palatino Linotype" w:hAnsi="Palatino Linotype" w:cs="Arial"/>
        </w:rPr>
        <w:t>veintinueve de septiembre</w:t>
      </w:r>
      <w:r w:rsidRPr="003F0C56">
        <w:rPr>
          <w:rFonts w:ascii="Palatino Linotype" w:hAnsi="Palatino Linotype" w:cs="Arial"/>
        </w:rPr>
        <w:t xml:space="preserve"> de dos mil veinticinco</w:t>
      </w:r>
      <w:r w:rsidRPr="003F0C56">
        <w:rPr>
          <w:rFonts w:ascii="Palatino Linotype" w:hAnsi="Palatino Linotype" w:cs="Arial"/>
          <w:b/>
          <w:i/>
        </w:rPr>
        <w:t>.</w:t>
      </w:r>
    </w:p>
    <w:p w:rsidR="00F6576D" w:rsidRPr="003F0C56" w:rsidRDefault="00F6576D" w:rsidP="00F6576D">
      <w:pPr>
        <w:spacing w:line="360" w:lineRule="auto"/>
        <w:jc w:val="both"/>
        <w:rPr>
          <w:rFonts w:ascii="Palatino Linotype" w:hAnsi="Palatino Linotype"/>
        </w:rPr>
      </w:pPr>
    </w:p>
    <w:p w:rsidR="00F6576D" w:rsidRPr="003F0C56" w:rsidRDefault="00F6576D" w:rsidP="00F6576D">
      <w:pPr>
        <w:spacing w:line="360" w:lineRule="auto"/>
        <w:jc w:val="both"/>
        <w:rPr>
          <w:rFonts w:ascii="Palatino Linotype" w:hAnsi="Palatino Linotype" w:cs="Arial"/>
        </w:rPr>
      </w:pPr>
      <w:r w:rsidRPr="003F0C56">
        <w:rPr>
          <w:rFonts w:ascii="Palatino Linotype" w:hAnsi="Palatino Linotype" w:cs="Arial"/>
        </w:rPr>
        <w:t xml:space="preserve">Así mismo, se aprecia que no se llevaron a cabo audiencias durante la sustanciación del recurso de revisión, ni se ofrecieron pruebas por parte del </w:t>
      </w:r>
      <w:r w:rsidRPr="003F0C56">
        <w:rPr>
          <w:rFonts w:ascii="Palatino Linotype" w:hAnsi="Palatino Linotype" w:cs="Arial"/>
          <w:b/>
        </w:rPr>
        <w:t>Recurrente</w:t>
      </w:r>
      <w:r w:rsidRPr="003F0C56">
        <w:rPr>
          <w:rFonts w:ascii="Palatino Linotype" w:hAnsi="Palatino Linotype" w:cs="Arial"/>
        </w:rPr>
        <w:t>; todo lo anterior en términos de los artículos 185 fracciones II y IV, y 195 de la Ley de Transparencia y Acceso a la Información Pública del Estado de México y Municipios.</w:t>
      </w:r>
    </w:p>
    <w:p w:rsidR="00F6576D" w:rsidRPr="003F0C56" w:rsidRDefault="00F6576D" w:rsidP="00F6576D">
      <w:pPr>
        <w:spacing w:line="360" w:lineRule="auto"/>
        <w:jc w:val="both"/>
        <w:rPr>
          <w:rFonts w:ascii="Palatino Linotype" w:hAnsi="Palatino Linotype" w:cs="Arial"/>
          <w:b/>
          <w:sz w:val="28"/>
          <w:szCs w:val="28"/>
        </w:rPr>
      </w:pPr>
    </w:p>
    <w:p w:rsidR="00F6576D" w:rsidRPr="003F0C56" w:rsidRDefault="004B6F1F" w:rsidP="00F6576D">
      <w:pPr>
        <w:spacing w:line="360" w:lineRule="auto"/>
        <w:jc w:val="both"/>
        <w:rPr>
          <w:rFonts w:ascii="Palatino Linotype" w:eastAsia="Calibri" w:hAnsi="Palatino Linotype" w:cs="Arial"/>
          <w:b/>
          <w:sz w:val="28"/>
          <w:lang w:val="es-ES_tradnl"/>
        </w:rPr>
      </w:pPr>
      <w:r w:rsidRPr="003F0C56">
        <w:rPr>
          <w:rFonts w:ascii="Palatino Linotype" w:eastAsia="Calibri" w:hAnsi="Palatino Linotype" w:cs="Arial"/>
          <w:b/>
          <w:sz w:val="28"/>
          <w:lang w:val="es-ES_tradnl"/>
        </w:rPr>
        <w:t>SÉPTIMO.</w:t>
      </w:r>
      <w:r w:rsidR="00F6576D" w:rsidRPr="003F0C56">
        <w:rPr>
          <w:rFonts w:ascii="Palatino Linotype" w:hAnsi="Palatino Linotype" w:cs="Arial"/>
          <w:b/>
          <w:sz w:val="28"/>
          <w:szCs w:val="28"/>
        </w:rPr>
        <w:t xml:space="preserve"> </w:t>
      </w:r>
      <w:r w:rsidR="00F6576D" w:rsidRPr="003F0C56">
        <w:rPr>
          <w:rFonts w:ascii="Palatino Linotype" w:eastAsia="Calibri" w:hAnsi="Palatino Linotype" w:cs="Arial"/>
          <w:b/>
          <w:sz w:val="28"/>
          <w:lang w:val="es-ES_tradnl"/>
        </w:rPr>
        <w:t>De la ampliación del término para resolver.</w:t>
      </w:r>
    </w:p>
    <w:p w:rsidR="00F6576D" w:rsidRPr="003F0C56" w:rsidRDefault="00F6576D" w:rsidP="00F6576D">
      <w:pPr>
        <w:spacing w:line="360" w:lineRule="auto"/>
        <w:jc w:val="both"/>
        <w:rPr>
          <w:rFonts w:ascii="Palatino Linotype" w:hAnsi="Palatino Linotype" w:cs="Arial"/>
        </w:rPr>
      </w:pPr>
      <w:r w:rsidRPr="003F0C56">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55029A" w:rsidRPr="003F0C56">
        <w:rPr>
          <w:rFonts w:ascii="Palatino Linotype" w:hAnsi="Palatino Linotype" w:cs="Arial"/>
          <w:b/>
        </w:rPr>
        <w:t>tres de septiembre</w:t>
      </w:r>
      <w:r w:rsidRPr="003F0C56">
        <w:rPr>
          <w:rFonts w:ascii="Palatino Linotype" w:hAnsi="Palatino Linotype" w:cs="Arial"/>
          <w:b/>
        </w:rPr>
        <w:t xml:space="preserve"> de dos mil veinticinco</w:t>
      </w:r>
      <w:r w:rsidRPr="003F0C56">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F6576D" w:rsidRPr="003F0C56" w:rsidRDefault="00F6576D" w:rsidP="00F6576D">
      <w:pPr>
        <w:spacing w:line="360" w:lineRule="auto"/>
        <w:jc w:val="both"/>
        <w:rPr>
          <w:rFonts w:ascii="Palatino Linotype" w:hAnsi="Palatino Linotype" w:cs="Arial"/>
          <w:b/>
          <w:sz w:val="28"/>
          <w:szCs w:val="28"/>
        </w:rPr>
      </w:pPr>
    </w:p>
    <w:p w:rsidR="00F6576D" w:rsidRPr="003F0C56" w:rsidRDefault="004B6F1F" w:rsidP="00F6576D">
      <w:pPr>
        <w:spacing w:line="360" w:lineRule="auto"/>
        <w:jc w:val="both"/>
        <w:rPr>
          <w:rFonts w:ascii="Palatino Linotype" w:hAnsi="Palatino Linotype" w:cs="Arial"/>
          <w:b/>
          <w:sz w:val="28"/>
          <w:szCs w:val="28"/>
        </w:rPr>
      </w:pPr>
      <w:r w:rsidRPr="003F0C56">
        <w:rPr>
          <w:rFonts w:ascii="Palatino Linotype" w:eastAsia="Calibri" w:hAnsi="Palatino Linotype" w:cs="Arial"/>
          <w:b/>
          <w:sz w:val="28"/>
          <w:lang w:val="es-ES_tradnl"/>
        </w:rPr>
        <w:t>OCTAVO</w:t>
      </w:r>
      <w:r w:rsidR="00F6576D" w:rsidRPr="003F0C56">
        <w:rPr>
          <w:rFonts w:ascii="Palatino Linotype" w:eastAsia="Calibri" w:hAnsi="Palatino Linotype" w:cs="Arial"/>
          <w:b/>
          <w:sz w:val="28"/>
          <w:lang w:val="es-ES_tradnl"/>
        </w:rPr>
        <w:t xml:space="preserve">. </w:t>
      </w:r>
      <w:r w:rsidR="00F6576D" w:rsidRPr="003F0C56">
        <w:rPr>
          <w:rFonts w:ascii="Palatino Linotype" w:hAnsi="Palatino Linotype" w:cs="Arial"/>
          <w:b/>
          <w:sz w:val="28"/>
          <w:szCs w:val="28"/>
        </w:rPr>
        <w:t>Del Cierre de Instrucción.</w:t>
      </w:r>
    </w:p>
    <w:p w:rsidR="00F6576D" w:rsidRPr="003F0C56" w:rsidRDefault="00F6576D" w:rsidP="00F6576D">
      <w:pPr>
        <w:spacing w:line="360" w:lineRule="auto"/>
        <w:jc w:val="both"/>
        <w:rPr>
          <w:rFonts w:ascii="Palatino Linotype" w:hAnsi="Palatino Linotype" w:cs="Arial"/>
        </w:rPr>
      </w:pPr>
      <w:r w:rsidRPr="003F0C56">
        <w:rPr>
          <w:rFonts w:ascii="Palatino Linotype" w:hAnsi="Palatino Linotype" w:cs="Arial"/>
        </w:rPr>
        <w:t xml:space="preserve">Por lo que una vez transcurrido el periodo otorgado a las partes de siete días hábiles para realizar sus manifestaciones en el acuerdo de admisión, y no habiendo prueba </w:t>
      </w:r>
      <w:r w:rsidRPr="003F0C56">
        <w:rPr>
          <w:rFonts w:ascii="Palatino Linotype" w:hAnsi="Palatino Linotype" w:cs="Arial"/>
        </w:rPr>
        <w:lastRenderedPageBreak/>
        <w:t xml:space="preserve">pendiente por desahogar, ni que documentos que integrar al expediente electrónico, se decretó el cierre de instrucción en fecha </w:t>
      </w:r>
      <w:r w:rsidR="002133D1" w:rsidRPr="003F0C56">
        <w:rPr>
          <w:rFonts w:ascii="Palatino Linotype" w:hAnsi="Palatino Linotype" w:cs="Arial"/>
          <w:b/>
        </w:rPr>
        <w:t>ocho</w:t>
      </w:r>
      <w:r w:rsidR="0055029A" w:rsidRPr="003F0C56">
        <w:rPr>
          <w:rFonts w:ascii="Palatino Linotype" w:hAnsi="Palatino Linotype" w:cs="Arial"/>
          <w:b/>
        </w:rPr>
        <w:t xml:space="preserve"> de octubre</w:t>
      </w:r>
      <w:r w:rsidRPr="003F0C56">
        <w:rPr>
          <w:rFonts w:ascii="Palatino Linotype" w:hAnsi="Palatino Linotype" w:cs="Arial"/>
          <w:b/>
        </w:rPr>
        <w:t xml:space="preserve"> de dos mil veinticinco</w:t>
      </w:r>
      <w:r w:rsidRPr="003F0C56">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F6576D" w:rsidRPr="003F0C56" w:rsidRDefault="00F6576D" w:rsidP="00F6576D">
      <w:pPr>
        <w:spacing w:line="360" w:lineRule="auto"/>
        <w:jc w:val="both"/>
        <w:rPr>
          <w:rFonts w:ascii="Palatino Linotype" w:hAnsi="Palatino Linotype" w:cs="Arial"/>
          <w:b/>
          <w:sz w:val="28"/>
          <w:szCs w:val="28"/>
        </w:rPr>
      </w:pPr>
    </w:p>
    <w:p w:rsidR="00F6576D" w:rsidRPr="003F0C56" w:rsidRDefault="00F6576D" w:rsidP="00F6576D">
      <w:pPr>
        <w:spacing w:line="360" w:lineRule="auto"/>
        <w:jc w:val="center"/>
        <w:rPr>
          <w:rFonts w:ascii="Palatino Linotype" w:hAnsi="Palatino Linotype"/>
          <w:b/>
          <w:bCs/>
          <w:spacing w:val="60"/>
          <w:sz w:val="28"/>
          <w:lang w:val="es-ES_tradnl"/>
        </w:rPr>
      </w:pPr>
      <w:r w:rsidRPr="003F0C56">
        <w:rPr>
          <w:rFonts w:ascii="Palatino Linotype" w:hAnsi="Palatino Linotype"/>
          <w:b/>
          <w:bCs/>
          <w:spacing w:val="60"/>
          <w:sz w:val="28"/>
          <w:lang w:val="es-ES_tradnl"/>
        </w:rPr>
        <w:t>CONSIDERANDO</w:t>
      </w:r>
    </w:p>
    <w:p w:rsidR="00F6576D" w:rsidRPr="003F0C56" w:rsidRDefault="00F6576D" w:rsidP="00F6576D">
      <w:pPr>
        <w:spacing w:before="240" w:line="360" w:lineRule="auto"/>
        <w:jc w:val="both"/>
        <w:rPr>
          <w:rFonts w:ascii="Palatino Linotype" w:hAnsi="Palatino Linotype" w:cs="Arial"/>
          <w:sz w:val="28"/>
          <w:szCs w:val="28"/>
        </w:rPr>
      </w:pPr>
      <w:r w:rsidRPr="003F0C56">
        <w:rPr>
          <w:rFonts w:ascii="Palatino Linotype" w:hAnsi="Palatino Linotype" w:cs="Arial"/>
          <w:b/>
          <w:sz w:val="28"/>
        </w:rPr>
        <w:t>PRIMERO.</w:t>
      </w:r>
      <w:r w:rsidRPr="003F0C56">
        <w:rPr>
          <w:rFonts w:ascii="Palatino Linotype" w:hAnsi="Palatino Linotype" w:cs="Arial"/>
          <w:b/>
        </w:rPr>
        <w:t xml:space="preserve"> </w:t>
      </w:r>
      <w:r w:rsidRPr="003F0C56">
        <w:rPr>
          <w:rFonts w:ascii="Palatino Linotype" w:hAnsi="Palatino Linotype" w:cs="Arial"/>
          <w:b/>
          <w:sz w:val="28"/>
          <w:szCs w:val="28"/>
        </w:rPr>
        <w:t>De la competencia</w:t>
      </w:r>
      <w:r w:rsidRPr="003F0C56">
        <w:rPr>
          <w:rFonts w:ascii="Palatino Linotype" w:hAnsi="Palatino Linotype" w:cs="Arial"/>
          <w:sz w:val="28"/>
          <w:szCs w:val="28"/>
        </w:rPr>
        <w:t>.</w:t>
      </w:r>
    </w:p>
    <w:p w:rsidR="008014DE" w:rsidRPr="003F0C56" w:rsidRDefault="008014DE" w:rsidP="008014DE">
      <w:pPr>
        <w:tabs>
          <w:tab w:val="left" w:pos="3402"/>
        </w:tabs>
        <w:spacing w:line="360" w:lineRule="auto"/>
        <w:jc w:val="both"/>
        <w:rPr>
          <w:rFonts w:ascii="Palatino Linotype" w:hAnsi="Palatino Linotype"/>
        </w:rPr>
      </w:pPr>
      <w:r w:rsidRPr="003F0C5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F6576D" w:rsidRPr="003F0C56" w:rsidRDefault="00F6576D" w:rsidP="00F6576D">
      <w:pPr>
        <w:spacing w:before="240" w:line="360" w:lineRule="auto"/>
        <w:jc w:val="both"/>
        <w:rPr>
          <w:rFonts w:ascii="Palatino Linotype" w:eastAsia="Calibri" w:hAnsi="Palatino Linotype"/>
          <w:b/>
          <w:color w:val="000000" w:themeColor="text1"/>
        </w:rPr>
      </w:pPr>
    </w:p>
    <w:p w:rsidR="00F6576D" w:rsidRPr="003F0C56" w:rsidRDefault="00F6576D" w:rsidP="00F6576D">
      <w:pPr>
        <w:pStyle w:val="Prrafodelista"/>
        <w:autoSpaceDE w:val="0"/>
        <w:autoSpaceDN w:val="0"/>
        <w:adjustRightInd w:val="0"/>
        <w:spacing w:before="240" w:after="160" w:line="360" w:lineRule="auto"/>
        <w:ind w:left="0"/>
        <w:jc w:val="both"/>
        <w:rPr>
          <w:rFonts w:ascii="Palatino Linotype" w:hAnsi="Palatino Linotype" w:cs="Arial"/>
          <w:b/>
        </w:rPr>
      </w:pPr>
      <w:r w:rsidRPr="003F0C56">
        <w:rPr>
          <w:rFonts w:ascii="Palatino Linotype" w:hAnsi="Palatino Linotype" w:cs="Arial"/>
          <w:b/>
          <w:sz w:val="28"/>
        </w:rPr>
        <w:t>SEGUNDO</w:t>
      </w:r>
      <w:r w:rsidRPr="003F0C56">
        <w:rPr>
          <w:rFonts w:ascii="Palatino Linotype" w:hAnsi="Palatino Linotype" w:cs="Arial"/>
          <w:b/>
        </w:rPr>
        <w:t xml:space="preserve">. </w:t>
      </w:r>
      <w:r w:rsidRPr="003F0C56">
        <w:rPr>
          <w:rFonts w:ascii="Palatino Linotype" w:hAnsi="Palatino Linotype" w:cs="Arial"/>
          <w:b/>
          <w:sz w:val="28"/>
          <w:szCs w:val="28"/>
        </w:rPr>
        <w:t>Sobre los alcances del recurso de revisión.</w:t>
      </w:r>
      <w:r w:rsidRPr="003F0C56">
        <w:rPr>
          <w:rFonts w:ascii="Palatino Linotype" w:hAnsi="Palatino Linotype" w:cs="Arial"/>
          <w:b/>
        </w:rPr>
        <w:t xml:space="preserve"> </w:t>
      </w:r>
    </w:p>
    <w:p w:rsidR="00F6576D" w:rsidRPr="003F0C56" w:rsidRDefault="00F6576D" w:rsidP="00F6576D">
      <w:pPr>
        <w:pStyle w:val="Prrafodelista"/>
        <w:autoSpaceDE w:val="0"/>
        <w:autoSpaceDN w:val="0"/>
        <w:adjustRightInd w:val="0"/>
        <w:spacing w:before="240" w:after="160" w:line="360" w:lineRule="auto"/>
        <w:ind w:left="0"/>
        <w:jc w:val="both"/>
        <w:rPr>
          <w:rFonts w:ascii="Palatino Linotype" w:hAnsi="Palatino Linotype" w:cs="Arial"/>
        </w:rPr>
      </w:pPr>
      <w:r w:rsidRPr="003F0C56">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6576D" w:rsidRPr="003F0C56" w:rsidRDefault="00F6576D" w:rsidP="00F6576D">
      <w:pPr>
        <w:pStyle w:val="Prrafodelista"/>
        <w:autoSpaceDE w:val="0"/>
        <w:autoSpaceDN w:val="0"/>
        <w:adjustRightInd w:val="0"/>
        <w:spacing w:before="240" w:after="160" w:line="360" w:lineRule="auto"/>
        <w:ind w:left="0"/>
        <w:jc w:val="both"/>
        <w:rPr>
          <w:rFonts w:ascii="Palatino Linotype" w:hAnsi="Palatino Linotype" w:cs="Arial"/>
        </w:rPr>
      </w:pPr>
    </w:p>
    <w:p w:rsidR="00F6576D" w:rsidRPr="003F0C56" w:rsidRDefault="00F6576D" w:rsidP="00F6576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3F0C56">
        <w:rPr>
          <w:rFonts w:ascii="Palatino Linotype" w:hAnsi="Palatino Linotype" w:cs="Arial"/>
          <w:b/>
          <w:sz w:val="28"/>
        </w:rPr>
        <w:t>TERCERO</w:t>
      </w:r>
      <w:r w:rsidRPr="003F0C56">
        <w:rPr>
          <w:rFonts w:ascii="Palatino Linotype" w:hAnsi="Palatino Linotype" w:cs="Arial"/>
          <w:b/>
        </w:rPr>
        <w:t xml:space="preserve">. </w:t>
      </w:r>
      <w:r w:rsidRPr="003F0C56">
        <w:rPr>
          <w:rFonts w:ascii="Palatino Linotype" w:hAnsi="Palatino Linotype" w:cs="Arial"/>
          <w:b/>
          <w:sz w:val="28"/>
          <w:szCs w:val="28"/>
        </w:rPr>
        <w:t>De las causas de improcedencia.</w:t>
      </w:r>
    </w:p>
    <w:p w:rsidR="00F6576D" w:rsidRPr="003F0C56" w:rsidRDefault="00F6576D" w:rsidP="00F6576D">
      <w:pPr>
        <w:pStyle w:val="Prrafodelista"/>
        <w:autoSpaceDE w:val="0"/>
        <w:autoSpaceDN w:val="0"/>
        <w:adjustRightInd w:val="0"/>
        <w:spacing w:before="240" w:after="160" w:line="360" w:lineRule="auto"/>
        <w:ind w:left="0"/>
        <w:jc w:val="both"/>
        <w:rPr>
          <w:rFonts w:ascii="Palatino Linotype" w:hAnsi="Palatino Linotype" w:cs="Arial"/>
        </w:rPr>
      </w:pPr>
      <w:r w:rsidRPr="003F0C56">
        <w:rPr>
          <w:rFonts w:ascii="Palatino Linotype" w:hAnsi="Palatino Linotype" w:cs="Arial"/>
        </w:rPr>
        <w:t xml:space="preserve">En el procedimiento de acceso a la información y de los medios de impugnación de la materia, se advierten diversos supuestos de </w:t>
      </w:r>
      <w:proofErr w:type="spellStart"/>
      <w:r w:rsidRPr="003F0C56">
        <w:rPr>
          <w:rFonts w:ascii="Palatino Linotype" w:hAnsi="Palatino Linotype" w:cs="Arial"/>
        </w:rPr>
        <w:t>procedibilidad</w:t>
      </w:r>
      <w:proofErr w:type="spellEnd"/>
      <w:r w:rsidRPr="003F0C5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6576D" w:rsidRPr="003F0C56" w:rsidRDefault="00F6576D" w:rsidP="00F6576D">
      <w:pPr>
        <w:pStyle w:val="Prrafodelista"/>
        <w:autoSpaceDE w:val="0"/>
        <w:autoSpaceDN w:val="0"/>
        <w:adjustRightInd w:val="0"/>
        <w:spacing w:line="360" w:lineRule="auto"/>
        <w:ind w:left="0"/>
        <w:jc w:val="both"/>
        <w:rPr>
          <w:rFonts w:ascii="Palatino Linotype" w:hAnsi="Palatino Linotype" w:cs="Arial"/>
        </w:rPr>
      </w:pPr>
      <w:r w:rsidRPr="003F0C56">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3F0C56">
        <w:rPr>
          <w:rFonts w:ascii="Palatino Linotype" w:hAnsi="Palatino Linotype" w:cs="Arial"/>
        </w:rPr>
        <w:t>Resolutor</w:t>
      </w:r>
      <w:proofErr w:type="spellEnd"/>
      <w:r w:rsidRPr="003F0C56">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3F0C56">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F0C56">
        <w:rPr>
          <w:rStyle w:val="Refdenotaalpie"/>
          <w:rFonts w:ascii="Palatino Linotype" w:hAnsi="Palatino Linotype" w:cs="Arial"/>
        </w:rPr>
        <w:footnoteReference w:id="1"/>
      </w:r>
      <w:r w:rsidRPr="003F0C56">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F6576D" w:rsidRPr="003F0C56" w:rsidRDefault="00F6576D" w:rsidP="00F6576D">
      <w:pPr>
        <w:tabs>
          <w:tab w:val="left" w:pos="709"/>
        </w:tabs>
        <w:spacing w:before="240" w:line="360" w:lineRule="auto"/>
        <w:ind w:right="51"/>
        <w:jc w:val="both"/>
        <w:rPr>
          <w:rFonts w:ascii="Palatino Linotype" w:hAnsi="Palatino Linotype"/>
          <w:b/>
          <w:sz w:val="28"/>
          <w:szCs w:val="28"/>
        </w:rPr>
      </w:pPr>
    </w:p>
    <w:p w:rsidR="00F6576D" w:rsidRPr="003F0C56" w:rsidRDefault="00F6576D" w:rsidP="00F6576D">
      <w:pPr>
        <w:tabs>
          <w:tab w:val="left" w:pos="709"/>
        </w:tabs>
        <w:spacing w:before="240" w:line="360" w:lineRule="auto"/>
        <w:ind w:right="51"/>
        <w:jc w:val="both"/>
        <w:rPr>
          <w:rFonts w:ascii="Palatino Linotype" w:hAnsi="Palatino Linotype"/>
          <w:b/>
          <w:sz w:val="28"/>
          <w:szCs w:val="28"/>
        </w:rPr>
      </w:pPr>
      <w:r w:rsidRPr="003F0C56">
        <w:rPr>
          <w:rFonts w:ascii="Palatino Linotype" w:hAnsi="Palatino Linotype"/>
          <w:b/>
          <w:sz w:val="28"/>
          <w:szCs w:val="28"/>
        </w:rPr>
        <w:t xml:space="preserve">CUARTO. Estudio y resolución del asunto </w:t>
      </w:r>
      <w:r w:rsidRPr="003F0C56">
        <w:rPr>
          <w:rFonts w:ascii="Palatino Linotype" w:hAnsi="Palatino Linotype"/>
          <w:b/>
          <w:sz w:val="28"/>
          <w:szCs w:val="28"/>
        </w:rPr>
        <w:tab/>
      </w:r>
    </w:p>
    <w:p w:rsidR="00F6576D" w:rsidRPr="003F0C56" w:rsidRDefault="00F6576D" w:rsidP="00F6576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3F0C56">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3F0C56">
        <w:rPr>
          <w:rFonts w:ascii="Palatino Linotype" w:eastAsia="Palatino Linotype" w:hAnsi="Palatino Linotype" w:cs="Palatino Linotype"/>
          <w:color w:val="000000"/>
        </w:rPr>
        <w:lastRenderedPageBreak/>
        <w:t>que el Estado Mexicano sea parte, en concordancia con el párrafo tercero del artículo 1 de la Constitución Federal y el diverso 8 de la Ley de Transparencia local.</w:t>
      </w:r>
    </w:p>
    <w:p w:rsidR="00F6576D" w:rsidRPr="003F0C56" w:rsidRDefault="00F6576D" w:rsidP="00F6576D">
      <w:pPr>
        <w:autoSpaceDE w:val="0"/>
        <w:autoSpaceDN w:val="0"/>
        <w:adjustRightInd w:val="0"/>
        <w:ind w:right="567"/>
        <w:rPr>
          <w:rFonts w:ascii="Palatino Linotype" w:eastAsia="Calibri" w:hAnsi="Palatino Linotype" w:cs="Arial"/>
        </w:rPr>
      </w:pPr>
    </w:p>
    <w:p w:rsidR="00F6576D" w:rsidRPr="003F0C56" w:rsidRDefault="00F6576D" w:rsidP="00F6576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3F0C56">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F6576D" w:rsidRPr="003F0C56" w:rsidRDefault="00F6576D" w:rsidP="00F6576D">
      <w:pPr>
        <w:pStyle w:val="Citas"/>
        <w:spacing w:before="0" w:after="0" w:line="240" w:lineRule="auto"/>
      </w:pPr>
      <w:r w:rsidRPr="003F0C56">
        <w:rPr>
          <w:b/>
        </w:rPr>
        <w:t>Artículo 179.</w:t>
      </w:r>
      <w:r w:rsidRPr="003F0C56">
        <w:t xml:space="preserve"> El recurso de revisión es un medio de protección que la Ley otorga a los particulares, para hacer valer su derecho de acceso a la información pública, y procederá en contra de las siguientes causas: </w:t>
      </w:r>
    </w:p>
    <w:p w:rsidR="00F6576D" w:rsidRPr="003F0C56" w:rsidRDefault="00F6576D" w:rsidP="00F6576D">
      <w:pPr>
        <w:pStyle w:val="Citas"/>
        <w:numPr>
          <w:ilvl w:val="0"/>
          <w:numId w:val="3"/>
        </w:numPr>
        <w:spacing w:before="0" w:after="0" w:line="240" w:lineRule="auto"/>
        <w:rPr>
          <w:b/>
        </w:rPr>
      </w:pPr>
      <w:r w:rsidRPr="003F0C56">
        <w:rPr>
          <w:b/>
        </w:rPr>
        <w:t xml:space="preserve">La negativa a la información solicitada; </w:t>
      </w:r>
    </w:p>
    <w:p w:rsidR="00F6576D" w:rsidRPr="003F0C56" w:rsidRDefault="00F6576D" w:rsidP="00F6576D">
      <w:pPr>
        <w:pStyle w:val="Citas"/>
        <w:numPr>
          <w:ilvl w:val="0"/>
          <w:numId w:val="3"/>
        </w:numPr>
        <w:spacing w:before="0" w:after="0" w:line="240" w:lineRule="auto"/>
      </w:pPr>
      <w:r w:rsidRPr="003F0C56">
        <w:t xml:space="preserve">La clasificación de la información; </w:t>
      </w:r>
    </w:p>
    <w:p w:rsidR="00F6576D" w:rsidRPr="003F0C56" w:rsidRDefault="00F6576D" w:rsidP="00F6576D">
      <w:pPr>
        <w:pStyle w:val="Citas"/>
        <w:numPr>
          <w:ilvl w:val="0"/>
          <w:numId w:val="3"/>
        </w:numPr>
        <w:spacing w:before="0" w:after="0" w:line="240" w:lineRule="auto"/>
      </w:pPr>
      <w:r w:rsidRPr="003F0C56">
        <w:t xml:space="preserve">La declaración de inexistencia de la información; </w:t>
      </w:r>
    </w:p>
    <w:p w:rsidR="00F6576D" w:rsidRPr="003F0C56" w:rsidRDefault="00F6576D" w:rsidP="00F6576D">
      <w:pPr>
        <w:pStyle w:val="Citas"/>
        <w:numPr>
          <w:ilvl w:val="0"/>
          <w:numId w:val="3"/>
        </w:numPr>
        <w:spacing w:before="0" w:after="0" w:line="240" w:lineRule="auto"/>
      </w:pPr>
      <w:r w:rsidRPr="003F0C56">
        <w:t xml:space="preserve">La declaración de incompetencia por el sujeto obligado; </w:t>
      </w:r>
    </w:p>
    <w:p w:rsidR="00F6576D" w:rsidRPr="003F0C56" w:rsidRDefault="00F6576D" w:rsidP="00F6576D">
      <w:pPr>
        <w:pStyle w:val="Citas"/>
        <w:numPr>
          <w:ilvl w:val="0"/>
          <w:numId w:val="3"/>
        </w:numPr>
        <w:spacing w:before="0" w:after="0" w:line="240" w:lineRule="auto"/>
        <w:rPr>
          <w:b/>
        </w:rPr>
      </w:pPr>
      <w:r w:rsidRPr="003F0C56">
        <w:t>La entrega de información incompleta</w:t>
      </w:r>
      <w:r w:rsidRPr="003F0C56">
        <w:rPr>
          <w:b/>
        </w:rPr>
        <w:t xml:space="preserve">; </w:t>
      </w:r>
    </w:p>
    <w:p w:rsidR="00F6576D" w:rsidRPr="003F0C56" w:rsidRDefault="00F6576D" w:rsidP="00F6576D">
      <w:pPr>
        <w:pStyle w:val="Citas"/>
        <w:numPr>
          <w:ilvl w:val="0"/>
          <w:numId w:val="3"/>
        </w:numPr>
        <w:spacing w:before="0" w:after="0" w:line="240" w:lineRule="auto"/>
      </w:pPr>
      <w:r w:rsidRPr="003F0C56">
        <w:t xml:space="preserve">La entrega de información que no corresponda con lo solicitado; </w:t>
      </w:r>
    </w:p>
    <w:p w:rsidR="00F6576D" w:rsidRPr="003F0C56" w:rsidRDefault="00F6576D" w:rsidP="00F6576D">
      <w:pPr>
        <w:pStyle w:val="Citas"/>
        <w:numPr>
          <w:ilvl w:val="0"/>
          <w:numId w:val="3"/>
        </w:numPr>
        <w:spacing w:before="0" w:after="0" w:line="240" w:lineRule="auto"/>
      </w:pPr>
      <w:r w:rsidRPr="003F0C56">
        <w:t xml:space="preserve">La falta de respuesta a una solicitud de acceso a la información; </w:t>
      </w:r>
    </w:p>
    <w:p w:rsidR="00F6576D" w:rsidRPr="003F0C56" w:rsidRDefault="00F6576D" w:rsidP="00F6576D">
      <w:pPr>
        <w:pStyle w:val="Citas"/>
        <w:numPr>
          <w:ilvl w:val="0"/>
          <w:numId w:val="3"/>
        </w:numPr>
        <w:spacing w:before="0" w:after="0" w:line="240" w:lineRule="auto"/>
      </w:pPr>
      <w:r w:rsidRPr="003F0C56">
        <w:t xml:space="preserve">La notificación, entrega o puesta a disposición de información en una modalidad o formato distinto al solicitado; </w:t>
      </w:r>
    </w:p>
    <w:p w:rsidR="00F6576D" w:rsidRPr="003F0C56" w:rsidRDefault="00F6576D" w:rsidP="00F6576D">
      <w:pPr>
        <w:pStyle w:val="Citas"/>
        <w:numPr>
          <w:ilvl w:val="0"/>
          <w:numId w:val="3"/>
        </w:numPr>
        <w:spacing w:before="0" w:after="0" w:line="240" w:lineRule="auto"/>
      </w:pPr>
      <w:r w:rsidRPr="003F0C56">
        <w:t xml:space="preserve">La entrega o puesta a disposición de información en un formato incomprensible y/o no accesible para el solicitante; </w:t>
      </w:r>
    </w:p>
    <w:p w:rsidR="00F6576D" w:rsidRPr="003F0C56" w:rsidRDefault="00F6576D" w:rsidP="00F6576D">
      <w:pPr>
        <w:pStyle w:val="Citas"/>
        <w:numPr>
          <w:ilvl w:val="0"/>
          <w:numId w:val="3"/>
        </w:numPr>
        <w:spacing w:before="0" w:after="0" w:line="240" w:lineRule="auto"/>
      </w:pPr>
      <w:r w:rsidRPr="003F0C56">
        <w:t xml:space="preserve">Los costos o tiempos de entrega de la información; </w:t>
      </w:r>
    </w:p>
    <w:p w:rsidR="00F6576D" w:rsidRPr="003F0C56" w:rsidRDefault="00F6576D" w:rsidP="00F6576D">
      <w:pPr>
        <w:pStyle w:val="Citas"/>
        <w:numPr>
          <w:ilvl w:val="0"/>
          <w:numId w:val="3"/>
        </w:numPr>
        <w:spacing w:before="0" w:after="0" w:line="240" w:lineRule="auto"/>
      </w:pPr>
      <w:r w:rsidRPr="003F0C56">
        <w:t xml:space="preserve">La falta de trámite a una solicitud; </w:t>
      </w:r>
    </w:p>
    <w:p w:rsidR="00F6576D" w:rsidRPr="003F0C56" w:rsidRDefault="00F6576D" w:rsidP="00F6576D">
      <w:pPr>
        <w:pStyle w:val="Citas"/>
        <w:numPr>
          <w:ilvl w:val="0"/>
          <w:numId w:val="3"/>
        </w:numPr>
        <w:spacing w:before="0" w:after="0" w:line="240" w:lineRule="auto"/>
      </w:pPr>
      <w:r w:rsidRPr="003F0C56">
        <w:t xml:space="preserve">La negativa a permitir la consulta directa de la información; </w:t>
      </w:r>
    </w:p>
    <w:p w:rsidR="00F6576D" w:rsidRPr="003F0C56" w:rsidRDefault="00F6576D" w:rsidP="00F6576D">
      <w:pPr>
        <w:pStyle w:val="Citas"/>
        <w:numPr>
          <w:ilvl w:val="0"/>
          <w:numId w:val="3"/>
        </w:numPr>
        <w:spacing w:before="0" w:after="0" w:line="240" w:lineRule="auto"/>
      </w:pPr>
      <w:r w:rsidRPr="003F0C56">
        <w:t xml:space="preserve">La falta, deficiencia o insuficiencia de la fundamentación y/o motivación en la respuesta; y </w:t>
      </w:r>
    </w:p>
    <w:p w:rsidR="00F6576D" w:rsidRPr="003F0C56" w:rsidRDefault="00F6576D" w:rsidP="00F6576D">
      <w:pPr>
        <w:pStyle w:val="Citas"/>
        <w:numPr>
          <w:ilvl w:val="0"/>
          <w:numId w:val="3"/>
        </w:numPr>
        <w:spacing w:before="0" w:after="0" w:line="240" w:lineRule="auto"/>
      </w:pPr>
      <w:r w:rsidRPr="003F0C56">
        <w:t xml:space="preserve">La orientación a un trámite específico. </w:t>
      </w:r>
    </w:p>
    <w:p w:rsidR="00F6576D" w:rsidRPr="003F0C56" w:rsidRDefault="00F6576D" w:rsidP="00F6576D">
      <w:pPr>
        <w:pStyle w:val="Citas"/>
        <w:spacing w:before="0" w:after="0" w:line="240" w:lineRule="auto"/>
      </w:pPr>
      <w:r w:rsidRPr="003F0C56">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F6576D" w:rsidRPr="003F0C56" w:rsidRDefault="00F6576D" w:rsidP="00F6576D">
      <w:pPr>
        <w:autoSpaceDE w:val="0"/>
        <w:autoSpaceDN w:val="0"/>
        <w:adjustRightInd w:val="0"/>
        <w:ind w:right="567"/>
        <w:rPr>
          <w:rFonts w:ascii="Palatino Linotype" w:eastAsia="Calibri" w:hAnsi="Palatino Linotype" w:cs="Arial"/>
        </w:rPr>
      </w:pPr>
    </w:p>
    <w:p w:rsidR="00F6576D" w:rsidRPr="003F0C56" w:rsidRDefault="00F6576D" w:rsidP="00F6576D">
      <w:pPr>
        <w:autoSpaceDE w:val="0"/>
        <w:autoSpaceDN w:val="0"/>
        <w:adjustRightInd w:val="0"/>
        <w:ind w:right="567"/>
        <w:rPr>
          <w:rFonts w:ascii="Palatino Linotype" w:eastAsia="Calibri" w:hAnsi="Palatino Linotype" w:cs="Arial"/>
        </w:rPr>
      </w:pPr>
    </w:p>
    <w:p w:rsidR="00F6576D" w:rsidRPr="003F0C56" w:rsidRDefault="00F6576D" w:rsidP="00F6576D">
      <w:pPr>
        <w:spacing w:line="360" w:lineRule="auto"/>
        <w:jc w:val="both"/>
        <w:rPr>
          <w:rFonts w:ascii="Palatino Linotype" w:hAnsi="Palatino Linotype" w:cs="Tahoma"/>
          <w:bCs/>
        </w:rPr>
      </w:pPr>
      <w:r w:rsidRPr="003F0C56">
        <w:rPr>
          <w:rFonts w:ascii="Palatino Linotype" w:hAnsi="Palatino Linotype" w:cs="Tahoma"/>
          <w:bCs/>
        </w:rPr>
        <w:t xml:space="preserve">Bajo estas líneas argumentativas, al retomar y delimitar los requerimientos del ahora </w:t>
      </w:r>
      <w:r w:rsidRPr="003F0C56">
        <w:rPr>
          <w:rFonts w:ascii="Palatino Linotype" w:hAnsi="Palatino Linotype" w:cs="Tahoma"/>
          <w:b/>
          <w:bCs/>
        </w:rPr>
        <w:t>Recurrente</w:t>
      </w:r>
      <w:r w:rsidRPr="003F0C56">
        <w:rPr>
          <w:rFonts w:ascii="Palatino Linotype" w:hAnsi="Palatino Linotype" w:cs="Tahoma"/>
          <w:bCs/>
        </w:rPr>
        <w:t>, de manera objetiva se precisa que requiere la siguiente información:</w:t>
      </w:r>
    </w:p>
    <w:p w:rsidR="00F6576D" w:rsidRPr="003F0C56" w:rsidRDefault="00F6576D" w:rsidP="00F6576D">
      <w:pPr>
        <w:spacing w:line="360" w:lineRule="auto"/>
        <w:jc w:val="both"/>
        <w:rPr>
          <w:rFonts w:ascii="Palatino Linotype" w:hAnsi="Palatino Linotype" w:cs="Tahoma"/>
          <w:bCs/>
        </w:rPr>
      </w:pPr>
    </w:p>
    <w:p w:rsidR="00F6576D" w:rsidRPr="003F0C56" w:rsidRDefault="0055029A" w:rsidP="0055029A">
      <w:pPr>
        <w:pStyle w:val="Prrafodelista"/>
        <w:numPr>
          <w:ilvl w:val="0"/>
          <w:numId w:val="4"/>
        </w:numPr>
        <w:spacing w:line="360" w:lineRule="auto"/>
        <w:jc w:val="both"/>
        <w:rPr>
          <w:rFonts w:ascii="Palatino Linotype" w:hAnsi="Palatino Linotype" w:cs="Arial"/>
        </w:rPr>
      </w:pPr>
      <w:r w:rsidRPr="003F0C56">
        <w:rPr>
          <w:rFonts w:ascii="Palatino Linotype" w:hAnsi="Palatino Linotype" w:cs="Arial"/>
        </w:rPr>
        <w:lastRenderedPageBreak/>
        <w:t xml:space="preserve">Numero de luminarias que se han cambiado en los meses de abril al 20 de mayo en que calles y colonias han sido estos cambios y saber si las luminarias son </w:t>
      </w:r>
      <w:r w:rsidR="002C28A5" w:rsidRPr="003F0C56">
        <w:rPr>
          <w:rFonts w:ascii="Palatino Linotype" w:hAnsi="Palatino Linotype" w:cs="Arial"/>
        </w:rPr>
        <w:t>arrendadas</w:t>
      </w:r>
      <w:r w:rsidRPr="003F0C56">
        <w:rPr>
          <w:rFonts w:ascii="Palatino Linotype" w:hAnsi="Palatino Linotype" w:cs="Arial"/>
        </w:rPr>
        <w:t xml:space="preserve"> o compradas.</w:t>
      </w:r>
    </w:p>
    <w:p w:rsidR="00F6576D" w:rsidRPr="003F0C56" w:rsidRDefault="00F6576D" w:rsidP="00F6576D">
      <w:pPr>
        <w:spacing w:line="360" w:lineRule="auto"/>
        <w:jc w:val="both"/>
        <w:rPr>
          <w:rFonts w:ascii="Palatino Linotype" w:eastAsia="Palatino Linotype" w:hAnsi="Palatino Linotype" w:cs="Palatino Linotype"/>
        </w:rPr>
      </w:pPr>
    </w:p>
    <w:p w:rsidR="00F6576D" w:rsidRPr="003F0C56" w:rsidRDefault="00F6576D" w:rsidP="00F6576D">
      <w:pPr>
        <w:spacing w:before="240" w:line="360" w:lineRule="auto"/>
        <w:jc w:val="both"/>
        <w:rPr>
          <w:rFonts w:ascii="Palatino Linotype" w:hAnsi="Palatino Linotype" w:cs="Arial"/>
          <w:b/>
        </w:rPr>
      </w:pPr>
      <w:r w:rsidRPr="003F0C56">
        <w:rPr>
          <w:rFonts w:ascii="Palatino Linotype" w:hAnsi="Palatino Linotype" w:cs="Arial"/>
        </w:rPr>
        <w:t xml:space="preserve">De conformidad con las constancias que obran en el expediente electrónico, se observa que el </w:t>
      </w:r>
      <w:r w:rsidRPr="003F0C56">
        <w:rPr>
          <w:rFonts w:ascii="Palatino Linotype" w:hAnsi="Palatino Linotype" w:cs="Arial"/>
          <w:b/>
        </w:rPr>
        <w:t>Sujeto Obligado</w:t>
      </w:r>
      <w:r w:rsidRPr="003F0C56">
        <w:rPr>
          <w:rFonts w:ascii="Palatino Linotype" w:hAnsi="Palatino Linotype" w:cs="Arial"/>
        </w:rPr>
        <w:t xml:space="preserve"> dio respuesta por medio del sistema SAIMEX, a la solicitud de información</w:t>
      </w:r>
      <w:r w:rsidRPr="003F0C56">
        <w:rPr>
          <w:rFonts w:ascii="Palatino Linotype" w:eastAsia="Palatino Linotype" w:hAnsi="Palatino Linotype" w:cs="Palatino Linotype"/>
          <w:b/>
          <w:color w:val="000000"/>
        </w:rPr>
        <w:t xml:space="preserve"> </w:t>
      </w:r>
      <w:r w:rsidR="00580E30" w:rsidRPr="003F0C56">
        <w:rPr>
          <w:rFonts w:ascii="Palatino Linotype" w:hAnsi="Palatino Linotype" w:cs="Arial"/>
          <w:b/>
        </w:rPr>
        <w:t>00332/ATIZARA/IP/2025</w:t>
      </w:r>
      <w:r w:rsidRPr="003F0C56">
        <w:rPr>
          <w:rFonts w:ascii="Palatino Linotype" w:hAnsi="Palatino Linotype" w:cs="Arial"/>
          <w:b/>
        </w:rPr>
        <w:t xml:space="preserve">; </w:t>
      </w:r>
      <w:r w:rsidR="002C28A5" w:rsidRPr="003F0C56">
        <w:rPr>
          <w:rFonts w:ascii="Palatino Linotype" w:hAnsi="Palatino Linotype" w:cs="Arial"/>
        </w:rPr>
        <w:t>en los términos siguientes</w:t>
      </w:r>
      <w:r w:rsidRPr="003F0C56">
        <w:rPr>
          <w:rFonts w:ascii="Palatino Linotype" w:hAnsi="Palatino Linotype" w:cs="Arial"/>
          <w:b/>
        </w:rPr>
        <w:t>:</w:t>
      </w:r>
    </w:p>
    <w:p w:rsidR="002C28A5" w:rsidRPr="003F0C56" w:rsidRDefault="002C28A5" w:rsidP="002C28A5">
      <w:pPr>
        <w:pStyle w:val="INFOEM"/>
      </w:pPr>
      <w:r w:rsidRPr="003F0C56">
        <w:t>“…</w:t>
      </w:r>
    </w:p>
    <w:p w:rsidR="002C28A5" w:rsidRPr="003F0C56" w:rsidRDefault="002C28A5" w:rsidP="002C28A5">
      <w:pPr>
        <w:pStyle w:val="INFOEM"/>
      </w:pPr>
      <w:r w:rsidRPr="003F0C56">
        <w:t>En respuesta a la solicitud recibida, nos permitimos hacer de su conocimiento que con fundamento en el artículo 53, Fracciones: II, V y VI de la Ley de Transparencia y Acceso a la Información Pública del Estado de México y Municipios, le contestamos que:</w:t>
      </w:r>
    </w:p>
    <w:p w:rsidR="002C28A5" w:rsidRPr="003F0C56" w:rsidRDefault="002C28A5" w:rsidP="002C28A5">
      <w:pPr>
        <w:pStyle w:val="INFOEM"/>
        <w:rPr>
          <w:b/>
          <w:u w:val="single"/>
        </w:rPr>
      </w:pPr>
      <w:r w:rsidRPr="003F0C56">
        <w:t xml:space="preserve">El que suscribe, Director de Servicios Públicos del Ayuntamiento de Atizapán de Zaragoza, Estado de México, Administración 2025-2027, nombramiento otorgado durante la primera sesión solemne de Cabildo, celebrada el primero de enero del año dos mil veinticinco, con fundamento en el artículo 115 fracción III inciso b) de la Constitución Política de los Estados Unidos Mexicanos; 122,124 de la Constitución Política del Estado Libre y Soberano de México; 125 de la Ley Orgánica Municipal del Estado de México; 72, 73 fracción I, II, XVIII y 74 fracción II.II del Reglamento Orgánico de la Administración Pública Municipal de Atizapán de Zaragoza, Estado de México; 71 y 91 fracción II del Bando Municipal vigente me permito atender la siguiente solicitud ingresada al portal de Transparencia del Estado de México: ‘’Me </w:t>
      </w:r>
      <w:proofErr w:type="spellStart"/>
      <w:r w:rsidRPr="003F0C56">
        <w:t>podrian</w:t>
      </w:r>
      <w:proofErr w:type="spellEnd"/>
      <w:r w:rsidRPr="003F0C56">
        <w:t xml:space="preserve"> mandar el </w:t>
      </w:r>
      <w:proofErr w:type="spellStart"/>
      <w:r w:rsidRPr="003F0C56">
        <w:t>numero</w:t>
      </w:r>
      <w:proofErr w:type="spellEnd"/>
      <w:r w:rsidRPr="003F0C56">
        <w:t xml:space="preserve"> de luminarias que se han cambiado en los meses de abril </w:t>
      </w:r>
      <w:r w:rsidRPr="003F0C56">
        <w:lastRenderedPageBreak/>
        <w:t xml:space="preserve">al 20 de mayo en que calles y colonias han sido estos cambios y saber si las luminarias son </w:t>
      </w:r>
      <w:proofErr w:type="spellStart"/>
      <w:r w:rsidRPr="003F0C56">
        <w:t>arrentadas</w:t>
      </w:r>
      <w:proofErr w:type="spellEnd"/>
      <w:r w:rsidRPr="003F0C56">
        <w:t xml:space="preserve"> o compradas. ’’ (SIC) Atendiendo su solicitud, en términos del artículo 12 de la Ley de Transparencia y Acceso a la Información de Estado de México y Municipios que a la letra dice: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 </w:t>
      </w:r>
      <w:r w:rsidRPr="003F0C56">
        <w:rPr>
          <w:b/>
          <w:u w:val="single"/>
        </w:rPr>
        <w:t xml:space="preserve">Se hace de su conocimiento que en los archivos que obran en esta Dirección, se encontró lo siguiente: Durante los meses de abril al 20 de mayo del presente año, si bien desconocemos el término </w:t>
      </w:r>
      <w:proofErr w:type="spellStart"/>
      <w:r w:rsidRPr="003F0C56">
        <w:rPr>
          <w:b/>
          <w:u w:val="single"/>
        </w:rPr>
        <w:t>arrentar</w:t>
      </w:r>
      <w:proofErr w:type="spellEnd"/>
      <w:r w:rsidRPr="003F0C56">
        <w:rPr>
          <w:b/>
          <w:u w:val="single"/>
        </w:rPr>
        <w:t>, por lo que si su pregunta se encamina a una acción de arrendamiento se le da a conocer que son arrendadas, lo que respecta a la colocación de luminaria nuevas, es información que se está generando, por lo cual señalar una cifra se considera información no exacta o errónea por lo que esta Dirección no la reconoce.</w:t>
      </w:r>
    </w:p>
    <w:p w:rsidR="002C28A5" w:rsidRPr="003F0C56" w:rsidRDefault="002C28A5" w:rsidP="002C28A5">
      <w:pPr>
        <w:pStyle w:val="INFOEM"/>
      </w:pPr>
      <w:r w:rsidRPr="003F0C56">
        <w:t>…” (Sic)</w:t>
      </w:r>
    </w:p>
    <w:p w:rsidR="00F6576D" w:rsidRPr="003F0C56" w:rsidRDefault="00F6576D" w:rsidP="00F6576D">
      <w:pPr>
        <w:pStyle w:val="Sinespaciado"/>
        <w:spacing w:before="240" w:line="360" w:lineRule="auto"/>
        <w:jc w:val="both"/>
        <w:rPr>
          <w:rFonts w:ascii="Palatino Linotype" w:hAnsi="Palatino Linotype" w:cs="Arial"/>
          <w:bCs/>
        </w:rPr>
      </w:pPr>
    </w:p>
    <w:p w:rsidR="00F6576D" w:rsidRPr="003F0C56" w:rsidRDefault="00F6576D" w:rsidP="00F6576D">
      <w:pPr>
        <w:spacing w:line="360" w:lineRule="auto"/>
        <w:jc w:val="both"/>
        <w:rPr>
          <w:rFonts w:ascii="Palatino Linotype" w:hAnsi="Palatino Linotype"/>
          <w:b/>
          <w:i/>
          <w:u w:val="single"/>
        </w:rPr>
      </w:pPr>
      <w:r w:rsidRPr="003F0C56">
        <w:rPr>
          <w:rFonts w:ascii="Palatino Linotype" w:hAnsi="Palatino Linotype" w:cs="Arial"/>
          <w:bCs/>
        </w:rPr>
        <w:t xml:space="preserve">Es así como, derivado de la respuesta emitida por </w:t>
      </w:r>
      <w:r w:rsidRPr="003F0C56">
        <w:rPr>
          <w:rFonts w:ascii="Palatino Linotype" w:hAnsi="Palatino Linotype" w:cs="Arial"/>
          <w:b/>
          <w:bCs/>
        </w:rPr>
        <w:t>El Sujeto Obligado</w:t>
      </w:r>
      <w:r w:rsidRPr="003F0C56">
        <w:rPr>
          <w:rFonts w:ascii="Palatino Linotype" w:hAnsi="Palatino Linotype" w:cs="Arial"/>
          <w:bCs/>
        </w:rPr>
        <w:t xml:space="preserve">, </w:t>
      </w:r>
      <w:r w:rsidRPr="003F0C56">
        <w:rPr>
          <w:rFonts w:ascii="Palatino Linotype" w:hAnsi="Palatino Linotype" w:cs="Arial"/>
          <w:b/>
          <w:bCs/>
        </w:rPr>
        <w:t>el Recurrente</w:t>
      </w:r>
      <w:r w:rsidRPr="003F0C56">
        <w:rPr>
          <w:rFonts w:ascii="Palatino Linotype" w:hAnsi="Palatino Linotype" w:cs="Arial"/>
          <w:bCs/>
        </w:rPr>
        <w:t>, interpuso el presente recurso de revisión, señalando sustancialmente como sus razones o motivos de inconformidad, lo siguiente:</w:t>
      </w:r>
      <w:r w:rsidRPr="003F0C56" w:rsidDel="00107C3B">
        <w:rPr>
          <w:rFonts w:ascii="Palatino Linotype" w:hAnsi="Palatino Linotype"/>
          <w:b/>
          <w:i/>
        </w:rPr>
        <w:t xml:space="preserve"> </w:t>
      </w:r>
      <w:r w:rsidRPr="003F0C56">
        <w:rPr>
          <w:rFonts w:ascii="Palatino Linotype" w:hAnsi="Palatino Linotype"/>
          <w:i/>
        </w:rPr>
        <w:t>“</w:t>
      </w:r>
      <w:r w:rsidR="004B6F1F" w:rsidRPr="003F0C56">
        <w:rPr>
          <w:rFonts w:ascii="Palatino Linotype" w:hAnsi="Palatino Linotype"/>
          <w:i/>
        </w:rPr>
        <w:t xml:space="preserve">no me proporcionan la </w:t>
      </w:r>
      <w:proofErr w:type="spellStart"/>
      <w:r w:rsidR="004B6F1F" w:rsidRPr="003F0C56">
        <w:rPr>
          <w:rFonts w:ascii="Palatino Linotype" w:hAnsi="Palatino Linotype"/>
          <w:i/>
        </w:rPr>
        <w:t>informacion</w:t>
      </w:r>
      <w:proofErr w:type="spellEnd"/>
      <w:r w:rsidR="004B6F1F" w:rsidRPr="003F0C56">
        <w:rPr>
          <w:rFonts w:ascii="Palatino Linotype" w:hAnsi="Palatino Linotype"/>
          <w:i/>
        </w:rPr>
        <w:t xml:space="preserve"> se </w:t>
      </w:r>
      <w:proofErr w:type="spellStart"/>
      <w:r w:rsidR="004B6F1F" w:rsidRPr="003F0C56">
        <w:rPr>
          <w:rFonts w:ascii="Palatino Linotype" w:hAnsi="Palatino Linotype"/>
          <w:i/>
        </w:rPr>
        <w:t>estan</w:t>
      </w:r>
      <w:proofErr w:type="spellEnd"/>
      <w:r w:rsidR="004B6F1F" w:rsidRPr="003F0C56">
        <w:rPr>
          <w:rFonts w:ascii="Palatino Linotype" w:hAnsi="Palatino Linotype"/>
          <w:i/>
        </w:rPr>
        <w:t xml:space="preserve"> negando a </w:t>
      </w:r>
      <w:proofErr w:type="spellStart"/>
      <w:r w:rsidR="004B6F1F" w:rsidRPr="003F0C56">
        <w:rPr>
          <w:rFonts w:ascii="Palatino Linotype" w:hAnsi="Palatino Linotype"/>
          <w:i/>
        </w:rPr>
        <w:t>darmela</w:t>
      </w:r>
      <w:proofErr w:type="spellEnd"/>
      <w:r w:rsidR="004B6F1F" w:rsidRPr="003F0C56">
        <w:rPr>
          <w:rFonts w:ascii="Palatino Linotype" w:hAnsi="Palatino Linotype"/>
          <w:i/>
        </w:rPr>
        <w:t xml:space="preserve"> no me dan el dato </w:t>
      </w:r>
      <w:proofErr w:type="spellStart"/>
      <w:r w:rsidR="004B6F1F" w:rsidRPr="003F0C56">
        <w:rPr>
          <w:rFonts w:ascii="Palatino Linotype" w:hAnsi="Palatino Linotype"/>
          <w:i/>
        </w:rPr>
        <w:t>excato</w:t>
      </w:r>
      <w:proofErr w:type="spellEnd"/>
      <w:r w:rsidR="004B6F1F" w:rsidRPr="003F0C56">
        <w:rPr>
          <w:rFonts w:ascii="Palatino Linotype" w:hAnsi="Palatino Linotype"/>
          <w:i/>
        </w:rPr>
        <w:t xml:space="preserve"> de cuantas luminarias se cambiaron en el municipio, </w:t>
      </w:r>
      <w:proofErr w:type="spellStart"/>
      <w:r w:rsidR="004B6F1F" w:rsidRPr="003F0C56">
        <w:rPr>
          <w:rFonts w:ascii="Palatino Linotype" w:hAnsi="Palatino Linotype"/>
          <w:i/>
        </w:rPr>
        <w:t>asi</w:t>
      </w:r>
      <w:proofErr w:type="spellEnd"/>
      <w:r w:rsidR="004B6F1F" w:rsidRPr="003F0C56">
        <w:rPr>
          <w:rFonts w:ascii="Palatino Linotype" w:hAnsi="Palatino Linotype"/>
          <w:i/>
        </w:rPr>
        <w:t xml:space="preserve"> como de cuantas luminarias nuevas se han puesto y si estas luminarias se compraron o se rentaron</w:t>
      </w:r>
      <w:r w:rsidRPr="003F0C56">
        <w:rPr>
          <w:rFonts w:ascii="Palatino Linotype" w:hAnsi="Palatino Linotype"/>
          <w:i/>
        </w:rPr>
        <w:t>” (Sic).</w:t>
      </w:r>
    </w:p>
    <w:p w:rsidR="00F6576D" w:rsidRPr="003F0C56" w:rsidRDefault="00F6576D" w:rsidP="00F6576D">
      <w:pPr>
        <w:widowControl w:val="0"/>
        <w:tabs>
          <w:tab w:val="left" w:pos="1701"/>
          <w:tab w:val="left" w:pos="1843"/>
        </w:tabs>
        <w:spacing w:before="360" w:after="240" w:line="360" w:lineRule="auto"/>
        <w:jc w:val="both"/>
        <w:rPr>
          <w:rFonts w:ascii="Palatino Linotype" w:hAnsi="Palatino Linotype" w:cs="Arial"/>
        </w:rPr>
      </w:pPr>
      <w:r w:rsidRPr="003F0C56">
        <w:rPr>
          <w:rFonts w:ascii="Palatino Linotype" w:eastAsia="Calibri" w:hAnsi="Palatino Linotype" w:cs="Calibri"/>
          <w:lang w:val="es-ES_tradnl" w:eastAsia="es-MX"/>
        </w:rPr>
        <w:lastRenderedPageBreak/>
        <w:t>De las constancias que obran en el expediente electrónico del SAIMEX, se advierte que el Sujeto Obligado rindió su informe justificado por medio del archivo electrónico</w:t>
      </w:r>
      <w:r w:rsidR="00D128F7" w:rsidRPr="003F0C56">
        <w:rPr>
          <w:rFonts w:ascii="Palatino Linotype" w:eastAsia="Calibri" w:hAnsi="Palatino Linotype" w:cs="Calibri"/>
          <w:lang w:val="es-ES_tradnl" w:eastAsia="es-MX"/>
        </w:rPr>
        <w:t xml:space="preserve"> denominado</w:t>
      </w:r>
      <w:r w:rsidR="00906930" w:rsidRPr="003F0C56">
        <w:rPr>
          <w:rFonts w:ascii="Palatino Linotype" w:hAnsi="Palatino Linotype" w:cs="Arial"/>
        </w:rPr>
        <w:t>:</w:t>
      </w:r>
    </w:p>
    <w:p w:rsidR="00D128F7" w:rsidRPr="003F0C56" w:rsidRDefault="00D128F7" w:rsidP="00D128F7">
      <w:pPr>
        <w:pStyle w:val="Prrafodelista"/>
        <w:widowControl w:val="0"/>
        <w:numPr>
          <w:ilvl w:val="0"/>
          <w:numId w:val="8"/>
        </w:numPr>
        <w:tabs>
          <w:tab w:val="left" w:pos="1701"/>
          <w:tab w:val="left" w:pos="1843"/>
        </w:tabs>
        <w:spacing w:before="360" w:after="240" w:line="360" w:lineRule="auto"/>
        <w:jc w:val="both"/>
        <w:rPr>
          <w:rFonts w:ascii="Palatino Linotype" w:hAnsi="Palatino Linotype" w:cs="Arial"/>
        </w:rPr>
      </w:pPr>
      <w:r w:rsidRPr="003F0C56">
        <w:rPr>
          <w:rFonts w:ascii="Palatino Linotype" w:hAnsi="Palatino Linotype" w:cs="Arial"/>
          <w:b/>
          <w:i/>
        </w:rPr>
        <w:t>[</w:t>
      </w:r>
      <w:proofErr w:type="spellStart"/>
      <w:r w:rsidRPr="003F0C56">
        <w:rPr>
          <w:rFonts w:ascii="Palatino Linotype" w:hAnsi="Palatino Linotype" w:cs="Arial"/>
          <w:b/>
          <w:i/>
        </w:rPr>
        <w:t>Untitled</w:t>
      </w:r>
      <w:proofErr w:type="spellEnd"/>
      <w:r w:rsidRPr="003F0C56">
        <w:rPr>
          <w:rFonts w:ascii="Palatino Linotype" w:hAnsi="Palatino Linotype" w:cs="Arial"/>
          <w:b/>
          <w:i/>
        </w:rPr>
        <w:t>]_2025070814221254.pdf</w:t>
      </w:r>
      <w:r w:rsidRPr="003F0C56">
        <w:rPr>
          <w:rFonts w:ascii="Palatino Linotype" w:hAnsi="Palatino Linotype" w:cs="Arial"/>
        </w:rPr>
        <w:t xml:space="preserve">: oficio número </w:t>
      </w:r>
      <w:r w:rsidR="00A61355" w:rsidRPr="003F0C56">
        <w:rPr>
          <w:rFonts w:ascii="Palatino Linotype" w:hAnsi="Palatino Linotype" w:cs="Arial"/>
        </w:rPr>
        <w:t xml:space="preserve">DSP/EG/1765/2025, firmado por el </w:t>
      </w:r>
      <w:r w:rsidR="008014DE" w:rsidRPr="003F0C56">
        <w:rPr>
          <w:rFonts w:ascii="Palatino Linotype" w:hAnsi="Palatino Linotype" w:cs="Arial"/>
        </w:rPr>
        <w:t>Director de Servicios Públicos, refiere lo siguiente:</w:t>
      </w:r>
    </w:p>
    <w:p w:rsidR="00F6576D" w:rsidRPr="003F0C56" w:rsidRDefault="00906930" w:rsidP="00906930">
      <w:pPr>
        <w:pStyle w:val="Citas"/>
        <w:rPr>
          <w:rStyle w:val="bold"/>
          <w:rFonts w:eastAsiaTheme="minorEastAsia" w:cs="Calibri"/>
          <w:color w:val="212529"/>
        </w:rPr>
      </w:pPr>
      <w:r w:rsidRPr="003F0C56">
        <w:rPr>
          <w:rStyle w:val="bold"/>
          <w:rFonts w:eastAsiaTheme="minorEastAsia" w:cs="Calibri"/>
          <w:color w:val="212529"/>
        </w:rPr>
        <w:t>“…</w:t>
      </w:r>
    </w:p>
    <w:p w:rsidR="00906930" w:rsidRPr="003F0C56" w:rsidRDefault="00906930" w:rsidP="00906930">
      <w:pPr>
        <w:pStyle w:val="Citas"/>
        <w:rPr>
          <w:rStyle w:val="bold"/>
          <w:rFonts w:eastAsiaTheme="minorEastAsia" w:cs="Calibri"/>
          <w:color w:val="212529"/>
        </w:rPr>
      </w:pPr>
      <w:r w:rsidRPr="003F0C56">
        <w:rPr>
          <w:rStyle w:val="bold"/>
          <w:rFonts w:eastAsiaTheme="minorEastAsia" w:cs="Calibri"/>
          <w:color w:val="212529"/>
        </w:rPr>
        <w:t>Derivado de una búsqueda exhaustiva en la base de datos de la Subdirección de Alumbrado Público, no se encontró información de cambio, sustitución o colocación de luminarias nuevas</w:t>
      </w:r>
      <w:r w:rsidR="00CF3181" w:rsidRPr="003F0C56">
        <w:rPr>
          <w:rStyle w:val="bold"/>
          <w:rFonts w:eastAsiaTheme="minorEastAsia" w:cs="Calibri"/>
          <w:color w:val="212529"/>
        </w:rPr>
        <w:t xml:space="preserve"> en el periodo de tiempo comprendido entre el mes de abril al 20 de mayo del 2025. </w:t>
      </w:r>
    </w:p>
    <w:p w:rsidR="00CF3181" w:rsidRPr="003F0C56" w:rsidRDefault="00CF3181" w:rsidP="00906930">
      <w:pPr>
        <w:pStyle w:val="Citas"/>
        <w:rPr>
          <w:rStyle w:val="bold"/>
          <w:rFonts w:eastAsiaTheme="minorEastAsia" w:cs="Calibri"/>
          <w:color w:val="212529"/>
        </w:rPr>
      </w:pPr>
      <w:r w:rsidRPr="003F0C56">
        <w:rPr>
          <w:rStyle w:val="bold"/>
          <w:rFonts w:eastAsiaTheme="minorEastAsia" w:cs="Calibri"/>
          <w:color w:val="212529"/>
        </w:rPr>
        <w:t>…</w:t>
      </w:r>
    </w:p>
    <w:p w:rsidR="00CF3181" w:rsidRPr="003F0C56" w:rsidRDefault="00CF3181" w:rsidP="00906930">
      <w:pPr>
        <w:pStyle w:val="Citas"/>
        <w:rPr>
          <w:rStyle w:val="bold"/>
          <w:rFonts w:eastAsiaTheme="minorEastAsia" w:cs="Calibri"/>
          <w:color w:val="212529"/>
        </w:rPr>
      </w:pPr>
      <w:r w:rsidRPr="003F0C56">
        <w:rPr>
          <w:rStyle w:val="bold"/>
          <w:rFonts w:eastAsiaTheme="minorEastAsia" w:cs="Calibri"/>
          <w:color w:val="212529"/>
        </w:rPr>
        <w:t xml:space="preserve">Por lo anterior y derivado de la respuesta a la solicitud de información </w:t>
      </w:r>
      <w:r w:rsidRPr="003F0C56">
        <w:rPr>
          <w:rFonts w:eastAsiaTheme="minorEastAsia" w:cs="Calibri"/>
          <w:b/>
          <w:bCs/>
          <w:color w:val="212529"/>
          <w:lang w:val="es-ES"/>
        </w:rPr>
        <w:t xml:space="preserve">00332/ATIZARA/IP/2025, </w:t>
      </w:r>
      <w:r w:rsidRPr="003F0C56">
        <w:rPr>
          <w:rFonts w:eastAsiaTheme="minorEastAsia" w:cs="Calibri"/>
          <w:bCs/>
          <w:color w:val="212529"/>
          <w:lang w:val="es-ES"/>
        </w:rPr>
        <w:t xml:space="preserve">se le reitera </w:t>
      </w:r>
      <w:r w:rsidRPr="003F0C56">
        <w:rPr>
          <w:rFonts w:eastAsiaTheme="minorEastAsia" w:cs="Calibri"/>
          <w:bCs/>
          <w:color w:val="212529"/>
          <w:u w:val="single"/>
          <w:lang w:val="es-ES"/>
        </w:rPr>
        <w:t xml:space="preserve">que: </w:t>
      </w:r>
      <w:r w:rsidRPr="003F0C56">
        <w:rPr>
          <w:rFonts w:eastAsiaTheme="minorEastAsia" w:cs="Calibri"/>
          <w:b/>
          <w:bCs/>
          <w:color w:val="212529"/>
          <w:u w:val="single"/>
          <w:lang w:val="es-ES"/>
        </w:rPr>
        <w:t>no se han llevado a cabo cambio, sustitución o colocación de luminarias nuevas en el periodo comprendido entre el mes de abril al 20 de mayo</w:t>
      </w:r>
      <w:r w:rsidR="00D128F7" w:rsidRPr="003F0C56">
        <w:rPr>
          <w:rFonts w:eastAsiaTheme="minorEastAsia" w:cs="Calibri"/>
          <w:b/>
          <w:bCs/>
          <w:color w:val="212529"/>
          <w:u w:val="single"/>
          <w:lang w:val="es-ES"/>
        </w:rPr>
        <w:t xml:space="preserve"> del 2025</w:t>
      </w:r>
      <w:r w:rsidR="00D128F7" w:rsidRPr="003F0C56">
        <w:rPr>
          <w:rFonts w:eastAsiaTheme="minorEastAsia" w:cs="Calibri"/>
          <w:b/>
          <w:bCs/>
          <w:color w:val="212529"/>
          <w:lang w:val="es-ES"/>
        </w:rPr>
        <w:t xml:space="preserve">, </w:t>
      </w:r>
      <w:r w:rsidR="00D128F7" w:rsidRPr="003F0C56">
        <w:rPr>
          <w:rFonts w:eastAsiaTheme="minorEastAsia" w:cs="Calibri"/>
          <w:bCs/>
          <w:color w:val="212529"/>
          <w:lang w:val="es-ES"/>
        </w:rPr>
        <w:t xml:space="preserve">por lo que esta Dirección de Servicios Públicos no ha negado la información. </w:t>
      </w:r>
    </w:p>
    <w:p w:rsidR="00906930" w:rsidRPr="003F0C56" w:rsidRDefault="00906930" w:rsidP="00906930">
      <w:pPr>
        <w:pStyle w:val="Citas"/>
        <w:rPr>
          <w:rStyle w:val="bold"/>
          <w:rFonts w:eastAsiaTheme="minorEastAsia" w:cs="Calibri"/>
          <w:color w:val="212529"/>
        </w:rPr>
      </w:pPr>
      <w:r w:rsidRPr="003F0C56">
        <w:rPr>
          <w:rStyle w:val="bold"/>
          <w:rFonts w:eastAsiaTheme="minorEastAsia" w:cs="Calibri"/>
          <w:color w:val="212529"/>
        </w:rPr>
        <w:t>...” (Sic)</w:t>
      </w:r>
    </w:p>
    <w:p w:rsidR="00906930" w:rsidRPr="003F0C56" w:rsidRDefault="00906930" w:rsidP="00F6576D">
      <w:pPr>
        <w:pStyle w:val="temp"/>
        <w:shd w:val="clear" w:color="auto" w:fill="FFFFFF"/>
        <w:spacing w:before="0" w:beforeAutospacing="0" w:after="0" w:afterAutospacing="0"/>
        <w:jc w:val="both"/>
        <w:rPr>
          <w:rStyle w:val="bold"/>
          <w:rFonts w:ascii="Palatino Linotype" w:eastAsiaTheme="minorEastAsia" w:hAnsi="Palatino Linotype" w:cs="Calibri"/>
          <w:color w:val="212529"/>
        </w:rPr>
      </w:pPr>
    </w:p>
    <w:p w:rsidR="00F6576D" w:rsidRPr="003F0C56" w:rsidRDefault="0084117B" w:rsidP="00234A48">
      <w:pPr>
        <w:pStyle w:val="temp"/>
        <w:shd w:val="clear" w:color="auto" w:fill="FFFFFF"/>
        <w:spacing w:before="0" w:beforeAutospacing="0" w:after="0" w:afterAutospacing="0" w:line="360" w:lineRule="auto"/>
        <w:jc w:val="both"/>
        <w:rPr>
          <w:rStyle w:val="bold"/>
          <w:rFonts w:ascii="Palatino Linotype" w:eastAsiaTheme="minorEastAsia" w:hAnsi="Palatino Linotype" w:cs="Calibri"/>
          <w:color w:val="212529"/>
        </w:rPr>
      </w:pPr>
      <w:r w:rsidRPr="003F0C56">
        <w:rPr>
          <w:rStyle w:val="bold"/>
          <w:rFonts w:ascii="Palatino Linotype" w:eastAsiaTheme="minorEastAsia" w:hAnsi="Palatino Linotype" w:cs="Calibri"/>
          <w:color w:val="212529"/>
        </w:rPr>
        <w:t>Conforme al Bando Municipal de Atizapán de Zaragoza</w:t>
      </w:r>
      <w:r w:rsidR="00234A48" w:rsidRPr="003F0C56">
        <w:rPr>
          <w:rStyle w:val="bold"/>
          <w:rFonts w:ascii="Palatino Linotype" w:eastAsiaTheme="minorEastAsia" w:hAnsi="Palatino Linotype" w:cs="Calibri"/>
          <w:color w:val="212529"/>
        </w:rPr>
        <w:t xml:space="preserve"> se tiene que la administración pública cuenta con la Dirección de Servicios Públicos, cuyas atribuciones son:</w:t>
      </w:r>
    </w:p>
    <w:p w:rsidR="00234A48" w:rsidRPr="003F0C56" w:rsidRDefault="00234A48" w:rsidP="00F6576D">
      <w:pPr>
        <w:pStyle w:val="temp"/>
        <w:shd w:val="clear" w:color="auto" w:fill="FFFFFF"/>
        <w:spacing w:before="0" w:beforeAutospacing="0" w:after="0" w:afterAutospacing="0"/>
        <w:jc w:val="both"/>
        <w:rPr>
          <w:rStyle w:val="bold"/>
          <w:rFonts w:ascii="Palatino Linotype" w:eastAsiaTheme="minorEastAsia" w:hAnsi="Palatino Linotype" w:cs="Calibri"/>
          <w:color w:val="212529"/>
        </w:rPr>
      </w:pPr>
    </w:p>
    <w:p w:rsidR="00234A48" w:rsidRPr="003F0C56" w:rsidRDefault="00234A48" w:rsidP="00234A48">
      <w:pPr>
        <w:pStyle w:val="Citas"/>
        <w:rPr>
          <w:rFonts w:eastAsiaTheme="minorEastAsia" w:cs="Calibri"/>
          <w:color w:val="212529"/>
          <w:lang w:val="es-ES"/>
        </w:rPr>
      </w:pPr>
      <w:r w:rsidRPr="003F0C56">
        <w:rPr>
          <w:rFonts w:eastAsiaTheme="minorEastAsia" w:cs="Calibri"/>
          <w:color w:val="212529"/>
          <w:lang w:val="es-ES"/>
        </w:rPr>
        <w:t xml:space="preserve">SECCIÓN DÉCIMA PRIMERA De la Dirección de Servicios Públicos </w:t>
      </w:r>
    </w:p>
    <w:p w:rsidR="00234A48" w:rsidRPr="003F0C56" w:rsidRDefault="00234A48" w:rsidP="00234A48">
      <w:pPr>
        <w:pStyle w:val="Citas"/>
        <w:rPr>
          <w:rFonts w:eastAsiaTheme="minorEastAsia" w:cs="Calibri"/>
          <w:color w:val="212529"/>
          <w:lang w:val="es-ES"/>
        </w:rPr>
      </w:pPr>
      <w:r w:rsidRPr="003F0C56">
        <w:rPr>
          <w:rFonts w:eastAsiaTheme="minorEastAsia" w:cs="Calibri"/>
          <w:color w:val="212529"/>
          <w:lang w:val="es-ES"/>
        </w:rPr>
        <w:lastRenderedPageBreak/>
        <w:t xml:space="preserve">ARTÍCULO 71.- </w:t>
      </w:r>
      <w:r w:rsidRPr="003F0C56">
        <w:rPr>
          <w:rFonts w:eastAsiaTheme="minorEastAsia" w:cs="Calibri"/>
          <w:b/>
          <w:color w:val="212529"/>
          <w:u w:val="single"/>
          <w:lang w:val="es-ES"/>
        </w:rPr>
        <w:t>La Dirección de Servicios Públicos, es la Dependencia encargada de la prestación de servicios públicos municipales de alumbrado</w:t>
      </w:r>
      <w:r w:rsidRPr="003F0C56">
        <w:rPr>
          <w:rFonts w:eastAsiaTheme="minorEastAsia" w:cs="Calibri"/>
          <w:color w:val="212529"/>
          <w:lang w:val="es-ES"/>
        </w:rPr>
        <w:t xml:space="preserve">, limpia, recolección, traslado, tratamiento y disposición final de residuos sólidos urbanos, panteones públicos, parques y jardines, áreas verdes recreativas que se encuentren consideradas como vía pública; así como el embellecimiento y conservación de las comunidades y centros urbanos en el territorio municipal, de conformidad con lo dispuesto en la Ley Orgánica Municipal del Estado de México, el presente Bando Municipal y demás disposiciones jurídicas aplicables. </w:t>
      </w:r>
    </w:p>
    <w:p w:rsidR="0084117B" w:rsidRPr="003F0C56" w:rsidRDefault="00234A48" w:rsidP="00234A48">
      <w:pPr>
        <w:pStyle w:val="Citas"/>
        <w:rPr>
          <w:rFonts w:eastAsiaTheme="minorEastAsia" w:cs="Calibri"/>
          <w:color w:val="212529"/>
          <w:lang w:val="es-ES"/>
        </w:rPr>
      </w:pPr>
      <w:r w:rsidRPr="003F0C56">
        <w:rPr>
          <w:rFonts w:eastAsiaTheme="minorEastAsia" w:cs="Calibri"/>
          <w:color w:val="212529"/>
          <w:lang w:val="es-ES"/>
        </w:rPr>
        <w:t>En el ámbito de su competencia instrumentara campañas para fomentar la separación de los residuos sólidos urbanos, distinguiendo entre orgánicos e inorgánicos. De la misma forma se encargará de la limpieza de lotes baldíos, recolección de traslado y disposición final de residuos sólidos industriales y comerciales, previo el pago de los derechos que por dichos conceptos se generen, de conformidad con lo dispuesto en el Código Financiero del Estado de México y Municipios y demás disposiciones jurídicas aplicables.</w:t>
      </w:r>
    </w:p>
    <w:p w:rsidR="00234A48" w:rsidRPr="003F0C56" w:rsidRDefault="00234A48" w:rsidP="00234A48">
      <w:pPr>
        <w:pStyle w:val="Citas"/>
        <w:rPr>
          <w:rStyle w:val="bold"/>
          <w:rFonts w:eastAsiaTheme="minorEastAsia" w:cs="Calibri"/>
          <w:color w:val="212529"/>
        </w:rPr>
      </w:pPr>
      <w:r w:rsidRPr="003F0C56">
        <w:rPr>
          <w:rFonts w:eastAsiaTheme="minorEastAsia" w:cs="Calibri"/>
          <w:color w:val="212529"/>
          <w:lang w:val="es-ES"/>
        </w:rPr>
        <w:t>ARTÍCULO 92.- La Administración Pública Municipal prestará los servicios públicos con recursos propios y, en su caso, con la cooperación de entidades públicas y sociales; sin embargo, también podrá concesionar tales servicios a los particulares siempre y cuando se cumpla con las disposiciones legales.</w:t>
      </w:r>
    </w:p>
    <w:p w:rsidR="0084117B" w:rsidRPr="003F0C56" w:rsidRDefault="0084117B" w:rsidP="00F6576D">
      <w:pPr>
        <w:pStyle w:val="temp"/>
        <w:shd w:val="clear" w:color="auto" w:fill="FFFFFF"/>
        <w:spacing w:before="0" w:beforeAutospacing="0" w:after="0" w:afterAutospacing="0"/>
        <w:jc w:val="both"/>
        <w:rPr>
          <w:rStyle w:val="bold"/>
          <w:rFonts w:ascii="Palatino Linotype" w:eastAsiaTheme="minorEastAsia" w:hAnsi="Palatino Linotype" w:cs="Calibri"/>
          <w:color w:val="212529"/>
        </w:rPr>
      </w:pPr>
    </w:p>
    <w:p w:rsidR="00A61355" w:rsidRPr="003F0C56" w:rsidRDefault="0041477A" w:rsidP="0041477A">
      <w:pPr>
        <w:pStyle w:val="temp"/>
        <w:shd w:val="clear" w:color="auto" w:fill="FFFFFF"/>
        <w:spacing w:before="0" w:beforeAutospacing="0" w:after="0" w:afterAutospacing="0" w:line="360" w:lineRule="auto"/>
        <w:jc w:val="both"/>
        <w:rPr>
          <w:rStyle w:val="bold"/>
          <w:rFonts w:ascii="Palatino Linotype" w:eastAsiaTheme="minorEastAsia" w:hAnsi="Palatino Linotype" w:cs="Calibri"/>
          <w:color w:val="212529"/>
        </w:rPr>
      </w:pPr>
      <w:r w:rsidRPr="003F0C56">
        <w:rPr>
          <w:rStyle w:val="bold"/>
          <w:rFonts w:ascii="Palatino Linotype" w:eastAsiaTheme="minorEastAsia" w:hAnsi="Palatino Linotype" w:cs="Calibri"/>
          <w:color w:val="212529"/>
        </w:rPr>
        <w:t>En ese orden de ideas, en la página de Facebook del Sujeto Obligado se tiene que durante el mes de abril de 2025 realizó publicaciones relacionada con el cambio de luminarias, misma que constituye un hecho notorio, tal como se ilustra:</w:t>
      </w:r>
    </w:p>
    <w:p w:rsidR="0041477A" w:rsidRPr="003F0C56" w:rsidRDefault="0041477A" w:rsidP="00F44A73">
      <w:pPr>
        <w:pStyle w:val="temp"/>
        <w:shd w:val="clear" w:color="auto" w:fill="FFFFFF"/>
        <w:spacing w:before="0" w:beforeAutospacing="0" w:after="0" w:afterAutospacing="0" w:line="360" w:lineRule="auto"/>
        <w:jc w:val="center"/>
        <w:rPr>
          <w:rStyle w:val="bold"/>
          <w:rFonts w:ascii="Palatino Linotype" w:eastAsiaTheme="minorEastAsia" w:hAnsi="Palatino Linotype" w:cs="Calibri"/>
          <w:color w:val="212529"/>
        </w:rPr>
      </w:pPr>
      <w:r w:rsidRPr="003F0C56">
        <w:rPr>
          <w:rStyle w:val="bold"/>
          <w:rFonts w:ascii="Palatino Linotype" w:eastAsiaTheme="minorEastAsia" w:hAnsi="Palatino Linotype" w:cs="Calibri"/>
          <w:noProof/>
          <w:color w:val="212529"/>
        </w:rPr>
        <w:lastRenderedPageBreak/>
        <w:drawing>
          <wp:inline distT="0" distB="0" distL="0" distR="0" wp14:anchorId="21488404" wp14:editId="05E40157">
            <wp:extent cx="3381375" cy="344069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3979" cy="3463692"/>
                    </a:xfrm>
                    <a:prstGeom prst="rect">
                      <a:avLst/>
                    </a:prstGeom>
                  </pic:spPr>
                </pic:pic>
              </a:graphicData>
            </a:graphic>
          </wp:inline>
        </w:drawing>
      </w:r>
      <w:r w:rsidRPr="003F0C56">
        <w:rPr>
          <w:rStyle w:val="bold"/>
          <w:rFonts w:ascii="Palatino Linotype" w:eastAsiaTheme="minorEastAsia" w:hAnsi="Palatino Linotype" w:cs="Calibri"/>
          <w:noProof/>
          <w:color w:val="212529"/>
        </w:rPr>
        <w:drawing>
          <wp:inline distT="0" distB="0" distL="0" distR="0" wp14:anchorId="07288CF0" wp14:editId="6B1EFC5E">
            <wp:extent cx="3574739" cy="38957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1482" cy="3913971"/>
                    </a:xfrm>
                    <a:prstGeom prst="rect">
                      <a:avLst/>
                    </a:prstGeom>
                  </pic:spPr>
                </pic:pic>
              </a:graphicData>
            </a:graphic>
          </wp:inline>
        </w:drawing>
      </w:r>
    </w:p>
    <w:p w:rsidR="0041477A" w:rsidRPr="003F0C56" w:rsidRDefault="0041477A" w:rsidP="0041477A">
      <w:pPr>
        <w:pStyle w:val="temp"/>
        <w:shd w:val="clear" w:color="auto" w:fill="FFFFFF"/>
        <w:spacing w:before="0" w:beforeAutospacing="0" w:after="0" w:afterAutospacing="0" w:line="360" w:lineRule="auto"/>
        <w:jc w:val="both"/>
        <w:rPr>
          <w:rStyle w:val="bold"/>
          <w:rFonts w:ascii="Palatino Linotype" w:eastAsiaTheme="minorEastAsia" w:hAnsi="Palatino Linotype" w:cs="Calibri"/>
          <w:color w:val="212529"/>
        </w:rPr>
      </w:pPr>
    </w:p>
    <w:p w:rsidR="0041477A" w:rsidRPr="003F0C56" w:rsidRDefault="00F44A73" w:rsidP="0041477A">
      <w:pPr>
        <w:spacing w:line="360" w:lineRule="auto"/>
        <w:jc w:val="both"/>
        <w:rPr>
          <w:rFonts w:ascii="Palatino Linotype" w:eastAsia="Palatino Linotype" w:hAnsi="Palatino Linotype" w:cs="Palatino Linotype"/>
        </w:rPr>
      </w:pPr>
      <w:r w:rsidRPr="003F0C56">
        <w:rPr>
          <w:rFonts w:ascii="Palatino Linotype" w:eastAsia="Palatino Linotype" w:hAnsi="Palatino Linotype" w:cs="Palatino Linotype"/>
        </w:rPr>
        <w:t>S</w:t>
      </w:r>
      <w:r w:rsidR="0041477A" w:rsidRPr="003F0C56">
        <w:rPr>
          <w:rFonts w:ascii="Palatino Linotype" w:eastAsia="Palatino Linotype" w:hAnsi="Palatino Linotype" w:cs="Palatino Linotype"/>
        </w:rPr>
        <w:t xml:space="preserve">irve de sustento a lo anterior </w:t>
      </w:r>
      <w:r w:rsidR="0041477A" w:rsidRPr="003F0C56">
        <w:rPr>
          <w:rFonts w:ascii="Palatino Linotype" w:eastAsia="Palatino Linotype" w:hAnsi="Palatino Linotype" w:cs="Palatino Linotype"/>
          <w:color w:val="000000"/>
        </w:rPr>
        <w:t>las siguientes tesis jurisprudenciales</w:t>
      </w:r>
      <w:r w:rsidR="0041477A" w:rsidRPr="003F0C56">
        <w:rPr>
          <w:rFonts w:ascii="Palatino Linotype" w:eastAsia="Palatino Linotype" w:hAnsi="Palatino Linotype" w:cs="Palatino Linotype"/>
        </w:rPr>
        <w:t>:</w:t>
      </w:r>
    </w:p>
    <w:p w:rsidR="0041477A" w:rsidRPr="003F0C56" w:rsidRDefault="0041477A" w:rsidP="0041477A">
      <w:pPr>
        <w:pStyle w:val="INFOEM"/>
        <w:jc w:val="center"/>
        <w:rPr>
          <w:b/>
        </w:rPr>
      </w:pPr>
      <w:r w:rsidRPr="003F0C56">
        <w:rPr>
          <w:b/>
        </w:rPr>
        <w:t>HECHOS NOTORIOS. CONCEPTOS GENERAL Y JURÍDICO</w:t>
      </w:r>
    </w:p>
    <w:p w:rsidR="0041477A" w:rsidRPr="003F0C56" w:rsidRDefault="0041477A" w:rsidP="0041477A">
      <w:pPr>
        <w:pStyle w:val="INFOEM"/>
      </w:pPr>
      <w:r w:rsidRPr="003F0C56">
        <w:t xml:space="preserve">Conforme al artículo </w:t>
      </w:r>
      <w:hyperlink r:id="rId9">
        <w:r w:rsidRPr="003F0C56">
          <w:t>88 del Código Federal de Procedimientos Civiles</w:t>
        </w:r>
      </w:hyperlink>
      <w:r w:rsidRPr="003F0C56">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41477A" w:rsidRPr="003F0C56" w:rsidRDefault="0041477A" w:rsidP="0041477A">
      <w:pPr>
        <w:pStyle w:val="INFOEM"/>
      </w:pPr>
      <w:r w:rsidRPr="003F0C56">
        <w:t>Controversia constitucional 24/2005. Cámara de Diputados del Congreso de la Unión. 9 de marzo de 2006. Once votos. Ponente: José Ramón Cossío Díaz. Secretarios: Raúl Manuel Mejía Garza y Laura Patricia Rojas Zamudio.</w:t>
      </w:r>
    </w:p>
    <w:p w:rsidR="0041477A" w:rsidRPr="003F0C56" w:rsidRDefault="0041477A" w:rsidP="0041477A">
      <w:pPr>
        <w:pStyle w:val="INFOEM"/>
      </w:pPr>
      <w:r w:rsidRPr="003F0C56">
        <w:t>El Tribunal Pleno, el dieciséis de mayo en curso, aprobó, con el número 74/2006, la tesis jurisprudencial que antecede. México, Distrito Federal, a dieciséis de mayo de dos mil seis.</w:t>
      </w:r>
    </w:p>
    <w:p w:rsidR="0041477A" w:rsidRPr="003F0C56" w:rsidRDefault="0041477A" w:rsidP="0041477A">
      <w:pPr>
        <w:pStyle w:val="INFOEM"/>
      </w:pPr>
      <w:r w:rsidRPr="003F0C56">
        <w:lastRenderedPageBreak/>
        <w:t>Nota: Esta tesis fue objeto de la denuncia relativa a la contradicción de tesis 91/2014, desechada por notoriamente improcedente, mediante acuerdo de 24 de marzo de 2014.”</w:t>
      </w:r>
    </w:p>
    <w:p w:rsidR="0041477A" w:rsidRPr="003F0C56" w:rsidRDefault="0041477A" w:rsidP="0041477A">
      <w:pPr>
        <w:pStyle w:val="INFOEM"/>
        <w:rPr>
          <w:sz w:val="24"/>
          <w:szCs w:val="24"/>
        </w:rPr>
      </w:pPr>
      <w:r w:rsidRPr="003F0C56">
        <w:rPr>
          <w:b/>
          <w:sz w:val="24"/>
          <w:szCs w:val="24"/>
          <w:u w:val="single"/>
        </w:rPr>
        <w:t>PÁGINAS WEB O ELECTRÓNICAS. SU CONTENIDO ES UN HECHO NOTORIO Y SUSCEPTIBLE DE SER VALORADO EN UNA DECISIÓN JUDICIAL</w:t>
      </w:r>
      <w:r w:rsidRPr="003F0C56">
        <w:rPr>
          <w:b/>
          <w:sz w:val="24"/>
          <w:szCs w:val="24"/>
        </w:rPr>
        <w:t>.</w:t>
      </w:r>
      <w:r w:rsidRPr="003F0C56">
        <w:rPr>
          <w:rFonts w:ascii="Times New Roman" w:eastAsia="Times New Roman" w:hAnsi="Times New Roman" w:cs="Times New Roman"/>
          <w:b/>
          <w:sz w:val="24"/>
          <w:szCs w:val="24"/>
        </w:rPr>
        <w:t xml:space="preserve"> </w:t>
      </w:r>
      <w:r w:rsidRPr="003F0C56">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w:t>
      </w:r>
      <w:r w:rsidRPr="003F0C56">
        <w:rPr>
          <w:sz w:val="24"/>
          <w:szCs w:val="24"/>
        </w:rPr>
        <w:lastRenderedPageBreak/>
        <w:t xml:space="preserve">que haya una en contrario que no fue creada por orden del interesado, ya que se le reputará autor y podrá perjudicarle lo que ofrezca en sus términos. </w:t>
      </w:r>
    </w:p>
    <w:p w:rsidR="0041477A" w:rsidRPr="003F0C56" w:rsidRDefault="0041477A" w:rsidP="0041477A">
      <w:pPr>
        <w:pStyle w:val="INFOEM"/>
        <w:rPr>
          <w:sz w:val="24"/>
          <w:szCs w:val="24"/>
        </w:rPr>
      </w:pPr>
      <w:r w:rsidRPr="003F0C56">
        <w:rPr>
          <w:sz w:val="24"/>
          <w:szCs w:val="24"/>
        </w:rPr>
        <w:t xml:space="preserve">TERCER TRIBUNAL COLEGIADO EN MATERIA CIVIL DEL PRIMER CIRCUITO. Amparo en revisión 365/2012. </w:t>
      </w:r>
      <w:proofErr w:type="spellStart"/>
      <w:r w:rsidRPr="003F0C56">
        <w:rPr>
          <w:sz w:val="24"/>
          <w:szCs w:val="24"/>
        </w:rPr>
        <w:t>Mardygras</w:t>
      </w:r>
      <w:proofErr w:type="spellEnd"/>
      <w:r w:rsidRPr="003F0C56">
        <w:rPr>
          <w:sz w:val="24"/>
          <w:szCs w:val="24"/>
        </w:rPr>
        <w:t xml:space="preserve">, S.A. de C.V. 7 de diciembre de 2012. Unanimidad de votos. Ponente: Neófito López Ramos. Secretaria: Ana Lilia Osorno Arroyo. </w:t>
      </w:r>
    </w:p>
    <w:p w:rsidR="0041477A" w:rsidRPr="003F0C56" w:rsidRDefault="0041477A" w:rsidP="00F6576D">
      <w:pPr>
        <w:pStyle w:val="temp"/>
        <w:shd w:val="clear" w:color="auto" w:fill="FFFFFF"/>
        <w:spacing w:before="0" w:beforeAutospacing="0" w:after="0" w:afterAutospacing="0"/>
        <w:jc w:val="both"/>
        <w:rPr>
          <w:rStyle w:val="bold"/>
          <w:rFonts w:ascii="Palatino Linotype" w:eastAsiaTheme="minorEastAsia" w:hAnsi="Palatino Linotype" w:cs="Calibri"/>
          <w:color w:val="212529"/>
        </w:rPr>
      </w:pPr>
    </w:p>
    <w:p w:rsidR="00F6576D" w:rsidRPr="003F0C56" w:rsidRDefault="00F6576D" w:rsidP="00F6576D">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r w:rsidRPr="003F0C56">
        <w:rPr>
          <w:rFonts w:ascii="Palatino Linotype" w:eastAsia="Palatino Linotype" w:hAnsi="Palatino Linotype" w:cs="Palatino Linotype"/>
          <w:color w:val="000000"/>
          <w:szCs w:val="22"/>
          <w:lang w:val="es-ES_tradnl" w:eastAsia="es-MX"/>
        </w:rPr>
        <w:t xml:space="preserve">Ahora bien, quedando establecido lo anterior, este Órgano Garante considera viable establecer si el informe justificado del Sujeto Obligado colma la pretensión del Recurrente. </w:t>
      </w:r>
    </w:p>
    <w:p w:rsidR="00F6576D" w:rsidRPr="003F0C56" w:rsidRDefault="00F6576D" w:rsidP="00F6576D">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20"/>
        <w:gridCol w:w="4536"/>
        <w:gridCol w:w="1686"/>
      </w:tblGrid>
      <w:tr w:rsidR="00F6576D" w:rsidRPr="003F0C56" w:rsidTr="00974FE6">
        <w:trPr>
          <w:trHeight w:val="828"/>
        </w:trPr>
        <w:tc>
          <w:tcPr>
            <w:tcW w:w="2820" w:type="dxa"/>
            <w:shd w:val="clear" w:color="auto" w:fill="E7E6E6" w:themeFill="background2"/>
          </w:tcPr>
          <w:p w:rsidR="00F6576D" w:rsidRPr="003F0C56" w:rsidRDefault="00F6576D" w:rsidP="00CF3181">
            <w:pPr>
              <w:spacing w:line="360" w:lineRule="auto"/>
              <w:jc w:val="center"/>
              <w:rPr>
                <w:rFonts w:ascii="Palatino Linotype" w:eastAsiaTheme="minorHAnsi" w:hAnsi="Palatino Linotype" w:cstheme="minorBidi"/>
                <w:b/>
                <w:i/>
                <w:color w:val="000000"/>
                <w:sz w:val="22"/>
                <w:szCs w:val="22"/>
                <w:lang w:val="es-MX" w:eastAsia="en-US"/>
              </w:rPr>
            </w:pPr>
            <w:r w:rsidRPr="003F0C56">
              <w:rPr>
                <w:rFonts w:ascii="Palatino Linotype" w:eastAsiaTheme="minorHAnsi" w:hAnsi="Palatino Linotype" w:cstheme="minorBidi"/>
                <w:b/>
                <w:i/>
                <w:color w:val="000000"/>
                <w:sz w:val="22"/>
                <w:szCs w:val="22"/>
                <w:lang w:val="es-MX" w:eastAsia="en-US"/>
              </w:rPr>
              <w:t>Requerimientos</w:t>
            </w:r>
          </w:p>
        </w:tc>
        <w:tc>
          <w:tcPr>
            <w:tcW w:w="4536" w:type="dxa"/>
            <w:shd w:val="clear" w:color="auto" w:fill="E7E6E6" w:themeFill="background2"/>
          </w:tcPr>
          <w:p w:rsidR="00F6576D" w:rsidRPr="003F0C56" w:rsidRDefault="00F6576D" w:rsidP="00CF3181">
            <w:pPr>
              <w:spacing w:line="360" w:lineRule="auto"/>
              <w:jc w:val="center"/>
              <w:rPr>
                <w:rFonts w:ascii="Palatino Linotype" w:eastAsiaTheme="minorHAnsi" w:hAnsi="Palatino Linotype" w:cstheme="minorBidi"/>
                <w:b/>
                <w:i/>
                <w:color w:val="000000"/>
                <w:sz w:val="22"/>
                <w:szCs w:val="22"/>
                <w:lang w:val="es-MX" w:eastAsia="en-US"/>
              </w:rPr>
            </w:pPr>
            <w:r w:rsidRPr="003F0C56">
              <w:rPr>
                <w:rFonts w:ascii="Palatino Linotype" w:eastAsiaTheme="minorHAnsi" w:hAnsi="Palatino Linotype" w:cstheme="minorBidi"/>
                <w:b/>
                <w:i/>
                <w:color w:val="000000"/>
                <w:sz w:val="22"/>
                <w:szCs w:val="22"/>
                <w:lang w:val="es-MX" w:eastAsia="en-US"/>
              </w:rPr>
              <w:t xml:space="preserve">Respuesta </w:t>
            </w:r>
          </w:p>
        </w:tc>
        <w:tc>
          <w:tcPr>
            <w:tcW w:w="1686" w:type="dxa"/>
            <w:shd w:val="clear" w:color="auto" w:fill="E7E6E6" w:themeFill="background2"/>
          </w:tcPr>
          <w:p w:rsidR="00F6576D" w:rsidRPr="003F0C56" w:rsidRDefault="00F6576D" w:rsidP="00CF3181">
            <w:pPr>
              <w:spacing w:line="360" w:lineRule="auto"/>
              <w:jc w:val="center"/>
              <w:rPr>
                <w:rFonts w:ascii="Palatino Linotype" w:eastAsiaTheme="minorHAnsi" w:hAnsi="Palatino Linotype" w:cstheme="minorBidi"/>
                <w:b/>
                <w:i/>
                <w:color w:val="000000"/>
                <w:sz w:val="22"/>
                <w:szCs w:val="22"/>
                <w:lang w:val="es-MX" w:eastAsia="en-US"/>
              </w:rPr>
            </w:pPr>
            <w:r w:rsidRPr="003F0C56">
              <w:rPr>
                <w:rFonts w:ascii="Palatino Linotype" w:eastAsiaTheme="minorHAnsi" w:hAnsi="Palatino Linotype" w:cstheme="minorBidi"/>
                <w:b/>
                <w:i/>
                <w:color w:val="000000"/>
                <w:sz w:val="22"/>
                <w:szCs w:val="22"/>
                <w:lang w:val="es-MX" w:eastAsia="en-US"/>
              </w:rPr>
              <w:t>Colma</w:t>
            </w:r>
          </w:p>
        </w:tc>
      </w:tr>
      <w:tr w:rsidR="00F6576D" w:rsidRPr="003F0C56" w:rsidTr="00974FE6">
        <w:trPr>
          <w:trHeight w:val="828"/>
        </w:trPr>
        <w:tc>
          <w:tcPr>
            <w:tcW w:w="2820" w:type="dxa"/>
          </w:tcPr>
          <w:p w:rsidR="00F6576D" w:rsidRPr="003F0C56" w:rsidRDefault="00974FE6" w:rsidP="00CF3181">
            <w:pPr>
              <w:jc w:val="both"/>
              <w:rPr>
                <w:rFonts w:ascii="Palatino Linotype" w:eastAsiaTheme="minorHAnsi" w:hAnsi="Palatino Linotype" w:cstheme="minorBidi"/>
                <w:color w:val="000000"/>
                <w:sz w:val="22"/>
                <w:szCs w:val="22"/>
                <w:lang w:val="es-MX" w:eastAsia="en-US"/>
              </w:rPr>
            </w:pPr>
            <w:r w:rsidRPr="003F0C56">
              <w:rPr>
                <w:rFonts w:ascii="Palatino Linotype" w:hAnsi="Palatino Linotype" w:cs="Arial"/>
              </w:rPr>
              <w:t>Numero de luminarias que se han cambiado en los meses de abril al 20 de mayo en que calles y colonias han sido estos cambios y saber si las luminarias son arrendadas o compradas</w:t>
            </w:r>
          </w:p>
        </w:tc>
        <w:tc>
          <w:tcPr>
            <w:tcW w:w="4536" w:type="dxa"/>
          </w:tcPr>
          <w:p w:rsidR="00974FE6" w:rsidRPr="003F0C56" w:rsidRDefault="00974FE6" w:rsidP="00CF3181">
            <w:pPr>
              <w:jc w:val="both"/>
              <w:rPr>
                <w:rFonts w:ascii="Palatino Linotype" w:eastAsiaTheme="minorHAnsi" w:hAnsi="Palatino Linotype" w:cstheme="minorBidi"/>
                <w:color w:val="000000"/>
                <w:sz w:val="22"/>
                <w:szCs w:val="22"/>
                <w:lang w:val="es-MX" w:eastAsia="en-US"/>
              </w:rPr>
            </w:pPr>
            <w:r w:rsidRPr="003F0C56">
              <w:rPr>
                <w:rFonts w:ascii="Palatino Linotype" w:eastAsiaTheme="minorHAnsi" w:hAnsi="Palatino Linotype" w:cstheme="minorBidi"/>
                <w:color w:val="000000"/>
                <w:sz w:val="22"/>
                <w:szCs w:val="22"/>
                <w:lang w:val="es-MX" w:eastAsia="en-US"/>
              </w:rPr>
              <w:t>El Director de Servicios Públicos informó que:</w:t>
            </w:r>
          </w:p>
          <w:p w:rsidR="00F6576D" w:rsidRPr="003F0C56" w:rsidRDefault="00974FE6" w:rsidP="00CF3181">
            <w:pPr>
              <w:jc w:val="both"/>
              <w:rPr>
                <w:rFonts w:ascii="Palatino Linotype" w:eastAsiaTheme="minorHAnsi" w:hAnsi="Palatino Linotype" w:cstheme="minorBidi"/>
                <w:color w:val="000000"/>
                <w:sz w:val="22"/>
                <w:szCs w:val="22"/>
                <w:lang w:val="es-MX" w:eastAsia="en-US"/>
              </w:rPr>
            </w:pPr>
            <w:r w:rsidRPr="003F0C56">
              <w:rPr>
                <w:rFonts w:ascii="Palatino Linotype" w:eastAsiaTheme="minorHAnsi" w:hAnsi="Palatino Linotype" w:cstheme="minorBidi"/>
                <w:color w:val="000000"/>
                <w:sz w:val="22"/>
                <w:szCs w:val="22"/>
                <w:lang w:val="es-MX" w:eastAsia="en-US"/>
              </w:rPr>
              <w:t>Son arrendadas</w:t>
            </w:r>
          </w:p>
          <w:p w:rsidR="00974FE6" w:rsidRPr="003F0C56" w:rsidRDefault="00974FE6" w:rsidP="00CF3181">
            <w:pPr>
              <w:jc w:val="both"/>
              <w:rPr>
                <w:rFonts w:ascii="Palatino Linotype" w:eastAsiaTheme="minorHAnsi" w:hAnsi="Palatino Linotype" w:cstheme="minorBidi"/>
                <w:color w:val="000000"/>
                <w:sz w:val="22"/>
                <w:szCs w:val="22"/>
                <w:lang w:val="es-MX" w:eastAsia="en-US"/>
              </w:rPr>
            </w:pPr>
            <w:r w:rsidRPr="003F0C56">
              <w:rPr>
                <w:rFonts w:ascii="Palatino Linotype" w:eastAsiaTheme="minorHAnsi" w:hAnsi="Palatino Linotype" w:cstheme="minorBidi"/>
                <w:color w:val="000000"/>
                <w:sz w:val="22"/>
                <w:szCs w:val="22"/>
                <w:lang w:val="es-MX" w:eastAsia="en-US"/>
              </w:rPr>
              <w:t>No se tiene el número por estar en proceso de integración</w:t>
            </w:r>
          </w:p>
        </w:tc>
        <w:tc>
          <w:tcPr>
            <w:tcW w:w="1686" w:type="dxa"/>
          </w:tcPr>
          <w:p w:rsidR="00F6576D" w:rsidRPr="003F0C56" w:rsidRDefault="00974FE6" w:rsidP="00CF3181">
            <w:pPr>
              <w:jc w:val="center"/>
              <w:rPr>
                <w:rFonts w:ascii="Palatino Linotype" w:eastAsiaTheme="minorHAnsi" w:hAnsi="Palatino Linotype" w:cstheme="minorBidi"/>
                <w:i/>
                <w:color w:val="000000"/>
                <w:sz w:val="22"/>
                <w:szCs w:val="22"/>
                <w:lang w:val="es-MX" w:eastAsia="en-US"/>
              </w:rPr>
            </w:pPr>
            <w:r w:rsidRPr="003F0C56">
              <w:rPr>
                <w:rFonts w:ascii="Palatino Linotype" w:eastAsiaTheme="minorHAnsi" w:hAnsi="Palatino Linotype" w:cstheme="minorBidi"/>
                <w:i/>
                <w:color w:val="000000"/>
                <w:sz w:val="22"/>
                <w:szCs w:val="22"/>
                <w:lang w:val="es-MX" w:eastAsia="en-US"/>
              </w:rPr>
              <w:t>Parcialmente</w:t>
            </w:r>
          </w:p>
          <w:p w:rsidR="000262FE" w:rsidRPr="003F0C56" w:rsidRDefault="000262FE" w:rsidP="00CF3181">
            <w:pPr>
              <w:jc w:val="center"/>
              <w:rPr>
                <w:rFonts w:ascii="Palatino Linotype" w:eastAsiaTheme="minorHAnsi" w:hAnsi="Palatino Linotype" w:cstheme="minorBidi"/>
                <w:i/>
                <w:color w:val="000000"/>
                <w:sz w:val="22"/>
                <w:szCs w:val="22"/>
                <w:lang w:val="es-MX" w:eastAsia="en-US"/>
              </w:rPr>
            </w:pPr>
            <w:r w:rsidRPr="003F0C56">
              <w:rPr>
                <w:rFonts w:ascii="Palatino Linotype" w:eastAsiaTheme="minorHAnsi" w:hAnsi="Palatino Linotype" w:cstheme="minorBidi"/>
                <w:i/>
                <w:color w:val="000000"/>
                <w:sz w:val="22"/>
                <w:szCs w:val="22"/>
                <w:lang w:val="es-MX" w:eastAsia="en-US"/>
              </w:rPr>
              <w:t>No se pronunció respecto del número de luminarias, calles y colonas beneficiadas.</w:t>
            </w:r>
          </w:p>
        </w:tc>
      </w:tr>
    </w:tbl>
    <w:p w:rsidR="00F6576D" w:rsidRPr="003F0C56" w:rsidRDefault="00F6576D" w:rsidP="00F6576D">
      <w:pPr>
        <w:spacing w:line="360" w:lineRule="auto"/>
        <w:jc w:val="both"/>
        <w:rPr>
          <w:rFonts w:ascii="Palatino Linotype" w:eastAsia="Palatino Linotype" w:hAnsi="Palatino Linotype" w:cs="Palatino Linotype"/>
          <w:lang w:val="es-MX" w:eastAsia="en-US"/>
        </w:rPr>
      </w:pPr>
    </w:p>
    <w:p w:rsidR="000262FE" w:rsidRPr="003F0C56" w:rsidRDefault="000262FE" w:rsidP="00F6576D">
      <w:pPr>
        <w:spacing w:line="360" w:lineRule="auto"/>
        <w:jc w:val="both"/>
        <w:rPr>
          <w:rFonts w:ascii="Palatino Linotype" w:eastAsia="Calibri" w:hAnsi="Palatino Linotype" w:cs="Arial"/>
          <w:color w:val="000000"/>
          <w:lang w:val="es-ES_tradnl" w:eastAsia="es-MX"/>
        </w:rPr>
      </w:pPr>
      <w:r w:rsidRPr="003F0C56">
        <w:rPr>
          <w:rFonts w:ascii="Palatino Linotype" w:eastAsia="Calibri" w:hAnsi="Palatino Linotype" w:cs="Arial"/>
          <w:color w:val="000000"/>
          <w:lang w:val="es-ES_tradnl" w:eastAsia="es-MX"/>
        </w:rPr>
        <w:t>Conforme a lo anterior se tienen las siguientes observaciones:</w:t>
      </w:r>
    </w:p>
    <w:p w:rsidR="000262FE" w:rsidRPr="003F0C56" w:rsidRDefault="000262FE" w:rsidP="000262FE">
      <w:pPr>
        <w:pStyle w:val="Prrafodelista"/>
        <w:numPr>
          <w:ilvl w:val="0"/>
          <w:numId w:val="9"/>
        </w:numPr>
        <w:spacing w:line="360" w:lineRule="auto"/>
        <w:jc w:val="both"/>
        <w:rPr>
          <w:rFonts w:ascii="Palatino Linotype" w:eastAsia="Calibri" w:hAnsi="Palatino Linotype" w:cs="Arial"/>
          <w:color w:val="000000"/>
          <w:lang w:val="es-ES_tradnl" w:eastAsia="es-MX"/>
        </w:rPr>
      </w:pPr>
      <w:r w:rsidRPr="003F0C56">
        <w:rPr>
          <w:rFonts w:ascii="Palatino Linotype" w:eastAsia="Calibri" w:hAnsi="Palatino Linotype" w:cs="Arial"/>
          <w:color w:val="000000"/>
          <w:lang w:val="es-ES_tradnl" w:eastAsia="es-MX"/>
        </w:rPr>
        <w:t xml:space="preserve">El Sujeto Obligado </w:t>
      </w:r>
      <w:r w:rsidR="002B45E6" w:rsidRPr="003F0C56">
        <w:rPr>
          <w:rFonts w:ascii="Palatino Linotype" w:eastAsia="Calibri" w:hAnsi="Palatino Linotype" w:cs="Arial"/>
          <w:color w:val="000000"/>
          <w:lang w:val="es-ES_tradnl" w:eastAsia="es-MX"/>
        </w:rPr>
        <w:t xml:space="preserve">mediante respuesta informó que las luminarias fueron arrendadas. </w:t>
      </w:r>
    </w:p>
    <w:p w:rsidR="002B45E6" w:rsidRPr="003F0C56" w:rsidRDefault="00E14CDB" w:rsidP="000262FE">
      <w:pPr>
        <w:pStyle w:val="Prrafodelista"/>
        <w:numPr>
          <w:ilvl w:val="0"/>
          <w:numId w:val="9"/>
        </w:numPr>
        <w:spacing w:line="360" w:lineRule="auto"/>
        <w:jc w:val="both"/>
        <w:rPr>
          <w:rFonts w:ascii="Palatino Linotype" w:eastAsia="Calibri" w:hAnsi="Palatino Linotype" w:cs="Arial"/>
          <w:color w:val="000000"/>
          <w:lang w:val="es-ES_tradnl" w:eastAsia="es-MX"/>
        </w:rPr>
      </w:pPr>
      <w:r w:rsidRPr="003F0C56">
        <w:rPr>
          <w:rFonts w:ascii="Palatino Linotype" w:eastAsia="Calibri" w:hAnsi="Palatino Linotype" w:cs="Arial"/>
          <w:color w:val="000000"/>
          <w:lang w:val="es-ES_tradnl" w:eastAsia="es-MX"/>
        </w:rPr>
        <w:lastRenderedPageBreak/>
        <w:t>Por otro lado,</w:t>
      </w:r>
      <w:r w:rsidR="002B45E6" w:rsidRPr="003F0C56">
        <w:rPr>
          <w:rFonts w:ascii="Palatino Linotype" w:eastAsia="Calibri" w:hAnsi="Palatino Linotype" w:cs="Arial"/>
          <w:color w:val="000000"/>
          <w:lang w:val="es-ES_tradnl" w:eastAsia="es-MX"/>
        </w:rPr>
        <w:t xml:space="preserve"> en informe justificado refirió que </w:t>
      </w:r>
      <w:r w:rsidRPr="003F0C56">
        <w:rPr>
          <w:rFonts w:ascii="Palatino Linotype" w:eastAsia="Calibri" w:hAnsi="Palatino Linotype" w:cs="Arial"/>
          <w:color w:val="000000"/>
          <w:lang w:val="es-ES_tradnl" w:eastAsia="es-MX"/>
        </w:rPr>
        <w:t xml:space="preserve">no se cambiaron luminarias, sin embargo, </w:t>
      </w:r>
      <w:r w:rsidR="00B25EEB" w:rsidRPr="003F0C56">
        <w:rPr>
          <w:rFonts w:ascii="Palatino Linotype" w:eastAsia="Calibri" w:hAnsi="Palatino Linotype" w:cs="Arial"/>
          <w:color w:val="000000"/>
          <w:lang w:val="es-ES_tradnl" w:eastAsia="es-MX"/>
        </w:rPr>
        <w:t xml:space="preserve">como ya quedo precisado el propio Sujeto Obligado divulgó mediante Facebook el cambio de luminarias, por lo que se le exhorta a cumplir diligentemente sus obligaciones de transparencia, así como a garantizar el acceso a la información pública. </w:t>
      </w:r>
    </w:p>
    <w:p w:rsidR="00B25EEB" w:rsidRPr="003F0C56" w:rsidRDefault="00B25EEB" w:rsidP="000262FE">
      <w:pPr>
        <w:pStyle w:val="Prrafodelista"/>
        <w:numPr>
          <w:ilvl w:val="0"/>
          <w:numId w:val="9"/>
        </w:numPr>
        <w:spacing w:line="360" w:lineRule="auto"/>
        <w:jc w:val="both"/>
        <w:rPr>
          <w:rFonts w:ascii="Palatino Linotype" w:eastAsia="Calibri" w:hAnsi="Palatino Linotype" w:cs="Arial"/>
          <w:color w:val="000000"/>
          <w:lang w:val="es-ES_tradnl" w:eastAsia="es-MX"/>
        </w:rPr>
      </w:pPr>
      <w:r w:rsidRPr="003F0C56">
        <w:rPr>
          <w:rFonts w:ascii="Palatino Linotype" w:eastAsia="Calibri" w:hAnsi="Palatino Linotype" w:cs="Arial"/>
          <w:color w:val="000000"/>
          <w:lang w:val="es-ES_tradnl" w:eastAsia="es-MX"/>
        </w:rPr>
        <w:t xml:space="preserve">Finalmente, en respuesta no hubo pronunciamiento respecto del número de luminarias ni de las colonias o avenidas beneficiadas. </w:t>
      </w:r>
    </w:p>
    <w:p w:rsidR="002B45E6" w:rsidRPr="003F0C56" w:rsidRDefault="002B45E6" w:rsidP="00F6576D">
      <w:pPr>
        <w:spacing w:line="360" w:lineRule="auto"/>
        <w:jc w:val="both"/>
        <w:rPr>
          <w:rFonts w:ascii="Palatino Linotype" w:eastAsia="Calibri" w:hAnsi="Palatino Linotype" w:cs="Arial"/>
          <w:color w:val="000000"/>
          <w:lang w:val="es-ES_tradnl" w:eastAsia="es-MX"/>
        </w:rPr>
      </w:pPr>
    </w:p>
    <w:p w:rsidR="00F6576D" w:rsidRPr="003F0C56" w:rsidRDefault="00F6576D" w:rsidP="00F6576D">
      <w:pPr>
        <w:spacing w:line="360" w:lineRule="auto"/>
        <w:jc w:val="both"/>
        <w:rPr>
          <w:rFonts w:ascii="Palatino Linotype" w:eastAsia="Calibri" w:hAnsi="Palatino Linotype" w:cs="Arial"/>
          <w:color w:val="000000"/>
          <w:lang w:val="es-ES_tradnl" w:eastAsia="es-MX"/>
        </w:rPr>
      </w:pPr>
      <w:r w:rsidRPr="003F0C56">
        <w:rPr>
          <w:rFonts w:ascii="Palatino Linotype" w:eastAsia="Calibri" w:hAnsi="Palatino Linotype" w:cs="Arial"/>
          <w:color w:val="000000"/>
          <w:lang w:val="es-ES_tradnl" w:eastAsia="es-MX"/>
        </w:rPr>
        <w:t xml:space="preserve">Por su parte, el artículo 18 de la </w:t>
      </w:r>
      <w:r w:rsidRPr="003F0C56">
        <w:rPr>
          <w:rFonts w:ascii="Palatino Linotype" w:hAnsi="Palatino Linotype" w:cs="Arial"/>
          <w:bCs/>
        </w:rPr>
        <w:t>Ley de Transparencia y Acceso a la Información Pública del Estado de México y Municipios, establece que los Sujetos Obligados deberán documentar todo acto que derive de las funciones, facultades y competencias, tal como se transcribe:</w:t>
      </w:r>
    </w:p>
    <w:p w:rsidR="00F6576D" w:rsidRPr="003F0C56" w:rsidRDefault="00F6576D" w:rsidP="00F6576D">
      <w:pPr>
        <w:ind w:left="567" w:right="567"/>
        <w:jc w:val="both"/>
        <w:rPr>
          <w:rFonts w:ascii="Palatino Linotype" w:eastAsia="Calibri" w:hAnsi="Palatino Linotype" w:cs="Arial"/>
          <w:i/>
          <w:color w:val="000000"/>
          <w:sz w:val="2"/>
          <w:lang w:val="es-ES_tradnl" w:eastAsia="es-MX"/>
        </w:rPr>
      </w:pPr>
    </w:p>
    <w:p w:rsidR="00F6576D" w:rsidRPr="003F0C56" w:rsidRDefault="00F6576D" w:rsidP="00F6576D">
      <w:pPr>
        <w:rPr>
          <w:rFonts w:ascii="Palatino Linotype" w:hAnsi="Palatino Linotype" w:cs="Arial"/>
          <w:noProof/>
          <w:color w:val="000000"/>
          <w:lang w:eastAsia="es-MX"/>
        </w:rPr>
      </w:pPr>
    </w:p>
    <w:p w:rsidR="00F6576D" w:rsidRPr="003F0C56" w:rsidRDefault="00F6576D" w:rsidP="00F6576D">
      <w:pPr>
        <w:ind w:left="851" w:right="851"/>
        <w:jc w:val="both"/>
        <w:rPr>
          <w:rFonts w:ascii="Palatino Linotype" w:hAnsi="Palatino Linotype"/>
          <w:b/>
          <w:i/>
          <w:u w:val="single"/>
        </w:rPr>
      </w:pPr>
      <w:r w:rsidRPr="003F0C56">
        <w:rPr>
          <w:rFonts w:ascii="Palatino Linotype" w:hAnsi="Palatino Linotype"/>
          <w:b/>
          <w:i/>
          <w:u w:val="single"/>
        </w:rPr>
        <w:t>Artículo 18. Los sujetos obligados deberán documentar todo acto que derive del ejercicio de sus facultades, competencias o funciones, considerando desde su origen la eventual publicidad y reutilización de la información que generen.</w:t>
      </w:r>
    </w:p>
    <w:p w:rsidR="00F6576D" w:rsidRPr="003F0C56" w:rsidRDefault="00F6576D" w:rsidP="00F6576D">
      <w:pPr>
        <w:spacing w:line="360" w:lineRule="auto"/>
        <w:jc w:val="both"/>
        <w:rPr>
          <w:rFonts w:ascii="Palatino Linotype" w:hAnsi="Palatino Linotype" w:cs="Arial"/>
        </w:rPr>
      </w:pPr>
    </w:p>
    <w:p w:rsidR="00F6576D" w:rsidRPr="003F0C56" w:rsidRDefault="00F6576D" w:rsidP="00F6576D">
      <w:pPr>
        <w:spacing w:line="360" w:lineRule="auto"/>
        <w:jc w:val="both"/>
        <w:rPr>
          <w:rFonts w:ascii="Palatino Linotype" w:hAnsi="Palatino Linotype" w:cs="Arial"/>
        </w:rPr>
      </w:pPr>
      <w:r w:rsidRPr="003F0C56">
        <w:rPr>
          <w:rFonts w:ascii="Palatino Linotype" w:hAnsi="Palatino Linotype" w:cs="Arial"/>
        </w:rPr>
        <w:t xml:space="preserve">Ahora bien, en atención a lo dispuesto por los artículos 3, fracción XI, 8 y 12 </w:t>
      </w:r>
      <w:r w:rsidRPr="003F0C56">
        <w:rPr>
          <w:rFonts w:ascii="Palatino Linotype" w:hAnsi="Palatino Linotype" w:cs="Arial"/>
          <w:bCs/>
        </w:rPr>
        <w:t>de la Ley de Transparencia y Acceso a la Información Pública del Estado de México y Municipios</w:t>
      </w:r>
      <w:r w:rsidRPr="003F0C56">
        <w:rPr>
          <w:rFonts w:ascii="Palatino Linotype" w:hAnsi="Palatino Linotype" w:cs="Arial"/>
        </w:rPr>
        <w:t>, los cuales son del tenor literal siguiente:</w:t>
      </w:r>
    </w:p>
    <w:p w:rsidR="00F6576D" w:rsidRPr="003F0C56" w:rsidRDefault="00F6576D" w:rsidP="00F6576D">
      <w:pPr>
        <w:ind w:left="567" w:right="567"/>
        <w:jc w:val="both"/>
        <w:rPr>
          <w:rFonts w:ascii="Palatino Linotype" w:hAnsi="Palatino Linotype"/>
        </w:rPr>
      </w:pPr>
    </w:p>
    <w:p w:rsidR="00F6576D" w:rsidRPr="003F0C56" w:rsidRDefault="00F6576D" w:rsidP="00F6576D">
      <w:pPr>
        <w:ind w:left="851" w:right="851"/>
        <w:jc w:val="both"/>
        <w:rPr>
          <w:rFonts w:ascii="Palatino Linotype" w:hAnsi="Palatino Linotype"/>
          <w:i/>
        </w:rPr>
      </w:pPr>
      <w:r w:rsidRPr="003F0C56">
        <w:rPr>
          <w:rFonts w:ascii="Palatino Linotype" w:hAnsi="Palatino Linotype"/>
          <w:b/>
          <w:bCs/>
          <w:i/>
        </w:rPr>
        <w:t xml:space="preserve">Artículo 3.- </w:t>
      </w:r>
      <w:r w:rsidRPr="003F0C56">
        <w:rPr>
          <w:rFonts w:ascii="Palatino Linotype" w:hAnsi="Palatino Linotype"/>
          <w:i/>
        </w:rPr>
        <w:t>Para los efectos de la presente Ley se entenderá por:</w:t>
      </w:r>
    </w:p>
    <w:p w:rsidR="00F6576D" w:rsidRPr="003F0C56" w:rsidRDefault="00F6576D" w:rsidP="00F6576D">
      <w:pPr>
        <w:ind w:left="851" w:right="851"/>
        <w:jc w:val="both"/>
        <w:rPr>
          <w:rFonts w:ascii="Palatino Linotype" w:hAnsi="Palatino Linotype"/>
          <w:i/>
        </w:rPr>
      </w:pPr>
      <w:r w:rsidRPr="003F0C56">
        <w:rPr>
          <w:rFonts w:ascii="Palatino Linotype" w:hAnsi="Palatino Linotype"/>
          <w:i/>
        </w:rPr>
        <w:t>…</w:t>
      </w:r>
    </w:p>
    <w:p w:rsidR="00F6576D" w:rsidRPr="003F0C56" w:rsidRDefault="00F6576D" w:rsidP="00F6576D">
      <w:pPr>
        <w:ind w:left="851" w:right="851"/>
        <w:jc w:val="both"/>
        <w:rPr>
          <w:rFonts w:ascii="Palatino Linotype" w:hAnsi="Palatino Linotype"/>
          <w:i/>
        </w:rPr>
      </w:pPr>
      <w:r w:rsidRPr="003F0C56">
        <w:rPr>
          <w:rFonts w:ascii="Palatino Linotype" w:hAnsi="Palatino Linotype"/>
          <w:b/>
          <w:i/>
        </w:rPr>
        <w:t>XI.</w:t>
      </w:r>
      <w:r w:rsidRPr="003F0C56">
        <w:rPr>
          <w:rFonts w:ascii="Palatino Linotype" w:hAnsi="Palatino Linotype"/>
          <w:i/>
        </w:rPr>
        <w:t xml:space="preserve"> </w:t>
      </w:r>
      <w:r w:rsidRPr="003F0C56">
        <w:rPr>
          <w:rFonts w:ascii="Palatino Linotype" w:hAnsi="Palatino Linotype"/>
          <w:b/>
          <w:i/>
        </w:rPr>
        <w:t>Documento:</w:t>
      </w:r>
      <w:r w:rsidRPr="003F0C56">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3F0C56">
        <w:rPr>
          <w:rFonts w:ascii="Palatino Linotype" w:hAnsi="Palatino Linotype"/>
          <w:b/>
          <w:i/>
          <w:u w:val="single"/>
        </w:rPr>
        <w:t xml:space="preserve">cualquier otro registro que documente el ejercicio de las facultades, </w:t>
      </w:r>
      <w:r w:rsidRPr="003F0C56">
        <w:rPr>
          <w:rFonts w:ascii="Palatino Linotype" w:hAnsi="Palatino Linotype"/>
          <w:b/>
          <w:i/>
          <w:u w:val="single"/>
        </w:rPr>
        <w:lastRenderedPageBreak/>
        <w:t>funciones y competencias de los sujetos obligados, sus servidores públicos e integrantes, sin importar su fuente o fecha de elaboración.</w:t>
      </w:r>
      <w:r w:rsidRPr="003F0C56">
        <w:rPr>
          <w:rFonts w:ascii="Palatino Linotype" w:hAnsi="Palatino Linotype"/>
          <w:i/>
        </w:rPr>
        <w:t xml:space="preserve"> Los documentos podrán estar en cualquier medio, sea escrito, impreso, sonoro, visual, electrónico, informático u holográfico;</w:t>
      </w:r>
    </w:p>
    <w:p w:rsidR="00F6576D" w:rsidRPr="003F0C56" w:rsidRDefault="00F6576D" w:rsidP="00F6576D">
      <w:pPr>
        <w:ind w:left="851" w:right="851"/>
        <w:jc w:val="both"/>
        <w:rPr>
          <w:rFonts w:ascii="Palatino Linotype" w:hAnsi="Palatino Linotype"/>
          <w:i/>
        </w:rPr>
      </w:pPr>
    </w:p>
    <w:p w:rsidR="00F6576D" w:rsidRPr="003F0C56" w:rsidRDefault="00F6576D" w:rsidP="00F6576D">
      <w:pPr>
        <w:ind w:left="851" w:right="851"/>
        <w:jc w:val="both"/>
        <w:rPr>
          <w:rFonts w:ascii="Palatino Linotype" w:hAnsi="Palatino Linotype"/>
          <w:bCs/>
          <w:i/>
        </w:rPr>
      </w:pPr>
      <w:r w:rsidRPr="003F0C56">
        <w:rPr>
          <w:rFonts w:ascii="Palatino Linotype" w:hAnsi="Palatino Linotype"/>
          <w:b/>
          <w:bCs/>
          <w:i/>
        </w:rPr>
        <w:t>Artículo 4.</w:t>
      </w:r>
      <w:r w:rsidRPr="003F0C56">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6576D" w:rsidRPr="003F0C56" w:rsidRDefault="00F6576D" w:rsidP="00F6576D">
      <w:pPr>
        <w:ind w:left="851" w:right="851"/>
        <w:jc w:val="both"/>
        <w:rPr>
          <w:rFonts w:ascii="Palatino Linotype" w:hAnsi="Palatino Linotype"/>
          <w:bCs/>
          <w:i/>
        </w:rPr>
      </w:pPr>
    </w:p>
    <w:p w:rsidR="00F6576D" w:rsidRPr="003F0C56" w:rsidRDefault="00F6576D" w:rsidP="00F6576D">
      <w:pPr>
        <w:ind w:left="851" w:right="851"/>
        <w:jc w:val="both"/>
        <w:rPr>
          <w:rFonts w:ascii="Palatino Linotype" w:hAnsi="Palatino Linotype"/>
          <w:bCs/>
          <w:i/>
        </w:rPr>
      </w:pPr>
      <w:r w:rsidRPr="003F0C56">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3F0C56">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6576D" w:rsidRPr="003F0C56" w:rsidRDefault="00F6576D" w:rsidP="00F6576D">
      <w:pPr>
        <w:ind w:left="851" w:right="851"/>
        <w:jc w:val="both"/>
        <w:rPr>
          <w:rFonts w:ascii="Palatino Linotype" w:hAnsi="Palatino Linotype"/>
          <w:bCs/>
          <w:i/>
        </w:rPr>
      </w:pPr>
    </w:p>
    <w:p w:rsidR="00F6576D" w:rsidRPr="003F0C56" w:rsidRDefault="00F6576D" w:rsidP="00F6576D">
      <w:pPr>
        <w:ind w:left="851" w:right="851"/>
        <w:jc w:val="both"/>
        <w:rPr>
          <w:rFonts w:ascii="Palatino Linotype" w:hAnsi="Palatino Linotype"/>
          <w:bCs/>
          <w:i/>
        </w:rPr>
      </w:pPr>
      <w:r w:rsidRPr="003F0C56">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F6576D" w:rsidRPr="003F0C56" w:rsidRDefault="00F6576D" w:rsidP="00F6576D">
      <w:pPr>
        <w:ind w:left="851" w:right="851"/>
        <w:jc w:val="both"/>
        <w:rPr>
          <w:rFonts w:ascii="Palatino Linotype" w:hAnsi="Palatino Linotype"/>
          <w:bCs/>
          <w:i/>
        </w:rPr>
      </w:pPr>
    </w:p>
    <w:p w:rsidR="00F6576D" w:rsidRPr="003F0C56" w:rsidRDefault="00F6576D" w:rsidP="00F6576D">
      <w:pPr>
        <w:ind w:left="851" w:right="851"/>
        <w:jc w:val="both"/>
        <w:rPr>
          <w:rFonts w:ascii="Palatino Linotype" w:hAnsi="Palatino Linotype"/>
          <w:i/>
        </w:rPr>
      </w:pPr>
      <w:r w:rsidRPr="003F0C56">
        <w:rPr>
          <w:rFonts w:ascii="Palatino Linotype" w:hAnsi="Palatino Linotype"/>
          <w:b/>
          <w:i/>
        </w:rPr>
        <w:t>Artículo 12.</w:t>
      </w:r>
      <w:r w:rsidRPr="003F0C56">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F6576D" w:rsidRPr="003F0C56" w:rsidRDefault="00F6576D" w:rsidP="00F6576D">
      <w:pPr>
        <w:ind w:left="851" w:right="851"/>
        <w:jc w:val="both"/>
        <w:rPr>
          <w:rFonts w:ascii="Palatino Linotype" w:hAnsi="Palatino Linotype"/>
          <w:i/>
        </w:rPr>
      </w:pPr>
    </w:p>
    <w:p w:rsidR="00F6576D" w:rsidRPr="003F0C56" w:rsidRDefault="00F6576D" w:rsidP="00F6576D">
      <w:pPr>
        <w:ind w:left="851" w:right="851"/>
        <w:jc w:val="both"/>
        <w:rPr>
          <w:rFonts w:ascii="Palatino Linotype" w:hAnsi="Palatino Linotype"/>
          <w:i/>
        </w:rPr>
      </w:pPr>
      <w:r w:rsidRPr="003F0C56">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6576D" w:rsidRPr="003F0C56" w:rsidRDefault="00F6576D" w:rsidP="00F6576D">
      <w:pPr>
        <w:jc w:val="both"/>
        <w:rPr>
          <w:rFonts w:ascii="Palatino Linotype" w:hAnsi="Palatino Linotype"/>
        </w:rPr>
      </w:pPr>
    </w:p>
    <w:p w:rsidR="00F6576D" w:rsidRPr="003F0C56" w:rsidRDefault="00F6576D" w:rsidP="00F6576D">
      <w:pPr>
        <w:spacing w:line="360" w:lineRule="auto"/>
        <w:jc w:val="both"/>
        <w:rPr>
          <w:rFonts w:ascii="Palatino Linotype" w:eastAsia="Calibri" w:hAnsi="Palatino Linotype" w:cs="Arial"/>
          <w:color w:val="000000"/>
          <w:lang w:val="es-ES_tradnl" w:eastAsia="es-MX"/>
        </w:rPr>
      </w:pPr>
    </w:p>
    <w:p w:rsidR="00F6576D" w:rsidRPr="003F0C56" w:rsidRDefault="00F6576D" w:rsidP="00F6576D">
      <w:pPr>
        <w:spacing w:line="360" w:lineRule="auto"/>
        <w:jc w:val="both"/>
        <w:rPr>
          <w:rFonts w:ascii="Palatino Linotype" w:eastAsia="Calibri" w:hAnsi="Palatino Linotype" w:cs="Arial"/>
          <w:color w:val="000000"/>
          <w:lang w:val="es-ES_tradnl" w:eastAsia="es-MX"/>
        </w:rPr>
      </w:pPr>
      <w:r w:rsidRPr="003F0C56">
        <w:rPr>
          <w:rFonts w:ascii="Palatino Linotype" w:eastAsia="Calibri" w:hAnsi="Palatino Linotype" w:cs="Arial"/>
          <w:color w:val="000000"/>
          <w:lang w:val="es-ES_tradnl" w:eastAsia="es-MX"/>
        </w:rPr>
        <w:lastRenderedPageBreak/>
        <w:t>En síntesis, el derecho de acceso a la información pública se satisface en aquellos casos en que se entregue el soporte documental en que conste la información pública, toda vez que, los Sujetos Obligados</w:t>
      </w:r>
      <w:r w:rsidRPr="003F0C56">
        <w:rPr>
          <w:rFonts w:ascii="Palatino Linotype" w:eastAsia="Calibri" w:hAnsi="Palatino Linotype" w:cs="Arial"/>
          <w:b/>
          <w:color w:val="000000"/>
          <w:lang w:val="es-ES_tradnl" w:eastAsia="es-MX"/>
        </w:rPr>
        <w:t xml:space="preserve"> </w:t>
      </w:r>
      <w:r w:rsidRPr="003F0C56">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3F0C56">
        <w:rPr>
          <w:rFonts w:ascii="Palatino Linotype" w:eastAsia="Calibri" w:hAnsi="Palatino Linotype" w:cs="Arial"/>
          <w:i/>
          <w:color w:val="000000"/>
          <w:lang w:val="es-ES_tradnl" w:eastAsia="es-MX"/>
        </w:rPr>
        <w:t>ad hoc</w:t>
      </w:r>
      <w:r w:rsidRPr="003F0C56">
        <w:rPr>
          <w:rFonts w:ascii="Palatino Linotype" w:eastAsia="Calibri" w:hAnsi="Palatino Linotype" w:cs="Arial"/>
          <w:color w:val="000000"/>
          <w:lang w:val="es-ES_tradnl" w:eastAsia="es-MX"/>
        </w:rPr>
        <w:t>, para satisfacer el derecho de acceso a la información pública.</w:t>
      </w:r>
    </w:p>
    <w:p w:rsidR="00F6576D" w:rsidRPr="003F0C56" w:rsidRDefault="00F6576D" w:rsidP="00F6576D">
      <w:pPr>
        <w:spacing w:line="360" w:lineRule="auto"/>
        <w:jc w:val="both"/>
        <w:rPr>
          <w:rFonts w:ascii="Palatino Linotype" w:eastAsia="Calibri" w:hAnsi="Palatino Linotype" w:cs="Arial"/>
          <w:color w:val="000000"/>
          <w:lang w:val="es-ES_tradnl" w:eastAsia="es-MX"/>
        </w:rPr>
      </w:pPr>
    </w:p>
    <w:p w:rsidR="00F6576D" w:rsidRPr="003F0C56" w:rsidRDefault="00F6576D" w:rsidP="00F6576D">
      <w:pPr>
        <w:spacing w:line="360" w:lineRule="auto"/>
        <w:jc w:val="both"/>
        <w:rPr>
          <w:rFonts w:ascii="Palatino Linotype" w:hAnsi="Palatino Linotype" w:cs="Arial"/>
          <w:noProof/>
          <w:color w:val="000000"/>
          <w:lang w:eastAsia="es-MX"/>
        </w:rPr>
      </w:pPr>
      <w:r w:rsidRPr="003F0C56">
        <w:rPr>
          <w:rFonts w:ascii="Palatino Linotype" w:hAnsi="Palatino Linotype" w:cs="Arial"/>
          <w:noProof/>
          <w:color w:val="000000"/>
          <w:lang w:eastAsia="es-MX"/>
        </w:rPr>
        <w:t xml:space="preserve">Con base en lo anteriormente expuesto, se arriba a la conclusión de que la respuesta del </w:t>
      </w:r>
      <w:r w:rsidRPr="003F0C56">
        <w:rPr>
          <w:rFonts w:ascii="Palatino Linotype" w:hAnsi="Palatino Linotype" w:cs="Arial"/>
          <w:b/>
          <w:noProof/>
          <w:color w:val="000000"/>
          <w:lang w:eastAsia="es-MX"/>
        </w:rPr>
        <w:t xml:space="preserve">Sujeto Obligado </w:t>
      </w:r>
      <w:r w:rsidRPr="003F0C56">
        <w:rPr>
          <w:rFonts w:ascii="Palatino Linotype" w:hAnsi="Palatino Linotype" w:cs="Arial"/>
          <w:noProof/>
          <w:color w:val="000000"/>
          <w:lang w:eastAsia="es-MX"/>
        </w:rPr>
        <w:t xml:space="preserve">colmó </w:t>
      </w:r>
      <w:r w:rsidR="002A673F" w:rsidRPr="003F0C56">
        <w:rPr>
          <w:rFonts w:ascii="Palatino Linotype" w:hAnsi="Palatino Linotype" w:cs="Arial"/>
          <w:noProof/>
          <w:color w:val="000000"/>
          <w:lang w:eastAsia="es-MX"/>
        </w:rPr>
        <w:t xml:space="preserve">parcilamente </w:t>
      </w:r>
      <w:r w:rsidRPr="003F0C56">
        <w:rPr>
          <w:rFonts w:ascii="Palatino Linotype" w:hAnsi="Palatino Linotype" w:cs="Arial"/>
          <w:noProof/>
          <w:color w:val="000000"/>
          <w:lang w:eastAsia="es-MX"/>
        </w:rPr>
        <w:t xml:space="preserve">el derecho de acceso a la información ejercido por el particular. </w:t>
      </w:r>
    </w:p>
    <w:p w:rsidR="00F6576D" w:rsidRPr="003F0C56" w:rsidRDefault="00F6576D" w:rsidP="00F6576D">
      <w:pPr>
        <w:spacing w:after="160" w:line="360" w:lineRule="auto"/>
        <w:jc w:val="both"/>
        <w:rPr>
          <w:rFonts w:ascii="Palatino Linotype" w:eastAsiaTheme="minorHAnsi" w:hAnsi="Palatino Linotype" w:cs="Arial"/>
          <w:szCs w:val="22"/>
          <w:lang w:val="es-MX" w:eastAsia="en-US"/>
        </w:rPr>
      </w:pPr>
    </w:p>
    <w:p w:rsidR="00F6576D" w:rsidRPr="003F0C56" w:rsidRDefault="00F6576D" w:rsidP="00F6576D">
      <w:pPr>
        <w:spacing w:line="360" w:lineRule="auto"/>
        <w:jc w:val="both"/>
        <w:rPr>
          <w:rFonts w:ascii="Palatino Linotype" w:hAnsi="Palatino Linotype" w:cs="Arial"/>
        </w:rPr>
      </w:pPr>
      <w:r w:rsidRPr="003F0C56">
        <w:rPr>
          <w:rFonts w:ascii="Palatino Linotype" w:hAnsi="Palatino Linotype"/>
        </w:rPr>
        <w:t xml:space="preserve">En mérito de lo expuesto en líneas anteriores, resultan parcialmente fundados los motivos de inconformidad que arguye </w:t>
      </w:r>
      <w:r w:rsidRPr="003F0C56">
        <w:rPr>
          <w:rFonts w:ascii="Palatino Linotype" w:hAnsi="Palatino Linotype"/>
          <w:bCs/>
        </w:rPr>
        <w:t>el</w:t>
      </w:r>
      <w:r w:rsidRPr="003F0C56">
        <w:rPr>
          <w:rFonts w:ascii="Palatino Linotype" w:hAnsi="Palatino Linotype"/>
          <w:b/>
          <w:bCs/>
        </w:rPr>
        <w:t xml:space="preserve"> Recurrente </w:t>
      </w:r>
      <w:r w:rsidRPr="003F0C56">
        <w:rPr>
          <w:rFonts w:ascii="Palatino Linotype" w:hAnsi="Palatino Linotype"/>
        </w:rPr>
        <w:t xml:space="preserve">en su medio de impugnación que fue materia de estudio, por ello </w:t>
      </w:r>
      <w:r w:rsidRPr="003F0C56">
        <w:rPr>
          <w:rFonts w:ascii="Palatino Linotype" w:hAnsi="Palatino Linotype" w:cs="Arial"/>
        </w:rPr>
        <w:t>con fundamento en la</w:t>
      </w:r>
      <w:r w:rsidRPr="003F0C56">
        <w:rPr>
          <w:rFonts w:ascii="Palatino Linotype" w:hAnsi="Palatino Linotype" w:cs="Arial"/>
          <w:b/>
        </w:rPr>
        <w:t xml:space="preserve"> </w:t>
      </w:r>
      <w:r w:rsidRPr="003F0C56">
        <w:rPr>
          <w:rFonts w:ascii="Palatino Linotype" w:hAnsi="Palatino Linotype" w:cs="Arial"/>
          <w:b/>
          <w:bCs/>
          <w:i/>
        </w:rPr>
        <w:t>segunda hipótesis</w:t>
      </w:r>
      <w:r w:rsidRPr="003F0C56">
        <w:rPr>
          <w:rFonts w:ascii="Palatino Linotype" w:hAnsi="Palatino Linotype" w:cs="Arial"/>
          <w:b/>
        </w:rPr>
        <w:t xml:space="preserve"> </w:t>
      </w:r>
      <w:r w:rsidRPr="003F0C56">
        <w:rPr>
          <w:rFonts w:ascii="Palatino Linotype" w:hAnsi="Palatino Linotype" w:cs="Arial"/>
        </w:rPr>
        <w:t>de la fracción</w:t>
      </w:r>
      <w:r w:rsidRPr="003F0C56">
        <w:rPr>
          <w:rFonts w:ascii="Palatino Linotype" w:hAnsi="Palatino Linotype" w:cs="Arial"/>
          <w:b/>
        </w:rPr>
        <w:t xml:space="preserve"> </w:t>
      </w:r>
      <w:r w:rsidRPr="003F0C56">
        <w:rPr>
          <w:rFonts w:ascii="Palatino Linotype" w:hAnsi="Palatino Linotype" w:cs="Arial"/>
        </w:rPr>
        <w:t>III, del artículo 186,</w:t>
      </w:r>
      <w:r w:rsidRPr="003F0C56">
        <w:rPr>
          <w:rFonts w:ascii="Palatino Linotype" w:hAnsi="Palatino Linotype" w:cs="Arial"/>
          <w:b/>
        </w:rPr>
        <w:t xml:space="preserve"> </w:t>
      </w:r>
      <w:r w:rsidRPr="003F0C56">
        <w:rPr>
          <w:rFonts w:ascii="Palatino Linotype" w:hAnsi="Palatino Linotype" w:cs="Arial"/>
        </w:rPr>
        <w:t xml:space="preserve">de la Ley de Transparencia y Acceso a la Información Pública del Estado de México y Municipios, se </w:t>
      </w:r>
      <w:r w:rsidRPr="003F0C56">
        <w:rPr>
          <w:rFonts w:ascii="Palatino Linotype" w:hAnsi="Palatino Linotype" w:cs="Arial"/>
          <w:b/>
        </w:rPr>
        <w:t xml:space="preserve">MODIFICA </w:t>
      </w:r>
      <w:r w:rsidRPr="003F0C56">
        <w:rPr>
          <w:rFonts w:ascii="Palatino Linotype" w:hAnsi="Palatino Linotype" w:cs="Arial"/>
        </w:rPr>
        <w:t>la respuesta a la solicitud de información número</w:t>
      </w:r>
      <w:r w:rsidRPr="003F0C56">
        <w:rPr>
          <w:rFonts w:ascii="Palatino Linotype" w:hAnsi="Palatino Linotype"/>
          <w:b/>
        </w:rPr>
        <w:t xml:space="preserve"> </w:t>
      </w:r>
      <w:r w:rsidR="00580E30" w:rsidRPr="003F0C56">
        <w:rPr>
          <w:rFonts w:ascii="Palatino Linotype" w:hAnsi="Palatino Linotype" w:cs="Arial"/>
          <w:b/>
        </w:rPr>
        <w:t>00332/ATIZARA/IP/2025</w:t>
      </w:r>
      <w:r w:rsidRPr="003F0C56">
        <w:rPr>
          <w:rFonts w:ascii="Palatino Linotype" w:hAnsi="Palatino Linotype" w:cs="Arial"/>
          <w:b/>
        </w:rPr>
        <w:t xml:space="preserve">, </w:t>
      </w:r>
      <w:r w:rsidRPr="003F0C56">
        <w:rPr>
          <w:rFonts w:ascii="Palatino Linotype" w:hAnsi="Palatino Linotype" w:cs="Arial"/>
        </w:rPr>
        <w:t xml:space="preserve">que ha sido materia del presente fallo. </w:t>
      </w:r>
    </w:p>
    <w:p w:rsidR="00F6576D" w:rsidRPr="003F0C56" w:rsidRDefault="00F6576D" w:rsidP="00F6576D">
      <w:pPr>
        <w:spacing w:line="360" w:lineRule="auto"/>
        <w:jc w:val="both"/>
        <w:rPr>
          <w:rFonts w:ascii="Palatino Linotype" w:hAnsi="Palatino Linotype"/>
        </w:rPr>
      </w:pPr>
      <w:r w:rsidRPr="003F0C56">
        <w:rPr>
          <w:rFonts w:ascii="Palatino Linotype" w:hAnsi="Palatino Linotype"/>
        </w:rPr>
        <w:t>Por lo antes expuesto y fundado es de resolverse y,</w:t>
      </w:r>
    </w:p>
    <w:p w:rsidR="00F6576D" w:rsidRPr="003F0C56" w:rsidRDefault="00F6576D" w:rsidP="00F6576D">
      <w:pPr>
        <w:spacing w:line="360" w:lineRule="auto"/>
        <w:jc w:val="both"/>
        <w:rPr>
          <w:rFonts w:ascii="Palatino Linotype" w:hAnsi="Palatino Linotype"/>
        </w:rPr>
      </w:pPr>
    </w:p>
    <w:p w:rsidR="00F6576D" w:rsidRPr="003F0C56" w:rsidRDefault="00F6576D" w:rsidP="00F6576D">
      <w:pPr>
        <w:spacing w:before="240" w:after="240" w:line="360" w:lineRule="auto"/>
        <w:jc w:val="center"/>
        <w:rPr>
          <w:rFonts w:ascii="Palatino Linotype" w:hAnsi="Palatino Linotype"/>
          <w:b/>
          <w:spacing w:val="60"/>
          <w:sz w:val="28"/>
        </w:rPr>
      </w:pPr>
      <w:r w:rsidRPr="003F0C56">
        <w:rPr>
          <w:rFonts w:ascii="Palatino Linotype" w:hAnsi="Palatino Linotype"/>
          <w:b/>
          <w:spacing w:val="60"/>
          <w:sz w:val="28"/>
        </w:rPr>
        <w:t>S E RESUELVE</w:t>
      </w:r>
    </w:p>
    <w:p w:rsidR="00F6576D" w:rsidRPr="003F0C56" w:rsidRDefault="00F6576D" w:rsidP="00F6576D">
      <w:pPr>
        <w:spacing w:line="360" w:lineRule="auto"/>
        <w:jc w:val="both"/>
        <w:rPr>
          <w:rFonts w:ascii="Palatino Linotype" w:hAnsi="Palatino Linotype" w:cs="Arial"/>
        </w:rPr>
      </w:pPr>
      <w:r w:rsidRPr="003F0C56">
        <w:rPr>
          <w:rFonts w:ascii="Palatino Linotype" w:hAnsi="Palatino Linotype" w:cs="Arial"/>
          <w:b/>
          <w:sz w:val="28"/>
          <w:szCs w:val="28"/>
        </w:rPr>
        <w:t>PRIMERO</w:t>
      </w:r>
      <w:r w:rsidRPr="003F0C56">
        <w:rPr>
          <w:rFonts w:ascii="Palatino Linotype" w:hAnsi="Palatino Linotype" w:cs="Arial"/>
          <w:sz w:val="32"/>
          <w:szCs w:val="28"/>
        </w:rPr>
        <w:t>.</w:t>
      </w:r>
      <w:r w:rsidRPr="003F0C56">
        <w:rPr>
          <w:rFonts w:ascii="Palatino Linotype" w:hAnsi="Palatino Linotype" w:cs="Arial"/>
        </w:rPr>
        <w:t xml:space="preserve"> Se</w:t>
      </w:r>
      <w:r w:rsidRPr="003F0C56">
        <w:rPr>
          <w:rFonts w:ascii="Palatino Linotype" w:hAnsi="Palatino Linotype" w:cs="Arial"/>
          <w:b/>
        </w:rPr>
        <w:t xml:space="preserve"> MODIFICA </w:t>
      </w:r>
      <w:r w:rsidRPr="003F0C56">
        <w:rPr>
          <w:rFonts w:ascii="Palatino Linotype" w:hAnsi="Palatino Linotype" w:cs="Arial"/>
        </w:rPr>
        <w:t xml:space="preserve">la respuesta del </w:t>
      </w:r>
      <w:r w:rsidRPr="003F0C56">
        <w:rPr>
          <w:rFonts w:ascii="Palatino Linotype" w:hAnsi="Palatino Linotype" w:cs="Arial"/>
          <w:b/>
        </w:rPr>
        <w:t>Sujeto Obligado</w:t>
      </w:r>
      <w:r w:rsidRPr="003F0C56">
        <w:rPr>
          <w:rFonts w:ascii="Palatino Linotype" w:hAnsi="Palatino Linotype" w:cs="Arial"/>
        </w:rPr>
        <w:t xml:space="preserve"> a la solicitud de acceso a la información pública</w:t>
      </w:r>
      <w:r w:rsidRPr="003F0C56">
        <w:rPr>
          <w:rFonts w:ascii="Palatino Linotype" w:hAnsi="Palatino Linotype" w:cs="Arial"/>
          <w:b/>
        </w:rPr>
        <w:t xml:space="preserve"> </w:t>
      </w:r>
      <w:r w:rsidR="00580E30" w:rsidRPr="003F0C56">
        <w:rPr>
          <w:rFonts w:ascii="Palatino Linotype" w:hAnsi="Palatino Linotype" w:cs="Arial"/>
          <w:b/>
        </w:rPr>
        <w:t>00332/ATIZARA/IP/2025</w:t>
      </w:r>
      <w:r w:rsidRPr="003F0C56">
        <w:rPr>
          <w:rFonts w:ascii="Palatino Linotype" w:hAnsi="Palatino Linotype" w:cs="Arial"/>
        </w:rPr>
        <w:t>,</w:t>
      </w:r>
      <w:r w:rsidRPr="003F0C56">
        <w:rPr>
          <w:rFonts w:ascii="Palatino Linotype" w:hAnsi="Palatino Linotype" w:cs="Tahoma"/>
          <w:b/>
        </w:rPr>
        <w:t xml:space="preserve"> </w:t>
      </w:r>
      <w:r w:rsidRPr="003F0C56">
        <w:rPr>
          <w:rFonts w:ascii="Palatino Linotype" w:hAnsi="Palatino Linotype" w:cs="Arial"/>
        </w:rPr>
        <w:t>por resultar fundados</w:t>
      </w:r>
      <w:r w:rsidRPr="003F0C56">
        <w:rPr>
          <w:rFonts w:ascii="Palatino Linotype" w:hAnsi="Palatino Linotype" w:cs="Arial"/>
          <w:b/>
        </w:rPr>
        <w:t xml:space="preserve"> </w:t>
      </w:r>
      <w:r w:rsidRPr="003F0C56">
        <w:rPr>
          <w:rFonts w:ascii="Palatino Linotype" w:hAnsi="Palatino Linotype" w:cs="Arial"/>
        </w:rPr>
        <w:t xml:space="preserve">los motivos </w:t>
      </w:r>
      <w:r w:rsidRPr="003F0C56">
        <w:rPr>
          <w:rFonts w:ascii="Palatino Linotype" w:hAnsi="Palatino Linotype" w:cs="Arial"/>
        </w:rPr>
        <w:lastRenderedPageBreak/>
        <w:t xml:space="preserve">de inconformidad vertidos por la parte </w:t>
      </w:r>
      <w:r w:rsidRPr="003F0C56">
        <w:rPr>
          <w:rFonts w:ascii="Palatino Linotype" w:hAnsi="Palatino Linotype" w:cs="Arial"/>
          <w:b/>
        </w:rPr>
        <w:t>Recurrente</w:t>
      </w:r>
      <w:r w:rsidRPr="003F0C56">
        <w:rPr>
          <w:rFonts w:ascii="Palatino Linotype" w:hAnsi="Palatino Linotype" w:cs="Arial"/>
        </w:rPr>
        <w:t>, en términos del considerando</w:t>
      </w:r>
      <w:r w:rsidRPr="003F0C56">
        <w:rPr>
          <w:rFonts w:ascii="Palatino Linotype" w:hAnsi="Palatino Linotype" w:cs="Arial"/>
          <w:b/>
        </w:rPr>
        <w:t xml:space="preserve"> CUARTO </w:t>
      </w:r>
      <w:r w:rsidRPr="003F0C56">
        <w:rPr>
          <w:rFonts w:ascii="Palatino Linotype" w:hAnsi="Palatino Linotype" w:cs="Arial"/>
        </w:rPr>
        <w:t>de la presente Resolución.</w:t>
      </w:r>
    </w:p>
    <w:p w:rsidR="00F6576D" w:rsidRPr="003F0C56" w:rsidRDefault="00F6576D" w:rsidP="00F6576D">
      <w:pPr>
        <w:spacing w:line="360" w:lineRule="auto"/>
        <w:jc w:val="both"/>
        <w:rPr>
          <w:rFonts w:ascii="Palatino Linotype" w:hAnsi="Palatino Linotype" w:cs="Arial"/>
        </w:rPr>
      </w:pPr>
    </w:p>
    <w:p w:rsidR="00F6576D" w:rsidRPr="003F0C56" w:rsidRDefault="00F6576D" w:rsidP="00F6576D">
      <w:pPr>
        <w:spacing w:line="360" w:lineRule="auto"/>
        <w:jc w:val="both"/>
        <w:rPr>
          <w:rFonts w:ascii="Palatino Linotype" w:hAnsi="Palatino Linotype" w:cs="Tahoma"/>
        </w:rPr>
      </w:pPr>
      <w:r w:rsidRPr="003F0C56">
        <w:rPr>
          <w:rFonts w:ascii="Palatino Linotype" w:hAnsi="Palatino Linotype" w:cs="Arial"/>
          <w:b/>
          <w:sz w:val="28"/>
        </w:rPr>
        <w:t>SEGUNDO</w:t>
      </w:r>
      <w:r w:rsidRPr="003F0C56">
        <w:rPr>
          <w:rFonts w:ascii="Palatino Linotype" w:hAnsi="Palatino Linotype" w:cs="Arial"/>
          <w:b/>
        </w:rPr>
        <w:t>.</w:t>
      </w:r>
      <w:r w:rsidRPr="003F0C56">
        <w:rPr>
          <w:rFonts w:ascii="Palatino Linotype" w:hAnsi="Palatino Linotype" w:cs="Tahoma"/>
        </w:rPr>
        <w:t xml:space="preserve"> Se </w:t>
      </w:r>
      <w:r w:rsidRPr="003F0C56">
        <w:rPr>
          <w:rFonts w:ascii="Palatino Linotype" w:hAnsi="Palatino Linotype" w:cs="Tahoma"/>
          <w:b/>
        </w:rPr>
        <w:t>ORDENA</w:t>
      </w:r>
      <w:r w:rsidRPr="003F0C56">
        <w:rPr>
          <w:rFonts w:ascii="Palatino Linotype" w:hAnsi="Palatino Linotype" w:cs="Tahoma"/>
        </w:rPr>
        <w:t xml:space="preserve"> al </w:t>
      </w:r>
      <w:r w:rsidRPr="003F0C56">
        <w:rPr>
          <w:rFonts w:ascii="Palatino Linotype" w:hAnsi="Palatino Linotype" w:cs="Tahoma"/>
          <w:b/>
        </w:rPr>
        <w:t>Sujeto Obligado,</w:t>
      </w:r>
      <w:r w:rsidRPr="003F0C56">
        <w:rPr>
          <w:rFonts w:ascii="Palatino Linotype" w:hAnsi="Palatino Linotype" w:cs="Tahoma"/>
        </w:rPr>
        <w:t xml:space="preserve"> haga entrega a la parte </w:t>
      </w:r>
      <w:r w:rsidRPr="003F0C56">
        <w:rPr>
          <w:rFonts w:ascii="Palatino Linotype" w:hAnsi="Palatino Linotype" w:cs="Tahoma"/>
          <w:b/>
        </w:rPr>
        <w:t>Recurrente</w:t>
      </w:r>
      <w:r w:rsidRPr="003F0C56">
        <w:rPr>
          <w:rFonts w:ascii="Palatino Linotype" w:hAnsi="Palatino Linotype" w:cs="Tahoma"/>
        </w:rPr>
        <w:t>, a través del Sistema de Acceso a la Información Mexiquense (</w:t>
      </w:r>
      <w:r w:rsidRPr="003F0C56">
        <w:rPr>
          <w:rFonts w:ascii="Palatino Linotype" w:hAnsi="Palatino Linotype" w:cs="Tahoma"/>
          <w:b/>
        </w:rPr>
        <w:t>SAIMEX</w:t>
      </w:r>
      <w:r w:rsidRPr="003F0C56">
        <w:rPr>
          <w:rFonts w:ascii="Palatino Linotype" w:hAnsi="Palatino Linotype" w:cs="Tahoma"/>
        </w:rPr>
        <w:t xml:space="preserve">), </w:t>
      </w:r>
      <w:r w:rsidR="002A673F" w:rsidRPr="003F0C56">
        <w:rPr>
          <w:rFonts w:ascii="Palatino Linotype" w:hAnsi="Palatino Linotype" w:cs="Tahoma"/>
        </w:rPr>
        <w:t>del primero de abril al veintidós de mayo</w:t>
      </w:r>
      <w:r w:rsidRPr="003F0C56">
        <w:rPr>
          <w:rFonts w:ascii="Palatino Linotype" w:hAnsi="Palatino Linotype" w:cs="Tahoma"/>
        </w:rPr>
        <w:t xml:space="preserve"> de dos mil veinticinco, de lo siguiente:</w:t>
      </w:r>
    </w:p>
    <w:p w:rsidR="00F6576D" w:rsidRPr="003F0C56" w:rsidRDefault="00F6576D" w:rsidP="00F6576D">
      <w:pPr>
        <w:spacing w:line="360" w:lineRule="auto"/>
        <w:jc w:val="both"/>
        <w:rPr>
          <w:rFonts w:ascii="Palatino Linotype" w:hAnsi="Palatino Linotype" w:cs="Arial"/>
        </w:rPr>
      </w:pPr>
    </w:p>
    <w:p w:rsidR="00F6576D" w:rsidRPr="003F0C56" w:rsidRDefault="00F6576D" w:rsidP="00F6576D">
      <w:pPr>
        <w:pStyle w:val="Prrafodelista"/>
        <w:numPr>
          <w:ilvl w:val="0"/>
          <w:numId w:val="5"/>
        </w:numPr>
        <w:spacing w:line="360" w:lineRule="auto"/>
        <w:jc w:val="both"/>
        <w:rPr>
          <w:rFonts w:ascii="Palatino Linotype" w:hAnsi="Palatino Linotype" w:cs="Arial"/>
        </w:rPr>
      </w:pPr>
      <w:r w:rsidRPr="003F0C56">
        <w:rPr>
          <w:rFonts w:ascii="Palatino Linotype" w:hAnsi="Palatino Linotype" w:cs="Arial"/>
        </w:rPr>
        <w:t>Documentos donde conste</w:t>
      </w:r>
      <w:r w:rsidR="002A673F" w:rsidRPr="003F0C56">
        <w:rPr>
          <w:rFonts w:ascii="Palatino Linotype" w:hAnsi="Palatino Linotype" w:cs="Arial"/>
        </w:rPr>
        <w:t xml:space="preserve"> el número de luminarias</w:t>
      </w:r>
      <w:r w:rsidRPr="003F0C56">
        <w:rPr>
          <w:rFonts w:ascii="Palatino Linotype" w:hAnsi="Palatino Linotype" w:cs="Arial"/>
        </w:rPr>
        <w:t xml:space="preserve"> </w:t>
      </w:r>
      <w:r w:rsidR="000F6712" w:rsidRPr="003F0C56">
        <w:rPr>
          <w:rFonts w:ascii="Palatino Linotype" w:hAnsi="Palatino Linotype" w:cs="Arial"/>
        </w:rPr>
        <w:t xml:space="preserve">cambiadas, así como las colonias y avenidas beneficiarias. </w:t>
      </w:r>
    </w:p>
    <w:p w:rsidR="00F6576D" w:rsidRPr="003F0C56" w:rsidRDefault="00F6576D" w:rsidP="00F6576D">
      <w:pPr>
        <w:pStyle w:val="INFOEM"/>
        <w:spacing w:before="0" w:after="0"/>
        <w:ind w:left="720" w:right="567"/>
        <w:rPr>
          <w:rFonts w:cs="Arial"/>
        </w:rPr>
      </w:pPr>
    </w:p>
    <w:p w:rsidR="00F6576D" w:rsidRPr="003F0C56" w:rsidRDefault="00F6576D" w:rsidP="00F6576D">
      <w:pPr>
        <w:pStyle w:val="INFOEM"/>
        <w:spacing w:before="0" w:after="0"/>
        <w:ind w:left="720" w:right="567"/>
        <w:rPr>
          <w:rFonts w:cs="Arial"/>
        </w:rPr>
      </w:pPr>
    </w:p>
    <w:p w:rsidR="00F6576D" w:rsidRPr="003F0C56" w:rsidRDefault="00F6576D" w:rsidP="00F6576D">
      <w:pPr>
        <w:spacing w:line="360" w:lineRule="auto"/>
        <w:jc w:val="both"/>
        <w:rPr>
          <w:rFonts w:ascii="Palatino Linotype" w:hAnsi="Palatino Linotype" w:cs="Tahoma"/>
          <w:bCs/>
        </w:rPr>
      </w:pPr>
      <w:r w:rsidRPr="003F0C56">
        <w:rPr>
          <w:rFonts w:ascii="Palatino Linotype" w:hAnsi="Palatino Linotype" w:cs="Arial"/>
          <w:b/>
          <w:sz w:val="28"/>
        </w:rPr>
        <w:t>TERCERO</w:t>
      </w:r>
      <w:r w:rsidRPr="003F0C56">
        <w:rPr>
          <w:rFonts w:ascii="Palatino Linotype" w:hAnsi="Palatino Linotype" w:cs="Arial"/>
          <w:b/>
        </w:rPr>
        <w:t>.</w:t>
      </w:r>
      <w:r w:rsidRPr="003F0C56">
        <w:rPr>
          <w:rFonts w:ascii="Palatino Linotype" w:hAnsi="Palatino Linotype" w:cs="Arial"/>
        </w:rPr>
        <w:t xml:space="preserve"> </w:t>
      </w:r>
      <w:r w:rsidRPr="003F0C56">
        <w:rPr>
          <w:rFonts w:ascii="Palatino Linotype" w:hAnsi="Palatino Linotype" w:cs="Tahoma"/>
          <w:b/>
        </w:rPr>
        <w:t xml:space="preserve">NOTIFÍQUESE </w:t>
      </w:r>
      <w:r w:rsidRPr="003F0C56">
        <w:rPr>
          <w:rFonts w:ascii="Palatino Linotype" w:hAnsi="Palatino Linotype" w:cs="Arial"/>
        </w:rPr>
        <w:t xml:space="preserve">a través del Sistema de Acceso a la Información Mexiquense </w:t>
      </w:r>
      <w:r w:rsidRPr="003F0C56">
        <w:rPr>
          <w:rFonts w:ascii="Palatino Linotype" w:hAnsi="Palatino Linotype" w:cs="Arial"/>
          <w:b/>
        </w:rPr>
        <w:t>(SAIMEX)</w:t>
      </w:r>
      <w:r w:rsidRPr="003F0C56">
        <w:rPr>
          <w:rFonts w:ascii="Palatino Linotype" w:hAnsi="Palatino Linotype" w:cs="Arial"/>
        </w:rPr>
        <w:t xml:space="preserve">, </w:t>
      </w:r>
      <w:r w:rsidRPr="003F0C56">
        <w:rPr>
          <w:rFonts w:ascii="Palatino Linotype" w:hAnsi="Palatino Linotype" w:cs="Tahoma"/>
        </w:rPr>
        <w:t xml:space="preserve">la presente Resolución al Titular de la Unidad de Transparencia del </w:t>
      </w:r>
      <w:r w:rsidRPr="003F0C56">
        <w:rPr>
          <w:rFonts w:ascii="Palatino Linotype" w:hAnsi="Palatino Linotype" w:cs="Tahoma"/>
          <w:b/>
        </w:rPr>
        <w:t>Sujeto Obligado</w:t>
      </w:r>
      <w:r w:rsidRPr="003F0C56">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3F0C56">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6576D" w:rsidRPr="003F0C56" w:rsidRDefault="00F6576D" w:rsidP="00F6576D">
      <w:pPr>
        <w:spacing w:line="360" w:lineRule="auto"/>
        <w:ind w:right="-595"/>
        <w:jc w:val="both"/>
        <w:rPr>
          <w:rFonts w:ascii="Palatino Linotype" w:hAnsi="Palatino Linotype" w:cs="Tahoma"/>
          <w:bCs/>
        </w:rPr>
      </w:pPr>
    </w:p>
    <w:p w:rsidR="00F6576D" w:rsidRPr="003F0C56" w:rsidRDefault="00F6576D" w:rsidP="00F6576D">
      <w:pPr>
        <w:autoSpaceDE w:val="0"/>
        <w:autoSpaceDN w:val="0"/>
        <w:adjustRightInd w:val="0"/>
        <w:spacing w:line="360" w:lineRule="auto"/>
        <w:jc w:val="both"/>
        <w:rPr>
          <w:rFonts w:ascii="Palatino Linotype" w:hAnsi="Palatino Linotype" w:cs="Arial"/>
        </w:rPr>
      </w:pPr>
      <w:r w:rsidRPr="003F0C56">
        <w:rPr>
          <w:rFonts w:ascii="Palatino Linotype" w:hAnsi="Palatino Linotype" w:cs="Arial"/>
          <w:b/>
          <w:sz w:val="28"/>
          <w:szCs w:val="28"/>
        </w:rPr>
        <w:lastRenderedPageBreak/>
        <w:t>CUARTO.</w:t>
      </w:r>
      <w:r w:rsidRPr="003F0C56">
        <w:rPr>
          <w:rFonts w:ascii="Palatino Linotype" w:hAnsi="Palatino Linotype" w:cs="Arial"/>
          <w:b/>
        </w:rPr>
        <w:t xml:space="preserve"> </w:t>
      </w:r>
      <w:r w:rsidRPr="003F0C56">
        <w:rPr>
          <w:rFonts w:ascii="Palatino Linotype" w:hAnsi="Palatino Linotype" w:cs="Arial"/>
        </w:rPr>
        <w:t xml:space="preserve">De conformidad con el artículo 198 de la Ley de Transparencia y Acceso a la Información Pública del Estado de México y Municipios, de considerarlo procedente, el </w:t>
      </w:r>
      <w:r w:rsidRPr="003F0C56">
        <w:rPr>
          <w:rFonts w:ascii="Palatino Linotype" w:hAnsi="Palatino Linotype" w:cs="Arial"/>
          <w:b/>
        </w:rPr>
        <w:t>Sujeto Obligado</w:t>
      </w:r>
      <w:r w:rsidRPr="003F0C56">
        <w:rPr>
          <w:rFonts w:ascii="Palatino Linotype" w:hAnsi="Palatino Linotype" w:cs="Arial"/>
        </w:rPr>
        <w:t xml:space="preserve"> de manera fundada y motivada, podrá solicitar una ampliación de plazo para el cumplimiento de la presente resolución.</w:t>
      </w:r>
    </w:p>
    <w:p w:rsidR="00F6576D" w:rsidRPr="003F0C56" w:rsidRDefault="00F6576D" w:rsidP="00F6576D">
      <w:pPr>
        <w:autoSpaceDE w:val="0"/>
        <w:autoSpaceDN w:val="0"/>
        <w:adjustRightInd w:val="0"/>
        <w:spacing w:line="360" w:lineRule="auto"/>
        <w:jc w:val="both"/>
        <w:rPr>
          <w:rFonts w:ascii="Palatino Linotype" w:hAnsi="Palatino Linotype" w:cs="Arial"/>
        </w:rPr>
      </w:pPr>
    </w:p>
    <w:p w:rsidR="00F6576D" w:rsidRPr="003F0C56" w:rsidRDefault="00F6576D" w:rsidP="00F6576D">
      <w:pPr>
        <w:autoSpaceDE w:val="0"/>
        <w:autoSpaceDN w:val="0"/>
        <w:adjustRightInd w:val="0"/>
        <w:spacing w:line="360" w:lineRule="auto"/>
        <w:jc w:val="both"/>
        <w:rPr>
          <w:rFonts w:ascii="Palatino Linotype" w:hAnsi="Palatino Linotype" w:cs="Arial"/>
        </w:rPr>
      </w:pPr>
      <w:r w:rsidRPr="003F0C56">
        <w:rPr>
          <w:rFonts w:ascii="Palatino Linotype" w:hAnsi="Palatino Linotype"/>
          <w:b/>
          <w:sz w:val="28"/>
          <w:szCs w:val="28"/>
        </w:rPr>
        <w:t>QUINTO</w:t>
      </w:r>
      <w:r w:rsidRPr="003F0C56">
        <w:rPr>
          <w:rFonts w:ascii="Palatino Linotype" w:hAnsi="Palatino Linotype"/>
          <w:b/>
        </w:rPr>
        <w:t xml:space="preserve">. </w:t>
      </w:r>
      <w:r w:rsidRPr="003F0C56">
        <w:rPr>
          <w:rFonts w:ascii="Palatino Linotype" w:hAnsi="Palatino Linotype" w:cs="Arial"/>
          <w:b/>
        </w:rPr>
        <w:t>NOTIFÍQUESE</w:t>
      </w:r>
      <w:r w:rsidRPr="003F0C56">
        <w:rPr>
          <w:rFonts w:ascii="Palatino Linotype" w:hAnsi="Palatino Linotype" w:cs="Arial"/>
        </w:rPr>
        <w:t xml:space="preserve"> a través del Sistema de Acceso a la Información Mexiquense </w:t>
      </w:r>
      <w:r w:rsidRPr="003F0C56">
        <w:rPr>
          <w:rFonts w:ascii="Palatino Linotype" w:hAnsi="Palatino Linotype" w:cs="Arial"/>
          <w:b/>
        </w:rPr>
        <w:t>(SAIMEX)</w:t>
      </w:r>
      <w:r w:rsidRPr="003F0C56">
        <w:rPr>
          <w:rFonts w:ascii="Palatino Linotype" w:hAnsi="Palatino Linotype" w:cs="Arial"/>
        </w:rPr>
        <w:t xml:space="preserve">, al </w:t>
      </w:r>
      <w:r w:rsidRPr="003F0C56">
        <w:rPr>
          <w:rFonts w:ascii="Palatino Linotype" w:hAnsi="Palatino Linotype" w:cs="Arial"/>
          <w:b/>
        </w:rPr>
        <w:t>Recurrente</w:t>
      </w:r>
      <w:r w:rsidRPr="003F0C56">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F6576D" w:rsidRPr="003F0C56" w:rsidRDefault="00F6576D"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2133D1" w:rsidRPr="003F0C56" w:rsidRDefault="002133D1" w:rsidP="00F6576D">
      <w:pPr>
        <w:spacing w:line="360" w:lineRule="auto"/>
        <w:jc w:val="both"/>
        <w:rPr>
          <w:rFonts w:ascii="Palatino Linotype" w:hAnsi="Palatino Linotype" w:cs="Arial"/>
        </w:rPr>
      </w:pPr>
    </w:p>
    <w:p w:rsidR="00F6576D" w:rsidRPr="003F0C56" w:rsidRDefault="002133D1" w:rsidP="00F6576D">
      <w:pPr>
        <w:spacing w:line="360" w:lineRule="auto"/>
        <w:jc w:val="both"/>
        <w:rPr>
          <w:rFonts w:ascii="Palatino Linotype" w:hAnsi="Palatino Linotype" w:cs="Arial"/>
        </w:rPr>
      </w:pPr>
      <w:r w:rsidRPr="003F0C56">
        <w:rPr>
          <w:rFonts w:ascii="Palatino Linotype" w:eastAsia="Palatino Linotype" w:hAnsi="Palatino Linotype" w:cs="Palatino Linotype"/>
          <w:color w:val="000000"/>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 EN SUPLENCIA DEL SECRETARIO TÉCNICO DEL PLENO ALEXIS TAPIA RAMÍREZ</w:t>
      </w:r>
      <w:r w:rsidR="00F6576D" w:rsidRPr="003F0C56">
        <w:rPr>
          <w:rFonts w:ascii="Palatino Linotype" w:hAnsi="Palatino Linotype" w:cs="Arial"/>
        </w:rPr>
        <w:t>. ----------------------------------------------------------------------------------------------------------------------------------------------------------------------------------------------------------------------------------------------------------------------</w:t>
      </w:r>
      <w:r w:rsidR="008014DE" w:rsidRPr="003F0C56">
        <w:rPr>
          <w:rFonts w:ascii="Palatino Linotype" w:hAnsi="Palatino Linotype" w:cs="Arial"/>
        </w:rPr>
        <w:t>-------------------------------</w:t>
      </w:r>
      <w:r w:rsidRPr="003F0C56">
        <w:rPr>
          <w:rFonts w:ascii="Palatino Linotype" w:hAnsi="Palatino Linotype" w:cs="Arial"/>
        </w:rPr>
        <w:t>-------------------------------------------------------------------------------------------------------------------------------------------------------------------------------------------------------------------------------------------------------------------------------------</w:t>
      </w:r>
      <w:r w:rsidR="000C6558" w:rsidRPr="003F0C56">
        <w:rPr>
          <w:rFonts w:ascii="Palatino Linotype" w:hAnsi="Palatino Linotype" w:cs="Arial"/>
        </w:rPr>
        <w:t>------------------------------------------------------------------------------------------------------------------------------------------------------------------------------------------------------------------------------------------------------------------------------------------------------------------------------------------------------------------------------------------------------------------------------------------------------------------------------------------------------------------------------------------------------------------------------------------------------------------------------------------------------------------------------------------------------------------------------------------------------------------------------------------------------------------------------------------------------------------------------------------------------------------------------------------------</w:t>
      </w:r>
    </w:p>
    <w:p w:rsidR="00F6576D" w:rsidRDefault="00F6576D" w:rsidP="00F6576D">
      <w:pPr>
        <w:spacing w:line="360" w:lineRule="auto"/>
        <w:jc w:val="both"/>
        <w:rPr>
          <w:rFonts w:ascii="Palatino Linotype" w:hAnsi="Palatino Linotype" w:cs="Arial"/>
          <w:sz w:val="16"/>
        </w:rPr>
      </w:pPr>
      <w:r w:rsidRPr="003F0C56">
        <w:rPr>
          <w:rFonts w:ascii="Palatino Linotype" w:hAnsi="Palatino Linotype" w:cs="Arial"/>
          <w:sz w:val="16"/>
        </w:rPr>
        <w:t>JMV/CCR/LMST</w:t>
      </w:r>
    </w:p>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F6576D" w:rsidRDefault="00F6576D" w:rsidP="00F6576D"/>
    <w:p w:rsidR="00572FCF" w:rsidRDefault="00572FCF"/>
    <w:sectPr w:rsidR="00572FCF" w:rsidSect="00CF3181">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7DC" w:rsidRDefault="006A47DC" w:rsidP="00F6576D">
      <w:r>
        <w:separator/>
      </w:r>
    </w:p>
  </w:endnote>
  <w:endnote w:type="continuationSeparator" w:id="0">
    <w:p w:rsidR="006A47DC" w:rsidRDefault="006A47DC" w:rsidP="00F65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A48" w:rsidRPr="00A2780F" w:rsidRDefault="00234A48" w:rsidP="00CF318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B3B67">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B3B67">
      <w:rPr>
        <w:rFonts w:ascii="Arial" w:hAnsi="Arial" w:cs="Arial"/>
        <w:b/>
        <w:bCs/>
        <w:noProof/>
        <w:sz w:val="20"/>
        <w:szCs w:val="20"/>
      </w:rPr>
      <w:t>25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A48" w:rsidRPr="00070856" w:rsidRDefault="00234A48" w:rsidP="00CF318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B3B67">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B3B67">
      <w:rPr>
        <w:rFonts w:ascii="Arial" w:hAnsi="Arial" w:cs="Arial"/>
        <w:b/>
        <w:bCs/>
        <w:noProof/>
        <w:sz w:val="20"/>
        <w:szCs w:val="20"/>
      </w:rPr>
      <w:t>25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7DC" w:rsidRDefault="006A47DC" w:rsidP="00F6576D">
      <w:r>
        <w:separator/>
      </w:r>
    </w:p>
  </w:footnote>
  <w:footnote w:type="continuationSeparator" w:id="0">
    <w:p w:rsidR="006A47DC" w:rsidRDefault="006A47DC" w:rsidP="00F6576D">
      <w:r>
        <w:continuationSeparator/>
      </w:r>
    </w:p>
  </w:footnote>
  <w:footnote w:id="1">
    <w:p w:rsidR="00234A48" w:rsidRPr="005552A8" w:rsidRDefault="00234A48" w:rsidP="00F6576D">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234A48" w:rsidRPr="005552A8" w:rsidRDefault="00234A48" w:rsidP="00F6576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234A48" w:rsidRPr="008F2CCC" w:rsidTr="00CF3181">
      <w:tc>
        <w:tcPr>
          <w:tcW w:w="3620" w:type="dxa"/>
          <w:shd w:val="clear" w:color="auto" w:fill="auto"/>
        </w:tcPr>
        <w:p w:rsidR="00234A48" w:rsidRPr="007E5FC4" w:rsidRDefault="00234A48" w:rsidP="00CF318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234A48" w:rsidRPr="00664658" w:rsidRDefault="00234A48" w:rsidP="00F6576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07810/INFOEM/IP/RR/2025</w:t>
          </w:r>
        </w:p>
      </w:tc>
    </w:tr>
    <w:tr w:rsidR="00234A48" w:rsidRPr="008F2CCC" w:rsidTr="00CF3181">
      <w:tc>
        <w:tcPr>
          <w:tcW w:w="3620" w:type="dxa"/>
          <w:shd w:val="clear" w:color="auto" w:fill="auto"/>
        </w:tcPr>
        <w:p w:rsidR="00234A48" w:rsidRPr="007E5FC4" w:rsidRDefault="00234A48" w:rsidP="00CF318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234A48" w:rsidRPr="00664658" w:rsidRDefault="00234A48" w:rsidP="00CF3181">
          <w:pPr>
            <w:spacing w:line="276" w:lineRule="auto"/>
            <w:jc w:val="right"/>
            <w:rPr>
              <w:rFonts w:ascii="Palatino Linotype" w:hAnsi="Palatino Linotype"/>
              <w:b/>
              <w:sz w:val="22"/>
              <w:szCs w:val="22"/>
              <w:lang w:val="es-ES_tradnl"/>
            </w:rPr>
          </w:pPr>
          <w:r w:rsidRPr="00F6576D">
            <w:rPr>
              <w:rFonts w:ascii="Palatino Linotype" w:hAnsi="Palatino Linotype"/>
              <w:b/>
            </w:rPr>
            <w:t>Ayuntamiento de Atizapán de Zaragoza</w:t>
          </w:r>
        </w:p>
      </w:tc>
    </w:tr>
    <w:tr w:rsidR="00234A48" w:rsidRPr="008F2CCC" w:rsidTr="00CF3181">
      <w:trPr>
        <w:trHeight w:val="228"/>
      </w:trPr>
      <w:tc>
        <w:tcPr>
          <w:tcW w:w="3620" w:type="dxa"/>
          <w:shd w:val="clear" w:color="auto" w:fill="auto"/>
        </w:tcPr>
        <w:p w:rsidR="00234A48" w:rsidRPr="007E5FC4" w:rsidRDefault="00234A48" w:rsidP="00CF318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234A48" w:rsidRPr="00664658" w:rsidRDefault="00234A48" w:rsidP="00CF318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234A48" w:rsidRDefault="00234A48" w:rsidP="00CF3181">
    <w:pPr>
      <w:pStyle w:val="Encabezado"/>
      <w:tabs>
        <w:tab w:val="clear" w:pos="4252"/>
        <w:tab w:val="clear" w:pos="8504"/>
        <w:tab w:val="left" w:pos="2326"/>
      </w:tabs>
      <w:rPr>
        <w:rFonts w:ascii="Palatino Linotype" w:hAnsi="Palatino Linotype"/>
        <w:sz w:val="20"/>
      </w:rPr>
    </w:pPr>
  </w:p>
  <w:p w:rsidR="00234A48" w:rsidRPr="001779E0" w:rsidRDefault="00234A48" w:rsidP="00CF3181">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27CD7CE" wp14:editId="0A6F9CAE">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234A48" w:rsidRPr="008F2CCC" w:rsidTr="00CF3181">
      <w:tc>
        <w:tcPr>
          <w:tcW w:w="2977" w:type="dxa"/>
          <w:shd w:val="clear" w:color="auto" w:fill="auto"/>
        </w:tcPr>
        <w:p w:rsidR="00234A48" w:rsidRPr="007E5FC4" w:rsidRDefault="00234A48" w:rsidP="00CF318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234A48" w:rsidRPr="008F2CCC" w:rsidRDefault="00234A48" w:rsidP="00F6576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07810/INFOEM/IP/RR/2025</w:t>
          </w:r>
        </w:p>
      </w:tc>
    </w:tr>
    <w:tr w:rsidR="00234A48" w:rsidRPr="008F2CCC" w:rsidTr="00CF3181">
      <w:tc>
        <w:tcPr>
          <w:tcW w:w="2977" w:type="dxa"/>
          <w:shd w:val="clear" w:color="auto" w:fill="auto"/>
          <w:vAlign w:val="center"/>
        </w:tcPr>
        <w:p w:rsidR="00234A48" w:rsidRPr="007E5FC4" w:rsidRDefault="00234A48" w:rsidP="00CF318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234A48" w:rsidRPr="008F2CCC" w:rsidRDefault="005B3B67" w:rsidP="00CF318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w:t>
          </w:r>
        </w:p>
      </w:tc>
    </w:tr>
    <w:tr w:rsidR="00234A48" w:rsidRPr="008F2CCC" w:rsidTr="00CF3181">
      <w:trPr>
        <w:trHeight w:val="228"/>
      </w:trPr>
      <w:tc>
        <w:tcPr>
          <w:tcW w:w="2977" w:type="dxa"/>
          <w:shd w:val="clear" w:color="auto" w:fill="auto"/>
        </w:tcPr>
        <w:p w:rsidR="00234A48" w:rsidRPr="007E5FC4" w:rsidRDefault="00234A48" w:rsidP="00CF318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234A48" w:rsidRPr="00DC41C8" w:rsidRDefault="00234A48" w:rsidP="00CF3181">
          <w:pPr>
            <w:spacing w:line="360" w:lineRule="auto"/>
            <w:jc w:val="right"/>
            <w:rPr>
              <w:rFonts w:ascii="Palatino Linotype" w:hAnsi="Palatino Linotype"/>
              <w:b/>
              <w:sz w:val="22"/>
              <w:szCs w:val="22"/>
            </w:rPr>
          </w:pPr>
          <w:r w:rsidRPr="00F6576D">
            <w:rPr>
              <w:rFonts w:ascii="Palatino Linotype" w:hAnsi="Palatino Linotype"/>
              <w:b/>
              <w:sz w:val="22"/>
              <w:szCs w:val="22"/>
            </w:rPr>
            <w:t>Ayuntamiento de Atizapán de Zaragoza</w:t>
          </w:r>
        </w:p>
      </w:tc>
    </w:tr>
    <w:tr w:rsidR="00234A48" w:rsidRPr="008F2CCC" w:rsidTr="00CF3181">
      <w:tc>
        <w:tcPr>
          <w:tcW w:w="2977" w:type="dxa"/>
          <w:shd w:val="clear" w:color="auto" w:fill="auto"/>
        </w:tcPr>
        <w:p w:rsidR="00234A48" w:rsidRPr="007E5FC4" w:rsidRDefault="00234A48" w:rsidP="00CF318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234A48" w:rsidRPr="008F2CCC" w:rsidRDefault="00234A48" w:rsidP="00CF318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234A48" w:rsidRPr="009F1AB6" w:rsidRDefault="00234A48">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6DA8472" wp14:editId="3817F3F4">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C3729D98"/>
    <w:lvl w:ilvl="0" w:tplc="714CCD26">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C1B7278"/>
    <w:multiLevelType w:val="hybridMultilevel"/>
    <w:tmpl w:val="F0A0E68E"/>
    <w:lvl w:ilvl="0" w:tplc="ED30F2D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E40BAA"/>
    <w:multiLevelType w:val="hybridMultilevel"/>
    <w:tmpl w:val="8864D6AE"/>
    <w:lvl w:ilvl="0" w:tplc="BDC23DC8">
      <w:start w:val="1"/>
      <w:numFmt w:val="decimal"/>
      <w:lvlText w:val="%1."/>
      <w:lvlJc w:val="left"/>
      <w:pPr>
        <w:ind w:left="1068" w:hanging="360"/>
      </w:pPr>
      <w:rPr>
        <w:rFonts w:cs="Tahoma"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6D145CB9"/>
    <w:multiLevelType w:val="hybridMultilevel"/>
    <w:tmpl w:val="F6D2A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6DE06895"/>
    <w:multiLevelType w:val="hybridMultilevel"/>
    <w:tmpl w:val="CFB61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BE96268"/>
    <w:multiLevelType w:val="hybridMultilevel"/>
    <w:tmpl w:val="E2CE77BC"/>
    <w:lvl w:ilvl="0" w:tplc="9D22A7DA">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7"/>
  </w:num>
  <w:num w:numId="6">
    <w:abstractNumId w:val="5"/>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76D"/>
    <w:rsid w:val="000262FE"/>
    <w:rsid w:val="000C6558"/>
    <w:rsid w:val="000F6712"/>
    <w:rsid w:val="00144A68"/>
    <w:rsid w:val="002133D1"/>
    <w:rsid w:val="00234A48"/>
    <w:rsid w:val="00250661"/>
    <w:rsid w:val="002A673F"/>
    <w:rsid w:val="002B45E6"/>
    <w:rsid w:val="002C28A5"/>
    <w:rsid w:val="00340EB5"/>
    <w:rsid w:val="003F0C56"/>
    <w:rsid w:val="0041477A"/>
    <w:rsid w:val="004826BA"/>
    <w:rsid w:val="004B6F1F"/>
    <w:rsid w:val="0055029A"/>
    <w:rsid w:val="00572FCF"/>
    <w:rsid w:val="00580E30"/>
    <w:rsid w:val="005B3B67"/>
    <w:rsid w:val="006A47DC"/>
    <w:rsid w:val="008014DE"/>
    <w:rsid w:val="0084117B"/>
    <w:rsid w:val="00906930"/>
    <w:rsid w:val="00974FE6"/>
    <w:rsid w:val="00A61355"/>
    <w:rsid w:val="00B25EEB"/>
    <w:rsid w:val="00BC45C1"/>
    <w:rsid w:val="00CF3181"/>
    <w:rsid w:val="00D128F7"/>
    <w:rsid w:val="00E14CDB"/>
    <w:rsid w:val="00ED240A"/>
    <w:rsid w:val="00F44A73"/>
    <w:rsid w:val="00F6576D"/>
    <w:rsid w:val="00FE69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8C6195-A093-420E-83F1-F2C6A4DE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76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576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6576D"/>
    <w:rPr>
      <w:rFonts w:eastAsiaTheme="minorEastAsia"/>
      <w:sz w:val="24"/>
      <w:szCs w:val="24"/>
      <w:lang w:val="es-ES_tradnl" w:eastAsia="es-ES"/>
    </w:rPr>
  </w:style>
  <w:style w:type="paragraph" w:styleId="Piedepgina">
    <w:name w:val="footer"/>
    <w:basedOn w:val="Normal"/>
    <w:link w:val="PiedepginaCar"/>
    <w:uiPriority w:val="99"/>
    <w:unhideWhenUsed/>
    <w:rsid w:val="00F6576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576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6576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6576D"/>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F6576D"/>
    <w:pPr>
      <w:spacing w:after="0" w:line="240" w:lineRule="auto"/>
    </w:pPr>
  </w:style>
  <w:style w:type="character" w:customStyle="1" w:styleId="SinespaciadoCar">
    <w:name w:val="Sin espaciado Car"/>
    <w:aliases w:val="Francesa Car,INAI Car"/>
    <w:link w:val="Sinespaciado"/>
    <w:uiPriority w:val="1"/>
    <w:locked/>
    <w:rsid w:val="00F6576D"/>
  </w:style>
  <w:style w:type="character" w:styleId="Hipervnculo">
    <w:name w:val="Hyperlink"/>
    <w:aliases w:val="Hipervínculo1,Hipervínculo11,Hipervínculo12,Hipervínculo13,Hipervínculo14,Hipervínculo15"/>
    <w:basedOn w:val="Fuentedeprrafopredeter"/>
    <w:uiPriority w:val="99"/>
    <w:unhideWhenUsed/>
    <w:rsid w:val="00F6576D"/>
    <w:rPr>
      <w:color w:val="0563C1" w:themeColor="hyperlink"/>
      <w:u w:val="single"/>
    </w:rPr>
  </w:style>
  <w:style w:type="paragraph" w:customStyle="1" w:styleId="INFOEM">
    <w:name w:val="INFOEM"/>
    <w:basedOn w:val="Normal"/>
    <w:qFormat/>
    <w:rsid w:val="00F6576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F6576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6576D"/>
    <w:rPr>
      <w:vertAlign w:val="superscript"/>
    </w:rPr>
  </w:style>
  <w:style w:type="paragraph" w:customStyle="1" w:styleId="infoemcitas">
    <w:name w:val="infoem citas"/>
    <w:basedOn w:val="Normal"/>
    <w:qFormat/>
    <w:rsid w:val="00F6576D"/>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F6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6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F6576D"/>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temp">
    <w:name w:val="temp"/>
    <w:basedOn w:val="Normal"/>
    <w:rsid w:val="00F6576D"/>
    <w:pPr>
      <w:spacing w:before="100" w:beforeAutospacing="1" w:after="100" w:afterAutospacing="1"/>
    </w:pPr>
    <w:rPr>
      <w:lang w:val="es-MX" w:eastAsia="es-MX"/>
    </w:rPr>
  </w:style>
  <w:style w:type="character" w:customStyle="1" w:styleId="bold">
    <w:name w:val="bold"/>
    <w:basedOn w:val="Fuentedeprrafopredeter"/>
    <w:rsid w:val="00F65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48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25</Pages>
  <Words>5197</Words>
  <Characters>28587</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INFOEM557</cp:lastModifiedBy>
  <cp:revision>11</cp:revision>
  <cp:lastPrinted>2025-10-09T17:16:00Z</cp:lastPrinted>
  <dcterms:created xsi:type="dcterms:W3CDTF">2025-09-29T16:59:00Z</dcterms:created>
  <dcterms:modified xsi:type="dcterms:W3CDTF">2025-11-05T18:27:00Z</dcterms:modified>
</cp:coreProperties>
</file>