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AE607" w14:textId="77777777" w:rsidR="00D457BB" w:rsidRPr="00CF0DAD" w:rsidRDefault="00811D8B">
      <w:pPr>
        <w:spacing w:before="240" w:after="240" w:line="360" w:lineRule="auto"/>
        <w:ind w:right="49"/>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veintinueve de enero de dos mil veinticinco.</w:t>
      </w:r>
    </w:p>
    <w:p w14:paraId="45676B3E" w14:textId="77DBED9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b/>
          <w:sz w:val="24"/>
          <w:szCs w:val="24"/>
        </w:rPr>
        <w:t xml:space="preserve">Vistos </w:t>
      </w:r>
      <w:r w:rsidRPr="00CF0DAD">
        <w:rPr>
          <w:rFonts w:ascii="Palatino Linotype" w:eastAsia="Palatino Linotype" w:hAnsi="Palatino Linotype" w:cs="Palatino Linotype"/>
          <w:sz w:val="24"/>
          <w:szCs w:val="24"/>
        </w:rPr>
        <w:t xml:space="preserve">los expedientes relativos a los recursos de revisión número </w:t>
      </w:r>
      <w:r w:rsidRPr="00CF0DAD">
        <w:rPr>
          <w:rFonts w:ascii="Palatino Linotype" w:eastAsia="Palatino Linotype" w:hAnsi="Palatino Linotype" w:cs="Palatino Linotype"/>
          <w:b/>
          <w:sz w:val="24"/>
          <w:szCs w:val="24"/>
        </w:rPr>
        <w:t xml:space="preserve">07644/INFOEM/IP/RR/2024 </w:t>
      </w:r>
      <w:r w:rsidRPr="00CF0DAD">
        <w:rPr>
          <w:rFonts w:ascii="Palatino Linotype" w:eastAsia="Palatino Linotype" w:hAnsi="Palatino Linotype" w:cs="Palatino Linotype"/>
          <w:sz w:val="24"/>
          <w:szCs w:val="24"/>
        </w:rPr>
        <w:t>y</w:t>
      </w:r>
      <w:r w:rsidRPr="00CF0DAD">
        <w:rPr>
          <w:rFonts w:ascii="Palatino Linotype" w:eastAsia="Palatino Linotype" w:hAnsi="Palatino Linotype" w:cs="Palatino Linotype"/>
          <w:b/>
          <w:sz w:val="24"/>
          <w:szCs w:val="24"/>
        </w:rPr>
        <w:t xml:space="preserve"> 07645/INFOEM/</w:t>
      </w:r>
      <w:r w:rsidRPr="00CF0DAD">
        <w:rPr>
          <w:rFonts w:ascii="Palatino Linotype" w:eastAsia="Palatino Linotype" w:hAnsi="Palatino Linotype" w:cs="Palatino Linotype"/>
          <w:sz w:val="24"/>
          <w:szCs w:val="24"/>
        </w:rPr>
        <w:t>I</w:t>
      </w:r>
      <w:r w:rsidRPr="00CF0DAD">
        <w:rPr>
          <w:rFonts w:ascii="Palatino Linotype" w:eastAsia="Palatino Linotype" w:hAnsi="Palatino Linotype" w:cs="Palatino Linotype"/>
          <w:b/>
          <w:sz w:val="24"/>
          <w:szCs w:val="24"/>
        </w:rPr>
        <w:t xml:space="preserve">P/RR/2024, acumulados, </w:t>
      </w:r>
      <w:r w:rsidRPr="00CF0DAD">
        <w:rPr>
          <w:rFonts w:ascii="Palatino Linotype" w:eastAsia="Palatino Linotype" w:hAnsi="Palatino Linotype" w:cs="Palatino Linotype"/>
          <w:sz w:val="24"/>
          <w:szCs w:val="24"/>
        </w:rPr>
        <w:t>interpuestos por</w:t>
      </w:r>
      <w:r w:rsidRPr="00CF0DAD">
        <w:rPr>
          <w:rFonts w:ascii="Palatino Linotype" w:eastAsia="Palatino Linotype" w:hAnsi="Palatino Linotype" w:cs="Palatino Linotype"/>
          <w:b/>
          <w:sz w:val="24"/>
          <w:szCs w:val="24"/>
        </w:rPr>
        <w:t xml:space="preserve"> </w:t>
      </w:r>
      <w:r w:rsidR="00063DF4" w:rsidRPr="00063DF4">
        <w:rPr>
          <w:rFonts w:ascii="Palatino Linotype" w:eastAsia="Palatino Linotype" w:hAnsi="Palatino Linotype" w:cs="Palatino Linotype"/>
          <w:b/>
          <w:sz w:val="24"/>
          <w:szCs w:val="24"/>
        </w:rPr>
        <w:t>XXXXXXXX XXXXXXX XXXXXX</w:t>
      </w:r>
      <w:r w:rsidRPr="00CF0DAD">
        <w:rPr>
          <w:rFonts w:ascii="Palatino Linotype" w:eastAsia="Palatino Linotype" w:hAnsi="Palatino Linotype" w:cs="Palatino Linotype"/>
          <w:sz w:val="24"/>
          <w:szCs w:val="24"/>
        </w:rPr>
        <w:t xml:space="preserve">, en lo sucesivo la parte </w:t>
      </w:r>
      <w:r w:rsidRPr="00CF0DAD">
        <w:rPr>
          <w:rFonts w:ascii="Palatino Linotype" w:eastAsia="Palatino Linotype" w:hAnsi="Palatino Linotype" w:cs="Palatino Linotype"/>
          <w:b/>
          <w:sz w:val="24"/>
          <w:szCs w:val="24"/>
        </w:rPr>
        <w:t>Recurrente</w:t>
      </w:r>
      <w:r w:rsidRPr="00CF0DAD">
        <w:rPr>
          <w:rFonts w:ascii="Palatino Linotype" w:eastAsia="Palatino Linotype" w:hAnsi="Palatino Linotype" w:cs="Palatino Linotype"/>
          <w:sz w:val="24"/>
          <w:szCs w:val="24"/>
        </w:rPr>
        <w:t xml:space="preserve">, en contra de la respuesta a las solicitudes de información con números de folio </w:t>
      </w:r>
      <w:r w:rsidRPr="00CF0DAD">
        <w:rPr>
          <w:rFonts w:ascii="Palatino Linotype" w:eastAsia="Palatino Linotype" w:hAnsi="Palatino Linotype" w:cs="Palatino Linotype"/>
          <w:b/>
          <w:sz w:val="24"/>
          <w:szCs w:val="24"/>
        </w:rPr>
        <w:t xml:space="preserve">00211/MEXICAL/IP/2024 </w:t>
      </w:r>
      <w:r w:rsidRPr="00CF0DAD">
        <w:rPr>
          <w:rFonts w:ascii="Palatino Linotype" w:eastAsia="Palatino Linotype" w:hAnsi="Palatino Linotype" w:cs="Palatino Linotype"/>
          <w:sz w:val="24"/>
          <w:szCs w:val="24"/>
        </w:rPr>
        <w:t xml:space="preserve">y </w:t>
      </w:r>
      <w:r w:rsidRPr="00CF0DAD">
        <w:rPr>
          <w:rFonts w:ascii="Palatino Linotype" w:eastAsia="Palatino Linotype" w:hAnsi="Palatino Linotype" w:cs="Palatino Linotype"/>
          <w:b/>
          <w:sz w:val="24"/>
          <w:szCs w:val="24"/>
        </w:rPr>
        <w:t xml:space="preserve">00212/MEXICAL/IP/2024, </w:t>
      </w:r>
      <w:r w:rsidRPr="00CF0DAD">
        <w:rPr>
          <w:rFonts w:ascii="Palatino Linotype" w:eastAsia="Palatino Linotype" w:hAnsi="Palatino Linotype" w:cs="Palatino Linotype"/>
          <w:sz w:val="24"/>
          <w:szCs w:val="24"/>
        </w:rPr>
        <w:t xml:space="preserve">por parte del </w:t>
      </w:r>
      <w:r w:rsidRPr="00CF0DAD">
        <w:rPr>
          <w:rFonts w:ascii="Palatino Linotype" w:eastAsia="Palatino Linotype" w:hAnsi="Palatino Linotype" w:cs="Palatino Linotype"/>
          <w:b/>
          <w:sz w:val="24"/>
          <w:szCs w:val="24"/>
        </w:rPr>
        <w:t xml:space="preserve">Ayuntamiento de Mexicaltzingo, </w:t>
      </w:r>
      <w:r w:rsidRPr="00CF0DAD">
        <w:rPr>
          <w:rFonts w:ascii="Palatino Linotype" w:eastAsia="Palatino Linotype" w:hAnsi="Palatino Linotype" w:cs="Palatino Linotype"/>
          <w:sz w:val="24"/>
          <w:szCs w:val="24"/>
        </w:rPr>
        <w:t xml:space="preserve">en lo sucesivo el </w:t>
      </w:r>
      <w:r w:rsidRPr="00CF0DAD">
        <w:rPr>
          <w:rFonts w:ascii="Palatino Linotype" w:eastAsia="Palatino Linotype" w:hAnsi="Palatino Linotype" w:cs="Palatino Linotype"/>
          <w:b/>
          <w:sz w:val="24"/>
          <w:szCs w:val="24"/>
        </w:rPr>
        <w:t xml:space="preserve">Sujeto Obligado; </w:t>
      </w:r>
      <w:r w:rsidRPr="00CF0DAD">
        <w:rPr>
          <w:rFonts w:ascii="Palatino Linotype" w:eastAsia="Palatino Linotype" w:hAnsi="Palatino Linotype" w:cs="Palatino Linotype"/>
          <w:sz w:val="24"/>
          <w:szCs w:val="24"/>
        </w:rPr>
        <w:t>se procede a dictar la presente resolución, con base en lo siguiente:</w:t>
      </w:r>
    </w:p>
    <w:p w14:paraId="2B89F50D" w14:textId="77777777" w:rsidR="00D457BB" w:rsidRPr="00CF0DAD" w:rsidRDefault="00811D8B">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4"/>
          <w:szCs w:val="24"/>
        </w:rPr>
      </w:pPr>
      <w:r w:rsidRPr="00CF0DAD">
        <w:rPr>
          <w:rFonts w:ascii="Palatino Linotype" w:eastAsia="Palatino Linotype" w:hAnsi="Palatino Linotype" w:cs="Palatino Linotype"/>
          <w:b/>
          <w:sz w:val="24"/>
          <w:szCs w:val="24"/>
        </w:rPr>
        <w:t>I. A N T E C E D E N T E S:</w:t>
      </w:r>
    </w:p>
    <w:p w14:paraId="668AD128"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b/>
          <w:sz w:val="24"/>
          <w:szCs w:val="24"/>
        </w:rPr>
        <w:t>1.</w:t>
      </w:r>
      <w:r w:rsidRPr="00CF0DAD">
        <w:rPr>
          <w:rFonts w:ascii="Palatino Linotype" w:eastAsia="Palatino Linotype" w:hAnsi="Palatino Linotype" w:cs="Palatino Linotype"/>
          <w:sz w:val="24"/>
          <w:szCs w:val="24"/>
        </w:rPr>
        <w:t xml:space="preserve"> </w:t>
      </w:r>
      <w:r w:rsidRPr="00CF0DAD">
        <w:rPr>
          <w:rFonts w:ascii="Palatino Linotype" w:eastAsia="Palatino Linotype" w:hAnsi="Palatino Linotype" w:cs="Palatino Linotype"/>
          <w:b/>
          <w:sz w:val="24"/>
          <w:szCs w:val="24"/>
        </w:rPr>
        <w:t xml:space="preserve">Solicitudes de Información. </w:t>
      </w:r>
      <w:r w:rsidRPr="00CF0DAD">
        <w:rPr>
          <w:rFonts w:ascii="Palatino Linotype" w:eastAsia="Palatino Linotype" w:hAnsi="Palatino Linotype" w:cs="Palatino Linotype"/>
          <w:sz w:val="24"/>
          <w:szCs w:val="24"/>
        </w:rPr>
        <w:t xml:space="preserve">El </w:t>
      </w:r>
      <w:r w:rsidRPr="00CF0DAD">
        <w:rPr>
          <w:rFonts w:ascii="Palatino Linotype" w:eastAsia="Palatino Linotype" w:hAnsi="Palatino Linotype" w:cs="Palatino Linotype"/>
          <w:b/>
          <w:sz w:val="24"/>
          <w:szCs w:val="24"/>
        </w:rPr>
        <w:t xml:space="preserve">diecinueve de noviembre de dos mil veinticuatro, </w:t>
      </w:r>
      <w:r w:rsidRPr="00CF0DAD">
        <w:rPr>
          <w:rFonts w:ascii="Palatino Linotype" w:eastAsia="Palatino Linotype" w:hAnsi="Palatino Linotype" w:cs="Palatino Linotype"/>
          <w:sz w:val="24"/>
          <w:szCs w:val="24"/>
        </w:rPr>
        <w:t>la persona solicitante</w:t>
      </w:r>
      <w:r w:rsidRPr="00CF0DAD">
        <w:rPr>
          <w:rFonts w:ascii="Palatino Linotype" w:eastAsia="Palatino Linotype" w:hAnsi="Palatino Linotype" w:cs="Palatino Linotype"/>
          <w:b/>
          <w:sz w:val="24"/>
          <w:szCs w:val="24"/>
        </w:rPr>
        <w:t xml:space="preserve"> </w:t>
      </w:r>
      <w:r w:rsidRPr="00CF0DAD">
        <w:rPr>
          <w:rFonts w:ascii="Palatino Linotype" w:eastAsia="Palatino Linotype" w:hAnsi="Palatino Linotype" w:cs="Palatino Linotype"/>
          <w:sz w:val="24"/>
          <w:szCs w:val="24"/>
        </w:rPr>
        <w:t xml:space="preserve">presentó, través del Sistema de Acceso a la Información Mexiquense, en lo subsecuente el </w:t>
      </w:r>
      <w:r w:rsidRPr="00CF0DAD">
        <w:rPr>
          <w:rFonts w:ascii="Palatino Linotype" w:eastAsia="Palatino Linotype" w:hAnsi="Palatino Linotype" w:cs="Palatino Linotype"/>
          <w:b/>
          <w:sz w:val="24"/>
          <w:szCs w:val="24"/>
        </w:rPr>
        <w:t xml:space="preserve">SAIMEX, </w:t>
      </w:r>
      <w:r w:rsidRPr="00CF0DAD">
        <w:rPr>
          <w:rFonts w:ascii="Palatino Linotype" w:eastAsia="Palatino Linotype" w:hAnsi="Palatino Linotype" w:cs="Palatino Linotype"/>
          <w:sz w:val="24"/>
          <w:szCs w:val="24"/>
        </w:rPr>
        <w:t xml:space="preserve">ante el </w:t>
      </w:r>
      <w:r w:rsidRPr="00CF0DAD">
        <w:rPr>
          <w:rFonts w:ascii="Palatino Linotype" w:eastAsia="Palatino Linotype" w:hAnsi="Palatino Linotype" w:cs="Palatino Linotype"/>
          <w:b/>
          <w:sz w:val="24"/>
          <w:szCs w:val="24"/>
        </w:rPr>
        <w:t>Sujeto Obligado</w:t>
      </w:r>
      <w:r w:rsidRPr="00CF0DAD">
        <w:rPr>
          <w:rFonts w:ascii="Palatino Linotype" w:eastAsia="Palatino Linotype" w:hAnsi="Palatino Linotype" w:cs="Palatino Linotype"/>
          <w:sz w:val="24"/>
          <w:szCs w:val="24"/>
        </w:rPr>
        <w:t>, las solicitudes de acceso a la información pública, mediante las cuales requirió la información siguiente:</w:t>
      </w:r>
    </w:p>
    <w:p w14:paraId="7686D8C6" w14:textId="77777777" w:rsidR="00D457BB" w:rsidRPr="00CF0DAD" w:rsidRDefault="00D457BB">
      <w:pPr>
        <w:spacing w:before="240" w:after="240" w:line="360" w:lineRule="auto"/>
        <w:jc w:val="both"/>
        <w:rPr>
          <w:rFonts w:ascii="Palatino Linotype" w:eastAsia="Palatino Linotype" w:hAnsi="Palatino Linotype" w:cs="Palatino Linotype"/>
          <w:sz w:val="24"/>
          <w:szCs w:val="24"/>
        </w:rPr>
      </w:pPr>
    </w:p>
    <w:p w14:paraId="2E371DB1" w14:textId="77777777" w:rsidR="00D457BB" w:rsidRPr="00CF0DAD" w:rsidRDefault="00D457BB">
      <w:pPr>
        <w:spacing w:before="240" w:after="240" w:line="360" w:lineRule="auto"/>
        <w:jc w:val="both"/>
        <w:rPr>
          <w:rFonts w:ascii="Palatino Linotype" w:eastAsia="Palatino Linotype" w:hAnsi="Palatino Linotype" w:cs="Palatino Linotype"/>
          <w:sz w:val="24"/>
          <w:szCs w:val="24"/>
        </w:rPr>
      </w:pPr>
    </w:p>
    <w:tbl>
      <w:tblPr>
        <w:tblStyle w:val="affff9"/>
        <w:tblW w:w="88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5670"/>
      </w:tblGrid>
      <w:tr w:rsidR="00EA5AF5" w:rsidRPr="00CF0DAD" w14:paraId="0424F8B9" w14:textId="77777777">
        <w:trPr>
          <w:jc w:val="center"/>
        </w:trPr>
        <w:tc>
          <w:tcPr>
            <w:tcW w:w="3141" w:type="dxa"/>
            <w:shd w:val="clear" w:color="auto" w:fill="D0CECE"/>
            <w:vAlign w:val="center"/>
          </w:tcPr>
          <w:p w14:paraId="137AC939" w14:textId="77777777" w:rsidR="00D457BB" w:rsidRPr="00CF0DAD" w:rsidRDefault="00811D8B">
            <w:pPr>
              <w:spacing w:before="120" w:after="120" w:line="240" w:lineRule="auto"/>
              <w:jc w:val="center"/>
              <w:rPr>
                <w:rFonts w:ascii="Palatino Linotype" w:eastAsia="Palatino Linotype" w:hAnsi="Palatino Linotype" w:cs="Palatino Linotype"/>
                <w:b/>
                <w:i/>
                <w:sz w:val="20"/>
                <w:szCs w:val="20"/>
              </w:rPr>
            </w:pPr>
            <w:bookmarkStart w:id="0" w:name="_heading=h.1fob9te" w:colFirst="0" w:colLast="0"/>
            <w:bookmarkEnd w:id="0"/>
            <w:r w:rsidRPr="00CF0DAD">
              <w:rPr>
                <w:rFonts w:ascii="Palatino Linotype" w:eastAsia="Palatino Linotype" w:hAnsi="Palatino Linotype" w:cs="Palatino Linotype"/>
                <w:b/>
                <w:sz w:val="20"/>
                <w:szCs w:val="20"/>
              </w:rPr>
              <w:lastRenderedPageBreak/>
              <w:t>Número de solicitud</w:t>
            </w:r>
          </w:p>
        </w:tc>
        <w:tc>
          <w:tcPr>
            <w:tcW w:w="5670" w:type="dxa"/>
            <w:shd w:val="clear" w:color="auto" w:fill="D0CECE"/>
            <w:vAlign w:val="center"/>
          </w:tcPr>
          <w:p w14:paraId="688652D7" w14:textId="77777777" w:rsidR="00D457BB" w:rsidRPr="00CF0DAD" w:rsidRDefault="00811D8B">
            <w:pPr>
              <w:spacing w:before="120" w:after="120" w:line="240" w:lineRule="auto"/>
              <w:jc w:val="center"/>
              <w:rPr>
                <w:rFonts w:ascii="Palatino Linotype" w:eastAsia="Palatino Linotype" w:hAnsi="Palatino Linotype" w:cs="Palatino Linotype"/>
                <w:b/>
                <w:i/>
                <w:sz w:val="20"/>
                <w:szCs w:val="20"/>
              </w:rPr>
            </w:pPr>
            <w:r w:rsidRPr="00CF0DAD">
              <w:rPr>
                <w:rFonts w:ascii="Palatino Linotype" w:eastAsia="Palatino Linotype" w:hAnsi="Palatino Linotype" w:cs="Palatino Linotype"/>
                <w:b/>
                <w:sz w:val="20"/>
                <w:szCs w:val="20"/>
              </w:rPr>
              <w:t>Información solicitada</w:t>
            </w:r>
          </w:p>
        </w:tc>
      </w:tr>
      <w:tr w:rsidR="00EA5AF5" w:rsidRPr="00CF0DAD" w14:paraId="6F6D4AF6" w14:textId="77777777">
        <w:trPr>
          <w:jc w:val="center"/>
        </w:trPr>
        <w:tc>
          <w:tcPr>
            <w:tcW w:w="3141" w:type="dxa"/>
          </w:tcPr>
          <w:p w14:paraId="196672ED" w14:textId="77777777" w:rsidR="00D457BB" w:rsidRPr="00CF0DAD" w:rsidRDefault="00811D8B">
            <w:pPr>
              <w:spacing w:before="120" w:after="120" w:line="240" w:lineRule="auto"/>
              <w:jc w:val="center"/>
              <w:rPr>
                <w:rFonts w:ascii="Palatino Linotype" w:eastAsia="Palatino Linotype" w:hAnsi="Palatino Linotype" w:cs="Palatino Linotype"/>
                <w:b/>
                <w:sz w:val="20"/>
                <w:szCs w:val="20"/>
              </w:rPr>
            </w:pPr>
            <w:bookmarkStart w:id="1" w:name="_heading=h.3znysh7" w:colFirst="0" w:colLast="0"/>
            <w:bookmarkEnd w:id="1"/>
            <w:r w:rsidRPr="00CF0DAD">
              <w:rPr>
                <w:rFonts w:ascii="Palatino Linotype" w:eastAsia="Palatino Linotype" w:hAnsi="Palatino Linotype" w:cs="Palatino Linotype"/>
                <w:b/>
                <w:sz w:val="20"/>
                <w:szCs w:val="20"/>
              </w:rPr>
              <w:t>00212/MEXICAL/IP/2024</w:t>
            </w:r>
          </w:p>
          <w:p w14:paraId="0A53BDE6" w14:textId="77777777" w:rsidR="00D457BB" w:rsidRPr="00CF0DAD" w:rsidRDefault="00811D8B">
            <w:pPr>
              <w:spacing w:before="120" w:after="120" w:line="240" w:lineRule="auto"/>
              <w:jc w:val="center"/>
              <w:rPr>
                <w:rFonts w:ascii="Palatino Linotype" w:eastAsia="Palatino Linotype" w:hAnsi="Palatino Linotype" w:cs="Palatino Linotype"/>
                <w:b/>
                <w:i/>
                <w:sz w:val="20"/>
                <w:szCs w:val="20"/>
              </w:rPr>
            </w:pPr>
            <w:r w:rsidRPr="00CF0DAD">
              <w:rPr>
                <w:rFonts w:ascii="Palatino Linotype" w:eastAsia="Palatino Linotype" w:hAnsi="Palatino Linotype" w:cs="Palatino Linotype"/>
                <w:b/>
                <w:sz w:val="20"/>
                <w:szCs w:val="20"/>
              </w:rPr>
              <w:t>07644/INFOEM/IP/RR/2024</w:t>
            </w:r>
          </w:p>
        </w:tc>
        <w:tc>
          <w:tcPr>
            <w:tcW w:w="5670" w:type="dxa"/>
            <w:vMerge w:val="restart"/>
            <w:vAlign w:val="center"/>
          </w:tcPr>
          <w:p w14:paraId="49A8E530" w14:textId="77777777" w:rsidR="00D457BB" w:rsidRPr="00CF0DAD" w:rsidRDefault="00811D8B">
            <w:pPr>
              <w:spacing w:before="120" w:after="120" w:line="240" w:lineRule="auto"/>
              <w:jc w:val="both"/>
              <w:rPr>
                <w:rFonts w:ascii="Palatino Linotype" w:eastAsia="Palatino Linotype" w:hAnsi="Palatino Linotype" w:cs="Palatino Linotype"/>
                <w:i/>
                <w:sz w:val="20"/>
                <w:szCs w:val="20"/>
              </w:rPr>
            </w:pPr>
            <w:r w:rsidRPr="00CF0DAD">
              <w:rPr>
                <w:rFonts w:ascii="Palatino Linotype" w:eastAsia="Palatino Linotype" w:hAnsi="Palatino Linotype" w:cs="Palatino Linotype"/>
                <w:i/>
                <w:sz w:val="20"/>
                <w:szCs w:val="20"/>
              </w:rPr>
              <w:t>“OIC participa de manera permanente en el proceso de implementación del PMG" (sic)</w:t>
            </w:r>
          </w:p>
        </w:tc>
      </w:tr>
      <w:tr w:rsidR="00EA5AF5" w:rsidRPr="00CF0DAD" w14:paraId="4FD4CDC4" w14:textId="77777777">
        <w:trPr>
          <w:jc w:val="center"/>
        </w:trPr>
        <w:tc>
          <w:tcPr>
            <w:tcW w:w="3141" w:type="dxa"/>
            <w:vAlign w:val="center"/>
          </w:tcPr>
          <w:p w14:paraId="4EE1A81E" w14:textId="77777777" w:rsidR="00D457BB" w:rsidRPr="00CF0DAD" w:rsidRDefault="00811D8B">
            <w:pPr>
              <w:spacing w:before="120" w:after="120" w:line="240" w:lineRule="auto"/>
              <w:jc w:val="center"/>
              <w:rPr>
                <w:rFonts w:ascii="Palatino Linotype" w:eastAsia="Palatino Linotype" w:hAnsi="Palatino Linotype" w:cs="Palatino Linotype"/>
                <w:b/>
                <w:sz w:val="20"/>
                <w:szCs w:val="20"/>
              </w:rPr>
            </w:pPr>
            <w:r w:rsidRPr="00CF0DAD">
              <w:rPr>
                <w:rFonts w:ascii="Palatino Linotype" w:eastAsia="Palatino Linotype" w:hAnsi="Palatino Linotype" w:cs="Palatino Linotype"/>
                <w:b/>
                <w:sz w:val="20"/>
                <w:szCs w:val="20"/>
              </w:rPr>
              <w:t>00211/MEXICAL/IP/2024</w:t>
            </w:r>
          </w:p>
          <w:p w14:paraId="41FB5E57" w14:textId="77777777" w:rsidR="00D457BB" w:rsidRPr="00CF0DAD" w:rsidRDefault="00811D8B">
            <w:pPr>
              <w:spacing w:before="120" w:after="120" w:line="240" w:lineRule="auto"/>
              <w:jc w:val="center"/>
              <w:rPr>
                <w:rFonts w:ascii="Palatino Linotype" w:eastAsia="Palatino Linotype" w:hAnsi="Palatino Linotype" w:cs="Palatino Linotype"/>
                <w:b/>
                <w:sz w:val="20"/>
                <w:szCs w:val="20"/>
              </w:rPr>
            </w:pPr>
            <w:r w:rsidRPr="00CF0DAD">
              <w:rPr>
                <w:rFonts w:ascii="Palatino Linotype" w:eastAsia="Palatino Linotype" w:hAnsi="Palatino Linotype" w:cs="Palatino Linotype"/>
                <w:b/>
                <w:sz w:val="20"/>
                <w:szCs w:val="20"/>
              </w:rPr>
              <w:t>07645/INFOEM/IP/RR/2024</w:t>
            </w:r>
          </w:p>
        </w:tc>
        <w:tc>
          <w:tcPr>
            <w:tcW w:w="5670" w:type="dxa"/>
            <w:vMerge/>
            <w:vAlign w:val="center"/>
          </w:tcPr>
          <w:p w14:paraId="635F0878" w14:textId="77777777" w:rsidR="00D457BB" w:rsidRPr="00CF0DAD" w:rsidRDefault="00D457BB">
            <w:pPr>
              <w:widowControl w:val="0"/>
              <w:pBdr>
                <w:top w:val="nil"/>
                <w:left w:val="nil"/>
                <w:bottom w:val="nil"/>
                <w:right w:val="nil"/>
                <w:between w:val="nil"/>
              </w:pBdr>
              <w:spacing w:after="0" w:line="276" w:lineRule="auto"/>
              <w:rPr>
                <w:rFonts w:ascii="Palatino Linotype" w:eastAsia="Palatino Linotype" w:hAnsi="Palatino Linotype" w:cs="Palatino Linotype"/>
                <w:b/>
                <w:sz w:val="20"/>
                <w:szCs w:val="20"/>
              </w:rPr>
            </w:pPr>
          </w:p>
        </w:tc>
      </w:tr>
    </w:tbl>
    <w:p w14:paraId="31E6C0CE"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b/>
          <w:sz w:val="24"/>
          <w:szCs w:val="24"/>
        </w:rPr>
        <w:t xml:space="preserve">Modalidad elegida para la entrega de la información: </w:t>
      </w:r>
      <w:r w:rsidRPr="00CF0DAD">
        <w:rPr>
          <w:rFonts w:ascii="Palatino Linotype" w:eastAsia="Palatino Linotype" w:hAnsi="Palatino Linotype" w:cs="Palatino Linotype"/>
          <w:sz w:val="24"/>
          <w:szCs w:val="24"/>
        </w:rPr>
        <w:t>a través del SAIMEX en ambos casos.</w:t>
      </w:r>
    </w:p>
    <w:p w14:paraId="7C7F6830" w14:textId="77777777" w:rsidR="00D457BB" w:rsidRPr="00CF0DAD" w:rsidRDefault="00811D8B">
      <w:pPr>
        <w:widowControl w:val="0"/>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b/>
          <w:sz w:val="24"/>
          <w:szCs w:val="24"/>
        </w:rPr>
        <w:t>2</w:t>
      </w:r>
      <w:r w:rsidRPr="00CF0DAD">
        <w:rPr>
          <w:rFonts w:ascii="Palatino Linotype" w:eastAsia="Palatino Linotype" w:hAnsi="Palatino Linotype" w:cs="Palatino Linotype"/>
          <w:sz w:val="24"/>
          <w:szCs w:val="24"/>
        </w:rPr>
        <w:t xml:space="preserve">. </w:t>
      </w:r>
      <w:r w:rsidRPr="00CF0DAD">
        <w:rPr>
          <w:rFonts w:ascii="Palatino Linotype" w:eastAsia="Palatino Linotype" w:hAnsi="Palatino Linotype" w:cs="Palatino Linotype"/>
          <w:b/>
          <w:sz w:val="24"/>
          <w:szCs w:val="24"/>
        </w:rPr>
        <w:t xml:space="preserve">Respuesta. </w:t>
      </w:r>
      <w:r w:rsidRPr="00CF0DAD">
        <w:rPr>
          <w:rFonts w:ascii="Palatino Linotype" w:eastAsia="Palatino Linotype" w:hAnsi="Palatino Linotype" w:cs="Palatino Linotype"/>
          <w:sz w:val="24"/>
          <w:szCs w:val="24"/>
        </w:rPr>
        <w:t xml:space="preserve">El </w:t>
      </w:r>
      <w:r w:rsidRPr="00CF0DAD">
        <w:rPr>
          <w:rFonts w:ascii="Palatino Linotype" w:eastAsia="Palatino Linotype" w:hAnsi="Palatino Linotype" w:cs="Palatino Linotype"/>
          <w:b/>
          <w:sz w:val="24"/>
          <w:szCs w:val="24"/>
        </w:rPr>
        <w:t>diez de diciembre de dos mil veinticuatro</w:t>
      </w:r>
      <w:r w:rsidRPr="00CF0DAD">
        <w:rPr>
          <w:rFonts w:ascii="Palatino Linotype" w:eastAsia="Palatino Linotype" w:hAnsi="Palatino Linotype" w:cs="Palatino Linotype"/>
          <w:sz w:val="24"/>
          <w:szCs w:val="24"/>
        </w:rPr>
        <w:t xml:space="preserve">, el </w:t>
      </w:r>
      <w:r w:rsidRPr="00CF0DAD">
        <w:rPr>
          <w:rFonts w:ascii="Palatino Linotype" w:eastAsia="Palatino Linotype" w:hAnsi="Palatino Linotype" w:cs="Palatino Linotype"/>
          <w:b/>
          <w:sz w:val="24"/>
          <w:szCs w:val="24"/>
        </w:rPr>
        <w:t xml:space="preserve">Sujeto Obligado </w:t>
      </w:r>
      <w:r w:rsidRPr="00CF0DAD">
        <w:rPr>
          <w:rFonts w:ascii="Palatino Linotype" w:eastAsia="Palatino Linotype" w:hAnsi="Palatino Linotype" w:cs="Palatino Linotype"/>
          <w:sz w:val="24"/>
          <w:szCs w:val="24"/>
        </w:rPr>
        <w:t xml:space="preserve">envió su respuesta a las solicitudes de acceso a la información a través de SAIMEX, sustancialmente en los términos siguientes:  </w:t>
      </w:r>
    </w:p>
    <w:tbl>
      <w:tblPr>
        <w:tblStyle w:val="afff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714"/>
      </w:tblGrid>
      <w:tr w:rsidR="00EA5AF5" w:rsidRPr="00CF0DAD" w14:paraId="17F9921D" w14:textId="77777777">
        <w:trPr>
          <w:jc w:val="center"/>
        </w:trPr>
        <w:tc>
          <w:tcPr>
            <w:tcW w:w="3114" w:type="dxa"/>
            <w:shd w:val="clear" w:color="auto" w:fill="D0CECE"/>
          </w:tcPr>
          <w:p w14:paraId="3ECCF2F9" w14:textId="77777777" w:rsidR="00D457BB" w:rsidRPr="00CF0DAD" w:rsidRDefault="00811D8B">
            <w:pPr>
              <w:spacing w:before="120" w:after="120" w:line="240" w:lineRule="auto"/>
              <w:jc w:val="center"/>
              <w:rPr>
                <w:rFonts w:ascii="Palatino Linotype" w:eastAsia="Palatino Linotype" w:hAnsi="Palatino Linotype" w:cs="Palatino Linotype"/>
                <w:b/>
                <w:sz w:val="20"/>
                <w:szCs w:val="20"/>
              </w:rPr>
            </w:pPr>
            <w:r w:rsidRPr="00CF0DAD">
              <w:rPr>
                <w:rFonts w:ascii="Palatino Linotype" w:eastAsia="Palatino Linotype" w:hAnsi="Palatino Linotype" w:cs="Palatino Linotype"/>
                <w:b/>
                <w:sz w:val="20"/>
                <w:szCs w:val="20"/>
              </w:rPr>
              <w:t>Número de solicitud</w:t>
            </w:r>
          </w:p>
        </w:tc>
        <w:tc>
          <w:tcPr>
            <w:tcW w:w="5714" w:type="dxa"/>
            <w:shd w:val="clear" w:color="auto" w:fill="D0CECE"/>
          </w:tcPr>
          <w:p w14:paraId="579205E9" w14:textId="77777777" w:rsidR="00D457BB" w:rsidRPr="00CF0DAD" w:rsidRDefault="00811D8B">
            <w:pPr>
              <w:spacing w:before="120" w:after="120" w:line="240" w:lineRule="auto"/>
              <w:jc w:val="center"/>
              <w:rPr>
                <w:rFonts w:ascii="Palatino Linotype" w:eastAsia="Palatino Linotype" w:hAnsi="Palatino Linotype" w:cs="Palatino Linotype"/>
                <w:b/>
                <w:sz w:val="20"/>
                <w:szCs w:val="20"/>
              </w:rPr>
            </w:pPr>
            <w:r w:rsidRPr="00CF0DAD">
              <w:rPr>
                <w:rFonts w:ascii="Palatino Linotype" w:eastAsia="Palatino Linotype" w:hAnsi="Palatino Linotype" w:cs="Palatino Linotype"/>
                <w:b/>
                <w:sz w:val="20"/>
                <w:szCs w:val="20"/>
              </w:rPr>
              <w:t>Respuesta</w:t>
            </w:r>
          </w:p>
        </w:tc>
      </w:tr>
      <w:tr w:rsidR="00EA5AF5" w:rsidRPr="00CF0DAD" w14:paraId="01766168" w14:textId="77777777">
        <w:trPr>
          <w:jc w:val="center"/>
        </w:trPr>
        <w:tc>
          <w:tcPr>
            <w:tcW w:w="3114" w:type="dxa"/>
            <w:vAlign w:val="center"/>
          </w:tcPr>
          <w:p w14:paraId="5C672D89" w14:textId="77777777" w:rsidR="00D457BB" w:rsidRPr="00CF0DAD" w:rsidRDefault="00811D8B">
            <w:pPr>
              <w:spacing w:before="120" w:after="120" w:line="240" w:lineRule="auto"/>
              <w:jc w:val="center"/>
              <w:rPr>
                <w:rFonts w:ascii="Palatino Linotype" w:eastAsia="Palatino Linotype" w:hAnsi="Palatino Linotype" w:cs="Palatino Linotype"/>
                <w:b/>
                <w:sz w:val="20"/>
                <w:szCs w:val="20"/>
              </w:rPr>
            </w:pPr>
            <w:r w:rsidRPr="00CF0DAD">
              <w:rPr>
                <w:rFonts w:ascii="Palatino Linotype" w:eastAsia="Palatino Linotype" w:hAnsi="Palatino Linotype" w:cs="Palatino Linotype"/>
                <w:b/>
                <w:sz w:val="20"/>
                <w:szCs w:val="20"/>
              </w:rPr>
              <w:t>00212/MEXICAL/IP/2024</w:t>
            </w:r>
          </w:p>
          <w:p w14:paraId="7D4ADA26" w14:textId="77777777" w:rsidR="00D457BB" w:rsidRPr="00CF0DAD" w:rsidRDefault="00811D8B">
            <w:pPr>
              <w:spacing w:before="120" w:after="120" w:line="240" w:lineRule="auto"/>
              <w:jc w:val="center"/>
              <w:rPr>
                <w:rFonts w:ascii="Palatino Linotype" w:eastAsia="Palatino Linotype" w:hAnsi="Palatino Linotype" w:cs="Palatino Linotype"/>
                <w:b/>
                <w:sz w:val="20"/>
                <w:szCs w:val="20"/>
              </w:rPr>
            </w:pPr>
            <w:r w:rsidRPr="00CF0DAD">
              <w:rPr>
                <w:rFonts w:ascii="Palatino Linotype" w:eastAsia="Palatino Linotype" w:hAnsi="Palatino Linotype" w:cs="Palatino Linotype"/>
                <w:b/>
                <w:sz w:val="20"/>
                <w:szCs w:val="20"/>
              </w:rPr>
              <w:t>07644/INFOEM/IP/RR/2024</w:t>
            </w:r>
          </w:p>
        </w:tc>
        <w:tc>
          <w:tcPr>
            <w:tcW w:w="5714" w:type="dxa"/>
            <w:vMerge w:val="restart"/>
            <w:vAlign w:val="center"/>
          </w:tcPr>
          <w:p w14:paraId="3B9FEDE6" w14:textId="77777777" w:rsidR="00D457BB" w:rsidRPr="00CF0DAD" w:rsidRDefault="00811D8B">
            <w:pPr>
              <w:spacing w:before="120" w:after="120" w:line="240" w:lineRule="auto"/>
              <w:jc w:val="both"/>
              <w:rPr>
                <w:rFonts w:ascii="Palatino Linotype" w:eastAsia="Palatino Linotype" w:hAnsi="Palatino Linotype" w:cs="Palatino Linotype"/>
                <w:i/>
                <w:sz w:val="20"/>
                <w:szCs w:val="20"/>
              </w:rPr>
            </w:pPr>
            <w:r w:rsidRPr="00CF0DAD">
              <w:rPr>
                <w:rFonts w:ascii="Palatino Linotype" w:eastAsia="Palatino Linotype" w:hAnsi="Palatino Linotype" w:cs="Palatino Linotype"/>
                <w:i/>
                <w:sz w:val="20"/>
                <w:szCs w:val="20"/>
              </w:rPr>
              <w:t xml:space="preserve">“Para dar atención a su solicitud de información, le informo a usted que sea </w:t>
            </w:r>
            <w:proofErr w:type="spellStart"/>
            <w:r w:rsidRPr="00CF0DAD">
              <w:rPr>
                <w:rFonts w:ascii="Palatino Linotype" w:eastAsia="Palatino Linotype" w:hAnsi="Palatino Linotype" w:cs="Palatino Linotype"/>
                <w:i/>
                <w:sz w:val="20"/>
                <w:szCs w:val="20"/>
              </w:rPr>
              <w:t>mas</w:t>
            </w:r>
            <w:proofErr w:type="spellEnd"/>
            <w:r w:rsidRPr="00CF0DAD">
              <w:rPr>
                <w:rFonts w:ascii="Palatino Linotype" w:eastAsia="Palatino Linotype" w:hAnsi="Palatino Linotype" w:cs="Palatino Linotype"/>
                <w:i/>
                <w:sz w:val="20"/>
                <w:szCs w:val="20"/>
              </w:rPr>
              <w:t xml:space="preserve"> preciso (a) en determinar que es el PMG, ya que dentro de este SUJETO OBLIGADO, se desconoce el </w:t>
            </w:r>
            <w:proofErr w:type="spellStart"/>
            <w:r w:rsidRPr="00CF0DAD">
              <w:rPr>
                <w:rFonts w:ascii="Palatino Linotype" w:eastAsia="Palatino Linotype" w:hAnsi="Palatino Linotype" w:cs="Palatino Linotype"/>
                <w:i/>
                <w:sz w:val="20"/>
                <w:szCs w:val="20"/>
              </w:rPr>
              <w:t>termino</w:t>
            </w:r>
            <w:proofErr w:type="spellEnd"/>
            <w:r w:rsidRPr="00CF0DAD">
              <w:rPr>
                <w:rFonts w:ascii="Palatino Linotype" w:eastAsia="Palatino Linotype" w:hAnsi="Palatino Linotype" w:cs="Palatino Linotype"/>
                <w:i/>
                <w:sz w:val="20"/>
                <w:szCs w:val="20"/>
              </w:rPr>
              <w:t>.” (Sic)</w:t>
            </w:r>
          </w:p>
        </w:tc>
      </w:tr>
      <w:tr w:rsidR="00EA5AF5" w:rsidRPr="00CF0DAD" w14:paraId="5442A616" w14:textId="77777777">
        <w:trPr>
          <w:jc w:val="center"/>
        </w:trPr>
        <w:tc>
          <w:tcPr>
            <w:tcW w:w="3114" w:type="dxa"/>
            <w:vAlign w:val="center"/>
          </w:tcPr>
          <w:p w14:paraId="358385E2" w14:textId="77777777" w:rsidR="00D457BB" w:rsidRPr="00CF0DAD" w:rsidRDefault="00811D8B">
            <w:pPr>
              <w:spacing w:before="120" w:after="120" w:line="240" w:lineRule="auto"/>
              <w:jc w:val="center"/>
              <w:rPr>
                <w:rFonts w:ascii="Palatino Linotype" w:eastAsia="Palatino Linotype" w:hAnsi="Palatino Linotype" w:cs="Palatino Linotype"/>
                <w:b/>
                <w:sz w:val="20"/>
                <w:szCs w:val="20"/>
              </w:rPr>
            </w:pPr>
            <w:r w:rsidRPr="00CF0DAD">
              <w:rPr>
                <w:rFonts w:ascii="Palatino Linotype" w:eastAsia="Palatino Linotype" w:hAnsi="Palatino Linotype" w:cs="Palatino Linotype"/>
                <w:b/>
                <w:sz w:val="20"/>
                <w:szCs w:val="20"/>
              </w:rPr>
              <w:t>00211/MEXICAL/IP/2024</w:t>
            </w:r>
          </w:p>
          <w:p w14:paraId="11B4044D" w14:textId="77777777" w:rsidR="00D457BB" w:rsidRPr="00CF0DAD" w:rsidRDefault="00811D8B">
            <w:pPr>
              <w:spacing w:before="120" w:after="120" w:line="240" w:lineRule="auto"/>
              <w:jc w:val="center"/>
              <w:rPr>
                <w:rFonts w:ascii="Palatino Linotype" w:eastAsia="Palatino Linotype" w:hAnsi="Palatino Linotype" w:cs="Palatino Linotype"/>
                <w:b/>
                <w:i/>
                <w:sz w:val="20"/>
                <w:szCs w:val="20"/>
              </w:rPr>
            </w:pPr>
            <w:r w:rsidRPr="00CF0DAD">
              <w:rPr>
                <w:rFonts w:ascii="Palatino Linotype" w:eastAsia="Palatino Linotype" w:hAnsi="Palatino Linotype" w:cs="Palatino Linotype"/>
                <w:b/>
                <w:sz w:val="20"/>
                <w:szCs w:val="20"/>
              </w:rPr>
              <w:t>07645/INFOEM/IP/RR/2024</w:t>
            </w:r>
          </w:p>
        </w:tc>
        <w:tc>
          <w:tcPr>
            <w:tcW w:w="5714" w:type="dxa"/>
            <w:vMerge/>
            <w:vAlign w:val="center"/>
          </w:tcPr>
          <w:p w14:paraId="4215AAB4" w14:textId="77777777" w:rsidR="00D457BB" w:rsidRPr="00CF0DAD" w:rsidRDefault="00D457BB">
            <w:pPr>
              <w:widowControl w:val="0"/>
              <w:pBdr>
                <w:top w:val="nil"/>
                <w:left w:val="nil"/>
                <w:bottom w:val="nil"/>
                <w:right w:val="nil"/>
                <w:between w:val="nil"/>
              </w:pBdr>
              <w:spacing w:after="0" w:line="276" w:lineRule="auto"/>
              <w:rPr>
                <w:rFonts w:ascii="Palatino Linotype" w:eastAsia="Palatino Linotype" w:hAnsi="Palatino Linotype" w:cs="Palatino Linotype"/>
                <w:b/>
                <w:i/>
                <w:sz w:val="20"/>
                <w:szCs w:val="20"/>
              </w:rPr>
            </w:pPr>
          </w:p>
        </w:tc>
      </w:tr>
    </w:tbl>
    <w:p w14:paraId="1BEA8D02" w14:textId="77777777" w:rsidR="00D457BB" w:rsidRPr="00CF0DAD" w:rsidRDefault="00811D8B">
      <w:pPr>
        <w:widowControl w:val="0"/>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b/>
          <w:sz w:val="24"/>
          <w:szCs w:val="24"/>
        </w:rPr>
        <w:t xml:space="preserve">3. Interposición de los recursos de revisión. </w:t>
      </w:r>
      <w:r w:rsidRPr="00CF0DAD">
        <w:rPr>
          <w:rFonts w:ascii="Palatino Linotype" w:eastAsia="Palatino Linotype" w:hAnsi="Palatino Linotype" w:cs="Palatino Linotype"/>
          <w:sz w:val="24"/>
          <w:szCs w:val="24"/>
        </w:rPr>
        <w:t>Inconforme con las respuestas del</w:t>
      </w:r>
      <w:r w:rsidRPr="00CF0DAD">
        <w:rPr>
          <w:rFonts w:ascii="Palatino Linotype" w:eastAsia="Palatino Linotype" w:hAnsi="Palatino Linotype" w:cs="Palatino Linotype"/>
          <w:b/>
          <w:sz w:val="24"/>
          <w:szCs w:val="24"/>
        </w:rPr>
        <w:t xml:space="preserve"> Sujeto Obligado, </w:t>
      </w:r>
      <w:r w:rsidRPr="00CF0DAD">
        <w:rPr>
          <w:rFonts w:ascii="Palatino Linotype" w:eastAsia="Palatino Linotype" w:hAnsi="Palatino Linotype" w:cs="Palatino Linotype"/>
          <w:sz w:val="24"/>
          <w:szCs w:val="24"/>
        </w:rPr>
        <w:t xml:space="preserve">el </w:t>
      </w:r>
      <w:r w:rsidRPr="00CF0DAD">
        <w:rPr>
          <w:rFonts w:ascii="Palatino Linotype" w:eastAsia="Palatino Linotype" w:hAnsi="Palatino Linotype" w:cs="Palatino Linotype"/>
          <w:b/>
          <w:sz w:val="24"/>
          <w:szCs w:val="24"/>
        </w:rPr>
        <w:t xml:space="preserve">doce de diciembre de dos mil veinticuatro, </w:t>
      </w:r>
      <w:r w:rsidRPr="00CF0DAD">
        <w:rPr>
          <w:rFonts w:ascii="Palatino Linotype" w:eastAsia="Palatino Linotype" w:hAnsi="Palatino Linotype" w:cs="Palatino Linotype"/>
          <w:sz w:val="24"/>
          <w:szCs w:val="24"/>
        </w:rPr>
        <w:t>la parte</w:t>
      </w:r>
      <w:r w:rsidRPr="00CF0DAD">
        <w:rPr>
          <w:rFonts w:ascii="Palatino Linotype" w:eastAsia="Palatino Linotype" w:hAnsi="Palatino Linotype" w:cs="Palatino Linotype"/>
          <w:b/>
          <w:sz w:val="24"/>
          <w:szCs w:val="24"/>
        </w:rPr>
        <w:t xml:space="preserve"> Recurrente </w:t>
      </w:r>
      <w:r w:rsidRPr="00CF0DAD">
        <w:rPr>
          <w:rFonts w:ascii="Palatino Linotype" w:eastAsia="Palatino Linotype" w:hAnsi="Palatino Linotype" w:cs="Palatino Linotype"/>
          <w:sz w:val="24"/>
          <w:szCs w:val="24"/>
        </w:rPr>
        <w:t>interpuso los recursos de revisión, en los cuales manifestó lo siguiente:</w:t>
      </w:r>
    </w:p>
    <w:p w14:paraId="1030589A" w14:textId="77777777" w:rsidR="00D457BB" w:rsidRPr="00CF0DAD" w:rsidRDefault="00D457BB">
      <w:pPr>
        <w:widowControl w:val="0"/>
        <w:spacing w:before="240" w:after="240" w:line="360" w:lineRule="auto"/>
        <w:jc w:val="both"/>
        <w:rPr>
          <w:rFonts w:ascii="Palatino Linotype" w:eastAsia="Palatino Linotype" w:hAnsi="Palatino Linotype" w:cs="Palatino Linotype"/>
          <w:sz w:val="24"/>
          <w:szCs w:val="24"/>
        </w:rPr>
      </w:pPr>
    </w:p>
    <w:tbl>
      <w:tblPr>
        <w:tblStyle w:val="affffb"/>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3"/>
        <w:gridCol w:w="3180"/>
      </w:tblGrid>
      <w:tr w:rsidR="00EA5AF5" w:rsidRPr="00CF0DAD" w14:paraId="38776DC3" w14:textId="77777777">
        <w:tc>
          <w:tcPr>
            <w:tcW w:w="2944" w:type="dxa"/>
            <w:shd w:val="clear" w:color="auto" w:fill="D0CECE"/>
            <w:vAlign w:val="center"/>
          </w:tcPr>
          <w:p w14:paraId="29C3BB60" w14:textId="77777777" w:rsidR="00D457BB" w:rsidRPr="00CF0DAD" w:rsidRDefault="00811D8B">
            <w:pPr>
              <w:spacing w:before="120" w:after="120" w:line="240" w:lineRule="auto"/>
              <w:jc w:val="center"/>
              <w:rPr>
                <w:rFonts w:ascii="Palatino Linotype" w:eastAsia="Palatino Linotype" w:hAnsi="Palatino Linotype" w:cs="Palatino Linotype"/>
                <w:b/>
                <w:sz w:val="20"/>
                <w:szCs w:val="20"/>
              </w:rPr>
            </w:pPr>
            <w:r w:rsidRPr="00CF0DAD">
              <w:rPr>
                <w:rFonts w:ascii="Palatino Linotype" w:eastAsia="Palatino Linotype" w:hAnsi="Palatino Linotype" w:cs="Palatino Linotype"/>
                <w:b/>
                <w:sz w:val="20"/>
                <w:szCs w:val="20"/>
              </w:rPr>
              <w:lastRenderedPageBreak/>
              <w:t>Recurso de Revisión</w:t>
            </w:r>
          </w:p>
        </w:tc>
        <w:tc>
          <w:tcPr>
            <w:tcW w:w="2943" w:type="dxa"/>
            <w:shd w:val="clear" w:color="auto" w:fill="D0CECE"/>
            <w:vAlign w:val="center"/>
          </w:tcPr>
          <w:p w14:paraId="54F82AE4" w14:textId="77777777" w:rsidR="00D457BB" w:rsidRPr="00CF0DAD" w:rsidRDefault="00811D8B">
            <w:pPr>
              <w:spacing w:before="120" w:after="120" w:line="240" w:lineRule="auto"/>
              <w:jc w:val="center"/>
              <w:rPr>
                <w:rFonts w:ascii="Palatino Linotype" w:eastAsia="Palatino Linotype" w:hAnsi="Palatino Linotype" w:cs="Palatino Linotype"/>
                <w:b/>
                <w:sz w:val="20"/>
                <w:szCs w:val="20"/>
              </w:rPr>
            </w:pPr>
            <w:r w:rsidRPr="00CF0DAD">
              <w:rPr>
                <w:rFonts w:ascii="Palatino Linotype" w:eastAsia="Palatino Linotype" w:hAnsi="Palatino Linotype" w:cs="Palatino Linotype"/>
                <w:b/>
                <w:sz w:val="20"/>
                <w:szCs w:val="20"/>
              </w:rPr>
              <w:t>Acto impugnado</w:t>
            </w:r>
          </w:p>
        </w:tc>
        <w:tc>
          <w:tcPr>
            <w:tcW w:w="3180" w:type="dxa"/>
            <w:shd w:val="clear" w:color="auto" w:fill="D0CECE"/>
            <w:vAlign w:val="center"/>
          </w:tcPr>
          <w:p w14:paraId="4F923E93" w14:textId="77777777" w:rsidR="00D457BB" w:rsidRPr="00CF0DAD" w:rsidRDefault="00811D8B">
            <w:pPr>
              <w:spacing w:before="120" w:after="120" w:line="240" w:lineRule="auto"/>
              <w:jc w:val="center"/>
              <w:rPr>
                <w:rFonts w:ascii="Palatino Linotype" w:eastAsia="Palatino Linotype" w:hAnsi="Palatino Linotype" w:cs="Palatino Linotype"/>
                <w:b/>
                <w:sz w:val="20"/>
                <w:szCs w:val="20"/>
              </w:rPr>
            </w:pPr>
            <w:r w:rsidRPr="00CF0DAD">
              <w:rPr>
                <w:rFonts w:ascii="Palatino Linotype" w:eastAsia="Palatino Linotype" w:hAnsi="Palatino Linotype" w:cs="Palatino Linotype"/>
                <w:b/>
                <w:sz w:val="20"/>
                <w:szCs w:val="20"/>
              </w:rPr>
              <w:t>Razones o Motivos de Inconformidad</w:t>
            </w:r>
          </w:p>
        </w:tc>
      </w:tr>
      <w:tr w:rsidR="00EA5AF5" w:rsidRPr="00CF0DAD" w14:paraId="5BC2BB6B" w14:textId="77777777">
        <w:tc>
          <w:tcPr>
            <w:tcW w:w="2944" w:type="dxa"/>
          </w:tcPr>
          <w:p w14:paraId="58BA9BF1" w14:textId="77777777" w:rsidR="00D457BB" w:rsidRPr="00CF0DAD" w:rsidRDefault="00811D8B">
            <w:pPr>
              <w:spacing w:before="120" w:after="120" w:line="240" w:lineRule="auto"/>
              <w:jc w:val="center"/>
              <w:rPr>
                <w:rFonts w:ascii="Palatino Linotype" w:eastAsia="Palatino Linotype" w:hAnsi="Palatino Linotype" w:cs="Palatino Linotype"/>
                <w:b/>
                <w:sz w:val="20"/>
                <w:szCs w:val="20"/>
              </w:rPr>
            </w:pPr>
            <w:r w:rsidRPr="00CF0DAD">
              <w:rPr>
                <w:rFonts w:ascii="Palatino Linotype" w:eastAsia="Palatino Linotype" w:hAnsi="Palatino Linotype" w:cs="Palatino Linotype"/>
                <w:b/>
                <w:sz w:val="20"/>
                <w:szCs w:val="20"/>
              </w:rPr>
              <w:t>07644/INFOEM/IP/RR/2024</w:t>
            </w:r>
          </w:p>
        </w:tc>
        <w:tc>
          <w:tcPr>
            <w:tcW w:w="2943" w:type="dxa"/>
            <w:shd w:val="clear" w:color="auto" w:fill="auto"/>
          </w:tcPr>
          <w:p w14:paraId="09FD5F0B" w14:textId="77777777" w:rsidR="00D457BB" w:rsidRPr="00CF0DAD" w:rsidRDefault="00811D8B">
            <w:pPr>
              <w:spacing w:before="120" w:after="120" w:line="240" w:lineRule="auto"/>
              <w:jc w:val="both"/>
              <w:rPr>
                <w:rFonts w:ascii="Palatino Linotype" w:eastAsia="Palatino Linotype" w:hAnsi="Palatino Linotype" w:cs="Palatino Linotype"/>
                <w:i/>
                <w:sz w:val="20"/>
                <w:szCs w:val="20"/>
              </w:rPr>
            </w:pPr>
            <w:r w:rsidRPr="00CF0DAD">
              <w:rPr>
                <w:rFonts w:ascii="Palatino Linotype" w:eastAsia="Palatino Linotype" w:hAnsi="Palatino Linotype" w:cs="Palatino Linotype"/>
                <w:i/>
                <w:sz w:val="20"/>
                <w:szCs w:val="20"/>
              </w:rPr>
              <w:t>“NO RECIBI LA INFORMACION CORRECTA” (sic)</w:t>
            </w:r>
          </w:p>
        </w:tc>
        <w:tc>
          <w:tcPr>
            <w:tcW w:w="3180" w:type="dxa"/>
            <w:shd w:val="clear" w:color="auto" w:fill="auto"/>
          </w:tcPr>
          <w:p w14:paraId="5833F173" w14:textId="77777777" w:rsidR="00D457BB" w:rsidRPr="00CF0DAD" w:rsidRDefault="00811D8B">
            <w:pPr>
              <w:spacing w:before="120" w:after="120" w:line="240" w:lineRule="auto"/>
              <w:jc w:val="both"/>
              <w:rPr>
                <w:rFonts w:ascii="Palatino Linotype" w:eastAsia="Palatino Linotype" w:hAnsi="Palatino Linotype" w:cs="Palatino Linotype"/>
                <w:i/>
                <w:sz w:val="20"/>
                <w:szCs w:val="20"/>
              </w:rPr>
            </w:pPr>
            <w:r w:rsidRPr="00CF0DAD">
              <w:rPr>
                <w:rFonts w:ascii="Palatino Linotype" w:eastAsia="Palatino Linotype" w:hAnsi="Palatino Linotype" w:cs="Palatino Linotype"/>
                <w:i/>
                <w:sz w:val="20"/>
                <w:szCs w:val="20"/>
              </w:rPr>
              <w:t>“NO RECIBI LA INFORMACION CORRECTA” (sic)</w:t>
            </w:r>
          </w:p>
        </w:tc>
      </w:tr>
      <w:tr w:rsidR="00EA5AF5" w:rsidRPr="00CF0DAD" w14:paraId="5E5F1AD3" w14:textId="77777777">
        <w:tc>
          <w:tcPr>
            <w:tcW w:w="2944" w:type="dxa"/>
          </w:tcPr>
          <w:p w14:paraId="589CCE43" w14:textId="77777777" w:rsidR="00D457BB" w:rsidRPr="00CF0DAD" w:rsidRDefault="00811D8B">
            <w:pPr>
              <w:spacing w:before="120" w:after="120" w:line="240" w:lineRule="auto"/>
              <w:jc w:val="center"/>
              <w:rPr>
                <w:rFonts w:ascii="Palatino Linotype" w:eastAsia="Palatino Linotype" w:hAnsi="Palatino Linotype" w:cs="Palatino Linotype"/>
                <w:b/>
                <w:sz w:val="20"/>
                <w:szCs w:val="20"/>
              </w:rPr>
            </w:pPr>
            <w:r w:rsidRPr="00CF0DAD">
              <w:rPr>
                <w:rFonts w:ascii="Palatino Linotype" w:eastAsia="Palatino Linotype" w:hAnsi="Palatino Linotype" w:cs="Palatino Linotype"/>
                <w:b/>
                <w:sz w:val="20"/>
                <w:szCs w:val="20"/>
              </w:rPr>
              <w:t xml:space="preserve">07645/INFOEM/IP/RR/2024 </w:t>
            </w:r>
          </w:p>
        </w:tc>
        <w:tc>
          <w:tcPr>
            <w:tcW w:w="2943" w:type="dxa"/>
            <w:shd w:val="clear" w:color="auto" w:fill="auto"/>
          </w:tcPr>
          <w:p w14:paraId="12A1CABE" w14:textId="77777777" w:rsidR="00D457BB" w:rsidRPr="00CF0DAD" w:rsidRDefault="00811D8B">
            <w:pPr>
              <w:spacing w:before="120" w:after="120" w:line="240" w:lineRule="auto"/>
              <w:jc w:val="both"/>
              <w:rPr>
                <w:rFonts w:ascii="Palatino Linotype" w:eastAsia="Palatino Linotype" w:hAnsi="Palatino Linotype" w:cs="Palatino Linotype"/>
                <w:i/>
                <w:sz w:val="20"/>
                <w:szCs w:val="20"/>
              </w:rPr>
            </w:pPr>
            <w:r w:rsidRPr="00CF0DAD">
              <w:rPr>
                <w:rFonts w:ascii="Palatino Linotype" w:eastAsia="Palatino Linotype" w:hAnsi="Palatino Linotype" w:cs="Palatino Linotype"/>
                <w:i/>
                <w:sz w:val="20"/>
                <w:szCs w:val="20"/>
              </w:rPr>
              <w:t>“NO RECIBI LA INFORMACION CORRECTA” (sic)</w:t>
            </w:r>
          </w:p>
        </w:tc>
        <w:tc>
          <w:tcPr>
            <w:tcW w:w="3180" w:type="dxa"/>
            <w:shd w:val="clear" w:color="auto" w:fill="auto"/>
          </w:tcPr>
          <w:p w14:paraId="63EB8BCD" w14:textId="77777777" w:rsidR="00D457BB" w:rsidRPr="00CF0DAD" w:rsidRDefault="00811D8B">
            <w:pPr>
              <w:spacing w:before="120" w:after="120" w:line="240" w:lineRule="auto"/>
              <w:jc w:val="both"/>
              <w:rPr>
                <w:rFonts w:ascii="Palatino Linotype" w:eastAsia="Palatino Linotype" w:hAnsi="Palatino Linotype" w:cs="Palatino Linotype"/>
                <w:i/>
                <w:sz w:val="20"/>
                <w:szCs w:val="20"/>
              </w:rPr>
            </w:pPr>
            <w:r w:rsidRPr="00CF0DAD">
              <w:rPr>
                <w:rFonts w:ascii="Palatino Linotype" w:eastAsia="Palatino Linotype" w:hAnsi="Palatino Linotype" w:cs="Palatino Linotype"/>
                <w:i/>
                <w:sz w:val="20"/>
                <w:szCs w:val="20"/>
              </w:rPr>
              <w:t>“NO RECIBI LA INFORMACION CORRECTA” (sic)</w:t>
            </w:r>
          </w:p>
        </w:tc>
      </w:tr>
    </w:tbl>
    <w:p w14:paraId="01950B50"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b/>
          <w:sz w:val="24"/>
          <w:szCs w:val="24"/>
        </w:rPr>
        <w:t xml:space="preserve">4. Turno. </w:t>
      </w:r>
      <w:r w:rsidRPr="00CF0DAD">
        <w:rPr>
          <w:rFonts w:ascii="Palatino Linotype" w:eastAsia="Palatino Linotype" w:hAnsi="Palatino Linotype" w:cs="Palatino Linotype"/>
          <w:sz w:val="24"/>
          <w:szCs w:val="24"/>
        </w:rPr>
        <w:t xml:space="preserve">De conformidad con el artículo 185, fracción I de la Ley Transparencia y Acceso a la Información Pública del Estado de México y Municipios, los recursos de revisión fueron turnados a los Comisionados </w:t>
      </w:r>
      <w:r w:rsidRPr="00CF0DAD">
        <w:rPr>
          <w:rFonts w:ascii="Palatino Linotype" w:eastAsia="Palatino Linotype" w:hAnsi="Palatino Linotype" w:cs="Palatino Linotype"/>
          <w:b/>
          <w:sz w:val="24"/>
          <w:szCs w:val="24"/>
        </w:rPr>
        <w:t>Guadalupe Ramírez Peña</w:t>
      </w:r>
      <w:r w:rsidRPr="00CF0DAD">
        <w:rPr>
          <w:rFonts w:ascii="Palatino Linotype" w:eastAsia="Palatino Linotype" w:hAnsi="Palatino Linotype" w:cs="Palatino Linotype"/>
          <w:sz w:val="24"/>
          <w:szCs w:val="24"/>
        </w:rPr>
        <w:t xml:space="preserve"> y </w:t>
      </w:r>
      <w:r w:rsidRPr="00CF0DAD">
        <w:rPr>
          <w:rFonts w:ascii="Palatino Linotype" w:eastAsia="Palatino Linotype" w:hAnsi="Palatino Linotype" w:cs="Palatino Linotype"/>
          <w:b/>
          <w:sz w:val="24"/>
          <w:szCs w:val="24"/>
        </w:rPr>
        <w:t xml:space="preserve">José Martínez Vilchis, </w:t>
      </w:r>
      <w:r w:rsidRPr="00CF0DAD">
        <w:rPr>
          <w:rFonts w:ascii="Palatino Linotype" w:eastAsia="Palatino Linotype" w:hAnsi="Palatino Linotype" w:cs="Palatino Linotype"/>
          <w:sz w:val="24"/>
          <w:szCs w:val="24"/>
        </w:rPr>
        <w:t>a efecto de presentar al Pleno los proyectos de resolución correspondientes.</w:t>
      </w:r>
    </w:p>
    <w:p w14:paraId="4DDFBCCD" w14:textId="77777777" w:rsidR="00D457BB" w:rsidRPr="00CF0DAD" w:rsidRDefault="00811D8B">
      <w:pPr>
        <w:spacing w:before="240" w:after="240" w:line="360" w:lineRule="auto"/>
        <w:jc w:val="both"/>
        <w:rPr>
          <w:rFonts w:ascii="Palatino Linotype" w:eastAsia="Palatino Linotype" w:hAnsi="Palatino Linotype" w:cs="Palatino Linotype"/>
          <w:b/>
          <w:sz w:val="24"/>
          <w:szCs w:val="24"/>
        </w:rPr>
      </w:pPr>
      <w:r w:rsidRPr="00CF0DAD">
        <w:rPr>
          <w:rFonts w:ascii="Palatino Linotype" w:eastAsia="Palatino Linotype" w:hAnsi="Palatino Linotype" w:cs="Palatino Linotype"/>
          <w:b/>
          <w:sz w:val="24"/>
          <w:szCs w:val="24"/>
        </w:rPr>
        <w:t xml:space="preserve">5. Admisión. </w:t>
      </w:r>
      <w:r w:rsidRPr="00CF0DAD">
        <w:rPr>
          <w:rFonts w:ascii="Palatino Linotype" w:eastAsia="Palatino Linotype" w:hAnsi="Palatino Linotype" w:cs="Palatino Linotype"/>
          <w:sz w:val="24"/>
          <w:szCs w:val="24"/>
        </w:rPr>
        <w:t>El</w:t>
      </w:r>
      <w:r w:rsidRPr="00CF0DAD">
        <w:rPr>
          <w:rFonts w:ascii="Palatino Linotype" w:eastAsia="Palatino Linotype" w:hAnsi="Palatino Linotype" w:cs="Palatino Linotype"/>
          <w:b/>
          <w:sz w:val="24"/>
          <w:szCs w:val="24"/>
        </w:rPr>
        <w:t xml:space="preserve"> dieciséis y diecisiete de diciembre de dos mil veinticuatro</w:t>
      </w:r>
      <w:r w:rsidRPr="00CF0DAD">
        <w:rPr>
          <w:rFonts w:ascii="Palatino Linotype" w:eastAsia="Palatino Linotype" w:hAnsi="Palatino Linotype" w:cs="Palatino Linotype"/>
          <w:sz w:val="24"/>
          <w:szCs w:val="24"/>
        </w:rPr>
        <w:t>, en términos de lo dispuesto en el artículo 185, fracciones I, II y IV de la Ley de Transparencia y Acceso a la Información Pública del Estado de México y Municipios, se admitieron a trámite los recursos de revisión</w:t>
      </w:r>
      <w:r w:rsidRPr="00CF0DAD">
        <w:rPr>
          <w:rFonts w:ascii="Palatino Linotype" w:eastAsia="Palatino Linotype" w:hAnsi="Palatino Linotype" w:cs="Palatino Linotype"/>
          <w:b/>
          <w:sz w:val="24"/>
          <w:szCs w:val="24"/>
        </w:rPr>
        <w:t xml:space="preserve">. </w:t>
      </w:r>
    </w:p>
    <w:p w14:paraId="1B5ADBEB" w14:textId="77777777" w:rsidR="00D457BB" w:rsidRPr="00CF0DAD" w:rsidRDefault="00811D8B">
      <w:pPr>
        <w:widowControl w:val="0"/>
        <w:spacing w:line="360" w:lineRule="auto"/>
        <w:ind w:right="49"/>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b/>
          <w:sz w:val="24"/>
          <w:szCs w:val="24"/>
        </w:rPr>
        <w:t xml:space="preserve">6. Manifestaciones. </w:t>
      </w:r>
      <w:r w:rsidRPr="00CF0DAD">
        <w:rPr>
          <w:rFonts w:ascii="Palatino Linotype" w:eastAsia="Palatino Linotype" w:hAnsi="Palatino Linotype" w:cs="Palatino Linotype"/>
          <w:sz w:val="24"/>
          <w:szCs w:val="24"/>
        </w:rPr>
        <w:t xml:space="preserve">De constancias del expediente electrónico del SAIMEX, se observa que el </w:t>
      </w:r>
      <w:r w:rsidRPr="00CF0DAD">
        <w:rPr>
          <w:rFonts w:ascii="Palatino Linotype" w:eastAsia="Palatino Linotype" w:hAnsi="Palatino Linotype" w:cs="Palatino Linotype"/>
          <w:b/>
          <w:sz w:val="24"/>
          <w:szCs w:val="24"/>
        </w:rPr>
        <w:t>Sujeto Obligado</w:t>
      </w:r>
      <w:r w:rsidRPr="00CF0DAD">
        <w:rPr>
          <w:rFonts w:ascii="Palatino Linotype" w:eastAsia="Palatino Linotype" w:hAnsi="Palatino Linotype" w:cs="Palatino Linotype"/>
          <w:sz w:val="24"/>
          <w:szCs w:val="24"/>
        </w:rPr>
        <w:t xml:space="preserve"> fue omiso en rendir su informe justificado; así como, la parte </w:t>
      </w:r>
      <w:r w:rsidRPr="00CF0DAD">
        <w:rPr>
          <w:rFonts w:ascii="Palatino Linotype" w:eastAsia="Palatino Linotype" w:hAnsi="Palatino Linotype" w:cs="Palatino Linotype"/>
          <w:b/>
          <w:sz w:val="24"/>
          <w:szCs w:val="24"/>
        </w:rPr>
        <w:t xml:space="preserve">Recurrente </w:t>
      </w:r>
      <w:r w:rsidRPr="00CF0DAD">
        <w:rPr>
          <w:rFonts w:ascii="Palatino Linotype" w:eastAsia="Palatino Linotype" w:hAnsi="Palatino Linotype" w:cs="Palatino Linotype"/>
          <w:sz w:val="24"/>
          <w:szCs w:val="24"/>
        </w:rPr>
        <w:t>fue omisa en hacer valer manifestaciones o rendir alegatos que conforme a derecho resultaran procedentes, como se muestra:</w:t>
      </w:r>
    </w:p>
    <w:p w14:paraId="07B38457" w14:textId="77777777" w:rsidR="00D457BB" w:rsidRPr="00CF0DAD" w:rsidRDefault="00D457BB">
      <w:pPr>
        <w:spacing w:before="240" w:after="240" w:line="360" w:lineRule="auto"/>
        <w:ind w:right="51"/>
        <w:jc w:val="both"/>
        <w:rPr>
          <w:rFonts w:ascii="Palatino Linotype" w:eastAsia="Palatino Linotype" w:hAnsi="Palatino Linotype" w:cs="Palatino Linotype"/>
          <w:sz w:val="24"/>
          <w:szCs w:val="24"/>
        </w:rPr>
      </w:pPr>
    </w:p>
    <w:p w14:paraId="0CE8B967" w14:textId="77777777" w:rsidR="00D457BB" w:rsidRPr="00CF0DAD" w:rsidRDefault="00811D8B">
      <w:pPr>
        <w:spacing w:before="240" w:after="240" w:line="360" w:lineRule="auto"/>
        <w:ind w:right="51"/>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noProof/>
          <w:sz w:val="24"/>
          <w:szCs w:val="24"/>
        </w:rPr>
        <w:lastRenderedPageBreak/>
        <w:drawing>
          <wp:inline distT="0" distB="0" distL="0" distR="0" wp14:anchorId="5E0D4CAE" wp14:editId="3F438767">
            <wp:extent cx="5612130" cy="1570355"/>
            <wp:effectExtent l="0" t="0" r="0" b="0"/>
            <wp:docPr id="19356684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612130" cy="1570355"/>
                    </a:xfrm>
                    <a:prstGeom prst="rect">
                      <a:avLst/>
                    </a:prstGeom>
                    <a:ln/>
                  </pic:spPr>
                </pic:pic>
              </a:graphicData>
            </a:graphic>
          </wp:inline>
        </w:drawing>
      </w:r>
    </w:p>
    <w:p w14:paraId="571D55F2" w14:textId="77777777" w:rsidR="00D457BB" w:rsidRPr="00CF0DAD" w:rsidRDefault="00811D8B">
      <w:pPr>
        <w:spacing w:before="240" w:after="240" w:line="360" w:lineRule="auto"/>
        <w:ind w:right="51"/>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noProof/>
          <w:sz w:val="24"/>
          <w:szCs w:val="24"/>
        </w:rPr>
        <w:drawing>
          <wp:inline distT="0" distB="0" distL="0" distR="0" wp14:anchorId="1CAE4C3E" wp14:editId="65AFA77C">
            <wp:extent cx="5612130" cy="1567180"/>
            <wp:effectExtent l="0" t="0" r="0" b="0"/>
            <wp:docPr id="19356684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1567180"/>
                    </a:xfrm>
                    <a:prstGeom prst="rect">
                      <a:avLst/>
                    </a:prstGeom>
                    <a:ln/>
                  </pic:spPr>
                </pic:pic>
              </a:graphicData>
            </a:graphic>
          </wp:inline>
        </w:drawing>
      </w:r>
    </w:p>
    <w:p w14:paraId="1B77013A"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b/>
          <w:sz w:val="24"/>
          <w:szCs w:val="24"/>
        </w:rPr>
        <w:t xml:space="preserve">7. Acumulación de los recursos de revisión. </w:t>
      </w:r>
      <w:r w:rsidRPr="00CF0DAD">
        <w:rPr>
          <w:rFonts w:ascii="Palatino Linotype" w:eastAsia="Palatino Linotype" w:hAnsi="Palatino Linotype" w:cs="Palatino Linotype"/>
          <w:sz w:val="24"/>
          <w:szCs w:val="24"/>
        </w:rPr>
        <w:t xml:space="preserve">En la </w:t>
      </w:r>
      <w:r w:rsidRPr="00CF0DAD">
        <w:rPr>
          <w:rFonts w:ascii="Palatino Linotype" w:eastAsia="Palatino Linotype" w:hAnsi="Palatino Linotype" w:cs="Palatino Linotype"/>
          <w:b/>
          <w:sz w:val="24"/>
          <w:szCs w:val="24"/>
        </w:rPr>
        <w:t>Primera Sesión Ordinaria</w:t>
      </w:r>
      <w:r w:rsidRPr="00CF0DAD">
        <w:rPr>
          <w:rFonts w:ascii="Palatino Linotype" w:eastAsia="Palatino Linotype" w:hAnsi="Palatino Linotype" w:cs="Palatino Linotype"/>
          <w:sz w:val="24"/>
          <w:szCs w:val="24"/>
        </w:rPr>
        <w:t xml:space="preserve">, de fecha </w:t>
      </w:r>
      <w:r w:rsidRPr="00CF0DAD">
        <w:rPr>
          <w:rFonts w:ascii="Palatino Linotype" w:eastAsia="Palatino Linotype" w:hAnsi="Palatino Linotype" w:cs="Palatino Linotype"/>
          <w:b/>
          <w:sz w:val="24"/>
          <w:szCs w:val="24"/>
        </w:rPr>
        <w:t xml:space="preserve">quince de enero de dos mil veinticinco, </w:t>
      </w:r>
      <w:r w:rsidRPr="00CF0DAD">
        <w:rPr>
          <w:rFonts w:ascii="Palatino Linotype" w:eastAsia="Palatino Linotype" w:hAnsi="Palatino Linotype" w:cs="Palatino Linotype"/>
          <w:sz w:val="24"/>
          <w:szCs w:val="24"/>
        </w:rPr>
        <w:t xml:space="preserve">al advertir la conexidad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el Pleno de este Instituto, aprobó la acumulación de los expedientes citados, a efecto de que la Comisionada </w:t>
      </w:r>
      <w:r w:rsidRPr="00CF0DAD">
        <w:rPr>
          <w:rFonts w:ascii="Palatino Linotype" w:eastAsia="Palatino Linotype" w:hAnsi="Palatino Linotype" w:cs="Palatino Linotype"/>
          <w:b/>
          <w:sz w:val="24"/>
          <w:szCs w:val="24"/>
        </w:rPr>
        <w:t xml:space="preserve">Guadalupe Ramírez Peña </w:t>
      </w:r>
      <w:r w:rsidRPr="00CF0DAD">
        <w:rPr>
          <w:rFonts w:ascii="Palatino Linotype" w:eastAsia="Palatino Linotype" w:hAnsi="Palatino Linotype" w:cs="Palatino Linotype"/>
          <w:sz w:val="24"/>
          <w:szCs w:val="24"/>
        </w:rPr>
        <w:t>formulara y presentara el proyecto de resolución correspondiente.</w:t>
      </w:r>
    </w:p>
    <w:p w14:paraId="3F76DF85" w14:textId="77777777" w:rsidR="00D457BB" w:rsidRPr="00CF0DAD" w:rsidRDefault="00811D8B">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CF0DAD">
        <w:rPr>
          <w:rFonts w:ascii="Palatino Linotype" w:eastAsia="Palatino Linotype" w:hAnsi="Palatino Linotype" w:cs="Palatino Linotype"/>
          <w:b/>
          <w:i/>
        </w:rPr>
        <w:t>Código de Procedimientos Administrativos del Estado de México</w:t>
      </w:r>
    </w:p>
    <w:p w14:paraId="4E69B5CD" w14:textId="77777777" w:rsidR="00D457BB" w:rsidRPr="00CF0DAD" w:rsidRDefault="00811D8B">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CF0DAD">
        <w:rPr>
          <w:rFonts w:ascii="Palatino Linotype" w:eastAsia="Palatino Linotype" w:hAnsi="Palatino Linotype" w:cs="Palatino Linotype"/>
          <w:b/>
          <w:i/>
        </w:rPr>
        <w:t>“Artículo 18.-</w:t>
      </w:r>
      <w:r w:rsidRPr="00CF0DAD">
        <w:rPr>
          <w:rFonts w:ascii="Palatino Linotype" w:eastAsia="Palatino Linotype" w:hAnsi="Palatino Linotype" w:cs="Palatino Linotype"/>
          <w:i/>
        </w:rPr>
        <w:t xml:space="preserve"> </w:t>
      </w:r>
      <w:r w:rsidRPr="00CF0DAD">
        <w:rPr>
          <w:rFonts w:ascii="Palatino Linotype" w:eastAsia="Palatino Linotype" w:hAnsi="Palatino Linotype" w:cs="Palatino Linotype"/>
          <w:b/>
          <w:i/>
        </w:rPr>
        <w:t xml:space="preserve">La autoridad administrativa o el Tribunal acordarán la acumulación de los expedientes del procedimiento y proceso </w:t>
      </w:r>
      <w:r w:rsidRPr="00CF0DAD">
        <w:rPr>
          <w:rFonts w:ascii="Palatino Linotype" w:eastAsia="Palatino Linotype" w:hAnsi="Palatino Linotype" w:cs="Palatino Linotype"/>
          <w:b/>
          <w:i/>
        </w:rPr>
        <w:lastRenderedPageBreak/>
        <w:t>administrativo que ante ellos se sigan, de oficio</w:t>
      </w:r>
      <w:r w:rsidRPr="00CF0DAD">
        <w:rPr>
          <w:rFonts w:ascii="Palatino Linotype" w:eastAsia="Palatino Linotype" w:hAnsi="Palatino Linotype" w:cs="Palatino Linotype"/>
          <w:i/>
        </w:rPr>
        <w:t xml:space="preserve"> o a petición de parte, </w:t>
      </w:r>
      <w:r w:rsidRPr="00CF0DAD">
        <w:rPr>
          <w:rFonts w:ascii="Palatino Linotype" w:eastAsia="Palatino Linotype" w:hAnsi="Palatino Linotype" w:cs="Palatino Linotype"/>
          <w:b/>
          <w:i/>
        </w:rPr>
        <w:t>cuando las partes</w:t>
      </w:r>
      <w:r w:rsidRPr="00CF0DAD">
        <w:rPr>
          <w:rFonts w:ascii="Palatino Linotype" w:eastAsia="Palatino Linotype" w:hAnsi="Palatino Linotype" w:cs="Palatino Linotype"/>
          <w:i/>
        </w:rPr>
        <w:t xml:space="preserve"> o los actos administrativos sean iguales, se trate de actos conexos o </w:t>
      </w:r>
      <w:r w:rsidRPr="00CF0DAD">
        <w:rPr>
          <w:rFonts w:ascii="Palatino Linotype" w:eastAsia="Palatino Linotype" w:hAnsi="Palatino Linotype" w:cs="Palatino Linotype"/>
          <w:b/>
          <w:i/>
        </w:rPr>
        <w:t>resulte conveniente el trámite unificado de los asuntos, para evitar la emisión de resoluciones contradictorias</w:t>
      </w:r>
      <w:r w:rsidRPr="00CF0DAD">
        <w:rPr>
          <w:rFonts w:ascii="Palatino Linotype" w:eastAsia="Palatino Linotype" w:hAnsi="Palatino Linotype" w:cs="Palatino Linotype"/>
          <w:i/>
        </w:rPr>
        <w:t>. La misma regla se aplicará, en lo conducente, para la separación de los expedientes.”</w:t>
      </w:r>
    </w:p>
    <w:p w14:paraId="48705410" w14:textId="77777777" w:rsidR="00D457BB" w:rsidRPr="00CF0DAD" w:rsidRDefault="00811D8B">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CF0DAD">
        <w:rPr>
          <w:rFonts w:ascii="Palatino Linotype" w:eastAsia="Palatino Linotype" w:hAnsi="Palatino Linotype" w:cs="Palatino Linotype"/>
          <w:b/>
          <w:i/>
        </w:rPr>
        <w:t>Ley de Transparencia y Acceso a la Información Pública del Estado de México y Municipios</w:t>
      </w:r>
    </w:p>
    <w:p w14:paraId="1855B472" w14:textId="77777777" w:rsidR="00D457BB" w:rsidRPr="00CF0DAD" w:rsidRDefault="00811D8B">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CF0DAD">
        <w:rPr>
          <w:rFonts w:ascii="Palatino Linotype" w:eastAsia="Palatino Linotype" w:hAnsi="Palatino Linotype" w:cs="Palatino Linotype"/>
          <w:b/>
          <w:i/>
        </w:rPr>
        <w:t>“Artículo 195.-</w:t>
      </w:r>
      <w:r w:rsidRPr="00CF0DAD">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2AF82998"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bookmarkStart w:id="2" w:name="_heading=h.tyjcwt" w:colFirst="0" w:colLast="0"/>
      <w:bookmarkEnd w:id="2"/>
      <w:r w:rsidRPr="00CF0DAD">
        <w:rPr>
          <w:rFonts w:ascii="Palatino Linotype" w:eastAsia="Palatino Linotype" w:hAnsi="Palatino Linotype" w:cs="Palatino Linotype"/>
          <w:b/>
          <w:sz w:val="24"/>
          <w:szCs w:val="24"/>
        </w:rPr>
        <w:t xml:space="preserve">8. Cierre de Instrucción. </w:t>
      </w:r>
      <w:r w:rsidRPr="00CF0DAD">
        <w:rPr>
          <w:rFonts w:ascii="Palatino Linotype" w:eastAsia="Palatino Linotype" w:hAnsi="Palatino Linotype" w:cs="Palatino Linotype"/>
          <w:sz w:val="24"/>
          <w:szCs w:val="24"/>
        </w:rPr>
        <w:t xml:space="preserve">El </w:t>
      </w:r>
      <w:r w:rsidRPr="00CF0DAD">
        <w:rPr>
          <w:rFonts w:ascii="Palatino Linotype" w:eastAsia="Palatino Linotype" w:hAnsi="Palatino Linotype" w:cs="Palatino Linotype"/>
          <w:b/>
          <w:sz w:val="24"/>
          <w:szCs w:val="24"/>
        </w:rPr>
        <w:t>diecisiete de enero de dos mil veinticinco</w:t>
      </w:r>
      <w:r w:rsidRPr="00CF0DAD">
        <w:rPr>
          <w:rFonts w:ascii="Palatino Linotype" w:eastAsia="Palatino Linotype" w:hAnsi="Palatino Linotype" w:cs="Palatino Linotype"/>
          <w:sz w:val="24"/>
          <w:szCs w:val="24"/>
        </w:rPr>
        <w:t>, con fundamento en lo establecido en el artículo 185, fracción VI de la Ley de Transparencia y Acceso a la Información Pública del Estado de México y Municipios, al no existir trámite pendiente por realizar y haber sido sustanciados medios de impugnación se acordó el cierre de instrucción y se procede a formular la resolución que en derecho corresponda.</w:t>
      </w:r>
    </w:p>
    <w:p w14:paraId="0D607E32"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 xml:space="preserve">En razón de que fue debidamente sustanciado el expediente electrónico y no existe diligencia pendiente de desahogo, se emite la Resolución que conforme a Derecho proceda, de acuerdo con los siguientes: </w:t>
      </w:r>
    </w:p>
    <w:p w14:paraId="49D5ECB3" w14:textId="77777777" w:rsidR="00D457BB" w:rsidRPr="00CF0DAD" w:rsidRDefault="00811D8B">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4"/>
          <w:szCs w:val="24"/>
        </w:rPr>
      </w:pPr>
      <w:r w:rsidRPr="00CF0DAD">
        <w:rPr>
          <w:rFonts w:ascii="Palatino Linotype" w:eastAsia="Palatino Linotype" w:hAnsi="Palatino Linotype" w:cs="Palatino Linotype"/>
          <w:b/>
          <w:sz w:val="24"/>
          <w:szCs w:val="24"/>
        </w:rPr>
        <w:t>II. C O N S I D E R A N D O S:</w:t>
      </w:r>
    </w:p>
    <w:p w14:paraId="2EE67322"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b/>
          <w:sz w:val="24"/>
          <w:szCs w:val="24"/>
        </w:rPr>
        <w:t>Primero. Competencia.</w:t>
      </w:r>
      <w:r w:rsidRPr="00CF0DAD">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los presentes recursos de revisión interpuestos por la parte </w:t>
      </w:r>
      <w:r w:rsidRPr="00CF0DAD">
        <w:rPr>
          <w:rFonts w:ascii="Palatino Linotype" w:eastAsia="Palatino Linotype" w:hAnsi="Palatino Linotype" w:cs="Palatino Linotype"/>
          <w:b/>
          <w:sz w:val="24"/>
          <w:szCs w:val="24"/>
        </w:rPr>
        <w:t>Recurrente</w:t>
      </w:r>
      <w:r w:rsidRPr="00CF0DAD">
        <w:rPr>
          <w:rFonts w:ascii="Palatino Linotype" w:eastAsia="Palatino Linotype" w:hAnsi="Palatino Linotype" w:cs="Palatino Linotype"/>
          <w:sz w:val="24"/>
          <w:szCs w:val="24"/>
        </w:rPr>
        <w:t xml:space="preserve">, conforme a lo dispuesto en los artículos </w:t>
      </w:r>
      <w:r w:rsidRPr="00CF0DAD">
        <w:rPr>
          <w:rFonts w:ascii="Palatino Linotype" w:eastAsia="Palatino Linotype" w:hAnsi="Palatino Linotype" w:cs="Palatino Linotype"/>
        </w:rPr>
        <w:t xml:space="preserve">6, apartado A de la </w:t>
      </w:r>
      <w:r w:rsidRPr="00CF0DAD">
        <w:rPr>
          <w:rFonts w:ascii="Palatino Linotype" w:eastAsia="Palatino Linotype" w:hAnsi="Palatino Linotype" w:cs="Palatino Linotype"/>
        </w:rPr>
        <w:lastRenderedPageBreak/>
        <w:t xml:space="preserve">Constitución Política de los Estados Unidos Mexicanos; </w:t>
      </w:r>
      <w:r w:rsidRPr="00CF0DAD">
        <w:rPr>
          <w:rFonts w:ascii="Palatino Linotype" w:eastAsia="Palatino Linotype" w:hAnsi="Palatino Linotype" w:cs="Palatino Linotype"/>
          <w:sz w:val="24"/>
          <w:szCs w:val="24"/>
        </w:rPr>
        <w:t>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XIV, y 11 del Reglamento Interior del Instituto de Transparencia, Acceso a la Información Pública y Protección de Datos Personales del Estado de México y Municipios.</w:t>
      </w:r>
    </w:p>
    <w:p w14:paraId="59DBAC9A"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b/>
          <w:sz w:val="24"/>
          <w:szCs w:val="24"/>
        </w:rPr>
        <w:t>Segundo. Oportunidad y Procedibilidad del Recurso de Revisión</w:t>
      </w:r>
      <w:r w:rsidRPr="00CF0DAD">
        <w:rPr>
          <w:rFonts w:ascii="Palatino Linotype" w:eastAsia="Palatino Linotype" w:hAnsi="Palatino Linotype" w:cs="Palatino Linotype"/>
          <w:sz w:val="24"/>
          <w:szCs w:val="24"/>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5B797433"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 xml:space="preserve">Los recursos de revisión fueron interpuestos dentro del plazo de quince días hábiles, previsto en el artículo 178 de la Ley de Transparencia y Acceso a la Información Pública del Estado de México y Municipios, toda vez que el </w:t>
      </w:r>
      <w:r w:rsidRPr="00CF0DAD">
        <w:rPr>
          <w:rFonts w:ascii="Palatino Linotype" w:eastAsia="Palatino Linotype" w:hAnsi="Palatino Linotype" w:cs="Palatino Linotype"/>
          <w:b/>
          <w:sz w:val="24"/>
          <w:szCs w:val="24"/>
        </w:rPr>
        <w:t xml:space="preserve">Sujeto Obligado </w:t>
      </w:r>
      <w:r w:rsidRPr="00CF0DAD">
        <w:rPr>
          <w:rFonts w:ascii="Palatino Linotype" w:eastAsia="Palatino Linotype" w:hAnsi="Palatino Linotype" w:cs="Palatino Linotype"/>
          <w:sz w:val="24"/>
          <w:szCs w:val="24"/>
        </w:rPr>
        <w:t xml:space="preserve">remitió la respuesta a las solicitudes de información el </w:t>
      </w:r>
      <w:r w:rsidRPr="00CF0DAD">
        <w:rPr>
          <w:rFonts w:ascii="Palatino Linotype" w:eastAsia="Palatino Linotype" w:hAnsi="Palatino Linotype" w:cs="Palatino Linotype"/>
          <w:b/>
          <w:sz w:val="24"/>
          <w:szCs w:val="24"/>
        </w:rPr>
        <w:t xml:space="preserve">diez de diciembre de dos mil veinticuatro, </w:t>
      </w:r>
      <w:r w:rsidRPr="00CF0DAD">
        <w:rPr>
          <w:rFonts w:ascii="Palatino Linotype" w:eastAsia="Palatino Linotype" w:hAnsi="Palatino Linotype" w:cs="Palatino Linotype"/>
          <w:sz w:val="24"/>
          <w:szCs w:val="24"/>
        </w:rPr>
        <w:t xml:space="preserve">mientras que los recursos de revisión interpuestos por la parte </w:t>
      </w:r>
      <w:r w:rsidRPr="00CF0DAD">
        <w:rPr>
          <w:rFonts w:ascii="Palatino Linotype" w:eastAsia="Palatino Linotype" w:hAnsi="Palatino Linotype" w:cs="Palatino Linotype"/>
          <w:b/>
          <w:sz w:val="24"/>
          <w:szCs w:val="24"/>
        </w:rPr>
        <w:t>Recurrente</w:t>
      </w:r>
      <w:r w:rsidRPr="00CF0DAD">
        <w:rPr>
          <w:rFonts w:ascii="Palatino Linotype" w:eastAsia="Palatino Linotype" w:hAnsi="Palatino Linotype" w:cs="Palatino Linotype"/>
          <w:sz w:val="24"/>
          <w:szCs w:val="24"/>
        </w:rPr>
        <w:t xml:space="preserve">, se tuvieron por presentados el </w:t>
      </w:r>
      <w:r w:rsidRPr="00CF0DAD">
        <w:rPr>
          <w:rFonts w:ascii="Palatino Linotype" w:eastAsia="Palatino Linotype" w:hAnsi="Palatino Linotype" w:cs="Palatino Linotype"/>
          <w:b/>
          <w:sz w:val="24"/>
          <w:szCs w:val="24"/>
        </w:rPr>
        <w:t>doce de diciembre de dos mil veinticuatro,</w:t>
      </w:r>
      <w:r w:rsidRPr="00CF0DAD">
        <w:rPr>
          <w:rFonts w:ascii="Palatino Linotype" w:eastAsia="Palatino Linotype" w:hAnsi="Palatino Linotype" w:cs="Palatino Linotype"/>
          <w:sz w:val="24"/>
          <w:szCs w:val="24"/>
        </w:rPr>
        <w:t xml:space="preserve"> esto es al segundo día hábil posterior a aquel en el que tuvo conocimiento de las respuestas impugnadas. En este sentido, se concluye que los presentes recursos de revisión se encuentran dentro de los márgenes temporales previstos en las disposiciones legales referidas.</w:t>
      </w:r>
    </w:p>
    <w:p w14:paraId="5D6BA3B7"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lastRenderedPageBreak/>
        <w:t>Al mismo tiempo, 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05747F7F"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CF0DAD">
        <w:rPr>
          <w:rFonts w:ascii="Palatino Linotype" w:eastAsia="Palatino Linotype" w:hAnsi="Palatino Linotype" w:cs="Palatino Linotype"/>
          <w:b/>
          <w:sz w:val="24"/>
          <w:szCs w:val="24"/>
        </w:rPr>
        <w:t>Recurrente</w:t>
      </w:r>
      <w:r w:rsidRPr="00CF0DAD">
        <w:rPr>
          <w:rFonts w:ascii="Palatino Linotype" w:eastAsia="Palatino Linotype" w:hAnsi="Palatino Linotype" w:cs="Palatino Linotype"/>
          <w:sz w:val="24"/>
          <w:szCs w:val="24"/>
        </w:rPr>
        <w:t xml:space="preserve"> en sus motivos de inconformidad, de acuerdo al artículo 179, fracción VI del ordenamiento legal citado, que a la letra dice: </w:t>
      </w:r>
    </w:p>
    <w:p w14:paraId="614BE0B5" w14:textId="77777777" w:rsidR="00D457BB" w:rsidRPr="00CF0DAD" w:rsidRDefault="00811D8B">
      <w:pPr>
        <w:spacing w:before="120" w:after="120" w:line="240" w:lineRule="auto"/>
        <w:ind w:left="851" w:right="902"/>
        <w:jc w:val="both"/>
        <w:rPr>
          <w:rFonts w:ascii="Palatino Linotype" w:eastAsia="Palatino Linotype" w:hAnsi="Palatino Linotype" w:cs="Palatino Linotype"/>
          <w:i/>
        </w:rPr>
      </w:pPr>
      <w:r w:rsidRPr="00CF0DAD">
        <w:rPr>
          <w:rFonts w:ascii="Palatino Linotype" w:eastAsia="Palatino Linotype" w:hAnsi="Palatino Linotype" w:cs="Palatino Linotype"/>
          <w:i/>
        </w:rPr>
        <w:t>“</w:t>
      </w:r>
      <w:r w:rsidRPr="00CF0DAD">
        <w:rPr>
          <w:rFonts w:ascii="Palatino Linotype" w:eastAsia="Palatino Linotype" w:hAnsi="Palatino Linotype" w:cs="Palatino Linotype"/>
          <w:b/>
          <w:i/>
        </w:rPr>
        <w:t>Artículo 179.</w:t>
      </w:r>
      <w:r w:rsidRPr="00CF0DAD">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36F87B16" w14:textId="77777777" w:rsidR="00D457BB" w:rsidRPr="00CF0DAD" w:rsidRDefault="00811D8B">
      <w:pPr>
        <w:spacing w:before="120" w:after="120" w:line="240" w:lineRule="auto"/>
        <w:ind w:left="1134" w:right="900"/>
        <w:jc w:val="both"/>
        <w:rPr>
          <w:rFonts w:ascii="Palatino Linotype" w:eastAsia="Palatino Linotype" w:hAnsi="Palatino Linotype" w:cs="Palatino Linotype"/>
          <w:b/>
          <w:i/>
        </w:rPr>
      </w:pPr>
      <w:r w:rsidRPr="00CF0DAD">
        <w:rPr>
          <w:rFonts w:ascii="Palatino Linotype" w:eastAsia="Palatino Linotype" w:hAnsi="Palatino Linotype" w:cs="Palatino Linotype"/>
          <w:b/>
          <w:i/>
        </w:rPr>
        <w:t>…</w:t>
      </w:r>
    </w:p>
    <w:p w14:paraId="7596D414" w14:textId="77777777" w:rsidR="00D457BB" w:rsidRPr="00CF0DAD" w:rsidRDefault="00811D8B">
      <w:pPr>
        <w:spacing w:before="120" w:after="120" w:line="240" w:lineRule="auto"/>
        <w:ind w:left="1134" w:right="900"/>
        <w:jc w:val="both"/>
        <w:rPr>
          <w:rFonts w:ascii="Palatino Linotype" w:eastAsia="Palatino Linotype" w:hAnsi="Palatino Linotype" w:cs="Palatino Linotype"/>
          <w:i/>
        </w:rPr>
      </w:pPr>
      <w:r w:rsidRPr="00CF0DAD">
        <w:rPr>
          <w:rFonts w:ascii="Palatino Linotype" w:eastAsia="Palatino Linotype" w:hAnsi="Palatino Linotype" w:cs="Palatino Linotype"/>
          <w:b/>
          <w:i/>
        </w:rPr>
        <w:t xml:space="preserve">VI. </w:t>
      </w:r>
      <w:r w:rsidRPr="00CF0DAD">
        <w:rPr>
          <w:rFonts w:ascii="Palatino Linotype" w:eastAsia="Palatino Linotype" w:hAnsi="Palatino Linotype" w:cs="Palatino Linotype"/>
          <w:i/>
        </w:rPr>
        <w:t>La entrega de información que no corresponda con lo solicitado;</w:t>
      </w:r>
    </w:p>
    <w:p w14:paraId="36530258" w14:textId="77777777" w:rsidR="00D457BB" w:rsidRPr="00CF0DAD" w:rsidRDefault="00811D8B">
      <w:pPr>
        <w:spacing w:before="240" w:line="360" w:lineRule="auto"/>
        <w:jc w:val="both"/>
        <w:rPr>
          <w:rFonts w:ascii="Palatino Linotype" w:eastAsia="Palatino Linotype" w:hAnsi="Palatino Linotype" w:cs="Palatino Linotype"/>
          <w:sz w:val="24"/>
          <w:szCs w:val="24"/>
        </w:rPr>
      </w:pPr>
      <w:bookmarkStart w:id="3" w:name="_heading=h.3dy6vkm" w:colFirst="0" w:colLast="0"/>
      <w:bookmarkEnd w:id="3"/>
      <w:r w:rsidRPr="00CF0DAD">
        <w:rPr>
          <w:rFonts w:ascii="Palatino Linotype" w:eastAsia="Palatino Linotype" w:hAnsi="Palatino Linotype" w:cs="Palatino Linotype"/>
          <w:b/>
          <w:sz w:val="24"/>
          <w:szCs w:val="24"/>
        </w:rPr>
        <w:t xml:space="preserve">Tercero. Análisis de las causales de sobreseimiento. </w:t>
      </w:r>
      <w:r w:rsidRPr="00CF0DAD">
        <w:rPr>
          <w:rFonts w:ascii="Palatino Linotype" w:eastAsia="Palatino Linotype" w:hAnsi="Palatino Linotype" w:cs="Palatino Linotype"/>
          <w:sz w:val="24"/>
          <w:szCs w:val="24"/>
        </w:rPr>
        <w:t xml:space="preserve">Previo al análisis de las actuaciones que integran el expediente en el Sistema de Acceso a la Información Mexiquense, es importante primeramente enfatizar que el Derecho de Acceso a la Información Pública consiste en que la </w:t>
      </w:r>
      <w:r w:rsidRPr="00CF0DAD">
        <w:rPr>
          <w:rFonts w:ascii="Palatino Linotype" w:eastAsia="Palatino Linotype" w:hAnsi="Palatino Linotype" w:cs="Palatino Linotype"/>
          <w:b/>
          <w:sz w:val="24"/>
          <w:szCs w:val="24"/>
          <w:u w:val="single"/>
        </w:rPr>
        <w:t>información solicitada conste en un soporte documental</w:t>
      </w:r>
      <w:r w:rsidRPr="00CF0DAD">
        <w:rPr>
          <w:rFonts w:ascii="Palatino Linotype" w:eastAsia="Palatino Linotype" w:hAnsi="Palatino Linotype" w:cs="Palatino Linotype"/>
          <w:sz w:val="24"/>
          <w:szCs w:val="24"/>
        </w:rPr>
        <w:t xml:space="preserve"> en cualquiera de sus formas, a saber: expedientes, reportes, estudios, </w:t>
      </w:r>
      <w:r w:rsidRPr="00CF0DAD">
        <w:rPr>
          <w:rFonts w:ascii="Palatino Linotype" w:eastAsia="Palatino Linotype" w:hAnsi="Palatino Linotype" w:cs="Palatino Linotype"/>
          <w:b/>
          <w:sz w:val="24"/>
          <w:szCs w:val="24"/>
        </w:rPr>
        <w:t>actas,</w:t>
      </w:r>
      <w:r w:rsidRPr="00CF0DAD">
        <w:rPr>
          <w:rFonts w:ascii="Palatino Linotype" w:eastAsia="Palatino Linotype" w:hAnsi="Palatino Linotype" w:cs="Palatino Linotype"/>
          <w:sz w:val="24"/>
          <w:szCs w:val="24"/>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w:t>
      </w:r>
      <w:r w:rsidRPr="00CF0DAD">
        <w:rPr>
          <w:rFonts w:ascii="Palatino Linotype" w:eastAsia="Palatino Linotype" w:hAnsi="Palatino Linotype" w:cs="Palatino Linotype"/>
          <w:sz w:val="24"/>
          <w:szCs w:val="24"/>
        </w:rPr>
        <w:lastRenderedPageBreak/>
        <w:t xml:space="preserve">sea escrito, impreso, sonoro, visual, electrónico, informático u holográfico, de conformidad con el artículo 3, fracción XI de la Ley de la materia, el cual dispone lo siguiente: </w:t>
      </w:r>
    </w:p>
    <w:p w14:paraId="298DC635" w14:textId="77777777" w:rsidR="00D457BB" w:rsidRPr="00CF0DAD" w:rsidRDefault="00811D8B">
      <w:pPr>
        <w:spacing w:before="120" w:after="120" w:line="240" w:lineRule="auto"/>
        <w:ind w:left="851" w:right="901"/>
        <w:jc w:val="both"/>
        <w:rPr>
          <w:rFonts w:ascii="Palatino Linotype" w:eastAsia="Palatino Linotype" w:hAnsi="Palatino Linotype" w:cs="Palatino Linotype"/>
          <w:i/>
        </w:rPr>
      </w:pPr>
      <w:r w:rsidRPr="00CF0DAD">
        <w:rPr>
          <w:rFonts w:ascii="Palatino Linotype" w:eastAsia="Palatino Linotype" w:hAnsi="Palatino Linotype" w:cs="Palatino Linotype"/>
          <w:i/>
        </w:rPr>
        <w:t>“</w:t>
      </w:r>
      <w:r w:rsidRPr="00CF0DAD">
        <w:rPr>
          <w:rFonts w:ascii="Palatino Linotype" w:eastAsia="Palatino Linotype" w:hAnsi="Palatino Linotype" w:cs="Palatino Linotype"/>
          <w:b/>
          <w:i/>
        </w:rPr>
        <w:t xml:space="preserve">Artículo 3. </w:t>
      </w:r>
      <w:r w:rsidRPr="00CF0DAD">
        <w:rPr>
          <w:rFonts w:ascii="Palatino Linotype" w:eastAsia="Palatino Linotype" w:hAnsi="Palatino Linotype" w:cs="Palatino Linotype"/>
          <w:i/>
        </w:rPr>
        <w:t>Para los efectos de la presente Ley se entenderá por:</w:t>
      </w:r>
    </w:p>
    <w:p w14:paraId="3EF9A9BC" w14:textId="77777777" w:rsidR="00D457BB" w:rsidRPr="00CF0DAD" w:rsidRDefault="00811D8B">
      <w:pPr>
        <w:spacing w:before="120" w:after="120" w:line="240" w:lineRule="auto"/>
        <w:ind w:left="1134" w:right="850"/>
        <w:jc w:val="both"/>
        <w:rPr>
          <w:rFonts w:ascii="Palatino Linotype" w:eastAsia="Palatino Linotype" w:hAnsi="Palatino Linotype" w:cs="Palatino Linotype"/>
          <w:i/>
        </w:rPr>
      </w:pPr>
      <w:r w:rsidRPr="00CF0DAD">
        <w:rPr>
          <w:rFonts w:ascii="Palatino Linotype" w:eastAsia="Palatino Linotype" w:hAnsi="Palatino Linotype" w:cs="Palatino Linotype"/>
          <w:i/>
        </w:rPr>
        <w:t>…</w:t>
      </w:r>
    </w:p>
    <w:p w14:paraId="0AF159E8" w14:textId="77777777" w:rsidR="00D457BB" w:rsidRPr="00CF0DAD" w:rsidRDefault="00811D8B">
      <w:pPr>
        <w:spacing w:before="120" w:after="120" w:line="240" w:lineRule="auto"/>
        <w:ind w:left="1134" w:right="901"/>
        <w:jc w:val="both"/>
        <w:rPr>
          <w:rFonts w:ascii="Palatino Linotype" w:eastAsia="Palatino Linotype" w:hAnsi="Palatino Linotype" w:cs="Palatino Linotype"/>
          <w:i/>
        </w:rPr>
      </w:pPr>
      <w:r w:rsidRPr="00CF0DAD">
        <w:rPr>
          <w:rFonts w:ascii="Palatino Linotype" w:eastAsia="Palatino Linotype" w:hAnsi="Palatino Linotype" w:cs="Palatino Linotype"/>
          <w:b/>
          <w:i/>
        </w:rPr>
        <w:t>XI. Documento:</w:t>
      </w:r>
      <w:r w:rsidRPr="00CF0DAD">
        <w:rPr>
          <w:rFonts w:ascii="Palatino Linotype" w:eastAsia="Palatino Linotype" w:hAnsi="Palatino Linotype" w:cs="Palatino Linotype"/>
          <w:i/>
        </w:rPr>
        <w:t xml:space="preserve"> Los expedientes, reportes, estudios, actas, resoluciones,</w:t>
      </w:r>
      <w:r w:rsidRPr="00CF0DAD">
        <w:rPr>
          <w:rFonts w:ascii="Palatino Linotype" w:eastAsia="Palatino Linotype" w:hAnsi="Palatino Linotype" w:cs="Palatino Linotype"/>
          <w:b/>
          <w:i/>
        </w:rPr>
        <w:t xml:space="preserve"> </w:t>
      </w:r>
      <w:r w:rsidRPr="00CF0DAD">
        <w:rPr>
          <w:rFonts w:ascii="Palatino Linotype" w:eastAsia="Palatino Linotype" w:hAnsi="Palatino Linotype" w:cs="Palatino Linotype"/>
          <w:i/>
        </w:rPr>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CF0DAD">
        <w:rPr>
          <w:rFonts w:ascii="Palatino Linotype" w:eastAsia="Palatino Linotype" w:hAnsi="Palatino Linotype" w:cs="Palatino Linotype"/>
          <w:b/>
          <w:i/>
        </w:rPr>
        <w:t>…</w:t>
      </w:r>
      <w:r w:rsidRPr="00CF0DAD">
        <w:rPr>
          <w:rFonts w:ascii="Palatino Linotype" w:eastAsia="Palatino Linotype" w:hAnsi="Palatino Linotype" w:cs="Palatino Linotype"/>
          <w:i/>
        </w:rPr>
        <w:t>”</w:t>
      </w:r>
    </w:p>
    <w:p w14:paraId="6812CD21"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34545F81" w14:textId="77777777" w:rsidR="00D457BB" w:rsidRPr="00CF0DAD" w:rsidRDefault="00811D8B">
      <w:pPr>
        <w:spacing w:before="120" w:after="120" w:line="240" w:lineRule="auto"/>
        <w:ind w:left="851" w:right="901"/>
        <w:jc w:val="both"/>
        <w:rPr>
          <w:rFonts w:ascii="Palatino Linotype" w:eastAsia="Palatino Linotype" w:hAnsi="Palatino Linotype" w:cs="Palatino Linotype"/>
          <w:i/>
        </w:rPr>
      </w:pPr>
      <w:r w:rsidRPr="00CF0DAD">
        <w:rPr>
          <w:rFonts w:ascii="Palatino Linotype" w:eastAsia="Palatino Linotype" w:hAnsi="Palatino Linotype" w:cs="Palatino Linotype"/>
          <w:b/>
        </w:rPr>
        <w:t>“</w:t>
      </w:r>
      <w:r w:rsidRPr="00CF0DAD">
        <w:rPr>
          <w:rFonts w:ascii="Palatino Linotype" w:eastAsia="Palatino Linotype" w:hAnsi="Palatino Linotype" w:cs="Palatino Linotype"/>
          <w:b/>
          <w:i/>
          <w:u w:val="single"/>
        </w:rPr>
        <w:t>INFORMACIÓN PÚBLICA, CONCEPTO DE, EN MATERIA DE TRANSPARENCIA. INTERPRETACIÓN SISTEMÁTICA DE LOS ARTÍCULOS 2°, FRACCIÓN V, XV, Y XVI, 3°, 4°, 11 Y 41.</w:t>
      </w:r>
      <w:r w:rsidRPr="00CF0DAD">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3E09CA6" w14:textId="77777777" w:rsidR="00D457BB" w:rsidRPr="00CF0DAD" w:rsidRDefault="00811D8B">
      <w:pPr>
        <w:spacing w:before="120" w:after="120" w:line="240" w:lineRule="auto"/>
        <w:ind w:left="851" w:right="850"/>
        <w:jc w:val="both"/>
        <w:rPr>
          <w:rFonts w:ascii="Palatino Linotype" w:eastAsia="Palatino Linotype" w:hAnsi="Palatino Linotype" w:cs="Palatino Linotype"/>
          <w:i/>
        </w:rPr>
      </w:pPr>
      <w:r w:rsidRPr="00CF0DAD">
        <w:rPr>
          <w:rFonts w:ascii="Palatino Linotype" w:eastAsia="Palatino Linotype" w:hAnsi="Palatino Linotype" w:cs="Palatino Linotype"/>
          <w:i/>
        </w:rPr>
        <w:t>En consecuencia el acceso a la información se refiere a que se cumplan cualquiera de los siguientes tres supuestos:</w:t>
      </w:r>
    </w:p>
    <w:p w14:paraId="7AE65C66" w14:textId="77777777" w:rsidR="00D457BB" w:rsidRPr="00CF0DAD" w:rsidRDefault="00811D8B">
      <w:pPr>
        <w:spacing w:before="120" w:after="120" w:line="240" w:lineRule="auto"/>
        <w:ind w:left="1134" w:right="901"/>
        <w:jc w:val="both"/>
        <w:rPr>
          <w:rFonts w:ascii="Palatino Linotype" w:eastAsia="Palatino Linotype" w:hAnsi="Palatino Linotype" w:cs="Palatino Linotype"/>
          <w:i/>
        </w:rPr>
      </w:pPr>
      <w:r w:rsidRPr="00CF0DAD">
        <w:rPr>
          <w:rFonts w:ascii="Palatino Linotype" w:eastAsia="Palatino Linotype" w:hAnsi="Palatino Linotype" w:cs="Palatino Linotype"/>
          <w:i/>
        </w:rPr>
        <w:lastRenderedPageBreak/>
        <w:t xml:space="preserve">1) Que se trate de información </w:t>
      </w:r>
      <w:r w:rsidRPr="00CF0DAD">
        <w:rPr>
          <w:rFonts w:ascii="Palatino Linotype" w:eastAsia="Palatino Linotype" w:hAnsi="Palatino Linotype" w:cs="Palatino Linotype"/>
          <w:b/>
          <w:i/>
          <w:u w:val="single"/>
        </w:rPr>
        <w:t>registrada en cualquier soporte documental</w:t>
      </w:r>
      <w:r w:rsidRPr="00CF0DAD">
        <w:rPr>
          <w:rFonts w:ascii="Palatino Linotype" w:eastAsia="Palatino Linotype" w:hAnsi="Palatino Linotype" w:cs="Palatino Linotype"/>
          <w:i/>
        </w:rPr>
        <w:t>, que en ejercicio de las atribuciones conferidas, sea generada por los Sujetos Obligados;</w:t>
      </w:r>
    </w:p>
    <w:p w14:paraId="7273BBEC" w14:textId="77777777" w:rsidR="00D457BB" w:rsidRPr="00CF0DAD" w:rsidRDefault="00811D8B">
      <w:pPr>
        <w:spacing w:before="120" w:after="120" w:line="240" w:lineRule="auto"/>
        <w:ind w:left="1134" w:right="901"/>
        <w:jc w:val="both"/>
        <w:rPr>
          <w:rFonts w:ascii="Palatino Linotype" w:eastAsia="Palatino Linotype" w:hAnsi="Palatino Linotype" w:cs="Palatino Linotype"/>
          <w:i/>
        </w:rPr>
      </w:pPr>
      <w:r w:rsidRPr="00CF0DAD">
        <w:rPr>
          <w:rFonts w:ascii="Palatino Linotype" w:eastAsia="Palatino Linotype" w:hAnsi="Palatino Linotype" w:cs="Palatino Linotype"/>
          <w:i/>
        </w:rPr>
        <w:t xml:space="preserve">2) Que se trate de información </w:t>
      </w:r>
      <w:r w:rsidRPr="00CF0DAD">
        <w:rPr>
          <w:rFonts w:ascii="Palatino Linotype" w:eastAsia="Palatino Linotype" w:hAnsi="Palatino Linotype" w:cs="Palatino Linotype"/>
          <w:b/>
          <w:i/>
          <w:u w:val="single"/>
        </w:rPr>
        <w:t>registrada en cualquier soporte documental</w:t>
      </w:r>
      <w:r w:rsidRPr="00CF0DAD">
        <w:rPr>
          <w:rFonts w:ascii="Palatino Linotype" w:eastAsia="Palatino Linotype" w:hAnsi="Palatino Linotype" w:cs="Palatino Linotype"/>
          <w:i/>
        </w:rPr>
        <w:t>, que en ejercicio de las atribuciones conferidas, sea administrada por los Sujetos Obligados, y</w:t>
      </w:r>
    </w:p>
    <w:p w14:paraId="5CFD4B23" w14:textId="77777777" w:rsidR="00D457BB" w:rsidRPr="00CF0DAD" w:rsidRDefault="00811D8B">
      <w:pPr>
        <w:spacing w:before="120" w:after="120" w:line="240" w:lineRule="auto"/>
        <w:ind w:left="1134" w:right="901"/>
        <w:jc w:val="both"/>
        <w:rPr>
          <w:rFonts w:ascii="Palatino Linotype" w:eastAsia="Palatino Linotype" w:hAnsi="Palatino Linotype" w:cs="Palatino Linotype"/>
          <w:i/>
        </w:rPr>
      </w:pPr>
      <w:r w:rsidRPr="00CF0DAD">
        <w:rPr>
          <w:rFonts w:ascii="Palatino Linotype" w:eastAsia="Palatino Linotype" w:hAnsi="Palatino Linotype" w:cs="Palatino Linotype"/>
          <w:i/>
        </w:rPr>
        <w:t xml:space="preserve">3) Que se trate de información </w:t>
      </w:r>
      <w:r w:rsidRPr="00CF0DAD">
        <w:rPr>
          <w:rFonts w:ascii="Palatino Linotype" w:eastAsia="Palatino Linotype" w:hAnsi="Palatino Linotype" w:cs="Palatino Linotype"/>
          <w:b/>
          <w:i/>
          <w:u w:val="single"/>
        </w:rPr>
        <w:t>registrada en cualquier soporte documental</w:t>
      </w:r>
      <w:r w:rsidRPr="00CF0DAD">
        <w:rPr>
          <w:rFonts w:ascii="Palatino Linotype" w:eastAsia="Palatino Linotype" w:hAnsi="Palatino Linotype" w:cs="Palatino Linotype"/>
          <w:i/>
        </w:rPr>
        <w:t>, que en ejercicio de las atribuciones conferidas, se encuentre en posesión de los Sujetos Obligados.” (Sic)</w:t>
      </w:r>
    </w:p>
    <w:p w14:paraId="7C386809"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 xml:space="preserve">En este sentido, en términos generales, para que sea posible el ejercicio del Derecho de Acceso a la Información Pública, los requerimientos deben consistir en información que se encuentre registrada en cualquier soporte documental; ya sea, porque el Sujeto Obligado la generó o porque como parte del ejercicio de sus funciones la recibió y por consiguiente, la administra y posee. </w:t>
      </w:r>
    </w:p>
    <w:p w14:paraId="1AFC17CF"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Lo anterior encuentra sustento en el artículo 4 de la Ley de Transparencia y Acceso a la Información Pública del Estado de México y Municipios, que dispone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42A2176" w14:textId="77777777" w:rsidR="00D457BB" w:rsidRPr="00CF0DAD" w:rsidRDefault="00811D8B">
      <w:pPr>
        <w:spacing w:before="240" w:after="240" w:line="240" w:lineRule="auto"/>
        <w:ind w:left="851" w:right="902"/>
        <w:jc w:val="both"/>
        <w:rPr>
          <w:rFonts w:ascii="Palatino Linotype" w:eastAsia="Palatino Linotype" w:hAnsi="Palatino Linotype" w:cs="Palatino Linotype"/>
          <w:i/>
        </w:rPr>
      </w:pPr>
      <w:r w:rsidRPr="00CF0DAD">
        <w:rPr>
          <w:rFonts w:ascii="Palatino Linotype" w:eastAsia="Palatino Linotype" w:hAnsi="Palatino Linotype" w:cs="Palatino Linotype"/>
          <w:i/>
        </w:rPr>
        <w:t>“</w:t>
      </w:r>
      <w:r w:rsidRPr="00CF0DAD">
        <w:rPr>
          <w:rFonts w:ascii="Palatino Linotype" w:eastAsia="Palatino Linotype" w:hAnsi="Palatino Linotype" w:cs="Palatino Linotype"/>
          <w:b/>
          <w:i/>
        </w:rPr>
        <w:t>Artículo 4</w:t>
      </w:r>
      <w:r w:rsidRPr="00CF0DAD">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F528DB9" w14:textId="77777777" w:rsidR="00D457BB" w:rsidRPr="00CF0DAD" w:rsidRDefault="00811D8B">
      <w:pPr>
        <w:spacing w:before="240" w:after="240" w:line="240" w:lineRule="auto"/>
        <w:ind w:left="851" w:right="902"/>
        <w:jc w:val="both"/>
        <w:rPr>
          <w:rFonts w:ascii="Palatino Linotype" w:eastAsia="Palatino Linotype" w:hAnsi="Palatino Linotype" w:cs="Palatino Linotype"/>
          <w:i/>
        </w:rPr>
      </w:pPr>
      <w:r w:rsidRPr="00CF0DAD">
        <w:rPr>
          <w:rFonts w:ascii="Palatino Linotype" w:eastAsia="Palatino Linotype" w:hAnsi="Palatino Linotype" w:cs="Palatino Linotype"/>
          <w:b/>
          <w:i/>
        </w:rPr>
        <w:lastRenderedPageBreak/>
        <w:t>Toda la información generada, obtenida, adquirida, transformada, administrada o en posesión de los sujetos obligados es pública y accesible de manera permanente a cualquier persona</w:t>
      </w:r>
      <w:r w:rsidRPr="00CF0DAD">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D13D496" w14:textId="77777777" w:rsidR="00D457BB" w:rsidRPr="00CF0DAD" w:rsidRDefault="00811D8B">
      <w:pPr>
        <w:spacing w:before="240" w:after="240" w:line="240" w:lineRule="auto"/>
        <w:ind w:left="851" w:right="902"/>
        <w:jc w:val="both"/>
        <w:rPr>
          <w:rFonts w:ascii="Palatino Linotype" w:eastAsia="Palatino Linotype" w:hAnsi="Palatino Linotype" w:cs="Palatino Linotype"/>
          <w:i/>
        </w:rPr>
      </w:pPr>
      <w:r w:rsidRPr="00CF0DAD">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CF0DAD">
        <w:rPr>
          <w:rFonts w:ascii="Palatino Linotype" w:eastAsia="Palatino Linotype" w:hAnsi="Palatino Linotype" w:cs="Palatino Linotype"/>
          <w:i/>
        </w:rPr>
        <w:t>.”</w:t>
      </w:r>
    </w:p>
    <w:p w14:paraId="0CCF6B5E"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C56A5B5" w14:textId="77777777" w:rsidR="00D457BB" w:rsidRPr="00CF0DAD" w:rsidRDefault="00811D8B">
      <w:pPr>
        <w:spacing w:before="120" w:after="120"/>
        <w:ind w:left="851" w:right="902"/>
        <w:jc w:val="both"/>
        <w:rPr>
          <w:rFonts w:ascii="Palatino Linotype" w:eastAsia="Palatino Linotype" w:hAnsi="Palatino Linotype" w:cs="Palatino Linotype"/>
          <w:i/>
        </w:rPr>
      </w:pPr>
      <w:r w:rsidRPr="00CF0DAD">
        <w:rPr>
          <w:rFonts w:ascii="Palatino Linotype" w:eastAsia="Palatino Linotype" w:hAnsi="Palatino Linotype" w:cs="Palatino Linotype"/>
          <w:b/>
          <w:i/>
        </w:rPr>
        <w:t>“Artículo 12.-</w:t>
      </w:r>
      <w:r w:rsidRPr="00CF0DAD">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31FB8D6" w14:textId="77777777" w:rsidR="00D457BB" w:rsidRPr="00CF0DAD" w:rsidRDefault="00811D8B">
      <w:pPr>
        <w:spacing w:before="120" w:after="120"/>
        <w:ind w:left="851" w:right="902"/>
        <w:jc w:val="both"/>
        <w:rPr>
          <w:rFonts w:ascii="Palatino Linotype" w:eastAsia="Palatino Linotype" w:hAnsi="Palatino Linotype" w:cs="Palatino Linotype"/>
          <w:i/>
        </w:rPr>
      </w:pPr>
      <w:r w:rsidRPr="00CF0DAD">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CF0DAD">
        <w:rPr>
          <w:rFonts w:ascii="Palatino Linotype" w:eastAsia="Palatino Linotype" w:hAnsi="Palatino Linotype" w:cs="Palatino Linotype"/>
          <w:i/>
        </w:rPr>
        <w:t xml:space="preserve">. </w:t>
      </w:r>
      <w:r w:rsidRPr="00CF0DAD">
        <w:rPr>
          <w:rFonts w:ascii="Palatino Linotype" w:eastAsia="Palatino Linotype" w:hAnsi="Palatino Linotype" w:cs="Palatino Linotype"/>
          <w:b/>
          <w:i/>
        </w:rPr>
        <w:t xml:space="preserve">La obligación de proporcionar información no comprende el procesamiento de la misma, ni el presentarla conforme al interés del </w:t>
      </w:r>
      <w:r w:rsidRPr="00CF0DAD">
        <w:rPr>
          <w:rFonts w:ascii="Palatino Linotype" w:eastAsia="Palatino Linotype" w:hAnsi="Palatino Linotype" w:cs="Palatino Linotype"/>
          <w:b/>
          <w:i/>
        </w:rPr>
        <w:lastRenderedPageBreak/>
        <w:t>solicitante; no estarán obligados a generarla, resumirla, efectuar cálculos o practicar investigaciones.” (Sic)</w:t>
      </w:r>
    </w:p>
    <w:p w14:paraId="2302F0C4" w14:textId="77777777" w:rsidR="00D457BB" w:rsidRPr="00CF0DAD" w:rsidRDefault="00811D8B">
      <w:pPr>
        <w:spacing w:before="240" w:after="240" w:line="360" w:lineRule="auto"/>
        <w:ind w:right="-93"/>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42DB4EF8" w14:textId="77777777" w:rsidR="00D457BB" w:rsidRPr="00CF0DAD" w:rsidRDefault="00811D8B">
      <w:pPr>
        <w:spacing w:before="240" w:after="240" w:line="360" w:lineRule="auto"/>
        <w:jc w:val="both"/>
        <w:rPr>
          <w:rFonts w:ascii="Palatino Linotype" w:eastAsia="Palatino Linotype" w:hAnsi="Palatino Linotype" w:cs="Palatino Linotype"/>
          <w:b/>
          <w:sz w:val="24"/>
          <w:szCs w:val="24"/>
        </w:rPr>
      </w:pPr>
      <w:r w:rsidRPr="00CF0DAD">
        <w:rPr>
          <w:rFonts w:ascii="Palatino Linotype" w:eastAsia="Palatino Linotype" w:hAnsi="Palatino Linotype" w:cs="Palatino Linotype"/>
          <w:sz w:val="24"/>
          <w:szCs w:val="24"/>
        </w:rPr>
        <w:t>Sirve de apoyo a lo anterior, el Criterio de Interpretación, con clave de control número SO/003/2017, emitido por el Instituto Nacional de Transparencia, Acceso a la Información y Protección de Datos Personales, que por rubro y texto, dispone lo siguiente:</w:t>
      </w:r>
      <w:r w:rsidRPr="00CF0DAD">
        <w:rPr>
          <w:rFonts w:ascii="Palatino Linotype" w:eastAsia="Palatino Linotype" w:hAnsi="Palatino Linotype" w:cs="Palatino Linotype"/>
          <w:b/>
          <w:sz w:val="24"/>
          <w:szCs w:val="24"/>
        </w:rPr>
        <w:t xml:space="preserve"> </w:t>
      </w:r>
    </w:p>
    <w:p w14:paraId="727149AC" w14:textId="77777777" w:rsidR="00D457BB" w:rsidRPr="00CF0DAD" w:rsidRDefault="00811D8B">
      <w:pPr>
        <w:spacing w:before="120" w:after="120"/>
        <w:ind w:left="1134" w:right="902"/>
        <w:jc w:val="both"/>
        <w:rPr>
          <w:rFonts w:ascii="Palatino Linotype" w:eastAsia="Palatino Linotype" w:hAnsi="Palatino Linotype" w:cs="Palatino Linotype"/>
          <w:i/>
        </w:rPr>
      </w:pPr>
      <w:r w:rsidRPr="00CF0DAD">
        <w:rPr>
          <w:rFonts w:ascii="Palatino Linotype" w:eastAsia="Palatino Linotype" w:hAnsi="Palatino Linotype" w:cs="Palatino Linotype"/>
          <w:i/>
        </w:rPr>
        <w:t xml:space="preserve"> “</w:t>
      </w:r>
      <w:r w:rsidRPr="00CF0DAD">
        <w:rPr>
          <w:rFonts w:ascii="Palatino Linotype" w:eastAsia="Palatino Linotype" w:hAnsi="Palatino Linotype" w:cs="Palatino Linotype"/>
          <w:b/>
          <w:i/>
        </w:rPr>
        <w:t>No existe obligación de elaborar documentos ad hoc para atender las solicitudes de acceso a la información.</w:t>
      </w:r>
      <w:r w:rsidRPr="00CF0DAD">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7F24338E"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lastRenderedPageBreak/>
        <w:t xml:space="preserve">En este orden de ideas, del análisis de la solicitud de información, motivo del recurso de revisión que ahora se resuelve, se advierte que la persona solicitante requirió al </w:t>
      </w:r>
      <w:r w:rsidRPr="00CF0DAD">
        <w:rPr>
          <w:rFonts w:ascii="Palatino Linotype" w:eastAsia="Palatino Linotype" w:hAnsi="Palatino Linotype" w:cs="Palatino Linotype"/>
          <w:b/>
          <w:sz w:val="24"/>
          <w:szCs w:val="24"/>
        </w:rPr>
        <w:t xml:space="preserve">Sujeto Obligado </w:t>
      </w:r>
      <w:r w:rsidRPr="00CF0DAD">
        <w:rPr>
          <w:rFonts w:ascii="Palatino Linotype" w:eastAsia="Palatino Linotype" w:hAnsi="Palatino Linotype" w:cs="Palatino Linotype"/>
          <w:sz w:val="24"/>
          <w:szCs w:val="24"/>
        </w:rPr>
        <w:t>le proporcione información que consiste en lo siguiente:</w:t>
      </w:r>
    </w:p>
    <w:p w14:paraId="2ADADA54" w14:textId="77777777" w:rsidR="00D457BB" w:rsidRPr="00CF0DAD" w:rsidRDefault="00811D8B">
      <w:pPr>
        <w:numPr>
          <w:ilvl w:val="0"/>
          <w:numId w:val="1"/>
        </w:num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El Órgano Interno de Control participa de manera permanente en el proceso de implementación del PMG.</w:t>
      </w:r>
    </w:p>
    <w:p w14:paraId="28F69937"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 xml:space="preserve">En respuesta a las solicitudes de información el </w:t>
      </w:r>
      <w:r w:rsidRPr="00CF0DAD">
        <w:rPr>
          <w:rFonts w:ascii="Palatino Linotype" w:eastAsia="Palatino Linotype" w:hAnsi="Palatino Linotype" w:cs="Palatino Linotype"/>
          <w:b/>
          <w:sz w:val="24"/>
          <w:szCs w:val="24"/>
        </w:rPr>
        <w:t xml:space="preserve">Sujeto Obligado, </w:t>
      </w:r>
      <w:r w:rsidRPr="00CF0DAD">
        <w:rPr>
          <w:rFonts w:ascii="Palatino Linotype" w:eastAsia="Palatino Linotype" w:hAnsi="Palatino Linotype" w:cs="Palatino Linotype"/>
          <w:sz w:val="24"/>
          <w:szCs w:val="24"/>
        </w:rPr>
        <w:t xml:space="preserve">por conducto de la Unidad de Transparencia, requirió a la persona solicitante fuese más precisa en determinar a qué se refería con “PMG”, manifestando en el acto que dentro del Sujeto Obligado se desconoce dicho término, motivando así la presentación de los recursos de revisión que ahora se resuelven, en los cuales la parte </w:t>
      </w:r>
      <w:r w:rsidRPr="00CF0DAD">
        <w:rPr>
          <w:rFonts w:ascii="Palatino Linotype" w:eastAsia="Palatino Linotype" w:hAnsi="Palatino Linotype" w:cs="Palatino Linotype"/>
          <w:b/>
          <w:sz w:val="24"/>
          <w:szCs w:val="24"/>
        </w:rPr>
        <w:t>Recurrente</w:t>
      </w:r>
      <w:r w:rsidRPr="00CF0DAD">
        <w:rPr>
          <w:rFonts w:ascii="Palatino Linotype" w:eastAsia="Palatino Linotype" w:hAnsi="Palatino Linotype" w:cs="Palatino Linotype"/>
          <w:sz w:val="24"/>
          <w:szCs w:val="24"/>
        </w:rPr>
        <w:t xml:space="preserve"> alegó que no se recibió la información correcta</w:t>
      </w:r>
    </w:p>
    <w:p w14:paraId="17609E83"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 xml:space="preserve">Durante el periodo de manifestaciones el Sujeto Obligado fue omiso en rendir su informe justificado, y la parte </w:t>
      </w:r>
      <w:r w:rsidRPr="00CF0DAD">
        <w:rPr>
          <w:rFonts w:ascii="Palatino Linotype" w:eastAsia="Palatino Linotype" w:hAnsi="Palatino Linotype" w:cs="Palatino Linotype"/>
          <w:b/>
          <w:sz w:val="24"/>
          <w:szCs w:val="24"/>
        </w:rPr>
        <w:t xml:space="preserve">Recurrente </w:t>
      </w:r>
      <w:r w:rsidRPr="00CF0DAD">
        <w:rPr>
          <w:rFonts w:ascii="Palatino Linotype" w:eastAsia="Palatino Linotype" w:hAnsi="Palatino Linotype" w:cs="Palatino Linotype"/>
          <w:sz w:val="24"/>
          <w:szCs w:val="24"/>
        </w:rPr>
        <w:t>fue omisa en hacer valer manifestaciones o rendir alegatos que conforme a derecho resultaran procedentes; por lo tanto, se tiene por precluido su derecho.</w:t>
      </w:r>
    </w:p>
    <w:p w14:paraId="70ADBEA9" w14:textId="77777777" w:rsidR="00D457BB" w:rsidRPr="00CF0DAD" w:rsidRDefault="00811D8B">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 xml:space="preserve">Expuestas las posturas de las partes, se resalta la innegable necesidad de interpretar el texto de la solicitud del requerimiento de información,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w:t>
      </w:r>
      <w:r w:rsidRPr="00CF0DAD">
        <w:rPr>
          <w:rFonts w:ascii="Palatino Linotype" w:eastAsia="Palatino Linotype" w:hAnsi="Palatino Linotype" w:cs="Palatino Linotype"/>
          <w:sz w:val="24"/>
          <w:szCs w:val="24"/>
        </w:rPr>
        <w:lastRenderedPageBreak/>
        <w:t xml:space="preserve">si de la solicitud no se entiende o no se precisan temas o materias objetivas; por ello es de notoria importancia el trabajo de interpretación que se le dé a una solicitud de información, ya que el </w:t>
      </w:r>
      <w:r w:rsidRPr="00CF0DAD">
        <w:rPr>
          <w:rFonts w:ascii="Palatino Linotype" w:eastAsia="Palatino Linotype" w:hAnsi="Palatino Linotype" w:cs="Palatino Linotype"/>
          <w:b/>
          <w:sz w:val="24"/>
          <w:szCs w:val="24"/>
        </w:rPr>
        <w:t>Sujeto Obligado</w:t>
      </w:r>
      <w:r w:rsidRPr="00CF0DAD">
        <w:rPr>
          <w:rFonts w:ascii="Palatino Linotype" w:eastAsia="Palatino Linotype" w:hAnsi="Palatino Linotype" w:cs="Palatino Linotype"/>
          <w:sz w:val="24"/>
          <w:szCs w:val="24"/>
        </w:rPr>
        <w:t xml:space="preserve"> puede considerar una circunstancia en particular diversa a la que la persona solicitante objetivamente requiere.</w:t>
      </w:r>
    </w:p>
    <w:p w14:paraId="547846A4"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 xml:space="preserve">En esta tesitura, dado que el planteamiento del problema es de toral importancia, a efecto de determinar la intención o voluntad de la persona solicitante a la luz de la interpretación de la solicitud de información, y que puede generar de forma objetiva y material el </w:t>
      </w:r>
      <w:r w:rsidRPr="00CF0DAD">
        <w:rPr>
          <w:rFonts w:ascii="Palatino Linotype" w:eastAsia="Palatino Linotype" w:hAnsi="Palatino Linotype" w:cs="Palatino Linotype"/>
          <w:b/>
          <w:sz w:val="24"/>
          <w:szCs w:val="24"/>
        </w:rPr>
        <w:t>Sujeto Obligado</w:t>
      </w:r>
      <w:r w:rsidRPr="00CF0DAD">
        <w:rPr>
          <w:rFonts w:ascii="Palatino Linotype" w:eastAsia="Palatino Linotype" w:hAnsi="Palatino Linotype" w:cs="Palatino Linotype"/>
          <w:sz w:val="24"/>
          <w:szCs w:val="24"/>
        </w:rPr>
        <w:t xml:space="preserve"> que se relacione con esa intención; respecto del presente asunto se realiza a continuación.</w:t>
      </w:r>
    </w:p>
    <w:p w14:paraId="253AD520"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 xml:space="preserve">Atentos a la redacción de la solicitud, se puede apreciar que la persona solicitante requiere objetivamente, se le informe </w:t>
      </w:r>
      <w:r w:rsidRPr="00CF0DAD">
        <w:rPr>
          <w:rFonts w:ascii="Palatino Linotype" w:eastAsia="Palatino Linotype" w:hAnsi="Palatino Linotype" w:cs="Palatino Linotype"/>
          <w:b/>
          <w:sz w:val="24"/>
          <w:szCs w:val="24"/>
        </w:rPr>
        <w:t>si el Órgano Interno de Control participa de manera permanente en el proceso de implementación del “PMG”</w:t>
      </w:r>
      <w:r w:rsidRPr="00CF0DAD">
        <w:rPr>
          <w:rFonts w:ascii="Palatino Linotype" w:eastAsia="Palatino Linotype" w:hAnsi="Palatino Linotype" w:cs="Palatino Linotype"/>
          <w:sz w:val="24"/>
          <w:szCs w:val="24"/>
        </w:rPr>
        <w:t>, sin que precisara de manera clara o concreta, la información o documento al que pretende acceder, y, si bien es cierto, que de conformidad con el Criterio de interpretación con clave de control  SO/016/2017, emitido por el Pleno Instituto Nacional de Transparencia, Acceso a la Información y Protección de Datos Personales, INAI, que es del tenor literal siguiente:</w:t>
      </w:r>
    </w:p>
    <w:p w14:paraId="5D0EF468" w14:textId="77777777" w:rsidR="00D457BB" w:rsidRPr="00CF0DAD" w:rsidRDefault="00811D8B">
      <w:pPr>
        <w:pBdr>
          <w:top w:val="nil"/>
          <w:left w:val="nil"/>
          <w:bottom w:val="nil"/>
          <w:right w:val="nil"/>
          <w:between w:val="nil"/>
        </w:pBdr>
        <w:spacing w:after="120"/>
        <w:ind w:left="851" w:right="902"/>
        <w:jc w:val="both"/>
        <w:rPr>
          <w:rFonts w:ascii="Palatino Linotype" w:eastAsia="Palatino Linotype" w:hAnsi="Palatino Linotype" w:cs="Palatino Linotype"/>
        </w:rPr>
      </w:pPr>
      <w:r w:rsidRPr="00CF0DAD">
        <w:t>“</w:t>
      </w:r>
      <w:r w:rsidRPr="00CF0DAD">
        <w:rPr>
          <w:rFonts w:ascii="Palatino Linotype" w:eastAsia="Palatino Linotype" w:hAnsi="Palatino Linotype" w:cs="Palatino Linotype"/>
          <w:b/>
          <w:i/>
        </w:rPr>
        <w:t xml:space="preserve">Expresión documental. </w:t>
      </w:r>
      <w:r w:rsidRPr="00CF0DAD">
        <w:rPr>
          <w:rFonts w:ascii="Palatino Linotype" w:eastAsia="Palatino Linotype" w:hAnsi="Palatino Linotype" w:cs="Palatino Linotype"/>
          <w:i/>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21C31412"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lastRenderedPageBreak/>
        <w:t>En aquellos casos en los que las personas solicitantes no identifiquen de forma precisa la documentación que pudiera contener la información que es de su interés, o bien, que las solicitudes constituyan una consulta, los Sujetos Obligados</w:t>
      </w:r>
      <w:r w:rsidRPr="00CF0DAD">
        <w:rPr>
          <w:rFonts w:ascii="Palatino Linotype" w:eastAsia="Palatino Linotype" w:hAnsi="Palatino Linotype" w:cs="Palatino Linotype"/>
          <w:b/>
          <w:sz w:val="24"/>
          <w:szCs w:val="24"/>
        </w:rPr>
        <w:t xml:space="preserve"> </w:t>
      </w:r>
      <w:r w:rsidRPr="00CF0DAD">
        <w:rPr>
          <w:rFonts w:ascii="Palatino Linotype" w:eastAsia="Palatino Linotype" w:hAnsi="Palatino Linotype" w:cs="Palatino Linotype"/>
          <w:sz w:val="24"/>
          <w:szCs w:val="24"/>
        </w:rPr>
        <w:t>cuentan con el deber de dar a las solicitudes una interpretación que les dé una expresión documental, ya que para que el derecho de acceso a la información pública de los solicitantes se satisfaga completamente, es necesario que se les brinde el acceso a datos, registros y todo tipo de información pública que conste en documentos, ya sea generados o que se encuentre en posesión de las autoridades.</w:t>
      </w:r>
    </w:p>
    <w:p w14:paraId="53E5CBA8"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 xml:space="preserve">En el caso que nos ocupa, el requerimiento de información es genérico, ya que la persona solicitante no especificó o describió de manera clara la información o documento al cual pretende tener acceso de acuerdo con las atribuciones del </w:t>
      </w:r>
      <w:r w:rsidRPr="00CF0DAD">
        <w:rPr>
          <w:rFonts w:ascii="Palatino Linotype" w:eastAsia="Palatino Linotype" w:hAnsi="Palatino Linotype" w:cs="Palatino Linotype"/>
          <w:b/>
          <w:sz w:val="24"/>
          <w:szCs w:val="24"/>
        </w:rPr>
        <w:t>Sujeto Obligado</w:t>
      </w:r>
      <w:r w:rsidRPr="00CF0DAD">
        <w:rPr>
          <w:rFonts w:ascii="Palatino Linotype" w:eastAsia="Palatino Linotype" w:hAnsi="Palatino Linotype" w:cs="Palatino Linotype"/>
          <w:sz w:val="24"/>
          <w:szCs w:val="24"/>
        </w:rPr>
        <w:t>, pues, si bien de la lectura se infiere que su interés pudiera relacionarse con el ejercicio de atribuciones a cargo del Órgano Interno de Control, no precisó a qué información se refería con las siglas “PMG”, contraviniendo lo señalado por el artículo 155, fracción III de la Ley de  Transparencia y Acceso a la Información Pública del Estado de México y Municipios, que es del tenor literal siguiente:</w:t>
      </w:r>
    </w:p>
    <w:p w14:paraId="31C2D30F" w14:textId="77777777" w:rsidR="00D457BB" w:rsidRPr="00CF0DAD" w:rsidRDefault="00811D8B">
      <w:pPr>
        <w:spacing w:before="120" w:after="120"/>
        <w:ind w:left="851" w:right="902"/>
        <w:jc w:val="both"/>
        <w:rPr>
          <w:rFonts w:ascii="Palatino Linotype" w:eastAsia="Palatino Linotype" w:hAnsi="Palatino Linotype" w:cs="Palatino Linotype"/>
          <w:i/>
        </w:rPr>
      </w:pPr>
      <w:r w:rsidRPr="00CF0DAD">
        <w:rPr>
          <w:rFonts w:ascii="Palatino Linotype" w:eastAsia="Palatino Linotype" w:hAnsi="Palatino Linotype" w:cs="Palatino Linotype"/>
          <w:i/>
        </w:rPr>
        <w:t xml:space="preserve"> “</w:t>
      </w:r>
      <w:r w:rsidRPr="00CF0DAD">
        <w:rPr>
          <w:rFonts w:ascii="Palatino Linotype" w:eastAsia="Palatino Linotype" w:hAnsi="Palatino Linotype" w:cs="Palatino Linotype"/>
          <w:b/>
          <w:i/>
        </w:rPr>
        <w:t>Artículo 155.</w:t>
      </w:r>
      <w:r w:rsidRPr="00CF0DAD">
        <w:rPr>
          <w:rFonts w:ascii="Palatino Linotype" w:eastAsia="Palatino Linotype" w:hAnsi="Palatino Linotype" w:cs="Palatino Linotype"/>
          <w:i/>
        </w:rPr>
        <w:t xml:space="preserve"> Para presentar una solicitud por escrito, no se podrán exigir mayores requisitos que los siguientes: </w:t>
      </w:r>
    </w:p>
    <w:p w14:paraId="1A27B6ED" w14:textId="77777777" w:rsidR="00D457BB" w:rsidRPr="00CF0DAD" w:rsidRDefault="00811D8B">
      <w:pPr>
        <w:spacing w:before="120" w:after="120"/>
        <w:ind w:left="1134" w:right="902"/>
        <w:jc w:val="both"/>
        <w:rPr>
          <w:rFonts w:ascii="Palatino Linotype" w:eastAsia="Palatino Linotype" w:hAnsi="Palatino Linotype" w:cs="Palatino Linotype"/>
          <w:i/>
        </w:rPr>
      </w:pPr>
      <w:r w:rsidRPr="00CF0DAD">
        <w:rPr>
          <w:rFonts w:ascii="Palatino Linotype" w:eastAsia="Palatino Linotype" w:hAnsi="Palatino Linotype" w:cs="Palatino Linotype"/>
          <w:b/>
          <w:i/>
        </w:rPr>
        <w:t>I.</w:t>
      </w:r>
      <w:r w:rsidRPr="00CF0DAD">
        <w:rPr>
          <w:rFonts w:ascii="Palatino Linotype" w:eastAsia="Palatino Linotype" w:hAnsi="Palatino Linotype" w:cs="Palatino Linotype"/>
          <w:i/>
        </w:rPr>
        <w:t xml:space="preserve"> Nombre del solicitante, o en su caso, los datos generales de su representante;</w:t>
      </w:r>
    </w:p>
    <w:p w14:paraId="00A158B9" w14:textId="77777777" w:rsidR="00D457BB" w:rsidRPr="00CF0DAD" w:rsidRDefault="00811D8B">
      <w:pPr>
        <w:spacing w:before="120" w:after="120"/>
        <w:ind w:left="1134" w:right="902"/>
        <w:jc w:val="both"/>
        <w:rPr>
          <w:rFonts w:ascii="Palatino Linotype" w:eastAsia="Palatino Linotype" w:hAnsi="Palatino Linotype" w:cs="Palatino Linotype"/>
          <w:i/>
        </w:rPr>
      </w:pPr>
      <w:r w:rsidRPr="00CF0DAD">
        <w:rPr>
          <w:rFonts w:ascii="Palatino Linotype" w:eastAsia="Palatino Linotype" w:hAnsi="Palatino Linotype" w:cs="Palatino Linotype"/>
          <w:i/>
        </w:rPr>
        <w:t xml:space="preserve"> </w:t>
      </w:r>
      <w:r w:rsidRPr="00CF0DAD">
        <w:rPr>
          <w:rFonts w:ascii="Palatino Linotype" w:eastAsia="Palatino Linotype" w:hAnsi="Palatino Linotype" w:cs="Palatino Linotype"/>
          <w:b/>
          <w:i/>
        </w:rPr>
        <w:t>II</w:t>
      </w:r>
      <w:r w:rsidRPr="00CF0DAD">
        <w:rPr>
          <w:rFonts w:ascii="Palatino Linotype" w:eastAsia="Palatino Linotype" w:hAnsi="Palatino Linotype" w:cs="Palatino Linotype"/>
          <w:i/>
        </w:rPr>
        <w:t xml:space="preserve">. Domicilio o en su caso correo electrónico para recibir notificaciones; </w:t>
      </w:r>
    </w:p>
    <w:p w14:paraId="48D574A4" w14:textId="77777777" w:rsidR="00D457BB" w:rsidRPr="00CF0DAD" w:rsidRDefault="00811D8B">
      <w:pPr>
        <w:spacing w:before="120" w:after="120"/>
        <w:ind w:left="1134" w:right="902"/>
        <w:jc w:val="both"/>
        <w:rPr>
          <w:rFonts w:ascii="Palatino Linotype" w:eastAsia="Palatino Linotype" w:hAnsi="Palatino Linotype" w:cs="Palatino Linotype"/>
          <w:i/>
        </w:rPr>
      </w:pPr>
      <w:r w:rsidRPr="00CF0DAD">
        <w:rPr>
          <w:rFonts w:ascii="Palatino Linotype" w:eastAsia="Palatino Linotype" w:hAnsi="Palatino Linotype" w:cs="Palatino Linotype"/>
          <w:b/>
          <w:i/>
        </w:rPr>
        <w:t xml:space="preserve">III. </w:t>
      </w:r>
      <w:r w:rsidRPr="00CF0DAD">
        <w:rPr>
          <w:rFonts w:ascii="Palatino Linotype" w:eastAsia="Palatino Linotype" w:hAnsi="Palatino Linotype" w:cs="Palatino Linotype"/>
          <w:b/>
          <w:i/>
          <w:u w:val="single"/>
        </w:rPr>
        <w:t>La descripción de la información solicitada</w:t>
      </w:r>
      <w:r w:rsidRPr="00CF0DAD">
        <w:rPr>
          <w:rFonts w:ascii="Palatino Linotype" w:eastAsia="Palatino Linotype" w:hAnsi="Palatino Linotype" w:cs="Palatino Linotype"/>
          <w:i/>
        </w:rPr>
        <w:t xml:space="preserve">; </w:t>
      </w:r>
    </w:p>
    <w:p w14:paraId="3FE8A3B3" w14:textId="77777777" w:rsidR="00D457BB" w:rsidRPr="00CF0DAD" w:rsidRDefault="00811D8B">
      <w:pPr>
        <w:spacing w:before="120" w:after="120"/>
        <w:ind w:left="1134" w:right="902"/>
        <w:jc w:val="both"/>
        <w:rPr>
          <w:rFonts w:ascii="Palatino Linotype" w:eastAsia="Palatino Linotype" w:hAnsi="Palatino Linotype" w:cs="Palatino Linotype"/>
          <w:i/>
        </w:rPr>
      </w:pPr>
      <w:r w:rsidRPr="00CF0DAD">
        <w:rPr>
          <w:rFonts w:ascii="Palatino Linotype" w:eastAsia="Palatino Linotype" w:hAnsi="Palatino Linotype" w:cs="Palatino Linotype"/>
          <w:b/>
          <w:i/>
        </w:rPr>
        <w:t xml:space="preserve">IV. </w:t>
      </w:r>
      <w:r w:rsidRPr="00CF0DAD">
        <w:rPr>
          <w:rFonts w:ascii="Palatino Linotype" w:eastAsia="Palatino Linotype" w:hAnsi="Palatino Linotype" w:cs="Palatino Linotype"/>
          <w:i/>
        </w:rPr>
        <w:t xml:space="preserve">Cualquier otro dato que facilite la búsqueda y eventual localización de la información; y </w:t>
      </w:r>
    </w:p>
    <w:p w14:paraId="5ADCF373" w14:textId="77777777" w:rsidR="00D457BB" w:rsidRPr="00CF0DAD" w:rsidRDefault="00811D8B">
      <w:pPr>
        <w:spacing w:before="120" w:after="120"/>
        <w:ind w:left="1134" w:right="902"/>
        <w:jc w:val="both"/>
        <w:rPr>
          <w:rFonts w:ascii="Palatino Linotype" w:eastAsia="Palatino Linotype" w:hAnsi="Palatino Linotype" w:cs="Palatino Linotype"/>
          <w:i/>
        </w:rPr>
      </w:pPr>
      <w:r w:rsidRPr="00CF0DAD">
        <w:rPr>
          <w:rFonts w:ascii="Palatino Linotype" w:eastAsia="Palatino Linotype" w:hAnsi="Palatino Linotype" w:cs="Palatino Linotype"/>
          <w:b/>
          <w:i/>
        </w:rPr>
        <w:lastRenderedPageBreak/>
        <w:t>V.</w:t>
      </w:r>
      <w:r w:rsidRPr="00CF0DAD">
        <w:rPr>
          <w:rFonts w:ascii="Palatino Linotype" w:eastAsia="Palatino Linotype" w:hAnsi="Palatino Linotype" w:cs="Palatino Linotype"/>
          <w:i/>
        </w:rPr>
        <w:t xml:space="preserve">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14:paraId="6974726B" w14:textId="77777777" w:rsidR="00D457BB" w:rsidRPr="00CF0DAD" w:rsidRDefault="00811D8B">
      <w:pPr>
        <w:spacing w:before="120" w:after="120"/>
        <w:ind w:left="851" w:right="902"/>
        <w:jc w:val="both"/>
        <w:rPr>
          <w:rFonts w:ascii="Palatino Linotype" w:eastAsia="Palatino Linotype" w:hAnsi="Palatino Linotype" w:cs="Palatino Linotype"/>
          <w:i/>
        </w:rPr>
      </w:pPr>
      <w:r w:rsidRPr="00CF0DAD">
        <w:rPr>
          <w:rFonts w:ascii="Palatino Linotype" w:eastAsia="Palatino Linotype" w:hAnsi="Palatino Linotype" w:cs="Palatino Linotype"/>
          <w:i/>
        </w:rPr>
        <w:t xml:space="preserve">Queda prohibido para los sujetos obligados recabar datos que den lugar a indagatorias sobre las motivaciones de la solicitud de información y su uso posterior. </w:t>
      </w:r>
    </w:p>
    <w:p w14:paraId="33566570" w14:textId="77777777" w:rsidR="00D457BB" w:rsidRPr="00CF0DAD" w:rsidRDefault="00811D8B">
      <w:pPr>
        <w:spacing w:before="120" w:after="120"/>
        <w:ind w:left="851" w:right="902"/>
        <w:jc w:val="both"/>
        <w:rPr>
          <w:rFonts w:ascii="Palatino Linotype" w:eastAsia="Palatino Linotype" w:hAnsi="Palatino Linotype" w:cs="Palatino Linotype"/>
          <w:i/>
        </w:rPr>
      </w:pPr>
      <w:r w:rsidRPr="00CF0DAD">
        <w:rPr>
          <w:rFonts w:ascii="Palatino Linotype" w:eastAsia="Palatino Linotype" w:hAnsi="Palatino Linotype" w:cs="Palatino Linotype"/>
          <w:i/>
        </w:rPr>
        <w:t xml:space="preserve">Las solicitudes anónimas, con nombre incompleto o seudónimo serán procedentes para su trámite por parte del sujeto obligado ante quien se presente. </w:t>
      </w:r>
    </w:p>
    <w:p w14:paraId="147E491D" w14:textId="77777777" w:rsidR="00D457BB" w:rsidRPr="00CF0DAD" w:rsidRDefault="00811D8B">
      <w:pPr>
        <w:spacing w:before="120" w:after="120"/>
        <w:ind w:left="851" w:right="902"/>
        <w:jc w:val="both"/>
        <w:rPr>
          <w:rFonts w:ascii="Palatino Linotype" w:eastAsia="Palatino Linotype" w:hAnsi="Palatino Linotype" w:cs="Palatino Linotype"/>
          <w:i/>
        </w:rPr>
      </w:pPr>
      <w:r w:rsidRPr="00CF0DAD">
        <w:rPr>
          <w:rFonts w:ascii="Palatino Linotype" w:eastAsia="Palatino Linotype" w:hAnsi="Palatino Linotype" w:cs="Palatino Linotype"/>
          <w:i/>
        </w:rPr>
        <w:t xml:space="preserve">No podrá requerirse información adicional con motivo del nombre proporcionado por el solicitante. </w:t>
      </w:r>
    </w:p>
    <w:p w14:paraId="4BC7A5B1" w14:textId="77777777" w:rsidR="00D457BB" w:rsidRPr="00CF0DAD" w:rsidRDefault="00811D8B">
      <w:pPr>
        <w:spacing w:before="120" w:after="120"/>
        <w:ind w:left="851" w:right="902"/>
        <w:jc w:val="both"/>
        <w:rPr>
          <w:rFonts w:ascii="Palatino Linotype" w:eastAsia="Palatino Linotype" w:hAnsi="Palatino Linotype" w:cs="Palatino Linotype"/>
          <w:i/>
        </w:rPr>
      </w:pPr>
      <w:r w:rsidRPr="00CF0DAD">
        <w:rPr>
          <w:rFonts w:ascii="Palatino Linotype" w:eastAsia="Palatino Linotype" w:hAnsi="Palatino Linotype" w:cs="Palatino Linotype"/>
          <w:i/>
        </w:rPr>
        <w:t>La información de las fracciones I y IV será proporcionada por el solicitante de manera opcional y, en ningún caso, podrá ser un requisito indispensable para la procedencia de la solicitud.</w:t>
      </w:r>
    </w:p>
    <w:p w14:paraId="452C4E11" w14:textId="77777777" w:rsidR="00D457BB" w:rsidRPr="00CF0DAD" w:rsidRDefault="00811D8B">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 xml:space="preserve">En ese sentido, al no proporcionar la persona solicitante la descripción de la información solicitada para su búsqueda y localización, no debe perderse de vista que los Sujetos Obligados tienen la de facultad requerir a los solicitantes una aclaración, cuando la solicitud no sea clara, en términos de lo señalado por el artículo 159 de la  Ley de Transparencia y Acceso a la Información Pública del Estado de México y Municipios, a saber: </w:t>
      </w:r>
    </w:p>
    <w:p w14:paraId="4FBBC90D" w14:textId="77777777" w:rsidR="00D457BB" w:rsidRPr="00CF0DAD" w:rsidRDefault="00811D8B">
      <w:pPr>
        <w:spacing w:before="120" w:after="120"/>
        <w:ind w:left="851" w:right="902"/>
        <w:jc w:val="both"/>
        <w:rPr>
          <w:rFonts w:ascii="Palatino Linotype" w:eastAsia="Palatino Linotype" w:hAnsi="Palatino Linotype" w:cs="Palatino Linotype"/>
          <w:i/>
        </w:rPr>
      </w:pPr>
      <w:r w:rsidRPr="00CF0DAD">
        <w:rPr>
          <w:rFonts w:ascii="Palatino Linotype" w:eastAsia="Palatino Linotype" w:hAnsi="Palatino Linotype" w:cs="Palatino Linotype"/>
          <w:i/>
        </w:rPr>
        <w:t>“</w:t>
      </w:r>
      <w:r w:rsidRPr="00CF0DAD">
        <w:rPr>
          <w:rFonts w:ascii="Palatino Linotype" w:eastAsia="Palatino Linotype" w:hAnsi="Palatino Linotype" w:cs="Palatino Linotype"/>
          <w:b/>
          <w:i/>
        </w:rPr>
        <w:t>Artículo 159.</w:t>
      </w:r>
      <w:r w:rsidRPr="00CF0DAD">
        <w:rPr>
          <w:rFonts w:ascii="Palatino Linotype" w:eastAsia="Palatino Linotype" w:hAnsi="Palatino Linotype" w:cs="Palatino Linotype"/>
          <w:i/>
        </w:rPr>
        <w:t xml:space="preserve"> 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 </w:t>
      </w:r>
    </w:p>
    <w:p w14:paraId="721CE09F" w14:textId="77777777" w:rsidR="00D457BB" w:rsidRPr="00CF0DAD" w:rsidRDefault="00811D8B">
      <w:pPr>
        <w:spacing w:before="120" w:after="120"/>
        <w:ind w:left="851" w:right="902"/>
        <w:jc w:val="both"/>
        <w:rPr>
          <w:rFonts w:ascii="Palatino Linotype" w:eastAsia="Palatino Linotype" w:hAnsi="Palatino Linotype" w:cs="Palatino Linotype"/>
          <w:i/>
        </w:rPr>
      </w:pPr>
      <w:r w:rsidRPr="00CF0DAD">
        <w:rPr>
          <w:rFonts w:ascii="Palatino Linotype" w:eastAsia="Palatino Linotype" w:hAnsi="Palatino Linotype" w:cs="Palatino Linotype"/>
          <w:i/>
        </w:rPr>
        <w:lastRenderedPageBreak/>
        <w:t xml:space="preserve">En este requerimiento interrumpirá el plazo de respuesta establecido en el artículo 163 de la presente Ley, por lo que comenzará a computarse nuevamente al día siguiente del desahogo por parte del particular. </w:t>
      </w:r>
    </w:p>
    <w:p w14:paraId="58E218FD" w14:textId="77777777" w:rsidR="00D457BB" w:rsidRPr="00CF0DAD" w:rsidRDefault="00811D8B">
      <w:pPr>
        <w:spacing w:before="120" w:after="120"/>
        <w:ind w:left="851" w:right="902"/>
        <w:jc w:val="both"/>
        <w:rPr>
          <w:rFonts w:ascii="Palatino Linotype" w:eastAsia="Palatino Linotype" w:hAnsi="Palatino Linotype" w:cs="Palatino Linotype"/>
          <w:i/>
        </w:rPr>
      </w:pPr>
      <w:r w:rsidRPr="00CF0DAD">
        <w:rPr>
          <w:rFonts w:ascii="Palatino Linotype" w:eastAsia="Palatino Linotype" w:hAnsi="Palatino Linotype" w:cs="Palatino Linotype"/>
          <w:i/>
        </w:rPr>
        <w:t xml:space="preserve">En este caso, el sujeto obligado atenderá la solicitud en los términos en que fue desahogado el requerimiento de información adicional. 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 En el caso de requerimientos parciales no desahogados, se tendrá por presentada la solicitud por lo que respecta a los contenidos de información que no formaron parte del </w:t>
      </w:r>
      <w:proofErr w:type="gramStart"/>
      <w:r w:rsidRPr="00CF0DAD">
        <w:rPr>
          <w:rFonts w:ascii="Palatino Linotype" w:eastAsia="Palatino Linotype" w:hAnsi="Palatino Linotype" w:cs="Palatino Linotype"/>
          <w:i/>
        </w:rPr>
        <w:t>requerimiento.“</w:t>
      </w:r>
      <w:proofErr w:type="gramEnd"/>
    </w:p>
    <w:p w14:paraId="74E58B08" w14:textId="77777777" w:rsidR="00D457BB" w:rsidRPr="00CF0DAD" w:rsidRDefault="00811D8B">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4"/>
          <w:szCs w:val="24"/>
        </w:rPr>
      </w:pPr>
      <w:r w:rsidRPr="00CF0DAD">
        <w:rPr>
          <w:rFonts w:ascii="Palatino Linotype" w:eastAsia="Palatino Linotype" w:hAnsi="Palatino Linotype" w:cs="Palatino Linotype"/>
          <w:sz w:val="24"/>
          <w:szCs w:val="24"/>
        </w:rPr>
        <w:t xml:space="preserve">Circunstancia que no sucedió en el caso en particular dentro del plazo establecido para tal efecto, pues fue hasta el momento de dar respuesta que el </w:t>
      </w:r>
      <w:r w:rsidRPr="00CF0DAD">
        <w:rPr>
          <w:rFonts w:ascii="Palatino Linotype" w:eastAsia="Palatino Linotype" w:hAnsi="Palatino Linotype" w:cs="Palatino Linotype"/>
          <w:b/>
          <w:sz w:val="24"/>
          <w:szCs w:val="24"/>
        </w:rPr>
        <w:t>Sujeto Obligado</w:t>
      </w:r>
      <w:r w:rsidRPr="00CF0DAD">
        <w:rPr>
          <w:rFonts w:ascii="Palatino Linotype" w:eastAsia="Palatino Linotype" w:hAnsi="Palatino Linotype" w:cs="Palatino Linotype"/>
          <w:sz w:val="24"/>
          <w:szCs w:val="24"/>
        </w:rPr>
        <w:t xml:space="preserve"> requirió a la persona solicitante </w:t>
      </w:r>
      <w:r w:rsidRPr="00CF0DAD">
        <w:rPr>
          <w:rFonts w:ascii="Palatino Linotype" w:eastAsia="Palatino Linotype" w:hAnsi="Palatino Linotype" w:cs="Palatino Linotype"/>
          <w:b/>
          <w:sz w:val="24"/>
          <w:szCs w:val="24"/>
        </w:rPr>
        <w:t>fuera más precisa en determinar que era el “PMG”, señalando que se desconocía el término.</w:t>
      </w:r>
    </w:p>
    <w:p w14:paraId="2513AC0B" w14:textId="77777777" w:rsidR="00D457BB" w:rsidRPr="00CF0DAD" w:rsidRDefault="00811D8B">
      <w:pPr>
        <w:tabs>
          <w:tab w:val="left" w:pos="142"/>
          <w:tab w:val="left" w:pos="284"/>
        </w:tabs>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Al respecto, es de suma importancia mencionar que de conformidad con las Guías de uso del sistema SAIMEX, en el apartado Registro de Aclaraciones Vía Electrónica, la solicitud de aclaración aparece de la siguiente forma:</w:t>
      </w:r>
    </w:p>
    <w:p w14:paraId="7EBBD877" w14:textId="77777777" w:rsidR="00D457BB" w:rsidRPr="00CF0DAD" w:rsidRDefault="00811D8B">
      <w:pPr>
        <w:tabs>
          <w:tab w:val="left" w:pos="142"/>
          <w:tab w:val="left" w:pos="284"/>
        </w:tabs>
        <w:spacing w:before="240" w:after="240" w:line="360" w:lineRule="auto"/>
        <w:jc w:val="center"/>
        <w:rPr>
          <w:rFonts w:ascii="Palatino Linotype" w:eastAsia="Palatino Linotype" w:hAnsi="Palatino Linotype" w:cs="Palatino Linotype"/>
          <w:sz w:val="24"/>
          <w:szCs w:val="24"/>
        </w:rPr>
      </w:pPr>
      <w:r w:rsidRPr="00CF0DAD">
        <w:rPr>
          <w:rFonts w:ascii="Palatino Linotype" w:eastAsia="Palatino Linotype" w:hAnsi="Palatino Linotype" w:cs="Palatino Linotype"/>
          <w:noProof/>
        </w:rPr>
        <w:drawing>
          <wp:inline distT="0" distB="0" distL="0" distR="0" wp14:anchorId="1EB92C65" wp14:editId="40E8EB32">
            <wp:extent cx="4680000" cy="1900730"/>
            <wp:effectExtent l="0" t="0" r="0" b="0"/>
            <wp:docPr id="19356684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b="22328"/>
                    <a:stretch>
                      <a:fillRect/>
                    </a:stretch>
                  </pic:blipFill>
                  <pic:spPr>
                    <a:xfrm>
                      <a:off x="0" y="0"/>
                      <a:ext cx="4680000" cy="1900730"/>
                    </a:xfrm>
                    <a:prstGeom prst="rect">
                      <a:avLst/>
                    </a:prstGeom>
                    <a:ln/>
                  </pic:spPr>
                </pic:pic>
              </a:graphicData>
            </a:graphic>
          </wp:inline>
        </w:drawing>
      </w:r>
    </w:p>
    <w:p w14:paraId="076C4F76" w14:textId="60DEFDB4" w:rsidR="00D457BB" w:rsidRPr="00CF0DAD" w:rsidRDefault="006708A0">
      <w:pPr>
        <w:tabs>
          <w:tab w:val="left" w:pos="142"/>
          <w:tab w:val="left" w:pos="284"/>
        </w:tabs>
        <w:spacing w:before="240" w:after="240" w:line="360" w:lineRule="auto"/>
        <w:jc w:val="center"/>
        <w:rPr>
          <w:rFonts w:ascii="Palatino Linotype" w:eastAsia="Palatino Linotype" w:hAnsi="Palatino Linotype" w:cs="Palatino Linotype"/>
          <w:sz w:val="24"/>
          <w:szCs w:val="24"/>
        </w:rPr>
      </w:pPr>
      <w:r w:rsidRPr="006708A0">
        <w:rPr>
          <w:rFonts w:ascii="Palatino Linotype" w:eastAsia="Palatino Linotype" w:hAnsi="Palatino Linotype" w:cs="Palatino Linotype"/>
          <w:sz w:val="24"/>
          <w:szCs w:val="24"/>
        </w:rPr>
        <w:lastRenderedPageBreak/>
        <w:drawing>
          <wp:inline distT="0" distB="0" distL="0" distR="0" wp14:anchorId="65B7DB53" wp14:editId="03ADDA01">
            <wp:extent cx="5612130" cy="402145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4021455"/>
                    </a:xfrm>
                    <a:prstGeom prst="rect">
                      <a:avLst/>
                    </a:prstGeom>
                  </pic:spPr>
                </pic:pic>
              </a:graphicData>
            </a:graphic>
          </wp:inline>
        </w:drawing>
      </w:r>
    </w:p>
    <w:p w14:paraId="613109A7" w14:textId="77777777" w:rsidR="00D457BB" w:rsidRPr="00CF0DAD" w:rsidRDefault="00811D8B">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 xml:space="preserve">De lo anterior se concluye que, previo a la respuesta, la Unidad de Transparencia cuenta con la posibilidad de solicitar una aclaración a través de una actuación que consta dentro del Sistema de Acceso a la Información Mexiquense, SAIMEX, distinta a la del apartado de respuesta, sin embargo, dicha posibilidad no se hizo valer por el </w:t>
      </w:r>
      <w:r w:rsidRPr="00CF0DAD">
        <w:rPr>
          <w:rFonts w:ascii="Palatino Linotype" w:eastAsia="Palatino Linotype" w:hAnsi="Palatino Linotype" w:cs="Palatino Linotype"/>
          <w:b/>
          <w:sz w:val="24"/>
          <w:szCs w:val="24"/>
        </w:rPr>
        <w:t>Sujeto Obligado</w:t>
      </w:r>
      <w:r w:rsidRPr="00CF0DAD">
        <w:rPr>
          <w:rFonts w:ascii="Palatino Linotype" w:eastAsia="Palatino Linotype" w:hAnsi="Palatino Linotype" w:cs="Palatino Linotype"/>
          <w:sz w:val="24"/>
          <w:szCs w:val="24"/>
        </w:rPr>
        <w:t xml:space="preserve"> y, por el contrario, al solicitar la aclaración a través del apartado de respuesta causó un perjuicio al Derecho de acceso a la información de la persona solicitante.</w:t>
      </w:r>
    </w:p>
    <w:p w14:paraId="314C36D1" w14:textId="77777777" w:rsidR="00D457BB" w:rsidRPr="00CF0DAD" w:rsidRDefault="00811D8B">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lastRenderedPageBreak/>
        <w:t xml:space="preserve">En esta tesitura, se insta al </w:t>
      </w:r>
      <w:r w:rsidRPr="00CF0DAD">
        <w:rPr>
          <w:rFonts w:ascii="Palatino Linotype" w:eastAsia="Palatino Linotype" w:hAnsi="Palatino Linotype" w:cs="Palatino Linotype"/>
          <w:b/>
          <w:sz w:val="24"/>
          <w:szCs w:val="24"/>
        </w:rPr>
        <w:t xml:space="preserve">Sujeto Obligado </w:t>
      </w:r>
      <w:r w:rsidRPr="00CF0DAD">
        <w:rPr>
          <w:rFonts w:ascii="Palatino Linotype" w:eastAsia="Palatino Linotype" w:hAnsi="Palatino Linotype" w:cs="Palatino Linotype"/>
          <w:sz w:val="24"/>
          <w:szCs w:val="24"/>
        </w:rPr>
        <w:t xml:space="preserve">para que en próximas ocasiones, se apegue a los principios de sencillez y rapidez establecidos por la Ley de Transparencia y Acceso a la Información Pública del Estado de México y Municipios, en sus artículos 2, fracciones II y III, 21 y 150, y observe las formalidades que prevén las leyes de la materia con la finalidad de garantizar un correcto ejercicio del derecho de acceso a la información pública de los ciudadanos. </w:t>
      </w:r>
    </w:p>
    <w:p w14:paraId="53DFC006" w14:textId="77777777" w:rsidR="00D457BB" w:rsidRPr="00CF0DAD" w:rsidRDefault="00811D8B">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 xml:space="preserve">Una vez sentado lo anterior, como ha sido mencionado, de la lectura del requerimiento de información no se advierte algún elemento que pueda llevar a una búsqueda de la información requerida, al no proveer datos preponderantemente específicos y detallados, los cuales se encuentran en clara desvinculación con su contexto subjetivo; en otras palabras, la persona solicitante no proporcionó los elementos necesarios para que su solicitud fuera atendida, y, si bien,  </w:t>
      </w:r>
      <w:r w:rsidRPr="00CF0DAD">
        <w:rPr>
          <w:rFonts w:ascii="Palatino Linotype" w:eastAsia="Palatino Linotype" w:hAnsi="Palatino Linotype" w:cs="Palatino Linotype"/>
          <w:b/>
          <w:sz w:val="24"/>
          <w:szCs w:val="24"/>
          <w:u w:val="single"/>
        </w:rPr>
        <w:t xml:space="preserve">pudo subsanar dicha situación a través de los motivos de inconformidad hechos valer en los recursos de revisión en los términos de la respuesta proporcionada por el Sujeto Obligado, se limitó a referir </w:t>
      </w:r>
      <w:r w:rsidRPr="00CF0DAD">
        <w:rPr>
          <w:rFonts w:ascii="Palatino Linotype" w:eastAsia="Palatino Linotype" w:hAnsi="Palatino Linotype" w:cs="Palatino Linotype"/>
          <w:b/>
          <w:i/>
          <w:sz w:val="24"/>
          <w:szCs w:val="24"/>
          <w:u w:val="single"/>
        </w:rPr>
        <w:t>“NO RECIBI LA INFORMACION CORRECTA” (sic),</w:t>
      </w:r>
      <w:r w:rsidRPr="00CF0DAD">
        <w:rPr>
          <w:rFonts w:ascii="Palatino Linotype" w:eastAsia="Palatino Linotype" w:hAnsi="Palatino Linotype" w:cs="Palatino Linotype"/>
          <w:i/>
          <w:sz w:val="24"/>
          <w:szCs w:val="24"/>
        </w:rPr>
        <w:t xml:space="preserve"> </w:t>
      </w:r>
      <w:r w:rsidRPr="00CF0DAD">
        <w:rPr>
          <w:rFonts w:ascii="Palatino Linotype" w:eastAsia="Palatino Linotype" w:hAnsi="Palatino Linotype" w:cs="Palatino Linotype"/>
          <w:sz w:val="24"/>
          <w:szCs w:val="24"/>
        </w:rPr>
        <w:t>por lo que la Unidad de Transparencia se encontraba imposibilitada para realizar la búsqueda, al no ser posible identificar la información que se requiere.</w:t>
      </w:r>
    </w:p>
    <w:p w14:paraId="49D686B0" w14:textId="77777777" w:rsidR="00D457BB" w:rsidRPr="00CF0DAD" w:rsidRDefault="00811D8B">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 xml:space="preserve">En esa tesitura, si bien la  inconformidad alegada encuadra en la hipótesis normativa de la fracción VI del artículo 179 de la Ley de Transparencia y Acceso a la Información Pública del Estado de México y Municipios, toda vez que se impugna la entrega de información que no corresponde con lo solicitado, al haberse señalado que no se recibió la información correcta; también lo es que resulta infundada en el </w:t>
      </w:r>
      <w:r w:rsidRPr="00CF0DAD">
        <w:rPr>
          <w:rFonts w:ascii="Palatino Linotype" w:eastAsia="Palatino Linotype" w:hAnsi="Palatino Linotype" w:cs="Palatino Linotype"/>
          <w:sz w:val="24"/>
          <w:szCs w:val="24"/>
        </w:rPr>
        <w:lastRenderedPageBreak/>
        <w:t xml:space="preserve">caso particular, pues como quedó acreditado en párrafos anteriores, la parte </w:t>
      </w:r>
      <w:r w:rsidRPr="00CF0DAD">
        <w:rPr>
          <w:rFonts w:ascii="Palatino Linotype" w:eastAsia="Palatino Linotype" w:hAnsi="Palatino Linotype" w:cs="Palatino Linotype"/>
          <w:b/>
          <w:sz w:val="24"/>
          <w:szCs w:val="24"/>
        </w:rPr>
        <w:t>Recurrente,</w:t>
      </w:r>
      <w:r w:rsidRPr="00CF0DAD">
        <w:rPr>
          <w:rFonts w:ascii="Palatino Linotype" w:eastAsia="Palatino Linotype" w:hAnsi="Palatino Linotype" w:cs="Palatino Linotype"/>
          <w:sz w:val="24"/>
          <w:szCs w:val="24"/>
        </w:rPr>
        <w:t xml:space="preserve"> en la solicitud que dio origen al recurso de revisión que se resuelve,  no proporcionó algún dato que pueda llevar a una búsqueda de la información a la cual pretende tener acceso, puesto que no refirió con exactitud a que se refiere con las siglas “PMG”, así como tampoco proporcionó algún dato adicional que permita identificar o contextualizar su significado, acorde con las atribuciones que la normativa le confiere al Órgano Interno de Control.</w:t>
      </w:r>
    </w:p>
    <w:p w14:paraId="45F9E5FA" w14:textId="77777777" w:rsidR="00D457BB" w:rsidRPr="00CF0DAD" w:rsidRDefault="00811D8B">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4"/>
          <w:szCs w:val="24"/>
          <w:u w:val="single"/>
        </w:rPr>
      </w:pPr>
      <w:r w:rsidRPr="00CF0DAD">
        <w:rPr>
          <w:rFonts w:ascii="Palatino Linotype" w:eastAsia="Palatino Linotype" w:hAnsi="Palatino Linotype" w:cs="Palatino Linotype"/>
          <w:b/>
          <w:sz w:val="24"/>
          <w:szCs w:val="24"/>
          <w:u w:val="single"/>
        </w:rPr>
        <w:t>Por consiguiente, tampoco es posible advertir por este Organismo Garante, el documento o la expresión documental a la cual pretende acceder la parte Recurrente</w:t>
      </w:r>
      <w:r w:rsidRPr="00CF0DAD">
        <w:rPr>
          <w:rFonts w:ascii="Palatino Linotype" w:eastAsia="Palatino Linotype" w:hAnsi="Palatino Linotype" w:cs="Palatino Linotype"/>
          <w:sz w:val="24"/>
          <w:szCs w:val="24"/>
        </w:rPr>
        <w:t xml:space="preserve"> de acuerdo con las atribuciones conferidas al </w:t>
      </w:r>
      <w:r w:rsidRPr="00CF0DAD">
        <w:rPr>
          <w:rFonts w:ascii="Palatino Linotype" w:eastAsia="Palatino Linotype" w:hAnsi="Palatino Linotype" w:cs="Palatino Linotype"/>
          <w:b/>
          <w:sz w:val="24"/>
          <w:szCs w:val="24"/>
        </w:rPr>
        <w:t>Sujeto Obligado</w:t>
      </w:r>
      <w:r w:rsidRPr="00CF0DAD">
        <w:rPr>
          <w:rFonts w:ascii="Palatino Linotype" w:eastAsia="Palatino Linotype" w:hAnsi="Palatino Linotype" w:cs="Palatino Linotype"/>
          <w:sz w:val="24"/>
          <w:szCs w:val="24"/>
        </w:rPr>
        <w:t xml:space="preserve"> en la Constitución Política de los Estados Unidos Mexicanos, la Constitución Política del Estado Libre y Soberano de México, la Ley Orgánica Municipal del Estado de México, así como el Bando Municipal de Mexicaltzingo, y demás dispositivos normativos aplicables al caso concreto, </w:t>
      </w:r>
      <w:r w:rsidRPr="00CF0DAD">
        <w:rPr>
          <w:rFonts w:ascii="Palatino Linotype" w:eastAsia="Palatino Linotype" w:hAnsi="Palatino Linotype" w:cs="Palatino Linotype"/>
          <w:b/>
          <w:sz w:val="24"/>
          <w:szCs w:val="24"/>
          <w:u w:val="single"/>
        </w:rPr>
        <w:t>al no advertir dentro de dicho marco normativo atribución alguna relacionada con las siglas referidas por la persona solicitante, o de la cual pudieran desprenderse estas.</w:t>
      </w:r>
    </w:p>
    <w:p w14:paraId="1EF89212" w14:textId="77777777" w:rsidR="00D457BB" w:rsidRPr="00CF0DAD" w:rsidRDefault="00811D8B">
      <w:pPr>
        <w:pBdr>
          <w:top w:val="nil"/>
          <w:left w:val="nil"/>
          <w:bottom w:val="nil"/>
          <w:right w:val="nil"/>
          <w:between w:val="nil"/>
        </w:pBdr>
        <w:spacing w:before="240" w:after="240" w:line="360" w:lineRule="auto"/>
        <w:ind w:right="96"/>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 xml:space="preserve">En este tenor, en virtud de  los argumentos expuestos con anterioridad así como del análisis realizado a las constancias que obran en los expedientes electrónicos, al no haber materia que permita hacer el estudio correspondiente a la participación del Órgano Interno de Control en la implementación del “PMG”, se determina </w:t>
      </w:r>
      <w:r w:rsidRPr="00CF0DAD">
        <w:rPr>
          <w:rFonts w:ascii="Palatino Linotype" w:eastAsia="Palatino Linotype" w:hAnsi="Palatino Linotype" w:cs="Palatino Linotype"/>
          <w:i/>
          <w:sz w:val="24"/>
          <w:szCs w:val="24"/>
        </w:rPr>
        <w:t xml:space="preserve">sobreseer </w:t>
      </w:r>
      <w:r w:rsidRPr="00CF0DAD">
        <w:rPr>
          <w:rFonts w:ascii="Palatino Linotype" w:eastAsia="Palatino Linotype" w:hAnsi="Palatino Linotype" w:cs="Palatino Linotype"/>
          <w:sz w:val="24"/>
          <w:szCs w:val="24"/>
        </w:rPr>
        <w:t xml:space="preserve">los presentes recursos de revisión por actualizarse la causal de sobreseimiento prevista en la fracción V del artículo 192 de la Ley de Transparencia y Acceso a la </w:t>
      </w:r>
      <w:r w:rsidRPr="00CF0DAD">
        <w:rPr>
          <w:rFonts w:ascii="Palatino Linotype" w:eastAsia="Palatino Linotype" w:hAnsi="Palatino Linotype" w:cs="Palatino Linotype"/>
          <w:sz w:val="24"/>
          <w:szCs w:val="24"/>
        </w:rPr>
        <w:lastRenderedPageBreak/>
        <w:t>Información Pública del Estado de México y Municipios, el que se transcribe a continuación, para un mejor entendimiento:</w:t>
      </w:r>
    </w:p>
    <w:p w14:paraId="410885BF" w14:textId="77777777" w:rsidR="00D457BB" w:rsidRPr="00CF0DAD" w:rsidRDefault="00811D8B">
      <w:pPr>
        <w:pBdr>
          <w:top w:val="nil"/>
          <w:left w:val="nil"/>
          <w:bottom w:val="nil"/>
          <w:right w:val="nil"/>
          <w:between w:val="nil"/>
        </w:pBdr>
        <w:tabs>
          <w:tab w:val="left" w:pos="7938"/>
        </w:tabs>
        <w:spacing w:before="120" w:after="120" w:line="240" w:lineRule="auto"/>
        <w:ind w:left="851" w:right="902"/>
        <w:jc w:val="both"/>
        <w:rPr>
          <w:rFonts w:ascii="Palatino Linotype" w:eastAsia="Palatino Linotype" w:hAnsi="Palatino Linotype" w:cs="Palatino Linotype"/>
          <w:i/>
        </w:rPr>
      </w:pPr>
      <w:r w:rsidRPr="00CF0DAD">
        <w:rPr>
          <w:rFonts w:ascii="Palatino Linotype" w:eastAsia="Palatino Linotype" w:hAnsi="Palatino Linotype" w:cs="Palatino Linotype"/>
          <w:i/>
        </w:rPr>
        <w:t>“</w:t>
      </w:r>
      <w:r w:rsidRPr="00CF0DAD">
        <w:rPr>
          <w:rFonts w:ascii="Palatino Linotype" w:eastAsia="Palatino Linotype" w:hAnsi="Palatino Linotype" w:cs="Palatino Linotype"/>
          <w:b/>
          <w:i/>
        </w:rPr>
        <w:t>Artículo 192.</w:t>
      </w:r>
      <w:r w:rsidRPr="00CF0DAD">
        <w:rPr>
          <w:rFonts w:ascii="Palatino Linotype" w:eastAsia="Palatino Linotype" w:hAnsi="Palatino Linotype" w:cs="Palatino Linotype"/>
          <w:i/>
        </w:rPr>
        <w:t xml:space="preserve"> El recurso será sobreseído, en todo o en parte, cuando una vez admitido, se actualicen alguno de los siguientes supuestos:</w:t>
      </w:r>
    </w:p>
    <w:p w14:paraId="7EFFB59E" w14:textId="77777777" w:rsidR="00D457BB" w:rsidRPr="00CF0DAD" w:rsidRDefault="00811D8B">
      <w:pPr>
        <w:pBdr>
          <w:top w:val="nil"/>
          <w:left w:val="nil"/>
          <w:bottom w:val="nil"/>
          <w:right w:val="nil"/>
          <w:between w:val="nil"/>
        </w:pBdr>
        <w:tabs>
          <w:tab w:val="left" w:pos="7938"/>
        </w:tabs>
        <w:spacing w:before="120" w:after="120" w:line="240" w:lineRule="auto"/>
        <w:ind w:left="1134" w:right="902"/>
        <w:jc w:val="both"/>
        <w:rPr>
          <w:rFonts w:ascii="Palatino Linotype" w:eastAsia="Palatino Linotype" w:hAnsi="Palatino Linotype" w:cs="Palatino Linotype"/>
          <w:i/>
        </w:rPr>
      </w:pPr>
      <w:r w:rsidRPr="00CF0DAD">
        <w:rPr>
          <w:rFonts w:ascii="Palatino Linotype" w:eastAsia="Palatino Linotype" w:hAnsi="Palatino Linotype" w:cs="Palatino Linotype"/>
          <w:i/>
        </w:rPr>
        <w:t>…</w:t>
      </w:r>
    </w:p>
    <w:p w14:paraId="32E7684F" w14:textId="77777777" w:rsidR="00D457BB" w:rsidRPr="00CF0DAD" w:rsidRDefault="00811D8B">
      <w:pPr>
        <w:pBdr>
          <w:top w:val="nil"/>
          <w:left w:val="nil"/>
          <w:bottom w:val="nil"/>
          <w:right w:val="nil"/>
          <w:between w:val="nil"/>
        </w:pBdr>
        <w:tabs>
          <w:tab w:val="left" w:pos="7938"/>
        </w:tabs>
        <w:spacing w:before="120" w:after="120" w:line="240" w:lineRule="auto"/>
        <w:ind w:left="1134" w:right="902"/>
        <w:jc w:val="both"/>
        <w:rPr>
          <w:rFonts w:ascii="Palatino Linotype" w:eastAsia="Palatino Linotype" w:hAnsi="Palatino Linotype" w:cs="Palatino Linotype"/>
          <w:i/>
        </w:rPr>
      </w:pPr>
      <w:r w:rsidRPr="00CF0DAD">
        <w:rPr>
          <w:rFonts w:ascii="Palatino Linotype" w:eastAsia="Palatino Linotype" w:hAnsi="Palatino Linotype" w:cs="Palatino Linotype"/>
          <w:b/>
          <w:i/>
        </w:rPr>
        <w:t>V.</w:t>
      </w:r>
      <w:r w:rsidRPr="00CF0DAD">
        <w:rPr>
          <w:rFonts w:ascii="Palatino Linotype" w:eastAsia="Palatino Linotype" w:hAnsi="Palatino Linotype" w:cs="Palatino Linotype"/>
          <w:i/>
        </w:rPr>
        <w:t xml:space="preserve"> Cuando por cualquier motivo quede sin materia el recurso. “</w:t>
      </w:r>
    </w:p>
    <w:p w14:paraId="7299668D" w14:textId="77777777" w:rsidR="00D457BB" w:rsidRPr="00CF0DAD" w:rsidRDefault="00811D8B">
      <w:pPr>
        <w:spacing w:before="240" w:after="240" w:line="360" w:lineRule="auto"/>
        <w:jc w:val="both"/>
        <w:rPr>
          <w:rFonts w:ascii="Palatino Linotype" w:eastAsia="Palatino Linotype" w:hAnsi="Palatino Linotype" w:cs="Palatino Linotype"/>
          <w:i/>
          <w:sz w:val="24"/>
          <w:szCs w:val="24"/>
        </w:rPr>
      </w:pPr>
      <w:r w:rsidRPr="00CF0DAD">
        <w:rPr>
          <w:rFonts w:ascii="Palatino Linotype" w:eastAsia="Palatino Linotype" w:hAnsi="Palatino Linotype" w:cs="Palatino Linotype"/>
          <w:sz w:val="24"/>
          <w:szCs w:val="24"/>
        </w:rPr>
        <w:t xml:space="preserve">Al respecto, no obsta mencionar que, de acuerdo con el procesalista Niceto Alcalá-Zamora y Castillo en su obra </w:t>
      </w:r>
      <w:r w:rsidRPr="00CF0DAD">
        <w:rPr>
          <w:rFonts w:ascii="Palatino Linotype" w:eastAsia="Palatino Linotype" w:hAnsi="Palatino Linotype" w:cs="Palatino Linotype"/>
          <w:i/>
          <w:sz w:val="24"/>
          <w:szCs w:val="24"/>
        </w:rPr>
        <w:t>“Cuestiones de Terminología Procesal”</w:t>
      </w:r>
      <w:r w:rsidRPr="00CF0DAD">
        <w:rPr>
          <w:rFonts w:ascii="Palatino Linotype" w:eastAsia="Palatino Linotype" w:hAnsi="Palatino Linotype" w:cs="Palatino Linotype"/>
          <w:sz w:val="24"/>
          <w:szCs w:val="24"/>
        </w:rPr>
        <w:t xml:space="preserve">, el sobreseimiento es </w:t>
      </w:r>
      <w:r w:rsidRPr="00CF0DAD">
        <w:rPr>
          <w:rFonts w:ascii="Palatino Linotype" w:eastAsia="Palatino Linotype" w:hAnsi="Palatino Linotype" w:cs="Palatino Linotype"/>
          <w:i/>
          <w:sz w:val="24"/>
          <w:szCs w:val="24"/>
        </w:rPr>
        <w:t>“...una resolución en forma de auto, que produce la suspensión indefinida del procedimiento penal, o que pone fin al proceso, impidiendo en ambos casos, mientras subsista, la apertura del plenario o que en él se pronuncie sentencia...”</w:t>
      </w:r>
    </w:p>
    <w:p w14:paraId="020036D9"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 xml:space="preserve">Y, por su parte, Eduardo Pallares, en su artículo </w:t>
      </w:r>
      <w:r w:rsidRPr="00CF0DAD">
        <w:rPr>
          <w:rFonts w:ascii="Palatino Linotype" w:eastAsia="Palatino Linotype" w:hAnsi="Palatino Linotype" w:cs="Palatino Linotype"/>
          <w:i/>
          <w:sz w:val="24"/>
          <w:szCs w:val="24"/>
        </w:rPr>
        <w:t>“La caducidad y el sobreseimiento en el amparo”</w:t>
      </w:r>
      <w:r w:rsidRPr="00CF0DAD">
        <w:rPr>
          <w:rFonts w:ascii="Palatino Linotype" w:eastAsia="Palatino Linotype" w:hAnsi="Palatino Linotype" w:cs="Palatino Linotype"/>
          <w:sz w:val="24"/>
          <w:szCs w:val="24"/>
        </w:rPr>
        <w:t xml:space="preserve">, cita la definición de Aguilera Paz, aduciendo que se </w:t>
      </w:r>
      <w:r w:rsidRPr="00CF0DAD">
        <w:rPr>
          <w:rFonts w:ascii="Palatino Linotype" w:eastAsia="Palatino Linotype" w:hAnsi="Palatino Linotype" w:cs="Palatino Linotype"/>
          <w:i/>
          <w:sz w:val="24"/>
          <w:szCs w:val="24"/>
        </w:rPr>
        <w:t>“...entiende por sobreseimiento en el tecnicismo forense, el hecho de cesar en el procedimiento o curso de la causa, por no existir méritos bastantes para entrar en un juicio o para entablar la contienda judicial que debe ser objeto del mismo...”</w:t>
      </w:r>
      <w:r w:rsidRPr="00CF0DAD">
        <w:rPr>
          <w:rFonts w:ascii="Palatino Linotype" w:eastAsia="Palatino Linotype" w:hAnsi="Palatino Linotype" w:cs="Palatino Linotype"/>
          <w:sz w:val="24"/>
          <w:szCs w:val="24"/>
        </w:rPr>
        <w:t>. Asimismo señala que existe el sobreseimiento provisional y el definitivo</w:t>
      </w:r>
      <w:r w:rsidRPr="00CF0DAD">
        <w:rPr>
          <w:rFonts w:ascii="Palatino Linotype" w:eastAsia="Palatino Linotype" w:hAnsi="Palatino Linotype" w:cs="Palatino Linotype"/>
          <w:i/>
          <w:sz w:val="24"/>
          <w:szCs w:val="24"/>
        </w:rPr>
        <w:t>: “...el definitivo es una verdadera sentencia que pone fin al juicio, y que una vez dictada, produce cosa juzgada, mientras que el provisorio tiene por efectos suspender la prosecución de la causa...”</w:t>
      </w:r>
    </w:p>
    <w:p w14:paraId="5D44CD9D" w14:textId="77777777" w:rsidR="00D457BB" w:rsidRPr="00CF0DAD" w:rsidRDefault="00811D8B">
      <w:pPr>
        <w:spacing w:before="240" w:after="240" w:line="360" w:lineRule="auto"/>
        <w:jc w:val="both"/>
        <w:rPr>
          <w:rFonts w:ascii="Palatino Linotype" w:eastAsia="Palatino Linotype" w:hAnsi="Palatino Linotype" w:cs="Palatino Linotype"/>
          <w:b/>
          <w:sz w:val="24"/>
          <w:szCs w:val="24"/>
        </w:rPr>
      </w:pPr>
      <w:r w:rsidRPr="00CF0DAD">
        <w:rPr>
          <w:rFonts w:ascii="Palatino Linotype" w:eastAsia="Palatino Linotype" w:hAnsi="Palatino Linotype" w:cs="Palatino Linotype"/>
          <w:sz w:val="24"/>
          <w:szCs w:val="24"/>
        </w:rPr>
        <w:t xml:space="preserve">Atento a los razonamientos lógico jurídicos que han quedado precisados y toda vez que el  </w:t>
      </w:r>
      <w:r w:rsidRPr="00CF0DAD">
        <w:rPr>
          <w:rFonts w:ascii="Palatino Linotype" w:eastAsia="Palatino Linotype" w:hAnsi="Palatino Linotype" w:cs="Palatino Linotype"/>
          <w:i/>
          <w:sz w:val="24"/>
          <w:szCs w:val="24"/>
        </w:rPr>
        <w:t xml:space="preserve">sobreseimiento </w:t>
      </w:r>
      <w:r w:rsidRPr="00CF0DAD">
        <w:rPr>
          <w:rFonts w:ascii="Palatino Linotype" w:eastAsia="Palatino Linotype" w:hAnsi="Palatino Linotype" w:cs="Palatino Linotype"/>
          <w:sz w:val="24"/>
          <w:szCs w:val="24"/>
        </w:rPr>
        <w:t xml:space="preserve">es un acto que da por terminado el procedimiento administrativo de impugnación por alguna causa que sobreviniente en el juicio de </w:t>
      </w:r>
      <w:r w:rsidRPr="00CF0DAD">
        <w:rPr>
          <w:rFonts w:ascii="Palatino Linotype" w:eastAsia="Palatino Linotype" w:hAnsi="Palatino Linotype" w:cs="Palatino Linotype"/>
          <w:sz w:val="24"/>
          <w:szCs w:val="24"/>
        </w:rPr>
        <w:lastRenderedPageBreak/>
        <w:t xml:space="preserve">que se trate, que impide a la autoridad referirse a lo sustancial de lo planteado por la parte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CF0DAD">
        <w:rPr>
          <w:rFonts w:ascii="Palatino Linotype" w:eastAsia="Palatino Linotype" w:hAnsi="Palatino Linotype" w:cs="Palatino Linotype"/>
          <w:b/>
          <w:sz w:val="24"/>
          <w:szCs w:val="24"/>
        </w:rPr>
        <w:t>SOBRESEIMIENTO, NO PERMITE ENTRAR AL ESTUDIO DE LAS CUESTIONES DE FONDO</w:t>
      </w:r>
      <w:r w:rsidRPr="00CF0DAD">
        <w:rPr>
          <w:rFonts w:ascii="Palatino Linotype" w:eastAsia="Palatino Linotype" w:hAnsi="Palatino Linotype" w:cs="Palatino Linotype"/>
          <w:sz w:val="24"/>
          <w:szCs w:val="24"/>
          <w:vertAlign w:val="superscript"/>
        </w:rPr>
        <w:footnoteReference w:id="1"/>
      </w:r>
      <w:r w:rsidRPr="00CF0DAD">
        <w:rPr>
          <w:rFonts w:ascii="Palatino Linotype" w:eastAsia="Palatino Linotype" w:hAnsi="Palatino Linotype" w:cs="Palatino Linotype"/>
          <w:b/>
          <w:sz w:val="24"/>
          <w:szCs w:val="24"/>
        </w:rPr>
        <w:t>.</w:t>
      </w:r>
    </w:p>
    <w:p w14:paraId="3390F560"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5B223F96" w14:textId="77777777" w:rsidR="00D457BB" w:rsidRPr="00CF0DAD" w:rsidRDefault="00811D8B">
      <w:pPr>
        <w:spacing w:before="120" w:after="120"/>
        <w:ind w:left="851" w:right="902"/>
        <w:jc w:val="both"/>
        <w:rPr>
          <w:rFonts w:ascii="Palatino Linotype" w:eastAsia="Palatino Linotype" w:hAnsi="Palatino Linotype" w:cs="Palatino Linotype"/>
          <w:b/>
          <w:i/>
        </w:rPr>
      </w:pPr>
      <w:r w:rsidRPr="00CF0DAD">
        <w:rPr>
          <w:rFonts w:ascii="Palatino Linotype" w:eastAsia="Palatino Linotype" w:hAnsi="Palatino Linotype" w:cs="Palatino Linotype"/>
          <w:b/>
          <w:i/>
        </w:rPr>
        <w:t xml:space="preserve">“DESECHAMIENTO O SOBRESEIMIENTO EN EL JUICIO DE AMPARO. NO IMPLICA DENEGACIÓN DE JUSTICIA NI GENERA INSEGURIDAD JURÍDICA” </w:t>
      </w:r>
    </w:p>
    <w:p w14:paraId="4BEE43EB" w14:textId="77777777" w:rsidR="00D457BB" w:rsidRPr="00CF0DAD" w:rsidRDefault="00811D8B">
      <w:pPr>
        <w:spacing w:before="120" w:after="120"/>
        <w:ind w:left="851" w:right="902"/>
        <w:jc w:val="both"/>
        <w:rPr>
          <w:rFonts w:ascii="Palatino Linotype" w:eastAsia="Palatino Linotype" w:hAnsi="Palatino Linotype" w:cs="Palatino Linotype"/>
          <w:i/>
        </w:rPr>
      </w:pPr>
      <w:r w:rsidRPr="00CF0DAD">
        <w:rPr>
          <w:rFonts w:ascii="Palatino Linotype" w:eastAsia="Palatino Linotype" w:hAnsi="Palatino Linotype" w:cs="Palatino Linotype"/>
          <w:i/>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w:t>
      </w:r>
      <w:r w:rsidRPr="00CF0DAD">
        <w:rPr>
          <w:rFonts w:ascii="Palatino Linotype" w:eastAsia="Palatino Linotype" w:hAnsi="Palatino Linotype" w:cs="Palatino Linotype"/>
          <w:i/>
        </w:rPr>
        <w:lastRenderedPageBreak/>
        <w:t>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CF0DAD">
        <w:rPr>
          <w:rFonts w:ascii="Palatino Linotype" w:eastAsia="Palatino Linotype" w:hAnsi="Palatino Linotype" w:cs="Palatino Linotype"/>
        </w:rPr>
        <w:tab/>
      </w:r>
    </w:p>
    <w:p w14:paraId="0EB073D4" w14:textId="77777777" w:rsidR="00D457BB" w:rsidRPr="00CF0DAD" w:rsidRDefault="00811D8B">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 xml:space="preserve">No obstante, se dejan a salvo los derechos de persona solicitante a efecto de que, de considerarlo conveniente a sus intereses, interponga una nueva solicitud de acceso ante el </w:t>
      </w:r>
      <w:r w:rsidRPr="00CF0DAD">
        <w:rPr>
          <w:rFonts w:ascii="Palatino Linotype" w:eastAsia="Palatino Linotype" w:hAnsi="Palatino Linotype" w:cs="Palatino Linotype"/>
          <w:b/>
          <w:sz w:val="24"/>
          <w:szCs w:val="24"/>
        </w:rPr>
        <w:t>Sujeto Obligado</w:t>
      </w:r>
      <w:r w:rsidRPr="00CF0DAD">
        <w:rPr>
          <w:rFonts w:ascii="Palatino Linotype" w:eastAsia="Palatino Linotype" w:hAnsi="Palatino Linotype" w:cs="Palatino Linotype"/>
          <w:sz w:val="24"/>
          <w:szCs w:val="24"/>
        </w:rPr>
        <w:t>, a fin de obtener la información de su interés, en la que detalle de manera precisa los elementos que permitan identificar la información requerida.</w:t>
      </w:r>
    </w:p>
    <w:p w14:paraId="22583D3F"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 xml:space="preserve">Bajo ese tenor con fundamento en la segunda hipótesis de la fracción I del artículo 186, de la Ley de Transparencia y Acceso a la Información Pública del Estado de México y Municipios, se </w:t>
      </w:r>
      <w:r w:rsidRPr="00CF0DAD">
        <w:rPr>
          <w:rFonts w:ascii="Palatino Linotype" w:eastAsia="Palatino Linotype" w:hAnsi="Palatino Linotype" w:cs="Palatino Linotype"/>
          <w:b/>
          <w:sz w:val="24"/>
          <w:szCs w:val="24"/>
        </w:rPr>
        <w:t xml:space="preserve">Sobreseen </w:t>
      </w:r>
      <w:r w:rsidRPr="00CF0DAD">
        <w:rPr>
          <w:rFonts w:ascii="Palatino Linotype" w:eastAsia="Palatino Linotype" w:hAnsi="Palatino Linotype" w:cs="Palatino Linotype"/>
          <w:sz w:val="24"/>
          <w:szCs w:val="24"/>
        </w:rPr>
        <w:t xml:space="preserve">los recursos de revisión </w:t>
      </w:r>
      <w:r w:rsidRPr="00CF0DAD">
        <w:rPr>
          <w:rFonts w:ascii="Palatino Linotype" w:eastAsia="Palatino Linotype" w:hAnsi="Palatino Linotype" w:cs="Palatino Linotype"/>
          <w:b/>
          <w:sz w:val="24"/>
          <w:szCs w:val="24"/>
        </w:rPr>
        <w:t xml:space="preserve">07644/INFOEM/IP/RR/2024 </w:t>
      </w:r>
      <w:r w:rsidRPr="00CF0DAD">
        <w:rPr>
          <w:rFonts w:ascii="Palatino Linotype" w:eastAsia="Palatino Linotype" w:hAnsi="Palatino Linotype" w:cs="Palatino Linotype"/>
          <w:sz w:val="24"/>
          <w:szCs w:val="24"/>
        </w:rPr>
        <w:t>y</w:t>
      </w:r>
      <w:r w:rsidRPr="00CF0DAD">
        <w:rPr>
          <w:rFonts w:ascii="Palatino Linotype" w:eastAsia="Palatino Linotype" w:hAnsi="Palatino Linotype" w:cs="Palatino Linotype"/>
          <w:b/>
          <w:sz w:val="24"/>
          <w:szCs w:val="24"/>
        </w:rPr>
        <w:t xml:space="preserve"> 07645/INFOEM/IP/RR/2024</w:t>
      </w:r>
      <w:r w:rsidRPr="00CF0DAD">
        <w:rPr>
          <w:rFonts w:ascii="Palatino Linotype" w:eastAsia="Palatino Linotype" w:hAnsi="Palatino Linotype" w:cs="Palatino Linotype"/>
          <w:sz w:val="24"/>
          <w:szCs w:val="24"/>
        </w:rPr>
        <w:t>, que han sido materia del presente fallo.</w:t>
      </w:r>
    </w:p>
    <w:p w14:paraId="2E325A54"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Así, con fundamento en lo prescrito en los artículos 5 párrafos trigésimo tercero, trigésimo cuarto y trigésimo quinto de la Constitución Política del Estado Libre y Soberano de México; 2, fracción II; 29, 36 fracciones I y II; 176, 178, 181, 185, fracción I, 186 y 188 de la Ley de Transparencia y Acceso a la Información Pública del Estado de México y Municipios, este Pleno:</w:t>
      </w:r>
    </w:p>
    <w:p w14:paraId="5CC00415" w14:textId="77777777" w:rsidR="00D457BB" w:rsidRPr="00CF0DAD" w:rsidRDefault="00811D8B">
      <w:pPr>
        <w:pBdr>
          <w:top w:val="nil"/>
          <w:left w:val="nil"/>
          <w:bottom w:val="nil"/>
          <w:right w:val="nil"/>
          <w:between w:val="nil"/>
        </w:pBdr>
        <w:spacing w:before="280" w:after="280" w:line="360" w:lineRule="auto"/>
        <w:jc w:val="center"/>
        <w:rPr>
          <w:rFonts w:ascii="Palatino Linotype" w:eastAsia="Palatino Linotype" w:hAnsi="Palatino Linotype" w:cs="Palatino Linotype"/>
          <w:b/>
          <w:sz w:val="24"/>
          <w:szCs w:val="24"/>
        </w:rPr>
      </w:pPr>
      <w:r w:rsidRPr="00CF0DAD">
        <w:rPr>
          <w:rFonts w:ascii="Palatino Linotype" w:eastAsia="Palatino Linotype" w:hAnsi="Palatino Linotype" w:cs="Palatino Linotype"/>
          <w:b/>
          <w:sz w:val="24"/>
          <w:szCs w:val="24"/>
        </w:rPr>
        <w:t>III. R E S U E L V E:</w:t>
      </w:r>
    </w:p>
    <w:p w14:paraId="4D6982FA"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bookmarkStart w:id="4" w:name="_heading=h.3rdcrjn" w:colFirst="0" w:colLast="0"/>
      <w:bookmarkEnd w:id="4"/>
      <w:r w:rsidRPr="00CF0DAD">
        <w:rPr>
          <w:rFonts w:ascii="Palatino Linotype" w:eastAsia="Palatino Linotype" w:hAnsi="Palatino Linotype" w:cs="Palatino Linotype"/>
          <w:b/>
          <w:sz w:val="24"/>
          <w:szCs w:val="24"/>
        </w:rPr>
        <w:lastRenderedPageBreak/>
        <w:t xml:space="preserve">Primero. </w:t>
      </w:r>
      <w:r w:rsidRPr="00CF0DAD">
        <w:rPr>
          <w:rFonts w:ascii="Palatino Linotype" w:eastAsia="Palatino Linotype" w:hAnsi="Palatino Linotype" w:cs="Palatino Linotype"/>
          <w:sz w:val="24"/>
          <w:szCs w:val="24"/>
        </w:rPr>
        <w:t>Se</w:t>
      </w:r>
      <w:r w:rsidRPr="00CF0DAD">
        <w:rPr>
          <w:rFonts w:ascii="Palatino Linotype" w:eastAsia="Palatino Linotype" w:hAnsi="Palatino Linotype" w:cs="Palatino Linotype"/>
          <w:b/>
          <w:sz w:val="24"/>
          <w:szCs w:val="24"/>
        </w:rPr>
        <w:t xml:space="preserve"> Sobreseen </w:t>
      </w:r>
      <w:r w:rsidRPr="00CF0DAD">
        <w:rPr>
          <w:rFonts w:ascii="Palatino Linotype" w:eastAsia="Palatino Linotype" w:hAnsi="Palatino Linotype" w:cs="Palatino Linotype"/>
          <w:sz w:val="24"/>
          <w:szCs w:val="24"/>
        </w:rPr>
        <w:t>los recursos de revisión número</w:t>
      </w:r>
      <w:r w:rsidRPr="00CF0DAD">
        <w:rPr>
          <w:rFonts w:ascii="Palatino Linotype" w:eastAsia="Palatino Linotype" w:hAnsi="Palatino Linotype" w:cs="Palatino Linotype"/>
          <w:b/>
          <w:sz w:val="24"/>
          <w:szCs w:val="24"/>
        </w:rPr>
        <w:t xml:space="preserve"> 07644/INFOEM/IP/RR/2024 </w:t>
      </w:r>
      <w:r w:rsidRPr="00CF0DAD">
        <w:rPr>
          <w:rFonts w:ascii="Palatino Linotype" w:eastAsia="Palatino Linotype" w:hAnsi="Palatino Linotype" w:cs="Palatino Linotype"/>
          <w:sz w:val="24"/>
          <w:szCs w:val="24"/>
        </w:rPr>
        <w:t>y</w:t>
      </w:r>
      <w:r w:rsidRPr="00CF0DAD">
        <w:rPr>
          <w:rFonts w:ascii="Palatino Linotype" w:eastAsia="Palatino Linotype" w:hAnsi="Palatino Linotype" w:cs="Palatino Linotype"/>
          <w:b/>
          <w:sz w:val="24"/>
          <w:szCs w:val="24"/>
        </w:rPr>
        <w:t xml:space="preserve"> 07645/INFOEM/IP/RR/2024, </w:t>
      </w:r>
      <w:r w:rsidRPr="00CF0DAD">
        <w:rPr>
          <w:rFonts w:ascii="Palatino Linotype" w:eastAsia="Palatino Linotype" w:hAnsi="Palatino Linotype" w:cs="Palatino Linotype"/>
          <w:sz w:val="24"/>
          <w:szCs w:val="24"/>
        </w:rPr>
        <w:t>porque al quedarse sin materia</w:t>
      </w:r>
      <w:r w:rsidRPr="00CF0DAD">
        <w:rPr>
          <w:rFonts w:ascii="Palatino Linotype" w:eastAsia="Palatino Linotype" w:hAnsi="Palatino Linotype" w:cs="Palatino Linotype"/>
          <w:b/>
          <w:sz w:val="24"/>
          <w:szCs w:val="24"/>
        </w:rPr>
        <w:t>,</w:t>
      </w:r>
      <w:r w:rsidRPr="00CF0DAD">
        <w:rPr>
          <w:rFonts w:ascii="Palatino Linotype" w:eastAsia="Palatino Linotype" w:hAnsi="Palatino Linotype" w:cs="Palatino Linotype"/>
          <w:sz w:val="24"/>
          <w:szCs w:val="24"/>
        </w:rPr>
        <w:t xml:space="preserve"> se actualizó la causal prevista en el artículo 192, fracción V, de la Ley de Transparencia y Acceso a la Información Pública del Estado de México y Municipios, en términos del Considerando </w:t>
      </w:r>
      <w:r w:rsidRPr="00CF0DAD">
        <w:rPr>
          <w:rFonts w:ascii="Palatino Linotype" w:eastAsia="Palatino Linotype" w:hAnsi="Palatino Linotype" w:cs="Palatino Linotype"/>
          <w:b/>
          <w:sz w:val="24"/>
          <w:szCs w:val="24"/>
        </w:rPr>
        <w:t xml:space="preserve">Tercero </w:t>
      </w:r>
      <w:r w:rsidRPr="00CF0DAD">
        <w:rPr>
          <w:rFonts w:ascii="Palatino Linotype" w:eastAsia="Palatino Linotype" w:hAnsi="Palatino Linotype" w:cs="Palatino Linotype"/>
          <w:sz w:val="24"/>
          <w:szCs w:val="24"/>
        </w:rPr>
        <w:t>de la presente Resolución.</w:t>
      </w:r>
    </w:p>
    <w:p w14:paraId="63D2997E" w14:textId="77777777" w:rsidR="00D457BB" w:rsidRPr="00CF0DAD" w:rsidRDefault="00811D8B">
      <w:pPr>
        <w:spacing w:before="240" w:after="240" w:line="360" w:lineRule="auto"/>
        <w:jc w:val="both"/>
        <w:rPr>
          <w:rFonts w:ascii="Palatino Linotype" w:eastAsia="Palatino Linotype" w:hAnsi="Palatino Linotype" w:cs="Palatino Linotype"/>
          <w:sz w:val="24"/>
          <w:szCs w:val="24"/>
        </w:rPr>
      </w:pPr>
      <w:bookmarkStart w:id="5" w:name="_heading=h.gjdgxs" w:colFirst="0" w:colLast="0"/>
      <w:bookmarkEnd w:id="5"/>
      <w:r w:rsidRPr="00CF0DAD">
        <w:rPr>
          <w:rFonts w:ascii="Palatino Linotype" w:eastAsia="Palatino Linotype" w:hAnsi="Palatino Linotype" w:cs="Palatino Linotype"/>
          <w:b/>
          <w:sz w:val="24"/>
          <w:szCs w:val="24"/>
        </w:rPr>
        <w:t xml:space="preserve">Segundo. Notifíquese, </w:t>
      </w:r>
      <w:r w:rsidRPr="00CF0DAD">
        <w:rPr>
          <w:rFonts w:ascii="Palatino Linotype" w:eastAsia="Palatino Linotype" w:hAnsi="Palatino Linotype" w:cs="Palatino Linotype"/>
          <w:sz w:val="24"/>
          <w:szCs w:val="24"/>
        </w:rPr>
        <w:t>vía</w:t>
      </w:r>
      <w:r w:rsidRPr="00CF0DAD">
        <w:rPr>
          <w:rFonts w:ascii="Palatino Linotype" w:eastAsia="Palatino Linotype" w:hAnsi="Palatino Linotype" w:cs="Palatino Linotype"/>
          <w:b/>
          <w:sz w:val="24"/>
          <w:szCs w:val="24"/>
        </w:rPr>
        <w:t xml:space="preserve"> SAIMEX</w:t>
      </w:r>
      <w:r w:rsidRPr="00CF0DAD">
        <w:rPr>
          <w:rFonts w:ascii="Palatino Linotype" w:eastAsia="Palatino Linotype" w:hAnsi="Palatino Linotype" w:cs="Palatino Linotype"/>
          <w:b/>
          <w:i/>
          <w:sz w:val="24"/>
          <w:szCs w:val="24"/>
        </w:rPr>
        <w:t xml:space="preserve">, </w:t>
      </w:r>
      <w:r w:rsidRPr="00CF0DAD">
        <w:rPr>
          <w:rFonts w:ascii="Palatino Linotype" w:eastAsia="Palatino Linotype" w:hAnsi="Palatino Linotype" w:cs="Palatino Linotype"/>
          <w:sz w:val="24"/>
          <w:szCs w:val="24"/>
        </w:rPr>
        <w:t>la presente resolución</w:t>
      </w:r>
      <w:r w:rsidRPr="00CF0DAD">
        <w:rPr>
          <w:rFonts w:ascii="Palatino Linotype" w:eastAsia="Palatino Linotype" w:hAnsi="Palatino Linotype" w:cs="Palatino Linotype"/>
          <w:b/>
          <w:i/>
          <w:sz w:val="24"/>
          <w:szCs w:val="24"/>
        </w:rPr>
        <w:t xml:space="preserve"> </w:t>
      </w:r>
      <w:r w:rsidRPr="00CF0DAD">
        <w:rPr>
          <w:rFonts w:ascii="Palatino Linotype" w:eastAsia="Palatino Linotype" w:hAnsi="Palatino Linotype" w:cs="Palatino Linotype"/>
          <w:sz w:val="24"/>
          <w:szCs w:val="24"/>
        </w:rPr>
        <w:t xml:space="preserve">a la persona Titular de la Unidad de Transparencia del </w:t>
      </w:r>
      <w:r w:rsidRPr="00CF0DAD">
        <w:rPr>
          <w:rFonts w:ascii="Palatino Linotype" w:eastAsia="Palatino Linotype" w:hAnsi="Palatino Linotype" w:cs="Palatino Linotype"/>
          <w:b/>
          <w:sz w:val="24"/>
          <w:szCs w:val="24"/>
        </w:rPr>
        <w:t>Sujeto Obligado</w:t>
      </w:r>
      <w:r w:rsidRPr="00CF0DAD">
        <w:rPr>
          <w:rFonts w:ascii="Palatino Linotype" w:eastAsia="Palatino Linotype" w:hAnsi="Palatino Linotype" w:cs="Palatino Linotype"/>
          <w:sz w:val="24"/>
          <w:szCs w:val="24"/>
        </w:rPr>
        <w:t xml:space="preserve"> para su conocimiento, en términos del artículo 189 de la Ley de Transparencia y Acceso a la Información Pública del Estado de México y Municipios.</w:t>
      </w:r>
    </w:p>
    <w:p w14:paraId="21576D76" w14:textId="77777777" w:rsidR="00D457BB" w:rsidRPr="00CF0DAD" w:rsidRDefault="00811D8B">
      <w:pPr>
        <w:tabs>
          <w:tab w:val="left" w:pos="8647"/>
        </w:tabs>
        <w:spacing w:before="240" w:after="240" w:line="360" w:lineRule="auto"/>
        <w:ind w:right="51"/>
        <w:jc w:val="both"/>
        <w:rPr>
          <w:rFonts w:ascii="Palatino Linotype" w:eastAsia="Palatino Linotype" w:hAnsi="Palatino Linotype" w:cs="Palatino Linotype"/>
          <w:sz w:val="24"/>
          <w:szCs w:val="24"/>
        </w:rPr>
      </w:pPr>
      <w:bookmarkStart w:id="6" w:name="_heading=h.30j0zll" w:colFirst="0" w:colLast="0"/>
      <w:bookmarkEnd w:id="6"/>
      <w:r w:rsidRPr="00CF0DAD">
        <w:rPr>
          <w:rFonts w:ascii="Palatino Linotype" w:eastAsia="Palatino Linotype" w:hAnsi="Palatino Linotype" w:cs="Palatino Linotype"/>
          <w:b/>
          <w:sz w:val="24"/>
          <w:szCs w:val="24"/>
        </w:rPr>
        <w:t xml:space="preserve">Tercero. Notifíquese, </w:t>
      </w:r>
      <w:r w:rsidRPr="00CF0DAD">
        <w:rPr>
          <w:rFonts w:ascii="Palatino Linotype" w:eastAsia="Palatino Linotype" w:hAnsi="Palatino Linotype" w:cs="Palatino Linotype"/>
          <w:sz w:val="24"/>
          <w:szCs w:val="24"/>
        </w:rPr>
        <w:t>vía</w:t>
      </w:r>
      <w:r w:rsidRPr="00CF0DAD">
        <w:rPr>
          <w:rFonts w:ascii="Palatino Linotype" w:eastAsia="Palatino Linotype" w:hAnsi="Palatino Linotype" w:cs="Palatino Linotype"/>
          <w:b/>
          <w:sz w:val="24"/>
          <w:szCs w:val="24"/>
        </w:rPr>
        <w:t xml:space="preserve"> SAIMEX</w:t>
      </w:r>
      <w:r w:rsidRPr="00CF0DAD">
        <w:rPr>
          <w:rFonts w:ascii="Palatino Linotype" w:eastAsia="Palatino Linotype" w:hAnsi="Palatino Linotype" w:cs="Palatino Linotype"/>
          <w:sz w:val="24"/>
          <w:szCs w:val="24"/>
        </w:rPr>
        <w:t>, la presente resolución a</w:t>
      </w:r>
      <w:r w:rsidRPr="00CF0DAD">
        <w:rPr>
          <w:rFonts w:ascii="Palatino Linotype" w:eastAsia="Palatino Linotype" w:hAnsi="Palatino Linotype" w:cs="Palatino Linotype"/>
          <w:b/>
          <w:sz w:val="24"/>
          <w:szCs w:val="24"/>
        </w:rPr>
        <w:t xml:space="preserve"> </w:t>
      </w:r>
      <w:r w:rsidRPr="00CF0DAD">
        <w:rPr>
          <w:rFonts w:ascii="Palatino Linotype" w:eastAsia="Palatino Linotype" w:hAnsi="Palatino Linotype" w:cs="Palatino Linotype"/>
          <w:sz w:val="24"/>
          <w:szCs w:val="24"/>
        </w:rPr>
        <w:t xml:space="preserve">la parte </w:t>
      </w:r>
      <w:r w:rsidRPr="00CF0DAD">
        <w:rPr>
          <w:rFonts w:ascii="Palatino Linotype" w:eastAsia="Palatino Linotype" w:hAnsi="Palatino Linotype" w:cs="Palatino Linotype"/>
          <w:b/>
          <w:sz w:val="24"/>
          <w:szCs w:val="24"/>
        </w:rPr>
        <w:t>Recurrente</w:t>
      </w:r>
      <w:r w:rsidRPr="00CF0DAD">
        <w:rPr>
          <w:rFonts w:ascii="Palatino Linotype" w:eastAsia="Palatino Linotype" w:hAnsi="Palatino Linotype" w:cs="Palatino Linotype"/>
          <w:sz w:val="24"/>
          <w:szCs w:val="24"/>
        </w:rPr>
        <w:t>, asimismo, se hace de su conocimiento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320F16EB" w14:textId="77777777" w:rsidR="00D457BB" w:rsidRPr="00EA5AF5" w:rsidRDefault="00811D8B">
      <w:pPr>
        <w:spacing w:before="240" w:after="240" w:line="360" w:lineRule="auto"/>
        <w:jc w:val="both"/>
        <w:rPr>
          <w:rFonts w:ascii="Palatino Linotype" w:eastAsia="Palatino Linotype" w:hAnsi="Palatino Linotype" w:cs="Palatino Linotype"/>
          <w:sz w:val="24"/>
          <w:szCs w:val="24"/>
        </w:rPr>
      </w:pPr>
      <w:r w:rsidRPr="00CF0DAD">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EN LA TERCERA SESIÓN ORDINARIA CELEBRADA </w:t>
      </w:r>
      <w:r w:rsidRPr="00CF0DAD">
        <w:rPr>
          <w:rFonts w:ascii="Palatino Linotype" w:eastAsia="Palatino Linotype" w:hAnsi="Palatino Linotype" w:cs="Palatino Linotype"/>
          <w:sz w:val="24"/>
          <w:szCs w:val="24"/>
        </w:rPr>
        <w:lastRenderedPageBreak/>
        <w:t>EL VEINTINUEVE DE ENERO DE DOS MIL VEINTICINCO, ANTE EL SECRETARIO TÉCNICO DEL PLENO ALEXIS TAPIA RAMÍREZ.</w:t>
      </w:r>
    </w:p>
    <w:p w14:paraId="07EF010D" w14:textId="77777777" w:rsidR="00D457BB" w:rsidRPr="00EA5AF5" w:rsidRDefault="00D457BB">
      <w:pPr>
        <w:tabs>
          <w:tab w:val="left" w:pos="142"/>
        </w:tabs>
        <w:spacing w:before="240" w:after="240" w:line="360" w:lineRule="auto"/>
        <w:jc w:val="both"/>
        <w:rPr>
          <w:rFonts w:ascii="Palatino Linotype" w:eastAsia="Palatino Linotype" w:hAnsi="Palatino Linotype" w:cs="Palatino Linotype"/>
          <w:sz w:val="24"/>
          <w:szCs w:val="24"/>
        </w:rPr>
      </w:pPr>
    </w:p>
    <w:p w14:paraId="770814BB" w14:textId="77777777" w:rsidR="00D457BB" w:rsidRPr="00EA5AF5" w:rsidRDefault="00D457BB">
      <w:pPr>
        <w:rPr>
          <w:rFonts w:ascii="Palatino Linotype" w:eastAsia="Palatino Linotype" w:hAnsi="Palatino Linotype" w:cs="Palatino Linotype"/>
        </w:rPr>
      </w:pPr>
    </w:p>
    <w:p w14:paraId="0C102EF1" w14:textId="77777777" w:rsidR="00D457BB" w:rsidRPr="00EA5AF5" w:rsidRDefault="00D457BB">
      <w:pPr>
        <w:spacing w:before="240" w:after="240" w:line="360" w:lineRule="auto"/>
        <w:jc w:val="both"/>
        <w:rPr>
          <w:rFonts w:ascii="Palatino Linotype" w:eastAsia="Palatino Linotype" w:hAnsi="Palatino Linotype" w:cs="Palatino Linotype"/>
        </w:rPr>
      </w:pPr>
    </w:p>
    <w:p w14:paraId="63E58155" w14:textId="77777777" w:rsidR="00D457BB" w:rsidRPr="00EA5AF5" w:rsidRDefault="00D457BB">
      <w:pPr>
        <w:spacing w:before="240" w:after="240" w:line="360" w:lineRule="auto"/>
        <w:jc w:val="both"/>
        <w:rPr>
          <w:rFonts w:ascii="Palatino Linotype" w:eastAsia="Palatino Linotype" w:hAnsi="Palatino Linotype" w:cs="Palatino Linotype"/>
        </w:rPr>
      </w:pPr>
    </w:p>
    <w:p w14:paraId="769F730A" w14:textId="77777777" w:rsidR="00D457BB" w:rsidRPr="00EA5AF5" w:rsidRDefault="00D457BB">
      <w:pPr>
        <w:spacing w:before="240" w:after="240" w:line="360" w:lineRule="auto"/>
        <w:jc w:val="both"/>
        <w:rPr>
          <w:rFonts w:ascii="Palatino Linotype" w:eastAsia="Palatino Linotype" w:hAnsi="Palatino Linotype" w:cs="Palatino Linotype"/>
        </w:rPr>
      </w:pPr>
    </w:p>
    <w:sectPr w:rsidR="00D457BB" w:rsidRPr="00EA5AF5">
      <w:headerReference w:type="default" r:id="rId12"/>
      <w:footerReference w:type="default" r:id="rId13"/>
      <w:headerReference w:type="first" r:id="rId14"/>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7D66" w14:textId="77777777" w:rsidR="00061140" w:rsidRDefault="00061140">
      <w:pPr>
        <w:spacing w:after="0" w:line="240" w:lineRule="auto"/>
      </w:pPr>
      <w:r>
        <w:separator/>
      </w:r>
    </w:p>
  </w:endnote>
  <w:endnote w:type="continuationSeparator" w:id="0">
    <w:p w14:paraId="327D361B" w14:textId="77777777" w:rsidR="00061140" w:rsidRDefault="0006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2404" w14:textId="77777777" w:rsidR="00D457BB" w:rsidRDefault="00811D8B">
    <w:pP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742BB">
      <w:rPr>
        <w:rFonts w:ascii="Arial" w:eastAsia="Arial" w:hAnsi="Arial" w:cs="Arial"/>
        <w:b/>
        <w:noProof/>
        <w:color w:val="000000"/>
        <w:sz w:val="20"/>
        <w:szCs w:val="20"/>
      </w:rPr>
      <w:t>24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742BB">
      <w:rPr>
        <w:rFonts w:ascii="Arial" w:eastAsia="Arial" w:hAnsi="Arial" w:cs="Arial"/>
        <w:b/>
        <w:noProof/>
        <w:color w:val="000000"/>
        <w:sz w:val="20"/>
        <w:szCs w:val="20"/>
      </w:rPr>
      <w:t>24</w:t>
    </w:r>
    <w:r>
      <w:rPr>
        <w:rFonts w:ascii="Arial" w:eastAsia="Arial" w:hAnsi="Arial" w:cs="Arial"/>
        <w:b/>
        <w:color w:val="000000"/>
        <w:sz w:val="20"/>
        <w:szCs w:val="20"/>
      </w:rPr>
      <w:fldChar w:fldCharType="end"/>
    </w:r>
  </w:p>
  <w:p w14:paraId="797E687E" w14:textId="77777777" w:rsidR="00D457BB" w:rsidRDefault="00D457B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BBA6" w14:textId="77777777" w:rsidR="00061140" w:rsidRDefault="00061140">
      <w:pPr>
        <w:spacing w:after="0" w:line="240" w:lineRule="auto"/>
      </w:pPr>
      <w:r>
        <w:separator/>
      </w:r>
    </w:p>
  </w:footnote>
  <w:footnote w:type="continuationSeparator" w:id="0">
    <w:p w14:paraId="124BCD71" w14:textId="77777777" w:rsidR="00061140" w:rsidRDefault="00061140">
      <w:pPr>
        <w:spacing w:after="0" w:line="240" w:lineRule="auto"/>
      </w:pPr>
      <w:r>
        <w:continuationSeparator/>
      </w:r>
    </w:p>
  </w:footnote>
  <w:footnote w:id="1">
    <w:p w14:paraId="468A7F16" w14:textId="77777777" w:rsidR="00D457BB" w:rsidRDefault="00811D8B">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4A3A50B3" w14:textId="77777777" w:rsidR="00D457BB" w:rsidRDefault="00811D8B">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B66C" w14:textId="77777777" w:rsidR="00D457BB" w:rsidRDefault="00D457BB">
    <w:pPr>
      <w:widowControl w:val="0"/>
      <w:pBdr>
        <w:top w:val="nil"/>
        <w:left w:val="nil"/>
        <w:bottom w:val="nil"/>
        <w:right w:val="nil"/>
        <w:between w:val="nil"/>
      </w:pBdr>
      <w:spacing w:line="276" w:lineRule="auto"/>
      <w:rPr>
        <w:color w:val="000000"/>
      </w:rPr>
    </w:pPr>
  </w:p>
  <w:tbl>
    <w:tblPr>
      <w:tblStyle w:val="affffc"/>
      <w:tblW w:w="5812" w:type="dxa"/>
      <w:tblInd w:w="3119" w:type="dxa"/>
      <w:tblLayout w:type="fixed"/>
      <w:tblLook w:val="0400" w:firstRow="0" w:lastRow="0" w:firstColumn="0" w:lastColumn="0" w:noHBand="0" w:noVBand="1"/>
    </w:tblPr>
    <w:tblGrid>
      <w:gridCol w:w="2694"/>
      <w:gridCol w:w="3118"/>
    </w:tblGrid>
    <w:tr w:rsidR="00D457BB" w14:paraId="66107BA6" w14:textId="77777777">
      <w:tc>
        <w:tcPr>
          <w:tcW w:w="2694" w:type="dxa"/>
          <w:vAlign w:val="center"/>
        </w:tcPr>
        <w:p w14:paraId="4C7E3A2E" w14:textId="77777777" w:rsidR="00D457BB" w:rsidRDefault="00811D8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118" w:type="dxa"/>
          <w:vAlign w:val="center"/>
        </w:tcPr>
        <w:p w14:paraId="218AD4C0" w14:textId="77777777" w:rsidR="00D457BB" w:rsidRDefault="00811D8B">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07644/INFOEM/IP/RR/2024 y acumulados</w:t>
          </w:r>
        </w:p>
      </w:tc>
    </w:tr>
    <w:tr w:rsidR="00D457BB" w14:paraId="5FE06979" w14:textId="77777777">
      <w:trPr>
        <w:trHeight w:val="228"/>
      </w:trPr>
      <w:tc>
        <w:tcPr>
          <w:tcW w:w="2694" w:type="dxa"/>
          <w:vAlign w:val="center"/>
        </w:tcPr>
        <w:p w14:paraId="21648E76" w14:textId="77777777" w:rsidR="00D457BB" w:rsidRDefault="00811D8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118" w:type="dxa"/>
          <w:vAlign w:val="center"/>
        </w:tcPr>
        <w:p w14:paraId="29BA01B6" w14:textId="77777777" w:rsidR="00D457BB" w:rsidRDefault="00811D8B">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Ayuntamiento de Mexicaltzingo</w:t>
          </w:r>
        </w:p>
      </w:tc>
    </w:tr>
    <w:tr w:rsidR="00D457BB" w14:paraId="379C9FAB" w14:textId="77777777">
      <w:tc>
        <w:tcPr>
          <w:tcW w:w="2694" w:type="dxa"/>
          <w:vAlign w:val="center"/>
        </w:tcPr>
        <w:p w14:paraId="3F3B364D" w14:textId="77777777" w:rsidR="00D457BB" w:rsidRDefault="00811D8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118" w:type="dxa"/>
          <w:vAlign w:val="center"/>
        </w:tcPr>
        <w:p w14:paraId="5D9EFEAA" w14:textId="77777777" w:rsidR="00D457BB" w:rsidRDefault="00811D8B">
          <w:pPr>
            <w:spacing w:after="0" w:line="240" w:lineRule="auto"/>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0EA629C8" w14:textId="77777777" w:rsidR="00D457BB" w:rsidRDefault="00D457BB">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24C7" w14:textId="77777777" w:rsidR="00D457BB" w:rsidRDefault="00811D8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8240" behindDoc="1" locked="0" layoutInCell="1" hidden="0" allowOverlap="1" wp14:anchorId="59E0EF9B" wp14:editId="2554F011">
          <wp:simplePos x="0" y="0"/>
          <wp:positionH relativeFrom="column">
            <wp:posOffset>-1080123</wp:posOffset>
          </wp:positionH>
          <wp:positionV relativeFrom="paragraph">
            <wp:posOffset>-246366</wp:posOffset>
          </wp:positionV>
          <wp:extent cx="7635240" cy="9942830"/>
          <wp:effectExtent l="0" t="0" r="0" b="0"/>
          <wp:wrapNone/>
          <wp:docPr id="193566843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635240" cy="9942830"/>
                  </a:xfrm>
                  <a:prstGeom prst="rect">
                    <a:avLst/>
                  </a:prstGeom>
                  <a:ln/>
                </pic:spPr>
              </pic:pic>
            </a:graphicData>
          </a:graphic>
        </wp:anchor>
      </w:drawing>
    </w:r>
  </w:p>
  <w:tbl>
    <w:tblPr>
      <w:tblStyle w:val="affffd"/>
      <w:tblW w:w="5953" w:type="dxa"/>
      <w:tblInd w:w="3119" w:type="dxa"/>
      <w:tblLayout w:type="fixed"/>
      <w:tblLook w:val="0400" w:firstRow="0" w:lastRow="0" w:firstColumn="0" w:lastColumn="0" w:noHBand="0" w:noVBand="1"/>
    </w:tblPr>
    <w:tblGrid>
      <w:gridCol w:w="2551"/>
      <w:gridCol w:w="3402"/>
    </w:tblGrid>
    <w:tr w:rsidR="00D457BB" w14:paraId="0BAC5448" w14:textId="77777777">
      <w:tc>
        <w:tcPr>
          <w:tcW w:w="2551" w:type="dxa"/>
          <w:vAlign w:val="center"/>
        </w:tcPr>
        <w:p w14:paraId="4AA79499" w14:textId="77777777" w:rsidR="00D457BB" w:rsidRDefault="00811D8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vAlign w:val="center"/>
        </w:tcPr>
        <w:p w14:paraId="19FCA0AA" w14:textId="77777777" w:rsidR="00D457BB" w:rsidRDefault="00811D8B">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07644/INFOEM/IP/RR/2024 y acumulado</w:t>
          </w:r>
        </w:p>
      </w:tc>
    </w:tr>
    <w:tr w:rsidR="00D457BB" w14:paraId="5B5B10E8" w14:textId="77777777">
      <w:tc>
        <w:tcPr>
          <w:tcW w:w="2551" w:type="dxa"/>
          <w:vAlign w:val="center"/>
        </w:tcPr>
        <w:p w14:paraId="6D29FC4F" w14:textId="77777777" w:rsidR="00D457BB" w:rsidRDefault="00811D8B">
          <w:pPr>
            <w:spacing w:after="0" w:line="240" w:lineRule="auto"/>
            <w:ind w:left="35" w:hanging="35"/>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402" w:type="dxa"/>
          <w:vAlign w:val="center"/>
        </w:tcPr>
        <w:p w14:paraId="7EC15EB4" w14:textId="45F015CE" w:rsidR="00D457BB" w:rsidRDefault="00063DF4">
          <w:pPr>
            <w:spacing w:after="0" w:line="240" w:lineRule="auto"/>
            <w:ind w:left="-45"/>
            <w:jc w:val="both"/>
            <w:rPr>
              <w:rFonts w:ascii="Palatino Linotype" w:eastAsia="Palatino Linotype" w:hAnsi="Palatino Linotype" w:cs="Palatino Linotype"/>
              <w:b/>
            </w:rPr>
          </w:pPr>
          <w:r w:rsidRPr="00063DF4">
            <w:rPr>
              <w:rFonts w:ascii="Palatino Linotype" w:eastAsia="Palatino Linotype" w:hAnsi="Palatino Linotype" w:cs="Palatino Linotype"/>
              <w:b/>
            </w:rPr>
            <w:t>XXXXXXXX XXXXXXX XXXXXX</w:t>
          </w:r>
        </w:p>
      </w:tc>
    </w:tr>
    <w:tr w:rsidR="00D457BB" w14:paraId="61C49BB7" w14:textId="77777777">
      <w:trPr>
        <w:trHeight w:val="228"/>
      </w:trPr>
      <w:tc>
        <w:tcPr>
          <w:tcW w:w="2551" w:type="dxa"/>
          <w:vAlign w:val="center"/>
        </w:tcPr>
        <w:p w14:paraId="4FA47550" w14:textId="77777777" w:rsidR="00D457BB" w:rsidRDefault="00811D8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vAlign w:val="center"/>
        </w:tcPr>
        <w:p w14:paraId="73356084" w14:textId="77777777" w:rsidR="00D457BB" w:rsidRDefault="00811D8B">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Ayuntamiento de Mexicaltzingo</w:t>
          </w:r>
        </w:p>
      </w:tc>
    </w:tr>
    <w:tr w:rsidR="00D457BB" w14:paraId="26262C9D" w14:textId="77777777">
      <w:tc>
        <w:tcPr>
          <w:tcW w:w="2551" w:type="dxa"/>
          <w:vAlign w:val="center"/>
        </w:tcPr>
        <w:p w14:paraId="4E96ADBF" w14:textId="77777777" w:rsidR="00D457BB" w:rsidRDefault="00811D8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vAlign w:val="center"/>
        </w:tcPr>
        <w:p w14:paraId="0594524E" w14:textId="77777777" w:rsidR="00D457BB" w:rsidRDefault="00811D8B">
          <w:pPr>
            <w:spacing w:after="0" w:line="240" w:lineRule="auto"/>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218A584E" w14:textId="77777777" w:rsidR="00D457BB" w:rsidRDefault="00D457B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2E7"/>
    <w:multiLevelType w:val="multilevel"/>
    <w:tmpl w:val="A30CA5F6"/>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C590C67"/>
    <w:multiLevelType w:val="multilevel"/>
    <w:tmpl w:val="0A501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7BB"/>
    <w:rsid w:val="00061140"/>
    <w:rsid w:val="00063DF4"/>
    <w:rsid w:val="00597E6A"/>
    <w:rsid w:val="006708A0"/>
    <w:rsid w:val="00811D8B"/>
    <w:rsid w:val="00AF7A4D"/>
    <w:rsid w:val="00CF0DAD"/>
    <w:rsid w:val="00D457BB"/>
    <w:rsid w:val="00D742BB"/>
    <w:rsid w:val="00EA5A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F50D"/>
  <w15:docId w15:val="{A213BA83-4E96-47C8-B25D-E015725D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9E2"/>
  </w:style>
  <w:style w:type="paragraph" w:styleId="Ttulo1">
    <w:name w:val="heading 1"/>
    <w:basedOn w:val="Normal"/>
    <w:next w:val="Normal"/>
    <w:link w:val="Ttulo1Car"/>
    <w:uiPriority w:val="9"/>
    <w:qFormat/>
    <w:rsid w:val="000009E2"/>
    <w:pPr>
      <w:keepNext/>
      <w:keepLines/>
      <w:spacing w:before="400" w:after="40" w:line="240" w:lineRule="auto"/>
      <w:outlineLvl w:val="0"/>
    </w:pPr>
    <w:rPr>
      <w:rFonts w:asciiTheme="majorHAnsi" w:eastAsiaTheme="majorEastAsia" w:hAnsiTheme="majorHAnsi" w:cstheme="majorBidi"/>
      <w:caps/>
      <w:sz w:val="36"/>
      <w:szCs w:val="36"/>
    </w:rPr>
  </w:style>
  <w:style w:type="paragraph" w:styleId="Ttulo2">
    <w:name w:val="heading 2"/>
    <w:basedOn w:val="Normal"/>
    <w:next w:val="Normal"/>
    <w:link w:val="Ttulo2Car"/>
    <w:uiPriority w:val="9"/>
    <w:semiHidden/>
    <w:unhideWhenUsed/>
    <w:qFormat/>
    <w:rsid w:val="000009E2"/>
    <w:pPr>
      <w:keepNext/>
      <w:keepLines/>
      <w:spacing w:before="120" w:after="0" w:line="240" w:lineRule="auto"/>
      <w:outlineLvl w:val="1"/>
    </w:pPr>
    <w:rPr>
      <w:rFonts w:asciiTheme="majorHAnsi" w:eastAsiaTheme="majorEastAsia" w:hAnsiTheme="majorHAnsi" w:cstheme="majorBidi"/>
      <w:caps/>
      <w:sz w:val="28"/>
      <w:szCs w:val="28"/>
    </w:rPr>
  </w:style>
  <w:style w:type="paragraph" w:styleId="Ttulo3">
    <w:name w:val="heading 3"/>
    <w:basedOn w:val="Normal"/>
    <w:next w:val="Normal"/>
    <w:link w:val="Ttulo3Car"/>
    <w:uiPriority w:val="9"/>
    <w:semiHidden/>
    <w:unhideWhenUsed/>
    <w:qFormat/>
    <w:rsid w:val="000009E2"/>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tulo4">
    <w:name w:val="heading 4"/>
    <w:basedOn w:val="Normal"/>
    <w:next w:val="Normal"/>
    <w:link w:val="Ttulo4Car"/>
    <w:uiPriority w:val="9"/>
    <w:semiHidden/>
    <w:unhideWhenUsed/>
    <w:qFormat/>
    <w:rsid w:val="000009E2"/>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ar"/>
    <w:uiPriority w:val="9"/>
    <w:semiHidden/>
    <w:unhideWhenUsed/>
    <w:qFormat/>
    <w:rsid w:val="000009E2"/>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ar"/>
    <w:uiPriority w:val="9"/>
    <w:semiHidden/>
    <w:unhideWhenUsed/>
    <w:qFormat/>
    <w:rsid w:val="000009E2"/>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ar"/>
    <w:uiPriority w:val="9"/>
    <w:semiHidden/>
    <w:unhideWhenUsed/>
    <w:qFormat/>
    <w:rsid w:val="000009E2"/>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ar"/>
    <w:uiPriority w:val="9"/>
    <w:semiHidden/>
    <w:unhideWhenUsed/>
    <w:qFormat/>
    <w:rsid w:val="000009E2"/>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ar"/>
    <w:uiPriority w:val="9"/>
    <w:semiHidden/>
    <w:unhideWhenUsed/>
    <w:qFormat/>
    <w:rsid w:val="000009E2"/>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009E2"/>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21CDF"/>
    <w:pPr>
      <w:tabs>
        <w:tab w:val="center" w:pos="4419"/>
        <w:tab w:val="right" w:pos="8838"/>
      </w:tabs>
    </w:pPr>
    <w:rPr>
      <w:rFonts w:eastAsiaTheme="minorHAnsi"/>
      <w:lang w:eastAsia="en-US"/>
    </w:rPr>
  </w:style>
  <w:style w:type="character" w:customStyle="1" w:styleId="EncabezadoCar">
    <w:name w:val="Encabezado Car"/>
    <w:basedOn w:val="Fuentedeprrafopredeter"/>
    <w:link w:val="Encabezado"/>
    <w:uiPriority w:val="99"/>
    <w:rsid w:val="00521CDF"/>
  </w:style>
  <w:style w:type="paragraph" w:styleId="Piedepgina">
    <w:name w:val="footer"/>
    <w:basedOn w:val="Normal"/>
    <w:link w:val="PiedepginaCar"/>
    <w:uiPriority w:val="99"/>
    <w:unhideWhenUsed/>
    <w:rsid w:val="00521CDF"/>
    <w:pPr>
      <w:tabs>
        <w:tab w:val="center" w:pos="4419"/>
        <w:tab w:val="right" w:pos="8838"/>
      </w:tabs>
    </w:pPr>
    <w:rPr>
      <w:rFonts w:eastAsiaTheme="minorHAnsi"/>
      <w:lang w:eastAsia="en-US"/>
    </w:rPr>
  </w:style>
  <w:style w:type="character" w:customStyle="1" w:styleId="PiedepginaCar">
    <w:name w:val="Pie de página Car"/>
    <w:basedOn w:val="Fuentedeprrafopredeter"/>
    <w:link w:val="Piedepgina"/>
    <w:uiPriority w:val="99"/>
    <w:rsid w:val="00521CDF"/>
  </w:style>
  <w:style w:type="character" w:styleId="Hipervnculo">
    <w:name w:val="Hyperlink"/>
    <w:aliases w:val="Hipervínculo1,Hipervínculo11,Hipervínculo12,Hipervínculo13,Hipervínculo14,Hipervínculo15"/>
    <w:basedOn w:val="Fuentedeprrafopredeter"/>
    <w:uiPriority w:val="99"/>
    <w:unhideWhenUsed/>
    <w:rsid w:val="003C6D6D"/>
    <w:rPr>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E1566"/>
    <w:pPr>
      <w:ind w:left="720"/>
      <w:contextualSpacing/>
    </w:pPr>
  </w:style>
  <w:style w:type="paragraph" w:styleId="Listaconvietas">
    <w:name w:val="List Bullet"/>
    <w:basedOn w:val="Normal"/>
    <w:uiPriority w:val="99"/>
    <w:unhideWhenUsed/>
    <w:rsid w:val="00400151"/>
    <w:pPr>
      <w:numPr>
        <w:numId w:val="2"/>
      </w:numPr>
      <w:contextualSpacing/>
    </w:pPr>
    <w:rPr>
      <w:lang w:eastAsia="es-ES"/>
    </w:rPr>
  </w:style>
  <w:style w:type="paragraph" w:styleId="Textodeglobo">
    <w:name w:val="Balloon Text"/>
    <w:basedOn w:val="Normal"/>
    <w:link w:val="TextodegloboCar"/>
    <w:uiPriority w:val="99"/>
    <w:semiHidden/>
    <w:unhideWhenUsed/>
    <w:rsid w:val="00617A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7A03"/>
    <w:rPr>
      <w:rFonts w:ascii="Segoe UI" w:eastAsia="Calibri" w:hAnsi="Segoe UI" w:cs="Segoe UI"/>
      <w:sz w:val="18"/>
      <w:szCs w:val="18"/>
      <w:lang w:eastAsia="es-MX"/>
    </w:rPr>
  </w:style>
  <w:style w:type="table" w:styleId="Tablaconcuadrcula">
    <w:name w:val="Table Grid"/>
    <w:basedOn w:val="Tablanormal"/>
    <w:uiPriority w:val="39"/>
    <w:rsid w:val="00A47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Pr>
      <w:smallCaps/>
      <w:color w:val="595959"/>
      <w:sz w:val="28"/>
      <w:szCs w:val="28"/>
    </w:rPr>
  </w:style>
  <w:style w:type="table" w:customStyle="1" w:styleId="a">
    <w:basedOn w:val="TableNormalb"/>
    <w:tblPr>
      <w:tblStyleRowBandSize w:val="1"/>
      <w:tblStyleColBandSize w:val="1"/>
      <w:tblCellMar>
        <w:left w:w="115" w:type="dxa"/>
        <w:right w:w="115" w:type="dxa"/>
      </w:tblCellMar>
    </w:tblPr>
  </w:style>
  <w:style w:type="table" w:customStyle="1" w:styleId="a0">
    <w:basedOn w:val="TableNormalb"/>
    <w:tblPr>
      <w:tblStyleRowBandSize w:val="1"/>
      <w:tblStyleColBandSize w:val="1"/>
      <w:tblCellMar>
        <w:left w:w="115" w:type="dxa"/>
        <w:right w:w="115" w:type="dxa"/>
      </w:tblCellMar>
    </w:tblPr>
  </w:style>
  <w:style w:type="table" w:customStyle="1" w:styleId="a1">
    <w:basedOn w:val="TableNormalb"/>
    <w:tblPr>
      <w:tblStyleRowBandSize w:val="1"/>
      <w:tblStyleColBandSize w:val="1"/>
      <w:tblCellMar>
        <w:left w:w="115" w:type="dxa"/>
        <w:right w:w="115" w:type="dxa"/>
      </w:tblCellMar>
    </w:tblPr>
  </w:style>
  <w:style w:type="table" w:customStyle="1" w:styleId="a2">
    <w:basedOn w:val="TableNormalb"/>
    <w:tblPr>
      <w:tblStyleRowBandSize w:val="1"/>
      <w:tblStyleColBandSize w:val="1"/>
      <w:tblCellMar>
        <w:left w:w="115" w:type="dxa"/>
        <w:right w:w="115" w:type="dxa"/>
      </w:tblCellMar>
    </w:tblPr>
  </w:style>
  <w:style w:type="table" w:customStyle="1" w:styleId="a3">
    <w:basedOn w:val="TableNormalb"/>
    <w:tblPr>
      <w:tblStyleRowBandSize w:val="1"/>
      <w:tblStyleColBandSize w:val="1"/>
      <w:tblCellMar>
        <w:left w:w="115" w:type="dxa"/>
        <w:right w:w="115" w:type="dxa"/>
      </w:tblCellMar>
    </w:tblPr>
  </w:style>
  <w:style w:type="table" w:customStyle="1" w:styleId="a4">
    <w:basedOn w:val="TableNormalb"/>
    <w:tblPr>
      <w:tblStyleRowBandSize w:val="1"/>
      <w:tblStyleColBandSize w:val="1"/>
      <w:tblCellMar>
        <w:left w:w="115" w:type="dxa"/>
        <w:right w:w="115" w:type="dxa"/>
      </w:tblCellMar>
    </w:tblPr>
  </w:style>
  <w:style w:type="table" w:customStyle="1" w:styleId="a5">
    <w:basedOn w:val="TableNormalb"/>
    <w:tblPr>
      <w:tblStyleRowBandSize w:val="1"/>
      <w:tblStyleColBandSize w:val="1"/>
      <w:tblCellMar>
        <w:left w:w="115" w:type="dxa"/>
        <w:right w:w="115" w:type="dxa"/>
      </w:tblCellMar>
    </w:tblPr>
  </w:style>
  <w:style w:type="table" w:customStyle="1" w:styleId="a6">
    <w:basedOn w:val="TableNormalb"/>
    <w:tblPr>
      <w:tblStyleRowBandSize w:val="1"/>
      <w:tblStyleColBandSize w:val="1"/>
      <w:tblCellMar>
        <w:left w:w="115" w:type="dxa"/>
        <w:right w:w="115" w:type="dxa"/>
      </w:tblCellMar>
    </w:tblPr>
  </w:style>
  <w:style w:type="table" w:customStyle="1" w:styleId="a7">
    <w:basedOn w:val="TableNormalb"/>
    <w:tblPr>
      <w:tblStyleRowBandSize w:val="1"/>
      <w:tblStyleColBandSize w:val="1"/>
      <w:tblCellMar>
        <w:left w:w="115" w:type="dxa"/>
        <w:right w:w="115" w:type="dxa"/>
      </w:tblCellMar>
    </w:tblPr>
  </w:style>
  <w:style w:type="table" w:customStyle="1" w:styleId="a8">
    <w:basedOn w:val="TableNormalb"/>
    <w:tblPr>
      <w:tblStyleRowBandSize w:val="1"/>
      <w:tblStyleColBandSize w:val="1"/>
      <w:tblCellMar>
        <w:left w:w="108" w:type="dxa"/>
        <w:right w:w="108" w:type="dxa"/>
      </w:tblCellMar>
    </w:tblPr>
  </w:style>
  <w:style w:type="table" w:customStyle="1" w:styleId="a9">
    <w:basedOn w:val="TableNormalb"/>
    <w:tblPr>
      <w:tblStyleRowBandSize w:val="1"/>
      <w:tblStyleColBandSize w:val="1"/>
      <w:tblCellMar>
        <w:left w:w="115" w:type="dxa"/>
        <w:right w:w="115" w:type="dxa"/>
      </w:tblCellMar>
    </w:tblPr>
  </w:style>
  <w:style w:type="table" w:customStyle="1" w:styleId="aa">
    <w:basedOn w:val="TableNormalb"/>
    <w:tblPr>
      <w:tblStyleRowBandSize w:val="1"/>
      <w:tblStyleColBandSize w:val="1"/>
      <w:tblCellMar>
        <w:left w:w="115" w:type="dxa"/>
        <w:right w:w="115" w:type="dxa"/>
      </w:tblCellMar>
    </w:tblPr>
  </w:style>
  <w:style w:type="table" w:customStyle="1" w:styleId="ab">
    <w:basedOn w:val="TableNormalb"/>
    <w:tblPr>
      <w:tblStyleRowBandSize w:val="1"/>
      <w:tblStyleColBandSize w:val="1"/>
      <w:tblCellMar>
        <w:left w:w="115" w:type="dxa"/>
        <w:right w:w="115" w:type="dxa"/>
      </w:tblCellMar>
    </w:tblPr>
  </w:style>
  <w:style w:type="table" w:customStyle="1" w:styleId="ac">
    <w:basedOn w:val="TableNormalb"/>
    <w:tblPr>
      <w:tblStyleRowBandSize w:val="1"/>
      <w:tblStyleColBandSize w:val="1"/>
      <w:tblCellMar>
        <w:left w:w="115" w:type="dxa"/>
        <w:right w:w="115" w:type="dxa"/>
      </w:tblCellMar>
    </w:tblPr>
  </w:style>
  <w:style w:type="table" w:customStyle="1" w:styleId="ad">
    <w:basedOn w:val="TableNormalb"/>
    <w:tblPr>
      <w:tblStyleRowBandSize w:val="1"/>
      <w:tblStyleColBandSize w:val="1"/>
      <w:tblCellMar>
        <w:left w:w="115" w:type="dxa"/>
        <w:right w:w="115" w:type="dxa"/>
      </w:tblCellMar>
    </w:tblPr>
  </w:style>
  <w:style w:type="table" w:customStyle="1" w:styleId="ae">
    <w:basedOn w:val="TableNormalb"/>
    <w:tblPr>
      <w:tblStyleRowBandSize w:val="1"/>
      <w:tblStyleColBandSize w:val="1"/>
      <w:tblCellMar>
        <w:left w:w="115" w:type="dxa"/>
        <w:right w:w="115" w:type="dxa"/>
      </w:tblCellMar>
    </w:tblPr>
  </w:style>
  <w:style w:type="table" w:customStyle="1" w:styleId="af">
    <w:basedOn w:val="TableNormalb"/>
    <w:tblPr>
      <w:tblStyleRowBandSize w:val="1"/>
      <w:tblStyleColBandSize w:val="1"/>
      <w:tblCellMar>
        <w:left w:w="115" w:type="dxa"/>
        <w:right w:w="115" w:type="dxa"/>
      </w:tblCellMar>
    </w:tblPr>
  </w:style>
  <w:style w:type="table" w:customStyle="1" w:styleId="af0">
    <w:basedOn w:val="TableNormalb"/>
    <w:tblPr>
      <w:tblStyleRowBandSize w:val="1"/>
      <w:tblStyleColBandSize w:val="1"/>
      <w:tblCellMar>
        <w:left w:w="1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42517"/>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42517"/>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E42517"/>
    <w:rPr>
      <w:vertAlign w:val="superscript"/>
    </w:rPr>
  </w:style>
  <w:style w:type="paragraph" w:styleId="Sinespaciado">
    <w:name w:val="No Spacing"/>
    <w:aliases w:val="Francesa"/>
    <w:link w:val="SinespaciadoCar"/>
    <w:uiPriority w:val="1"/>
    <w:qFormat/>
    <w:rsid w:val="000009E2"/>
    <w:pPr>
      <w:spacing w:after="0" w:line="240" w:lineRule="auto"/>
    </w:pPr>
  </w:style>
  <w:style w:type="character" w:customStyle="1" w:styleId="SinespaciadoCar">
    <w:name w:val="Sin espaciado Car"/>
    <w:aliases w:val="Francesa Car"/>
    <w:link w:val="Sinespaciado"/>
    <w:uiPriority w:val="1"/>
    <w:locked/>
    <w:rsid w:val="00B33C26"/>
  </w:style>
  <w:style w:type="paragraph" w:styleId="Lista">
    <w:name w:val="List"/>
    <w:basedOn w:val="Normal"/>
    <w:uiPriority w:val="99"/>
    <w:unhideWhenUsed/>
    <w:rsid w:val="004127D1"/>
    <w:pPr>
      <w:ind w:left="283" w:hanging="283"/>
      <w:contextualSpacing/>
    </w:pPr>
  </w:style>
  <w:style w:type="paragraph" w:styleId="Lista2">
    <w:name w:val="List 2"/>
    <w:basedOn w:val="Normal"/>
    <w:uiPriority w:val="99"/>
    <w:unhideWhenUsed/>
    <w:rsid w:val="004127D1"/>
    <w:pPr>
      <w:ind w:left="566" w:hanging="283"/>
      <w:contextualSpacing/>
    </w:pPr>
  </w:style>
  <w:style w:type="paragraph" w:styleId="Lista3">
    <w:name w:val="List 3"/>
    <w:basedOn w:val="Normal"/>
    <w:uiPriority w:val="99"/>
    <w:unhideWhenUsed/>
    <w:rsid w:val="004127D1"/>
    <w:pPr>
      <w:ind w:left="849" w:hanging="283"/>
      <w:contextualSpacing/>
    </w:pPr>
  </w:style>
  <w:style w:type="paragraph" w:styleId="Listaconvietas2">
    <w:name w:val="List Bullet 2"/>
    <w:basedOn w:val="Normal"/>
    <w:uiPriority w:val="99"/>
    <w:unhideWhenUsed/>
    <w:rsid w:val="004127D1"/>
    <w:pPr>
      <w:tabs>
        <w:tab w:val="num" w:pos="720"/>
      </w:tabs>
      <w:ind w:left="720" w:hanging="720"/>
      <w:contextualSpacing/>
    </w:pPr>
  </w:style>
  <w:style w:type="paragraph" w:styleId="Continuarlista">
    <w:name w:val="List Continue"/>
    <w:basedOn w:val="Normal"/>
    <w:uiPriority w:val="99"/>
    <w:unhideWhenUsed/>
    <w:rsid w:val="004127D1"/>
    <w:pPr>
      <w:spacing w:after="120"/>
      <w:ind w:left="283"/>
      <w:contextualSpacing/>
    </w:pPr>
  </w:style>
  <w:style w:type="paragraph" w:styleId="Continuarlista2">
    <w:name w:val="List Continue 2"/>
    <w:basedOn w:val="Normal"/>
    <w:uiPriority w:val="99"/>
    <w:unhideWhenUsed/>
    <w:rsid w:val="004127D1"/>
    <w:pPr>
      <w:spacing w:after="120"/>
      <w:ind w:left="566"/>
      <w:contextualSpacing/>
    </w:pPr>
  </w:style>
  <w:style w:type="paragraph" w:styleId="Textoindependiente">
    <w:name w:val="Body Text"/>
    <w:basedOn w:val="Normal"/>
    <w:link w:val="TextoindependienteCar"/>
    <w:uiPriority w:val="99"/>
    <w:unhideWhenUsed/>
    <w:rsid w:val="004127D1"/>
    <w:pPr>
      <w:spacing w:after="120"/>
    </w:pPr>
  </w:style>
  <w:style w:type="character" w:customStyle="1" w:styleId="TextoindependienteCar">
    <w:name w:val="Texto independiente Car"/>
    <w:basedOn w:val="Fuentedeprrafopredeter"/>
    <w:link w:val="Textoindependiente"/>
    <w:uiPriority w:val="99"/>
    <w:rsid w:val="004127D1"/>
  </w:style>
  <w:style w:type="paragraph" w:styleId="Sangradetextonormal">
    <w:name w:val="Body Text Indent"/>
    <w:basedOn w:val="Normal"/>
    <w:link w:val="SangradetextonormalCar"/>
    <w:uiPriority w:val="99"/>
    <w:unhideWhenUsed/>
    <w:rsid w:val="004127D1"/>
    <w:pPr>
      <w:spacing w:after="120"/>
      <w:ind w:left="283"/>
    </w:pPr>
  </w:style>
  <w:style w:type="character" w:customStyle="1" w:styleId="SangradetextonormalCar">
    <w:name w:val="Sangría de texto normal Car"/>
    <w:basedOn w:val="Fuentedeprrafopredeter"/>
    <w:link w:val="Sangradetextonormal"/>
    <w:uiPriority w:val="99"/>
    <w:rsid w:val="004127D1"/>
  </w:style>
  <w:style w:type="paragraph" w:styleId="Textoindependienteprimerasangra2">
    <w:name w:val="Body Text First Indent 2"/>
    <w:basedOn w:val="Sangradetextonormal"/>
    <w:link w:val="Textoindependienteprimerasangra2Car"/>
    <w:uiPriority w:val="99"/>
    <w:unhideWhenUsed/>
    <w:rsid w:val="004127D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127D1"/>
  </w:style>
  <w:style w:type="table" w:customStyle="1" w:styleId="af1">
    <w:basedOn w:val="TableNormalb"/>
    <w:tblPr>
      <w:tblStyleRowBandSize w:val="1"/>
      <w:tblStyleColBandSize w:val="1"/>
      <w:tblCellMar>
        <w:left w:w="115" w:type="dxa"/>
        <w:right w:w="115" w:type="dxa"/>
      </w:tblCellMar>
    </w:tblPr>
  </w:style>
  <w:style w:type="table" w:customStyle="1" w:styleId="af2">
    <w:basedOn w:val="TableNormalb"/>
    <w:tblPr>
      <w:tblStyleRowBandSize w:val="1"/>
      <w:tblStyleColBandSize w:val="1"/>
      <w:tblCellMar>
        <w:left w:w="115" w:type="dxa"/>
        <w:right w:w="115" w:type="dxa"/>
      </w:tblCellMar>
    </w:tblPr>
  </w:style>
  <w:style w:type="table" w:customStyle="1" w:styleId="af3">
    <w:basedOn w:val="TableNormalb"/>
    <w:tblPr>
      <w:tblStyleRowBandSize w:val="1"/>
      <w:tblStyleColBandSize w:val="1"/>
      <w:tblCellMar>
        <w:left w:w="115" w:type="dxa"/>
        <w:right w:w="115" w:type="dxa"/>
      </w:tblCellMar>
    </w:tblPr>
  </w:style>
  <w:style w:type="table" w:customStyle="1" w:styleId="af4">
    <w:basedOn w:val="TableNormalb"/>
    <w:tblPr>
      <w:tblStyleRowBandSize w:val="1"/>
      <w:tblStyleColBandSize w:val="1"/>
      <w:tblCellMar>
        <w:left w:w="115" w:type="dxa"/>
        <w:right w:w="115" w:type="dxa"/>
      </w:tblCellMar>
    </w:tblPr>
  </w:style>
  <w:style w:type="table" w:customStyle="1" w:styleId="af5">
    <w:basedOn w:val="TableNormalb"/>
    <w:tblPr>
      <w:tblStyleRowBandSize w:val="1"/>
      <w:tblStyleColBandSize w:val="1"/>
      <w:tblCellMar>
        <w:left w:w="115" w:type="dxa"/>
        <w:right w:w="115" w:type="dxa"/>
      </w:tblCellMar>
    </w:tblPr>
  </w:style>
  <w:style w:type="paragraph" w:styleId="NormalWeb">
    <w:name w:val="Normal (Web)"/>
    <w:basedOn w:val="Normal"/>
    <w:uiPriority w:val="99"/>
    <w:unhideWhenUsed/>
    <w:rsid w:val="00B477FB"/>
    <w:pPr>
      <w:spacing w:before="100" w:beforeAutospacing="1" w:after="100" w:afterAutospacing="1"/>
    </w:pPr>
  </w:style>
  <w:style w:type="table" w:customStyle="1" w:styleId="af6">
    <w:basedOn w:val="TableNormala"/>
    <w:tblPr>
      <w:tblStyleRowBandSize w:val="1"/>
      <w:tblStyleColBandSize w:val="1"/>
      <w:tblCellMar>
        <w:left w:w="115" w:type="dxa"/>
        <w:right w:w="115" w:type="dxa"/>
      </w:tblCellMar>
    </w:tblPr>
  </w:style>
  <w:style w:type="table" w:customStyle="1" w:styleId="af7">
    <w:basedOn w:val="TableNormala"/>
    <w:tblPr>
      <w:tblStyleRowBandSize w:val="1"/>
      <w:tblStyleColBandSize w:val="1"/>
      <w:tblCellMar>
        <w:left w:w="115" w:type="dxa"/>
        <w:right w:w="115" w:type="dxa"/>
      </w:tblCellMar>
    </w:tblPr>
  </w:style>
  <w:style w:type="table" w:customStyle="1" w:styleId="af8">
    <w:basedOn w:val="TableNormala"/>
    <w:tblPr>
      <w:tblStyleRowBandSize w:val="1"/>
      <w:tblStyleColBandSize w:val="1"/>
      <w:tblCellMar>
        <w:left w:w="108" w:type="dxa"/>
        <w:right w:w="108" w:type="dxa"/>
      </w:tblCellMar>
    </w:tblPr>
  </w:style>
  <w:style w:type="table" w:customStyle="1" w:styleId="af9">
    <w:basedOn w:val="TableNormala"/>
    <w:tblPr>
      <w:tblStyleRowBandSize w:val="1"/>
      <w:tblStyleColBandSize w:val="1"/>
      <w:tblCellMar>
        <w:left w:w="115" w:type="dxa"/>
        <w:right w:w="115" w:type="dxa"/>
      </w:tblCellMar>
    </w:tblPr>
  </w:style>
  <w:style w:type="table" w:customStyle="1" w:styleId="afa">
    <w:basedOn w:val="TableNormala"/>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locked/>
    <w:rsid w:val="00D7226C"/>
  </w:style>
  <w:style w:type="table" w:customStyle="1" w:styleId="afb">
    <w:basedOn w:val="TableNormal9"/>
    <w:tblPr>
      <w:tblStyleRowBandSize w:val="1"/>
      <w:tblStyleColBandSize w:val="1"/>
      <w:tblCellMar>
        <w:left w:w="115" w:type="dxa"/>
        <w:right w:w="115" w:type="dxa"/>
      </w:tblCellMar>
    </w:tblPr>
  </w:style>
  <w:style w:type="table" w:customStyle="1" w:styleId="afc">
    <w:basedOn w:val="TableNormal9"/>
    <w:tblPr>
      <w:tblStyleRowBandSize w:val="1"/>
      <w:tblStyleColBandSize w:val="1"/>
      <w:tblCellMar>
        <w:left w:w="115" w:type="dxa"/>
        <w:right w:w="115" w:type="dxa"/>
      </w:tblCellMar>
    </w:tblPr>
  </w:style>
  <w:style w:type="table" w:customStyle="1" w:styleId="afd">
    <w:basedOn w:val="TableNormal9"/>
    <w:tblPr>
      <w:tblStyleRowBandSize w:val="1"/>
      <w:tblStyleColBandSize w:val="1"/>
      <w:tblCellMar>
        <w:left w:w="115" w:type="dxa"/>
        <w:right w:w="115" w:type="dxa"/>
      </w:tblCellMar>
    </w:tblPr>
  </w:style>
  <w:style w:type="table" w:customStyle="1" w:styleId="afe">
    <w:basedOn w:val="TableNormal9"/>
    <w:tblPr>
      <w:tblStyleRowBandSize w:val="1"/>
      <w:tblStyleColBandSize w:val="1"/>
      <w:tblCellMar>
        <w:left w:w="115" w:type="dxa"/>
        <w:right w:w="115" w:type="dxa"/>
      </w:tblCellMar>
    </w:tblPr>
  </w:style>
  <w:style w:type="table" w:customStyle="1" w:styleId="aff">
    <w:basedOn w:val="TableNormal8"/>
    <w:tblPr>
      <w:tblStyleRowBandSize w:val="1"/>
      <w:tblStyleColBandSize w:val="1"/>
      <w:tblCellMar>
        <w:left w:w="115" w:type="dxa"/>
        <w:right w:w="115" w:type="dxa"/>
      </w:tblCellMar>
    </w:tblPr>
  </w:style>
  <w:style w:type="table" w:customStyle="1" w:styleId="aff0">
    <w:basedOn w:val="TableNormal8"/>
    <w:tblPr>
      <w:tblStyleRowBandSize w:val="1"/>
      <w:tblStyleColBandSize w:val="1"/>
      <w:tblCellMar>
        <w:left w:w="115" w:type="dxa"/>
        <w:right w:w="115" w:type="dxa"/>
      </w:tblCellMar>
    </w:tblPr>
  </w:style>
  <w:style w:type="table" w:customStyle="1" w:styleId="aff1">
    <w:basedOn w:val="TableNormal8"/>
    <w:tblPr>
      <w:tblStyleRowBandSize w:val="1"/>
      <w:tblStyleColBandSize w:val="1"/>
      <w:tblCellMar>
        <w:left w:w="115" w:type="dxa"/>
        <w:right w:w="115" w:type="dxa"/>
      </w:tblCellMar>
    </w:tblPr>
  </w:style>
  <w:style w:type="table" w:customStyle="1" w:styleId="aff2">
    <w:basedOn w:val="TableNormal8"/>
    <w:tblPr>
      <w:tblStyleRowBandSize w:val="1"/>
      <w:tblStyleColBandSize w:val="1"/>
      <w:tblCellMar>
        <w:left w:w="115" w:type="dxa"/>
        <w:right w:w="115" w:type="dxa"/>
      </w:tblCellMar>
    </w:tblPr>
  </w:style>
  <w:style w:type="character" w:customStyle="1" w:styleId="Ttulo1Car">
    <w:name w:val="Título 1 Car"/>
    <w:basedOn w:val="Fuentedeprrafopredeter"/>
    <w:link w:val="Ttulo1"/>
    <w:uiPriority w:val="9"/>
    <w:rsid w:val="000009E2"/>
    <w:rPr>
      <w:rFonts w:asciiTheme="majorHAnsi" w:eastAsiaTheme="majorEastAsia" w:hAnsiTheme="majorHAnsi" w:cstheme="majorBidi"/>
      <w:caps/>
      <w:sz w:val="36"/>
      <w:szCs w:val="36"/>
    </w:rPr>
  </w:style>
  <w:style w:type="character" w:customStyle="1" w:styleId="Ttulo2Car">
    <w:name w:val="Título 2 Car"/>
    <w:basedOn w:val="Fuentedeprrafopredeter"/>
    <w:link w:val="Ttulo2"/>
    <w:uiPriority w:val="9"/>
    <w:semiHidden/>
    <w:rsid w:val="000009E2"/>
    <w:rPr>
      <w:rFonts w:asciiTheme="majorHAnsi" w:eastAsiaTheme="majorEastAsia" w:hAnsiTheme="majorHAnsi" w:cstheme="majorBidi"/>
      <w:caps/>
      <w:sz w:val="28"/>
      <w:szCs w:val="28"/>
    </w:rPr>
  </w:style>
  <w:style w:type="character" w:customStyle="1" w:styleId="Ttulo3Car">
    <w:name w:val="Título 3 Car"/>
    <w:basedOn w:val="Fuentedeprrafopredeter"/>
    <w:link w:val="Ttulo3"/>
    <w:uiPriority w:val="9"/>
    <w:semiHidden/>
    <w:rsid w:val="000009E2"/>
    <w:rPr>
      <w:rFonts w:asciiTheme="majorHAnsi" w:eastAsiaTheme="majorEastAsia" w:hAnsiTheme="majorHAnsi" w:cstheme="majorBidi"/>
      <w:smallCaps/>
      <w:sz w:val="28"/>
      <w:szCs w:val="28"/>
    </w:rPr>
  </w:style>
  <w:style w:type="character" w:customStyle="1" w:styleId="Ttulo4Car">
    <w:name w:val="Título 4 Car"/>
    <w:basedOn w:val="Fuentedeprrafopredeter"/>
    <w:link w:val="Ttulo4"/>
    <w:uiPriority w:val="9"/>
    <w:semiHidden/>
    <w:rsid w:val="000009E2"/>
    <w:rPr>
      <w:rFonts w:asciiTheme="majorHAnsi" w:eastAsiaTheme="majorEastAsia" w:hAnsiTheme="majorHAnsi" w:cstheme="majorBidi"/>
      <w:caps/>
    </w:rPr>
  </w:style>
  <w:style w:type="character" w:customStyle="1" w:styleId="Ttulo5Car">
    <w:name w:val="Título 5 Car"/>
    <w:basedOn w:val="Fuentedeprrafopredeter"/>
    <w:link w:val="Ttulo5"/>
    <w:uiPriority w:val="9"/>
    <w:semiHidden/>
    <w:rsid w:val="000009E2"/>
    <w:rPr>
      <w:rFonts w:asciiTheme="majorHAnsi" w:eastAsiaTheme="majorEastAsia" w:hAnsiTheme="majorHAnsi" w:cstheme="majorBidi"/>
      <w:i/>
      <w:iCs/>
      <w:caps/>
    </w:rPr>
  </w:style>
  <w:style w:type="character" w:customStyle="1" w:styleId="Ttulo6Car">
    <w:name w:val="Título 6 Car"/>
    <w:basedOn w:val="Fuentedeprrafopredeter"/>
    <w:link w:val="Ttulo6"/>
    <w:uiPriority w:val="9"/>
    <w:semiHidden/>
    <w:rsid w:val="000009E2"/>
    <w:rPr>
      <w:rFonts w:asciiTheme="majorHAnsi" w:eastAsiaTheme="majorEastAsia" w:hAnsiTheme="majorHAnsi" w:cstheme="majorBidi"/>
      <w:b/>
      <w:bCs/>
      <w:caps/>
      <w:color w:val="262626" w:themeColor="text1" w:themeTint="D9"/>
      <w:sz w:val="20"/>
      <w:szCs w:val="20"/>
    </w:rPr>
  </w:style>
  <w:style w:type="character" w:customStyle="1" w:styleId="Ttulo7Car">
    <w:name w:val="Título 7 Car"/>
    <w:basedOn w:val="Fuentedeprrafopredeter"/>
    <w:link w:val="Ttulo7"/>
    <w:uiPriority w:val="9"/>
    <w:semiHidden/>
    <w:rsid w:val="000009E2"/>
    <w:rPr>
      <w:rFonts w:asciiTheme="majorHAnsi" w:eastAsiaTheme="majorEastAsia" w:hAnsiTheme="majorHAnsi" w:cstheme="majorBidi"/>
      <w:b/>
      <w:bCs/>
      <w:i/>
      <w:iCs/>
      <w:caps/>
      <w:color w:val="262626" w:themeColor="text1" w:themeTint="D9"/>
      <w:sz w:val="20"/>
      <w:szCs w:val="20"/>
    </w:rPr>
  </w:style>
  <w:style w:type="character" w:customStyle="1" w:styleId="Ttulo8Car">
    <w:name w:val="Título 8 Car"/>
    <w:basedOn w:val="Fuentedeprrafopredeter"/>
    <w:link w:val="Ttulo8"/>
    <w:uiPriority w:val="9"/>
    <w:semiHidden/>
    <w:rsid w:val="000009E2"/>
    <w:rPr>
      <w:rFonts w:asciiTheme="majorHAnsi" w:eastAsiaTheme="majorEastAsia" w:hAnsiTheme="majorHAnsi" w:cstheme="majorBidi"/>
      <w:b/>
      <w:bCs/>
      <w:caps/>
      <w:color w:val="7F7F7F" w:themeColor="text1" w:themeTint="80"/>
      <w:sz w:val="20"/>
      <w:szCs w:val="20"/>
    </w:rPr>
  </w:style>
  <w:style w:type="character" w:customStyle="1" w:styleId="Ttulo9Car">
    <w:name w:val="Título 9 Car"/>
    <w:basedOn w:val="Fuentedeprrafopredeter"/>
    <w:link w:val="Ttulo9"/>
    <w:uiPriority w:val="9"/>
    <w:semiHidden/>
    <w:rsid w:val="000009E2"/>
    <w:rPr>
      <w:rFonts w:asciiTheme="majorHAnsi" w:eastAsiaTheme="majorEastAsia" w:hAnsiTheme="majorHAnsi" w:cstheme="majorBidi"/>
      <w:b/>
      <w:bCs/>
      <w:i/>
      <w:iCs/>
      <w:caps/>
      <w:color w:val="7F7F7F" w:themeColor="text1" w:themeTint="80"/>
      <w:sz w:val="20"/>
      <w:szCs w:val="20"/>
    </w:rPr>
  </w:style>
  <w:style w:type="paragraph" w:styleId="Descripcin">
    <w:name w:val="caption"/>
    <w:basedOn w:val="Normal"/>
    <w:next w:val="Normal"/>
    <w:uiPriority w:val="35"/>
    <w:semiHidden/>
    <w:unhideWhenUsed/>
    <w:qFormat/>
    <w:rsid w:val="000009E2"/>
    <w:pPr>
      <w:spacing w:line="240" w:lineRule="auto"/>
    </w:pPr>
    <w:rPr>
      <w:b/>
      <w:bCs/>
      <w:smallCaps/>
      <w:color w:val="595959" w:themeColor="text1" w:themeTint="A6"/>
    </w:rPr>
  </w:style>
  <w:style w:type="character" w:customStyle="1" w:styleId="TtuloCar">
    <w:name w:val="Título Car"/>
    <w:basedOn w:val="Fuentedeprrafopredeter"/>
    <w:link w:val="Ttulo"/>
    <w:uiPriority w:val="10"/>
    <w:rsid w:val="000009E2"/>
    <w:rPr>
      <w:rFonts w:asciiTheme="majorHAnsi" w:eastAsiaTheme="majorEastAsia" w:hAnsiTheme="majorHAnsi" w:cstheme="majorBidi"/>
      <w:caps/>
      <w:color w:val="404040" w:themeColor="text1" w:themeTint="BF"/>
      <w:spacing w:val="-10"/>
      <w:sz w:val="72"/>
      <w:szCs w:val="72"/>
    </w:rPr>
  </w:style>
  <w:style w:type="character" w:customStyle="1" w:styleId="SubttuloCar">
    <w:name w:val="Subtítulo Car"/>
    <w:basedOn w:val="Fuentedeprrafopredeter"/>
    <w:link w:val="Subttulo"/>
    <w:uiPriority w:val="11"/>
    <w:rsid w:val="000009E2"/>
    <w:rPr>
      <w:rFonts w:asciiTheme="majorHAnsi" w:eastAsiaTheme="majorEastAsia" w:hAnsiTheme="majorHAnsi" w:cstheme="majorBidi"/>
      <w:smallCaps/>
      <w:color w:val="595959" w:themeColor="text1" w:themeTint="A6"/>
      <w:sz w:val="28"/>
      <w:szCs w:val="28"/>
    </w:rPr>
  </w:style>
  <w:style w:type="character" w:styleId="Textoennegrita">
    <w:name w:val="Strong"/>
    <w:basedOn w:val="Fuentedeprrafopredeter"/>
    <w:uiPriority w:val="22"/>
    <w:qFormat/>
    <w:rsid w:val="000009E2"/>
    <w:rPr>
      <w:b/>
      <w:bCs/>
    </w:rPr>
  </w:style>
  <w:style w:type="character" w:styleId="nfasis">
    <w:name w:val="Emphasis"/>
    <w:basedOn w:val="Fuentedeprrafopredeter"/>
    <w:uiPriority w:val="20"/>
    <w:qFormat/>
    <w:rsid w:val="000009E2"/>
    <w:rPr>
      <w:i/>
      <w:iCs/>
    </w:rPr>
  </w:style>
  <w:style w:type="paragraph" w:styleId="Cita">
    <w:name w:val="Quote"/>
    <w:basedOn w:val="Normal"/>
    <w:next w:val="Normal"/>
    <w:link w:val="CitaCar"/>
    <w:uiPriority w:val="29"/>
    <w:qFormat/>
    <w:rsid w:val="000009E2"/>
    <w:pPr>
      <w:spacing w:before="160" w:line="240" w:lineRule="auto"/>
      <w:ind w:left="720" w:right="720"/>
    </w:pPr>
    <w:rPr>
      <w:rFonts w:asciiTheme="majorHAnsi" w:eastAsiaTheme="majorEastAsia" w:hAnsiTheme="majorHAnsi" w:cstheme="majorBidi"/>
      <w:sz w:val="25"/>
      <w:szCs w:val="25"/>
    </w:rPr>
  </w:style>
  <w:style w:type="character" w:customStyle="1" w:styleId="CitaCar">
    <w:name w:val="Cita Car"/>
    <w:basedOn w:val="Fuentedeprrafopredeter"/>
    <w:link w:val="Cita"/>
    <w:uiPriority w:val="29"/>
    <w:rsid w:val="000009E2"/>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0009E2"/>
    <w:pPr>
      <w:spacing w:before="280" w:after="280" w:line="240" w:lineRule="auto"/>
      <w:ind w:left="1080" w:right="1080"/>
      <w:jc w:val="center"/>
    </w:pPr>
    <w:rPr>
      <w:color w:val="404040" w:themeColor="text1" w:themeTint="BF"/>
      <w:sz w:val="32"/>
      <w:szCs w:val="32"/>
    </w:rPr>
  </w:style>
  <w:style w:type="character" w:customStyle="1" w:styleId="CitadestacadaCar">
    <w:name w:val="Cita destacada Car"/>
    <w:basedOn w:val="Fuentedeprrafopredeter"/>
    <w:link w:val="Citadestacada"/>
    <w:uiPriority w:val="30"/>
    <w:rsid w:val="000009E2"/>
    <w:rPr>
      <w:color w:val="404040" w:themeColor="text1" w:themeTint="BF"/>
      <w:sz w:val="32"/>
      <w:szCs w:val="32"/>
    </w:rPr>
  </w:style>
  <w:style w:type="character" w:styleId="nfasissutil">
    <w:name w:val="Subtle Emphasis"/>
    <w:basedOn w:val="Fuentedeprrafopredeter"/>
    <w:uiPriority w:val="19"/>
    <w:qFormat/>
    <w:rsid w:val="000009E2"/>
    <w:rPr>
      <w:i/>
      <w:iCs/>
      <w:color w:val="595959" w:themeColor="text1" w:themeTint="A6"/>
    </w:rPr>
  </w:style>
  <w:style w:type="character" w:styleId="nfasisintenso">
    <w:name w:val="Intense Emphasis"/>
    <w:basedOn w:val="Fuentedeprrafopredeter"/>
    <w:uiPriority w:val="21"/>
    <w:qFormat/>
    <w:rsid w:val="000009E2"/>
    <w:rPr>
      <w:b/>
      <w:bCs/>
      <w:i/>
      <w:iCs/>
    </w:rPr>
  </w:style>
  <w:style w:type="character" w:styleId="Referenciasutil">
    <w:name w:val="Subtle Reference"/>
    <w:basedOn w:val="Fuentedeprrafopredeter"/>
    <w:uiPriority w:val="31"/>
    <w:qFormat/>
    <w:rsid w:val="000009E2"/>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0009E2"/>
    <w:rPr>
      <w:b/>
      <w:bCs/>
      <w:caps w:val="0"/>
      <w:smallCaps/>
      <w:color w:val="auto"/>
      <w:spacing w:val="3"/>
      <w:u w:val="single"/>
    </w:rPr>
  </w:style>
  <w:style w:type="character" w:styleId="Ttulodellibro">
    <w:name w:val="Book Title"/>
    <w:basedOn w:val="Fuentedeprrafopredeter"/>
    <w:uiPriority w:val="33"/>
    <w:qFormat/>
    <w:rsid w:val="000009E2"/>
    <w:rPr>
      <w:b/>
      <w:bCs/>
      <w:smallCaps/>
      <w:spacing w:val="7"/>
    </w:rPr>
  </w:style>
  <w:style w:type="paragraph" w:styleId="TtuloTDC">
    <w:name w:val="TOC Heading"/>
    <w:basedOn w:val="Ttulo1"/>
    <w:next w:val="Normal"/>
    <w:uiPriority w:val="39"/>
    <w:semiHidden/>
    <w:unhideWhenUsed/>
    <w:qFormat/>
    <w:rsid w:val="000009E2"/>
    <w:pPr>
      <w:outlineLvl w:val="9"/>
    </w:pPr>
  </w:style>
  <w:style w:type="table" w:customStyle="1" w:styleId="aff3">
    <w:basedOn w:val="TableNormal7"/>
    <w:tblPr>
      <w:tblStyleRowBandSize w:val="1"/>
      <w:tblStyleColBandSize w:val="1"/>
      <w:tblCellMar>
        <w:left w:w="115" w:type="dxa"/>
        <w:right w:w="115" w:type="dxa"/>
      </w:tblCellMar>
    </w:tblPr>
  </w:style>
  <w:style w:type="table" w:customStyle="1" w:styleId="aff4">
    <w:basedOn w:val="TableNormal7"/>
    <w:tblPr>
      <w:tblStyleRowBandSize w:val="1"/>
      <w:tblStyleColBandSize w:val="1"/>
      <w:tblCellMar>
        <w:left w:w="115" w:type="dxa"/>
        <w:right w:w="115" w:type="dxa"/>
      </w:tblCellMar>
    </w:tblPr>
  </w:style>
  <w:style w:type="table" w:customStyle="1" w:styleId="aff5">
    <w:basedOn w:val="TableNormal7"/>
    <w:tblPr>
      <w:tblStyleRowBandSize w:val="1"/>
      <w:tblStyleColBandSize w:val="1"/>
      <w:tblCellMar>
        <w:left w:w="115" w:type="dxa"/>
        <w:right w:w="115" w:type="dxa"/>
      </w:tblCellMar>
    </w:tblPr>
  </w:style>
  <w:style w:type="table" w:customStyle="1" w:styleId="aff6">
    <w:basedOn w:val="TableNormal7"/>
    <w:tblPr>
      <w:tblStyleRowBandSize w:val="1"/>
      <w:tblStyleColBandSize w:val="1"/>
      <w:tblCellMar>
        <w:left w:w="108" w:type="dxa"/>
        <w:right w:w="108" w:type="dxa"/>
      </w:tblCellMar>
    </w:tblPr>
  </w:style>
  <w:style w:type="table" w:customStyle="1" w:styleId="aff7">
    <w:basedOn w:val="TableNormal7"/>
    <w:tblPr>
      <w:tblStyleRowBandSize w:val="1"/>
      <w:tblStyleColBandSize w:val="1"/>
      <w:tblCellMar>
        <w:left w:w="115" w:type="dxa"/>
        <w:right w:w="115" w:type="dxa"/>
      </w:tblCellMar>
    </w:tblPr>
  </w:style>
  <w:style w:type="table" w:customStyle="1" w:styleId="aff8">
    <w:basedOn w:val="TableNormal7"/>
    <w:tblPr>
      <w:tblStyleRowBandSize w:val="1"/>
      <w:tblStyleColBandSize w:val="1"/>
      <w:tblCellMar>
        <w:left w:w="115" w:type="dxa"/>
        <w:right w:w="115" w:type="dxa"/>
      </w:tblCellMar>
    </w:tblPr>
  </w:style>
  <w:style w:type="table" w:customStyle="1" w:styleId="aff9">
    <w:basedOn w:val="TableNormal6"/>
    <w:tblPr>
      <w:tblStyleRowBandSize w:val="1"/>
      <w:tblStyleColBandSize w:val="1"/>
      <w:tblCellMar>
        <w:left w:w="115" w:type="dxa"/>
        <w:right w:w="115" w:type="dxa"/>
      </w:tblCellMar>
    </w:tblPr>
  </w:style>
  <w:style w:type="table" w:customStyle="1" w:styleId="affa">
    <w:basedOn w:val="TableNormal6"/>
    <w:tblPr>
      <w:tblStyleRowBandSize w:val="1"/>
      <w:tblStyleColBandSize w:val="1"/>
      <w:tblCellMar>
        <w:left w:w="115" w:type="dxa"/>
        <w:right w:w="115" w:type="dxa"/>
      </w:tblCellMar>
    </w:tblPr>
  </w:style>
  <w:style w:type="table" w:customStyle="1" w:styleId="affb">
    <w:basedOn w:val="TableNormal6"/>
    <w:tblPr>
      <w:tblStyleRowBandSize w:val="1"/>
      <w:tblStyleColBandSize w:val="1"/>
      <w:tblCellMar>
        <w:left w:w="115" w:type="dxa"/>
        <w:right w:w="115" w:type="dxa"/>
      </w:tblCellMar>
    </w:tblPr>
  </w:style>
  <w:style w:type="table" w:customStyle="1" w:styleId="affc">
    <w:basedOn w:val="TableNormal6"/>
    <w:tblPr>
      <w:tblStyleRowBandSize w:val="1"/>
      <w:tblStyleColBandSize w:val="1"/>
      <w:tblCellMar>
        <w:left w:w="115" w:type="dxa"/>
        <w:right w:w="115" w:type="dxa"/>
      </w:tblCellMar>
    </w:tblPr>
  </w:style>
  <w:style w:type="table" w:customStyle="1" w:styleId="affd">
    <w:basedOn w:val="TableNormal6"/>
    <w:tblPr>
      <w:tblStyleRowBandSize w:val="1"/>
      <w:tblStyleColBandSize w:val="1"/>
      <w:tblCellMar>
        <w:left w:w="115" w:type="dxa"/>
        <w:right w:w="115" w:type="dxa"/>
      </w:tblCellMar>
    </w:tblPr>
  </w:style>
  <w:style w:type="table" w:customStyle="1" w:styleId="affe">
    <w:basedOn w:val="TableNormal6"/>
    <w:tblPr>
      <w:tblStyleRowBandSize w:val="1"/>
      <w:tblStyleColBandSize w:val="1"/>
      <w:tblCellMar>
        <w:left w:w="115" w:type="dxa"/>
        <w:right w:w="115" w:type="dxa"/>
      </w:tblCellMar>
    </w:tblPr>
  </w:style>
  <w:style w:type="paragraph" w:customStyle="1" w:styleId="Default">
    <w:name w:val="Default"/>
    <w:rsid w:val="00557977"/>
    <w:pPr>
      <w:autoSpaceDE w:val="0"/>
      <w:autoSpaceDN w:val="0"/>
      <w:adjustRightInd w:val="0"/>
      <w:spacing w:after="0" w:line="240" w:lineRule="auto"/>
    </w:pPr>
    <w:rPr>
      <w:rFonts w:ascii="Tahoma" w:hAnsi="Tahoma" w:cs="Tahoma"/>
      <w:color w:val="000000"/>
      <w:sz w:val="24"/>
      <w:szCs w:val="24"/>
    </w:rPr>
  </w:style>
  <w:style w:type="table" w:customStyle="1" w:styleId="afff">
    <w:basedOn w:val="TableNormal5"/>
    <w:tblPr>
      <w:tblStyleRowBandSize w:val="1"/>
      <w:tblStyleColBandSize w:val="1"/>
      <w:tblCellMar>
        <w:left w:w="115" w:type="dxa"/>
        <w:right w:w="115" w:type="dxa"/>
      </w:tblCellMar>
    </w:tblPr>
  </w:style>
  <w:style w:type="table" w:customStyle="1" w:styleId="afff0">
    <w:basedOn w:val="TableNormal5"/>
    <w:tblPr>
      <w:tblStyleRowBandSize w:val="1"/>
      <w:tblStyleColBandSize w:val="1"/>
      <w:tblCellMar>
        <w:left w:w="115" w:type="dxa"/>
        <w:right w:w="115" w:type="dxa"/>
      </w:tblCellMar>
    </w:tblPr>
  </w:style>
  <w:style w:type="table" w:customStyle="1" w:styleId="afff1">
    <w:basedOn w:val="TableNormal5"/>
    <w:tblPr>
      <w:tblStyleRowBandSize w:val="1"/>
      <w:tblStyleColBandSize w:val="1"/>
      <w:tblCellMar>
        <w:left w:w="115" w:type="dxa"/>
        <w:right w:w="115" w:type="dxa"/>
      </w:tblCellMar>
    </w:tblPr>
  </w:style>
  <w:style w:type="table" w:customStyle="1" w:styleId="afff2">
    <w:basedOn w:val="TableNormal5"/>
    <w:tblPr>
      <w:tblStyleRowBandSize w:val="1"/>
      <w:tblStyleColBandSize w:val="1"/>
      <w:tblCellMar>
        <w:left w:w="115" w:type="dxa"/>
        <w:right w:w="115" w:type="dxa"/>
      </w:tblCellMar>
    </w:tblPr>
  </w:style>
  <w:style w:type="table" w:customStyle="1" w:styleId="afff3">
    <w:basedOn w:val="TableNormal5"/>
    <w:tblPr>
      <w:tblStyleRowBandSize w:val="1"/>
      <w:tblStyleColBandSize w:val="1"/>
      <w:tblCellMar>
        <w:left w:w="115" w:type="dxa"/>
        <w:right w:w="115" w:type="dxa"/>
      </w:tblCellMar>
    </w:tblPr>
  </w:style>
  <w:style w:type="table" w:customStyle="1" w:styleId="afff4">
    <w:basedOn w:val="TableNormal5"/>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9C12D4"/>
    <w:rPr>
      <w:color w:val="605E5C"/>
      <w:shd w:val="clear" w:color="auto" w:fill="E1DFDD"/>
    </w:rPr>
  </w:style>
  <w:style w:type="character" w:styleId="Hipervnculovisitado">
    <w:name w:val="FollowedHyperlink"/>
    <w:basedOn w:val="Fuentedeprrafopredeter"/>
    <w:uiPriority w:val="99"/>
    <w:semiHidden/>
    <w:unhideWhenUsed/>
    <w:rsid w:val="00132376"/>
    <w:rPr>
      <w:color w:val="954F72" w:themeColor="followedHyperlink"/>
      <w:u w:val="single"/>
    </w:r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tblPr>
      <w:tblStyleRowBandSize w:val="1"/>
      <w:tblStyleColBandSize w:val="1"/>
      <w:tblCellMar>
        <w:left w:w="115" w:type="dxa"/>
        <w:right w:w="115" w:type="dxa"/>
      </w:tblCellMar>
    </w:tblPr>
  </w:style>
  <w:style w:type="table" w:customStyle="1" w:styleId="afff9">
    <w:basedOn w:val="TableNormal4"/>
    <w:tblPr>
      <w:tblStyleRowBandSize w:val="1"/>
      <w:tblStyleColBandSize w:val="1"/>
      <w:tblCellMar>
        <w:left w:w="115" w:type="dxa"/>
        <w:right w:w="115" w:type="dxa"/>
      </w:tblCellMar>
    </w:tblPr>
  </w:style>
  <w:style w:type="table" w:customStyle="1" w:styleId="afffa">
    <w:basedOn w:val="TableNormal3"/>
    <w:tblPr>
      <w:tblStyleRowBandSize w:val="1"/>
      <w:tblStyleColBandSize w:val="1"/>
      <w:tblCellMar>
        <w:left w:w="115" w:type="dxa"/>
        <w:right w:w="115" w:type="dxa"/>
      </w:tblCellMar>
    </w:tblPr>
  </w:style>
  <w:style w:type="table" w:customStyle="1" w:styleId="afffb">
    <w:basedOn w:val="TableNormal3"/>
    <w:tblPr>
      <w:tblStyleRowBandSize w:val="1"/>
      <w:tblStyleColBandSize w:val="1"/>
      <w:tblCellMar>
        <w:left w:w="115" w:type="dxa"/>
        <w:right w:w="115" w:type="dxa"/>
      </w:tblCellMar>
    </w:tblPr>
  </w:style>
  <w:style w:type="table" w:customStyle="1" w:styleId="afffc">
    <w:basedOn w:val="TableNormal3"/>
    <w:tblPr>
      <w:tblStyleRowBandSize w:val="1"/>
      <w:tblStyleColBandSize w:val="1"/>
      <w:tblCellMar>
        <w:left w:w="115" w:type="dxa"/>
        <w:right w:w="115" w:type="dxa"/>
      </w:tblCellMar>
    </w:tblPr>
  </w:style>
  <w:style w:type="table" w:customStyle="1" w:styleId="afffd">
    <w:basedOn w:val="TableNormal3"/>
    <w:tblPr>
      <w:tblStyleRowBandSize w:val="1"/>
      <w:tblStyleColBandSize w:val="1"/>
      <w:tblCellMar>
        <w:left w:w="115" w:type="dxa"/>
        <w:right w:w="115" w:type="dxa"/>
      </w:tblCellMar>
    </w:tblPr>
  </w:style>
  <w:style w:type="table" w:customStyle="1" w:styleId="afffe">
    <w:basedOn w:val="TableNormal3"/>
    <w:tblPr>
      <w:tblStyleRowBandSize w:val="1"/>
      <w:tblStyleColBandSize w:val="1"/>
      <w:tblCellMar>
        <w:left w:w="115" w:type="dxa"/>
        <w:right w:w="115" w:type="dxa"/>
      </w:tblCellMar>
    </w:tblPr>
  </w:style>
  <w:style w:type="table" w:customStyle="1" w:styleId="affff">
    <w:basedOn w:val="TableNormal2"/>
    <w:tblPr>
      <w:tblStyleRowBandSize w:val="1"/>
      <w:tblStyleColBandSize w:val="1"/>
      <w:tblCellMar>
        <w:left w:w="115" w:type="dxa"/>
        <w:right w:w="115" w:type="dxa"/>
      </w:tblCellMar>
    </w:tblPr>
  </w:style>
  <w:style w:type="table" w:customStyle="1" w:styleId="affff0">
    <w:basedOn w:val="TableNormal2"/>
    <w:tblPr>
      <w:tblStyleRowBandSize w:val="1"/>
      <w:tblStyleColBandSize w:val="1"/>
      <w:tblCellMar>
        <w:left w:w="115" w:type="dxa"/>
        <w:right w:w="115" w:type="dxa"/>
      </w:tblCellMar>
    </w:tblPr>
  </w:style>
  <w:style w:type="table" w:customStyle="1" w:styleId="affff1">
    <w:basedOn w:val="TableNormal2"/>
    <w:tblPr>
      <w:tblStyleRowBandSize w:val="1"/>
      <w:tblStyleColBandSize w:val="1"/>
      <w:tblCellMar>
        <w:left w:w="115" w:type="dxa"/>
        <w:right w:w="115" w:type="dxa"/>
      </w:tblCellMar>
    </w:tblPr>
  </w:style>
  <w:style w:type="table" w:customStyle="1" w:styleId="affff2">
    <w:basedOn w:val="TableNormal2"/>
    <w:tblPr>
      <w:tblStyleRowBandSize w:val="1"/>
      <w:tblStyleColBandSize w:val="1"/>
      <w:tblCellMar>
        <w:left w:w="115" w:type="dxa"/>
        <w:right w:w="115" w:type="dxa"/>
      </w:tblCellMar>
    </w:tblPr>
  </w:style>
  <w:style w:type="table" w:customStyle="1" w:styleId="affff3">
    <w:basedOn w:val="TableNormal2"/>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tblPr>
      <w:tblStyleRowBandSize w:val="1"/>
      <w:tblStyleColBandSize w:val="1"/>
      <w:tblCellMar>
        <w:left w:w="115" w:type="dxa"/>
        <w:right w:w="115" w:type="dxa"/>
      </w:tblCellMar>
    </w:tbl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tblPr>
      <w:tblStyleRowBandSize w:val="1"/>
      <w:tblStyleColBandSize w:val="1"/>
      <w:tblCellMar>
        <w:left w:w="115" w:type="dxa"/>
        <w:right w:w="115" w:type="dxa"/>
      </w:tblCellMar>
    </w:tblPr>
  </w:style>
  <w:style w:type="table" w:customStyle="1" w:styleId="affff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izYmOrCzXpr5QRUWwFbFo74Lsg==">CgMxLjAyCWguMWZvYjl0ZTIJaC4zem55c2g3MghoLnR5amN3dDIJaC4zZHk2dmttMgloLjNyZGNyam4yCGguZ2pkZ3hzMgloLjMwajB6bGw4AHIhMTAwa3BoQ01CU2h1VjE5VUw1N2gwWldpRjZUckxKMk9E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5390</Words>
  <Characters>29648</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3</cp:revision>
  <cp:lastPrinted>2025-01-31T19:44:00Z</cp:lastPrinted>
  <dcterms:created xsi:type="dcterms:W3CDTF">2025-02-06T17:14:00Z</dcterms:created>
  <dcterms:modified xsi:type="dcterms:W3CDTF">2025-02-06T17:22:00Z</dcterms:modified>
</cp:coreProperties>
</file>