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0"/>
          <w:szCs w:val="20"/>
          <w:lang w:val="es-ES" w:eastAsia="es-ES"/>
        </w:rPr>
        <w:id w:val="-260844837"/>
        <w:docPartObj>
          <w:docPartGallery w:val="Table of Contents"/>
          <w:docPartUnique/>
        </w:docPartObj>
      </w:sdtPr>
      <w:sdtEndPr>
        <w:rPr>
          <w:rFonts w:eastAsiaTheme="minorHAnsi" w:cstheme="minorBidi"/>
          <w:color w:val="000000" w:themeColor="text1"/>
          <w:sz w:val="22"/>
          <w:szCs w:val="22"/>
          <w:lang w:eastAsia="en-US"/>
        </w:rPr>
      </w:sdtEndPr>
      <w:sdtContent>
        <w:p w14:paraId="7195BA53" w14:textId="77777777" w:rsidR="00E936D1" w:rsidRDefault="00E936D1" w:rsidP="005032B4">
          <w:pPr>
            <w:pStyle w:val="TtuloTDC"/>
            <w:spacing w:before="0" w:line="360" w:lineRule="auto"/>
            <w:jc w:val="center"/>
            <w:rPr>
              <w:rFonts w:ascii="Palatino Linotype" w:eastAsia="Times New Roman" w:hAnsi="Palatino Linotype" w:cs="Times New Roman"/>
              <w:color w:val="auto"/>
              <w:sz w:val="20"/>
              <w:szCs w:val="20"/>
              <w:lang w:val="es-ES" w:eastAsia="es-ES"/>
            </w:rPr>
          </w:pPr>
        </w:p>
        <w:p w14:paraId="39E762A6" w14:textId="77777777" w:rsidR="00E936D1" w:rsidRDefault="00E936D1" w:rsidP="005032B4">
          <w:pPr>
            <w:pStyle w:val="TtuloTDC"/>
            <w:spacing w:before="0" w:line="360" w:lineRule="auto"/>
            <w:jc w:val="center"/>
            <w:rPr>
              <w:rFonts w:ascii="Palatino Linotype" w:eastAsia="Times New Roman" w:hAnsi="Palatino Linotype" w:cs="Times New Roman"/>
              <w:color w:val="auto"/>
              <w:sz w:val="20"/>
              <w:szCs w:val="20"/>
              <w:lang w:val="es-ES" w:eastAsia="es-ES"/>
            </w:rPr>
          </w:pPr>
        </w:p>
        <w:p w14:paraId="54C5A517" w14:textId="181A0967" w:rsidR="00076681" w:rsidRDefault="00076681" w:rsidP="005032B4">
          <w:pPr>
            <w:pStyle w:val="TtuloTDC"/>
            <w:spacing w:before="0" w:line="360" w:lineRule="auto"/>
            <w:jc w:val="center"/>
            <w:rPr>
              <w:rFonts w:ascii="Palatino Linotype" w:eastAsia="Calibri" w:hAnsi="Palatino Linotype" w:cs="Tahoma"/>
              <w:color w:val="auto"/>
              <w:sz w:val="22"/>
              <w:szCs w:val="22"/>
            </w:rPr>
          </w:pPr>
          <w:r w:rsidRPr="009A627C">
            <w:rPr>
              <w:rFonts w:ascii="Palatino Linotype" w:hAnsi="Palatino Linotype"/>
              <w:color w:val="000000" w:themeColor="text1"/>
              <w:sz w:val="22"/>
              <w:szCs w:val="22"/>
              <w:lang w:val="es-ES"/>
            </w:rPr>
            <w:t xml:space="preserve">RESOLUCIÓN DEL RECURSO DE REVISIÓN </w:t>
          </w:r>
          <w:r w:rsidR="00200755" w:rsidRPr="00200755">
            <w:rPr>
              <w:rFonts w:ascii="Palatino Linotype" w:eastAsia="Calibri" w:hAnsi="Palatino Linotype" w:cs="Tahoma"/>
              <w:color w:val="auto"/>
              <w:sz w:val="22"/>
              <w:szCs w:val="22"/>
            </w:rPr>
            <w:t>0</w:t>
          </w:r>
          <w:r w:rsidR="00AD27CA">
            <w:rPr>
              <w:rFonts w:ascii="Palatino Linotype" w:eastAsia="Calibri" w:hAnsi="Palatino Linotype" w:cs="Tahoma"/>
              <w:color w:val="auto"/>
              <w:sz w:val="22"/>
              <w:szCs w:val="22"/>
            </w:rPr>
            <w:t>514</w:t>
          </w:r>
          <w:r w:rsidR="00200755" w:rsidRPr="00200755">
            <w:rPr>
              <w:rFonts w:ascii="Palatino Linotype" w:eastAsia="Calibri" w:hAnsi="Palatino Linotype" w:cs="Tahoma"/>
              <w:color w:val="auto"/>
              <w:sz w:val="22"/>
              <w:szCs w:val="22"/>
            </w:rPr>
            <w:t>6/INFOEM/IP/RR/2025</w:t>
          </w:r>
        </w:p>
        <w:p w14:paraId="58A93342" w14:textId="77777777" w:rsidR="004764C7" w:rsidRPr="00195951" w:rsidRDefault="004764C7" w:rsidP="004B6629">
          <w:pPr>
            <w:spacing w:line="360" w:lineRule="auto"/>
            <w:rPr>
              <w:lang w:eastAsia="es-MX"/>
            </w:rPr>
          </w:pPr>
        </w:p>
        <w:p w14:paraId="18D1E36B" w14:textId="1914C2C8" w:rsidR="00195951" w:rsidRPr="00195951" w:rsidRDefault="00076681">
          <w:pPr>
            <w:pStyle w:val="TDC1"/>
            <w:rPr>
              <w:rFonts w:asciiTheme="minorHAnsi" w:eastAsiaTheme="minorEastAsia" w:hAnsiTheme="minorHAnsi" w:cstheme="minorBidi"/>
              <w:noProof/>
              <w:sz w:val="22"/>
              <w:szCs w:val="22"/>
              <w:lang w:eastAsia="es-MX"/>
            </w:rPr>
          </w:pPr>
          <w:r w:rsidRPr="00195951">
            <w:rPr>
              <w:rFonts w:ascii="Palatino Linotype" w:hAnsi="Palatino Linotype"/>
              <w:sz w:val="22"/>
              <w:szCs w:val="22"/>
            </w:rPr>
            <w:fldChar w:fldCharType="begin"/>
          </w:r>
          <w:r w:rsidRPr="00195951">
            <w:rPr>
              <w:rFonts w:ascii="Palatino Linotype" w:hAnsi="Palatino Linotype"/>
              <w:sz w:val="22"/>
              <w:szCs w:val="22"/>
            </w:rPr>
            <w:instrText xml:space="preserve"> TOC \o "1-3" \h \z \u </w:instrText>
          </w:r>
          <w:r w:rsidRPr="00195951">
            <w:rPr>
              <w:rFonts w:ascii="Palatino Linotype" w:hAnsi="Palatino Linotype"/>
              <w:sz w:val="22"/>
              <w:szCs w:val="22"/>
            </w:rPr>
            <w:fldChar w:fldCharType="separate"/>
          </w:r>
          <w:hyperlink w:anchor="_Toc207291690" w:history="1">
            <w:r w:rsidR="00195951" w:rsidRPr="00195951">
              <w:rPr>
                <w:rStyle w:val="Hipervnculo"/>
                <w:rFonts w:ascii="Palatino Linotype" w:hAnsi="Palatino Linotype"/>
                <w:noProof/>
              </w:rPr>
              <w:t>A N T E C E D E N T E S</w:t>
            </w:r>
            <w:r w:rsidR="00195951" w:rsidRPr="00195951">
              <w:rPr>
                <w:noProof/>
                <w:webHidden/>
              </w:rPr>
              <w:tab/>
            </w:r>
            <w:r w:rsidR="00195951" w:rsidRPr="00195951">
              <w:rPr>
                <w:noProof/>
                <w:webHidden/>
              </w:rPr>
              <w:fldChar w:fldCharType="begin"/>
            </w:r>
            <w:r w:rsidR="00195951" w:rsidRPr="00195951">
              <w:rPr>
                <w:noProof/>
                <w:webHidden/>
              </w:rPr>
              <w:instrText xml:space="preserve"> PAGEREF _Toc207291690 \h </w:instrText>
            </w:r>
            <w:r w:rsidR="00195951" w:rsidRPr="00195951">
              <w:rPr>
                <w:noProof/>
                <w:webHidden/>
              </w:rPr>
            </w:r>
            <w:r w:rsidR="00195951" w:rsidRPr="00195951">
              <w:rPr>
                <w:noProof/>
                <w:webHidden/>
              </w:rPr>
              <w:fldChar w:fldCharType="separate"/>
            </w:r>
            <w:r w:rsidR="00434A1B">
              <w:rPr>
                <w:noProof/>
                <w:webHidden/>
              </w:rPr>
              <w:t>2</w:t>
            </w:r>
            <w:r w:rsidR="00195951" w:rsidRPr="00195951">
              <w:rPr>
                <w:noProof/>
                <w:webHidden/>
              </w:rPr>
              <w:fldChar w:fldCharType="end"/>
            </w:r>
          </w:hyperlink>
        </w:p>
        <w:p w14:paraId="470E4FD2" w14:textId="12197298"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691" w:history="1">
            <w:r w:rsidRPr="00195951">
              <w:rPr>
                <w:rStyle w:val="Hipervnculo"/>
                <w:rFonts w:ascii="Palatino Linotype" w:eastAsia="Calibri" w:hAnsi="Palatino Linotype"/>
                <w:noProof/>
                <w:lang w:val="es-ES"/>
              </w:rPr>
              <w:t>I. Presentación de la solicitud de información</w:t>
            </w:r>
            <w:r w:rsidRPr="00195951">
              <w:rPr>
                <w:noProof/>
                <w:webHidden/>
              </w:rPr>
              <w:tab/>
            </w:r>
            <w:r w:rsidRPr="00195951">
              <w:rPr>
                <w:noProof/>
                <w:webHidden/>
              </w:rPr>
              <w:fldChar w:fldCharType="begin"/>
            </w:r>
            <w:r w:rsidRPr="00195951">
              <w:rPr>
                <w:noProof/>
                <w:webHidden/>
              </w:rPr>
              <w:instrText xml:space="preserve"> PAGEREF _Toc207291691 \h </w:instrText>
            </w:r>
            <w:r w:rsidRPr="00195951">
              <w:rPr>
                <w:noProof/>
                <w:webHidden/>
              </w:rPr>
            </w:r>
            <w:r w:rsidRPr="00195951">
              <w:rPr>
                <w:noProof/>
                <w:webHidden/>
              </w:rPr>
              <w:fldChar w:fldCharType="separate"/>
            </w:r>
            <w:r w:rsidR="00434A1B">
              <w:rPr>
                <w:noProof/>
                <w:webHidden/>
              </w:rPr>
              <w:t>2</w:t>
            </w:r>
            <w:r w:rsidRPr="00195951">
              <w:rPr>
                <w:noProof/>
                <w:webHidden/>
              </w:rPr>
              <w:fldChar w:fldCharType="end"/>
            </w:r>
          </w:hyperlink>
        </w:p>
        <w:p w14:paraId="0B18FDDD" w14:textId="4B08B2C8"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692" w:history="1">
            <w:r w:rsidRPr="00195951">
              <w:rPr>
                <w:rStyle w:val="Hipervnculo"/>
                <w:rFonts w:ascii="Palatino Linotype" w:eastAsia="Calibri" w:hAnsi="Palatino Linotype"/>
                <w:noProof/>
              </w:rPr>
              <w:t>II. Respuesta del Sujeto Obligado</w:t>
            </w:r>
            <w:r w:rsidRPr="00195951">
              <w:rPr>
                <w:noProof/>
                <w:webHidden/>
              </w:rPr>
              <w:tab/>
            </w:r>
            <w:r w:rsidRPr="00195951">
              <w:rPr>
                <w:noProof/>
                <w:webHidden/>
              </w:rPr>
              <w:fldChar w:fldCharType="begin"/>
            </w:r>
            <w:r w:rsidRPr="00195951">
              <w:rPr>
                <w:noProof/>
                <w:webHidden/>
              </w:rPr>
              <w:instrText xml:space="preserve"> PAGEREF _Toc207291692 \h </w:instrText>
            </w:r>
            <w:r w:rsidRPr="00195951">
              <w:rPr>
                <w:noProof/>
                <w:webHidden/>
              </w:rPr>
            </w:r>
            <w:r w:rsidRPr="00195951">
              <w:rPr>
                <w:noProof/>
                <w:webHidden/>
              </w:rPr>
              <w:fldChar w:fldCharType="separate"/>
            </w:r>
            <w:r w:rsidR="00434A1B">
              <w:rPr>
                <w:noProof/>
                <w:webHidden/>
              </w:rPr>
              <w:t>3</w:t>
            </w:r>
            <w:r w:rsidRPr="00195951">
              <w:rPr>
                <w:noProof/>
                <w:webHidden/>
              </w:rPr>
              <w:fldChar w:fldCharType="end"/>
            </w:r>
          </w:hyperlink>
        </w:p>
        <w:p w14:paraId="58CFC134" w14:textId="76D5F44A"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693" w:history="1">
            <w:r w:rsidRPr="00195951">
              <w:rPr>
                <w:rStyle w:val="Hipervnculo"/>
                <w:rFonts w:ascii="Palatino Linotype" w:eastAsia="Calibri" w:hAnsi="Palatino Linotype"/>
                <w:noProof/>
              </w:rPr>
              <w:t>III. Interposición del Recurso de Revisión</w:t>
            </w:r>
            <w:r w:rsidRPr="00195951">
              <w:rPr>
                <w:noProof/>
                <w:webHidden/>
              </w:rPr>
              <w:tab/>
            </w:r>
            <w:r w:rsidRPr="00195951">
              <w:rPr>
                <w:noProof/>
                <w:webHidden/>
              </w:rPr>
              <w:fldChar w:fldCharType="begin"/>
            </w:r>
            <w:r w:rsidRPr="00195951">
              <w:rPr>
                <w:noProof/>
                <w:webHidden/>
              </w:rPr>
              <w:instrText xml:space="preserve"> PAGEREF _Toc207291693 \h </w:instrText>
            </w:r>
            <w:r w:rsidRPr="00195951">
              <w:rPr>
                <w:noProof/>
                <w:webHidden/>
              </w:rPr>
            </w:r>
            <w:r w:rsidRPr="00195951">
              <w:rPr>
                <w:noProof/>
                <w:webHidden/>
              </w:rPr>
              <w:fldChar w:fldCharType="separate"/>
            </w:r>
            <w:r w:rsidR="00434A1B">
              <w:rPr>
                <w:noProof/>
                <w:webHidden/>
              </w:rPr>
              <w:t>4</w:t>
            </w:r>
            <w:r w:rsidRPr="00195951">
              <w:rPr>
                <w:noProof/>
                <w:webHidden/>
              </w:rPr>
              <w:fldChar w:fldCharType="end"/>
            </w:r>
          </w:hyperlink>
        </w:p>
        <w:p w14:paraId="3533D164" w14:textId="5577CB72"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694" w:history="1">
            <w:r w:rsidRPr="00195951">
              <w:rPr>
                <w:rStyle w:val="Hipervnculo"/>
                <w:rFonts w:ascii="Palatino Linotype" w:eastAsia="Calibri" w:hAnsi="Palatino Linotype"/>
                <w:noProof/>
              </w:rPr>
              <w:t xml:space="preserve">IV. </w:t>
            </w:r>
            <w:r w:rsidRPr="00195951">
              <w:rPr>
                <w:rStyle w:val="Hipervnculo"/>
                <w:rFonts w:ascii="Palatino Linotype" w:eastAsia="Batang" w:hAnsi="Palatino Linotype"/>
                <w:noProof/>
              </w:rPr>
              <w:t>Trámite del Recurso de Revisión</w:t>
            </w:r>
            <w:r w:rsidRPr="00195951">
              <w:rPr>
                <w:rStyle w:val="Hipervnculo"/>
                <w:rFonts w:ascii="Palatino Linotype" w:eastAsia="Calibri" w:hAnsi="Palatino Linotype"/>
                <w:noProof/>
              </w:rPr>
              <w:t xml:space="preserve"> </w:t>
            </w:r>
            <w:r w:rsidRPr="00195951">
              <w:rPr>
                <w:rStyle w:val="Hipervnculo"/>
                <w:rFonts w:ascii="Palatino Linotype" w:eastAsia="Batang" w:hAnsi="Palatino Linotype"/>
                <w:noProof/>
              </w:rPr>
              <w:t>ante este Instituto</w:t>
            </w:r>
            <w:r w:rsidRPr="00195951">
              <w:rPr>
                <w:noProof/>
                <w:webHidden/>
              </w:rPr>
              <w:tab/>
            </w:r>
            <w:r w:rsidRPr="00195951">
              <w:rPr>
                <w:noProof/>
                <w:webHidden/>
              </w:rPr>
              <w:fldChar w:fldCharType="begin"/>
            </w:r>
            <w:r w:rsidRPr="00195951">
              <w:rPr>
                <w:noProof/>
                <w:webHidden/>
              </w:rPr>
              <w:instrText xml:space="preserve"> PAGEREF _Toc207291694 \h </w:instrText>
            </w:r>
            <w:r w:rsidRPr="00195951">
              <w:rPr>
                <w:noProof/>
                <w:webHidden/>
              </w:rPr>
            </w:r>
            <w:r w:rsidRPr="00195951">
              <w:rPr>
                <w:noProof/>
                <w:webHidden/>
              </w:rPr>
              <w:fldChar w:fldCharType="separate"/>
            </w:r>
            <w:r w:rsidR="00434A1B">
              <w:rPr>
                <w:noProof/>
                <w:webHidden/>
              </w:rPr>
              <w:t>5</w:t>
            </w:r>
            <w:r w:rsidRPr="00195951">
              <w:rPr>
                <w:noProof/>
                <w:webHidden/>
              </w:rPr>
              <w:fldChar w:fldCharType="end"/>
            </w:r>
          </w:hyperlink>
        </w:p>
        <w:p w14:paraId="1FF4B994" w14:textId="67EA9EF2"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695" w:history="1">
            <w:r w:rsidRPr="00195951">
              <w:rPr>
                <w:rStyle w:val="Hipervnculo"/>
                <w:rFonts w:ascii="Palatino Linotype" w:hAnsi="Palatino Linotype"/>
                <w:noProof/>
              </w:rPr>
              <w:t>a) Turno del Medio de Impugnación.</w:t>
            </w:r>
            <w:r w:rsidRPr="00195951">
              <w:rPr>
                <w:noProof/>
                <w:webHidden/>
              </w:rPr>
              <w:tab/>
            </w:r>
            <w:r w:rsidRPr="00195951">
              <w:rPr>
                <w:noProof/>
                <w:webHidden/>
              </w:rPr>
              <w:fldChar w:fldCharType="begin"/>
            </w:r>
            <w:r w:rsidRPr="00195951">
              <w:rPr>
                <w:noProof/>
                <w:webHidden/>
              </w:rPr>
              <w:instrText xml:space="preserve"> PAGEREF _Toc207291695 \h </w:instrText>
            </w:r>
            <w:r w:rsidRPr="00195951">
              <w:rPr>
                <w:noProof/>
                <w:webHidden/>
              </w:rPr>
            </w:r>
            <w:r w:rsidRPr="00195951">
              <w:rPr>
                <w:noProof/>
                <w:webHidden/>
              </w:rPr>
              <w:fldChar w:fldCharType="separate"/>
            </w:r>
            <w:r w:rsidR="00434A1B">
              <w:rPr>
                <w:noProof/>
                <w:webHidden/>
              </w:rPr>
              <w:t>5</w:t>
            </w:r>
            <w:r w:rsidRPr="00195951">
              <w:rPr>
                <w:noProof/>
                <w:webHidden/>
              </w:rPr>
              <w:fldChar w:fldCharType="end"/>
            </w:r>
          </w:hyperlink>
        </w:p>
        <w:p w14:paraId="0A802ADA" w14:textId="7A58A4AC"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696" w:history="1">
            <w:r w:rsidRPr="00195951">
              <w:rPr>
                <w:rStyle w:val="Hipervnculo"/>
                <w:rFonts w:ascii="Palatino Linotype" w:hAnsi="Palatino Linotype"/>
                <w:noProof/>
              </w:rPr>
              <w:t>b) Admisión del Recurso de Revisión.</w:t>
            </w:r>
            <w:r w:rsidRPr="00195951">
              <w:rPr>
                <w:noProof/>
                <w:webHidden/>
              </w:rPr>
              <w:tab/>
            </w:r>
            <w:r w:rsidRPr="00195951">
              <w:rPr>
                <w:noProof/>
                <w:webHidden/>
              </w:rPr>
              <w:fldChar w:fldCharType="begin"/>
            </w:r>
            <w:r w:rsidRPr="00195951">
              <w:rPr>
                <w:noProof/>
                <w:webHidden/>
              </w:rPr>
              <w:instrText xml:space="preserve"> PAGEREF _Toc207291696 \h </w:instrText>
            </w:r>
            <w:r w:rsidRPr="00195951">
              <w:rPr>
                <w:noProof/>
                <w:webHidden/>
              </w:rPr>
            </w:r>
            <w:r w:rsidRPr="00195951">
              <w:rPr>
                <w:noProof/>
                <w:webHidden/>
              </w:rPr>
              <w:fldChar w:fldCharType="separate"/>
            </w:r>
            <w:r w:rsidR="00434A1B">
              <w:rPr>
                <w:noProof/>
                <w:webHidden/>
              </w:rPr>
              <w:t>5</w:t>
            </w:r>
            <w:r w:rsidRPr="00195951">
              <w:rPr>
                <w:noProof/>
                <w:webHidden/>
              </w:rPr>
              <w:fldChar w:fldCharType="end"/>
            </w:r>
          </w:hyperlink>
        </w:p>
        <w:p w14:paraId="71F896A1" w14:textId="167621E0"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697" w:history="1">
            <w:r w:rsidRPr="00195951">
              <w:rPr>
                <w:rStyle w:val="Hipervnculo"/>
                <w:rFonts w:ascii="Palatino Linotype" w:hAnsi="Palatino Linotype"/>
                <w:noProof/>
              </w:rPr>
              <w:t>c) Informe Justificado o Manifestaciones.</w:t>
            </w:r>
            <w:r w:rsidRPr="00195951">
              <w:rPr>
                <w:noProof/>
                <w:webHidden/>
              </w:rPr>
              <w:tab/>
            </w:r>
            <w:r w:rsidRPr="00195951">
              <w:rPr>
                <w:noProof/>
                <w:webHidden/>
              </w:rPr>
              <w:fldChar w:fldCharType="begin"/>
            </w:r>
            <w:r w:rsidRPr="00195951">
              <w:rPr>
                <w:noProof/>
                <w:webHidden/>
              </w:rPr>
              <w:instrText xml:space="preserve"> PAGEREF _Toc207291697 \h </w:instrText>
            </w:r>
            <w:r w:rsidRPr="00195951">
              <w:rPr>
                <w:noProof/>
                <w:webHidden/>
              </w:rPr>
            </w:r>
            <w:r w:rsidRPr="00195951">
              <w:rPr>
                <w:noProof/>
                <w:webHidden/>
              </w:rPr>
              <w:fldChar w:fldCharType="separate"/>
            </w:r>
            <w:r w:rsidR="00434A1B">
              <w:rPr>
                <w:noProof/>
                <w:webHidden/>
              </w:rPr>
              <w:t>5</w:t>
            </w:r>
            <w:r w:rsidRPr="00195951">
              <w:rPr>
                <w:noProof/>
                <w:webHidden/>
              </w:rPr>
              <w:fldChar w:fldCharType="end"/>
            </w:r>
          </w:hyperlink>
        </w:p>
        <w:p w14:paraId="68B7897C" w14:textId="55054DC4"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698" w:history="1">
            <w:r w:rsidRPr="00195951">
              <w:rPr>
                <w:rStyle w:val="Hipervnculo"/>
                <w:rFonts w:ascii="Palatino Linotype" w:hAnsi="Palatino Linotype"/>
                <w:bCs/>
                <w:noProof/>
              </w:rPr>
              <w:t>e) Cierre de instrucción.</w:t>
            </w:r>
            <w:r w:rsidRPr="00195951">
              <w:rPr>
                <w:noProof/>
                <w:webHidden/>
              </w:rPr>
              <w:tab/>
            </w:r>
            <w:r w:rsidRPr="00195951">
              <w:rPr>
                <w:noProof/>
                <w:webHidden/>
              </w:rPr>
              <w:fldChar w:fldCharType="begin"/>
            </w:r>
            <w:r w:rsidRPr="00195951">
              <w:rPr>
                <w:noProof/>
                <w:webHidden/>
              </w:rPr>
              <w:instrText xml:space="preserve"> PAGEREF _Toc207291698 \h </w:instrText>
            </w:r>
            <w:r w:rsidRPr="00195951">
              <w:rPr>
                <w:noProof/>
                <w:webHidden/>
              </w:rPr>
            </w:r>
            <w:r w:rsidRPr="00195951">
              <w:rPr>
                <w:noProof/>
                <w:webHidden/>
              </w:rPr>
              <w:fldChar w:fldCharType="separate"/>
            </w:r>
            <w:r w:rsidR="00434A1B">
              <w:rPr>
                <w:noProof/>
                <w:webHidden/>
              </w:rPr>
              <w:t>6</w:t>
            </w:r>
            <w:r w:rsidRPr="00195951">
              <w:rPr>
                <w:noProof/>
                <w:webHidden/>
              </w:rPr>
              <w:fldChar w:fldCharType="end"/>
            </w:r>
          </w:hyperlink>
        </w:p>
        <w:p w14:paraId="64224292" w14:textId="5DEBAA00" w:rsidR="00195951" w:rsidRPr="00195951" w:rsidRDefault="00195951">
          <w:pPr>
            <w:pStyle w:val="TDC1"/>
            <w:rPr>
              <w:rFonts w:asciiTheme="minorHAnsi" w:eastAsiaTheme="minorEastAsia" w:hAnsiTheme="minorHAnsi" w:cstheme="minorBidi"/>
              <w:noProof/>
              <w:sz w:val="22"/>
              <w:szCs w:val="22"/>
              <w:lang w:eastAsia="es-MX"/>
            </w:rPr>
          </w:pPr>
          <w:hyperlink w:anchor="_Toc207291699" w:history="1">
            <w:r w:rsidRPr="00195951">
              <w:rPr>
                <w:rStyle w:val="Hipervnculo"/>
                <w:rFonts w:ascii="Palatino Linotype" w:hAnsi="Palatino Linotype"/>
                <w:noProof/>
                <w:lang w:val="es-ES"/>
              </w:rPr>
              <w:t>C O N S I D E R A N D O S</w:t>
            </w:r>
            <w:r w:rsidRPr="00195951">
              <w:rPr>
                <w:noProof/>
                <w:webHidden/>
              </w:rPr>
              <w:tab/>
            </w:r>
            <w:r w:rsidRPr="00195951">
              <w:rPr>
                <w:noProof/>
                <w:webHidden/>
              </w:rPr>
              <w:fldChar w:fldCharType="begin"/>
            </w:r>
            <w:r w:rsidRPr="00195951">
              <w:rPr>
                <w:noProof/>
                <w:webHidden/>
              </w:rPr>
              <w:instrText xml:space="preserve"> PAGEREF _Toc207291699 \h </w:instrText>
            </w:r>
            <w:r w:rsidRPr="00195951">
              <w:rPr>
                <w:noProof/>
                <w:webHidden/>
              </w:rPr>
            </w:r>
            <w:r w:rsidRPr="00195951">
              <w:rPr>
                <w:noProof/>
                <w:webHidden/>
              </w:rPr>
              <w:fldChar w:fldCharType="separate"/>
            </w:r>
            <w:r w:rsidR="00434A1B">
              <w:rPr>
                <w:noProof/>
                <w:webHidden/>
              </w:rPr>
              <w:t>6</w:t>
            </w:r>
            <w:r w:rsidRPr="00195951">
              <w:rPr>
                <w:noProof/>
                <w:webHidden/>
              </w:rPr>
              <w:fldChar w:fldCharType="end"/>
            </w:r>
          </w:hyperlink>
        </w:p>
        <w:p w14:paraId="1160C3CB" w14:textId="697E22EB"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700" w:history="1">
            <w:r w:rsidRPr="00195951">
              <w:rPr>
                <w:rStyle w:val="Hipervnculo"/>
                <w:rFonts w:ascii="Palatino Linotype" w:eastAsia="Calibri" w:hAnsi="Palatino Linotype"/>
                <w:noProof/>
                <w:lang w:val="es-ES" w:eastAsia="es-MX"/>
              </w:rPr>
              <w:t xml:space="preserve">PRIMERO. </w:t>
            </w:r>
            <w:r w:rsidRPr="00195951">
              <w:rPr>
                <w:rStyle w:val="Hipervnculo"/>
                <w:rFonts w:ascii="Palatino Linotype" w:hAnsi="Palatino Linotype"/>
                <w:noProof/>
                <w:lang w:val="es-ES"/>
              </w:rPr>
              <w:t>Competencia</w:t>
            </w:r>
            <w:r w:rsidRPr="00195951">
              <w:rPr>
                <w:noProof/>
                <w:webHidden/>
              </w:rPr>
              <w:tab/>
            </w:r>
            <w:r w:rsidRPr="00195951">
              <w:rPr>
                <w:noProof/>
                <w:webHidden/>
              </w:rPr>
              <w:fldChar w:fldCharType="begin"/>
            </w:r>
            <w:r w:rsidRPr="00195951">
              <w:rPr>
                <w:noProof/>
                <w:webHidden/>
              </w:rPr>
              <w:instrText xml:space="preserve"> PAGEREF _Toc207291700 \h </w:instrText>
            </w:r>
            <w:r w:rsidRPr="00195951">
              <w:rPr>
                <w:noProof/>
                <w:webHidden/>
              </w:rPr>
            </w:r>
            <w:r w:rsidRPr="00195951">
              <w:rPr>
                <w:noProof/>
                <w:webHidden/>
              </w:rPr>
              <w:fldChar w:fldCharType="separate"/>
            </w:r>
            <w:r w:rsidR="00434A1B">
              <w:rPr>
                <w:noProof/>
                <w:webHidden/>
              </w:rPr>
              <w:t>6</w:t>
            </w:r>
            <w:r w:rsidRPr="00195951">
              <w:rPr>
                <w:noProof/>
                <w:webHidden/>
              </w:rPr>
              <w:fldChar w:fldCharType="end"/>
            </w:r>
          </w:hyperlink>
        </w:p>
        <w:p w14:paraId="4843F3AD" w14:textId="73FF3110"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701" w:history="1">
            <w:r w:rsidRPr="00195951">
              <w:rPr>
                <w:rStyle w:val="Hipervnculo"/>
                <w:rFonts w:ascii="Palatino Linotype" w:eastAsia="Calibri" w:hAnsi="Palatino Linotype"/>
                <w:noProof/>
                <w:lang w:val="es-ES" w:eastAsia="es-MX"/>
              </w:rPr>
              <w:t xml:space="preserve">SEGUNDO. </w:t>
            </w:r>
            <w:r w:rsidRPr="00195951">
              <w:rPr>
                <w:rStyle w:val="Hipervnculo"/>
                <w:rFonts w:ascii="Palatino Linotype" w:hAnsi="Palatino Linotype"/>
                <w:noProof/>
                <w:lang w:val="es-ES"/>
              </w:rPr>
              <w:t>Causales de improcedencia y sobreseimiento</w:t>
            </w:r>
            <w:r w:rsidRPr="00195951">
              <w:rPr>
                <w:noProof/>
                <w:webHidden/>
              </w:rPr>
              <w:tab/>
            </w:r>
            <w:r w:rsidRPr="00195951">
              <w:rPr>
                <w:noProof/>
                <w:webHidden/>
              </w:rPr>
              <w:fldChar w:fldCharType="begin"/>
            </w:r>
            <w:r w:rsidRPr="00195951">
              <w:rPr>
                <w:noProof/>
                <w:webHidden/>
              </w:rPr>
              <w:instrText xml:space="preserve"> PAGEREF _Toc207291701 \h </w:instrText>
            </w:r>
            <w:r w:rsidRPr="00195951">
              <w:rPr>
                <w:noProof/>
                <w:webHidden/>
              </w:rPr>
            </w:r>
            <w:r w:rsidRPr="00195951">
              <w:rPr>
                <w:noProof/>
                <w:webHidden/>
              </w:rPr>
              <w:fldChar w:fldCharType="separate"/>
            </w:r>
            <w:r w:rsidR="00434A1B">
              <w:rPr>
                <w:noProof/>
                <w:webHidden/>
              </w:rPr>
              <w:t>7</w:t>
            </w:r>
            <w:r w:rsidRPr="00195951">
              <w:rPr>
                <w:noProof/>
                <w:webHidden/>
              </w:rPr>
              <w:fldChar w:fldCharType="end"/>
            </w:r>
          </w:hyperlink>
        </w:p>
        <w:p w14:paraId="71E7FEC6" w14:textId="43034A3C"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702" w:history="1">
            <w:r w:rsidRPr="00195951">
              <w:rPr>
                <w:rStyle w:val="Hipervnculo"/>
                <w:rFonts w:ascii="Palatino Linotype" w:hAnsi="Palatino Linotype"/>
                <w:noProof/>
                <w:lang w:val="es-ES"/>
              </w:rPr>
              <w:t>TERCERO. Determinación de la Controversia</w:t>
            </w:r>
            <w:r w:rsidRPr="00195951">
              <w:rPr>
                <w:noProof/>
                <w:webHidden/>
              </w:rPr>
              <w:tab/>
            </w:r>
            <w:r w:rsidRPr="00195951">
              <w:rPr>
                <w:noProof/>
                <w:webHidden/>
              </w:rPr>
              <w:fldChar w:fldCharType="begin"/>
            </w:r>
            <w:r w:rsidRPr="00195951">
              <w:rPr>
                <w:noProof/>
                <w:webHidden/>
              </w:rPr>
              <w:instrText xml:space="preserve"> PAGEREF _Toc207291702 \h </w:instrText>
            </w:r>
            <w:r w:rsidRPr="00195951">
              <w:rPr>
                <w:noProof/>
                <w:webHidden/>
              </w:rPr>
            </w:r>
            <w:r w:rsidRPr="00195951">
              <w:rPr>
                <w:noProof/>
                <w:webHidden/>
              </w:rPr>
              <w:fldChar w:fldCharType="separate"/>
            </w:r>
            <w:r w:rsidR="00434A1B">
              <w:rPr>
                <w:noProof/>
                <w:webHidden/>
              </w:rPr>
              <w:t>8</w:t>
            </w:r>
            <w:r w:rsidRPr="00195951">
              <w:rPr>
                <w:noProof/>
                <w:webHidden/>
              </w:rPr>
              <w:fldChar w:fldCharType="end"/>
            </w:r>
          </w:hyperlink>
        </w:p>
        <w:p w14:paraId="6C25E458" w14:textId="73B6770B"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703" w:history="1">
            <w:r w:rsidRPr="00195951">
              <w:rPr>
                <w:rStyle w:val="Hipervnculo"/>
                <w:rFonts w:ascii="Palatino Linotype" w:hAnsi="Palatino Linotype"/>
                <w:noProof/>
                <w:lang w:val="es-ES"/>
              </w:rPr>
              <w:t xml:space="preserve">CUARTO. </w:t>
            </w:r>
            <w:r w:rsidRPr="00195951">
              <w:rPr>
                <w:rStyle w:val="Hipervnculo"/>
                <w:rFonts w:ascii="Palatino Linotype" w:hAnsi="Palatino Linotype"/>
                <w:noProof/>
              </w:rPr>
              <w:t>Marco normativo aplicable en materia de transparencia y acceso a la información pública</w:t>
            </w:r>
            <w:r w:rsidRPr="00195951">
              <w:rPr>
                <w:noProof/>
                <w:webHidden/>
              </w:rPr>
              <w:tab/>
            </w:r>
            <w:r w:rsidRPr="00195951">
              <w:rPr>
                <w:noProof/>
                <w:webHidden/>
              </w:rPr>
              <w:fldChar w:fldCharType="begin"/>
            </w:r>
            <w:r w:rsidRPr="00195951">
              <w:rPr>
                <w:noProof/>
                <w:webHidden/>
              </w:rPr>
              <w:instrText xml:space="preserve"> PAGEREF _Toc207291703 \h </w:instrText>
            </w:r>
            <w:r w:rsidRPr="00195951">
              <w:rPr>
                <w:noProof/>
                <w:webHidden/>
              </w:rPr>
            </w:r>
            <w:r w:rsidRPr="00195951">
              <w:rPr>
                <w:noProof/>
                <w:webHidden/>
              </w:rPr>
              <w:fldChar w:fldCharType="separate"/>
            </w:r>
            <w:r w:rsidR="00434A1B">
              <w:rPr>
                <w:noProof/>
                <w:webHidden/>
              </w:rPr>
              <w:t>9</w:t>
            </w:r>
            <w:r w:rsidRPr="00195951">
              <w:rPr>
                <w:noProof/>
                <w:webHidden/>
              </w:rPr>
              <w:fldChar w:fldCharType="end"/>
            </w:r>
          </w:hyperlink>
        </w:p>
        <w:p w14:paraId="04B5EBE6" w14:textId="755CF0F1"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704" w:history="1">
            <w:r w:rsidRPr="00195951">
              <w:rPr>
                <w:rStyle w:val="Hipervnculo"/>
                <w:rFonts w:ascii="Palatino Linotype" w:hAnsi="Palatino Linotype"/>
                <w:noProof/>
                <w:lang w:val="es-ES"/>
              </w:rPr>
              <w:t>QUINTO. Estudio de Fondo</w:t>
            </w:r>
            <w:r w:rsidRPr="00195951">
              <w:rPr>
                <w:noProof/>
                <w:webHidden/>
              </w:rPr>
              <w:tab/>
            </w:r>
            <w:r w:rsidRPr="00195951">
              <w:rPr>
                <w:noProof/>
                <w:webHidden/>
              </w:rPr>
              <w:fldChar w:fldCharType="begin"/>
            </w:r>
            <w:r w:rsidRPr="00195951">
              <w:rPr>
                <w:noProof/>
                <w:webHidden/>
              </w:rPr>
              <w:instrText xml:space="preserve"> PAGEREF _Toc207291704 \h </w:instrText>
            </w:r>
            <w:r w:rsidRPr="00195951">
              <w:rPr>
                <w:noProof/>
                <w:webHidden/>
              </w:rPr>
            </w:r>
            <w:r w:rsidRPr="00195951">
              <w:rPr>
                <w:noProof/>
                <w:webHidden/>
              </w:rPr>
              <w:fldChar w:fldCharType="separate"/>
            </w:r>
            <w:r w:rsidR="00434A1B">
              <w:rPr>
                <w:noProof/>
                <w:webHidden/>
              </w:rPr>
              <w:t>11</w:t>
            </w:r>
            <w:r w:rsidRPr="00195951">
              <w:rPr>
                <w:noProof/>
                <w:webHidden/>
              </w:rPr>
              <w:fldChar w:fldCharType="end"/>
            </w:r>
          </w:hyperlink>
        </w:p>
        <w:p w14:paraId="522787A2" w14:textId="1AD38724" w:rsidR="00195951" w:rsidRPr="00195951" w:rsidRDefault="00195951">
          <w:pPr>
            <w:pStyle w:val="TDC2"/>
            <w:tabs>
              <w:tab w:val="right" w:leader="dot" w:pos="8921"/>
            </w:tabs>
            <w:rPr>
              <w:rFonts w:asciiTheme="minorHAnsi" w:eastAsiaTheme="minorEastAsia" w:hAnsiTheme="minorHAnsi" w:cstheme="minorBidi"/>
              <w:noProof/>
              <w:sz w:val="22"/>
              <w:szCs w:val="22"/>
              <w:lang w:eastAsia="es-MX"/>
            </w:rPr>
          </w:pPr>
          <w:hyperlink w:anchor="_Toc207291705" w:history="1">
            <w:r w:rsidRPr="00195951">
              <w:rPr>
                <w:rStyle w:val="Hipervnculo"/>
                <w:rFonts w:ascii="Palatino Linotype" w:eastAsia="Calibri" w:hAnsi="Palatino Linotype"/>
                <w:noProof/>
              </w:rPr>
              <w:t>SEXTO. Decisión.</w:t>
            </w:r>
            <w:r w:rsidRPr="00195951">
              <w:rPr>
                <w:noProof/>
                <w:webHidden/>
              </w:rPr>
              <w:tab/>
            </w:r>
            <w:r w:rsidRPr="00195951">
              <w:rPr>
                <w:noProof/>
                <w:webHidden/>
              </w:rPr>
              <w:fldChar w:fldCharType="begin"/>
            </w:r>
            <w:r w:rsidRPr="00195951">
              <w:rPr>
                <w:noProof/>
                <w:webHidden/>
              </w:rPr>
              <w:instrText xml:space="preserve"> PAGEREF _Toc207291705 \h </w:instrText>
            </w:r>
            <w:r w:rsidRPr="00195951">
              <w:rPr>
                <w:noProof/>
                <w:webHidden/>
              </w:rPr>
            </w:r>
            <w:r w:rsidRPr="00195951">
              <w:rPr>
                <w:noProof/>
                <w:webHidden/>
              </w:rPr>
              <w:fldChar w:fldCharType="separate"/>
            </w:r>
            <w:r w:rsidR="00434A1B">
              <w:rPr>
                <w:noProof/>
                <w:webHidden/>
              </w:rPr>
              <w:t>27</w:t>
            </w:r>
            <w:r w:rsidRPr="00195951">
              <w:rPr>
                <w:noProof/>
                <w:webHidden/>
              </w:rPr>
              <w:fldChar w:fldCharType="end"/>
            </w:r>
          </w:hyperlink>
        </w:p>
        <w:p w14:paraId="518B2AB7" w14:textId="13F670E8" w:rsidR="00195951" w:rsidRPr="00195951" w:rsidRDefault="00195951">
          <w:pPr>
            <w:pStyle w:val="TDC1"/>
            <w:rPr>
              <w:rFonts w:asciiTheme="minorHAnsi" w:eastAsiaTheme="minorEastAsia" w:hAnsiTheme="minorHAnsi" w:cstheme="minorBidi"/>
              <w:noProof/>
              <w:sz w:val="22"/>
              <w:szCs w:val="22"/>
              <w:lang w:eastAsia="es-MX"/>
            </w:rPr>
          </w:pPr>
          <w:hyperlink w:anchor="_Toc207291706" w:history="1">
            <w:r w:rsidRPr="00195951">
              <w:rPr>
                <w:rStyle w:val="Hipervnculo"/>
                <w:rFonts w:ascii="Palatino Linotype" w:eastAsia="Calibri" w:hAnsi="Palatino Linotype"/>
                <w:noProof/>
              </w:rPr>
              <w:t>R E S U E L V E:</w:t>
            </w:r>
            <w:r w:rsidRPr="00195951">
              <w:rPr>
                <w:noProof/>
                <w:webHidden/>
              </w:rPr>
              <w:tab/>
            </w:r>
            <w:r w:rsidRPr="00195951">
              <w:rPr>
                <w:noProof/>
                <w:webHidden/>
              </w:rPr>
              <w:fldChar w:fldCharType="begin"/>
            </w:r>
            <w:r w:rsidRPr="00195951">
              <w:rPr>
                <w:noProof/>
                <w:webHidden/>
              </w:rPr>
              <w:instrText xml:space="preserve"> PAGEREF _Toc207291706 \h </w:instrText>
            </w:r>
            <w:r w:rsidRPr="00195951">
              <w:rPr>
                <w:noProof/>
                <w:webHidden/>
              </w:rPr>
            </w:r>
            <w:r w:rsidRPr="00195951">
              <w:rPr>
                <w:noProof/>
                <w:webHidden/>
              </w:rPr>
              <w:fldChar w:fldCharType="separate"/>
            </w:r>
            <w:r w:rsidR="00434A1B">
              <w:rPr>
                <w:noProof/>
                <w:webHidden/>
              </w:rPr>
              <w:t>27</w:t>
            </w:r>
            <w:r w:rsidRPr="00195951">
              <w:rPr>
                <w:noProof/>
                <w:webHidden/>
              </w:rPr>
              <w:fldChar w:fldCharType="end"/>
            </w:r>
          </w:hyperlink>
        </w:p>
        <w:p w14:paraId="39113C74" w14:textId="768E5564" w:rsidR="00076681" w:rsidRDefault="00076681" w:rsidP="004B6629">
          <w:pPr>
            <w:spacing w:after="0" w:line="360" w:lineRule="auto"/>
          </w:pPr>
          <w:r w:rsidRPr="00195951">
            <w:rPr>
              <w:lang w:val="es-ES"/>
            </w:rPr>
            <w:fldChar w:fldCharType="end"/>
          </w:r>
        </w:p>
      </w:sdtContent>
    </w:sdt>
    <w:p w14:paraId="075FABE6" w14:textId="77777777" w:rsidR="00F063F0" w:rsidRDefault="00F063F0" w:rsidP="005032B4">
      <w:pPr>
        <w:tabs>
          <w:tab w:val="left" w:pos="8931"/>
        </w:tabs>
        <w:spacing w:after="0" w:line="360" w:lineRule="auto"/>
        <w:contextualSpacing/>
        <w:rPr>
          <w:rFonts w:cs="Tahoma"/>
          <w:bCs/>
          <w:color w:val="FF0000"/>
        </w:rPr>
      </w:pPr>
    </w:p>
    <w:p w14:paraId="15E4A7DB" w14:textId="77777777" w:rsidR="009A627C" w:rsidRDefault="009A627C" w:rsidP="005032B4">
      <w:pPr>
        <w:tabs>
          <w:tab w:val="left" w:pos="8931"/>
        </w:tabs>
        <w:spacing w:after="0" w:line="360" w:lineRule="auto"/>
        <w:contextualSpacing/>
        <w:rPr>
          <w:rFonts w:cs="Tahoma"/>
          <w:bCs/>
          <w:color w:val="FF0000"/>
        </w:rPr>
      </w:pPr>
    </w:p>
    <w:p w14:paraId="2B180D5E" w14:textId="77777777" w:rsidR="00076681" w:rsidRDefault="00076681" w:rsidP="005032B4">
      <w:pPr>
        <w:tabs>
          <w:tab w:val="left" w:pos="8931"/>
        </w:tabs>
        <w:spacing w:after="0" w:line="360" w:lineRule="auto"/>
        <w:contextualSpacing/>
        <w:rPr>
          <w:rFonts w:cs="Tahoma"/>
          <w:bCs/>
          <w:color w:val="auto"/>
        </w:rPr>
      </w:pPr>
    </w:p>
    <w:p w14:paraId="5E65C5A6" w14:textId="77777777" w:rsidR="00647DF2" w:rsidRDefault="00647DF2" w:rsidP="005032B4">
      <w:pPr>
        <w:tabs>
          <w:tab w:val="left" w:pos="8931"/>
        </w:tabs>
        <w:spacing w:after="0" w:line="360" w:lineRule="auto"/>
        <w:contextualSpacing/>
        <w:rPr>
          <w:rFonts w:cs="Tahoma"/>
          <w:bCs/>
          <w:color w:val="auto"/>
        </w:rPr>
      </w:pPr>
    </w:p>
    <w:p w14:paraId="4FE212F4" w14:textId="77777777" w:rsidR="00E852DB" w:rsidRDefault="00E852DB" w:rsidP="005032B4">
      <w:pPr>
        <w:tabs>
          <w:tab w:val="left" w:pos="8931"/>
        </w:tabs>
        <w:spacing w:after="0" w:line="360" w:lineRule="auto"/>
        <w:contextualSpacing/>
        <w:rPr>
          <w:rFonts w:cs="Tahoma"/>
          <w:bCs/>
          <w:color w:val="auto"/>
        </w:rPr>
      </w:pPr>
    </w:p>
    <w:p w14:paraId="5F092AD2" w14:textId="77777777" w:rsidR="00E852DB" w:rsidRDefault="00E852DB" w:rsidP="005032B4">
      <w:pPr>
        <w:tabs>
          <w:tab w:val="left" w:pos="8931"/>
        </w:tabs>
        <w:spacing w:after="0" w:line="360" w:lineRule="auto"/>
        <w:contextualSpacing/>
        <w:rPr>
          <w:rFonts w:cs="Tahoma"/>
          <w:bCs/>
          <w:color w:val="auto"/>
        </w:rPr>
      </w:pPr>
    </w:p>
    <w:p w14:paraId="3530C0FA" w14:textId="44CFD19E" w:rsidR="00DB3DC5" w:rsidRPr="009C0D40" w:rsidRDefault="00DB3DC5" w:rsidP="005032B4">
      <w:pPr>
        <w:tabs>
          <w:tab w:val="left" w:pos="8931"/>
        </w:tabs>
        <w:spacing w:after="0" w:line="360" w:lineRule="auto"/>
        <w:contextualSpacing/>
        <w:rPr>
          <w:rFonts w:eastAsia="Calibri" w:cs="Tahoma"/>
          <w:color w:val="auto"/>
          <w:lang w:val="es-ES"/>
        </w:rPr>
      </w:pPr>
      <w:r w:rsidRPr="009C0D40">
        <w:rPr>
          <w:rFonts w:cs="Tahoma"/>
          <w:bCs/>
          <w:color w:val="auto"/>
        </w:rPr>
        <w:t xml:space="preserve">Resolución del Pleno del Instituto de Transparencia, Acceso a la Información Pública y Protección de Datos Personales del Estado de México y Municipios, con domicilio en Metepec, </w:t>
      </w:r>
      <w:r w:rsidRPr="009C0D40">
        <w:rPr>
          <w:rFonts w:eastAsia="Calibri" w:cs="Tahoma"/>
          <w:color w:val="auto"/>
          <w:lang w:val="es-ES"/>
        </w:rPr>
        <w:t xml:space="preserve">Estado de México, de fecha </w:t>
      </w:r>
      <w:r w:rsidR="004B6629">
        <w:rPr>
          <w:rFonts w:eastAsia="Calibri" w:cs="Tahoma"/>
          <w:color w:val="auto"/>
          <w:lang w:val="es-ES"/>
        </w:rPr>
        <w:t>veintisiete</w:t>
      </w:r>
      <w:r w:rsidR="008E279B">
        <w:rPr>
          <w:rFonts w:eastAsia="Calibri" w:cs="Tahoma"/>
          <w:color w:val="auto"/>
          <w:lang w:val="es-ES"/>
        </w:rPr>
        <w:t xml:space="preserve"> de</w:t>
      </w:r>
      <w:r w:rsidR="000E631E">
        <w:rPr>
          <w:rFonts w:eastAsia="Calibri" w:cs="Tahoma"/>
          <w:color w:val="auto"/>
          <w:lang w:val="es-ES"/>
        </w:rPr>
        <w:t xml:space="preserve"> agosto</w:t>
      </w:r>
      <w:r w:rsidR="008E279B">
        <w:rPr>
          <w:rFonts w:eastAsia="Calibri" w:cs="Tahoma"/>
          <w:color w:val="auto"/>
          <w:lang w:val="es-ES"/>
        </w:rPr>
        <w:t xml:space="preserve"> dos mil veinticinco.</w:t>
      </w:r>
      <w:r w:rsidRPr="009C0D40">
        <w:rPr>
          <w:rFonts w:eastAsia="Calibri" w:cs="Tahoma"/>
          <w:color w:val="auto"/>
          <w:lang w:val="es-ES"/>
        </w:rPr>
        <w:t xml:space="preserve"> </w:t>
      </w:r>
    </w:p>
    <w:p w14:paraId="2A681408" w14:textId="1CE12C44" w:rsidR="00DB3DC5" w:rsidRPr="00C821DD" w:rsidRDefault="00455DCB" w:rsidP="005032B4">
      <w:pPr>
        <w:tabs>
          <w:tab w:val="left" w:pos="2340"/>
        </w:tabs>
        <w:spacing w:after="0" w:line="360" w:lineRule="auto"/>
        <w:contextualSpacing/>
        <w:rPr>
          <w:rFonts w:eastAsia="Calibri" w:cs="Tahoma"/>
          <w:b/>
          <w:bCs/>
          <w:color w:val="FF0000"/>
          <w:lang w:val="es-ES"/>
        </w:rPr>
      </w:pPr>
      <w:r>
        <w:rPr>
          <w:rFonts w:eastAsia="Calibri" w:cs="Tahoma"/>
          <w:b/>
          <w:bCs/>
          <w:color w:val="FF0000"/>
          <w:lang w:val="es-ES"/>
        </w:rPr>
        <w:tab/>
      </w:r>
    </w:p>
    <w:p w14:paraId="75D54F3E" w14:textId="0B2ED1DB" w:rsidR="00DB3DC5" w:rsidRPr="00200755" w:rsidRDefault="00DB3DC5" w:rsidP="005032B4">
      <w:pPr>
        <w:spacing w:after="0" w:line="360" w:lineRule="auto"/>
        <w:contextualSpacing/>
        <w:rPr>
          <w:rFonts w:eastAsia="Calibri" w:cs="Tahoma"/>
          <w:color w:val="auto"/>
        </w:rPr>
      </w:pPr>
      <w:r w:rsidRPr="007719F0">
        <w:rPr>
          <w:rFonts w:eastAsia="Calibri" w:cs="Tahoma"/>
          <w:b/>
          <w:bCs/>
          <w:color w:val="auto"/>
          <w:lang w:val="es-ES"/>
        </w:rPr>
        <w:t xml:space="preserve">VISTO </w:t>
      </w:r>
      <w:r w:rsidRPr="007719F0">
        <w:rPr>
          <w:rFonts w:eastAsia="Calibri" w:cs="Tahoma"/>
          <w:color w:val="auto"/>
          <w:lang w:val="es-ES"/>
        </w:rPr>
        <w:t>el expediente electrónico conformado con motivo d</w:t>
      </w:r>
      <w:r w:rsidR="00087796" w:rsidRPr="007719F0">
        <w:rPr>
          <w:rFonts w:eastAsia="Calibri" w:cs="Tahoma"/>
          <w:color w:val="auto"/>
          <w:lang w:val="es-ES"/>
        </w:rPr>
        <w:t>el</w:t>
      </w:r>
      <w:r w:rsidRPr="007719F0">
        <w:rPr>
          <w:rFonts w:eastAsia="Calibri" w:cs="Tahoma"/>
          <w:color w:val="auto"/>
          <w:lang w:val="es-ES"/>
        </w:rPr>
        <w:t xml:space="preserve"> Recurso de Revisión </w:t>
      </w:r>
      <w:r w:rsidR="00200755" w:rsidRPr="00DE392C">
        <w:rPr>
          <w:rFonts w:eastAsia="Calibri" w:cs="Tahoma"/>
          <w:b/>
          <w:bCs/>
          <w:color w:val="auto"/>
        </w:rPr>
        <w:t>0</w:t>
      </w:r>
      <w:r w:rsidR="00367135" w:rsidRPr="00DE392C">
        <w:rPr>
          <w:rFonts w:eastAsia="Calibri" w:cs="Tahoma"/>
          <w:b/>
          <w:bCs/>
          <w:color w:val="auto"/>
        </w:rPr>
        <w:t>514</w:t>
      </w:r>
      <w:r w:rsidR="00200755" w:rsidRPr="00DE392C">
        <w:rPr>
          <w:rFonts w:eastAsia="Calibri" w:cs="Tahoma"/>
          <w:b/>
          <w:bCs/>
          <w:color w:val="auto"/>
        </w:rPr>
        <w:t>6</w:t>
      </w:r>
      <w:r w:rsidR="00DE71A5" w:rsidRPr="00DE392C">
        <w:rPr>
          <w:rFonts w:eastAsia="Calibri" w:cs="Tahoma"/>
          <w:b/>
          <w:bCs/>
          <w:color w:val="auto"/>
        </w:rPr>
        <w:t>/INFOEM/IP/RR/2025</w:t>
      </w:r>
      <w:r w:rsidR="00043CDA" w:rsidRPr="00DE392C">
        <w:rPr>
          <w:rFonts w:eastAsia="Calibri" w:cs="Tahoma"/>
          <w:b/>
          <w:bCs/>
          <w:color w:val="auto"/>
        </w:rPr>
        <w:t>,</w:t>
      </w:r>
      <w:r w:rsidRPr="007719F0">
        <w:rPr>
          <w:rFonts w:cs="Tahoma"/>
          <w:color w:val="auto"/>
        </w:rPr>
        <w:t xml:space="preserve"> en contra de la respuesta del Sujeto Obligado, </w:t>
      </w:r>
      <w:r w:rsidR="00200755" w:rsidRPr="00DE392C">
        <w:rPr>
          <w:b/>
          <w:color w:val="000000"/>
        </w:rPr>
        <w:t xml:space="preserve">Ayuntamiento de </w:t>
      </w:r>
      <w:r w:rsidR="00367135" w:rsidRPr="00DE392C">
        <w:rPr>
          <w:b/>
          <w:color w:val="000000"/>
        </w:rPr>
        <w:t>Zinacantepec</w:t>
      </w:r>
      <w:r w:rsidRPr="00DE392C">
        <w:rPr>
          <w:rFonts w:cs="Tahoma"/>
          <w:b/>
          <w:color w:val="auto"/>
        </w:rPr>
        <w:t xml:space="preserve">, </w:t>
      </w:r>
      <w:r w:rsidRPr="007719F0">
        <w:rPr>
          <w:rFonts w:cs="Tahoma"/>
          <w:color w:val="auto"/>
        </w:rPr>
        <w:t xml:space="preserve">a la solicitud de acceso a la información </w:t>
      </w:r>
      <w:r w:rsidR="002C3558">
        <w:rPr>
          <w:rFonts w:cs="Tahoma"/>
          <w:color w:val="auto"/>
        </w:rPr>
        <w:t xml:space="preserve">pública </w:t>
      </w:r>
      <w:r w:rsidR="00200755">
        <w:rPr>
          <w:rFonts w:eastAsia="Calibri" w:cs="Tahoma"/>
        </w:rPr>
        <w:t>00</w:t>
      </w:r>
      <w:r w:rsidR="00367135">
        <w:rPr>
          <w:rFonts w:eastAsia="Calibri" w:cs="Tahoma"/>
        </w:rPr>
        <w:t>199</w:t>
      </w:r>
      <w:r w:rsidR="00200755">
        <w:rPr>
          <w:rFonts w:eastAsia="Calibri" w:cs="Tahoma"/>
        </w:rPr>
        <w:t>/</w:t>
      </w:r>
      <w:r w:rsidR="00367135">
        <w:rPr>
          <w:rFonts w:eastAsia="Calibri" w:cs="Tahoma"/>
        </w:rPr>
        <w:t>ZINACANT</w:t>
      </w:r>
      <w:r w:rsidR="00200755">
        <w:rPr>
          <w:rFonts w:eastAsia="Calibri" w:cs="Tahoma"/>
        </w:rPr>
        <w:t xml:space="preserve">/IP/2025 </w:t>
      </w:r>
      <w:r w:rsidRPr="007719F0">
        <w:rPr>
          <w:rFonts w:cs="Tahoma"/>
          <w:color w:val="auto"/>
        </w:rPr>
        <w:t>se emite</w:t>
      </w:r>
      <w:r w:rsidRPr="007719F0">
        <w:rPr>
          <w:rFonts w:cs="Tahoma"/>
          <w:bCs/>
          <w:color w:val="auto"/>
        </w:rPr>
        <w:t xml:space="preserve"> la presente Resolución, con base en los Antecedentes y Considerandos que se exponen a continuación:</w:t>
      </w:r>
    </w:p>
    <w:p w14:paraId="134E03A6" w14:textId="73A9658C" w:rsidR="00DB3DC5" w:rsidRPr="00C821DD" w:rsidRDefault="00DB3DC5" w:rsidP="005032B4">
      <w:pPr>
        <w:tabs>
          <w:tab w:val="left" w:pos="1965"/>
        </w:tabs>
        <w:spacing w:after="0" w:line="360" w:lineRule="auto"/>
        <w:contextualSpacing/>
        <w:rPr>
          <w:rFonts w:eastAsia="Calibri" w:cs="Tahoma"/>
          <w:b/>
          <w:bCs/>
          <w:color w:val="FF0000"/>
          <w:lang w:val="es-ES"/>
        </w:rPr>
      </w:pPr>
    </w:p>
    <w:p w14:paraId="32EEB02D" w14:textId="734C012B" w:rsidR="00DB3DC5" w:rsidRPr="00A94CDA" w:rsidRDefault="00737CF6" w:rsidP="005032B4">
      <w:pPr>
        <w:pStyle w:val="Ttulo1"/>
        <w:spacing w:before="0" w:line="360" w:lineRule="auto"/>
        <w:jc w:val="center"/>
        <w:rPr>
          <w:rFonts w:ascii="Palatino Linotype" w:hAnsi="Palatino Linotype"/>
          <w:b/>
          <w:color w:val="000000" w:themeColor="text1"/>
          <w:sz w:val="22"/>
          <w:szCs w:val="22"/>
        </w:rPr>
      </w:pPr>
      <w:bookmarkStart w:id="0" w:name="_Toc207291690"/>
      <w:r w:rsidRPr="00A94CDA">
        <w:rPr>
          <w:rFonts w:ascii="Palatino Linotype" w:hAnsi="Palatino Linotype"/>
          <w:b/>
          <w:color w:val="000000" w:themeColor="text1"/>
          <w:sz w:val="22"/>
          <w:szCs w:val="22"/>
        </w:rPr>
        <w:t>A N T E C E D E N T E S</w:t>
      </w:r>
      <w:bookmarkEnd w:id="0"/>
    </w:p>
    <w:p w14:paraId="09E98305" w14:textId="77777777" w:rsidR="00DB3DC5" w:rsidRPr="00CB16D3" w:rsidRDefault="00DB3DC5" w:rsidP="005032B4">
      <w:pPr>
        <w:spacing w:after="0" w:line="360" w:lineRule="auto"/>
        <w:contextualSpacing/>
        <w:jc w:val="center"/>
        <w:rPr>
          <w:rFonts w:eastAsia="Calibri" w:cs="Tahoma"/>
          <w:b/>
          <w:bCs/>
          <w:color w:val="auto"/>
          <w:lang w:val="es-ES"/>
        </w:rPr>
      </w:pPr>
    </w:p>
    <w:p w14:paraId="5E541408" w14:textId="7E0BBF99" w:rsidR="00DB3DC5" w:rsidRPr="00076681" w:rsidRDefault="00DB3DC5" w:rsidP="005032B4">
      <w:pPr>
        <w:pStyle w:val="Ttulo2"/>
        <w:spacing w:before="0" w:line="360" w:lineRule="auto"/>
        <w:rPr>
          <w:rFonts w:ascii="Palatino Linotype" w:eastAsia="Calibri" w:hAnsi="Palatino Linotype"/>
          <w:b/>
          <w:color w:val="000000" w:themeColor="text1"/>
          <w:sz w:val="22"/>
          <w:szCs w:val="22"/>
          <w:lang w:val="es-ES"/>
        </w:rPr>
      </w:pPr>
      <w:bookmarkStart w:id="1" w:name="_Toc207291691"/>
      <w:r w:rsidRPr="00076681">
        <w:rPr>
          <w:rFonts w:ascii="Palatino Linotype" w:eastAsia="Calibri" w:hAnsi="Palatino Linotype"/>
          <w:b/>
          <w:color w:val="000000" w:themeColor="text1"/>
          <w:sz w:val="22"/>
          <w:szCs w:val="22"/>
          <w:lang w:val="es-ES"/>
        </w:rPr>
        <w:t>I. Presentación</w:t>
      </w:r>
      <w:r w:rsidR="00737CF6" w:rsidRPr="00076681">
        <w:rPr>
          <w:rFonts w:ascii="Palatino Linotype" w:eastAsia="Calibri" w:hAnsi="Palatino Linotype"/>
          <w:b/>
          <w:color w:val="000000" w:themeColor="text1"/>
          <w:sz w:val="22"/>
          <w:szCs w:val="22"/>
          <w:lang w:val="es-ES"/>
        </w:rPr>
        <w:t xml:space="preserve"> de la solicitud de información</w:t>
      </w:r>
      <w:bookmarkEnd w:id="1"/>
    </w:p>
    <w:p w14:paraId="5A91601B" w14:textId="77777777" w:rsidR="00DB3DC5" w:rsidRPr="00CB16D3" w:rsidRDefault="00DB3DC5" w:rsidP="005032B4">
      <w:pPr>
        <w:spacing w:after="0" w:line="360" w:lineRule="auto"/>
        <w:contextualSpacing/>
        <w:rPr>
          <w:rFonts w:eastAsia="Calibri" w:cs="Tahoma"/>
          <w:b/>
          <w:bCs/>
          <w:color w:val="auto"/>
          <w:lang w:val="es-ES"/>
        </w:rPr>
      </w:pPr>
    </w:p>
    <w:p w14:paraId="1620C68D" w14:textId="7F9F1322" w:rsidR="00DB3DC5" w:rsidRPr="00EA6588" w:rsidRDefault="00DB3DC5" w:rsidP="005032B4">
      <w:pPr>
        <w:spacing w:after="0" w:line="360" w:lineRule="auto"/>
        <w:contextualSpacing/>
        <w:rPr>
          <w:rFonts w:cs="Tahoma"/>
          <w:color w:val="auto"/>
        </w:rPr>
      </w:pPr>
      <w:r w:rsidRPr="00EA6588">
        <w:rPr>
          <w:rFonts w:eastAsia="Calibri" w:cs="Tahoma"/>
          <w:color w:val="auto"/>
          <w:lang w:val="es-ES"/>
        </w:rPr>
        <w:t xml:space="preserve">Con fecha </w:t>
      </w:r>
      <w:r w:rsidR="00367135">
        <w:rPr>
          <w:rFonts w:eastAsia="Calibri" w:cs="Tahoma"/>
          <w:color w:val="auto"/>
          <w:lang w:val="es-ES"/>
        </w:rPr>
        <w:t>tres de abril</w:t>
      </w:r>
      <w:r w:rsidR="00200755">
        <w:rPr>
          <w:rFonts w:eastAsia="Calibri" w:cs="Tahoma"/>
          <w:color w:val="auto"/>
          <w:lang w:val="es-ES"/>
        </w:rPr>
        <w:t xml:space="preserve"> </w:t>
      </w:r>
      <w:r w:rsidR="00EA276A">
        <w:rPr>
          <w:rFonts w:eastAsia="Calibri" w:cs="Tahoma"/>
          <w:color w:val="auto"/>
          <w:lang w:val="es-ES"/>
        </w:rPr>
        <w:t xml:space="preserve">de dos mil </w:t>
      </w:r>
      <w:r w:rsidR="00DE71A5">
        <w:rPr>
          <w:rFonts w:eastAsia="Calibri" w:cs="Tahoma"/>
          <w:color w:val="auto"/>
          <w:lang w:val="es-ES"/>
        </w:rPr>
        <w:t>veinticinco</w:t>
      </w:r>
      <w:r w:rsidRPr="00EA6588">
        <w:rPr>
          <w:rFonts w:eastAsia="Calibri" w:cs="Tahoma"/>
          <w:color w:val="auto"/>
          <w:lang w:val="es-ES"/>
        </w:rPr>
        <w:t xml:space="preserve">, </w:t>
      </w:r>
      <w:r w:rsidR="0046538F">
        <w:rPr>
          <w:rFonts w:eastAsia="Calibri" w:cs="Tahoma"/>
          <w:color w:val="auto"/>
          <w:lang w:val="es-ES"/>
        </w:rPr>
        <w:t>la persona Solicitante</w:t>
      </w:r>
      <w:r w:rsidRPr="00EA6588">
        <w:rPr>
          <w:rFonts w:eastAsia="Calibri" w:cs="Tahoma"/>
          <w:color w:val="auto"/>
          <w:lang w:val="es-ES"/>
        </w:rPr>
        <w:t xml:space="preserve"> presentó </w:t>
      </w:r>
      <w:r w:rsidR="0046538F">
        <w:rPr>
          <w:rFonts w:eastAsia="Calibri" w:cs="Tahoma"/>
          <w:color w:val="auto"/>
          <w:lang w:val="es-ES"/>
        </w:rPr>
        <w:t>un requerimiento</w:t>
      </w:r>
      <w:r w:rsidR="00087796" w:rsidRPr="00EA6588">
        <w:rPr>
          <w:rFonts w:eastAsia="Calibri" w:cs="Tahoma"/>
          <w:color w:val="auto"/>
          <w:lang w:val="es-ES"/>
        </w:rPr>
        <w:t xml:space="preserve"> </w:t>
      </w:r>
      <w:r w:rsidRPr="00EA6588">
        <w:rPr>
          <w:rFonts w:eastAsia="Calibri" w:cs="Tahoma"/>
          <w:color w:val="auto"/>
          <w:lang w:val="es-ES"/>
        </w:rPr>
        <w:t xml:space="preserve">de acceso a la información, a través del Sistema de Acceso a la Información Mexiquense (SAIMEX), ante el </w:t>
      </w:r>
      <w:r w:rsidR="00200755" w:rsidRPr="007F149A">
        <w:rPr>
          <w:bCs/>
          <w:color w:val="000000"/>
        </w:rPr>
        <w:t xml:space="preserve">Ayuntamiento de </w:t>
      </w:r>
      <w:r w:rsidR="00367135">
        <w:rPr>
          <w:bCs/>
          <w:color w:val="000000"/>
        </w:rPr>
        <w:t>Zinacantepec</w:t>
      </w:r>
      <w:r w:rsidR="00200755" w:rsidRPr="007719F0">
        <w:rPr>
          <w:rFonts w:cs="Tahoma"/>
          <w:color w:val="auto"/>
        </w:rPr>
        <w:t>,</w:t>
      </w:r>
      <w:r w:rsidR="00647DF2">
        <w:rPr>
          <w:rFonts w:eastAsia="Calibri" w:cs="Times New Roman"/>
          <w:b/>
          <w:color w:val="auto"/>
        </w:rPr>
        <w:t xml:space="preserve"> </w:t>
      </w:r>
      <w:r w:rsidRPr="00EA6588">
        <w:rPr>
          <w:rFonts w:cs="Tahoma"/>
          <w:color w:val="auto"/>
        </w:rPr>
        <w:t>en los siguientes términos:</w:t>
      </w:r>
    </w:p>
    <w:p w14:paraId="143ECF6C" w14:textId="0F6230CE" w:rsidR="00345BB5" w:rsidRPr="00940303" w:rsidRDefault="00345BB5" w:rsidP="004764C7">
      <w:pPr>
        <w:tabs>
          <w:tab w:val="left" w:pos="4667"/>
        </w:tabs>
        <w:spacing w:after="0" w:line="360" w:lineRule="auto"/>
        <w:ind w:right="567"/>
        <w:contextualSpacing/>
        <w:rPr>
          <w:rFonts w:cs="Tahoma"/>
          <w:b/>
          <w:bCs/>
          <w:i/>
          <w:color w:val="FF0000"/>
        </w:rPr>
      </w:pPr>
    </w:p>
    <w:p w14:paraId="07987E48" w14:textId="7EFEF85F" w:rsidR="00DE71A5" w:rsidRPr="00DE71A5" w:rsidRDefault="00087796" w:rsidP="004764C7">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5D13BEEC" w14:textId="2A0C8232" w:rsidR="00087796" w:rsidRPr="00E21F68" w:rsidRDefault="004764C7" w:rsidP="004764C7">
      <w:pPr>
        <w:spacing w:after="0" w:line="360" w:lineRule="auto"/>
        <w:ind w:left="567" w:right="567"/>
        <w:rPr>
          <w:rFonts w:eastAsia="Times New Roman" w:cs="Times New Roman"/>
          <w:i/>
          <w:iCs/>
          <w:color w:val="auto"/>
          <w:sz w:val="20"/>
          <w:szCs w:val="20"/>
          <w:lang w:eastAsia="es-MX"/>
        </w:rPr>
      </w:pPr>
      <w:r w:rsidRPr="004764C7">
        <w:rPr>
          <w:i/>
          <w:iCs/>
          <w:color w:val="000000"/>
          <w:sz w:val="20"/>
          <w:szCs w:val="20"/>
        </w:rPr>
        <w:t xml:space="preserve">Solicito la lista de los beneficiarios de los </w:t>
      </w:r>
      <w:r w:rsidRPr="00E6637C">
        <w:rPr>
          <w:i/>
          <w:iCs/>
          <w:color w:val="000000"/>
          <w:sz w:val="20"/>
          <w:szCs w:val="20"/>
        </w:rPr>
        <w:t>programas sociales del Ayuntamiento de Zinacantepec en los últimos cinco años, incluyendo sus nombres completos, edad, ubicación y tipo de programa del cual recibieron apoyo, de manera que se</w:t>
      </w:r>
      <w:r w:rsidRPr="004764C7">
        <w:rPr>
          <w:i/>
          <w:iCs/>
          <w:color w:val="000000"/>
          <w:sz w:val="20"/>
          <w:szCs w:val="20"/>
        </w:rPr>
        <w:t xml:space="preserve"> pueda verificar la distribución de los recursos.</w:t>
      </w:r>
      <w:r w:rsidR="00087796" w:rsidRPr="00E21F68">
        <w:rPr>
          <w:rFonts w:eastAsia="Times New Roman" w:cs="Arial"/>
          <w:bCs/>
          <w:i/>
          <w:iCs/>
          <w:color w:val="auto"/>
          <w:sz w:val="20"/>
          <w:szCs w:val="20"/>
          <w:lang w:eastAsia="es-ES"/>
        </w:rPr>
        <w:t xml:space="preserve">” (Sic) </w:t>
      </w:r>
    </w:p>
    <w:p w14:paraId="03420A6D" w14:textId="77777777" w:rsidR="0046538F" w:rsidRPr="00940303" w:rsidRDefault="0046538F" w:rsidP="005032B4">
      <w:pPr>
        <w:spacing w:after="0" w:line="360" w:lineRule="auto"/>
        <w:ind w:right="567"/>
        <w:contextualSpacing/>
        <w:rPr>
          <w:rFonts w:eastAsia="Times New Roman" w:cs="Arial"/>
          <w:bCs/>
          <w:i/>
          <w:iCs/>
          <w:color w:val="auto"/>
          <w:sz w:val="20"/>
          <w:lang w:eastAsia="es-ES"/>
        </w:rPr>
      </w:pPr>
    </w:p>
    <w:p w14:paraId="115716E2" w14:textId="77777777" w:rsidR="00087796" w:rsidRPr="00940303" w:rsidRDefault="00087796" w:rsidP="005032B4">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5C0E60D" w14:textId="5AA43E7D" w:rsidR="00345BB5" w:rsidRPr="00DF5EAA" w:rsidRDefault="00087796" w:rsidP="005032B4">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4387F950" w14:textId="77777777" w:rsidR="001A0F43" w:rsidRDefault="001A0F43" w:rsidP="005032B4">
      <w:pPr>
        <w:spacing w:after="0" w:line="360" w:lineRule="auto"/>
        <w:contextualSpacing/>
        <w:rPr>
          <w:rFonts w:eastAsia="Calibri" w:cs="Tahoma"/>
          <w:b/>
          <w:bCs/>
          <w:color w:val="auto"/>
        </w:rPr>
      </w:pPr>
    </w:p>
    <w:p w14:paraId="675E2DC0" w14:textId="75639D5F" w:rsidR="00DB3DC5" w:rsidRPr="00076681" w:rsidRDefault="00DB3DC5" w:rsidP="005032B4">
      <w:pPr>
        <w:pStyle w:val="Ttulo2"/>
        <w:spacing w:before="0" w:line="360" w:lineRule="auto"/>
        <w:rPr>
          <w:rFonts w:ascii="Palatino Linotype" w:eastAsia="Calibri" w:hAnsi="Palatino Linotype"/>
          <w:b/>
          <w:color w:val="000000" w:themeColor="text1"/>
          <w:sz w:val="22"/>
          <w:szCs w:val="22"/>
        </w:rPr>
      </w:pPr>
      <w:bookmarkStart w:id="2" w:name="_Toc207291692"/>
      <w:r w:rsidRPr="00076681">
        <w:rPr>
          <w:rFonts w:ascii="Palatino Linotype" w:eastAsia="Calibri" w:hAnsi="Palatino Linotype"/>
          <w:b/>
          <w:color w:val="000000" w:themeColor="text1"/>
          <w:sz w:val="22"/>
          <w:szCs w:val="22"/>
        </w:rPr>
        <w:lastRenderedPageBreak/>
        <w:t>II. Respuesta</w:t>
      </w:r>
      <w:r w:rsidR="00076681">
        <w:rPr>
          <w:rFonts w:ascii="Palatino Linotype" w:eastAsia="Calibri" w:hAnsi="Palatino Linotype"/>
          <w:b/>
          <w:color w:val="000000" w:themeColor="text1"/>
          <w:sz w:val="22"/>
          <w:szCs w:val="22"/>
        </w:rPr>
        <w:t xml:space="preserve"> del Sujeto Obligado</w:t>
      </w:r>
      <w:bookmarkEnd w:id="2"/>
    </w:p>
    <w:p w14:paraId="6BDD54F7" w14:textId="77777777" w:rsidR="00345BB5" w:rsidRPr="00C821DD" w:rsidRDefault="00345BB5" w:rsidP="005032B4">
      <w:pPr>
        <w:spacing w:after="0" w:line="360" w:lineRule="auto"/>
        <w:contextualSpacing/>
        <w:rPr>
          <w:rFonts w:eastAsia="Calibri" w:cs="Tahoma"/>
          <w:b/>
          <w:bCs/>
          <w:color w:val="FF0000"/>
        </w:rPr>
      </w:pPr>
    </w:p>
    <w:p w14:paraId="12EEC53D" w14:textId="0DD46C9F" w:rsidR="00345BB5" w:rsidRPr="00183736" w:rsidRDefault="00345BB5" w:rsidP="005032B4">
      <w:pPr>
        <w:autoSpaceDE w:val="0"/>
        <w:autoSpaceDN w:val="0"/>
        <w:adjustRightInd w:val="0"/>
        <w:spacing w:after="0" w:line="360" w:lineRule="auto"/>
        <w:rPr>
          <w:rFonts w:cs="Tahoma"/>
          <w:bCs/>
          <w:color w:val="auto"/>
          <w:lang w:val="es-ES_tradnl"/>
        </w:rPr>
      </w:pPr>
      <w:r w:rsidRPr="00183736">
        <w:rPr>
          <w:rFonts w:cs="Tahoma"/>
          <w:bCs/>
          <w:color w:val="auto"/>
          <w:lang w:val="es-ES_tradnl"/>
        </w:rPr>
        <w:t xml:space="preserve">Con fecha </w:t>
      </w:r>
      <w:r w:rsidR="00E21F68">
        <w:rPr>
          <w:rFonts w:cs="Tahoma"/>
          <w:bCs/>
          <w:color w:val="auto"/>
          <w:lang w:val="es-ES_tradnl"/>
        </w:rPr>
        <w:t>veintinueve</w:t>
      </w:r>
      <w:r w:rsidR="00EA276A">
        <w:rPr>
          <w:rFonts w:cs="Tahoma"/>
          <w:bCs/>
          <w:color w:val="auto"/>
          <w:lang w:val="es-ES_tradnl"/>
        </w:rPr>
        <w:t xml:space="preserve"> de</w:t>
      </w:r>
      <w:r w:rsidR="00E21F68">
        <w:rPr>
          <w:rFonts w:cs="Tahoma"/>
          <w:bCs/>
          <w:color w:val="auto"/>
          <w:lang w:val="es-ES_tradnl"/>
        </w:rPr>
        <w:t xml:space="preserve"> abril de </w:t>
      </w:r>
      <w:r w:rsidR="00EA276A">
        <w:rPr>
          <w:rFonts w:cs="Tahoma"/>
          <w:bCs/>
          <w:color w:val="auto"/>
          <w:lang w:val="es-ES_tradnl"/>
        </w:rPr>
        <w:t>dos mil</w:t>
      </w:r>
      <w:r w:rsidR="00CA0F13">
        <w:rPr>
          <w:rFonts w:cs="Tahoma"/>
          <w:bCs/>
          <w:color w:val="auto"/>
          <w:lang w:val="es-ES_tradnl"/>
        </w:rPr>
        <w:t xml:space="preserve"> veinticinco</w:t>
      </w:r>
      <w:r w:rsidRPr="00183736">
        <w:rPr>
          <w:rFonts w:cs="Tahoma"/>
          <w:bCs/>
          <w:color w:val="auto"/>
          <w:lang w:val="es-ES_tradnl"/>
        </w:rPr>
        <w:t>, el</w:t>
      </w:r>
      <w:r w:rsidR="00200755" w:rsidRPr="00200755">
        <w:rPr>
          <w:bCs/>
          <w:color w:val="000000"/>
        </w:rPr>
        <w:t xml:space="preserve"> </w:t>
      </w:r>
      <w:r w:rsidR="00200755" w:rsidRPr="007F149A">
        <w:rPr>
          <w:bCs/>
          <w:color w:val="000000"/>
        </w:rPr>
        <w:t xml:space="preserve">Ayuntamiento de </w:t>
      </w:r>
      <w:r w:rsidR="00E21F68">
        <w:rPr>
          <w:bCs/>
          <w:color w:val="000000"/>
        </w:rPr>
        <w:t>Zinacantepec</w:t>
      </w:r>
      <w:r w:rsidRPr="00183736">
        <w:rPr>
          <w:rFonts w:cs="Tahoma"/>
          <w:bCs/>
          <w:color w:val="auto"/>
          <w:lang w:val="es-ES_tradnl"/>
        </w:rPr>
        <w:t xml:space="preserve">, notificó la respuesta a la solicitud, a través del Sistema de Acceso a la Información Mexiquense (SAIMEX), mediante </w:t>
      </w:r>
      <w:bookmarkStart w:id="3" w:name="_Hlk101903429"/>
      <w:r w:rsidR="0046538F">
        <w:rPr>
          <w:rFonts w:cs="Tahoma"/>
          <w:bCs/>
          <w:color w:val="auto"/>
          <w:lang w:val="es-ES_tradnl"/>
        </w:rPr>
        <w:t>la digitalización de</w:t>
      </w:r>
      <w:r w:rsidR="00E21F68">
        <w:rPr>
          <w:rFonts w:cs="Tahoma"/>
          <w:bCs/>
          <w:color w:val="auto"/>
          <w:lang w:val="es-ES_tradnl"/>
        </w:rPr>
        <w:t xml:space="preserve"> </w:t>
      </w:r>
      <w:r w:rsidR="00123ADD">
        <w:rPr>
          <w:rFonts w:cs="Tahoma"/>
          <w:bCs/>
          <w:color w:val="auto"/>
          <w:lang w:val="es-ES_tradnl"/>
        </w:rPr>
        <w:t>l</w:t>
      </w:r>
      <w:r w:rsidR="00E21F68">
        <w:rPr>
          <w:rFonts w:cs="Tahoma"/>
          <w:bCs/>
          <w:color w:val="auto"/>
          <w:lang w:val="es-ES_tradnl"/>
        </w:rPr>
        <w:t>os</w:t>
      </w:r>
      <w:r w:rsidR="004764C7">
        <w:rPr>
          <w:rFonts w:cs="Tahoma"/>
          <w:bCs/>
          <w:color w:val="auto"/>
          <w:lang w:val="es-ES_tradnl"/>
        </w:rPr>
        <w:t xml:space="preserve"> </w:t>
      </w:r>
      <w:r w:rsidR="00EA276A">
        <w:rPr>
          <w:rFonts w:cs="Tahoma"/>
          <w:bCs/>
          <w:color w:val="auto"/>
          <w:lang w:val="es-ES_tradnl"/>
        </w:rPr>
        <w:t>documento</w:t>
      </w:r>
      <w:r w:rsidR="00E21F68">
        <w:rPr>
          <w:rFonts w:cs="Tahoma"/>
          <w:bCs/>
          <w:color w:val="auto"/>
          <w:lang w:val="es-ES_tradnl"/>
        </w:rPr>
        <w:t>s</w:t>
      </w:r>
      <w:r w:rsidR="004764C7">
        <w:rPr>
          <w:rFonts w:cs="Tahoma"/>
          <w:bCs/>
          <w:color w:val="auto"/>
          <w:lang w:val="es-ES_tradnl"/>
        </w:rPr>
        <w:t xml:space="preserve"> siguientes</w:t>
      </w:r>
      <w:r w:rsidR="0046538F">
        <w:rPr>
          <w:rFonts w:cs="Tahoma"/>
          <w:bCs/>
          <w:color w:val="auto"/>
          <w:lang w:val="es-ES_tradnl"/>
        </w:rPr>
        <w:t>:</w:t>
      </w:r>
    </w:p>
    <w:bookmarkEnd w:id="3"/>
    <w:p w14:paraId="18CD5E2F" w14:textId="77777777" w:rsidR="005620CE" w:rsidRDefault="005620CE" w:rsidP="005032B4">
      <w:pPr>
        <w:autoSpaceDE w:val="0"/>
        <w:autoSpaceDN w:val="0"/>
        <w:adjustRightInd w:val="0"/>
        <w:spacing w:after="0" w:line="360" w:lineRule="auto"/>
        <w:rPr>
          <w:rFonts w:cs="Tahoma"/>
          <w:color w:val="FF0000"/>
          <w:lang w:val="es-ES_tradnl"/>
        </w:rPr>
      </w:pPr>
    </w:p>
    <w:p w14:paraId="56B088A9" w14:textId="07B31414" w:rsidR="00D55A84" w:rsidRDefault="004764C7" w:rsidP="004764C7">
      <w:pPr>
        <w:autoSpaceDE w:val="0"/>
        <w:autoSpaceDN w:val="0"/>
        <w:adjustRightInd w:val="0"/>
        <w:spacing w:after="0" w:line="360" w:lineRule="auto"/>
        <w:rPr>
          <w:rFonts w:cs="Tahoma"/>
          <w:color w:val="auto"/>
          <w:lang w:val="es-ES_tradnl"/>
        </w:rPr>
      </w:pPr>
      <w:r>
        <w:rPr>
          <w:rFonts w:cs="Tahoma"/>
          <w:color w:val="auto"/>
          <w:lang w:val="es-ES_tradnl"/>
        </w:rPr>
        <w:t xml:space="preserve">i) </w:t>
      </w:r>
      <w:r w:rsidR="00CA0AEA" w:rsidRPr="004764C7">
        <w:rPr>
          <w:rFonts w:cs="Tahoma"/>
          <w:color w:val="auto"/>
          <w:lang w:val="es-ES_tradnl"/>
        </w:rPr>
        <w:t xml:space="preserve">Oficio con número ZIN/DDS/158/2025, </w:t>
      </w:r>
      <w:r w:rsidR="00862B2B">
        <w:rPr>
          <w:rFonts w:cs="Tahoma"/>
          <w:color w:val="auto"/>
          <w:lang w:val="es-ES_tradnl"/>
        </w:rPr>
        <w:t>del</w:t>
      </w:r>
      <w:r w:rsidR="00CA0AEA" w:rsidRPr="004764C7">
        <w:rPr>
          <w:rFonts w:cs="Tahoma"/>
          <w:color w:val="auto"/>
          <w:lang w:val="es-ES_tradnl"/>
        </w:rPr>
        <w:t xml:space="preserve"> diez de abril de dos mil veinticinco, suscrito por la </w:t>
      </w:r>
      <w:proofErr w:type="gramStart"/>
      <w:r w:rsidR="00CA0AEA" w:rsidRPr="004764C7">
        <w:rPr>
          <w:rFonts w:cs="Tahoma"/>
          <w:color w:val="auto"/>
          <w:lang w:val="es-ES_tradnl"/>
        </w:rPr>
        <w:t>Directora</w:t>
      </w:r>
      <w:proofErr w:type="gramEnd"/>
      <w:r w:rsidR="00CA0AEA" w:rsidRPr="004764C7">
        <w:rPr>
          <w:rFonts w:cs="Tahoma"/>
          <w:color w:val="auto"/>
          <w:lang w:val="es-ES_tradnl"/>
        </w:rPr>
        <w:t xml:space="preserve"> de Desarrollo Social y dirigido a la Titular de la Unidad de Transparencia </w:t>
      </w:r>
      <w:r w:rsidR="00CA2C7C" w:rsidRPr="004764C7">
        <w:rPr>
          <w:rFonts w:cs="Tahoma"/>
          <w:color w:val="auto"/>
          <w:lang w:val="es-ES_tradnl"/>
        </w:rPr>
        <w:t xml:space="preserve">en </w:t>
      </w:r>
      <w:r w:rsidR="00862B2B">
        <w:rPr>
          <w:rFonts w:cs="Tahoma"/>
          <w:color w:val="auto"/>
          <w:lang w:val="es-ES_tradnl"/>
        </w:rPr>
        <w:t xml:space="preserve">los siguientes términos: </w:t>
      </w:r>
    </w:p>
    <w:p w14:paraId="1D3ABD02" w14:textId="77777777" w:rsidR="00862B2B" w:rsidRDefault="00862B2B" w:rsidP="004764C7">
      <w:pPr>
        <w:autoSpaceDE w:val="0"/>
        <w:autoSpaceDN w:val="0"/>
        <w:adjustRightInd w:val="0"/>
        <w:spacing w:after="0" w:line="360" w:lineRule="auto"/>
        <w:rPr>
          <w:rFonts w:cs="Tahoma"/>
          <w:color w:val="auto"/>
          <w:lang w:val="es-ES_tradnl"/>
        </w:rPr>
      </w:pPr>
    </w:p>
    <w:p w14:paraId="50861CA9" w14:textId="0B410F86" w:rsidR="00862B2B" w:rsidRPr="00862B2B" w:rsidRDefault="00862B2B" w:rsidP="00862B2B">
      <w:pPr>
        <w:autoSpaceDE w:val="0"/>
        <w:autoSpaceDN w:val="0"/>
        <w:adjustRightInd w:val="0"/>
        <w:spacing w:after="0" w:line="360" w:lineRule="auto"/>
        <w:ind w:left="567" w:right="567"/>
        <w:rPr>
          <w:rFonts w:cs="Tahoma"/>
          <w:i/>
          <w:color w:val="auto"/>
          <w:sz w:val="20"/>
          <w:lang w:val="es-ES_tradnl"/>
        </w:rPr>
      </w:pPr>
      <w:r w:rsidRPr="00862B2B">
        <w:rPr>
          <w:rFonts w:cs="Tahoma"/>
          <w:i/>
          <w:color w:val="auto"/>
          <w:sz w:val="20"/>
          <w:lang w:val="es-ES_tradnl"/>
        </w:rPr>
        <w:t>“…</w:t>
      </w:r>
    </w:p>
    <w:p w14:paraId="59FD328A" w14:textId="46CD6D88" w:rsidR="00862B2B" w:rsidRPr="00862B2B" w:rsidRDefault="00862B2B" w:rsidP="00862B2B">
      <w:pPr>
        <w:autoSpaceDE w:val="0"/>
        <w:autoSpaceDN w:val="0"/>
        <w:adjustRightInd w:val="0"/>
        <w:spacing w:after="0" w:line="360" w:lineRule="auto"/>
        <w:ind w:left="567" w:right="567"/>
        <w:rPr>
          <w:rFonts w:cs="Tahoma"/>
          <w:i/>
          <w:color w:val="auto"/>
          <w:sz w:val="20"/>
          <w:lang w:val="es-ES_tradnl"/>
        </w:rPr>
      </w:pPr>
      <w:r w:rsidRPr="00862B2B">
        <w:rPr>
          <w:rFonts w:cs="Tahoma"/>
          <w:i/>
          <w:color w:val="auto"/>
          <w:sz w:val="20"/>
          <w:lang w:val="es-ES_tradnl"/>
        </w:rPr>
        <w:t xml:space="preserve">Al respecto hago de su conocimiento que derivado de la búsqueda en los archivos de la Dirección de Desarrollo Social se identificó </w:t>
      </w:r>
      <w:proofErr w:type="gramStart"/>
      <w:r w:rsidRPr="00862B2B">
        <w:rPr>
          <w:rFonts w:cs="Tahoma"/>
          <w:i/>
          <w:color w:val="auto"/>
          <w:sz w:val="20"/>
          <w:lang w:val="es-ES_tradnl"/>
        </w:rPr>
        <w:t>que</w:t>
      </w:r>
      <w:proofErr w:type="gramEnd"/>
      <w:r w:rsidRPr="00862B2B">
        <w:rPr>
          <w:rFonts w:cs="Tahoma"/>
          <w:i/>
          <w:color w:val="auto"/>
          <w:sz w:val="20"/>
          <w:lang w:val="es-ES_tradnl"/>
        </w:rPr>
        <w:t xml:space="preserve"> durante los años 2022, 2023 y 2024 la Dirección de Desarrollo Social ejecutó programas de despensas en el municipio de Zinacantepec, como a continuación se describe:</w:t>
      </w:r>
    </w:p>
    <w:p w14:paraId="41D5A99E" w14:textId="77777777" w:rsidR="00862B2B" w:rsidRPr="00862B2B" w:rsidRDefault="00862B2B" w:rsidP="00862B2B">
      <w:pPr>
        <w:autoSpaceDE w:val="0"/>
        <w:autoSpaceDN w:val="0"/>
        <w:adjustRightInd w:val="0"/>
        <w:spacing w:after="0" w:line="360" w:lineRule="auto"/>
        <w:ind w:left="567" w:right="567"/>
        <w:rPr>
          <w:rFonts w:cs="Tahoma"/>
          <w:i/>
          <w:color w:val="auto"/>
          <w:sz w:val="20"/>
          <w:lang w:val="es-ES_tradnl"/>
        </w:rPr>
      </w:pPr>
    </w:p>
    <w:p w14:paraId="51EFCC9A" w14:textId="3D848577" w:rsidR="00862B2B" w:rsidRDefault="00862B2B" w:rsidP="00862B2B">
      <w:pPr>
        <w:autoSpaceDE w:val="0"/>
        <w:autoSpaceDN w:val="0"/>
        <w:adjustRightInd w:val="0"/>
        <w:spacing w:after="0" w:line="360" w:lineRule="auto"/>
        <w:ind w:left="567" w:right="567"/>
        <w:jc w:val="center"/>
        <w:rPr>
          <w:rFonts w:cs="Tahoma"/>
          <w:i/>
          <w:color w:val="auto"/>
          <w:sz w:val="20"/>
          <w:lang w:val="es-ES_tradnl"/>
        </w:rPr>
      </w:pPr>
      <w:r w:rsidRPr="00862B2B">
        <w:rPr>
          <w:rFonts w:cs="Tahoma"/>
          <w:i/>
          <w:noProof/>
          <w:color w:val="auto"/>
          <w:sz w:val="20"/>
          <w:lang w:eastAsia="es-MX"/>
        </w:rPr>
        <w:drawing>
          <wp:inline distT="0" distB="0" distL="0" distR="0" wp14:anchorId="2000F74E" wp14:editId="06799773">
            <wp:extent cx="4924425" cy="1694408"/>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0460" cy="1703366"/>
                    </a:xfrm>
                    <a:prstGeom prst="rect">
                      <a:avLst/>
                    </a:prstGeom>
                  </pic:spPr>
                </pic:pic>
              </a:graphicData>
            </a:graphic>
          </wp:inline>
        </w:drawing>
      </w:r>
    </w:p>
    <w:p w14:paraId="6DCAA99C" w14:textId="77777777" w:rsidR="00862B2B" w:rsidRPr="00862B2B" w:rsidRDefault="00862B2B" w:rsidP="00862B2B">
      <w:pPr>
        <w:autoSpaceDE w:val="0"/>
        <w:autoSpaceDN w:val="0"/>
        <w:adjustRightInd w:val="0"/>
        <w:spacing w:after="0" w:line="360" w:lineRule="auto"/>
        <w:ind w:left="567" w:right="567"/>
        <w:jc w:val="center"/>
        <w:rPr>
          <w:rFonts w:cs="Tahoma"/>
          <w:i/>
          <w:color w:val="auto"/>
          <w:sz w:val="20"/>
          <w:lang w:val="es-ES_tradnl"/>
        </w:rPr>
      </w:pPr>
    </w:p>
    <w:p w14:paraId="54CCCD54" w14:textId="135CE505" w:rsidR="00862B2B" w:rsidRDefault="00862B2B" w:rsidP="00862B2B">
      <w:pPr>
        <w:autoSpaceDE w:val="0"/>
        <w:autoSpaceDN w:val="0"/>
        <w:adjustRightInd w:val="0"/>
        <w:spacing w:after="0" w:line="360" w:lineRule="auto"/>
        <w:ind w:left="567" w:right="567"/>
        <w:rPr>
          <w:rFonts w:cs="Tahoma"/>
          <w:i/>
          <w:color w:val="auto"/>
          <w:sz w:val="20"/>
          <w:lang w:val="es-ES_tradnl"/>
        </w:rPr>
      </w:pPr>
      <w:r>
        <w:rPr>
          <w:rFonts w:cs="Tahoma"/>
          <w:i/>
          <w:color w:val="auto"/>
          <w:sz w:val="20"/>
          <w:lang w:val="es-ES_tradnl"/>
        </w:rPr>
        <w:t xml:space="preserve">Se anexa cuadro de clasificación. </w:t>
      </w:r>
    </w:p>
    <w:p w14:paraId="01B3CC81" w14:textId="4FEDFC03" w:rsidR="00862B2B" w:rsidRDefault="00862B2B" w:rsidP="00862B2B">
      <w:pPr>
        <w:autoSpaceDE w:val="0"/>
        <w:autoSpaceDN w:val="0"/>
        <w:adjustRightInd w:val="0"/>
        <w:spacing w:after="0" w:line="360" w:lineRule="auto"/>
        <w:ind w:left="567" w:right="567"/>
        <w:rPr>
          <w:rFonts w:cs="Tahoma"/>
          <w:i/>
          <w:color w:val="auto"/>
          <w:sz w:val="20"/>
          <w:lang w:val="es-ES_tradnl"/>
        </w:rPr>
      </w:pPr>
      <w:r w:rsidRPr="00862B2B">
        <w:rPr>
          <w:rFonts w:cs="Tahoma"/>
          <w:i/>
          <w:color w:val="auto"/>
          <w:sz w:val="20"/>
          <w:lang w:val="es-ES_tradnl"/>
        </w:rPr>
        <w:t xml:space="preserve">…” </w:t>
      </w:r>
    </w:p>
    <w:p w14:paraId="2736C507" w14:textId="77777777" w:rsidR="00862B2B" w:rsidRDefault="00862B2B" w:rsidP="00862B2B">
      <w:pPr>
        <w:autoSpaceDE w:val="0"/>
        <w:autoSpaceDN w:val="0"/>
        <w:adjustRightInd w:val="0"/>
        <w:spacing w:after="0" w:line="360" w:lineRule="auto"/>
        <w:ind w:left="567" w:right="567"/>
        <w:rPr>
          <w:rFonts w:cs="Tahoma"/>
          <w:i/>
          <w:color w:val="auto"/>
          <w:sz w:val="20"/>
          <w:lang w:val="es-ES_tradnl"/>
        </w:rPr>
      </w:pPr>
    </w:p>
    <w:p w14:paraId="429464D4" w14:textId="77777777" w:rsidR="0042086C" w:rsidRPr="00862B2B" w:rsidRDefault="0042086C" w:rsidP="00862B2B">
      <w:pPr>
        <w:autoSpaceDE w:val="0"/>
        <w:autoSpaceDN w:val="0"/>
        <w:adjustRightInd w:val="0"/>
        <w:spacing w:after="0" w:line="360" w:lineRule="auto"/>
        <w:ind w:left="567" w:right="567"/>
        <w:rPr>
          <w:rFonts w:cs="Tahoma"/>
          <w:i/>
          <w:color w:val="auto"/>
          <w:sz w:val="20"/>
          <w:lang w:val="es-ES_tradnl"/>
        </w:rPr>
      </w:pPr>
    </w:p>
    <w:p w14:paraId="5564EF89" w14:textId="7FCB9B16" w:rsidR="0042086C" w:rsidRDefault="00862B2B" w:rsidP="00862B2B">
      <w:pPr>
        <w:autoSpaceDE w:val="0"/>
        <w:autoSpaceDN w:val="0"/>
        <w:adjustRightInd w:val="0"/>
        <w:spacing w:after="0" w:line="360" w:lineRule="auto"/>
        <w:rPr>
          <w:rFonts w:cs="Tahoma"/>
          <w:color w:val="auto"/>
          <w:lang w:val="es-ES_tradnl"/>
        </w:rPr>
      </w:pPr>
      <w:proofErr w:type="spellStart"/>
      <w:r>
        <w:rPr>
          <w:rFonts w:cs="Tahoma"/>
          <w:color w:val="auto"/>
          <w:lang w:val="es-ES_tradnl"/>
        </w:rPr>
        <w:lastRenderedPageBreak/>
        <w:t>ii</w:t>
      </w:r>
      <w:proofErr w:type="spellEnd"/>
      <w:r>
        <w:rPr>
          <w:rFonts w:cs="Tahoma"/>
          <w:color w:val="auto"/>
          <w:lang w:val="es-ES_tradnl"/>
        </w:rPr>
        <w:t xml:space="preserve">) </w:t>
      </w:r>
      <w:r w:rsidR="0042086C">
        <w:rPr>
          <w:rFonts w:cs="Tahoma"/>
          <w:color w:val="auto"/>
          <w:lang w:val="es-ES_tradnl"/>
        </w:rPr>
        <w:t xml:space="preserve">Cuadro de clasificación de la solicitud de información número </w:t>
      </w:r>
      <w:r w:rsidR="0042086C" w:rsidRPr="0042086C">
        <w:rPr>
          <w:rFonts w:cs="Tahoma"/>
          <w:color w:val="auto"/>
          <w:lang w:val="es-ES_tradnl"/>
        </w:rPr>
        <w:t>00199/ZINACANT/IP/2025</w:t>
      </w:r>
      <w:r w:rsidR="0042086C">
        <w:rPr>
          <w:rFonts w:cs="Tahoma"/>
          <w:color w:val="auto"/>
          <w:lang w:val="es-ES_tradnl"/>
        </w:rPr>
        <w:t>, en el que determinó clasificar como confidencial el domicilio de particulares y edad</w:t>
      </w:r>
      <w:r w:rsidR="004B6629">
        <w:rPr>
          <w:rFonts w:cs="Tahoma"/>
          <w:color w:val="auto"/>
          <w:lang w:val="es-ES_tradnl"/>
        </w:rPr>
        <w:t xml:space="preserve">. </w:t>
      </w:r>
    </w:p>
    <w:p w14:paraId="58E2C085" w14:textId="77777777" w:rsidR="004B6629" w:rsidRDefault="004B6629" w:rsidP="00862B2B">
      <w:pPr>
        <w:autoSpaceDE w:val="0"/>
        <w:autoSpaceDN w:val="0"/>
        <w:adjustRightInd w:val="0"/>
        <w:spacing w:after="0" w:line="360" w:lineRule="auto"/>
        <w:rPr>
          <w:rFonts w:cs="Tahoma"/>
          <w:color w:val="auto"/>
          <w:lang w:val="es-ES_tradnl"/>
        </w:rPr>
      </w:pPr>
    </w:p>
    <w:p w14:paraId="0E0088D5" w14:textId="4CD91546" w:rsidR="004B6629" w:rsidRDefault="004B6629" w:rsidP="00862B2B">
      <w:pPr>
        <w:autoSpaceDE w:val="0"/>
        <w:autoSpaceDN w:val="0"/>
        <w:adjustRightInd w:val="0"/>
        <w:spacing w:after="0" w:line="360" w:lineRule="auto"/>
        <w:rPr>
          <w:rFonts w:cs="Tahoma"/>
          <w:color w:val="auto"/>
          <w:lang w:val="es-ES_tradnl"/>
        </w:rPr>
      </w:pPr>
      <w:proofErr w:type="spellStart"/>
      <w:r>
        <w:rPr>
          <w:rFonts w:cs="Tahoma"/>
          <w:color w:val="auto"/>
          <w:lang w:val="es-ES_tradnl"/>
        </w:rPr>
        <w:t>iii</w:t>
      </w:r>
      <w:proofErr w:type="spellEnd"/>
      <w:r>
        <w:rPr>
          <w:rFonts w:cs="Tahoma"/>
          <w:color w:val="auto"/>
          <w:lang w:val="es-ES_tradnl"/>
        </w:rPr>
        <w:t xml:space="preserve">) </w:t>
      </w:r>
      <w:r w:rsidRPr="00862B2B">
        <w:rPr>
          <w:rFonts w:cs="Tahoma"/>
          <w:color w:val="auto"/>
          <w:lang w:val="es-ES_tradnl"/>
        </w:rPr>
        <w:t xml:space="preserve">Oficio sin número, </w:t>
      </w:r>
      <w:r>
        <w:rPr>
          <w:rFonts w:cs="Tahoma"/>
          <w:color w:val="auto"/>
          <w:lang w:val="es-ES_tradnl"/>
        </w:rPr>
        <w:t>del</w:t>
      </w:r>
      <w:r w:rsidRPr="00862B2B">
        <w:rPr>
          <w:rFonts w:cs="Tahoma"/>
          <w:color w:val="auto"/>
          <w:lang w:val="es-ES_tradnl"/>
        </w:rPr>
        <w:t xml:space="preserve"> veintinueve de abril de dos mil veinticinco, suscrito por la Titular de la Unidad de Transparencia </w:t>
      </w:r>
      <w:r>
        <w:rPr>
          <w:rFonts w:cs="Tahoma"/>
          <w:color w:val="auto"/>
          <w:lang w:val="es-ES_tradnl"/>
        </w:rPr>
        <w:t xml:space="preserve">y dirigido al Solicitante, por medio del cual precisó remitir la respuesta del área competente. </w:t>
      </w:r>
    </w:p>
    <w:p w14:paraId="7CEEB3B2" w14:textId="77777777" w:rsidR="0042086C" w:rsidRDefault="0042086C" w:rsidP="00862B2B">
      <w:pPr>
        <w:autoSpaceDE w:val="0"/>
        <w:autoSpaceDN w:val="0"/>
        <w:adjustRightInd w:val="0"/>
        <w:spacing w:after="0" w:line="360" w:lineRule="auto"/>
        <w:rPr>
          <w:rFonts w:cs="Tahoma"/>
          <w:color w:val="auto"/>
          <w:lang w:val="es-ES_tradnl"/>
        </w:rPr>
      </w:pPr>
    </w:p>
    <w:p w14:paraId="5F190D51" w14:textId="7912274F" w:rsidR="00862B2B" w:rsidRPr="00862B2B" w:rsidRDefault="004B6629" w:rsidP="00862B2B">
      <w:pPr>
        <w:autoSpaceDE w:val="0"/>
        <w:autoSpaceDN w:val="0"/>
        <w:adjustRightInd w:val="0"/>
        <w:spacing w:after="0" w:line="360" w:lineRule="auto"/>
        <w:rPr>
          <w:rFonts w:cs="Tahoma"/>
          <w:color w:val="auto"/>
          <w:lang w:val="es-ES_tradnl"/>
        </w:rPr>
      </w:pPr>
      <w:proofErr w:type="spellStart"/>
      <w:r>
        <w:rPr>
          <w:rFonts w:cs="Tahoma"/>
          <w:color w:val="auto"/>
          <w:lang w:val="es-ES_tradnl"/>
        </w:rPr>
        <w:t>iv</w:t>
      </w:r>
      <w:proofErr w:type="spellEnd"/>
      <w:r w:rsidR="0042086C">
        <w:rPr>
          <w:rFonts w:cs="Tahoma"/>
          <w:color w:val="auto"/>
          <w:lang w:val="es-ES_tradnl"/>
        </w:rPr>
        <w:t xml:space="preserve">) </w:t>
      </w:r>
      <w:r w:rsidR="00862B2B" w:rsidRPr="00862B2B">
        <w:rPr>
          <w:rFonts w:cs="Tahoma"/>
          <w:color w:val="auto"/>
          <w:lang w:val="es-ES_tradnl"/>
        </w:rPr>
        <w:t xml:space="preserve">Padrón de Beneficiarios del Programa </w:t>
      </w:r>
      <w:r w:rsidR="00862B2B" w:rsidRPr="00862B2B">
        <w:rPr>
          <w:rFonts w:cs="Tahoma"/>
          <w:b/>
          <w:color w:val="auto"/>
          <w:lang w:val="es-ES_tradnl"/>
        </w:rPr>
        <w:t>“Merecemos Vivir Mejor”</w:t>
      </w:r>
      <w:r w:rsidR="00862B2B">
        <w:rPr>
          <w:rFonts w:cs="Tahoma"/>
          <w:color w:val="auto"/>
          <w:lang w:val="es-ES_tradnl"/>
        </w:rPr>
        <w:t xml:space="preserve"> </w:t>
      </w:r>
      <w:r w:rsidR="00862B2B" w:rsidRPr="00862B2B">
        <w:rPr>
          <w:rFonts w:cs="Tahoma"/>
          <w:color w:val="auto"/>
          <w:lang w:val="es-ES_tradnl"/>
        </w:rPr>
        <w:t xml:space="preserve">del ejercicio fiscal </w:t>
      </w:r>
      <w:r w:rsidR="00862B2B" w:rsidRPr="0042086C">
        <w:rPr>
          <w:rFonts w:cs="Tahoma"/>
          <w:b/>
          <w:color w:val="auto"/>
          <w:lang w:val="es-ES_tradnl"/>
        </w:rPr>
        <w:t>dos mil veintidós</w:t>
      </w:r>
      <w:r w:rsidR="00862B2B" w:rsidRPr="00862B2B">
        <w:rPr>
          <w:rFonts w:cs="Tahoma"/>
          <w:color w:val="auto"/>
          <w:lang w:val="es-ES_tradnl"/>
        </w:rPr>
        <w:t xml:space="preserve">, el cual contiene el </w:t>
      </w:r>
      <w:r w:rsidR="00862B2B">
        <w:rPr>
          <w:rFonts w:cs="Tahoma"/>
          <w:color w:val="auto"/>
          <w:lang w:val="es-ES_tradnl"/>
        </w:rPr>
        <w:t xml:space="preserve">número consecutivo, nombre del beneficiario, </w:t>
      </w:r>
      <w:r w:rsidR="00862B2B" w:rsidRPr="00862B2B">
        <w:rPr>
          <w:rFonts w:cs="Tahoma"/>
          <w:color w:val="auto"/>
          <w:lang w:val="es-ES_tradnl"/>
        </w:rPr>
        <w:t>género, comunidad y el apoyo.</w:t>
      </w:r>
    </w:p>
    <w:p w14:paraId="04CA472C" w14:textId="77777777" w:rsidR="00862B2B" w:rsidRDefault="00862B2B" w:rsidP="00862B2B">
      <w:pPr>
        <w:autoSpaceDE w:val="0"/>
        <w:autoSpaceDN w:val="0"/>
        <w:adjustRightInd w:val="0"/>
        <w:spacing w:after="0" w:line="360" w:lineRule="auto"/>
        <w:rPr>
          <w:rFonts w:cs="Tahoma"/>
          <w:color w:val="auto"/>
          <w:lang w:val="es-ES_tradnl"/>
        </w:rPr>
      </w:pPr>
    </w:p>
    <w:p w14:paraId="3AF627B3" w14:textId="64EB6FFC" w:rsidR="00862B2B" w:rsidRDefault="0042086C" w:rsidP="00862B2B">
      <w:pPr>
        <w:autoSpaceDE w:val="0"/>
        <w:autoSpaceDN w:val="0"/>
        <w:adjustRightInd w:val="0"/>
        <w:spacing w:after="0" w:line="360" w:lineRule="auto"/>
        <w:rPr>
          <w:rFonts w:cs="Tahoma"/>
          <w:color w:val="auto"/>
          <w:lang w:val="es-ES_tradnl"/>
        </w:rPr>
      </w:pPr>
      <w:r>
        <w:rPr>
          <w:rFonts w:cs="Tahoma"/>
          <w:color w:val="auto"/>
          <w:lang w:val="es-ES_tradnl"/>
        </w:rPr>
        <w:t>v</w:t>
      </w:r>
      <w:r w:rsidR="00862B2B">
        <w:rPr>
          <w:rFonts w:cs="Tahoma"/>
          <w:color w:val="auto"/>
          <w:lang w:val="es-ES_tradnl"/>
        </w:rPr>
        <w:t xml:space="preserve">) </w:t>
      </w:r>
      <w:r w:rsidR="00862B2B" w:rsidRPr="004764C7">
        <w:rPr>
          <w:rFonts w:cs="Tahoma"/>
          <w:color w:val="auto"/>
          <w:lang w:val="es-ES_tradnl"/>
        </w:rPr>
        <w:t xml:space="preserve">Padrón de beneficiarios de la </w:t>
      </w:r>
      <w:r w:rsidR="00862B2B" w:rsidRPr="00862B2B">
        <w:rPr>
          <w:rFonts w:cs="Tahoma"/>
          <w:b/>
          <w:color w:val="auto"/>
          <w:lang w:val="es-ES_tradnl"/>
        </w:rPr>
        <w:t xml:space="preserve">“Canasta Alimentaria Zinacantepec” </w:t>
      </w:r>
      <w:r w:rsidR="00862B2B" w:rsidRPr="004764C7">
        <w:rPr>
          <w:rFonts w:cs="Tahoma"/>
          <w:color w:val="auto"/>
          <w:lang w:val="es-ES_tradnl"/>
        </w:rPr>
        <w:t xml:space="preserve">del ejercicio fiscal de </w:t>
      </w:r>
      <w:r w:rsidR="00862B2B" w:rsidRPr="0042086C">
        <w:rPr>
          <w:rFonts w:cs="Tahoma"/>
          <w:b/>
          <w:color w:val="auto"/>
          <w:lang w:val="es-ES_tradnl"/>
        </w:rPr>
        <w:t>dos mil veintitrés</w:t>
      </w:r>
      <w:r w:rsidR="00862B2B" w:rsidRPr="004764C7">
        <w:rPr>
          <w:rFonts w:cs="Tahoma"/>
          <w:color w:val="auto"/>
          <w:lang w:val="es-ES_tradnl"/>
        </w:rPr>
        <w:t xml:space="preserve">, </w:t>
      </w:r>
      <w:r w:rsidR="00862B2B">
        <w:rPr>
          <w:rFonts w:cs="Tahoma"/>
          <w:color w:val="auto"/>
          <w:lang w:val="es-ES_tradnl"/>
        </w:rPr>
        <w:t>que contiene el número consecutivo, nombre del beneficiario, unidad territorial</w:t>
      </w:r>
      <w:r w:rsidR="00862B2B" w:rsidRPr="004764C7">
        <w:rPr>
          <w:rFonts w:cs="Tahoma"/>
          <w:color w:val="auto"/>
          <w:lang w:val="es-ES_tradnl"/>
        </w:rPr>
        <w:t xml:space="preserve"> y el </w:t>
      </w:r>
      <w:r w:rsidR="00862B2B">
        <w:rPr>
          <w:rFonts w:cs="Tahoma"/>
          <w:color w:val="auto"/>
          <w:lang w:val="es-ES_tradnl"/>
        </w:rPr>
        <w:t xml:space="preserve">tipo de </w:t>
      </w:r>
      <w:r w:rsidR="00862B2B" w:rsidRPr="004764C7">
        <w:rPr>
          <w:rFonts w:cs="Tahoma"/>
          <w:color w:val="auto"/>
          <w:lang w:val="es-ES_tradnl"/>
        </w:rPr>
        <w:t>apoyo recibido.</w:t>
      </w:r>
    </w:p>
    <w:p w14:paraId="435DE941" w14:textId="77777777" w:rsidR="00862B2B" w:rsidRDefault="00862B2B" w:rsidP="00862B2B">
      <w:pPr>
        <w:autoSpaceDE w:val="0"/>
        <w:autoSpaceDN w:val="0"/>
        <w:adjustRightInd w:val="0"/>
        <w:spacing w:after="0" w:line="360" w:lineRule="auto"/>
        <w:rPr>
          <w:rFonts w:cs="Tahoma"/>
          <w:color w:val="auto"/>
          <w:lang w:val="es-ES_tradnl"/>
        </w:rPr>
      </w:pPr>
    </w:p>
    <w:p w14:paraId="5B214132" w14:textId="318EF20B" w:rsidR="00C30868" w:rsidRPr="00862B2B" w:rsidRDefault="00862B2B" w:rsidP="00862B2B">
      <w:pPr>
        <w:autoSpaceDE w:val="0"/>
        <w:autoSpaceDN w:val="0"/>
        <w:adjustRightInd w:val="0"/>
        <w:spacing w:after="0" w:line="360" w:lineRule="auto"/>
        <w:rPr>
          <w:rFonts w:cs="Tahoma"/>
          <w:color w:val="auto"/>
          <w:lang w:val="es-ES_tradnl"/>
        </w:rPr>
      </w:pPr>
      <w:r>
        <w:rPr>
          <w:rFonts w:cs="Tahoma"/>
          <w:color w:val="auto"/>
          <w:lang w:val="es-ES_tradnl"/>
        </w:rPr>
        <w:t>v</w:t>
      </w:r>
      <w:r w:rsidR="004B6629">
        <w:rPr>
          <w:rFonts w:cs="Tahoma"/>
          <w:color w:val="auto"/>
          <w:lang w:val="es-ES_tradnl"/>
        </w:rPr>
        <w:t>i</w:t>
      </w:r>
      <w:r>
        <w:rPr>
          <w:rFonts w:cs="Tahoma"/>
          <w:color w:val="auto"/>
          <w:lang w:val="es-ES_tradnl"/>
        </w:rPr>
        <w:t xml:space="preserve">) </w:t>
      </w:r>
      <w:r w:rsidR="00C30868" w:rsidRPr="00862B2B">
        <w:rPr>
          <w:rFonts w:cs="Tahoma"/>
          <w:color w:val="auto"/>
          <w:lang w:val="es-ES_tradnl"/>
        </w:rPr>
        <w:t xml:space="preserve">Padrón de Beneficiarios del Programa </w:t>
      </w:r>
      <w:r>
        <w:rPr>
          <w:rFonts w:cs="Tahoma"/>
          <w:color w:val="auto"/>
          <w:lang w:val="es-ES_tradnl"/>
        </w:rPr>
        <w:t>“</w:t>
      </w:r>
      <w:r w:rsidR="00C30868" w:rsidRPr="00862B2B">
        <w:rPr>
          <w:rFonts w:cs="Tahoma"/>
          <w:b/>
          <w:color w:val="auto"/>
          <w:lang w:val="es-ES_tradnl"/>
        </w:rPr>
        <w:t>Paquete Alimentario Zinacantepec</w:t>
      </w:r>
      <w:r w:rsidRPr="00862B2B">
        <w:rPr>
          <w:rFonts w:cs="Tahoma"/>
          <w:b/>
          <w:color w:val="auto"/>
          <w:lang w:val="es-ES_tradnl"/>
        </w:rPr>
        <w:t xml:space="preserve"> 2024”</w:t>
      </w:r>
      <w:r>
        <w:rPr>
          <w:rFonts w:cs="Tahoma"/>
          <w:color w:val="auto"/>
          <w:lang w:val="es-ES_tradnl"/>
        </w:rPr>
        <w:t xml:space="preserve">, que contiene el número consecutivo, </w:t>
      </w:r>
      <w:r w:rsidR="00C30868" w:rsidRPr="00862B2B">
        <w:rPr>
          <w:rFonts w:cs="Tahoma"/>
          <w:color w:val="auto"/>
          <w:lang w:val="es-ES_tradnl"/>
        </w:rPr>
        <w:t>nombre</w:t>
      </w:r>
      <w:r>
        <w:rPr>
          <w:rFonts w:cs="Tahoma"/>
          <w:color w:val="auto"/>
          <w:lang w:val="es-ES_tradnl"/>
        </w:rPr>
        <w:t xml:space="preserve"> del beneficiario</w:t>
      </w:r>
      <w:r w:rsidR="00C30868" w:rsidRPr="00862B2B">
        <w:rPr>
          <w:rFonts w:cs="Tahoma"/>
          <w:color w:val="auto"/>
          <w:lang w:val="es-ES_tradnl"/>
        </w:rPr>
        <w:t xml:space="preserve">, municipio y programa. </w:t>
      </w:r>
    </w:p>
    <w:p w14:paraId="77DB1DFB" w14:textId="77777777" w:rsidR="0042086C" w:rsidRPr="00862B2B" w:rsidRDefault="0042086C" w:rsidP="00862B2B">
      <w:pPr>
        <w:autoSpaceDE w:val="0"/>
        <w:autoSpaceDN w:val="0"/>
        <w:adjustRightInd w:val="0"/>
        <w:spacing w:after="0" w:line="360" w:lineRule="auto"/>
        <w:rPr>
          <w:rFonts w:cs="Tahoma"/>
          <w:color w:val="auto"/>
          <w:lang w:val="es-ES_tradnl"/>
        </w:rPr>
      </w:pPr>
    </w:p>
    <w:p w14:paraId="6867D521" w14:textId="67290D74" w:rsidR="00DB3DC5" w:rsidRPr="00076681" w:rsidRDefault="00DB3DC5" w:rsidP="005032B4">
      <w:pPr>
        <w:pStyle w:val="Ttulo2"/>
        <w:spacing w:before="0" w:line="360" w:lineRule="auto"/>
        <w:rPr>
          <w:rFonts w:ascii="Palatino Linotype" w:eastAsia="Calibri" w:hAnsi="Palatino Linotype"/>
          <w:b/>
          <w:color w:val="000000" w:themeColor="text1"/>
          <w:sz w:val="22"/>
          <w:szCs w:val="22"/>
        </w:rPr>
      </w:pPr>
      <w:bookmarkStart w:id="4" w:name="_Toc207291693"/>
      <w:r w:rsidRPr="00076681">
        <w:rPr>
          <w:rFonts w:ascii="Palatino Linotype" w:eastAsia="Calibri" w:hAnsi="Palatino Linotype"/>
          <w:b/>
          <w:color w:val="000000" w:themeColor="text1"/>
          <w:sz w:val="22"/>
          <w:szCs w:val="22"/>
        </w:rPr>
        <w:t>III. Interpo</w:t>
      </w:r>
      <w:r w:rsidR="00076681" w:rsidRPr="00076681">
        <w:rPr>
          <w:rFonts w:ascii="Palatino Linotype" w:eastAsia="Calibri" w:hAnsi="Palatino Linotype"/>
          <w:b/>
          <w:color w:val="000000" w:themeColor="text1"/>
          <w:sz w:val="22"/>
          <w:szCs w:val="22"/>
        </w:rPr>
        <w:t>sición del Recurso de Revisión</w:t>
      </w:r>
      <w:bookmarkEnd w:id="4"/>
    </w:p>
    <w:p w14:paraId="462885A3" w14:textId="77777777" w:rsidR="009A627C" w:rsidRPr="00C821DD" w:rsidRDefault="009A627C" w:rsidP="005032B4">
      <w:pPr>
        <w:spacing w:after="0" w:line="360" w:lineRule="auto"/>
        <w:contextualSpacing/>
        <w:rPr>
          <w:rFonts w:eastAsia="Times New Roman" w:cs="Tahoma"/>
          <w:bCs/>
          <w:color w:val="FF0000"/>
          <w:lang w:eastAsia="es-ES"/>
        </w:rPr>
      </w:pPr>
    </w:p>
    <w:p w14:paraId="240D95DA" w14:textId="5520D687" w:rsidR="00DB3DC5" w:rsidRPr="007E364C" w:rsidRDefault="00DB3DC5" w:rsidP="005032B4">
      <w:pPr>
        <w:widowControl w:val="0"/>
        <w:spacing w:after="0" w:line="360" w:lineRule="auto"/>
        <w:contextualSpacing/>
        <w:rPr>
          <w:rFonts w:eastAsia="Calibri" w:cs="Times New Roman"/>
          <w:bCs/>
          <w:color w:val="auto"/>
        </w:rPr>
      </w:pPr>
      <w:r w:rsidRPr="007E364C">
        <w:rPr>
          <w:rFonts w:eastAsia="Calibri" w:cs="Times New Roman"/>
          <w:bCs/>
          <w:color w:val="auto"/>
        </w:rPr>
        <w:t xml:space="preserve">Con fecha </w:t>
      </w:r>
      <w:r w:rsidR="00B72749">
        <w:rPr>
          <w:rFonts w:eastAsia="Calibri" w:cs="Times New Roman"/>
          <w:bCs/>
          <w:color w:val="auto"/>
        </w:rPr>
        <w:t>seis</w:t>
      </w:r>
      <w:r w:rsidR="006C3E75">
        <w:rPr>
          <w:rFonts w:eastAsia="Calibri" w:cs="Times New Roman"/>
          <w:bCs/>
          <w:color w:val="auto"/>
        </w:rPr>
        <w:t xml:space="preserve"> de mayo</w:t>
      </w:r>
      <w:r w:rsidR="00E40ED9">
        <w:rPr>
          <w:rFonts w:eastAsia="Calibri" w:cs="Times New Roman"/>
          <w:bCs/>
          <w:color w:val="auto"/>
        </w:rPr>
        <w:t xml:space="preserve"> de dos mil veinticinco</w:t>
      </w:r>
      <w:r w:rsidRPr="007E364C">
        <w:rPr>
          <w:rFonts w:eastAsia="Calibri" w:cs="Times New Roman"/>
          <w:bCs/>
          <w:color w:val="auto"/>
        </w:rPr>
        <w:t xml:space="preserve">, </w:t>
      </w:r>
      <w:r w:rsidRPr="007E364C">
        <w:rPr>
          <w:rFonts w:eastAsia="Calibri" w:cs="Times New Roman"/>
          <w:bCs/>
          <w:color w:val="auto"/>
          <w:lang w:val="es-ES"/>
        </w:rPr>
        <w:t xml:space="preserve">se recibió en este Instituto, a través del Sistema de Acceso a la Información Mexiquense (SAIMEX), </w:t>
      </w:r>
      <w:r w:rsidR="00002991" w:rsidRPr="007E364C">
        <w:rPr>
          <w:rFonts w:eastAsia="Calibri" w:cs="Times New Roman"/>
          <w:bCs/>
          <w:color w:val="auto"/>
          <w:lang w:val="es-ES"/>
        </w:rPr>
        <w:t>el</w:t>
      </w:r>
      <w:r w:rsidR="006A0867" w:rsidRPr="007E364C">
        <w:rPr>
          <w:rFonts w:eastAsia="Calibri" w:cs="Times New Roman"/>
          <w:bCs/>
          <w:color w:val="auto"/>
          <w:lang w:val="es-ES"/>
        </w:rPr>
        <w:t xml:space="preserve"> </w:t>
      </w:r>
      <w:r w:rsidRPr="007E364C">
        <w:rPr>
          <w:rFonts w:eastAsia="Calibri" w:cs="Times New Roman"/>
          <w:bCs/>
          <w:color w:val="auto"/>
          <w:lang w:val="es-ES"/>
        </w:rPr>
        <w:t>Recurso de Revisión interpuesto por la parte Recurrente, en contra de la respuesta del Sujeto Obligado</w:t>
      </w:r>
      <w:r w:rsidR="003B5DA8">
        <w:rPr>
          <w:rFonts w:eastAsia="Calibri" w:cs="Times New Roman"/>
          <w:color w:val="auto"/>
        </w:rPr>
        <w:t>,</w:t>
      </w:r>
      <w:r w:rsidR="005400EE" w:rsidRPr="007E364C">
        <w:rPr>
          <w:rFonts w:eastAsia="Calibri" w:cs="Times New Roman"/>
          <w:color w:val="auto"/>
        </w:rPr>
        <w:t xml:space="preserve"> </w:t>
      </w:r>
      <w:r w:rsidRPr="007E364C">
        <w:rPr>
          <w:rFonts w:eastAsia="Times New Roman" w:cs="Tahoma"/>
          <w:bCs/>
          <w:color w:val="auto"/>
          <w:lang w:val="es-ES" w:eastAsia="es-ES"/>
        </w:rPr>
        <w:t>en los siguientes términos:</w:t>
      </w:r>
    </w:p>
    <w:p w14:paraId="383A8105" w14:textId="77777777" w:rsidR="00DB3DC5" w:rsidRPr="00C821DD" w:rsidRDefault="00DB3DC5" w:rsidP="005032B4">
      <w:pPr>
        <w:tabs>
          <w:tab w:val="left" w:pos="4667"/>
        </w:tabs>
        <w:spacing w:after="0" w:line="360" w:lineRule="auto"/>
        <w:ind w:left="567" w:right="567"/>
        <w:contextualSpacing/>
        <w:rPr>
          <w:rFonts w:cs="Tahoma"/>
          <w:b/>
          <w:bCs/>
          <w:i/>
          <w:color w:val="FF0000"/>
          <w:sz w:val="20"/>
          <w:szCs w:val="20"/>
        </w:rPr>
      </w:pPr>
    </w:p>
    <w:p w14:paraId="0E422949" w14:textId="77777777" w:rsidR="006A0867" w:rsidRPr="0068386C" w:rsidRDefault="006A0867" w:rsidP="005032B4">
      <w:pPr>
        <w:tabs>
          <w:tab w:val="left" w:pos="4667"/>
        </w:tabs>
        <w:spacing w:after="0" w:line="360" w:lineRule="auto"/>
        <w:ind w:left="567" w:right="567"/>
        <w:rPr>
          <w:b/>
          <w:i/>
          <w:iCs/>
          <w:color w:val="auto"/>
          <w:sz w:val="20"/>
          <w:szCs w:val="20"/>
        </w:rPr>
      </w:pPr>
      <w:r w:rsidRPr="0068386C">
        <w:rPr>
          <w:b/>
          <w:i/>
          <w:iCs/>
          <w:color w:val="auto"/>
          <w:sz w:val="20"/>
          <w:szCs w:val="20"/>
        </w:rPr>
        <w:t>“ACTO IMPUGNADO</w:t>
      </w:r>
    </w:p>
    <w:p w14:paraId="199F28DE" w14:textId="75F009C2" w:rsidR="006A0867" w:rsidRPr="0068386C" w:rsidRDefault="006C3E75" w:rsidP="005032B4">
      <w:pPr>
        <w:tabs>
          <w:tab w:val="left" w:pos="4667"/>
        </w:tabs>
        <w:spacing w:after="0" w:line="360" w:lineRule="auto"/>
        <w:ind w:left="567" w:right="567"/>
        <w:rPr>
          <w:i/>
          <w:iCs/>
          <w:color w:val="auto"/>
          <w:sz w:val="20"/>
          <w:szCs w:val="20"/>
        </w:rPr>
      </w:pPr>
      <w:r>
        <w:rPr>
          <w:i/>
          <w:color w:val="000000"/>
          <w:sz w:val="20"/>
          <w:szCs w:val="20"/>
        </w:rPr>
        <w:t>NO ENTREGA INFORMACION</w:t>
      </w:r>
      <w:r w:rsidR="006A0867" w:rsidRPr="0068386C">
        <w:rPr>
          <w:i/>
          <w:iCs/>
          <w:color w:val="auto"/>
          <w:sz w:val="20"/>
          <w:szCs w:val="20"/>
        </w:rPr>
        <w:t>” (Sic.)</w:t>
      </w:r>
    </w:p>
    <w:p w14:paraId="349885DE" w14:textId="77777777" w:rsidR="006A0867" w:rsidRPr="00C821DD" w:rsidRDefault="006A0867" w:rsidP="005032B4">
      <w:pPr>
        <w:tabs>
          <w:tab w:val="left" w:pos="4667"/>
        </w:tabs>
        <w:spacing w:after="0" w:line="360" w:lineRule="auto"/>
        <w:ind w:left="567" w:right="567"/>
        <w:rPr>
          <w:rFonts w:cs="Tahoma"/>
          <w:bCs/>
          <w:i/>
          <w:color w:val="FF0000"/>
          <w:sz w:val="20"/>
          <w:szCs w:val="20"/>
        </w:rPr>
      </w:pPr>
    </w:p>
    <w:p w14:paraId="09EF88BF" w14:textId="77777777" w:rsidR="006A0867" w:rsidRPr="0064639F" w:rsidRDefault="006A0867" w:rsidP="005032B4">
      <w:pPr>
        <w:tabs>
          <w:tab w:val="left" w:pos="4667"/>
        </w:tabs>
        <w:spacing w:after="0" w:line="360" w:lineRule="auto"/>
        <w:ind w:left="567" w:right="567"/>
        <w:rPr>
          <w:rFonts w:cs="Tahoma"/>
          <w:b/>
          <w:bCs/>
          <w:i/>
          <w:color w:val="auto"/>
          <w:sz w:val="20"/>
          <w:szCs w:val="20"/>
        </w:rPr>
      </w:pPr>
      <w:r w:rsidRPr="0064639F">
        <w:rPr>
          <w:rFonts w:cs="Tahoma"/>
          <w:b/>
          <w:bCs/>
          <w:i/>
          <w:color w:val="auto"/>
          <w:sz w:val="20"/>
          <w:szCs w:val="20"/>
        </w:rPr>
        <w:lastRenderedPageBreak/>
        <w:t>“RAZONES O MOTIVOS DE LA INCONFORMIDAD</w:t>
      </w:r>
    </w:p>
    <w:p w14:paraId="02D7EFF3" w14:textId="77777777" w:rsidR="006C3E75" w:rsidRPr="0068386C" w:rsidRDefault="006C3E75" w:rsidP="006C3E75">
      <w:pPr>
        <w:tabs>
          <w:tab w:val="left" w:pos="4667"/>
        </w:tabs>
        <w:spacing w:after="0" w:line="360" w:lineRule="auto"/>
        <w:ind w:left="567" w:right="567"/>
        <w:rPr>
          <w:i/>
          <w:iCs/>
          <w:color w:val="auto"/>
          <w:sz w:val="20"/>
          <w:szCs w:val="20"/>
        </w:rPr>
      </w:pPr>
      <w:r>
        <w:rPr>
          <w:i/>
          <w:color w:val="000000"/>
          <w:sz w:val="20"/>
          <w:szCs w:val="20"/>
        </w:rPr>
        <w:t>NO ENTREGA INFORMACION</w:t>
      </w:r>
      <w:r w:rsidRPr="0068386C">
        <w:rPr>
          <w:i/>
          <w:iCs/>
          <w:color w:val="auto"/>
          <w:sz w:val="20"/>
          <w:szCs w:val="20"/>
        </w:rPr>
        <w:t>” (Sic.)</w:t>
      </w:r>
    </w:p>
    <w:p w14:paraId="5EF80AD3" w14:textId="77777777" w:rsidR="00667107" w:rsidRPr="00667107" w:rsidRDefault="00667107" w:rsidP="005032B4">
      <w:pPr>
        <w:tabs>
          <w:tab w:val="left" w:pos="4667"/>
        </w:tabs>
        <w:spacing w:after="0" w:line="360" w:lineRule="auto"/>
        <w:ind w:right="567"/>
        <w:rPr>
          <w:i/>
          <w:iCs/>
          <w:color w:val="auto"/>
          <w:sz w:val="20"/>
          <w:szCs w:val="20"/>
        </w:rPr>
      </w:pPr>
    </w:p>
    <w:p w14:paraId="2D3CE335" w14:textId="2BF858B6" w:rsidR="00DB3DC5" w:rsidRPr="00076681" w:rsidRDefault="00DB3DC5" w:rsidP="005032B4">
      <w:pPr>
        <w:pStyle w:val="Ttulo2"/>
        <w:spacing w:before="0" w:line="360" w:lineRule="auto"/>
        <w:rPr>
          <w:rFonts w:ascii="Palatino Linotype" w:eastAsia="Batang" w:hAnsi="Palatino Linotype"/>
          <w:b/>
          <w:color w:val="000000" w:themeColor="text1"/>
          <w:sz w:val="22"/>
          <w:szCs w:val="22"/>
        </w:rPr>
      </w:pPr>
      <w:bookmarkStart w:id="5" w:name="_Toc207291694"/>
      <w:r w:rsidRPr="00076681">
        <w:rPr>
          <w:rFonts w:ascii="Palatino Linotype" w:eastAsia="Calibri" w:hAnsi="Palatino Linotype"/>
          <w:b/>
          <w:color w:val="000000" w:themeColor="text1"/>
          <w:sz w:val="22"/>
          <w:szCs w:val="22"/>
        </w:rPr>
        <w:t xml:space="preserve">IV. </w:t>
      </w:r>
      <w:r w:rsidRPr="00076681">
        <w:rPr>
          <w:rFonts w:ascii="Palatino Linotype" w:eastAsia="Batang" w:hAnsi="Palatino Linotype"/>
          <w:b/>
          <w:color w:val="000000" w:themeColor="text1"/>
          <w:sz w:val="22"/>
          <w:szCs w:val="22"/>
        </w:rPr>
        <w:t>Trámite del Recurso de Revisión</w:t>
      </w:r>
      <w:r w:rsidRPr="00076681">
        <w:rPr>
          <w:rFonts w:ascii="Palatino Linotype" w:eastAsia="Calibri" w:hAnsi="Palatino Linotype"/>
          <w:b/>
          <w:color w:val="000000" w:themeColor="text1"/>
          <w:sz w:val="22"/>
          <w:szCs w:val="22"/>
        </w:rPr>
        <w:t xml:space="preserve"> </w:t>
      </w:r>
      <w:r w:rsidR="00076681">
        <w:rPr>
          <w:rFonts w:ascii="Palatino Linotype" w:eastAsia="Batang" w:hAnsi="Palatino Linotype"/>
          <w:b/>
          <w:color w:val="000000" w:themeColor="text1"/>
          <w:sz w:val="22"/>
          <w:szCs w:val="22"/>
        </w:rPr>
        <w:t>ante este Instituto</w:t>
      </w:r>
      <w:bookmarkEnd w:id="5"/>
    </w:p>
    <w:p w14:paraId="13E537D5" w14:textId="77777777" w:rsidR="00DB3DC5" w:rsidRPr="00C821DD" w:rsidRDefault="00DB3DC5" w:rsidP="005032B4">
      <w:pPr>
        <w:spacing w:after="0" w:line="360" w:lineRule="auto"/>
        <w:contextualSpacing/>
        <w:rPr>
          <w:rFonts w:eastAsia="Batang" w:cs="Tahoma"/>
          <w:b/>
          <w:bCs/>
          <w:color w:val="FF0000"/>
        </w:rPr>
      </w:pPr>
    </w:p>
    <w:p w14:paraId="5B9B961B" w14:textId="1764B91C" w:rsidR="00DB3DC5" w:rsidRPr="00060723" w:rsidRDefault="00DB3DC5" w:rsidP="005032B4">
      <w:pPr>
        <w:spacing w:after="0" w:line="360" w:lineRule="auto"/>
        <w:contextualSpacing/>
        <w:rPr>
          <w:rFonts w:eastAsia="Batang" w:cs="Tahoma"/>
          <w:b/>
          <w:bCs/>
          <w:color w:val="auto"/>
        </w:rPr>
      </w:pPr>
      <w:bookmarkStart w:id="6" w:name="_Toc189676771"/>
      <w:bookmarkStart w:id="7" w:name="_Toc207291695"/>
      <w:r w:rsidRPr="00A94CDA">
        <w:rPr>
          <w:rStyle w:val="Ttulo2Car"/>
          <w:rFonts w:ascii="Palatino Linotype" w:hAnsi="Palatino Linotype"/>
          <w:b/>
          <w:color w:val="000000" w:themeColor="text1"/>
          <w:sz w:val="22"/>
          <w:szCs w:val="22"/>
        </w:rPr>
        <w:t>a) Turno del Medio de Impugnación.</w:t>
      </w:r>
      <w:bookmarkEnd w:id="6"/>
      <w:bookmarkEnd w:id="7"/>
      <w:r w:rsidRPr="00A94CDA">
        <w:rPr>
          <w:rFonts w:eastAsia="Batang" w:cs="Tahoma"/>
          <w:b/>
          <w:bCs/>
        </w:rPr>
        <w:t xml:space="preserve"> </w:t>
      </w:r>
      <w:r w:rsidRPr="00060723">
        <w:rPr>
          <w:rFonts w:eastAsia="Batang" w:cs="Tahoma"/>
          <w:bCs/>
          <w:color w:val="auto"/>
        </w:rPr>
        <w:t xml:space="preserve">El </w:t>
      </w:r>
      <w:r w:rsidR="006A5843">
        <w:rPr>
          <w:rFonts w:eastAsia="Batang" w:cs="Tahoma"/>
          <w:bCs/>
          <w:color w:val="auto"/>
        </w:rPr>
        <w:t>seis</w:t>
      </w:r>
      <w:r w:rsidR="00B732D1">
        <w:rPr>
          <w:rFonts w:eastAsia="Batang" w:cs="Tahoma"/>
          <w:bCs/>
          <w:color w:val="auto"/>
        </w:rPr>
        <w:t xml:space="preserve"> </w:t>
      </w:r>
      <w:r w:rsidR="006C3E75">
        <w:rPr>
          <w:rFonts w:eastAsia="Batang" w:cs="Tahoma"/>
          <w:bCs/>
          <w:color w:val="auto"/>
        </w:rPr>
        <w:t>de mayo</w:t>
      </w:r>
      <w:r w:rsidR="00E063FC" w:rsidRPr="00060723">
        <w:rPr>
          <w:rFonts w:eastAsia="Batang" w:cs="Tahoma"/>
          <w:bCs/>
          <w:color w:val="auto"/>
        </w:rPr>
        <w:t xml:space="preserve"> </w:t>
      </w:r>
      <w:r w:rsidR="00B732D1">
        <w:rPr>
          <w:rFonts w:eastAsia="Times New Roman" w:cs="Tahoma"/>
          <w:bCs/>
          <w:color w:val="auto"/>
          <w:lang w:eastAsia="es-ES"/>
        </w:rPr>
        <w:t xml:space="preserve">de dos mil </w:t>
      </w:r>
      <w:r w:rsidR="00CF76E0">
        <w:rPr>
          <w:rFonts w:eastAsia="Times New Roman" w:cs="Tahoma"/>
          <w:bCs/>
          <w:color w:val="auto"/>
          <w:lang w:eastAsia="es-ES"/>
        </w:rPr>
        <w:t>veinticinco,</w:t>
      </w:r>
      <w:r w:rsidRPr="00060723">
        <w:rPr>
          <w:rFonts w:eastAsia="Batang" w:cs="Tahoma"/>
          <w:bCs/>
          <w:color w:val="auto"/>
        </w:rPr>
        <w:t xml:space="preserve"> el </w:t>
      </w:r>
      <w:r w:rsidRPr="00060723">
        <w:rPr>
          <w:rFonts w:eastAsia="Calibri" w:cs="Tahoma"/>
          <w:color w:val="auto"/>
          <w:lang w:val="es-ES"/>
        </w:rPr>
        <w:t>Sistema de Acceso a la Información Mexiquense (SAIMEX),</w:t>
      </w:r>
      <w:r w:rsidRPr="00060723">
        <w:rPr>
          <w:rFonts w:eastAsia="Batang" w:cs="Tahoma"/>
          <w:bCs/>
          <w:color w:val="auto"/>
        </w:rPr>
        <w:t xml:space="preserve"> </w:t>
      </w:r>
      <w:r w:rsidR="0089704B" w:rsidRPr="00060723">
        <w:rPr>
          <w:rFonts w:eastAsia="Batang" w:cs="Tahoma"/>
          <w:bCs/>
          <w:color w:val="auto"/>
          <w:lang w:val="es-ES_tradnl"/>
        </w:rPr>
        <w:t xml:space="preserve">asignó </w:t>
      </w:r>
      <w:r w:rsidR="0003316E" w:rsidRPr="00060723">
        <w:rPr>
          <w:rFonts w:eastAsia="Batang" w:cs="Tahoma"/>
          <w:bCs/>
          <w:color w:val="auto"/>
          <w:lang w:val="es-ES_tradnl"/>
        </w:rPr>
        <w:t>el</w:t>
      </w:r>
      <w:r w:rsidR="0089704B" w:rsidRPr="00060723">
        <w:rPr>
          <w:rFonts w:eastAsia="Batang" w:cs="Tahoma"/>
          <w:bCs/>
          <w:color w:val="auto"/>
          <w:lang w:val="es-ES_tradnl"/>
        </w:rPr>
        <w:t xml:space="preserve"> número de expediente</w:t>
      </w:r>
      <w:r w:rsidR="00031961">
        <w:rPr>
          <w:rFonts w:eastAsia="Batang" w:cs="Tahoma"/>
          <w:bCs/>
          <w:color w:val="auto"/>
          <w:lang w:val="es-ES_tradnl"/>
        </w:rPr>
        <w:t xml:space="preserve"> </w:t>
      </w:r>
      <w:r w:rsidR="00B72749" w:rsidRPr="00031961">
        <w:rPr>
          <w:rFonts w:eastAsia="Calibri" w:cs="Tahoma"/>
          <w:b/>
          <w:color w:val="auto"/>
        </w:rPr>
        <w:t>0</w:t>
      </w:r>
      <w:r w:rsidR="006C3E75">
        <w:rPr>
          <w:rFonts w:eastAsia="Calibri" w:cs="Tahoma"/>
          <w:b/>
          <w:color w:val="auto"/>
        </w:rPr>
        <w:t>5146</w:t>
      </w:r>
      <w:r w:rsidR="00B72749" w:rsidRPr="00031961">
        <w:rPr>
          <w:rFonts w:eastAsia="Calibri" w:cs="Tahoma"/>
          <w:b/>
          <w:color w:val="auto"/>
        </w:rPr>
        <w:t>/INFOEM/IP/RR/2025</w:t>
      </w:r>
      <w:r w:rsidRPr="00060723">
        <w:rPr>
          <w:rFonts w:eastAsia="Batang" w:cs="Tahoma"/>
          <w:bCs/>
          <w:color w:val="auto"/>
        </w:rPr>
        <w:t xml:space="preserve">, al Medio de Impugnación que nos ocupa, con base en el sistema aprobado por el Pleno de este Órgano Garante y lo turnó al </w:t>
      </w:r>
      <w:r w:rsidRPr="00060723">
        <w:rPr>
          <w:rFonts w:eastAsia="Batang" w:cs="Tahoma"/>
          <w:b/>
          <w:color w:val="auto"/>
        </w:rPr>
        <w:t>Comisionado Ponente Luis Gustavo Parra Noriega</w:t>
      </w:r>
      <w:r w:rsidRPr="00060723">
        <w:rPr>
          <w:rFonts w:eastAsia="Batang" w:cs="Tahoma"/>
          <w:bCs/>
          <w:color w:val="auto"/>
        </w:rPr>
        <w:t>, para los efectos del artículo 185, fracción I de la Ley de Transparencia y Acceso a la Información Pública del Estado de México y Municipios.</w:t>
      </w:r>
    </w:p>
    <w:p w14:paraId="7ADA7EB2" w14:textId="77777777" w:rsidR="00DB3DC5" w:rsidRPr="00C821DD" w:rsidRDefault="00DB3DC5" w:rsidP="005032B4">
      <w:pPr>
        <w:spacing w:after="0" w:line="360" w:lineRule="auto"/>
        <w:contextualSpacing/>
        <w:rPr>
          <w:rFonts w:eastAsia="Batang" w:cs="Tahoma"/>
          <w:bCs/>
          <w:color w:val="FF0000"/>
        </w:rPr>
      </w:pPr>
    </w:p>
    <w:p w14:paraId="2B3B5A4B" w14:textId="71C1ECB4" w:rsidR="00DB3DC5" w:rsidRDefault="00DB3DC5" w:rsidP="005032B4">
      <w:pPr>
        <w:spacing w:after="0" w:line="360" w:lineRule="auto"/>
        <w:contextualSpacing/>
        <w:rPr>
          <w:rFonts w:eastAsia="Times New Roman" w:cs="Tahoma"/>
          <w:bCs/>
          <w:color w:val="auto"/>
          <w:lang w:val="es-ES_tradnl" w:eastAsia="es-ES"/>
        </w:rPr>
      </w:pPr>
      <w:bookmarkStart w:id="8" w:name="_Toc189676772"/>
      <w:bookmarkStart w:id="9" w:name="_Toc207291696"/>
      <w:r w:rsidRPr="00A94CDA">
        <w:rPr>
          <w:rStyle w:val="Ttulo2Car"/>
          <w:rFonts w:ascii="Palatino Linotype" w:hAnsi="Palatino Linotype"/>
          <w:b/>
          <w:color w:val="000000" w:themeColor="text1"/>
          <w:sz w:val="22"/>
          <w:szCs w:val="22"/>
        </w:rPr>
        <w:t>b) Admisión de</w:t>
      </w:r>
      <w:r w:rsidR="00EA3D68" w:rsidRPr="00A94CDA">
        <w:rPr>
          <w:rStyle w:val="Ttulo2Car"/>
          <w:rFonts w:ascii="Palatino Linotype" w:hAnsi="Palatino Linotype"/>
          <w:b/>
          <w:color w:val="000000" w:themeColor="text1"/>
          <w:sz w:val="22"/>
          <w:szCs w:val="22"/>
        </w:rPr>
        <w:t>l</w:t>
      </w:r>
      <w:r w:rsidRPr="00A94CDA">
        <w:rPr>
          <w:rStyle w:val="Ttulo2Car"/>
          <w:rFonts w:ascii="Palatino Linotype" w:hAnsi="Palatino Linotype"/>
          <w:b/>
          <w:color w:val="000000" w:themeColor="text1"/>
          <w:sz w:val="22"/>
          <w:szCs w:val="22"/>
        </w:rPr>
        <w:t xml:space="preserve"> Recurso de Revisión.</w:t>
      </w:r>
      <w:bookmarkEnd w:id="8"/>
      <w:bookmarkEnd w:id="9"/>
      <w:r w:rsidRPr="00A94CDA">
        <w:rPr>
          <w:rFonts w:eastAsia="Times New Roman" w:cs="Tahoma"/>
          <w:b/>
          <w:bCs/>
          <w:lang w:val="es-ES_tradnl" w:eastAsia="es-ES"/>
        </w:rPr>
        <w:t xml:space="preserve"> </w:t>
      </w:r>
      <w:r w:rsidRPr="00992875">
        <w:rPr>
          <w:rFonts w:eastAsia="Times New Roman" w:cs="Tahoma"/>
          <w:bCs/>
          <w:color w:val="auto"/>
          <w:lang w:val="es-ES_tradnl" w:eastAsia="es-ES"/>
        </w:rPr>
        <w:t xml:space="preserve">El </w:t>
      </w:r>
      <w:r w:rsidR="006C3E75">
        <w:rPr>
          <w:rFonts w:eastAsia="Times New Roman" w:cs="Tahoma"/>
          <w:bCs/>
          <w:color w:val="auto"/>
          <w:lang w:val="es-ES_tradnl" w:eastAsia="es-ES"/>
        </w:rPr>
        <w:t>nueve de mayo</w:t>
      </w:r>
      <w:r w:rsidR="006778B9" w:rsidRPr="00992875">
        <w:rPr>
          <w:rFonts w:eastAsia="Batang" w:cs="Tahoma"/>
          <w:bCs/>
          <w:color w:val="auto"/>
        </w:rPr>
        <w:t xml:space="preserve"> </w:t>
      </w:r>
      <w:r w:rsidR="00B732D1">
        <w:rPr>
          <w:rFonts w:eastAsia="Batang" w:cs="Tahoma"/>
          <w:bCs/>
          <w:color w:val="auto"/>
        </w:rPr>
        <w:t>de dos mil veinticinco</w:t>
      </w:r>
      <w:r w:rsidRPr="00992875">
        <w:rPr>
          <w:rFonts w:eastAsia="Times New Roman" w:cs="Tahoma"/>
          <w:bCs/>
          <w:color w:val="auto"/>
          <w:lang w:val="es-ES_tradnl" w:eastAsia="es-ES"/>
        </w:rPr>
        <w:t>, se acordó la admisión de</w:t>
      </w:r>
      <w:r w:rsidR="0003316E" w:rsidRPr="00992875">
        <w:rPr>
          <w:rFonts w:eastAsia="Times New Roman" w:cs="Tahoma"/>
          <w:bCs/>
          <w:color w:val="auto"/>
          <w:lang w:val="es-ES_tradnl" w:eastAsia="es-ES"/>
        </w:rPr>
        <w:t>l</w:t>
      </w:r>
      <w:r w:rsidRPr="00992875">
        <w:rPr>
          <w:rFonts w:eastAsia="Times New Roman" w:cs="Tahoma"/>
          <w:bCs/>
          <w:color w:val="auto"/>
          <w:lang w:val="es-ES_tradnl" w:eastAsia="es-ES"/>
        </w:rPr>
        <w:t xml:space="preserve"> Recurso de Revisión interpuesto por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cual fue debidamente notificado a las parte</w:t>
      </w:r>
      <w:r w:rsidR="00A322C2">
        <w:rPr>
          <w:rFonts w:eastAsia="Times New Roman" w:cs="Tahoma"/>
          <w:bCs/>
          <w:color w:val="auto"/>
          <w:lang w:val="es-ES_tradnl" w:eastAsia="es-ES"/>
        </w:rPr>
        <w:t xml:space="preserve">s, el </w:t>
      </w:r>
      <w:r w:rsidR="00B732D1">
        <w:rPr>
          <w:rFonts w:eastAsia="Times New Roman" w:cs="Tahoma"/>
          <w:bCs/>
          <w:color w:val="auto"/>
          <w:lang w:val="es-ES_tradnl" w:eastAsia="es-ES"/>
        </w:rPr>
        <w:t>día</w:t>
      </w:r>
      <w:r w:rsidR="006C3E75">
        <w:rPr>
          <w:rFonts w:eastAsia="Times New Roman" w:cs="Tahoma"/>
          <w:bCs/>
          <w:color w:val="auto"/>
          <w:lang w:val="es-ES_tradnl" w:eastAsia="es-ES"/>
        </w:rPr>
        <w:t xml:space="preserve"> doce de mayo del mismo año</w:t>
      </w:r>
      <w:r w:rsidRPr="0099287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F8B0501" w14:textId="77777777" w:rsidR="00767EFB" w:rsidRPr="00992875" w:rsidRDefault="00767EFB" w:rsidP="005032B4">
      <w:pPr>
        <w:spacing w:after="0" w:line="360" w:lineRule="auto"/>
        <w:contextualSpacing/>
        <w:rPr>
          <w:rFonts w:eastAsia="Times New Roman" w:cs="Tahoma"/>
          <w:b/>
          <w:bCs/>
          <w:color w:val="auto"/>
          <w:lang w:eastAsia="es-ES"/>
        </w:rPr>
      </w:pPr>
    </w:p>
    <w:p w14:paraId="6B26443D" w14:textId="0397160A" w:rsidR="00104D0A" w:rsidRDefault="00767EFB" w:rsidP="006C3E75">
      <w:pPr>
        <w:tabs>
          <w:tab w:val="left" w:pos="3261"/>
        </w:tabs>
        <w:spacing w:after="0" w:line="360" w:lineRule="auto"/>
        <w:rPr>
          <w:rFonts w:cs="Tahoma"/>
          <w:color w:val="auto"/>
          <w:lang w:val="es-ES_tradnl"/>
        </w:rPr>
      </w:pPr>
      <w:bookmarkStart w:id="10" w:name="_Toc189676773"/>
      <w:bookmarkStart w:id="11" w:name="_Toc207291697"/>
      <w:r w:rsidRPr="008B2C31">
        <w:rPr>
          <w:rStyle w:val="Ttulo2Car"/>
          <w:rFonts w:ascii="Palatino Linotype" w:hAnsi="Palatino Linotype"/>
          <w:b/>
          <w:color w:val="000000" w:themeColor="text1"/>
          <w:sz w:val="22"/>
          <w:szCs w:val="22"/>
        </w:rPr>
        <w:t xml:space="preserve">c) </w:t>
      </w:r>
      <w:r w:rsidR="00A322C2" w:rsidRPr="008B2C31">
        <w:rPr>
          <w:rStyle w:val="Ttulo2Car"/>
          <w:rFonts w:ascii="Palatino Linotype" w:hAnsi="Palatino Linotype"/>
          <w:b/>
          <w:color w:val="000000" w:themeColor="text1"/>
          <w:sz w:val="22"/>
          <w:szCs w:val="22"/>
        </w:rPr>
        <w:t>Infor</w:t>
      </w:r>
      <w:r w:rsidR="00CF76E0">
        <w:rPr>
          <w:rStyle w:val="Ttulo2Car"/>
          <w:rFonts w:ascii="Palatino Linotype" w:hAnsi="Palatino Linotype"/>
          <w:b/>
          <w:color w:val="000000" w:themeColor="text1"/>
          <w:sz w:val="22"/>
          <w:szCs w:val="22"/>
        </w:rPr>
        <w:t>me Justificado</w:t>
      </w:r>
      <w:r w:rsidR="000C3EED">
        <w:rPr>
          <w:rStyle w:val="Ttulo2Car"/>
          <w:rFonts w:ascii="Palatino Linotype" w:hAnsi="Palatino Linotype"/>
          <w:b/>
          <w:color w:val="000000" w:themeColor="text1"/>
          <w:sz w:val="22"/>
          <w:szCs w:val="22"/>
        </w:rPr>
        <w:t xml:space="preserve"> o Manifestaciones</w:t>
      </w:r>
      <w:r w:rsidR="00A322C2" w:rsidRPr="008B2C31">
        <w:rPr>
          <w:rStyle w:val="Ttulo2Car"/>
          <w:rFonts w:ascii="Palatino Linotype" w:hAnsi="Palatino Linotype"/>
          <w:b/>
          <w:color w:val="000000" w:themeColor="text1"/>
          <w:sz w:val="22"/>
          <w:szCs w:val="22"/>
        </w:rPr>
        <w:t>.</w:t>
      </w:r>
      <w:bookmarkEnd w:id="10"/>
      <w:bookmarkEnd w:id="11"/>
      <w:r w:rsidR="00CF76E0">
        <w:rPr>
          <w:rFonts w:cs="Tahoma"/>
          <w:bCs/>
          <w:iCs/>
          <w:lang w:val="es-ES"/>
        </w:rPr>
        <w:t xml:space="preserve"> </w:t>
      </w:r>
      <w:r w:rsidR="006C3E75">
        <w:rPr>
          <w:rFonts w:cs="Tahoma"/>
          <w:bCs/>
          <w:iCs/>
          <w:lang w:val="es-ES"/>
        </w:rPr>
        <w:t xml:space="preserve">Las partes fueron omisas en realizar manifestaciones o alegatos. </w:t>
      </w:r>
    </w:p>
    <w:p w14:paraId="2950AAC1" w14:textId="77777777" w:rsidR="00B456E9" w:rsidRDefault="00B456E9" w:rsidP="005032B4">
      <w:pPr>
        <w:spacing w:after="0" w:line="360" w:lineRule="auto"/>
        <w:contextualSpacing/>
        <w:rPr>
          <w:rFonts w:cs="Tahoma"/>
          <w:b/>
          <w:color w:val="FF0000"/>
        </w:rPr>
      </w:pPr>
    </w:p>
    <w:p w14:paraId="5502083E" w14:textId="596EC890" w:rsidR="000C3EED" w:rsidRPr="000C3EED" w:rsidRDefault="000C3EED" w:rsidP="000C3EED">
      <w:pPr>
        <w:spacing w:after="0" w:line="360" w:lineRule="auto"/>
        <w:rPr>
          <w:rFonts w:eastAsia="Times New Roman" w:cs="Tahoma"/>
          <w:color w:val="000000"/>
          <w:szCs w:val="24"/>
          <w:lang w:eastAsia="es-ES"/>
        </w:rPr>
      </w:pPr>
      <w:r>
        <w:rPr>
          <w:rFonts w:eastAsia="Times New Roman" w:cs="Tahoma"/>
          <w:b/>
          <w:color w:val="000000"/>
          <w:szCs w:val="24"/>
          <w:lang w:eastAsia="es-ES"/>
        </w:rPr>
        <w:t>d</w:t>
      </w:r>
      <w:r w:rsidRPr="000C3EED">
        <w:rPr>
          <w:rFonts w:eastAsia="Times New Roman" w:cs="Tahoma"/>
          <w:b/>
          <w:color w:val="000000"/>
          <w:szCs w:val="24"/>
          <w:lang w:eastAsia="es-ES"/>
        </w:rPr>
        <w:t xml:space="preserve">) Ampliación de plazo para resolver. </w:t>
      </w:r>
      <w:r w:rsidRPr="000C3EED">
        <w:rPr>
          <w:rFonts w:eastAsia="Times New Roman" w:cs="Tahoma"/>
          <w:color w:val="000000"/>
          <w:szCs w:val="24"/>
          <w:lang w:eastAsia="es-ES"/>
        </w:rPr>
        <w:t xml:space="preserve">El </w:t>
      </w:r>
      <w:r>
        <w:rPr>
          <w:rFonts w:eastAsia="Times New Roman" w:cs="Tahoma"/>
          <w:color w:val="000000"/>
          <w:szCs w:val="24"/>
          <w:lang w:eastAsia="es-ES"/>
        </w:rPr>
        <w:t>doce de agosto</w:t>
      </w:r>
      <w:r w:rsidRPr="000C3EED">
        <w:rPr>
          <w:rFonts w:eastAsia="Times New Roman" w:cs="Tahoma"/>
          <w:color w:val="000000"/>
          <w:szCs w:val="24"/>
          <w:lang w:eastAsia="es-ES"/>
        </w:rPr>
        <w:t xml:space="preserve"> de dos mil veinticinco, el Comisionado Ponente, con fundamento en lo dispuesto por el artículo 181, párrafo tercero, de la Ley de Transparencia y Acceso a la Información Pública del Estado de México y </w:t>
      </w:r>
      <w:r w:rsidRPr="000C3EED">
        <w:rPr>
          <w:rFonts w:eastAsia="Times New Roman" w:cs="Tahoma"/>
          <w:color w:val="000000"/>
          <w:szCs w:val="24"/>
          <w:lang w:eastAsia="es-ES"/>
        </w:rPr>
        <w:lastRenderedPageBreak/>
        <w:t xml:space="preserve">Municipios, acordó ampliar por un </w:t>
      </w:r>
      <w:r>
        <w:rPr>
          <w:rFonts w:eastAsia="Times New Roman" w:cs="Tahoma"/>
          <w:color w:val="000000"/>
          <w:szCs w:val="24"/>
          <w:lang w:eastAsia="es-ES"/>
        </w:rPr>
        <w:t>plazo razonable</w:t>
      </w:r>
      <w:r w:rsidRPr="000C3EED">
        <w:rPr>
          <w:rFonts w:eastAsia="Times New Roman" w:cs="Tahoma"/>
          <w:color w:val="000000"/>
          <w:szCs w:val="24"/>
          <w:lang w:eastAsia="es-ES"/>
        </w:rPr>
        <w:t xml:space="preserve">, el plazo para resolver el Recurso de Revisión que nos ocupa; acto que fue notificado </w:t>
      </w:r>
      <w:r>
        <w:rPr>
          <w:rFonts w:eastAsia="Times New Roman" w:cs="Tahoma"/>
          <w:color w:val="000000"/>
          <w:szCs w:val="24"/>
          <w:lang w:eastAsia="es-ES"/>
        </w:rPr>
        <w:t xml:space="preserve">el </w:t>
      </w:r>
      <w:r w:rsidR="00CB603C">
        <w:rPr>
          <w:rFonts w:eastAsia="Times New Roman" w:cs="Tahoma"/>
          <w:color w:val="000000"/>
          <w:szCs w:val="24"/>
          <w:lang w:eastAsia="es-ES"/>
        </w:rPr>
        <w:t>diecinueve del mismo mes y año</w:t>
      </w:r>
      <w:r w:rsidRPr="000C3EED">
        <w:rPr>
          <w:rFonts w:eastAsia="Times New Roman" w:cs="Tahoma"/>
          <w:color w:val="000000"/>
          <w:szCs w:val="24"/>
          <w:lang w:eastAsia="es-ES"/>
        </w:rPr>
        <w:t>, mediante el Sistema de Acceso a la Información Mexiquense (SAIMEX).</w:t>
      </w:r>
    </w:p>
    <w:p w14:paraId="7C549C6D" w14:textId="77777777" w:rsidR="000C3EED" w:rsidRPr="00767EFB" w:rsidRDefault="000C3EED" w:rsidP="005032B4">
      <w:pPr>
        <w:spacing w:after="0" w:line="360" w:lineRule="auto"/>
        <w:contextualSpacing/>
        <w:rPr>
          <w:rFonts w:cs="Tahoma"/>
          <w:b/>
          <w:color w:val="FF0000"/>
        </w:rPr>
      </w:pPr>
    </w:p>
    <w:p w14:paraId="403F7296" w14:textId="49CD2AA9" w:rsidR="00DB3DC5" w:rsidRPr="00DD0E44" w:rsidRDefault="000C3EED" w:rsidP="005032B4">
      <w:pPr>
        <w:autoSpaceDE w:val="0"/>
        <w:autoSpaceDN w:val="0"/>
        <w:adjustRightInd w:val="0"/>
        <w:spacing w:after="0" w:line="360" w:lineRule="auto"/>
        <w:ind w:right="-28"/>
        <w:contextualSpacing/>
        <w:rPr>
          <w:rFonts w:eastAsia="Calibri" w:cs="Tahoma"/>
          <w:bCs/>
          <w:color w:val="auto"/>
        </w:rPr>
      </w:pPr>
      <w:bookmarkStart w:id="12" w:name="_Toc189676774"/>
      <w:bookmarkStart w:id="13" w:name="_Toc207291698"/>
      <w:r>
        <w:rPr>
          <w:rStyle w:val="Ttulo2Car"/>
          <w:rFonts w:ascii="Palatino Linotype" w:hAnsi="Palatino Linotype"/>
          <w:b/>
          <w:bCs/>
          <w:color w:val="auto"/>
          <w:sz w:val="22"/>
          <w:szCs w:val="22"/>
        </w:rPr>
        <w:t>e</w:t>
      </w:r>
      <w:r w:rsidR="0014339D" w:rsidRPr="00510F63">
        <w:rPr>
          <w:rStyle w:val="Ttulo2Car"/>
          <w:rFonts w:ascii="Palatino Linotype" w:hAnsi="Palatino Linotype"/>
          <w:b/>
          <w:bCs/>
          <w:color w:val="auto"/>
          <w:sz w:val="22"/>
          <w:szCs w:val="22"/>
        </w:rPr>
        <w:t xml:space="preserve">) </w:t>
      </w:r>
      <w:r w:rsidR="00DB3DC5" w:rsidRPr="00510F63">
        <w:rPr>
          <w:rStyle w:val="Ttulo2Car"/>
          <w:rFonts w:ascii="Palatino Linotype" w:hAnsi="Palatino Linotype"/>
          <w:b/>
          <w:bCs/>
          <w:color w:val="auto"/>
          <w:sz w:val="22"/>
          <w:szCs w:val="22"/>
        </w:rPr>
        <w:t>Cierre de instrucción.</w:t>
      </w:r>
      <w:bookmarkEnd w:id="12"/>
      <w:bookmarkEnd w:id="13"/>
      <w:r w:rsidR="00DB3DC5" w:rsidRPr="00510F63">
        <w:rPr>
          <w:rFonts w:eastAsia="Times New Roman" w:cs="Tahoma"/>
          <w:color w:val="auto"/>
          <w:szCs w:val="24"/>
          <w:lang w:eastAsia="es-ES"/>
        </w:rPr>
        <w:t xml:space="preserve"> E</w:t>
      </w:r>
      <w:r w:rsidR="00DB3DC5" w:rsidRPr="00CB603C">
        <w:rPr>
          <w:rFonts w:eastAsia="Times New Roman" w:cs="Tahoma"/>
          <w:color w:val="auto"/>
          <w:szCs w:val="24"/>
          <w:lang w:eastAsia="es-ES"/>
        </w:rPr>
        <w:t>l</w:t>
      </w:r>
      <w:r w:rsidR="00CB603C" w:rsidRPr="00CB603C">
        <w:rPr>
          <w:rFonts w:eastAsia="Times New Roman" w:cs="Tahoma"/>
          <w:color w:val="auto"/>
          <w:szCs w:val="24"/>
          <w:lang w:eastAsia="es-ES"/>
        </w:rPr>
        <w:t xml:space="preserve"> veinte</w:t>
      </w:r>
      <w:r w:rsidRPr="00CB603C">
        <w:rPr>
          <w:rFonts w:eastAsia="Times New Roman" w:cs="Tahoma"/>
          <w:color w:val="auto"/>
          <w:szCs w:val="24"/>
          <w:lang w:eastAsia="es-ES"/>
        </w:rPr>
        <w:t xml:space="preserve"> </w:t>
      </w:r>
      <w:r w:rsidR="0042086C" w:rsidRPr="00CB603C">
        <w:rPr>
          <w:rFonts w:eastAsia="Times New Roman" w:cs="Tahoma"/>
          <w:color w:val="auto"/>
          <w:szCs w:val="24"/>
          <w:lang w:eastAsia="es-ES"/>
        </w:rPr>
        <w:t>de agosto</w:t>
      </w:r>
      <w:r w:rsidR="00DD0E44" w:rsidRPr="00CB603C">
        <w:rPr>
          <w:rFonts w:eastAsia="Times New Roman" w:cs="Tahoma"/>
          <w:color w:val="auto"/>
          <w:szCs w:val="24"/>
          <w:lang w:eastAsia="es-ES"/>
        </w:rPr>
        <w:t xml:space="preserve"> </w:t>
      </w:r>
      <w:r w:rsidR="00B732D1" w:rsidRPr="00CB603C">
        <w:rPr>
          <w:rFonts w:eastAsia="Times New Roman" w:cs="Tahoma"/>
          <w:color w:val="auto"/>
          <w:szCs w:val="24"/>
          <w:lang w:eastAsia="es-ES"/>
        </w:rPr>
        <w:t>de dos mil veinticinco</w:t>
      </w:r>
      <w:r w:rsidR="00DB3DC5" w:rsidRPr="00CB603C">
        <w:rPr>
          <w:rFonts w:eastAsia="Times New Roman" w:cs="Tahoma"/>
          <w:color w:val="auto"/>
          <w:szCs w:val="24"/>
          <w:lang w:eastAsia="es-ES"/>
        </w:rPr>
        <w:t>,</w:t>
      </w:r>
      <w:r w:rsidR="00DB3DC5" w:rsidRPr="00DD0E44">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DB3DC5" w:rsidRPr="00DD0E44">
        <w:rPr>
          <w:rFonts w:eastAsia="Times New Roman" w:cs="Tahoma"/>
          <w:color w:val="auto"/>
          <w:szCs w:val="20"/>
          <w:lang w:val="es-ES" w:eastAsia="es-ES"/>
        </w:rPr>
        <w:t>Sistema de Acceso a la Información Mexiquense (SAIMEX)</w:t>
      </w:r>
      <w:r w:rsidR="00DB3DC5" w:rsidRPr="00DD0E44">
        <w:rPr>
          <w:rFonts w:eastAsia="Times New Roman" w:cs="Tahoma"/>
          <w:color w:val="auto"/>
          <w:szCs w:val="24"/>
          <w:lang w:eastAsia="es-ES"/>
        </w:rPr>
        <w:t xml:space="preserve">. </w:t>
      </w:r>
    </w:p>
    <w:p w14:paraId="44D053F7" w14:textId="77777777" w:rsidR="0014339D" w:rsidRPr="00CF76E0" w:rsidRDefault="0014339D" w:rsidP="005032B4">
      <w:pPr>
        <w:autoSpaceDE w:val="0"/>
        <w:autoSpaceDN w:val="0"/>
        <w:adjustRightInd w:val="0"/>
        <w:spacing w:after="0" w:line="360" w:lineRule="auto"/>
        <w:ind w:right="-28"/>
        <w:contextualSpacing/>
        <w:rPr>
          <w:rFonts w:eastAsia="Calibri" w:cs="Tahoma"/>
          <w:bCs/>
          <w:color w:val="auto"/>
          <w:highlight w:val="red"/>
        </w:rPr>
      </w:pPr>
    </w:p>
    <w:p w14:paraId="0A452CDE" w14:textId="599BF557" w:rsidR="00DB3DC5" w:rsidRDefault="00DB3DC5" w:rsidP="00914A32">
      <w:pPr>
        <w:spacing w:after="0" w:line="360" w:lineRule="auto"/>
        <w:contextualSpacing/>
        <w:rPr>
          <w:rFonts w:eastAsia="Times New Roman" w:cs="Tahoma"/>
          <w:color w:val="auto"/>
          <w:szCs w:val="24"/>
          <w:lang w:eastAsia="es-ES"/>
        </w:rPr>
      </w:pPr>
      <w:proofErr w:type="gramStart"/>
      <w:r w:rsidRPr="00DD0E44">
        <w:rPr>
          <w:rFonts w:eastAsia="Times New Roman" w:cs="Tahoma"/>
          <w:color w:val="auto"/>
          <w:szCs w:val="24"/>
          <w:lang w:eastAsia="es-ES"/>
        </w:rPr>
        <w:t>En razón de</w:t>
      </w:r>
      <w:proofErr w:type="gramEnd"/>
      <w:r w:rsidRPr="00DD0E44">
        <w:rPr>
          <w:rFonts w:eastAsia="Times New Roman" w:cs="Tahoma"/>
          <w:color w:val="auto"/>
          <w:szCs w:val="24"/>
          <w:lang w:eastAsia="es-ES"/>
        </w:rPr>
        <w:t xml:space="preserve"> que fue debidamente sustanciado e integrado el expediente electrónico y no existe diligencia pendiente de desahogo, se emite la resolución que conforme a Derecho proceda, </w:t>
      </w:r>
      <w:r w:rsidR="00E168B3" w:rsidRPr="00DD0E44">
        <w:rPr>
          <w:rFonts w:eastAsia="Times New Roman" w:cs="Tahoma"/>
          <w:color w:val="auto"/>
          <w:szCs w:val="24"/>
          <w:lang w:eastAsia="es-ES"/>
        </w:rPr>
        <w:t>de acuerdo con</w:t>
      </w:r>
      <w:r w:rsidRPr="00DD0E44">
        <w:rPr>
          <w:rFonts w:eastAsia="Times New Roman" w:cs="Tahoma"/>
          <w:color w:val="auto"/>
          <w:szCs w:val="24"/>
          <w:lang w:eastAsia="es-ES"/>
        </w:rPr>
        <w:t xml:space="preserve"> los siguientes:</w:t>
      </w:r>
    </w:p>
    <w:p w14:paraId="719D1A08" w14:textId="77777777" w:rsidR="0042086C" w:rsidRPr="00914A32" w:rsidRDefault="0042086C" w:rsidP="00914A32">
      <w:pPr>
        <w:spacing w:after="0" w:line="360" w:lineRule="auto"/>
        <w:contextualSpacing/>
        <w:rPr>
          <w:rFonts w:eastAsia="Times New Roman" w:cs="Tahoma"/>
          <w:color w:val="auto"/>
          <w:szCs w:val="24"/>
          <w:lang w:eastAsia="es-ES"/>
        </w:rPr>
      </w:pPr>
    </w:p>
    <w:p w14:paraId="1AD6FB2C" w14:textId="338C6782" w:rsidR="00DB3DC5" w:rsidRPr="00076681" w:rsidRDefault="00076681" w:rsidP="005032B4">
      <w:pPr>
        <w:pStyle w:val="Ttulo1"/>
        <w:spacing w:before="0" w:line="360" w:lineRule="auto"/>
        <w:jc w:val="center"/>
        <w:rPr>
          <w:rFonts w:ascii="Palatino Linotype" w:eastAsia="Times New Roman" w:hAnsi="Palatino Linotype"/>
          <w:b/>
          <w:color w:val="000000" w:themeColor="text1"/>
          <w:sz w:val="22"/>
          <w:szCs w:val="22"/>
          <w:lang w:val="es-ES" w:eastAsia="es-ES"/>
        </w:rPr>
      </w:pPr>
      <w:bookmarkStart w:id="14" w:name="_Toc207291699"/>
      <w:r>
        <w:rPr>
          <w:rFonts w:ascii="Palatino Linotype" w:eastAsia="Times New Roman" w:hAnsi="Palatino Linotype"/>
          <w:b/>
          <w:color w:val="000000" w:themeColor="text1"/>
          <w:sz w:val="22"/>
          <w:szCs w:val="22"/>
          <w:lang w:val="es-ES" w:eastAsia="es-ES"/>
        </w:rPr>
        <w:t>C O N S I D E R A N D O S</w:t>
      </w:r>
      <w:bookmarkEnd w:id="14"/>
    </w:p>
    <w:p w14:paraId="446E7524" w14:textId="77777777" w:rsidR="00DB3DC5" w:rsidRPr="00767EFB" w:rsidRDefault="00DB3DC5" w:rsidP="005032B4">
      <w:pPr>
        <w:spacing w:after="0" w:line="360" w:lineRule="auto"/>
        <w:contextualSpacing/>
        <w:jc w:val="center"/>
        <w:rPr>
          <w:rFonts w:eastAsia="Times New Roman" w:cs="Tahoma"/>
          <w:b/>
          <w:color w:val="auto"/>
          <w:lang w:val="es-ES" w:eastAsia="es-ES"/>
        </w:rPr>
      </w:pPr>
    </w:p>
    <w:p w14:paraId="5C90BBB8" w14:textId="2F93BE5A"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5" w:name="_Toc207291700"/>
      <w:r w:rsidRPr="00076681">
        <w:rPr>
          <w:rFonts w:ascii="Palatino Linotype" w:eastAsia="Calibri" w:hAnsi="Palatino Linotype"/>
          <w:b/>
          <w:color w:val="000000" w:themeColor="text1"/>
          <w:sz w:val="22"/>
          <w:szCs w:val="22"/>
          <w:lang w:val="es-ES" w:eastAsia="es-MX"/>
        </w:rPr>
        <w:t xml:space="preserve">PRIMERO. </w:t>
      </w:r>
      <w:r w:rsidR="00076681" w:rsidRPr="00076681">
        <w:rPr>
          <w:rFonts w:ascii="Palatino Linotype" w:eastAsia="Times New Roman" w:hAnsi="Palatino Linotype"/>
          <w:b/>
          <w:color w:val="000000" w:themeColor="text1"/>
          <w:sz w:val="22"/>
          <w:szCs w:val="22"/>
          <w:lang w:val="es-ES" w:eastAsia="es-ES"/>
        </w:rPr>
        <w:t>Competencia</w:t>
      </w:r>
      <w:bookmarkEnd w:id="15"/>
    </w:p>
    <w:p w14:paraId="377E7349" w14:textId="77777777" w:rsidR="00DB3DC5" w:rsidRPr="00C821DD" w:rsidRDefault="00DB3DC5" w:rsidP="005032B4">
      <w:pPr>
        <w:autoSpaceDE w:val="0"/>
        <w:autoSpaceDN w:val="0"/>
        <w:adjustRightInd w:val="0"/>
        <w:spacing w:after="0" w:line="360" w:lineRule="auto"/>
        <w:contextualSpacing/>
        <w:rPr>
          <w:rFonts w:eastAsia="Times New Roman" w:cs="Tahoma"/>
          <w:b/>
          <w:color w:val="FF0000"/>
          <w:szCs w:val="24"/>
          <w:lang w:val="es-ES" w:eastAsia="es-ES"/>
        </w:rPr>
      </w:pPr>
    </w:p>
    <w:p w14:paraId="34F007D6" w14:textId="10701F96" w:rsidR="00DB3DC5" w:rsidRDefault="004B6629" w:rsidP="005032B4">
      <w:pPr>
        <w:autoSpaceDE w:val="0"/>
        <w:autoSpaceDN w:val="0"/>
        <w:adjustRightInd w:val="0"/>
        <w:spacing w:after="0" w:line="360" w:lineRule="auto"/>
        <w:contextualSpacing/>
        <w:rPr>
          <w:rFonts w:eastAsia="Times New Roman" w:cs="Tahoma"/>
          <w:bCs/>
          <w:color w:val="auto"/>
          <w:lang w:eastAsia="es-ES"/>
        </w:rPr>
      </w:pPr>
      <w:r w:rsidRPr="004B662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w:t>
      </w:r>
      <w:r w:rsidRPr="004B6629">
        <w:rPr>
          <w:rFonts w:eastAsia="Times New Roman" w:cs="Tahoma"/>
          <w:bCs/>
          <w:color w:val="auto"/>
          <w:lang w:eastAsia="es-ES"/>
        </w:rPr>
        <w:lastRenderedPageBreak/>
        <w:t>Municipios: 7°, 9°, fracciones I y XXIII y 11 del Reglamento Interior del Instituto de Transparencia, Acceso a la Información Pública y Protección de Datos Personales del Estado de México y Municipios.</w:t>
      </w:r>
    </w:p>
    <w:p w14:paraId="38788067" w14:textId="77777777" w:rsidR="004B6629" w:rsidRPr="004F74F5" w:rsidRDefault="004B6629" w:rsidP="005032B4">
      <w:pPr>
        <w:autoSpaceDE w:val="0"/>
        <w:autoSpaceDN w:val="0"/>
        <w:adjustRightInd w:val="0"/>
        <w:spacing w:after="0" w:line="360" w:lineRule="auto"/>
        <w:contextualSpacing/>
        <w:rPr>
          <w:rFonts w:eastAsia="Calibri" w:cs="Tahoma"/>
          <w:b/>
          <w:color w:val="auto"/>
          <w:szCs w:val="24"/>
          <w:lang w:val="es-ES" w:eastAsia="es-MX"/>
        </w:rPr>
      </w:pPr>
    </w:p>
    <w:p w14:paraId="77696DE3" w14:textId="33801258"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6" w:name="_Toc207291701"/>
      <w:r w:rsidRPr="00076681">
        <w:rPr>
          <w:rFonts w:ascii="Palatino Linotype" w:eastAsia="Calibri" w:hAnsi="Palatino Linotype"/>
          <w:b/>
          <w:color w:val="000000" w:themeColor="text1"/>
          <w:sz w:val="22"/>
          <w:szCs w:val="22"/>
          <w:lang w:val="es-ES" w:eastAsia="es-MX"/>
        </w:rPr>
        <w:t xml:space="preserve">SEGUNDO. </w:t>
      </w:r>
      <w:r w:rsidRPr="00076681">
        <w:rPr>
          <w:rFonts w:ascii="Palatino Linotype" w:eastAsia="Times New Roman" w:hAnsi="Palatino Linotype"/>
          <w:b/>
          <w:color w:val="000000" w:themeColor="text1"/>
          <w:sz w:val="22"/>
          <w:szCs w:val="22"/>
          <w:lang w:val="es-ES" w:eastAsia="es-ES"/>
        </w:rPr>
        <w:t>Causales de</w:t>
      </w:r>
      <w:r w:rsidR="00076681" w:rsidRPr="00076681">
        <w:rPr>
          <w:rFonts w:ascii="Palatino Linotype" w:eastAsia="Times New Roman" w:hAnsi="Palatino Linotype"/>
          <w:b/>
          <w:color w:val="000000" w:themeColor="text1"/>
          <w:sz w:val="22"/>
          <w:szCs w:val="22"/>
          <w:lang w:val="es-ES" w:eastAsia="es-ES"/>
        </w:rPr>
        <w:t xml:space="preserve"> improcedencia y sobreseimiento</w:t>
      </w:r>
      <w:bookmarkEnd w:id="16"/>
      <w:r w:rsidRPr="00076681">
        <w:rPr>
          <w:rFonts w:ascii="Palatino Linotype" w:eastAsia="Times New Roman" w:hAnsi="Palatino Linotype"/>
          <w:b/>
          <w:color w:val="000000" w:themeColor="text1"/>
          <w:sz w:val="22"/>
          <w:szCs w:val="22"/>
          <w:lang w:val="es-ES" w:eastAsia="es-ES"/>
        </w:rPr>
        <w:t xml:space="preserve"> </w:t>
      </w:r>
    </w:p>
    <w:p w14:paraId="22A992CE" w14:textId="77777777" w:rsidR="00DB3DC5" w:rsidRPr="004F74F5" w:rsidRDefault="00DB3DC5" w:rsidP="005032B4">
      <w:pPr>
        <w:autoSpaceDE w:val="0"/>
        <w:autoSpaceDN w:val="0"/>
        <w:adjustRightInd w:val="0"/>
        <w:spacing w:after="0" w:line="360" w:lineRule="auto"/>
        <w:contextualSpacing/>
        <w:rPr>
          <w:rFonts w:eastAsia="Times New Roman" w:cs="Tahoma"/>
          <w:color w:val="auto"/>
          <w:szCs w:val="24"/>
          <w:lang w:val="es-ES" w:eastAsia="es-ES"/>
        </w:rPr>
      </w:pPr>
    </w:p>
    <w:p w14:paraId="5E71ADB2" w14:textId="77777777" w:rsidR="00DB3DC5" w:rsidRPr="004F74F5" w:rsidRDefault="00DB3DC5" w:rsidP="005032B4">
      <w:pPr>
        <w:autoSpaceDE w:val="0"/>
        <w:autoSpaceDN w:val="0"/>
        <w:adjustRightInd w:val="0"/>
        <w:spacing w:after="0" w:line="360" w:lineRule="auto"/>
        <w:contextualSpacing/>
        <w:rPr>
          <w:rFonts w:eastAsia="Times New Roman" w:cs="Tahoma"/>
          <w:color w:val="auto"/>
          <w:szCs w:val="24"/>
          <w:lang w:val="es-ES" w:eastAsia="es-ES"/>
        </w:rPr>
      </w:pPr>
      <w:r w:rsidRPr="004F74F5">
        <w:rPr>
          <w:rFonts w:eastAsia="Times New Roman" w:cs="Tahoma"/>
          <w:color w:val="auto"/>
          <w:szCs w:val="24"/>
          <w:lang w:val="es-ES" w:eastAsia="es-ES"/>
        </w:rPr>
        <w:t xml:space="preserve">De las constancias que forma parte del Recurso de Revisión que se analiza, se advierte que previo al estudio del fondo de la </w:t>
      </w:r>
      <w:r w:rsidRPr="004F74F5">
        <w:rPr>
          <w:rFonts w:eastAsia="Times New Roman" w:cs="Tahoma"/>
          <w:i/>
          <w:color w:val="auto"/>
          <w:szCs w:val="24"/>
          <w:lang w:val="es-ES" w:eastAsia="es-ES"/>
        </w:rPr>
        <w:t>litis</w:t>
      </w:r>
      <w:r w:rsidRPr="004F74F5">
        <w:rPr>
          <w:rFonts w:eastAsia="Times New Roman" w:cs="Tahoma"/>
          <w:color w:val="auto"/>
          <w:szCs w:val="24"/>
          <w:lang w:val="es-ES" w:eastAsia="es-ES"/>
        </w:rPr>
        <w:t>, es necesario estudiar las causales de improcedencia y sobreseimiento que se adviertan, para determinar lo que en Derecho proceda.</w:t>
      </w:r>
    </w:p>
    <w:p w14:paraId="4A215CBB" w14:textId="77777777" w:rsidR="00DB3DC5" w:rsidRPr="004F74F5" w:rsidRDefault="00DB3DC5" w:rsidP="005032B4">
      <w:pPr>
        <w:spacing w:after="0" w:line="360" w:lineRule="auto"/>
        <w:contextualSpacing/>
        <w:rPr>
          <w:b/>
          <w:color w:val="auto"/>
          <w:lang w:val="es-ES"/>
        </w:rPr>
      </w:pPr>
    </w:p>
    <w:p w14:paraId="7CEF4E51" w14:textId="77777777" w:rsidR="00DB3DC5" w:rsidRPr="004F74F5" w:rsidRDefault="00DB3DC5" w:rsidP="005032B4">
      <w:pPr>
        <w:spacing w:after="0" w:line="360" w:lineRule="auto"/>
        <w:contextualSpacing/>
        <w:rPr>
          <w:b/>
          <w:color w:val="auto"/>
          <w:lang w:val="es-ES"/>
        </w:rPr>
      </w:pPr>
      <w:r w:rsidRPr="004F74F5">
        <w:rPr>
          <w:b/>
          <w:color w:val="auto"/>
          <w:lang w:val="es-ES"/>
        </w:rPr>
        <w:t>Causales de improcedencia</w:t>
      </w:r>
    </w:p>
    <w:p w14:paraId="039C7835" w14:textId="77777777" w:rsidR="00DB3DC5" w:rsidRPr="004F74F5" w:rsidRDefault="00DB3DC5" w:rsidP="005032B4">
      <w:pPr>
        <w:spacing w:after="0" w:line="360" w:lineRule="auto"/>
        <w:contextualSpacing/>
        <w:rPr>
          <w:color w:val="auto"/>
        </w:rPr>
      </w:pPr>
    </w:p>
    <w:p w14:paraId="24BC499F" w14:textId="77777777" w:rsidR="00DB3DC5" w:rsidRPr="004F74F5" w:rsidRDefault="00DB3DC5" w:rsidP="005032B4">
      <w:pPr>
        <w:spacing w:after="0" w:line="360" w:lineRule="auto"/>
        <w:contextualSpacing/>
        <w:rPr>
          <w:rFonts w:eastAsia="Times New Roman" w:cs="Tahoma"/>
          <w:color w:val="auto"/>
          <w:lang w:eastAsia="es-ES"/>
        </w:rPr>
      </w:pPr>
      <w:r w:rsidRPr="004F74F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610D5C" w14:textId="77777777" w:rsidR="00DB3DC5" w:rsidRPr="004F74F5" w:rsidRDefault="00DB3DC5" w:rsidP="005032B4">
      <w:pPr>
        <w:spacing w:after="0" w:line="360" w:lineRule="auto"/>
        <w:contextualSpacing/>
        <w:rPr>
          <w:rFonts w:eastAsia="Times New Roman" w:cs="Tahoma"/>
          <w:color w:val="auto"/>
          <w:lang w:eastAsia="es-ES"/>
        </w:rPr>
      </w:pPr>
    </w:p>
    <w:p w14:paraId="344A6FE5" w14:textId="77777777" w:rsidR="00DB3DC5" w:rsidRPr="004F74F5" w:rsidRDefault="00DB3DC5" w:rsidP="005032B4">
      <w:pPr>
        <w:spacing w:after="0" w:line="360" w:lineRule="auto"/>
        <w:contextualSpacing/>
        <w:rPr>
          <w:rFonts w:eastAsia="Times New Roman" w:cs="Tahoma"/>
          <w:color w:val="auto"/>
          <w:lang w:eastAsia="es-ES"/>
        </w:rPr>
      </w:pPr>
      <w:r w:rsidRPr="004F74F5">
        <w:rPr>
          <w:rFonts w:eastAsia="Times New Roman" w:cs="Tahoma"/>
          <w:color w:val="auto"/>
          <w:lang w:eastAsia="es-ES"/>
        </w:rPr>
        <w:t>En el presente caso, </w:t>
      </w:r>
      <w:r w:rsidRPr="004F74F5">
        <w:rPr>
          <w:rFonts w:eastAsia="Times New Roman" w:cs="Tahoma"/>
          <w:b/>
          <w:bCs/>
          <w:color w:val="auto"/>
          <w:lang w:eastAsia="es-ES"/>
        </w:rPr>
        <w:t>no se actualiza ninguna de las causales de improcedencia</w:t>
      </w:r>
      <w:r w:rsidRPr="004F74F5">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4F74F5">
        <w:rPr>
          <w:rFonts w:eastAsia="Times New Roman" w:cs="Tahoma"/>
          <w:color w:val="auto"/>
          <w:lang w:eastAsia="es-ES"/>
        </w:rPr>
        <w:lastRenderedPageBreak/>
        <w:t>formó parte del agravio; ni se realizó una consulta o ampliación a los alcances del requerimiento informativo.</w:t>
      </w:r>
    </w:p>
    <w:p w14:paraId="0308760A" w14:textId="77777777" w:rsidR="00DB3DC5" w:rsidRPr="004F74F5" w:rsidRDefault="00DB3DC5" w:rsidP="005032B4">
      <w:pPr>
        <w:spacing w:after="0" w:line="360" w:lineRule="auto"/>
        <w:contextualSpacing/>
        <w:rPr>
          <w:rFonts w:eastAsia="Times New Roman" w:cs="Tahoma"/>
          <w:color w:val="auto"/>
          <w:lang w:val="es-ES" w:eastAsia="es-ES"/>
        </w:rPr>
      </w:pPr>
    </w:p>
    <w:p w14:paraId="76A50112" w14:textId="0555C624" w:rsidR="00DB3DC5" w:rsidRPr="004F74F5" w:rsidRDefault="00DB3DC5" w:rsidP="005032B4">
      <w:pPr>
        <w:spacing w:after="0" w:line="360" w:lineRule="auto"/>
        <w:contextualSpacing/>
        <w:rPr>
          <w:rFonts w:eastAsia="Times New Roman" w:cs="Tahoma"/>
          <w:bCs/>
          <w:color w:val="auto"/>
          <w:lang w:val="es-ES" w:eastAsia="es-ES"/>
        </w:rPr>
      </w:pPr>
      <w:r w:rsidRPr="004F74F5">
        <w:rPr>
          <w:rFonts w:eastAsia="Times New Roman" w:cs="Tahoma"/>
          <w:color w:val="auto"/>
          <w:lang w:val="es-ES" w:eastAsia="es-ES"/>
        </w:rPr>
        <w:t>Conforme a lo anterior, se actualiza</w:t>
      </w:r>
      <w:r w:rsidR="00DD0E44">
        <w:rPr>
          <w:rFonts w:eastAsia="Times New Roman" w:cs="Tahoma"/>
          <w:color w:val="auto"/>
          <w:lang w:val="es-ES" w:eastAsia="es-ES"/>
        </w:rPr>
        <w:t xml:space="preserve"> </w:t>
      </w:r>
      <w:r w:rsidRPr="004F74F5">
        <w:rPr>
          <w:rFonts w:eastAsia="Times New Roman" w:cs="Tahoma"/>
          <w:color w:val="auto"/>
          <w:lang w:val="es-ES" w:eastAsia="es-ES"/>
        </w:rPr>
        <w:t>la causal de procedencia señalad</w:t>
      </w:r>
      <w:r w:rsidR="00BB36D2" w:rsidRPr="004F74F5">
        <w:rPr>
          <w:rFonts w:eastAsia="Times New Roman" w:cs="Tahoma"/>
          <w:color w:val="auto"/>
          <w:lang w:val="es-ES" w:eastAsia="es-ES"/>
        </w:rPr>
        <w:t xml:space="preserve">a en el artículo 179, </w:t>
      </w:r>
      <w:r w:rsidR="006945D2" w:rsidRPr="006945D2">
        <w:rPr>
          <w:rFonts w:eastAsia="Times New Roman" w:cs="Tahoma"/>
          <w:color w:val="auto"/>
          <w:lang w:val="es-ES" w:eastAsia="es-ES"/>
        </w:rPr>
        <w:t>fracci</w:t>
      </w:r>
      <w:r w:rsidR="00DD0E44">
        <w:rPr>
          <w:rFonts w:eastAsia="Times New Roman" w:cs="Tahoma"/>
          <w:color w:val="auto"/>
          <w:lang w:val="es-ES" w:eastAsia="es-ES"/>
        </w:rPr>
        <w:t>ón V</w:t>
      </w:r>
      <w:r w:rsidRPr="006945D2">
        <w:rPr>
          <w:rFonts w:eastAsia="Times New Roman" w:cs="Tahoma"/>
          <w:color w:val="auto"/>
          <w:lang w:val="es-ES" w:eastAsia="es-ES"/>
        </w:rPr>
        <w:t>, de</w:t>
      </w:r>
      <w:r w:rsidRPr="004F74F5">
        <w:rPr>
          <w:rFonts w:eastAsia="Times New Roman" w:cs="Tahoma"/>
          <w:color w:val="auto"/>
          <w:lang w:val="es-ES" w:eastAsia="es-ES"/>
        </w:rPr>
        <w:t xml:space="preserve"> la Ley de la materia</w:t>
      </w:r>
      <w:r w:rsidRPr="004F74F5">
        <w:rPr>
          <w:rFonts w:eastAsia="Times New Roman" w:cs="Tahoma"/>
          <w:bCs/>
          <w:color w:val="auto"/>
          <w:lang w:val="es-ES" w:eastAsia="es-ES"/>
        </w:rPr>
        <w:t xml:space="preserve">, toda vez que el Solicitante se inconformó con la </w:t>
      </w:r>
      <w:r w:rsidR="00771B61" w:rsidRPr="004F74F5">
        <w:rPr>
          <w:rFonts w:eastAsia="Times New Roman" w:cs="Tahoma"/>
          <w:bCs/>
          <w:color w:val="auto"/>
          <w:lang w:val="es-ES" w:eastAsia="es-ES"/>
        </w:rPr>
        <w:t xml:space="preserve">entrega de información </w:t>
      </w:r>
      <w:r w:rsidR="00DD0E44">
        <w:rPr>
          <w:rFonts w:eastAsia="Times New Roman" w:cs="Tahoma"/>
          <w:bCs/>
          <w:color w:val="auto"/>
          <w:lang w:val="es-ES" w:eastAsia="es-ES"/>
        </w:rPr>
        <w:t>incompleta</w:t>
      </w:r>
      <w:r w:rsidR="002F1D02">
        <w:rPr>
          <w:rFonts w:eastAsia="Times New Roman" w:cs="Tahoma"/>
          <w:bCs/>
          <w:color w:val="auto"/>
          <w:lang w:val="es-ES" w:eastAsia="es-ES"/>
        </w:rPr>
        <w:t xml:space="preserve">. </w:t>
      </w:r>
    </w:p>
    <w:p w14:paraId="33270C86" w14:textId="77777777" w:rsidR="00DB3DC5" w:rsidRPr="004F74F5" w:rsidRDefault="00DB3DC5" w:rsidP="005032B4">
      <w:pPr>
        <w:spacing w:after="0" w:line="360" w:lineRule="auto"/>
        <w:contextualSpacing/>
        <w:rPr>
          <w:rFonts w:cs="Tahoma"/>
          <w:color w:val="auto"/>
          <w:lang w:val="es-ES"/>
        </w:rPr>
      </w:pPr>
    </w:p>
    <w:p w14:paraId="1F9679C3"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b/>
          <w:color w:val="0D0D0D"/>
          <w:lang w:eastAsia="es-MX"/>
        </w:rPr>
        <w:t>Causales de sobreseimiento</w:t>
      </w:r>
    </w:p>
    <w:p w14:paraId="6ACA01E8" w14:textId="77777777" w:rsidR="0096358C" w:rsidRPr="0096358C" w:rsidRDefault="0096358C" w:rsidP="0096358C">
      <w:pPr>
        <w:spacing w:after="0" w:line="360" w:lineRule="auto"/>
        <w:rPr>
          <w:rFonts w:eastAsia="Palatino Linotype" w:cs="Palatino Linotype"/>
          <w:color w:val="0D0D0D"/>
          <w:lang w:eastAsia="es-MX"/>
        </w:rPr>
      </w:pPr>
    </w:p>
    <w:p w14:paraId="62B819D7"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Por ser de previo y especial pronunciamiento, este Instituto analiza si se actualiza alguna causal de sobreseimiento.</w:t>
      </w:r>
    </w:p>
    <w:p w14:paraId="4BC430FC" w14:textId="77777777" w:rsidR="0096358C" w:rsidRPr="0096358C" w:rsidRDefault="0096358C" w:rsidP="0096358C">
      <w:pPr>
        <w:spacing w:after="0" w:line="360" w:lineRule="auto"/>
        <w:rPr>
          <w:rFonts w:eastAsia="Palatino Linotype" w:cs="Palatino Linotype"/>
          <w:color w:val="0D0D0D"/>
          <w:lang w:eastAsia="es-MX"/>
        </w:rPr>
      </w:pPr>
    </w:p>
    <w:p w14:paraId="40981242" w14:textId="77777777" w:rsidR="0096358C" w:rsidRPr="0096358C" w:rsidRDefault="0096358C" w:rsidP="0096358C">
      <w:pPr>
        <w:spacing w:after="0" w:line="360" w:lineRule="auto"/>
        <w:rPr>
          <w:rFonts w:eastAsia="Palatino Linotype" w:cs="Palatino Linotype"/>
          <w:color w:val="000000"/>
          <w:lang w:eastAsia="es-MX"/>
        </w:rPr>
      </w:pPr>
      <w:r w:rsidRPr="0096358C">
        <w:rPr>
          <w:rFonts w:eastAsia="Palatino Linotype" w:cs="Palatino Linotype"/>
          <w:color w:val="0D0D0D"/>
          <w:lang w:eastAsia="es-MX"/>
        </w:rPr>
        <w:t>Sobre el tema, e</w:t>
      </w:r>
      <w:r w:rsidRPr="0096358C">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501383C" w14:textId="77777777" w:rsidR="0096358C" w:rsidRPr="0096358C" w:rsidRDefault="0096358C" w:rsidP="0096358C">
      <w:pPr>
        <w:spacing w:after="0" w:line="360" w:lineRule="auto"/>
        <w:rPr>
          <w:rFonts w:eastAsia="Palatino Linotype" w:cs="Palatino Linotype"/>
          <w:color w:val="000000"/>
          <w:lang w:eastAsia="es-MX"/>
        </w:rPr>
      </w:pPr>
    </w:p>
    <w:p w14:paraId="3AD7097F"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 xml:space="preserve">Por tales motivos, se considera procedente entrar al fondo del presente asunto. </w:t>
      </w:r>
    </w:p>
    <w:p w14:paraId="51FFF3D0" w14:textId="77777777" w:rsidR="00DB3DC5" w:rsidRPr="004F74F5" w:rsidRDefault="00DB3DC5" w:rsidP="005032B4">
      <w:pPr>
        <w:spacing w:after="0" w:line="360" w:lineRule="auto"/>
        <w:contextualSpacing/>
        <w:rPr>
          <w:rFonts w:eastAsia="Times New Roman" w:cs="Tahoma"/>
          <w:b/>
          <w:bCs/>
          <w:iCs/>
          <w:color w:val="auto"/>
          <w:lang w:val="es-ES" w:eastAsia="es-ES"/>
        </w:rPr>
      </w:pPr>
    </w:p>
    <w:p w14:paraId="633955FE" w14:textId="54B7B231"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7" w:name="_Toc207291702"/>
      <w:r w:rsidRPr="00076681">
        <w:rPr>
          <w:rFonts w:ascii="Palatino Linotype" w:eastAsia="Times New Roman" w:hAnsi="Palatino Linotype"/>
          <w:b/>
          <w:color w:val="000000" w:themeColor="text1"/>
          <w:sz w:val="22"/>
          <w:szCs w:val="22"/>
          <w:lang w:val="es-ES" w:eastAsia="es-ES"/>
        </w:rPr>
        <w:t>TERCERO. De</w:t>
      </w:r>
      <w:r w:rsidR="00076681" w:rsidRPr="00076681">
        <w:rPr>
          <w:rFonts w:ascii="Palatino Linotype" w:eastAsia="Times New Roman" w:hAnsi="Palatino Linotype"/>
          <w:b/>
          <w:color w:val="000000" w:themeColor="text1"/>
          <w:sz w:val="22"/>
          <w:szCs w:val="22"/>
          <w:lang w:val="es-ES" w:eastAsia="es-ES"/>
        </w:rPr>
        <w:t>terminación de la Controversia</w:t>
      </w:r>
      <w:bookmarkEnd w:id="17"/>
    </w:p>
    <w:p w14:paraId="29A4CC8A" w14:textId="77777777" w:rsidR="00DB3DC5" w:rsidRPr="00C821DD" w:rsidRDefault="00DB3DC5" w:rsidP="005032B4">
      <w:pPr>
        <w:autoSpaceDE w:val="0"/>
        <w:autoSpaceDN w:val="0"/>
        <w:adjustRightInd w:val="0"/>
        <w:spacing w:after="0" w:line="360" w:lineRule="auto"/>
        <w:contextualSpacing/>
        <w:rPr>
          <w:rFonts w:eastAsia="Calibri" w:cs="Tahoma"/>
          <w:color w:val="FF0000"/>
          <w:lang w:val="es-ES" w:eastAsia="es-MX"/>
        </w:rPr>
      </w:pPr>
    </w:p>
    <w:p w14:paraId="0C864300" w14:textId="2B4ED48A" w:rsidR="00FD19DD" w:rsidRDefault="00D0244F" w:rsidP="005032B4">
      <w:pPr>
        <w:spacing w:after="0" w:line="360" w:lineRule="auto"/>
        <w:rPr>
          <w:rFonts w:cs="Tahoma"/>
          <w:color w:val="auto"/>
        </w:rPr>
      </w:pPr>
      <w:r w:rsidRPr="009C3492">
        <w:rPr>
          <w:rFonts w:eastAsia="Calibri" w:cs="Tahoma"/>
          <w:iCs/>
          <w:color w:val="auto"/>
          <w:lang w:val="es-ES" w:eastAsia="es-ES_tradnl"/>
        </w:rPr>
        <w:lastRenderedPageBreak/>
        <w:t xml:space="preserve">Una vez realizado el estudio de las constancias que integran el expediente en que se actúa, se desprende </w:t>
      </w:r>
      <w:r w:rsidRPr="009C3492">
        <w:rPr>
          <w:rFonts w:cs="Tahoma"/>
          <w:color w:val="auto"/>
        </w:rPr>
        <w:t xml:space="preserve">que el Recurrente </w:t>
      </w:r>
      <w:r w:rsidR="001E59AF" w:rsidRPr="009C3492">
        <w:rPr>
          <w:rFonts w:cs="Tahoma"/>
          <w:color w:val="auto"/>
        </w:rPr>
        <w:t xml:space="preserve">requirió </w:t>
      </w:r>
      <w:r w:rsidR="00C765ED">
        <w:rPr>
          <w:rFonts w:cs="Tahoma"/>
          <w:color w:val="auto"/>
        </w:rPr>
        <w:t xml:space="preserve">la lista de los beneficiarios de los programas sociales de los últimos cinco años, es decir, </w:t>
      </w:r>
      <w:r w:rsidR="00E168B3">
        <w:rPr>
          <w:rFonts w:cs="Tahoma"/>
          <w:color w:val="auto"/>
        </w:rPr>
        <w:t>del tres</w:t>
      </w:r>
      <w:r w:rsidR="00C765ED">
        <w:rPr>
          <w:rFonts w:cs="Tahoma"/>
          <w:color w:val="auto"/>
        </w:rPr>
        <w:t xml:space="preserve"> de abril de dos mil v</w:t>
      </w:r>
      <w:r w:rsidR="008601B7">
        <w:rPr>
          <w:rFonts w:cs="Tahoma"/>
          <w:color w:val="auto"/>
        </w:rPr>
        <w:t xml:space="preserve">einte al tres de abril de dos mil </w:t>
      </w:r>
      <w:r w:rsidR="00D26C03">
        <w:rPr>
          <w:rFonts w:cs="Tahoma"/>
          <w:color w:val="auto"/>
        </w:rPr>
        <w:t>veinticinco</w:t>
      </w:r>
      <w:r w:rsidR="000E4566">
        <w:rPr>
          <w:rFonts w:cs="Tahoma"/>
          <w:color w:val="auto"/>
        </w:rPr>
        <w:t xml:space="preserve">, que incluya nombres completos, edad, ubicación y tipo de programa del cual recibieron apoyo.  </w:t>
      </w:r>
    </w:p>
    <w:p w14:paraId="6ACC4ED2" w14:textId="77777777" w:rsidR="00F87269" w:rsidRPr="00F87269" w:rsidRDefault="00F87269" w:rsidP="005032B4">
      <w:pPr>
        <w:spacing w:after="0" w:line="360" w:lineRule="auto"/>
        <w:rPr>
          <w:rFonts w:cs="Tahoma"/>
          <w:color w:val="auto"/>
        </w:rPr>
      </w:pPr>
    </w:p>
    <w:p w14:paraId="71EA3622" w14:textId="664E779F" w:rsidR="00B456E9" w:rsidRDefault="00D0244F" w:rsidP="005032B4">
      <w:pPr>
        <w:spacing w:after="0" w:line="360" w:lineRule="auto"/>
        <w:ind w:right="-28"/>
        <w:rPr>
          <w:rFonts w:eastAsia="Calibri" w:cs="Tahoma"/>
          <w:color w:val="auto"/>
        </w:rPr>
      </w:pPr>
      <w:r w:rsidRPr="001F22AA">
        <w:rPr>
          <w:rFonts w:cs="Tahoma"/>
          <w:bCs/>
          <w:iCs/>
          <w:color w:val="auto"/>
          <w:lang w:val="es-ES"/>
        </w:rPr>
        <w:t xml:space="preserve">En respuesta, el Sujeto Obligado, por medio de </w:t>
      </w:r>
      <w:r w:rsidR="001E59AF" w:rsidRPr="001F22AA">
        <w:rPr>
          <w:rFonts w:cs="Tahoma"/>
          <w:bCs/>
          <w:iCs/>
          <w:color w:val="auto"/>
          <w:lang w:val="es-ES"/>
        </w:rPr>
        <w:t xml:space="preserve">la </w:t>
      </w:r>
      <w:r w:rsidR="00524ED6">
        <w:rPr>
          <w:rFonts w:cs="Tahoma"/>
          <w:bCs/>
          <w:iCs/>
          <w:color w:val="auto"/>
          <w:lang w:val="es-ES"/>
        </w:rPr>
        <w:t xml:space="preserve">Dirección de </w:t>
      </w:r>
      <w:r w:rsidR="00720383">
        <w:rPr>
          <w:rFonts w:cs="Tahoma"/>
          <w:bCs/>
          <w:iCs/>
          <w:color w:val="auto"/>
          <w:lang w:val="es-ES"/>
        </w:rPr>
        <w:t xml:space="preserve">Desarrollo Social </w:t>
      </w:r>
      <w:r w:rsidR="001C4397">
        <w:rPr>
          <w:rFonts w:cs="Tahoma"/>
          <w:bCs/>
          <w:iCs/>
          <w:color w:val="auto"/>
          <w:lang w:val="es-ES"/>
        </w:rPr>
        <w:t xml:space="preserve">precisó que </w:t>
      </w:r>
      <w:r w:rsidR="000E4566">
        <w:rPr>
          <w:rFonts w:cs="Tahoma"/>
          <w:bCs/>
          <w:iCs/>
          <w:color w:val="auto"/>
          <w:lang w:val="es-ES"/>
        </w:rPr>
        <w:t>durante los años dos mil veintidós, dos mil veintitrés y dos mil veinticuatro, ejecutó programas de despensas y remitió las relaciones de beneficiarios con los nombres, municipio y el tipo de apoyo o programa</w:t>
      </w:r>
      <w:r w:rsidR="00914B0A">
        <w:rPr>
          <w:rFonts w:cs="Tahoma"/>
          <w:color w:val="auto"/>
          <w:lang w:val="es-ES"/>
        </w:rPr>
        <w:t xml:space="preserve">; ante dicha circunstancia, </w:t>
      </w:r>
      <w:r w:rsidRPr="003E5ADD">
        <w:rPr>
          <w:rFonts w:cs="Tahoma"/>
          <w:color w:val="auto"/>
          <w:lang w:val="es-ES"/>
        </w:rPr>
        <w:t xml:space="preserve">el Particular se inconformó de </w:t>
      </w:r>
      <w:r w:rsidR="003E5ADD">
        <w:rPr>
          <w:rFonts w:cs="Tahoma"/>
          <w:color w:val="auto"/>
          <w:lang w:val="es-ES"/>
        </w:rPr>
        <w:t>la</w:t>
      </w:r>
      <w:r w:rsidR="00394286">
        <w:rPr>
          <w:rFonts w:cs="Tahoma"/>
          <w:color w:val="auto"/>
          <w:lang w:val="es-ES"/>
        </w:rPr>
        <w:t xml:space="preserve"> </w:t>
      </w:r>
      <w:r w:rsidR="001C4397">
        <w:rPr>
          <w:rFonts w:cs="Tahoma"/>
          <w:color w:val="auto"/>
          <w:lang w:val="es-ES"/>
        </w:rPr>
        <w:t>información incompleta</w:t>
      </w:r>
      <w:r w:rsidR="003E5ADD">
        <w:rPr>
          <w:rFonts w:cs="Tahoma"/>
          <w:color w:val="auto"/>
          <w:lang w:val="es-ES"/>
        </w:rPr>
        <w:t xml:space="preserve">, </w:t>
      </w:r>
      <w:r w:rsidR="000E4566">
        <w:rPr>
          <w:rFonts w:cs="Tahoma"/>
          <w:color w:val="auto"/>
          <w:lang w:val="es-ES"/>
        </w:rPr>
        <w:t xml:space="preserve">al precisar que no le entregan la información, </w:t>
      </w:r>
      <w:r w:rsidRPr="003E5ADD">
        <w:rPr>
          <w:rFonts w:cs="Tahoma"/>
          <w:color w:val="auto"/>
          <w:lang w:val="es-ES"/>
        </w:rPr>
        <w:t>lo cual,</w:t>
      </w:r>
      <w:r w:rsidRPr="003E5ADD">
        <w:rPr>
          <w:rFonts w:eastAsia="Calibri" w:cs="Tahoma"/>
          <w:color w:val="auto"/>
        </w:rPr>
        <w:t xml:space="preserve"> actualiza la causal de procedencia previst</w:t>
      </w:r>
      <w:r w:rsidR="001C4397">
        <w:rPr>
          <w:rFonts w:eastAsia="Calibri" w:cs="Tahoma"/>
          <w:color w:val="auto"/>
        </w:rPr>
        <w:t>a</w:t>
      </w:r>
      <w:r w:rsidRPr="003E5ADD">
        <w:rPr>
          <w:rFonts w:eastAsia="Calibri" w:cs="Tahoma"/>
          <w:color w:val="auto"/>
        </w:rPr>
        <w:t xml:space="preserve"> en la fracc</w:t>
      </w:r>
      <w:r w:rsidR="00394286">
        <w:rPr>
          <w:rFonts w:eastAsia="Calibri" w:cs="Tahoma"/>
          <w:color w:val="auto"/>
        </w:rPr>
        <w:t>i</w:t>
      </w:r>
      <w:r w:rsidR="001C4397">
        <w:rPr>
          <w:rFonts w:eastAsia="Calibri" w:cs="Tahoma"/>
          <w:color w:val="auto"/>
        </w:rPr>
        <w:t>ón V</w:t>
      </w:r>
      <w:r w:rsidR="003E5ADD" w:rsidRPr="003E5ADD">
        <w:rPr>
          <w:rFonts w:eastAsia="Calibri" w:cs="Tahoma"/>
          <w:color w:val="auto"/>
        </w:rPr>
        <w:t xml:space="preserve">, </w:t>
      </w:r>
      <w:r w:rsidRPr="003E5ADD">
        <w:rPr>
          <w:rFonts w:eastAsia="Calibri" w:cs="Tahoma"/>
          <w:color w:val="auto"/>
        </w:rPr>
        <w:t>del artículo 179 de la Ley de Transparencia y Acceso a la Información Pública del Estado de México y M</w:t>
      </w:r>
      <w:r w:rsidRPr="005C6199">
        <w:rPr>
          <w:rFonts w:eastAsia="Calibri" w:cs="Tahoma"/>
          <w:color w:val="auto"/>
        </w:rPr>
        <w:t>unicipios.</w:t>
      </w:r>
      <w:r w:rsidR="00914B0A">
        <w:rPr>
          <w:rFonts w:eastAsia="Calibri" w:cs="Tahoma"/>
          <w:color w:val="auto"/>
        </w:rPr>
        <w:t xml:space="preserve"> </w:t>
      </w:r>
      <w:r w:rsidR="00914B0A" w:rsidRPr="00914B0A">
        <w:rPr>
          <w:rFonts w:eastAsia="Calibri" w:cs="Tahoma"/>
          <w:color w:val="auto"/>
        </w:rPr>
        <w:t>Así las cosas, una vez admitido y notificado el Re</w:t>
      </w:r>
      <w:r w:rsidR="00693329">
        <w:rPr>
          <w:rFonts w:eastAsia="Calibri" w:cs="Tahoma"/>
          <w:color w:val="auto"/>
        </w:rPr>
        <w:t xml:space="preserve">curso de Revisión a las partes, fueron omisas en manifestarse. </w:t>
      </w:r>
    </w:p>
    <w:p w14:paraId="6CBAEA4E" w14:textId="1D61BEF2" w:rsidR="00E73B06" w:rsidRPr="003E5ADD" w:rsidRDefault="00E73B06" w:rsidP="005032B4">
      <w:pPr>
        <w:spacing w:after="0" w:line="360" w:lineRule="auto"/>
        <w:ind w:right="-28"/>
        <w:rPr>
          <w:rFonts w:cs="Tahoma"/>
          <w:bCs/>
          <w:iCs/>
          <w:color w:val="auto"/>
          <w:lang w:val="es-ES"/>
        </w:rPr>
      </w:pPr>
    </w:p>
    <w:p w14:paraId="3A6521F2" w14:textId="558F99F8" w:rsidR="00DB3DC5" w:rsidRPr="00EB4479" w:rsidRDefault="00DB3DC5" w:rsidP="005032B4">
      <w:pPr>
        <w:tabs>
          <w:tab w:val="left" w:pos="4962"/>
        </w:tabs>
        <w:spacing w:after="0" w:line="360" w:lineRule="auto"/>
        <w:contextualSpacing/>
        <w:rPr>
          <w:rFonts w:eastAsia="Calibri" w:cs="Tahoma"/>
          <w:bCs/>
          <w:color w:val="auto"/>
          <w:szCs w:val="24"/>
        </w:rPr>
      </w:pPr>
      <w:r w:rsidRPr="00EB4479">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00914B0A">
        <w:rPr>
          <w:rFonts w:eastAsia="Calibri" w:cs="Tahoma"/>
          <w:iCs/>
          <w:color w:val="auto"/>
          <w:lang w:val="es-ES" w:eastAsia="es-ES_tradnl"/>
        </w:rPr>
        <w:t>, la respuesta y</w:t>
      </w:r>
      <w:r w:rsidRPr="00EB4479">
        <w:rPr>
          <w:rFonts w:eastAsia="Calibri" w:cs="Tahoma"/>
          <w:iCs/>
          <w:color w:val="auto"/>
          <w:lang w:eastAsia="es-ES_tradnl"/>
        </w:rPr>
        <w:t xml:space="preserve"> el escrito </w:t>
      </w:r>
      <w:proofErr w:type="spellStart"/>
      <w:r w:rsidRPr="00EB4479">
        <w:rPr>
          <w:rFonts w:eastAsia="Calibri" w:cs="Tahoma"/>
          <w:iCs/>
          <w:color w:val="auto"/>
          <w:lang w:eastAsia="es-ES_tradnl"/>
        </w:rPr>
        <w:t>recursal</w:t>
      </w:r>
      <w:proofErr w:type="spellEnd"/>
      <w:r w:rsidRPr="00EB4479">
        <w:rPr>
          <w:rFonts w:eastAsia="Calibri" w:cs="Tahoma"/>
          <w:iCs/>
          <w:color w:val="auto"/>
          <w:lang w:eastAsia="es-ES_tradnl"/>
        </w:rPr>
        <w:t xml:space="preserve">; </w:t>
      </w:r>
      <w:r w:rsidRPr="00EB4479">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D41AE7" w14:textId="77777777" w:rsidR="00DB3DC5" w:rsidRPr="00EB4479" w:rsidRDefault="00DB3DC5" w:rsidP="005032B4">
      <w:pPr>
        <w:autoSpaceDE w:val="0"/>
        <w:autoSpaceDN w:val="0"/>
        <w:adjustRightInd w:val="0"/>
        <w:spacing w:after="0" w:line="360" w:lineRule="auto"/>
        <w:contextualSpacing/>
        <w:rPr>
          <w:rFonts w:eastAsia="Times New Roman" w:cs="Tahoma"/>
          <w:b/>
          <w:bCs/>
          <w:iCs/>
          <w:color w:val="auto"/>
          <w:lang w:val="es-ES" w:eastAsia="es-ES"/>
        </w:rPr>
      </w:pPr>
    </w:p>
    <w:p w14:paraId="6818EF86" w14:textId="7240494C"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eastAsia="es-ES"/>
        </w:rPr>
      </w:pPr>
      <w:bookmarkStart w:id="18" w:name="_Toc207291703"/>
      <w:r w:rsidRPr="00076681">
        <w:rPr>
          <w:rFonts w:ascii="Palatino Linotype" w:eastAsia="Times New Roman" w:hAnsi="Palatino Linotype"/>
          <w:b/>
          <w:color w:val="000000" w:themeColor="text1"/>
          <w:sz w:val="22"/>
          <w:szCs w:val="22"/>
          <w:lang w:val="es-ES" w:eastAsia="es-ES"/>
        </w:rPr>
        <w:t xml:space="preserve">CUARTO. </w:t>
      </w:r>
      <w:r w:rsidRPr="00076681">
        <w:rPr>
          <w:rFonts w:ascii="Palatino Linotype" w:eastAsia="Times New Roman" w:hAnsi="Palatino Linotype"/>
          <w:b/>
          <w:color w:val="000000" w:themeColor="text1"/>
          <w:sz w:val="22"/>
          <w:szCs w:val="22"/>
          <w:lang w:eastAsia="es-ES"/>
        </w:rPr>
        <w:t xml:space="preserve">Marco normativo aplicable en materia de transparencia y </w:t>
      </w:r>
      <w:r w:rsidR="00076681" w:rsidRPr="00076681">
        <w:rPr>
          <w:rFonts w:ascii="Palatino Linotype" w:eastAsia="Times New Roman" w:hAnsi="Palatino Linotype"/>
          <w:b/>
          <w:color w:val="000000" w:themeColor="text1"/>
          <w:sz w:val="22"/>
          <w:szCs w:val="22"/>
          <w:lang w:eastAsia="es-ES"/>
        </w:rPr>
        <w:t>acceso a la información pública</w:t>
      </w:r>
      <w:bookmarkEnd w:id="18"/>
    </w:p>
    <w:p w14:paraId="1FA9DF31" w14:textId="77777777" w:rsidR="00DB3DC5" w:rsidRPr="00C821DD" w:rsidRDefault="00DB3DC5" w:rsidP="005032B4">
      <w:pPr>
        <w:autoSpaceDE w:val="0"/>
        <w:autoSpaceDN w:val="0"/>
        <w:adjustRightInd w:val="0"/>
        <w:spacing w:after="0" w:line="360" w:lineRule="auto"/>
        <w:contextualSpacing/>
        <w:rPr>
          <w:rFonts w:eastAsia="Times New Roman" w:cs="Tahoma"/>
          <w:bCs/>
          <w:iCs/>
          <w:color w:val="FF0000"/>
          <w:lang w:val="es-ES" w:eastAsia="es-ES"/>
        </w:rPr>
      </w:pPr>
    </w:p>
    <w:p w14:paraId="75BB01DA" w14:textId="77777777" w:rsidR="00693329" w:rsidRPr="00693329" w:rsidRDefault="00693329" w:rsidP="00693329">
      <w:pPr>
        <w:spacing w:after="0" w:line="360" w:lineRule="auto"/>
        <w:contextualSpacing/>
        <w:rPr>
          <w:rFonts w:eastAsia="Times New Roman" w:cs="Tahoma"/>
          <w:bCs/>
          <w:iCs/>
          <w:color w:val="auto"/>
          <w:lang w:eastAsia="es-ES"/>
        </w:rPr>
      </w:pPr>
      <w:r w:rsidRPr="00693329">
        <w:rPr>
          <w:rFonts w:eastAsia="Times New Roman" w:cs="Tahoma"/>
          <w:bCs/>
          <w:iCs/>
          <w:color w:val="auto"/>
          <w:lang w:eastAsia="es-ES"/>
        </w:rPr>
        <w:lastRenderedPageBreak/>
        <w:t xml:space="preserve">El artículo 6°, Apartado A), fracción I de la Constitución Política de los Estados Unidos Mexicanos, establece que toda la información en posesión de cualquier </w:t>
      </w:r>
      <w:proofErr w:type="gramStart"/>
      <w:r w:rsidRPr="00693329">
        <w:rPr>
          <w:rFonts w:eastAsia="Times New Roman" w:cs="Tahoma"/>
          <w:bCs/>
          <w:iCs/>
          <w:color w:val="auto"/>
          <w:lang w:eastAsia="es-ES"/>
        </w:rPr>
        <w:t>autoridad,</w:t>
      </w:r>
      <w:proofErr w:type="gramEnd"/>
      <w:r w:rsidRPr="00693329">
        <w:rPr>
          <w:rFonts w:eastAsia="Times New Roman" w:cs="Tahoma"/>
          <w:bCs/>
          <w:iCs/>
          <w:color w:val="auto"/>
          <w:lang w:eastAsia="es-ES"/>
        </w:rPr>
        <w:t xml:space="preserve"> es pública y sólo podrá ser reservada temporalmente por razones de interés público.</w:t>
      </w:r>
    </w:p>
    <w:p w14:paraId="2242F06C" w14:textId="77777777" w:rsidR="00693329" w:rsidRPr="00693329" w:rsidRDefault="00693329" w:rsidP="00693329">
      <w:pPr>
        <w:spacing w:after="0" w:line="360" w:lineRule="auto"/>
        <w:contextualSpacing/>
        <w:rPr>
          <w:rFonts w:eastAsia="Times New Roman" w:cs="Tahoma"/>
          <w:bCs/>
          <w:iCs/>
          <w:color w:val="auto"/>
          <w:lang w:eastAsia="es-ES"/>
        </w:rPr>
      </w:pPr>
    </w:p>
    <w:p w14:paraId="7D0E2C2F" w14:textId="77777777" w:rsidR="00693329" w:rsidRPr="00693329" w:rsidRDefault="00693329" w:rsidP="00693329">
      <w:pPr>
        <w:spacing w:after="0" w:line="360" w:lineRule="auto"/>
        <w:contextualSpacing/>
        <w:rPr>
          <w:rFonts w:eastAsia="Times New Roman" w:cs="Tahoma"/>
          <w:bCs/>
          <w:iCs/>
          <w:color w:val="auto"/>
          <w:lang w:eastAsia="es-ES"/>
        </w:rPr>
      </w:pPr>
      <w:r w:rsidRPr="0069332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3C1F5D2" w14:textId="77777777" w:rsidR="00693329" w:rsidRPr="00693329" w:rsidRDefault="00693329" w:rsidP="00693329">
      <w:pPr>
        <w:spacing w:after="0" w:line="360" w:lineRule="auto"/>
        <w:contextualSpacing/>
        <w:rPr>
          <w:rFonts w:eastAsia="Times New Roman" w:cs="Tahoma"/>
          <w:bCs/>
          <w:iCs/>
          <w:color w:val="auto"/>
          <w:lang w:eastAsia="es-ES"/>
        </w:rPr>
      </w:pPr>
    </w:p>
    <w:p w14:paraId="63003EBF" w14:textId="77777777" w:rsidR="00693329" w:rsidRPr="00693329" w:rsidRDefault="00693329" w:rsidP="00693329">
      <w:pPr>
        <w:spacing w:after="0" w:line="360" w:lineRule="auto"/>
        <w:contextualSpacing/>
        <w:rPr>
          <w:rFonts w:eastAsia="Times New Roman" w:cs="Tahoma"/>
          <w:bCs/>
          <w:iCs/>
          <w:color w:val="auto"/>
          <w:lang w:eastAsia="es-ES"/>
        </w:rPr>
      </w:pPr>
      <w:r w:rsidRPr="0069332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1B740DD7" w14:textId="77777777" w:rsidR="00693329" w:rsidRPr="00693329" w:rsidRDefault="00693329" w:rsidP="00693329">
      <w:pPr>
        <w:spacing w:after="0" w:line="360" w:lineRule="auto"/>
        <w:contextualSpacing/>
        <w:rPr>
          <w:rFonts w:eastAsia="Times New Roman" w:cs="Tahoma"/>
          <w:bCs/>
          <w:iCs/>
          <w:color w:val="auto"/>
          <w:lang w:eastAsia="es-ES"/>
        </w:rPr>
      </w:pPr>
    </w:p>
    <w:p w14:paraId="4E43AC86" w14:textId="77777777" w:rsidR="00693329" w:rsidRPr="00693329" w:rsidRDefault="00693329" w:rsidP="00693329">
      <w:pPr>
        <w:spacing w:after="0" w:line="360" w:lineRule="auto"/>
        <w:contextualSpacing/>
        <w:rPr>
          <w:rFonts w:eastAsia="Times New Roman" w:cs="Tahoma"/>
          <w:bCs/>
          <w:iCs/>
          <w:color w:val="auto"/>
          <w:lang w:eastAsia="es-ES"/>
        </w:rPr>
      </w:pPr>
      <w:r w:rsidRPr="00693329">
        <w:rPr>
          <w:rFonts w:eastAsia="Times New Roman" w:cs="Tahoma"/>
          <w:bCs/>
          <w:iCs/>
          <w:color w:val="auto"/>
          <w:lang w:eastAsia="es-ES"/>
        </w:rPr>
        <w:t>El artículo 12, que, quienes generen, recopilen, administren, manejen, procesen, archiven o conserven información pública serán responsables de la misma.</w:t>
      </w:r>
    </w:p>
    <w:p w14:paraId="153E6C18" w14:textId="77777777" w:rsidR="00693329" w:rsidRPr="00693329" w:rsidRDefault="00693329" w:rsidP="00693329">
      <w:pPr>
        <w:spacing w:after="0" w:line="360" w:lineRule="auto"/>
        <w:contextualSpacing/>
        <w:rPr>
          <w:rFonts w:eastAsia="Times New Roman" w:cs="Tahoma"/>
          <w:bCs/>
          <w:iCs/>
          <w:color w:val="auto"/>
          <w:lang w:eastAsia="es-ES"/>
        </w:rPr>
      </w:pPr>
    </w:p>
    <w:p w14:paraId="16C59F46" w14:textId="77777777" w:rsidR="00693329" w:rsidRPr="00693329" w:rsidRDefault="00693329" w:rsidP="00693329">
      <w:pPr>
        <w:widowControl w:val="0"/>
        <w:spacing w:after="0" w:line="360" w:lineRule="auto"/>
        <w:contextualSpacing/>
        <w:rPr>
          <w:rFonts w:eastAsia="Times New Roman" w:cs="Tahoma"/>
          <w:bCs/>
          <w:iCs/>
          <w:color w:val="auto"/>
          <w:lang w:eastAsia="es-ES"/>
        </w:rPr>
      </w:pPr>
      <w:r w:rsidRPr="0069332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67C1001" w14:textId="77777777" w:rsidR="00693329" w:rsidRPr="00693329" w:rsidRDefault="00693329" w:rsidP="00693329">
      <w:pPr>
        <w:spacing w:after="0" w:line="360" w:lineRule="auto"/>
        <w:contextualSpacing/>
        <w:rPr>
          <w:rFonts w:eastAsia="Times New Roman" w:cs="Tahoma"/>
          <w:bCs/>
          <w:iCs/>
          <w:color w:val="auto"/>
          <w:lang w:eastAsia="es-ES"/>
        </w:rPr>
      </w:pPr>
    </w:p>
    <w:p w14:paraId="507ECC75" w14:textId="77777777" w:rsidR="00693329" w:rsidRPr="00693329" w:rsidRDefault="00693329" w:rsidP="00693329">
      <w:pPr>
        <w:spacing w:after="0" w:line="360" w:lineRule="auto"/>
        <w:contextualSpacing/>
        <w:rPr>
          <w:rFonts w:eastAsia="Times New Roman" w:cs="Tahoma"/>
          <w:bCs/>
          <w:iCs/>
          <w:color w:val="auto"/>
          <w:lang w:eastAsia="es-ES"/>
        </w:rPr>
      </w:pPr>
      <w:r w:rsidRPr="00693329">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 </w:t>
      </w:r>
    </w:p>
    <w:p w14:paraId="120AAD97" w14:textId="77777777" w:rsidR="00DB3DC5" w:rsidRPr="00C821DD" w:rsidRDefault="00DB3DC5" w:rsidP="005032B4">
      <w:pPr>
        <w:spacing w:after="0" w:line="360" w:lineRule="auto"/>
        <w:contextualSpacing/>
        <w:rPr>
          <w:rFonts w:cs="Tahoma"/>
          <w:bCs/>
          <w:iCs/>
          <w:color w:val="FF0000"/>
          <w:lang w:val="es-ES"/>
        </w:rPr>
      </w:pPr>
    </w:p>
    <w:p w14:paraId="3EB23114" w14:textId="33FEEC26" w:rsidR="00DB3DC5" w:rsidRPr="00E168B3" w:rsidRDefault="00076681"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9" w:name="_Toc207291704"/>
      <w:r w:rsidRPr="00E168B3">
        <w:rPr>
          <w:rFonts w:ascii="Palatino Linotype" w:eastAsia="Times New Roman" w:hAnsi="Palatino Linotype"/>
          <w:b/>
          <w:color w:val="000000" w:themeColor="text1"/>
          <w:sz w:val="22"/>
          <w:szCs w:val="22"/>
          <w:lang w:val="es-ES" w:eastAsia="es-ES"/>
        </w:rPr>
        <w:lastRenderedPageBreak/>
        <w:t xml:space="preserve">QUINTO. </w:t>
      </w:r>
      <w:r w:rsidR="00DB3DC5" w:rsidRPr="00E168B3">
        <w:rPr>
          <w:rFonts w:ascii="Palatino Linotype" w:eastAsia="Times New Roman" w:hAnsi="Palatino Linotype"/>
          <w:b/>
          <w:color w:val="000000" w:themeColor="text1"/>
          <w:sz w:val="22"/>
          <w:szCs w:val="22"/>
          <w:lang w:val="es-ES" w:eastAsia="es-ES"/>
        </w:rPr>
        <w:t>E</w:t>
      </w:r>
      <w:r w:rsidRPr="00E168B3">
        <w:rPr>
          <w:rFonts w:ascii="Palatino Linotype" w:eastAsia="Times New Roman" w:hAnsi="Palatino Linotype"/>
          <w:b/>
          <w:color w:val="000000" w:themeColor="text1"/>
          <w:sz w:val="22"/>
          <w:szCs w:val="22"/>
          <w:lang w:val="es-ES" w:eastAsia="es-ES"/>
        </w:rPr>
        <w:t>studio de Fondo</w:t>
      </w:r>
      <w:bookmarkEnd w:id="19"/>
    </w:p>
    <w:p w14:paraId="5511A115" w14:textId="238AA78D" w:rsidR="00DB3DC5" w:rsidRPr="00E168B3" w:rsidRDefault="00DB3DC5" w:rsidP="005032B4">
      <w:pPr>
        <w:spacing w:after="0" w:line="360" w:lineRule="auto"/>
        <w:contextualSpacing/>
        <w:rPr>
          <w:rFonts w:eastAsia="Times New Roman" w:cs="Tahoma"/>
          <w:b/>
          <w:bCs/>
          <w:iCs/>
          <w:color w:val="auto"/>
          <w:lang w:val="es-ES" w:eastAsia="es-ES"/>
        </w:rPr>
      </w:pPr>
    </w:p>
    <w:p w14:paraId="194A9F65" w14:textId="023035AC" w:rsidR="006E26AA" w:rsidRDefault="006E26AA" w:rsidP="005032B4">
      <w:pPr>
        <w:spacing w:after="0" w:line="360" w:lineRule="auto"/>
        <w:contextualSpacing/>
        <w:rPr>
          <w:rFonts w:eastAsia="Times New Roman" w:cs="Tahoma"/>
          <w:iCs/>
          <w:color w:val="auto"/>
          <w:lang w:val="es-ES" w:eastAsia="es-ES"/>
        </w:rPr>
      </w:pPr>
      <w:r w:rsidRPr="00E168B3">
        <w:rPr>
          <w:rFonts w:eastAsia="Times New Roman" w:cs="Tahoma"/>
          <w:iCs/>
          <w:color w:val="auto"/>
          <w:lang w:val="es-ES" w:eastAsia="es-ES"/>
        </w:rPr>
        <w:t xml:space="preserve">Expuestas las posturas de las partes, se procede al análisis del agravio hecho valer por el Recurrente, concerniente a la </w:t>
      </w:r>
      <w:r w:rsidR="00E168B3">
        <w:rPr>
          <w:rFonts w:eastAsia="Times New Roman" w:cs="Tahoma"/>
          <w:iCs/>
          <w:color w:val="auto"/>
          <w:lang w:val="es-ES" w:eastAsia="es-ES"/>
        </w:rPr>
        <w:t>entrega de información incompleta</w:t>
      </w:r>
      <w:r w:rsidRPr="00E168B3">
        <w:rPr>
          <w:rFonts w:eastAsia="Times New Roman" w:cs="Tahoma"/>
          <w:iCs/>
          <w:color w:val="auto"/>
          <w:lang w:val="es-ES" w:eastAsia="es-ES"/>
        </w:rPr>
        <w:t>, para lo cual en principio resulta necesario contextualizar la solicitud de información.</w:t>
      </w:r>
      <w:r>
        <w:rPr>
          <w:rFonts w:eastAsia="Times New Roman" w:cs="Tahoma"/>
          <w:iCs/>
          <w:color w:val="auto"/>
          <w:lang w:val="es-ES" w:eastAsia="es-ES"/>
        </w:rPr>
        <w:t xml:space="preserve"> </w:t>
      </w:r>
    </w:p>
    <w:p w14:paraId="6BFAE9DD" w14:textId="77777777" w:rsidR="009B500B" w:rsidRDefault="009B500B" w:rsidP="005032B4">
      <w:pPr>
        <w:spacing w:after="0" w:line="360" w:lineRule="auto"/>
        <w:contextualSpacing/>
        <w:rPr>
          <w:rFonts w:eastAsia="Times New Roman" w:cs="Tahoma"/>
          <w:iCs/>
          <w:color w:val="auto"/>
          <w:lang w:val="es-ES" w:eastAsia="es-ES"/>
        </w:rPr>
      </w:pPr>
    </w:p>
    <w:p w14:paraId="73C929E4" w14:textId="17BE1E90" w:rsidR="009B500B" w:rsidRPr="009B500B" w:rsidRDefault="009B500B" w:rsidP="009B500B">
      <w:pPr>
        <w:spacing w:after="0" w:line="360" w:lineRule="auto"/>
        <w:contextualSpacing/>
        <w:rPr>
          <w:rFonts w:eastAsia="Times New Roman" w:cs="Tahoma"/>
          <w:iCs/>
          <w:color w:val="auto"/>
          <w:lang w:val="es-ES" w:eastAsia="es-ES"/>
        </w:rPr>
      </w:pPr>
      <w:r w:rsidRPr="009B500B">
        <w:rPr>
          <w:rFonts w:eastAsia="Times New Roman" w:cs="Tahoma"/>
          <w:iCs/>
          <w:color w:val="auto"/>
          <w:lang w:val="es-ES" w:eastAsia="es-ES"/>
        </w:rPr>
        <w:t xml:space="preserve">Al respecto, conforme a la página de la Secretaría de Desarrollo Social, en su apartado Programas Sociales (consultada el </w:t>
      </w:r>
      <w:r>
        <w:rPr>
          <w:rFonts w:eastAsia="Times New Roman" w:cs="Tahoma"/>
          <w:iCs/>
          <w:color w:val="auto"/>
          <w:lang w:val="es-ES" w:eastAsia="es-ES"/>
        </w:rPr>
        <w:t>cuatro de agosto</w:t>
      </w:r>
      <w:r w:rsidRPr="009B500B">
        <w:rPr>
          <w:rFonts w:eastAsia="Times New Roman" w:cs="Tahoma"/>
          <w:iCs/>
          <w:color w:val="auto"/>
          <w:lang w:val="es-ES" w:eastAsia="es-ES"/>
        </w:rPr>
        <w:t xml:space="preserve"> de dos mil veinti</w:t>
      </w:r>
      <w:r>
        <w:rPr>
          <w:rFonts w:eastAsia="Times New Roman" w:cs="Tahoma"/>
          <w:iCs/>
          <w:color w:val="auto"/>
          <w:lang w:val="es-ES" w:eastAsia="es-ES"/>
        </w:rPr>
        <w:t>cinco</w:t>
      </w:r>
      <w:r w:rsidRPr="009B500B">
        <w:rPr>
          <w:rFonts w:eastAsia="Times New Roman" w:cs="Tahoma"/>
          <w:iCs/>
          <w:color w:val="auto"/>
          <w:lang w:val="es-ES" w:eastAsia="es-ES"/>
        </w:rPr>
        <w:t xml:space="preserve">, a las diez horas, </w:t>
      </w:r>
    </w:p>
    <w:p w14:paraId="7F025210" w14:textId="6C78941C" w:rsidR="009B500B" w:rsidRPr="009B500B" w:rsidRDefault="009B500B" w:rsidP="009B500B">
      <w:pPr>
        <w:spacing w:after="0" w:line="360" w:lineRule="auto"/>
        <w:contextualSpacing/>
        <w:rPr>
          <w:rFonts w:eastAsia="Times New Roman" w:cs="Tahoma"/>
          <w:iCs/>
          <w:color w:val="auto"/>
          <w:lang w:val="es-ES" w:eastAsia="es-ES"/>
        </w:rPr>
      </w:pPr>
      <w:r w:rsidRPr="009B500B">
        <w:rPr>
          <w:rFonts w:eastAsia="Times New Roman" w:cs="Tahoma"/>
          <w:iCs/>
          <w:color w:val="auto"/>
          <w:lang w:val="es-ES" w:eastAsia="es-ES"/>
        </w:rPr>
        <w:t xml:space="preserve">en la liga electrónica </w:t>
      </w:r>
      <w:hyperlink r:id="rId9" w:history="1">
        <w:r w:rsidRPr="00975492">
          <w:rPr>
            <w:rStyle w:val="Hipervnculo"/>
            <w:rFonts w:eastAsia="Times New Roman" w:cs="Tahoma"/>
            <w:iCs/>
            <w:lang w:val="es-ES" w:eastAsia="es-ES"/>
          </w:rPr>
          <w:t>https://bienestar.edomex.gob.mx/programas_sociales</w:t>
        </w:r>
      </w:hyperlink>
      <w:r w:rsidRPr="009B500B">
        <w:rPr>
          <w:rFonts w:eastAsia="Times New Roman" w:cs="Tahoma"/>
          <w:iCs/>
          <w:color w:val="auto"/>
          <w:lang w:val="es-ES" w:eastAsia="es-ES"/>
        </w:rPr>
        <w:t>),</w:t>
      </w:r>
      <w:r>
        <w:rPr>
          <w:rFonts w:eastAsia="Times New Roman" w:cs="Tahoma"/>
          <w:iCs/>
          <w:color w:val="auto"/>
          <w:lang w:val="es-ES" w:eastAsia="es-ES"/>
        </w:rPr>
        <w:t xml:space="preserve"> </w:t>
      </w:r>
      <w:r w:rsidRPr="009B500B">
        <w:rPr>
          <w:rFonts w:eastAsia="Times New Roman" w:cs="Tahoma"/>
          <w:iCs/>
          <w:color w:val="auto"/>
          <w:lang w:val="es-ES" w:eastAsia="es-ES"/>
        </w:rPr>
        <w:t xml:space="preserve">el Gobierno del Estado de México, tiene como propósito reducir la pobreza, marginación y vulnerabilidad de </w:t>
      </w:r>
    </w:p>
    <w:p w14:paraId="171330D8" w14:textId="77777777" w:rsidR="009B500B" w:rsidRPr="009B500B" w:rsidRDefault="009B500B" w:rsidP="009B500B">
      <w:pPr>
        <w:spacing w:after="0" w:line="360" w:lineRule="auto"/>
        <w:contextualSpacing/>
        <w:rPr>
          <w:rFonts w:eastAsia="Times New Roman" w:cs="Tahoma"/>
          <w:iCs/>
          <w:color w:val="auto"/>
          <w:lang w:val="es-ES" w:eastAsia="es-ES"/>
        </w:rPr>
      </w:pPr>
      <w:r w:rsidRPr="009B500B">
        <w:rPr>
          <w:rFonts w:eastAsia="Times New Roman" w:cs="Tahoma"/>
          <w:iCs/>
          <w:color w:val="auto"/>
          <w:lang w:val="es-ES" w:eastAsia="es-ES"/>
        </w:rPr>
        <w:t xml:space="preserve">las personas, por medio de la ejecución de programas sociales que buscan reducir la pobreza </w:t>
      </w:r>
    </w:p>
    <w:p w14:paraId="739EE07C" w14:textId="106D6B1E" w:rsidR="00E168B3" w:rsidRDefault="009B500B" w:rsidP="009B500B">
      <w:pPr>
        <w:spacing w:after="0" w:line="360" w:lineRule="auto"/>
        <w:contextualSpacing/>
        <w:rPr>
          <w:rFonts w:eastAsia="Times New Roman" w:cs="Tahoma"/>
          <w:iCs/>
          <w:color w:val="auto"/>
          <w:lang w:val="es-ES" w:eastAsia="es-ES"/>
        </w:rPr>
      </w:pPr>
      <w:r w:rsidRPr="009B500B">
        <w:rPr>
          <w:rFonts w:eastAsia="Times New Roman" w:cs="Tahoma"/>
          <w:iCs/>
          <w:color w:val="auto"/>
          <w:lang w:val="es-ES" w:eastAsia="es-ES"/>
        </w:rPr>
        <w:t>alimentaria, apoyar a menores en condiciones de pobreza y combatir la marginación en comunidades de la entidad.</w:t>
      </w:r>
      <w:r>
        <w:rPr>
          <w:rFonts w:eastAsia="Times New Roman" w:cs="Tahoma"/>
          <w:iCs/>
          <w:color w:val="auto"/>
          <w:lang w:val="es-ES" w:eastAsia="es-ES"/>
        </w:rPr>
        <w:t xml:space="preserve"> </w:t>
      </w:r>
    </w:p>
    <w:p w14:paraId="731267D5" w14:textId="77777777" w:rsidR="009B500B" w:rsidRDefault="009B500B" w:rsidP="009B500B">
      <w:pPr>
        <w:spacing w:after="0" w:line="360" w:lineRule="auto"/>
        <w:contextualSpacing/>
        <w:rPr>
          <w:rFonts w:eastAsia="Times New Roman" w:cs="Tahoma"/>
          <w:iCs/>
          <w:color w:val="auto"/>
          <w:lang w:val="es-ES" w:eastAsia="es-ES"/>
        </w:rPr>
      </w:pPr>
    </w:p>
    <w:p w14:paraId="0791AC4B" w14:textId="77777777" w:rsidR="009B500B" w:rsidRDefault="009B500B" w:rsidP="009B500B">
      <w:pPr>
        <w:spacing w:after="0" w:line="360" w:lineRule="auto"/>
        <w:contextualSpacing/>
        <w:rPr>
          <w:rFonts w:eastAsia="Times New Roman" w:cs="Tahoma"/>
          <w:iCs/>
          <w:color w:val="auto"/>
          <w:lang w:eastAsia="es-ES"/>
        </w:rPr>
      </w:pPr>
      <w:r w:rsidRPr="009B500B">
        <w:rPr>
          <w:rFonts w:eastAsia="Times New Roman" w:cs="Tahoma"/>
          <w:iCs/>
          <w:color w:val="auto"/>
          <w:lang w:eastAsia="es-ES"/>
        </w:rPr>
        <w:t xml:space="preserve">Además, los artículos 3°, fracción III y 11 de la Ley de Desarrollo Social del Estado de México, precisan que un programa de desarrollo </w:t>
      </w:r>
      <w:proofErr w:type="gramStart"/>
      <w:r w:rsidRPr="009B500B">
        <w:rPr>
          <w:rFonts w:eastAsia="Times New Roman" w:cs="Tahoma"/>
          <w:iCs/>
          <w:color w:val="auto"/>
          <w:lang w:eastAsia="es-ES"/>
        </w:rPr>
        <w:t>social,</w:t>
      </w:r>
      <w:proofErr w:type="gramEnd"/>
      <w:r w:rsidRPr="009B500B">
        <w:rPr>
          <w:rFonts w:eastAsia="Times New Roman" w:cs="Tahoma"/>
          <w:iCs/>
          <w:color w:val="auto"/>
          <w:lang w:eastAsia="es-ES"/>
        </w:rPr>
        <w:t xml:space="preserve"> es la acción gubernamental, dirigida a modificar la condición de desigualdad social mediante la entrega de un bien o transferencia de recursos; dichos programas podrán ser para lo siguiente: </w:t>
      </w:r>
    </w:p>
    <w:p w14:paraId="5488A7D7" w14:textId="77777777" w:rsidR="009B500B" w:rsidRDefault="009B500B" w:rsidP="009B500B">
      <w:pPr>
        <w:spacing w:after="0" w:line="360" w:lineRule="auto"/>
        <w:contextualSpacing/>
        <w:rPr>
          <w:rFonts w:eastAsia="Times New Roman" w:cs="Tahoma"/>
          <w:iCs/>
          <w:color w:val="auto"/>
          <w:lang w:eastAsia="es-ES"/>
        </w:rPr>
      </w:pPr>
    </w:p>
    <w:p w14:paraId="07E2D39F" w14:textId="304C6165" w:rsidR="009B500B" w:rsidRPr="009B500B" w:rsidRDefault="009B500B" w:rsidP="009B500B">
      <w:pPr>
        <w:pStyle w:val="Prrafodelista"/>
        <w:numPr>
          <w:ilvl w:val="0"/>
          <w:numId w:val="32"/>
        </w:numPr>
        <w:spacing w:after="0" w:line="360" w:lineRule="auto"/>
        <w:rPr>
          <w:rFonts w:eastAsia="Times New Roman" w:cs="Tahoma"/>
          <w:iCs/>
          <w:color w:val="auto"/>
          <w:lang w:eastAsia="es-ES"/>
        </w:rPr>
      </w:pPr>
      <w:r w:rsidRPr="009B500B">
        <w:rPr>
          <w:rFonts w:eastAsia="Times New Roman" w:cs="Tahoma"/>
          <w:iCs/>
          <w:color w:val="auto"/>
          <w:lang w:eastAsia="es-ES"/>
        </w:rPr>
        <w:t xml:space="preserve">Educación; </w:t>
      </w:r>
    </w:p>
    <w:p w14:paraId="797CD239" w14:textId="09436D3F" w:rsidR="009B500B" w:rsidRPr="009B500B" w:rsidRDefault="009B500B" w:rsidP="009B500B">
      <w:pPr>
        <w:pStyle w:val="Prrafodelista"/>
        <w:numPr>
          <w:ilvl w:val="0"/>
          <w:numId w:val="32"/>
        </w:numPr>
        <w:spacing w:after="0" w:line="360" w:lineRule="auto"/>
        <w:rPr>
          <w:rFonts w:eastAsia="Times New Roman" w:cs="Tahoma"/>
          <w:iCs/>
          <w:color w:val="auto"/>
          <w:lang w:eastAsia="es-ES"/>
        </w:rPr>
      </w:pPr>
      <w:r w:rsidRPr="009B500B">
        <w:rPr>
          <w:rFonts w:eastAsia="Times New Roman" w:cs="Tahoma"/>
          <w:iCs/>
          <w:color w:val="auto"/>
          <w:lang w:eastAsia="es-ES"/>
        </w:rPr>
        <w:t xml:space="preserve">Salud; </w:t>
      </w:r>
    </w:p>
    <w:p w14:paraId="5AEBD303" w14:textId="52B9BC26" w:rsidR="009B500B" w:rsidRPr="009B500B" w:rsidRDefault="009B500B" w:rsidP="009B500B">
      <w:pPr>
        <w:pStyle w:val="Prrafodelista"/>
        <w:numPr>
          <w:ilvl w:val="0"/>
          <w:numId w:val="32"/>
        </w:numPr>
        <w:spacing w:after="0" w:line="360" w:lineRule="auto"/>
        <w:rPr>
          <w:rFonts w:eastAsia="Times New Roman" w:cs="Tahoma"/>
          <w:iCs/>
          <w:color w:val="auto"/>
          <w:lang w:eastAsia="es-ES"/>
        </w:rPr>
      </w:pPr>
      <w:r w:rsidRPr="009B500B">
        <w:rPr>
          <w:rFonts w:eastAsia="Times New Roman" w:cs="Tahoma"/>
          <w:iCs/>
          <w:color w:val="auto"/>
          <w:lang w:eastAsia="es-ES"/>
        </w:rPr>
        <w:t xml:space="preserve">Generación, conservación y capacitación para el trabajo y aumento de competitividad; </w:t>
      </w:r>
    </w:p>
    <w:p w14:paraId="56E8B8D8" w14:textId="6D02CFDC" w:rsidR="009B500B" w:rsidRPr="009B500B" w:rsidRDefault="009B500B" w:rsidP="009B500B">
      <w:pPr>
        <w:pStyle w:val="Prrafodelista"/>
        <w:numPr>
          <w:ilvl w:val="0"/>
          <w:numId w:val="32"/>
        </w:numPr>
        <w:spacing w:after="0" w:line="360" w:lineRule="auto"/>
        <w:rPr>
          <w:rFonts w:eastAsia="Times New Roman" w:cs="Tahoma"/>
          <w:iCs/>
          <w:color w:val="auto"/>
          <w:lang w:eastAsia="es-ES"/>
        </w:rPr>
      </w:pPr>
      <w:r w:rsidRPr="009B500B">
        <w:rPr>
          <w:rFonts w:eastAsia="Times New Roman" w:cs="Tahoma"/>
          <w:iCs/>
          <w:color w:val="auto"/>
          <w:lang w:eastAsia="es-ES"/>
        </w:rPr>
        <w:t xml:space="preserve">Alimentación, nutrición y abasto social; </w:t>
      </w:r>
    </w:p>
    <w:p w14:paraId="049A618F" w14:textId="4F4A8DB5" w:rsidR="009B500B" w:rsidRPr="009B500B" w:rsidRDefault="009B500B" w:rsidP="009B500B">
      <w:pPr>
        <w:pStyle w:val="Prrafodelista"/>
        <w:numPr>
          <w:ilvl w:val="0"/>
          <w:numId w:val="32"/>
        </w:numPr>
        <w:spacing w:after="0" w:line="360" w:lineRule="auto"/>
        <w:rPr>
          <w:rFonts w:eastAsia="Times New Roman" w:cs="Tahoma"/>
          <w:iCs/>
          <w:color w:val="auto"/>
          <w:lang w:eastAsia="es-ES"/>
        </w:rPr>
      </w:pPr>
      <w:r w:rsidRPr="009B500B">
        <w:rPr>
          <w:rFonts w:eastAsia="Times New Roman" w:cs="Tahoma"/>
          <w:iCs/>
          <w:color w:val="auto"/>
          <w:lang w:eastAsia="es-ES"/>
        </w:rPr>
        <w:t xml:space="preserve">Vivienda; </w:t>
      </w:r>
    </w:p>
    <w:p w14:paraId="7B0606BE" w14:textId="1075F8B0" w:rsidR="009B500B" w:rsidRPr="009B500B" w:rsidRDefault="009B500B" w:rsidP="009B500B">
      <w:pPr>
        <w:pStyle w:val="Prrafodelista"/>
        <w:numPr>
          <w:ilvl w:val="0"/>
          <w:numId w:val="32"/>
        </w:numPr>
        <w:spacing w:after="0" w:line="360" w:lineRule="auto"/>
        <w:rPr>
          <w:rFonts w:eastAsia="Times New Roman" w:cs="Tahoma"/>
          <w:iCs/>
          <w:color w:val="auto"/>
          <w:lang w:eastAsia="es-ES"/>
        </w:rPr>
      </w:pPr>
      <w:r w:rsidRPr="009B500B">
        <w:rPr>
          <w:rFonts w:eastAsia="Times New Roman" w:cs="Tahoma"/>
          <w:iCs/>
          <w:color w:val="auto"/>
          <w:lang w:eastAsia="es-ES"/>
        </w:rPr>
        <w:t xml:space="preserve">Superación de la pobreza, marginación y exclusión, y </w:t>
      </w:r>
    </w:p>
    <w:p w14:paraId="01C8EF5A" w14:textId="017DE2F2" w:rsidR="009B500B" w:rsidRPr="009B500B" w:rsidRDefault="009B500B" w:rsidP="009B500B">
      <w:pPr>
        <w:pStyle w:val="Prrafodelista"/>
        <w:numPr>
          <w:ilvl w:val="0"/>
          <w:numId w:val="32"/>
        </w:numPr>
        <w:spacing w:after="0" w:line="360" w:lineRule="auto"/>
        <w:rPr>
          <w:rFonts w:eastAsia="Times New Roman" w:cs="Tahoma"/>
          <w:iCs/>
          <w:color w:val="auto"/>
          <w:lang w:eastAsia="es-ES"/>
        </w:rPr>
      </w:pPr>
      <w:r w:rsidRPr="009B500B">
        <w:rPr>
          <w:rFonts w:eastAsia="Times New Roman" w:cs="Tahoma"/>
          <w:iCs/>
          <w:color w:val="auto"/>
          <w:lang w:eastAsia="es-ES"/>
        </w:rPr>
        <w:lastRenderedPageBreak/>
        <w:t xml:space="preserve">Obras de infraestructura social. </w:t>
      </w:r>
    </w:p>
    <w:p w14:paraId="646C7D7F" w14:textId="77777777" w:rsidR="009B500B" w:rsidRDefault="009B500B" w:rsidP="009B500B">
      <w:pPr>
        <w:spacing w:after="0" w:line="360" w:lineRule="auto"/>
        <w:contextualSpacing/>
        <w:rPr>
          <w:rFonts w:eastAsia="Times New Roman" w:cs="Tahoma"/>
          <w:iCs/>
          <w:color w:val="auto"/>
          <w:lang w:eastAsia="es-ES"/>
        </w:rPr>
      </w:pPr>
    </w:p>
    <w:p w14:paraId="5E12385A" w14:textId="3F323C45" w:rsidR="009B500B" w:rsidRDefault="009B500B" w:rsidP="009B500B">
      <w:pPr>
        <w:spacing w:after="0" w:line="360" w:lineRule="auto"/>
        <w:contextualSpacing/>
        <w:rPr>
          <w:rFonts w:eastAsia="Times New Roman" w:cs="Tahoma"/>
          <w:iCs/>
          <w:color w:val="auto"/>
          <w:lang w:eastAsia="es-ES"/>
        </w:rPr>
      </w:pPr>
      <w:r w:rsidRPr="009B500B">
        <w:rPr>
          <w:rFonts w:eastAsia="Times New Roman" w:cs="Tahoma"/>
          <w:iCs/>
          <w:color w:val="auto"/>
          <w:lang w:eastAsia="es-ES"/>
        </w:rPr>
        <w:t xml:space="preserve">En ese contexto, el artículo 14 de dicho ordenamiento jurídico, establece que es obligación de los Ayuntamientos formular, dirigir e implementar la política social municipal e informar a la sociedad de las políticas, programas y acciones de desarrollo social que se ejecuten; situación que toma relevancia, pues </w:t>
      </w:r>
      <w:r w:rsidRPr="000C28C9">
        <w:rPr>
          <w:rFonts w:eastAsia="Times New Roman" w:cs="Tahoma"/>
          <w:iCs/>
          <w:color w:val="auto"/>
          <w:lang w:eastAsia="es-ES"/>
        </w:rPr>
        <w:t>conforme a</w:t>
      </w:r>
      <w:r w:rsidR="009E0142" w:rsidRPr="000C28C9">
        <w:rPr>
          <w:rFonts w:eastAsia="Times New Roman" w:cs="Tahoma"/>
          <w:iCs/>
          <w:color w:val="auto"/>
          <w:lang w:eastAsia="es-ES"/>
        </w:rPr>
        <w:t xml:space="preserve"> los</w:t>
      </w:r>
      <w:r w:rsidRPr="000C28C9">
        <w:rPr>
          <w:rFonts w:eastAsia="Times New Roman" w:cs="Tahoma"/>
          <w:iCs/>
          <w:color w:val="auto"/>
          <w:lang w:eastAsia="es-ES"/>
        </w:rPr>
        <w:t xml:space="preserve"> artícul</w:t>
      </w:r>
      <w:r w:rsidR="009E0142" w:rsidRPr="000C28C9">
        <w:rPr>
          <w:rFonts w:eastAsia="Times New Roman" w:cs="Tahoma"/>
          <w:iCs/>
          <w:color w:val="auto"/>
          <w:lang w:eastAsia="es-ES"/>
        </w:rPr>
        <w:t>os 65 y 66</w:t>
      </w:r>
      <w:r w:rsidRPr="000C28C9">
        <w:rPr>
          <w:rFonts w:eastAsia="Times New Roman" w:cs="Tahoma"/>
          <w:iCs/>
          <w:color w:val="auto"/>
          <w:lang w:eastAsia="es-ES"/>
        </w:rPr>
        <w:t xml:space="preserve">, del </w:t>
      </w:r>
      <w:r w:rsidR="009E0142" w:rsidRPr="000C28C9">
        <w:rPr>
          <w:rFonts w:eastAsia="Times New Roman" w:cs="Tahoma"/>
          <w:iCs/>
          <w:color w:val="auto"/>
          <w:lang w:eastAsia="es-ES"/>
        </w:rPr>
        <w:t>Reglamento</w:t>
      </w:r>
      <w:r w:rsidR="009E0142">
        <w:rPr>
          <w:rFonts w:eastAsia="Times New Roman" w:cs="Tahoma"/>
          <w:iCs/>
          <w:color w:val="auto"/>
          <w:lang w:eastAsia="es-ES"/>
        </w:rPr>
        <w:t xml:space="preserve"> Orgánico Municipal, dos mil veinticinco</w:t>
      </w:r>
      <w:r w:rsidRPr="009B500B">
        <w:rPr>
          <w:rFonts w:eastAsia="Times New Roman" w:cs="Tahoma"/>
          <w:iCs/>
          <w:color w:val="auto"/>
          <w:lang w:eastAsia="es-ES"/>
        </w:rPr>
        <w:t>,</w:t>
      </w:r>
      <w:r w:rsidR="009E0142">
        <w:rPr>
          <w:rFonts w:eastAsia="Times New Roman" w:cs="Tahoma"/>
          <w:iCs/>
          <w:color w:val="auto"/>
          <w:lang w:eastAsia="es-ES"/>
        </w:rPr>
        <w:t xml:space="preserve"> de Zinacantepec, precisa que la </w:t>
      </w:r>
      <w:r w:rsidR="009E0142" w:rsidRPr="009E0142">
        <w:rPr>
          <w:rFonts w:eastAsia="Times New Roman" w:cs="Tahoma"/>
          <w:b/>
          <w:bCs/>
          <w:iCs/>
          <w:color w:val="auto"/>
          <w:lang w:eastAsia="es-ES"/>
        </w:rPr>
        <w:t>Dirección de Desarrollo Social</w:t>
      </w:r>
      <w:r w:rsidR="009E0142">
        <w:rPr>
          <w:rFonts w:eastAsia="Times New Roman" w:cs="Tahoma"/>
          <w:iCs/>
          <w:color w:val="auto"/>
          <w:lang w:eastAsia="es-ES"/>
        </w:rPr>
        <w:t xml:space="preserve"> es la encargada de implementar acciones de bienestar social  que apoyen a los diferentes grupos poblaciones, prevaleciendo los adultos mayores, indígenas, mujeres, hombres, jóvenes y niños, a través de gestiones sociales que de efectúan por demanda de la ciudadanía, y para tal efecto, gestionará programas de bienestar social, impulsar la ejecución de programas y autorizar los apoyos que ofrezcan, previa validación y cumplimiento de los requisitos de las reglas de operación de los programas que se llegaran a implementar</w:t>
      </w:r>
      <w:r w:rsidR="000429F3">
        <w:rPr>
          <w:rFonts w:eastAsia="Times New Roman" w:cs="Tahoma"/>
          <w:iCs/>
          <w:color w:val="auto"/>
          <w:lang w:eastAsia="es-ES"/>
        </w:rPr>
        <w:t xml:space="preserve">. </w:t>
      </w:r>
    </w:p>
    <w:p w14:paraId="451E7626" w14:textId="77777777" w:rsidR="009B500B" w:rsidRDefault="009B500B" w:rsidP="009B500B">
      <w:pPr>
        <w:spacing w:after="0" w:line="360" w:lineRule="auto"/>
        <w:contextualSpacing/>
        <w:rPr>
          <w:rFonts w:eastAsia="Times New Roman" w:cs="Tahoma"/>
          <w:iCs/>
          <w:color w:val="auto"/>
          <w:lang w:eastAsia="es-ES"/>
        </w:rPr>
      </w:pPr>
    </w:p>
    <w:p w14:paraId="1480ACBA" w14:textId="77777777" w:rsidR="006F0AD7" w:rsidRPr="006F0AD7" w:rsidRDefault="006F0AD7" w:rsidP="006F0AD7">
      <w:pPr>
        <w:spacing w:after="0" w:line="360" w:lineRule="auto"/>
        <w:contextualSpacing/>
        <w:rPr>
          <w:rFonts w:eastAsia="Times New Roman" w:cs="Tahoma"/>
          <w:iCs/>
          <w:color w:val="auto"/>
          <w:lang w:eastAsia="es-ES"/>
        </w:rPr>
      </w:pPr>
      <w:r w:rsidRPr="006F0AD7">
        <w:rPr>
          <w:rFonts w:eastAsia="Times New Roman" w:cs="Tahoma"/>
          <w:iCs/>
          <w:color w:val="auto"/>
          <w:lang w:eastAsia="es-ES"/>
        </w:rPr>
        <w:t xml:space="preserve">Asimismo, el artículo 92, fracción XIV, de la Ley de Transparencia y Acceso a la Información </w:t>
      </w:r>
    </w:p>
    <w:p w14:paraId="787ABD21" w14:textId="6BCC2970" w:rsidR="009B500B" w:rsidRDefault="006F0AD7" w:rsidP="006F0AD7">
      <w:pPr>
        <w:spacing w:after="0" w:line="360" w:lineRule="auto"/>
        <w:contextualSpacing/>
        <w:rPr>
          <w:rFonts w:eastAsia="Times New Roman" w:cs="Tahoma"/>
          <w:iCs/>
          <w:color w:val="auto"/>
          <w:lang w:eastAsia="es-ES"/>
        </w:rPr>
      </w:pPr>
      <w:r w:rsidRPr="006F0AD7">
        <w:rPr>
          <w:rFonts w:eastAsia="Times New Roman" w:cs="Tahoma"/>
          <w:iCs/>
          <w:color w:val="auto"/>
          <w:lang w:eastAsia="es-ES"/>
        </w:rPr>
        <w:t xml:space="preserve">Pública del Estado de México y Municipios, establece que una obligación de los </w:t>
      </w:r>
      <w:r w:rsidR="00CC01D3" w:rsidRPr="006F0AD7">
        <w:rPr>
          <w:rFonts w:eastAsia="Times New Roman" w:cs="Tahoma"/>
          <w:iCs/>
          <w:color w:val="auto"/>
          <w:lang w:eastAsia="es-ES"/>
        </w:rPr>
        <w:t xml:space="preserve">Sujetos </w:t>
      </w:r>
      <w:r w:rsidR="00CC01D3">
        <w:rPr>
          <w:rFonts w:eastAsia="Times New Roman" w:cs="Tahoma"/>
          <w:iCs/>
          <w:color w:val="auto"/>
          <w:lang w:eastAsia="es-ES"/>
        </w:rPr>
        <w:t>Obligados</w:t>
      </w:r>
      <w:r w:rsidRPr="006F0AD7">
        <w:rPr>
          <w:rFonts w:eastAsia="Times New Roman" w:cs="Tahoma"/>
          <w:iCs/>
          <w:color w:val="auto"/>
          <w:lang w:eastAsia="es-ES"/>
        </w:rPr>
        <w:t xml:space="preserve"> es poner a disposición del público de manera permanente y actualizada en los</w:t>
      </w:r>
      <w:r w:rsidR="00CC01D3">
        <w:rPr>
          <w:rFonts w:eastAsia="Times New Roman" w:cs="Tahoma"/>
          <w:iCs/>
          <w:color w:val="auto"/>
          <w:lang w:eastAsia="es-ES"/>
        </w:rPr>
        <w:t xml:space="preserve"> </w:t>
      </w:r>
      <w:r w:rsidRPr="006F0AD7">
        <w:rPr>
          <w:rFonts w:eastAsia="Times New Roman" w:cs="Tahoma"/>
          <w:iCs/>
          <w:color w:val="auto"/>
          <w:lang w:eastAsia="es-ES"/>
        </w:rPr>
        <w:t xml:space="preserve">respectivos medios electrónicos, la información de los </w:t>
      </w:r>
      <w:r w:rsidRPr="00CC01D3">
        <w:rPr>
          <w:rFonts w:eastAsia="Times New Roman" w:cs="Tahoma"/>
          <w:b/>
          <w:bCs/>
          <w:iCs/>
          <w:color w:val="auto"/>
          <w:lang w:eastAsia="es-ES"/>
        </w:rPr>
        <w:t xml:space="preserve">programas de subsidios, estímulos </w:t>
      </w:r>
      <w:r w:rsidR="00CC01D3" w:rsidRPr="00CC01D3">
        <w:rPr>
          <w:rFonts w:eastAsia="Times New Roman" w:cs="Tahoma"/>
          <w:b/>
          <w:bCs/>
          <w:iCs/>
          <w:color w:val="auto"/>
          <w:lang w:eastAsia="es-ES"/>
        </w:rPr>
        <w:t>y apoyos</w:t>
      </w:r>
      <w:r w:rsidRPr="006F0AD7">
        <w:rPr>
          <w:rFonts w:eastAsia="Times New Roman" w:cs="Tahoma"/>
          <w:iCs/>
          <w:color w:val="auto"/>
          <w:lang w:eastAsia="es-ES"/>
        </w:rPr>
        <w:t>, en el que se deberá informar respecto de los programas de transferencia, de servicios,</w:t>
      </w:r>
      <w:r w:rsidR="00CC01D3">
        <w:rPr>
          <w:rFonts w:eastAsia="Times New Roman" w:cs="Tahoma"/>
          <w:iCs/>
          <w:color w:val="auto"/>
          <w:lang w:eastAsia="es-ES"/>
        </w:rPr>
        <w:t xml:space="preserve"> </w:t>
      </w:r>
      <w:r w:rsidRPr="006F0AD7">
        <w:rPr>
          <w:rFonts w:eastAsia="Times New Roman" w:cs="Tahoma"/>
          <w:iCs/>
          <w:color w:val="auto"/>
          <w:lang w:eastAsia="es-ES"/>
        </w:rPr>
        <w:t>de infraestructura social y de subsidio, en los que se deberá contener lo siguiente:</w:t>
      </w:r>
    </w:p>
    <w:p w14:paraId="3778A4EC" w14:textId="77777777" w:rsidR="00CC01D3" w:rsidRDefault="00CC01D3" w:rsidP="006F0AD7">
      <w:pPr>
        <w:spacing w:after="0" w:line="360" w:lineRule="auto"/>
        <w:contextualSpacing/>
        <w:rPr>
          <w:rFonts w:eastAsia="Times New Roman" w:cs="Tahoma"/>
          <w:iCs/>
          <w:color w:val="auto"/>
          <w:lang w:eastAsia="es-ES"/>
        </w:rPr>
      </w:pPr>
    </w:p>
    <w:p w14:paraId="1FF386D5" w14:textId="77777777"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Área;  </w:t>
      </w:r>
    </w:p>
    <w:p w14:paraId="5C884F07" w14:textId="6A6FB5F3"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Denominación del programa;  </w:t>
      </w:r>
    </w:p>
    <w:p w14:paraId="744C9B7A" w14:textId="50E4C963"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Periodo de vigencia;  </w:t>
      </w:r>
    </w:p>
    <w:p w14:paraId="39F592A7" w14:textId="754ECA68"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Diseño, objetivos y alcances;  </w:t>
      </w:r>
    </w:p>
    <w:p w14:paraId="1D07E9E9" w14:textId="4F8AC40D"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Metas físicas;  </w:t>
      </w:r>
    </w:p>
    <w:p w14:paraId="53A54FEF" w14:textId="2D6175DD"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lastRenderedPageBreak/>
        <w:t xml:space="preserve">Población beneficiada estimada;  </w:t>
      </w:r>
    </w:p>
    <w:p w14:paraId="0F5E55E2" w14:textId="1292E365"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Monto aprobado, modificado y ejercido, así como los calendarios de su programación</w:t>
      </w:r>
      <w:r>
        <w:rPr>
          <w:rFonts w:eastAsia="Times New Roman" w:cs="Tahoma"/>
          <w:iCs/>
          <w:color w:val="auto"/>
          <w:lang w:eastAsia="es-ES"/>
        </w:rPr>
        <w:t xml:space="preserve"> </w:t>
      </w:r>
      <w:r w:rsidRPr="00CC01D3">
        <w:rPr>
          <w:rFonts w:eastAsia="Times New Roman" w:cs="Tahoma"/>
          <w:iCs/>
          <w:color w:val="auto"/>
          <w:lang w:eastAsia="es-ES"/>
        </w:rPr>
        <w:t xml:space="preserve">presupuestal;  </w:t>
      </w:r>
    </w:p>
    <w:p w14:paraId="3111701B" w14:textId="3C1414CF"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Requisitos y procedimientos de acceso;  </w:t>
      </w:r>
    </w:p>
    <w:p w14:paraId="677720AF" w14:textId="46A893C4"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Procedimiento de queja o inconformidad ciudadana; </w:t>
      </w:r>
    </w:p>
    <w:p w14:paraId="602DC1CC" w14:textId="77777777"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Mecanismos de exigibilidad;  </w:t>
      </w:r>
    </w:p>
    <w:p w14:paraId="3A11181C" w14:textId="23722546"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Mecanismos e informes de evaluación y seguimiento de recomendaciones; </w:t>
      </w:r>
    </w:p>
    <w:p w14:paraId="202B142D" w14:textId="391915D0"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Indicadores con nombre, definición, método de cálculo, unidad de </w:t>
      </w:r>
      <w:proofErr w:type="gramStart"/>
      <w:r w:rsidRPr="00CC01D3">
        <w:rPr>
          <w:rFonts w:eastAsia="Times New Roman" w:cs="Tahoma"/>
          <w:iCs/>
          <w:color w:val="auto"/>
          <w:lang w:eastAsia="es-ES"/>
        </w:rPr>
        <w:t xml:space="preserve">medida; </w:t>
      </w:r>
      <w:r>
        <w:rPr>
          <w:rFonts w:eastAsia="Times New Roman" w:cs="Tahoma"/>
          <w:iCs/>
          <w:color w:val="auto"/>
          <w:lang w:eastAsia="es-ES"/>
        </w:rPr>
        <w:t xml:space="preserve"> </w:t>
      </w:r>
      <w:r w:rsidRPr="00CC01D3">
        <w:rPr>
          <w:rFonts w:eastAsia="Times New Roman" w:cs="Tahoma"/>
          <w:iCs/>
          <w:color w:val="auto"/>
          <w:lang w:eastAsia="es-ES"/>
        </w:rPr>
        <w:t>dimensión</w:t>
      </w:r>
      <w:proofErr w:type="gramEnd"/>
      <w:r w:rsidRPr="00CC01D3">
        <w:rPr>
          <w:rFonts w:eastAsia="Times New Roman" w:cs="Tahoma"/>
          <w:iCs/>
          <w:color w:val="auto"/>
          <w:lang w:eastAsia="es-ES"/>
        </w:rPr>
        <w:t xml:space="preserve">, frecuencia de medición, nombre de las bases de datos utilizadas para </w:t>
      </w:r>
      <w:proofErr w:type="gramStart"/>
      <w:r w:rsidRPr="00CC01D3">
        <w:rPr>
          <w:rFonts w:eastAsia="Times New Roman" w:cs="Tahoma"/>
          <w:iCs/>
          <w:color w:val="auto"/>
          <w:lang w:eastAsia="es-ES"/>
        </w:rPr>
        <w:t xml:space="preserve">su </w:t>
      </w:r>
      <w:r>
        <w:rPr>
          <w:rFonts w:eastAsia="Times New Roman" w:cs="Tahoma"/>
          <w:iCs/>
          <w:color w:val="auto"/>
          <w:lang w:eastAsia="es-ES"/>
        </w:rPr>
        <w:t xml:space="preserve"> </w:t>
      </w:r>
      <w:r w:rsidRPr="00CC01D3">
        <w:rPr>
          <w:rFonts w:eastAsia="Times New Roman" w:cs="Tahoma"/>
          <w:iCs/>
          <w:color w:val="auto"/>
          <w:lang w:eastAsia="es-ES"/>
        </w:rPr>
        <w:t>cálculo</w:t>
      </w:r>
      <w:proofErr w:type="gramEnd"/>
      <w:r w:rsidRPr="00CC01D3">
        <w:rPr>
          <w:rFonts w:eastAsia="Times New Roman" w:cs="Tahoma"/>
          <w:iCs/>
          <w:color w:val="auto"/>
          <w:lang w:eastAsia="es-ES"/>
        </w:rPr>
        <w:t xml:space="preserve">;  </w:t>
      </w:r>
    </w:p>
    <w:p w14:paraId="2FB1CB41" w14:textId="7BA87AAC"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Formas de participación social;  </w:t>
      </w:r>
    </w:p>
    <w:p w14:paraId="52CF4C56" w14:textId="746690A9"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Articulación con otros programas sociales;  </w:t>
      </w:r>
    </w:p>
    <w:p w14:paraId="75B06345" w14:textId="0064B8B8"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 xml:space="preserve">Vínculo a las reglas de operación o documento equivalente;  </w:t>
      </w:r>
    </w:p>
    <w:p w14:paraId="642240A4" w14:textId="2139599A"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iCs/>
          <w:color w:val="auto"/>
          <w:lang w:eastAsia="es-ES"/>
        </w:rPr>
        <w:t>Informes periódicos sobre la ejecución y los resultados de las evaluaciones realizadas;</w:t>
      </w:r>
      <w:r>
        <w:rPr>
          <w:rFonts w:eastAsia="Times New Roman" w:cs="Tahoma"/>
          <w:iCs/>
          <w:color w:val="auto"/>
          <w:lang w:eastAsia="es-ES"/>
        </w:rPr>
        <w:t xml:space="preserve"> </w:t>
      </w:r>
      <w:r w:rsidRPr="00CC01D3">
        <w:rPr>
          <w:rFonts w:eastAsia="Times New Roman" w:cs="Tahoma"/>
          <w:iCs/>
          <w:color w:val="auto"/>
          <w:lang w:eastAsia="es-ES"/>
        </w:rPr>
        <w:t xml:space="preserve">y  </w:t>
      </w:r>
    </w:p>
    <w:p w14:paraId="1EDFB51A" w14:textId="2B77434A" w:rsidR="00CC01D3" w:rsidRPr="00CC01D3" w:rsidRDefault="00CC01D3" w:rsidP="00CC01D3">
      <w:pPr>
        <w:pStyle w:val="Prrafodelista"/>
        <w:numPr>
          <w:ilvl w:val="0"/>
          <w:numId w:val="34"/>
        </w:numPr>
        <w:spacing w:after="0" w:line="360" w:lineRule="auto"/>
        <w:rPr>
          <w:rFonts w:eastAsia="Times New Roman" w:cs="Tahoma"/>
          <w:iCs/>
          <w:color w:val="auto"/>
          <w:lang w:eastAsia="es-ES"/>
        </w:rPr>
      </w:pPr>
      <w:r w:rsidRPr="00CC01D3">
        <w:rPr>
          <w:rFonts w:eastAsia="Times New Roman" w:cs="Tahoma"/>
          <w:b/>
          <w:bCs/>
          <w:iCs/>
          <w:color w:val="auto"/>
          <w:lang w:eastAsia="es-ES"/>
        </w:rPr>
        <w:t xml:space="preserve">Padrón de beneficiarios mismo que deberá contener los siguientes datos: nombre de la persona física o denominación social de las personas jurídicas colectivas beneficiadas el monto, recurso, beneficio o apoyo otorgado para cada una de </w:t>
      </w:r>
      <w:proofErr w:type="gramStart"/>
      <w:r w:rsidRPr="00CC01D3">
        <w:rPr>
          <w:rFonts w:eastAsia="Times New Roman" w:cs="Tahoma"/>
          <w:b/>
          <w:bCs/>
          <w:iCs/>
          <w:color w:val="auto"/>
          <w:lang w:eastAsia="es-ES"/>
        </w:rPr>
        <w:t>ellas,  unidad</w:t>
      </w:r>
      <w:proofErr w:type="gramEnd"/>
      <w:r w:rsidRPr="00CC01D3">
        <w:rPr>
          <w:rFonts w:eastAsia="Times New Roman" w:cs="Tahoma"/>
          <w:b/>
          <w:bCs/>
          <w:iCs/>
          <w:color w:val="auto"/>
          <w:lang w:eastAsia="es-ES"/>
        </w:rPr>
        <w:t xml:space="preserve"> territorial, en su caso, edad y sexo</w:t>
      </w:r>
      <w:r w:rsidRPr="00CC01D3">
        <w:rPr>
          <w:rFonts w:eastAsia="Times New Roman" w:cs="Tahoma"/>
          <w:iCs/>
          <w:color w:val="auto"/>
          <w:lang w:eastAsia="es-ES"/>
        </w:rPr>
        <w:t>.</w:t>
      </w:r>
    </w:p>
    <w:p w14:paraId="5150E2E5" w14:textId="77777777" w:rsidR="00CC01D3" w:rsidRDefault="00CC01D3" w:rsidP="006F0AD7">
      <w:pPr>
        <w:spacing w:after="0" w:line="360" w:lineRule="auto"/>
        <w:contextualSpacing/>
        <w:rPr>
          <w:rFonts w:eastAsia="Times New Roman" w:cs="Tahoma"/>
          <w:iCs/>
          <w:color w:val="auto"/>
          <w:lang w:eastAsia="es-ES"/>
        </w:rPr>
      </w:pPr>
    </w:p>
    <w:p w14:paraId="68538DEE" w14:textId="4715F026" w:rsidR="007B5D0A" w:rsidRDefault="00CC01D3" w:rsidP="005032B4">
      <w:pPr>
        <w:spacing w:after="0" w:line="360" w:lineRule="auto"/>
        <w:contextualSpacing/>
        <w:rPr>
          <w:rFonts w:eastAsia="Times New Roman" w:cs="Tahoma"/>
          <w:iCs/>
          <w:color w:val="auto"/>
          <w:lang w:eastAsia="es-ES"/>
        </w:rPr>
      </w:pPr>
      <w:r w:rsidRPr="00CC01D3">
        <w:rPr>
          <w:rFonts w:eastAsia="Times New Roman" w:cs="Tahoma"/>
          <w:iCs/>
          <w:color w:val="auto"/>
          <w:lang w:eastAsia="es-ES"/>
        </w:rPr>
        <w:t>En ese orden de ideas</w:t>
      </w:r>
      <w:r w:rsidR="007B5D0A" w:rsidRPr="00CC01D3">
        <w:rPr>
          <w:rFonts w:eastAsia="Times New Roman" w:cs="Tahoma"/>
          <w:iCs/>
          <w:color w:val="auto"/>
          <w:lang w:eastAsia="es-ES"/>
        </w:rPr>
        <w:t xml:space="preserve">, se logra vislumbrar que la pretensión del ahora </w:t>
      </w:r>
      <w:r w:rsidRPr="00CC01D3">
        <w:rPr>
          <w:rFonts w:eastAsia="Times New Roman" w:cs="Tahoma"/>
          <w:iCs/>
          <w:color w:val="auto"/>
          <w:lang w:eastAsia="es-ES"/>
        </w:rPr>
        <w:t>Recurrente</w:t>
      </w:r>
      <w:r w:rsidR="007B5D0A" w:rsidRPr="00CC01D3">
        <w:rPr>
          <w:rFonts w:eastAsia="Times New Roman" w:cs="Tahoma"/>
          <w:iCs/>
          <w:color w:val="auto"/>
          <w:lang w:eastAsia="es-ES"/>
        </w:rPr>
        <w:t xml:space="preserve"> es obtener </w:t>
      </w:r>
      <w:r w:rsidR="00A22680">
        <w:rPr>
          <w:rFonts w:eastAsia="Times New Roman" w:cs="Tahoma"/>
          <w:iCs/>
          <w:color w:val="auto"/>
          <w:lang w:eastAsia="es-ES"/>
        </w:rPr>
        <w:t xml:space="preserve">el padrón de beneficiarios de los programas sociales brindados por el Sujeto Obligado, que incluyan los nombres completos, edad, ubicación y tipo de programa, del tres de abril de dos mil veinte al tres de abril de dos mil veinticinco. </w:t>
      </w:r>
      <w:r w:rsidR="00252709">
        <w:rPr>
          <w:rFonts w:eastAsia="Times New Roman" w:cs="Tahoma"/>
          <w:iCs/>
          <w:color w:val="auto"/>
          <w:lang w:eastAsia="es-ES"/>
        </w:rPr>
        <w:t xml:space="preserve"> </w:t>
      </w:r>
    </w:p>
    <w:p w14:paraId="24DB85CC" w14:textId="77777777" w:rsidR="00B46F88" w:rsidRPr="007B5D0A" w:rsidRDefault="00B46F88" w:rsidP="005032B4">
      <w:pPr>
        <w:spacing w:after="0" w:line="360" w:lineRule="auto"/>
        <w:contextualSpacing/>
        <w:rPr>
          <w:rFonts w:eastAsia="Times New Roman" w:cs="Tahoma"/>
          <w:iCs/>
          <w:color w:val="auto"/>
          <w:lang w:eastAsia="es-ES"/>
        </w:rPr>
      </w:pPr>
    </w:p>
    <w:p w14:paraId="6878D56D" w14:textId="4243929D" w:rsidR="007B5D0A" w:rsidRPr="007B5D0A" w:rsidRDefault="007B5D0A" w:rsidP="005032B4">
      <w:pPr>
        <w:spacing w:after="0" w:line="360" w:lineRule="auto"/>
        <w:contextualSpacing/>
        <w:rPr>
          <w:rFonts w:eastAsia="Times New Roman" w:cs="Tahoma"/>
          <w:iCs/>
          <w:color w:val="auto"/>
          <w:lang w:eastAsia="es-ES"/>
        </w:rPr>
      </w:pPr>
      <w:r w:rsidRPr="007B5D0A">
        <w:rPr>
          <w:rFonts w:eastAsia="Times New Roman" w:cs="Tahoma"/>
          <w:iCs/>
          <w:color w:val="auto"/>
          <w:lang w:eastAsia="es-ES"/>
        </w:rPr>
        <w:lastRenderedPageBreak/>
        <w:t xml:space="preserve">Establecida dicha circunstancia, se procede analizar la respuesta entregada, para lo cual, es de señalar que de las constancias que obran en el expediente, se logra vislumbrar que el Sujeto Obligado turno la solicitud de información a la </w:t>
      </w:r>
      <w:r w:rsidR="00A22680" w:rsidRPr="009D1671">
        <w:rPr>
          <w:rFonts w:eastAsia="Times New Roman" w:cs="Tahoma"/>
          <w:b/>
          <w:bCs/>
          <w:iCs/>
          <w:color w:val="auto"/>
          <w:lang w:eastAsia="es-ES"/>
        </w:rPr>
        <w:t>Dirección de Desarrollo Social</w:t>
      </w:r>
      <w:r w:rsidRPr="009D1671">
        <w:rPr>
          <w:rFonts w:eastAsia="Times New Roman" w:cs="Tahoma"/>
          <w:b/>
          <w:bCs/>
          <w:iCs/>
          <w:color w:val="auto"/>
          <w:lang w:eastAsia="es-ES"/>
        </w:rPr>
        <w:t xml:space="preserve">; </w:t>
      </w:r>
      <w:r w:rsidRPr="009D1671">
        <w:rPr>
          <w:rFonts w:eastAsia="Times New Roman" w:cs="Tahoma"/>
          <w:iCs/>
          <w:color w:val="auto"/>
          <w:lang w:eastAsia="es-ES"/>
        </w:rPr>
        <w:t>así, resulta necesario hacer referencia al procedimiento de búsqueda que deben seguir</w:t>
      </w:r>
      <w:r w:rsidRPr="007B5D0A">
        <w:rPr>
          <w:rFonts w:eastAsia="Times New Roman" w:cs="Tahoma"/>
          <w:iCs/>
          <w:color w:val="auto"/>
          <w:lang w:eastAsia="es-ES"/>
        </w:rPr>
        <w:t xml:space="preserve">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CE0F777" w14:textId="77777777" w:rsidR="007B5D0A" w:rsidRPr="007B5D0A" w:rsidRDefault="007B5D0A" w:rsidP="005032B4">
      <w:pPr>
        <w:spacing w:after="0" w:line="360" w:lineRule="auto"/>
        <w:contextualSpacing/>
        <w:rPr>
          <w:rFonts w:eastAsia="Times New Roman" w:cs="Tahoma"/>
          <w:iCs/>
          <w:color w:val="auto"/>
          <w:lang w:eastAsia="es-ES"/>
        </w:rPr>
      </w:pPr>
    </w:p>
    <w:p w14:paraId="4AD4B711" w14:textId="09EC6824" w:rsidR="00252709" w:rsidRPr="00252709" w:rsidRDefault="007B5D0A" w:rsidP="00252709">
      <w:pPr>
        <w:spacing w:after="0" w:line="360" w:lineRule="auto"/>
        <w:contextualSpacing/>
        <w:rPr>
          <w:rFonts w:eastAsia="Times New Roman" w:cs="Tahoma"/>
          <w:bCs/>
          <w:iCs/>
          <w:color w:val="auto"/>
          <w:lang w:eastAsia="es-ES"/>
        </w:rPr>
      </w:pPr>
      <w:r w:rsidRPr="007B5D0A">
        <w:rPr>
          <w:rFonts w:eastAsia="Times New Roman" w:cs="Tahoma"/>
          <w:iCs/>
          <w:color w:val="auto"/>
          <w:lang w:eastAsia="es-ES"/>
        </w:rPr>
        <w:t xml:space="preserve">Conforme a lo </w:t>
      </w:r>
      <w:r w:rsidR="00252709">
        <w:rPr>
          <w:rFonts w:eastAsia="Times New Roman" w:cs="Tahoma"/>
          <w:iCs/>
          <w:color w:val="auto"/>
          <w:lang w:eastAsia="es-ES"/>
        </w:rPr>
        <w:t>expuesto en párrafos anteriores</w:t>
      </w:r>
      <w:r w:rsidRPr="007B5D0A">
        <w:rPr>
          <w:rFonts w:eastAsia="Times New Roman" w:cs="Tahoma"/>
          <w:iCs/>
          <w:color w:val="auto"/>
          <w:lang w:eastAsia="es-ES"/>
        </w:rPr>
        <w:t>,</w:t>
      </w:r>
      <w:r w:rsidR="00252709">
        <w:rPr>
          <w:rFonts w:eastAsia="Times New Roman" w:cs="Tahoma"/>
          <w:iCs/>
          <w:color w:val="auto"/>
          <w:lang w:eastAsia="es-ES"/>
        </w:rPr>
        <w:t xml:space="preserve"> </w:t>
      </w:r>
      <w:r w:rsidR="00252709" w:rsidRPr="00252709">
        <w:rPr>
          <w:rFonts w:eastAsia="Times New Roman" w:cs="Tahoma"/>
          <w:bCs/>
          <w:iCs/>
          <w:color w:val="auto"/>
          <w:lang w:eastAsia="es-ES"/>
        </w:rPr>
        <w:t xml:space="preserve">se advierte que el Sujeto Obligado, cumplió con el procedimiento de búsqueda previsto en el artículo 162 de la Ley de Transparencia y Acceso a la Información Pública del Estado de México y Municipios, toda vez que </w:t>
      </w:r>
      <w:r w:rsidR="009D1671">
        <w:rPr>
          <w:rFonts w:eastAsia="Times New Roman" w:cs="Tahoma"/>
          <w:bCs/>
          <w:iCs/>
          <w:color w:val="auto"/>
          <w:lang w:eastAsia="es-ES"/>
        </w:rPr>
        <w:t>t</w:t>
      </w:r>
      <w:r w:rsidR="00252709" w:rsidRPr="00252709">
        <w:rPr>
          <w:rFonts w:eastAsia="Times New Roman" w:cs="Tahoma"/>
          <w:bCs/>
          <w:iCs/>
          <w:color w:val="auto"/>
          <w:lang w:eastAsia="es-ES"/>
        </w:rPr>
        <w:t xml:space="preserve">urnó la solicitud de información </w:t>
      </w:r>
      <w:r w:rsidR="009D1671">
        <w:rPr>
          <w:rFonts w:eastAsia="Times New Roman" w:cs="Tahoma"/>
          <w:bCs/>
          <w:iCs/>
          <w:color w:val="auto"/>
          <w:lang w:eastAsia="es-ES"/>
        </w:rPr>
        <w:t xml:space="preserve">al área competente para conocer sobre lo solicitado. </w:t>
      </w:r>
    </w:p>
    <w:p w14:paraId="766732FF" w14:textId="5D7FF120" w:rsidR="007B5D0A" w:rsidRPr="007B5D0A" w:rsidRDefault="007B5D0A" w:rsidP="005032B4">
      <w:pPr>
        <w:spacing w:after="0" w:line="360" w:lineRule="auto"/>
        <w:contextualSpacing/>
        <w:rPr>
          <w:rFonts w:eastAsia="Times New Roman" w:cs="Tahoma"/>
          <w:iCs/>
          <w:color w:val="auto"/>
          <w:lang w:eastAsia="es-ES"/>
        </w:rPr>
      </w:pPr>
    </w:p>
    <w:p w14:paraId="162E8B80" w14:textId="54DE1EE2" w:rsidR="00914A32" w:rsidRDefault="009D1671" w:rsidP="005032B4">
      <w:pPr>
        <w:spacing w:after="0" w:line="360" w:lineRule="auto"/>
        <w:contextualSpacing/>
        <w:rPr>
          <w:rFonts w:eastAsia="Times New Roman" w:cs="Tahoma"/>
          <w:iCs/>
          <w:color w:val="auto"/>
          <w:lang w:eastAsia="es-ES"/>
        </w:rPr>
      </w:pPr>
      <w:r>
        <w:rPr>
          <w:rFonts w:eastAsia="Times New Roman" w:cs="Tahoma"/>
          <w:iCs/>
          <w:color w:val="auto"/>
          <w:lang w:eastAsia="es-ES"/>
        </w:rPr>
        <w:t>Sobre</w:t>
      </w:r>
      <w:r w:rsidR="00252709">
        <w:rPr>
          <w:rFonts w:eastAsia="Times New Roman" w:cs="Tahoma"/>
          <w:iCs/>
          <w:color w:val="auto"/>
          <w:lang w:eastAsia="es-ES"/>
        </w:rPr>
        <w:t xml:space="preserve"> lo anter</w:t>
      </w:r>
      <w:r w:rsidR="00FD1A74">
        <w:rPr>
          <w:rFonts w:eastAsia="Times New Roman" w:cs="Tahoma"/>
          <w:iCs/>
          <w:color w:val="auto"/>
          <w:lang w:eastAsia="es-ES"/>
        </w:rPr>
        <w:t>ior</w:t>
      </w:r>
      <w:r w:rsidR="007B5D0A" w:rsidRPr="007B5D0A">
        <w:rPr>
          <w:rFonts w:eastAsia="Times New Roman" w:cs="Tahoma"/>
          <w:iCs/>
          <w:color w:val="auto"/>
          <w:lang w:eastAsia="es-ES"/>
        </w:rPr>
        <w:t xml:space="preserve">, </w:t>
      </w:r>
      <w:r>
        <w:rPr>
          <w:rFonts w:eastAsia="Times New Roman" w:cs="Tahoma"/>
          <w:iCs/>
          <w:color w:val="auto"/>
          <w:lang w:eastAsia="es-ES"/>
        </w:rPr>
        <w:t xml:space="preserve">en respuesta la Dirección de Desarrollo Social </w:t>
      </w:r>
      <w:r w:rsidR="00252709">
        <w:rPr>
          <w:rFonts w:eastAsia="Times New Roman" w:cs="Tahoma"/>
          <w:iCs/>
          <w:color w:val="auto"/>
          <w:lang w:eastAsia="es-ES"/>
        </w:rPr>
        <w:t xml:space="preserve">precisó que </w:t>
      </w:r>
      <w:r w:rsidR="00A27B70">
        <w:rPr>
          <w:rFonts w:eastAsia="Times New Roman" w:cs="Tahoma"/>
          <w:iCs/>
          <w:color w:val="auto"/>
          <w:lang w:eastAsia="es-ES"/>
        </w:rPr>
        <w:t>durante los años dos mil veintidós, dos mil veintitrés y dos mil veinticuatro, dicha área ejecutó programas de despensas en el Municipio de Zinacantepec</w:t>
      </w:r>
      <w:r w:rsidR="004F5A63">
        <w:rPr>
          <w:rFonts w:eastAsia="Times New Roman" w:cs="Tahoma"/>
          <w:iCs/>
          <w:color w:val="auto"/>
          <w:lang w:eastAsia="es-ES"/>
        </w:rPr>
        <w:t xml:space="preserve">, además proporcionó el padrón de beneficiarios de cada programa de conformidad con lo siguiente: </w:t>
      </w:r>
    </w:p>
    <w:p w14:paraId="149B877E" w14:textId="77777777" w:rsidR="00D65F1D" w:rsidRDefault="00D65F1D" w:rsidP="005032B4">
      <w:pPr>
        <w:spacing w:after="0" w:line="360" w:lineRule="auto"/>
        <w:contextualSpacing/>
        <w:rPr>
          <w:rFonts w:eastAsia="Times New Roman" w:cs="Tahoma"/>
          <w:iCs/>
          <w:color w:val="auto"/>
          <w:lang w:eastAsia="es-ES"/>
        </w:rPr>
      </w:pPr>
    </w:p>
    <w:p w14:paraId="6D54EBD7" w14:textId="6B943C81" w:rsidR="00D4442D" w:rsidRDefault="00737A0E" w:rsidP="00737A0E">
      <w:pPr>
        <w:spacing w:after="0" w:line="360" w:lineRule="auto"/>
        <w:contextualSpacing/>
        <w:jc w:val="center"/>
        <w:rPr>
          <w:rFonts w:eastAsia="Times New Roman" w:cs="Tahoma"/>
          <w:b/>
          <w:bCs/>
          <w:iCs/>
          <w:color w:val="auto"/>
          <w:lang w:eastAsia="es-ES"/>
        </w:rPr>
      </w:pPr>
      <w:r w:rsidRPr="00737A0E">
        <w:rPr>
          <w:rFonts w:eastAsia="Times New Roman" w:cs="Tahoma"/>
          <w:b/>
          <w:bCs/>
          <w:iCs/>
          <w:color w:val="auto"/>
          <w:lang w:eastAsia="es-ES"/>
        </w:rPr>
        <w:t>Padrón de Beneficiarios del Programa “Merecemos Vivir Mejor” de 2022</w:t>
      </w:r>
    </w:p>
    <w:p w14:paraId="69F3CAC5" w14:textId="53832603" w:rsidR="00737A0E" w:rsidRDefault="00737A0E" w:rsidP="00737A0E">
      <w:pPr>
        <w:spacing w:after="0" w:line="360" w:lineRule="auto"/>
        <w:contextualSpacing/>
        <w:jc w:val="center"/>
        <w:rPr>
          <w:rFonts w:eastAsia="Times New Roman" w:cs="Tahoma"/>
          <w:b/>
          <w:bCs/>
          <w:iCs/>
          <w:color w:val="auto"/>
          <w:lang w:eastAsia="es-ES"/>
        </w:rPr>
      </w:pPr>
      <w:r w:rsidRPr="00737A0E">
        <w:rPr>
          <w:rFonts w:eastAsia="Times New Roman" w:cs="Tahoma"/>
          <w:b/>
          <w:bCs/>
          <w:iCs/>
          <w:noProof/>
          <w:color w:val="auto"/>
          <w:lang w:eastAsia="es-MX"/>
        </w:rPr>
        <w:drawing>
          <wp:inline distT="0" distB="0" distL="0" distR="0" wp14:anchorId="69561F6C" wp14:editId="291ECB90">
            <wp:extent cx="5671185" cy="788670"/>
            <wp:effectExtent l="0" t="0" r="5715" b="0"/>
            <wp:docPr id="18279606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6068" name="Imagen 1" descr="Tabla&#10;&#10;El contenido generado por IA puede ser incorrecto."/>
                    <pic:cNvPicPr/>
                  </pic:nvPicPr>
                  <pic:blipFill>
                    <a:blip r:embed="rId10"/>
                    <a:stretch>
                      <a:fillRect/>
                    </a:stretch>
                  </pic:blipFill>
                  <pic:spPr>
                    <a:xfrm>
                      <a:off x="0" y="0"/>
                      <a:ext cx="5671185" cy="788670"/>
                    </a:xfrm>
                    <a:prstGeom prst="rect">
                      <a:avLst/>
                    </a:prstGeom>
                  </pic:spPr>
                </pic:pic>
              </a:graphicData>
            </a:graphic>
          </wp:inline>
        </w:drawing>
      </w:r>
    </w:p>
    <w:p w14:paraId="6E66C69A" w14:textId="77777777" w:rsidR="00737A0E" w:rsidRDefault="00737A0E" w:rsidP="00737A0E">
      <w:pPr>
        <w:spacing w:after="0" w:line="360" w:lineRule="auto"/>
        <w:contextualSpacing/>
        <w:jc w:val="center"/>
        <w:rPr>
          <w:rFonts w:eastAsia="Times New Roman" w:cs="Tahoma"/>
          <w:b/>
          <w:bCs/>
          <w:iCs/>
          <w:color w:val="auto"/>
          <w:lang w:eastAsia="es-ES"/>
        </w:rPr>
      </w:pPr>
    </w:p>
    <w:p w14:paraId="1AA381F3" w14:textId="7019CB8A" w:rsidR="00737A0E" w:rsidRPr="00737A0E" w:rsidRDefault="00737A0E" w:rsidP="00737A0E">
      <w:pPr>
        <w:spacing w:after="0" w:line="360" w:lineRule="auto"/>
        <w:contextualSpacing/>
        <w:jc w:val="center"/>
        <w:rPr>
          <w:rFonts w:eastAsia="Times New Roman" w:cs="Tahoma"/>
          <w:b/>
          <w:bCs/>
          <w:iCs/>
          <w:color w:val="auto"/>
          <w:lang w:val="es-ES_tradnl" w:eastAsia="es-ES"/>
        </w:rPr>
      </w:pPr>
      <w:r w:rsidRPr="00737A0E">
        <w:rPr>
          <w:rFonts w:eastAsia="Times New Roman" w:cs="Tahoma"/>
          <w:b/>
          <w:bCs/>
          <w:iCs/>
          <w:color w:val="auto"/>
          <w:lang w:val="es-ES_tradnl" w:eastAsia="es-ES"/>
        </w:rPr>
        <w:t>Padrón de beneficiarios de la “Canasta Alimentaria Zinacantepec” de</w:t>
      </w:r>
      <w:r>
        <w:rPr>
          <w:rFonts w:eastAsia="Times New Roman" w:cs="Tahoma"/>
          <w:b/>
          <w:bCs/>
          <w:iCs/>
          <w:color w:val="auto"/>
          <w:lang w:val="es-ES_tradnl" w:eastAsia="es-ES"/>
        </w:rPr>
        <w:t xml:space="preserve"> 2023</w:t>
      </w:r>
    </w:p>
    <w:p w14:paraId="7763AF5A" w14:textId="77777777" w:rsidR="00737A0E" w:rsidRDefault="00737A0E" w:rsidP="00914A32">
      <w:pPr>
        <w:spacing w:after="0" w:line="360" w:lineRule="auto"/>
        <w:contextualSpacing/>
        <w:jc w:val="center"/>
        <w:rPr>
          <w:rFonts w:eastAsia="Times New Roman" w:cs="Tahoma"/>
          <w:iCs/>
          <w:color w:val="auto"/>
          <w:lang w:eastAsia="es-ES"/>
        </w:rPr>
      </w:pPr>
      <w:r w:rsidRPr="00737A0E">
        <w:rPr>
          <w:rFonts w:eastAsia="Times New Roman" w:cs="Tahoma"/>
          <w:iCs/>
          <w:noProof/>
          <w:color w:val="auto"/>
          <w:lang w:eastAsia="es-MX"/>
        </w:rPr>
        <w:drawing>
          <wp:inline distT="0" distB="0" distL="0" distR="0" wp14:anchorId="04A56D8B" wp14:editId="65D67A2C">
            <wp:extent cx="4244340" cy="1701823"/>
            <wp:effectExtent l="0" t="0" r="3810" b="0"/>
            <wp:docPr id="202679762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97621" name="Imagen 1" descr="Tabla&#10;&#10;El contenido generado por IA puede ser incorrecto."/>
                    <pic:cNvPicPr/>
                  </pic:nvPicPr>
                  <pic:blipFill>
                    <a:blip r:embed="rId11"/>
                    <a:stretch>
                      <a:fillRect/>
                    </a:stretch>
                  </pic:blipFill>
                  <pic:spPr>
                    <a:xfrm>
                      <a:off x="0" y="0"/>
                      <a:ext cx="4257017" cy="1706906"/>
                    </a:xfrm>
                    <a:prstGeom prst="rect">
                      <a:avLst/>
                    </a:prstGeom>
                  </pic:spPr>
                </pic:pic>
              </a:graphicData>
            </a:graphic>
          </wp:inline>
        </w:drawing>
      </w:r>
      <w:r w:rsidRPr="00737A0E">
        <w:rPr>
          <w:rFonts w:eastAsia="Times New Roman" w:cs="Tahoma"/>
          <w:iCs/>
          <w:color w:val="auto"/>
          <w:lang w:eastAsia="es-ES"/>
        </w:rPr>
        <w:t xml:space="preserve"> </w:t>
      </w:r>
    </w:p>
    <w:p w14:paraId="1E9FAB1D" w14:textId="77777777" w:rsidR="00737A0E" w:rsidRDefault="00737A0E" w:rsidP="00914A32">
      <w:pPr>
        <w:spacing w:after="0" w:line="360" w:lineRule="auto"/>
        <w:contextualSpacing/>
        <w:jc w:val="center"/>
        <w:rPr>
          <w:rFonts w:eastAsia="Times New Roman" w:cs="Tahoma"/>
          <w:iCs/>
          <w:color w:val="auto"/>
          <w:lang w:eastAsia="es-ES"/>
        </w:rPr>
      </w:pPr>
    </w:p>
    <w:p w14:paraId="1FE42D06" w14:textId="47814E63" w:rsidR="00737A0E" w:rsidRDefault="00737A0E" w:rsidP="00914A32">
      <w:pPr>
        <w:spacing w:after="0" w:line="360" w:lineRule="auto"/>
        <w:contextualSpacing/>
        <w:jc w:val="center"/>
        <w:rPr>
          <w:rFonts w:eastAsia="Times New Roman" w:cs="Tahoma"/>
          <w:b/>
          <w:bCs/>
          <w:iCs/>
          <w:color w:val="auto"/>
          <w:lang w:eastAsia="es-ES"/>
        </w:rPr>
      </w:pPr>
      <w:r w:rsidRPr="00DE16ED">
        <w:rPr>
          <w:rFonts w:eastAsia="Times New Roman" w:cs="Tahoma"/>
          <w:b/>
          <w:bCs/>
          <w:iCs/>
          <w:color w:val="auto"/>
          <w:lang w:eastAsia="es-ES"/>
        </w:rPr>
        <w:t>Padrón de Beneficiarios del Programa “Paquete Alimentario Zinacantepec”</w:t>
      </w:r>
      <w:r w:rsidR="00DE16ED" w:rsidRPr="00DE16ED">
        <w:rPr>
          <w:rFonts w:eastAsia="Times New Roman" w:cs="Tahoma"/>
          <w:b/>
          <w:bCs/>
          <w:iCs/>
          <w:color w:val="auto"/>
          <w:lang w:eastAsia="es-ES"/>
        </w:rPr>
        <w:t xml:space="preserve"> de 2024</w:t>
      </w:r>
    </w:p>
    <w:p w14:paraId="2BB7F51E" w14:textId="0D918B75" w:rsidR="00DE16ED" w:rsidRPr="00DE16ED" w:rsidRDefault="00DE16ED" w:rsidP="00914A32">
      <w:pPr>
        <w:spacing w:after="0" w:line="360" w:lineRule="auto"/>
        <w:contextualSpacing/>
        <w:jc w:val="center"/>
        <w:rPr>
          <w:rFonts w:eastAsia="Times New Roman" w:cs="Tahoma"/>
          <w:b/>
          <w:bCs/>
          <w:iCs/>
          <w:color w:val="auto"/>
          <w:lang w:eastAsia="es-ES"/>
        </w:rPr>
      </w:pPr>
      <w:r w:rsidRPr="00DE16ED">
        <w:rPr>
          <w:rFonts w:eastAsia="Times New Roman" w:cs="Tahoma"/>
          <w:b/>
          <w:bCs/>
          <w:iCs/>
          <w:noProof/>
          <w:color w:val="auto"/>
          <w:lang w:eastAsia="es-MX"/>
        </w:rPr>
        <w:drawing>
          <wp:inline distT="0" distB="0" distL="0" distR="0" wp14:anchorId="239FC4DF" wp14:editId="547272A4">
            <wp:extent cx="4206240" cy="2171538"/>
            <wp:effectExtent l="0" t="0" r="3810" b="635"/>
            <wp:docPr id="36117910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79104" name="Imagen 1" descr="Tabla&#10;&#10;El contenido generado por IA puede ser incorrecto."/>
                    <pic:cNvPicPr/>
                  </pic:nvPicPr>
                  <pic:blipFill>
                    <a:blip r:embed="rId12"/>
                    <a:stretch>
                      <a:fillRect/>
                    </a:stretch>
                  </pic:blipFill>
                  <pic:spPr>
                    <a:xfrm>
                      <a:off x="0" y="0"/>
                      <a:ext cx="4223969" cy="2180691"/>
                    </a:xfrm>
                    <a:prstGeom prst="rect">
                      <a:avLst/>
                    </a:prstGeom>
                  </pic:spPr>
                </pic:pic>
              </a:graphicData>
            </a:graphic>
          </wp:inline>
        </w:drawing>
      </w:r>
    </w:p>
    <w:p w14:paraId="37E6FBA7" w14:textId="0F9FF37C" w:rsidR="00914A32" w:rsidRDefault="00914A32" w:rsidP="00DE16ED">
      <w:pPr>
        <w:spacing w:after="0" w:line="360" w:lineRule="auto"/>
        <w:contextualSpacing/>
        <w:rPr>
          <w:rFonts w:eastAsia="Times New Roman" w:cs="Tahoma"/>
          <w:iCs/>
          <w:color w:val="auto"/>
          <w:lang w:eastAsia="es-ES"/>
        </w:rPr>
      </w:pPr>
      <w:r>
        <w:rPr>
          <w:rFonts w:eastAsia="Times New Roman" w:cs="Tahoma"/>
          <w:iCs/>
          <w:noProof/>
          <w:color w:val="auto"/>
          <w:lang w:eastAsia="es-MX"/>
          <w14:ligatures w14:val="standardContextual"/>
        </w:rPr>
        <mc:AlternateContent>
          <mc:Choice Requires="wps">
            <w:drawing>
              <wp:anchor distT="0" distB="0" distL="114300" distR="114300" simplePos="0" relativeHeight="251665408" behindDoc="0" locked="0" layoutInCell="1" allowOverlap="1" wp14:anchorId="7796B44E" wp14:editId="7CC8CA86">
                <wp:simplePos x="0" y="0"/>
                <wp:positionH relativeFrom="column">
                  <wp:posOffset>3116591</wp:posOffset>
                </wp:positionH>
                <wp:positionV relativeFrom="paragraph">
                  <wp:posOffset>4775309</wp:posOffset>
                </wp:positionV>
                <wp:extent cx="2071935" cy="174423"/>
                <wp:effectExtent l="0" t="0" r="24130" b="16510"/>
                <wp:wrapNone/>
                <wp:docPr id="6" name="Rectángulo 6"/>
                <wp:cNvGraphicFramePr/>
                <a:graphic xmlns:a="http://schemas.openxmlformats.org/drawingml/2006/main">
                  <a:graphicData uri="http://schemas.microsoft.com/office/word/2010/wordprocessingShape">
                    <wps:wsp>
                      <wps:cNvSpPr/>
                      <wps:spPr>
                        <a:xfrm>
                          <a:off x="0" y="0"/>
                          <a:ext cx="2071935" cy="17442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3D85C" id="Rectángulo 6" o:spid="_x0000_s1026" style="position:absolute;margin-left:245.4pt;margin-top:376pt;width:163.15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" filled="f" strokecolor="red" strokeweight="1.5pt"/>
            </w:pict>
          </mc:Fallback>
        </mc:AlternateContent>
      </w:r>
    </w:p>
    <w:p w14:paraId="56AFB135" w14:textId="0B210895" w:rsidR="0015016B" w:rsidRPr="00DE16ED" w:rsidRDefault="00914A32" w:rsidP="0015016B">
      <w:pPr>
        <w:spacing w:after="0" w:line="360" w:lineRule="auto"/>
        <w:contextualSpacing/>
        <w:rPr>
          <w:rFonts w:eastAsia="Times New Roman" w:cs="Tahoma"/>
          <w:b/>
          <w:bCs/>
          <w:iCs/>
          <w:color w:val="auto"/>
          <w:lang w:eastAsia="es-ES"/>
        </w:rPr>
      </w:pPr>
      <w:r>
        <w:rPr>
          <w:rFonts w:eastAsia="Times New Roman" w:cs="Tahoma"/>
          <w:iCs/>
          <w:color w:val="auto"/>
          <w:lang w:eastAsia="es-ES"/>
        </w:rPr>
        <w:t>Conforme a lo anterior, se log</w:t>
      </w:r>
      <w:r w:rsidR="00D4442D">
        <w:rPr>
          <w:rFonts w:eastAsia="Times New Roman" w:cs="Tahoma"/>
          <w:iCs/>
          <w:color w:val="auto"/>
          <w:lang w:eastAsia="es-ES"/>
        </w:rPr>
        <w:t xml:space="preserve">ra vislumbrar que el Sujeto Obligado </w:t>
      </w:r>
      <w:r w:rsidR="00DE16ED">
        <w:rPr>
          <w:rFonts w:eastAsia="Times New Roman" w:cs="Tahoma"/>
          <w:iCs/>
          <w:color w:val="auto"/>
          <w:lang w:eastAsia="es-ES"/>
        </w:rPr>
        <w:t xml:space="preserve">proporcionó parte de la información requerida, </w:t>
      </w:r>
      <w:proofErr w:type="spellStart"/>
      <w:r w:rsidR="00DE16ED">
        <w:rPr>
          <w:rFonts w:eastAsia="Times New Roman" w:cs="Tahoma"/>
          <w:iCs/>
          <w:color w:val="auto"/>
          <w:lang w:eastAsia="es-ES"/>
        </w:rPr>
        <w:t>si</w:t>
      </w:r>
      <w:proofErr w:type="spellEnd"/>
      <w:r w:rsidR="00DE16ED">
        <w:rPr>
          <w:rFonts w:eastAsia="Times New Roman" w:cs="Tahoma"/>
          <w:iCs/>
          <w:color w:val="auto"/>
          <w:lang w:eastAsia="es-ES"/>
        </w:rPr>
        <w:t xml:space="preserve"> embargo cabe precisar que respecto al </w:t>
      </w:r>
      <w:r w:rsidR="00DE16ED" w:rsidRPr="00737A0E">
        <w:rPr>
          <w:rFonts w:eastAsia="Times New Roman" w:cs="Tahoma"/>
          <w:b/>
          <w:bCs/>
          <w:iCs/>
          <w:color w:val="auto"/>
          <w:lang w:eastAsia="es-ES"/>
        </w:rPr>
        <w:t>Padrón de Beneficiario</w:t>
      </w:r>
      <w:r w:rsidR="00DE16ED">
        <w:rPr>
          <w:rFonts w:eastAsia="Times New Roman" w:cs="Tahoma"/>
          <w:b/>
          <w:bCs/>
          <w:iCs/>
          <w:color w:val="auto"/>
          <w:lang w:eastAsia="es-ES"/>
        </w:rPr>
        <w:t xml:space="preserve"> </w:t>
      </w:r>
      <w:r w:rsidR="00DE16ED" w:rsidRPr="00737A0E">
        <w:rPr>
          <w:rFonts w:eastAsia="Times New Roman" w:cs="Tahoma"/>
          <w:b/>
          <w:bCs/>
          <w:iCs/>
          <w:color w:val="auto"/>
          <w:lang w:eastAsia="es-ES"/>
        </w:rPr>
        <w:t>del Programa “Merecemos Vivir Mejor” de 2022</w:t>
      </w:r>
      <w:r w:rsidR="00DE16ED">
        <w:rPr>
          <w:rFonts w:eastAsia="Times New Roman" w:cs="Tahoma"/>
          <w:b/>
          <w:bCs/>
          <w:iCs/>
          <w:color w:val="auto"/>
          <w:lang w:eastAsia="es-ES"/>
        </w:rPr>
        <w:t xml:space="preserve"> </w:t>
      </w:r>
      <w:r w:rsidR="00DE16ED" w:rsidRPr="00DE16ED">
        <w:rPr>
          <w:rFonts w:eastAsia="Times New Roman" w:cs="Tahoma"/>
          <w:iCs/>
          <w:color w:val="auto"/>
          <w:lang w:eastAsia="es-ES"/>
        </w:rPr>
        <w:t>no entregó la información completa, pues omitió entregar el nombre completo de los beneficiarios</w:t>
      </w:r>
      <w:r w:rsidR="00D4442D" w:rsidRPr="00DE16ED">
        <w:rPr>
          <w:rFonts w:eastAsia="Times New Roman" w:cs="Tahoma"/>
          <w:iCs/>
          <w:color w:val="auto"/>
          <w:lang w:eastAsia="es-ES"/>
        </w:rPr>
        <w:t>;</w:t>
      </w:r>
      <w:r w:rsidR="00D4442D">
        <w:rPr>
          <w:rFonts w:eastAsia="Times New Roman" w:cs="Tahoma"/>
          <w:iCs/>
          <w:color w:val="auto"/>
          <w:lang w:eastAsia="es-ES"/>
        </w:rPr>
        <w:t xml:space="preserve"> </w:t>
      </w:r>
      <w:r w:rsidR="00DE16ED">
        <w:rPr>
          <w:rFonts w:eastAsia="Times New Roman" w:cs="Tahoma"/>
          <w:iCs/>
          <w:color w:val="auto"/>
          <w:lang w:eastAsia="es-ES"/>
        </w:rPr>
        <w:t>además</w:t>
      </w:r>
      <w:r w:rsidR="00D4442D">
        <w:rPr>
          <w:rFonts w:eastAsia="Times New Roman" w:cs="Tahoma"/>
          <w:iCs/>
          <w:color w:val="auto"/>
          <w:lang w:eastAsia="es-ES"/>
        </w:rPr>
        <w:t xml:space="preserve">, omitió pronunciarse respecto </w:t>
      </w:r>
      <w:r w:rsidR="00DE16ED">
        <w:rPr>
          <w:rFonts w:eastAsia="Times New Roman" w:cs="Tahoma"/>
          <w:iCs/>
          <w:color w:val="auto"/>
          <w:lang w:eastAsia="es-ES"/>
        </w:rPr>
        <w:t xml:space="preserve">a los programas sociales brindados por el Ayuntamiento </w:t>
      </w:r>
      <w:r w:rsidR="00D67BE6">
        <w:rPr>
          <w:rFonts w:eastAsia="Times New Roman" w:cs="Tahoma"/>
          <w:iCs/>
          <w:color w:val="auto"/>
          <w:lang w:eastAsia="es-ES"/>
        </w:rPr>
        <w:t xml:space="preserve">Zinacantepec </w:t>
      </w:r>
      <w:r w:rsidR="00DE16ED">
        <w:rPr>
          <w:rFonts w:eastAsia="Times New Roman" w:cs="Tahoma"/>
          <w:iCs/>
          <w:color w:val="auto"/>
          <w:lang w:eastAsia="es-ES"/>
        </w:rPr>
        <w:t xml:space="preserve">del </w:t>
      </w:r>
      <w:r w:rsidR="00D67BE6">
        <w:rPr>
          <w:rFonts w:eastAsia="Times New Roman" w:cs="Tahoma"/>
          <w:iCs/>
          <w:color w:val="auto"/>
          <w:lang w:eastAsia="es-ES"/>
        </w:rPr>
        <w:t>tres de abril de dos mil veinte al treinta y uno de diciembre de dos mil veintiuno y del primero de enero al tres de abril de dos mil veinticinco</w:t>
      </w:r>
      <w:r w:rsidR="0015016B">
        <w:rPr>
          <w:rFonts w:eastAsia="Times New Roman" w:cs="Tahoma"/>
          <w:iCs/>
          <w:color w:val="auto"/>
          <w:lang w:eastAsia="es-ES"/>
        </w:rPr>
        <w:t>,  es decir no entregó la información completa</w:t>
      </w:r>
      <w:r w:rsidR="00D4442D">
        <w:rPr>
          <w:rFonts w:eastAsia="Times New Roman" w:cs="Tahoma"/>
          <w:iCs/>
          <w:color w:val="auto"/>
          <w:lang w:eastAsia="es-ES"/>
        </w:rPr>
        <w:t>;</w:t>
      </w:r>
      <w:r w:rsidR="0015016B">
        <w:rPr>
          <w:rFonts w:eastAsia="Times New Roman" w:cs="Tahoma"/>
          <w:iCs/>
          <w:color w:val="auto"/>
          <w:lang w:eastAsia="es-ES"/>
        </w:rPr>
        <w:t xml:space="preserve"> </w:t>
      </w:r>
      <w:r w:rsidR="0015016B" w:rsidRPr="0015016B">
        <w:rPr>
          <w:rFonts w:eastAsia="Times New Roman" w:cs="Tahoma"/>
          <w:bCs/>
          <w:iCs/>
          <w:color w:val="auto"/>
          <w:lang w:eastAsia="es-ES"/>
        </w:rPr>
        <w:lastRenderedPageBreak/>
        <w:t>sobre el tema</w:t>
      </w:r>
      <w:r w:rsidR="0015016B" w:rsidRPr="0015016B">
        <w:rPr>
          <w:rFonts w:eastAsia="Times New Roman" w:cs="Tahoma"/>
          <w:iCs/>
          <w:color w:val="auto"/>
          <w:lang w:eastAsia="es-ES"/>
        </w:rPr>
        <w:t>, el artículo 1.8, fracción XIII, del Código Administrativo del Estado de México, establece que para que tenga validez, todo acto administrativo deberá resolver todos los puntos propuestos por los interesados.</w:t>
      </w:r>
    </w:p>
    <w:p w14:paraId="2D2E3371" w14:textId="77777777" w:rsidR="0015016B" w:rsidRPr="0015016B" w:rsidRDefault="0015016B" w:rsidP="0015016B">
      <w:pPr>
        <w:spacing w:after="0" w:line="360" w:lineRule="auto"/>
        <w:contextualSpacing/>
        <w:rPr>
          <w:rFonts w:eastAsia="Times New Roman" w:cs="Tahoma"/>
          <w:iCs/>
          <w:color w:val="auto"/>
          <w:lang w:eastAsia="es-ES"/>
        </w:rPr>
      </w:pPr>
    </w:p>
    <w:p w14:paraId="6078532F" w14:textId="77777777" w:rsidR="0015016B" w:rsidRPr="0015016B" w:rsidRDefault="0015016B" w:rsidP="0015016B">
      <w:pPr>
        <w:spacing w:after="0" w:line="360" w:lineRule="auto"/>
        <w:contextualSpacing/>
        <w:rPr>
          <w:rFonts w:eastAsia="Times New Roman" w:cs="Tahoma"/>
          <w:iCs/>
          <w:color w:val="auto"/>
          <w:lang w:eastAsia="es-ES"/>
        </w:rPr>
      </w:pPr>
      <w:r w:rsidRPr="0015016B">
        <w:rPr>
          <w:rFonts w:eastAsia="Times New Roman" w:cs="Tahoma"/>
          <w:iCs/>
          <w:color w:val="auto"/>
          <w:lang w:eastAsia="es-ES"/>
        </w:rPr>
        <w:t xml:space="preserve">Situación que se robustece, con el </w:t>
      </w:r>
      <w:r w:rsidRPr="0015016B">
        <w:rPr>
          <w:rFonts w:eastAsia="Times New Roman" w:cs="Tahoma"/>
          <w:bCs/>
          <w:iCs/>
          <w:color w:val="auto"/>
          <w:lang w:val="es-ES" w:eastAsia="es-ES"/>
        </w:rPr>
        <w:t>el Criterio de Interpretación</w:t>
      </w:r>
      <w:r w:rsidRPr="0015016B">
        <w:rPr>
          <w:rFonts w:eastAsia="Times New Roman" w:cs="Tahoma"/>
          <w:bCs/>
          <w:iCs/>
          <w:color w:val="auto"/>
          <w:lang w:val="x-none" w:eastAsia="es-ES"/>
        </w:rPr>
        <w:t xml:space="preserve">, con clave de control </w:t>
      </w:r>
      <w:r w:rsidRPr="0015016B">
        <w:rPr>
          <w:rFonts w:eastAsia="Times New Roman" w:cs="Tahoma"/>
          <w:bCs/>
          <w:iCs/>
          <w:color w:val="auto"/>
          <w:lang w:val="es-ES" w:eastAsia="es-ES"/>
        </w:rPr>
        <w:t xml:space="preserve">SO/002/2017, de la Segunda Época, emitido por el Instituto Nacional de Transparencia, Acceso a la Información y Protección de Datos Personales, que </w:t>
      </w:r>
      <w:r w:rsidRPr="0015016B">
        <w:rPr>
          <w:rFonts w:eastAsia="Times New Roman" w:cs="Tahoma"/>
          <w:iCs/>
          <w:color w:val="auto"/>
          <w:lang w:eastAsia="es-ES"/>
        </w:rPr>
        <w:t xml:space="preserve">establece que todo acto administrativo debe apegarse al </w:t>
      </w:r>
      <w:r w:rsidRPr="0015016B">
        <w:rPr>
          <w:rFonts w:eastAsia="Times New Roman" w:cs="Tahoma"/>
          <w:b/>
          <w:bCs/>
          <w:iCs/>
          <w:color w:val="auto"/>
          <w:lang w:eastAsia="es-ES"/>
        </w:rPr>
        <w:t>principio de exhaustividad</w:t>
      </w:r>
      <w:r w:rsidRPr="0015016B">
        <w:rPr>
          <w:rFonts w:eastAsia="Times New Roman" w:cs="Tahoma"/>
          <w:iCs/>
          <w:color w:val="auto"/>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31C29D0" w14:textId="77777777" w:rsidR="0015016B" w:rsidRPr="0015016B" w:rsidRDefault="0015016B" w:rsidP="0015016B">
      <w:pPr>
        <w:spacing w:after="0" w:line="360" w:lineRule="auto"/>
        <w:contextualSpacing/>
        <w:rPr>
          <w:rFonts w:eastAsia="Times New Roman" w:cs="Tahoma"/>
          <w:bCs/>
          <w:iCs/>
          <w:color w:val="auto"/>
          <w:lang w:eastAsia="es-ES"/>
        </w:rPr>
      </w:pPr>
    </w:p>
    <w:p w14:paraId="6A7CCE14" w14:textId="66B97645" w:rsidR="0015016B" w:rsidRDefault="0015016B" w:rsidP="0015016B">
      <w:pPr>
        <w:spacing w:after="0" w:line="360" w:lineRule="auto"/>
        <w:contextualSpacing/>
        <w:rPr>
          <w:rFonts w:eastAsia="Times New Roman" w:cs="Tahoma"/>
          <w:b/>
          <w:bCs/>
          <w:iCs/>
          <w:color w:val="auto"/>
          <w:lang w:eastAsia="es-ES"/>
        </w:rPr>
      </w:pPr>
      <w:r w:rsidRPr="0015016B">
        <w:rPr>
          <w:rFonts w:eastAsia="Times New Roman" w:cs="Tahoma"/>
          <w:iCs/>
          <w:color w:val="auto"/>
          <w:lang w:eastAsia="es-ES"/>
        </w:rPr>
        <w:t xml:space="preserve">En esa tesitura, se concluye que el Sujeto Obligado, no satisfizo el derecho de acceso a la información del Solicitante, al no dar atención al requerimiento de información de manera completa, pues omitió entregar </w:t>
      </w:r>
      <w:r>
        <w:rPr>
          <w:rFonts w:eastAsia="Times New Roman" w:cs="Tahoma"/>
          <w:iCs/>
          <w:color w:val="auto"/>
          <w:lang w:eastAsia="es-ES"/>
        </w:rPr>
        <w:t xml:space="preserve">el </w:t>
      </w:r>
      <w:r w:rsidR="00D67BE6">
        <w:rPr>
          <w:rFonts w:eastAsia="Times New Roman" w:cs="Tahoma"/>
          <w:iCs/>
          <w:color w:val="auto"/>
          <w:lang w:eastAsia="es-ES"/>
        </w:rPr>
        <w:t xml:space="preserve">Padrón de Beneficiarios del </w:t>
      </w:r>
      <w:r w:rsidR="00D67BE6" w:rsidRPr="00D67BE6">
        <w:rPr>
          <w:rFonts w:eastAsia="Times New Roman" w:cs="Tahoma"/>
          <w:iCs/>
          <w:color w:val="auto"/>
          <w:lang w:eastAsia="es-ES"/>
        </w:rPr>
        <w:t>Programa “Merecemos Vivir Mejor” del ejercicio fiscal dos mil veintidós</w:t>
      </w:r>
      <w:r w:rsidR="00D67BE6">
        <w:rPr>
          <w:rFonts w:eastAsia="Times New Roman" w:cs="Tahoma"/>
          <w:iCs/>
          <w:color w:val="auto"/>
          <w:lang w:eastAsia="es-ES"/>
        </w:rPr>
        <w:t>, de forma completa y además omitió pronunciarse sobre la información requerida del tres de abril de dos mil veinte al treinta y uno de diciembre de dos mil veintiuno y del primero de enero al tres de abril de dos mil veinticinco</w:t>
      </w:r>
      <w:r w:rsidRPr="0015016B">
        <w:rPr>
          <w:rFonts w:eastAsia="Times New Roman" w:cs="Tahoma"/>
          <w:iCs/>
          <w:color w:val="auto"/>
          <w:lang w:eastAsia="es-ES"/>
        </w:rPr>
        <w:t xml:space="preserve">, lo cual da como resultado que el agravio resulta </w:t>
      </w:r>
      <w:r w:rsidRPr="0015016B">
        <w:rPr>
          <w:rFonts w:eastAsia="Times New Roman" w:cs="Tahoma"/>
          <w:b/>
          <w:bCs/>
          <w:iCs/>
          <w:color w:val="auto"/>
          <w:lang w:eastAsia="es-ES"/>
        </w:rPr>
        <w:t>FUNDADO.</w:t>
      </w:r>
    </w:p>
    <w:p w14:paraId="35C837FD" w14:textId="77777777" w:rsidR="00D4442D" w:rsidRPr="0015016B" w:rsidRDefault="00D4442D" w:rsidP="0015016B">
      <w:pPr>
        <w:spacing w:after="0" w:line="360" w:lineRule="auto"/>
        <w:contextualSpacing/>
        <w:rPr>
          <w:rFonts w:eastAsia="Times New Roman" w:cs="Tahoma"/>
          <w:b/>
          <w:bCs/>
          <w:iCs/>
          <w:color w:val="auto"/>
          <w:lang w:eastAsia="es-ES"/>
        </w:rPr>
      </w:pPr>
    </w:p>
    <w:p w14:paraId="4AB1D7B2" w14:textId="48BB0B17" w:rsidR="00D67BE6" w:rsidRPr="0015016B" w:rsidRDefault="0015016B" w:rsidP="0015016B">
      <w:pPr>
        <w:spacing w:after="0" w:line="360" w:lineRule="auto"/>
        <w:contextualSpacing/>
        <w:rPr>
          <w:rFonts w:eastAsia="Times New Roman" w:cs="Tahoma"/>
          <w:bCs/>
          <w:iCs/>
          <w:color w:val="auto"/>
          <w:lang w:val="es-ES" w:eastAsia="es-ES"/>
        </w:rPr>
      </w:pPr>
      <w:r w:rsidRPr="0015016B">
        <w:rPr>
          <w:rFonts w:eastAsia="Times New Roman" w:cs="Tahoma"/>
          <w:bCs/>
          <w:iCs/>
          <w:color w:val="auto"/>
          <w:lang w:eastAsia="es-ES"/>
        </w:rPr>
        <w:t>Así, este Instituto considera que, para atender el requerimiento de información, el</w:t>
      </w:r>
      <w:r w:rsidRPr="0015016B">
        <w:rPr>
          <w:rFonts w:eastAsia="Times New Roman" w:cs="Tahoma"/>
          <w:bCs/>
          <w:iCs/>
          <w:color w:val="auto"/>
          <w:lang w:val="es-ES" w:eastAsia="es-ES"/>
        </w:rPr>
        <w:t xml:space="preserve"> Sujeto Obligado deberá realizar una búsqueda exhaustiva y razonable en los archivos de la </w:t>
      </w:r>
      <w:r>
        <w:rPr>
          <w:rFonts w:eastAsia="Times New Roman" w:cs="Tahoma"/>
          <w:bCs/>
          <w:iCs/>
          <w:color w:val="auto"/>
          <w:lang w:val="es-ES" w:eastAsia="es-ES"/>
        </w:rPr>
        <w:t xml:space="preserve">Dirección de </w:t>
      </w:r>
      <w:r w:rsidR="00D67BE6">
        <w:rPr>
          <w:rFonts w:eastAsia="Times New Roman" w:cs="Tahoma"/>
          <w:bCs/>
          <w:iCs/>
          <w:color w:val="auto"/>
          <w:lang w:val="es-ES" w:eastAsia="es-ES"/>
        </w:rPr>
        <w:t>Desarrollo Social</w:t>
      </w:r>
      <w:r w:rsidRPr="0015016B">
        <w:rPr>
          <w:rFonts w:eastAsia="Times New Roman" w:cs="Tahoma"/>
          <w:bCs/>
          <w:iCs/>
          <w:color w:val="auto"/>
          <w:lang w:val="es-ES" w:eastAsia="es-ES"/>
        </w:rPr>
        <w:t xml:space="preserve">, a efecto de que proporcione </w:t>
      </w:r>
      <w:r w:rsidR="0030305E">
        <w:rPr>
          <w:rFonts w:eastAsia="Times New Roman" w:cs="Tahoma"/>
          <w:bCs/>
          <w:iCs/>
          <w:color w:val="auto"/>
          <w:lang w:val="es-ES" w:eastAsia="es-ES"/>
        </w:rPr>
        <w:t>e</w:t>
      </w:r>
      <w:r w:rsidR="00D67BE6">
        <w:rPr>
          <w:rFonts w:eastAsia="Times New Roman" w:cs="Tahoma"/>
          <w:bCs/>
          <w:iCs/>
          <w:color w:val="auto"/>
          <w:lang w:val="es-ES" w:eastAsia="es-ES"/>
        </w:rPr>
        <w:t>l</w:t>
      </w:r>
      <w:r w:rsidR="00D67BE6" w:rsidRPr="00D67BE6">
        <w:t xml:space="preserve"> </w:t>
      </w:r>
      <w:r w:rsidR="00D67BE6" w:rsidRPr="00D67BE6">
        <w:rPr>
          <w:rFonts w:eastAsia="Times New Roman" w:cs="Tahoma"/>
          <w:bCs/>
          <w:iCs/>
          <w:color w:val="auto"/>
          <w:lang w:val="es-ES" w:eastAsia="es-ES"/>
        </w:rPr>
        <w:t>Padrón de Beneficiarios del Programa “Merecemos Vivir Mejor” del ejercicio fiscal dos mil veintidós</w:t>
      </w:r>
      <w:r w:rsidR="00D67BE6">
        <w:rPr>
          <w:rFonts w:eastAsia="Times New Roman" w:cs="Tahoma"/>
          <w:bCs/>
          <w:iCs/>
          <w:color w:val="auto"/>
          <w:lang w:val="es-ES" w:eastAsia="es-ES"/>
        </w:rPr>
        <w:t xml:space="preserve">, con los nombres </w:t>
      </w:r>
      <w:r w:rsidR="00D67BE6">
        <w:rPr>
          <w:rFonts w:eastAsia="Times New Roman" w:cs="Tahoma"/>
          <w:bCs/>
          <w:iCs/>
          <w:color w:val="auto"/>
          <w:lang w:val="es-ES" w:eastAsia="es-ES"/>
        </w:rPr>
        <w:lastRenderedPageBreak/>
        <w:t xml:space="preserve">completos de los beneficiarios y los padrones de beneficiarios de los programas sociales brindados por el Ayuntamiento de Zinacantepec, del tres de abril de dos mil veinte al treinta y uno de diciembre de dos mil veintiuno, y del primero de enero al tres de abril de dos mil veinticinco. </w:t>
      </w:r>
    </w:p>
    <w:p w14:paraId="2D675344" w14:textId="77777777" w:rsidR="0015016B" w:rsidRPr="0015016B" w:rsidRDefault="0015016B" w:rsidP="0015016B">
      <w:pPr>
        <w:spacing w:after="0" w:line="360" w:lineRule="auto"/>
        <w:contextualSpacing/>
        <w:rPr>
          <w:rFonts w:eastAsia="Times New Roman" w:cs="Tahoma"/>
          <w:iCs/>
          <w:color w:val="auto"/>
          <w:lang w:val="es-ES" w:eastAsia="es-ES"/>
        </w:rPr>
      </w:pPr>
    </w:p>
    <w:p w14:paraId="6FF218BD" w14:textId="77777777" w:rsidR="0015016B" w:rsidRPr="0015016B" w:rsidRDefault="0015016B" w:rsidP="0015016B">
      <w:pPr>
        <w:spacing w:after="0" w:line="360" w:lineRule="auto"/>
        <w:contextualSpacing/>
        <w:rPr>
          <w:rFonts w:eastAsia="Times New Roman" w:cs="Tahoma"/>
          <w:iCs/>
          <w:color w:val="auto"/>
          <w:lang w:eastAsia="es-ES"/>
        </w:rPr>
      </w:pPr>
      <w:r w:rsidRPr="0015016B">
        <w:rPr>
          <w:rFonts w:eastAsia="Times New Roman" w:cs="Tahoma"/>
          <w:bCs/>
          <w:iCs/>
          <w:color w:val="auto"/>
          <w:lang w:eastAsia="es-ES"/>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5ABFDFA" w14:textId="77777777" w:rsidR="0015016B" w:rsidRPr="0015016B" w:rsidRDefault="0015016B" w:rsidP="0015016B">
      <w:pPr>
        <w:spacing w:after="0" w:line="360" w:lineRule="auto"/>
        <w:contextualSpacing/>
        <w:rPr>
          <w:rFonts w:eastAsia="Times New Roman" w:cs="Tahoma"/>
          <w:bCs/>
          <w:iCs/>
          <w:color w:val="auto"/>
          <w:lang w:eastAsia="es-ES"/>
        </w:rPr>
      </w:pPr>
    </w:p>
    <w:p w14:paraId="2DE73319" w14:textId="60147A83" w:rsidR="0015016B" w:rsidRDefault="0015016B" w:rsidP="0015016B">
      <w:pPr>
        <w:spacing w:after="0" w:line="360" w:lineRule="auto"/>
        <w:contextualSpacing/>
        <w:rPr>
          <w:rFonts w:eastAsia="Palatino Linotype" w:cs="Palatino Linotype"/>
          <w:color w:val="auto"/>
          <w:lang w:eastAsia="es-MX"/>
        </w:rPr>
      </w:pPr>
      <w:r w:rsidRPr="0015016B">
        <w:rPr>
          <w:rFonts w:eastAsia="Times New Roman" w:cs="Tahoma"/>
          <w:bCs/>
          <w:iCs/>
          <w:color w:val="auto"/>
          <w:lang w:eastAsia="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r w:rsidR="00D4442D">
        <w:rPr>
          <w:rFonts w:eastAsia="Times New Roman" w:cs="Tahoma"/>
          <w:bCs/>
          <w:iCs/>
          <w:color w:val="auto"/>
          <w:lang w:eastAsia="es-ES"/>
        </w:rPr>
        <w:t xml:space="preserve"> </w:t>
      </w:r>
      <w:r w:rsidRPr="00780EC7">
        <w:rPr>
          <w:rFonts w:eastAsia="Palatino Linotype" w:cs="Palatino Linotype"/>
          <w:color w:val="auto"/>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0C28C9">
        <w:rPr>
          <w:rFonts w:eastAsia="Palatino Linotype" w:cs="Palatino Linotype"/>
          <w:color w:val="auto"/>
          <w:lang w:eastAsia="es-MX"/>
        </w:rPr>
        <w:t xml:space="preserve">los documentos que den cuenta de lo requerido. </w:t>
      </w:r>
    </w:p>
    <w:p w14:paraId="54CE4E65" w14:textId="77777777" w:rsidR="000C28C9" w:rsidRDefault="000C28C9" w:rsidP="0015016B">
      <w:pPr>
        <w:spacing w:after="0" w:line="360" w:lineRule="auto"/>
        <w:contextualSpacing/>
        <w:rPr>
          <w:rFonts w:eastAsia="Palatino Linotype" w:cs="Palatino Linotype"/>
          <w:color w:val="auto"/>
          <w:lang w:eastAsia="es-MX"/>
        </w:rPr>
      </w:pPr>
    </w:p>
    <w:p w14:paraId="5F020087" w14:textId="5DAA177B" w:rsidR="000C28C9" w:rsidRPr="000C28C9" w:rsidRDefault="000C28C9" w:rsidP="000C28C9">
      <w:pPr>
        <w:spacing w:after="0" w:line="360" w:lineRule="auto"/>
        <w:contextualSpacing/>
        <w:rPr>
          <w:rFonts w:eastAsia="Palatino Linotype" w:cs="Palatino Linotype"/>
          <w:color w:val="auto"/>
          <w:lang w:eastAsia="es-MX"/>
        </w:rPr>
      </w:pPr>
      <w:r w:rsidRPr="000C28C9">
        <w:rPr>
          <w:rFonts w:eastAsia="Palatino Linotype" w:cs="Palatino Linotype"/>
          <w:iCs/>
          <w:color w:val="auto"/>
          <w:lang w:val="es-ES" w:eastAsia="es-MX"/>
        </w:rPr>
        <w:t xml:space="preserve">Ahora bien, para el caso de que no cuente con </w:t>
      </w:r>
      <w:r>
        <w:rPr>
          <w:rFonts w:eastAsia="Palatino Linotype" w:cs="Palatino Linotype"/>
          <w:iCs/>
          <w:color w:val="auto"/>
          <w:lang w:val="es-ES" w:eastAsia="es-MX"/>
        </w:rPr>
        <w:t>los padrones de beneficiarios correspondientes del tres de abril de dos mil veinte al treinta y uno de diciembre de dos mil veintiuno, y del primero de enero al tres de abril de dos mil veinticinco</w:t>
      </w:r>
      <w:r w:rsidRPr="000C28C9">
        <w:rPr>
          <w:rFonts w:eastAsia="Palatino Linotype" w:cs="Palatino Linotype"/>
          <w:iCs/>
          <w:color w:val="auto"/>
          <w:lang w:val="es-ES" w:eastAsia="es-MX"/>
        </w:rPr>
        <w:t xml:space="preserve">, al </w:t>
      </w:r>
      <w:r>
        <w:rPr>
          <w:rFonts w:eastAsia="Palatino Linotype" w:cs="Palatino Linotype"/>
          <w:iCs/>
          <w:color w:val="auto"/>
          <w:lang w:val="es-ES" w:eastAsia="es-MX"/>
        </w:rPr>
        <w:t xml:space="preserve">no haberse brindando programas </w:t>
      </w:r>
      <w:r>
        <w:rPr>
          <w:rFonts w:eastAsia="Palatino Linotype" w:cs="Palatino Linotype"/>
          <w:iCs/>
          <w:color w:val="auto"/>
          <w:lang w:val="es-ES" w:eastAsia="es-MX"/>
        </w:rPr>
        <w:lastRenderedPageBreak/>
        <w:t>sociales por el Ayuntamiento de Zinacantepec</w:t>
      </w:r>
      <w:r w:rsidRPr="000C28C9">
        <w:rPr>
          <w:rFonts w:eastAsia="Palatino Linotype" w:cs="Palatino Linotype"/>
          <w:iCs/>
          <w:color w:val="auto"/>
          <w:lang w:val="es-ES" w:eastAsia="es-MX"/>
        </w:rPr>
        <w:t xml:space="preserve">, deberá hacerlo del conocimiento de la parte Recurrente, de manera clara y precisa, en términos del artículo 19, párrafo segundo de la Ley de Transparencia y Acceso a la Información Pública del Estado de México y Municipios. </w:t>
      </w:r>
    </w:p>
    <w:p w14:paraId="321A0A87" w14:textId="77777777" w:rsidR="000C28C9" w:rsidRPr="00780EC7" w:rsidRDefault="000C28C9" w:rsidP="0015016B">
      <w:pPr>
        <w:spacing w:after="0" w:line="360" w:lineRule="auto"/>
        <w:contextualSpacing/>
        <w:rPr>
          <w:rFonts w:eastAsia="Palatino Linotype" w:cs="Palatino Linotype"/>
          <w:color w:val="auto"/>
          <w:lang w:eastAsia="es-MX"/>
        </w:rPr>
      </w:pPr>
    </w:p>
    <w:p w14:paraId="6559BC2E" w14:textId="22000094" w:rsidR="00780EC7" w:rsidRDefault="000C28C9" w:rsidP="005032B4">
      <w:pPr>
        <w:spacing w:after="0" w:line="360" w:lineRule="auto"/>
        <w:rPr>
          <w:rFonts w:eastAsia="Times New Roman" w:cs="Tahoma"/>
          <w:iCs/>
          <w:lang w:eastAsia="es-ES"/>
        </w:rPr>
      </w:pPr>
      <w:r>
        <w:rPr>
          <w:rFonts w:eastAsia="Times New Roman" w:cs="Tahoma"/>
          <w:iCs/>
          <w:lang w:eastAsia="es-ES"/>
        </w:rPr>
        <w:t xml:space="preserve">Lo anterior, toma relevancia pues este Instituto realizó una búsqueda en las páginas oficiales del Sujeto Obligado y en el sistema de Información Pública de Oficio Mexiquense (IPOMEX 3.0 y 4.0), de los cuales no se logró advertir </w:t>
      </w:r>
      <w:r w:rsidR="00D65F1D">
        <w:rPr>
          <w:rFonts w:eastAsia="Times New Roman" w:cs="Tahoma"/>
          <w:iCs/>
          <w:lang w:eastAsia="es-ES"/>
        </w:rPr>
        <w:t>que,</w:t>
      </w:r>
      <w:r w:rsidR="002F7A45">
        <w:rPr>
          <w:rFonts w:eastAsia="Times New Roman" w:cs="Tahoma"/>
          <w:iCs/>
          <w:lang w:eastAsia="es-ES"/>
        </w:rPr>
        <w:t xml:space="preserve"> </w:t>
      </w:r>
      <w:r>
        <w:rPr>
          <w:rFonts w:eastAsia="Times New Roman" w:cs="Tahoma"/>
          <w:iCs/>
          <w:lang w:eastAsia="es-ES"/>
        </w:rPr>
        <w:t xml:space="preserve">durante los años 2020, 2021 y el primer cuatrimestre de dos mil veinticinco, el Ayuntamiento de Zinacantepec haya brindado programas sociales con recursos propios. </w:t>
      </w:r>
    </w:p>
    <w:p w14:paraId="4704CB1B" w14:textId="77777777" w:rsidR="000C28C9" w:rsidRDefault="000C28C9" w:rsidP="005032B4">
      <w:pPr>
        <w:spacing w:after="0" w:line="360" w:lineRule="auto"/>
        <w:rPr>
          <w:rFonts w:eastAsia="Times New Roman" w:cs="Tahoma"/>
          <w:iCs/>
          <w:lang w:eastAsia="es-ES"/>
        </w:rPr>
      </w:pPr>
    </w:p>
    <w:p w14:paraId="32BDC2F8" w14:textId="65F594B9" w:rsidR="002A0B3A" w:rsidRDefault="002F7A45" w:rsidP="005032B4">
      <w:pPr>
        <w:spacing w:after="0" w:line="360" w:lineRule="auto"/>
        <w:rPr>
          <w:rFonts w:eastAsia="Calibri" w:cs="Times New Roman"/>
          <w:bCs/>
          <w:iCs/>
          <w:color w:val="auto"/>
        </w:rPr>
      </w:pPr>
      <w:r>
        <w:rPr>
          <w:rFonts w:eastAsia="Calibri" w:cs="Times New Roman"/>
          <w:bCs/>
          <w:iCs/>
          <w:color w:val="auto"/>
        </w:rPr>
        <w:t>Finalmente, no pasa desapercibido para este Instituto que los documentos pudiesen contener información susceptible de ser clasifica</w:t>
      </w:r>
      <w:r w:rsidR="008A55F5">
        <w:rPr>
          <w:rFonts w:eastAsia="Calibri" w:cs="Times New Roman"/>
          <w:bCs/>
          <w:iCs/>
          <w:color w:val="auto"/>
        </w:rPr>
        <w:t xml:space="preserve">da, por lo que se procede a su análisis conforme a lo siguiente: </w:t>
      </w:r>
    </w:p>
    <w:p w14:paraId="48654581" w14:textId="77777777" w:rsidR="008A55F5" w:rsidRDefault="008A55F5" w:rsidP="005032B4">
      <w:pPr>
        <w:spacing w:after="0" w:line="360" w:lineRule="auto"/>
        <w:rPr>
          <w:rFonts w:eastAsia="Calibri" w:cs="Times New Roman"/>
          <w:bCs/>
          <w:iCs/>
          <w:color w:val="auto"/>
        </w:rPr>
      </w:pPr>
    </w:p>
    <w:p w14:paraId="4F6D40CE" w14:textId="5232E8EF" w:rsidR="008A55F5" w:rsidRDefault="00D65F1D" w:rsidP="008A55F5">
      <w:pPr>
        <w:spacing w:after="0" w:line="360" w:lineRule="auto"/>
        <w:rPr>
          <w:rFonts w:eastAsia="Calibri" w:cs="Times New Roman"/>
          <w:bCs/>
          <w:iCs/>
          <w:color w:val="auto"/>
        </w:rPr>
      </w:pPr>
      <w:r>
        <w:rPr>
          <w:rFonts w:eastAsia="Calibri" w:cs="Times New Roman"/>
          <w:bCs/>
          <w:iCs/>
          <w:color w:val="auto"/>
        </w:rPr>
        <w:t xml:space="preserve">Al respecto, </w:t>
      </w:r>
      <w:r w:rsidR="008A55F5" w:rsidRPr="008A55F5">
        <w:rPr>
          <w:rFonts w:eastAsia="Calibri" w:cs="Times New Roman"/>
          <w:bCs/>
          <w:iCs/>
          <w:color w:val="auto"/>
        </w:rPr>
        <w:t xml:space="preserve">el artículo 143, fracción I, de la Ley previamente citada, establece que la información privada y los datos personales, concernientes a una persona física o jurídica colectiva identificada o identificable son confidenciales. </w:t>
      </w:r>
    </w:p>
    <w:p w14:paraId="3F063800" w14:textId="77777777" w:rsidR="008A55F5" w:rsidRDefault="008A55F5" w:rsidP="008A55F5">
      <w:pPr>
        <w:spacing w:after="0" w:line="360" w:lineRule="auto"/>
        <w:rPr>
          <w:rFonts w:eastAsia="Calibri" w:cs="Times New Roman"/>
          <w:bCs/>
          <w:iCs/>
          <w:color w:val="auto"/>
        </w:rPr>
      </w:pPr>
    </w:p>
    <w:p w14:paraId="260171B8" w14:textId="2D5C0A5C" w:rsidR="008A55F5" w:rsidRDefault="008A55F5" w:rsidP="008A55F5">
      <w:pPr>
        <w:spacing w:after="0" w:line="360" w:lineRule="auto"/>
        <w:rPr>
          <w:rFonts w:eastAsia="Calibri" w:cs="Times New Roman"/>
          <w:bCs/>
          <w:iCs/>
          <w:color w:val="auto"/>
        </w:rPr>
      </w:pPr>
      <w:r w:rsidRPr="008A55F5">
        <w:rPr>
          <w:rFonts w:eastAsia="Calibri" w:cs="Times New Roman"/>
          <w:bCs/>
          <w:iCs/>
          <w:color w:val="auto"/>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8A55F5">
        <w:rPr>
          <w:rFonts w:eastAsia="Calibri" w:cs="Times New Roman"/>
          <w:bCs/>
          <w:iCs/>
          <w:color w:val="auto"/>
        </w:rPr>
        <w:t>ii</w:t>
      </w:r>
      <w:proofErr w:type="spellEnd"/>
      <w:r w:rsidRPr="008A55F5">
        <w:rPr>
          <w:rFonts w:eastAsia="Calibri" w:cs="Times New Roman"/>
          <w:bCs/>
          <w:iCs/>
          <w:color w:val="auto"/>
        </w:rPr>
        <w:t xml:space="preserve">) por ley tenga el carácter de pública, </w:t>
      </w:r>
      <w:proofErr w:type="spellStart"/>
      <w:r w:rsidRPr="008A55F5">
        <w:rPr>
          <w:rFonts w:eastAsia="Calibri" w:cs="Times New Roman"/>
          <w:bCs/>
          <w:iCs/>
          <w:color w:val="auto"/>
        </w:rPr>
        <w:t>iii</w:t>
      </w:r>
      <w:proofErr w:type="spellEnd"/>
      <w:r w:rsidRPr="008A55F5">
        <w:rPr>
          <w:rFonts w:eastAsia="Calibri" w:cs="Times New Roman"/>
          <w:bCs/>
          <w:iCs/>
          <w:color w:val="auto"/>
        </w:rPr>
        <w:t xml:space="preserve">) exista una orden judicial, </w:t>
      </w:r>
      <w:proofErr w:type="spellStart"/>
      <w:r w:rsidRPr="008A55F5">
        <w:rPr>
          <w:rFonts w:eastAsia="Calibri" w:cs="Times New Roman"/>
          <w:bCs/>
          <w:iCs/>
          <w:color w:val="auto"/>
        </w:rPr>
        <w:t>iv</w:t>
      </w:r>
      <w:proofErr w:type="spellEnd"/>
      <w:r w:rsidRPr="008A55F5">
        <w:rPr>
          <w:rFonts w:eastAsia="Calibri" w:cs="Times New Roman"/>
          <w:bCs/>
          <w:iCs/>
          <w:color w:val="auto"/>
        </w:rPr>
        <w:t>) por razones de seguridad nacional y salubridad general o v) para proteger los derechos de terceros o cuando se transmita entre sujetos obligados en términos de los tratados y los acuerdos interinstitucionales.</w:t>
      </w:r>
    </w:p>
    <w:p w14:paraId="30312ED5" w14:textId="77777777" w:rsidR="008A55F5" w:rsidRDefault="008A55F5" w:rsidP="008A55F5">
      <w:pPr>
        <w:spacing w:after="0" w:line="360" w:lineRule="auto"/>
        <w:rPr>
          <w:rFonts w:eastAsia="Calibri" w:cs="Times New Roman"/>
          <w:bCs/>
          <w:iCs/>
          <w:color w:val="auto"/>
        </w:rPr>
      </w:pPr>
    </w:p>
    <w:p w14:paraId="52AF7E0F" w14:textId="191A4238" w:rsid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 xml:space="preserve">En términos de lo expuesto, la documentación y aquellos datos que se consideren confidenciales, serán una limitante del derecho de acceso a la información, siempre y cuando: </w:t>
      </w:r>
    </w:p>
    <w:p w14:paraId="6CADF365" w14:textId="77777777" w:rsidR="008A55F5" w:rsidRPr="008A55F5" w:rsidRDefault="008A55F5" w:rsidP="008A55F5">
      <w:pPr>
        <w:spacing w:after="0" w:line="360" w:lineRule="auto"/>
        <w:rPr>
          <w:rFonts w:eastAsia="Calibri" w:cs="Times New Roman"/>
          <w:bCs/>
          <w:iCs/>
          <w:color w:val="auto"/>
          <w:lang w:val="es-ES"/>
        </w:rPr>
      </w:pPr>
    </w:p>
    <w:p w14:paraId="578E28B5" w14:textId="30508CA9" w:rsidR="008A55F5" w:rsidRPr="008A55F5" w:rsidRDefault="008A55F5" w:rsidP="008A55F5">
      <w:pPr>
        <w:pStyle w:val="Prrafodelista"/>
        <w:numPr>
          <w:ilvl w:val="0"/>
          <w:numId w:val="35"/>
        </w:numPr>
        <w:spacing w:after="0" w:line="360" w:lineRule="auto"/>
        <w:rPr>
          <w:rFonts w:eastAsia="Calibri" w:cs="Times New Roman"/>
          <w:bCs/>
          <w:iCs/>
          <w:color w:val="auto"/>
          <w:lang w:val="es-ES"/>
        </w:rPr>
      </w:pPr>
      <w:r w:rsidRPr="008A55F5">
        <w:rPr>
          <w:rFonts w:eastAsia="Calibri" w:cs="Times New Roman"/>
          <w:bCs/>
          <w:iCs/>
          <w:color w:val="auto"/>
          <w:lang w:val="es-ES"/>
        </w:rPr>
        <w:t xml:space="preserve">Se trate de datos personales o información privada; esto es, información concerniente a una persona física o jurídico colectiva y que esta sea identificada o identificable.  </w:t>
      </w:r>
    </w:p>
    <w:p w14:paraId="03BC92FB" w14:textId="362AFD59" w:rsidR="008A55F5" w:rsidRDefault="008A55F5" w:rsidP="008A55F5">
      <w:pPr>
        <w:pStyle w:val="Prrafodelista"/>
        <w:numPr>
          <w:ilvl w:val="0"/>
          <w:numId w:val="35"/>
        </w:numPr>
        <w:spacing w:after="0" w:line="360" w:lineRule="auto"/>
        <w:rPr>
          <w:rFonts w:eastAsia="Calibri" w:cs="Times New Roman"/>
          <w:bCs/>
          <w:iCs/>
          <w:color w:val="auto"/>
          <w:lang w:val="es-ES"/>
        </w:rPr>
      </w:pPr>
      <w:r w:rsidRPr="008A55F5">
        <w:rPr>
          <w:rFonts w:eastAsia="Calibri" w:cs="Times New Roman"/>
          <w:bCs/>
          <w:iCs/>
          <w:color w:val="auto"/>
          <w:lang w:val="es-ES"/>
        </w:rPr>
        <w:t xml:space="preserve">Para la difusión de los datos, se requiera el consentimiento del titular.  </w:t>
      </w:r>
    </w:p>
    <w:p w14:paraId="614171A4" w14:textId="77777777" w:rsidR="008A55F5" w:rsidRPr="008A55F5" w:rsidRDefault="008A55F5" w:rsidP="008A55F5">
      <w:pPr>
        <w:pStyle w:val="Prrafodelista"/>
        <w:spacing w:after="0" w:line="360" w:lineRule="auto"/>
        <w:rPr>
          <w:rFonts w:eastAsia="Calibri" w:cs="Times New Roman"/>
          <w:bCs/>
          <w:iCs/>
          <w:color w:val="auto"/>
          <w:lang w:val="es-ES"/>
        </w:rPr>
      </w:pPr>
    </w:p>
    <w:p w14:paraId="7A4E9AE8" w14:textId="33F12030" w:rsidR="008A55F5" w:rsidRP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En ese orden de ideas, de conformidad con el artículo 3°, fracción IX, de la Ley de</w:t>
      </w:r>
      <w:r>
        <w:rPr>
          <w:rFonts w:eastAsia="Calibri" w:cs="Times New Roman"/>
          <w:bCs/>
          <w:iCs/>
          <w:color w:val="auto"/>
          <w:lang w:val="es-ES"/>
        </w:rPr>
        <w:t xml:space="preserve"> </w:t>
      </w:r>
      <w:r w:rsidRPr="008A55F5">
        <w:rPr>
          <w:rFonts w:eastAsia="Calibri" w:cs="Times New Roman"/>
          <w:bCs/>
          <w:iCs/>
          <w:color w:val="auto"/>
          <w:lang w:val="es-ES"/>
        </w:rPr>
        <w:t xml:space="preserve">Transparencia y Acceso a la Información Pública del Estado de México y Municipios, con relación el diverso 4°, fracciones XI y XII, de la Ley de Protección de Datos Personales </w:t>
      </w:r>
      <w:proofErr w:type="gramStart"/>
      <w:r w:rsidRPr="008A55F5">
        <w:rPr>
          <w:rFonts w:eastAsia="Calibri" w:cs="Times New Roman"/>
          <w:bCs/>
          <w:iCs/>
          <w:color w:val="auto"/>
          <w:lang w:val="es-ES"/>
        </w:rPr>
        <w:t xml:space="preserve">en </w:t>
      </w:r>
      <w:r>
        <w:rPr>
          <w:rFonts w:eastAsia="Calibri" w:cs="Times New Roman"/>
          <w:bCs/>
          <w:iCs/>
          <w:color w:val="auto"/>
          <w:lang w:val="es-ES"/>
        </w:rPr>
        <w:t xml:space="preserve"> </w:t>
      </w:r>
      <w:r w:rsidRPr="008A55F5">
        <w:rPr>
          <w:rFonts w:eastAsia="Calibri" w:cs="Times New Roman"/>
          <w:bCs/>
          <w:iCs/>
          <w:color w:val="auto"/>
          <w:lang w:val="es-ES"/>
        </w:rPr>
        <w:t>Posesión</w:t>
      </w:r>
      <w:proofErr w:type="gramEnd"/>
      <w:r w:rsidRPr="008A55F5">
        <w:rPr>
          <w:rFonts w:eastAsia="Calibri" w:cs="Times New Roman"/>
          <w:bCs/>
          <w:iCs/>
          <w:color w:val="auto"/>
          <w:lang w:val="es-ES"/>
        </w:rPr>
        <w:t xml:space="preserve"> de Sujetos Obligados del Estado de México y Municipios, se advierte que son datos </w:t>
      </w:r>
      <w:r>
        <w:rPr>
          <w:rFonts w:eastAsia="Calibri" w:cs="Times New Roman"/>
          <w:bCs/>
          <w:iCs/>
          <w:color w:val="auto"/>
          <w:lang w:val="es-ES"/>
        </w:rPr>
        <w:t>personales</w:t>
      </w:r>
      <w:r w:rsidRPr="008A55F5">
        <w:rPr>
          <w:rFonts w:eastAsia="Calibri" w:cs="Times New Roman"/>
          <w:bCs/>
          <w:iCs/>
          <w:color w:val="auto"/>
          <w:lang w:val="es-ES"/>
        </w:rPr>
        <w:t xml:space="preserve">, la información concerniente a una persona física o jurídico colectiva identificada </w:t>
      </w:r>
    </w:p>
    <w:p w14:paraId="053A448F" w14:textId="446C959F" w:rsidR="008A55F5" w:rsidRP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o identificable (cuando su identidad pueda determinarse directa o indirectamente a través</w:t>
      </w:r>
      <w:r>
        <w:rPr>
          <w:rFonts w:eastAsia="Calibri" w:cs="Times New Roman"/>
          <w:bCs/>
          <w:iCs/>
          <w:color w:val="auto"/>
          <w:lang w:val="es-ES"/>
        </w:rPr>
        <w:t xml:space="preserve"> </w:t>
      </w:r>
      <w:r w:rsidRPr="008A55F5">
        <w:rPr>
          <w:rFonts w:eastAsia="Calibri" w:cs="Times New Roman"/>
          <w:bCs/>
          <w:iCs/>
          <w:color w:val="auto"/>
          <w:lang w:val="es-ES"/>
        </w:rPr>
        <w:t xml:space="preserve">de cualquier documento informativo físico o electrónico), establecida en cualquier formato o </w:t>
      </w:r>
    </w:p>
    <w:p w14:paraId="2764C8C4" w14:textId="77777777" w:rsidR="008A55F5" w:rsidRP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 xml:space="preserve">modalidad. Bajo ese contexto, se procede analizar si los datos que conforman el padrón son </w:t>
      </w:r>
    </w:p>
    <w:p w14:paraId="6076BE20" w14:textId="77777777" w:rsid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 xml:space="preserve">confidenciales o públicos. </w:t>
      </w:r>
    </w:p>
    <w:p w14:paraId="7915E837" w14:textId="77777777" w:rsidR="008A55F5" w:rsidRPr="008A55F5" w:rsidRDefault="008A55F5" w:rsidP="008A55F5">
      <w:pPr>
        <w:spacing w:after="0" w:line="360" w:lineRule="auto"/>
        <w:rPr>
          <w:rFonts w:eastAsia="Calibri" w:cs="Times New Roman"/>
          <w:bCs/>
          <w:iCs/>
          <w:color w:val="auto"/>
          <w:lang w:val="es-ES"/>
        </w:rPr>
      </w:pPr>
    </w:p>
    <w:p w14:paraId="4668B0EF" w14:textId="6B320611" w:rsidR="008A55F5" w:rsidRPr="008A55F5" w:rsidRDefault="008A55F5" w:rsidP="008A55F5">
      <w:pPr>
        <w:pStyle w:val="Prrafodelista"/>
        <w:numPr>
          <w:ilvl w:val="0"/>
          <w:numId w:val="36"/>
        </w:numPr>
        <w:spacing w:after="0" w:line="360" w:lineRule="auto"/>
        <w:rPr>
          <w:rFonts w:eastAsia="Calibri" w:cs="Times New Roman"/>
          <w:b/>
          <w:iCs/>
          <w:color w:val="auto"/>
          <w:lang w:val="es-ES"/>
        </w:rPr>
      </w:pPr>
      <w:r w:rsidRPr="008A55F5">
        <w:rPr>
          <w:rFonts w:eastAsia="Calibri" w:cs="Times New Roman"/>
          <w:b/>
          <w:iCs/>
          <w:color w:val="auto"/>
          <w:lang w:val="es-ES"/>
        </w:rPr>
        <w:t xml:space="preserve">Nombre de personas beneficiadas por un programa social  </w:t>
      </w:r>
    </w:p>
    <w:p w14:paraId="1EDEFA38" w14:textId="77777777" w:rsidR="008A55F5" w:rsidRPr="008A55F5" w:rsidRDefault="008A55F5" w:rsidP="008A55F5">
      <w:pPr>
        <w:pStyle w:val="Prrafodelista"/>
        <w:spacing w:after="0" w:line="360" w:lineRule="auto"/>
        <w:rPr>
          <w:rFonts w:eastAsia="Calibri" w:cs="Times New Roman"/>
          <w:bCs/>
          <w:iCs/>
          <w:color w:val="auto"/>
          <w:lang w:val="es-ES"/>
        </w:rPr>
      </w:pPr>
    </w:p>
    <w:p w14:paraId="6F0295C9" w14:textId="2BB9E668" w:rsidR="008A55F5" w:rsidRP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Al respecto, cabe precisar que el nombre se integra con el sustantivo propio y el primer apellido de los padres, en el orden que, de común acuerdo determinen; asimismo es la</w:t>
      </w:r>
      <w:r>
        <w:rPr>
          <w:rFonts w:eastAsia="Calibri" w:cs="Times New Roman"/>
          <w:bCs/>
          <w:iCs/>
          <w:color w:val="auto"/>
          <w:lang w:val="es-ES"/>
        </w:rPr>
        <w:t xml:space="preserve"> </w:t>
      </w:r>
      <w:r w:rsidRPr="008A55F5">
        <w:rPr>
          <w:rFonts w:eastAsia="Calibri" w:cs="Times New Roman"/>
          <w:bCs/>
          <w:iCs/>
          <w:color w:val="auto"/>
          <w:lang w:val="es-ES"/>
        </w:rPr>
        <w:t>manifestación principal del derecho subjetivo a la personalidad y atributo de esta en términos</w:t>
      </w:r>
      <w:r>
        <w:rPr>
          <w:rFonts w:eastAsia="Calibri" w:cs="Times New Roman"/>
          <w:bCs/>
          <w:iCs/>
          <w:color w:val="auto"/>
          <w:lang w:val="es-ES"/>
        </w:rPr>
        <w:t xml:space="preserve"> </w:t>
      </w:r>
      <w:r w:rsidRPr="008A55F5">
        <w:rPr>
          <w:rFonts w:eastAsia="Calibri" w:cs="Times New Roman"/>
          <w:bCs/>
          <w:iCs/>
          <w:color w:val="auto"/>
          <w:lang w:val="es-ES"/>
        </w:rPr>
        <w:t xml:space="preserve">del artículo 2.3 del Código Civil del Estado de México, de tal suerte, el nombre per se es un </w:t>
      </w:r>
    </w:p>
    <w:p w14:paraId="16FBE716" w14:textId="51392A58" w:rsid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elemento que hace a una persona física identificada o identificable.</w:t>
      </w:r>
    </w:p>
    <w:p w14:paraId="5B408839" w14:textId="77777777" w:rsidR="008A55F5" w:rsidRDefault="008A55F5" w:rsidP="008A55F5">
      <w:pPr>
        <w:spacing w:after="0" w:line="360" w:lineRule="auto"/>
        <w:rPr>
          <w:rFonts w:eastAsia="Calibri" w:cs="Times New Roman"/>
          <w:bCs/>
          <w:iCs/>
          <w:color w:val="auto"/>
          <w:lang w:val="es-ES"/>
        </w:rPr>
      </w:pPr>
    </w:p>
    <w:p w14:paraId="1EF7DEE2" w14:textId="3527C57C" w:rsidR="008A55F5" w:rsidRP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lastRenderedPageBreak/>
        <w:t xml:space="preserve">En ese contexto, es importante mencionar </w:t>
      </w:r>
      <w:proofErr w:type="gramStart"/>
      <w:r w:rsidRPr="008A55F5">
        <w:rPr>
          <w:rFonts w:eastAsia="Calibri" w:cs="Times New Roman"/>
          <w:bCs/>
          <w:iCs/>
          <w:color w:val="auto"/>
          <w:lang w:val="es-ES"/>
        </w:rPr>
        <w:t>que</w:t>
      </w:r>
      <w:proofErr w:type="gramEnd"/>
      <w:r w:rsidRPr="008A55F5">
        <w:rPr>
          <w:rFonts w:eastAsia="Calibri" w:cs="Times New Roman"/>
          <w:bCs/>
          <w:iCs/>
          <w:color w:val="auto"/>
          <w:lang w:val="es-ES"/>
        </w:rPr>
        <w:t xml:space="preserve"> si bien es cierto que el nombre de una </w:t>
      </w:r>
      <w:proofErr w:type="gramStart"/>
      <w:r w:rsidRPr="008A55F5">
        <w:rPr>
          <w:rFonts w:eastAsia="Calibri" w:cs="Times New Roman"/>
          <w:bCs/>
          <w:iCs/>
          <w:color w:val="auto"/>
          <w:lang w:val="es-ES"/>
        </w:rPr>
        <w:t xml:space="preserve">persona </w:t>
      </w:r>
      <w:r>
        <w:rPr>
          <w:rFonts w:eastAsia="Calibri" w:cs="Times New Roman"/>
          <w:bCs/>
          <w:iCs/>
          <w:color w:val="auto"/>
          <w:lang w:val="es-ES"/>
        </w:rPr>
        <w:t xml:space="preserve"> </w:t>
      </w:r>
      <w:r w:rsidRPr="008A55F5">
        <w:rPr>
          <w:rFonts w:eastAsia="Calibri" w:cs="Times New Roman"/>
          <w:bCs/>
          <w:iCs/>
          <w:color w:val="auto"/>
          <w:lang w:val="es-ES"/>
        </w:rPr>
        <w:t>es</w:t>
      </w:r>
      <w:proofErr w:type="gramEnd"/>
      <w:r w:rsidRPr="008A55F5">
        <w:rPr>
          <w:rFonts w:eastAsia="Calibri" w:cs="Times New Roman"/>
          <w:bCs/>
          <w:iCs/>
          <w:color w:val="auto"/>
          <w:lang w:val="es-ES"/>
        </w:rPr>
        <w:t xml:space="preserve"> atributo de la personalidad, de conformidad con la legislación civil, al tratarse de un dato </w:t>
      </w:r>
    </w:p>
    <w:p w14:paraId="659A7170" w14:textId="21BE1E51" w:rsid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personal hace identificable a su titular, además la Ley de Transparencia y Acceso a la Información Pública del Estado de México y Municipios ha establecido un régimen de tratándose de los nombres de aquellas personas que son beneficiadas por un programa social, ya que la difusión de dicho dato constituye una obligación de transparencia por parte de los sujetos obligados.</w:t>
      </w:r>
    </w:p>
    <w:p w14:paraId="62449A7B" w14:textId="77777777" w:rsidR="008A55F5" w:rsidRDefault="008A55F5" w:rsidP="008A55F5">
      <w:pPr>
        <w:spacing w:after="0" w:line="360" w:lineRule="auto"/>
        <w:rPr>
          <w:rFonts w:eastAsia="Calibri" w:cs="Times New Roman"/>
          <w:bCs/>
          <w:iCs/>
          <w:color w:val="auto"/>
          <w:lang w:val="es-ES"/>
        </w:rPr>
      </w:pPr>
    </w:p>
    <w:p w14:paraId="5C2EB52D" w14:textId="77777777" w:rsidR="008A55F5" w:rsidRP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 xml:space="preserve">Toma sustento con el artículo 92, fracción XIV, inciso p), de la Ley de la materia, previamente </w:t>
      </w:r>
    </w:p>
    <w:p w14:paraId="169FB999" w14:textId="793A0DF8" w:rsid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referidos, el cual establece que los sujetos obligados tienen la obligación de poner a disposición</w:t>
      </w:r>
      <w:r>
        <w:rPr>
          <w:rFonts w:eastAsia="Calibri" w:cs="Times New Roman"/>
          <w:bCs/>
          <w:iCs/>
          <w:color w:val="auto"/>
          <w:lang w:val="es-ES"/>
        </w:rPr>
        <w:t xml:space="preserve"> </w:t>
      </w:r>
      <w:r w:rsidRPr="008A55F5">
        <w:rPr>
          <w:rFonts w:eastAsia="Calibri" w:cs="Times New Roman"/>
          <w:bCs/>
          <w:iCs/>
          <w:color w:val="auto"/>
          <w:lang w:val="es-ES"/>
        </w:rPr>
        <w:t>del público y mantener actualizada de acuerdo con sus facultades, atribuciones y funciones,</w:t>
      </w:r>
      <w:r>
        <w:rPr>
          <w:rFonts w:eastAsia="Calibri" w:cs="Times New Roman"/>
          <w:bCs/>
          <w:iCs/>
          <w:color w:val="auto"/>
          <w:lang w:val="es-ES"/>
        </w:rPr>
        <w:t xml:space="preserve"> </w:t>
      </w:r>
      <w:r w:rsidRPr="008A55F5">
        <w:rPr>
          <w:rFonts w:eastAsia="Calibri" w:cs="Times New Roman"/>
          <w:bCs/>
          <w:iCs/>
          <w:color w:val="auto"/>
          <w:lang w:val="es-ES"/>
        </w:rPr>
        <w:t xml:space="preserve">el padrón de beneficiarios de programas de subsidios, estímulos y apoyos, el cual deberá contener entre otros datos el nombre de la persona beneficiada. </w:t>
      </w:r>
    </w:p>
    <w:p w14:paraId="2D4A3A75" w14:textId="77777777" w:rsidR="008A55F5" w:rsidRPr="008A55F5" w:rsidRDefault="008A55F5" w:rsidP="008A55F5">
      <w:pPr>
        <w:spacing w:after="0" w:line="360" w:lineRule="auto"/>
        <w:rPr>
          <w:rFonts w:eastAsia="Calibri" w:cs="Times New Roman"/>
          <w:bCs/>
          <w:iCs/>
          <w:color w:val="auto"/>
          <w:lang w:val="es-ES"/>
        </w:rPr>
      </w:pPr>
    </w:p>
    <w:p w14:paraId="76EE10B6" w14:textId="6389481B" w:rsidR="008A55F5" w:rsidRDefault="008A55F5" w:rsidP="008A55F5">
      <w:pPr>
        <w:spacing w:after="0" w:line="360" w:lineRule="auto"/>
        <w:rPr>
          <w:rFonts w:eastAsia="Calibri" w:cs="Times New Roman"/>
          <w:bCs/>
          <w:iCs/>
          <w:color w:val="auto"/>
          <w:lang w:val="es-ES"/>
        </w:rPr>
      </w:pPr>
      <w:r w:rsidRPr="008A55F5">
        <w:rPr>
          <w:rFonts w:eastAsia="Calibri" w:cs="Times New Roman"/>
          <w:bCs/>
          <w:iCs/>
          <w:color w:val="auto"/>
          <w:lang w:val="es-ES"/>
        </w:rPr>
        <w:t>Asimismo, los Lineamientos técnicos generales para la publicación, homologación y estandarización de la información de las obligaciones establecidas en el título quinto y en la</w:t>
      </w:r>
      <w:r>
        <w:rPr>
          <w:rFonts w:eastAsia="Calibri" w:cs="Times New Roman"/>
          <w:bCs/>
          <w:iCs/>
          <w:color w:val="auto"/>
          <w:lang w:val="es-ES"/>
        </w:rPr>
        <w:t xml:space="preserve"> </w:t>
      </w:r>
      <w:r w:rsidRPr="008A55F5">
        <w:rPr>
          <w:rFonts w:eastAsia="Calibri" w:cs="Times New Roman"/>
          <w:bCs/>
          <w:iCs/>
          <w:color w:val="auto"/>
          <w:lang w:val="es-ES"/>
        </w:rPr>
        <w:t xml:space="preserve">fracción IV del artículo 31 de la Ley General de Transparencia y Acceso a la </w:t>
      </w:r>
      <w:proofErr w:type="gramStart"/>
      <w:r w:rsidRPr="008A55F5">
        <w:rPr>
          <w:rFonts w:eastAsia="Calibri" w:cs="Times New Roman"/>
          <w:bCs/>
          <w:iCs/>
          <w:color w:val="auto"/>
          <w:lang w:val="es-ES"/>
        </w:rPr>
        <w:t xml:space="preserve">Información </w:t>
      </w:r>
      <w:r>
        <w:rPr>
          <w:rFonts w:eastAsia="Calibri" w:cs="Times New Roman"/>
          <w:bCs/>
          <w:iCs/>
          <w:color w:val="auto"/>
          <w:lang w:val="es-ES"/>
        </w:rPr>
        <w:t xml:space="preserve"> </w:t>
      </w:r>
      <w:r w:rsidRPr="008A55F5">
        <w:rPr>
          <w:rFonts w:eastAsia="Calibri" w:cs="Times New Roman"/>
          <w:bCs/>
          <w:iCs/>
          <w:color w:val="auto"/>
          <w:lang w:val="es-ES"/>
        </w:rPr>
        <w:t>Pública</w:t>
      </w:r>
      <w:proofErr w:type="gramEnd"/>
      <w:r w:rsidRPr="008A55F5">
        <w:rPr>
          <w:rFonts w:eastAsia="Calibri" w:cs="Times New Roman"/>
          <w:bCs/>
          <w:iCs/>
          <w:color w:val="auto"/>
          <w:lang w:val="es-ES"/>
        </w:rPr>
        <w:t>, que deben de difundir los sujetos obligados en los portales de Internet y en la</w:t>
      </w:r>
      <w:r>
        <w:rPr>
          <w:rFonts w:eastAsia="Calibri" w:cs="Times New Roman"/>
          <w:bCs/>
          <w:iCs/>
          <w:color w:val="auto"/>
          <w:lang w:val="es-ES"/>
        </w:rPr>
        <w:t xml:space="preserve"> </w:t>
      </w:r>
      <w:r w:rsidRPr="008A55F5">
        <w:rPr>
          <w:rFonts w:eastAsia="Calibri" w:cs="Times New Roman"/>
          <w:bCs/>
          <w:iCs/>
          <w:color w:val="auto"/>
          <w:lang w:val="es-ES"/>
        </w:rPr>
        <w:t>Plataforma Nacional de Transparencia, establece que el nombre referido, tiene la característica de público, como se observa a continuación:</w:t>
      </w:r>
    </w:p>
    <w:p w14:paraId="6D6FA87F" w14:textId="77777777" w:rsidR="00D65F1D" w:rsidRDefault="00D65F1D" w:rsidP="008A55F5">
      <w:pPr>
        <w:spacing w:after="0" w:line="360" w:lineRule="auto"/>
        <w:rPr>
          <w:rFonts w:eastAsia="Calibri" w:cs="Times New Roman"/>
          <w:bCs/>
          <w:iCs/>
          <w:color w:val="auto"/>
          <w:lang w:val="es-ES"/>
        </w:rPr>
      </w:pPr>
    </w:p>
    <w:p w14:paraId="2C4C5E90" w14:textId="7F7B62A0" w:rsidR="008A55F5" w:rsidRDefault="008A55F5" w:rsidP="008A55F5">
      <w:pPr>
        <w:spacing w:after="0" w:line="360" w:lineRule="auto"/>
        <w:jc w:val="center"/>
        <w:rPr>
          <w:rFonts w:eastAsia="Calibri" w:cs="Times New Roman"/>
          <w:bCs/>
          <w:iCs/>
          <w:color w:val="auto"/>
          <w:lang w:val="es-ES"/>
        </w:rPr>
      </w:pPr>
      <w:r w:rsidRPr="008A55F5">
        <w:rPr>
          <w:rFonts w:eastAsia="Calibri" w:cs="Times New Roman"/>
          <w:bCs/>
          <w:iCs/>
          <w:noProof/>
          <w:color w:val="auto"/>
          <w:lang w:eastAsia="es-MX"/>
        </w:rPr>
        <w:drawing>
          <wp:inline distT="0" distB="0" distL="0" distR="0" wp14:anchorId="3B8385A4" wp14:editId="7057E914">
            <wp:extent cx="5143946" cy="1066892"/>
            <wp:effectExtent l="0" t="0" r="0" b="0"/>
            <wp:docPr id="77033732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37328" name="Imagen 1" descr="Texto&#10;&#10;El contenido generado por IA puede ser incorrecto."/>
                    <pic:cNvPicPr/>
                  </pic:nvPicPr>
                  <pic:blipFill>
                    <a:blip r:embed="rId13"/>
                    <a:stretch>
                      <a:fillRect/>
                    </a:stretch>
                  </pic:blipFill>
                  <pic:spPr>
                    <a:xfrm>
                      <a:off x="0" y="0"/>
                      <a:ext cx="5143946" cy="1066892"/>
                    </a:xfrm>
                    <a:prstGeom prst="rect">
                      <a:avLst/>
                    </a:prstGeom>
                  </pic:spPr>
                </pic:pic>
              </a:graphicData>
            </a:graphic>
          </wp:inline>
        </w:drawing>
      </w:r>
    </w:p>
    <w:p w14:paraId="4215A9E0" w14:textId="77777777" w:rsidR="008A55F5" w:rsidRDefault="008A55F5" w:rsidP="008A55F5">
      <w:pPr>
        <w:spacing w:after="0" w:line="360" w:lineRule="auto"/>
        <w:jc w:val="center"/>
        <w:rPr>
          <w:rFonts w:eastAsia="Calibri" w:cs="Times New Roman"/>
          <w:bCs/>
          <w:iCs/>
          <w:color w:val="auto"/>
          <w:lang w:val="es-ES"/>
        </w:rPr>
      </w:pPr>
    </w:p>
    <w:p w14:paraId="0937C623" w14:textId="77777777" w:rsidR="00E6637C" w:rsidRPr="00E6637C" w:rsidRDefault="00E6637C" w:rsidP="00E6637C">
      <w:pPr>
        <w:spacing w:after="0" w:line="360" w:lineRule="auto"/>
        <w:rPr>
          <w:rFonts w:eastAsia="Times New Roman" w:cs="Tahoma"/>
          <w:b/>
          <w:bCs/>
          <w:iCs/>
          <w:color w:val="auto"/>
          <w:lang w:val="es-ES_tradnl" w:eastAsia="es-ES"/>
        </w:rPr>
      </w:pPr>
      <w:r w:rsidRPr="00E6637C">
        <w:rPr>
          <w:rFonts w:eastAsia="Times New Roman" w:cs="Tahoma"/>
          <w:bCs/>
          <w:iCs/>
          <w:color w:val="auto"/>
          <w:lang w:eastAsia="es-ES"/>
        </w:rPr>
        <w:lastRenderedPageBreak/>
        <w:t xml:space="preserve">Conforme a lo anterior, la Ley </w:t>
      </w:r>
      <w:r w:rsidRPr="00E6637C">
        <w:rPr>
          <w:rFonts w:eastAsia="Times New Roman" w:cs="Tahoma"/>
          <w:bCs/>
          <w:iCs/>
          <w:color w:val="auto"/>
          <w:lang w:val="es-ES_tradnl" w:eastAsia="es-ES"/>
        </w:rPr>
        <w:t xml:space="preserve">de Transparencia y Acceso a la Información Pública del Estado de México y Municipios, considera que el nombre de los beneficiarios, </w:t>
      </w:r>
      <w:r w:rsidRPr="00E6637C">
        <w:rPr>
          <w:rFonts w:eastAsia="Times New Roman" w:cs="Tahoma"/>
          <w:b/>
          <w:bCs/>
          <w:iCs/>
          <w:color w:val="auto"/>
          <w:lang w:val="es-ES_tradnl" w:eastAsia="es-ES"/>
        </w:rPr>
        <w:t xml:space="preserve">por regla general, </w:t>
      </w:r>
      <w:r w:rsidRPr="00E6637C">
        <w:rPr>
          <w:rFonts w:eastAsia="Times New Roman" w:cs="Tahoma"/>
          <w:bCs/>
          <w:iCs/>
          <w:color w:val="auto"/>
          <w:lang w:val="es-ES_tradnl" w:eastAsia="es-ES"/>
        </w:rPr>
        <w:t xml:space="preserve">son de naturaleza pública, ya que su publicidad orienta a cumplir los objetivos que persigue el ordenamiento normativo; toda vez, </w:t>
      </w:r>
      <w:r w:rsidRPr="00E6637C">
        <w:rPr>
          <w:rFonts w:eastAsia="Times New Roman" w:cs="Tahoma"/>
          <w:b/>
          <w:bCs/>
          <w:iCs/>
          <w:color w:val="auto"/>
          <w:lang w:val="es-ES_tradnl" w:eastAsia="es-ES"/>
        </w:rPr>
        <w:t>que ayuda a transparentar a quienes se les han otorgado recursos públicos, en dinero o en especie, así como, porque razones se les otorgaron.</w:t>
      </w:r>
    </w:p>
    <w:p w14:paraId="3BB8F46C" w14:textId="77777777" w:rsidR="00E6637C" w:rsidRPr="00E6637C" w:rsidRDefault="00E6637C" w:rsidP="00E6637C">
      <w:pPr>
        <w:spacing w:after="0" w:line="360" w:lineRule="auto"/>
        <w:rPr>
          <w:rFonts w:eastAsia="Times New Roman" w:cs="Tahoma"/>
          <w:b/>
          <w:bCs/>
          <w:iCs/>
          <w:color w:val="auto"/>
          <w:lang w:val="es-ES_tradnl" w:eastAsia="es-ES"/>
        </w:rPr>
      </w:pPr>
    </w:p>
    <w:p w14:paraId="4185A68E" w14:textId="77777777" w:rsidR="00E6637C" w:rsidRPr="00E6637C" w:rsidRDefault="00E6637C" w:rsidP="00E6637C">
      <w:pPr>
        <w:spacing w:after="0" w:line="360" w:lineRule="auto"/>
        <w:rPr>
          <w:rFonts w:eastAsia="Times New Roman" w:cs="Tahoma"/>
          <w:bCs/>
          <w:iCs/>
          <w:color w:val="auto"/>
          <w:lang w:val="es-ES_tradnl" w:eastAsia="es-ES"/>
        </w:rPr>
      </w:pPr>
      <w:r w:rsidRPr="00E6637C">
        <w:rPr>
          <w:rFonts w:eastAsia="Times New Roman" w:cs="Tahoma"/>
          <w:bCs/>
          <w:iCs/>
          <w:color w:val="auto"/>
          <w:lang w:val="es-ES_tradnl" w:eastAsia="es-ES"/>
        </w:rPr>
        <w:t>Situación que se robustece, con el artículo 23, penúltimo párrafo, de la Ley referida, que establece que los sujetos obligados, deberán hacer pública toda aquella información relativa a los montos y las personas a quienes se le entreguen, por cualquier motivo, recursos públicos.</w:t>
      </w:r>
    </w:p>
    <w:p w14:paraId="3F536ED3" w14:textId="77777777" w:rsidR="00E6637C" w:rsidRPr="00E6637C" w:rsidRDefault="00E6637C" w:rsidP="00E6637C">
      <w:pPr>
        <w:spacing w:after="0" w:line="360" w:lineRule="auto"/>
        <w:rPr>
          <w:rFonts w:eastAsia="Times New Roman" w:cs="Tahoma"/>
          <w:bCs/>
          <w:iCs/>
          <w:color w:val="auto"/>
          <w:lang w:val="es-ES_tradnl" w:eastAsia="es-ES"/>
        </w:rPr>
      </w:pPr>
    </w:p>
    <w:p w14:paraId="7ECF7B4D" w14:textId="77777777" w:rsidR="00E6637C" w:rsidRPr="00E6637C" w:rsidRDefault="00E6637C" w:rsidP="00E6637C">
      <w:pPr>
        <w:spacing w:after="0" w:line="360" w:lineRule="auto"/>
        <w:rPr>
          <w:rFonts w:eastAsia="Times New Roman" w:cs="Tahoma"/>
          <w:bCs/>
          <w:iCs/>
          <w:color w:val="auto"/>
          <w:lang w:val="es-ES_tradnl" w:eastAsia="es-ES"/>
        </w:rPr>
      </w:pPr>
      <w:r w:rsidRPr="00E6637C">
        <w:rPr>
          <w:rFonts w:eastAsia="Times New Roman" w:cs="Tahoma"/>
          <w:bCs/>
          <w:iCs/>
          <w:color w:val="auto"/>
          <w:lang w:val="es-ES_tradnl" w:eastAsia="es-ES"/>
        </w:rPr>
        <w:t xml:space="preserve">Por tales circunstancias, en primera instancia, se considera que el nombre de los </w:t>
      </w:r>
      <w:proofErr w:type="gramStart"/>
      <w:r w:rsidRPr="00E6637C">
        <w:rPr>
          <w:rFonts w:eastAsia="Times New Roman" w:cs="Tahoma"/>
          <w:bCs/>
          <w:iCs/>
          <w:color w:val="auto"/>
          <w:lang w:val="es-ES_tradnl" w:eastAsia="es-ES"/>
        </w:rPr>
        <w:t>beneficiarios,</w:t>
      </w:r>
      <w:proofErr w:type="gramEnd"/>
      <w:r w:rsidRPr="00E6637C">
        <w:rPr>
          <w:rFonts w:eastAsia="Times New Roman" w:cs="Tahoma"/>
          <w:bCs/>
          <w:iCs/>
          <w:color w:val="auto"/>
          <w:lang w:val="es-ES_tradnl" w:eastAsia="es-ES"/>
        </w:rPr>
        <w:t xml:space="preserve"> guarda la naturaleza pública, pues ayuda a rendir cuentas, sobre aquellas personas que recibieron algún recurso público, en dinero o especie, al formar parte de un programa social, del cual, se necesitan cumplir requisitos específicos para formar parte </w:t>
      </w:r>
      <w:proofErr w:type="gramStart"/>
      <w:r w:rsidRPr="00E6637C">
        <w:rPr>
          <w:rFonts w:eastAsia="Times New Roman" w:cs="Tahoma"/>
          <w:bCs/>
          <w:iCs/>
          <w:color w:val="auto"/>
          <w:lang w:val="es-ES_tradnl" w:eastAsia="es-ES"/>
        </w:rPr>
        <w:t>del mismo</w:t>
      </w:r>
      <w:proofErr w:type="gramEnd"/>
      <w:r w:rsidRPr="00E6637C">
        <w:rPr>
          <w:rFonts w:eastAsia="Times New Roman" w:cs="Tahoma"/>
          <w:bCs/>
          <w:iCs/>
          <w:color w:val="auto"/>
          <w:lang w:val="es-ES_tradnl" w:eastAsia="es-ES"/>
        </w:rPr>
        <w:t>.</w:t>
      </w:r>
    </w:p>
    <w:p w14:paraId="78BA3354" w14:textId="77777777" w:rsidR="00E6637C" w:rsidRPr="00E6637C" w:rsidRDefault="00E6637C" w:rsidP="00E6637C">
      <w:pPr>
        <w:spacing w:after="0" w:line="360" w:lineRule="auto"/>
        <w:rPr>
          <w:rFonts w:eastAsia="Times New Roman" w:cs="Tahoma"/>
          <w:bCs/>
          <w:iCs/>
          <w:color w:val="auto"/>
          <w:lang w:val="es-ES_tradnl" w:eastAsia="es-ES"/>
        </w:rPr>
      </w:pPr>
    </w:p>
    <w:p w14:paraId="1A500F2F" w14:textId="77777777" w:rsidR="00E6637C" w:rsidRPr="00E6637C" w:rsidRDefault="00E6637C" w:rsidP="00E6637C">
      <w:pPr>
        <w:spacing w:after="0" w:line="360" w:lineRule="auto"/>
        <w:rPr>
          <w:rFonts w:eastAsia="Times New Roman" w:cs="Tahoma"/>
          <w:bCs/>
          <w:iCs/>
          <w:color w:val="auto"/>
          <w:lang w:val="es-ES_tradnl" w:eastAsia="es-ES"/>
        </w:rPr>
      </w:pPr>
      <w:r w:rsidRPr="00E6637C">
        <w:rPr>
          <w:rFonts w:eastAsia="Times New Roman" w:cs="Tahoma"/>
          <w:bCs/>
          <w:iCs/>
          <w:color w:val="auto"/>
          <w:lang w:val="es-ES_tradnl" w:eastAsia="es-ES"/>
        </w:rPr>
        <w:t xml:space="preserve">Sin embargo, este Instituto ha establecido las excepciones a la publicación del nombre de los beneficiarios, de padrones de beneficiarios, a través del Criterio reiterado 04/19, publicado en el Periódico Oficial del Gobierno del Estado Libre y Soberano de México </w:t>
      </w:r>
      <w:r w:rsidRPr="00E6637C">
        <w:rPr>
          <w:rFonts w:eastAsia="Times New Roman" w:cs="Tahoma"/>
          <w:bCs/>
          <w:i/>
          <w:iCs/>
          <w:color w:val="auto"/>
          <w:lang w:val="es-ES_tradnl" w:eastAsia="es-ES"/>
        </w:rPr>
        <w:t>“Gaceta de Gobierno”</w:t>
      </w:r>
      <w:r w:rsidRPr="00E6637C">
        <w:rPr>
          <w:rFonts w:eastAsia="Times New Roman" w:cs="Tahoma"/>
          <w:bCs/>
          <w:iCs/>
          <w:color w:val="auto"/>
          <w:lang w:val="es-ES_tradnl" w:eastAsia="es-ES"/>
        </w:rPr>
        <w:t>, el dieciocho de diciembre de dos mil diecinueve, que establece lo siguiente:</w:t>
      </w:r>
    </w:p>
    <w:p w14:paraId="0C6346AF" w14:textId="77777777" w:rsidR="00E6637C" w:rsidRPr="00E6637C" w:rsidRDefault="00E6637C" w:rsidP="00E6637C">
      <w:pPr>
        <w:spacing w:after="0" w:line="360" w:lineRule="auto"/>
        <w:rPr>
          <w:rFonts w:eastAsia="Times New Roman" w:cs="Tahoma"/>
          <w:bCs/>
          <w:iCs/>
          <w:color w:val="auto"/>
          <w:lang w:val="es-ES_tradnl" w:eastAsia="es-ES"/>
        </w:rPr>
      </w:pPr>
    </w:p>
    <w:p w14:paraId="579B5B6C" w14:textId="77777777" w:rsidR="00E6637C" w:rsidRPr="00E6637C" w:rsidRDefault="00E6637C" w:rsidP="00E6637C">
      <w:pPr>
        <w:spacing w:after="0" w:line="360" w:lineRule="auto"/>
        <w:ind w:left="567" w:right="567"/>
        <w:rPr>
          <w:rFonts w:eastAsia="Times New Roman" w:cs="Tahoma"/>
          <w:bCs/>
          <w:i/>
          <w:iCs/>
          <w:color w:val="auto"/>
          <w:sz w:val="20"/>
          <w:szCs w:val="20"/>
          <w:lang w:val="es-ES_tradnl" w:eastAsia="es-ES"/>
        </w:rPr>
      </w:pPr>
      <w:r w:rsidRPr="00E6637C">
        <w:rPr>
          <w:rFonts w:eastAsia="Times New Roman" w:cs="Tahoma"/>
          <w:b/>
          <w:bCs/>
          <w:i/>
          <w:iCs/>
          <w:color w:val="auto"/>
          <w:sz w:val="20"/>
          <w:szCs w:val="20"/>
          <w:lang w:eastAsia="es-ES"/>
        </w:rPr>
        <w:t>“PADRÓN DE BENEFICIARIOS EN POSESIÓN DE SUJETOS OBLIGADOS. EXCEPCIONES PARA LA PUBLICACIÓN DE DATOS PERSONALES CONTENIDOS EN AQUÉL.</w:t>
      </w:r>
      <w:r w:rsidRPr="00E6637C">
        <w:rPr>
          <w:rFonts w:eastAsia="Times New Roman" w:cs="Tahoma"/>
          <w:bCs/>
          <w:i/>
          <w:iCs/>
          <w:color w:val="auto"/>
          <w:sz w:val="20"/>
          <w:szCs w:val="20"/>
          <w:lang w:eastAsia="es-ES"/>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w:t>
      </w:r>
      <w:r w:rsidRPr="00E6637C">
        <w:rPr>
          <w:rFonts w:eastAsia="Times New Roman" w:cs="Tahoma"/>
          <w:bCs/>
          <w:i/>
          <w:iCs/>
          <w:color w:val="auto"/>
          <w:sz w:val="20"/>
          <w:szCs w:val="20"/>
          <w:lang w:eastAsia="es-ES"/>
        </w:rPr>
        <w:lastRenderedPageBreak/>
        <w:t xml:space="preserve">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E6637C">
        <w:rPr>
          <w:rFonts w:eastAsia="Times New Roman" w:cs="Tahoma"/>
          <w:b/>
          <w:bCs/>
          <w:i/>
          <w:iCs/>
          <w:color w:val="auto"/>
          <w:sz w:val="20"/>
          <w:szCs w:val="20"/>
          <w:lang w:eastAsia="es-ES"/>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E6637C">
        <w:rPr>
          <w:rFonts w:eastAsia="Times New Roman" w:cs="Tahoma"/>
          <w:bCs/>
          <w:i/>
          <w:iCs/>
          <w:color w:val="auto"/>
          <w:sz w:val="20"/>
          <w:szCs w:val="20"/>
          <w:u w:val="single"/>
          <w:lang w:eastAsia="es-ES"/>
        </w:rPr>
        <w:t>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w:t>
      </w:r>
      <w:r w:rsidRPr="00E6637C">
        <w:rPr>
          <w:rFonts w:eastAsia="Times New Roman" w:cs="Tahoma"/>
          <w:bCs/>
          <w:i/>
          <w:iCs/>
          <w:color w:val="auto"/>
          <w:sz w:val="20"/>
          <w:szCs w:val="20"/>
          <w:lang w:eastAsia="es-ES"/>
        </w:rPr>
        <w:t xml:space="preserve">,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w:t>
      </w:r>
      <w:r w:rsidRPr="00E6637C">
        <w:rPr>
          <w:rFonts w:eastAsia="Times New Roman" w:cs="Tahoma"/>
          <w:bCs/>
          <w:i/>
          <w:iCs/>
          <w:color w:val="auto"/>
          <w:sz w:val="20"/>
          <w:szCs w:val="20"/>
          <w:lang w:eastAsia="es-ES"/>
        </w:rPr>
        <w:lastRenderedPageBreak/>
        <w:t>Información Pública del Estado de México y Municipios así como 4, fracciones XI y XII; 6; 7; 8 y 10, de la Ley de Protección de Datos Personales en Posesión de Sujetos Obligados del Estado de México y Municipios.”</w:t>
      </w:r>
    </w:p>
    <w:p w14:paraId="7E0F32BF" w14:textId="77777777" w:rsidR="00E6637C" w:rsidRPr="00E6637C" w:rsidRDefault="00E6637C" w:rsidP="00E6637C">
      <w:pPr>
        <w:spacing w:after="0" w:line="360" w:lineRule="auto"/>
        <w:rPr>
          <w:rFonts w:eastAsia="Times New Roman" w:cs="Tahoma"/>
          <w:bCs/>
          <w:iCs/>
          <w:color w:val="auto"/>
          <w:lang w:eastAsia="es-ES"/>
        </w:rPr>
      </w:pPr>
    </w:p>
    <w:p w14:paraId="281AB489"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t xml:space="preserve">Del citado criterio, </w:t>
      </w:r>
      <w:r w:rsidRPr="00E6637C">
        <w:rPr>
          <w:rFonts w:eastAsia="Times New Roman" w:cs="Tahoma"/>
          <w:b/>
          <w:bCs/>
          <w:iCs/>
          <w:color w:val="auto"/>
          <w:lang w:eastAsia="es-ES"/>
        </w:rPr>
        <w:t>se advierte que el nombre de las personas menores de edad y las de capacidades diferentes, son datos confidenciales</w:t>
      </w:r>
      <w:r w:rsidRPr="00E6637C">
        <w:rPr>
          <w:rFonts w:eastAsia="Times New Roman" w:cs="Tahoma"/>
          <w:bCs/>
          <w:iCs/>
          <w:color w:val="auto"/>
          <w:lang w:eastAsia="es-ES"/>
        </w:rPr>
        <w:t>, pues su publicación revelaría las condiciones sociales, culturales y plena identidad; además, que corresponden a grupos vulnerables y sociales, en condiciones de desventaja, por lo cual, es necesario su protección.</w:t>
      </w:r>
    </w:p>
    <w:p w14:paraId="238CBC05" w14:textId="77777777" w:rsidR="00E6637C" w:rsidRPr="00E6637C" w:rsidRDefault="00E6637C" w:rsidP="00E6637C">
      <w:pPr>
        <w:spacing w:after="0" w:line="360" w:lineRule="auto"/>
        <w:rPr>
          <w:rFonts w:eastAsia="Times New Roman" w:cs="Tahoma"/>
          <w:bCs/>
          <w:iCs/>
          <w:color w:val="auto"/>
          <w:lang w:eastAsia="es-ES"/>
        </w:rPr>
      </w:pPr>
    </w:p>
    <w:p w14:paraId="6915D3E5"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t xml:space="preserve">Por tal circunstancia, se considera que el Sujeto Obligado </w:t>
      </w:r>
      <w:r w:rsidRPr="00E6637C">
        <w:rPr>
          <w:rFonts w:eastAsia="Times New Roman" w:cs="Tahoma"/>
          <w:b/>
          <w:bCs/>
          <w:iCs/>
          <w:color w:val="auto"/>
          <w:lang w:eastAsia="es-ES"/>
        </w:rPr>
        <w:t>únicamente podrá clasificar el nombre de aquellos beneficiarios, que sean menores de edad o de capacidades diferentes</w:t>
      </w:r>
      <w:r w:rsidRPr="00E6637C">
        <w:rPr>
          <w:rFonts w:eastAsia="Times New Roman" w:cs="Tahoma"/>
          <w:bCs/>
          <w:iCs/>
          <w:color w:val="auto"/>
          <w:lang w:eastAsia="es-ES"/>
        </w:rPr>
        <w:t xml:space="preserve">, en términos del artículo 143, fracción I de la Ley de Transparencia y Acceso a la Información Pública del Estado de México y Municipios, pues la publicación de la </w:t>
      </w:r>
      <w:proofErr w:type="gramStart"/>
      <w:r w:rsidRPr="00E6637C">
        <w:rPr>
          <w:rFonts w:eastAsia="Times New Roman" w:cs="Tahoma"/>
          <w:bCs/>
          <w:iCs/>
          <w:color w:val="auto"/>
          <w:lang w:eastAsia="es-ES"/>
        </w:rPr>
        <w:t>información,</w:t>
      </w:r>
      <w:proofErr w:type="gramEnd"/>
      <w:r w:rsidRPr="00E6637C">
        <w:rPr>
          <w:rFonts w:eastAsia="Times New Roman" w:cs="Tahoma"/>
          <w:bCs/>
          <w:iCs/>
          <w:color w:val="auto"/>
          <w:lang w:eastAsia="es-ES"/>
        </w:rPr>
        <w:t xml:space="preserve"> podría generarles discriminación.</w:t>
      </w:r>
    </w:p>
    <w:p w14:paraId="056EEE5B" w14:textId="77777777" w:rsidR="00E6637C" w:rsidRPr="00E6637C" w:rsidRDefault="00E6637C" w:rsidP="00E6637C">
      <w:pPr>
        <w:spacing w:after="0" w:line="360" w:lineRule="auto"/>
        <w:rPr>
          <w:rFonts w:eastAsia="Times New Roman" w:cs="Tahoma"/>
          <w:bCs/>
          <w:iCs/>
          <w:color w:val="auto"/>
          <w:lang w:eastAsia="es-ES"/>
        </w:rPr>
      </w:pPr>
    </w:p>
    <w:p w14:paraId="4D3899E1" w14:textId="5EFDDADB" w:rsidR="00D65F1D" w:rsidRDefault="00D65F1D" w:rsidP="00E6637C">
      <w:pPr>
        <w:numPr>
          <w:ilvl w:val="0"/>
          <w:numId w:val="38"/>
        </w:numPr>
        <w:spacing w:after="0" w:line="360" w:lineRule="auto"/>
        <w:jc w:val="left"/>
        <w:rPr>
          <w:rFonts w:eastAsia="Times New Roman" w:cs="Tahoma"/>
          <w:b/>
          <w:bCs/>
          <w:iCs/>
          <w:color w:val="auto"/>
          <w:lang w:val="es-ES_tradnl" w:eastAsia="es-ES"/>
        </w:rPr>
      </w:pPr>
      <w:r>
        <w:rPr>
          <w:rFonts w:eastAsia="Times New Roman" w:cs="Tahoma"/>
          <w:b/>
          <w:bCs/>
          <w:iCs/>
          <w:color w:val="auto"/>
          <w:lang w:val="es-ES_tradnl" w:eastAsia="es-ES"/>
        </w:rPr>
        <w:t>Domicilio particular</w:t>
      </w:r>
    </w:p>
    <w:p w14:paraId="6BCC9062" w14:textId="77777777" w:rsidR="00D65F1D" w:rsidRDefault="00D65F1D" w:rsidP="00D65F1D">
      <w:pPr>
        <w:spacing w:after="0" w:line="360" w:lineRule="auto"/>
        <w:jc w:val="left"/>
        <w:rPr>
          <w:rFonts w:eastAsia="Times New Roman" w:cs="Tahoma"/>
          <w:b/>
          <w:bCs/>
          <w:iCs/>
          <w:color w:val="auto"/>
          <w:lang w:val="es-ES_tradnl" w:eastAsia="es-ES"/>
        </w:rPr>
      </w:pPr>
    </w:p>
    <w:p w14:paraId="496924EE" w14:textId="77777777" w:rsidR="00D65F1D" w:rsidRPr="006742F8" w:rsidRDefault="00D65F1D" w:rsidP="00D65F1D">
      <w:pPr>
        <w:spacing w:line="360" w:lineRule="auto"/>
        <w:contextualSpacing/>
        <w:rPr>
          <w:rFonts w:eastAsia="Calibri" w:cs="Tahoma"/>
          <w:bCs/>
        </w:rPr>
      </w:pPr>
      <w:proofErr w:type="gramStart"/>
      <w:r w:rsidRPr="006742F8">
        <w:rPr>
          <w:rFonts w:eastAsia="Calibri" w:cs="Tahoma"/>
          <w:bCs/>
        </w:rPr>
        <w:t>De acuerdo a</w:t>
      </w:r>
      <w:proofErr w:type="gramEnd"/>
      <w:r w:rsidRPr="006742F8">
        <w:rPr>
          <w:rFonts w:eastAsia="Calibri" w:cs="Tahoma"/>
          <w:bCs/>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1BAA9FB" w14:textId="77777777" w:rsidR="00D65F1D" w:rsidRPr="006742F8" w:rsidRDefault="00D65F1D" w:rsidP="00D65F1D">
      <w:pPr>
        <w:spacing w:line="360" w:lineRule="auto"/>
        <w:contextualSpacing/>
        <w:rPr>
          <w:rFonts w:eastAsia="Calibri" w:cs="Tahoma"/>
          <w:bCs/>
        </w:rPr>
      </w:pPr>
    </w:p>
    <w:p w14:paraId="5117F51F" w14:textId="77777777" w:rsidR="00D65F1D" w:rsidRPr="006742F8" w:rsidRDefault="00D65F1D" w:rsidP="00D65F1D">
      <w:pPr>
        <w:spacing w:line="360" w:lineRule="auto"/>
        <w:contextualSpacing/>
        <w:rPr>
          <w:rFonts w:eastAsia="Calibri" w:cs="Tahoma"/>
          <w:bCs/>
        </w:rPr>
      </w:pPr>
      <w:r w:rsidRPr="006742F8">
        <w:rPr>
          <w:rFonts w:eastAsia="Calibri" w:cs="Tahoma"/>
          <w:bCs/>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1F239888" w14:textId="77777777" w:rsidR="00D65F1D" w:rsidRPr="006742F8" w:rsidRDefault="00D65F1D" w:rsidP="00D65F1D">
      <w:pPr>
        <w:spacing w:line="360" w:lineRule="auto"/>
        <w:contextualSpacing/>
        <w:rPr>
          <w:rFonts w:eastAsia="Calibri" w:cs="Tahoma"/>
          <w:bCs/>
        </w:rPr>
      </w:pPr>
    </w:p>
    <w:p w14:paraId="523CE44A" w14:textId="77777777" w:rsidR="00D65F1D" w:rsidRDefault="00D65F1D" w:rsidP="00D65F1D">
      <w:pPr>
        <w:spacing w:line="360" w:lineRule="auto"/>
        <w:contextualSpacing/>
        <w:rPr>
          <w:rFonts w:eastAsia="Calibri" w:cs="Tahoma"/>
          <w:bCs/>
        </w:rPr>
      </w:pPr>
      <w:r w:rsidRPr="006742F8">
        <w:rPr>
          <w:rFonts w:eastAsia="Calibri" w:cs="Tahoma"/>
          <w:bCs/>
        </w:rPr>
        <w:lastRenderedPageBreak/>
        <w:t xml:space="preserve">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5891D42" w14:textId="77777777" w:rsidR="00D65F1D" w:rsidRDefault="00D65F1D" w:rsidP="00D65F1D">
      <w:pPr>
        <w:spacing w:line="360" w:lineRule="auto"/>
        <w:contextualSpacing/>
        <w:rPr>
          <w:rFonts w:eastAsia="Calibri" w:cs="Tahoma"/>
          <w:bCs/>
        </w:rPr>
      </w:pPr>
    </w:p>
    <w:p w14:paraId="339F4CF5" w14:textId="050ED835" w:rsidR="00D65F1D" w:rsidRPr="006742F8" w:rsidRDefault="00D65F1D" w:rsidP="00D65F1D">
      <w:pPr>
        <w:spacing w:line="360" w:lineRule="auto"/>
        <w:contextualSpacing/>
        <w:rPr>
          <w:rFonts w:eastAsia="Calibri" w:cs="Tahoma"/>
          <w:bCs/>
        </w:rPr>
      </w:pPr>
      <w:r w:rsidRPr="006742F8">
        <w:rPr>
          <w:rFonts w:eastAsia="Calibri" w:cs="Tahoma"/>
          <w:bCs/>
        </w:rPr>
        <w:t>Por lo tanto, se actualiza la clasificación, de conformidad con la fracción I, del artículo 143 de la Ley de Transparencia y Acceso a la Información Pública del Estado de México y Municipios.</w:t>
      </w:r>
    </w:p>
    <w:p w14:paraId="62E36A12" w14:textId="77777777" w:rsidR="00D65F1D" w:rsidRPr="00D65F1D" w:rsidRDefault="00D65F1D" w:rsidP="00D65F1D">
      <w:pPr>
        <w:spacing w:after="0" w:line="360" w:lineRule="auto"/>
        <w:jc w:val="left"/>
        <w:rPr>
          <w:rFonts w:eastAsia="Times New Roman" w:cs="Tahoma"/>
          <w:b/>
          <w:bCs/>
          <w:iCs/>
          <w:color w:val="auto"/>
          <w:lang w:val="es-ES_tradnl" w:eastAsia="es-ES"/>
        </w:rPr>
      </w:pPr>
    </w:p>
    <w:p w14:paraId="0BBADDB2" w14:textId="6F87F115" w:rsidR="00E6637C" w:rsidRPr="00E6637C" w:rsidRDefault="00E6637C" w:rsidP="00E6637C">
      <w:pPr>
        <w:numPr>
          <w:ilvl w:val="0"/>
          <w:numId w:val="38"/>
        </w:numPr>
        <w:spacing w:after="0" w:line="360" w:lineRule="auto"/>
        <w:jc w:val="left"/>
        <w:rPr>
          <w:rFonts w:eastAsia="Times New Roman" w:cs="Tahoma"/>
          <w:b/>
          <w:bCs/>
          <w:iCs/>
          <w:color w:val="auto"/>
          <w:lang w:val="es-ES_tradnl" w:eastAsia="es-ES"/>
        </w:rPr>
      </w:pPr>
      <w:r w:rsidRPr="00E6637C">
        <w:rPr>
          <w:rFonts w:eastAsia="Times New Roman" w:cs="Tahoma"/>
          <w:b/>
          <w:bCs/>
          <w:iCs/>
          <w:color w:val="auto"/>
          <w:lang w:eastAsia="es-ES"/>
        </w:rPr>
        <w:t>C</w:t>
      </w:r>
      <w:r w:rsidRPr="00E6637C">
        <w:rPr>
          <w:rFonts w:eastAsia="Times New Roman" w:cs="Tahoma"/>
          <w:b/>
          <w:bCs/>
          <w:iCs/>
          <w:color w:val="auto"/>
          <w:lang w:val="es-ES_tradnl" w:eastAsia="es-ES"/>
        </w:rPr>
        <w:t>lave Única de Registro de Población (CURP)</w:t>
      </w:r>
    </w:p>
    <w:p w14:paraId="1AD7B7D4" w14:textId="77777777" w:rsidR="00E6637C" w:rsidRPr="00E6637C" w:rsidRDefault="00E6637C" w:rsidP="00E6637C">
      <w:pPr>
        <w:spacing w:after="0" w:line="360" w:lineRule="auto"/>
        <w:rPr>
          <w:rFonts w:eastAsia="Times New Roman" w:cs="Tahoma"/>
          <w:b/>
          <w:bCs/>
          <w:iCs/>
          <w:color w:val="auto"/>
          <w:lang w:val="es-ES_tradnl" w:eastAsia="es-ES"/>
        </w:rPr>
      </w:pPr>
    </w:p>
    <w:p w14:paraId="60B40267"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4CD00B5" w14:textId="77777777" w:rsidR="00E6637C" w:rsidRPr="00E6637C" w:rsidRDefault="00E6637C" w:rsidP="00E6637C">
      <w:pPr>
        <w:spacing w:after="0" w:line="360" w:lineRule="auto"/>
        <w:rPr>
          <w:rFonts w:eastAsia="Times New Roman" w:cs="Tahoma"/>
          <w:bCs/>
          <w:iCs/>
          <w:color w:val="auto"/>
          <w:lang w:eastAsia="es-ES"/>
        </w:rPr>
      </w:pPr>
    </w:p>
    <w:p w14:paraId="77A1110B"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917C569" w14:textId="77777777" w:rsidR="00E6637C" w:rsidRPr="00E6637C" w:rsidRDefault="00E6637C" w:rsidP="00E6637C">
      <w:pPr>
        <w:spacing w:after="0" w:line="360" w:lineRule="auto"/>
        <w:rPr>
          <w:rFonts w:eastAsia="Times New Roman" w:cs="Tahoma"/>
          <w:bCs/>
          <w:iCs/>
          <w:color w:val="auto"/>
          <w:lang w:eastAsia="es-ES"/>
        </w:rPr>
      </w:pPr>
    </w:p>
    <w:p w14:paraId="1FFD3513"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lastRenderedPageBreak/>
        <w:t xml:space="preserve">En ese orden de ideas, la Secretaría de Gobernación en las direcciones </w:t>
      </w:r>
      <w:hyperlink r:id="rId14" w:history="1">
        <w:r w:rsidRPr="00E6637C">
          <w:rPr>
            <w:rFonts w:eastAsia="Times New Roman" w:cs="Tahoma"/>
            <w:bCs/>
            <w:iCs/>
            <w:color w:val="0563C1" w:themeColor="hyperlink"/>
            <w:u w:val="single"/>
            <w:lang w:eastAsia="es-ES"/>
          </w:rPr>
          <w:t>https://consultas.curp.gob.mx/CurpSP/html/informacionecurpPS.html</w:t>
        </w:r>
      </w:hyperlink>
      <w:r w:rsidRPr="00E6637C">
        <w:rPr>
          <w:rFonts w:eastAsia="Times New Roman" w:cs="Tahoma"/>
          <w:bCs/>
          <w:iCs/>
          <w:color w:val="auto"/>
          <w:lang w:eastAsia="es-ES"/>
        </w:rPr>
        <w:t xml:space="preserve"> y </w:t>
      </w:r>
      <w:hyperlink r:id="rId15" w:history="1">
        <w:r w:rsidRPr="00E6637C">
          <w:rPr>
            <w:rFonts w:eastAsia="Times New Roman" w:cs="Tahoma"/>
            <w:bCs/>
            <w:iCs/>
            <w:color w:val="0563C1" w:themeColor="hyperlink"/>
            <w:u w:val="single"/>
            <w:lang w:eastAsia="es-ES"/>
          </w:rPr>
          <w:t>https://www.gob.mx/segob/renapo/acciones-y-programas/clave-unica-de-registro-de-poblacion-curp-142226</w:t>
        </w:r>
      </w:hyperlink>
      <w:r w:rsidRPr="00E6637C">
        <w:rPr>
          <w:rFonts w:eastAsia="Times New Roman" w:cs="Tahoma"/>
          <w:bCs/>
          <w:iCs/>
          <w:color w:val="auto"/>
          <w:lang w:eastAsia="es-E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6637C">
        <w:rPr>
          <w:rFonts w:eastAsia="Times New Roman" w:cs="Tahoma"/>
          <w:b/>
          <w:bCs/>
          <w:iCs/>
          <w:color w:val="auto"/>
          <w:lang w:eastAsia="es-ES"/>
        </w:rPr>
        <w:t>se generan a partir de los datos contenidos en el documento probatorio de la identidad</w:t>
      </w:r>
      <w:r w:rsidRPr="00E6637C">
        <w:rPr>
          <w:rFonts w:eastAsia="Times New Roman" w:cs="Tahoma"/>
          <w:bCs/>
          <w:iCs/>
          <w:color w:val="auto"/>
          <w:lang w:eastAsia="es-ES"/>
        </w:rPr>
        <w:t xml:space="preserve"> </w:t>
      </w:r>
      <w:r w:rsidRPr="00E6637C">
        <w:rPr>
          <w:rFonts w:eastAsia="Times New Roman" w:cs="Tahoma"/>
          <w:b/>
          <w:bCs/>
          <w:iCs/>
          <w:color w:val="auto"/>
          <w:lang w:eastAsia="es-ES"/>
        </w:rPr>
        <w:t xml:space="preserve">del interesado </w:t>
      </w:r>
      <w:r w:rsidRPr="00E6637C">
        <w:rPr>
          <w:rFonts w:eastAsia="Times New Roman" w:cs="Tahoma"/>
          <w:bCs/>
          <w:iCs/>
          <w:color w:val="auto"/>
          <w:lang w:eastAsia="es-ES"/>
        </w:rPr>
        <w:t>(acta de nacimiento, carta de naturalización o documento migratorio) de la siguiente forma:</w:t>
      </w:r>
    </w:p>
    <w:p w14:paraId="4FE9CAFB" w14:textId="77777777" w:rsidR="00E6637C" w:rsidRPr="00E6637C" w:rsidRDefault="00E6637C" w:rsidP="00E6637C">
      <w:pPr>
        <w:spacing w:after="0" w:line="360" w:lineRule="auto"/>
        <w:rPr>
          <w:rFonts w:eastAsia="Times New Roman" w:cs="Tahoma"/>
          <w:bCs/>
          <w:iCs/>
          <w:color w:val="auto"/>
          <w:lang w:eastAsia="es-ES"/>
        </w:rPr>
      </w:pPr>
    </w:p>
    <w:p w14:paraId="571CD80C" w14:textId="77777777" w:rsidR="00E6637C" w:rsidRPr="00E6637C" w:rsidRDefault="00E6637C" w:rsidP="00E6637C">
      <w:pPr>
        <w:numPr>
          <w:ilvl w:val="0"/>
          <w:numId w:val="37"/>
        </w:numPr>
        <w:spacing w:after="0" w:line="360" w:lineRule="auto"/>
        <w:jc w:val="left"/>
        <w:rPr>
          <w:rFonts w:eastAsia="Times New Roman" w:cs="Tahoma"/>
          <w:bCs/>
          <w:iCs/>
          <w:color w:val="auto"/>
          <w:lang w:eastAsia="es-ES"/>
        </w:rPr>
      </w:pPr>
      <w:r w:rsidRPr="00E6637C">
        <w:rPr>
          <w:rFonts w:eastAsia="Times New Roman" w:cs="Tahoma"/>
          <w:bCs/>
          <w:iCs/>
          <w:color w:val="auto"/>
          <w:lang w:eastAsia="es-ES"/>
        </w:rPr>
        <w:t>El primero y segundo apellidos, así como al nombre de pila;</w:t>
      </w:r>
    </w:p>
    <w:p w14:paraId="08992E89" w14:textId="77777777" w:rsidR="00E6637C" w:rsidRPr="00E6637C" w:rsidRDefault="00E6637C" w:rsidP="00E6637C">
      <w:pPr>
        <w:numPr>
          <w:ilvl w:val="0"/>
          <w:numId w:val="37"/>
        </w:numPr>
        <w:spacing w:after="0" w:line="360" w:lineRule="auto"/>
        <w:jc w:val="left"/>
        <w:rPr>
          <w:rFonts w:eastAsia="Times New Roman" w:cs="Tahoma"/>
          <w:bCs/>
          <w:iCs/>
          <w:color w:val="auto"/>
          <w:lang w:eastAsia="es-ES"/>
        </w:rPr>
      </w:pPr>
      <w:r w:rsidRPr="00E6637C">
        <w:rPr>
          <w:rFonts w:eastAsia="Times New Roman" w:cs="Tahoma"/>
          <w:bCs/>
          <w:iCs/>
          <w:color w:val="auto"/>
          <w:lang w:eastAsia="es-ES"/>
        </w:rPr>
        <w:t>La fecha de nacimiento;</w:t>
      </w:r>
    </w:p>
    <w:p w14:paraId="779B0001" w14:textId="77777777" w:rsidR="00E6637C" w:rsidRPr="00E6637C" w:rsidRDefault="00E6637C" w:rsidP="00E6637C">
      <w:pPr>
        <w:numPr>
          <w:ilvl w:val="0"/>
          <w:numId w:val="37"/>
        </w:numPr>
        <w:spacing w:after="0" w:line="360" w:lineRule="auto"/>
        <w:jc w:val="left"/>
        <w:rPr>
          <w:rFonts w:eastAsia="Times New Roman" w:cs="Tahoma"/>
          <w:bCs/>
          <w:iCs/>
          <w:color w:val="auto"/>
          <w:lang w:eastAsia="es-ES"/>
        </w:rPr>
      </w:pPr>
      <w:r w:rsidRPr="00E6637C">
        <w:rPr>
          <w:rFonts w:eastAsia="Times New Roman" w:cs="Tahoma"/>
          <w:bCs/>
          <w:iCs/>
          <w:color w:val="auto"/>
          <w:lang w:eastAsia="es-ES"/>
        </w:rPr>
        <w:t>El sexo, y</w:t>
      </w:r>
    </w:p>
    <w:p w14:paraId="105C1616" w14:textId="77777777" w:rsidR="00E6637C" w:rsidRPr="00E6637C" w:rsidRDefault="00E6637C" w:rsidP="00E6637C">
      <w:pPr>
        <w:numPr>
          <w:ilvl w:val="0"/>
          <w:numId w:val="37"/>
        </w:numPr>
        <w:spacing w:after="0" w:line="360" w:lineRule="auto"/>
        <w:jc w:val="left"/>
        <w:rPr>
          <w:rFonts w:eastAsia="Times New Roman" w:cs="Tahoma"/>
          <w:bCs/>
          <w:iCs/>
          <w:color w:val="auto"/>
          <w:lang w:eastAsia="es-ES"/>
        </w:rPr>
      </w:pPr>
      <w:r w:rsidRPr="00E6637C">
        <w:rPr>
          <w:rFonts w:eastAsia="Times New Roman" w:cs="Tahoma"/>
          <w:bCs/>
          <w:iCs/>
          <w:color w:val="auto"/>
          <w:lang w:eastAsia="es-ES"/>
        </w:rPr>
        <w:t>La entidad federativa de nacimiento.</w:t>
      </w:r>
    </w:p>
    <w:p w14:paraId="37C7F6E0" w14:textId="77777777" w:rsidR="00E6637C" w:rsidRPr="00E6637C" w:rsidRDefault="00E6637C" w:rsidP="00E6637C">
      <w:pPr>
        <w:spacing w:after="0" w:line="360" w:lineRule="auto"/>
        <w:rPr>
          <w:rFonts w:eastAsia="Times New Roman" w:cs="Tahoma"/>
          <w:bCs/>
          <w:iCs/>
          <w:color w:val="auto"/>
          <w:lang w:eastAsia="es-ES"/>
        </w:rPr>
      </w:pPr>
    </w:p>
    <w:p w14:paraId="0D56C1A6"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t>Los dos últimos elementos de la Clave Única de Registro de Población evitan la duplicidad de la Clave y garantizan su correcta integración.</w:t>
      </w:r>
    </w:p>
    <w:p w14:paraId="544FC1B7" w14:textId="77777777" w:rsidR="00E6637C" w:rsidRPr="00E6637C" w:rsidRDefault="00E6637C" w:rsidP="00E6637C">
      <w:pPr>
        <w:spacing w:after="0" w:line="360" w:lineRule="auto"/>
        <w:rPr>
          <w:rFonts w:eastAsia="Times New Roman" w:cs="Tahoma"/>
          <w:bCs/>
          <w:iCs/>
          <w:color w:val="auto"/>
          <w:lang w:eastAsia="es-ES"/>
        </w:rPr>
      </w:pPr>
    </w:p>
    <w:p w14:paraId="12C75D1B"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54B7D33" w14:textId="77777777" w:rsidR="00E6637C" w:rsidRPr="00E6637C" w:rsidRDefault="00E6637C" w:rsidP="00E6637C">
      <w:pPr>
        <w:spacing w:after="0" w:line="360" w:lineRule="auto"/>
        <w:rPr>
          <w:rFonts w:eastAsia="Times New Roman" w:cs="Tahoma"/>
          <w:bCs/>
          <w:iCs/>
          <w:color w:val="auto"/>
          <w:lang w:eastAsia="es-ES"/>
        </w:rPr>
      </w:pPr>
    </w:p>
    <w:p w14:paraId="3C0EBD55"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lastRenderedPageBreak/>
        <w:t>Situación que se robustece, con el Criterio de interpretación, con clave de control SO/018/2017, emitido por el Instituto Nacional de Transparencia, Acceso a la Información y Protección de Datos Personales, que establece lo siguiente:</w:t>
      </w:r>
    </w:p>
    <w:p w14:paraId="1C823B60" w14:textId="77777777" w:rsidR="00E6637C" w:rsidRPr="00E6637C" w:rsidRDefault="00E6637C" w:rsidP="00E6637C">
      <w:pPr>
        <w:spacing w:after="0" w:line="360" w:lineRule="auto"/>
        <w:rPr>
          <w:rFonts w:eastAsia="Times New Roman" w:cs="Tahoma"/>
          <w:bCs/>
          <w:iCs/>
          <w:color w:val="auto"/>
          <w:lang w:eastAsia="es-ES"/>
        </w:rPr>
      </w:pPr>
    </w:p>
    <w:p w14:paraId="4B2C8F04" w14:textId="77777777" w:rsidR="00E6637C" w:rsidRPr="00E6637C" w:rsidRDefault="00E6637C" w:rsidP="00E6637C">
      <w:pPr>
        <w:spacing w:after="0" w:line="360" w:lineRule="auto"/>
        <w:ind w:left="567" w:right="567"/>
        <w:rPr>
          <w:rFonts w:eastAsia="Times New Roman" w:cs="Tahoma"/>
          <w:bCs/>
          <w:i/>
          <w:iCs/>
          <w:color w:val="auto"/>
          <w:sz w:val="20"/>
          <w:szCs w:val="20"/>
          <w:lang w:eastAsia="es-ES"/>
        </w:rPr>
      </w:pPr>
      <w:r w:rsidRPr="00E6637C">
        <w:rPr>
          <w:rFonts w:eastAsia="Times New Roman" w:cs="Tahoma"/>
          <w:b/>
          <w:bCs/>
          <w:i/>
          <w:iCs/>
          <w:color w:val="auto"/>
          <w:sz w:val="20"/>
          <w:szCs w:val="20"/>
          <w:lang w:eastAsia="es-ES"/>
        </w:rPr>
        <w:t xml:space="preserve">“Clave Única de Registro de Población (CURP). </w:t>
      </w:r>
      <w:r w:rsidRPr="00E6637C">
        <w:rPr>
          <w:rFonts w:eastAsia="Times New Roman" w:cs="Tahoma"/>
          <w:bCs/>
          <w:i/>
          <w:iCs/>
          <w:color w:val="auto"/>
          <w:sz w:val="20"/>
          <w:szCs w:val="20"/>
          <w:lang w:eastAsia="es-ES"/>
        </w:rPr>
        <w:t xml:space="preserve">La Clave Única de Registro de Población se integra por datos personales que sólo conciernen al particular titular de </w:t>
      </w:r>
      <w:proofErr w:type="gramStart"/>
      <w:r w:rsidRPr="00E6637C">
        <w:rPr>
          <w:rFonts w:eastAsia="Times New Roman" w:cs="Tahoma"/>
          <w:bCs/>
          <w:i/>
          <w:iCs/>
          <w:color w:val="auto"/>
          <w:sz w:val="20"/>
          <w:szCs w:val="20"/>
          <w:lang w:eastAsia="es-ES"/>
        </w:rPr>
        <w:t>la misma</w:t>
      </w:r>
      <w:proofErr w:type="gramEnd"/>
      <w:r w:rsidRPr="00E6637C">
        <w:rPr>
          <w:rFonts w:eastAsia="Times New Roman" w:cs="Tahoma"/>
          <w:bCs/>
          <w:i/>
          <w:iCs/>
          <w:color w:val="auto"/>
          <w:sz w:val="20"/>
          <w:szCs w:val="20"/>
          <w:lang w:eastAsia="es-ES"/>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7776EB0" w14:textId="77777777" w:rsidR="00E6637C" w:rsidRPr="00E6637C" w:rsidRDefault="00E6637C" w:rsidP="00E6637C">
      <w:pPr>
        <w:spacing w:after="0" w:line="360" w:lineRule="auto"/>
        <w:rPr>
          <w:rFonts w:eastAsia="Times New Roman" w:cs="Tahoma"/>
          <w:bCs/>
          <w:i/>
          <w:iCs/>
          <w:color w:val="auto"/>
          <w:lang w:eastAsia="es-ES"/>
        </w:rPr>
      </w:pPr>
    </w:p>
    <w:p w14:paraId="0BDE0E70"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60DC9083" w14:textId="77777777" w:rsidR="00E6637C" w:rsidRPr="00E6637C" w:rsidRDefault="00E6637C" w:rsidP="00E6637C">
      <w:pPr>
        <w:spacing w:after="0" w:line="360" w:lineRule="auto"/>
        <w:rPr>
          <w:rFonts w:eastAsia="Times New Roman" w:cs="Tahoma"/>
          <w:bCs/>
          <w:iCs/>
          <w:color w:val="auto"/>
          <w:lang w:eastAsia="es-ES"/>
        </w:rPr>
      </w:pPr>
    </w:p>
    <w:p w14:paraId="08A0E9C7" w14:textId="77777777" w:rsidR="00E6637C" w:rsidRPr="00E6637C" w:rsidRDefault="00E6637C" w:rsidP="00E6637C">
      <w:pPr>
        <w:spacing w:after="0" w:line="360" w:lineRule="auto"/>
        <w:rPr>
          <w:rFonts w:eastAsia="Times New Roman" w:cs="Tahoma"/>
          <w:bCs/>
          <w:iCs/>
          <w:color w:val="auto"/>
          <w:lang w:eastAsia="es-ES"/>
        </w:rPr>
      </w:pPr>
      <w:r w:rsidRPr="00E6637C">
        <w:rPr>
          <w:rFonts w:eastAsia="Times New Roman" w:cs="Tahoma"/>
          <w:bCs/>
          <w:iCs/>
          <w:color w:val="auto"/>
          <w:lang w:eastAsia="es-ES"/>
        </w:rPr>
        <w:t>En razón de lo anterior, se considera que el Sujeto Obligado se encuentra constreñido a proporcionar los documentos, en versión pública, para el caso de que contengan información confidencial; respecto a lo anterior, el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0353842" w14:textId="77777777" w:rsidR="00E6637C" w:rsidRPr="00E6637C" w:rsidRDefault="00E6637C" w:rsidP="00E6637C">
      <w:pPr>
        <w:spacing w:after="0" w:line="360" w:lineRule="auto"/>
        <w:rPr>
          <w:rFonts w:eastAsia="Times New Roman" w:cs="Tahoma"/>
          <w:bCs/>
          <w:iCs/>
          <w:color w:val="auto"/>
          <w:lang w:eastAsia="es-ES"/>
        </w:rPr>
      </w:pPr>
    </w:p>
    <w:p w14:paraId="581BCE52" w14:textId="431BA4B0" w:rsidR="008A55F5" w:rsidRPr="00E6637C" w:rsidRDefault="00E6637C" w:rsidP="008A55F5">
      <w:pPr>
        <w:spacing w:after="0" w:line="360" w:lineRule="auto"/>
        <w:rPr>
          <w:rFonts w:eastAsia="Times New Roman" w:cs="Tahoma"/>
          <w:bCs/>
          <w:iCs/>
          <w:color w:val="auto"/>
          <w:lang w:eastAsia="es-ES"/>
        </w:rPr>
      </w:pPr>
      <w:r w:rsidRPr="00E6637C">
        <w:rPr>
          <w:rFonts w:eastAsia="Times New Roman" w:cs="Tahoma"/>
          <w:bCs/>
          <w:iCs/>
          <w:color w:val="auto"/>
          <w:lang w:eastAsia="es-ES"/>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w:t>
      </w:r>
      <w:r w:rsidRPr="00E6637C">
        <w:rPr>
          <w:rFonts w:eastAsia="Times New Roman" w:cs="Tahoma"/>
          <w:bCs/>
          <w:iCs/>
          <w:color w:val="auto"/>
          <w:lang w:eastAsia="es-ES"/>
        </w:rPr>
        <w:lastRenderedPageBreak/>
        <w:t>Acuerdo, por parte del Comité de Transparencia, donde confirme la clasificación de los datos previamente señalados, fundando y motivando la clasificación, con su respectiva prueba de daño y en términos de los Lineamientos Generales.</w:t>
      </w:r>
    </w:p>
    <w:p w14:paraId="34ED85BA" w14:textId="77777777" w:rsidR="002A0B3A" w:rsidRPr="00017A17" w:rsidRDefault="002A0B3A" w:rsidP="005032B4">
      <w:pPr>
        <w:spacing w:after="0" w:line="360" w:lineRule="auto"/>
        <w:rPr>
          <w:rFonts w:eastAsia="Times New Roman" w:cs="Tahoma"/>
          <w:iCs/>
          <w:lang w:eastAsia="es-ES"/>
        </w:rPr>
      </w:pPr>
    </w:p>
    <w:p w14:paraId="172FFE0D" w14:textId="62F298A7" w:rsidR="002A0B3A" w:rsidRPr="00A94CDA" w:rsidRDefault="002A0B3A" w:rsidP="005032B4">
      <w:pPr>
        <w:pStyle w:val="Ttulo2"/>
        <w:spacing w:before="0" w:line="360" w:lineRule="auto"/>
        <w:rPr>
          <w:rFonts w:ascii="Palatino Linotype" w:eastAsia="Calibri" w:hAnsi="Palatino Linotype"/>
          <w:b/>
          <w:color w:val="000000" w:themeColor="text1"/>
          <w:sz w:val="22"/>
          <w:szCs w:val="22"/>
        </w:rPr>
      </w:pPr>
      <w:bookmarkStart w:id="20" w:name="_Toc207291705"/>
      <w:r w:rsidRPr="00A94CDA">
        <w:rPr>
          <w:rFonts w:ascii="Palatino Linotype" w:eastAsia="Calibri" w:hAnsi="Palatino Linotype"/>
          <w:b/>
          <w:color w:val="000000" w:themeColor="text1"/>
          <w:sz w:val="22"/>
          <w:szCs w:val="22"/>
        </w:rPr>
        <w:t>SEXTO. Decisión</w:t>
      </w:r>
      <w:bookmarkEnd w:id="20"/>
      <w:r w:rsidRPr="00A94CDA">
        <w:rPr>
          <w:rFonts w:ascii="Palatino Linotype" w:eastAsia="Calibri" w:hAnsi="Palatino Linotype"/>
          <w:b/>
          <w:color w:val="000000" w:themeColor="text1"/>
          <w:sz w:val="22"/>
          <w:szCs w:val="22"/>
        </w:rPr>
        <w:t xml:space="preserve"> </w:t>
      </w:r>
    </w:p>
    <w:p w14:paraId="2731E528" w14:textId="77777777" w:rsidR="002A0B3A" w:rsidRPr="00D42734" w:rsidRDefault="002A0B3A" w:rsidP="005032B4">
      <w:pPr>
        <w:spacing w:after="0" w:line="360" w:lineRule="auto"/>
        <w:contextualSpacing/>
        <w:rPr>
          <w:rFonts w:eastAsia="Calibri" w:cs="Tahoma"/>
          <w:b/>
          <w:color w:val="auto"/>
        </w:rPr>
      </w:pPr>
    </w:p>
    <w:p w14:paraId="2D2B5DA0" w14:textId="00AA4F15" w:rsidR="0030305E" w:rsidRPr="0030305E" w:rsidRDefault="0030305E" w:rsidP="0030305E">
      <w:pPr>
        <w:spacing w:after="0" w:line="360" w:lineRule="auto"/>
        <w:contextualSpacing/>
        <w:rPr>
          <w:rFonts w:cs="Tahoma"/>
        </w:rPr>
      </w:pPr>
      <w:r w:rsidRPr="0030305E">
        <w:rPr>
          <w:rFonts w:cs="Tahoma"/>
        </w:rPr>
        <w:t xml:space="preserve">Con fundamento en el artículo 186, fracción III, de la Ley de Transparencia y Acceso a la Información Pública del Estado de México y Municipios, este Instituto considera procedente </w:t>
      </w:r>
      <w:r w:rsidRPr="0030305E">
        <w:rPr>
          <w:rFonts w:cs="Tahoma"/>
          <w:b/>
          <w:bCs/>
        </w:rPr>
        <w:t>MODIFICAR</w:t>
      </w:r>
      <w:r w:rsidRPr="0030305E">
        <w:rPr>
          <w:rFonts w:cs="Tahoma"/>
        </w:rPr>
        <w:t xml:space="preserve"> la respuesta otorgada por el Sujeto Obligado a la solicitud de información </w:t>
      </w:r>
      <w:r w:rsidR="00E6637C" w:rsidRPr="00E6637C">
        <w:rPr>
          <w:rFonts w:cs="Tahoma"/>
        </w:rPr>
        <w:t>00199/ZINACANT/IP/2025</w:t>
      </w:r>
      <w:r w:rsidRPr="0030305E">
        <w:rPr>
          <w:rFonts w:cs="Tahoma"/>
        </w:rPr>
        <w:t xml:space="preserve">, a efecto de que entregue, en versión pública, la información </w:t>
      </w:r>
      <w:r w:rsidR="00E6637C">
        <w:rPr>
          <w:rFonts w:cs="Tahoma"/>
        </w:rPr>
        <w:t xml:space="preserve">faltante. </w:t>
      </w:r>
    </w:p>
    <w:p w14:paraId="329AC632" w14:textId="77777777" w:rsidR="002A0B3A" w:rsidRPr="00D42734" w:rsidRDefault="002A0B3A" w:rsidP="005032B4">
      <w:pPr>
        <w:spacing w:after="0" w:line="360" w:lineRule="auto"/>
        <w:contextualSpacing/>
        <w:rPr>
          <w:rFonts w:eastAsia="Times New Roman" w:cs="Tahoma"/>
          <w:color w:val="auto"/>
          <w:szCs w:val="24"/>
          <w:lang w:val="es-ES" w:eastAsia="es-ES"/>
        </w:rPr>
      </w:pPr>
    </w:p>
    <w:p w14:paraId="76B23D88" w14:textId="4C0A4B6C" w:rsidR="002A0B3A" w:rsidRPr="00D42734" w:rsidRDefault="002A0B3A" w:rsidP="005032B4">
      <w:pPr>
        <w:spacing w:after="0" w:line="360" w:lineRule="auto"/>
        <w:contextualSpacing/>
        <w:rPr>
          <w:rFonts w:eastAsia="Calibri" w:cs="Tahoma"/>
          <w:b/>
          <w:bCs/>
          <w:color w:val="auto"/>
        </w:rPr>
      </w:pPr>
      <w:r w:rsidRPr="00D42734">
        <w:rPr>
          <w:rFonts w:eastAsia="Calibri" w:cs="Tahoma"/>
          <w:b/>
          <w:bCs/>
          <w:color w:val="auto"/>
        </w:rPr>
        <w:t>Términos de la Resolución p</w:t>
      </w:r>
      <w:r w:rsidR="00195951">
        <w:rPr>
          <w:rFonts w:eastAsia="Calibri" w:cs="Tahoma"/>
          <w:b/>
          <w:bCs/>
          <w:color w:val="auto"/>
        </w:rPr>
        <w:t>ara conocimiento del Particular</w:t>
      </w:r>
    </w:p>
    <w:p w14:paraId="2EEF94A6" w14:textId="77777777" w:rsidR="002A0B3A" w:rsidRPr="00D42734" w:rsidRDefault="002A0B3A" w:rsidP="005032B4">
      <w:pPr>
        <w:spacing w:after="0" w:line="360" w:lineRule="auto"/>
        <w:contextualSpacing/>
        <w:rPr>
          <w:rFonts w:eastAsia="Calibri" w:cs="Tahoma"/>
          <w:b/>
          <w:bCs/>
          <w:color w:val="auto"/>
        </w:rPr>
      </w:pPr>
    </w:p>
    <w:p w14:paraId="387FDA94" w14:textId="2F8F196B" w:rsidR="002A0B3A" w:rsidRDefault="002A0B3A" w:rsidP="005032B4">
      <w:pPr>
        <w:spacing w:after="0" w:line="360" w:lineRule="auto"/>
        <w:rPr>
          <w:color w:val="000000"/>
        </w:rPr>
      </w:pPr>
      <w:r w:rsidRPr="008623AB">
        <w:t xml:space="preserve">Se le hace del conocimiento a la persona Recurrente que, en el presente asunto, se le da la razón, pues </w:t>
      </w:r>
      <w:r w:rsidR="00780EC7">
        <w:t xml:space="preserve">el </w:t>
      </w:r>
      <w:r w:rsidR="00E6637C" w:rsidRPr="00E6637C">
        <w:t xml:space="preserve">Ayuntamiento de Zinacantepec </w:t>
      </w:r>
      <w:r w:rsidR="00780EC7">
        <w:t xml:space="preserve">no </w:t>
      </w:r>
      <w:r w:rsidR="0030305E">
        <w:t>proporcionó la información completa</w:t>
      </w:r>
      <w:r w:rsidRPr="008623AB">
        <w:t>. Por ello, usted debe recibir a través del Sistema de Acceso a la Información Mexiquense (SAIMEX)</w:t>
      </w:r>
      <w:r>
        <w:t xml:space="preserve"> la información solicitada. </w:t>
      </w:r>
      <w:r>
        <w:rPr>
          <w:color w:val="000000"/>
        </w:rPr>
        <w:t>L</w:t>
      </w:r>
      <w:r w:rsidRPr="008623AB">
        <w:rPr>
          <w:color w:val="000000"/>
        </w:rPr>
        <w:t xml:space="preserve">a labor del </w:t>
      </w:r>
      <w:proofErr w:type="gramStart"/>
      <w:r w:rsidRPr="008623AB">
        <w:rPr>
          <w:color w:val="000000"/>
        </w:rPr>
        <w:t>Instituto,</w:t>
      </w:r>
      <w:proofErr w:type="gramEnd"/>
      <w:r w:rsidRPr="008623AB">
        <w:rPr>
          <w:color w:val="000000"/>
        </w:rPr>
        <w:t xml:space="preserve"> es apoyar a la población a acceder a la información pública y garantizar la protección de sus datos personales.</w:t>
      </w:r>
    </w:p>
    <w:p w14:paraId="0B887F14" w14:textId="77777777" w:rsidR="005032B4" w:rsidRPr="005032B4" w:rsidRDefault="005032B4" w:rsidP="005032B4">
      <w:pPr>
        <w:spacing w:after="0" w:line="360" w:lineRule="auto"/>
      </w:pPr>
    </w:p>
    <w:p w14:paraId="1BF135B6" w14:textId="77777777" w:rsidR="002A0B3A" w:rsidRPr="00D42734" w:rsidRDefault="002A0B3A" w:rsidP="005032B4">
      <w:pPr>
        <w:spacing w:after="0" w:line="360" w:lineRule="auto"/>
        <w:contextualSpacing/>
        <w:rPr>
          <w:rFonts w:eastAsia="Calibri" w:cs="Tahoma"/>
          <w:bCs/>
          <w:color w:val="auto"/>
        </w:rPr>
      </w:pPr>
      <w:r w:rsidRPr="00D42734">
        <w:rPr>
          <w:rFonts w:eastAsia="Calibri" w:cs="Tahoma"/>
          <w:bCs/>
          <w:color w:val="auto"/>
        </w:rPr>
        <w:t>Por lo expuesto y fundado, este Pleno:</w:t>
      </w:r>
    </w:p>
    <w:p w14:paraId="0FA647B5" w14:textId="77777777" w:rsidR="002A0B3A" w:rsidRPr="00D42734" w:rsidRDefault="002A0B3A" w:rsidP="005032B4">
      <w:pPr>
        <w:spacing w:after="0" w:line="360" w:lineRule="auto"/>
        <w:contextualSpacing/>
        <w:rPr>
          <w:rFonts w:eastAsia="Calibri" w:cs="Tahoma"/>
          <w:bCs/>
          <w:color w:val="auto"/>
        </w:rPr>
      </w:pPr>
    </w:p>
    <w:p w14:paraId="7919B441" w14:textId="41FC4168" w:rsidR="002A0B3A" w:rsidRPr="00A94CDA" w:rsidRDefault="002A0B3A" w:rsidP="005032B4">
      <w:pPr>
        <w:pStyle w:val="Ttulo1"/>
        <w:spacing w:before="0" w:line="360" w:lineRule="auto"/>
        <w:jc w:val="center"/>
        <w:rPr>
          <w:rFonts w:ascii="Palatino Linotype" w:eastAsia="Calibri" w:hAnsi="Palatino Linotype"/>
          <w:b/>
          <w:color w:val="000000" w:themeColor="text1"/>
          <w:sz w:val="22"/>
          <w:szCs w:val="22"/>
        </w:rPr>
      </w:pPr>
      <w:bookmarkStart w:id="21" w:name="_Toc207291706"/>
      <w:r w:rsidRPr="00A94CDA">
        <w:rPr>
          <w:rFonts w:ascii="Palatino Linotype" w:eastAsia="Calibri" w:hAnsi="Palatino Linotype"/>
          <w:b/>
          <w:color w:val="000000" w:themeColor="text1"/>
          <w:sz w:val="22"/>
          <w:szCs w:val="22"/>
        </w:rPr>
        <w:t>R E S U E L V E</w:t>
      </w:r>
      <w:bookmarkEnd w:id="21"/>
    </w:p>
    <w:p w14:paraId="6A252915" w14:textId="77777777" w:rsidR="002A0B3A" w:rsidRPr="00D42734" w:rsidRDefault="002A0B3A" w:rsidP="005032B4">
      <w:pPr>
        <w:spacing w:after="0" w:line="360" w:lineRule="auto"/>
        <w:ind w:right="-91"/>
        <w:contextualSpacing/>
        <w:jc w:val="center"/>
        <w:rPr>
          <w:rFonts w:eastAsia="Calibri" w:cs="Tahoma"/>
          <w:b/>
          <w:bCs/>
          <w:color w:val="auto"/>
        </w:rPr>
      </w:pPr>
    </w:p>
    <w:p w14:paraId="61131763" w14:textId="4E9BA758" w:rsidR="0030305E" w:rsidRPr="0030305E" w:rsidRDefault="0030305E" w:rsidP="0030305E">
      <w:pPr>
        <w:spacing w:after="0" w:line="360" w:lineRule="auto"/>
      </w:pPr>
      <w:r w:rsidRPr="0030305E">
        <w:rPr>
          <w:b/>
        </w:rPr>
        <w:t xml:space="preserve">PRIMERO. </w:t>
      </w:r>
      <w:r w:rsidRPr="0030305E">
        <w:t xml:space="preserve">Se </w:t>
      </w:r>
      <w:r w:rsidRPr="0030305E">
        <w:rPr>
          <w:b/>
        </w:rPr>
        <w:t xml:space="preserve">MODIFICA </w:t>
      </w:r>
      <w:r w:rsidRPr="0030305E">
        <w:t xml:space="preserve">la respuesta entregada por el </w:t>
      </w:r>
      <w:r w:rsidR="00E6637C" w:rsidRPr="00E6637C">
        <w:t>Ayuntamiento de Zinacantepec</w:t>
      </w:r>
      <w:r w:rsidRPr="0030305E">
        <w:t xml:space="preserve">, a la solicitud de información </w:t>
      </w:r>
      <w:r w:rsidR="00E6637C" w:rsidRPr="00E6637C">
        <w:t>00199/ZINACANT/IP/2025</w:t>
      </w:r>
      <w:r w:rsidRPr="0030305E">
        <w:rPr>
          <w:color w:val="000000"/>
        </w:rPr>
        <w:t>,</w:t>
      </w:r>
      <w:r w:rsidRPr="0030305E">
        <w:t xml:space="preserve"> por resultar</w:t>
      </w:r>
      <w:r>
        <w:t xml:space="preserve"> </w:t>
      </w:r>
      <w:r w:rsidRPr="0030305E">
        <w:rPr>
          <w:b/>
          <w:bCs/>
        </w:rPr>
        <w:t>FUNDADAS</w:t>
      </w:r>
      <w:r w:rsidRPr="0030305E">
        <w:rPr>
          <w:b/>
        </w:rPr>
        <w:t xml:space="preserve"> </w:t>
      </w:r>
      <w:r w:rsidRPr="0030305E">
        <w:t xml:space="preserve">las razones </w:t>
      </w:r>
      <w:r w:rsidRPr="0030305E">
        <w:lastRenderedPageBreak/>
        <w:t>o motivos de inconformidad hechos valer por la persona Recurrente, en términos de los considerandos QUINTO y SEXTO de la presente Resolución.</w:t>
      </w:r>
    </w:p>
    <w:p w14:paraId="34750A35" w14:textId="77777777" w:rsidR="0030305E" w:rsidRPr="0030305E" w:rsidRDefault="0030305E" w:rsidP="0030305E">
      <w:pPr>
        <w:spacing w:after="0" w:line="360" w:lineRule="auto"/>
      </w:pPr>
    </w:p>
    <w:p w14:paraId="0915538C" w14:textId="446FA958" w:rsidR="0030305E" w:rsidRPr="0030305E" w:rsidRDefault="0030305E" w:rsidP="0030305E">
      <w:pPr>
        <w:spacing w:after="0" w:line="360" w:lineRule="auto"/>
        <w:rPr>
          <w:rFonts w:eastAsia="Times New Roman" w:cs="Tahoma"/>
          <w:iCs/>
          <w:color w:val="auto"/>
        </w:rPr>
      </w:pPr>
      <w:r w:rsidRPr="0030305E">
        <w:rPr>
          <w:b/>
        </w:rPr>
        <w:t xml:space="preserve">SEGUNDO. </w:t>
      </w:r>
      <w:r w:rsidRPr="0030305E">
        <w:t xml:space="preserve">Se </w:t>
      </w:r>
      <w:r w:rsidRPr="0030305E">
        <w:rPr>
          <w:b/>
        </w:rPr>
        <w:t>ORDENA</w:t>
      </w:r>
      <w:r w:rsidRPr="0030305E">
        <w:t xml:space="preserve"> al Sujeto Obligado</w:t>
      </w:r>
      <w:r w:rsidRPr="0030305E">
        <w:rPr>
          <w:b/>
        </w:rPr>
        <w:t xml:space="preserve">, </w:t>
      </w:r>
      <w:r w:rsidRPr="0030305E">
        <w:t>a efecto de que previa búsqueda exhaustiva y razonable en los archivos de las unidades administrativas competentes, entregue a través del Sistema de Acceso a la Información Mexiquense (SAIMEX), en versión pública,</w:t>
      </w:r>
      <w:r w:rsidR="00D4442D">
        <w:rPr>
          <w:rFonts w:cs="Tahoma"/>
          <w:bCs/>
        </w:rPr>
        <w:t xml:space="preserve"> </w:t>
      </w:r>
      <w:r w:rsidRPr="0030305E">
        <w:rPr>
          <w:rFonts w:eastAsia="Times New Roman" w:cs="Tahoma"/>
          <w:iCs/>
          <w:color w:val="auto"/>
        </w:rPr>
        <w:t>lo siguiente:</w:t>
      </w:r>
    </w:p>
    <w:p w14:paraId="1232CF7E" w14:textId="77777777" w:rsidR="0030305E" w:rsidRPr="0030305E" w:rsidRDefault="0030305E" w:rsidP="0030305E">
      <w:pPr>
        <w:spacing w:after="0" w:line="360" w:lineRule="auto"/>
        <w:ind w:right="-30"/>
        <w:textAlignment w:val="baseline"/>
        <w:rPr>
          <w:rFonts w:eastAsia="Times New Roman" w:cs="Times New Roman"/>
          <w:color w:val="auto"/>
        </w:rPr>
      </w:pPr>
    </w:p>
    <w:p w14:paraId="54F2B592" w14:textId="23240FEF" w:rsidR="00E6637C" w:rsidRPr="00D65F1D" w:rsidRDefault="00D4442D" w:rsidP="00E6637C">
      <w:pPr>
        <w:numPr>
          <w:ilvl w:val="0"/>
          <w:numId w:val="39"/>
        </w:numPr>
        <w:spacing w:after="0" w:line="360" w:lineRule="auto"/>
        <w:contextualSpacing/>
        <w:rPr>
          <w:rFonts w:eastAsia="Times New Roman" w:cs="Times New Roman"/>
          <w:bCs/>
          <w:iCs/>
          <w:szCs w:val="20"/>
          <w:lang w:val="es-ES" w:eastAsia="es-ES"/>
        </w:rPr>
      </w:pPr>
      <w:r>
        <w:rPr>
          <w:color w:val="000000"/>
        </w:rPr>
        <w:t>E</w:t>
      </w:r>
      <w:r w:rsidR="0030305E">
        <w:rPr>
          <w:color w:val="000000"/>
        </w:rPr>
        <w:t xml:space="preserve">l </w:t>
      </w:r>
      <w:r w:rsidR="00E6637C" w:rsidRPr="00E6637C">
        <w:rPr>
          <w:color w:val="000000"/>
        </w:rPr>
        <w:t>Padrón de Beneficiarios del Programa “Merecemos Vivir Mejor” del ejercicio fiscal dos mil veintidós</w:t>
      </w:r>
      <w:r w:rsidR="00E6637C">
        <w:rPr>
          <w:color w:val="000000"/>
        </w:rPr>
        <w:t>, entregado en respuesta de forma completa</w:t>
      </w:r>
      <w:r w:rsidR="00D65F1D">
        <w:rPr>
          <w:color w:val="000000"/>
        </w:rPr>
        <w:t>.</w:t>
      </w:r>
    </w:p>
    <w:p w14:paraId="1B19E3F4" w14:textId="77777777" w:rsidR="00D65F1D" w:rsidRDefault="00D65F1D" w:rsidP="00D65F1D">
      <w:pPr>
        <w:spacing w:after="0" w:line="360" w:lineRule="auto"/>
        <w:ind w:left="720"/>
        <w:contextualSpacing/>
        <w:rPr>
          <w:rFonts w:eastAsia="Times New Roman" w:cs="Times New Roman"/>
          <w:bCs/>
          <w:iCs/>
          <w:szCs w:val="20"/>
          <w:lang w:val="es-ES" w:eastAsia="es-ES"/>
        </w:rPr>
      </w:pPr>
    </w:p>
    <w:p w14:paraId="1381DEA4" w14:textId="0E798371" w:rsidR="00E6637C" w:rsidRPr="00E6637C" w:rsidRDefault="00E6637C" w:rsidP="00E6637C">
      <w:pPr>
        <w:numPr>
          <w:ilvl w:val="0"/>
          <w:numId w:val="39"/>
        </w:numPr>
        <w:spacing w:after="0" w:line="360" w:lineRule="auto"/>
        <w:contextualSpacing/>
        <w:rPr>
          <w:rFonts w:eastAsia="Times New Roman" w:cs="Times New Roman"/>
          <w:bCs/>
          <w:iCs/>
          <w:szCs w:val="20"/>
          <w:lang w:val="es-ES" w:eastAsia="es-ES"/>
        </w:rPr>
      </w:pPr>
      <w:r>
        <w:rPr>
          <w:rFonts w:eastAsia="Times New Roman" w:cs="Times New Roman"/>
          <w:bCs/>
          <w:iCs/>
          <w:szCs w:val="20"/>
          <w:lang w:val="es-ES" w:eastAsia="es-ES"/>
        </w:rPr>
        <w:t xml:space="preserve">Los Padrones de Beneficiarios de los programas sociales brindados por el Sujeto Obligado, del tres de abril de dos mil veinte al treinta y uno de diciembre de dos mil veintiuno y del primero de enero al tres de abril de dos mil veinticinco </w:t>
      </w:r>
    </w:p>
    <w:p w14:paraId="66F447EC" w14:textId="77777777" w:rsidR="0030305E" w:rsidRPr="0030305E" w:rsidRDefault="0030305E" w:rsidP="0030305E">
      <w:pPr>
        <w:spacing w:after="0" w:line="360" w:lineRule="auto"/>
        <w:ind w:left="720" w:right="-28"/>
        <w:contextualSpacing/>
        <w:rPr>
          <w:rFonts w:cs="Tahoma"/>
          <w:bCs/>
          <w:iCs/>
          <w:lang w:eastAsia="es-ES"/>
        </w:rPr>
      </w:pPr>
    </w:p>
    <w:p w14:paraId="44782677" w14:textId="77777777" w:rsidR="0030305E" w:rsidRDefault="0030305E" w:rsidP="0030305E">
      <w:pPr>
        <w:spacing w:after="0" w:line="360" w:lineRule="auto"/>
        <w:rPr>
          <w:rFonts w:cs="Tahoma"/>
          <w:bCs/>
          <w:iCs/>
          <w:lang w:eastAsia="es-ES"/>
        </w:rPr>
      </w:pPr>
      <w:r w:rsidRPr="0030305E">
        <w:rPr>
          <w:rFonts w:cs="Tahoma"/>
          <w:bCs/>
          <w:iCs/>
          <w:lang w:eastAsia="es-ES"/>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C470798" w14:textId="77777777" w:rsidR="00D65F1D" w:rsidRDefault="00D65F1D" w:rsidP="0030305E">
      <w:pPr>
        <w:spacing w:after="0" w:line="360" w:lineRule="auto"/>
        <w:rPr>
          <w:rFonts w:cs="Tahoma"/>
          <w:bCs/>
          <w:iCs/>
          <w:lang w:eastAsia="es-ES"/>
        </w:rPr>
      </w:pPr>
    </w:p>
    <w:p w14:paraId="160AEE72" w14:textId="52C8B138" w:rsidR="00E6637C" w:rsidRPr="0030305E" w:rsidRDefault="00E6637C" w:rsidP="0030305E">
      <w:pPr>
        <w:spacing w:after="0" w:line="360" w:lineRule="auto"/>
        <w:rPr>
          <w:rFonts w:cs="Tahoma"/>
          <w:bCs/>
          <w:iCs/>
          <w:lang w:eastAsia="es-ES"/>
        </w:rPr>
      </w:pPr>
      <w:r w:rsidRPr="00E6637C">
        <w:rPr>
          <w:rFonts w:cs="Tahoma"/>
          <w:bCs/>
          <w:iCs/>
          <w:lang w:eastAsia="es-ES"/>
        </w:rPr>
        <w:t xml:space="preserve">Para el caso de que no se hayan </w:t>
      </w:r>
      <w:r>
        <w:rPr>
          <w:rFonts w:cs="Tahoma"/>
          <w:bCs/>
          <w:iCs/>
          <w:lang w:eastAsia="es-ES"/>
        </w:rPr>
        <w:t xml:space="preserve">brindado programas sociales durante </w:t>
      </w:r>
      <w:r w:rsidR="00D65F1D">
        <w:rPr>
          <w:rFonts w:cs="Tahoma"/>
          <w:bCs/>
          <w:iCs/>
          <w:lang w:eastAsia="es-ES"/>
        </w:rPr>
        <w:t xml:space="preserve">algún periodo de los referidos en el </w:t>
      </w:r>
      <w:r>
        <w:rPr>
          <w:rFonts w:cs="Tahoma"/>
          <w:bCs/>
          <w:iCs/>
          <w:lang w:eastAsia="es-ES"/>
        </w:rPr>
        <w:t>punto 2</w:t>
      </w:r>
      <w:r w:rsidRPr="00E6637C">
        <w:rPr>
          <w:rFonts w:cs="Tahoma"/>
          <w:bCs/>
          <w:iCs/>
          <w:lang w:eastAsia="es-ES"/>
        </w:rPr>
        <w:t>, deberá hacerlo del conocimiento del Recurrente, de manera clara y precisa.</w:t>
      </w:r>
    </w:p>
    <w:p w14:paraId="50687520" w14:textId="77777777" w:rsidR="0030305E" w:rsidRPr="0030305E" w:rsidRDefault="0030305E" w:rsidP="0030305E">
      <w:pPr>
        <w:spacing w:after="0" w:line="360" w:lineRule="auto"/>
      </w:pPr>
    </w:p>
    <w:p w14:paraId="52623AEB" w14:textId="77777777" w:rsidR="0030305E" w:rsidRPr="0030305E" w:rsidRDefault="0030305E" w:rsidP="0030305E">
      <w:pPr>
        <w:spacing w:after="0" w:line="360" w:lineRule="auto"/>
        <w:ind w:right="-28"/>
        <w:rPr>
          <w:b/>
          <w:lang w:eastAsia="es-MX"/>
        </w:rPr>
      </w:pPr>
      <w:r w:rsidRPr="0030305E">
        <w:rPr>
          <w:b/>
          <w:lang w:eastAsia="es-MX"/>
        </w:rPr>
        <w:t xml:space="preserve">TERCERO. NOTIFÍQUESE POR SAIMEX </w:t>
      </w:r>
      <w:r w:rsidRPr="0030305E">
        <w:rPr>
          <w:lang w:eastAsia="es-MX"/>
        </w:rPr>
        <w:t xml:space="preserve">la presente resolución al Titular de la Unidad de Transparencia del Sujeto Obligado, para que conforme al artículo 186, último párrafo, 189, segundo párrafo, y 194 de la Ley de Transparencia y Acceso a la Información Pública del </w:t>
      </w:r>
      <w:r w:rsidRPr="0030305E">
        <w:rPr>
          <w:lang w:eastAsia="es-MX"/>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D7B3199" w14:textId="77777777" w:rsidR="0030305E" w:rsidRPr="0030305E" w:rsidRDefault="0030305E" w:rsidP="0030305E">
      <w:pPr>
        <w:spacing w:after="0" w:line="360" w:lineRule="auto"/>
        <w:ind w:right="-28"/>
        <w:rPr>
          <w:color w:val="000000"/>
          <w:lang w:eastAsia="es-MX"/>
        </w:rPr>
      </w:pPr>
    </w:p>
    <w:p w14:paraId="1A2A8776" w14:textId="518110D9" w:rsidR="0030305E" w:rsidRPr="0030305E" w:rsidRDefault="0030305E" w:rsidP="0030305E">
      <w:pPr>
        <w:spacing w:after="0" w:line="360" w:lineRule="auto"/>
        <w:rPr>
          <w:color w:val="000000"/>
          <w:lang w:eastAsia="es-MX"/>
        </w:rPr>
      </w:pPr>
      <w:r w:rsidRPr="0030305E">
        <w:rPr>
          <w:color w:val="000000"/>
          <w:lang w:eastAsia="es-MX"/>
        </w:rPr>
        <w:t xml:space="preserve">De conformidad con el artículo 198 de la </w:t>
      </w:r>
      <w:r w:rsidR="00D4442D" w:rsidRPr="0030305E">
        <w:rPr>
          <w:lang w:eastAsia="es-MX"/>
        </w:rPr>
        <w:t>Ley de Transparencia y Acceso a la Información Pública del Estado de México y Municipios</w:t>
      </w:r>
      <w:r w:rsidRPr="0030305E">
        <w:rPr>
          <w:color w:val="000000"/>
          <w:lang w:eastAsia="es-MX"/>
        </w:rPr>
        <w:t>, de considerarlo procedente, el Sujeto Obligado de manera fundada y motivada, podrá solicitar una ampliación de plazo para el cumplimiento de la presente resolución.</w:t>
      </w:r>
    </w:p>
    <w:p w14:paraId="6C9B7B47" w14:textId="77777777" w:rsidR="0030305E" w:rsidRPr="0030305E" w:rsidRDefault="0030305E" w:rsidP="0030305E">
      <w:pPr>
        <w:spacing w:after="0" w:line="360" w:lineRule="auto"/>
        <w:rPr>
          <w:color w:val="000000"/>
          <w:lang w:eastAsia="es-MX"/>
        </w:rPr>
      </w:pPr>
    </w:p>
    <w:p w14:paraId="23D54297" w14:textId="77777777" w:rsidR="0030305E" w:rsidRPr="0030305E" w:rsidRDefault="0030305E" w:rsidP="0030305E">
      <w:pPr>
        <w:spacing w:after="0" w:line="360" w:lineRule="auto"/>
        <w:contextualSpacing/>
        <w:rPr>
          <w:color w:val="000000"/>
        </w:rPr>
      </w:pPr>
      <w:r w:rsidRPr="0030305E">
        <w:rPr>
          <w:b/>
          <w:bCs/>
          <w:color w:val="000000"/>
        </w:rPr>
        <w:t xml:space="preserve">CUARTO. </w:t>
      </w:r>
      <w:r w:rsidRPr="0030305E">
        <w:rPr>
          <w:b/>
          <w:lang w:eastAsia="es-MX"/>
        </w:rPr>
        <w:t>NOTIFÍQUESE POR SAIMEX</w:t>
      </w:r>
      <w:r w:rsidRPr="0030305E">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47684EA1" w14:textId="77777777" w:rsidR="0030305E" w:rsidRPr="0030305E" w:rsidRDefault="0030305E" w:rsidP="0030305E">
      <w:pPr>
        <w:spacing w:after="0" w:line="360" w:lineRule="auto"/>
        <w:rPr>
          <w:rFonts w:eastAsia="Calibri" w:cs="Tahoma"/>
          <w:bCs/>
        </w:rPr>
      </w:pPr>
    </w:p>
    <w:p w14:paraId="079D640A" w14:textId="5E9E9079" w:rsidR="0030305E" w:rsidRPr="0030305E" w:rsidRDefault="0030305E" w:rsidP="0030305E">
      <w:pPr>
        <w:spacing w:after="0" w:line="360" w:lineRule="auto"/>
        <w:rPr>
          <w:rFonts w:eastAsia="Calibri" w:cs="Tahoma"/>
          <w:bCs/>
        </w:rPr>
      </w:pPr>
      <w:r w:rsidRPr="0030305E">
        <w:rPr>
          <w:rFonts w:eastAsia="Calibri" w:cs="Tahoma"/>
          <w:bCs/>
        </w:rPr>
        <w:t xml:space="preserve">ASÍ LO RESUELVE, POR </w:t>
      </w:r>
      <w:r w:rsidRPr="0030305E">
        <w:rPr>
          <w:rFonts w:eastAsia="Calibri" w:cs="Tahoma"/>
          <w:b/>
        </w:rPr>
        <w:t>UNANIMIDAD</w:t>
      </w:r>
      <w:r w:rsidRPr="0030305E">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6637C">
        <w:rPr>
          <w:rFonts w:eastAsia="Calibri" w:cs="Tahoma"/>
          <w:bCs/>
        </w:rPr>
        <w:t>TRIGÉSIMA</w:t>
      </w:r>
      <w:r w:rsidRPr="0030305E">
        <w:rPr>
          <w:rFonts w:eastAsia="Calibri" w:cs="Tahoma"/>
          <w:bCs/>
        </w:rPr>
        <w:t xml:space="preserve"> SESIÓN ORDINARIA, CELEBRADA EL </w:t>
      </w:r>
      <w:r w:rsidR="00E6637C">
        <w:rPr>
          <w:rFonts w:eastAsia="Calibri" w:cs="Tahoma"/>
          <w:bCs/>
        </w:rPr>
        <w:t>VEINTIS</w:t>
      </w:r>
      <w:r w:rsidR="00DE392C">
        <w:rPr>
          <w:rFonts w:eastAsia="Calibri" w:cs="Tahoma"/>
          <w:bCs/>
        </w:rPr>
        <w:t>IE</w:t>
      </w:r>
      <w:r w:rsidR="00E6637C">
        <w:rPr>
          <w:rFonts w:eastAsia="Calibri" w:cs="Tahoma"/>
          <w:bCs/>
        </w:rPr>
        <w:t>TE DE AGO</w:t>
      </w:r>
      <w:r w:rsidR="00DE392C">
        <w:rPr>
          <w:rFonts w:eastAsia="Calibri" w:cs="Tahoma"/>
          <w:bCs/>
        </w:rPr>
        <w:t>S</w:t>
      </w:r>
      <w:r w:rsidR="00E6637C">
        <w:rPr>
          <w:rFonts w:eastAsia="Calibri" w:cs="Tahoma"/>
          <w:bCs/>
        </w:rPr>
        <w:t>TO</w:t>
      </w:r>
      <w:r w:rsidRPr="0030305E">
        <w:rPr>
          <w:rFonts w:eastAsia="Calibri" w:cs="Tahoma"/>
          <w:bCs/>
        </w:rPr>
        <w:t xml:space="preserve"> DE DOS MIL VEINTICINCO, ANTE EL SECRETARIO TÉCNICO DEL PLENO, ALEXIS TAPIA RAMÍREZ.</w:t>
      </w:r>
    </w:p>
    <w:p w14:paraId="258403CC" w14:textId="77777777" w:rsidR="00B65D21" w:rsidRPr="00C821DD" w:rsidRDefault="00B65D21" w:rsidP="005032B4">
      <w:pPr>
        <w:spacing w:after="0" w:line="360" w:lineRule="auto"/>
        <w:contextualSpacing/>
        <w:rPr>
          <w:rFonts w:eastAsia="Calibri"/>
          <w:color w:val="FF0000"/>
        </w:rPr>
      </w:pPr>
    </w:p>
    <w:p w14:paraId="3EC3E9BD" w14:textId="77777777" w:rsidR="00CE7148" w:rsidRDefault="00CE7148" w:rsidP="005032B4">
      <w:pPr>
        <w:spacing w:after="0" w:line="360" w:lineRule="auto"/>
        <w:rPr>
          <w:color w:val="FF0000"/>
        </w:rPr>
      </w:pPr>
    </w:p>
    <w:p w14:paraId="4F4CCF40" w14:textId="77777777" w:rsidR="00A9056D" w:rsidRDefault="00A9056D" w:rsidP="005032B4">
      <w:pPr>
        <w:spacing w:after="0" w:line="360" w:lineRule="auto"/>
        <w:rPr>
          <w:color w:val="FF0000"/>
        </w:rPr>
      </w:pPr>
    </w:p>
    <w:p w14:paraId="30C2B0A8" w14:textId="77777777" w:rsidR="00A9056D" w:rsidRDefault="00A9056D" w:rsidP="005032B4">
      <w:pPr>
        <w:spacing w:after="0" w:line="360" w:lineRule="auto"/>
        <w:rPr>
          <w:color w:val="FF0000"/>
        </w:rPr>
      </w:pPr>
    </w:p>
    <w:p w14:paraId="70E8439B" w14:textId="77777777" w:rsidR="00A9056D" w:rsidRDefault="00A9056D" w:rsidP="005032B4">
      <w:pPr>
        <w:spacing w:after="0" w:line="360" w:lineRule="auto"/>
        <w:rPr>
          <w:color w:val="FF0000"/>
        </w:rPr>
      </w:pPr>
    </w:p>
    <w:p w14:paraId="7146A7F6" w14:textId="77777777" w:rsidR="00A9056D" w:rsidRDefault="00A9056D" w:rsidP="005032B4">
      <w:pPr>
        <w:spacing w:after="0" w:line="360" w:lineRule="auto"/>
        <w:rPr>
          <w:color w:val="FF0000"/>
        </w:rPr>
      </w:pPr>
    </w:p>
    <w:p w14:paraId="15A13D10" w14:textId="77777777" w:rsidR="00A9056D" w:rsidRDefault="00A9056D" w:rsidP="005032B4">
      <w:pPr>
        <w:spacing w:after="0" w:line="360" w:lineRule="auto"/>
        <w:rPr>
          <w:color w:val="FF0000"/>
        </w:rPr>
      </w:pPr>
    </w:p>
    <w:p w14:paraId="36F176C9" w14:textId="77777777" w:rsidR="00A9056D" w:rsidRDefault="00A9056D" w:rsidP="005032B4">
      <w:pPr>
        <w:spacing w:after="0" w:line="360" w:lineRule="auto"/>
        <w:rPr>
          <w:color w:val="FF0000"/>
        </w:rPr>
      </w:pPr>
    </w:p>
    <w:p w14:paraId="4D86D97F" w14:textId="77777777" w:rsidR="00A9056D" w:rsidRDefault="00A9056D" w:rsidP="005032B4">
      <w:pPr>
        <w:spacing w:after="0" w:line="360" w:lineRule="auto"/>
        <w:rPr>
          <w:color w:val="FF0000"/>
        </w:rPr>
      </w:pPr>
    </w:p>
    <w:p w14:paraId="06DD7401" w14:textId="77777777" w:rsidR="00A9056D" w:rsidRDefault="00A9056D" w:rsidP="005032B4">
      <w:pPr>
        <w:spacing w:after="0" w:line="360" w:lineRule="auto"/>
        <w:rPr>
          <w:color w:val="FF0000"/>
        </w:rPr>
      </w:pPr>
    </w:p>
    <w:p w14:paraId="436CEB7B" w14:textId="77777777" w:rsidR="00A9056D" w:rsidRDefault="00A9056D" w:rsidP="005032B4">
      <w:pPr>
        <w:spacing w:after="0" w:line="360" w:lineRule="auto"/>
        <w:rPr>
          <w:color w:val="FF0000"/>
        </w:rPr>
      </w:pPr>
    </w:p>
    <w:p w14:paraId="465D31F1" w14:textId="77777777" w:rsidR="00A9056D" w:rsidRPr="00C821DD" w:rsidRDefault="00A9056D" w:rsidP="005032B4">
      <w:pPr>
        <w:spacing w:after="0" w:line="360" w:lineRule="auto"/>
        <w:rPr>
          <w:color w:val="FF0000"/>
        </w:rPr>
      </w:pPr>
    </w:p>
    <w:sectPr w:rsidR="00A9056D" w:rsidRPr="00C821DD" w:rsidSect="00647DF2">
      <w:headerReference w:type="even" r:id="rId16"/>
      <w:headerReference w:type="default" r:id="rId17"/>
      <w:footerReference w:type="even" r:id="rId18"/>
      <w:footerReference w:type="default" r:id="rId19"/>
      <w:headerReference w:type="first" r:id="rId20"/>
      <w:footerReference w:type="first" r:id="rId21"/>
      <w:pgSz w:w="12240" w:h="15840"/>
      <w:pgMar w:top="2410" w:right="1608" w:bottom="1560" w:left="1701"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80A1" w14:textId="77777777" w:rsidR="008522DD" w:rsidRDefault="008522DD" w:rsidP="00DB3DC5">
      <w:pPr>
        <w:spacing w:after="0" w:line="240" w:lineRule="auto"/>
      </w:pPr>
      <w:r>
        <w:separator/>
      </w:r>
    </w:p>
  </w:endnote>
  <w:endnote w:type="continuationSeparator" w:id="0">
    <w:p w14:paraId="22039094" w14:textId="77777777" w:rsidR="008522DD" w:rsidRDefault="008522DD"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09180"/>
      <w:docPartObj>
        <w:docPartGallery w:val="Page Numbers (Bottom of Page)"/>
        <w:docPartUnique/>
      </w:docPartObj>
    </w:sdtPr>
    <w:sdtContent>
      <w:sdt>
        <w:sdtPr>
          <w:id w:val="1684393491"/>
          <w:docPartObj>
            <w:docPartGallery w:val="Page Numbers (Top of Page)"/>
            <w:docPartUnique/>
          </w:docPartObj>
        </w:sdtPr>
        <w:sdtContent>
          <w:p w14:paraId="271EF021" w14:textId="77777777" w:rsidR="000E4566" w:rsidRDefault="000E45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68EED6E3" w14:textId="77777777" w:rsidR="000E4566" w:rsidRDefault="000E45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1549"/>
      <w:docPartObj>
        <w:docPartGallery w:val="Page Numbers (Bottom of Page)"/>
        <w:docPartUnique/>
      </w:docPartObj>
    </w:sdtPr>
    <w:sdtContent>
      <w:sdt>
        <w:sdtPr>
          <w:id w:val="-125931169"/>
          <w:docPartObj>
            <w:docPartGallery w:val="Page Numbers (Top of Page)"/>
            <w:docPartUnique/>
          </w:docPartObj>
        </w:sdtPr>
        <w:sdtContent>
          <w:p w14:paraId="54AF1A6A" w14:textId="77777777" w:rsidR="000E4566" w:rsidRDefault="000E45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595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5951">
              <w:rPr>
                <w:b/>
                <w:bCs/>
                <w:noProof/>
              </w:rPr>
              <w:t>30</w:t>
            </w:r>
            <w:r>
              <w:rPr>
                <w:b/>
                <w:bCs/>
                <w:sz w:val="24"/>
                <w:szCs w:val="24"/>
              </w:rPr>
              <w:fldChar w:fldCharType="end"/>
            </w:r>
          </w:p>
        </w:sdtContent>
      </w:sdt>
    </w:sdtContent>
  </w:sdt>
  <w:p w14:paraId="5C9540ED" w14:textId="77777777" w:rsidR="000E4566" w:rsidRDefault="000E45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15167"/>
      <w:docPartObj>
        <w:docPartGallery w:val="Page Numbers (Bottom of Page)"/>
        <w:docPartUnique/>
      </w:docPartObj>
    </w:sdtPr>
    <w:sdtContent>
      <w:sdt>
        <w:sdtPr>
          <w:id w:val="101382918"/>
          <w:docPartObj>
            <w:docPartGallery w:val="Page Numbers (Top of Page)"/>
            <w:docPartUnique/>
          </w:docPartObj>
        </w:sdtPr>
        <w:sdtContent>
          <w:p w14:paraId="4208A12E" w14:textId="77777777" w:rsidR="000E4566" w:rsidRDefault="000E45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59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5951">
              <w:rPr>
                <w:b/>
                <w:bCs/>
                <w:noProof/>
              </w:rPr>
              <w:t>30</w:t>
            </w:r>
            <w:r>
              <w:rPr>
                <w:b/>
                <w:bCs/>
                <w:sz w:val="24"/>
                <w:szCs w:val="24"/>
              </w:rPr>
              <w:fldChar w:fldCharType="end"/>
            </w:r>
          </w:p>
        </w:sdtContent>
      </w:sdt>
    </w:sdtContent>
  </w:sdt>
  <w:p w14:paraId="601C40B8" w14:textId="77777777" w:rsidR="000E4566" w:rsidRDefault="000E45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3B77" w14:textId="77777777" w:rsidR="008522DD" w:rsidRDefault="008522DD" w:rsidP="00DB3DC5">
      <w:pPr>
        <w:spacing w:after="0" w:line="240" w:lineRule="auto"/>
      </w:pPr>
      <w:r>
        <w:separator/>
      </w:r>
    </w:p>
  </w:footnote>
  <w:footnote w:type="continuationSeparator" w:id="0">
    <w:p w14:paraId="3CA2A84A" w14:textId="77777777" w:rsidR="008522DD" w:rsidRDefault="008522DD" w:rsidP="00DB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E4566" w:rsidRPr="00E152D8" w14:paraId="04B090CA" w14:textId="77777777" w:rsidTr="00347876">
      <w:trPr>
        <w:trHeight w:val="132"/>
      </w:trPr>
      <w:tc>
        <w:tcPr>
          <w:tcW w:w="2691" w:type="dxa"/>
        </w:tcPr>
        <w:p w14:paraId="476D4D83" w14:textId="77777777" w:rsidR="000E4566" w:rsidRPr="00E152D8" w:rsidRDefault="000E4566"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0E4566" w:rsidRPr="00EE1572" w:rsidRDefault="000E4566" w:rsidP="00347876">
          <w:pPr>
            <w:tabs>
              <w:tab w:val="right" w:pos="8838"/>
            </w:tabs>
            <w:ind w:left="-28" w:right="-32"/>
            <w:rPr>
              <w:rFonts w:eastAsia="Calibri" w:cs="Tahoma"/>
            </w:rPr>
          </w:pPr>
          <w:r w:rsidRPr="00EE1572">
            <w:rPr>
              <w:rFonts w:eastAsia="Calibri" w:cs="Tahoma"/>
            </w:rPr>
            <w:t>03846/INFOEM/IP/RR/2020</w:t>
          </w:r>
        </w:p>
      </w:tc>
    </w:tr>
    <w:tr w:rsidR="000E4566" w:rsidRPr="00E152D8" w14:paraId="1A944E3B" w14:textId="77777777" w:rsidTr="00347876">
      <w:trPr>
        <w:trHeight w:val="261"/>
      </w:trPr>
      <w:tc>
        <w:tcPr>
          <w:tcW w:w="2691" w:type="dxa"/>
        </w:tcPr>
        <w:p w14:paraId="04AF3D79" w14:textId="77777777" w:rsidR="000E4566" w:rsidRPr="00E152D8" w:rsidRDefault="000E456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0E4566" w:rsidRPr="00EE1572" w:rsidRDefault="000E4566" w:rsidP="00347876">
          <w:pPr>
            <w:tabs>
              <w:tab w:val="right" w:pos="8838"/>
            </w:tabs>
            <w:ind w:right="-32"/>
            <w:rPr>
              <w:rFonts w:eastAsia="Calibri" w:cs="Tahoma"/>
              <w:lang w:val="es-MX"/>
            </w:rPr>
          </w:pPr>
          <w:r w:rsidRPr="00EE1572">
            <w:rPr>
              <w:rFonts w:eastAsia="Calibri" w:cs="Tahoma"/>
              <w:lang w:val="es-MX"/>
            </w:rPr>
            <w:t>Ayuntamiento de Temascalcingo</w:t>
          </w:r>
        </w:p>
      </w:tc>
    </w:tr>
    <w:tr w:rsidR="000E4566" w:rsidRPr="00E152D8" w14:paraId="51F43EE6" w14:textId="77777777" w:rsidTr="00347876">
      <w:trPr>
        <w:trHeight w:val="261"/>
      </w:trPr>
      <w:tc>
        <w:tcPr>
          <w:tcW w:w="2691" w:type="dxa"/>
        </w:tcPr>
        <w:p w14:paraId="4689E914" w14:textId="77777777" w:rsidR="000E4566" w:rsidRPr="00E152D8" w:rsidRDefault="000E4566"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0E4566" w:rsidRPr="00E152D8" w:rsidRDefault="000E4566"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0E4566" w:rsidRDefault="00000000">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EF7B" w14:textId="2348EBA9" w:rsidR="000E4566" w:rsidRPr="00D4442D" w:rsidRDefault="000E4566" w:rsidP="00D4442D">
    <w:pPr>
      <w:tabs>
        <w:tab w:val="left" w:pos="3913"/>
      </w:tabs>
      <w:rPr>
        <w:sz w:val="2"/>
        <w:szCs w:val="2"/>
      </w:rPr>
    </w:pPr>
    <w:r>
      <w:tab/>
    </w:r>
  </w:p>
  <w:tbl>
    <w:tblPr>
      <w:tblStyle w:val="Tablaconcuadrcula"/>
      <w:tblW w:w="680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2"/>
    </w:tblGrid>
    <w:tr w:rsidR="000E4566" w:rsidRPr="00E152D8" w14:paraId="6AD70801" w14:textId="77777777" w:rsidTr="00D65F1D">
      <w:trPr>
        <w:trHeight w:val="138"/>
      </w:trPr>
      <w:tc>
        <w:tcPr>
          <w:tcW w:w="2551" w:type="dxa"/>
          <w:vAlign w:val="center"/>
        </w:tcPr>
        <w:p w14:paraId="4714C583" w14:textId="77777777" w:rsidR="000E4566" w:rsidRPr="00E152D8" w:rsidRDefault="000E4566"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02EA1FEA" w14:textId="1A5179E3" w:rsidR="000E4566" w:rsidRPr="00051642" w:rsidRDefault="000E4566" w:rsidP="00347876">
          <w:pPr>
            <w:tabs>
              <w:tab w:val="right" w:pos="8838"/>
            </w:tabs>
            <w:ind w:left="-113" w:right="57"/>
            <w:rPr>
              <w:rFonts w:eastAsia="Calibri" w:cs="Tahoma"/>
            </w:rPr>
          </w:pPr>
          <w:r>
            <w:rPr>
              <w:rFonts w:eastAsia="Calibri" w:cs="Tahoma"/>
              <w:color w:val="auto"/>
            </w:rPr>
            <w:t>05146</w:t>
          </w:r>
          <w:r w:rsidRPr="00DE71A5">
            <w:rPr>
              <w:rFonts w:eastAsia="Calibri" w:cs="Tahoma"/>
              <w:color w:val="auto"/>
            </w:rPr>
            <w:t>/INFOEM/IP/RR/2025</w:t>
          </w:r>
        </w:p>
      </w:tc>
    </w:tr>
    <w:tr w:rsidR="000E4566" w:rsidRPr="00E152D8" w14:paraId="7FF5EABC" w14:textId="77777777" w:rsidTr="00D65F1D">
      <w:trPr>
        <w:trHeight w:val="273"/>
      </w:trPr>
      <w:tc>
        <w:tcPr>
          <w:tcW w:w="2551" w:type="dxa"/>
        </w:tcPr>
        <w:p w14:paraId="565B10D1" w14:textId="77777777" w:rsidR="000E4566" w:rsidRPr="00E152D8" w:rsidRDefault="000E456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7EA0F578" w14:textId="22780F20" w:rsidR="000E4566" w:rsidRPr="00051642" w:rsidRDefault="000E4566" w:rsidP="00D65F1D">
          <w:pPr>
            <w:tabs>
              <w:tab w:val="left" w:pos="2728"/>
              <w:tab w:val="right" w:pos="8838"/>
            </w:tabs>
            <w:ind w:left="-113" w:right="594"/>
            <w:rPr>
              <w:rFonts w:eastAsia="Calibri" w:cs="Tahoma"/>
              <w:lang w:val="es-MX"/>
            </w:rPr>
          </w:pPr>
          <w:r w:rsidRPr="007F149A">
            <w:rPr>
              <w:bCs/>
              <w:color w:val="000000"/>
            </w:rPr>
            <w:t xml:space="preserve">Ayuntamiento de </w:t>
          </w:r>
          <w:r>
            <w:rPr>
              <w:bCs/>
              <w:color w:val="000000"/>
            </w:rPr>
            <w:t>Zinacantepec</w:t>
          </w:r>
        </w:p>
      </w:tc>
    </w:tr>
    <w:tr w:rsidR="000E4566" w:rsidRPr="00E152D8" w14:paraId="3156BE5F" w14:textId="77777777" w:rsidTr="00D65F1D">
      <w:trPr>
        <w:trHeight w:val="273"/>
      </w:trPr>
      <w:tc>
        <w:tcPr>
          <w:tcW w:w="2551" w:type="dxa"/>
        </w:tcPr>
        <w:p w14:paraId="183B2F1A" w14:textId="77777777" w:rsidR="000E4566" w:rsidRPr="00E152D8" w:rsidRDefault="000E4566" w:rsidP="00347876">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318AB537" w14:textId="77777777" w:rsidR="000E4566" w:rsidRPr="00E152D8" w:rsidRDefault="000E4566"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0E4566" w:rsidRDefault="00000000"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0E4566" w:rsidRPr="00E152D8" w14:paraId="773597DE" w14:textId="77777777" w:rsidTr="00AD6680">
      <w:trPr>
        <w:trHeight w:val="132"/>
      </w:trPr>
      <w:tc>
        <w:tcPr>
          <w:tcW w:w="2551" w:type="dxa"/>
        </w:tcPr>
        <w:p w14:paraId="4FCB3AA3" w14:textId="77777777" w:rsidR="000E4566" w:rsidRPr="00E152D8" w:rsidRDefault="000E4566" w:rsidP="00347876">
          <w:pPr>
            <w:tabs>
              <w:tab w:val="right" w:pos="8838"/>
            </w:tabs>
            <w:ind w:right="-105"/>
            <w:rPr>
              <w:rFonts w:eastAsia="Calibri" w:cs="Tahoma"/>
              <w:b/>
              <w:lang w:val="es-MX"/>
            </w:rPr>
          </w:pPr>
          <w:r w:rsidRPr="00E152D8">
            <w:rPr>
              <w:rFonts w:eastAsia="Calibri" w:cs="Tahoma"/>
              <w:b/>
              <w:lang w:val="es-MX"/>
            </w:rPr>
            <w:t>Recurso de Revisión:</w:t>
          </w:r>
        </w:p>
      </w:tc>
      <w:tc>
        <w:tcPr>
          <w:tcW w:w="2977" w:type="dxa"/>
        </w:tcPr>
        <w:p w14:paraId="42955DA0" w14:textId="43182327" w:rsidR="000E4566" w:rsidRPr="00051642" w:rsidRDefault="000E4566" w:rsidP="001A3A3E">
          <w:pPr>
            <w:tabs>
              <w:tab w:val="right" w:pos="8838"/>
            </w:tabs>
            <w:ind w:left="-113" w:right="-32"/>
            <w:rPr>
              <w:rFonts w:eastAsia="Calibri" w:cs="Tahoma"/>
            </w:rPr>
          </w:pPr>
          <w:r>
            <w:rPr>
              <w:rFonts w:eastAsia="Calibri" w:cs="Tahoma"/>
              <w:color w:val="auto"/>
            </w:rPr>
            <w:t>05146</w:t>
          </w:r>
          <w:r w:rsidRPr="00DE71A5">
            <w:rPr>
              <w:rFonts w:eastAsia="Calibri" w:cs="Tahoma"/>
              <w:color w:val="auto"/>
            </w:rPr>
            <w:t>/INFOEM/IP/RR/2025</w:t>
          </w:r>
        </w:p>
      </w:tc>
    </w:tr>
    <w:tr w:rsidR="000E4566" w:rsidRPr="00E152D8" w14:paraId="202FB661" w14:textId="77777777" w:rsidTr="00AD6680">
      <w:trPr>
        <w:trHeight w:val="132"/>
      </w:trPr>
      <w:tc>
        <w:tcPr>
          <w:tcW w:w="2551" w:type="dxa"/>
        </w:tcPr>
        <w:p w14:paraId="5E100A32" w14:textId="77777777" w:rsidR="000E4566" w:rsidRPr="00E152D8" w:rsidRDefault="000E4566"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7" w:type="dxa"/>
        </w:tcPr>
        <w:p w14:paraId="28640565" w14:textId="1A37CFC0" w:rsidR="000E4566" w:rsidRPr="00E21446" w:rsidRDefault="000E4566" w:rsidP="007F149A">
          <w:pPr>
            <w:tabs>
              <w:tab w:val="right" w:pos="8838"/>
            </w:tabs>
            <w:rPr>
              <w:rFonts w:eastAsia="Calibri" w:cs="Tahoma"/>
              <w:lang w:val="es-MX"/>
            </w:rPr>
          </w:pPr>
        </w:p>
      </w:tc>
    </w:tr>
    <w:tr w:rsidR="000E4566" w:rsidRPr="00E152D8" w14:paraId="1BA9B09B" w14:textId="77777777" w:rsidTr="00AD6680">
      <w:trPr>
        <w:trHeight w:val="261"/>
      </w:trPr>
      <w:tc>
        <w:tcPr>
          <w:tcW w:w="2551" w:type="dxa"/>
        </w:tcPr>
        <w:p w14:paraId="6174740A" w14:textId="77777777" w:rsidR="000E4566" w:rsidRPr="00E152D8" w:rsidRDefault="000E456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Pr>
        <w:p w14:paraId="4B948471" w14:textId="0791C0C4" w:rsidR="000E4566" w:rsidRPr="007F149A" w:rsidRDefault="000E4566" w:rsidP="00AD27CA">
          <w:pPr>
            <w:tabs>
              <w:tab w:val="right" w:pos="8838"/>
            </w:tabs>
            <w:ind w:left="-113" w:right="181"/>
            <w:rPr>
              <w:rFonts w:eastAsia="Calibri" w:cs="Tahoma"/>
              <w:lang w:val="es-MX"/>
            </w:rPr>
          </w:pPr>
          <w:r w:rsidRPr="007F149A">
            <w:rPr>
              <w:bCs/>
              <w:color w:val="000000"/>
            </w:rPr>
            <w:t xml:space="preserve">Ayuntamiento de </w:t>
          </w:r>
          <w:r>
            <w:rPr>
              <w:bCs/>
              <w:color w:val="000000"/>
            </w:rPr>
            <w:t>Zinacantepec</w:t>
          </w:r>
        </w:p>
      </w:tc>
    </w:tr>
    <w:tr w:rsidR="000E4566" w:rsidRPr="00E152D8" w14:paraId="3F18AACD" w14:textId="77777777" w:rsidTr="00AD6680">
      <w:trPr>
        <w:trHeight w:val="261"/>
      </w:trPr>
      <w:tc>
        <w:tcPr>
          <w:tcW w:w="2551" w:type="dxa"/>
        </w:tcPr>
        <w:p w14:paraId="57E8DDB5" w14:textId="77777777" w:rsidR="000E4566" w:rsidRPr="00E152D8" w:rsidRDefault="000E4566" w:rsidP="00347876">
          <w:pPr>
            <w:tabs>
              <w:tab w:val="right" w:pos="8838"/>
            </w:tabs>
            <w:ind w:right="-105"/>
            <w:rPr>
              <w:rFonts w:eastAsia="Calibri" w:cs="Tahoma"/>
              <w:b/>
              <w:lang w:val="es-MX"/>
            </w:rPr>
          </w:pPr>
          <w:r w:rsidRPr="00E152D8">
            <w:rPr>
              <w:rFonts w:eastAsia="Calibri" w:cs="Tahoma"/>
              <w:b/>
              <w:lang w:val="es-MX"/>
            </w:rPr>
            <w:t>Comisionado Ponente:</w:t>
          </w:r>
        </w:p>
      </w:tc>
      <w:tc>
        <w:tcPr>
          <w:tcW w:w="2977" w:type="dxa"/>
        </w:tcPr>
        <w:p w14:paraId="1B8E59D3" w14:textId="77777777" w:rsidR="000E4566" w:rsidRPr="00E152D8" w:rsidRDefault="000E4566"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0E4566" w:rsidRDefault="00000000"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9.1pt;margin-top:-123.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4EC"/>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283885"/>
    <w:multiLevelType w:val="hybridMultilevel"/>
    <w:tmpl w:val="0D6AE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F03FFB"/>
    <w:multiLevelType w:val="hybridMultilevel"/>
    <w:tmpl w:val="3B2A093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C1407B"/>
    <w:multiLevelType w:val="hybridMultilevel"/>
    <w:tmpl w:val="6E4233A4"/>
    <w:lvl w:ilvl="0" w:tplc="FEB4EDCC">
      <w:start w:val="1"/>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F2B52D5"/>
    <w:multiLevelType w:val="hybridMultilevel"/>
    <w:tmpl w:val="9AB0BA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C84ABF"/>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101247C"/>
    <w:multiLevelType w:val="hybridMultilevel"/>
    <w:tmpl w:val="BB621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57DAF"/>
    <w:multiLevelType w:val="hybridMultilevel"/>
    <w:tmpl w:val="EC62F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786C5F"/>
    <w:multiLevelType w:val="hybridMultilevel"/>
    <w:tmpl w:val="B198A6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3486277"/>
    <w:multiLevelType w:val="hybridMultilevel"/>
    <w:tmpl w:val="8D6AA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4640A"/>
    <w:multiLevelType w:val="hybridMultilevel"/>
    <w:tmpl w:val="36AE0536"/>
    <w:lvl w:ilvl="0" w:tplc="20E07EE4">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F477EE"/>
    <w:multiLevelType w:val="hybridMultilevel"/>
    <w:tmpl w:val="7D746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A4D2B40"/>
    <w:multiLevelType w:val="hybridMultilevel"/>
    <w:tmpl w:val="0E4A87C2"/>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5A67846"/>
    <w:multiLevelType w:val="hybridMultilevel"/>
    <w:tmpl w:val="3E2696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328BC"/>
    <w:multiLevelType w:val="hybridMultilevel"/>
    <w:tmpl w:val="D4F2C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510358"/>
    <w:multiLevelType w:val="hybridMultilevel"/>
    <w:tmpl w:val="7624C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80521D"/>
    <w:multiLevelType w:val="hybridMultilevel"/>
    <w:tmpl w:val="D862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4522D9"/>
    <w:multiLevelType w:val="hybridMultilevel"/>
    <w:tmpl w:val="41829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7B55E95"/>
    <w:multiLevelType w:val="hybridMultilevel"/>
    <w:tmpl w:val="966E7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46604E"/>
    <w:multiLevelType w:val="hybridMultilevel"/>
    <w:tmpl w:val="BC4E8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0163E7"/>
    <w:multiLevelType w:val="multilevel"/>
    <w:tmpl w:val="C7047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5AD42B6"/>
    <w:multiLevelType w:val="hybridMultilevel"/>
    <w:tmpl w:val="4406027C"/>
    <w:lvl w:ilvl="0" w:tplc="C21A1B78">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CC7057"/>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80D57D6"/>
    <w:multiLevelType w:val="hybridMultilevel"/>
    <w:tmpl w:val="705A9F68"/>
    <w:lvl w:ilvl="0" w:tplc="388EF6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830C95"/>
    <w:multiLevelType w:val="hybridMultilevel"/>
    <w:tmpl w:val="D0443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391612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139543">
    <w:abstractNumId w:val="6"/>
  </w:num>
  <w:num w:numId="3" w16cid:durableId="1686246067">
    <w:abstractNumId w:val="37"/>
  </w:num>
  <w:num w:numId="4" w16cid:durableId="1291477497">
    <w:abstractNumId w:val="8"/>
  </w:num>
  <w:num w:numId="5" w16cid:durableId="731120120">
    <w:abstractNumId w:val="15"/>
  </w:num>
  <w:num w:numId="6" w16cid:durableId="467211521">
    <w:abstractNumId w:val="11"/>
  </w:num>
  <w:num w:numId="7" w16cid:durableId="1391032580">
    <w:abstractNumId w:val="18"/>
  </w:num>
  <w:num w:numId="8" w16cid:durableId="1775906498">
    <w:abstractNumId w:val="21"/>
  </w:num>
  <w:num w:numId="9" w16cid:durableId="380830663">
    <w:abstractNumId w:val="17"/>
  </w:num>
  <w:num w:numId="10" w16cid:durableId="1248073499">
    <w:abstractNumId w:val="22"/>
  </w:num>
  <w:num w:numId="11" w16cid:durableId="1005673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4420895">
    <w:abstractNumId w:val="30"/>
  </w:num>
  <w:num w:numId="13" w16cid:durableId="1700088415">
    <w:abstractNumId w:val="33"/>
  </w:num>
  <w:num w:numId="14" w16cid:durableId="1667633451">
    <w:abstractNumId w:val="36"/>
  </w:num>
  <w:num w:numId="15" w16cid:durableId="1874994375">
    <w:abstractNumId w:val="16"/>
  </w:num>
  <w:num w:numId="16" w16cid:durableId="1259562924">
    <w:abstractNumId w:val="14"/>
  </w:num>
  <w:num w:numId="17" w16cid:durableId="973372678">
    <w:abstractNumId w:val="19"/>
  </w:num>
  <w:num w:numId="18" w16cid:durableId="1427728893">
    <w:abstractNumId w:val="0"/>
  </w:num>
  <w:num w:numId="19" w16cid:durableId="1521704751">
    <w:abstractNumId w:val="27"/>
  </w:num>
  <w:num w:numId="20" w16cid:durableId="782504002">
    <w:abstractNumId w:val="31"/>
  </w:num>
  <w:num w:numId="21" w16cid:durableId="1322008090">
    <w:abstractNumId w:val="25"/>
  </w:num>
  <w:num w:numId="22" w16cid:durableId="968973768">
    <w:abstractNumId w:val="29"/>
  </w:num>
  <w:num w:numId="23" w16cid:durableId="1716079470">
    <w:abstractNumId w:val="28"/>
  </w:num>
  <w:num w:numId="24" w16cid:durableId="831723203">
    <w:abstractNumId w:val="23"/>
  </w:num>
  <w:num w:numId="25" w16cid:durableId="1916697179">
    <w:abstractNumId w:val="12"/>
  </w:num>
  <w:num w:numId="26" w16cid:durableId="757024138">
    <w:abstractNumId w:val="3"/>
  </w:num>
  <w:num w:numId="27" w16cid:durableId="1872378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2154148">
    <w:abstractNumId w:val="2"/>
  </w:num>
  <w:num w:numId="29" w16cid:durableId="1252398181">
    <w:abstractNumId w:val="4"/>
  </w:num>
  <w:num w:numId="30" w16cid:durableId="1591233414">
    <w:abstractNumId w:val="35"/>
  </w:num>
  <w:num w:numId="31" w16cid:durableId="164589251">
    <w:abstractNumId w:val="10"/>
  </w:num>
  <w:num w:numId="32" w16cid:durableId="2037612240">
    <w:abstractNumId w:val="5"/>
  </w:num>
  <w:num w:numId="33" w16cid:durableId="1123427626">
    <w:abstractNumId w:val="26"/>
  </w:num>
  <w:num w:numId="34" w16cid:durableId="1709379601">
    <w:abstractNumId w:val="20"/>
  </w:num>
  <w:num w:numId="35" w16cid:durableId="265190427">
    <w:abstractNumId w:val="24"/>
  </w:num>
  <w:num w:numId="36" w16cid:durableId="2024628464">
    <w:abstractNumId w:val="9"/>
  </w:num>
  <w:num w:numId="37" w16cid:durableId="1389576553">
    <w:abstractNumId w:val="1"/>
  </w:num>
  <w:num w:numId="38" w16cid:durableId="973948545">
    <w:abstractNumId w:val="34"/>
  </w:num>
  <w:num w:numId="39" w16cid:durableId="5550914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5"/>
    <w:rsid w:val="00002991"/>
    <w:rsid w:val="00003D94"/>
    <w:rsid w:val="000045A6"/>
    <w:rsid w:val="00006636"/>
    <w:rsid w:val="00031961"/>
    <w:rsid w:val="0003316E"/>
    <w:rsid w:val="000362D0"/>
    <w:rsid w:val="0004161E"/>
    <w:rsid w:val="00041844"/>
    <w:rsid w:val="00042509"/>
    <w:rsid w:val="000429F3"/>
    <w:rsid w:val="00043CDA"/>
    <w:rsid w:val="000539BD"/>
    <w:rsid w:val="00053BC6"/>
    <w:rsid w:val="000558EC"/>
    <w:rsid w:val="00060685"/>
    <w:rsid w:val="00060723"/>
    <w:rsid w:val="00063884"/>
    <w:rsid w:val="000716E3"/>
    <w:rsid w:val="000750F3"/>
    <w:rsid w:val="00076681"/>
    <w:rsid w:val="00080393"/>
    <w:rsid w:val="00081ABD"/>
    <w:rsid w:val="000821F8"/>
    <w:rsid w:val="00087796"/>
    <w:rsid w:val="00094584"/>
    <w:rsid w:val="000A0A70"/>
    <w:rsid w:val="000A2D13"/>
    <w:rsid w:val="000A6A91"/>
    <w:rsid w:val="000B2239"/>
    <w:rsid w:val="000B24CC"/>
    <w:rsid w:val="000B70D0"/>
    <w:rsid w:val="000C1FDB"/>
    <w:rsid w:val="000C28C9"/>
    <w:rsid w:val="000C3EED"/>
    <w:rsid w:val="000D4873"/>
    <w:rsid w:val="000D49DD"/>
    <w:rsid w:val="000E4566"/>
    <w:rsid w:val="000E631E"/>
    <w:rsid w:val="000F5268"/>
    <w:rsid w:val="000F74C0"/>
    <w:rsid w:val="00104D0A"/>
    <w:rsid w:val="00110D4D"/>
    <w:rsid w:val="001140A5"/>
    <w:rsid w:val="00123ADD"/>
    <w:rsid w:val="0013015C"/>
    <w:rsid w:val="001334D1"/>
    <w:rsid w:val="0014339D"/>
    <w:rsid w:val="00145833"/>
    <w:rsid w:val="00147F38"/>
    <w:rsid w:val="0015016B"/>
    <w:rsid w:val="00153932"/>
    <w:rsid w:val="00155A01"/>
    <w:rsid w:val="0015730E"/>
    <w:rsid w:val="001609BD"/>
    <w:rsid w:val="0016133F"/>
    <w:rsid w:val="00166789"/>
    <w:rsid w:val="0018101A"/>
    <w:rsid w:val="0018339D"/>
    <w:rsid w:val="0018355D"/>
    <w:rsid w:val="00183736"/>
    <w:rsid w:val="00191491"/>
    <w:rsid w:val="00195951"/>
    <w:rsid w:val="00195C9D"/>
    <w:rsid w:val="00195CF5"/>
    <w:rsid w:val="001A0F43"/>
    <w:rsid w:val="001A2B03"/>
    <w:rsid w:val="001A3275"/>
    <w:rsid w:val="001A3A3E"/>
    <w:rsid w:val="001A6C98"/>
    <w:rsid w:val="001B2442"/>
    <w:rsid w:val="001B6F42"/>
    <w:rsid w:val="001C137C"/>
    <w:rsid w:val="001C4397"/>
    <w:rsid w:val="001C7AC2"/>
    <w:rsid w:val="001E3C40"/>
    <w:rsid w:val="001E59AF"/>
    <w:rsid w:val="001E7C66"/>
    <w:rsid w:val="001F22AA"/>
    <w:rsid w:val="001F3934"/>
    <w:rsid w:val="001F5C0B"/>
    <w:rsid w:val="00200755"/>
    <w:rsid w:val="00202D93"/>
    <w:rsid w:val="00203961"/>
    <w:rsid w:val="0020547F"/>
    <w:rsid w:val="00207046"/>
    <w:rsid w:val="00213634"/>
    <w:rsid w:val="00222A22"/>
    <w:rsid w:val="00223665"/>
    <w:rsid w:val="00230BC7"/>
    <w:rsid w:val="002353CB"/>
    <w:rsid w:val="002415DE"/>
    <w:rsid w:val="00243A71"/>
    <w:rsid w:val="002470F9"/>
    <w:rsid w:val="00250655"/>
    <w:rsid w:val="0025077A"/>
    <w:rsid w:val="00251B33"/>
    <w:rsid w:val="00252709"/>
    <w:rsid w:val="00254457"/>
    <w:rsid w:val="00254F36"/>
    <w:rsid w:val="00264675"/>
    <w:rsid w:val="00267FB5"/>
    <w:rsid w:val="002705C2"/>
    <w:rsid w:val="00271E47"/>
    <w:rsid w:val="002720E7"/>
    <w:rsid w:val="00275938"/>
    <w:rsid w:val="00293277"/>
    <w:rsid w:val="00293C56"/>
    <w:rsid w:val="00297A5A"/>
    <w:rsid w:val="002A0B3A"/>
    <w:rsid w:val="002A3F0C"/>
    <w:rsid w:val="002A40A0"/>
    <w:rsid w:val="002C19D9"/>
    <w:rsid w:val="002C3558"/>
    <w:rsid w:val="002D117D"/>
    <w:rsid w:val="002F1D02"/>
    <w:rsid w:val="002F4410"/>
    <w:rsid w:val="002F6AF8"/>
    <w:rsid w:val="002F7A45"/>
    <w:rsid w:val="0030305E"/>
    <w:rsid w:val="0030377D"/>
    <w:rsid w:val="00306FB6"/>
    <w:rsid w:val="00313596"/>
    <w:rsid w:val="003145F9"/>
    <w:rsid w:val="0032289C"/>
    <w:rsid w:val="00331F46"/>
    <w:rsid w:val="0033782D"/>
    <w:rsid w:val="00344846"/>
    <w:rsid w:val="00345BB5"/>
    <w:rsid w:val="003463AC"/>
    <w:rsid w:val="00347876"/>
    <w:rsid w:val="003556D5"/>
    <w:rsid w:val="0036051C"/>
    <w:rsid w:val="00363DED"/>
    <w:rsid w:val="00365137"/>
    <w:rsid w:val="00367135"/>
    <w:rsid w:val="003727BC"/>
    <w:rsid w:val="00382B56"/>
    <w:rsid w:val="003837EE"/>
    <w:rsid w:val="00387E7C"/>
    <w:rsid w:val="003905B1"/>
    <w:rsid w:val="00390BA0"/>
    <w:rsid w:val="00394286"/>
    <w:rsid w:val="00394344"/>
    <w:rsid w:val="00397810"/>
    <w:rsid w:val="003A123A"/>
    <w:rsid w:val="003B04E1"/>
    <w:rsid w:val="003B3103"/>
    <w:rsid w:val="003B3DC8"/>
    <w:rsid w:val="003B5DA8"/>
    <w:rsid w:val="003C74A7"/>
    <w:rsid w:val="003E5ADD"/>
    <w:rsid w:val="003E6429"/>
    <w:rsid w:val="003E678B"/>
    <w:rsid w:val="003F5B7E"/>
    <w:rsid w:val="003F5EB5"/>
    <w:rsid w:val="003F63DA"/>
    <w:rsid w:val="00411430"/>
    <w:rsid w:val="00415BBC"/>
    <w:rsid w:val="00415F0B"/>
    <w:rsid w:val="0042086C"/>
    <w:rsid w:val="004327D0"/>
    <w:rsid w:val="00434A1B"/>
    <w:rsid w:val="00444157"/>
    <w:rsid w:val="004500E2"/>
    <w:rsid w:val="004552D8"/>
    <w:rsid w:val="00455DCB"/>
    <w:rsid w:val="00456B51"/>
    <w:rsid w:val="00460FFC"/>
    <w:rsid w:val="004610AE"/>
    <w:rsid w:val="0046538F"/>
    <w:rsid w:val="004714D3"/>
    <w:rsid w:val="004724CB"/>
    <w:rsid w:val="004764C7"/>
    <w:rsid w:val="004908D0"/>
    <w:rsid w:val="0049737D"/>
    <w:rsid w:val="004A5AD5"/>
    <w:rsid w:val="004B4B36"/>
    <w:rsid w:val="004B52B2"/>
    <w:rsid w:val="004B6629"/>
    <w:rsid w:val="004D1BD8"/>
    <w:rsid w:val="004E5AB1"/>
    <w:rsid w:val="004F5A63"/>
    <w:rsid w:val="004F74F5"/>
    <w:rsid w:val="005000A4"/>
    <w:rsid w:val="005032B4"/>
    <w:rsid w:val="00505C1F"/>
    <w:rsid w:val="0050623A"/>
    <w:rsid w:val="00510F63"/>
    <w:rsid w:val="005225BB"/>
    <w:rsid w:val="005235E8"/>
    <w:rsid w:val="00524ED6"/>
    <w:rsid w:val="00530E22"/>
    <w:rsid w:val="00537251"/>
    <w:rsid w:val="005400EE"/>
    <w:rsid w:val="00540E22"/>
    <w:rsid w:val="00550A53"/>
    <w:rsid w:val="00561B10"/>
    <w:rsid w:val="005620CE"/>
    <w:rsid w:val="005634C6"/>
    <w:rsid w:val="0057282C"/>
    <w:rsid w:val="0057545A"/>
    <w:rsid w:val="00576536"/>
    <w:rsid w:val="005811D2"/>
    <w:rsid w:val="00581D38"/>
    <w:rsid w:val="0058439E"/>
    <w:rsid w:val="00585FFB"/>
    <w:rsid w:val="00587799"/>
    <w:rsid w:val="005902EF"/>
    <w:rsid w:val="00596D1D"/>
    <w:rsid w:val="00597282"/>
    <w:rsid w:val="005A538C"/>
    <w:rsid w:val="005A6BEC"/>
    <w:rsid w:val="005A7DC1"/>
    <w:rsid w:val="005C2558"/>
    <w:rsid w:val="005C459D"/>
    <w:rsid w:val="005C53C7"/>
    <w:rsid w:val="005C6124"/>
    <w:rsid w:val="005C6199"/>
    <w:rsid w:val="005D04FC"/>
    <w:rsid w:val="005D2E38"/>
    <w:rsid w:val="005D3D54"/>
    <w:rsid w:val="005E6D9C"/>
    <w:rsid w:val="006027E4"/>
    <w:rsid w:val="00606D94"/>
    <w:rsid w:val="00614F87"/>
    <w:rsid w:val="00623947"/>
    <w:rsid w:val="006343FA"/>
    <w:rsid w:val="00635352"/>
    <w:rsid w:val="006400F1"/>
    <w:rsid w:val="0064639F"/>
    <w:rsid w:val="00647DF2"/>
    <w:rsid w:val="006513E1"/>
    <w:rsid w:val="00653139"/>
    <w:rsid w:val="00655864"/>
    <w:rsid w:val="00662953"/>
    <w:rsid w:val="006651F1"/>
    <w:rsid w:val="00667107"/>
    <w:rsid w:val="00672292"/>
    <w:rsid w:val="00673579"/>
    <w:rsid w:val="006760A0"/>
    <w:rsid w:val="006778B9"/>
    <w:rsid w:val="0068386C"/>
    <w:rsid w:val="00693329"/>
    <w:rsid w:val="006945D2"/>
    <w:rsid w:val="006A0867"/>
    <w:rsid w:val="006A12A6"/>
    <w:rsid w:val="006A5843"/>
    <w:rsid w:val="006A5BCA"/>
    <w:rsid w:val="006B1CAC"/>
    <w:rsid w:val="006B6340"/>
    <w:rsid w:val="006C3439"/>
    <w:rsid w:val="006C3E75"/>
    <w:rsid w:val="006D6FB5"/>
    <w:rsid w:val="006E26AA"/>
    <w:rsid w:val="006E5BE2"/>
    <w:rsid w:val="006E6293"/>
    <w:rsid w:val="006F0AD7"/>
    <w:rsid w:val="006F52E8"/>
    <w:rsid w:val="007047F4"/>
    <w:rsid w:val="00711A43"/>
    <w:rsid w:val="00714349"/>
    <w:rsid w:val="007146FE"/>
    <w:rsid w:val="00720383"/>
    <w:rsid w:val="007309C0"/>
    <w:rsid w:val="00734447"/>
    <w:rsid w:val="0073758B"/>
    <w:rsid w:val="00737A0E"/>
    <w:rsid w:val="00737CF6"/>
    <w:rsid w:val="00742C37"/>
    <w:rsid w:val="00760E91"/>
    <w:rsid w:val="00761C2B"/>
    <w:rsid w:val="00763706"/>
    <w:rsid w:val="00767EFB"/>
    <w:rsid w:val="007719F0"/>
    <w:rsid w:val="00771B61"/>
    <w:rsid w:val="00780EC7"/>
    <w:rsid w:val="00784C5C"/>
    <w:rsid w:val="007850C7"/>
    <w:rsid w:val="007911D8"/>
    <w:rsid w:val="007948E1"/>
    <w:rsid w:val="00795C9D"/>
    <w:rsid w:val="007A0FD6"/>
    <w:rsid w:val="007B1834"/>
    <w:rsid w:val="007B5D0A"/>
    <w:rsid w:val="007C11CD"/>
    <w:rsid w:val="007C35E6"/>
    <w:rsid w:val="007C5098"/>
    <w:rsid w:val="007D1412"/>
    <w:rsid w:val="007E364C"/>
    <w:rsid w:val="007F08B3"/>
    <w:rsid w:val="007F149A"/>
    <w:rsid w:val="007F179C"/>
    <w:rsid w:val="007F271C"/>
    <w:rsid w:val="007F30B4"/>
    <w:rsid w:val="007F313E"/>
    <w:rsid w:val="007F316D"/>
    <w:rsid w:val="00810125"/>
    <w:rsid w:val="00811A30"/>
    <w:rsid w:val="00812FC7"/>
    <w:rsid w:val="00814335"/>
    <w:rsid w:val="00826E2F"/>
    <w:rsid w:val="00827355"/>
    <w:rsid w:val="00837B92"/>
    <w:rsid w:val="00842679"/>
    <w:rsid w:val="008522DD"/>
    <w:rsid w:val="00852BB1"/>
    <w:rsid w:val="0085311A"/>
    <w:rsid w:val="00854F21"/>
    <w:rsid w:val="008601B7"/>
    <w:rsid w:val="00862B2B"/>
    <w:rsid w:val="00871B37"/>
    <w:rsid w:val="00876B0D"/>
    <w:rsid w:val="0088315D"/>
    <w:rsid w:val="0088326C"/>
    <w:rsid w:val="00885D3F"/>
    <w:rsid w:val="0089704B"/>
    <w:rsid w:val="008A119D"/>
    <w:rsid w:val="008A310A"/>
    <w:rsid w:val="008A55F5"/>
    <w:rsid w:val="008B092D"/>
    <w:rsid w:val="008B2C31"/>
    <w:rsid w:val="008C3E58"/>
    <w:rsid w:val="008D1B96"/>
    <w:rsid w:val="008E279B"/>
    <w:rsid w:val="008E777E"/>
    <w:rsid w:val="008F42E3"/>
    <w:rsid w:val="00903956"/>
    <w:rsid w:val="0090575C"/>
    <w:rsid w:val="00906BD3"/>
    <w:rsid w:val="00914A32"/>
    <w:rsid w:val="00914B0A"/>
    <w:rsid w:val="00920C0F"/>
    <w:rsid w:val="00937303"/>
    <w:rsid w:val="00940303"/>
    <w:rsid w:val="00945700"/>
    <w:rsid w:val="00950B98"/>
    <w:rsid w:val="0096358C"/>
    <w:rsid w:val="00963FF5"/>
    <w:rsid w:val="0097330C"/>
    <w:rsid w:val="00974A6B"/>
    <w:rsid w:val="00985A2C"/>
    <w:rsid w:val="00986D27"/>
    <w:rsid w:val="009923AC"/>
    <w:rsid w:val="00992875"/>
    <w:rsid w:val="00992B43"/>
    <w:rsid w:val="00993137"/>
    <w:rsid w:val="00994337"/>
    <w:rsid w:val="009966A3"/>
    <w:rsid w:val="00997B21"/>
    <w:rsid w:val="009A3161"/>
    <w:rsid w:val="009A3569"/>
    <w:rsid w:val="009A627C"/>
    <w:rsid w:val="009B365B"/>
    <w:rsid w:val="009B500B"/>
    <w:rsid w:val="009B51EF"/>
    <w:rsid w:val="009B6275"/>
    <w:rsid w:val="009C0D40"/>
    <w:rsid w:val="009C1C46"/>
    <w:rsid w:val="009C3492"/>
    <w:rsid w:val="009C7586"/>
    <w:rsid w:val="009D1671"/>
    <w:rsid w:val="009D778F"/>
    <w:rsid w:val="009E0142"/>
    <w:rsid w:val="009E6D19"/>
    <w:rsid w:val="009F13CF"/>
    <w:rsid w:val="009F4EA5"/>
    <w:rsid w:val="00A1763C"/>
    <w:rsid w:val="00A22680"/>
    <w:rsid w:val="00A234A1"/>
    <w:rsid w:val="00A27B70"/>
    <w:rsid w:val="00A305C7"/>
    <w:rsid w:val="00A322C2"/>
    <w:rsid w:val="00A4013F"/>
    <w:rsid w:val="00A447FF"/>
    <w:rsid w:val="00A5086A"/>
    <w:rsid w:val="00A555FF"/>
    <w:rsid w:val="00A63EA5"/>
    <w:rsid w:val="00A85B94"/>
    <w:rsid w:val="00A87DB7"/>
    <w:rsid w:val="00A9056D"/>
    <w:rsid w:val="00A9339B"/>
    <w:rsid w:val="00A94AFB"/>
    <w:rsid w:val="00A94CDA"/>
    <w:rsid w:val="00AA08E2"/>
    <w:rsid w:val="00AA2962"/>
    <w:rsid w:val="00AA53B5"/>
    <w:rsid w:val="00AA7588"/>
    <w:rsid w:val="00AC0DB0"/>
    <w:rsid w:val="00AD27CA"/>
    <w:rsid w:val="00AD3CF8"/>
    <w:rsid w:val="00AD6680"/>
    <w:rsid w:val="00AE1F48"/>
    <w:rsid w:val="00AE2855"/>
    <w:rsid w:val="00AE490F"/>
    <w:rsid w:val="00AE6AB4"/>
    <w:rsid w:val="00B000C5"/>
    <w:rsid w:val="00B06616"/>
    <w:rsid w:val="00B12570"/>
    <w:rsid w:val="00B17F6D"/>
    <w:rsid w:val="00B26046"/>
    <w:rsid w:val="00B34338"/>
    <w:rsid w:val="00B417C3"/>
    <w:rsid w:val="00B456E9"/>
    <w:rsid w:val="00B46F88"/>
    <w:rsid w:val="00B557DF"/>
    <w:rsid w:val="00B60C67"/>
    <w:rsid w:val="00B60D25"/>
    <w:rsid w:val="00B6148C"/>
    <w:rsid w:val="00B65D21"/>
    <w:rsid w:val="00B67328"/>
    <w:rsid w:val="00B7094E"/>
    <w:rsid w:val="00B72749"/>
    <w:rsid w:val="00B732D1"/>
    <w:rsid w:val="00B7788B"/>
    <w:rsid w:val="00B7798E"/>
    <w:rsid w:val="00B83462"/>
    <w:rsid w:val="00B83636"/>
    <w:rsid w:val="00B841F8"/>
    <w:rsid w:val="00B86C3D"/>
    <w:rsid w:val="00BA7F47"/>
    <w:rsid w:val="00BB0202"/>
    <w:rsid w:val="00BB36D2"/>
    <w:rsid w:val="00BB54A2"/>
    <w:rsid w:val="00BC29F2"/>
    <w:rsid w:val="00BD7749"/>
    <w:rsid w:val="00BE3A60"/>
    <w:rsid w:val="00BE4762"/>
    <w:rsid w:val="00BF53E4"/>
    <w:rsid w:val="00BF54B7"/>
    <w:rsid w:val="00BF77B7"/>
    <w:rsid w:val="00C14171"/>
    <w:rsid w:val="00C14C5B"/>
    <w:rsid w:val="00C17EBF"/>
    <w:rsid w:val="00C2129B"/>
    <w:rsid w:val="00C213A5"/>
    <w:rsid w:val="00C30868"/>
    <w:rsid w:val="00C337E5"/>
    <w:rsid w:val="00C53CDF"/>
    <w:rsid w:val="00C54015"/>
    <w:rsid w:val="00C57B5B"/>
    <w:rsid w:val="00C66273"/>
    <w:rsid w:val="00C715AD"/>
    <w:rsid w:val="00C764ED"/>
    <w:rsid w:val="00C765ED"/>
    <w:rsid w:val="00C821DD"/>
    <w:rsid w:val="00C8279F"/>
    <w:rsid w:val="00C8608C"/>
    <w:rsid w:val="00C92204"/>
    <w:rsid w:val="00C977DC"/>
    <w:rsid w:val="00CA0AEA"/>
    <w:rsid w:val="00CA0F13"/>
    <w:rsid w:val="00CA13E3"/>
    <w:rsid w:val="00CA2C7C"/>
    <w:rsid w:val="00CB0D27"/>
    <w:rsid w:val="00CB16D3"/>
    <w:rsid w:val="00CB2FA4"/>
    <w:rsid w:val="00CB603C"/>
    <w:rsid w:val="00CC01D3"/>
    <w:rsid w:val="00CC450F"/>
    <w:rsid w:val="00CD1E3A"/>
    <w:rsid w:val="00CD369E"/>
    <w:rsid w:val="00CE67CA"/>
    <w:rsid w:val="00CE7148"/>
    <w:rsid w:val="00CF039D"/>
    <w:rsid w:val="00CF76E0"/>
    <w:rsid w:val="00D0244F"/>
    <w:rsid w:val="00D03F17"/>
    <w:rsid w:val="00D07290"/>
    <w:rsid w:val="00D10B74"/>
    <w:rsid w:val="00D26C03"/>
    <w:rsid w:val="00D3439C"/>
    <w:rsid w:val="00D42759"/>
    <w:rsid w:val="00D4442D"/>
    <w:rsid w:val="00D46D56"/>
    <w:rsid w:val="00D526D5"/>
    <w:rsid w:val="00D55A84"/>
    <w:rsid w:val="00D57224"/>
    <w:rsid w:val="00D60E83"/>
    <w:rsid w:val="00D65F1D"/>
    <w:rsid w:val="00D67BE6"/>
    <w:rsid w:val="00D71C64"/>
    <w:rsid w:val="00D74C1C"/>
    <w:rsid w:val="00D77576"/>
    <w:rsid w:val="00D90323"/>
    <w:rsid w:val="00D91A72"/>
    <w:rsid w:val="00D9398F"/>
    <w:rsid w:val="00D95C1D"/>
    <w:rsid w:val="00D95D2D"/>
    <w:rsid w:val="00D96AF9"/>
    <w:rsid w:val="00DA7473"/>
    <w:rsid w:val="00DB3DC5"/>
    <w:rsid w:val="00DC0B4A"/>
    <w:rsid w:val="00DC3EDC"/>
    <w:rsid w:val="00DC42DF"/>
    <w:rsid w:val="00DD0E44"/>
    <w:rsid w:val="00DD2397"/>
    <w:rsid w:val="00DD2E0C"/>
    <w:rsid w:val="00DD6EB5"/>
    <w:rsid w:val="00DE16ED"/>
    <w:rsid w:val="00DE392C"/>
    <w:rsid w:val="00DE71A5"/>
    <w:rsid w:val="00DF083F"/>
    <w:rsid w:val="00DF096A"/>
    <w:rsid w:val="00DF1B85"/>
    <w:rsid w:val="00DF4490"/>
    <w:rsid w:val="00DF5EAA"/>
    <w:rsid w:val="00E00696"/>
    <w:rsid w:val="00E0202E"/>
    <w:rsid w:val="00E063FC"/>
    <w:rsid w:val="00E118B0"/>
    <w:rsid w:val="00E128CD"/>
    <w:rsid w:val="00E168B3"/>
    <w:rsid w:val="00E21F68"/>
    <w:rsid w:val="00E306BC"/>
    <w:rsid w:val="00E406AF"/>
    <w:rsid w:val="00E40ED9"/>
    <w:rsid w:val="00E4792C"/>
    <w:rsid w:val="00E5000A"/>
    <w:rsid w:val="00E50298"/>
    <w:rsid w:val="00E50564"/>
    <w:rsid w:val="00E558A0"/>
    <w:rsid w:val="00E56726"/>
    <w:rsid w:val="00E6637C"/>
    <w:rsid w:val="00E73B06"/>
    <w:rsid w:val="00E75F0E"/>
    <w:rsid w:val="00E808E0"/>
    <w:rsid w:val="00E852DB"/>
    <w:rsid w:val="00E9083F"/>
    <w:rsid w:val="00E91037"/>
    <w:rsid w:val="00E936D1"/>
    <w:rsid w:val="00EA2599"/>
    <w:rsid w:val="00EA276A"/>
    <w:rsid w:val="00EA3D68"/>
    <w:rsid w:val="00EA6588"/>
    <w:rsid w:val="00EB4479"/>
    <w:rsid w:val="00EB5363"/>
    <w:rsid w:val="00EC210C"/>
    <w:rsid w:val="00EC7BE9"/>
    <w:rsid w:val="00EE0DB6"/>
    <w:rsid w:val="00EF404F"/>
    <w:rsid w:val="00EF5567"/>
    <w:rsid w:val="00EF74BA"/>
    <w:rsid w:val="00F063F0"/>
    <w:rsid w:val="00F11FC0"/>
    <w:rsid w:val="00F263CA"/>
    <w:rsid w:val="00F26F2D"/>
    <w:rsid w:val="00F3234B"/>
    <w:rsid w:val="00F444A2"/>
    <w:rsid w:val="00F46056"/>
    <w:rsid w:val="00F467D3"/>
    <w:rsid w:val="00F532E9"/>
    <w:rsid w:val="00F6023B"/>
    <w:rsid w:val="00F61205"/>
    <w:rsid w:val="00F653FF"/>
    <w:rsid w:val="00F75544"/>
    <w:rsid w:val="00F760F9"/>
    <w:rsid w:val="00F8681C"/>
    <w:rsid w:val="00F87269"/>
    <w:rsid w:val="00F87FF3"/>
    <w:rsid w:val="00F92554"/>
    <w:rsid w:val="00F938F7"/>
    <w:rsid w:val="00FA48AE"/>
    <w:rsid w:val="00FB3AE3"/>
    <w:rsid w:val="00FB5667"/>
    <w:rsid w:val="00FB6AB3"/>
    <w:rsid w:val="00FB750B"/>
    <w:rsid w:val="00FC3D54"/>
    <w:rsid w:val="00FD19DD"/>
    <w:rsid w:val="00FD1A74"/>
    <w:rsid w:val="00FE2A49"/>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C5"/>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9B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116723478">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288169345">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226990992">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ienestar.edomex.gob.mx/programas_sociales" TargetMode="External"/><Relationship Id="rId14" Type="http://schemas.openxmlformats.org/officeDocument/2006/relationships/hyperlink" Target="https://consultas.curp.gob.mx/CurpSP/html/informacionecurpP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5585-299E-444A-9BFD-FAEF4EA8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7191</Words>
  <Characters>39551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3</cp:revision>
  <cp:lastPrinted>2025-08-29T12:23:00Z</cp:lastPrinted>
  <dcterms:created xsi:type="dcterms:W3CDTF">2025-08-29T12:22:00Z</dcterms:created>
  <dcterms:modified xsi:type="dcterms:W3CDTF">2025-08-29T12:23:00Z</dcterms:modified>
</cp:coreProperties>
</file>