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Resolución del Pleno del Instituto de Transparencia, Acceso a la Información Pública y Protección de Datos Personales del Estado de México y Municipios, con domicilio en Metepec, Estado de México, de fecha treinta de abril de dos mil veinticinco. </w:t>
      </w:r>
    </w:p>
    <w:p w:rsidR="00000000" w:rsidDel="00000000" w:rsidP="00000000" w:rsidRDefault="00000000" w:rsidRPr="00000000" w14:paraId="0000000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Visto</w:t>
      </w:r>
      <w:r w:rsidDel="00000000" w:rsidR="00000000" w:rsidRPr="00000000">
        <w:rPr>
          <w:rFonts w:ascii="Palatino Linotype" w:cs="Palatino Linotype" w:eastAsia="Palatino Linotype" w:hAnsi="Palatino Linotype"/>
          <w:sz w:val="22"/>
          <w:szCs w:val="22"/>
          <w:rtl w:val="0"/>
        </w:rPr>
        <w:t xml:space="preserve"> el expediente relativo al recurso de revisión </w:t>
      </w:r>
      <w:r w:rsidDel="00000000" w:rsidR="00000000" w:rsidRPr="00000000">
        <w:rPr>
          <w:rFonts w:ascii="Palatino Linotype" w:cs="Palatino Linotype" w:eastAsia="Palatino Linotype" w:hAnsi="Palatino Linotype"/>
          <w:b w:val="1"/>
          <w:sz w:val="22"/>
          <w:szCs w:val="22"/>
          <w:rtl w:val="0"/>
        </w:rPr>
        <w:t xml:space="preserve">02434/INFOEM/IP/RR/2025</w:t>
      </w:r>
      <w:r w:rsidDel="00000000" w:rsidR="00000000" w:rsidRPr="00000000">
        <w:rPr>
          <w:rFonts w:ascii="Palatino Linotype" w:cs="Palatino Linotype" w:eastAsia="Palatino Linotype" w:hAnsi="Palatino Linotype"/>
          <w:sz w:val="22"/>
          <w:szCs w:val="22"/>
          <w:rtl w:val="0"/>
        </w:rPr>
        <w:t xml:space="preserve">, interpuesto por </w:t>
      </w:r>
      <w:r w:rsidDel="00000000" w:rsidR="00000000" w:rsidRPr="00000000">
        <w:rPr>
          <w:rFonts w:ascii="Palatino Linotype" w:cs="Palatino Linotype" w:eastAsia="Palatino Linotype" w:hAnsi="Palatino Linotype"/>
          <w:b w:val="1"/>
          <w:sz w:val="22"/>
          <w:szCs w:val="22"/>
          <w:rtl w:val="0"/>
        </w:rPr>
        <w:t xml:space="preserve">una persona usuaria del Sistema de Acceso a la Información Mexiquense </w:t>
      </w:r>
      <w:r w:rsidDel="00000000" w:rsidR="00000000" w:rsidRPr="00000000">
        <w:rPr>
          <w:rFonts w:ascii="Palatino Linotype" w:cs="Palatino Linotype" w:eastAsia="Palatino Linotype" w:hAnsi="Palatino Linotype"/>
          <w:sz w:val="22"/>
          <w:szCs w:val="22"/>
          <w:rtl w:val="0"/>
        </w:rPr>
        <w:t xml:space="preserve">en lo sucesivo se le denominará la parte</w:t>
      </w:r>
      <w:r w:rsidDel="00000000" w:rsidR="00000000" w:rsidRPr="00000000">
        <w:rPr>
          <w:rFonts w:ascii="Palatino Linotype" w:cs="Palatino Linotype" w:eastAsia="Palatino Linotype" w:hAnsi="Palatino Linotype"/>
          <w:b w:val="1"/>
          <w:sz w:val="22"/>
          <w:szCs w:val="22"/>
          <w:rtl w:val="0"/>
        </w:rPr>
        <w:t xml:space="preserve"> RECURRENTE</w:t>
      </w:r>
      <w:r w:rsidDel="00000000" w:rsidR="00000000" w:rsidRPr="00000000">
        <w:rPr>
          <w:rFonts w:ascii="Palatino Linotype" w:cs="Palatino Linotype" w:eastAsia="Palatino Linotype" w:hAnsi="Palatino Linotype"/>
          <w:sz w:val="22"/>
          <w:szCs w:val="22"/>
          <w:rtl w:val="0"/>
        </w:rPr>
        <w:t xml:space="preserve">, en contra de la respuesta a su solicitud de información con número de folio</w:t>
      </w:r>
      <w:r w:rsidDel="00000000" w:rsidR="00000000" w:rsidRPr="00000000">
        <w:rPr>
          <w:rFonts w:ascii="Palatino Linotype" w:cs="Palatino Linotype" w:eastAsia="Palatino Linotype" w:hAnsi="Palatino Linotype"/>
          <w:b w:val="1"/>
          <w:sz w:val="22"/>
          <w:szCs w:val="22"/>
          <w:rtl w:val="0"/>
        </w:rPr>
        <w:t xml:space="preserve"> 00107/TEOLOYU/IP/2025</w:t>
      </w:r>
      <w:r w:rsidDel="00000000" w:rsidR="00000000" w:rsidRPr="00000000">
        <w:rPr>
          <w:rFonts w:ascii="Palatino Linotype" w:cs="Palatino Linotype" w:eastAsia="Palatino Linotype" w:hAnsi="Palatino Linotype"/>
          <w:sz w:val="22"/>
          <w:szCs w:val="22"/>
          <w:rtl w:val="0"/>
        </w:rPr>
        <w:t xml:space="preserve">, por parte del Ayuntamiento de Teoloyucan en lo sucesivo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se procede a dictar la presente resolución, con base en los siguientes:</w:t>
      </w:r>
    </w:p>
    <w:p w:rsidR="00000000" w:rsidDel="00000000" w:rsidP="00000000" w:rsidRDefault="00000000" w:rsidRPr="00000000" w14:paraId="0000000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5">
      <w:pPr>
        <w:numPr>
          <w:ilvl w:val="0"/>
          <w:numId w:val="2"/>
        </w:numPr>
        <w:pBdr>
          <w:top w:space="0" w:sz="0" w:val="nil"/>
          <w:left w:space="0" w:sz="0" w:val="nil"/>
          <w:bottom w:space="0" w:sz="0" w:val="nil"/>
          <w:right w:space="0" w:sz="0" w:val="nil"/>
          <w:between w:space="0" w:sz="0" w:val="nil"/>
        </w:pBdr>
        <w:spacing w:line="360" w:lineRule="auto"/>
        <w:ind w:left="993" w:hanging="276.0000000000001"/>
        <w:jc w:val="center"/>
        <w:rPr>
          <w:rFonts w:ascii="Palatino Linotype" w:cs="Palatino Linotype" w:eastAsia="Palatino Linotype" w:hAnsi="Palatino Linotype"/>
          <w:b w:val="1"/>
          <w:color w:val="000000"/>
          <w:sz w:val="22"/>
          <w:szCs w:val="22"/>
        </w:rPr>
      </w:pPr>
      <w:r w:rsidDel="00000000" w:rsidR="00000000" w:rsidRPr="00000000">
        <w:rPr>
          <w:rFonts w:ascii="Palatino Linotype" w:cs="Palatino Linotype" w:eastAsia="Palatino Linotype" w:hAnsi="Palatino Linotype"/>
          <w:b w:val="1"/>
          <w:color w:val="000000"/>
          <w:sz w:val="22"/>
          <w:szCs w:val="22"/>
          <w:rtl w:val="0"/>
        </w:rPr>
        <w:t xml:space="preserve">A N T E C E D E N T E S:</w:t>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line="360" w:lineRule="auto"/>
        <w:ind w:left="1077" w:firstLine="0"/>
        <w:jc w:val="center"/>
        <w:rPr>
          <w:rFonts w:ascii="Palatino Linotype" w:cs="Palatino Linotype" w:eastAsia="Palatino Linotype" w:hAnsi="Palatino Linotype"/>
          <w:b w:val="1"/>
          <w:color w:val="000000"/>
          <w:sz w:val="22"/>
          <w:szCs w:val="22"/>
        </w:rPr>
      </w:pPr>
      <w:r w:rsidDel="00000000" w:rsidR="00000000" w:rsidRPr="00000000">
        <w:rPr>
          <w:rtl w:val="0"/>
        </w:rPr>
      </w:r>
    </w:p>
    <w:p w:rsidR="00000000" w:rsidDel="00000000" w:rsidP="00000000" w:rsidRDefault="00000000" w:rsidRPr="00000000" w14:paraId="00000007">
      <w:pPr>
        <w:numPr>
          <w:ilvl w:val="1"/>
          <w:numId w:val="6"/>
        </w:numPr>
        <w:pBdr>
          <w:top w:space="0" w:sz="0" w:val="nil"/>
          <w:left w:space="0" w:sz="0" w:val="nil"/>
          <w:bottom w:space="0" w:sz="0" w:val="nil"/>
          <w:right w:space="0" w:sz="0" w:val="nil"/>
          <w:between w:space="0" w:sz="0" w:val="nil"/>
        </w:pBdr>
        <w:spacing w:line="360" w:lineRule="auto"/>
        <w:ind w:left="0" w:firstLine="0"/>
        <w:jc w:val="both"/>
        <w:rPr>
          <w:rFonts w:ascii="Palatino Linotype" w:cs="Palatino Linotype" w:eastAsia="Palatino Linotype" w:hAnsi="Palatino Linotype"/>
          <w:b w:val="1"/>
          <w:color w:val="000000"/>
          <w:sz w:val="22"/>
          <w:szCs w:val="22"/>
        </w:rPr>
      </w:pPr>
      <w:r w:rsidDel="00000000" w:rsidR="00000000" w:rsidRPr="00000000">
        <w:rPr>
          <w:rFonts w:ascii="Palatino Linotype" w:cs="Palatino Linotype" w:eastAsia="Palatino Linotype" w:hAnsi="Palatino Linotype"/>
          <w:b w:val="1"/>
          <w:color w:val="000000"/>
          <w:sz w:val="22"/>
          <w:szCs w:val="22"/>
          <w:rtl w:val="0"/>
        </w:rPr>
        <w:t xml:space="preserve">Solicitud de acceso a la información. </w:t>
      </w:r>
      <w:r w:rsidDel="00000000" w:rsidR="00000000" w:rsidRPr="00000000">
        <w:rPr>
          <w:rFonts w:ascii="Palatino Linotype" w:cs="Palatino Linotype" w:eastAsia="Palatino Linotype" w:hAnsi="Palatino Linotype"/>
          <w:color w:val="000000"/>
          <w:sz w:val="22"/>
          <w:szCs w:val="22"/>
          <w:rtl w:val="0"/>
        </w:rPr>
        <w:t xml:space="preserve">Con fecha </w:t>
      </w:r>
      <w:r w:rsidDel="00000000" w:rsidR="00000000" w:rsidRPr="00000000">
        <w:rPr>
          <w:rFonts w:ascii="Palatino Linotype" w:cs="Palatino Linotype" w:eastAsia="Palatino Linotype" w:hAnsi="Palatino Linotype"/>
          <w:b w:val="1"/>
          <w:color w:val="000000"/>
          <w:sz w:val="22"/>
          <w:szCs w:val="22"/>
          <w:rtl w:val="0"/>
        </w:rPr>
        <w:t xml:space="preserve">siete de febrero de dos mil veinticinco</w:t>
      </w:r>
      <w:r w:rsidDel="00000000" w:rsidR="00000000" w:rsidRPr="00000000">
        <w:rPr>
          <w:rFonts w:ascii="Palatino Linotype" w:cs="Palatino Linotype" w:eastAsia="Palatino Linotype" w:hAnsi="Palatino Linotype"/>
          <w:color w:val="000000"/>
          <w:sz w:val="22"/>
          <w:szCs w:val="22"/>
          <w:rtl w:val="0"/>
        </w:rPr>
        <w:t xml:space="preserve">, la parte </w:t>
      </w:r>
      <w:r w:rsidDel="00000000" w:rsidR="00000000" w:rsidRPr="00000000">
        <w:rPr>
          <w:rFonts w:ascii="Palatino Linotype" w:cs="Palatino Linotype" w:eastAsia="Palatino Linotype" w:hAnsi="Palatino Linotype"/>
          <w:b w:val="1"/>
          <w:color w:val="000000"/>
          <w:sz w:val="22"/>
          <w:szCs w:val="22"/>
          <w:rtl w:val="0"/>
        </w:rPr>
        <w:t xml:space="preserve">RECURRENTE</w:t>
      </w:r>
      <w:r w:rsidDel="00000000" w:rsidR="00000000" w:rsidRPr="00000000">
        <w:rPr>
          <w:rFonts w:ascii="Palatino Linotype" w:cs="Palatino Linotype" w:eastAsia="Palatino Linotype" w:hAnsi="Palatino Linotype"/>
          <w:color w:val="000000"/>
          <w:sz w:val="22"/>
          <w:szCs w:val="22"/>
          <w:rtl w:val="0"/>
        </w:rPr>
        <w:t xml:space="preserve"> formuló solicitud de acceso a información pública al </w:t>
      </w:r>
      <w:r w:rsidDel="00000000" w:rsidR="00000000" w:rsidRPr="00000000">
        <w:rPr>
          <w:rFonts w:ascii="Palatino Linotype" w:cs="Palatino Linotype" w:eastAsia="Palatino Linotype" w:hAnsi="Palatino Linotype"/>
          <w:b w:val="1"/>
          <w:color w:val="000000"/>
          <w:sz w:val="22"/>
          <w:szCs w:val="22"/>
          <w:rtl w:val="0"/>
        </w:rPr>
        <w:t xml:space="preserve">SUJETO OBLIGADO</w:t>
      </w:r>
      <w:r w:rsidDel="00000000" w:rsidR="00000000" w:rsidRPr="00000000">
        <w:rPr>
          <w:rFonts w:ascii="Palatino Linotype" w:cs="Palatino Linotype" w:eastAsia="Palatino Linotype" w:hAnsi="Palatino Linotype"/>
          <w:color w:val="000000"/>
          <w:sz w:val="22"/>
          <w:szCs w:val="22"/>
          <w:rtl w:val="0"/>
        </w:rPr>
        <w:t xml:space="preserve"> a través del Sistema de Acceso a la Información Mexiquense, en adelante </w:t>
      </w:r>
      <w:r w:rsidDel="00000000" w:rsidR="00000000" w:rsidRPr="00000000">
        <w:rPr>
          <w:rFonts w:ascii="Palatino Linotype" w:cs="Palatino Linotype" w:eastAsia="Palatino Linotype" w:hAnsi="Palatino Linotype"/>
          <w:b w:val="1"/>
          <w:color w:val="000000"/>
          <w:sz w:val="22"/>
          <w:szCs w:val="22"/>
          <w:rtl w:val="0"/>
        </w:rPr>
        <w:t xml:space="preserve">SAIMEX</w:t>
      </w:r>
      <w:r w:rsidDel="00000000" w:rsidR="00000000" w:rsidRPr="00000000">
        <w:rPr>
          <w:rFonts w:ascii="Palatino Linotype" w:cs="Palatino Linotype" w:eastAsia="Palatino Linotype" w:hAnsi="Palatino Linotype"/>
          <w:color w:val="000000"/>
          <w:sz w:val="22"/>
          <w:szCs w:val="22"/>
          <w:rtl w:val="0"/>
        </w:rPr>
        <w:t xml:space="preserve">, requiriéndole lo siguiente:</w:t>
      </w: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color w:val="000000"/>
          <w:sz w:val="22"/>
          <w:szCs w:val="22"/>
        </w:rPr>
      </w:pPr>
      <w:r w:rsidDel="00000000" w:rsidR="00000000" w:rsidRPr="00000000">
        <w:rPr>
          <w:rtl w:val="0"/>
        </w:rPr>
      </w:r>
    </w:p>
    <w:p w:rsidR="00000000" w:rsidDel="00000000" w:rsidP="00000000" w:rsidRDefault="00000000" w:rsidRPr="00000000" w14:paraId="00000009">
      <w:pPr>
        <w:spacing w:line="276" w:lineRule="auto"/>
        <w:ind w:left="851" w:right="616"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i w:val="1"/>
          <w:sz w:val="22"/>
          <w:szCs w:val="22"/>
          <w:rtl w:val="0"/>
        </w:rPr>
        <w:t xml:space="preserve">“No se por que regresaron a la XXXXXX y XXXXXXXXXX de Beatriz Romero a Transparencia, si desde que estaba con la pachangas no hace las cosas bien, por eso requiero su curriculum, recibo de nómina y certificado de competencia laboral”</w:t>
      </w:r>
      <w:r w:rsidDel="00000000" w:rsidR="00000000" w:rsidRPr="00000000">
        <w:rPr>
          <w:rtl w:val="0"/>
        </w:rPr>
      </w:r>
    </w:p>
    <w:p w:rsidR="00000000" w:rsidDel="00000000" w:rsidP="00000000" w:rsidRDefault="00000000" w:rsidRPr="00000000" w14:paraId="0000000A">
      <w:pPr>
        <w:spacing w:line="360" w:lineRule="auto"/>
        <w:ind w:left="709" w:right="900"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0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Modalidad elegida para la entrega de la información: </w:t>
      </w:r>
      <w:r w:rsidDel="00000000" w:rsidR="00000000" w:rsidRPr="00000000">
        <w:rPr>
          <w:rFonts w:ascii="Palatino Linotype" w:cs="Palatino Linotype" w:eastAsia="Palatino Linotype" w:hAnsi="Palatino Linotype"/>
          <w:sz w:val="22"/>
          <w:szCs w:val="22"/>
          <w:rtl w:val="0"/>
        </w:rPr>
        <w:t xml:space="preserve">a través del Sistema de Acceso a la Información Mexiquense.</w:t>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line="276" w:lineRule="auto"/>
        <w:ind w:right="616"/>
        <w:jc w:val="both"/>
        <w:rPr>
          <w:rFonts w:ascii="Palatino Linotype" w:cs="Palatino Linotype" w:eastAsia="Palatino Linotype" w:hAnsi="Palatino Linotype"/>
          <w:i w:val="1"/>
          <w:color w:val="000000"/>
          <w:sz w:val="22"/>
          <w:szCs w:val="22"/>
        </w:rPr>
      </w:pPr>
      <w:r w:rsidDel="00000000" w:rsidR="00000000" w:rsidRPr="00000000">
        <w:rPr>
          <w:rtl w:val="0"/>
        </w:rPr>
      </w:r>
    </w:p>
    <w:p w:rsidR="00000000" w:rsidDel="00000000" w:rsidP="00000000" w:rsidRDefault="00000000" w:rsidRPr="00000000" w14:paraId="0000000D">
      <w:pPr>
        <w:numPr>
          <w:ilvl w:val="0"/>
          <w:numId w:val="6"/>
        </w:numPr>
        <w:pBdr>
          <w:top w:space="0" w:sz="0" w:val="nil"/>
          <w:left w:space="0" w:sz="0" w:val="nil"/>
          <w:bottom w:space="0" w:sz="0" w:val="nil"/>
          <w:right w:space="0" w:sz="0" w:val="nil"/>
          <w:between w:space="0" w:sz="0" w:val="nil"/>
        </w:pBdr>
        <w:spacing w:line="360" w:lineRule="auto"/>
        <w:ind w:left="0" w:firstLine="0"/>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b w:val="1"/>
          <w:color w:val="000000"/>
          <w:sz w:val="22"/>
          <w:szCs w:val="22"/>
          <w:rtl w:val="0"/>
        </w:rPr>
        <w:t xml:space="preserve">Respuesta. </w:t>
      </w:r>
      <w:r w:rsidDel="00000000" w:rsidR="00000000" w:rsidRPr="00000000">
        <w:rPr>
          <w:rFonts w:ascii="Palatino Linotype" w:cs="Palatino Linotype" w:eastAsia="Palatino Linotype" w:hAnsi="Palatino Linotype"/>
          <w:color w:val="000000"/>
          <w:sz w:val="22"/>
          <w:szCs w:val="22"/>
          <w:rtl w:val="0"/>
        </w:rPr>
        <w:t xml:space="preserve">Con fecha </w:t>
      </w:r>
      <w:r w:rsidDel="00000000" w:rsidR="00000000" w:rsidRPr="00000000">
        <w:rPr>
          <w:rFonts w:ascii="Palatino Linotype" w:cs="Palatino Linotype" w:eastAsia="Palatino Linotype" w:hAnsi="Palatino Linotype"/>
          <w:b w:val="1"/>
          <w:color w:val="000000"/>
          <w:sz w:val="22"/>
          <w:szCs w:val="22"/>
          <w:rtl w:val="0"/>
        </w:rPr>
        <w:t xml:space="preserve">veinticuatro de febrero de dos mil veinticinco</w:t>
      </w:r>
      <w:r w:rsidDel="00000000" w:rsidR="00000000" w:rsidRPr="00000000">
        <w:rPr>
          <w:rFonts w:ascii="Palatino Linotype" w:cs="Palatino Linotype" w:eastAsia="Palatino Linotype" w:hAnsi="Palatino Linotype"/>
          <w:color w:val="000000"/>
          <w:sz w:val="22"/>
          <w:szCs w:val="22"/>
          <w:rtl w:val="0"/>
        </w:rPr>
        <w:t xml:space="preserve">, el </w:t>
      </w:r>
      <w:r w:rsidDel="00000000" w:rsidR="00000000" w:rsidRPr="00000000">
        <w:rPr>
          <w:rFonts w:ascii="Palatino Linotype" w:cs="Palatino Linotype" w:eastAsia="Palatino Linotype" w:hAnsi="Palatino Linotype"/>
          <w:b w:val="1"/>
          <w:color w:val="000000"/>
          <w:sz w:val="22"/>
          <w:szCs w:val="22"/>
          <w:rtl w:val="0"/>
        </w:rPr>
        <w:t xml:space="preserve">SUJETO OBLIGADO</w:t>
      </w:r>
      <w:r w:rsidDel="00000000" w:rsidR="00000000" w:rsidRPr="00000000">
        <w:rPr>
          <w:rFonts w:ascii="Palatino Linotype" w:cs="Palatino Linotype" w:eastAsia="Palatino Linotype" w:hAnsi="Palatino Linotype"/>
          <w:color w:val="000000"/>
          <w:sz w:val="22"/>
          <w:szCs w:val="22"/>
          <w:rtl w:val="0"/>
        </w:rPr>
        <w:t xml:space="preserve"> envió su respuesta a la solicitud de acceso a la información a través del SAIMEX, la cual versa como sigue: </w:t>
      </w:r>
    </w:p>
    <w:p w:rsidR="00000000" w:rsidDel="00000000" w:rsidP="00000000" w:rsidRDefault="00000000" w:rsidRPr="00000000" w14:paraId="0000000E">
      <w:pPr>
        <w:tabs>
          <w:tab w:val="left" w:leader="none" w:pos="7371"/>
        </w:tabs>
        <w:spacing w:line="276" w:lineRule="auto"/>
        <w:ind w:left="567" w:right="616" w:firstLine="0"/>
        <w:jc w:val="both"/>
        <w:rPr>
          <w:rFonts w:ascii="Palatino Linotype" w:cs="Palatino Linotype" w:eastAsia="Palatino Linotype" w:hAnsi="Palatino Linotype"/>
          <w:i w:val="1"/>
          <w:sz w:val="22"/>
          <w:szCs w:val="22"/>
        </w:rPr>
      </w:pPr>
      <w:bookmarkStart w:colFirst="0" w:colLast="0" w:name="_heading=h.3znysh7" w:id="0"/>
      <w:bookmarkEnd w:id="0"/>
      <w:r w:rsidDel="00000000" w:rsidR="00000000" w:rsidRPr="00000000">
        <w:rPr>
          <w:rtl w:val="0"/>
        </w:rPr>
      </w:r>
    </w:p>
    <w:p w:rsidR="00000000" w:rsidDel="00000000" w:rsidP="00000000" w:rsidRDefault="00000000" w:rsidRPr="00000000" w14:paraId="0000000F">
      <w:pP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Con fundamento en lo dispuesto por los artículos 8, 9 y 17 de la Constitución Política de los Estados Unidos Mexicanos en relación con el 12 de la Ley de Transparencia y Acceso a la Información Pública del Estado de México y Municipios, se da respuesta a la solicitud..</w:t>
      </w:r>
    </w:p>
    <w:p w:rsidR="00000000" w:rsidDel="00000000" w:rsidP="00000000" w:rsidRDefault="00000000" w:rsidRPr="00000000" w14:paraId="00000010">
      <w:pP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11">
      <w:pPr>
        <w:spacing w:line="276" w:lineRule="auto"/>
        <w:ind w:left="567"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adjuntó a su respuesta los archivos que se describen a continuación:</w:t>
      </w:r>
    </w:p>
    <w:p w:rsidR="00000000" w:rsidDel="00000000" w:rsidP="00000000" w:rsidRDefault="00000000" w:rsidRPr="00000000" w14:paraId="00000012">
      <w:pPr>
        <w:spacing w:line="276" w:lineRule="auto"/>
        <w:ind w:left="567" w:right="616"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3">
      <w:pPr>
        <w:numPr>
          <w:ilvl w:val="0"/>
          <w:numId w:val="4"/>
        </w:numPr>
        <w:pBdr>
          <w:top w:space="0" w:sz="0" w:val="nil"/>
          <w:left w:space="0" w:sz="0" w:val="nil"/>
          <w:bottom w:space="0" w:sz="0" w:val="nil"/>
          <w:right w:space="0" w:sz="0" w:val="nil"/>
          <w:between w:space="0" w:sz="0" w:val="nil"/>
        </w:pBdr>
        <w:spacing w:line="276" w:lineRule="auto"/>
        <w:ind w:left="927" w:right="616" w:hanging="360"/>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Oficio de fecha veinticuatro de febrero de dos mil veinticinco, suscrito por la Titular de la Unidad de Transparencia, mediante el cual informa que, el solicitante manifestó expresiones irrespetuosas y juicios de valor que pretenden menospreciar a la servidora pública. </w:t>
      </w:r>
    </w:p>
    <w:p w:rsidR="00000000" w:rsidDel="00000000" w:rsidP="00000000" w:rsidRDefault="00000000" w:rsidRPr="00000000" w14:paraId="00000014">
      <w:pPr>
        <w:pBdr>
          <w:top w:space="0" w:sz="0" w:val="nil"/>
          <w:left w:space="0" w:sz="0" w:val="nil"/>
          <w:bottom w:space="0" w:sz="0" w:val="nil"/>
          <w:right w:space="0" w:sz="0" w:val="nil"/>
          <w:between w:space="0" w:sz="0" w:val="nil"/>
        </w:pBdr>
        <w:spacing w:line="276" w:lineRule="auto"/>
        <w:ind w:left="927" w:right="616" w:firstLine="0"/>
        <w:jc w:val="both"/>
        <w:rPr>
          <w:rFonts w:ascii="Palatino Linotype" w:cs="Palatino Linotype" w:eastAsia="Palatino Linotype" w:hAnsi="Palatino Linotype"/>
          <w:color w:val="000000"/>
          <w:sz w:val="22"/>
          <w:szCs w:val="22"/>
        </w:rPr>
      </w:pPr>
      <w:r w:rsidDel="00000000" w:rsidR="00000000" w:rsidRPr="00000000">
        <w:rPr>
          <w:rtl w:val="0"/>
        </w:rPr>
      </w:r>
    </w:p>
    <w:p w:rsidR="00000000" w:rsidDel="00000000" w:rsidP="00000000" w:rsidRDefault="00000000" w:rsidRPr="00000000" w14:paraId="00000015">
      <w:pPr>
        <w:numPr>
          <w:ilvl w:val="0"/>
          <w:numId w:val="6"/>
        </w:numPr>
        <w:pBdr>
          <w:top w:space="0" w:sz="0" w:val="nil"/>
          <w:left w:space="0" w:sz="0" w:val="nil"/>
          <w:bottom w:space="0" w:sz="0" w:val="nil"/>
          <w:right w:space="0" w:sz="0" w:val="nil"/>
          <w:between w:space="0" w:sz="0" w:val="nil"/>
        </w:pBdr>
        <w:tabs>
          <w:tab w:val="left" w:leader="none" w:pos="426"/>
        </w:tabs>
        <w:spacing w:line="360" w:lineRule="auto"/>
        <w:ind w:left="0" w:right="49" w:firstLine="0"/>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b w:val="1"/>
          <w:color w:val="000000"/>
          <w:sz w:val="22"/>
          <w:szCs w:val="22"/>
          <w:rtl w:val="0"/>
        </w:rPr>
        <w:t xml:space="preserve">Interposición del recurso de revisión. </w:t>
      </w:r>
      <w:r w:rsidDel="00000000" w:rsidR="00000000" w:rsidRPr="00000000">
        <w:rPr>
          <w:rFonts w:ascii="Palatino Linotype" w:cs="Palatino Linotype" w:eastAsia="Palatino Linotype" w:hAnsi="Palatino Linotype"/>
          <w:color w:val="000000"/>
          <w:sz w:val="22"/>
          <w:szCs w:val="22"/>
          <w:rtl w:val="0"/>
        </w:rPr>
        <w:t xml:space="preserve">Inconforme con la respuesta del </w:t>
      </w:r>
      <w:r w:rsidDel="00000000" w:rsidR="00000000" w:rsidRPr="00000000">
        <w:rPr>
          <w:rFonts w:ascii="Palatino Linotype" w:cs="Palatino Linotype" w:eastAsia="Palatino Linotype" w:hAnsi="Palatino Linotype"/>
          <w:b w:val="1"/>
          <w:color w:val="000000"/>
          <w:sz w:val="22"/>
          <w:szCs w:val="22"/>
          <w:rtl w:val="0"/>
        </w:rPr>
        <w:t xml:space="preserve">SUJETO OBLIGADO, la parte RECURRENTE</w:t>
      </w:r>
      <w:r w:rsidDel="00000000" w:rsidR="00000000" w:rsidRPr="00000000">
        <w:rPr>
          <w:rFonts w:ascii="Palatino Linotype" w:cs="Palatino Linotype" w:eastAsia="Palatino Linotype" w:hAnsi="Palatino Linotype"/>
          <w:color w:val="000000"/>
          <w:sz w:val="22"/>
          <w:szCs w:val="22"/>
          <w:rtl w:val="0"/>
        </w:rPr>
        <w:t xml:space="preserve"> interpuso recurso de revisión a través del SAIMEX en fecha </w:t>
      </w:r>
      <w:r w:rsidDel="00000000" w:rsidR="00000000" w:rsidRPr="00000000">
        <w:rPr>
          <w:rFonts w:ascii="Palatino Linotype" w:cs="Palatino Linotype" w:eastAsia="Palatino Linotype" w:hAnsi="Palatino Linotype"/>
          <w:b w:val="1"/>
          <w:color w:val="000000"/>
          <w:sz w:val="22"/>
          <w:szCs w:val="22"/>
          <w:rtl w:val="0"/>
        </w:rPr>
        <w:t xml:space="preserve">cuatro de marzo de dos mil veinticinco</w:t>
      </w:r>
      <w:r w:rsidDel="00000000" w:rsidR="00000000" w:rsidRPr="00000000">
        <w:rPr>
          <w:rFonts w:ascii="Palatino Linotype" w:cs="Palatino Linotype" w:eastAsia="Palatino Linotype" w:hAnsi="Palatino Linotype"/>
          <w:color w:val="000000"/>
          <w:sz w:val="22"/>
          <w:szCs w:val="22"/>
          <w:rtl w:val="0"/>
        </w:rPr>
        <w:t xml:space="preserve">, a través del cual expresó lo siguiente:</w:t>
      </w:r>
    </w:p>
    <w:p w:rsidR="00000000" w:rsidDel="00000000" w:rsidP="00000000" w:rsidRDefault="00000000" w:rsidRPr="00000000" w14:paraId="00000016">
      <w:pPr>
        <w:pBdr>
          <w:top w:space="0" w:sz="0" w:val="nil"/>
          <w:left w:space="0" w:sz="0" w:val="nil"/>
          <w:bottom w:space="0" w:sz="0" w:val="nil"/>
          <w:right w:space="0" w:sz="0" w:val="nil"/>
          <w:between w:space="0" w:sz="0" w:val="nil"/>
        </w:pBdr>
        <w:tabs>
          <w:tab w:val="left" w:leader="none" w:pos="426"/>
        </w:tabs>
        <w:spacing w:line="360" w:lineRule="auto"/>
        <w:ind w:right="49"/>
        <w:jc w:val="both"/>
        <w:rPr>
          <w:rFonts w:ascii="Palatino Linotype" w:cs="Palatino Linotype" w:eastAsia="Palatino Linotype" w:hAnsi="Palatino Linotype"/>
          <w:color w:val="000000"/>
          <w:sz w:val="22"/>
          <w:szCs w:val="22"/>
        </w:rPr>
      </w:pPr>
      <w:r w:rsidDel="00000000" w:rsidR="00000000" w:rsidRPr="00000000">
        <w:rPr>
          <w:rtl w:val="0"/>
        </w:rPr>
      </w:r>
    </w:p>
    <w:p w:rsidR="00000000" w:rsidDel="00000000" w:rsidP="00000000" w:rsidRDefault="00000000" w:rsidRPr="00000000" w14:paraId="00000017">
      <w:pPr>
        <w:spacing w:line="276" w:lineRule="auto"/>
        <w:ind w:left="851" w:right="616"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b w:val="1"/>
          <w:color w:val="000000"/>
          <w:sz w:val="22"/>
          <w:szCs w:val="22"/>
          <w:rtl w:val="0"/>
        </w:rPr>
        <w:t xml:space="preserve">Acto impugnado. </w:t>
      </w:r>
      <w:r w:rsidDel="00000000" w:rsidR="00000000" w:rsidRPr="00000000">
        <w:rPr>
          <w:rFonts w:ascii="Palatino Linotype" w:cs="Palatino Linotype" w:eastAsia="Palatino Linotype" w:hAnsi="Palatino Linotype"/>
          <w:i w:val="1"/>
          <w:color w:val="000000"/>
          <w:sz w:val="22"/>
          <w:szCs w:val="22"/>
          <w:rtl w:val="0"/>
        </w:rPr>
        <w:t xml:space="preserve">N/A</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tl w:val="0"/>
        </w:rPr>
      </w:r>
    </w:p>
    <w:p w:rsidR="00000000" w:rsidDel="00000000" w:rsidP="00000000" w:rsidRDefault="00000000" w:rsidRPr="00000000" w14:paraId="00000018">
      <w:pPr>
        <w:spacing w:line="276" w:lineRule="auto"/>
        <w:ind w:left="851" w:right="616" w:firstLine="0"/>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b w:val="1"/>
          <w:color w:val="000000"/>
          <w:sz w:val="22"/>
          <w:szCs w:val="22"/>
          <w:rtl w:val="0"/>
        </w:rPr>
        <w:t xml:space="preserve">Motivos de inconformidad. </w:t>
      </w:r>
      <w:r w:rsidDel="00000000" w:rsidR="00000000" w:rsidRPr="00000000">
        <w:rPr>
          <w:rFonts w:ascii="Palatino Linotype" w:cs="Palatino Linotype" w:eastAsia="Palatino Linotype" w:hAnsi="Palatino Linotype"/>
          <w:i w:val="1"/>
          <w:color w:val="000000"/>
          <w:sz w:val="22"/>
          <w:szCs w:val="22"/>
          <w:rtl w:val="0"/>
        </w:rPr>
        <w:t xml:space="preserve">“NO ENTREGA LA INFORMACIÓN SOLICITADA”. </w:t>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line="276" w:lineRule="auto"/>
        <w:ind w:right="616"/>
        <w:jc w:val="both"/>
        <w:rPr>
          <w:rFonts w:ascii="Palatino Linotype" w:cs="Palatino Linotype" w:eastAsia="Palatino Linotype" w:hAnsi="Palatino Linotype"/>
          <w:color w:val="000000"/>
          <w:sz w:val="22"/>
          <w:szCs w:val="22"/>
        </w:rPr>
      </w:pPr>
      <w:r w:rsidDel="00000000" w:rsidR="00000000" w:rsidRPr="00000000">
        <w:rPr>
          <w:rtl w:val="0"/>
        </w:rPr>
      </w:r>
    </w:p>
    <w:p w:rsidR="00000000" w:rsidDel="00000000" w:rsidP="00000000" w:rsidRDefault="00000000" w:rsidRPr="00000000" w14:paraId="0000001B">
      <w:pPr>
        <w:numPr>
          <w:ilvl w:val="0"/>
          <w:numId w:val="6"/>
        </w:numPr>
        <w:pBdr>
          <w:top w:space="0" w:sz="0" w:val="nil"/>
          <w:left w:space="0" w:sz="0" w:val="nil"/>
          <w:bottom w:space="0" w:sz="0" w:val="nil"/>
          <w:right w:space="0" w:sz="0" w:val="nil"/>
          <w:between w:space="0" w:sz="0" w:val="nil"/>
        </w:pBdr>
        <w:tabs>
          <w:tab w:val="left" w:leader="none" w:pos="284"/>
        </w:tabs>
        <w:spacing w:line="360" w:lineRule="auto"/>
        <w:ind w:left="0" w:firstLine="0"/>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b w:val="1"/>
          <w:color w:val="000000"/>
          <w:sz w:val="22"/>
          <w:szCs w:val="22"/>
          <w:rtl w:val="0"/>
        </w:rPr>
        <w:t xml:space="preserve">Turno. </w:t>
      </w:r>
      <w:r w:rsidDel="00000000" w:rsidR="00000000" w:rsidRPr="00000000">
        <w:rPr>
          <w:rFonts w:ascii="Palatino Linotype" w:cs="Palatino Linotype" w:eastAsia="Palatino Linotype" w:hAnsi="Palatino Linotype"/>
          <w:color w:val="000000"/>
          <w:sz w:val="22"/>
          <w:szCs w:val="22"/>
          <w:rtl w:val="0"/>
        </w:rPr>
        <w:t xml:space="preserve">De conformidad con el artículo 185, fracción I de la Ley de Transparencia y Acceso a la Información Pública del Estado de México y Municipios, el recurso de revisión número </w:t>
      </w:r>
      <w:r w:rsidDel="00000000" w:rsidR="00000000" w:rsidRPr="00000000">
        <w:rPr>
          <w:rFonts w:ascii="Palatino Linotype" w:cs="Palatino Linotype" w:eastAsia="Palatino Linotype" w:hAnsi="Palatino Linotype"/>
          <w:b w:val="1"/>
          <w:color w:val="000000"/>
          <w:sz w:val="22"/>
          <w:szCs w:val="22"/>
          <w:rtl w:val="0"/>
        </w:rPr>
        <w:t xml:space="preserve">02434/INFOEM/IP/RR/2025</w:t>
      </w:r>
      <w:r w:rsidDel="00000000" w:rsidR="00000000" w:rsidRPr="00000000">
        <w:rPr>
          <w:rFonts w:ascii="Palatino Linotype" w:cs="Palatino Linotype" w:eastAsia="Palatino Linotype" w:hAnsi="Palatino Linotype"/>
          <w:color w:val="000000"/>
          <w:sz w:val="22"/>
          <w:szCs w:val="22"/>
          <w:rtl w:val="0"/>
        </w:rPr>
        <w:t xml:space="preserve">, se turnó por el sistema electrónico del Instituto de Transparencia, Acceso a la Información Pública y Protección de Datos Personales del Estado de México y Municipios, a la Comisionada </w:t>
      </w:r>
      <w:r w:rsidDel="00000000" w:rsidR="00000000" w:rsidRPr="00000000">
        <w:rPr>
          <w:rFonts w:ascii="Palatino Linotype" w:cs="Palatino Linotype" w:eastAsia="Palatino Linotype" w:hAnsi="Palatino Linotype"/>
          <w:b w:val="1"/>
          <w:color w:val="000000"/>
          <w:sz w:val="22"/>
          <w:szCs w:val="22"/>
          <w:rtl w:val="0"/>
        </w:rPr>
        <w:t xml:space="preserve">Guadalupe Ramírez Peña</w:t>
      </w:r>
      <w:r w:rsidDel="00000000" w:rsidR="00000000" w:rsidRPr="00000000">
        <w:rPr>
          <w:rFonts w:ascii="Palatino Linotype" w:cs="Palatino Linotype" w:eastAsia="Palatino Linotype" w:hAnsi="Palatino Linotype"/>
          <w:color w:val="000000"/>
          <w:sz w:val="22"/>
          <w:szCs w:val="22"/>
          <w:rtl w:val="0"/>
        </w:rPr>
        <w:t xml:space="preserve">, para su análisis, estudio, elaboración del proyecto y presentación ante el Pleno de este Instituto.</w:t>
      </w:r>
    </w:p>
    <w:p w:rsidR="00000000" w:rsidDel="00000000" w:rsidP="00000000" w:rsidRDefault="00000000" w:rsidRPr="00000000" w14:paraId="0000001C">
      <w:pPr>
        <w:pBdr>
          <w:top w:space="0" w:sz="0" w:val="nil"/>
          <w:left w:space="0" w:sz="0" w:val="nil"/>
          <w:bottom w:space="0" w:sz="0" w:val="nil"/>
          <w:right w:space="0" w:sz="0" w:val="nil"/>
          <w:between w:space="0" w:sz="0" w:val="nil"/>
        </w:pBdr>
        <w:tabs>
          <w:tab w:val="left" w:leader="none" w:pos="284"/>
        </w:tabs>
        <w:spacing w:line="360" w:lineRule="auto"/>
        <w:jc w:val="both"/>
        <w:rPr>
          <w:rFonts w:ascii="Palatino Linotype" w:cs="Palatino Linotype" w:eastAsia="Palatino Linotype" w:hAnsi="Palatino Linotype"/>
          <w:color w:val="000000"/>
          <w:sz w:val="22"/>
          <w:szCs w:val="22"/>
        </w:rPr>
      </w:pPr>
      <w:r w:rsidDel="00000000" w:rsidR="00000000" w:rsidRPr="00000000">
        <w:rPr>
          <w:rtl w:val="0"/>
        </w:rPr>
      </w:r>
    </w:p>
    <w:p w:rsidR="00000000" w:rsidDel="00000000" w:rsidP="00000000" w:rsidRDefault="00000000" w:rsidRPr="00000000" w14:paraId="0000001D">
      <w:pPr>
        <w:numPr>
          <w:ilvl w:val="0"/>
          <w:numId w:val="6"/>
        </w:numPr>
        <w:pBdr>
          <w:top w:space="0" w:sz="0" w:val="nil"/>
          <w:left w:space="0" w:sz="0" w:val="nil"/>
          <w:bottom w:space="0" w:sz="0" w:val="nil"/>
          <w:right w:space="0" w:sz="0" w:val="nil"/>
          <w:between w:space="0" w:sz="0" w:val="nil"/>
        </w:pBdr>
        <w:tabs>
          <w:tab w:val="left" w:leader="none" w:pos="284"/>
        </w:tabs>
        <w:spacing w:line="360" w:lineRule="auto"/>
        <w:ind w:left="0" w:firstLine="0"/>
        <w:jc w:val="both"/>
        <w:rPr>
          <w:rFonts w:ascii="Palatino Linotype" w:cs="Palatino Linotype" w:eastAsia="Palatino Linotype" w:hAnsi="Palatino Linotype"/>
          <w:color w:val="000000"/>
          <w:sz w:val="22"/>
          <w:szCs w:val="22"/>
        </w:rPr>
      </w:pPr>
      <w:bookmarkStart w:colFirst="0" w:colLast="0" w:name="_heading=h.gjdgxs" w:id="1"/>
      <w:bookmarkEnd w:id="1"/>
      <w:r w:rsidDel="00000000" w:rsidR="00000000" w:rsidRPr="00000000">
        <w:rPr>
          <w:rFonts w:ascii="Palatino Linotype" w:cs="Palatino Linotype" w:eastAsia="Palatino Linotype" w:hAnsi="Palatino Linotype"/>
          <w:b w:val="1"/>
          <w:color w:val="000000"/>
          <w:sz w:val="22"/>
          <w:szCs w:val="22"/>
          <w:rtl w:val="0"/>
        </w:rPr>
        <w:t xml:space="preserve">Admisión del recurso de revisión: </w:t>
      </w:r>
      <w:r w:rsidDel="00000000" w:rsidR="00000000" w:rsidRPr="00000000">
        <w:rPr>
          <w:rFonts w:ascii="Palatino Linotype" w:cs="Palatino Linotype" w:eastAsia="Palatino Linotype" w:hAnsi="Palatino Linotype"/>
          <w:color w:val="000000"/>
          <w:sz w:val="22"/>
          <w:szCs w:val="22"/>
          <w:rtl w:val="0"/>
        </w:rPr>
        <w:t xml:space="preserve">En fecha </w:t>
      </w:r>
      <w:r w:rsidDel="00000000" w:rsidR="00000000" w:rsidRPr="00000000">
        <w:rPr>
          <w:rFonts w:ascii="Palatino Linotype" w:cs="Palatino Linotype" w:eastAsia="Palatino Linotype" w:hAnsi="Palatino Linotype"/>
          <w:b w:val="1"/>
          <w:color w:val="000000"/>
          <w:sz w:val="22"/>
          <w:szCs w:val="22"/>
          <w:rtl w:val="0"/>
        </w:rPr>
        <w:t xml:space="preserve">siete de marzo de dos mil veinticinco</w:t>
      </w:r>
      <w:r w:rsidDel="00000000" w:rsidR="00000000" w:rsidRPr="00000000">
        <w:rPr>
          <w:rFonts w:ascii="Palatino Linotype" w:cs="Palatino Linotype" w:eastAsia="Palatino Linotype" w:hAnsi="Palatino Linotype"/>
          <w:color w:val="000000"/>
          <w:sz w:val="22"/>
          <w:szCs w:val="22"/>
          <w:rtl w:val="0"/>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w:t>
      </w:r>
      <w:r w:rsidDel="00000000" w:rsidR="00000000" w:rsidRPr="00000000">
        <w:rPr>
          <w:rFonts w:ascii="Palatino Linotype" w:cs="Palatino Linotype" w:eastAsia="Palatino Linotype" w:hAnsi="Palatino Linotype"/>
          <w:b w:val="1"/>
          <w:color w:val="000000"/>
          <w:sz w:val="22"/>
          <w:szCs w:val="22"/>
          <w:rtl w:val="0"/>
        </w:rPr>
        <w:t xml:space="preserve">SUJETO OBLIGADO</w:t>
      </w:r>
      <w:r w:rsidDel="00000000" w:rsidR="00000000" w:rsidRPr="00000000">
        <w:rPr>
          <w:rFonts w:ascii="Palatino Linotype" w:cs="Palatino Linotype" w:eastAsia="Palatino Linotype" w:hAnsi="Palatino Linotype"/>
          <w:color w:val="000000"/>
          <w:sz w:val="22"/>
          <w:szCs w:val="22"/>
          <w:rtl w:val="0"/>
        </w:rPr>
        <w:t xml:space="preserve"> presentara su informe justificado.</w:t>
      </w:r>
    </w:p>
    <w:p w:rsidR="00000000" w:rsidDel="00000000" w:rsidP="00000000" w:rsidRDefault="00000000" w:rsidRPr="00000000" w14:paraId="0000001E">
      <w:pPr>
        <w:pBdr>
          <w:top w:space="0" w:sz="0" w:val="nil"/>
          <w:left w:space="0" w:sz="0" w:val="nil"/>
          <w:bottom w:space="0" w:sz="0" w:val="nil"/>
          <w:right w:space="0" w:sz="0" w:val="nil"/>
          <w:between w:space="0" w:sz="0" w:val="nil"/>
        </w:pBdr>
        <w:tabs>
          <w:tab w:val="left" w:leader="none" w:pos="284"/>
        </w:tabs>
        <w:spacing w:line="360" w:lineRule="auto"/>
        <w:jc w:val="both"/>
        <w:rPr>
          <w:rFonts w:ascii="Palatino Linotype" w:cs="Palatino Linotype" w:eastAsia="Palatino Linotype" w:hAnsi="Palatino Linotype"/>
          <w:color w:val="000000"/>
          <w:sz w:val="22"/>
          <w:szCs w:val="22"/>
        </w:rPr>
      </w:pPr>
      <w:r w:rsidDel="00000000" w:rsidR="00000000" w:rsidRPr="00000000">
        <w:rPr>
          <w:rtl w:val="0"/>
        </w:rPr>
      </w:r>
    </w:p>
    <w:p w:rsidR="00000000" w:rsidDel="00000000" w:rsidP="00000000" w:rsidRDefault="00000000" w:rsidRPr="00000000" w14:paraId="0000001F">
      <w:pPr>
        <w:numPr>
          <w:ilvl w:val="0"/>
          <w:numId w:val="6"/>
        </w:numPr>
        <w:pBdr>
          <w:top w:space="0" w:sz="0" w:val="nil"/>
          <w:left w:space="0" w:sz="0" w:val="nil"/>
          <w:bottom w:space="0" w:sz="0" w:val="nil"/>
          <w:right w:space="0" w:sz="0" w:val="nil"/>
          <w:between w:space="0" w:sz="0" w:val="nil"/>
        </w:pBdr>
        <w:tabs>
          <w:tab w:val="left" w:leader="none" w:pos="284"/>
        </w:tabs>
        <w:spacing w:line="360" w:lineRule="auto"/>
        <w:ind w:left="0" w:firstLine="0"/>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b w:val="1"/>
          <w:color w:val="000000"/>
          <w:sz w:val="22"/>
          <w:szCs w:val="22"/>
          <w:rtl w:val="0"/>
        </w:rPr>
        <w:t xml:space="preserve">Manifestaciones.</w:t>
      </w:r>
      <w:r w:rsidDel="00000000" w:rsidR="00000000" w:rsidRPr="00000000">
        <w:rPr>
          <w:rFonts w:ascii="Palatino Linotype" w:cs="Palatino Linotype" w:eastAsia="Palatino Linotype" w:hAnsi="Palatino Linotype"/>
          <w:color w:val="000000"/>
          <w:sz w:val="22"/>
          <w:szCs w:val="22"/>
          <w:rtl w:val="0"/>
        </w:rPr>
        <w:t xml:space="preserve"> En fecha </w:t>
      </w:r>
      <w:r w:rsidDel="00000000" w:rsidR="00000000" w:rsidRPr="00000000">
        <w:rPr>
          <w:rFonts w:ascii="Palatino Linotype" w:cs="Palatino Linotype" w:eastAsia="Palatino Linotype" w:hAnsi="Palatino Linotype"/>
          <w:b w:val="1"/>
          <w:color w:val="000000"/>
          <w:sz w:val="22"/>
          <w:szCs w:val="22"/>
          <w:rtl w:val="0"/>
        </w:rPr>
        <w:t xml:space="preserve">diecinueve de marzo de dos mil veinticinco</w:t>
      </w:r>
      <w:r w:rsidDel="00000000" w:rsidR="00000000" w:rsidRPr="00000000">
        <w:rPr>
          <w:rFonts w:ascii="Palatino Linotype" w:cs="Palatino Linotype" w:eastAsia="Palatino Linotype" w:hAnsi="Palatino Linotype"/>
          <w:color w:val="000000"/>
          <w:sz w:val="22"/>
          <w:szCs w:val="22"/>
          <w:rtl w:val="0"/>
        </w:rPr>
        <w:t xml:space="preserve">, el </w:t>
      </w:r>
      <w:r w:rsidDel="00000000" w:rsidR="00000000" w:rsidRPr="00000000">
        <w:rPr>
          <w:rFonts w:ascii="Palatino Linotype" w:cs="Palatino Linotype" w:eastAsia="Palatino Linotype" w:hAnsi="Palatino Linotype"/>
          <w:b w:val="1"/>
          <w:color w:val="000000"/>
          <w:sz w:val="22"/>
          <w:szCs w:val="22"/>
          <w:rtl w:val="0"/>
        </w:rPr>
        <w:t xml:space="preserve">SUJETO OBLIGADO </w:t>
      </w:r>
      <w:r w:rsidDel="00000000" w:rsidR="00000000" w:rsidRPr="00000000">
        <w:rPr>
          <w:rFonts w:ascii="Palatino Linotype" w:cs="Palatino Linotype" w:eastAsia="Palatino Linotype" w:hAnsi="Palatino Linotype"/>
          <w:color w:val="000000"/>
          <w:sz w:val="22"/>
          <w:szCs w:val="22"/>
          <w:rtl w:val="0"/>
        </w:rPr>
        <w:t xml:space="preserve">rindió su informe justificado, a través de lo siguiente:</w:t>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line="360" w:lineRule="auto"/>
        <w:ind w:left="708" w:firstLine="0"/>
        <w:rPr>
          <w:rFonts w:ascii="Palatino Linotype" w:cs="Palatino Linotype" w:eastAsia="Palatino Linotype" w:hAnsi="Palatino Linotype"/>
          <w:color w:val="000000"/>
          <w:sz w:val="22"/>
          <w:szCs w:val="22"/>
        </w:rPr>
      </w:pPr>
      <w:r w:rsidDel="00000000" w:rsidR="00000000" w:rsidRPr="00000000">
        <w:rPr>
          <w:rtl w:val="0"/>
        </w:rPr>
      </w:r>
    </w:p>
    <w:p w:rsidR="00000000" w:rsidDel="00000000" w:rsidP="00000000" w:rsidRDefault="00000000" w:rsidRPr="00000000" w14:paraId="00000021">
      <w:pPr>
        <w:numPr>
          <w:ilvl w:val="0"/>
          <w:numId w:val="3"/>
        </w:numPr>
        <w:pBdr>
          <w:top w:space="0" w:sz="0" w:val="nil"/>
          <w:left w:space="0" w:sz="0" w:val="nil"/>
          <w:bottom w:space="0" w:sz="0" w:val="nil"/>
          <w:right w:space="0" w:sz="0" w:val="nil"/>
          <w:between w:space="0" w:sz="0" w:val="nil"/>
        </w:pBdr>
        <w:tabs>
          <w:tab w:val="left" w:leader="none" w:pos="284"/>
        </w:tabs>
        <w:spacing w:line="360" w:lineRule="auto"/>
        <w:ind w:left="720" w:hanging="360"/>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Oficio de fecha diecinueve de marzo de dos mil veinticinco, signado por la Titular de la Unidad de Transparencia, mediante el cual ratificó su respuesta inicial. </w:t>
      </w:r>
    </w:p>
    <w:p w:rsidR="00000000" w:rsidDel="00000000" w:rsidP="00000000" w:rsidRDefault="00000000" w:rsidRPr="00000000" w14:paraId="00000022">
      <w:pPr>
        <w:pBdr>
          <w:top w:space="0" w:sz="0" w:val="nil"/>
          <w:left w:space="0" w:sz="0" w:val="nil"/>
          <w:bottom w:space="0" w:sz="0" w:val="nil"/>
          <w:right w:space="0" w:sz="0" w:val="nil"/>
          <w:between w:space="0" w:sz="0" w:val="nil"/>
        </w:pBdr>
        <w:tabs>
          <w:tab w:val="left" w:leader="none" w:pos="284"/>
        </w:tabs>
        <w:spacing w:line="360" w:lineRule="auto"/>
        <w:jc w:val="both"/>
        <w:rPr>
          <w:rFonts w:ascii="Palatino Linotype" w:cs="Palatino Linotype" w:eastAsia="Palatino Linotype" w:hAnsi="Palatino Linotype"/>
          <w:color w:val="000000"/>
          <w:sz w:val="22"/>
          <w:szCs w:val="22"/>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tabs>
          <w:tab w:val="left" w:leader="none" w:pos="284"/>
        </w:tabs>
        <w:spacing w:line="360" w:lineRule="auto"/>
        <w:jc w:val="both"/>
        <w:rPr>
          <w:rFonts w:ascii="Palatino Linotype" w:cs="Palatino Linotype" w:eastAsia="Palatino Linotype" w:hAnsi="Palatino Linotype"/>
          <w:b w:val="1"/>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Documento que se hizo del conocimiento de la parte Recurrente el </w:t>
      </w:r>
      <w:r w:rsidDel="00000000" w:rsidR="00000000" w:rsidRPr="00000000">
        <w:rPr>
          <w:rFonts w:ascii="Palatino Linotype" w:cs="Palatino Linotype" w:eastAsia="Palatino Linotype" w:hAnsi="Palatino Linotype"/>
          <w:b w:val="1"/>
          <w:color w:val="000000"/>
          <w:sz w:val="22"/>
          <w:szCs w:val="22"/>
          <w:rtl w:val="0"/>
        </w:rPr>
        <w:t xml:space="preserve">veintitrés de abril de dos mil veinticinco. </w:t>
      </w:r>
    </w:p>
    <w:p w:rsidR="00000000" w:rsidDel="00000000" w:rsidP="00000000" w:rsidRDefault="00000000" w:rsidRPr="00000000" w14:paraId="00000024">
      <w:pPr>
        <w:pBdr>
          <w:top w:space="0" w:sz="0" w:val="nil"/>
          <w:left w:space="0" w:sz="0" w:val="nil"/>
          <w:bottom w:space="0" w:sz="0" w:val="nil"/>
          <w:right w:space="0" w:sz="0" w:val="nil"/>
          <w:between w:space="0" w:sz="0" w:val="nil"/>
        </w:pBdr>
        <w:tabs>
          <w:tab w:val="left" w:leader="none" w:pos="284"/>
        </w:tabs>
        <w:spacing w:line="360" w:lineRule="auto"/>
        <w:jc w:val="both"/>
        <w:rPr>
          <w:rFonts w:ascii="Palatino Linotype" w:cs="Palatino Linotype" w:eastAsia="Palatino Linotype" w:hAnsi="Palatino Linotype"/>
          <w:b w:val="1"/>
          <w:color w:val="000000"/>
          <w:sz w:val="22"/>
          <w:szCs w:val="22"/>
        </w:rPr>
      </w:pP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tabs>
          <w:tab w:val="left" w:leader="none" w:pos="284"/>
        </w:tabs>
        <w:spacing w:line="360" w:lineRule="auto"/>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La parte Recurrente no realizó manifestaciones. </w:t>
      </w:r>
    </w:p>
    <w:p w:rsidR="00000000" w:rsidDel="00000000" w:rsidP="00000000" w:rsidRDefault="00000000" w:rsidRPr="00000000" w14:paraId="00000026">
      <w:pPr>
        <w:pBdr>
          <w:top w:space="0" w:sz="0" w:val="nil"/>
          <w:left w:space="0" w:sz="0" w:val="nil"/>
          <w:bottom w:space="0" w:sz="0" w:val="nil"/>
          <w:right w:space="0" w:sz="0" w:val="nil"/>
          <w:between w:space="0" w:sz="0" w:val="nil"/>
        </w:pBdr>
        <w:tabs>
          <w:tab w:val="left" w:leader="none" w:pos="426"/>
        </w:tabs>
        <w:spacing w:line="360" w:lineRule="auto"/>
        <w:jc w:val="both"/>
        <w:rPr>
          <w:rFonts w:ascii="Palatino Linotype" w:cs="Palatino Linotype" w:eastAsia="Palatino Linotype" w:hAnsi="Palatino Linotype"/>
          <w:color w:val="000000"/>
          <w:sz w:val="22"/>
          <w:szCs w:val="22"/>
        </w:rPr>
      </w:pPr>
      <w:r w:rsidDel="00000000" w:rsidR="00000000" w:rsidRPr="00000000">
        <w:rPr>
          <w:rtl w:val="0"/>
        </w:rPr>
      </w:r>
    </w:p>
    <w:p w:rsidR="00000000" w:rsidDel="00000000" w:rsidP="00000000" w:rsidRDefault="00000000" w:rsidRPr="00000000" w14:paraId="00000027">
      <w:pPr>
        <w:numPr>
          <w:ilvl w:val="0"/>
          <w:numId w:val="1"/>
        </w:numPr>
        <w:pBdr>
          <w:top w:space="0" w:sz="0" w:val="nil"/>
          <w:left w:space="0" w:sz="0" w:val="nil"/>
          <w:bottom w:space="0" w:sz="0" w:val="nil"/>
          <w:right w:space="0" w:sz="0" w:val="nil"/>
          <w:between w:space="0" w:sz="0" w:val="nil"/>
        </w:pBdr>
        <w:tabs>
          <w:tab w:val="left" w:leader="none" w:pos="426"/>
        </w:tabs>
        <w:spacing w:line="360" w:lineRule="auto"/>
        <w:ind w:left="0" w:firstLine="0"/>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b w:val="1"/>
          <w:color w:val="000000"/>
          <w:sz w:val="22"/>
          <w:szCs w:val="22"/>
          <w:rtl w:val="0"/>
        </w:rPr>
        <w:t xml:space="preserve">Cierre de instrucción. </w:t>
      </w:r>
      <w:r w:rsidDel="00000000" w:rsidR="00000000" w:rsidRPr="00000000">
        <w:rPr>
          <w:rFonts w:ascii="Palatino Linotype" w:cs="Palatino Linotype" w:eastAsia="Palatino Linotype" w:hAnsi="Palatino Linotype"/>
          <w:color w:val="000000"/>
          <w:sz w:val="22"/>
          <w:szCs w:val="22"/>
          <w:rtl w:val="0"/>
        </w:rPr>
        <w:t xml:space="preserve">El </w:t>
      </w:r>
      <w:r w:rsidDel="00000000" w:rsidR="00000000" w:rsidRPr="00000000">
        <w:rPr>
          <w:rFonts w:ascii="Palatino Linotype" w:cs="Palatino Linotype" w:eastAsia="Palatino Linotype" w:hAnsi="Palatino Linotype"/>
          <w:b w:val="1"/>
          <w:color w:val="000000"/>
          <w:sz w:val="22"/>
          <w:szCs w:val="22"/>
          <w:rtl w:val="0"/>
        </w:rPr>
        <w:t xml:space="preserve">veintinueve de abril de dos mil veinticinco</w:t>
      </w:r>
      <w:r w:rsidDel="00000000" w:rsidR="00000000" w:rsidRPr="00000000">
        <w:rPr>
          <w:rFonts w:ascii="Palatino Linotype" w:cs="Palatino Linotype" w:eastAsia="Palatino Linotype" w:hAnsi="Palatino Linotype"/>
          <w:color w:val="000000"/>
          <w:sz w:val="22"/>
          <w:szCs w:val="22"/>
          <w:rtl w:val="0"/>
        </w:rPr>
        <w:t xml:space="preserve">, la Comisionada Ponente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28">
      <w:pPr>
        <w:pBdr>
          <w:top w:space="0" w:sz="0" w:val="nil"/>
          <w:left w:space="0" w:sz="0" w:val="nil"/>
          <w:bottom w:space="0" w:sz="0" w:val="nil"/>
          <w:right w:space="0" w:sz="0" w:val="nil"/>
          <w:between w:space="0" w:sz="0" w:val="nil"/>
        </w:pBdr>
        <w:tabs>
          <w:tab w:val="left" w:leader="none" w:pos="426"/>
        </w:tabs>
        <w:spacing w:line="360" w:lineRule="auto"/>
        <w:jc w:val="both"/>
        <w:rPr>
          <w:rFonts w:ascii="Palatino Linotype" w:cs="Palatino Linotype" w:eastAsia="Palatino Linotype" w:hAnsi="Palatino Linotype"/>
          <w:color w:val="000000"/>
          <w:sz w:val="22"/>
          <w:szCs w:val="22"/>
        </w:rPr>
      </w:pPr>
      <w:r w:rsidDel="00000000" w:rsidR="00000000" w:rsidRPr="00000000">
        <w:rPr>
          <w:rtl w:val="0"/>
        </w:rPr>
      </w:r>
    </w:p>
    <w:p w:rsidR="00000000" w:rsidDel="00000000" w:rsidP="00000000" w:rsidRDefault="00000000" w:rsidRPr="00000000" w14:paraId="00000029">
      <w:pPr>
        <w:numPr>
          <w:ilvl w:val="0"/>
          <w:numId w:val="1"/>
        </w:numPr>
        <w:pBdr>
          <w:top w:space="0" w:sz="0" w:val="nil"/>
          <w:left w:space="0" w:sz="0" w:val="nil"/>
          <w:bottom w:space="0" w:sz="0" w:val="nil"/>
          <w:right w:space="0" w:sz="0" w:val="nil"/>
          <w:between w:space="0" w:sz="0" w:val="nil"/>
        </w:pBdr>
        <w:tabs>
          <w:tab w:val="left" w:leader="none" w:pos="426"/>
        </w:tabs>
        <w:spacing w:line="360" w:lineRule="auto"/>
        <w:ind w:left="0" w:firstLine="0"/>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b w:val="1"/>
          <w:color w:val="000000"/>
          <w:sz w:val="22"/>
          <w:szCs w:val="22"/>
          <w:rtl w:val="0"/>
        </w:rPr>
        <w:t xml:space="preserve">Ampliación del plazo.</w:t>
      </w:r>
      <w:r w:rsidDel="00000000" w:rsidR="00000000" w:rsidRPr="00000000">
        <w:rPr>
          <w:rFonts w:ascii="Palatino Linotype" w:cs="Palatino Linotype" w:eastAsia="Palatino Linotype" w:hAnsi="Palatino Linotype"/>
          <w:color w:val="000000"/>
          <w:sz w:val="22"/>
          <w:szCs w:val="22"/>
          <w:rtl w:val="0"/>
        </w:rPr>
        <w:t xml:space="preserve"> En fecha </w:t>
      </w:r>
      <w:r w:rsidDel="00000000" w:rsidR="00000000" w:rsidRPr="00000000">
        <w:rPr>
          <w:rFonts w:ascii="Palatino Linotype" w:cs="Palatino Linotype" w:eastAsia="Palatino Linotype" w:hAnsi="Palatino Linotype"/>
          <w:b w:val="1"/>
          <w:color w:val="000000"/>
          <w:sz w:val="22"/>
          <w:szCs w:val="22"/>
          <w:rtl w:val="0"/>
        </w:rPr>
        <w:t xml:space="preserve">treinta de abril de dos mil veinticinco</w:t>
      </w:r>
      <w:r w:rsidDel="00000000" w:rsidR="00000000" w:rsidRPr="00000000">
        <w:rPr>
          <w:rFonts w:ascii="Palatino Linotype" w:cs="Palatino Linotype" w:eastAsia="Palatino Linotype" w:hAnsi="Palatino Linotype"/>
          <w:color w:val="000000"/>
          <w:sz w:val="22"/>
          <w:szCs w:val="22"/>
          <w:rtl w:val="0"/>
        </w:rPr>
        <w:t xml:space="preserve">, con fundamento en el artículo 181, párrafo tercero de la Ley de Transparencia y Acceso a la Información Pública del Estado de México y Municipios, se acordó la ampliación del plazo para su resolución.</w:t>
      </w:r>
    </w:p>
    <w:p w:rsidR="00000000" w:rsidDel="00000000" w:rsidP="00000000" w:rsidRDefault="00000000" w:rsidRPr="00000000" w14:paraId="0000002A">
      <w:pPr>
        <w:pBdr>
          <w:top w:space="0" w:sz="0" w:val="nil"/>
          <w:left w:space="0" w:sz="0" w:val="nil"/>
          <w:bottom w:space="0" w:sz="0" w:val="nil"/>
          <w:right w:space="0" w:sz="0" w:val="nil"/>
          <w:between w:space="0" w:sz="0" w:val="nil"/>
        </w:pBdr>
        <w:tabs>
          <w:tab w:val="left" w:leader="none" w:pos="426"/>
        </w:tabs>
        <w:spacing w:line="360" w:lineRule="auto"/>
        <w:jc w:val="both"/>
        <w:rPr>
          <w:rFonts w:ascii="Palatino Linotype" w:cs="Palatino Linotype" w:eastAsia="Palatino Linotype" w:hAnsi="Palatino Linotype"/>
          <w:color w:val="000000"/>
          <w:sz w:val="22"/>
          <w:szCs w:val="22"/>
        </w:rPr>
      </w:pPr>
      <w:r w:rsidDel="00000000" w:rsidR="00000000" w:rsidRPr="00000000">
        <w:rPr>
          <w:rtl w:val="0"/>
        </w:rPr>
      </w:r>
    </w:p>
    <w:p w:rsidR="00000000" w:rsidDel="00000000" w:rsidP="00000000" w:rsidRDefault="00000000" w:rsidRPr="00000000" w14:paraId="0000002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razón de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2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D">
      <w:pPr>
        <w:numPr>
          <w:ilvl w:val="0"/>
          <w:numId w:val="2"/>
        </w:numPr>
        <w:pBdr>
          <w:top w:space="0" w:sz="0" w:val="nil"/>
          <w:left w:space="0" w:sz="0" w:val="nil"/>
          <w:bottom w:space="0" w:sz="0" w:val="nil"/>
          <w:right w:space="0" w:sz="0" w:val="nil"/>
          <w:between w:space="0" w:sz="0" w:val="nil"/>
        </w:pBdr>
        <w:spacing w:line="360" w:lineRule="auto"/>
        <w:ind w:left="1077" w:hanging="360"/>
        <w:jc w:val="center"/>
        <w:rPr>
          <w:rFonts w:ascii="Palatino Linotype" w:cs="Palatino Linotype" w:eastAsia="Palatino Linotype" w:hAnsi="Palatino Linotype"/>
          <w:b w:val="1"/>
          <w:color w:val="000000"/>
          <w:sz w:val="22"/>
          <w:szCs w:val="22"/>
        </w:rPr>
      </w:pPr>
      <w:bookmarkStart w:colFirst="0" w:colLast="0" w:name="_heading=h.30j0zll" w:id="2"/>
      <w:bookmarkEnd w:id="2"/>
      <w:r w:rsidDel="00000000" w:rsidR="00000000" w:rsidRPr="00000000">
        <w:rPr>
          <w:rFonts w:ascii="Palatino Linotype" w:cs="Palatino Linotype" w:eastAsia="Palatino Linotype" w:hAnsi="Palatino Linotype"/>
          <w:b w:val="1"/>
          <w:color w:val="000000"/>
          <w:sz w:val="22"/>
          <w:szCs w:val="22"/>
          <w:rtl w:val="0"/>
        </w:rPr>
        <w:t xml:space="preserve">C O N S I D E R A N D O:</w:t>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line="360" w:lineRule="auto"/>
        <w:ind w:left="1077" w:firstLine="0"/>
        <w:jc w:val="center"/>
        <w:rPr>
          <w:rFonts w:ascii="Palatino Linotype" w:cs="Palatino Linotype" w:eastAsia="Palatino Linotype" w:hAnsi="Palatino Linotype"/>
          <w:b w:val="1"/>
          <w:color w:val="000000"/>
          <w:sz w:val="22"/>
          <w:szCs w:val="22"/>
        </w:rPr>
      </w:pPr>
      <w:r w:rsidDel="00000000" w:rsidR="00000000" w:rsidRPr="00000000">
        <w:rPr>
          <w:rtl w:val="0"/>
        </w:rPr>
      </w:r>
    </w:p>
    <w:p w:rsidR="00000000" w:rsidDel="00000000" w:rsidP="00000000" w:rsidRDefault="00000000" w:rsidRPr="00000000" w14:paraId="0000002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Primero. Competencia. </w:t>
      </w:r>
      <w:r w:rsidDel="00000000" w:rsidR="00000000" w:rsidRPr="00000000">
        <w:rPr>
          <w:rFonts w:ascii="Palatino Linotype" w:cs="Palatino Linotype" w:eastAsia="Palatino Linotype" w:hAnsi="Palatino Linotype"/>
          <w:sz w:val="22"/>
          <w:szCs w:val="22"/>
          <w:rtl w:val="0"/>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séptimo, trigésimo octavo y trigésimo noveno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30">
      <w:pP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3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Segundo. Oportunidad y Procedibilidad del Recurso de Revisión</w:t>
      </w:r>
      <w:r w:rsidDel="00000000" w:rsidR="00000000" w:rsidRPr="00000000">
        <w:rPr>
          <w:rFonts w:ascii="Palatino Linotype" w:cs="Palatino Linotype" w:eastAsia="Palatino Linotype" w:hAnsi="Palatino Linotype"/>
          <w:sz w:val="22"/>
          <w:szCs w:val="22"/>
          <w:rtl w:val="0"/>
        </w:rPr>
        <w:t xml:space="preserve">.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000000" w:rsidDel="00000000" w:rsidP="00000000" w:rsidRDefault="00000000" w:rsidRPr="00000000" w14:paraId="00000032">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recurso de revisión fue interpuesto dentro del plazo de quince días hábiles, previsto en el artículo 178 de la Ley de Transparencia y Acceso a la Información Pública del Estado de México y Municipios, ya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proporcionó su respuesta a la solicitud de información el </w:t>
      </w:r>
      <w:r w:rsidDel="00000000" w:rsidR="00000000" w:rsidRPr="00000000">
        <w:rPr>
          <w:rFonts w:ascii="Palatino Linotype" w:cs="Palatino Linotype" w:eastAsia="Palatino Linotype" w:hAnsi="Palatino Linotype"/>
          <w:b w:val="1"/>
          <w:sz w:val="22"/>
          <w:szCs w:val="22"/>
          <w:rtl w:val="0"/>
        </w:rPr>
        <w:t xml:space="preserve">veinticuatro de febrero de dos mil veinticinco</w:t>
      </w:r>
      <w:r w:rsidDel="00000000" w:rsidR="00000000" w:rsidRPr="00000000">
        <w:rPr>
          <w:rFonts w:ascii="Palatino Linotype" w:cs="Palatino Linotype" w:eastAsia="Palatino Linotype" w:hAnsi="Palatino Linotype"/>
          <w:sz w:val="22"/>
          <w:szCs w:val="22"/>
          <w:rtl w:val="0"/>
        </w:rPr>
        <w:t xml:space="preserve">, y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presentó su recurso de revisión el </w:t>
      </w:r>
      <w:r w:rsidDel="00000000" w:rsidR="00000000" w:rsidRPr="00000000">
        <w:rPr>
          <w:rFonts w:ascii="Palatino Linotype" w:cs="Palatino Linotype" w:eastAsia="Palatino Linotype" w:hAnsi="Palatino Linotype"/>
          <w:b w:val="1"/>
          <w:sz w:val="22"/>
          <w:szCs w:val="22"/>
          <w:rtl w:val="0"/>
        </w:rPr>
        <w:t xml:space="preserve">cuatro de marzo de dos mil veinticinco</w:t>
      </w: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esto es al  quinto día en que se tuvo conocimiento de la respuesta. </w:t>
      </w:r>
    </w:p>
    <w:p w:rsidR="00000000" w:rsidDel="00000000" w:rsidP="00000000" w:rsidRDefault="00000000" w:rsidRPr="00000000" w14:paraId="00000033">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4">
      <w:pPr>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De acuerdo con 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Del="00000000" w:rsidR="00000000" w:rsidRPr="00000000">
        <w:rPr>
          <w:rFonts w:ascii="Palatino Linotype" w:cs="Palatino Linotype" w:eastAsia="Palatino Linotype" w:hAnsi="Palatino Linotype"/>
          <w:b w:val="1"/>
          <w:sz w:val="22"/>
          <w:szCs w:val="22"/>
          <w:rtl w:val="0"/>
        </w:rPr>
        <w:t xml:space="preserve">EL SAIMEX.</w:t>
      </w:r>
    </w:p>
    <w:p w:rsidR="00000000" w:rsidDel="00000000" w:rsidP="00000000" w:rsidRDefault="00000000" w:rsidRPr="00000000" w14:paraId="00000035">
      <w:pPr>
        <w:spacing w:line="360" w:lineRule="auto"/>
        <w:jc w:val="both"/>
        <w:rPr>
          <w:rFonts w:ascii="Palatino Linotype" w:cs="Palatino Linotype" w:eastAsia="Palatino Linotype" w:hAnsi="Palatino Linotype"/>
          <w:color w:val="000000"/>
          <w:sz w:val="22"/>
          <w:szCs w:val="22"/>
        </w:rPr>
      </w:pPr>
      <w:r w:rsidDel="00000000" w:rsidR="00000000" w:rsidRPr="00000000">
        <w:rPr>
          <w:rtl w:val="0"/>
        </w:rPr>
      </w:r>
    </w:p>
    <w:p w:rsidR="00000000" w:rsidDel="00000000" w:rsidP="00000000" w:rsidRDefault="00000000" w:rsidRPr="00000000" w14:paraId="00000036">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resulta procedente la interposición del recurso de revisión al rubro anotado, toda vez que se actualiza las hipótesis previstas en el artículo 179, fracción I de la ley de la materia, que a la letra dice:</w:t>
      </w:r>
    </w:p>
    <w:p w:rsidR="00000000" w:rsidDel="00000000" w:rsidP="00000000" w:rsidRDefault="00000000" w:rsidRPr="00000000" w14:paraId="0000003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8">
      <w:pP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179. </w:t>
      </w:r>
      <w:r w:rsidDel="00000000" w:rsidR="00000000" w:rsidRPr="00000000">
        <w:rPr>
          <w:rFonts w:ascii="Palatino Linotype" w:cs="Palatino Linotype" w:eastAsia="Palatino Linotype" w:hAnsi="Palatino Linotype"/>
          <w:i w:val="1"/>
          <w:sz w:val="22"/>
          <w:szCs w:val="22"/>
          <w:rtl w:val="0"/>
        </w:rPr>
        <w:t xml:space="preserve">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39">
      <w:pP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3A">
      <w:pPr>
        <w:spacing w:line="36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La negativa de entrega de la información</w:t>
      </w:r>
    </w:p>
    <w:p w:rsidR="00000000" w:rsidDel="00000000" w:rsidP="00000000" w:rsidRDefault="00000000" w:rsidRPr="00000000" w14:paraId="0000003B">
      <w:pPr>
        <w:spacing w:line="360" w:lineRule="auto"/>
        <w:ind w:left="567" w:right="616" w:firstLine="0"/>
        <w:jc w:val="both"/>
        <w:rPr>
          <w:rFonts w:ascii="Palatino Linotype" w:cs="Palatino Linotype" w:eastAsia="Palatino Linotype" w:hAnsi="Palatino Linotype"/>
          <w:i w:val="1"/>
          <w:color w:val="ff0000"/>
          <w:sz w:val="22"/>
          <w:szCs w:val="22"/>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tl w:val="0"/>
        </w:rPr>
      </w:r>
    </w:p>
    <w:p w:rsidR="00000000" w:rsidDel="00000000" w:rsidP="00000000" w:rsidRDefault="00000000" w:rsidRPr="00000000" w14:paraId="0000003C">
      <w:pPr>
        <w:spacing w:line="360" w:lineRule="auto"/>
        <w:ind w:left="567" w:right="616" w:firstLine="0"/>
        <w:jc w:val="both"/>
        <w:rPr>
          <w:rFonts w:ascii="Palatino Linotype" w:cs="Palatino Linotype" w:eastAsia="Palatino Linotype" w:hAnsi="Palatino Linotype"/>
          <w:i w:val="1"/>
          <w:color w:val="ff0000"/>
          <w:sz w:val="22"/>
          <w:szCs w:val="22"/>
        </w:rPr>
      </w:pPr>
      <w:r w:rsidDel="00000000" w:rsidR="00000000" w:rsidRPr="00000000">
        <w:rPr>
          <w:rtl w:val="0"/>
        </w:rPr>
      </w:r>
    </w:p>
    <w:p w:rsidR="00000000" w:rsidDel="00000000" w:rsidP="00000000" w:rsidRDefault="00000000" w:rsidRPr="00000000" w14:paraId="0000003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Tercero. Análisis de las causales de sobreseimiento del recurso de revisión. </w:t>
      </w:r>
      <w:r w:rsidDel="00000000" w:rsidR="00000000" w:rsidRPr="00000000">
        <w:rPr>
          <w:rFonts w:ascii="Palatino Linotype" w:cs="Palatino Linotype" w:eastAsia="Palatino Linotype" w:hAnsi="Palatino Linotype"/>
          <w:sz w:val="22"/>
          <w:szCs w:val="22"/>
          <w:rtl w:val="0"/>
        </w:rPr>
        <w:t xml:space="preserve">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000000" w:rsidDel="00000000" w:rsidP="00000000" w:rsidRDefault="00000000" w:rsidRPr="00000000" w14:paraId="0000003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Siendo una facultad legal entrar al estudio de las causas de improcedencia que hagan valer las partes o que se adviertan de oficio por este Instituto;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 Estudio de causales de improcedencia que no son incompatibles con el derecho de acceso a la justicia, ya que éste no se coarta por regular causas de improcedencia y sobreseimiento con tales fines.</w:t>
      </w:r>
    </w:p>
    <w:p w:rsidR="00000000" w:rsidDel="00000000" w:rsidP="00000000" w:rsidRDefault="00000000" w:rsidRPr="00000000" w14:paraId="0000004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1">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manera preliminar en el caso concreto conviene analizar si se actualiza alguna de las causales de sobreseimiento del recurso de revisión.</w:t>
      </w:r>
    </w:p>
    <w:p w:rsidR="00000000" w:rsidDel="00000000" w:rsidP="00000000" w:rsidRDefault="00000000" w:rsidRPr="00000000" w14:paraId="00000042">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3">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este tenor, del análisis de la solicitud de información motivo del recurso de revisión que ahora se resuelve, se advierte que la persona solicitante requirió al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textualmente lo siguiente: </w:t>
      </w:r>
    </w:p>
    <w:p w:rsidR="00000000" w:rsidDel="00000000" w:rsidP="00000000" w:rsidRDefault="00000000" w:rsidRPr="00000000" w14:paraId="00000044">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5">
      <w:pPr>
        <w:numPr>
          <w:ilvl w:val="0"/>
          <w:numId w:val="5"/>
        </w:numPr>
        <w:pBdr>
          <w:top w:space="0" w:sz="0" w:val="nil"/>
          <w:left w:space="0" w:sz="0" w:val="nil"/>
          <w:bottom w:space="0" w:sz="0" w:val="nil"/>
          <w:right w:space="0" w:sz="0" w:val="nil"/>
          <w:between w:space="0" w:sz="0" w:val="nil"/>
        </w:pBdr>
        <w:spacing w:line="276" w:lineRule="auto"/>
        <w:ind w:left="720" w:hanging="36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No se por que </w:t>
      </w:r>
      <w:r w:rsidDel="00000000" w:rsidR="00000000" w:rsidRPr="00000000">
        <w:rPr>
          <w:rFonts w:ascii="Palatino Linotype" w:cs="Palatino Linotype" w:eastAsia="Palatino Linotype" w:hAnsi="Palatino Linotype"/>
          <w:b w:val="1"/>
          <w:i w:val="1"/>
          <w:color w:val="000000"/>
          <w:sz w:val="22"/>
          <w:szCs w:val="22"/>
          <w:u w:val="single"/>
          <w:rtl w:val="0"/>
        </w:rPr>
        <w:t xml:space="preserve">regresaron a la </w:t>
      </w:r>
      <w:r w:rsidDel="00000000" w:rsidR="00000000" w:rsidRPr="00000000">
        <w:rPr>
          <w:rFonts w:ascii="Palatino Linotype" w:cs="Palatino Linotype" w:eastAsia="Palatino Linotype" w:hAnsi="Palatino Linotype"/>
          <w:b w:val="1"/>
          <w:i w:val="1"/>
          <w:sz w:val="22"/>
          <w:szCs w:val="22"/>
          <w:u w:val="single"/>
          <w:rtl w:val="0"/>
        </w:rPr>
        <w:t xml:space="preserve">XXXXX</w:t>
      </w:r>
      <w:r w:rsidDel="00000000" w:rsidR="00000000" w:rsidRPr="00000000">
        <w:rPr>
          <w:rFonts w:ascii="Palatino Linotype" w:cs="Palatino Linotype" w:eastAsia="Palatino Linotype" w:hAnsi="Palatino Linotype"/>
          <w:b w:val="1"/>
          <w:i w:val="1"/>
          <w:color w:val="000000"/>
          <w:sz w:val="22"/>
          <w:szCs w:val="22"/>
          <w:u w:val="single"/>
          <w:rtl w:val="0"/>
        </w:rPr>
        <w:t xml:space="preserve"> y </w:t>
      </w:r>
      <w:r w:rsidDel="00000000" w:rsidR="00000000" w:rsidRPr="00000000">
        <w:rPr>
          <w:rFonts w:ascii="Palatino Linotype" w:cs="Palatino Linotype" w:eastAsia="Palatino Linotype" w:hAnsi="Palatino Linotype"/>
          <w:b w:val="1"/>
          <w:i w:val="1"/>
          <w:sz w:val="22"/>
          <w:szCs w:val="22"/>
          <w:u w:val="single"/>
          <w:rtl w:val="0"/>
        </w:rPr>
        <w:t xml:space="preserve">XXXXXXXXXX </w:t>
      </w:r>
      <w:r w:rsidDel="00000000" w:rsidR="00000000" w:rsidRPr="00000000">
        <w:rPr>
          <w:rFonts w:ascii="Palatino Linotype" w:cs="Palatino Linotype" w:eastAsia="Palatino Linotype" w:hAnsi="Palatino Linotype"/>
          <w:b w:val="1"/>
          <w:i w:val="1"/>
          <w:color w:val="000000"/>
          <w:sz w:val="22"/>
          <w:szCs w:val="22"/>
          <w:u w:val="single"/>
          <w:rtl w:val="0"/>
        </w:rPr>
        <w:t xml:space="preserve">de Beatriz Romero a Transparencia, si desde que estaba con la pachangas no hace las cosas bien</w:t>
      </w:r>
      <w:r w:rsidDel="00000000" w:rsidR="00000000" w:rsidRPr="00000000">
        <w:rPr>
          <w:rFonts w:ascii="Palatino Linotype" w:cs="Palatino Linotype" w:eastAsia="Palatino Linotype" w:hAnsi="Palatino Linotype"/>
          <w:i w:val="1"/>
          <w:color w:val="000000"/>
          <w:sz w:val="22"/>
          <w:szCs w:val="22"/>
          <w:rtl w:val="0"/>
        </w:rPr>
        <w:t xml:space="preserve">, por eso requiero su curriculum, recibo de nómina y certificado de competencia laboral</w:t>
      </w:r>
    </w:p>
    <w:p w:rsidR="00000000" w:rsidDel="00000000" w:rsidP="00000000" w:rsidRDefault="00000000" w:rsidRPr="00000000" w14:paraId="00000046">
      <w:pPr>
        <w:spacing w:line="276" w:lineRule="auto"/>
        <w:ind w:left="36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47">
      <w:pPr>
        <w:spacing w:line="276" w:lineRule="auto"/>
        <w:ind w:left="36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4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respuesta, la Titular de la Unidad de Transparencia informó que, el solicitante había manifestado expresiones irrespetuosas y juicios de valor que pretenden menospreciar a la servidora pública. </w:t>
      </w:r>
    </w:p>
    <w:p w:rsidR="00000000" w:rsidDel="00000000" w:rsidP="00000000" w:rsidRDefault="00000000" w:rsidRPr="00000000" w14:paraId="0000004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Derivado de ello, la parte Recurrente se inconformó arguyendo que no se había entregado la información solicitada. </w:t>
      </w:r>
    </w:p>
    <w:p w:rsidR="00000000" w:rsidDel="00000000" w:rsidP="00000000" w:rsidRDefault="00000000" w:rsidRPr="00000000" w14:paraId="0000004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C">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22"/>
          <w:szCs w:val="22"/>
          <w:rtl w:val="0"/>
        </w:rPr>
        <w:t xml:space="preserve">El Sujeto Obligado, ratificó su respuesta inicial. </w:t>
      </w:r>
      <w:r w:rsidDel="00000000" w:rsidR="00000000" w:rsidRPr="00000000">
        <w:rPr>
          <w:rtl w:val="0"/>
        </w:rPr>
      </w:r>
    </w:p>
    <w:p w:rsidR="00000000" w:rsidDel="00000000" w:rsidP="00000000" w:rsidRDefault="00000000" w:rsidRPr="00000000" w14:paraId="0000004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E">
      <w:pPr>
        <w:spacing w:line="360" w:lineRule="auto"/>
        <w:jc w:val="both"/>
        <w:rPr>
          <w:rFonts w:ascii="Palatino Linotype" w:cs="Palatino Linotype" w:eastAsia="Palatino Linotype" w:hAnsi="Palatino Linotype"/>
          <w:sz w:val="22"/>
          <w:szCs w:val="22"/>
        </w:rPr>
      </w:pPr>
      <w:bookmarkStart w:colFirst="0" w:colLast="0" w:name="_heading=h.2et92p0" w:id="3"/>
      <w:bookmarkEnd w:id="3"/>
      <w:r w:rsidDel="00000000" w:rsidR="00000000" w:rsidRPr="00000000">
        <w:rPr>
          <w:rFonts w:ascii="Palatino Linotype" w:cs="Palatino Linotype" w:eastAsia="Palatino Linotype" w:hAnsi="Palatino Linotype"/>
          <w:sz w:val="22"/>
          <w:szCs w:val="22"/>
          <w:rtl w:val="0"/>
        </w:rPr>
        <w:t xml:space="preserve">Como se advierte de lo anteriormente expuesto, la persona solicitante realizó una expresión irrespetuosa en contra de una persona servidora pública, con un término cargado de opinión y juicios de valor, lo cual es subjetivo, ya que refleja la opinión de quien lo dice, y de su lectura se advierte la intención de exhibir a la persona en comento. </w:t>
      </w:r>
    </w:p>
    <w:p w:rsidR="00000000" w:rsidDel="00000000" w:rsidP="00000000" w:rsidRDefault="00000000" w:rsidRPr="00000000" w14:paraId="0000004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0">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Dichos textos atentan directamente contra el prestigio de la persona referida, ya que deliberadamente mediante un lenguaje inapropiado respecto a esta persona como “</w:t>
      </w:r>
      <w:r w:rsidDel="00000000" w:rsidR="00000000" w:rsidRPr="00000000">
        <w:rPr>
          <w:rFonts w:ascii="Palatino Linotype" w:cs="Palatino Linotype" w:eastAsia="Palatino Linotype" w:hAnsi="Palatino Linotype"/>
          <w:i w:val="1"/>
          <w:sz w:val="22"/>
          <w:szCs w:val="22"/>
          <w:rtl w:val="0"/>
        </w:rPr>
        <w:t xml:space="preserve">No se por que regresaron a la XXXXX y XXXXXXXXXX de Beatriz Romero a Transparencia, si desde que estaba con la pachangas no hace las cosas bien…”</w:t>
      </w:r>
      <w:r w:rsidDel="00000000" w:rsidR="00000000" w:rsidRPr="00000000">
        <w:rPr>
          <w:rFonts w:ascii="Palatino Linotype" w:cs="Palatino Linotype" w:eastAsia="Palatino Linotype" w:hAnsi="Palatino Linotype"/>
          <w:sz w:val="22"/>
          <w:szCs w:val="22"/>
          <w:rtl w:val="0"/>
        </w:rPr>
        <w:t xml:space="preserve"> (Sic), sin que ello sea el fin último de las solicitudes de información y sus medios de impugnación.</w:t>
      </w:r>
    </w:p>
    <w:p w:rsidR="00000000" w:rsidDel="00000000" w:rsidP="00000000" w:rsidRDefault="00000000" w:rsidRPr="00000000" w14:paraId="0000005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2">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sentido, se considera que el derecho de acceso a la información pública </w:t>
      </w:r>
      <w:r w:rsidDel="00000000" w:rsidR="00000000" w:rsidRPr="00000000">
        <w:rPr>
          <w:rFonts w:ascii="Palatino Linotype" w:cs="Palatino Linotype" w:eastAsia="Palatino Linotype" w:hAnsi="Palatino Linotype"/>
          <w:b w:val="1"/>
          <w:sz w:val="22"/>
          <w:szCs w:val="22"/>
          <w:rtl w:val="0"/>
        </w:rPr>
        <w:t xml:space="preserve">debe ser ejercido de forma respetuosa,</w:t>
      </w:r>
      <w:r w:rsidDel="00000000" w:rsidR="00000000" w:rsidRPr="00000000">
        <w:rPr>
          <w:rFonts w:ascii="Palatino Linotype" w:cs="Palatino Linotype" w:eastAsia="Palatino Linotype" w:hAnsi="Palatino Linotype"/>
          <w:sz w:val="22"/>
          <w:szCs w:val="22"/>
          <w:rtl w:val="0"/>
        </w:rPr>
        <w:t xml:space="preserve"> sin usar lenguaje altisonante, usando groserías o expresiones insultantes, en doble sentido, o bien, apoyándose de apodos para referirse a personas relacionadas con la función pública, cuya finalidad o intención sea ocasionar agravios en la moral de estas.</w:t>
      </w:r>
    </w:p>
    <w:p w:rsidR="00000000" w:rsidDel="00000000" w:rsidP="00000000" w:rsidRDefault="00000000" w:rsidRPr="00000000" w14:paraId="00000053">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Se considera que no se puede ejercer el derecho de acceso a la información ni el recurso de revisión para injuriar e insultar a cualquier persona relacionada con la función pública, es decir, faltando al respeto, y que dicha falta de respeto se normalice, se pase por alto como si los insultos, las injurias, las ofensas no estuvieran escritas en las solicitudes de acceso a la información o en el recurso de revisión, máxime que, como se repite su fin es hacer insultar y/o lastimar la moral de las personas relacionadas con la función pública.</w:t>
      </w:r>
    </w:p>
    <w:p w:rsidR="00000000" w:rsidDel="00000000" w:rsidP="00000000" w:rsidRDefault="00000000" w:rsidRPr="00000000" w14:paraId="00000054">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sz w:val="22"/>
          <w:szCs w:val="22"/>
          <w:rtl w:val="0"/>
        </w:rPr>
        <w:t xml:space="preserve">Corolario a lo anterior es de hacer notar, como referencia concatenada, lo que establece el artículo 8 de la Constitución Política de los Estados Unidos Mexicanos, que para el caso que nos ocupa, reza:</w:t>
      </w:r>
      <w:r w:rsidDel="00000000" w:rsidR="00000000" w:rsidRPr="00000000">
        <w:rPr>
          <w:rFonts w:ascii="Palatino Linotype" w:cs="Palatino Linotype" w:eastAsia="Palatino Linotype" w:hAnsi="Palatino Linotype"/>
          <w:i w:val="1"/>
          <w:sz w:val="22"/>
          <w:szCs w:val="22"/>
          <w:rtl w:val="0"/>
        </w:rPr>
        <w:tab/>
      </w:r>
    </w:p>
    <w:p w:rsidR="00000000" w:rsidDel="00000000" w:rsidP="00000000" w:rsidRDefault="00000000" w:rsidRPr="00000000" w14:paraId="00000056">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ind w:left="851"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8o</w:t>
      </w:r>
      <w:r w:rsidDel="00000000" w:rsidR="00000000" w:rsidRPr="00000000">
        <w:rPr>
          <w:rFonts w:ascii="Palatino Linotype" w:cs="Palatino Linotype" w:eastAsia="Palatino Linotype" w:hAnsi="Palatino Linotype"/>
          <w:i w:val="1"/>
          <w:sz w:val="22"/>
          <w:szCs w:val="22"/>
          <w:rtl w:val="0"/>
        </w:rPr>
        <w:t xml:space="preserve">. Los funcionarios y empleados públicos respetarán el ejercicio del derecho de petición, siempre que ésta se formule por escrito, </w:t>
      </w:r>
      <w:r w:rsidDel="00000000" w:rsidR="00000000" w:rsidRPr="00000000">
        <w:rPr>
          <w:rFonts w:ascii="Palatino Linotype" w:cs="Palatino Linotype" w:eastAsia="Palatino Linotype" w:hAnsi="Palatino Linotype"/>
          <w:b w:val="1"/>
          <w:i w:val="1"/>
          <w:sz w:val="22"/>
          <w:szCs w:val="22"/>
          <w:u w:val="single"/>
          <w:rtl w:val="0"/>
        </w:rPr>
        <w:t xml:space="preserve">de manera pacífica y respetuosa</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 bien es cierto que la naturaleza jurídica del bien tutelado por los artículos 6 y 8 de la Constitución son distintos, lo cierto es que de una interpretación adminiculada respecto del respeto, se homologa, pues no podemos interpretar a contrario sensu que si el artículo 8 dice: “de manera pacífica y respetuosa”, se entienda que como no lo establece el artículo 6 entonces se puedan hacer las solicitudes de manera no pacífica e irrespetuosa, claro que no, y no se discute en este punto la diferencia del bien jurídico tutelado por cada artículo, sino la similitud de estos dos artículos en la forma de ejercer dichos derechos.</w:t>
      </w:r>
    </w:p>
    <w:p w:rsidR="00000000" w:rsidDel="00000000" w:rsidP="00000000" w:rsidRDefault="00000000" w:rsidRPr="00000000" w14:paraId="0000005A">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mismo orden de ideas el artículo 9 Constitucional, refiere:</w:t>
      </w:r>
    </w:p>
    <w:p w:rsidR="00000000" w:rsidDel="00000000" w:rsidP="00000000" w:rsidRDefault="00000000" w:rsidRPr="00000000" w14:paraId="0000005C">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ind w:left="567"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“No se considerará ilegal, y no podrá ser disuelta una asamblea o reunión que tenga por objeto hacer una petición o presentar una protesta por algún acto, a una autoridad, </w:t>
      </w:r>
      <w:r w:rsidDel="00000000" w:rsidR="00000000" w:rsidRPr="00000000">
        <w:rPr>
          <w:rFonts w:ascii="Palatino Linotype" w:cs="Palatino Linotype" w:eastAsia="Palatino Linotype" w:hAnsi="Palatino Linotype"/>
          <w:b w:val="1"/>
          <w:i w:val="1"/>
          <w:sz w:val="22"/>
          <w:szCs w:val="22"/>
          <w:u w:val="single"/>
          <w:rtl w:val="0"/>
        </w:rPr>
        <w:t xml:space="preserve">si no se profieren injurias</w:t>
      </w:r>
      <w:r w:rsidDel="00000000" w:rsidR="00000000" w:rsidRPr="00000000">
        <w:rPr>
          <w:rFonts w:ascii="Palatino Linotype" w:cs="Palatino Linotype" w:eastAsia="Palatino Linotype" w:hAnsi="Palatino Linotype"/>
          <w:i w:val="1"/>
          <w:sz w:val="22"/>
          <w:szCs w:val="22"/>
          <w:rtl w:val="0"/>
        </w:rPr>
        <w:t xml:space="preserve"> contra ésta,…”</w:t>
      </w: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 </w:t>
      </w:r>
      <w:r w:rsidDel="00000000" w:rsidR="00000000" w:rsidRPr="00000000">
        <w:rPr>
          <w:rFonts w:ascii="Palatino Linotype" w:cs="Palatino Linotype" w:eastAsia="Palatino Linotype" w:hAnsi="Palatino Linotype"/>
          <w:i w:val="1"/>
          <w:sz w:val="22"/>
          <w:szCs w:val="22"/>
          <w:rtl w:val="0"/>
        </w:rPr>
        <w:t xml:space="preserve">contrario sensu</w:t>
      </w:r>
      <w:r w:rsidDel="00000000" w:rsidR="00000000" w:rsidRPr="00000000">
        <w:rPr>
          <w:rFonts w:ascii="Palatino Linotype" w:cs="Palatino Linotype" w:eastAsia="Palatino Linotype" w:hAnsi="Palatino Linotype"/>
          <w:sz w:val="22"/>
          <w:szCs w:val="22"/>
          <w:rtl w:val="0"/>
        </w:rPr>
        <w:t xml:space="preserve">, el derecho de asociación será ilegal y la asociación que resulte, disuelta, si su petición menciona injurias contra la autoridades, tampoco se discute en el presente apartado la diferencia de bien jurídico tutelado entre el artículo 6 y 8, sino la similitud en el pedir o solicitar de las autoridades algo, de forma análoga podemos ver que se pueden hacer protestas solicitando algo de la autoridad, pero sin injuriarla, sin insultarla y ello conlleva a sus personas funcionarias públicas.</w:t>
      </w:r>
    </w:p>
    <w:p w:rsidR="00000000" w:rsidDel="00000000" w:rsidP="00000000" w:rsidRDefault="00000000" w:rsidRPr="00000000" w14:paraId="0000005F">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u w:val="single"/>
        </w:rPr>
      </w:pPr>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Hasta aquí cabe hacer mención que los bienes jurídicos tutelados por los artículos 6, 8, y 9, son distintos, claro, se repite, eso no está en tema de análisis, pero su concatenación e interpretación de forma armónica sí, resulta contradictorio interpretar que para ejercer los bienes jurídicos consagrados en el artículo 8 si se tengan que hacer de forma respetuosa cuando se solicita algo de las autoridades, pero que del derecho de acceso a la información cuando se les pide a las mismas autoridades se pueda ofender, injuriar, calumniar, insultar, usar lenguaje ofensivo, etc. </w:t>
      </w:r>
    </w:p>
    <w:p w:rsidR="00000000" w:rsidDel="00000000" w:rsidP="00000000" w:rsidRDefault="00000000" w:rsidRPr="00000000" w14:paraId="00000061">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es necesario precisar que el bien jurídico tutelado que establece la Constitución Política de los Estados Unidos Mexicanos en su artículo 6, inciso A fracción III:</w:t>
      </w:r>
    </w:p>
    <w:p w:rsidR="00000000" w:rsidDel="00000000" w:rsidP="00000000" w:rsidRDefault="00000000" w:rsidRPr="00000000" w14:paraId="00000063">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ind w:left="567"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6o</w:t>
      </w:r>
      <w:r w:rsidDel="00000000" w:rsidR="00000000" w:rsidRPr="00000000">
        <w:rPr>
          <w:rFonts w:ascii="Palatino Linotype" w:cs="Palatino Linotype" w:eastAsia="Palatino Linotype" w:hAnsi="Palatino Linotype"/>
          <w:i w:val="1"/>
          <w:sz w:val="22"/>
          <w:szCs w:val="22"/>
          <w:rtl w:val="0"/>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ind w:left="567"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ind w:left="567"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A.</w:t>
      </w:r>
      <w:r w:rsidDel="00000000" w:rsidR="00000000" w:rsidRPr="00000000">
        <w:rPr>
          <w:rFonts w:ascii="Palatino Linotype" w:cs="Palatino Linotype" w:eastAsia="Palatino Linotype" w:hAnsi="Palatino Linotype"/>
          <w:i w:val="1"/>
          <w:sz w:val="22"/>
          <w:szCs w:val="22"/>
          <w:rtl w:val="0"/>
        </w:rPr>
        <w:t xml:space="preserve"> Para el ejercicio del derecho de acceso a la información, la Federación y las entidades federativas, en el ámbito de sus respectivas competencias, se regirán por los siguientes principios y bases:</w:t>
      </w: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ind w:left="567"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Toda persona, sin </w:t>
      </w:r>
      <w:r w:rsidDel="00000000" w:rsidR="00000000" w:rsidRPr="00000000">
        <w:rPr>
          <w:rFonts w:ascii="Palatino Linotype" w:cs="Palatino Linotype" w:eastAsia="Palatino Linotype" w:hAnsi="Palatino Linotype"/>
          <w:b w:val="1"/>
          <w:i w:val="1"/>
          <w:sz w:val="22"/>
          <w:szCs w:val="22"/>
          <w:u w:val="single"/>
          <w:rtl w:val="0"/>
        </w:rPr>
        <w:t xml:space="preserve">necesidad de acreditar interés alguno</w:t>
      </w:r>
      <w:r w:rsidDel="00000000" w:rsidR="00000000" w:rsidRPr="00000000">
        <w:rPr>
          <w:rFonts w:ascii="Palatino Linotype" w:cs="Palatino Linotype" w:eastAsia="Palatino Linotype" w:hAnsi="Palatino Linotype"/>
          <w:i w:val="1"/>
          <w:sz w:val="22"/>
          <w:szCs w:val="22"/>
          <w:rtl w:val="0"/>
        </w:rPr>
        <w:t xml:space="preserve"> o justificar su utilización, tendrá acceso gratuito a la información pública, a sus datos personales o a la rectificación de éstos.”</w:t>
      </w:r>
    </w:p>
    <w:p w:rsidR="00000000" w:rsidDel="00000000" w:rsidP="00000000" w:rsidRDefault="00000000" w:rsidRPr="00000000" w14:paraId="00000069">
      <w:pPr>
        <w:pBdr>
          <w:top w:space="0" w:sz="0" w:val="nil"/>
          <w:left w:space="0" w:sz="0" w:val="nil"/>
          <w:bottom w:space="0" w:sz="0" w:val="nil"/>
          <w:right w:space="0" w:sz="0" w:val="nil"/>
          <w:between w:space="0" w:sz="0" w:val="nil"/>
        </w:pBdr>
        <w:spacing w:line="360" w:lineRule="auto"/>
        <w:ind w:left="567" w:right="902"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el derecho de acceso a la información pública, “…</w:t>
      </w:r>
      <w:r w:rsidDel="00000000" w:rsidR="00000000" w:rsidRPr="00000000">
        <w:rPr>
          <w:rFonts w:ascii="Palatino Linotype" w:cs="Palatino Linotype" w:eastAsia="Palatino Linotype" w:hAnsi="Palatino Linotype"/>
          <w:b w:val="1"/>
          <w:sz w:val="22"/>
          <w:szCs w:val="22"/>
          <w:u w:val="single"/>
          <w:rtl w:val="0"/>
        </w:rPr>
        <w:t xml:space="preserve">sin necesidad de acreditar interés alguno</w:t>
      </w:r>
      <w:r w:rsidDel="00000000" w:rsidR="00000000" w:rsidRPr="00000000">
        <w:rPr>
          <w:rFonts w:ascii="Palatino Linotype" w:cs="Palatino Linotype" w:eastAsia="Palatino Linotype" w:hAnsi="Palatino Linotype"/>
          <w:sz w:val="22"/>
          <w:szCs w:val="22"/>
          <w:rtl w:val="0"/>
        </w:rPr>
        <w:t xml:space="preserve">…” es para acceder a la información pública, en ningún momento y bajo ninguna circunstancia se puede interpretar que no acreditar interés pueda conllevar insultos, faltas de respeto, injurias, burlas, groserías y demás lenguaje grosero, cuya intención sea ocasionar agravios morales a los funcionarios públicos.</w:t>
      </w:r>
    </w:p>
    <w:p w:rsidR="00000000" w:rsidDel="00000000" w:rsidP="00000000" w:rsidRDefault="00000000" w:rsidRPr="00000000" w14:paraId="0000006B">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decir, se considera que no se ejerce el bien jurídico tutelado en el artículo 6 (acceder a la información pública) si su objetivo es insultar y denigrar a los funcionarios públicos, si bien es cierto, en el presente caso hay materia de transparencia, no menos cierto es que no se observaron las formas respetuosas que consagra el artículo 8, antes citado, aplica de forma general y adminiculada con las demás disposiciones constitucionales, por lo tanto, </w:t>
      </w:r>
      <w:r w:rsidDel="00000000" w:rsidR="00000000" w:rsidRPr="00000000">
        <w:rPr>
          <w:rFonts w:ascii="Palatino Linotype" w:cs="Palatino Linotype" w:eastAsia="Palatino Linotype" w:hAnsi="Palatino Linotype"/>
          <w:b w:val="1"/>
          <w:sz w:val="22"/>
          <w:szCs w:val="22"/>
          <w:rtl w:val="0"/>
        </w:rPr>
        <w:t xml:space="preserve">se exhorta a la persona solicitante a que se abstenga de usar expresiones irrespetuosas pues de lo contrario, no se podría ejercer el derecho de acceso a la información pública si primigeniamente no hay un lenguaje que respete a las personas servidoras públicas o relacionadas con la función pública</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06D">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E">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Entonces podemos concluir que “…</w:t>
      </w:r>
      <w:r w:rsidDel="00000000" w:rsidR="00000000" w:rsidRPr="00000000">
        <w:rPr>
          <w:rFonts w:ascii="Palatino Linotype" w:cs="Palatino Linotype" w:eastAsia="Palatino Linotype" w:hAnsi="Palatino Linotype"/>
          <w:b w:val="1"/>
          <w:i w:val="1"/>
          <w:sz w:val="22"/>
          <w:szCs w:val="22"/>
          <w:u w:val="single"/>
          <w:rtl w:val="0"/>
        </w:rPr>
        <w:t xml:space="preserve">sin necesidad de acreditar interés alguno</w:t>
      </w:r>
      <w:r w:rsidDel="00000000" w:rsidR="00000000" w:rsidRPr="00000000">
        <w:rPr>
          <w:rFonts w:ascii="Palatino Linotype" w:cs="Palatino Linotype" w:eastAsia="Palatino Linotype" w:hAnsi="Palatino Linotype"/>
          <w:sz w:val="22"/>
          <w:szCs w:val="22"/>
          <w:rtl w:val="0"/>
        </w:rPr>
        <w:t xml:space="preserve">…”, no crea derechos para insultar a los funcionarios públicos, ni se puede interpretar de tal suerte que haga que las ofensas plasmadas en el texto de una solicitud o recurso de revisión, no existieren, siendo que el respeto es la señal mínima que subrepticiamente debe estar siempre presente al ejercer el derecho de acceso a la información pública.</w:t>
      </w:r>
    </w:p>
    <w:p w:rsidR="00000000" w:rsidDel="00000000" w:rsidP="00000000" w:rsidRDefault="00000000" w:rsidRPr="00000000" w14:paraId="0000006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tal sentido, en el presente caso se actualiza la hipótesis prevista en la fracción V, del artículo 192 de la Ley de Transparencia y Acceso a la Información Pública del Estado de México y Municipios, que establece:</w:t>
      </w:r>
    </w:p>
    <w:p w:rsidR="00000000" w:rsidDel="00000000" w:rsidP="00000000" w:rsidRDefault="00000000" w:rsidRPr="00000000" w14:paraId="00000070">
      <w:pPr>
        <w:pBdr>
          <w:top w:space="0" w:sz="0" w:val="nil"/>
          <w:left w:space="0" w:sz="0" w:val="nil"/>
          <w:bottom w:space="0" w:sz="0" w:val="nil"/>
          <w:right w:space="0" w:sz="0" w:val="nil"/>
          <w:between w:space="0" w:sz="0" w:val="nil"/>
        </w:pBdr>
        <w:ind w:left="851" w:right="851" w:firstLine="0"/>
        <w:jc w:val="both"/>
        <w:rPr>
          <w:rFonts w:ascii="Palatino Linotype" w:cs="Palatino Linotype" w:eastAsia="Palatino Linotype" w:hAnsi="Palatino Linotype"/>
          <w:i w:val="1"/>
          <w:color w:val="000000"/>
          <w:sz w:val="22"/>
          <w:szCs w:val="22"/>
        </w:rPr>
      </w:pP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tabs>
          <w:tab w:val="left" w:leader="none" w:pos="1418"/>
        </w:tabs>
        <w:ind w:left="567" w:right="851"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“Artículo 192</w:t>
      </w:r>
      <w:r w:rsidDel="00000000" w:rsidR="00000000" w:rsidRPr="00000000">
        <w:rPr>
          <w:rFonts w:ascii="Palatino Linotype" w:cs="Palatino Linotype" w:eastAsia="Palatino Linotype" w:hAnsi="Palatino Linotype"/>
          <w:i w:val="1"/>
          <w:color w:val="000000"/>
          <w:sz w:val="22"/>
          <w:szCs w:val="22"/>
          <w:rtl w:val="0"/>
        </w:rPr>
        <w:t xml:space="preserve">. El recurso será sobreseído, en todo o en parte, cuando una vez admitido, se actualicen alguno de los siguientes supuestos:</w:t>
      </w:r>
    </w:p>
    <w:p w:rsidR="00000000" w:rsidDel="00000000" w:rsidP="00000000" w:rsidRDefault="00000000" w:rsidRPr="00000000" w14:paraId="00000072">
      <w:pPr>
        <w:pBdr>
          <w:top w:space="0" w:sz="0" w:val="nil"/>
          <w:left w:space="0" w:sz="0" w:val="nil"/>
          <w:bottom w:space="0" w:sz="0" w:val="nil"/>
          <w:right w:space="0" w:sz="0" w:val="nil"/>
          <w:between w:space="0" w:sz="0" w:val="nil"/>
        </w:pBdr>
        <w:tabs>
          <w:tab w:val="left" w:leader="none" w:pos="1418"/>
        </w:tabs>
        <w:ind w:left="567" w:right="851"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w:t>
      </w:r>
    </w:p>
    <w:p w:rsidR="00000000" w:rsidDel="00000000" w:rsidP="00000000" w:rsidRDefault="00000000" w:rsidRPr="00000000" w14:paraId="00000073">
      <w:pPr>
        <w:pBdr>
          <w:top w:space="0" w:sz="0" w:val="nil"/>
          <w:left w:space="0" w:sz="0" w:val="nil"/>
          <w:bottom w:space="0" w:sz="0" w:val="nil"/>
          <w:right w:space="0" w:sz="0" w:val="nil"/>
          <w:between w:space="0" w:sz="0" w:val="nil"/>
        </w:pBdr>
        <w:ind w:left="567" w:right="851"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V.</w:t>
      </w:r>
      <w:r w:rsidDel="00000000" w:rsidR="00000000" w:rsidRPr="00000000">
        <w:rPr>
          <w:rFonts w:ascii="Palatino Linotype" w:cs="Palatino Linotype" w:eastAsia="Palatino Linotype" w:hAnsi="Palatino Linotype"/>
          <w:i w:val="1"/>
          <w:color w:val="000000"/>
          <w:sz w:val="22"/>
          <w:szCs w:val="22"/>
          <w:rtl w:val="0"/>
        </w:rPr>
        <w:t xml:space="preserve"> Cuando por cualquier motivo quede sin materia. “</w:t>
      </w:r>
    </w:p>
    <w:p w:rsidR="00000000" w:rsidDel="00000000" w:rsidP="00000000" w:rsidRDefault="00000000" w:rsidRPr="00000000" w14:paraId="00000074">
      <w:pPr>
        <w:pBdr>
          <w:top w:space="0" w:sz="0" w:val="nil"/>
          <w:left w:space="0" w:sz="0" w:val="nil"/>
          <w:bottom w:space="0" w:sz="0" w:val="nil"/>
          <w:right w:space="0" w:sz="0" w:val="nil"/>
          <w:between w:space="0" w:sz="0" w:val="nil"/>
        </w:pBdr>
        <w:spacing w:line="360" w:lineRule="auto"/>
        <w:ind w:left="851" w:right="851" w:firstLine="0"/>
        <w:jc w:val="both"/>
        <w:rPr>
          <w:rFonts w:ascii="Palatino Linotype" w:cs="Palatino Linotype" w:eastAsia="Palatino Linotype" w:hAnsi="Palatino Linotype"/>
          <w:i w:val="1"/>
          <w:color w:val="000000"/>
          <w:sz w:val="22"/>
          <w:szCs w:val="22"/>
        </w:rPr>
      </w:pPr>
      <w:r w:rsidDel="00000000" w:rsidR="00000000" w:rsidRPr="00000000">
        <w:rPr>
          <w:rtl w:val="0"/>
        </w:rPr>
      </w:r>
    </w:p>
    <w:p w:rsidR="00000000" w:rsidDel="00000000" w:rsidP="00000000" w:rsidRDefault="00000000" w:rsidRPr="00000000" w14:paraId="00000075">
      <w:pPr>
        <w:spacing w:line="360" w:lineRule="auto"/>
        <w:jc w:val="both"/>
        <w:rPr>
          <w:rFonts w:ascii="Palatino Linotype" w:cs="Palatino Linotype" w:eastAsia="Palatino Linotype" w:hAnsi="Palatino Linotype"/>
          <w:sz w:val="22"/>
          <w:szCs w:val="22"/>
        </w:rPr>
      </w:pPr>
      <w:bookmarkStart w:colFirst="0" w:colLast="0" w:name="_heading=h.bgaew69ax2ua" w:id="4"/>
      <w:bookmarkEnd w:id="4"/>
      <w:r w:rsidDel="00000000" w:rsidR="00000000" w:rsidRPr="00000000">
        <w:rPr>
          <w:rFonts w:ascii="Palatino Linotype" w:cs="Palatino Linotype" w:eastAsia="Palatino Linotype" w:hAnsi="Palatino Linotype"/>
          <w:sz w:val="22"/>
          <w:szCs w:val="22"/>
          <w:rtl w:val="0"/>
        </w:rPr>
        <w:t xml:space="preserve">En mérito de lo expuesto en líneas anteriores, con fundamento en el artículo 186, fracción I, en concordancia con el artículo 192, fracción V, de la Ley de Transparencia y Acceso a la Información Pública del Estado de México y Municipios, se </w:t>
      </w:r>
      <w:r w:rsidDel="00000000" w:rsidR="00000000" w:rsidRPr="00000000">
        <w:rPr>
          <w:rFonts w:ascii="Palatino Linotype" w:cs="Palatino Linotype" w:eastAsia="Palatino Linotype" w:hAnsi="Palatino Linotype"/>
          <w:b w:val="1"/>
          <w:sz w:val="22"/>
          <w:szCs w:val="22"/>
          <w:rtl w:val="0"/>
        </w:rPr>
        <w:t xml:space="preserve">SOBRESEE</w:t>
      </w:r>
      <w:r w:rsidDel="00000000" w:rsidR="00000000" w:rsidRPr="00000000">
        <w:rPr>
          <w:rFonts w:ascii="Palatino Linotype" w:cs="Palatino Linotype" w:eastAsia="Palatino Linotype" w:hAnsi="Palatino Linotype"/>
          <w:sz w:val="22"/>
          <w:szCs w:val="22"/>
          <w:rtl w:val="0"/>
        </w:rPr>
        <w:t xml:space="preserve"> el recurso de revisión </w:t>
      </w:r>
      <w:r w:rsidDel="00000000" w:rsidR="00000000" w:rsidRPr="00000000">
        <w:rPr>
          <w:rFonts w:ascii="Palatino Linotype" w:cs="Palatino Linotype" w:eastAsia="Palatino Linotype" w:hAnsi="Palatino Linotype"/>
          <w:b w:val="1"/>
          <w:sz w:val="22"/>
          <w:szCs w:val="22"/>
          <w:rtl w:val="0"/>
        </w:rPr>
        <w:t xml:space="preserve">02434/INFOEM/IP/RR/2025</w:t>
      </w:r>
      <w:r w:rsidDel="00000000" w:rsidR="00000000" w:rsidRPr="00000000">
        <w:rPr>
          <w:rFonts w:ascii="Palatino Linotype" w:cs="Palatino Linotype" w:eastAsia="Palatino Linotype" w:hAnsi="Palatino Linotype"/>
          <w:sz w:val="22"/>
          <w:szCs w:val="22"/>
          <w:rtl w:val="0"/>
        </w:rPr>
        <w:t xml:space="preserve">, que ha sido materia del presente fallo.</w:t>
      </w:r>
    </w:p>
    <w:p w:rsidR="00000000" w:rsidDel="00000000" w:rsidP="00000000" w:rsidRDefault="00000000" w:rsidRPr="00000000" w14:paraId="00000076">
      <w:pPr>
        <w:rPr>
          <w:sz w:val="22"/>
          <w:szCs w:val="22"/>
        </w:rPr>
      </w:pPr>
      <w:r w:rsidDel="00000000" w:rsidR="00000000" w:rsidRPr="00000000">
        <w:rPr>
          <w:rtl w:val="0"/>
        </w:rPr>
      </w:r>
    </w:p>
    <w:p w:rsidR="00000000" w:rsidDel="00000000" w:rsidP="00000000" w:rsidRDefault="00000000" w:rsidRPr="00000000" w14:paraId="0000007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con fundamento en lo prescrito en los artículos 5 párrafos trigésimo séptimo, trigésimo octavo y trigésimo noveno de la Constitución Política del Estado Libre y Soberano de México; 2, fracción II; 29, 36 fracciones I y II; 176, 178, 181, 185 y 186 fracción II de la Ley de Transparencia y Acceso a la Información Pública del Estado de México y Municipios, este Pleno:</w:t>
      </w:r>
    </w:p>
    <w:p w:rsidR="00000000" w:rsidDel="00000000" w:rsidP="00000000" w:rsidRDefault="00000000" w:rsidRPr="00000000" w14:paraId="0000007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9">
      <w:pPr>
        <w:pBdr>
          <w:top w:space="0" w:sz="0" w:val="nil"/>
          <w:left w:space="0" w:sz="0" w:val="nil"/>
          <w:bottom w:space="0" w:sz="0" w:val="nil"/>
          <w:right w:space="0" w:sz="0" w:val="nil"/>
          <w:between w:space="0" w:sz="0" w:val="nil"/>
        </w:pBdr>
        <w:spacing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III. R E S U E L V E</w:t>
      </w:r>
    </w:p>
    <w:p w:rsidR="00000000" w:rsidDel="00000000" w:rsidP="00000000" w:rsidRDefault="00000000" w:rsidRPr="00000000" w14:paraId="0000007A">
      <w:pPr>
        <w:pBdr>
          <w:top w:space="0" w:sz="0" w:val="nil"/>
          <w:left w:space="0" w:sz="0" w:val="nil"/>
          <w:bottom w:space="0" w:sz="0" w:val="nil"/>
          <w:right w:space="0" w:sz="0" w:val="nil"/>
          <w:between w:space="0" w:sz="0" w:val="nil"/>
        </w:pBdr>
        <w:spacing w:line="360" w:lineRule="auto"/>
        <w:jc w:val="center"/>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7B">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Primero. </w:t>
      </w:r>
      <w:r w:rsidDel="00000000" w:rsidR="00000000" w:rsidRPr="00000000">
        <w:rPr>
          <w:rFonts w:ascii="Palatino Linotype" w:cs="Palatino Linotype" w:eastAsia="Palatino Linotype" w:hAnsi="Palatino Linotype"/>
          <w:sz w:val="22"/>
          <w:szCs w:val="22"/>
          <w:rtl w:val="0"/>
        </w:rPr>
        <w:t xml:space="preserve">Se</w:t>
      </w:r>
      <w:r w:rsidDel="00000000" w:rsidR="00000000" w:rsidRPr="00000000">
        <w:rPr>
          <w:rFonts w:ascii="Palatino Linotype" w:cs="Palatino Linotype" w:eastAsia="Palatino Linotype" w:hAnsi="Palatino Linotype"/>
          <w:b w:val="1"/>
          <w:sz w:val="22"/>
          <w:szCs w:val="22"/>
          <w:rtl w:val="0"/>
        </w:rPr>
        <w:t xml:space="preserve"> SOBRESEE </w:t>
      </w:r>
      <w:r w:rsidDel="00000000" w:rsidR="00000000" w:rsidRPr="00000000">
        <w:rPr>
          <w:rFonts w:ascii="Palatino Linotype" w:cs="Palatino Linotype" w:eastAsia="Palatino Linotype" w:hAnsi="Palatino Linotype"/>
          <w:sz w:val="22"/>
          <w:szCs w:val="22"/>
          <w:rtl w:val="0"/>
        </w:rPr>
        <w:t xml:space="preserve">el recurso de revisión </w:t>
      </w:r>
      <w:r w:rsidDel="00000000" w:rsidR="00000000" w:rsidRPr="00000000">
        <w:rPr>
          <w:rFonts w:ascii="Palatino Linotype" w:cs="Palatino Linotype" w:eastAsia="Palatino Linotype" w:hAnsi="Palatino Linotype"/>
          <w:b w:val="1"/>
          <w:sz w:val="22"/>
          <w:szCs w:val="22"/>
          <w:rtl w:val="0"/>
        </w:rPr>
        <w:t xml:space="preserve">02434/INFOEM/IP/RR/2025 </w:t>
      </w:r>
      <w:r w:rsidDel="00000000" w:rsidR="00000000" w:rsidRPr="00000000">
        <w:rPr>
          <w:rFonts w:ascii="Palatino Linotype" w:cs="Palatino Linotype" w:eastAsia="Palatino Linotype" w:hAnsi="Palatino Linotype"/>
          <w:sz w:val="22"/>
          <w:szCs w:val="22"/>
          <w:rtl w:val="0"/>
        </w:rPr>
        <w:t xml:space="preserve">conforme a la fracción V del artículo 192 de la Ley de Transparencia y Acceso a la Información Pública del Estado de México y Municipios en términos del </w:t>
      </w:r>
      <w:r w:rsidDel="00000000" w:rsidR="00000000" w:rsidRPr="00000000">
        <w:rPr>
          <w:rFonts w:ascii="Palatino Linotype" w:cs="Palatino Linotype" w:eastAsia="Palatino Linotype" w:hAnsi="Palatino Linotype"/>
          <w:b w:val="1"/>
          <w:sz w:val="22"/>
          <w:szCs w:val="22"/>
          <w:rtl w:val="0"/>
        </w:rPr>
        <w:t xml:space="preserve">Considerando Tercero</w:t>
      </w:r>
      <w:r w:rsidDel="00000000" w:rsidR="00000000" w:rsidRPr="00000000">
        <w:rPr>
          <w:rFonts w:ascii="Palatino Linotype" w:cs="Palatino Linotype" w:eastAsia="Palatino Linotype" w:hAnsi="Palatino Linotype"/>
          <w:sz w:val="22"/>
          <w:szCs w:val="22"/>
          <w:rtl w:val="0"/>
        </w:rPr>
        <w:t xml:space="preserve"> de la presente resolución.</w:t>
      </w:r>
    </w:p>
    <w:p w:rsidR="00000000" w:rsidDel="00000000" w:rsidP="00000000" w:rsidRDefault="00000000" w:rsidRPr="00000000" w14:paraId="0000007C">
      <w:pPr>
        <w:spacing w:line="360" w:lineRule="auto"/>
        <w:ind w:right="49"/>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7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Segundo. Notifíquese, </w:t>
      </w:r>
      <w:r w:rsidDel="00000000" w:rsidR="00000000" w:rsidRPr="00000000">
        <w:rPr>
          <w:rFonts w:ascii="Palatino Linotype" w:cs="Palatino Linotype" w:eastAsia="Palatino Linotype" w:hAnsi="Palatino Linotype"/>
          <w:sz w:val="22"/>
          <w:szCs w:val="22"/>
          <w:rtl w:val="0"/>
        </w:rPr>
        <w:t xml:space="preserve">vía </w:t>
      </w:r>
      <w:r w:rsidDel="00000000" w:rsidR="00000000" w:rsidRPr="00000000">
        <w:rPr>
          <w:rFonts w:ascii="Palatino Linotype" w:cs="Palatino Linotype" w:eastAsia="Palatino Linotype" w:hAnsi="Palatino Linotype"/>
          <w:b w:val="1"/>
          <w:sz w:val="22"/>
          <w:szCs w:val="22"/>
          <w:rtl w:val="0"/>
        </w:rPr>
        <w:t xml:space="preserve">SAIMEX, </w:t>
      </w:r>
      <w:r w:rsidDel="00000000" w:rsidR="00000000" w:rsidRPr="00000000">
        <w:rPr>
          <w:rFonts w:ascii="Palatino Linotype" w:cs="Palatino Linotype" w:eastAsia="Palatino Linotype" w:hAnsi="Palatino Linotype"/>
          <w:sz w:val="22"/>
          <w:szCs w:val="22"/>
          <w:rtl w:val="0"/>
        </w:rPr>
        <w:t xml:space="preserve">la presente resolución a la persona Titular de la Unidad de Transparencia 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para su conocimiento. </w:t>
      </w:r>
    </w:p>
    <w:p w:rsidR="00000000" w:rsidDel="00000000" w:rsidP="00000000" w:rsidRDefault="00000000" w:rsidRPr="00000000" w14:paraId="0000007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Tercero.  Notifíquese, </w:t>
      </w:r>
      <w:r w:rsidDel="00000000" w:rsidR="00000000" w:rsidRPr="00000000">
        <w:rPr>
          <w:rFonts w:ascii="Palatino Linotype" w:cs="Palatino Linotype" w:eastAsia="Palatino Linotype" w:hAnsi="Palatino Linotype"/>
          <w:sz w:val="22"/>
          <w:szCs w:val="22"/>
          <w:rtl w:val="0"/>
        </w:rPr>
        <w:t xml:space="preserve">vía </w:t>
      </w:r>
      <w:r w:rsidDel="00000000" w:rsidR="00000000" w:rsidRPr="00000000">
        <w:rPr>
          <w:rFonts w:ascii="Palatino Linotype" w:cs="Palatino Linotype" w:eastAsia="Palatino Linotype" w:hAnsi="Palatino Linotype"/>
          <w:b w:val="1"/>
          <w:sz w:val="22"/>
          <w:szCs w:val="22"/>
          <w:rtl w:val="0"/>
        </w:rPr>
        <w:t xml:space="preserve">SAIMEX, </w:t>
      </w:r>
      <w:r w:rsidDel="00000000" w:rsidR="00000000" w:rsidRPr="00000000">
        <w:rPr>
          <w:rFonts w:ascii="Palatino Linotype" w:cs="Palatino Linotype" w:eastAsia="Palatino Linotype" w:hAnsi="Palatino Linotype"/>
          <w:sz w:val="22"/>
          <w:szCs w:val="22"/>
          <w:rtl w:val="0"/>
        </w:rPr>
        <w:t xml:space="preserve">a </w:t>
      </w:r>
      <w:r w:rsidDel="00000000" w:rsidR="00000000" w:rsidRPr="00000000">
        <w:rPr>
          <w:rFonts w:ascii="Palatino Linotype" w:cs="Palatino Linotype" w:eastAsia="Palatino Linotype" w:hAnsi="Palatino Linotype"/>
          <w:b w:val="1"/>
          <w:sz w:val="22"/>
          <w:szCs w:val="22"/>
          <w:rtl w:val="0"/>
        </w:rPr>
        <w:t xml:space="preserve">la parte Recurrente</w:t>
      </w:r>
      <w:r w:rsidDel="00000000" w:rsidR="00000000" w:rsidRPr="00000000">
        <w:rPr>
          <w:rFonts w:ascii="Palatino Linotype" w:cs="Palatino Linotype" w:eastAsia="Palatino Linotype" w:hAnsi="Palatino Linotype"/>
          <w:sz w:val="22"/>
          <w:szCs w:val="22"/>
          <w:rtl w:val="0"/>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rsidR="00000000" w:rsidDel="00000000" w:rsidP="00000000" w:rsidRDefault="00000000" w:rsidRPr="00000000" w14:paraId="00000080">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1">
      <w:pPr>
        <w:spacing w:line="360" w:lineRule="auto"/>
        <w:jc w:val="both"/>
        <w:rPr>
          <w:rFonts w:ascii="Palatino Linotype" w:cs="Palatino Linotype" w:eastAsia="Palatino Linotype" w:hAnsi="Palatino Linotype"/>
          <w:sz w:val="22"/>
          <w:szCs w:val="22"/>
        </w:rPr>
        <w:sectPr>
          <w:headerReference r:id="rId7" w:type="default"/>
          <w:headerReference r:id="rId8" w:type="first"/>
          <w:footerReference r:id="rId9" w:type="default"/>
          <w:footerReference r:id="rId10" w:type="first"/>
          <w:pgSz w:h="15840" w:w="12240" w:orient="portrait"/>
          <w:pgMar w:bottom="1701" w:top="2041" w:left="1701" w:right="1701" w:header="709" w:footer="709"/>
          <w:pgNumType w:start="1"/>
          <w:titlePg w:val="1"/>
        </w:sectPr>
      </w:pPr>
      <w:r w:rsidDel="00000000" w:rsidR="00000000" w:rsidRPr="00000000">
        <w:rPr>
          <w:rFonts w:ascii="Palatino Linotype" w:cs="Palatino Linotype" w:eastAsia="Palatino Linotype" w:hAnsi="Palatino Linotype"/>
          <w:color w:val="222222"/>
          <w:sz w:val="22"/>
          <w:szCs w:val="22"/>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EMITIENDO VOTO DISIDENTE, LUIS GUSTAVO PARRA NORIEGA EMITIENDO VOTO DISIDENTE Y GUADALUPE RAMÍREZ PEÑA; EN LA DÉCIMA QUINTA SESIÓN ORDINARIA CELEBRADA EL TREINTA DE ABRIL DE DOS MIL VEINTICINCO ANTE EL SECRETARIO TÉCNICO DEL PLENO ALEXIS TAPIA RAMÍREZ</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82">
      <w:pPr>
        <w:spacing w:line="360" w:lineRule="auto"/>
        <w:jc w:val="both"/>
        <w:rPr>
          <w:rFonts w:ascii="Palatino Linotype" w:cs="Palatino Linotype" w:eastAsia="Palatino Linotype" w:hAnsi="Palatino Linotype"/>
          <w:sz w:val="22"/>
          <w:szCs w:val="22"/>
        </w:rPr>
      </w:pPr>
      <w:r w:rsidDel="00000000" w:rsidR="00000000" w:rsidRPr="00000000">
        <w:rPr>
          <w:rtl w:val="0"/>
        </w:rPr>
      </w:r>
    </w:p>
    <w:sectPr>
      <w:headerReference r:id="rId11" w:type="first"/>
      <w:type w:val="nextPage"/>
      <w:pgSz w:h="15840" w:w="12240" w:orient="portrait"/>
      <w:pgMar w:bottom="1701" w:top="2041" w:left="1701" w:right="1701" w:header="709" w:footer="709"/>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Arial"/>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8">
    <w:pPr>
      <w:pBdr>
        <w:top w:space="0" w:sz="0" w:val="nil"/>
        <w:left w:space="0" w:sz="0" w:val="nil"/>
        <w:bottom w:space="0" w:sz="0" w:val="nil"/>
        <w:right w:space="0" w:sz="0" w:val="nil"/>
        <w:between w:space="0" w:sz="0" w:val="nil"/>
      </w:pBdr>
      <w:tabs>
        <w:tab w:val="center" w:leader="none" w:pos="4252"/>
        <w:tab w:val="right" w:leader="none" w:pos="8504"/>
      </w:tabs>
      <w:jc w:val="right"/>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Página </w:t>
    </w:r>
    <w:r w:rsidDel="00000000" w:rsidR="00000000" w:rsidRPr="00000000">
      <w:rPr>
        <w:rFonts w:ascii="Arial" w:cs="Arial" w:eastAsia="Arial" w:hAnsi="Arial"/>
        <w:b w:val="1"/>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de </w:t>
    </w:r>
    <w:r w:rsidDel="00000000" w:rsidR="00000000" w:rsidRPr="00000000">
      <w:rPr>
        <w:rFonts w:ascii="Arial" w:cs="Arial" w:eastAsia="Arial" w:hAnsi="Arial"/>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99">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p>
  <w:p w:rsidR="00000000" w:rsidDel="00000000" w:rsidP="00000000" w:rsidRDefault="00000000" w:rsidRPr="00000000" w14:paraId="0000009A">
    <w:pPr>
      <w:pBdr>
        <w:top w:space="0" w:sz="0" w:val="nil"/>
        <w:left w:space="0" w:sz="0" w:val="nil"/>
        <w:bottom w:space="0" w:sz="0" w:val="nil"/>
        <w:right w:space="0" w:sz="0" w:val="nil"/>
        <w:between w:space="0" w:sz="0" w:val="nil"/>
      </w:pBdr>
      <w:tabs>
        <w:tab w:val="center" w:leader="none" w:pos="4252"/>
        <w:tab w:val="right" w:leader="none" w:pos="8504"/>
      </w:tabs>
      <w:ind w:firstLine="708"/>
      <w:rPr>
        <w:rFonts w:ascii="Calibri" w:cs="Calibri" w:eastAsia="Calibri" w:hAnsi="Calibri"/>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B">
    <w:pPr>
      <w:pBdr>
        <w:top w:space="0" w:sz="0" w:val="nil"/>
        <w:left w:space="0" w:sz="0" w:val="nil"/>
        <w:bottom w:space="0" w:sz="0" w:val="nil"/>
        <w:right w:space="0" w:sz="0" w:val="nil"/>
        <w:between w:space="0" w:sz="0" w:val="nil"/>
      </w:pBdr>
      <w:tabs>
        <w:tab w:val="center" w:leader="none" w:pos="4252"/>
        <w:tab w:val="right" w:leader="none" w:pos="8504"/>
      </w:tabs>
      <w:jc w:val="right"/>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Página </w:t>
    </w:r>
    <w:r w:rsidDel="00000000" w:rsidR="00000000" w:rsidRPr="00000000">
      <w:rPr>
        <w:rFonts w:ascii="Arial" w:cs="Arial" w:eastAsia="Arial" w:hAnsi="Arial"/>
        <w:b w:val="1"/>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de </w:t>
    </w:r>
    <w:r w:rsidDel="00000000" w:rsidR="00000000" w:rsidRPr="00000000">
      <w:rPr>
        <w:rFonts w:ascii="Arial" w:cs="Arial" w:eastAsia="Arial" w:hAnsi="Arial"/>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9C">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3">
    <w:pPr>
      <w:widowControl w:val="0"/>
      <w:pBdr>
        <w:top w:space="0" w:sz="0" w:val="nil"/>
        <w:left w:space="0" w:sz="0" w:val="nil"/>
        <w:bottom w:space="0" w:sz="0" w:val="nil"/>
        <w:right w:space="0" w:sz="0" w:val="nil"/>
        <w:between w:space="0" w:sz="0" w:val="nil"/>
      </w:pBdr>
      <w:spacing w:line="276" w:lineRule="auto"/>
      <w:rPr>
        <w:rFonts w:ascii="Calibri" w:cs="Calibri" w:eastAsia="Calibri" w:hAnsi="Calibri"/>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-638172</wp:posOffset>
          </wp:positionH>
          <wp:positionV relativeFrom="paragraph">
            <wp:posOffset>-450211</wp:posOffset>
          </wp:positionV>
          <wp:extent cx="7809876" cy="10165823"/>
          <wp:effectExtent b="0" l="0" r="0" t="0"/>
          <wp:wrapNone/>
          <wp:docPr id="3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76" cy="10165823"/>
                  </a:xfrm>
                  <a:prstGeom prst="rect"/>
                  <a:ln/>
                </pic:spPr>
              </pic:pic>
            </a:graphicData>
          </a:graphic>
        </wp:anchor>
      </w:drawing>
    </w:r>
  </w:p>
  <w:tbl>
    <w:tblPr>
      <w:tblStyle w:val="Table1"/>
      <w:tblW w:w="5528.0" w:type="dxa"/>
      <w:jc w:val="left"/>
      <w:tblInd w:w="3261.0" w:type="dxa"/>
      <w:tblLayout w:type="fixed"/>
      <w:tblLook w:val="0400"/>
    </w:tblPr>
    <w:tblGrid>
      <w:gridCol w:w="2551"/>
      <w:gridCol w:w="2977"/>
      <w:tblGridChange w:id="0">
        <w:tblGrid>
          <w:gridCol w:w="2551"/>
          <w:gridCol w:w="2977"/>
        </w:tblGrid>
      </w:tblGridChange>
    </w:tblGrid>
    <w:tr>
      <w:trPr>
        <w:cantSplit w:val="0"/>
        <w:trHeight w:val="176" w:hRule="atLeast"/>
        <w:tblHeader w:val="0"/>
      </w:trPr>
      <w:tc>
        <w:tcPr>
          <w:vAlign w:val="center"/>
        </w:tcPr>
        <w:p w:rsidR="00000000" w:rsidDel="00000000" w:rsidP="00000000" w:rsidRDefault="00000000" w:rsidRPr="00000000" w14:paraId="00000084">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vAlign w:val="center"/>
        </w:tcPr>
        <w:p w:rsidR="00000000" w:rsidDel="00000000" w:rsidP="00000000" w:rsidRDefault="00000000" w:rsidRPr="00000000" w14:paraId="00000085">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02434/INFOEM/IP/RR/2025</w:t>
          </w:r>
        </w:p>
      </w:tc>
    </w:tr>
    <w:tr>
      <w:trPr>
        <w:cantSplit w:val="0"/>
        <w:trHeight w:val="228" w:hRule="atLeast"/>
        <w:tblHeader w:val="0"/>
      </w:trPr>
      <w:tc>
        <w:tcPr>
          <w:vAlign w:val="center"/>
        </w:tcPr>
        <w:p w:rsidR="00000000" w:rsidDel="00000000" w:rsidP="00000000" w:rsidRDefault="00000000" w:rsidRPr="00000000" w14:paraId="00000086">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p w:rsidR="00000000" w:rsidDel="00000000" w:rsidP="00000000" w:rsidRDefault="00000000" w:rsidRPr="00000000" w14:paraId="00000087">
          <w:pPr>
            <w:rPr>
              <w:rFonts w:ascii="Palatino Linotype" w:cs="Palatino Linotype" w:eastAsia="Palatino Linotype" w:hAnsi="Palatino Linotype"/>
              <w:b w:val="1"/>
              <w:sz w:val="22"/>
              <w:szCs w:val="22"/>
            </w:rPr>
          </w:pPr>
          <w:r w:rsidDel="00000000" w:rsidR="00000000" w:rsidRPr="00000000">
            <w:rPr>
              <w:rtl w:val="0"/>
            </w:rPr>
          </w:r>
        </w:p>
      </w:tc>
      <w:tc>
        <w:tcPr>
          <w:vAlign w:val="center"/>
        </w:tcPr>
        <w:p w:rsidR="00000000" w:rsidDel="00000000" w:rsidP="00000000" w:rsidRDefault="00000000" w:rsidRPr="00000000" w14:paraId="00000088">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Teoloyucan</w:t>
          </w:r>
        </w:p>
      </w:tc>
    </w:tr>
    <w:tr>
      <w:trPr>
        <w:cantSplit w:val="0"/>
        <w:tblHeader w:val="0"/>
      </w:trPr>
      <w:tc>
        <w:tcPr>
          <w:vAlign w:val="center"/>
        </w:tcPr>
        <w:p w:rsidR="00000000" w:rsidDel="00000000" w:rsidP="00000000" w:rsidRDefault="00000000" w:rsidRPr="00000000" w14:paraId="00000089">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vAlign w:val="center"/>
        </w:tcPr>
        <w:p w:rsidR="00000000" w:rsidDel="00000000" w:rsidP="00000000" w:rsidRDefault="00000000" w:rsidRPr="00000000" w14:paraId="0000008A">
          <w:pPr>
            <w:ind w:right="-533"/>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08B">
    <w:pPr>
      <w:pBdr>
        <w:top w:space="0" w:sz="0" w:val="nil"/>
        <w:left w:space="0" w:sz="0" w:val="nil"/>
        <w:bottom w:space="0" w:sz="0" w:val="nil"/>
        <w:right w:space="0" w:sz="0" w:val="nil"/>
        <w:between w:space="0" w:sz="0" w:val="nil"/>
      </w:pBdr>
      <w:tabs>
        <w:tab w:val="center" w:leader="none" w:pos="4252"/>
        <w:tab w:val="right" w:leader="none" w:pos="8504"/>
        <w:tab w:val="left" w:leader="none" w:pos="2326"/>
      </w:tabs>
      <w:rPr>
        <w:rFonts w:ascii="Calibri" w:cs="Calibri" w:eastAsia="Calibri" w:hAnsi="Calibri"/>
        <w:color w:val="000000"/>
      </w:rPr>
    </w:pPr>
    <w:r w:rsidDel="00000000" w:rsidR="00000000" w:rsidRPr="00000000">
      <w:rPr>
        <w:rFonts w:ascii="Calibri" w:cs="Calibri" w:eastAsia="Calibri" w:hAnsi="Calibri"/>
        <w:color w:val="000000"/>
        <w:rtl w:val="0"/>
      </w:rPr>
      <w:tab/>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C">
    <w:pPr>
      <w:pBdr>
        <w:top w:space="0" w:sz="0" w:val="nil"/>
        <w:left w:space="0" w:sz="0" w:val="nil"/>
        <w:bottom w:space="0" w:sz="0" w:val="nil"/>
        <w:right w:space="0" w:sz="0" w:val="nil"/>
        <w:between w:space="0" w:sz="0" w:val="nil"/>
      </w:pBdr>
      <w:tabs>
        <w:tab w:val="center" w:leader="none" w:pos="4252"/>
        <w:tab w:val="right" w:leader="none" w:pos="8504"/>
      </w:tabs>
      <w:jc w:val="both"/>
      <w:rPr>
        <w:rFonts w:ascii="Calibri" w:cs="Calibri" w:eastAsia="Calibri" w:hAnsi="Calibri"/>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-798189</wp:posOffset>
          </wp:positionH>
          <wp:positionV relativeFrom="paragraph">
            <wp:posOffset>-399410</wp:posOffset>
          </wp:positionV>
          <wp:extent cx="7809876" cy="10165823"/>
          <wp:effectExtent b="0" l="0" r="0" t="0"/>
          <wp:wrapNone/>
          <wp:docPr id="3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76" cy="10165823"/>
                  </a:xfrm>
                  <a:prstGeom prst="rect"/>
                  <a:ln/>
                </pic:spPr>
              </pic:pic>
            </a:graphicData>
          </a:graphic>
        </wp:anchor>
      </w:drawing>
    </w:r>
  </w:p>
  <w:tbl>
    <w:tblPr>
      <w:tblStyle w:val="Table2"/>
      <w:tblW w:w="5670.0" w:type="dxa"/>
      <w:jc w:val="left"/>
      <w:tblInd w:w="3119.0" w:type="dxa"/>
      <w:tblLayout w:type="fixed"/>
      <w:tblLook w:val="0400"/>
    </w:tblPr>
    <w:tblGrid>
      <w:gridCol w:w="2551"/>
      <w:gridCol w:w="3119"/>
      <w:tblGridChange w:id="0">
        <w:tblGrid>
          <w:gridCol w:w="2551"/>
          <w:gridCol w:w="3119"/>
        </w:tblGrid>
      </w:tblGridChange>
    </w:tblGrid>
    <w:tr>
      <w:trPr>
        <w:cantSplit w:val="0"/>
        <w:tblHeader w:val="0"/>
      </w:trPr>
      <w:tc>
        <w:tcPr>
          <w:vAlign w:val="center"/>
        </w:tcPr>
        <w:p w:rsidR="00000000" w:rsidDel="00000000" w:rsidP="00000000" w:rsidRDefault="00000000" w:rsidRPr="00000000" w14:paraId="0000008D">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vAlign w:val="center"/>
        </w:tcPr>
        <w:p w:rsidR="00000000" w:rsidDel="00000000" w:rsidP="00000000" w:rsidRDefault="00000000" w:rsidRPr="00000000" w14:paraId="0000008E">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02434/INFOEM/IP/RR/2025</w:t>
          </w:r>
        </w:p>
      </w:tc>
    </w:tr>
    <w:tr>
      <w:trPr>
        <w:cantSplit w:val="0"/>
        <w:tblHeader w:val="0"/>
      </w:trPr>
      <w:tc>
        <w:tcPr>
          <w:vAlign w:val="center"/>
        </w:tcPr>
        <w:p w:rsidR="00000000" w:rsidDel="00000000" w:rsidP="00000000" w:rsidRDefault="00000000" w:rsidRPr="00000000" w14:paraId="0000008F">
          <w:pPr>
            <w:ind w:left="35" w:hanging="35"/>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Recurrente:</w:t>
          </w:r>
        </w:p>
      </w:tc>
      <w:tc>
        <w:tcPr>
          <w:vAlign w:val="center"/>
        </w:tcPr>
        <w:p w:rsidR="00000000" w:rsidDel="00000000" w:rsidP="00000000" w:rsidRDefault="00000000" w:rsidRPr="00000000" w14:paraId="00000090">
          <w:pPr>
            <w:ind w:right="-533"/>
            <w:jc w:val="both"/>
            <w:rPr>
              <w:rFonts w:ascii="Palatino Linotype" w:cs="Palatino Linotype" w:eastAsia="Palatino Linotype" w:hAnsi="Palatino Linotype"/>
              <w:b w:val="1"/>
              <w:sz w:val="22"/>
              <w:szCs w:val="22"/>
            </w:rPr>
          </w:pPr>
          <w:r w:rsidDel="00000000" w:rsidR="00000000" w:rsidRPr="00000000">
            <w:rPr>
              <w:rtl w:val="0"/>
            </w:rPr>
          </w:r>
        </w:p>
      </w:tc>
    </w:tr>
    <w:tr>
      <w:trPr>
        <w:cantSplit w:val="0"/>
        <w:trHeight w:val="228" w:hRule="atLeast"/>
        <w:tblHeader w:val="0"/>
      </w:trPr>
      <w:tc>
        <w:tcPr>
          <w:vAlign w:val="center"/>
        </w:tcPr>
        <w:p w:rsidR="00000000" w:rsidDel="00000000" w:rsidP="00000000" w:rsidRDefault="00000000" w:rsidRPr="00000000" w14:paraId="00000091">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vAlign w:val="center"/>
        </w:tcPr>
        <w:p w:rsidR="00000000" w:rsidDel="00000000" w:rsidP="00000000" w:rsidRDefault="00000000" w:rsidRPr="00000000" w14:paraId="00000092">
          <w:pPr>
            <w:ind w:right="27"/>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Teoloyucan</w:t>
          </w:r>
        </w:p>
      </w:tc>
    </w:tr>
    <w:tr>
      <w:trPr>
        <w:cantSplit w:val="0"/>
        <w:tblHeader w:val="0"/>
      </w:trPr>
      <w:tc>
        <w:tcPr>
          <w:vAlign w:val="center"/>
        </w:tcPr>
        <w:p w:rsidR="00000000" w:rsidDel="00000000" w:rsidP="00000000" w:rsidRDefault="00000000" w:rsidRPr="00000000" w14:paraId="00000093">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vAlign w:val="center"/>
        </w:tcPr>
        <w:p w:rsidR="00000000" w:rsidDel="00000000" w:rsidP="00000000" w:rsidRDefault="00000000" w:rsidRPr="00000000" w14:paraId="00000094">
          <w:pPr>
            <w:ind w:right="-533"/>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095">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6">
    <w:pPr>
      <w:pBdr>
        <w:top w:space="0" w:sz="0" w:val="nil"/>
        <w:left w:space="0" w:sz="0" w:val="nil"/>
        <w:bottom w:space="0" w:sz="0" w:val="nil"/>
        <w:right w:space="0" w:sz="0" w:val="nil"/>
        <w:between w:space="0" w:sz="0" w:val="nil"/>
      </w:pBdr>
      <w:tabs>
        <w:tab w:val="center" w:leader="none" w:pos="4252"/>
        <w:tab w:val="right" w:leader="none" w:pos="8504"/>
      </w:tabs>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97">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7"/>
      <w:numFmt w:val="decimal"/>
      <w:lvlText w:val="%1."/>
      <w:lvlJc w:val="left"/>
      <w:pPr>
        <w:ind w:left="720" w:hanging="360"/>
      </w:pPr>
      <w:rPr>
        <w:b w:val="1"/>
      </w:rPr>
    </w:lvl>
    <w:lvl w:ilvl="1">
      <w:start w:val="1"/>
      <w:numFmt w:val="decimal"/>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upperRoman"/>
      <w:lvlText w:val="%1."/>
      <w:lvlJc w:val="right"/>
      <w:pPr>
        <w:ind w:left="1077" w:hanging="360"/>
      </w:pPr>
      <w:rPr/>
    </w:lvl>
    <w:lvl w:ilvl="1">
      <w:start w:val="1"/>
      <w:numFmt w:val="decimal"/>
      <w:lvlText w:val="%2."/>
      <w:lvlJc w:val="left"/>
      <w:pPr>
        <w:ind w:left="1797" w:hanging="360"/>
      </w:pPr>
      <w:rPr/>
    </w:lvl>
    <w:lvl w:ilvl="2">
      <w:start w:val="1"/>
      <w:numFmt w:val="lowerRoman"/>
      <w:lvlText w:val="%3."/>
      <w:lvlJc w:val="right"/>
      <w:pPr>
        <w:ind w:left="2517" w:hanging="180"/>
      </w:pPr>
      <w:rPr/>
    </w:lvl>
    <w:lvl w:ilvl="3">
      <w:start w:val="1"/>
      <w:numFmt w:val="decimal"/>
      <w:lvlText w:val="%4."/>
      <w:lvlJc w:val="left"/>
      <w:pPr>
        <w:ind w:left="3237" w:hanging="360"/>
      </w:pPr>
      <w:rPr/>
    </w:lvl>
    <w:lvl w:ilvl="4">
      <w:start w:val="1"/>
      <w:numFmt w:val="lowerLetter"/>
      <w:lvlText w:val="%5."/>
      <w:lvlJc w:val="left"/>
      <w:pPr>
        <w:ind w:left="3957" w:hanging="360"/>
      </w:pPr>
      <w:rPr/>
    </w:lvl>
    <w:lvl w:ilvl="5">
      <w:start w:val="1"/>
      <w:numFmt w:val="lowerRoman"/>
      <w:lvlText w:val="%6."/>
      <w:lvlJc w:val="right"/>
      <w:pPr>
        <w:ind w:left="4677" w:hanging="180"/>
      </w:pPr>
      <w:rPr/>
    </w:lvl>
    <w:lvl w:ilvl="6">
      <w:start w:val="1"/>
      <w:numFmt w:val="decimal"/>
      <w:lvlText w:val="%7."/>
      <w:lvlJc w:val="left"/>
      <w:pPr>
        <w:ind w:left="5397" w:hanging="360"/>
      </w:pPr>
      <w:rPr/>
    </w:lvl>
    <w:lvl w:ilvl="7">
      <w:start w:val="1"/>
      <w:numFmt w:val="lowerLetter"/>
      <w:lvlText w:val="%8."/>
      <w:lvlJc w:val="left"/>
      <w:pPr>
        <w:ind w:left="6117" w:hanging="360"/>
      </w:pPr>
      <w:rPr/>
    </w:lvl>
    <w:lvl w:ilvl="8">
      <w:start w:val="1"/>
      <w:numFmt w:val="lowerRoman"/>
      <w:lvlText w:val="%9."/>
      <w:lvlJc w:val="right"/>
      <w:pPr>
        <w:ind w:left="6837" w:hanging="180"/>
      </w:pPr>
      <w:rPr/>
    </w:lvl>
  </w:abstractNum>
  <w:abstractNum w:abstractNumId="3">
    <w:lvl w:ilvl="0">
      <w:start w:val="3"/>
      <w:numFmt w:val="bullet"/>
      <w:lvlText w:val="-"/>
      <w:lvlJc w:val="left"/>
      <w:pPr>
        <w:ind w:left="720" w:hanging="360"/>
      </w:pPr>
      <w:rPr>
        <w:rFonts w:ascii="Palatino Linotype" w:cs="Palatino Linotype" w:eastAsia="Palatino Linotype" w:hAnsi="Palatino Linotyp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0"/>
      <w:numFmt w:val="bullet"/>
      <w:lvlText w:val="-"/>
      <w:lvlJc w:val="left"/>
      <w:pPr>
        <w:ind w:left="927" w:hanging="360"/>
      </w:pPr>
      <w:rPr>
        <w:rFonts w:ascii="Palatino Linotype" w:cs="Palatino Linotype" w:eastAsia="Palatino Linotype" w:hAnsi="Palatino Linotype"/>
      </w:rPr>
    </w:lvl>
    <w:lvl w:ilvl="1">
      <w:start w:val="1"/>
      <w:numFmt w:val="bullet"/>
      <w:lvlText w:val="o"/>
      <w:lvlJc w:val="left"/>
      <w:pPr>
        <w:ind w:left="1647" w:hanging="360"/>
      </w:pPr>
      <w:rPr>
        <w:rFonts w:ascii="Courier New" w:cs="Courier New" w:eastAsia="Courier New" w:hAnsi="Courier New"/>
      </w:rPr>
    </w:lvl>
    <w:lvl w:ilvl="2">
      <w:start w:val="1"/>
      <w:numFmt w:val="bullet"/>
      <w:lvlText w:val="▪"/>
      <w:lvlJc w:val="left"/>
      <w:pPr>
        <w:ind w:left="2367" w:hanging="360"/>
      </w:pPr>
      <w:rPr>
        <w:rFonts w:ascii="Noto Sans Symbols" w:cs="Noto Sans Symbols" w:eastAsia="Noto Sans Symbols" w:hAnsi="Noto Sans Symbols"/>
      </w:rPr>
    </w:lvl>
    <w:lvl w:ilvl="3">
      <w:start w:val="1"/>
      <w:numFmt w:val="bullet"/>
      <w:lvlText w:val="●"/>
      <w:lvlJc w:val="left"/>
      <w:pPr>
        <w:ind w:left="3087" w:hanging="360"/>
      </w:pPr>
      <w:rPr>
        <w:rFonts w:ascii="Noto Sans Symbols" w:cs="Noto Sans Symbols" w:eastAsia="Noto Sans Symbols" w:hAnsi="Noto Sans Symbols"/>
      </w:rPr>
    </w:lvl>
    <w:lvl w:ilvl="4">
      <w:start w:val="1"/>
      <w:numFmt w:val="bullet"/>
      <w:lvlText w:val="o"/>
      <w:lvlJc w:val="left"/>
      <w:pPr>
        <w:ind w:left="3807" w:hanging="360"/>
      </w:pPr>
      <w:rPr>
        <w:rFonts w:ascii="Courier New" w:cs="Courier New" w:eastAsia="Courier New" w:hAnsi="Courier New"/>
      </w:rPr>
    </w:lvl>
    <w:lvl w:ilvl="5">
      <w:start w:val="1"/>
      <w:numFmt w:val="bullet"/>
      <w:lvlText w:val="▪"/>
      <w:lvlJc w:val="left"/>
      <w:pPr>
        <w:ind w:left="4527" w:hanging="360"/>
      </w:pPr>
      <w:rPr>
        <w:rFonts w:ascii="Noto Sans Symbols" w:cs="Noto Sans Symbols" w:eastAsia="Noto Sans Symbols" w:hAnsi="Noto Sans Symbols"/>
      </w:rPr>
    </w:lvl>
    <w:lvl w:ilvl="6">
      <w:start w:val="1"/>
      <w:numFmt w:val="bullet"/>
      <w:lvlText w:val="●"/>
      <w:lvlJc w:val="left"/>
      <w:pPr>
        <w:ind w:left="5247" w:hanging="360"/>
      </w:pPr>
      <w:rPr>
        <w:rFonts w:ascii="Noto Sans Symbols" w:cs="Noto Sans Symbols" w:eastAsia="Noto Sans Symbols" w:hAnsi="Noto Sans Symbols"/>
      </w:rPr>
    </w:lvl>
    <w:lvl w:ilvl="7">
      <w:start w:val="1"/>
      <w:numFmt w:val="bullet"/>
      <w:lvlText w:val="o"/>
      <w:lvlJc w:val="left"/>
      <w:pPr>
        <w:ind w:left="5967" w:hanging="360"/>
      </w:pPr>
      <w:rPr>
        <w:rFonts w:ascii="Courier New" w:cs="Courier New" w:eastAsia="Courier New" w:hAnsi="Courier New"/>
      </w:rPr>
    </w:lvl>
    <w:lvl w:ilvl="8">
      <w:start w:val="1"/>
      <w:numFmt w:val="bullet"/>
      <w:lvlText w:val="▪"/>
      <w:lvlJc w:val="left"/>
      <w:pPr>
        <w:ind w:left="6687"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decimal"/>
      <w:lvlText w:val="%1."/>
      <w:lvlJc w:val="left"/>
      <w:pPr>
        <w:ind w:left="720" w:hanging="360"/>
      </w:pPr>
      <w:rPr>
        <w:b w:val="1"/>
        <w:sz w:val="24"/>
        <w:szCs w:val="24"/>
      </w:rPr>
    </w:lvl>
    <w:lvl w:ilvl="1">
      <w:start w:val="1"/>
      <w:numFmt w:val="decimal"/>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rPr>
      <w:b w:val="1"/>
      <w:sz w:val="27"/>
      <w:szCs w:val="27"/>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5B71CF"/>
    <w:rPr>
      <w:lang w:eastAsia="es-ES"/>
    </w:rPr>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link w:val="Ttulo3Car"/>
    <w:uiPriority w:val="9"/>
    <w:semiHidden w:val="1"/>
    <w:unhideWhenUsed w:val="1"/>
    <w:qFormat w:val="1"/>
    <w:rsid w:val="002D2EAC"/>
    <w:pPr>
      <w:spacing w:after="100" w:afterAutospacing="1" w:before="100" w:beforeAutospacing="1"/>
      <w:outlineLvl w:val="2"/>
    </w:pPr>
    <w:rPr>
      <w:b w:val="1"/>
      <w:bCs w:val="1"/>
      <w:sz w:val="27"/>
      <w:szCs w:val="27"/>
      <w:lang w:eastAsia="es-MX" w:val="es-MX"/>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AC3C64"/>
    <w:pPr>
      <w:tabs>
        <w:tab w:val="center" w:pos="4252"/>
        <w:tab w:val="right" w:pos="8504"/>
      </w:tabs>
    </w:pPr>
    <w:rPr>
      <w:rFonts w:asciiTheme="minorHAnsi" w:cstheme="minorBidi" w:eastAsiaTheme="minorEastAsia" w:hAnsiTheme="minorHAnsi"/>
      <w:lang w:val="es-ES_tradnl"/>
    </w:rPr>
  </w:style>
  <w:style w:type="character" w:styleId="EncabezadoCar" w:customStyle="1">
    <w:name w:val="Encabezado Car"/>
    <w:basedOn w:val="Fuentedeprrafopredeter"/>
    <w:link w:val="Encabezado"/>
    <w:uiPriority w:val="99"/>
    <w:rsid w:val="00AC3C64"/>
    <w:rPr>
      <w:rFonts w:eastAsiaTheme="minorEastAsia"/>
      <w:sz w:val="24"/>
      <w:szCs w:val="24"/>
      <w:lang w:eastAsia="es-ES" w:val="es-ES_tradnl"/>
    </w:rPr>
  </w:style>
  <w:style w:type="paragraph" w:styleId="Piedepgina">
    <w:name w:val="footer"/>
    <w:basedOn w:val="Normal"/>
    <w:link w:val="PiedepginaCar"/>
    <w:uiPriority w:val="99"/>
    <w:unhideWhenUsed w:val="1"/>
    <w:rsid w:val="00AC3C64"/>
    <w:pPr>
      <w:tabs>
        <w:tab w:val="center" w:pos="4252"/>
        <w:tab w:val="right" w:pos="8504"/>
      </w:tabs>
    </w:pPr>
    <w:rPr>
      <w:rFonts w:asciiTheme="minorHAnsi" w:cstheme="minorBidi" w:eastAsiaTheme="minorEastAsia" w:hAnsiTheme="minorHAnsi"/>
      <w:lang w:val="es-ES_tradnl"/>
    </w:rPr>
  </w:style>
  <w:style w:type="character" w:styleId="PiedepginaCar" w:customStyle="1">
    <w:name w:val="Pie de página Car"/>
    <w:basedOn w:val="Fuentedeprrafopredeter"/>
    <w:link w:val="Piedepgina"/>
    <w:uiPriority w:val="99"/>
    <w:rsid w:val="00AC3C64"/>
    <w:rPr>
      <w:rFonts w:eastAsiaTheme="minorEastAsia"/>
      <w:sz w:val="24"/>
      <w:szCs w:val="24"/>
      <w:lang w:eastAsia="es-ES" w:val="es-ES_tradnl"/>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1"/>
    <w:qFormat w:val="1"/>
    <w:locked w:val="1"/>
    <w:rsid w:val="00AC3C64"/>
    <w:rPr>
      <w:rFonts w:ascii="Times New Roman" w:cs="Times New Roman" w:eastAsia="Times New Roman" w:hAnsi="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val="1"/>
    <w:rsid w:val="00AC3C64"/>
    <w:pPr>
      <w:ind w:left="708"/>
    </w:pPr>
    <w:rPr>
      <w:sz w:val="22"/>
      <w:szCs w:val="22"/>
      <w:lang w:eastAsia="en-US"/>
    </w:rPr>
  </w:style>
  <w:style w:type="table" w:styleId="Tablaconcuadrcula">
    <w:name w:val="Table Grid"/>
    <w:basedOn w:val="Tablanormal"/>
    <w:uiPriority w:val="39"/>
    <w:rsid w:val="00AC3C64"/>
    <w:rPr>
      <w:rFonts w:eastAsiaTheme="minorEastAsia"/>
      <w:lang w:eastAsia="es-ES" w:val="es-ES_tradnl"/>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normaltextrun" w:customStyle="1">
    <w:name w:val="normaltextrun"/>
    <w:basedOn w:val="Fuentedeprrafopredeter"/>
    <w:rsid w:val="00AC3C64"/>
  </w:style>
  <w:style w:type="character" w:styleId="apple-converted-space" w:customStyle="1">
    <w:name w:val="apple-converted-space"/>
    <w:basedOn w:val="Fuentedeprrafopredeter"/>
    <w:rsid w:val="00AC3C64"/>
  </w:style>
  <w:style w:type="paragraph" w:styleId="paragraph" w:customStyle="1">
    <w:name w:val="paragraph"/>
    <w:basedOn w:val="Normal"/>
    <w:rsid w:val="00AC3C64"/>
    <w:pPr>
      <w:spacing w:after="100" w:afterAutospacing="1" w:before="100" w:beforeAutospacing="1"/>
    </w:pPr>
    <w:rPr>
      <w:lang w:eastAsia="es-MX" w:val="es-MX"/>
    </w:rPr>
  </w:style>
  <w:style w:type="character" w:styleId="eop" w:customStyle="1">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sid w:val="00AC3C64"/>
    <w:rPr>
      <w:rFonts w:asciiTheme="minorHAnsi" w:cstheme="minorBidi" w:eastAsiaTheme="minorHAnsi" w:hAnsiTheme="minorHAnsi"/>
      <w:sz w:val="20"/>
      <w:szCs w:val="20"/>
      <w:lang w:eastAsia="en-US" w:val="es-MX"/>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val="1"/>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val="1"/>
    <w:qFormat w:val="1"/>
    <w:rsid w:val="00AC3C64"/>
    <w:rPr>
      <w:vertAlign w:val="superscript"/>
    </w:rPr>
  </w:style>
  <w:style w:type="character" w:styleId="Hipervnculo">
    <w:name w:val="Hyperlink"/>
    <w:basedOn w:val="Fuentedeprrafopredeter"/>
    <w:uiPriority w:val="99"/>
    <w:unhideWhenUsed w:val="1"/>
    <w:rsid w:val="00AC3C64"/>
    <w:rPr>
      <w:color w:val="0563c1" w:themeColor="hyperlink"/>
      <w:u w:val="single"/>
    </w:rPr>
  </w:style>
  <w:style w:type="paragraph" w:styleId="NormalWeb">
    <w:name w:val="Normal (Web)"/>
    <w:basedOn w:val="Normal"/>
    <w:uiPriority w:val="99"/>
    <w:unhideWhenUsed w:val="1"/>
    <w:rsid w:val="00AC3C64"/>
    <w:pPr>
      <w:spacing w:after="100" w:afterAutospacing="1" w:before="100" w:beforeAutospacing="1"/>
    </w:pPr>
    <w:rPr>
      <w:lang w:eastAsia="es-MX" w:val="es-MX"/>
    </w:rPr>
  </w:style>
  <w:style w:type="character" w:styleId="Ttulo3Car" w:customStyle="1">
    <w:name w:val="Título 3 Car"/>
    <w:basedOn w:val="Fuentedeprrafopredeter"/>
    <w:link w:val="Ttulo3"/>
    <w:uiPriority w:val="9"/>
    <w:rsid w:val="002D2EAC"/>
    <w:rPr>
      <w:rFonts w:ascii="Times New Roman" w:cs="Times New Roman" w:eastAsia="Times New Roman" w:hAnsi="Times New Roman"/>
      <w:b w:val="1"/>
      <w:bCs w:val="1"/>
      <w:sz w:val="27"/>
      <w:szCs w:val="27"/>
      <w:lang w:eastAsia="es-MX"/>
    </w:rPr>
  </w:style>
  <w:style w:type="character" w:styleId="titulorubro" w:customStyle="1">
    <w:name w:val="titulorubro"/>
    <w:basedOn w:val="Fuentedeprrafopredeter"/>
    <w:rsid w:val="002D2EAC"/>
  </w:style>
  <w:style w:type="paragraph" w:styleId="Textoindependiente">
    <w:name w:val="Body Text"/>
    <w:basedOn w:val="Normal"/>
    <w:link w:val="TextoindependienteCar"/>
    <w:uiPriority w:val="1"/>
    <w:qFormat w:val="1"/>
    <w:rsid w:val="006F3C93"/>
    <w:pPr>
      <w:autoSpaceDE w:val="0"/>
      <w:autoSpaceDN w:val="0"/>
      <w:adjustRightInd w:val="0"/>
      <w:ind w:left="93"/>
    </w:pPr>
    <w:rPr>
      <w:rFonts w:eastAsiaTheme="minorHAnsi"/>
      <w:sz w:val="23"/>
      <w:szCs w:val="23"/>
      <w:lang w:eastAsia="en-US" w:val="es-MX"/>
    </w:rPr>
  </w:style>
  <w:style w:type="character" w:styleId="TextoindependienteCar" w:customStyle="1">
    <w:name w:val="Texto independiente Car"/>
    <w:basedOn w:val="Fuentedeprrafopredeter"/>
    <w:link w:val="Textoindependiente"/>
    <w:uiPriority w:val="1"/>
    <w:rsid w:val="006F3C93"/>
    <w:rPr>
      <w:rFonts w:ascii="Times New Roman" w:cs="Times New Roman" w:hAnsi="Times New Roman"/>
      <w:sz w:val="23"/>
      <w:szCs w:val="23"/>
    </w:rPr>
  </w:style>
  <w:style w:type="paragraph" w:styleId="Textodeglobo">
    <w:name w:val="Balloon Text"/>
    <w:basedOn w:val="Normal"/>
    <w:link w:val="TextodegloboCar"/>
    <w:uiPriority w:val="99"/>
    <w:semiHidden w:val="1"/>
    <w:unhideWhenUsed w:val="1"/>
    <w:rsid w:val="00A037B6"/>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A037B6"/>
    <w:rPr>
      <w:rFonts w:ascii="Segoe UI" w:cs="Segoe UI" w:eastAsia="Times New Roman" w:hAnsi="Segoe UI"/>
      <w:sz w:val="18"/>
      <w:szCs w:val="18"/>
      <w:lang w:eastAsia="es-ES" w:val="es-ES"/>
    </w:rPr>
  </w:style>
  <w:style w:type="paragraph" w:styleId="Pa1" w:customStyle="1">
    <w:name w:val="Pa1"/>
    <w:basedOn w:val="Normal"/>
    <w:next w:val="Normal"/>
    <w:uiPriority w:val="99"/>
    <w:rsid w:val="0074718F"/>
    <w:pPr>
      <w:autoSpaceDE w:val="0"/>
      <w:autoSpaceDN w:val="0"/>
      <w:adjustRightInd w:val="0"/>
      <w:spacing w:line="191" w:lineRule="atLeast"/>
    </w:pPr>
    <w:rPr>
      <w:rFonts w:ascii="Helvetica" w:cs="Helvetica" w:hAnsi="Helvetica" w:eastAsiaTheme="minorHAnsi"/>
      <w:lang w:eastAsia="en-US" w:val="es-MX"/>
    </w:rPr>
  </w:style>
  <w:style w:type="paragraph" w:styleId="Pa2" w:customStyle="1">
    <w:name w:val="Pa2"/>
    <w:basedOn w:val="Normal"/>
    <w:next w:val="Normal"/>
    <w:uiPriority w:val="99"/>
    <w:rsid w:val="0074718F"/>
    <w:pPr>
      <w:autoSpaceDE w:val="0"/>
      <w:autoSpaceDN w:val="0"/>
      <w:adjustRightInd w:val="0"/>
      <w:spacing w:line="191" w:lineRule="atLeast"/>
    </w:pPr>
    <w:rPr>
      <w:rFonts w:ascii="Helvetica" w:cs="Helvetica" w:hAnsi="Helvetica" w:eastAsiaTheme="minorHAnsi"/>
      <w:lang w:eastAsia="en-US" w:val="es-MX"/>
    </w:rPr>
  </w:style>
  <w:style w:type="paragraph" w:styleId="Pa3" w:customStyle="1">
    <w:name w:val="Pa3"/>
    <w:basedOn w:val="Normal"/>
    <w:next w:val="Normal"/>
    <w:uiPriority w:val="99"/>
    <w:rsid w:val="0074718F"/>
    <w:pPr>
      <w:autoSpaceDE w:val="0"/>
      <w:autoSpaceDN w:val="0"/>
      <w:adjustRightInd w:val="0"/>
      <w:spacing w:line="191" w:lineRule="atLeast"/>
    </w:pPr>
    <w:rPr>
      <w:rFonts w:ascii="Helvetica" w:cs="Helvetica" w:hAnsi="Helvetica" w:eastAsiaTheme="minorHAnsi"/>
      <w:lang w:eastAsia="en-US" w:val="es-MX"/>
    </w:rPr>
  </w:style>
  <w:style w:type="paragraph" w:styleId="Sinespaciado">
    <w:name w:val="No Spacing"/>
    <w:aliases w:val="Francesa,INAI"/>
    <w:link w:val="SinespaciadoCar"/>
    <w:uiPriority w:val="1"/>
    <w:qFormat w:val="1"/>
    <w:rsid w:val="00CE2CFE"/>
  </w:style>
  <w:style w:type="character" w:styleId="SinespaciadoCar" w:customStyle="1">
    <w:name w:val="Sin espaciado Car"/>
    <w:aliases w:val="Francesa Car,INAI Car"/>
    <w:link w:val="Sinespaciado"/>
    <w:uiPriority w:val="1"/>
    <w:locked w:val="1"/>
    <w:rsid w:val="00CE2CFE"/>
  </w:style>
  <w:style w:type="table" w:styleId="Tabladelista1clara-nfasis1">
    <w:name w:val="List Table 1 Light Accent 1"/>
    <w:basedOn w:val="Tablanormal"/>
    <w:uiPriority w:val="46"/>
    <w:rsid w:val="00D30935"/>
    <w:rPr>
      <w:rFonts w:eastAsiaTheme="minorEastAsia"/>
      <w:lang w:eastAsia="es-ES" w:val="es-ES_tradnl"/>
    </w:rPr>
    <w:tblPr>
      <w:tblStyleRowBandSize w:val="1"/>
      <w:tblStyleColBandSize w:val="1"/>
    </w:tblPr>
    <w:tblStylePr w:type="firstRow">
      <w:rPr>
        <w:b w:val="1"/>
        <w:bCs w:val="1"/>
      </w:rPr>
      <w:tblPr/>
      <w:tcPr>
        <w:tcBorders>
          <w:bottom w:color="9cc2e5" w:space="0" w:sz="4" w:themeColor="accent1" w:themeTint="000099" w:val="single"/>
        </w:tcBorders>
      </w:tcPr>
    </w:tblStylePr>
    <w:tblStylePr w:type="lastRow">
      <w:rPr>
        <w:b w:val="1"/>
        <w:bCs w:val="1"/>
      </w:rPr>
      <w:tblPr/>
      <w:tcPr>
        <w:tcBorders>
          <w:top w:color="9cc2e5" w:space="0" w:sz="4" w:themeColor="accent1" w:themeTint="000099" w:val="single"/>
        </w:tcBorders>
      </w:tcPr>
    </w:tblStylePr>
    <w:tblStylePr w:type="firstCol">
      <w:rPr>
        <w:b w:val="1"/>
        <w:bCs w:val="1"/>
      </w:rPr>
    </w:tblStylePr>
    <w:tblStylePr w:type="lastCol">
      <w:rPr>
        <w:b w:val="1"/>
        <w:bCs w:val="1"/>
      </w:rPr>
    </w:tblStylePr>
    <w:tblStylePr w:type="band1Vert">
      <w:tblPr/>
      <w:tcPr>
        <w:shd w:color="auto" w:fill="deeaf6" w:themeFill="accent1" w:themeFillTint="000033" w:val="clear"/>
      </w:tcPr>
    </w:tblStylePr>
    <w:tblStylePr w:type="band1Horz">
      <w:tblPr/>
      <w:tcPr>
        <w:shd w:color="auto" w:fill="deeaf6" w:themeFill="accent1" w:themeFillTint="000033" w:val="clear"/>
      </w:tcPr>
    </w:tblStyle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4"/>
    <w:tblPr>
      <w:tblStyleRowBandSize w:val="1"/>
      <w:tblStyleColBandSize w:val="1"/>
      <w:tblCellMar>
        <w:left w:w="108.0" w:type="dxa"/>
        <w:right w:w="108.0" w:type="dxa"/>
      </w:tblCellMar>
    </w:tblPr>
  </w:style>
  <w:style w:type="table" w:styleId="a0" w:customStyle="1">
    <w:basedOn w:val="TableNormal4"/>
    <w:tblPr>
      <w:tblStyleRowBandSize w:val="1"/>
      <w:tblStyleColBandSize w:val="1"/>
      <w:tblCellMar>
        <w:left w:w="115.0" w:type="dxa"/>
        <w:right w:w="115.0" w:type="dxa"/>
      </w:tblCellMar>
    </w:tblPr>
  </w:style>
  <w:style w:type="table" w:styleId="a1" w:customStyle="1">
    <w:basedOn w:val="TableNormal4"/>
    <w:tblPr>
      <w:tblStyleRowBandSize w:val="1"/>
      <w:tblStyleColBandSize w:val="1"/>
      <w:tblCellMar>
        <w:left w:w="115.0" w:type="dxa"/>
        <w:right w:w="115.0" w:type="dxa"/>
      </w:tblCellMar>
    </w:tblPr>
  </w:style>
  <w:style w:type="character" w:styleId="Hipervnculovisitado">
    <w:name w:val="FollowedHyperlink"/>
    <w:basedOn w:val="Fuentedeprrafopredeter"/>
    <w:uiPriority w:val="99"/>
    <w:semiHidden w:val="1"/>
    <w:unhideWhenUsed w:val="1"/>
    <w:rsid w:val="00B93218"/>
    <w:rPr>
      <w:color w:val="954f72" w:themeColor="followedHyperlink"/>
      <w:u w:val="single"/>
    </w:rPr>
  </w:style>
  <w:style w:type="table" w:styleId="a2" w:customStyle="1">
    <w:basedOn w:val="TableNormal4"/>
    <w:tblPr>
      <w:tblStyleRowBandSize w:val="1"/>
      <w:tblStyleColBandSize w:val="1"/>
      <w:tblCellMar>
        <w:left w:w="108.0" w:type="dxa"/>
        <w:right w:w="108.0" w:type="dxa"/>
      </w:tblCellMar>
    </w:tblPr>
  </w:style>
  <w:style w:type="table" w:styleId="a3" w:customStyle="1">
    <w:basedOn w:val="TableNormal4"/>
    <w:tblPr>
      <w:tblStyleRowBandSize w:val="1"/>
      <w:tblStyleColBandSize w:val="1"/>
      <w:tblCellMar>
        <w:left w:w="108.0" w:type="dxa"/>
        <w:right w:w="108.0" w:type="dxa"/>
      </w:tblCellMar>
    </w:tblPr>
  </w:style>
  <w:style w:type="table" w:styleId="a4" w:customStyle="1">
    <w:basedOn w:val="TableNormal4"/>
    <w:tblPr>
      <w:tblStyleRowBandSize w:val="1"/>
      <w:tblStyleColBandSize w:val="1"/>
      <w:tblCellMar>
        <w:left w:w="108.0" w:type="dxa"/>
        <w:right w:w="108.0" w:type="dxa"/>
      </w:tblCellMar>
    </w:tblPr>
  </w:style>
  <w:style w:type="table" w:styleId="a5" w:customStyle="1">
    <w:basedOn w:val="TableNormal4"/>
    <w:tblPr>
      <w:tblStyleRowBandSize w:val="1"/>
      <w:tblStyleColBandSize w:val="1"/>
      <w:tblCellMar>
        <w:left w:w="108.0" w:type="dxa"/>
        <w:right w:w="108.0" w:type="dxa"/>
      </w:tblCellMar>
    </w:tblPr>
  </w:style>
  <w:style w:type="table" w:styleId="a6" w:customStyle="1">
    <w:basedOn w:val="TableNormal4"/>
    <w:tblPr>
      <w:tblStyleRowBandSize w:val="1"/>
      <w:tblStyleColBandSize w:val="1"/>
      <w:tblCellMar>
        <w:left w:w="108.0" w:type="dxa"/>
        <w:right w:w="108.0" w:type="dxa"/>
      </w:tblCellMar>
    </w:tblPr>
  </w:style>
  <w:style w:type="table" w:styleId="a7" w:customStyle="1">
    <w:basedOn w:val="TableNormal4"/>
    <w:tblPr>
      <w:tblStyleRowBandSize w:val="1"/>
      <w:tblStyleColBandSize w:val="1"/>
      <w:tblCellMar>
        <w:left w:w="108.0" w:type="dxa"/>
        <w:right w:w="108.0" w:type="dxa"/>
      </w:tblCellMar>
    </w:tblPr>
  </w:style>
  <w:style w:type="table" w:styleId="a8" w:customStyle="1">
    <w:basedOn w:val="TableNormal4"/>
    <w:tblPr>
      <w:tblStyleRowBandSize w:val="1"/>
      <w:tblStyleColBandSize w:val="1"/>
      <w:tblCellMar>
        <w:left w:w="108.0" w:type="dxa"/>
        <w:right w:w="108.0" w:type="dxa"/>
      </w:tblCellMar>
    </w:tblPr>
  </w:style>
  <w:style w:type="table" w:styleId="a9" w:customStyle="1">
    <w:basedOn w:val="TableNormal4"/>
    <w:tblPr>
      <w:tblStyleRowBandSize w:val="1"/>
      <w:tblStyleColBandSize w:val="1"/>
      <w:tblCellMar>
        <w:left w:w="115.0" w:type="dxa"/>
        <w:right w:w="115.0" w:type="dxa"/>
      </w:tblCellMar>
    </w:tblPr>
  </w:style>
  <w:style w:type="table" w:styleId="aa" w:customStyle="1">
    <w:basedOn w:val="TableNormal4"/>
    <w:tblPr>
      <w:tblStyleRowBandSize w:val="1"/>
      <w:tblStyleColBandSize w:val="1"/>
      <w:tblCellMar>
        <w:left w:w="115.0" w:type="dxa"/>
        <w:right w:w="115.0" w:type="dxa"/>
      </w:tblCellMar>
    </w:tblPr>
  </w:style>
  <w:style w:type="table" w:styleId="ab" w:customStyle="1">
    <w:basedOn w:val="TableNormal4"/>
    <w:tblPr>
      <w:tblStyleRowBandSize w:val="1"/>
      <w:tblStyleColBandSize w:val="1"/>
      <w:tblCellMar>
        <w:left w:w="115.0" w:type="dxa"/>
        <w:right w:w="115.0" w:type="dxa"/>
      </w:tblCellMar>
    </w:tblPr>
  </w:style>
  <w:style w:type="table" w:styleId="ac" w:customStyle="1">
    <w:basedOn w:val="TableNormal3"/>
    <w:tblPr>
      <w:tblStyleRowBandSize w:val="1"/>
      <w:tblStyleColBandSize w:val="1"/>
      <w:tblCellMar>
        <w:left w:w="115.0" w:type="dxa"/>
        <w:right w:w="115.0" w:type="dxa"/>
      </w:tblCellMar>
    </w:tblPr>
  </w:style>
  <w:style w:type="table" w:styleId="ad" w:customStyle="1">
    <w:basedOn w:val="TableNormal3"/>
    <w:tblPr>
      <w:tblStyleRowBandSize w:val="1"/>
      <w:tblStyleColBandSize w:val="1"/>
      <w:tblCellMar>
        <w:left w:w="115.0" w:type="dxa"/>
        <w:right w:w="115.0" w:type="dxa"/>
      </w:tblCellMar>
    </w:tblPr>
  </w:style>
  <w:style w:type="table" w:styleId="ae" w:customStyle="1">
    <w:basedOn w:val="TableNormal3"/>
    <w:tblPr>
      <w:tblStyleRowBandSize w:val="1"/>
      <w:tblStyleColBandSize w:val="1"/>
      <w:tblCellMar>
        <w:left w:w="115.0" w:type="dxa"/>
        <w:right w:w="115.0" w:type="dxa"/>
      </w:tblCellMar>
    </w:tblPr>
  </w:style>
  <w:style w:type="character" w:styleId="Textoennegrita">
    <w:name w:val="Strong"/>
    <w:uiPriority w:val="22"/>
    <w:qFormat w:val="1"/>
    <w:rsid w:val="002B3D0A"/>
    <w:rPr>
      <w:b w:val="1"/>
      <w:bCs w:val="1"/>
    </w:rPr>
  </w:style>
  <w:style w:type="paragraph" w:styleId="Texto" w:customStyle="1">
    <w:name w:val="Texto"/>
    <w:basedOn w:val="Normal"/>
    <w:link w:val="TextoCar"/>
    <w:qFormat w:val="1"/>
    <w:rsid w:val="002B3D0A"/>
    <w:pPr>
      <w:spacing w:after="101" w:line="216" w:lineRule="exact"/>
      <w:ind w:firstLine="288"/>
      <w:jc w:val="both"/>
    </w:pPr>
    <w:rPr>
      <w:rFonts w:ascii="Arial" w:cs="Arial" w:hAnsi="Arial"/>
      <w:sz w:val="18"/>
      <w:szCs w:val="18"/>
      <w:lang w:val="es-MX"/>
    </w:rPr>
  </w:style>
  <w:style w:type="character" w:styleId="apple-style-span" w:customStyle="1">
    <w:name w:val="apple-style-span"/>
    <w:rsid w:val="002B3D0A"/>
  </w:style>
  <w:style w:type="character" w:styleId="TextoCar" w:customStyle="1">
    <w:name w:val="Texto Car"/>
    <w:link w:val="Texto"/>
    <w:locked w:val="1"/>
    <w:rsid w:val="002B3D0A"/>
    <w:rPr>
      <w:rFonts w:ascii="Arial" w:cs="Arial" w:hAnsi="Arial"/>
      <w:sz w:val="18"/>
      <w:szCs w:val="18"/>
      <w:lang w:eastAsia="es-ES" w:val="es-MX"/>
    </w:rPr>
  </w:style>
  <w:style w:type="paragraph" w:styleId="Citas" w:customStyle="1">
    <w:name w:val="Citas"/>
    <w:basedOn w:val="Normal"/>
    <w:qFormat w:val="1"/>
    <w:rsid w:val="009D3D69"/>
    <w:pPr>
      <w:spacing w:after="160" w:before="240" w:line="360" w:lineRule="auto"/>
      <w:ind w:left="851" w:right="851"/>
      <w:jc w:val="both"/>
    </w:pPr>
    <w:rPr>
      <w:rFonts w:ascii="Palatino Linotype" w:cs="Arial" w:hAnsi="Palatino Linotype" w:eastAsiaTheme="minorHAnsi"/>
      <w:i w:val="1"/>
      <w:sz w:val="22"/>
      <w:szCs w:val="22"/>
      <w:lang w:eastAsia="en-US" w:val="es-MX"/>
    </w:rPr>
  </w:style>
  <w:style w:type="paragraph" w:styleId="Listaconvietas3">
    <w:name w:val="List Bullet 3"/>
    <w:basedOn w:val="Normal"/>
    <w:uiPriority w:val="99"/>
    <w:unhideWhenUsed w:val="1"/>
    <w:rsid w:val="009E0405"/>
    <w:pPr>
      <w:numPr>
        <w:numId w:val="4"/>
      </w:numPr>
      <w:contextualSpacing w:val="1"/>
    </w:pPr>
    <w:rPr>
      <w:lang w:eastAsia="es-MX" w:val="es-MX"/>
    </w:rPr>
  </w:style>
  <w:style w:type="paragraph" w:styleId="Listaconvietas">
    <w:name w:val="List Bullet"/>
    <w:basedOn w:val="Normal"/>
    <w:uiPriority w:val="99"/>
    <w:unhideWhenUsed w:val="1"/>
    <w:rsid w:val="00E6231A"/>
    <w:pPr>
      <w:tabs>
        <w:tab w:val="num" w:pos="720"/>
      </w:tabs>
      <w:ind w:left="720" w:hanging="720"/>
      <w:contextualSpacing w:val="1"/>
    </w:pPr>
    <w:rPr>
      <w:lang w:eastAsia="es-MX" w:val="es-MX"/>
    </w:rPr>
  </w:style>
  <w:style w:type="character" w:styleId="Mencinsinresolver1" w:customStyle="1">
    <w:name w:val="Mención sin resolver1"/>
    <w:basedOn w:val="Fuentedeprrafopredeter"/>
    <w:uiPriority w:val="99"/>
    <w:semiHidden w:val="1"/>
    <w:unhideWhenUsed w:val="1"/>
    <w:rsid w:val="00582A33"/>
    <w:rPr>
      <w:color w:val="605e5c"/>
      <w:shd w:color="auto" w:fill="e1dfdd" w:val="clear"/>
    </w:rPr>
  </w:style>
  <w:style w:type="table" w:styleId="af" w:customStyle="1">
    <w:basedOn w:val="TableNormal2"/>
    <w:tblPr>
      <w:tblStyleRowBandSize w:val="1"/>
      <w:tblStyleColBandSize w:val="1"/>
      <w:tblCellMar>
        <w:left w:w="115.0" w:type="dxa"/>
        <w:right w:w="115.0" w:type="dxa"/>
      </w:tblCellMar>
    </w:tblPr>
  </w:style>
  <w:style w:type="table" w:styleId="af0" w:customStyle="1">
    <w:basedOn w:val="TableNormal2"/>
    <w:tblPr>
      <w:tblStyleRowBandSize w:val="1"/>
      <w:tblStyleColBandSize w:val="1"/>
      <w:tblCellMar>
        <w:left w:w="115.0" w:type="dxa"/>
        <w:right w:w="115.0" w:type="dxa"/>
      </w:tblCellMar>
    </w:tblPr>
  </w:style>
  <w:style w:type="character" w:styleId="Mencinsinresolver2" w:customStyle="1">
    <w:name w:val="Mención sin resolver2"/>
    <w:basedOn w:val="Fuentedeprrafopredeter"/>
    <w:uiPriority w:val="99"/>
    <w:semiHidden w:val="1"/>
    <w:unhideWhenUsed w:val="1"/>
    <w:rsid w:val="00836A8D"/>
    <w:rPr>
      <w:color w:val="605e5c"/>
      <w:shd w:color="auto" w:fill="e1dfdd" w:val="clear"/>
    </w:rPr>
  </w:style>
  <w:style w:type="table" w:styleId="af1" w:customStyle="1">
    <w:basedOn w:val="TableNormal1"/>
    <w:tblPr>
      <w:tblStyleRowBandSize w:val="1"/>
      <w:tblStyleColBandSize w:val="1"/>
      <w:tblCellMar>
        <w:left w:w="115.0" w:type="dxa"/>
        <w:right w:w="115.0" w:type="dxa"/>
      </w:tblCellMar>
    </w:tblPr>
  </w:style>
  <w:style w:type="table" w:styleId="af2" w:customStyle="1">
    <w:basedOn w:val="TableNormal1"/>
    <w:tblPr>
      <w:tblStyleRowBandSize w:val="1"/>
      <w:tblStyleColBandSize w:val="1"/>
      <w:tblCellMar>
        <w:left w:w="115.0" w:type="dxa"/>
        <w:right w:w="115.0" w:type="dxa"/>
      </w:tblCellMar>
    </w:tblPr>
  </w:style>
  <w:style w:type="table" w:styleId="af3" w:customStyle="1">
    <w:basedOn w:val="TableNormal0"/>
    <w:tblPr>
      <w:tblStyleRowBandSize w:val="1"/>
      <w:tblStyleColBandSize w:val="1"/>
      <w:tblCellMar>
        <w:left w:w="115.0" w:type="dxa"/>
        <w:right w:w="115.0" w:type="dxa"/>
      </w:tblCellMar>
    </w:tblPr>
  </w:style>
  <w:style w:type="table" w:styleId="af4" w:customStyle="1">
    <w:basedOn w:val="TableNormal0"/>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3.xml"/><Relationship Id="rId10" Type="http://schemas.openxmlformats.org/officeDocument/2006/relationships/footer" Target="footer2.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xNQBqKsQvSAyQlHWrtjBGM+zwA==">CgMxLjAyCWguM3pueXNoNzIIaC5namRneHMyCWguMzBqMHpsbDIJaC4yZXQ5MnAwMg5oLmJnYWV3NjlheDJ1YTgAciExNzhiX1VuQTZudFQxZVpteUJmM0tNSjdVaHNJU1I0cC0=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2025-05-08T22:06:00Z</dcterms:created>
  <dc:creator>USER</dc:creator>
</cp:coreProperties>
</file>