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6C60"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921A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mayo de dos mil veinticinco. </w:t>
      </w:r>
    </w:p>
    <w:p w14:paraId="7FA369E0" w14:textId="48EB8DF3" w:rsidR="001148BC" w:rsidRPr="00921A47" w:rsidRDefault="00C53F3A">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921A47">
        <w:rPr>
          <w:rFonts w:ascii="Palatino Linotype" w:eastAsia="Palatino Linotype" w:hAnsi="Palatino Linotype" w:cs="Palatino Linotype"/>
          <w:b/>
        </w:rPr>
        <w:t>VISTO</w:t>
      </w:r>
      <w:r w:rsidRPr="00921A47">
        <w:rPr>
          <w:rFonts w:ascii="Palatino Linotype" w:eastAsia="Palatino Linotype" w:hAnsi="Palatino Linotype" w:cs="Palatino Linotype"/>
        </w:rPr>
        <w:t xml:space="preserve"> el expediente formado con motivo del recurso de revisión </w:t>
      </w:r>
      <w:r w:rsidRPr="00921A47">
        <w:rPr>
          <w:rFonts w:ascii="Palatino Linotype" w:eastAsia="Palatino Linotype" w:hAnsi="Palatino Linotype" w:cs="Palatino Linotype"/>
          <w:b/>
        </w:rPr>
        <w:t>02869/INFOEM/IP/RR/2025</w:t>
      </w:r>
      <w:r w:rsidRPr="00921A47">
        <w:rPr>
          <w:rFonts w:ascii="Palatino Linotype" w:eastAsia="Palatino Linotype" w:hAnsi="Palatino Linotype" w:cs="Palatino Linotype"/>
        </w:rPr>
        <w:t>, interpuesto por</w:t>
      </w:r>
      <w:r w:rsidRPr="00921A47">
        <w:rPr>
          <w:rFonts w:ascii="Palatino Linotype" w:eastAsia="Palatino Linotype" w:hAnsi="Palatino Linotype" w:cs="Palatino Linotype"/>
          <w:b/>
        </w:rPr>
        <w:t xml:space="preserve"> </w:t>
      </w:r>
      <w:r w:rsidR="00A76687" w:rsidRPr="00A76687">
        <w:rPr>
          <w:rFonts w:ascii="Palatino Linotype" w:eastAsia="Palatino Linotype" w:hAnsi="Palatino Linotype" w:cs="Palatino Linotype"/>
          <w:b/>
        </w:rPr>
        <w:t>XXXXXX XXXXX</w:t>
      </w:r>
      <w:r w:rsidRPr="00921A47">
        <w:rPr>
          <w:rFonts w:ascii="Palatino Linotype" w:eastAsia="Palatino Linotype" w:hAnsi="Palatino Linotype" w:cs="Palatino Linotype"/>
          <w:b/>
        </w:rPr>
        <w:t>,</w:t>
      </w:r>
      <w:r w:rsidRPr="00921A47">
        <w:rPr>
          <w:rFonts w:ascii="Palatino Linotype" w:eastAsia="Palatino Linotype" w:hAnsi="Palatino Linotype" w:cs="Palatino Linotype"/>
        </w:rPr>
        <w:t xml:space="preserve"> en lo sucesivo</w:t>
      </w:r>
      <w:r w:rsidRPr="00921A47">
        <w:rPr>
          <w:rFonts w:ascii="Palatino Linotype" w:eastAsia="Palatino Linotype" w:hAnsi="Palatino Linotype" w:cs="Palatino Linotype"/>
          <w:b/>
        </w:rPr>
        <w:t xml:space="preserve"> </w:t>
      </w:r>
      <w:r w:rsidRPr="00921A47">
        <w:rPr>
          <w:rFonts w:ascii="Palatino Linotype" w:eastAsia="Palatino Linotype" w:hAnsi="Palatino Linotype" w:cs="Palatino Linotype"/>
        </w:rPr>
        <w:t xml:space="preserve">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xml:space="preserve"> en contra de la respuesta a la solicitud de información con número de folio</w:t>
      </w:r>
      <w:r w:rsidRPr="00921A47">
        <w:rPr>
          <w:rFonts w:ascii="Palatino Linotype" w:eastAsia="Palatino Linotype" w:hAnsi="Palatino Linotype" w:cs="Palatino Linotype"/>
          <w:b/>
        </w:rPr>
        <w:t xml:space="preserve"> 00053/VACHASO/IP/2025, </w:t>
      </w:r>
      <w:r w:rsidRPr="00921A47">
        <w:rPr>
          <w:rFonts w:ascii="Palatino Linotype" w:eastAsia="Palatino Linotype" w:hAnsi="Palatino Linotype" w:cs="Palatino Linotype"/>
        </w:rPr>
        <w:t xml:space="preserve">por parte del </w:t>
      </w:r>
      <w:r w:rsidRPr="00921A47">
        <w:rPr>
          <w:rFonts w:ascii="Palatino Linotype" w:eastAsia="Palatino Linotype" w:hAnsi="Palatino Linotype" w:cs="Palatino Linotype"/>
          <w:b/>
        </w:rPr>
        <w:t xml:space="preserve">Ayuntamiento de Valle de Chalco Solidaridad, </w:t>
      </w:r>
      <w:r w:rsidRPr="00921A47">
        <w:rPr>
          <w:rFonts w:ascii="Palatino Linotype" w:eastAsia="Palatino Linotype" w:hAnsi="Palatino Linotype" w:cs="Palatino Linotype"/>
        </w:rPr>
        <w:t xml:space="preserve">en lo sucesivo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se procede a dictar la presente resolución con base en los siguientes: </w:t>
      </w:r>
    </w:p>
    <w:p w14:paraId="3B21AFC2" w14:textId="77777777" w:rsidR="001148BC" w:rsidRPr="00921A47" w:rsidRDefault="00C53F3A">
      <w:pPr>
        <w:spacing w:before="240" w:after="240" w:line="360" w:lineRule="auto"/>
        <w:jc w:val="center"/>
        <w:rPr>
          <w:rFonts w:ascii="Palatino Linotype" w:eastAsia="Palatino Linotype" w:hAnsi="Palatino Linotype" w:cs="Palatino Linotype"/>
          <w:b/>
        </w:rPr>
      </w:pPr>
      <w:r w:rsidRPr="00921A47">
        <w:rPr>
          <w:rFonts w:ascii="Palatino Linotype" w:eastAsia="Palatino Linotype" w:hAnsi="Palatino Linotype" w:cs="Palatino Linotype"/>
          <w:b/>
        </w:rPr>
        <w:t>I. A N T E C E D E N T E S</w:t>
      </w:r>
    </w:p>
    <w:p w14:paraId="16608935" w14:textId="77777777" w:rsidR="001148BC" w:rsidRPr="00921A47" w:rsidRDefault="00C53F3A">
      <w:pPr>
        <w:tabs>
          <w:tab w:val="left" w:pos="5071"/>
        </w:tabs>
        <w:spacing w:before="240" w:after="240" w:line="360" w:lineRule="auto"/>
        <w:jc w:val="both"/>
        <w:rPr>
          <w:rFonts w:ascii="Palatino Linotype" w:eastAsia="Palatino Linotype" w:hAnsi="Palatino Linotype" w:cs="Palatino Linotype"/>
        </w:rPr>
      </w:pPr>
      <w:bookmarkStart w:id="2" w:name="_heading=h.gjdgxs" w:colFirst="0" w:colLast="0"/>
      <w:bookmarkEnd w:id="2"/>
      <w:r w:rsidRPr="00921A47">
        <w:rPr>
          <w:rFonts w:ascii="Palatino Linotype" w:eastAsia="Palatino Linotype" w:hAnsi="Palatino Linotype" w:cs="Palatino Linotype"/>
          <w:b/>
        </w:rPr>
        <w:t xml:space="preserve">1. Solicitud de acceso a la información. </w:t>
      </w:r>
      <w:r w:rsidRPr="00921A47">
        <w:rPr>
          <w:rFonts w:ascii="Palatino Linotype" w:eastAsia="Palatino Linotype" w:hAnsi="Palatino Linotype" w:cs="Palatino Linotype"/>
        </w:rPr>
        <w:t xml:space="preserve">El </w:t>
      </w:r>
      <w:r w:rsidRPr="00921A47">
        <w:rPr>
          <w:rFonts w:ascii="Palatino Linotype" w:eastAsia="Palatino Linotype" w:hAnsi="Palatino Linotype" w:cs="Palatino Linotype"/>
          <w:b/>
        </w:rPr>
        <w:t>diecisiete de febrero de dos mil veinticinco,</w:t>
      </w:r>
      <w:r w:rsidRPr="00921A47">
        <w:rPr>
          <w:rFonts w:ascii="Palatino Linotype" w:eastAsia="Palatino Linotype" w:hAnsi="Palatino Linotype" w:cs="Palatino Linotype"/>
        </w:rPr>
        <w:t xml:space="preserve">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 xml:space="preserve">presentó la solicitud de acceso a la información pública ante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a través del Sistema de Acceso a la Información Mexiquense, en lo subsecuente el </w:t>
      </w:r>
      <w:r w:rsidRPr="00921A47">
        <w:rPr>
          <w:rFonts w:ascii="Palatino Linotype" w:eastAsia="Palatino Linotype" w:hAnsi="Palatino Linotype" w:cs="Palatino Linotype"/>
          <w:b/>
        </w:rPr>
        <w:t>SAIMEX,</w:t>
      </w:r>
      <w:r w:rsidRPr="00921A47">
        <w:rPr>
          <w:rFonts w:ascii="Palatino Linotype" w:eastAsia="Palatino Linotype" w:hAnsi="Palatino Linotype" w:cs="Palatino Linotype"/>
        </w:rPr>
        <w:t xml:space="preserve"> mediante la cual requirió lo siguiente:</w:t>
      </w:r>
    </w:p>
    <w:p w14:paraId="107C8708" w14:textId="77777777" w:rsidR="001148BC" w:rsidRPr="00921A47" w:rsidRDefault="00C53F3A">
      <w:pPr>
        <w:spacing w:before="120" w:after="120"/>
        <w:ind w:left="851" w:right="902"/>
        <w:jc w:val="both"/>
        <w:rPr>
          <w:rFonts w:ascii="Palatino Linotype" w:eastAsia="Palatino Linotype" w:hAnsi="Palatino Linotype" w:cs="Palatino Linotype"/>
          <w:b/>
          <w:i/>
          <w:sz w:val="22"/>
          <w:szCs w:val="22"/>
        </w:rPr>
      </w:pPr>
      <w:r w:rsidRPr="00921A47">
        <w:rPr>
          <w:rFonts w:ascii="Palatino Linotype" w:eastAsia="Palatino Linotype" w:hAnsi="Palatino Linotype" w:cs="Palatino Linotype"/>
          <w:i/>
          <w:sz w:val="22"/>
          <w:szCs w:val="22"/>
        </w:rPr>
        <w:t xml:space="preserve">“Las mínimas de la primera y segunda quincena de enero y la primera quincena de febrero del. 2025, de todos los empleados de los servidores públicos de valle de </w:t>
      </w:r>
      <w:proofErr w:type="spellStart"/>
      <w:r w:rsidRPr="00921A47">
        <w:rPr>
          <w:rFonts w:ascii="Palatino Linotype" w:eastAsia="Palatino Linotype" w:hAnsi="Palatino Linotype" w:cs="Palatino Linotype"/>
          <w:i/>
          <w:sz w:val="22"/>
          <w:szCs w:val="22"/>
        </w:rPr>
        <w:t>chalco</w:t>
      </w:r>
      <w:proofErr w:type="spellEnd"/>
      <w:r w:rsidRPr="00921A47">
        <w:rPr>
          <w:rFonts w:ascii="Palatino Linotype" w:eastAsia="Palatino Linotype" w:hAnsi="Palatino Linotype" w:cs="Palatino Linotype"/>
          <w:b/>
          <w:i/>
          <w:sz w:val="22"/>
          <w:szCs w:val="22"/>
        </w:rPr>
        <w:t>”</w:t>
      </w:r>
      <w:r w:rsidRPr="00921A47">
        <w:rPr>
          <w:rFonts w:ascii="Palatino Linotype" w:eastAsia="Palatino Linotype" w:hAnsi="Palatino Linotype" w:cs="Palatino Linotype"/>
          <w:i/>
          <w:sz w:val="22"/>
          <w:szCs w:val="22"/>
        </w:rPr>
        <w:t xml:space="preserve"> (sic) </w:t>
      </w:r>
    </w:p>
    <w:p w14:paraId="1454EA0B"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921A47">
        <w:rPr>
          <w:rFonts w:ascii="Palatino Linotype" w:eastAsia="Palatino Linotype" w:hAnsi="Palatino Linotype" w:cs="Palatino Linotype"/>
          <w:b/>
        </w:rPr>
        <w:t>Modalidad de Entrega:</w:t>
      </w:r>
      <w:r w:rsidRPr="00921A47">
        <w:rPr>
          <w:rFonts w:ascii="Palatino Linotype" w:eastAsia="Palatino Linotype" w:hAnsi="Palatino Linotype" w:cs="Palatino Linotype"/>
        </w:rPr>
        <w:t xml:space="preserve"> a través del</w:t>
      </w:r>
      <w:r w:rsidRPr="00921A47">
        <w:rPr>
          <w:rFonts w:ascii="Palatino Linotype" w:eastAsia="Palatino Linotype" w:hAnsi="Palatino Linotype" w:cs="Palatino Linotype"/>
          <w:b/>
        </w:rPr>
        <w:t xml:space="preserve"> SAIMEX.</w:t>
      </w:r>
    </w:p>
    <w:p w14:paraId="18A35AF3"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2. Respuesta. </w:t>
      </w:r>
      <w:r w:rsidRPr="00921A47">
        <w:rPr>
          <w:rFonts w:ascii="Palatino Linotype" w:eastAsia="Palatino Linotype" w:hAnsi="Palatino Linotype" w:cs="Palatino Linotype"/>
        </w:rPr>
        <w:t xml:space="preserve">El </w:t>
      </w:r>
      <w:r w:rsidRPr="00921A47">
        <w:rPr>
          <w:rFonts w:ascii="Palatino Linotype" w:eastAsia="Palatino Linotype" w:hAnsi="Palatino Linotype" w:cs="Palatino Linotype"/>
          <w:b/>
        </w:rPr>
        <w:t>once de marzo de dos mil veinticinco,</w:t>
      </w:r>
      <w:r w:rsidRPr="00921A47">
        <w:rPr>
          <w:rFonts w:ascii="Palatino Linotype" w:eastAsia="Palatino Linotype" w:hAnsi="Palatino Linotype" w:cs="Palatino Linotype"/>
        </w:rPr>
        <w:t xml:space="preserve">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DE4E389" w14:textId="77777777" w:rsidR="001148BC" w:rsidRPr="00921A47" w:rsidRDefault="00C53F3A">
      <w:pPr>
        <w:spacing w:before="240" w:after="24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lastRenderedPageBreak/>
        <w:t xml:space="preserve">“…Por medio del presente reciba un cordial saludo, así mismo con fundamento en el artículo 1.8 del Código Administrativo del Estado de México vigente, artículo 1,2,3,4,29 fracción V, 40, 45, 51 Fracción XVI y 197 del Bando Municipal 2025 del Municipio de Valle de Chalco Solidaridad, Estado de México, en seguimiento a la solicitud de información de 00053/VACHASO/IP/2025 de fecha 17 de febrero de 2025 a través de la cual se solicita. " Las mínimas de la primera y segunda quincena de enero y la primera quincena de febrero del. 2025, de todos los empleados de los servidores públicos de valle de </w:t>
      </w:r>
      <w:proofErr w:type="spellStart"/>
      <w:r w:rsidRPr="00921A47">
        <w:rPr>
          <w:rFonts w:ascii="Palatino Linotype" w:eastAsia="Palatino Linotype" w:hAnsi="Palatino Linotype" w:cs="Palatino Linotype"/>
          <w:i/>
          <w:sz w:val="22"/>
          <w:szCs w:val="22"/>
        </w:rPr>
        <w:t>chalco</w:t>
      </w:r>
      <w:proofErr w:type="spellEnd"/>
      <w:r w:rsidRPr="00921A47">
        <w:rPr>
          <w:rFonts w:ascii="Palatino Linotype" w:eastAsia="Palatino Linotype" w:hAnsi="Palatino Linotype" w:cs="Palatino Linotype"/>
          <w:i/>
          <w:sz w:val="22"/>
          <w:szCs w:val="22"/>
        </w:rPr>
        <w:t xml:space="preserve">" Sic &gt;&gt; Derivado de lo anterior y en cumplimiento a los artículos 23 y 12 de la Ley de Transparencia y Acceso a la información Pública del Estado de México y Municipios, </w:t>
      </w:r>
      <w:r w:rsidRPr="00921A47">
        <w:rPr>
          <w:rFonts w:ascii="Palatino Linotype" w:eastAsia="Palatino Linotype" w:hAnsi="Palatino Linotype" w:cs="Palatino Linotype"/>
          <w:b/>
          <w:i/>
          <w:sz w:val="22"/>
          <w:szCs w:val="22"/>
        </w:rPr>
        <w:t>remito la información solicitada, la cual se anexa de manera digital mediante la plataforma de SAIMEX, como a continuación se detalla: • 1ra enero 2025.xlsx • 2da enero 2025.xls • 1ra febrero 2025.xlsx</w:t>
      </w:r>
      <w:r w:rsidRPr="00921A47">
        <w:rPr>
          <w:rFonts w:ascii="Palatino Linotype" w:eastAsia="Palatino Linotype" w:hAnsi="Palatino Linotype" w:cs="Palatino Linotype"/>
          <w:i/>
          <w:sz w:val="22"/>
          <w:szCs w:val="22"/>
        </w:rPr>
        <w:t xml:space="preserve"> Sin más por el momento quedo de Usted. A T E N T A M E N T E MARTHA ROCÍO MARTÍNEZ APODACA DIRECTORA DE ADMINISTRACIÓN, VALLE DE CHALCO SOLIDARIDAD...” (sic)</w:t>
      </w:r>
    </w:p>
    <w:p w14:paraId="60F9CEA4"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adjuntó tres documentos que consisten en lo siguiente:</w:t>
      </w:r>
    </w:p>
    <w:p w14:paraId="6A795B8B"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 Listado </w:t>
      </w:r>
      <w:proofErr w:type="gramStart"/>
      <w:r w:rsidRPr="00921A47">
        <w:rPr>
          <w:rFonts w:ascii="Palatino Linotype" w:eastAsia="Palatino Linotype" w:hAnsi="Palatino Linotype" w:cs="Palatino Linotype"/>
        </w:rPr>
        <w:t>de  339</w:t>
      </w:r>
      <w:proofErr w:type="gramEnd"/>
      <w:r w:rsidRPr="00921A47">
        <w:rPr>
          <w:rFonts w:ascii="Palatino Linotype" w:eastAsia="Palatino Linotype" w:hAnsi="Palatino Linotype" w:cs="Palatino Linotype"/>
        </w:rPr>
        <w:t xml:space="preserve"> servidores públicos, que contiene: nombre completo, plaza, departamento y total neto, de la primera quincena de enero de dos mil veinticinco, en formato Excel.</w:t>
      </w:r>
    </w:p>
    <w:p w14:paraId="4CB9C7E6"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 Listado </w:t>
      </w:r>
      <w:proofErr w:type="gramStart"/>
      <w:r w:rsidRPr="00921A47">
        <w:rPr>
          <w:rFonts w:ascii="Palatino Linotype" w:eastAsia="Palatino Linotype" w:hAnsi="Palatino Linotype" w:cs="Palatino Linotype"/>
        </w:rPr>
        <w:t>de  1723</w:t>
      </w:r>
      <w:proofErr w:type="gramEnd"/>
      <w:r w:rsidRPr="00921A47">
        <w:rPr>
          <w:rFonts w:ascii="Palatino Linotype" w:eastAsia="Palatino Linotype" w:hAnsi="Palatino Linotype" w:cs="Palatino Linotype"/>
        </w:rPr>
        <w:t xml:space="preserve"> servidores públicos, que contiene: nombre completo, plaza, departamento y total neto, de la segunda quincena de enero de dos mil veinticinco, en formato Excel.</w:t>
      </w:r>
    </w:p>
    <w:p w14:paraId="0E36ABAF"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 Listado </w:t>
      </w:r>
      <w:proofErr w:type="gramStart"/>
      <w:r w:rsidRPr="00921A47">
        <w:rPr>
          <w:rFonts w:ascii="Palatino Linotype" w:eastAsia="Palatino Linotype" w:hAnsi="Palatino Linotype" w:cs="Palatino Linotype"/>
        </w:rPr>
        <w:t>de  1846</w:t>
      </w:r>
      <w:proofErr w:type="gramEnd"/>
      <w:r w:rsidRPr="00921A47">
        <w:rPr>
          <w:rFonts w:ascii="Palatino Linotype" w:eastAsia="Palatino Linotype" w:hAnsi="Palatino Linotype" w:cs="Palatino Linotype"/>
        </w:rPr>
        <w:t xml:space="preserve"> servidores públicos, que contiene: nombre completo, plaza, departamento y neto pagado, de la segunda quincena de enero de dos mil veinticinco, en formato Excel.</w:t>
      </w:r>
    </w:p>
    <w:p w14:paraId="626505FB" w14:textId="77777777" w:rsidR="001148BC" w:rsidRPr="00921A47" w:rsidRDefault="00C53F3A">
      <w:pPr>
        <w:spacing w:before="240" w:after="240" w:line="360" w:lineRule="auto"/>
        <w:ind w:right="49"/>
        <w:jc w:val="both"/>
        <w:rPr>
          <w:rFonts w:ascii="Palatino Linotype" w:eastAsia="Palatino Linotype" w:hAnsi="Palatino Linotype" w:cs="Palatino Linotype"/>
          <w:b/>
        </w:rPr>
      </w:pPr>
      <w:r w:rsidRPr="00921A47">
        <w:rPr>
          <w:rFonts w:ascii="Palatino Linotype" w:eastAsia="Palatino Linotype" w:hAnsi="Palatino Linotype" w:cs="Palatino Linotype"/>
          <w:b/>
        </w:rPr>
        <w:t xml:space="preserve">3. Interposición del recurso de revisión. </w:t>
      </w:r>
      <w:r w:rsidRPr="00921A47">
        <w:rPr>
          <w:rFonts w:ascii="Palatino Linotype" w:eastAsia="Palatino Linotype" w:hAnsi="Palatino Linotype" w:cs="Palatino Linotype"/>
        </w:rPr>
        <w:t xml:space="preserve">Inconforme con los términos de la respuesta emitida por parte del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el </w:t>
      </w:r>
      <w:r w:rsidRPr="00921A47">
        <w:rPr>
          <w:rFonts w:ascii="Palatino Linotype" w:eastAsia="Palatino Linotype" w:hAnsi="Palatino Linotype" w:cs="Palatino Linotype"/>
          <w:b/>
        </w:rPr>
        <w:t xml:space="preserve">trece de marzo de dos mil </w:t>
      </w:r>
      <w:r w:rsidRPr="00921A47">
        <w:rPr>
          <w:rFonts w:ascii="Palatino Linotype" w:eastAsia="Palatino Linotype" w:hAnsi="Palatino Linotype" w:cs="Palatino Linotype"/>
          <w:b/>
        </w:rPr>
        <w:lastRenderedPageBreak/>
        <w:t>veinticinco,</w:t>
      </w:r>
      <w:r w:rsidRPr="00921A47">
        <w:rPr>
          <w:rFonts w:ascii="Palatino Linotype" w:eastAsia="Palatino Linotype" w:hAnsi="Palatino Linotype" w:cs="Palatino Linotype"/>
        </w:rPr>
        <w:t xml:space="preserve"> 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xml:space="preserve"> interpuso el recurso de revisión a través de </w:t>
      </w:r>
      <w:r w:rsidRPr="00921A47">
        <w:rPr>
          <w:rFonts w:ascii="Palatino Linotype" w:eastAsia="Palatino Linotype" w:hAnsi="Palatino Linotype" w:cs="Palatino Linotype"/>
          <w:b/>
        </w:rPr>
        <w:t xml:space="preserve">SAIMEX, </w:t>
      </w:r>
      <w:r w:rsidRPr="00921A47">
        <w:rPr>
          <w:rFonts w:ascii="Palatino Linotype" w:eastAsia="Palatino Linotype" w:hAnsi="Palatino Linotype" w:cs="Palatino Linotype"/>
        </w:rPr>
        <w:t>en donde se manifestó de la siguiente manera:</w:t>
      </w:r>
    </w:p>
    <w:p w14:paraId="58A34ADE" w14:textId="77777777" w:rsidR="001148BC" w:rsidRPr="00921A47" w:rsidRDefault="00C53F3A">
      <w:pPr>
        <w:spacing w:before="240" w:after="240" w:line="360" w:lineRule="auto"/>
        <w:ind w:right="49"/>
        <w:jc w:val="both"/>
        <w:rPr>
          <w:rFonts w:ascii="Palatino Linotype" w:eastAsia="Palatino Linotype" w:hAnsi="Palatino Linotype" w:cs="Palatino Linotype"/>
          <w:b/>
        </w:rPr>
      </w:pPr>
      <w:r w:rsidRPr="00921A47">
        <w:rPr>
          <w:rFonts w:ascii="Palatino Linotype" w:eastAsia="Palatino Linotype" w:hAnsi="Palatino Linotype" w:cs="Palatino Linotype"/>
          <w:b/>
        </w:rPr>
        <w:t xml:space="preserve">Acto impugnado: </w:t>
      </w:r>
    </w:p>
    <w:p w14:paraId="0B7C1AF1" w14:textId="77777777" w:rsidR="001148BC" w:rsidRPr="00921A47" w:rsidRDefault="00C53F3A">
      <w:pPr>
        <w:tabs>
          <w:tab w:val="left" w:pos="2745"/>
        </w:tabs>
        <w:spacing w:before="240" w:after="240"/>
        <w:ind w:left="851" w:right="900"/>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“En tenor de lo dispuesto con el artículo 6 constitucional, se está vulnerando la transparencia y el acceso a la información, toda vez que no se reportan a todos los empleados del ayuntamiento, tan es así que las nóminas no coinciden entre sí, el número total de empleados con el que reportan en la primera quincena, así que solicito se presente la información desglosada por tipo de nómina siendo que es información que se tiene y no vulnera los datos personales de los servidores </w:t>
      </w:r>
      <w:proofErr w:type="spellStart"/>
      <w:r w:rsidRPr="00921A47">
        <w:rPr>
          <w:rFonts w:ascii="Palatino Linotype" w:eastAsia="Palatino Linotype" w:hAnsi="Palatino Linotype" w:cs="Palatino Linotype"/>
          <w:i/>
          <w:sz w:val="22"/>
          <w:szCs w:val="22"/>
        </w:rPr>
        <w:t>publicos</w:t>
      </w:r>
      <w:proofErr w:type="spellEnd"/>
      <w:r w:rsidRPr="00921A47">
        <w:rPr>
          <w:rFonts w:ascii="Palatino Linotype" w:eastAsia="Palatino Linotype" w:hAnsi="Palatino Linotype" w:cs="Palatino Linotype"/>
          <w:i/>
          <w:sz w:val="22"/>
          <w:szCs w:val="22"/>
        </w:rPr>
        <w:t>” (sic)</w:t>
      </w:r>
    </w:p>
    <w:p w14:paraId="33223F6E" w14:textId="77777777" w:rsidR="001148BC" w:rsidRPr="00921A47" w:rsidRDefault="00C53F3A">
      <w:pPr>
        <w:spacing w:line="360" w:lineRule="auto"/>
        <w:jc w:val="both"/>
        <w:rPr>
          <w:rFonts w:ascii="Palatino Linotype" w:eastAsia="Palatino Linotype" w:hAnsi="Palatino Linotype" w:cs="Palatino Linotype"/>
        </w:rPr>
      </w:pPr>
      <w:bookmarkStart w:id="4" w:name="_heading=h.30j0zll" w:colFirst="0" w:colLast="0"/>
      <w:bookmarkEnd w:id="4"/>
      <w:r w:rsidRPr="00921A47">
        <w:rPr>
          <w:rFonts w:ascii="Palatino Linotype" w:eastAsia="Palatino Linotype" w:hAnsi="Palatino Linotype" w:cs="Palatino Linotype"/>
          <w:b/>
        </w:rPr>
        <w:t>Y, Razones o motivos de inconformidad</w:t>
      </w:r>
      <w:r w:rsidRPr="00921A47">
        <w:rPr>
          <w:rFonts w:ascii="Palatino Linotype" w:eastAsia="Palatino Linotype" w:hAnsi="Palatino Linotype" w:cs="Palatino Linotype"/>
        </w:rPr>
        <w:t>:</w:t>
      </w:r>
    </w:p>
    <w:p w14:paraId="43E83B6C" w14:textId="77777777" w:rsidR="001148BC" w:rsidRPr="00921A47" w:rsidRDefault="00C53F3A">
      <w:pPr>
        <w:tabs>
          <w:tab w:val="left" w:pos="2745"/>
        </w:tabs>
        <w:spacing w:before="240" w:after="240"/>
        <w:ind w:left="851" w:right="900"/>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“Entrega de información maquillada e incompleta” (sic)</w:t>
      </w:r>
    </w:p>
    <w:p w14:paraId="3F3C7D9E" w14:textId="77777777" w:rsidR="001148BC" w:rsidRPr="00921A47" w:rsidRDefault="00C53F3A">
      <w:pPr>
        <w:spacing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4. Turno. </w:t>
      </w:r>
      <w:r w:rsidRPr="00921A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21A47">
        <w:rPr>
          <w:rFonts w:ascii="Palatino Linotype" w:eastAsia="Palatino Linotype" w:hAnsi="Palatino Linotype" w:cs="Palatino Linotype"/>
          <w:b/>
        </w:rPr>
        <w:t xml:space="preserve">Guadalupe Ramírez Peña, </w:t>
      </w:r>
      <w:r w:rsidRPr="00921A47">
        <w:rPr>
          <w:rFonts w:ascii="Palatino Linotype" w:eastAsia="Palatino Linotype" w:hAnsi="Palatino Linotype" w:cs="Palatino Linotype"/>
        </w:rPr>
        <w:t xml:space="preserve">a efecto de que analizara sobre su admisión o su </w:t>
      </w:r>
      <w:proofErr w:type="spellStart"/>
      <w:r w:rsidRPr="00921A47">
        <w:rPr>
          <w:rFonts w:ascii="Palatino Linotype" w:eastAsia="Palatino Linotype" w:hAnsi="Palatino Linotype" w:cs="Palatino Linotype"/>
        </w:rPr>
        <w:t>desechamiento</w:t>
      </w:r>
      <w:proofErr w:type="spellEnd"/>
      <w:r w:rsidRPr="00921A47">
        <w:rPr>
          <w:rFonts w:ascii="Palatino Linotype" w:eastAsia="Palatino Linotype" w:hAnsi="Palatino Linotype" w:cs="Palatino Linotype"/>
        </w:rPr>
        <w:t>.</w:t>
      </w:r>
    </w:p>
    <w:p w14:paraId="0EABF902"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b/>
        </w:rPr>
        <w:t>5. Admisión del Recurso de revisión.</w:t>
      </w:r>
      <w:r w:rsidRPr="00921A47">
        <w:rPr>
          <w:rFonts w:ascii="Palatino Linotype" w:eastAsia="Palatino Linotype" w:hAnsi="Palatino Linotype" w:cs="Palatino Linotype"/>
        </w:rPr>
        <w:t xml:space="preserve"> El</w:t>
      </w:r>
      <w:r w:rsidRPr="00921A47">
        <w:rPr>
          <w:rFonts w:ascii="Palatino Linotype" w:eastAsia="Palatino Linotype" w:hAnsi="Palatino Linotype" w:cs="Palatino Linotype"/>
          <w:b/>
        </w:rPr>
        <w:t xml:space="preserve"> veinte de marzo de dos mil veinticinco, </w:t>
      </w:r>
      <w:r w:rsidRPr="00921A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921A47">
        <w:rPr>
          <w:rFonts w:ascii="Palatino Linotype" w:eastAsia="Palatino Linotype" w:hAnsi="Palatino Linotype" w:cs="Palatino Linotype"/>
        </w:rPr>
        <w:lastRenderedPageBreak/>
        <w:t xml:space="preserve">pruebas, formularan alegatos y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presentara su informe justificado.</w:t>
      </w:r>
    </w:p>
    <w:p w14:paraId="767C76B3"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921A47">
        <w:rPr>
          <w:rFonts w:ascii="Palatino Linotype" w:eastAsia="Palatino Linotype" w:hAnsi="Palatino Linotype" w:cs="Palatino Linotype"/>
          <w:b/>
        </w:rPr>
        <w:t>6. Manifestaciones</w:t>
      </w:r>
      <w:r w:rsidRPr="00921A47">
        <w:rPr>
          <w:rFonts w:ascii="Palatino Linotype" w:eastAsia="Palatino Linotype" w:hAnsi="Palatino Linotype" w:cs="Palatino Linotype"/>
        </w:rPr>
        <w:t xml:space="preserve">. De las constancias que obran en el expediente electrónico del SAIMEX se desprende que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no rindió su Informe Justificado, del mismo modo la parte</w:t>
      </w:r>
      <w:r w:rsidRPr="00921A47">
        <w:rPr>
          <w:rFonts w:ascii="Palatino Linotype" w:eastAsia="Palatino Linotype" w:hAnsi="Palatino Linotype" w:cs="Palatino Linotype"/>
          <w:b/>
        </w:rPr>
        <w:t xml:space="preserve"> Recurrente</w:t>
      </w:r>
      <w:r w:rsidRPr="00921A47">
        <w:rPr>
          <w:rFonts w:ascii="Palatino Linotype" w:eastAsia="Palatino Linotype" w:hAnsi="Palatino Linotype" w:cs="Palatino Linotype"/>
        </w:rPr>
        <w:t xml:space="preserve"> omitió realizar manifestaciones, como se observa a continuación:</w:t>
      </w:r>
    </w:p>
    <w:p w14:paraId="1FE29AFA"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b/>
          <w:noProof/>
        </w:rPr>
        <w:drawing>
          <wp:inline distT="0" distB="0" distL="0" distR="0" wp14:anchorId="36753380" wp14:editId="49458227">
            <wp:extent cx="5612130" cy="1543685"/>
            <wp:effectExtent l="0" t="0" r="0" b="0"/>
            <wp:docPr id="21401318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1543685"/>
                    </a:xfrm>
                    <a:prstGeom prst="rect">
                      <a:avLst/>
                    </a:prstGeom>
                    <a:ln/>
                  </pic:spPr>
                </pic:pic>
              </a:graphicData>
            </a:graphic>
          </wp:inline>
        </w:drawing>
      </w:r>
    </w:p>
    <w:p w14:paraId="53603CA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7. Cierre de instrucción. </w:t>
      </w:r>
      <w:r w:rsidRPr="00921A4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921A47">
        <w:rPr>
          <w:rFonts w:ascii="Palatino Linotype" w:eastAsia="Palatino Linotype" w:hAnsi="Palatino Linotype" w:cs="Palatino Linotype"/>
          <w:b/>
        </w:rPr>
        <w:t>uno de abril de dos mil veinticinco</w:t>
      </w:r>
      <w:r w:rsidRPr="00921A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E04296A" w14:textId="77777777" w:rsidR="001148BC" w:rsidRPr="00921A47" w:rsidRDefault="00C53F3A">
      <w:pPr>
        <w:widowControl w:val="0"/>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b/>
        </w:rPr>
        <w:t>8. Ampliación del término para resolver</w:t>
      </w:r>
      <w:r w:rsidRPr="00921A47">
        <w:rPr>
          <w:rFonts w:ascii="Palatino Linotype" w:eastAsia="Palatino Linotype" w:hAnsi="Palatino Linotype" w:cs="Palatino Linotype"/>
        </w:rPr>
        <w:t xml:space="preserve">. El </w:t>
      </w:r>
      <w:r w:rsidR="00F8549C" w:rsidRPr="00921A47">
        <w:rPr>
          <w:rFonts w:ascii="Palatino Linotype" w:eastAsia="Palatino Linotype" w:hAnsi="Palatino Linotype" w:cs="Palatino Linotype"/>
          <w:b/>
        </w:rPr>
        <w:t>doce</w:t>
      </w:r>
      <w:r w:rsidRPr="00921A47">
        <w:rPr>
          <w:rFonts w:ascii="Palatino Linotype" w:eastAsia="Palatino Linotype" w:hAnsi="Palatino Linotype" w:cs="Palatino Linotype"/>
          <w:b/>
        </w:rPr>
        <w:t xml:space="preserve"> de mayo de dos mil veinticinco</w:t>
      </w:r>
      <w:r w:rsidRPr="00921A47">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70B5914F"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09480AF" w14:textId="77777777" w:rsidR="001148BC" w:rsidRPr="00921A47" w:rsidRDefault="00C53F3A">
      <w:pPr>
        <w:widowControl w:val="0"/>
        <w:spacing w:before="240" w:after="240" w:line="360" w:lineRule="auto"/>
        <w:jc w:val="center"/>
        <w:rPr>
          <w:rFonts w:ascii="Palatino Linotype" w:eastAsia="Palatino Linotype" w:hAnsi="Palatino Linotype" w:cs="Palatino Linotype"/>
          <w:b/>
        </w:rPr>
      </w:pPr>
      <w:r w:rsidRPr="00921A47">
        <w:rPr>
          <w:rFonts w:ascii="Palatino Linotype" w:eastAsia="Palatino Linotype" w:hAnsi="Palatino Linotype" w:cs="Palatino Linotype"/>
          <w:b/>
        </w:rPr>
        <w:t>II. C O N S I D E R A N D O S</w:t>
      </w:r>
    </w:p>
    <w:p w14:paraId="5C196C2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b/>
        </w:rPr>
        <w:t>Primero. Competencia.</w:t>
      </w:r>
      <w:r w:rsidRPr="00921A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656DEF2"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921A47">
        <w:rPr>
          <w:rFonts w:ascii="Palatino Linotype" w:eastAsia="Palatino Linotype" w:hAnsi="Palatino Linotype" w:cs="Palatino Linotype"/>
          <w:b/>
        </w:rPr>
        <w:t>Segundo. Oportunidad y Procedibilidad del Recurso de Revisión</w:t>
      </w:r>
      <w:r w:rsidRPr="00921A4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B3D9D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921A47">
        <w:rPr>
          <w:rFonts w:ascii="Palatino Linotype" w:eastAsia="Palatino Linotype" w:hAnsi="Palatino Linotype" w:cs="Palatino Linotype"/>
        </w:rPr>
        <w:lastRenderedPageBreak/>
        <w:t xml:space="preserve">Pública del Estado de México y Municipios, toda vez que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remitió la respuesta a la solicitud de información el día </w:t>
      </w:r>
      <w:r w:rsidRPr="00921A47">
        <w:rPr>
          <w:rFonts w:ascii="Palatino Linotype" w:eastAsia="Palatino Linotype" w:hAnsi="Palatino Linotype" w:cs="Palatino Linotype"/>
          <w:b/>
        </w:rPr>
        <w:t xml:space="preserve">once de marzo de dos mil veinticinco, </w:t>
      </w:r>
      <w:r w:rsidRPr="00921A47">
        <w:rPr>
          <w:rFonts w:ascii="Palatino Linotype" w:eastAsia="Palatino Linotype" w:hAnsi="Palatino Linotype" w:cs="Palatino Linotype"/>
        </w:rPr>
        <w:t xml:space="preserve">mientras que el recurso de revisión interpuesto por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se tuvo por presentado el día</w:t>
      </w:r>
      <w:r w:rsidRPr="00921A47">
        <w:rPr>
          <w:rFonts w:ascii="Palatino Linotype" w:eastAsia="Palatino Linotype" w:hAnsi="Palatino Linotype" w:cs="Palatino Linotype"/>
          <w:b/>
        </w:rPr>
        <w:t xml:space="preserve"> trece de marzo de dos mil veinticinco, </w:t>
      </w:r>
      <w:r w:rsidRPr="00921A47">
        <w:rPr>
          <w:rFonts w:ascii="Palatino Linotype" w:eastAsia="Palatino Linotype" w:hAnsi="Palatino Linotype" w:cs="Palatino Linotype"/>
        </w:rPr>
        <w:t>esto es, al segundo día hábil posterior a aquel en el que tuvo conocimiento de la respuesta impugnada. En este sentido, se concluye que el presente recurso de revisión se encuentra dentro de los márgenes temporales previstos en las disposiciones legales referidas.</w:t>
      </w:r>
    </w:p>
    <w:p w14:paraId="57B98EA2"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Además, por cuanto hace a la procedibilidad del recurso de revisión, es de suma importancia señalar que la parte</w:t>
      </w:r>
      <w:r w:rsidRPr="00921A47">
        <w:rPr>
          <w:rFonts w:ascii="Palatino Linotype" w:eastAsia="Palatino Linotype" w:hAnsi="Palatino Linotype" w:cs="Palatino Linotype"/>
          <w:b/>
        </w:rPr>
        <w:t xml:space="preserve"> Recurrente</w:t>
      </w:r>
      <w:r w:rsidRPr="00921A47">
        <w:rPr>
          <w:rFonts w:ascii="Palatino Linotype" w:eastAsia="Palatino Linotype" w:hAnsi="Palatino Linotype" w:cs="Palatino Linotype"/>
        </w:rPr>
        <w:t xml:space="preserve">, no señaló </w:t>
      </w:r>
      <w:r w:rsidRPr="00921A47">
        <w:rPr>
          <w:rFonts w:ascii="Palatino Linotype" w:eastAsia="Palatino Linotype" w:hAnsi="Palatino Linotype" w:cs="Palatino Linotype"/>
          <w:b/>
        </w:rPr>
        <w:t>nombre completo</w:t>
      </w:r>
      <w:r w:rsidRPr="00921A47">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4A1C229"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Las solicitudes anónimas</w:t>
      </w:r>
      <w:r w:rsidRPr="00921A47">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CA2422F"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21A47">
        <w:rPr>
          <w:rFonts w:ascii="Palatino Linotype" w:eastAsia="Palatino Linotype" w:hAnsi="Palatino Linotype" w:cs="Palatino Linotype"/>
          <w:b/>
        </w:rPr>
        <w:t xml:space="preserve"> SAIMEX.</w:t>
      </w:r>
    </w:p>
    <w:p w14:paraId="07D1F41F"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921A47">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xml:space="preserve"> en sus motivos de inconformidad, de acuerdo al artículo 179, fracción V del ordenamiento legal citado, que a la letra dice: </w:t>
      </w:r>
    </w:p>
    <w:p w14:paraId="1C8F0415" w14:textId="77777777" w:rsidR="001148BC" w:rsidRPr="00921A47" w:rsidRDefault="00C53F3A">
      <w:pPr>
        <w:tabs>
          <w:tab w:val="left" w:pos="7938"/>
        </w:tabs>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Artículo 179.</w:t>
      </w:r>
      <w:r w:rsidRPr="00921A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9C63A9" w14:textId="77777777" w:rsidR="001148BC" w:rsidRPr="00921A47" w:rsidRDefault="00C53F3A">
      <w:pPr>
        <w:tabs>
          <w:tab w:val="left" w:pos="7938"/>
        </w:tabs>
        <w:spacing w:before="120" w:after="120"/>
        <w:ind w:left="1134" w:right="900"/>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4BA80F8E" w14:textId="77777777" w:rsidR="001148BC" w:rsidRPr="00921A47" w:rsidRDefault="00C53F3A">
      <w:pPr>
        <w:tabs>
          <w:tab w:val="left" w:pos="7938"/>
        </w:tabs>
        <w:spacing w:before="120" w:after="120"/>
        <w:ind w:left="1134" w:right="900"/>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xml:space="preserve">V. </w:t>
      </w:r>
      <w:r w:rsidRPr="00921A47">
        <w:rPr>
          <w:rFonts w:ascii="Palatino Linotype" w:eastAsia="Palatino Linotype" w:hAnsi="Palatino Linotype" w:cs="Palatino Linotype"/>
          <w:i/>
          <w:sz w:val="22"/>
          <w:szCs w:val="22"/>
        </w:rPr>
        <w:t>La entrega de información incompleta;</w:t>
      </w:r>
    </w:p>
    <w:p w14:paraId="0969872B"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b/>
        </w:rPr>
        <w:t xml:space="preserve">Tercero. Materia de la revisión. </w:t>
      </w:r>
      <w:r w:rsidRPr="00921A4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21A4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921A47">
        <w:rPr>
          <w:rFonts w:ascii="Palatino Linotype" w:eastAsia="Palatino Linotype" w:hAnsi="Palatino Linotype" w:cs="Palatino Linotype"/>
        </w:rPr>
        <w:t xml:space="preserve">de 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o en su defecto, en caso de ser procedente, ordenar la entrega de información.</w:t>
      </w:r>
    </w:p>
    <w:p w14:paraId="30732229"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921A47">
        <w:rPr>
          <w:rFonts w:ascii="Palatino Linotype" w:eastAsia="Palatino Linotype" w:hAnsi="Palatino Linotype" w:cs="Palatino Linotype"/>
          <w:b/>
        </w:rPr>
        <w:t xml:space="preserve">Cuarto. Estudio del asunto. </w:t>
      </w:r>
      <w:r w:rsidRPr="00921A4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BF258CF"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Artículo 4</w:t>
      </w:r>
      <w:r w:rsidRPr="00921A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921A47">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2B45D5D7"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21A4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296E60"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21A47">
        <w:rPr>
          <w:rFonts w:ascii="Palatino Linotype" w:eastAsia="Palatino Linotype" w:hAnsi="Palatino Linotype" w:cs="Palatino Linotype"/>
          <w:i/>
          <w:sz w:val="22"/>
          <w:szCs w:val="22"/>
        </w:rPr>
        <w:t>.”</w:t>
      </w:r>
    </w:p>
    <w:p w14:paraId="1D7C277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F033B8D"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“Artículo 12.-</w:t>
      </w:r>
      <w:r w:rsidRPr="00921A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A106DF4"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21A47">
        <w:rPr>
          <w:rFonts w:ascii="Palatino Linotype" w:eastAsia="Palatino Linotype" w:hAnsi="Palatino Linotype" w:cs="Palatino Linotype"/>
          <w:i/>
          <w:sz w:val="22"/>
          <w:szCs w:val="22"/>
        </w:rPr>
        <w:t xml:space="preserve">. </w:t>
      </w:r>
      <w:r w:rsidRPr="00921A4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35732C2" w14:textId="77777777" w:rsidR="001148BC" w:rsidRPr="00921A47" w:rsidRDefault="00C53F3A">
      <w:pPr>
        <w:spacing w:before="240" w:after="240" w:line="360" w:lineRule="auto"/>
        <w:ind w:right="-93"/>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34325E7"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921A47">
        <w:rPr>
          <w:rFonts w:ascii="Palatino Linotype" w:eastAsia="Palatino Linotype" w:hAnsi="Palatino Linotype" w:cs="Palatino Linotype"/>
        </w:rPr>
        <w:t>que</w:t>
      </w:r>
      <w:proofErr w:type="gramEnd"/>
      <w:r w:rsidRPr="00921A47">
        <w:rPr>
          <w:rFonts w:ascii="Palatino Linotype" w:eastAsia="Palatino Linotype" w:hAnsi="Palatino Linotype" w:cs="Palatino Linotype"/>
        </w:rPr>
        <w:t xml:space="preserve"> por rubro y texto, dispone lo siguiente:</w:t>
      </w:r>
      <w:r w:rsidRPr="00921A47">
        <w:rPr>
          <w:rFonts w:ascii="Palatino Linotype" w:eastAsia="Palatino Linotype" w:hAnsi="Palatino Linotype" w:cs="Palatino Linotype"/>
          <w:b/>
        </w:rPr>
        <w:t xml:space="preserve"> </w:t>
      </w:r>
    </w:p>
    <w:p w14:paraId="6211D832"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No existe obligación de elaborar documentos ad hoc para atender las solicitudes de acceso a la información.</w:t>
      </w:r>
      <w:r w:rsidRPr="00921A4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19FE8B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921A47">
        <w:rPr>
          <w:rFonts w:ascii="Palatino Linotype" w:eastAsia="Palatino Linotype" w:hAnsi="Palatino Linotype" w:cs="Palatino Linotype"/>
        </w:rPr>
        <w:lastRenderedPageBreak/>
        <w:t>que es deber de los Sujetos Obligados, garantizar el Derecho de Acceso a la Información Pública.</w:t>
      </w:r>
    </w:p>
    <w:p w14:paraId="4EB01D5B" w14:textId="77777777" w:rsidR="001148BC" w:rsidRPr="00921A47" w:rsidRDefault="00C53F3A">
      <w:pPr>
        <w:spacing w:before="120" w:after="12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631A94"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 xml:space="preserve">Artículo 3. </w:t>
      </w:r>
      <w:r w:rsidRPr="00921A47">
        <w:rPr>
          <w:rFonts w:ascii="Palatino Linotype" w:eastAsia="Palatino Linotype" w:hAnsi="Palatino Linotype" w:cs="Palatino Linotype"/>
          <w:i/>
          <w:sz w:val="22"/>
          <w:szCs w:val="22"/>
        </w:rPr>
        <w:t>Para los efectos de la presente Ley se entenderá por:</w:t>
      </w:r>
    </w:p>
    <w:p w14:paraId="55FF7688"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44732648"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XI. Documento:</w:t>
      </w:r>
      <w:r w:rsidRPr="00921A47">
        <w:rPr>
          <w:rFonts w:ascii="Palatino Linotype" w:eastAsia="Palatino Linotype" w:hAnsi="Palatino Linotype" w:cs="Palatino Linotype"/>
          <w:i/>
          <w:sz w:val="22"/>
          <w:szCs w:val="22"/>
        </w:rPr>
        <w:t xml:space="preserve"> Los expedientes, reportes, estudios, actas</w:t>
      </w:r>
      <w:r w:rsidRPr="00921A47">
        <w:rPr>
          <w:rFonts w:ascii="Palatino Linotype" w:eastAsia="Palatino Linotype" w:hAnsi="Palatino Linotype" w:cs="Palatino Linotype"/>
          <w:b/>
          <w:i/>
          <w:sz w:val="22"/>
          <w:szCs w:val="22"/>
        </w:rPr>
        <w:t>,</w:t>
      </w:r>
      <w:r w:rsidRPr="00921A4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90810F"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B3DB51"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sz w:val="22"/>
          <w:szCs w:val="22"/>
        </w:rPr>
        <w:lastRenderedPageBreak/>
        <w:t>“</w:t>
      </w:r>
      <w:r w:rsidRPr="00921A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21A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F1751D"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En </w:t>
      </w:r>
      <w:proofErr w:type="gramStart"/>
      <w:r w:rsidRPr="00921A47">
        <w:rPr>
          <w:rFonts w:ascii="Palatino Linotype" w:eastAsia="Palatino Linotype" w:hAnsi="Palatino Linotype" w:cs="Palatino Linotype"/>
          <w:i/>
          <w:sz w:val="22"/>
          <w:szCs w:val="22"/>
        </w:rPr>
        <w:t>consecuencia</w:t>
      </w:r>
      <w:proofErr w:type="gramEnd"/>
      <w:r w:rsidRPr="00921A4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226A657"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21A47">
        <w:rPr>
          <w:rFonts w:ascii="Palatino Linotype" w:eastAsia="Palatino Linotype" w:hAnsi="Palatino Linotype" w:cs="Palatino Linotype"/>
          <w:i/>
          <w:sz w:val="22"/>
          <w:szCs w:val="22"/>
        </w:rPr>
        <w:t>que</w:t>
      </w:r>
      <w:proofErr w:type="gramEnd"/>
      <w:r w:rsidRPr="00921A47">
        <w:rPr>
          <w:rFonts w:ascii="Palatino Linotype" w:eastAsia="Palatino Linotype" w:hAnsi="Palatino Linotype" w:cs="Palatino Linotype"/>
          <w:i/>
          <w:sz w:val="22"/>
          <w:szCs w:val="22"/>
        </w:rPr>
        <w:t xml:space="preserve"> en ejercicio de las atribuciones conferidas, sea generada por los Sujetos Obligados;</w:t>
      </w:r>
    </w:p>
    <w:p w14:paraId="1FC8120D"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21A47">
        <w:rPr>
          <w:rFonts w:ascii="Palatino Linotype" w:eastAsia="Palatino Linotype" w:hAnsi="Palatino Linotype" w:cs="Palatino Linotype"/>
          <w:i/>
          <w:sz w:val="22"/>
          <w:szCs w:val="22"/>
        </w:rPr>
        <w:t>que</w:t>
      </w:r>
      <w:proofErr w:type="gramEnd"/>
      <w:r w:rsidRPr="00921A47">
        <w:rPr>
          <w:rFonts w:ascii="Palatino Linotype" w:eastAsia="Palatino Linotype" w:hAnsi="Palatino Linotype" w:cs="Palatino Linotype"/>
          <w:i/>
          <w:sz w:val="22"/>
          <w:szCs w:val="22"/>
        </w:rPr>
        <w:t xml:space="preserve"> en ejercicio de las atribuciones conferidas, sea administrada por los Sujetos Obligados, y</w:t>
      </w:r>
    </w:p>
    <w:p w14:paraId="59694A46"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3) Que se trate de información registrada en cualquier soporte documental, </w:t>
      </w:r>
      <w:proofErr w:type="gramStart"/>
      <w:r w:rsidRPr="00921A47">
        <w:rPr>
          <w:rFonts w:ascii="Palatino Linotype" w:eastAsia="Palatino Linotype" w:hAnsi="Palatino Linotype" w:cs="Palatino Linotype"/>
          <w:i/>
          <w:sz w:val="22"/>
          <w:szCs w:val="22"/>
        </w:rPr>
        <w:t>que</w:t>
      </w:r>
      <w:proofErr w:type="gramEnd"/>
      <w:r w:rsidRPr="00921A47">
        <w:rPr>
          <w:rFonts w:ascii="Palatino Linotype" w:eastAsia="Palatino Linotype" w:hAnsi="Palatino Linotype" w:cs="Palatino Linotype"/>
          <w:i/>
          <w:sz w:val="22"/>
          <w:szCs w:val="22"/>
        </w:rPr>
        <w:t xml:space="preserve"> en ejercicio de las atribuciones conferidas, se encuentre en posesión de los Sujetos Obligados.”</w:t>
      </w:r>
    </w:p>
    <w:p w14:paraId="37535033" w14:textId="77777777" w:rsidR="001148BC" w:rsidRPr="00921A47" w:rsidRDefault="00C53F3A">
      <w:pP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238762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921A47">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B1A0798" w14:textId="77777777" w:rsidR="001148BC" w:rsidRPr="00921A47" w:rsidRDefault="00C53F3A">
      <w:pP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xml:space="preserve"> requirió al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le proporcione, información consistente en lo siguiente:</w:t>
      </w:r>
    </w:p>
    <w:p w14:paraId="50A21FFE" w14:textId="77777777" w:rsidR="001148BC" w:rsidRPr="00921A47" w:rsidRDefault="00C53F3A">
      <w:pPr>
        <w:numPr>
          <w:ilvl w:val="0"/>
          <w:numId w:val="1"/>
        </w:numPr>
        <w:pBdr>
          <w:top w:val="nil"/>
          <w:left w:val="nil"/>
          <w:bottom w:val="nil"/>
          <w:right w:val="nil"/>
          <w:between w:val="nil"/>
        </w:pBdr>
        <w:spacing w:before="240" w:after="240" w:line="360" w:lineRule="auto"/>
        <w:ind w:left="426" w:right="51" w:firstLine="0"/>
        <w:jc w:val="both"/>
        <w:rPr>
          <w:rFonts w:ascii="Palatino Linotype" w:eastAsia="Palatino Linotype" w:hAnsi="Palatino Linotype" w:cs="Palatino Linotype"/>
        </w:rPr>
      </w:pPr>
      <w:r w:rsidRPr="00921A47">
        <w:rPr>
          <w:rFonts w:ascii="Palatino Linotype" w:eastAsia="Palatino Linotype" w:hAnsi="Palatino Linotype" w:cs="Palatino Linotype"/>
        </w:rPr>
        <w:t>Nómina de la primera y segunda quincena de enero y la primera quincena de febrero de dos mil veinticinco, de todos los servidores públicos.</w:t>
      </w:r>
    </w:p>
    <w:p w14:paraId="76B241F1"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respuesta,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por conducto de la </w:t>
      </w:r>
      <w:proofErr w:type="gramStart"/>
      <w:r w:rsidRPr="00921A47">
        <w:rPr>
          <w:rFonts w:ascii="Palatino Linotype" w:eastAsia="Palatino Linotype" w:hAnsi="Palatino Linotype" w:cs="Palatino Linotype"/>
        </w:rPr>
        <w:t>Directora</w:t>
      </w:r>
      <w:proofErr w:type="gramEnd"/>
      <w:r w:rsidRPr="00921A47">
        <w:rPr>
          <w:rFonts w:ascii="Palatino Linotype" w:eastAsia="Palatino Linotype" w:hAnsi="Palatino Linotype" w:cs="Palatino Linotype"/>
        </w:rPr>
        <w:t xml:space="preserve"> de Administración, proporcionó tres listados que dan cuenta del nombre completo de los servidores públicos, la plaza que ostentan, el departamento de adscripción y el monto total neto que perciben, correspondientes a la primera y segunda quincena de enero, y la primera quincena de febrero de dos mil veinticinco.</w:t>
      </w:r>
    </w:p>
    <w:p w14:paraId="2F989F41"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Derivado de lo anterior,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 xml:space="preserve">presentó el recurso de revisión que se resuelve, donde se inconformó por la entrega de información incompleta, </w:t>
      </w:r>
      <w:r w:rsidRPr="00921A47">
        <w:rPr>
          <w:rFonts w:ascii="Palatino Linotype" w:eastAsia="Palatino Linotype" w:hAnsi="Palatino Linotype" w:cs="Palatino Linotype"/>
        </w:rPr>
        <w:lastRenderedPageBreak/>
        <w:t>manifestando que lo entregado no corresponde con todos los empleados del ayuntamiento, además de no coincidir sí.</w:t>
      </w:r>
    </w:p>
    <w:p w14:paraId="0D225F40"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Durante el periodo de manifestaciones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fue omiso en rendir su informe justificado, y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7AACDD88" w14:textId="77777777" w:rsidR="001148BC" w:rsidRPr="00921A47" w:rsidRDefault="00C53F3A">
      <w:pPr>
        <w:spacing w:before="280" w:after="28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en contraposición con el motivo de inconformidad alegado por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4BBAEF4"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F33ACE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w:t>
      </w:r>
      <w:r w:rsidRPr="00921A47">
        <w:rPr>
          <w:rFonts w:ascii="Palatino Linotype" w:eastAsia="Palatino Linotype" w:hAnsi="Palatino Linotype" w:cs="Palatino Linotype"/>
        </w:rPr>
        <w:lastRenderedPageBreak/>
        <w:t>público habilitado que tiene bajo su resguardo la misma, de conformidad con los artículos 53, fracciones II y IV y 162 de la Ley de Transparencia y Acceso a la Información Pública del Estado de México y Municipios.</w:t>
      </w:r>
    </w:p>
    <w:p w14:paraId="3C7D8AE3" w14:textId="77777777" w:rsidR="001148BC" w:rsidRPr="00921A47" w:rsidRDefault="00C53F3A">
      <w:pP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746064D"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w:t>
      </w:r>
      <w:r w:rsidRPr="00921A47">
        <w:rPr>
          <w:rFonts w:ascii="Palatino Linotype" w:eastAsia="Palatino Linotype" w:hAnsi="Palatino Linotype" w:cs="Palatino Linotype"/>
        </w:rPr>
        <w:lastRenderedPageBreak/>
        <w:t>información solicitada, y que una vez localizada, la misma sea proporcionada a las personas solicitantes atendiendo a la naturaleza jurídica de la misma.</w:t>
      </w:r>
    </w:p>
    <w:p w14:paraId="146C77AA"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Al respecto, es de suma importancia mencionar que, derivado del análisis de las constancias que obran en el expediente electrónico en el que se actúa, se advirtió que la Unidad de Transparencia, turnó la solicitud de información a la Dirección de Administración como la dependencia competente para conocer de la información que es del interés de la persona solicitante.</w:t>
      </w:r>
    </w:p>
    <w:p w14:paraId="2037775F"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Al respecto, es oportuno mencionar que de conformidad con el artículo 197 del Bando Municipal vigente, la Dirección de Administración es la dependencia responsable de proporcionar a las áreas administrativas los recursos humanos materiales y servicios para el mejor funcionamiento y desempeño en las actividades administrativas mediante la organización, supervisión y control de cada uno de estos, teniendo a su cargo en materia de recursos humanos, la administración, dirección, y validación de los movimientos del personal del municipio, como altas, bajas, cambios, permisos, licencias, entre otras, de conformidad con la normatividad establecida en la materia, así como promover acciones para su capacitación, adiestramiento, motivación e incentivación, auxiliándose de la Subdirección de Recursos Humanos, la cual se integra por los Departamentos de Nómina, Jurídico y Archivo.</w:t>
      </w:r>
    </w:p>
    <w:p w14:paraId="0AEB3D59"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este sentido, como se señaló en líneas anteriores, si bien la servidora pública habilitada de dicha área proporcionó tres listados de servidores públicos que contienen entre otros datos el monto neto percibido por estos en la primera y </w:t>
      </w:r>
      <w:r w:rsidRPr="00921A47">
        <w:rPr>
          <w:rFonts w:ascii="Palatino Linotype" w:eastAsia="Palatino Linotype" w:hAnsi="Palatino Linotype" w:cs="Palatino Linotype"/>
        </w:rPr>
        <w:lastRenderedPageBreak/>
        <w:t xml:space="preserve">segunda quincena de enero, y la primera de febrero de dos mil veinticinco, dicha información no colma del Derecho de acceso de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ya que como ésta lo hizo valer a través del medio de impugnación que se resuelve, la información reportada no guarda congruencia respecto del número de servidores públicos en la primera quincena de enero, en comparación con la segunda quincena de enero y la primera quincena de febrero, toda  vez que se advierte una diferencia de mil cuatrocientos servidores públicos aproximadamente, sin perder de vista además, que no se precisa el monto bruto de las percepciones, así como las deducciones correspondientes a cada servidor público.</w:t>
      </w:r>
    </w:p>
    <w:p w14:paraId="7D9D3DE5"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Aunado a lo anterior, no obsta mencionar que derivado del análisis de las constancias que obran en el expediente electrónico, se concluyó que en el presente caso no se cumplió con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 puesto que no se advierte que la Unidad de Transparencia hubiese turnado la solicitud a la Tesorería Municipal, siendo esta el órgano encargado de la recaudación de los ingresos municipales y </w:t>
      </w:r>
      <w:r w:rsidRPr="00921A47">
        <w:rPr>
          <w:rFonts w:ascii="Palatino Linotype" w:eastAsia="Palatino Linotype" w:hAnsi="Palatino Linotype" w:cs="Palatino Linotype"/>
          <w:b/>
        </w:rPr>
        <w:t>responsable de realizar las erogaciones</w:t>
      </w:r>
      <w:r w:rsidRPr="00921A47">
        <w:rPr>
          <w:rFonts w:ascii="Palatino Linotype" w:eastAsia="Palatino Linotype" w:hAnsi="Palatino Linotype" w:cs="Palatino Linotype"/>
        </w:rPr>
        <w:t xml:space="preserve"> que haga el ayuntamiento, así como de administrar la hacienda pública municipal, y llevar los registros contables, financieros y administrativos de los ingresos, egresos, e inventarios, de conformidad con los artículos 93 y 95, fracciones I y IV de la Ley Orgánica Municipal del Estado de México.</w:t>
      </w:r>
    </w:p>
    <w:p w14:paraId="145C6DBC"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Asimismo, el apartado 7.5 del Manual de Organización de la Tesorería Municipal, dispone que el Departamento de Contabilidad de la Tesorería Municipal tiene conferidas entre otras funciones, las siguientes:</w:t>
      </w:r>
    </w:p>
    <w:p w14:paraId="38EA7C5F" w14:textId="77777777" w:rsidR="001148BC" w:rsidRPr="00921A47" w:rsidRDefault="00C53F3A">
      <w:pPr>
        <w:spacing w:before="240" w:after="240" w:line="360" w:lineRule="auto"/>
        <w:ind w:left="284" w:right="49"/>
        <w:jc w:val="both"/>
        <w:rPr>
          <w:rFonts w:ascii="Palatino Linotype" w:eastAsia="Palatino Linotype" w:hAnsi="Palatino Linotype" w:cs="Palatino Linotype"/>
        </w:rPr>
      </w:pPr>
      <w:r w:rsidRPr="00921A47">
        <w:rPr>
          <w:rFonts w:ascii="Palatino Linotype" w:eastAsia="Palatino Linotype" w:hAnsi="Palatino Linotype" w:cs="Palatino Linotype"/>
        </w:rPr>
        <w:t>- Mantener el archivo de nóminas firmadas y entregadas por la subdirección de egresos integrada en las pólizas de pago correspondientes;</w:t>
      </w:r>
    </w:p>
    <w:p w14:paraId="16B20F66" w14:textId="77777777" w:rsidR="001148BC" w:rsidRPr="00921A47" w:rsidRDefault="00C53F3A">
      <w:pPr>
        <w:spacing w:before="240" w:after="240" w:line="360" w:lineRule="auto"/>
        <w:ind w:left="284" w:right="49"/>
        <w:jc w:val="both"/>
        <w:rPr>
          <w:rFonts w:ascii="Palatino Linotype" w:eastAsia="Palatino Linotype" w:hAnsi="Palatino Linotype" w:cs="Palatino Linotype"/>
        </w:rPr>
      </w:pPr>
      <w:r w:rsidRPr="00921A47">
        <w:rPr>
          <w:rFonts w:ascii="Palatino Linotype" w:eastAsia="Palatino Linotype" w:hAnsi="Palatino Linotype" w:cs="Palatino Linotype"/>
        </w:rPr>
        <w:t>- Revisar los cálculos de impuestos realizados por la subdirección de recursos humanos y presentar oportunamente en el portal correspondiente las declaraciones provisionales a fin de enterar las Retenciones del Impuesto Sobre la Renta (ISR) y del Impuesto sobre nómina (ISN).</w:t>
      </w:r>
    </w:p>
    <w:p w14:paraId="48056916" w14:textId="77777777" w:rsidR="001148BC" w:rsidRPr="00921A47" w:rsidRDefault="00C53F3A">
      <w:pPr>
        <w:spacing w:before="240" w:after="240" w:line="360" w:lineRule="auto"/>
        <w:ind w:left="284" w:right="49"/>
        <w:jc w:val="both"/>
        <w:rPr>
          <w:rFonts w:ascii="Palatino Linotype" w:eastAsia="Palatino Linotype" w:hAnsi="Palatino Linotype" w:cs="Palatino Linotype"/>
        </w:rPr>
      </w:pPr>
      <w:r w:rsidRPr="00921A47">
        <w:rPr>
          <w:rFonts w:ascii="Palatino Linotype" w:eastAsia="Palatino Linotype" w:hAnsi="Palatino Linotype" w:cs="Palatino Linotype"/>
        </w:rPr>
        <w:t>- Elaborar e integrar los Informes Mensuales y la Cuenta Pública Anual del Municipio, verificando que el soporte documental se lleve a cabo conforme a las disposiciones, normas y lineamientos respectivos emitidos por el Órgano Superior de Fiscalización.</w:t>
      </w:r>
    </w:p>
    <w:p w14:paraId="129D5134"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este orden de ideas, a fin de garantizar el Derecho de acceso de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 xml:space="preserve">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deberá hacer entrega del soporte documental que dé cuenta de la nómina de la primera y segunda quincena de enero, y la primera de febrero de dos mil veinticinco, de todos los servidores públicos en versión pública de conformidad con el considerando siguiente.</w:t>
      </w:r>
    </w:p>
    <w:p w14:paraId="3840F40F"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Para efectos de lo anterior, debe decirse que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921A47">
        <w:rPr>
          <w:rFonts w:ascii="Palatino Linotype" w:eastAsia="Palatino Linotype" w:hAnsi="Palatino Linotype" w:cs="Palatino Linotype"/>
          <w:i/>
        </w:rPr>
        <w:t>conciliación de nómina</w:t>
      </w:r>
      <w:r w:rsidRPr="00921A47">
        <w:rPr>
          <w:rFonts w:ascii="Palatino Linotype" w:eastAsia="Palatino Linotype" w:hAnsi="Palatino Linotype" w:cs="Palatino Linotype"/>
        </w:rPr>
        <w:t xml:space="preserve">, como se desprende </w:t>
      </w:r>
      <w:r w:rsidRPr="00921A47">
        <w:rPr>
          <w:rFonts w:ascii="Palatino Linotype" w:eastAsia="Palatino Linotype" w:hAnsi="Palatino Linotype" w:cs="Palatino Linotype"/>
        </w:rPr>
        <w:lastRenderedPageBreak/>
        <w:t>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2EDFB7D2"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579BBAFF" w14:textId="77777777" w:rsidR="001148BC" w:rsidRPr="00921A47" w:rsidRDefault="00C53F3A">
      <w:pPr>
        <w:spacing w:before="240" w:after="240" w:line="360" w:lineRule="auto"/>
        <w:jc w:val="center"/>
      </w:pPr>
      <w:r w:rsidRPr="00921A47">
        <w:rPr>
          <w:noProof/>
        </w:rPr>
        <w:drawing>
          <wp:inline distT="0" distB="0" distL="0" distR="0" wp14:anchorId="0A9EE50B" wp14:editId="0CC5866E">
            <wp:extent cx="5036400" cy="2592000"/>
            <wp:effectExtent l="0" t="0" r="0" b="0"/>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036400" cy="2592000"/>
                    </a:xfrm>
                    <a:prstGeom prst="rect">
                      <a:avLst/>
                    </a:prstGeom>
                    <a:ln/>
                  </pic:spPr>
                </pic:pic>
              </a:graphicData>
            </a:graphic>
          </wp:inline>
        </w:drawing>
      </w:r>
      <w:r w:rsidRPr="00921A47">
        <w:t xml:space="preserve">  </w:t>
      </w:r>
    </w:p>
    <w:p w14:paraId="0C619BF6" w14:textId="77777777" w:rsidR="001148BC" w:rsidRPr="00921A47" w:rsidRDefault="00C53F3A">
      <w:pPr>
        <w:spacing w:before="240" w:after="240" w:line="360" w:lineRule="auto"/>
        <w:jc w:val="center"/>
      </w:pPr>
      <w:r w:rsidRPr="00921A47">
        <w:rPr>
          <w:noProof/>
        </w:rPr>
        <w:lastRenderedPageBreak/>
        <w:drawing>
          <wp:inline distT="0" distB="0" distL="0" distR="0" wp14:anchorId="10C2DC9E" wp14:editId="1E9644C9">
            <wp:extent cx="5400000" cy="3632400"/>
            <wp:effectExtent l="0" t="0" r="0" b="0"/>
            <wp:docPr id="21401318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12763"/>
                    <a:stretch>
                      <a:fillRect/>
                    </a:stretch>
                  </pic:blipFill>
                  <pic:spPr>
                    <a:xfrm>
                      <a:off x="0" y="0"/>
                      <a:ext cx="5400000" cy="3632400"/>
                    </a:xfrm>
                    <a:prstGeom prst="rect">
                      <a:avLst/>
                    </a:prstGeom>
                    <a:ln/>
                  </pic:spPr>
                </pic:pic>
              </a:graphicData>
            </a:graphic>
          </wp:inline>
        </w:drawing>
      </w:r>
      <w:r w:rsidRPr="00921A47">
        <w:rPr>
          <w:noProof/>
        </w:rPr>
        <mc:AlternateContent>
          <mc:Choice Requires="wpg">
            <w:drawing>
              <wp:anchor distT="0" distB="0" distL="114300" distR="114300" simplePos="0" relativeHeight="251658240" behindDoc="0" locked="0" layoutInCell="1" hidden="0" allowOverlap="1" wp14:anchorId="05D98D05" wp14:editId="06039C90">
                <wp:simplePos x="0" y="0"/>
                <wp:positionH relativeFrom="column">
                  <wp:posOffset>139700</wp:posOffset>
                </wp:positionH>
                <wp:positionV relativeFrom="paragraph">
                  <wp:posOffset>2374900</wp:posOffset>
                </wp:positionV>
                <wp:extent cx="5312359" cy="491642"/>
                <wp:effectExtent l="0" t="0" r="0" b="0"/>
                <wp:wrapNone/>
                <wp:docPr id="2140131830" name="Rectángulo 2140131830"/>
                <wp:cNvGraphicFramePr/>
                <a:graphic xmlns:a="http://schemas.openxmlformats.org/drawingml/2006/main">
                  <a:graphicData uri="http://schemas.microsoft.com/office/word/2010/wordprocessingShape">
                    <wps:wsp>
                      <wps:cNvSpPr/>
                      <wps:spPr>
                        <a:xfrm>
                          <a:off x="2708871" y="3553229"/>
                          <a:ext cx="5274259" cy="453542"/>
                        </a:xfrm>
                        <a:prstGeom prst="rect">
                          <a:avLst/>
                        </a:prstGeom>
                        <a:noFill/>
                        <a:ln w="38100" cap="flat" cmpd="sng">
                          <a:solidFill>
                            <a:srgbClr val="C00000"/>
                          </a:solidFill>
                          <a:prstDash val="solid"/>
                          <a:miter lim="800000"/>
                          <a:headEnd type="none" w="sm" len="sm"/>
                          <a:tailEnd type="none" w="sm" len="sm"/>
                        </a:ln>
                      </wps:spPr>
                      <wps:txbx>
                        <w:txbxContent>
                          <w:p w14:paraId="26906668" w14:textId="77777777" w:rsidR="001148BC" w:rsidRDefault="001148BC">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2374900</wp:posOffset>
                </wp:positionV>
                <wp:extent cx="5312359" cy="491642"/>
                <wp:effectExtent b="0" l="0" r="0" t="0"/>
                <wp:wrapNone/>
                <wp:docPr id="214013183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312359" cy="491642"/>
                        </a:xfrm>
                        <a:prstGeom prst="rect"/>
                        <a:ln/>
                      </pic:spPr>
                    </pic:pic>
                  </a:graphicData>
                </a:graphic>
              </wp:anchor>
            </w:drawing>
          </mc:Fallback>
        </mc:AlternateContent>
      </w:r>
    </w:p>
    <w:p w14:paraId="17A8DF3F" w14:textId="77777777" w:rsidR="001148BC" w:rsidRPr="00921A47" w:rsidRDefault="00C53F3A">
      <w:pPr>
        <w:spacing w:before="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4489342D" w14:textId="77777777" w:rsidR="001148BC" w:rsidRPr="00921A47" w:rsidRDefault="00C53F3A">
      <w:pPr>
        <w:spacing w:before="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Y, debe presentarse a través de los formatos XLSX y TXT, siendo el primero el siguiente:</w:t>
      </w:r>
    </w:p>
    <w:p w14:paraId="5EA37657" w14:textId="77777777" w:rsidR="001148BC" w:rsidRPr="00921A47" w:rsidRDefault="00C53F3A">
      <w:pPr>
        <w:spacing w:before="240" w:line="360" w:lineRule="auto"/>
        <w:ind w:right="49"/>
        <w:jc w:val="center"/>
        <w:rPr>
          <w:rFonts w:ascii="Palatino Linotype" w:eastAsia="Palatino Linotype" w:hAnsi="Palatino Linotype" w:cs="Palatino Linotype"/>
        </w:rPr>
      </w:pPr>
      <w:r w:rsidRPr="00921A47">
        <w:rPr>
          <w:noProof/>
        </w:rPr>
        <w:lastRenderedPageBreak/>
        <w:drawing>
          <wp:inline distT="0" distB="0" distL="0" distR="0" wp14:anchorId="5399E613" wp14:editId="521C55B8">
            <wp:extent cx="4733925" cy="5443069"/>
            <wp:effectExtent l="0" t="0" r="0" b="0"/>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b="443"/>
                    <a:stretch>
                      <a:fillRect/>
                    </a:stretch>
                  </pic:blipFill>
                  <pic:spPr>
                    <a:xfrm>
                      <a:off x="0" y="0"/>
                      <a:ext cx="4733925" cy="5443069"/>
                    </a:xfrm>
                    <a:prstGeom prst="rect">
                      <a:avLst/>
                    </a:prstGeom>
                    <a:ln/>
                  </pic:spPr>
                </pic:pic>
              </a:graphicData>
            </a:graphic>
          </wp:inline>
        </w:drawing>
      </w:r>
    </w:p>
    <w:p w14:paraId="3FFFD932" w14:textId="77777777" w:rsidR="001148BC" w:rsidRPr="00921A47" w:rsidRDefault="00C53F3A">
      <w:pPr>
        <w:spacing w:before="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Para el llenado de dicho formato se deben observar las siguientes consideraciones:</w:t>
      </w:r>
    </w:p>
    <w:p w14:paraId="553C3B17" w14:textId="77777777" w:rsidR="001148BC" w:rsidRPr="00921A47" w:rsidRDefault="00C53F3A">
      <w:pPr>
        <w:spacing w:before="240" w:line="360" w:lineRule="auto"/>
        <w:ind w:right="49"/>
        <w:jc w:val="center"/>
        <w:rPr>
          <w:rFonts w:ascii="Palatino Linotype" w:eastAsia="Palatino Linotype" w:hAnsi="Palatino Linotype" w:cs="Palatino Linotype"/>
        </w:rPr>
      </w:pPr>
      <w:r w:rsidRPr="00921A47">
        <w:rPr>
          <w:noProof/>
        </w:rPr>
        <w:lastRenderedPageBreak/>
        <w:drawing>
          <wp:inline distT="0" distB="0" distL="0" distR="0" wp14:anchorId="2411667C" wp14:editId="4A957970">
            <wp:extent cx="4644000" cy="1276864"/>
            <wp:effectExtent l="0" t="0" r="0" b="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644000" cy="1276864"/>
                    </a:xfrm>
                    <a:prstGeom prst="rect">
                      <a:avLst/>
                    </a:prstGeom>
                    <a:ln/>
                  </pic:spPr>
                </pic:pic>
              </a:graphicData>
            </a:graphic>
          </wp:inline>
        </w:drawing>
      </w:r>
      <w:r w:rsidRPr="00921A47">
        <w:rPr>
          <w:noProof/>
        </w:rPr>
        <w:drawing>
          <wp:inline distT="0" distB="0" distL="0" distR="0" wp14:anchorId="6360A815" wp14:editId="0E1D2B23">
            <wp:extent cx="4642622" cy="4857650"/>
            <wp:effectExtent l="0" t="0" r="0" b="0"/>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1" b="425"/>
                    <a:stretch>
                      <a:fillRect/>
                    </a:stretch>
                  </pic:blipFill>
                  <pic:spPr>
                    <a:xfrm>
                      <a:off x="0" y="0"/>
                      <a:ext cx="4642622" cy="4857650"/>
                    </a:xfrm>
                    <a:prstGeom prst="rect">
                      <a:avLst/>
                    </a:prstGeom>
                    <a:ln/>
                  </pic:spPr>
                </pic:pic>
              </a:graphicData>
            </a:graphic>
          </wp:inline>
        </w:drawing>
      </w:r>
    </w:p>
    <w:p w14:paraId="02B3B8B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w:t>
      </w:r>
      <w:r w:rsidRPr="00921A47">
        <w:rPr>
          <w:rFonts w:ascii="Palatino Linotype" w:eastAsia="Palatino Linotype" w:hAnsi="Palatino Linotype" w:cs="Palatino Linotype"/>
        </w:rPr>
        <w:lastRenderedPageBreak/>
        <w:t xml:space="preserve">obligaciones fiscales, contiene los rubros: Número Progresivo, Número de quincena, Número de empleado, R.F.C, CURP, Número de seguridad social (ISSEMYM), </w:t>
      </w:r>
      <w:r w:rsidRPr="00921A47">
        <w:rPr>
          <w:rFonts w:ascii="Palatino Linotype" w:eastAsia="Palatino Linotype" w:hAnsi="Palatino Linotype" w:cs="Palatino Linotype"/>
          <w:b/>
        </w:rPr>
        <w:t>Nombre completo: Apellido Paterno, Apellido Materno, Nombre</w:t>
      </w:r>
      <w:r w:rsidRPr="00921A47">
        <w:rPr>
          <w:rFonts w:ascii="Palatino Linotype" w:eastAsia="Palatino Linotype" w:hAnsi="Palatino Linotype" w:cs="Palatino Linotype"/>
        </w:rPr>
        <w:t xml:space="preserve"> (s), Fecha de alta, Fecha de baja, Puesto funcional, Nivel y/o rango, No. de horas laboradas, Adscripción, Categoría: Confianza, Sindicalizado o Eventual; </w:t>
      </w:r>
      <w:r w:rsidRPr="00921A47">
        <w:rPr>
          <w:rFonts w:ascii="Palatino Linotype" w:eastAsia="Palatino Linotype" w:hAnsi="Palatino Linotype" w:cs="Palatino Linotype"/>
          <w:b/>
          <w:u w:val="single"/>
        </w:rPr>
        <w:t>Percepciones ordinarias</w:t>
      </w:r>
      <w:r w:rsidRPr="00921A47">
        <w:rPr>
          <w:rFonts w:ascii="Palatino Linotype" w:eastAsia="Palatino Linotype" w:hAnsi="Palatino Linotype" w:cs="Palatino Linotype"/>
          <w:b/>
        </w:rPr>
        <w:t xml:space="preserve"> (de acuerdo al tabulador), </w:t>
      </w:r>
      <w:r w:rsidRPr="00921A47">
        <w:rPr>
          <w:rFonts w:ascii="Palatino Linotype" w:eastAsia="Palatino Linotype" w:hAnsi="Palatino Linotype" w:cs="Palatino Linotype"/>
        </w:rPr>
        <w:t>Percepciones extraordinarias</w:t>
      </w:r>
      <w:r w:rsidRPr="00921A47">
        <w:rPr>
          <w:rFonts w:ascii="Palatino Linotype" w:eastAsia="Palatino Linotype" w:hAnsi="Palatino Linotype" w:cs="Palatino Linotype"/>
          <w:b/>
        </w:rPr>
        <w:t xml:space="preserve">, </w:t>
      </w:r>
      <w:r w:rsidRPr="00921A47">
        <w:rPr>
          <w:rFonts w:ascii="Palatino Linotype" w:eastAsia="Palatino Linotype" w:hAnsi="Palatino Linotype" w:cs="Palatino Linotype"/>
          <w:b/>
          <w:u w:val="single"/>
        </w:rPr>
        <w:t>Total de percepciones brutas;</w:t>
      </w:r>
      <w:r w:rsidRPr="00921A47">
        <w:rPr>
          <w:rFonts w:ascii="Palatino Linotype" w:eastAsia="Palatino Linotype" w:hAnsi="Palatino Linotype" w:cs="Palatino Linotype"/>
          <w:b/>
        </w:rPr>
        <w:t xml:space="preserve"> </w:t>
      </w:r>
      <w:r w:rsidRPr="00921A47">
        <w:rPr>
          <w:rFonts w:ascii="Palatino Linotype" w:eastAsia="Palatino Linotype" w:hAnsi="Palatino Linotype" w:cs="Palatino Linotype"/>
          <w:b/>
          <w:u w:val="single"/>
        </w:rPr>
        <w:t>Deducciones</w:t>
      </w:r>
      <w:r w:rsidRPr="00921A47">
        <w:rPr>
          <w:rFonts w:ascii="Palatino Linotype" w:eastAsia="Palatino Linotype" w:hAnsi="Palatino Linotype" w:cs="Palatino Linotype"/>
          <w:b/>
        </w:rPr>
        <w:t xml:space="preserve">; Total de deducciones, </w:t>
      </w:r>
      <w:r w:rsidRPr="00921A47">
        <w:rPr>
          <w:rFonts w:ascii="Palatino Linotype" w:eastAsia="Palatino Linotype" w:hAnsi="Palatino Linotype" w:cs="Palatino Linotype"/>
          <w:b/>
          <w:u w:val="single"/>
        </w:rPr>
        <w:t>Total neto</w:t>
      </w:r>
      <w:r w:rsidRPr="00921A47">
        <w:rPr>
          <w:rFonts w:ascii="Palatino Linotype" w:eastAsia="Palatino Linotype" w:hAnsi="Palatino Linotype" w:cs="Palatino Linotype"/>
          <w:b/>
        </w:rPr>
        <w:t>,</w:t>
      </w:r>
      <w:r w:rsidRPr="00921A47">
        <w:rPr>
          <w:rFonts w:ascii="Palatino Linotype" w:eastAsia="Palatino Linotype" w:hAnsi="Palatino Linotype" w:cs="Palatino Linotype"/>
        </w:rPr>
        <w:t xml:space="preserve"> Días pagados</w:t>
      </w:r>
      <w:r w:rsidRPr="00921A47">
        <w:rPr>
          <w:rFonts w:ascii="Palatino Linotype" w:eastAsia="Palatino Linotype" w:hAnsi="Palatino Linotype" w:cs="Palatino Linotype"/>
          <w:b/>
        </w:rPr>
        <w:t>,</w:t>
      </w:r>
      <w:r w:rsidRPr="00921A47">
        <w:rPr>
          <w:rFonts w:ascii="Palatino Linotype" w:eastAsia="Palatino Linotype" w:hAnsi="Palatino Linotype" w:cs="Palatino Linotype"/>
        </w:rPr>
        <w:t xml:space="preserve"> Nombre de la fuente de financiamiento, Póliza, y Medio de pago.</w:t>
      </w:r>
    </w:p>
    <w:p w14:paraId="43C2631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Por consiguiente, se estima que el documento a través del cual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puede colmar la pretensión de la persona solicitante es la conciliación de nómina de las quincenas requeridas, cuya entrega es procedente en versión pública, de conformidad con el considerando siguiente.</w:t>
      </w:r>
    </w:p>
    <w:p w14:paraId="1360CABF" w14:textId="77777777" w:rsidR="001148BC" w:rsidRPr="00921A47" w:rsidRDefault="00C53F3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lo hasta aquí expuesto, se concluye que los motivos de inconformidad de la parte </w:t>
      </w:r>
      <w:r w:rsidRPr="00921A47">
        <w:rPr>
          <w:rFonts w:ascii="Palatino Linotype" w:eastAsia="Palatino Linotype" w:hAnsi="Palatino Linotype" w:cs="Palatino Linotype"/>
          <w:b/>
        </w:rPr>
        <w:t xml:space="preserve">Recurrente </w:t>
      </w:r>
      <w:r w:rsidRPr="00921A47">
        <w:rPr>
          <w:rFonts w:ascii="Palatino Linotype" w:eastAsia="Palatino Linotype" w:hAnsi="Palatino Linotype" w:cs="Palatino Linotype"/>
        </w:rPr>
        <w:t xml:space="preserve">devienen fundados, siendo procedente </w:t>
      </w:r>
      <w:r w:rsidRPr="00921A47">
        <w:rPr>
          <w:rFonts w:ascii="Palatino Linotype" w:eastAsia="Palatino Linotype" w:hAnsi="Palatino Linotype" w:cs="Palatino Linotype"/>
          <w:i/>
        </w:rPr>
        <w:t xml:space="preserve">Revocar </w:t>
      </w:r>
      <w:r w:rsidRPr="00921A47">
        <w:rPr>
          <w:rFonts w:ascii="Palatino Linotype" w:eastAsia="Palatino Linotype" w:hAnsi="Palatino Linotype" w:cs="Palatino Linotype"/>
        </w:rPr>
        <w:t xml:space="preserve">la respuesta proporcionada por el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34EB3E4" w14:textId="77777777" w:rsidR="001148BC" w:rsidRPr="00921A47" w:rsidRDefault="00C53F3A">
      <w:pP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Quinto. Versión Pública. </w:t>
      </w:r>
      <w:r w:rsidRPr="00921A47">
        <w:rPr>
          <w:rFonts w:ascii="Palatino Linotype" w:eastAsia="Palatino Linotype" w:hAnsi="Palatino Linotype" w:cs="Palatino Linotype"/>
        </w:rPr>
        <w:t>Como fue debidamente apuntado,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w:t>
      </w:r>
      <w:r w:rsidRPr="00921A47">
        <w:rPr>
          <w:rFonts w:ascii="Palatino Linotype" w:eastAsia="Palatino Linotype" w:hAnsi="Palatino Linotype" w:cs="Palatino Linotype"/>
        </w:rPr>
        <w:lastRenderedPageBreak/>
        <w:t>debe ser restringido que deben testarse al momento de la versión pública, atento a lo siguiente:</w:t>
      </w:r>
    </w:p>
    <w:p w14:paraId="7D57F5A3"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27756D1"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74A705C"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6DC54A7E"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rPr>
        <w:t> </w:t>
      </w: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Artículo 3.</w:t>
      </w:r>
      <w:r w:rsidRPr="00921A47">
        <w:rPr>
          <w:rFonts w:ascii="Palatino Linotype" w:eastAsia="Palatino Linotype" w:hAnsi="Palatino Linotype" w:cs="Palatino Linotype"/>
          <w:i/>
          <w:sz w:val="22"/>
          <w:szCs w:val="22"/>
        </w:rPr>
        <w:t xml:space="preserve"> Para los efectos de la presente Ley se entenderá por:</w:t>
      </w:r>
    </w:p>
    <w:p w14:paraId="44C7B225"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3C09FE59"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IX. Datos personales</w:t>
      </w:r>
      <w:r w:rsidRPr="00921A47">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66F6C0E"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5B91391D"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XX. Información clasificada</w:t>
      </w:r>
      <w:r w:rsidRPr="00921A47">
        <w:rPr>
          <w:rFonts w:ascii="Palatino Linotype" w:eastAsia="Palatino Linotype" w:hAnsi="Palatino Linotype" w:cs="Palatino Linotype"/>
          <w:i/>
          <w:sz w:val="22"/>
          <w:szCs w:val="22"/>
        </w:rPr>
        <w:t>: Aquella considerada por la presente Ley como reservada o confidencial;</w:t>
      </w:r>
    </w:p>
    <w:p w14:paraId="6D48FA2E"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XXI. Información confidencial</w:t>
      </w:r>
      <w:r w:rsidRPr="00921A4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w:t>
      </w:r>
      <w:r w:rsidRPr="00921A47">
        <w:rPr>
          <w:rFonts w:ascii="Palatino Linotype" w:eastAsia="Palatino Linotype" w:hAnsi="Palatino Linotype" w:cs="Palatino Linotype"/>
          <w:i/>
          <w:sz w:val="22"/>
          <w:szCs w:val="22"/>
        </w:rPr>
        <w:lastRenderedPageBreak/>
        <w:t>derecho internacional o a sujetos obligados cuando no involucren el ejercicio de recursos públicos;</w:t>
      </w:r>
    </w:p>
    <w:p w14:paraId="23B29F17"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168DE9E2"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XXXII. Protección de Datos Personales</w:t>
      </w:r>
      <w:r w:rsidRPr="00921A47">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D52433D"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37EA6795" w14:textId="77777777" w:rsidR="001148BC" w:rsidRPr="00921A47" w:rsidRDefault="00C53F3A">
      <w:pPr>
        <w:tabs>
          <w:tab w:val="left" w:pos="1276"/>
        </w:tabs>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XLV. Versión pública</w:t>
      </w:r>
      <w:r w:rsidRPr="00921A4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694929A"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Artículo 6</w:t>
      </w:r>
      <w:r w:rsidRPr="00921A47">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CC8DEC1"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p>
    <w:p w14:paraId="411696E3"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Artículo 91.</w:t>
      </w:r>
      <w:r w:rsidRPr="00921A4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21A47">
        <w:rPr>
          <w:rFonts w:ascii="Palatino Linotype" w:eastAsia="Palatino Linotype" w:hAnsi="Palatino Linotype" w:cs="Palatino Linotype"/>
          <w:i/>
          <w:sz w:val="22"/>
          <w:szCs w:val="22"/>
        </w:rPr>
        <w:br/>
        <w:t>…</w:t>
      </w:r>
    </w:p>
    <w:p w14:paraId="1AA75736"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Artículo 132.</w:t>
      </w:r>
      <w:r w:rsidRPr="00921A47">
        <w:rPr>
          <w:rFonts w:ascii="Palatino Linotype" w:eastAsia="Palatino Linotype" w:hAnsi="Palatino Linotype" w:cs="Palatino Linotype"/>
          <w:i/>
          <w:sz w:val="22"/>
          <w:szCs w:val="22"/>
        </w:rPr>
        <w:t xml:space="preserve"> La clasificación de la información se llevará a cabo en el momento en que:</w:t>
      </w:r>
    </w:p>
    <w:p w14:paraId="20C976CE"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w:t>
      </w:r>
      <w:r w:rsidRPr="00921A47">
        <w:rPr>
          <w:rFonts w:ascii="Palatino Linotype" w:eastAsia="Palatino Linotype" w:hAnsi="Palatino Linotype" w:cs="Palatino Linotype"/>
          <w:i/>
          <w:sz w:val="22"/>
          <w:szCs w:val="22"/>
        </w:rPr>
        <w:t>. Se reciba una solicitud de acceso a la información;</w:t>
      </w:r>
    </w:p>
    <w:p w14:paraId="6BDF7B8C"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w:t>
      </w:r>
      <w:r w:rsidRPr="00921A47">
        <w:rPr>
          <w:rFonts w:ascii="Palatino Linotype" w:eastAsia="Palatino Linotype" w:hAnsi="Palatino Linotype" w:cs="Palatino Linotype"/>
          <w:i/>
          <w:sz w:val="22"/>
          <w:szCs w:val="22"/>
        </w:rPr>
        <w:t xml:space="preserve"> Se determine mediante resolución de autoridad competente; o</w:t>
      </w:r>
    </w:p>
    <w:p w14:paraId="7793AB55"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III.</w:t>
      </w:r>
      <w:r w:rsidRPr="00921A4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720D748"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w:t>
      </w:r>
    </w:p>
    <w:p w14:paraId="41EFEBA7"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Artículo 137.</w:t>
      </w:r>
      <w:r w:rsidRPr="00921A4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C30414F"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lastRenderedPageBreak/>
        <w:t> Artículo 143.</w:t>
      </w:r>
      <w:r w:rsidRPr="00921A47">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2462CCB"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w:t>
      </w:r>
      <w:r w:rsidRPr="00921A4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9315151" w14:textId="77777777" w:rsidR="001148BC" w:rsidRPr="00921A47" w:rsidRDefault="00C53F3A">
      <w:pPr>
        <w:spacing w:before="240" w:after="240" w:line="360" w:lineRule="auto"/>
        <w:ind w:right="50"/>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098E02" w14:textId="77777777" w:rsidR="001148BC" w:rsidRPr="00921A47" w:rsidRDefault="00C53F3A">
      <w:pPr>
        <w:spacing w:before="240" w:after="240" w:line="360" w:lineRule="auto"/>
        <w:ind w:right="50"/>
        <w:jc w:val="both"/>
        <w:rPr>
          <w:rFonts w:ascii="Palatino Linotype" w:eastAsia="Palatino Linotype" w:hAnsi="Palatino Linotype" w:cs="Palatino Linotype"/>
        </w:rPr>
      </w:pPr>
      <w:r w:rsidRPr="00921A4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D99A6B0"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derivado del ejercicio de sus atribuciones, tal como quedo acotado en el cuerpo de la presente Resolución, también contienen los datos </w:t>
      </w:r>
      <w:r w:rsidRPr="00921A47">
        <w:rPr>
          <w:rFonts w:ascii="Palatino Linotype" w:eastAsia="Palatino Linotype" w:hAnsi="Palatino Linotype" w:cs="Palatino Linotype"/>
        </w:rPr>
        <w:lastRenderedPageBreak/>
        <w:t xml:space="preserve">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21A47">
        <w:rPr>
          <w:rFonts w:ascii="Palatino Linotype" w:eastAsia="Palatino Linotype" w:hAnsi="Palatino Linotype" w:cs="Palatino Linotype"/>
          <w:b/>
        </w:rPr>
        <w:t>Registro Federal de Contribuyentes</w:t>
      </w:r>
      <w:r w:rsidRPr="00921A47">
        <w:rPr>
          <w:rFonts w:ascii="Palatino Linotype" w:eastAsia="Palatino Linotype" w:hAnsi="Palatino Linotype" w:cs="Palatino Linotype"/>
        </w:rPr>
        <w:t xml:space="preserve"> (RFC), la </w:t>
      </w:r>
      <w:r w:rsidRPr="00921A47">
        <w:rPr>
          <w:rFonts w:ascii="Palatino Linotype" w:eastAsia="Palatino Linotype" w:hAnsi="Palatino Linotype" w:cs="Palatino Linotype"/>
          <w:b/>
        </w:rPr>
        <w:t>Clave Única de Registro de Población</w:t>
      </w:r>
      <w:r w:rsidRPr="00921A47">
        <w:rPr>
          <w:rFonts w:ascii="Palatino Linotype" w:eastAsia="Palatino Linotype" w:hAnsi="Palatino Linotype" w:cs="Palatino Linotype"/>
        </w:rPr>
        <w:t xml:space="preserve"> (CURP), la </w:t>
      </w:r>
      <w:r w:rsidRPr="00921A47">
        <w:rPr>
          <w:rFonts w:ascii="Palatino Linotype" w:eastAsia="Palatino Linotype" w:hAnsi="Palatino Linotype" w:cs="Palatino Linotype"/>
          <w:b/>
        </w:rPr>
        <w:t>Clave de cualquier tipo de seguridad social</w:t>
      </w:r>
      <w:r w:rsidRPr="00921A47">
        <w:rPr>
          <w:rFonts w:ascii="Palatino Linotype" w:eastAsia="Palatino Linotype" w:hAnsi="Palatino Linotype" w:cs="Palatino Linotype"/>
        </w:rPr>
        <w:t xml:space="preserve"> (ISSEMYM, u otros), los </w:t>
      </w:r>
      <w:r w:rsidRPr="00921A47">
        <w:rPr>
          <w:rFonts w:ascii="Palatino Linotype" w:eastAsia="Palatino Linotype" w:hAnsi="Palatino Linotype" w:cs="Palatino Linotype"/>
          <w:b/>
        </w:rPr>
        <w:t>números de cuentas bancarias</w:t>
      </w:r>
      <w:r w:rsidRPr="00921A47">
        <w:rPr>
          <w:rFonts w:ascii="Palatino Linotype" w:eastAsia="Palatino Linotype" w:hAnsi="Palatino Linotype" w:cs="Palatino Linotype"/>
        </w:rPr>
        <w:t xml:space="preserve">, claves estandarizadas – interbancarias - (CLABES) y de tarjetas, los </w:t>
      </w:r>
      <w:r w:rsidRPr="00921A47">
        <w:rPr>
          <w:rFonts w:ascii="Palatino Linotype" w:eastAsia="Palatino Linotype" w:hAnsi="Palatino Linotype" w:cs="Palatino Linotype"/>
          <w:b/>
        </w:rPr>
        <w:t>préstamos o descuentos</w:t>
      </w:r>
      <w:r w:rsidRPr="00921A47">
        <w:rPr>
          <w:rFonts w:ascii="Palatino Linotype" w:eastAsia="Palatino Linotype" w:hAnsi="Palatino Linotype" w:cs="Palatino Linotype"/>
        </w:rPr>
        <w:t xml:space="preserve"> que se le hagan a la persona y que no tengan relación con los impuestos o la cuota por seguridad social, el</w:t>
      </w:r>
      <w:r w:rsidRPr="00921A47">
        <w:rPr>
          <w:rFonts w:ascii="Palatino Linotype" w:eastAsia="Palatino Linotype" w:hAnsi="Palatino Linotype" w:cs="Palatino Linotype"/>
          <w:b/>
        </w:rPr>
        <w:t xml:space="preserve"> número de empleado, </w:t>
      </w:r>
      <w:r w:rsidRPr="00921A47">
        <w:rPr>
          <w:rFonts w:ascii="Palatino Linotype" w:eastAsia="Palatino Linotype" w:hAnsi="Palatino Linotype" w:cs="Palatino Linotype"/>
        </w:rPr>
        <w:t>y cualquier información de carácter fiscal.</w:t>
      </w:r>
    </w:p>
    <w:p w14:paraId="2A9C7E1D" w14:textId="77777777" w:rsidR="001148BC" w:rsidRPr="00921A47" w:rsidRDefault="00C53F3A">
      <w:pPr>
        <w:spacing w:before="240" w:after="240" w:line="360" w:lineRule="auto"/>
        <w:ind w:right="50"/>
        <w:jc w:val="both"/>
        <w:rPr>
          <w:rFonts w:ascii="Palatino Linotype" w:eastAsia="Palatino Linotype" w:hAnsi="Palatino Linotype" w:cs="Palatino Linotype"/>
        </w:rPr>
      </w:pPr>
      <w:r w:rsidRPr="00921A4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9EDFA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Por cuanto hace al </w:t>
      </w:r>
      <w:r w:rsidRPr="00921A47">
        <w:rPr>
          <w:rFonts w:ascii="Palatino Linotype" w:eastAsia="Palatino Linotype" w:hAnsi="Palatino Linotype" w:cs="Palatino Linotype"/>
          <w:b/>
        </w:rPr>
        <w:t>Registro Federal de Contribuyentes, RFC,</w:t>
      </w:r>
      <w:r w:rsidRPr="00921A47">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921A47">
        <w:rPr>
          <w:rFonts w:ascii="Palatino Linotype" w:eastAsia="Palatino Linotype" w:hAnsi="Palatino Linotype" w:cs="Palatino Linotype"/>
        </w:rPr>
        <w:t>homoclave</w:t>
      </w:r>
      <w:proofErr w:type="spellEnd"/>
      <w:r w:rsidRPr="00921A47">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79F6B739"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921A47">
        <w:rPr>
          <w:rFonts w:ascii="Palatino Linotype" w:eastAsia="Palatino Linotype" w:hAnsi="Palatino Linotype" w:cs="Palatino Linotype"/>
        </w:rPr>
        <w:lastRenderedPageBreak/>
        <w:t>actividades de naturaleza fiscal, la cual, les permite hacerse identificables respecto de una situación fiscal determinada.</w:t>
      </w:r>
    </w:p>
    <w:p w14:paraId="08DFF055"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921A47">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1213B2A4"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xml:space="preserve"> “Registro Federal de Contribuyentes (RFC) de personas físicas</w:t>
      </w:r>
      <w:r w:rsidRPr="00921A47">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8B8F52D"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921A47">
        <w:rPr>
          <w:rFonts w:ascii="Palatino Linotype" w:eastAsia="Palatino Linotype" w:hAnsi="Palatino Linotype" w:cs="Palatino Linotype"/>
        </w:rPr>
        <w:t>homoclave</w:t>
      </w:r>
      <w:proofErr w:type="spellEnd"/>
      <w:r w:rsidRPr="00921A47">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AA290A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igual manera la </w:t>
      </w:r>
      <w:r w:rsidRPr="00921A47">
        <w:rPr>
          <w:rFonts w:ascii="Palatino Linotype" w:eastAsia="Palatino Linotype" w:hAnsi="Palatino Linotype" w:cs="Palatino Linotype"/>
          <w:b/>
        </w:rPr>
        <w:t>Clave Única de Registro de Población</w:t>
      </w:r>
      <w:r w:rsidRPr="00921A47">
        <w:rPr>
          <w:rFonts w:ascii="Palatino Linotype" w:eastAsia="Palatino Linotype" w:hAnsi="Palatino Linotype" w:cs="Palatino Linotype"/>
        </w:rPr>
        <w:t xml:space="preserve">, </w:t>
      </w:r>
      <w:r w:rsidRPr="00921A47">
        <w:rPr>
          <w:rFonts w:ascii="Palatino Linotype" w:eastAsia="Palatino Linotype" w:hAnsi="Palatino Linotype" w:cs="Palatino Linotype"/>
          <w:b/>
        </w:rPr>
        <w:t>CURP,</w:t>
      </w:r>
      <w:r w:rsidRPr="00921A47">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w:t>
      </w:r>
      <w:r w:rsidRPr="00921A47">
        <w:rPr>
          <w:rFonts w:ascii="Palatino Linotype" w:eastAsia="Palatino Linotype" w:hAnsi="Palatino Linotype" w:cs="Palatino Linotype"/>
        </w:rPr>
        <w:lastRenderedPageBreak/>
        <w:t>nombre, sus apellidos y su lugar de nacimiento; información que permite distinguirlo del resto de los habitantes, por tal motivo, se considera que es de carácter confidencial.</w:t>
      </w:r>
    </w:p>
    <w:p w14:paraId="1993E6D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5A0C1C06" w14:textId="77777777" w:rsidR="001148BC" w:rsidRPr="00921A47" w:rsidRDefault="00C53F3A">
      <w:pPr>
        <w:spacing w:before="120" w:after="120"/>
        <w:ind w:left="851" w:right="902"/>
        <w:jc w:val="both"/>
        <w:rPr>
          <w:rFonts w:ascii="Palatino Linotype" w:eastAsia="Palatino Linotype" w:hAnsi="Palatino Linotype" w:cs="Palatino Linotype"/>
          <w:i/>
        </w:rPr>
      </w:pPr>
      <w:r w:rsidRPr="00921A47">
        <w:rPr>
          <w:rFonts w:ascii="Palatino Linotype" w:eastAsia="Palatino Linotype" w:hAnsi="Palatino Linotype" w:cs="Palatino Linotype"/>
          <w:b/>
          <w:i/>
        </w:rPr>
        <w:t xml:space="preserve"> </w:t>
      </w:r>
      <w:r w:rsidRPr="00921A47">
        <w:rPr>
          <w:rFonts w:ascii="Palatino Linotype" w:eastAsia="Palatino Linotype" w:hAnsi="Palatino Linotype" w:cs="Palatino Linotype"/>
          <w:b/>
          <w:i/>
          <w:sz w:val="22"/>
          <w:szCs w:val="22"/>
        </w:rPr>
        <w:t xml:space="preserve">“Clave Única de Registro de Población (CURP). </w:t>
      </w:r>
      <w:r w:rsidRPr="00921A47">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9C026D"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Por lo que respecta a la </w:t>
      </w:r>
      <w:r w:rsidRPr="00921A47">
        <w:rPr>
          <w:rFonts w:ascii="Palatino Linotype" w:eastAsia="Palatino Linotype" w:hAnsi="Palatino Linotype" w:cs="Palatino Linotype"/>
          <w:b/>
        </w:rPr>
        <w:t>clave de seguridad social</w:t>
      </w:r>
      <w:r w:rsidRPr="00921A47">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0515C6D3"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Respecto de los </w:t>
      </w:r>
      <w:r w:rsidRPr="00921A47">
        <w:rPr>
          <w:rFonts w:ascii="Palatino Linotype" w:eastAsia="Palatino Linotype" w:hAnsi="Palatino Linotype" w:cs="Palatino Linotype"/>
          <w:b/>
        </w:rPr>
        <w:t>números de cuentas bancari</w:t>
      </w:r>
      <w:r w:rsidRPr="00921A47">
        <w:rPr>
          <w:rFonts w:ascii="Palatino Linotype" w:eastAsia="Palatino Linotype" w:hAnsi="Palatino Linotype" w:cs="Palatino Linotype"/>
        </w:rPr>
        <w:t xml:space="preserve">as, </w:t>
      </w:r>
      <w:r w:rsidRPr="00921A47">
        <w:rPr>
          <w:rFonts w:ascii="Palatino Linotype" w:eastAsia="Palatino Linotype" w:hAnsi="Palatino Linotype" w:cs="Palatino Linotype"/>
          <w:b/>
        </w:rPr>
        <w:t>claves estandarizadas –interbancarias- (CLABES) y de tarjetas</w:t>
      </w:r>
      <w:r w:rsidRPr="00921A47">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2F793B1C"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921A47">
        <w:rPr>
          <w:rFonts w:ascii="Palatino Linotype" w:eastAsia="Palatino Linotype" w:hAnsi="Palatino Linotype" w:cs="Palatino Linotype"/>
        </w:rPr>
        <w:lastRenderedPageBreak/>
        <w:t>operaciones bancarias de diversa naturaleza, por lo que la difusión pública del mismo facilitaría la afectación al patrimonio del titular de la cuenta.</w:t>
      </w:r>
    </w:p>
    <w:p w14:paraId="58DD6C53"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1918D1C"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7DF46A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BA692E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605F0CD2"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Cuentas bancarias y/o CLABE interbancaria de personas físicas y morales privadas.</w:t>
      </w:r>
      <w:r w:rsidRPr="00921A47">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97BD11F"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lastRenderedPageBreak/>
        <w:t>“Cuentas bancarias y/o CLABE interbancaria de sujetos obligados que reciben y/o transfieren recursos públicos, son información pública.</w:t>
      </w:r>
      <w:r w:rsidRPr="00921A47">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E125D43"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10" w:name="_heading=h.35nkun2" w:colFirst="0" w:colLast="0"/>
      <w:bookmarkEnd w:id="10"/>
      <w:r w:rsidRPr="00921A47">
        <w:rPr>
          <w:rFonts w:ascii="Palatino Linotype" w:eastAsia="Palatino Linotype" w:hAnsi="Palatino Linotype" w:cs="Palatino Linotype"/>
        </w:rPr>
        <w:t xml:space="preserve">Por cuanto hace a los </w:t>
      </w:r>
      <w:r w:rsidRPr="00921A47">
        <w:rPr>
          <w:rFonts w:ascii="Palatino Linotype" w:eastAsia="Palatino Linotype" w:hAnsi="Palatino Linotype" w:cs="Palatino Linotype"/>
          <w:b/>
        </w:rPr>
        <w:t>préstamos o descuentos de carácter personal</w:t>
      </w:r>
      <w:r w:rsidRPr="00921A47">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0190CCBA"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2B0AB8F0" w14:textId="77777777" w:rsidR="001148BC" w:rsidRPr="00921A47" w:rsidRDefault="00C53F3A">
      <w:pPr>
        <w:spacing w:before="120" w:after="120"/>
        <w:ind w:left="851" w:right="902"/>
        <w:jc w:val="both"/>
        <w:rPr>
          <w:rFonts w:ascii="Palatino Linotype" w:eastAsia="Palatino Linotype" w:hAnsi="Palatino Linotype" w:cs="Palatino Linotype"/>
          <w:b/>
          <w:i/>
          <w:sz w:val="22"/>
          <w:szCs w:val="22"/>
        </w:rPr>
      </w:pPr>
      <w:bookmarkStart w:id="11" w:name="_heading=h.1ksv4uv" w:colFirst="0" w:colLast="0"/>
      <w:bookmarkEnd w:id="11"/>
      <w:r w:rsidRPr="00921A47">
        <w:rPr>
          <w:rFonts w:ascii="Palatino Linotype" w:eastAsia="Palatino Linotype" w:hAnsi="Palatino Linotype" w:cs="Palatino Linotype"/>
          <w:b/>
          <w:i/>
          <w:sz w:val="22"/>
          <w:szCs w:val="22"/>
        </w:rPr>
        <w:t xml:space="preserve">“ARTÍCULO 84. </w:t>
      </w:r>
      <w:r w:rsidRPr="00921A47">
        <w:rPr>
          <w:rFonts w:ascii="Palatino Linotype" w:eastAsia="Palatino Linotype" w:hAnsi="Palatino Linotype" w:cs="Palatino Linotype"/>
          <w:i/>
          <w:sz w:val="22"/>
          <w:szCs w:val="22"/>
        </w:rPr>
        <w:t>Sólo podrán hacerse retenciones, descuentos o deducciones al sueldo de los servidores públicos por concepto de:</w:t>
      </w:r>
    </w:p>
    <w:p w14:paraId="55659FF6"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w:t>
      </w:r>
      <w:r w:rsidRPr="00921A47">
        <w:rPr>
          <w:rFonts w:ascii="Palatino Linotype" w:eastAsia="Palatino Linotype" w:hAnsi="Palatino Linotype" w:cs="Palatino Linotype"/>
          <w:i/>
          <w:sz w:val="22"/>
          <w:szCs w:val="22"/>
        </w:rPr>
        <w:t xml:space="preserve"> Gravámenes fiscales relacionados con el sueldo;</w:t>
      </w:r>
    </w:p>
    <w:p w14:paraId="36B67E5E"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w:t>
      </w:r>
      <w:r w:rsidRPr="00921A47">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121A9DCA"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III.</w:t>
      </w:r>
      <w:r w:rsidRPr="00921A47">
        <w:rPr>
          <w:rFonts w:ascii="Palatino Linotype" w:eastAsia="Palatino Linotype" w:hAnsi="Palatino Linotype" w:cs="Palatino Linotype"/>
          <w:i/>
          <w:sz w:val="22"/>
          <w:szCs w:val="22"/>
        </w:rPr>
        <w:t xml:space="preserve"> </w:t>
      </w:r>
      <w:r w:rsidRPr="00921A47">
        <w:rPr>
          <w:rFonts w:ascii="Palatino Linotype" w:eastAsia="Palatino Linotype" w:hAnsi="Palatino Linotype" w:cs="Palatino Linotype"/>
          <w:b/>
          <w:i/>
          <w:sz w:val="22"/>
          <w:szCs w:val="22"/>
        </w:rPr>
        <w:t>Cuotas sindicales</w:t>
      </w:r>
      <w:r w:rsidRPr="00921A47">
        <w:rPr>
          <w:rFonts w:ascii="Palatino Linotype" w:eastAsia="Palatino Linotype" w:hAnsi="Palatino Linotype" w:cs="Palatino Linotype"/>
          <w:i/>
          <w:sz w:val="22"/>
          <w:szCs w:val="22"/>
        </w:rPr>
        <w:t>;</w:t>
      </w:r>
    </w:p>
    <w:p w14:paraId="2224065B"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IV.</w:t>
      </w:r>
      <w:r w:rsidRPr="00921A47">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5B149ED5"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w:t>
      </w:r>
      <w:r w:rsidRPr="00921A47">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11E400C"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VI.</w:t>
      </w:r>
      <w:r w:rsidRPr="00921A47">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408BF110"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VII.</w:t>
      </w:r>
      <w:r w:rsidRPr="00921A47">
        <w:rPr>
          <w:rFonts w:ascii="Palatino Linotype" w:eastAsia="Palatino Linotype" w:hAnsi="Palatino Linotype" w:cs="Palatino Linotype"/>
          <w:i/>
          <w:sz w:val="22"/>
          <w:szCs w:val="22"/>
        </w:rPr>
        <w:t xml:space="preserve"> Faltas de puntualidad o de asistencia injustificadas;</w:t>
      </w:r>
    </w:p>
    <w:p w14:paraId="53ABD172"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VIII. Pensiones alimenticias ordenadas por la autoridad judicial;</w:t>
      </w:r>
      <w:r w:rsidRPr="00921A47">
        <w:rPr>
          <w:rFonts w:ascii="Palatino Linotype" w:eastAsia="Palatino Linotype" w:hAnsi="Palatino Linotype" w:cs="Palatino Linotype"/>
          <w:i/>
          <w:sz w:val="22"/>
          <w:szCs w:val="22"/>
        </w:rPr>
        <w:t xml:space="preserve"> o</w:t>
      </w:r>
    </w:p>
    <w:p w14:paraId="018EEC11" w14:textId="77777777" w:rsidR="001148BC" w:rsidRPr="00921A47" w:rsidRDefault="00C53F3A">
      <w:pPr>
        <w:spacing w:before="120" w:after="120"/>
        <w:ind w:left="1134" w:right="902"/>
        <w:jc w:val="both"/>
        <w:rPr>
          <w:rFonts w:ascii="Palatino Linotype" w:eastAsia="Palatino Linotype" w:hAnsi="Palatino Linotype" w:cs="Palatino Linotype"/>
          <w:b/>
          <w:i/>
          <w:sz w:val="22"/>
          <w:szCs w:val="22"/>
        </w:rPr>
      </w:pPr>
      <w:r w:rsidRPr="00921A47">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6302FFFF"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523BFD8"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4783771E"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este modo, los </w:t>
      </w:r>
      <w:r w:rsidRPr="00921A47">
        <w:rPr>
          <w:rFonts w:ascii="Palatino Linotype" w:eastAsia="Palatino Linotype" w:hAnsi="Palatino Linotype" w:cs="Palatino Linotype"/>
          <w:b/>
        </w:rPr>
        <w:t>descuentos o deducciones por cuotas sindicales</w:t>
      </w:r>
      <w:r w:rsidRPr="00921A47">
        <w:rPr>
          <w:rFonts w:ascii="Palatino Linotype" w:eastAsia="Palatino Linotype" w:hAnsi="Palatino Linotype" w:cs="Palatino Linotype"/>
        </w:rPr>
        <w:t xml:space="preserve">, </w:t>
      </w:r>
      <w:r w:rsidRPr="00921A47">
        <w:rPr>
          <w:rFonts w:ascii="Palatino Linotype" w:eastAsia="Palatino Linotype" w:hAnsi="Palatino Linotype" w:cs="Palatino Linotype"/>
          <w:b/>
        </w:rPr>
        <w:t>pensiones alimenticias</w:t>
      </w:r>
      <w:r w:rsidRPr="00921A47">
        <w:rPr>
          <w:rFonts w:ascii="Palatino Linotype" w:eastAsia="Palatino Linotype" w:hAnsi="Palatino Linotype" w:cs="Palatino Linotype"/>
        </w:rPr>
        <w:t xml:space="preserve"> o </w:t>
      </w:r>
      <w:r w:rsidRPr="00921A47">
        <w:rPr>
          <w:rFonts w:ascii="Palatino Linotype" w:eastAsia="Palatino Linotype" w:hAnsi="Palatino Linotype" w:cs="Palatino Linotype"/>
          <w:b/>
        </w:rPr>
        <w:t>créditos adquiridos con instituciones privadas</w:t>
      </w:r>
      <w:r w:rsidRPr="00921A47">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921A47">
        <w:rPr>
          <w:rFonts w:ascii="Palatino Linotype" w:eastAsia="Palatino Linotype" w:hAnsi="Palatino Linotype" w:cs="Palatino Linotype"/>
          <w:b/>
        </w:rPr>
        <w:t>es información que no es de carácter público, sino que constituye información confidencial</w:t>
      </w:r>
      <w:r w:rsidRPr="00921A47">
        <w:rPr>
          <w:rFonts w:ascii="Palatino Linotype" w:eastAsia="Palatino Linotype" w:hAnsi="Palatino Linotype" w:cs="Palatino Linotype"/>
        </w:rPr>
        <w:t xml:space="preserve"> en virtud de que corresponde con decisiones personales, y por tanto, se debe clasificar.</w:t>
      </w:r>
    </w:p>
    <w:p w14:paraId="197D95D7"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1EA07B7"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0A36AA3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Con relación al </w:t>
      </w:r>
      <w:r w:rsidRPr="00921A47">
        <w:rPr>
          <w:rFonts w:ascii="Palatino Linotype" w:eastAsia="Palatino Linotype" w:hAnsi="Palatino Linotype" w:cs="Palatino Linotype"/>
          <w:b/>
        </w:rPr>
        <w:t>número de empleado</w:t>
      </w:r>
      <w:r w:rsidRPr="00921A47">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21A47">
        <w:rPr>
          <w:rFonts w:ascii="Palatino Linotype" w:eastAsia="Palatino Linotype" w:hAnsi="Palatino Linotype" w:cs="Palatino Linotype"/>
          <w:vertAlign w:val="superscript"/>
        </w:rPr>
        <w:footnoteReference w:id="1"/>
      </w:r>
      <w:r w:rsidRPr="00921A47">
        <w:rPr>
          <w:rFonts w:ascii="Palatino Linotype" w:eastAsia="Palatino Linotype" w:hAnsi="Palatino Linotype" w:cs="Palatino Linotype"/>
        </w:rPr>
        <w:t>.</w:t>
      </w:r>
    </w:p>
    <w:p w14:paraId="6E2C8BF8"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3E029C53" w14:textId="77777777" w:rsidR="001148BC" w:rsidRPr="00921A47" w:rsidRDefault="00C53F3A">
      <w:pPr>
        <w:tabs>
          <w:tab w:val="left" w:pos="7655"/>
        </w:tabs>
        <w:spacing w:before="120" w:after="120"/>
        <w:ind w:left="992" w:right="99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xml:space="preserve">“Número de empleado. </w:t>
      </w:r>
      <w:r w:rsidRPr="00921A47">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533F4CC"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w:t>
      </w:r>
      <w:r w:rsidRPr="00921A47">
        <w:rPr>
          <w:rFonts w:ascii="Palatino Linotype" w:eastAsia="Palatino Linotype" w:hAnsi="Palatino Linotype" w:cs="Palatino Linotype"/>
        </w:rPr>
        <w:lastRenderedPageBreak/>
        <w:t xml:space="preserve">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542E504"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921A47">
        <w:rPr>
          <w:rFonts w:ascii="Palatino Linotype" w:eastAsia="Palatino Linotype" w:hAnsi="Palatino Linotype" w:cs="Palatino Linotype"/>
          <w:b/>
          <w:u w:val="single"/>
        </w:rPr>
        <w:t>sólo por cuanto hace al nombre</w:t>
      </w:r>
      <w:r w:rsidRPr="00921A47">
        <w:rPr>
          <w:rFonts w:ascii="Palatino Linotype" w:eastAsia="Palatino Linotype" w:hAnsi="Palatino Linotype" w:cs="Palatino Linotype"/>
          <w:b/>
        </w:rPr>
        <w:t xml:space="preserve">, </w:t>
      </w:r>
      <w:r w:rsidRPr="00921A47">
        <w:rPr>
          <w:rFonts w:ascii="Palatino Linotype" w:eastAsia="Palatino Linotype" w:hAnsi="Palatino Linotype" w:cs="Palatino Linotype"/>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w:t>
      </w:r>
      <w:r w:rsidRPr="00921A47">
        <w:rPr>
          <w:rFonts w:ascii="Palatino Linotype" w:eastAsia="Palatino Linotype" w:hAnsi="Palatino Linotype" w:cs="Palatino Linotype"/>
        </w:rPr>
        <w:lastRenderedPageBreak/>
        <w:t xml:space="preserve">de igual manera sólo el nombre de los servidores públicos de la Policía Municipal </w:t>
      </w:r>
      <w:r w:rsidRPr="00921A47">
        <w:rPr>
          <w:rFonts w:ascii="Palatino Linotype" w:eastAsia="Palatino Linotype" w:hAnsi="Palatino Linotype" w:cs="Palatino Linotype"/>
          <w:b/>
        </w:rPr>
        <w:t>que desempeñen funciones operativas</w:t>
      </w:r>
      <w:r w:rsidRPr="00921A47">
        <w:rPr>
          <w:rFonts w:ascii="Palatino Linotype" w:eastAsia="Palatino Linotype" w:hAnsi="Palatino Linotype" w:cs="Palatino Linotype"/>
        </w:rPr>
        <w:t>.</w:t>
      </w:r>
    </w:p>
    <w:p w14:paraId="6258990D"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Al respecto, la información </w:t>
      </w:r>
      <w:r w:rsidRPr="00921A47">
        <w:rPr>
          <w:rFonts w:ascii="Palatino Linotype" w:eastAsia="Palatino Linotype" w:hAnsi="Palatino Linotype" w:cs="Palatino Linotype"/>
          <w:b/>
        </w:rPr>
        <w:t>de los elementos que realizan funciones operativas, entre ellos su nombre y cargo, deben ser protegidos</w:t>
      </w:r>
      <w:r w:rsidRPr="00921A47">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BF47650"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6C6BDF29" w14:textId="77777777" w:rsidR="001148BC" w:rsidRPr="00921A47" w:rsidRDefault="00C53F3A">
      <w:pPr>
        <w:spacing w:before="240" w:after="240" w:line="360" w:lineRule="auto"/>
        <w:jc w:val="both"/>
        <w:rPr>
          <w:rFonts w:ascii="Palatino Linotype" w:eastAsia="Palatino Linotype" w:hAnsi="Palatino Linotype" w:cs="Palatino Linotype"/>
          <w:b/>
        </w:rPr>
      </w:pPr>
      <w:r w:rsidRPr="00921A47">
        <w:rPr>
          <w:rFonts w:ascii="Palatino Linotype" w:eastAsia="Palatino Linotype" w:hAnsi="Palatino Linotype" w:cs="Palatino Linotype"/>
        </w:rPr>
        <w:lastRenderedPageBreak/>
        <w:t xml:space="preserve">Como sustento de lo anterior, es preciso mencionar que el </w:t>
      </w:r>
      <w:r w:rsidRPr="00921A47">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921A47">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921A47">
        <w:rPr>
          <w:rFonts w:ascii="Palatino Linotype" w:eastAsia="Palatino Linotype" w:hAnsi="Palatino Linotype" w:cs="Palatino Linotype"/>
          <w:b/>
        </w:rPr>
        <w:t xml:space="preserve">vulnerar la vida, seguridad o salud de dichos elementos, incluso la de sus familias o entorno social. </w:t>
      </w:r>
    </w:p>
    <w:p w14:paraId="015D0ABB"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9714B8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3A6B383C" w14:textId="77777777" w:rsidR="001148BC" w:rsidRPr="00921A47" w:rsidRDefault="00C53F3A">
      <w:pPr>
        <w:spacing w:before="120" w:after="12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3E5931F6" w14:textId="77777777" w:rsidR="001148BC" w:rsidRPr="00921A47" w:rsidRDefault="00C53F3A">
      <w:pPr>
        <w:tabs>
          <w:tab w:val="left" w:pos="4962"/>
        </w:tabs>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921A47">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921A47">
        <w:rPr>
          <w:rFonts w:ascii="Palatino Linotype" w:eastAsia="Palatino Linotype" w:hAnsi="Palatino Linotype" w:cs="Palatino Linotype"/>
          <w:i/>
          <w:sz w:val="22"/>
          <w:szCs w:val="22"/>
        </w:rPr>
        <w:t>obstante</w:t>
      </w:r>
      <w:proofErr w:type="gramEnd"/>
      <w:r w:rsidRPr="00921A47">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EDE6DE0"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lastRenderedPageBreak/>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21A47">
        <w:rPr>
          <w:rFonts w:ascii="Palatino Linotype" w:eastAsia="Palatino Linotype" w:hAnsi="Palatino Linotype" w:cs="Palatino Linotype"/>
          <w:b/>
        </w:rPr>
        <w:t>funciones de carácter operativo.</w:t>
      </w:r>
    </w:p>
    <w:p w14:paraId="362A1D77" w14:textId="77777777" w:rsidR="001148BC" w:rsidRPr="00921A47" w:rsidRDefault="00C53F3A">
      <w:pPr>
        <w:spacing w:before="240" w:after="36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08B93813" w14:textId="77777777" w:rsidR="001148BC" w:rsidRPr="00921A47" w:rsidRDefault="00C53F3A">
      <w:pPr>
        <w:spacing w:before="120" w:after="120"/>
        <w:ind w:left="851" w:right="760"/>
        <w:jc w:val="both"/>
        <w:rPr>
          <w:rFonts w:ascii="Palatino Linotype" w:eastAsia="Palatino Linotype" w:hAnsi="Palatino Linotype" w:cs="Palatino Linotype"/>
          <w:b/>
          <w:i/>
          <w:sz w:val="22"/>
          <w:szCs w:val="22"/>
        </w:rPr>
      </w:pPr>
      <w:r w:rsidRPr="00921A47">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921A47">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21A47">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921A47">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921A47">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921A47">
        <w:rPr>
          <w:rFonts w:ascii="Palatino Linotype" w:eastAsia="Palatino Linotype" w:hAnsi="Palatino Linotype" w:cs="Palatino Linotype"/>
          <w:i/>
          <w:sz w:val="22"/>
          <w:szCs w:val="22"/>
        </w:rPr>
        <w:t>”</w:t>
      </w:r>
    </w:p>
    <w:p w14:paraId="44A8DC36" w14:textId="77777777" w:rsidR="001148BC" w:rsidRPr="00921A47" w:rsidRDefault="00C53F3A">
      <w:pPr>
        <w:spacing w:before="120" w:after="120"/>
        <w:ind w:left="851" w:right="760"/>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lastRenderedPageBreak/>
        <w:t>“TRANSPARENCIA Y ACCESO A LA INFORMACIÓN PÚBLICA GUBERNAMENTAL. EL ARTÍCULO 14, FRACCIÓN I, DE LA LEY FEDERAL RELATIVA, NO VIOLA LA GARANTÍA DE ACCESO A LA INFORMACIÓN.</w:t>
      </w:r>
      <w:r w:rsidRPr="00921A47">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21A47">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21A47">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D14DD02" w14:textId="77777777" w:rsidR="001148BC" w:rsidRPr="00921A47" w:rsidRDefault="00C53F3A">
      <w:pPr>
        <w:widowControl w:val="0"/>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w:t>
      </w:r>
      <w:r w:rsidRPr="00921A47">
        <w:rPr>
          <w:rFonts w:ascii="Palatino Linotype" w:eastAsia="Palatino Linotype" w:hAnsi="Palatino Linotype" w:cs="Palatino Linotype"/>
        </w:rPr>
        <w:lastRenderedPageBreak/>
        <w:t xml:space="preserve">Información Pública y Protección de Datos Personales, motivando la referida clasificación al señalar las </w:t>
      </w:r>
      <w:r w:rsidRPr="00921A47">
        <w:rPr>
          <w:rFonts w:ascii="Palatino Linotype" w:eastAsia="Palatino Linotype" w:hAnsi="Palatino Linotype" w:cs="Palatino Linotype"/>
          <w:b/>
          <w:u w:val="single"/>
        </w:rPr>
        <w:t>razones, motivos o circunstancias especiales</w:t>
      </w:r>
      <w:r w:rsidRPr="00921A47">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446F63F4" w14:textId="77777777" w:rsidR="001148BC" w:rsidRPr="00921A47" w:rsidRDefault="00C53F3A">
      <w:pPr>
        <w:spacing w:before="240" w:after="240" w:line="360" w:lineRule="auto"/>
        <w:ind w:right="50"/>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921A47">
        <w:rPr>
          <w:rFonts w:ascii="Palatino Linotype" w:eastAsia="Palatino Linotype" w:hAnsi="Palatino Linotype" w:cs="Palatino Linotype"/>
        </w:rPr>
        <w:t>Responsable</w:t>
      </w:r>
      <w:proofErr w:type="gramEnd"/>
      <w:r w:rsidRPr="00921A47">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05A5366"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“Artículo 49.</w:t>
      </w:r>
      <w:r w:rsidRPr="00921A47">
        <w:rPr>
          <w:rFonts w:ascii="Palatino Linotype" w:eastAsia="Palatino Linotype" w:hAnsi="Palatino Linotype" w:cs="Palatino Linotype"/>
          <w:i/>
          <w:sz w:val="22"/>
          <w:szCs w:val="22"/>
        </w:rPr>
        <w:t xml:space="preserve"> </w:t>
      </w:r>
      <w:r w:rsidRPr="00921A47">
        <w:rPr>
          <w:rFonts w:ascii="Palatino Linotype" w:eastAsia="Palatino Linotype" w:hAnsi="Palatino Linotype" w:cs="Palatino Linotype"/>
          <w:b/>
          <w:i/>
          <w:sz w:val="22"/>
          <w:szCs w:val="22"/>
        </w:rPr>
        <w:t>Los Comités de Transparencia</w:t>
      </w:r>
      <w:r w:rsidRPr="00921A47">
        <w:rPr>
          <w:rFonts w:ascii="Palatino Linotype" w:eastAsia="Palatino Linotype" w:hAnsi="Palatino Linotype" w:cs="Palatino Linotype"/>
          <w:i/>
          <w:sz w:val="22"/>
          <w:szCs w:val="22"/>
        </w:rPr>
        <w:t xml:space="preserve"> tendrán las siguientes atribuciones:</w:t>
      </w:r>
    </w:p>
    <w:p w14:paraId="243E15AC"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VIII. Aprobar, modificar o revocar la clasificación de la información</w:t>
      </w:r>
      <w:r w:rsidRPr="00921A47">
        <w:rPr>
          <w:rFonts w:ascii="Palatino Linotype" w:eastAsia="Palatino Linotype" w:hAnsi="Palatino Linotype" w:cs="Palatino Linotype"/>
          <w:i/>
          <w:sz w:val="22"/>
          <w:szCs w:val="22"/>
        </w:rPr>
        <w:t>…”</w:t>
      </w:r>
    </w:p>
    <w:p w14:paraId="7CD22200"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Artículo 53.</w:t>
      </w:r>
      <w:r w:rsidRPr="00921A47">
        <w:rPr>
          <w:rFonts w:ascii="Palatino Linotype" w:eastAsia="Palatino Linotype" w:hAnsi="Palatino Linotype" w:cs="Palatino Linotype"/>
          <w:i/>
          <w:sz w:val="22"/>
          <w:szCs w:val="22"/>
        </w:rPr>
        <w:t xml:space="preserve"> Las </w:t>
      </w:r>
      <w:r w:rsidRPr="00921A47">
        <w:rPr>
          <w:rFonts w:ascii="Palatino Linotype" w:eastAsia="Palatino Linotype" w:hAnsi="Palatino Linotype" w:cs="Palatino Linotype"/>
          <w:b/>
          <w:i/>
          <w:sz w:val="22"/>
          <w:szCs w:val="22"/>
        </w:rPr>
        <w:t>Unidades de Transparencia</w:t>
      </w:r>
      <w:r w:rsidRPr="00921A47">
        <w:rPr>
          <w:rFonts w:ascii="Palatino Linotype" w:eastAsia="Palatino Linotype" w:hAnsi="Palatino Linotype" w:cs="Palatino Linotype"/>
          <w:i/>
          <w:sz w:val="22"/>
          <w:szCs w:val="22"/>
        </w:rPr>
        <w:t xml:space="preserve"> tendrán las siguientes </w:t>
      </w:r>
      <w:r w:rsidRPr="00921A47">
        <w:rPr>
          <w:rFonts w:ascii="Palatino Linotype" w:eastAsia="Palatino Linotype" w:hAnsi="Palatino Linotype" w:cs="Palatino Linotype"/>
          <w:b/>
          <w:i/>
          <w:sz w:val="22"/>
          <w:szCs w:val="22"/>
        </w:rPr>
        <w:t>funciones</w:t>
      </w:r>
      <w:r w:rsidRPr="00921A47">
        <w:rPr>
          <w:rFonts w:ascii="Palatino Linotype" w:eastAsia="Palatino Linotype" w:hAnsi="Palatino Linotype" w:cs="Palatino Linotype"/>
          <w:i/>
          <w:sz w:val="22"/>
          <w:szCs w:val="22"/>
        </w:rPr>
        <w:t>:</w:t>
      </w:r>
    </w:p>
    <w:p w14:paraId="246F6345"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X. Presentar ante el Comité, el proyecto de clasificación de información</w:t>
      </w:r>
      <w:r w:rsidRPr="00921A47">
        <w:rPr>
          <w:rFonts w:ascii="Palatino Linotype" w:eastAsia="Palatino Linotype" w:hAnsi="Palatino Linotype" w:cs="Palatino Linotype"/>
          <w:i/>
          <w:sz w:val="22"/>
          <w:szCs w:val="22"/>
        </w:rPr>
        <w:t xml:space="preserve">…” </w:t>
      </w:r>
    </w:p>
    <w:p w14:paraId="60401EEA"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lastRenderedPageBreak/>
        <w:t>“Artículo 59.</w:t>
      </w:r>
      <w:r w:rsidRPr="00921A47">
        <w:rPr>
          <w:rFonts w:ascii="Palatino Linotype" w:eastAsia="Palatino Linotype" w:hAnsi="Palatino Linotype" w:cs="Palatino Linotype"/>
          <w:i/>
          <w:sz w:val="22"/>
          <w:szCs w:val="22"/>
        </w:rPr>
        <w:t xml:space="preserve"> Los </w:t>
      </w:r>
      <w:r w:rsidRPr="00921A47">
        <w:rPr>
          <w:rFonts w:ascii="Palatino Linotype" w:eastAsia="Palatino Linotype" w:hAnsi="Palatino Linotype" w:cs="Palatino Linotype"/>
          <w:b/>
          <w:i/>
          <w:sz w:val="22"/>
          <w:szCs w:val="22"/>
        </w:rPr>
        <w:t>servidores públicos habilitados</w:t>
      </w:r>
      <w:r w:rsidRPr="00921A47">
        <w:rPr>
          <w:rFonts w:ascii="Palatino Linotype" w:eastAsia="Palatino Linotype" w:hAnsi="Palatino Linotype" w:cs="Palatino Linotype"/>
          <w:i/>
          <w:sz w:val="22"/>
          <w:szCs w:val="22"/>
        </w:rPr>
        <w:t xml:space="preserve"> tendrán las </w:t>
      </w:r>
      <w:r w:rsidRPr="00921A47">
        <w:rPr>
          <w:rFonts w:ascii="Palatino Linotype" w:eastAsia="Palatino Linotype" w:hAnsi="Palatino Linotype" w:cs="Palatino Linotype"/>
          <w:b/>
          <w:i/>
          <w:sz w:val="22"/>
          <w:szCs w:val="22"/>
        </w:rPr>
        <w:t>funciones</w:t>
      </w:r>
      <w:r w:rsidRPr="00921A47">
        <w:rPr>
          <w:rFonts w:ascii="Palatino Linotype" w:eastAsia="Palatino Linotype" w:hAnsi="Palatino Linotype" w:cs="Palatino Linotype"/>
          <w:i/>
          <w:sz w:val="22"/>
          <w:szCs w:val="22"/>
        </w:rPr>
        <w:t xml:space="preserve"> siguientes:</w:t>
      </w:r>
    </w:p>
    <w:p w14:paraId="16EED07A" w14:textId="77777777" w:rsidR="001148BC" w:rsidRPr="00921A47" w:rsidRDefault="00C53F3A">
      <w:pP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21A47">
        <w:rPr>
          <w:rFonts w:ascii="Palatino Linotype" w:eastAsia="Palatino Linotype" w:hAnsi="Palatino Linotype" w:cs="Palatino Linotype"/>
          <w:i/>
          <w:sz w:val="22"/>
          <w:szCs w:val="22"/>
        </w:rPr>
        <w:t>, la cual tendrá los fundamentos y argumentos en que se basa dicha propuesta…”</w:t>
      </w:r>
    </w:p>
    <w:p w14:paraId="62C08726"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F0DAACD"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A5E46D4"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w:t>
      </w:r>
      <w:r w:rsidRPr="00921A47">
        <w:rPr>
          <w:rFonts w:ascii="Palatino Linotype" w:eastAsia="Palatino Linotype" w:hAnsi="Palatino Linotype" w:cs="Palatino Linotype"/>
          <w:b/>
          <w:i/>
          <w:sz w:val="22"/>
          <w:szCs w:val="22"/>
        </w:rPr>
        <w:t>Artículo 149.</w:t>
      </w:r>
      <w:r w:rsidRPr="00921A47">
        <w:rPr>
          <w:rFonts w:ascii="Palatino Linotype" w:eastAsia="Palatino Linotype" w:hAnsi="Palatino Linotype" w:cs="Palatino Linotype"/>
          <w:i/>
          <w:sz w:val="22"/>
          <w:szCs w:val="22"/>
        </w:rPr>
        <w:t xml:space="preserve"> El </w:t>
      </w:r>
      <w:r w:rsidRPr="00921A47">
        <w:rPr>
          <w:rFonts w:ascii="Palatino Linotype" w:eastAsia="Palatino Linotype" w:hAnsi="Palatino Linotype" w:cs="Palatino Linotype"/>
          <w:b/>
          <w:i/>
          <w:sz w:val="22"/>
          <w:szCs w:val="22"/>
        </w:rPr>
        <w:t>acuerdo que clasifique la información como confidencial</w:t>
      </w:r>
      <w:r w:rsidRPr="00921A4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DCFEA04" w14:textId="77777777" w:rsidR="001148BC" w:rsidRPr="00921A47" w:rsidRDefault="00C53F3A">
      <w:pP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Es decir,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921A47">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persona solicitante.</w:t>
      </w:r>
    </w:p>
    <w:p w14:paraId="1C515B5F" w14:textId="77777777" w:rsidR="001148BC" w:rsidRPr="00921A47" w:rsidRDefault="00C53F3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Asimismo, respecto a las formalidades que deberá llevar el acuerdo de clasificación que deberá emitir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82AFCA9" w14:textId="77777777" w:rsidR="001148BC" w:rsidRPr="00921A47" w:rsidRDefault="00C53F3A">
      <w:pP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xml:space="preserve"> “Quincuagésimo. </w:t>
      </w:r>
      <w:r w:rsidRPr="00921A4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42BE598" w14:textId="77777777" w:rsidR="001148BC" w:rsidRPr="00921A47" w:rsidRDefault="00C53F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 xml:space="preserve">Quincuagésimo primero. </w:t>
      </w:r>
      <w:r w:rsidRPr="00921A47">
        <w:rPr>
          <w:rFonts w:ascii="Palatino Linotype" w:eastAsia="Palatino Linotype" w:hAnsi="Palatino Linotype" w:cs="Palatino Linotype"/>
          <w:i/>
          <w:sz w:val="22"/>
          <w:szCs w:val="22"/>
        </w:rPr>
        <w:t xml:space="preserve">Toda acta del Comité de Transparencia deberá contener: </w:t>
      </w:r>
    </w:p>
    <w:p w14:paraId="4313B7FC"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w:t>
      </w:r>
      <w:r w:rsidRPr="00921A47">
        <w:rPr>
          <w:rFonts w:ascii="Palatino Linotype" w:eastAsia="Palatino Linotype" w:hAnsi="Palatino Linotype" w:cs="Palatino Linotype"/>
          <w:i/>
          <w:sz w:val="22"/>
          <w:szCs w:val="22"/>
        </w:rPr>
        <w:t xml:space="preserve"> El número de sesión y fecha; </w:t>
      </w:r>
    </w:p>
    <w:p w14:paraId="66860820"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w:t>
      </w:r>
      <w:r w:rsidRPr="00921A47">
        <w:rPr>
          <w:rFonts w:ascii="Palatino Linotype" w:eastAsia="Palatino Linotype" w:hAnsi="Palatino Linotype" w:cs="Palatino Linotype"/>
          <w:i/>
          <w:sz w:val="22"/>
          <w:szCs w:val="22"/>
        </w:rPr>
        <w:t xml:space="preserve">. El nombre del área que solicitó la clasificación de información; </w:t>
      </w:r>
    </w:p>
    <w:p w14:paraId="3EF29BB3"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III</w:t>
      </w:r>
      <w:r w:rsidRPr="00921A47">
        <w:rPr>
          <w:rFonts w:ascii="Palatino Linotype" w:eastAsia="Palatino Linotype" w:hAnsi="Palatino Linotype" w:cs="Palatino Linotype"/>
          <w:i/>
          <w:sz w:val="22"/>
          <w:szCs w:val="22"/>
        </w:rPr>
        <w:t xml:space="preserve">. La fundamentación legal y motivación correspondiente; </w:t>
      </w:r>
    </w:p>
    <w:p w14:paraId="7C4C0754"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IV</w:t>
      </w:r>
      <w:r w:rsidRPr="00921A47">
        <w:rPr>
          <w:rFonts w:ascii="Palatino Linotype" w:eastAsia="Palatino Linotype" w:hAnsi="Palatino Linotype" w:cs="Palatino Linotype"/>
          <w:i/>
          <w:sz w:val="22"/>
          <w:szCs w:val="22"/>
        </w:rPr>
        <w:t xml:space="preserve">. La resolución o resoluciones aprobadas; y </w:t>
      </w:r>
    </w:p>
    <w:p w14:paraId="0BC21189"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V</w:t>
      </w:r>
      <w:r w:rsidRPr="00921A47">
        <w:rPr>
          <w:rFonts w:ascii="Palatino Linotype" w:eastAsia="Palatino Linotype" w:hAnsi="Palatino Linotype" w:cs="Palatino Linotype"/>
          <w:i/>
          <w:sz w:val="22"/>
          <w:szCs w:val="22"/>
        </w:rPr>
        <w:t xml:space="preserve">. La rúbrica o firma digital de cada integrante del Comité de Transparencia. </w:t>
      </w:r>
    </w:p>
    <w:p w14:paraId="2F277D87" w14:textId="77777777" w:rsidR="001148BC" w:rsidRPr="00921A47" w:rsidRDefault="00C53F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0765D5"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w:t>
      </w:r>
      <w:r w:rsidRPr="00921A4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BDA6249"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921A47">
        <w:rPr>
          <w:rFonts w:ascii="Palatino Linotype" w:eastAsia="Palatino Linotype" w:hAnsi="Palatino Linotype" w:cs="Palatino Linotype"/>
          <w:b/>
          <w:i/>
          <w:sz w:val="22"/>
          <w:szCs w:val="22"/>
        </w:rPr>
        <w:t>II</w:t>
      </w:r>
      <w:r w:rsidRPr="00921A47">
        <w:rPr>
          <w:rFonts w:ascii="Palatino Linotype" w:eastAsia="Palatino Linotype" w:hAnsi="Palatino Linotype" w:cs="Palatino Linotype"/>
          <w:i/>
          <w:sz w:val="22"/>
          <w:szCs w:val="22"/>
        </w:rPr>
        <w:t>. Descripción de las partes o secciones reservadas, en caso de clasificación parcial</w:t>
      </w:r>
      <w:r w:rsidRPr="00921A47">
        <w:rPr>
          <w:rFonts w:ascii="Palatino Linotype" w:eastAsia="Palatino Linotype" w:hAnsi="Palatino Linotype" w:cs="Palatino Linotype"/>
          <w:b/>
          <w:i/>
          <w:sz w:val="22"/>
          <w:szCs w:val="22"/>
        </w:rPr>
        <w:t xml:space="preserve">; </w:t>
      </w:r>
    </w:p>
    <w:p w14:paraId="13F9766B"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lastRenderedPageBreak/>
        <w:t>III.</w:t>
      </w:r>
      <w:r w:rsidRPr="00921A47">
        <w:rPr>
          <w:rFonts w:ascii="Palatino Linotype" w:eastAsia="Palatino Linotype" w:hAnsi="Palatino Linotype" w:cs="Palatino Linotype"/>
          <w:i/>
          <w:sz w:val="22"/>
          <w:szCs w:val="22"/>
        </w:rPr>
        <w:t xml:space="preserve"> El periodo por el que mantendrá su clasificación y fecha de expiración; y </w:t>
      </w:r>
    </w:p>
    <w:p w14:paraId="6440AFED" w14:textId="77777777" w:rsidR="001148BC" w:rsidRPr="00921A47" w:rsidRDefault="00C53F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b/>
          <w:i/>
          <w:sz w:val="22"/>
          <w:szCs w:val="22"/>
        </w:rPr>
        <w:t>IV.</w:t>
      </w:r>
      <w:r w:rsidRPr="00921A4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0A9F4C3" w14:textId="77777777" w:rsidR="001148BC" w:rsidRPr="00921A47" w:rsidRDefault="00C53F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31F9244" w14:textId="77777777" w:rsidR="001148BC" w:rsidRPr="00921A47" w:rsidRDefault="00C53F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21A4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D3B01BC"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BBE6AA1" w14:textId="77777777" w:rsidR="001148BC" w:rsidRPr="00921A47" w:rsidRDefault="00C53F3A">
      <w:pPr>
        <w:spacing w:before="120" w:after="120"/>
        <w:ind w:left="851"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i/>
          <w:sz w:val="21"/>
          <w:szCs w:val="21"/>
        </w:rPr>
        <w:t>“</w:t>
      </w:r>
      <w:r w:rsidRPr="00921A47">
        <w:rPr>
          <w:rFonts w:ascii="Palatino Linotype" w:eastAsia="Palatino Linotype" w:hAnsi="Palatino Linotype" w:cs="Palatino Linotype"/>
          <w:b/>
          <w:i/>
          <w:sz w:val="21"/>
          <w:szCs w:val="21"/>
        </w:rPr>
        <w:t>Quincuagésimo segundo</w:t>
      </w:r>
      <w:r w:rsidRPr="00921A47">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30D7A75" w14:textId="77777777" w:rsidR="001148BC" w:rsidRPr="00921A47" w:rsidRDefault="00C53F3A">
      <w:pPr>
        <w:spacing w:before="120" w:after="120"/>
        <w:ind w:left="851"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i/>
          <w:sz w:val="21"/>
          <w:szCs w:val="21"/>
        </w:rPr>
        <w:t xml:space="preserve">En el caso específico de la clasificación y elaboración de versiones públicas de documentos que contengan información confidencial, las áreas de los sujetos obligados deberán: </w:t>
      </w:r>
    </w:p>
    <w:p w14:paraId="071F976D" w14:textId="77777777" w:rsidR="001148BC" w:rsidRPr="00921A47" w:rsidRDefault="00C53F3A">
      <w:pPr>
        <w:spacing w:before="120" w:after="120"/>
        <w:ind w:left="1134"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w:t>
      </w:r>
      <w:r w:rsidRPr="00921A47">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6200D78F" w14:textId="77777777" w:rsidR="001148BC" w:rsidRPr="00921A47" w:rsidRDefault="00C53F3A">
      <w:pPr>
        <w:spacing w:before="120" w:after="120"/>
        <w:ind w:left="1134"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II.</w:t>
      </w:r>
      <w:r w:rsidRPr="00921A47">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555A742C" w14:textId="77777777" w:rsidR="001148BC" w:rsidRPr="00921A47" w:rsidRDefault="00C53F3A">
      <w:pPr>
        <w:spacing w:before="120" w:after="120"/>
        <w:ind w:left="1134"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III.</w:t>
      </w:r>
      <w:r w:rsidRPr="00921A47">
        <w:rPr>
          <w:rFonts w:ascii="Palatino Linotype" w:eastAsia="Palatino Linotype" w:hAnsi="Palatino Linotype" w:cs="Palatino Linotype"/>
          <w:i/>
          <w:sz w:val="21"/>
          <w:szCs w:val="21"/>
        </w:rPr>
        <w:t xml:space="preserve"> Señalar las personas o instancias autorizadas a acceder a la información clasificada.</w:t>
      </w:r>
    </w:p>
    <w:p w14:paraId="0A27930E" w14:textId="77777777" w:rsidR="001148BC" w:rsidRPr="00921A47" w:rsidRDefault="00C53F3A">
      <w:pPr>
        <w:spacing w:before="120" w:after="120"/>
        <w:ind w:left="851"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i/>
          <w:sz w:val="21"/>
          <w:szCs w:val="21"/>
        </w:rPr>
        <w:t>En los documentos de difusión electrónica, señalar en la primera hoja y en el nombre del archivo, que la versión pública corresponde a un documento que contiene información confidencial.”</w:t>
      </w:r>
    </w:p>
    <w:p w14:paraId="2B41361C" w14:textId="77777777" w:rsidR="001148BC" w:rsidRPr="00921A47" w:rsidRDefault="00C53F3A">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i/>
          <w:sz w:val="21"/>
          <w:szCs w:val="21"/>
        </w:rPr>
        <w:t>…</w:t>
      </w:r>
    </w:p>
    <w:p w14:paraId="7FC5A895" w14:textId="77777777" w:rsidR="001148BC" w:rsidRPr="00921A47" w:rsidRDefault="00C53F3A">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1"/>
          <w:szCs w:val="21"/>
        </w:rPr>
      </w:pPr>
      <w:r w:rsidRPr="00921A47">
        <w:rPr>
          <w:rFonts w:ascii="Palatino Linotype" w:eastAsia="Palatino Linotype" w:hAnsi="Palatino Linotype" w:cs="Palatino Linotype"/>
          <w:b/>
          <w:i/>
          <w:sz w:val="21"/>
          <w:szCs w:val="21"/>
        </w:rPr>
        <w:lastRenderedPageBreak/>
        <w:t xml:space="preserve">Quincuagésimo cuarto. </w:t>
      </w:r>
      <w:r w:rsidRPr="00921A47">
        <w:rPr>
          <w:rFonts w:ascii="Palatino Linotype" w:eastAsia="Palatino Linotype" w:hAnsi="Palatino Linotype" w:cs="Palatino Linotype"/>
          <w:i/>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21A47">
        <w:rPr>
          <w:rFonts w:ascii="Palatino Linotype" w:eastAsia="Palatino Linotype" w:hAnsi="Palatino Linotype" w:cs="Palatino Linotype"/>
          <w:b/>
          <w:i/>
          <w:sz w:val="21"/>
          <w:szCs w:val="21"/>
        </w:rPr>
        <w:t xml:space="preserve"> </w:t>
      </w:r>
    </w:p>
    <w:p w14:paraId="5CE16938" w14:textId="77777777" w:rsidR="001148BC" w:rsidRPr="00921A47" w:rsidRDefault="00C53F3A">
      <w:pPr>
        <w:spacing w:before="120" w:after="120"/>
        <w:ind w:left="851"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 xml:space="preserve">Quincuagésimo quinto. </w:t>
      </w:r>
      <w:r w:rsidRPr="00921A47">
        <w:rPr>
          <w:rFonts w:ascii="Palatino Linotype" w:eastAsia="Palatino Linotype" w:hAnsi="Palatino Linotype" w:cs="Palatino Linotype"/>
          <w:i/>
          <w:sz w:val="21"/>
          <w:szCs w:val="21"/>
        </w:rPr>
        <w:t xml:space="preserve">Cada área del sujeto obligado podrá designar formalmente a una o más personas como responsables del </w:t>
      </w:r>
      <w:proofErr w:type="spellStart"/>
      <w:r w:rsidRPr="00921A47">
        <w:rPr>
          <w:rFonts w:ascii="Palatino Linotype" w:eastAsia="Palatino Linotype" w:hAnsi="Palatino Linotype" w:cs="Palatino Linotype"/>
          <w:i/>
          <w:sz w:val="21"/>
          <w:szCs w:val="21"/>
        </w:rPr>
        <w:t>testado</w:t>
      </w:r>
      <w:proofErr w:type="spellEnd"/>
      <w:r w:rsidRPr="00921A47">
        <w:rPr>
          <w:rFonts w:ascii="Palatino Linotype" w:eastAsia="Palatino Linotype" w:hAnsi="Palatino Linotype" w:cs="Palatino Linotype"/>
          <w:i/>
          <w:sz w:val="21"/>
          <w:szCs w:val="21"/>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8E6462" w14:textId="77777777" w:rsidR="001148BC" w:rsidRPr="00921A47" w:rsidRDefault="00C53F3A">
      <w:pPr>
        <w:spacing w:before="120" w:after="120"/>
        <w:ind w:left="851" w:right="902"/>
        <w:jc w:val="both"/>
        <w:rPr>
          <w:rFonts w:ascii="Palatino Linotype" w:eastAsia="Palatino Linotype" w:hAnsi="Palatino Linotype" w:cs="Palatino Linotype"/>
          <w:b/>
          <w:i/>
          <w:sz w:val="21"/>
          <w:szCs w:val="21"/>
        </w:rPr>
      </w:pPr>
      <w:r w:rsidRPr="00921A47">
        <w:rPr>
          <w:rFonts w:ascii="Palatino Linotype" w:eastAsia="Palatino Linotype" w:hAnsi="Palatino Linotype" w:cs="Palatino Linotype"/>
          <w:b/>
          <w:i/>
          <w:sz w:val="21"/>
          <w:szCs w:val="21"/>
        </w:rPr>
        <w:t>...</w:t>
      </w:r>
    </w:p>
    <w:p w14:paraId="47ADD1AD" w14:textId="77777777" w:rsidR="001148BC" w:rsidRPr="00921A47" w:rsidRDefault="00C53F3A">
      <w:pPr>
        <w:spacing w:before="120" w:after="120"/>
        <w:ind w:left="851"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Quincuagésimo séptimo</w:t>
      </w:r>
      <w:r w:rsidRPr="00921A47">
        <w:rPr>
          <w:rFonts w:ascii="Palatino Linotype" w:eastAsia="Palatino Linotype" w:hAnsi="Palatino Linotype" w:cs="Palatino Linotype"/>
          <w:i/>
          <w:sz w:val="21"/>
          <w:szCs w:val="21"/>
        </w:rPr>
        <w:t xml:space="preserve">. Se considera, en principio, como información pública y no podrá omitirse de las versiones públicas la siguiente: </w:t>
      </w:r>
    </w:p>
    <w:p w14:paraId="7251BE06" w14:textId="77777777" w:rsidR="001148BC" w:rsidRPr="00921A47" w:rsidRDefault="00C53F3A">
      <w:pPr>
        <w:spacing w:before="120" w:after="120"/>
        <w:ind w:left="1134"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w:t>
      </w:r>
      <w:r w:rsidRPr="00921A47">
        <w:rPr>
          <w:rFonts w:ascii="Palatino Linotype" w:eastAsia="Palatino Linotype" w:hAnsi="Palatino Linotype" w:cs="Palatino Linotype"/>
          <w:i/>
          <w:sz w:val="21"/>
          <w:szCs w:val="21"/>
        </w:rPr>
        <w:t xml:space="preserve">. La relativa a las Obligaciones de Transparencia que contempla el Título V de la Ley General y las demás disposiciones legales aplicables; </w:t>
      </w:r>
    </w:p>
    <w:p w14:paraId="44F3E6C3" w14:textId="77777777" w:rsidR="001148BC" w:rsidRPr="00921A47" w:rsidRDefault="00C53F3A">
      <w:pPr>
        <w:spacing w:before="120" w:after="120"/>
        <w:ind w:left="1134"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II.</w:t>
      </w:r>
      <w:r w:rsidRPr="00921A47">
        <w:rPr>
          <w:rFonts w:ascii="Palatino Linotype" w:eastAsia="Palatino Linotype" w:hAnsi="Palatino Linotype" w:cs="Palatino Linotype"/>
          <w:i/>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5BE8A6F9" w14:textId="77777777" w:rsidR="001148BC" w:rsidRPr="00921A47" w:rsidRDefault="00C53F3A">
      <w:pPr>
        <w:spacing w:before="120" w:after="120"/>
        <w:ind w:left="1134"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III</w:t>
      </w:r>
      <w:r w:rsidRPr="00921A47">
        <w:rPr>
          <w:rFonts w:ascii="Palatino Linotype" w:eastAsia="Palatino Linotype" w:hAnsi="Palatino Linotype" w:cs="Palatino Linotype"/>
          <w:i/>
          <w:sz w:val="21"/>
          <w:szCs w:val="21"/>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75A7A06" w14:textId="77777777" w:rsidR="001148BC" w:rsidRPr="00921A47" w:rsidRDefault="00C53F3A">
      <w:pPr>
        <w:spacing w:before="120" w:after="120"/>
        <w:ind w:left="851"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i/>
          <w:sz w:val="21"/>
          <w:szCs w:val="21"/>
        </w:rPr>
        <w:t xml:space="preserve">Lo anterior, siempre y cuando no se acredite alguna causal de clasificación, prevista en las leyes o en los tratados internacionales suscritas por el Estado mexicano.  </w:t>
      </w:r>
    </w:p>
    <w:p w14:paraId="3507EA4F" w14:textId="77777777" w:rsidR="001148BC" w:rsidRPr="00921A47" w:rsidRDefault="00C53F3A">
      <w:pPr>
        <w:spacing w:before="120" w:after="120"/>
        <w:ind w:left="851" w:right="902"/>
        <w:jc w:val="both"/>
        <w:rPr>
          <w:rFonts w:ascii="Palatino Linotype" w:eastAsia="Palatino Linotype" w:hAnsi="Palatino Linotype" w:cs="Palatino Linotype"/>
          <w:i/>
          <w:sz w:val="21"/>
          <w:szCs w:val="21"/>
        </w:rPr>
      </w:pPr>
      <w:r w:rsidRPr="00921A47">
        <w:rPr>
          <w:rFonts w:ascii="Palatino Linotype" w:eastAsia="Palatino Linotype" w:hAnsi="Palatino Linotype" w:cs="Palatino Linotype"/>
          <w:b/>
          <w:i/>
          <w:sz w:val="21"/>
          <w:szCs w:val="21"/>
        </w:rPr>
        <w:t>Quincuagésimo octavo</w:t>
      </w:r>
      <w:r w:rsidRPr="00921A47">
        <w:rPr>
          <w:rFonts w:ascii="Palatino Linotype" w:eastAsia="Palatino Linotype" w:hAnsi="Palatino Linotype" w:cs="Palatino Linotype"/>
          <w:i/>
          <w:sz w:val="21"/>
          <w:szCs w:val="21"/>
        </w:rPr>
        <w:t>. Los sujetos obligados garantizarán que los sistemas o medios empleados para eliminar la información en las versiones públicas sean irreversibles, de tal forma que no permitan su recuperación o la visualización de la misma.”</w:t>
      </w:r>
    </w:p>
    <w:p w14:paraId="0BB4A009"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B6C29C0" w14:textId="77777777" w:rsidR="001148BC" w:rsidRPr="00921A47" w:rsidRDefault="00C53F3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21A47">
        <w:rPr>
          <w:rFonts w:ascii="Palatino Linotype" w:eastAsia="Palatino Linotype" w:hAnsi="Palatino Linotype" w:cs="Palatino Linotype"/>
          <w:b/>
        </w:rPr>
        <w:lastRenderedPageBreak/>
        <w:t>III. R E S U E L V E</w:t>
      </w:r>
    </w:p>
    <w:p w14:paraId="6F8A723B"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12" w:name="_heading=h.1t3h5sf" w:colFirst="0" w:colLast="0"/>
      <w:bookmarkEnd w:id="12"/>
      <w:r w:rsidRPr="00921A47">
        <w:rPr>
          <w:rFonts w:ascii="Palatino Linotype" w:eastAsia="Palatino Linotype" w:hAnsi="Palatino Linotype" w:cs="Palatino Linotype"/>
          <w:b/>
        </w:rPr>
        <w:t xml:space="preserve">Primero. </w:t>
      </w:r>
      <w:r w:rsidRPr="00921A47">
        <w:rPr>
          <w:rFonts w:ascii="Palatino Linotype" w:eastAsia="Palatino Linotype" w:hAnsi="Palatino Linotype" w:cs="Palatino Linotype"/>
        </w:rPr>
        <w:t>Resultan</w:t>
      </w:r>
      <w:r w:rsidRPr="00921A47">
        <w:rPr>
          <w:rFonts w:ascii="Palatino Linotype" w:eastAsia="Palatino Linotype" w:hAnsi="Palatino Linotype" w:cs="Palatino Linotype"/>
          <w:b/>
        </w:rPr>
        <w:t xml:space="preserve"> fundadas</w:t>
      </w:r>
      <w:r w:rsidRPr="00921A47">
        <w:rPr>
          <w:rFonts w:ascii="Palatino Linotype" w:eastAsia="Palatino Linotype" w:hAnsi="Palatino Linotype" w:cs="Palatino Linotype"/>
        </w:rPr>
        <w:t xml:space="preserve"> las razones o motivos de inconformidad hechos valer por la parte</w:t>
      </w:r>
      <w:r w:rsidRPr="00921A47">
        <w:rPr>
          <w:rFonts w:ascii="Palatino Linotype" w:eastAsia="Palatino Linotype" w:hAnsi="Palatino Linotype" w:cs="Palatino Linotype"/>
          <w:b/>
        </w:rPr>
        <w:t xml:space="preserve"> Recurrente</w:t>
      </w:r>
      <w:r w:rsidRPr="00921A47">
        <w:rPr>
          <w:rFonts w:ascii="Palatino Linotype" w:eastAsia="Palatino Linotype" w:hAnsi="Palatino Linotype" w:cs="Palatino Linotype"/>
        </w:rPr>
        <w:t xml:space="preserve"> en el recurso de revisión </w:t>
      </w:r>
      <w:r w:rsidRPr="00921A47">
        <w:rPr>
          <w:rFonts w:ascii="Palatino Linotype" w:eastAsia="Palatino Linotype" w:hAnsi="Palatino Linotype" w:cs="Palatino Linotype"/>
          <w:b/>
        </w:rPr>
        <w:t>02869/INFOEM/IP/RR/2025</w:t>
      </w:r>
      <w:r w:rsidRPr="00921A47">
        <w:rPr>
          <w:rFonts w:ascii="Palatino Linotype" w:eastAsia="Palatino Linotype" w:hAnsi="Palatino Linotype" w:cs="Palatino Linotype"/>
        </w:rPr>
        <w:t xml:space="preserve">; por lo que, en términos del </w:t>
      </w:r>
      <w:r w:rsidRPr="00921A47">
        <w:rPr>
          <w:rFonts w:ascii="Palatino Linotype" w:eastAsia="Palatino Linotype" w:hAnsi="Palatino Linotype" w:cs="Palatino Linotype"/>
          <w:b/>
        </w:rPr>
        <w:t>Considerando</w:t>
      </w:r>
      <w:r w:rsidRPr="00921A47">
        <w:rPr>
          <w:rFonts w:ascii="Palatino Linotype" w:eastAsia="Palatino Linotype" w:hAnsi="Palatino Linotype" w:cs="Palatino Linotype"/>
        </w:rPr>
        <w:t xml:space="preserve"> </w:t>
      </w:r>
      <w:r w:rsidRPr="00921A47">
        <w:rPr>
          <w:rFonts w:ascii="Palatino Linotype" w:eastAsia="Palatino Linotype" w:hAnsi="Palatino Linotype" w:cs="Palatino Linotype"/>
          <w:b/>
        </w:rPr>
        <w:t xml:space="preserve">Cuarto </w:t>
      </w:r>
      <w:r w:rsidRPr="00921A47">
        <w:rPr>
          <w:rFonts w:ascii="Palatino Linotype" w:eastAsia="Palatino Linotype" w:hAnsi="Palatino Linotype" w:cs="Palatino Linotype"/>
        </w:rPr>
        <w:t xml:space="preserve">de esta resolución, se </w:t>
      </w:r>
      <w:r w:rsidRPr="00921A47">
        <w:rPr>
          <w:rFonts w:ascii="Palatino Linotype" w:eastAsia="Palatino Linotype" w:hAnsi="Palatino Linotype" w:cs="Palatino Linotype"/>
          <w:b/>
        </w:rPr>
        <w:t>Revoca</w:t>
      </w:r>
      <w:r w:rsidRPr="00921A47">
        <w:rPr>
          <w:rFonts w:ascii="Palatino Linotype" w:eastAsia="Palatino Linotype" w:hAnsi="Palatino Linotype" w:cs="Palatino Linotype"/>
        </w:rPr>
        <w:t xml:space="preserve"> la respuesta emitida por el </w:t>
      </w:r>
      <w:r w:rsidRPr="00921A47">
        <w:rPr>
          <w:rFonts w:ascii="Palatino Linotype" w:eastAsia="Palatino Linotype" w:hAnsi="Palatino Linotype" w:cs="Palatino Linotype"/>
          <w:b/>
        </w:rPr>
        <w:t xml:space="preserve">Sujeto Obligado. </w:t>
      </w:r>
    </w:p>
    <w:p w14:paraId="2D4D2637" w14:textId="77777777" w:rsidR="001148BC" w:rsidRPr="00921A47" w:rsidRDefault="00C53F3A">
      <w:pPr>
        <w:spacing w:before="240" w:after="240" w:line="360" w:lineRule="auto"/>
        <w:ind w:right="49"/>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Segundo. </w:t>
      </w:r>
      <w:r w:rsidRPr="00921A47">
        <w:rPr>
          <w:rFonts w:ascii="Palatino Linotype" w:eastAsia="Palatino Linotype" w:hAnsi="Palatino Linotype" w:cs="Palatino Linotype"/>
        </w:rPr>
        <w:t xml:space="preserve">Se </w:t>
      </w:r>
      <w:r w:rsidRPr="00921A47">
        <w:rPr>
          <w:rFonts w:ascii="Palatino Linotype" w:eastAsia="Palatino Linotype" w:hAnsi="Palatino Linotype" w:cs="Palatino Linotype"/>
          <w:b/>
        </w:rPr>
        <w:t xml:space="preserve">Ordena </w:t>
      </w:r>
      <w:r w:rsidRPr="00921A47">
        <w:rPr>
          <w:rFonts w:ascii="Palatino Linotype" w:eastAsia="Palatino Linotype" w:hAnsi="Palatino Linotype" w:cs="Palatino Linotype"/>
        </w:rPr>
        <w:t xml:space="preserve">al </w:t>
      </w:r>
      <w:r w:rsidRPr="00921A47">
        <w:rPr>
          <w:rFonts w:ascii="Palatino Linotype" w:eastAsia="Palatino Linotype" w:hAnsi="Palatino Linotype" w:cs="Palatino Linotype"/>
          <w:b/>
        </w:rPr>
        <w:t xml:space="preserve">Sujeto Obligado, </w:t>
      </w:r>
      <w:r w:rsidRPr="00921A47">
        <w:rPr>
          <w:rFonts w:ascii="Palatino Linotype" w:eastAsia="Palatino Linotype" w:hAnsi="Palatino Linotype" w:cs="Palatino Linotype"/>
        </w:rPr>
        <w:t xml:space="preserve">en términos de los </w:t>
      </w:r>
      <w:r w:rsidRPr="00921A47">
        <w:rPr>
          <w:rFonts w:ascii="Palatino Linotype" w:eastAsia="Palatino Linotype" w:hAnsi="Palatino Linotype" w:cs="Palatino Linotype"/>
          <w:b/>
        </w:rPr>
        <w:t xml:space="preserve">Considerandos </w:t>
      </w:r>
      <w:proofErr w:type="gramStart"/>
      <w:r w:rsidRPr="00921A47">
        <w:rPr>
          <w:rFonts w:ascii="Palatino Linotype" w:eastAsia="Palatino Linotype" w:hAnsi="Palatino Linotype" w:cs="Palatino Linotype"/>
          <w:b/>
        </w:rPr>
        <w:t xml:space="preserve">Cuarto </w:t>
      </w:r>
      <w:r w:rsidRPr="00921A47">
        <w:rPr>
          <w:rFonts w:ascii="Palatino Linotype" w:eastAsia="Palatino Linotype" w:hAnsi="Palatino Linotype" w:cs="Palatino Linotype"/>
        </w:rPr>
        <w:t xml:space="preserve"> y</w:t>
      </w:r>
      <w:proofErr w:type="gramEnd"/>
      <w:r w:rsidRPr="00921A47">
        <w:rPr>
          <w:rFonts w:ascii="Palatino Linotype" w:eastAsia="Palatino Linotype" w:hAnsi="Palatino Linotype" w:cs="Palatino Linotype"/>
        </w:rPr>
        <w:t xml:space="preserve"> </w:t>
      </w:r>
      <w:r w:rsidRPr="00921A47">
        <w:rPr>
          <w:rFonts w:ascii="Palatino Linotype" w:eastAsia="Palatino Linotype" w:hAnsi="Palatino Linotype" w:cs="Palatino Linotype"/>
          <w:b/>
        </w:rPr>
        <w:t xml:space="preserve">Quinto </w:t>
      </w:r>
      <w:r w:rsidRPr="00921A47">
        <w:rPr>
          <w:rFonts w:ascii="Palatino Linotype" w:eastAsia="Palatino Linotype" w:hAnsi="Palatino Linotype" w:cs="Palatino Linotype"/>
        </w:rPr>
        <w:t xml:space="preserve">de esta resolución, haga entrega, vía </w:t>
      </w:r>
      <w:r w:rsidRPr="00921A47">
        <w:rPr>
          <w:rFonts w:ascii="Palatino Linotype" w:eastAsia="Palatino Linotype" w:hAnsi="Palatino Linotype" w:cs="Palatino Linotype"/>
          <w:b/>
        </w:rPr>
        <w:t>SAIMEX</w:t>
      </w:r>
      <w:r w:rsidRPr="00921A47">
        <w:rPr>
          <w:rFonts w:ascii="Palatino Linotype" w:eastAsia="Palatino Linotype" w:hAnsi="Palatino Linotype" w:cs="Palatino Linotype"/>
        </w:rPr>
        <w:t>, en versión pública de lo siguiente:</w:t>
      </w:r>
    </w:p>
    <w:p w14:paraId="03BFCB4D" w14:textId="77777777" w:rsidR="001148BC" w:rsidRPr="00921A47" w:rsidRDefault="00C53F3A">
      <w:pPr>
        <w:spacing w:before="240" w:after="240" w:line="360" w:lineRule="auto"/>
        <w:ind w:left="284"/>
        <w:jc w:val="both"/>
        <w:rPr>
          <w:rFonts w:ascii="Palatino Linotype" w:eastAsia="Palatino Linotype" w:hAnsi="Palatino Linotype" w:cs="Palatino Linotype"/>
        </w:rPr>
      </w:pPr>
      <w:bookmarkStart w:id="13" w:name="_heading=h.1fob9te" w:colFirst="0" w:colLast="0"/>
      <w:bookmarkEnd w:id="13"/>
      <w:r w:rsidRPr="00921A47">
        <w:rPr>
          <w:rFonts w:ascii="Palatino Linotype" w:eastAsia="Palatino Linotype" w:hAnsi="Palatino Linotype" w:cs="Palatino Linotype"/>
        </w:rPr>
        <w:t>1. La conciliación de nómina de la primera y segunda quincena de enero, y la primera quincena de febrero de dos mil veinticinco.</w:t>
      </w:r>
    </w:p>
    <w:p w14:paraId="6FE6E8BD" w14:textId="77777777" w:rsidR="001148BC" w:rsidRPr="00921A47" w:rsidRDefault="00C53F3A">
      <w:pPr>
        <w:pBdr>
          <w:top w:val="nil"/>
          <w:left w:val="nil"/>
          <w:bottom w:val="nil"/>
          <w:right w:val="nil"/>
          <w:between w:val="nil"/>
        </w:pBdr>
        <w:ind w:left="284"/>
        <w:jc w:val="both"/>
        <w:rPr>
          <w:rFonts w:ascii="Palatino Linotype" w:eastAsia="Palatino Linotype" w:hAnsi="Palatino Linotype" w:cs="Palatino Linotype"/>
          <w:i/>
          <w:sz w:val="20"/>
          <w:szCs w:val="20"/>
        </w:rPr>
      </w:pPr>
      <w:r w:rsidRPr="00921A47">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921A47">
        <w:rPr>
          <w:rFonts w:ascii="Palatino Linotype" w:eastAsia="Palatino Linotype" w:hAnsi="Palatino Linotype" w:cs="Palatino Linotype"/>
          <w:b/>
          <w:i/>
          <w:sz w:val="20"/>
          <w:szCs w:val="20"/>
        </w:rPr>
        <w:t>Recurrente</w:t>
      </w:r>
      <w:r w:rsidRPr="00921A47">
        <w:rPr>
          <w:rFonts w:ascii="Palatino Linotype" w:eastAsia="Palatino Linotype" w:hAnsi="Palatino Linotype" w:cs="Palatino Linotype"/>
          <w:i/>
          <w:sz w:val="20"/>
          <w:szCs w:val="20"/>
        </w:rPr>
        <w:t>, mismo que igualmente hará de su conocimiento.</w:t>
      </w:r>
    </w:p>
    <w:p w14:paraId="087B9B77"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b/>
        </w:rPr>
        <w:t xml:space="preserve">Tercero. Notifíquese, </w:t>
      </w:r>
      <w:r w:rsidRPr="00921A47">
        <w:rPr>
          <w:rFonts w:ascii="Palatino Linotype" w:eastAsia="Palatino Linotype" w:hAnsi="Palatino Linotype" w:cs="Palatino Linotype"/>
        </w:rPr>
        <w:t xml:space="preserve">vía </w:t>
      </w:r>
      <w:r w:rsidRPr="00921A47">
        <w:rPr>
          <w:rFonts w:ascii="Palatino Linotype" w:eastAsia="Palatino Linotype" w:hAnsi="Palatino Linotype" w:cs="Palatino Linotype"/>
          <w:b/>
        </w:rPr>
        <w:t>SAIMEX</w:t>
      </w:r>
      <w:r w:rsidRPr="00921A47">
        <w:rPr>
          <w:rFonts w:ascii="Palatino Linotype" w:eastAsia="Palatino Linotype" w:hAnsi="Palatino Linotype" w:cs="Palatino Linotype"/>
        </w:rPr>
        <w:t xml:space="preserve">, al Titular de la Unidad de Transparencia del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921A47">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0907E100" w14:textId="77777777" w:rsidR="001148BC" w:rsidRPr="00921A47" w:rsidRDefault="00C53F3A">
      <w:pPr>
        <w:spacing w:before="240" w:after="240" w:line="360" w:lineRule="auto"/>
        <w:jc w:val="both"/>
        <w:rPr>
          <w:rFonts w:ascii="Palatino Linotype" w:eastAsia="Palatino Linotype" w:hAnsi="Palatino Linotype" w:cs="Palatino Linotype"/>
        </w:rPr>
      </w:pPr>
      <w:r w:rsidRPr="00921A4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21A47">
        <w:rPr>
          <w:rFonts w:ascii="Palatino Linotype" w:eastAsia="Palatino Linotype" w:hAnsi="Palatino Linotype" w:cs="Palatino Linotype"/>
          <w:b/>
        </w:rPr>
        <w:t>Sujeto Obligado</w:t>
      </w:r>
      <w:r w:rsidRPr="00921A47">
        <w:rPr>
          <w:rFonts w:ascii="Palatino Linotype" w:eastAsia="Palatino Linotype" w:hAnsi="Palatino Linotype" w:cs="Palatino Linotype"/>
        </w:rPr>
        <w:t xml:space="preserve"> de manera fundada y motivada, podrá solicitar una ampliación de plazo para el cumplimiento de la presente resolución.</w:t>
      </w:r>
    </w:p>
    <w:p w14:paraId="0E4F7C65" w14:textId="77777777" w:rsidR="001148BC" w:rsidRPr="00921A47" w:rsidRDefault="00C53F3A">
      <w:pPr>
        <w:spacing w:before="240" w:after="240" w:line="360" w:lineRule="auto"/>
        <w:jc w:val="both"/>
        <w:rPr>
          <w:rFonts w:ascii="Palatino Linotype" w:eastAsia="Palatino Linotype" w:hAnsi="Palatino Linotype" w:cs="Palatino Linotype"/>
        </w:rPr>
      </w:pPr>
      <w:bookmarkStart w:id="14" w:name="_heading=h.ot3qq6vxa08f" w:colFirst="0" w:colLast="0"/>
      <w:bookmarkEnd w:id="14"/>
      <w:r w:rsidRPr="00921A47">
        <w:rPr>
          <w:rFonts w:ascii="Palatino Linotype" w:eastAsia="Palatino Linotype" w:hAnsi="Palatino Linotype" w:cs="Palatino Linotype"/>
          <w:b/>
        </w:rPr>
        <w:t xml:space="preserve">Cuarto.  Notifíquese, </w:t>
      </w:r>
      <w:r w:rsidRPr="00921A47">
        <w:rPr>
          <w:rFonts w:ascii="Palatino Linotype" w:eastAsia="Palatino Linotype" w:hAnsi="Palatino Linotype" w:cs="Palatino Linotype"/>
        </w:rPr>
        <w:t xml:space="preserve">vía </w:t>
      </w:r>
      <w:r w:rsidRPr="00921A47">
        <w:rPr>
          <w:rFonts w:ascii="Palatino Linotype" w:eastAsia="Palatino Linotype" w:hAnsi="Palatino Linotype" w:cs="Palatino Linotype"/>
          <w:b/>
        </w:rPr>
        <w:t>SAIMEX</w:t>
      </w:r>
      <w:r w:rsidRPr="00921A47">
        <w:rPr>
          <w:rFonts w:ascii="Palatino Linotype" w:eastAsia="Palatino Linotype" w:hAnsi="Palatino Linotype" w:cs="Palatino Linotype"/>
        </w:rPr>
        <w:t xml:space="preserve"> a la parte </w:t>
      </w:r>
      <w:r w:rsidRPr="00921A47">
        <w:rPr>
          <w:rFonts w:ascii="Palatino Linotype" w:eastAsia="Palatino Linotype" w:hAnsi="Palatino Linotype" w:cs="Palatino Linotype"/>
          <w:b/>
        </w:rPr>
        <w:t>Recurrente</w:t>
      </w:r>
      <w:r w:rsidRPr="00921A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A63D56F" w14:textId="77777777" w:rsidR="001148BC" w:rsidRPr="00E73295" w:rsidRDefault="00C53F3A">
      <w:pPr>
        <w:tabs>
          <w:tab w:val="left" w:pos="8647"/>
        </w:tabs>
        <w:spacing w:before="240" w:after="240" w:line="360" w:lineRule="auto"/>
        <w:ind w:right="51"/>
        <w:jc w:val="both"/>
        <w:rPr>
          <w:rFonts w:ascii="Palatino Linotype" w:eastAsia="Palatino Linotype" w:hAnsi="Palatino Linotype" w:cs="Palatino Linotype"/>
        </w:rPr>
      </w:pPr>
      <w:bookmarkStart w:id="15" w:name="_heading=h.lnxbz9" w:colFirst="0" w:colLast="0"/>
      <w:bookmarkEnd w:id="15"/>
      <w:r w:rsidRPr="00921A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1202F" w:rsidRPr="00921A47">
        <w:rPr>
          <w:rFonts w:ascii="Palatino Linotype" w:eastAsia="Palatino Linotype" w:hAnsi="Palatino Linotype" w:cs="Palatino Linotype"/>
        </w:rPr>
        <w:t xml:space="preserve"> (EMITIENDO VOTO PARTICULAR)</w:t>
      </w:r>
      <w:r w:rsidRPr="00921A47">
        <w:rPr>
          <w:rFonts w:ascii="Palatino Linotype" w:eastAsia="Palatino Linotype" w:hAnsi="Palatino Linotype" w:cs="Palatino Linotype"/>
        </w:rPr>
        <w:t>, Y GUADALUPE RAMÍREZ PEÑA</w:t>
      </w:r>
      <w:r w:rsidR="0001202F" w:rsidRPr="00921A47">
        <w:rPr>
          <w:rFonts w:ascii="Palatino Linotype" w:eastAsia="Palatino Linotype" w:hAnsi="Palatino Linotype" w:cs="Palatino Linotype"/>
        </w:rPr>
        <w:t xml:space="preserve"> NORIEGA (EMITIENDO VOTO PARTICULAR)</w:t>
      </w:r>
      <w:r w:rsidRPr="00921A47">
        <w:rPr>
          <w:rFonts w:ascii="Palatino Linotype" w:eastAsia="Palatino Linotype" w:hAnsi="Palatino Linotype" w:cs="Palatino Linotype"/>
        </w:rPr>
        <w:t>, EN LA DÉCIMA SÉPTIMA SESIÓN ORDINARIA CELEBRADA EL CATORCE DE MAYO DE DOS MIL VEINTICINCO, ANTE EL SECRETARIO TÉCNICO DEL PLENO ALEXIS TAPIA RAMÍREZ.</w:t>
      </w:r>
    </w:p>
    <w:p w14:paraId="02FFB348" w14:textId="77777777" w:rsidR="001148BC" w:rsidRPr="00E73295" w:rsidRDefault="001148BC">
      <w:pPr>
        <w:spacing w:line="360" w:lineRule="auto"/>
        <w:jc w:val="both"/>
        <w:rPr>
          <w:rFonts w:ascii="Palatino Linotype" w:eastAsia="Palatino Linotype" w:hAnsi="Palatino Linotype" w:cs="Palatino Linotype"/>
        </w:rPr>
      </w:pPr>
    </w:p>
    <w:p w14:paraId="268D8E3A" w14:textId="77777777" w:rsidR="001148BC" w:rsidRPr="00E73295" w:rsidRDefault="001148BC">
      <w:pPr>
        <w:spacing w:line="360" w:lineRule="auto"/>
        <w:jc w:val="center"/>
        <w:rPr>
          <w:rFonts w:ascii="Palatino Linotype" w:eastAsia="Palatino Linotype" w:hAnsi="Palatino Linotype" w:cs="Palatino Linotype"/>
        </w:rPr>
      </w:pPr>
    </w:p>
    <w:p w14:paraId="1F95FBF9" w14:textId="77777777" w:rsidR="001148BC" w:rsidRPr="00E73295" w:rsidRDefault="001148BC">
      <w:pPr>
        <w:spacing w:line="360" w:lineRule="auto"/>
        <w:jc w:val="both"/>
        <w:rPr>
          <w:rFonts w:ascii="Palatino Linotype" w:eastAsia="Palatino Linotype" w:hAnsi="Palatino Linotype" w:cs="Palatino Linotype"/>
        </w:rPr>
      </w:pPr>
    </w:p>
    <w:p w14:paraId="57F05313" w14:textId="77777777" w:rsidR="001148BC" w:rsidRPr="00E73295" w:rsidRDefault="001148BC">
      <w:pPr>
        <w:spacing w:line="360" w:lineRule="auto"/>
        <w:jc w:val="both"/>
        <w:rPr>
          <w:rFonts w:ascii="Palatino Linotype" w:eastAsia="Palatino Linotype" w:hAnsi="Palatino Linotype" w:cs="Palatino Linotype"/>
        </w:rPr>
      </w:pPr>
    </w:p>
    <w:p w14:paraId="39AFF504" w14:textId="77777777" w:rsidR="001148BC" w:rsidRPr="00E73295" w:rsidRDefault="001148BC">
      <w:pPr>
        <w:spacing w:line="360" w:lineRule="auto"/>
        <w:jc w:val="both"/>
        <w:rPr>
          <w:rFonts w:ascii="Palatino Linotype" w:eastAsia="Palatino Linotype" w:hAnsi="Palatino Linotype" w:cs="Palatino Linotype"/>
        </w:rPr>
      </w:pPr>
    </w:p>
    <w:p w14:paraId="2E57709F" w14:textId="77777777" w:rsidR="001148BC" w:rsidRPr="00E73295" w:rsidRDefault="001148BC">
      <w:pPr>
        <w:spacing w:line="360" w:lineRule="auto"/>
        <w:jc w:val="both"/>
        <w:rPr>
          <w:rFonts w:ascii="Palatino Linotype" w:eastAsia="Palatino Linotype" w:hAnsi="Palatino Linotype" w:cs="Palatino Linotype"/>
        </w:rPr>
      </w:pPr>
    </w:p>
    <w:p w14:paraId="6B885941" w14:textId="77777777" w:rsidR="001148BC" w:rsidRPr="00E73295" w:rsidRDefault="001148BC">
      <w:pPr>
        <w:spacing w:line="360" w:lineRule="auto"/>
        <w:jc w:val="both"/>
        <w:rPr>
          <w:rFonts w:ascii="Palatino Linotype" w:eastAsia="Palatino Linotype" w:hAnsi="Palatino Linotype" w:cs="Palatino Linotype"/>
        </w:rPr>
      </w:pPr>
    </w:p>
    <w:p w14:paraId="68D4F61E" w14:textId="77777777" w:rsidR="001148BC" w:rsidRPr="00E73295" w:rsidRDefault="001148BC">
      <w:pPr>
        <w:spacing w:line="360" w:lineRule="auto"/>
        <w:jc w:val="both"/>
        <w:rPr>
          <w:rFonts w:ascii="Palatino Linotype" w:eastAsia="Palatino Linotype" w:hAnsi="Palatino Linotype" w:cs="Palatino Linotype"/>
        </w:rPr>
      </w:pPr>
    </w:p>
    <w:p w14:paraId="4CF2BF21" w14:textId="77777777" w:rsidR="001148BC" w:rsidRPr="00E73295" w:rsidRDefault="001148BC">
      <w:pPr>
        <w:spacing w:line="360" w:lineRule="auto"/>
        <w:jc w:val="both"/>
        <w:rPr>
          <w:rFonts w:ascii="Palatino Linotype" w:eastAsia="Palatino Linotype" w:hAnsi="Palatino Linotype" w:cs="Palatino Linotype"/>
        </w:rPr>
      </w:pPr>
    </w:p>
    <w:p w14:paraId="179B33DA" w14:textId="77777777" w:rsidR="001148BC" w:rsidRPr="00E73295" w:rsidRDefault="001148BC">
      <w:pPr>
        <w:spacing w:line="360" w:lineRule="auto"/>
        <w:jc w:val="both"/>
        <w:rPr>
          <w:rFonts w:ascii="Palatino Linotype" w:eastAsia="Palatino Linotype" w:hAnsi="Palatino Linotype" w:cs="Palatino Linotype"/>
        </w:rPr>
      </w:pPr>
    </w:p>
    <w:p w14:paraId="3820E406" w14:textId="77777777" w:rsidR="001148BC" w:rsidRPr="00E73295" w:rsidRDefault="001148BC">
      <w:pPr>
        <w:spacing w:line="360" w:lineRule="auto"/>
        <w:jc w:val="both"/>
        <w:rPr>
          <w:rFonts w:ascii="Palatino Linotype" w:eastAsia="Palatino Linotype" w:hAnsi="Palatino Linotype" w:cs="Palatino Linotype"/>
        </w:rPr>
      </w:pPr>
    </w:p>
    <w:p w14:paraId="60D88C00" w14:textId="77777777" w:rsidR="001148BC" w:rsidRPr="00E73295" w:rsidRDefault="001148BC">
      <w:pPr>
        <w:spacing w:line="360" w:lineRule="auto"/>
        <w:jc w:val="both"/>
        <w:rPr>
          <w:rFonts w:ascii="Palatino Linotype" w:eastAsia="Palatino Linotype" w:hAnsi="Palatino Linotype" w:cs="Palatino Linotype"/>
        </w:rPr>
      </w:pPr>
    </w:p>
    <w:p w14:paraId="6E7FC353" w14:textId="77777777" w:rsidR="001148BC" w:rsidRPr="00E73295" w:rsidRDefault="001148BC">
      <w:pPr>
        <w:spacing w:line="360" w:lineRule="auto"/>
        <w:jc w:val="both"/>
        <w:rPr>
          <w:rFonts w:ascii="Palatino Linotype" w:eastAsia="Palatino Linotype" w:hAnsi="Palatino Linotype" w:cs="Palatino Linotype"/>
        </w:rPr>
      </w:pPr>
    </w:p>
    <w:sectPr w:rsidR="001148BC" w:rsidRPr="00E73295">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BCA8" w14:textId="77777777" w:rsidR="00F07E0C" w:rsidRDefault="00F07E0C">
      <w:r>
        <w:separator/>
      </w:r>
    </w:p>
  </w:endnote>
  <w:endnote w:type="continuationSeparator" w:id="0">
    <w:p w14:paraId="406363F8" w14:textId="77777777" w:rsidR="00F07E0C" w:rsidRDefault="00F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1BA4" w14:textId="77777777" w:rsidR="001148BC" w:rsidRDefault="00C53F3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1A47">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1A47">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07454ACF" w14:textId="77777777" w:rsidR="001148BC" w:rsidRDefault="001148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7D24" w14:textId="77777777" w:rsidR="001148BC" w:rsidRDefault="00C53F3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1A4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1A47">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693D7BC8" w14:textId="77777777" w:rsidR="001148BC" w:rsidRDefault="001148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3F40" w14:textId="77777777" w:rsidR="00F07E0C" w:rsidRDefault="00F07E0C">
      <w:r>
        <w:separator/>
      </w:r>
    </w:p>
  </w:footnote>
  <w:footnote w:type="continuationSeparator" w:id="0">
    <w:p w14:paraId="417437FE" w14:textId="77777777" w:rsidR="00F07E0C" w:rsidRDefault="00F07E0C">
      <w:r>
        <w:continuationSeparator/>
      </w:r>
    </w:p>
  </w:footnote>
  <w:footnote w:id="1">
    <w:p w14:paraId="683F9CF9" w14:textId="77777777" w:rsidR="001148BC" w:rsidRDefault="00C53F3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6CA4" w14:textId="77777777" w:rsidR="001148BC" w:rsidRDefault="00C53F3A">
    <w:pPr>
      <w:rPr>
        <w:rFonts w:ascii="Cambria" w:eastAsia="Cambria" w:hAnsi="Cambria" w:cs="Cambria"/>
        <w:color w:val="000000"/>
      </w:rPr>
    </w:pPr>
    <w:r>
      <w:rPr>
        <w:noProof/>
      </w:rPr>
      <w:drawing>
        <wp:anchor distT="0" distB="0" distL="0" distR="0" simplePos="0" relativeHeight="251658240" behindDoc="1" locked="0" layoutInCell="1" hidden="0" allowOverlap="1" wp14:anchorId="63AD93C2" wp14:editId="150A6E38">
          <wp:simplePos x="0" y="0"/>
          <wp:positionH relativeFrom="column">
            <wp:posOffset>-1080094</wp:posOffset>
          </wp:positionH>
          <wp:positionV relativeFrom="paragraph">
            <wp:posOffset>-488266</wp:posOffset>
          </wp:positionV>
          <wp:extent cx="7809865" cy="10165715"/>
          <wp:effectExtent l="0" t="0" r="0" b="0"/>
          <wp:wrapNone/>
          <wp:docPr id="21401318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1148BC" w14:paraId="0648C9EF" w14:textId="77777777">
      <w:tc>
        <w:tcPr>
          <w:tcW w:w="2489" w:type="dxa"/>
          <w:shd w:val="clear" w:color="auto" w:fill="auto"/>
        </w:tcPr>
        <w:p w14:paraId="4F5EA1D9" w14:textId="77777777" w:rsidR="001148BC" w:rsidRDefault="00C53F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C73EC9A" w14:textId="77777777" w:rsidR="001148BC" w:rsidRDefault="00C53F3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02869/INFOEM/IP/RR/2025</w:t>
          </w:r>
        </w:p>
      </w:tc>
    </w:tr>
    <w:tr w:rsidR="001148BC" w14:paraId="1DCAFB84" w14:textId="77777777">
      <w:trPr>
        <w:trHeight w:val="228"/>
      </w:trPr>
      <w:tc>
        <w:tcPr>
          <w:tcW w:w="2489" w:type="dxa"/>
          <w:shd w:val="clear" w:color="auto" w:fill="auto"/>
          <w:vAlign w:val="center"/>
        </w:tcPr>
        <w:p w14:paraId="31777E36" w14:textId="77777777" w:rsidR="001148BC" w:rsidRDefault="00C53F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031B3C9" w14:textId="77777777" w:rsidR="001148BC" w:rsidRDefault="00C53F3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1148BC" w14:paraId="7611EF22" w14:textId="77777777">
      <w:tc>
        <w:tcPr>
          <w:tcW w:w="2489" w:type="dxa"/>
          <w:shd w:val="clear" w:color="auto" w:fill="auto"/>
          <w:vAlign w:val="center"/>
        </w:tcPr>
        <w:p w14:paraId="0F1FB419" w14:textId="77777777" w:rsidR="001148BC" w:rsidRDefault="00C53F3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4CDEF3" w14:textId="77777777" w:rsidR="001148BC" w:rsidRDefault="00C53F3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0FE9E8" w14:textId="77777777" w:rsidR="001148BC" w:rsidRDefault="00C53F3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66E6" w14:textId="77777777" w:rsidR="001148BC" w:rsidRDefault="00C53F3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C330DAB" wp14:editId="5DA04338">
          <wp:simplePos x="0" y="0"/>
          <wp:positionH relativeFrom="column">
            <wp:posOffset>-1080120</wp:posOffset>
          </wp:positionH>
          <wp:positionV relativeFrom="paragraph">
            <wp:posOffset>-369895</wp:posOffset>
          </wp:positionV>
          <wp:extent cx="7809865" cy="10165715"/>
          <wp:effectExtent l="0" t="0" r="0" b="0"/>
          <wp:wrapNone/>
          <wp:docPr id="21401318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5"/>
      <w:tblW w:w="5953" w:type="dxa"/>
      <w:tblInd w:w="3261" w:type="dxa"/>
      <w:tblLayout w:type="fixed"/>
      <w:tblLook w:val="0400" w:firstRow="0" w:lastRow="0" w:firstColumn="0" w:lastColumn="0" w:noHBand="0" w:noVBand="1"/>
    </w:tblPr>
    <w:tblGrid>
      <w:gridCol w:w="2489"/>
      <w:gridCol w:w="3464"/>
    </w:tblGrid>
    <w:tr w:rsidR="001148BC" w14:paraId="793FA619" w14:textId="77777777">
      <w:tc>
        <w:tcPr>
          <w:tcW w:w="2489" w:type="dxa"/>
          <w:shd w:val="clear" w:color="auto" w:fill="auto"/>
        </w:tcPr>
        <w:p w14:paraId="5B28289F" w14:textId="77777777" w:rsidR="001148BC" w:rsidRDefault="00C53F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EAB35E7" w14:textId="77777777" w:rsidR="001148BC" w:rsidRDefault="00C53F3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02869/INFOEM/IP/RR/2025</w:t>
          </w:r>
        </w:p>
      </w:tc>
    </w:tr>
    <w:tr w:rsidR="001148BC" w14:paraId="277244C6" w14:textId="77777777">
      <w:tc>
        <w:tcPr>
          <w:tcW w:w="2489" w:type="dxa"/>
          <w:shd w:val="clear" w:color="auto" w:fill="auto"/>
        </w:tcPr>
        <w:p w14:paraId="19D3FC5A" w14:textId="77777777" w:rsidR="001148BC" w:rsidRDefault="00C53F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484D87E" w14:textId="508F59DA" w:rsidR="001148BC" w:rsidRDefault="00A76687">
          <w:pPr>
            <w:ind w:right="175"/>
            <w:jc w:val="both"/>
            <w:rPr>
              <w:rFonts w:ascii="Palatino Linotype" w:eastAsia="Palatino Linotype" w:hAnsi="Palatino Linotype" w:cs="Palatino Linotype"/>
              <w:b/>
              <w:sz w:val="22"/>
              <w:szCs w:val="22"/>
            </w:rPr>
          </w:pPr>
          <w:bookmarkStart w:id="16" w:name="_Hlk199851225"/>
          <w:r>
            <w:rPr>
              <w:rFonts w:ascii="Palatino Linotype" w:eastAsia="Palatino Linotype" w:hAnsi="Palatino Linotype" w:cs="Palatino Linotype"/>
              <w:b/>
              <w:sz w:val="22"/>
              <w:szCs w:val="22"/>
            </w:rPr>
            <w:t>XXXXXX XXXXX</w:t>
          </w:r>
          <w:bookmarkEnd w:id="16"/>
        </w:p>
      </w:tc>
    </w:tr>
    <w:tr w:rsidR="001148BC" w14:paraId="2D65A41A" w14:textId="77777777">
      <w:trPr>
        <w:trHeight w:val="228"/>
      </w:trPr>
      <w:tc>
        <w:tcPr>
          <w:tcW w:w="2489" w:type="dxa"/>
          <w:shd w:val="clear" w:color="auto" w:fill="auto"/>
          <w:vAlign w:val="center"/>
        </w:tcPr>
        <w:p w14:paraId="65C52217" w14:textId="77777777" w:rsidR="001148BC" w:rsidRDefault="00C53F3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6B9B51B" w14:textId="77777777" w:rsidR="001148BC" w:rsidRDefault="00C53F3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1148BC" w14:paraId="560A85F2" w14:textId="77777777">
      <w:tc>
        <w:tcPr>
          <w:tcW w:w="2489" w:type="dxa"/>
          <w:shd w:val="clear" w:color="auto" w:fill="auto"/>
          <w:vAlign w:val="center"/>
        </w:tcPr>
        <w:p w14:paraId="2F554460" w14:textId="77777777" w:rsidR="001148BC" w:rsidRDefault="00C53F3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52CE2ED" w14:textId="77777777" w:rsidR="001148BC" w:rsidRDefault="00C53F3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C18BD3" w14:textId="77777777" w:rsidR="001148BC" w:rsidRDefault="00114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F7827"/>
    <w:multiLevelType w:val="multilevel"/>
    <w:tmpl w:val="6A6058A0"/>
    <w:lvl w:ilvl="0">
      <w:start w:val="1"/>
      <w:numFmt w:val="decimal"/>
      <w:pStyle w:val="Listaconvietas3"/>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3AC01AE7"/>
    <w:multiLevelType w:val="multilevel"/>
    <w:tmpl w:val="850818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BC"/>
    <w:rsid w:val="0001202F"/>
    <w:rsid w:val="001148BC"/>
    <w:rsid w:val="00886988"/>
    <w:rsid w:val="00921A47"/>
    <w:rsid w:val="00A76687"/>
    <w:rsid w:val="00C53F3A"/>
    <w:rsid w:val="00E73295"/>
    <w:rsid w:val="00F07E0C"/>
    <w:rsid w:val="00F854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2A19"/>
  <w15:docId w15:val="{2BF2A262-58F6-4C34-819B-24F15476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d"/>
    <w:tblPr>
      <w:tblStyleRowBandSize w:val="1"/>
      <w:tblStyleColBandSize w:val="1"/>
      <w:tblCellMar>
        <w:left w:w="115" w:type="dxa"/>
        <w:right w:w="115" w:type="dxa"/>
      </w:tblCellMar>
    </w:tblPr>
  </w:style>
  <w:style w:type="table" w:customStyle="1" w:styleId="a4">
    <w:basedOn w:val="TableNormald"/>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c"/>
    <w:tblPr>
      <w:tblStyleRowBandSize w:val="1"/>
      <w:tblStyleColBandSize w:val="1"/>
      <w:tblCellMar>
        <w:left w:w="108" w:type="dxa"/>
        <w:right w:w="108" w:type="dxa"/>
      </w:tblCellMar>
    </w:tblPr>
  </w:style>
  <w:style w:type="table" w:customStyle="1" w:styleId="a6">
    <w:basedOn w:val="TableNormalc"/>
    <w:tblPr>
      <w:tblStyleRowBandSize w:val="1"/>
      <w:tblStyleColBandSize w:val="1"/>
      <w:tblCellMar>
        <w:left w:w="108" w:type="dxa"/>
        <w:right w:w="108" w:type="dxa"/>
      </w:tblCellMar>
    </w:tblPr>
  </w:style>
  <w:style w:type="table" w:customStyle="1" w:styleId="a7">
    <w:basedOn w:val="TableNormalc"/>
    <w:tblPr>
      <w:tblStyleRowBandSize w:val="1"/>
      <w:tblStyleColBandSize w:val="1"/>
      <w:tblCellMar>
        <w:left w:w="108" w:type="dxa"/>
        <w:right w:w="108" w:type="dxa"/>
      </w:tblCellMar>
    </w:tblPr>
  </w:style>
  <w:style w:type="table" w:customStyle="1" w:styleId="a8">
    <w:basedOn w:val="TableNormalc"/>
    <w:tblPr>
      <w:tblStyleRowBandSize w:val="1"/>
      <w:tblStyleColBandSize w:val="1"/>
      <w:tblCellMar>
        <w:left w:w="108" w:type="dxa"/>
        <w:right w:w="108" w:type="dxa"/>
      </w:tblCellMar>
    </w:tblPr>
  </w:style>
  <w:style w:type="table" w:customStyle="1" w:styleId="a9">
    <w:basedOn w:val="TableNormalc"/>
    <w:tblPr>
      <w:tblStyleRowBandSize w:val="1"/>
      <w:tblStyleColBandSize w:val="1"/>
      <w:tblCellMar>
        <w:left w:w="108" w:type="dxa"/>
        <w:right w:w="108"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08" w:type="dxa"/>
        <w:right w:w="108" w:type="dxa"/>
      </w:tblCellMar>
    </w:tblPr>
  </w:style>
  <w:style w:type="table" w:customStyle="1" w:styleId="ad">
    <w:basedOn w:val="TableNormalb"/>
    <w:tblPr>
      <w:tblStyleRowBandSize w:val="1"/>
      <w:tblStyleColBandSize w:val="1"/>
      <w:tblCellMar>
        <w:left w:w="115" w:type="dxa"/>
        <w:right w:w="115" w:type="dxa"/>
      </w:tblCellMar>
    </w:tblPr>
  </w:style>
  <w:style w:type="table" w:customStyle="1" w:styleId="ae">
    <w:basedOn w:val="TableNormalb"/>
    <w:tblPr>
      <w:tblStyleRowBandSize w:val="1"/>
      <w:tblStyleColBandSize w:val="1"/>
      <w:tblCellMar>
        <w:left w:w="115" w:type="dxa"/>
        <w:right w:w="115"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9"/>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table" w:customStyle="1" w:styleId="af5">
    <w:basedOn w:val="TableNormal8"/>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6"/>
    <w:tblPr>
      <w:tblStyleRowBandSize w:val="1"/>
      <w:tblStyleColBandSize w:val="1"/>
      <w:tblCellMar>
        <w:left w:w="115" w:type="dxa"/>
        <w:right w:w="115"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E55BB0"/>
    <w:pPr>
      <w:numPr>
        <w:numId w:val="2"/>
      </w:numPr>
      <w:contextualSpacing/>
    </w:pPr>
  </w:style>
  <w:style w:type="paragraph" w:styleId="Listaconvietas2">
    <w:name w:val="List Bullet 2"/>
    <w:basedOn w:val="Normal"/>
    <w:uiPriority w:val="99"/>
    <w:unhideWhenUsed/>
    <w:rsid w:val="00240AD1"/>
    <w:pPr>
      <w:tabs>
        <w:tab w:val="num" w:pos="720"/>
      </w:tabs>
      <w:ind w:left="720" w:hanging="720"/>
      <w:contextualSpacing/>
    </w:p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C54TCZyOzODLYXcBsVr1sQog==">CgMxLjAyCWguM3JkY3JqbjIOaC5kYWozajJ4bzZxNjYyCGguZ2pkZ3hzMgloLjNkeTZ2a20yCWguMzBqMHpsbDIJaC4yczhleW8xMghoLnR5amN3dDIJaC4zem55c2g3MgloLjJldDkycDAyCWguMjZpbjFyZzIJaC4zNW5rdW4yMgloLjFrc3Y0dXYyCWguMXQzaDVzZjIJaC4xZm9iOXRlMg5oLm90M3FxNnZ4YTA4ZjIIaC5sbnhiejk4AHIhMVBnVmZXdUdTN1JVQ0Z0VkF1Mks5RnZucnlvRUs1Sm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11410</Words>
  <Characters>62758</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2025-05-16T19:58:00Z</cp:lastPrinted>
  <dcterms:created xsi:type="dcterms:W3CDTF">2025-06-03T19:56:00Z</dcterms:created>
  <dcterms:modified xsi:type="dcterms:W3CDTF">2025-06-03T19:56:00Z</dcterms:modified>
</cp:coreProperties>
</file>