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26C8" w14:textId="7843D660"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3D3056">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w:t>
      </w:r>
      <w:r w:rsidR="002065FE" w:rsidRPr="003D3056">
        <w:rPr>
          <w:rFonts w:ascii="Palatino Linotype" w:eastAsia="Palatino Linotype" w:hAnsi="Palatino Linotype" w:cs="Palatino Linotype"/>
          <w:sz w:val="22"/>
          <w:szCs w:val="22"/>
        </w:rPr>
        <w:t xml:space="preserve">n Metepec, Estado de México, a </w:t>
      </w:r>
      <w:r w:rsidR="00F94283" w:rsidRPr="003D3056">
        <w:rPr>
          <w:rFonts w:ascii="Palatino Linotype" w:eastAsia="Palatino Linotype" w:hAnsi="Palatino Linotype" w:cs="Palatino Linotype"/>
          <w:sz w:val="22"/>
          <w:szCs w:val="22"/>
        </w:rPr>
        <w:t xml:space="preserve">trece de </w:t>
      </w:r>
      <w:r w:rsidR="003D3056" w:rsidRPr="003D3056">
        <w:rPr>
          <w:rFonts w:ascii="Palatino Linotype" w:eastAsia="Palatino Linotype" w:hAnsi="Palatino Linotype" w:cs="Palatino Linotype"/>
          <w:sz w:val="22"/>
          <w:szCs w:val="22"/>
        </w:rPr>
        <w:t>agosto</w:t>
      </w:r>
      <w:r w:rsidRPr="003D3056">
        <w:rPr>
          <w:rFonts w:ascii="Palatino Linotype" w:eastAsia="Palatino Linotype" w:hAnsi="Palatino Linotype" w:cs="Palatino Linotype"/>
          <w:sz w:val="22"/>
          <w:szCs w:val="22"/>
        </w:rPr>
        <w:t xml:space="preserve"> de dos mil veinticinco. </w:t>
      </w:r>
    </w:p>
    <w:p w14:paraId="095885E6" w14:textId="2EC02F7E" w:rsidR="00BB1403" w:rsidRPr="003D3056" w:rsidRDefault="003A56BC" w:rsidP="00AD6C1C">
      <w:pPr>
        <w:tabs>
          <w:tab w:val="left" w:pos="5812"/>
        </w:tabs>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VISTO</w:t>
      </w:r>
      <w:r w:rsidRPr="003D3056">
        <w:rPr>
          <w:rFonts w:ascii="Palatino Linotype" w:eastAsia="Palatino Linotype" w:hAnsi="Palatino Linotype" w:cs="Palatino Linotype"/>
          <w:sz w:val="22"/>
          <w:szCs w:val="22"/>
        </w:rPr>
        <w:t xml:space="preserve"> el expediente formado con motivo del recurso de revisión </w:t>
      </w:r>
      <w:r w:rsidR="00F94283" w:rsidRPr="003D3056">
        <w:rPr>
          <w:rFonts w:ascii="Palatino Linotype" w:eastAsia="Palatino Linotype" w:hAnsi="Palatino Linotype" w:cs="Palatino Linotype"/>
          <w:b/>
          <w:sz w:val="22"/>
          <w:szCs w:val="22"/>
        </w:rPr>
        <w:t>05394</w:t>
      </w:r>
      <w:r w:rsidR="00466B7B" w:rsidRPr="003D3056">
        <w:rPr>
          <w:rFonts w:ascii="Palatino Linotype" w:eastAsia="Palatino Linotype" w:hAnsi="Palatino Linotype" w:cs="Palatino Linotype"/>
          <w:b/>
          <w:sz w:val="22"/>
          <w:szCs w:val="22"/>
        </w:rPr>
        <w:t>/INFOEM/IP/RR/2025</w:t>
      </w:r>
      <w:r w:rsidRPr="003D3056">
        <w:rPr>
          <w:rFonts w:ascii="Palatino Linotype" w:eastAsia="Palatino Linotype" w:hAnsi="Palatino Linotype" w:cs="Palatino Linotype"/>
          <w:sz w:val="22"/>
          <w:szCs w:val="22"/>
        </w:rPr>
        <w:t xml:space="preserve">, interpuesto por </w:t>
      </w:r>
      <w:r w:rsidR="00466B7B" w:rsidRPr="003D3056">
        <w:rPr>
          <w:rFonts w:ascii="Palatino Linotype" w:eastAsia="Palatino Linotype" w:hAnsi="Palatino Linotype" w:cs="Palatino Linotype"/>
          <w:b/>
          <w:sz w:val="22"/>
          <w:szCs w:val="22"/>
        </w:rPr>
        <w:t>una persona que no proporcionó nombre o seudónimo,</w:t>
      </w:r>
      <w:r w:rsidRPr="003D3056">
        <w:rPr>
          <w:rFonts w:ascii="Palatino Linotype" w:eastAsia="Palatino Linotype" w:hAnsi="Palatino Linotype" w:cs="Palatino Linotype"/>
          <w:sz w:val="22"/>
          <w:szCs w:val="22"/>
        </w:rPr>
        <w:t xml:space="preserve"> en lo sucesivo</w:t>
      </w:r>
      <w:r w:rsidRPr="003D3056">
        <w:rPr>
          <w:rFonts w:ascii="Palatino Linotype" w:eastAsia="Palatino Linotype" w:hAnsi="Palatino Linotype" w:cs="Palatino Linotype"/>
          <w:b/>
          <w:sz w:val="22"/>
          <w:szCs w:val="22"/>
        </w:rPr>
        <w:t xml:space="preserve"> </w:t>
      </w:r>
      <w:r w:rsidRPr="003D3056">
        <w:rPr>
          <w:rFonts w:ascii="Palatino Linotype" w:eastAsia="Palatino Linotype" w:hAnsi="Palatino Linotype" w:cs="Palatino Linotype"/>
          <w:sz w:val="22"/>
          <w:szCs w:val="22"/>
        </w:rPr>
        <w:t xml:space="preserve">la parte </w:t>
      </w:r>
      <w:r w:rsidRPr="003D3056">
        <w:rPr>
          <w:rFonts w:ascii="Palatino Linotype" w:eastAsia="Palatino Linotype" w:hAnsi="Palatino Linotype" w:cs="Palatino Linotype"/>
          <w:b/>
          <w:sz w:val="22"/>
          <w:szCs w:val="22"/>
        </w:rPr>
        <w:t>Recurrente,</w:t>
      </w:r>
      <w:r w:rsidRPr="003D3056">
        <w:rPr>
          <w:rFonts w:ascii="Palatino Linotype" w:eastAsia="Palatino Linotype" w:hAnsi="Palatino Linotype" w:cs="Palatino Linotype"/>
          <w:sz w:val="22"/>
          <w:szCs w:val="22"/>
        </w:rPr>
        <w:t xml:space="preserve"> en contra de la respuesta a la solicitud de información con número de folio</w:t>
      </w:r>
      <w:r w:rsidRPr="003D3056">
        <w:rPr>
          <w:rFonts w:ascii="Palatino Linotype" w:eastAsia="Palatino Linotype" w:hAnsi="Palatino Linotype" w:cs="Palatino Linotype"/>
          <w:b/>
          <w:sz w:val="22"/>
          <w:szCs w:val="22"/>
        </w:rPr>
        <w:t xml:space="preserve"> </w:t>
      </w:r>
      <w:r w:rsidR="00F94283" w:rsidRPr="003D3056">
        <w:rPr>
          <w:rFonts w:ascii="Palatino Linotype" w:eastAsia="Palatino Linotype" w:hAnsi="Palatino Linotype" w:cs="Palatino Linotype"/>
          <w:b/>
          <w:sz w:val="22"/>
          <w:szCs w:val="22"/>
        </w:rPr>
        <w:t>01719/TOLUCA/IP/2025</w:t>
      </w:r>
      <w:r w:rsidRPr="003D3056">
        <w:rPr>
          <w:rFonts w:ascii="Palatino Linotype" w:eastAsia="Palatino Linotype" w:hAnsi="Palatino Linotype" w:cs="Palatino Linotype"/>
          <w:b/>
          <w:sz w:val="22"/>
          <w:szCs w:val="22"/>
        </w:rPr>
        <w:t xml:space="preserve">, </w:t>
      </w:r>
      <w:r w:rsidRPr="003D3056">
        <w:rPr>
          <w:rFonts w:ascii="Palatino Linotype" w:eastAsia="Palatino Linotype" w:hAnsi="Palatino Linotype" w:cs="Palatino Linotype"/>
          <w:sz w:val="22"/>
          <w:szCs w:val="22"/>
        </w:rPr>
        <w:t xml:space="preserve">por parte del </w:t>
      </w:r>
      <w:r w:rsidR="00466B7B" w:rsidRPr="003D3056">
        <w:rPr>
          <w:rFonts w:ascii="Palatino Linotype" w:eastAsia="Palatino Linotype" w:hAnsi="Palatino Linotype" w:cs="Palatino Linotype"/>
          <w:b/>
          <w:sz w:val="22"/>
          <w:szCs w:val="22"/>
        </w:rPr>
        <w:t>Ayuntamiento de Toluca</w:t>
      </w:r>
      <w:r w:rsidRPr="003D3056">
        <w:rPr>
          <w:rFonts w:ascii="Palatino Linotype" w:eastAsia="Palatino Linotype" w:hAnsi="Palatino Linotype" w:cs="Palatino Linotype"/>
          <w:b/>
          <w:sz w:val="22"/>
          <w:szCs w:val="22"/>
        </w:rPr>
        <w:t xml:space="preserve">, </w:t>
      </w:r>
      <w:r w:rsidRPr="003D3056">
        <w:rPr>
          <w:rFonts w:ascii="Palatino Linotype" w:eastAsia="Palatino Linotype" w:hAnsi="Palatino Linotype" w:cs="Palatino Linotype"/>
          <w:sz w:val="22"/>
          <w:szCs w:val="22"/>
        </w:rPr>
        <w:t xml:space="preserve">en lo sucesivo el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 xml:space="preserve">se procede a dictar la presente resolución con base en los siguientes: </w:t>
      </w:r>
    </w:p>
    <w:p w14:paraId="241587B9" w14:textId="77777777" w:rsidR="00BB1403" w:rsidRPr="003D3056" w:rsidRDefault="003A56BC" w:rsidP="00AD6C1C">
      <w:pPr>
        <w:spacing w:before="240" w:after="240" w:line="360" w:lineRule="auto"/>
        <w:jc w:val="center"/>
        <w:rPr>
          <w:rFonts w:ascii="Palatino Linotype" w:eastAsia="Palatino Linotype" w:hAnsi="Palatino Linotype" w:cs="Palatino Linotype"/>
          <w:b/>
          <w:sz w:val="22"/>
          <w:szCs w:val="22"/>
        </w:rPr>
      </w:pPr>
      <w:r w:rsidRPr="003D3056">
        <w:rPr>
          <w:rFonts w:ascii="Palatino Linotype" w:eastAsia="Palatino Linotype" w:hAnsi="Palatino Linotype" w:cs="Palatino Linotype"/>
          <w:b/>
          <w:sz w:val="22"/>
          <w:szCs w:val="22"/>
        </w:rPr>
        <w:t>I. A N T E C E D E N T E S</w:t>
      </w:r>
    </w:p>
    <w:p w14:paraId="69047C67" w14:textId="758BA12B"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3D3056">
        <w:rPr>
          <w:rFonts w:ascii="Palatino Linotype" w:eastAsia="Palatino Linotype" w:hAnsi="Palatino Linotype" w:cs="Palatino Linotype"/>
          <w:b/>
          <w:sz w:val="22"/>
          <w:szCs w:val="22"/>
        </w:rPr>
        <w:t>1. Solicitud de acceso a la información.</w:t>
      </w:r>
      <w:r w:rsidRPr="003D3056">
        <w:rPr>
          <w:rFonts w:ascii="Palatino Linotype" w:eastAsia="Palatino Linotype" w:hAnsi="Palatino Linotype" w:cs="Palatino Linotype"/>
          <w:sz w:val="22"/>
          <w:szCs w:val="22"/>
        </w:rPr>
        <w:t xml:space="preserve"> El </w:t>
      </w:r>
      <w:r w:rsidR="00F94283" w:rsidRPr="003D3056">
        <w:rPr>
          <w:rFonts w:ascii="Palatino Linotype" w:eastAsia="Palatino Linotype" w:hAnsi="Palatino Linotype" w:cs="Palatino Linotype"/>
          <w:b/>
          <w:sz w:val="22"/>
          <w:szCs w:val="22"/>
        </w:rPr>
        <w:t>veinte de marzo</w:t>
      </w:r>
      <w:r w:rsidRPr="003D3056">
        <w:rPr>
          <w:rFonts w:ascii="Palatino Linotype" w:eastAsia="Palatino Linotype" w:hAnsi="Palatino Linotype" w:cs="Palatino Linotype"/>
          <w:b/>
          <w:sz w:val="22"/>
          <w:szCs w:val="22"/>
        </w:rPr>
        <w:t xml:space="preserve"> de dos mil veinticinco,</w:t>
      </w:r>
      <w:r w:rsidRPr="003D3056">
        <w:rPr>
          <w:rFonts w:ascii="Palatino Linotype" w:eastAsia="Palatino Linotype" w:hAnsi="Palatino Linotype" w:cs="Palatino Linotype"/>
          <w:sz w:val="22"/>
          <w:szCs w:val="22"/>
        </w:rPr>
        <w:t xml:space="preserve"> la parte </w:t>
      </w:r>
      <w:r w:rsidRPr="003D3056">
        <w:rPr>
          <w:rFonts w:ascii="Palatino Linotype" w:eastAsia="Palatino Linotype" w:hAnsi="Palatino Linotype" w:cs="Palatino Linotype"/>
          <w:b/>
          <w:sz w:val="22"/>
          <w:szCs w:val="22"/>
        </w:rPr>
        <w:t xml:space="preserve">Recurrente </w:t>
      </w:r>
      <w:r w:rsidRPr="003D3056">
        <w:rPr>
          <w:rFonts w:ascii="Palatino Linotype" w:eastAsia="Palatino Linotype" w:hAnsi="Palatino Linotype" w:cs="Palatino Linotype"/>
          <w:sz w:val="22"/>
          <w:szCs w:val="22"/>
        </w:rPr>
        <w:t xml:space="preserve">presentó, a través del Sistema de Acceso a la Información Mexiquense, en lo subsecuente el </w:t>
      </w:r>
      <w:r w:rsidRPr="003D3056">
        <w:rPr>
          <w:rFonts w:ascii="Palatino Linotype" w:eastAsia="Palatino Linotype" w:hAnsi="Palatino Linotype" w:cs="Palatino Linotype"/>
          <w:b/>
          <w:sz w:val="22"/>
          <w:szCs w:val="22"/>
        </w:rPr>
        <w:t>SAIMEX,</w:t>
      </w:r>
      <w:r w:rsidRPr="003D3056">
        <w:rPr>
          <w:rFonts w:ascii="Palatino Linotype" w:eastAsia="Palatino Linotype" w:hAnsi="Palatino Linotype" w:cs="Palatino Linotype"/>
          <w:sz w:val="22"/>
          <w:szCs w:val="22"/>
        </w:rPr>
        <w:t xml:space="preserve"> ante 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6C255E19" w14:textId="24ABDE8C" w:rsidR="00BB1403" w:rsidRPr="003D3056" w:rsidRDefault="003A56BC" w:rsidP="00AD6C1C">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3D3056">
        <w:rPr>
          <w:rFonts w:ascii="Palatino Linotype" w:eastAsia="Palatino Linotype" w:hAnsi="Palatino Linotype" w:cs="Palatino Linotype"/>
          <w:i/>
          <w:sz w:val="22"/>
          <w:szCs w:val="22"/>
        </w:rPr>
        <w:t xml:space="preserve"> “</w:t>
      </w:r>
      <w:r w:rsidR="00F94283" w:rsidRPr="003D3056">
        <w:rPr>
          <w:rFonts w:ascii="Palatino Linotype" w:eastAsia="Palatino Linotype" w:hAnsi="Palatino Linotype" w:cs="Palatino Linotype"/>
          <w:i/>
          <w:sz w:val="22"/>
          <w:szCs w:val="22"/>
        </w:rPr>
        <w:t>Informe de cumplimiento a la recomendación 04/</w:t>
      </w:r>
      <w:r w:rsidR="00F94283" w:rsidRPr="003D3056">
        <w:rPr>
          <w:rFonts w:ascii="Palatino Linotype" w:eastAsia="Palatino Linotype" w:hAnsi="Palatino Linotype" w:cs="Palatino Linotype"/>
          <w:b/>
          <w:i/>
          <w:sz w:val="22"/>
          <w:szCs w:val="22"/>
          <w:u w:val="single"/>
        </w:rPr>
        <w:t>2004</w:t>
      </w:r>
      <w:r w:rsidR="00466B7B" w:rsidRPr="003D3056">
        <w:rPr>
          <w:rFonts w:ascii="Palatino Linotype" w:eastAsia="Palatino Linotype" w:hAnsi="Palatino Linotype" w:cs="Palatino Linotype"/>
          <w:b/>
          <w:i/>
          <w:sz w:val="22"/>
          <w:szCs w:val="22"/>
          <w:u w:val="single"/>
        </w:rPr>
        <w:t>.</w:t>
      </w:r>
      <w:r w:rsidRPr="003D3056">
        <w:rPr>
          <w:rFonts w:ascii="Palatino Linotype" w:eastAsia="Palatino Linotype" w:hAnsi="Palatino Linotype" w:cs="Palatino Linotype"/>
          <w:b/>
          <w:i/>
          <w:sz w:val="22"/>
          <w:szCs w:val="22"/>
          <w:u w:val="single"/>
        </w:rPr>
        <w:t>”</w:t>
      </w:r>
      <w:r w:rsidRPr="003D3056">
        <w:rPr>
          <w:rFonts w:ascii="Palatino Linotype" w:eastAsia="Palatino Linotype" w:hAnsi="Palatino Linotype" w:cs="Palatino Linotype"/>
          <w:i/>
          <w:sz w:val="22"/>
          <w:szCs w:val="22"/>
        </w:rPr>
        <w:t xml:space="preserve"> (sic) </w:t>
      </w:r>
    </w:p>
    <w:p w14:paraId="7097C763"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3D3056">
        <w:rPr>
          <w:rFonts w:ascii="Palatino Linotype" w:eastAsia="Palatino Linotype" w:hAnsi="Palatino Linotype" w:cs="Palatino Linotype"/>
          <w:b/>
          <w:sz w:val="22"/>
          <w:szCs w:val="22"/>
        </w:rPr>
        <w:t>Modalidad de Entrega:</w:t>
      </w:r>
      <w:r w:rsidRPr="003D3056">
        <w:rPr>
          <w:rFonts w:ascii="Palatino Linotype" w:eastAsia="Palatino Linotype" w:hAnsi="Palatino Linotype" w:cs="Palatino Linotype"/>
          <w:sz w:val="22"/>
          <w:szCs w:val="22"/>
        </w:rPr>
        <w:t xml:space="preserve"> a través del</w:t>
      </w:r>
      <w:r w:rsidRPr="003D3056">
        <w:rPr>
          <w:rFonts w:ascii="Palatino Linotype" w:eastAsia="Palatino Linotype" w:hAnsi="Palatino Linotype" w:cs="Palatino Linotype"/>
          <w:b/>
          <w:sz w:val="22"/>
          <w:szCs w:val="22"/>
        </w:rPr>
        <w:t xml:space="preserve"> SAIMEX.</w:t>
      </w:r>
    </w:p>
    <w:p w14:paraId="09C906CC" w14:textId="75EC9FAA"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 xml:space="preserve">2. Respuesta. </w:t>
      </w:r>
      <w:r w:rsidRPr="003D3056">
        <w:rPr>
          <w:rFonts w:ascii="Palatino Linotype" w:eastAsia="Palatino Linotype" w:hAnsi="Palatino Linotype" w:cs="Palatino Linotype"/>
          <w:sz w:val="22"/>
          <w:szCs w:val="22"/>
        </w:rPr>
        <w:t xml:space="preserve">El </w:t>
      </w:r>
      <w:r w:rsidR="00F94283" w:rsidRPr="003D3056">
        <w:rPr>
          <w:rFonts w:ascii="Palatino Linotype" w:eastAsia="Palatino Linotype" w:hAnsi="Palatino Linotype" w:cs="Palatino Linotype"/>
          <w:b/>
          <w:sz w:val="22"/>
          <w:szCs w:val="22"/>
        </w:rPr>
        <w:t>diez de abril</w:t>
      </w:r>
      <w:r w:rsidRPr="003D3056">
        <w:rPr>
          <w:rFonts w:ascii="Palatino Linotype" w:eastAsia="Palatino Linotype" w:hAnsi="Palatino Linotype" w:cs="Palatino Linotype"/>
          <w:b/>
          <w:sz w:val="22"/>
          <w:szCs w:val="22"/>
        </w:rPr>
        <w:t xml:space="preserve"> de dos mil veinticinco,</w:t>
      </w:r>
      <w:r w:rsidRPr="003D3056">
        <w:rPr>
          <w:rFonts w:ascii="Palatino Linotype" w:eastAsia="Palatino Linotype" w:hAnsi="Palatino Linotype" w:cs="Palatino Linotype"/>
          <w:sz w:val="22"/>
          <w:szCs w:val="22"/>
        </w:rPr>
        <w:t xml:space="preserve"> el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0166DE5" w14:textId="5E938670"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00F94283" w:rsidRPr="003D3056">
        <w:rPr>
          <w:rFonts w:ascii="Palatino Linotype" w:eastAsia="Palatino Linotype" w:hAnsi="Palatino Linotype" w:cs="Palatino Linotype"/>
          <w:i/>
          <w:sz w:val="22"/>
          <w:szCs w:val="22"/>
        </w:rPr>
        <w:t>En atención a la solicitud con folio 01719/TOLUCA/IP/2025, me permito adjuntar al presente la respuesta correspondiente DE LA DEFENSORÍA MUNICIPAL DE DERECHOS HUMANOS, CONSEJERÍA JURÍDICA, Sin más por el momento, reciba un saludo.</w:t>
      </w:r>
      <w:r w:rsidR="00192AB3"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i/>
          <w:sz w:val="22"/>
          <w:szCs w:val="22"/>
        </w:rPr>
        <w:t>...” (sic)</w:t>
      </w:r>
    </w:p>
    <w:p w14:paraId="34ED1572" w14:textId="77777777" w:rsidR="00F94283" w:rsidRPr="003D3056" w:rsidRDefault="003A56BC"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lastRenderedPageBreak/>
        <w:t xml:space="preserve">El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adjuntó</w:t>
      </w:r>
      <w:r w:rsidR="00192AB3" w:rsidRPr="003D3056">
        <w:rPr>
          <w:rFonts w:ascii="Palatino Linotype" w:eastAsia="Palatino Linotype" w:hAnsi="Palatino Linotype" w:cs="Palatino Linotype"/>
          <w:sz w:val="22"/>
          <w:szCs w:val="22"/>
        </w:rPr>
        <w:t xml:space="preserve"> </w:t>
      </w:r>
      <w:r w:rsidR="00F94283" w:rsidRPr="003D3056">
        <w:rPr>
          <w:rFonts w:ascii="Palatino Linotype" w:eastAsia="Palatino Linotype" w:hAnsi="Palatino Linotype" w:cs="Palatino Linotype"/>
          <w:sz w:val="22"/>
          <w:szCs w:val="22"/>
        </w:rPr>
        <w:t xml:space="preserve">a su respuesta los siguientes archivos electrónicos: </w:t>
      </w:r>
    </w:p>
    <w:p w14:paraId="11BE56AB" w14:textId="7E61A16C" w:rsidR="00F94283" w:rsidRPr="003D3056" w:rsidRDefault="00F94283"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i/>
          <w:sz w:val="22"/>
          <w:szCs w:val="22"/>
        </w:rPr>
        <w:t xml:space="preserve">Respuesta solicitud 01719-TOLUCA-IP-2025.pdf: </w:t>
      </w:r>
      <w:r w:rsidRPr="003D3056">
        <w:rPr>
          <w:rFonts w:ascii="Palatino Linotype" w:eastAsia="Palatino Linotype" w:hAnsi="Palatino Linotype" w:cs="Palatino Linotype"/>
          <w:sz w:val="22"/>
          <w:szCs w:val="22"/>
        </w:rPr>
        <w:t xml:space="preserve">Oficio número 200E00000/049/2025, de fecha ocho de abril de dos mil veinticinco, signado por la Defensora Municipal del Derechos Humanos, </w:t>
      </w:r>
      <w:r w:rsidR="00B24EDF" w:rsidRPr="003D3056">
        <w:rPr>
          <w:rFonts w:ascii="Palatino Linotype" w:eastAsia="Palatino Linotype" w:hAnsi="Palatino Linotype" w:cs="Palatino Linotype"/>
          <w:sz w:val="22"/>
          <w:szCs w:val="22"/>
        </w:rPr>
        <w:t>mediante</w:t>
      </w:r>
      <w:r w:rsidRPr="003D3056">
        <w:rPr>
          <w:rFonts w:ascii="Palatino Linotype" w:eastAsia="Palatino Linotype" w:hAnsi="Palatino Linotype" w:cs="Palatino Linotype"/>
          <w:sz w:val="22"/>
          <w:szCs w:val="22"/>
        </w:rPr>
        <w:t xml:space="preserve"> el cual señala que </w:t>
      </w:r>
      <w:r w:rsidR="00B24EDF" w:rsidRPr="003D3056">
        <w:rPr>
          <w:rFonts w:ascii="Palatino Linotype" w:eastAsia="Palatino Linotype" w:hAnsi="Palatino Linotype" w:cs="Palatino Linotype"/>
          <w:sz w:val="22"/>
          <w:szCs w:val="22"/>
        </w:rPr>
        <w:t>después</w:t>
      </w:r>
      <w:r w:rsidRPr="003D3056">
        <w:rPr>
          <w:rFonts w:ascii="Palatino Linotype" w:eastAsia="Palatino Linotype" w:hAnsi="Palatino Linotype" w:cs="Palatino Linotype"/>
          <w:sz w:val="22"/>
          <w:szCs w:val="22"/>
        </w:rPr>
        <w:t xml:space="preserve"> de una exhaustiva y minuciosa búsqueda, dentro de sus archivos, </w:t>
      </w:r>
      <w:r w:rsidRPr="003D3056">
        <w:rPr>
          <w:rFonts w:ascii="Palatino Linotype" w:eastAsia="Palatino Linotype" w:hAnsi="Palatino Linotype" w:cs="Palatino Linotype"/>
          <w:b/>
          <w:sz w:val="22"/>
          <w:szCs w:val="22"/>
          <w:u w:val="single"/>
        </w:rPr>
        <w:t>en el per</w:t>
      </w:r>
      <w:r w:rsidR="00B24EDF" w:rsidRPr="003D3056">
        <w:rPr>
          <w:rFonts w:ascii="Palatino Linotype" w:eastAsia="Palatino Linotype" w:hAnsi="Palatino Linotype" w:cs="Palatino Linotype"/>
          <w:b/>
          <w:sz w:val="22"/>
          <w:szCs w:val="22"/>
          <w:u w:val="single"/>
        </w:rPr>
        <w:t xml:space="preserve">iodo </w:t>
      </w:r>
      <w:r w:rsidRPr="003D3056">
        <w:rPr>
          <w:rFonts w:ascii="Palatino Linotype" w:eastAsia="Palatino Linotype" w:hAnsi="Palatino Linotype" w:cs="Palatino Linotype"/>
          <w:b/>
          <w:sz w:val="22"/>
          <w:szCs w:val="22"/>
          <w:u w:val="single"/>
        </w:rPr>
        <w:t xml:space="preserve">comprendido del veintiuno de marzo de dos mil </w:t>
      </w:r>
      <w:r w:rsidR="00B24EDF" w:rsidRPr="003D3056">
        <w:rPr>
          <w:rFonts w:ascii="Palatino Linotype" w:eastAsia="Palatino Linotype" w:hAnsi="Palatino Linotype" w:cs="Palatino Linotype"/>
          <w:b/>
          <w:sz w:val="22"/>
          <w:szCs w:val="22"/>
          <w:u w:val="single"/>
        </w:rPr>
        <w:t>veinticuatro</w:t>
      </w:r>
      <w:r w:rsidRPr="003D3056">
        <w:rPr>
          <w:rFonts w:ascii="Palatino Linotype" w:eastAsia="Palatino Linotype" w:hAnsi="Palatino Linotype" w:cs="Palatino Linotype"/>
          <w:b/>
          <w:sz w:val="22"/>
          <w:szCs w:val="22"/>
          <w:u w:val="single"/>
        </w:rPr>
        <w:t xml:space="preserve"> al veintiuno de marzo de dos mil veinticinco</w:t>
      </w:r>
      <w:r w:rsidRPr="003D3056">
        <w:rPr>
          <w:rFonts w:ascii="Palatino Linotype" w:eastAsia="Palatino Linotype" w:hAnsi="Palatino Linotype" w:cs="Palatino Linotype"/>
          <w:sz w:val="22"/>
          <w:szCs w:val="22"/>
        </w:rPr>
        <w:t xml:space="preserve">, no se localizó archivo o documento denominado “Informe de cumplimiento a la recomendación </w:t>
      </w:r>
      <w:r w:rsidR="00B24EDF" w:rsidRPr="003D3056">
        <w:rPr>
          <w:rFonts w:ascii="Palatino Linotype" w:eastAsia="Palatino Linotype" w:hAnsi="Palatino Linotype" w:cs="Palatino Linotype"/>
          <w:sz w:val="22"/>
          <w:szCs w:val="22"/>
        </w:rPr>
        <w:t xml:space="preserve">04/2004”, por lo que se encuentra material y jurídicamente imposibilitada a brindar la información solicitada. </w:t>
      </w:r>
    </w:p>
    <w:p w14:paraId="05C66243" w14:textId="4939CED7" w:rsidR="00F94283" w:rsidRPr="003D3056" w:rsidRDefault="00B24EDF"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i/>
          <w:sz w:val="22"/>
          <w:szCs w:val="22"/>
        </w:rPr>
        <w:t>R. 01719. 2025.pdf. E</w:t>
      </w:r>
      <w:r w:rsidR="00192AB3" w:rsidRPr="003D3056">
        <w:rPr>
          <w:rFonts w:ascii="Palatino Linotype" w:eastAsia="Palatino Linotype" w:hAnsi="Palatino Linotype" w:cs="Palatino Linotype"/>
          <w:sz w:val="22"/>
          <w:szCs w:val="22"/>
        </w:rPr>
        <w:t xml:space="preserve">l escrito del </w:t>
      </w:r>
      <w:r w:rsidRPr="003D3056">
        <w:rPr>
          <w:rFonts w:ascii="Palatino Linotype" w:eastAsia="Palatino Linotype" w:hAnsi="Palatino Linotype" w:cs="Palatino Linotype"/>
          <w:b/>
          <w:sz w:val="22"/>
          <w:szCs w:val="22"/>
        </w:rPr>
        <w:t>diez de abril</w:t>
      </w:r>
      <w:r w:rsidR="00192AB3" w:rsidRPr="003D3056">
        <w:rPr>
          <w:rFonts w:ascii="Palatino Linotype" w:eastAsia="Palatino Linotype" w:hAnsi="Palatino Linotype" w:cs="Palatino Linotype"/>
          <w:b/>
          <w:sz w:val="22"/>
          <w:szCs w:val="22"/>
        </w:rPr>
        <w:t xml:space="preserve"> de dos mil veinticinco</w:t>
      </w:r>
      <w:r w:rsidR="00192AB3" w:rsidRPr="003D3056">
        <w:rPr>
          <w:rFonts w:ascii="Palatino Linotype" w:eastAsia="Palatino Linotype" w:hAnsi="Palatino Linotype" w:cs="Palatino Linotype"/>
          <w:sz w:val="22"/>
          <w:szCs w:val="22"/>
        </w:rPr>
        <w:t xml:space="preserve">, </w:t>
      </w:r>
      <w:r w:rsidR="00AF43CB" w:rsidRPr="003D3056">
        <w:rPr>
          <w:rFonts w:ascii="Palatino Linotype" w:eastAsia="Palatino Linotype" w:hAnsi="Palatino Linotype" w:cs="Palatino Linotype"/>
          <w:sz w:val="22"/>
          <w:szCs w:val="22"/>
        </w:rPr>
        <w:t xml:space="preserve">mediante el cual el Titular de la Unidad de Transparencia hizo del conocimiento de la persona solicitante, que </w:t>
      </w:r>
      <w:r w:rsidR="00AF43CB" w:rsidRPr="003D3056">
        <w:rPr>
          <w:rFonts w:ascii="Palatino Linotype" w:hAnsi="Palatino Linotype"/>
          <w:sz w:val="22"/>
          <w:szCs w:val="22"/>
        </w:rPr>
        <w:t xml:space="preserve">la </w:t>
      </w:r>
      <w:r w:rsidR="00EF5BB8" w:rsidRPr="003D3056">
        <w:rPr>
          <w:rFonts w:ascii="Palatino Linotype" w:hAnsi="Palatino Linotype"/>
          <w:sz w:val="22"/>
          <w:szCs w:val="22"/>
        </w:rPr>
        <w:t xml:space="preserve">servidora pública habilitada </w:t>
      </w:r>
      <w:r w:rsidRPr="003D3056">
        <w:rPr>
          <w:rFonts w:ascii="Palatino Linotype" w:hAnsi="Palatino Linotype"/>
          <w:sz w:val="22"/>
          <w:szCs w:val="22"/>
        </w:rPr>
        <w:t>de la Secretaría del Ayuntamiento, informó q</w:t>
      </w:r>
      <w:r w:rsidRPr="003D3056">
        <w:rPr>
          <w:rFonts w:ascii="Palatino Linotype" w:eastAsia="Palatino Linotype" w:hAnsi="Palatino Linotype" w:cs="Palatino Linotype"/>
          <w:sz w:val="22"/>
          <w:szCs w:val="22"/>
        </w:rPr>
        <w:t xml:space="preserve">ue derivado de la información requerida, es de informar que se realizó una búsqueda en los archivos con los que se cuentan, pero no de encontró documento alguno que dé cuenta de los solicitado, además informa que se cuenta con una instancia especializada en derechos humanos, siendo esta la defensoría municipal de derechos humanos, por lo que sugiere solicitar la información ante tal instancia. </w:t>
      </w:r>
    </w:p>
    <w:p w14:paraId="68CD9BF5" w14:textId="7204D8CC" w:rsidR="00BB1403" w:rsidRPr="003D3056" w:rsidRDefault="003A56BC"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 xml:space="preserve">3. Interposición del recurso de revisión. </w:t>
      </w:r>
      <w:r w:rsidRPr="003D3056">
        <w:rPr>
          <w:rFonts w:ascii="Palatino Linotype" w:eastAsia="Palatino Linotype" w:hAnsi="Palatino Linotype" w:cs="Palatino Linotype"/>
          <w:sz w:val="22"/>
          <w:szCs w:val="22"/>
        </w:rPr>
        <w:t xml:space="preserve">Inconforme con los términos de la respuesta emitida por parte del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xml:space="preserve">, el </w:t>
      </w:r>
      <w:r w:rsidR="00B24EDF" w:rsidRPr="003D3056">
        <w:rPr>
          <w:rFonts w:ascii="Palatino Linotype" w:eastAsia="Palatino Linotype" w:hAnsi="Palatino Linotype" w:cs="Palatino Linotype"/>
          <w:b/>
          <w:sz w:val="22"/>
          <w:szCs w:val="22"/>
        </w:rPr>
        <w:t>doce de mayo</w:t>
      </w:r>
      <w:r w:rsidRPr="003D3056">
        <w:rPr>
          <w:rFonts w:ascii="Palatino Linotype" w:eastAsia="Palatino Linotype" w:hAnsi="Palatino Linotype" w:cs="Palatino Linotype"/>
          <w:b/>
          <w:sz w:val="22"/>
          <w:szCs w:val="22"/>
        </w:rPr>
        <w:t xml:space="preserve"> de dos mil veinticinco, </w:t>
      </w:r>
      <w:r w:rsidRPr="003D3056">
        <w:rPr>
          <w:rFonts w:ascii="Palatino Linotype" w:eastAsia="Palatino Linotype" w:hAnsi="Palatino Linotype" w:cs="Palatino Linotype"/>
          <w:sz w:val="22"/>
          <w:szCs w:val="22"/>
        </w:rPr>
        <w:t xml:space="preserve">la parte </w:t>
      </w:r>
      <w:r w:rsidRPr="003D3056">
        <w:rPr>
          <w:rFonts w:ascii="Palatino Linotype" w:eastAsia="Palatino Linotype" w:hAnsi="Palatino Linotype" w:cs="Palatino Linotype"/>
          <w:b/>
          <w:sz w:val="22"/>
          <w:szCs w:val="22"/>
        </w:rPr>
        <w:t>Recurrente</w:t>
      </w:r>
      <w:r w:rsidRPr="003D3056">
        <w:rPr>
          <w:rFonts w:ascii="Palatino Linotype" w:eastAsia="Palatino Linotype" w:hAnsi="Palatino Linotype" w:cs="Palatino Linotype"/>
          <w:sz w:val="22"/>
          <w:szCs w:val="22"/>
        </w:rPr>
        <w:t xml:space="preserve"> interpuso el recurso de revisión a través de </w:t>
      </w:r>
      <w:r w:rsidRPr="003D3056">
        <w:rPr>
          <w:rFonts w:ascii="Palatino Linotype" w:eastAsia="Palatino Linotype" w:hAnsi="Palatino Linotype" w:cs="Palatino Linotype"/>
          <w:b/>
          <w:sz w:val="22"/>
          <w:szCs w:val="22"/>
        </w:rPr>
        <w:t xml:space="preserve">SAIMEX, </w:t>
      </w:r>
      <w:r w:rsidRPr="003D3056">
        <w:rPr>
          <w:rFonts w:ascii="Palatino Linotype" w:eastAsia="Palatino Linotype" w:hAnsi="Palatino Linotype" w:cs="Palatino Linotype"/>
          <w:sz w:val="22"/>
          <w:szCs w:val="22"/>
        </w:rPr>
        <w:t>en donde se manifestó de la siguiente manera:</w:t>
      </w:r>
    </w:p>
    <w:p w14:paraId="32E4EBD5" w14:textId="77777777" w:rsidR="00BB1403" w:rsidRPr="003D3056" w:rsidRDefault="003A56BC" w:rsidP="00AD6C1C">
      <w:pPr>
        <w:tabs>
          <w:tab w:val="left" w:pos="2745"/>
        </w:tabs>
        <w:spacing w:before="240" w:after="240" w:line="360" w:lineRule="auto"/>
        <w:jc w:val="both"/>
        <w:rPr>
          <w:rFonts w:ascii="Palatino Linotype" w:eastAsia="Palatino Linotype" w:hAnsi="Palatino Linotype" w:cs="Palatino Linotype"/>
          <w:b/>
          <w:sz w:val="22"/>
          <w:szCs w:val="22"/>
        </w:rPr>
      </w:pPr>
      <w:r w:rsidRPr="003D3056">
        <w:rPr>
          <w:rFonts w:ascii="Palatino Linotype" w:eastAsia="Palatino Linotype" w:hAnsi="Palatino Linotype" w:cs="Palatino Linotype"/>
          <w:b/>
          <w:sz w:val="22"/>
          <w:szCs w:val="22"/>
        </w:rPr>
        <w:t xml:space="preserve">Acto impugnado: </w:t>
      </w:r>
    </w:p>
    <w:p w14:paraId="13381E74" w14:textId="32C92939" w:rsidR="00BB1403" w:rsidRPr="003D3056" w:rsidRDefault="003A56BC" w:rsidP="00AD6C1C">
      <w:pPr>
        <w:tabs>
          <w:tab w:val="left" w:pos="2745"/>
        </w:tabs>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00B24EDF" w:rsidRPr="003D3056">
        <w:rPr>
          <w:rFonts w:ascii="Palatino Linotype" w:eastAsia="Palatino Linotype" w:hAnsi="Palatino Linotype" w:cs="Palatino Linotype"/>
          <w:i/>
          <w:sz w:val="22"/>
          <w:szCs w:val="22"/>
        </w:rPr>
        <w:t>La respuesta negativa mencionan que se solicite a la Defensora de derechos humanos</w:t>
      </w:r>
      <w:r w:rsidRPr="003D3056">
        <w:rPr>
          <w:rFonts w:ascii="Palatino Linotype" w:eastAsia="Palatino Linotype" w:hAnsi="Palatino Linotype" w:cs="Palatino Linotype"/>
          <w:i/>
          <w:sz w:val="22"/>
          <w:szCs w:val="22"/>
        </w:rPr>
        <w:t>” (sic)</w:t>
      </w:r>
    </w:p>
    <w:p w14:paraId="6AF4F3F9"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4" w:name="_heading=h.30j0zll" w:colFirst="0" w:colLast="0"/>
      <w:bookmarkEnd w:id="4"/>
      <w:r w:rsidRPr="003D3056">
        <w:rPr>
          <w:rFonts w:ascii="Palatino Linotype" w:eastAsia="Palatino Linotype" w:hAnsi="Palatino Linotype" w:cs="Palatino Linotype"/>
          <w:b/>
          <w:sz w:val="22"/>
          <w:szCs w:val="22"/>
        </w:rPr>
        <w:lastRenderedPageBreak/>
        <w:t>Y, Razones o motivos de inconformidad</w:t>
      </w:r>
      <w:r w:rsidRPr="003D3056">
        <w:rPr>
          <w:rFonts w:ascii="Palatino Linotype" w:eastAsia="Palatino Linotype" w:hAnsi="Palatino Linotype" w:cs="Palatino Linotype"/>
          <w:sz w:val="22"/>
          <w:szCs w:val="22"/>
        </w:rPr>
        <w:t>:</w:t>
      </w:r>
    </w:p>
    <w:p w14:paraId="52407B43" w14:textId="11F6B369" w:rsidR="00BB1403" w:rsidRPr="003D3056" w:rsidRDefault="003A56BC" w:rsidP="00AD6C1C">
      <w:pPr>
        <w:tabs>
          <w:tab w:val="left" w:pos="2745"/>
        </w:tabs>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00B24EDF" w:rsidRPr="003D3056">
        <w:rPr>
          <w:rFonts w:ascii="Palatino Linotype" w:eastAsia="Palatino Linotype" w:hAnsi="Palatino Linotype" w:cs="Palatino Linotype"/>
          <w:i/>
          <w:sz w:val="22"/>
          <w:szCs w:val="22"/>
        </w:rPr>
        <w:t xml:space="preserve">No se hiso la búsqueda bien responden que se pida a la </w:t>
      </w:r>
      <w:proofErr w:type="spellStart"/>
      <w:r w:rsidR="00B24EDF" w:rsidRPr="003D3056">
        <w:rPr>
          <w:rFonts w:ascii="Palatino Linotype" w:eastAsia="Palatino Linotype" w:hAnsi="Palatino Linotype" w:cs="Palatino Linotype"/>
          <w:i/>
          <w:sz w:val="22"/>
          <w:szCs w:val="22"/>
        </w:rPr>
        <w:t>Defensoria</w:t>
      </w:r>
      <w:proofErr w:type="spellEnd"/>
      <w:r w:rsidR="00B24EDF" w:rsidRPr="003D3056">
        <w:rPr>
          <w:rFonts w:ascii="Palatino Linotype" w:eastAsia="Palatino Linotype" w:hAnsi="Palatino Linotype" w:cs="Palatino Linotype"/>
          <w:i/>
          <w:sz w:val="22"/>
          <w:szCs w:val="22"/>
        </w:rPr>
        <w:t xml:space="preserve"> de Derechos Humanos</w:t>
      </w:r>
      <w:r w:rsidRPr="003D3056">
        <w:rPr>
          <w:rFonts w:ascii="Palatino Linotype" w:eastAsia="Palatino Linotype" w:hAnsi="Palatino Linotype" w:cs="Palatino Linotype"/>
          <w:i/>
          <w:sz w:val="22"/>
          <w:szCs w:val="22"/>
        </w:rPr>
        <w:t>” (sic)</w:t>
      </w:r>
    </w:p>
    <w:p w14:paraId="0EC59116"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 xml:space="preserve">4. Turno. </w:t>
      </w:r>
      <w:r w:rsidRPr="003D305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D3056">
        <w:rPr>
          <w:rFonts w:ascii="Palatino Linotype" w:eastAsia="Palatino Linotype" w:hAnsi="Palatino Linotype" w:cs="Palatino Linotype"/>
          <w:b/>
          <w:sz w:val="22"/>
          <w:szCs w:val="22"/>
        </w:rPr>
        <w:t xml:space="preserve">Guadalupe Ramírez Peña, </w:t>
      </w:r>
      <w:r w:rsidRPr="003D3056">
        <w:rPr>
          <w:rFonts w:ascii="Palatino Linotype" w:eastAsia="Palatino Linotype" w:hAnsi="Palatino Linotype" w:cs="Palatino Linotype"/>
          <w:sz w:val="22"/>
          <w:szCs w:val="22"/>
        </w:rPr>
        <w:t>a efecto de que analizara sobre su admisión o su desechamiento.</w:t>
      </w:r>
    </w:p>
    <w:p w14:paraId="4C5BA101" w14:textId="101CE2A8"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5. Admisión del Recurso de revisión.</w:t>
      </w:r>
      <w:r w:rsidRPr="003D3056">
        <w:rPr>
          <w:rFonts w:ascii="Palatino Linotype" w:eastAsia="Palatino Linotype" w:hAnsi="Palatino Linotype" w:cs="Palatino Linotype"/>
          <w:sz w:val="22"/>
          <w:szCs w:val="22"/>
        </w:rPr>
        <w:t xml:space="preserve"> El</w:t>
      </w:r>
      <w:r w:rsidR="0093122A" w:rsidRPr="003D3056">
        <w:rPr>
          <w:rFonts w:ascii="Palatino Linotype" w:eastAsia="Palatino Linotype" w:hAnsi="Palatino Linotype" w:cs="Palatino Linotype"/>
          <w:b/>
          <w:sz w:val="22"/>
          <w:szCs w:val="22"/>
        </w:rPr>
        <w:t xml:space="preserve"> </w:t>
      </w:r>
      <w:r w:rsidR="00B24EDF" w:rsidRPr="003D3056">
        <w:rPr>
          <w:rFonts w:ascii="Palatino Linotype" w:eastAsia="Palatino Linotype" w:hAnsi="Palatino Linotype" w:cs="Palatino Linotype"/>
          <w:b/>
          <w:sz w:val="22"/>
          <w:szCs w:val="22"/>
        </w:rPr>
        <w:t>quince de mayo</w:t>
      </w:r>
      <w:r w:rsidRPr="003D3056">
        <w:rPr>
          <w:rFonts w:ascii="Palatino Linotype" w:eastAsia="Palatino Linotype" w:hAnsi="Palatino Linotype" w:cs="Palatino Linotype"/>
          <w:b/>
          <w:sz w:val="22"/>
          <w:szCs w:val="22"/>
        </w:rPr>
        <w:t xml:space="preserve"> de dos mil veinticinco, </w:t>
      </w:r>
      <w:r w:rsidRPr="003D305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presentara su informe justificado.</w:t>
      </w:r>
    </w:p>
    <w:p w14:paraId="1AA7292C" w14:textId="5B0ACFBF" w:rsidR="00B24EDF" w:rsidRPr="003D3056" w:rsidRDefault="003A56BC" w:rsidP="00AD6C1C">
      <w:pPr>
        <w:spacing w:before="240" w:after="240" w:line="360" w:lineRule="auto"/>
        <w:jc w:val="both"/>
        <w:rPr>
          <w:rFonts w:ascii="Palatino Linotype" w:hAnsi="Palatino Linotype"/>
          <w:sz w:val="22"/>
          <w:szCs w:val="22"/>
        </w:rPr>
      </w:pPr>
      <w:bookmarkStart w:id="5" w:name="_heading=h.2s8eyo1" w:colFirst="0" w:colLast="0"/>
      <w:bookmarkEnd w:id="5"/>
      <w:r w:rsidRPr="003D3056">
        <w:rPr>
          <w:rFonts w:ascii="Palatino Linotype" w:eastAsia="Palatino Linotype" w:hAnsi="Palatino Linotype" w:cs="Palatino Linotype"/>
          <w:b/>
          <w:sz w:val="22"/>
          <w:szCs w:val="22"/>
        </w:rPr>
        <w:t>6. Manifestaciones</w:t>
      </w:r>
      <w:r w:rsidRPr="003D3056">
        <w:rPr>
          <w:rFonts w:ascii="Palatino Linotype" w:eastAsia="Palatino Linotype" w:hAnsi="Palatino Linotype" w:cs="Palatino Linotype"/>
          <w:sz w:val="22"/>
          <w:szCs w:val="22"/>
        </w:rPr>
        <w:t xml:space="preserve">. El </w:t>
      </w:r>
      <w:r w:rsidR="00B24EDF" w:rsidRPr="003D3056">
        <w:rPr>
          <w:rFonts w:ascii="Palatino Linotype" w:eastAsia="Palatino Linotype" w:hAnsi="Palatino Linotype" w:cs="Palatino Linotype"/>
          <w:b/>
          <w:sz w:val="22"/>
          <w:szCs w:val="22"/>
        </w:rPr>
        <w:t>veintiséis de mayo</w:t>
      </w:r>
      <w:r w:rsidRPr="003D3056">
        <w:rPr>
          <w:rFonts w:ascii="Palatino Linotype" w:eastAsia="Palatino Linotype" w:hAnsi="Palatino Linotype" w:cs="Palatino Linotype"/>
          <w:b/>
          <w:sz w:val="22"/>
          <w:szCs w:val="22"/>
        </w:rPr>
        <w:t xml:space="preserve"> mil veinticinco</w:t>
      </w:r>
      <w:r w:rsidRPr="003D3056">
        <w:rPr>
          <w:rFonts w:ascii="Palatino Linotype" w:eastAsia="Palatino Linotype" w:hAnsi="Palatino Linotype" w:cs="Palatino Linotype"/>
          <w:sz w:val="22"/>
          <w:szCs w:val="22"/>
        </w:rPr>
        <w:t xml:space="preserve">, 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xml:space="preserve"> remitió, a través de SAIMEX, </w:t>
      </w:r>
      <w:r w:rsidR="00F242E9" w:rsidRPr="003D3056">
        <w:rPr>
          <w:rFonts w:ascii="Palatino Linotype" w:eastAsia="Palatino Linotype" w:hAnsi="Palatino Linotype" w:cs="Palatino Linotype"/>
          <w:sz w:val="22"/>
          <w:szCs w:val="22"/>
        </w:rPr>
        <w:t xml:space="preserve">su informe justificado, mediante el cual, </w:t>
      </w:r>
      <w:r w:rsidR="0077325C" w:rsidRPr="003D3056">
        <w:rPr>
          <w:rFonts w:ascii="Palatino Linotype" w:eastAsia="Palatino Linotype" w:hAnsi="Palatino Linotype" w:cs="Palatino Linotype"/>
          <w:sz w:val="22"/>
          <w:szCs w:val="22"/>
        </w:rPr>
        <w:t>r</w:t>
      </w:r>
      <w:r w:rsidR="0077325C" w:rsidRPr="003D3056">
        <w:rPr>
          <w:rFonts w:ascii="Palatino Linotype" w:hAnsi="Palatino Linotype"/>
          <w:sz w:val="22"/>
          <w:szCs w:val="22"/>
        </w:rPr>
        <w:t>atificó</w:t>
      </w:r>
      <w:r w:rsidR="00144A43" w:rsidRPr="003D3056">
        <w:rPr>
          <w:rFonts w:ascii="Palatino Linotype" w:hAnsi="Palatino Linotype"/>
          <w:sz w:val="22"/>
          <w:szCs w:val="22"/>
        </w:rPr>
        <w:t xml:space="preserve"> en todas y cada una de sus par</w:t>
      </w:r>
      <w:r w:rsidR="004E0B54" w:rsidRPr="003D3056">
        <w:rPr>
          <w:rFonts w:ascii="Palatino Linotype" w:hAnsi="Palatino Linotype"/>
          <w:sz w:val="22"/>
          <w:szCs w:val="22"/>
        </w:rPr>
        <w:t xml:space="preserve">tes la respuesta otorgada </w:t>
      </w:r>
      <w:r w:rsidR="00B24EDF" w:rsidRPr="003D3056">
        <w:rPr>
          <w:rFonts w:ascii="Palatino Linotype" w:hAnsi="Palatino Linotype"/>
          <w:sz w:val="22"/>
          <w:szCs w:val="22"/>
        </w:rPr>
        <w:t>por la Defensoría Municipal de Derechos Humanos, la Consejería Jurídica y servidores públicos habilitados, el diez de abril de dos mil veinticinco, mismo que su puso a la vista del recurrente el cuatro de agosto de dos mil veinticinco, sin que el particular</w:t>
      </w:r>
      <w:r w:rsidR="00B22E50" w:rsidRPr="003D3056">
        <w:rPr>
          <w:rFonts w:ascii="Palatino Linotype" w:hAnsi="Palatino Linotype"/>
          <w:sz w:val="22"/>
          <w:szCs w:val="22"/>
        </w:rPr>
        <w:t xml:space="preserve"> emitiera manifestación alguna.</w:t>
      </w:r>
    </w:p>
    <w:p w14:paraId="0D7AB0A0" w14:textId="66CFF3D4" w:rsidR="00B24EDF" w:rsidRPr="003D3056" w:rsidRDefault="00B24EDF" w:rsidP="00AD6C1C">
      <w:pPr>
        <w:spacing w:before="240" w:after="240" w:line="360" w:lineRule="auto"/>
        <w:jc w:val="both"/>
        <w:rPr>
          <w:rFonts w:ascii="Palatino Linotype" w:hAnsi="Palatino Linotype"/>
          <w:sz w:val="22"/>
          <w:szCs w:val="22"/>
        </w:rPr>
      </w:pPr>
      <w:r w:rsidRPr="003D3056">
        <w:rPr>
          <w:rFonts w:ascii="Palatino Linotype" w:hAnsi="Palatino Linotype"/>
          <w:b/>
          <w:sz w:val="22"/>
          <w:szCs w:val="22"/>
        </w:rPr>
        <w:t>7.</w:t>
      </w:r>
      <w:r w:rsidRPr="003D3056">
        <w:rPr>
          <w:rFonts w:ascii="Palatino Linotype" w:hAnsi="Palatino Linotype"/>
          <w:sz w:val="22"/>
          <w:szCs w:val="22"/>
        </w:rPr>
        <w:t xml:space="preserve"> </w:t>
      </w:r>
      <w:r w:rsidRPr="003D3056">
        <w:rPr>
          <w:rFonts w:ascii="Palatino Linotype" w:hAnsi="Palatino Linotype"/>
          <w:b/>
          <w:bCs/>
          <w:sz w:val="22"/>
          <w:szCs w:val="22"/>
        </w:rPr>
        <w:t xml:space="preserve">Ampliación de plazo. </w:t>
      </w:r>
      <w:r w:rsidRPr="003D3056">
        <w:rPr>
          <w:rFonts w:ascii="Palatino Linotype" w:hAnsi="Palatino Linotype"/>
          <w:sz w:val="22"/>
          <w:szCs w:val="22"/>
        </w:rPr>
        <w:t xml:space="preserve">El </w:t>
      </w:r>
      <w:r w:rsidRPr="003D3056">
        <w:rPr>
          <w:rFonts w:ascii="Palatino Linotype" w:hAnsi="Palatino Linotype"/>
          <w:b/>
          <w:bCs/>
          <w:sz w:val="22"/>
          <w:szCs w:val="22"/>
        </w:rPr>
        <w:t>cuatro de agosto de dos mil veinticinco</w:t>
      </w:r>
      <w:r w:rsidRPr="003D3056">
        <w:rPr>
          <w:rFonts w:ascii="Palatino Linotype" w:hAnsi="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35A63C0" w14:textId="77777777"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76F0A4" w14:textId="4DF30955"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t>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802E8B7" w14:textId="77777777"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525E95" w14:textId="77777777"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B9D0CE" w14:textId="77777777"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t>Por ello, excepcionalmente, si un asunto es resuelto con posterioridad a los plazos señalados por la norma debe analizarse la razonabilidad del tiempo necesario para su resolución, atentos a los siguientes criterios:  </w:t>
      </w:r>
    </w:p>
    <w:p w14:paraId="5A25D700" w14:textId="77777777" w:rsidR="00B24EDF" w:rsidRPr="003D3056" w:rsidRDefault="00B24EDF" w:rsidP="00AD6C1C">
      <w:pPr>
        <w:pStyle w:val="NormalWeb"/>
        <w:spacing w:before="240" w:beforeAutospacing="0" w:after="240" w:afterAutospacing="0" w:line="360" w:lineRule="auto"/>
        <w:ind w:left="567" w:right="560"/>
        <w:jc w:val="both"/>
        <w:rPr>
          <w:rFonts w:ascii="Palatino Linotype" w:hAnsi="Palatino Linotype"/>
          <w:sz w:val="22"/>
          <w:szCs w:val="22"/>
        </w:rPr>
      </w:pPr>
      <w:r w:rsidRPr="003D3056">
        <w:rPr>
          <w:rFonts w:ascii="Palatino Linotype" w:hAnsi="Palatino Linotype"/>
          <w:b/>
          <w:bCs/>
          <w:sz w:val="22"/>
          <w:szCs w:val="22"/>
        </w:rPr>
        <w:t>a)    Complejidad del asunto:</w:t>
      </w:r>
      <w:r w:rsidRPr="003D3056">
        <w:rPr>
          <w:rFonts w:ascii="Palatino Linotype" w:hAnsi="Palatino Linotype"/>
          <w:sz w:val="22"/>
          <w:szCs w:val="22"/>
        </w:rPr>
        <w:t xml:space="preserve"> La complejidad de la prueba, la pluralidad de sujetos procesales, el tiempo transcurrido, las características y contexto del recurso.</w:t>
      </w:r>
    </w:p>
    <w:p w14:paraId="78B5F895" w14:textId="77777777" w:rsidR="00B24EDF" w:rsidRPr="003D3056" w:rsidRDefault="00B24EDF" w:rsidP="00AD6C1C">
      <w:pPr>
        <w:pStyle w:val="NormalWeb"/>
        <w:spacing w:before="240" w:beforeAutospacing="0" w:after="240" w:afterAutospacing="0" w:line="360" w:lineRule="auto"/>
        <w:ind w:left="567" w:right="560"/>
        <w:jc w:val="both"/>
        <w:rPr>
          <w:rFonts w:ascii="Palatino Linotype" w:hAnsi="Palatino Linotype"/>
          <w:sz w:val="22"/>
          <w:szCs w:val="22"/>
        </w:rPr>
      </w:pPr>
      <w:r w:rsidRPr="003D3056">
        <w:rPr>
          <w:rFonts w:ascii="Palatino Linotype" w:hAnsi="Palatino Linotype"/>
          <w:b/>
          <w:bCs/>
          <w:sz w:val="22"/>
          <w:szCs w:val="22"/>
        </w:rPr>
        <w:t>b)   Actividad Procesal del interesado</w:t>
      </w:r>
      <w:r w:rsidRPr="003D3056">
        <w:rPr>
          <w:rFonts w:ascii="Palatino Linotype" w:hAnsi="Palatino Linotype"/>
          <w:sz w:val="22"/>
          <w:szCs w:val="22"/>
        </w:rPr>
        <w:t>: Acciones u omisiones del interesado.</w:t>
      </w:r>
    </w:p>
    <w:p w14:paraId="780E674F" w14:textId="77777777" w:rsidR="00B24EDF" w:rsidRPr="003D3056" w:rsidRDefault="00B24EDF" w:rsidP="00AD6C1C">
      <w:pPr>
        <w:pStyle w:val="NormalWeb"/>
        <w:spacing w:before="240" w:beforeAutospacing="0" w:after="240" w:afterAutospacing="0" w:line="360" w:lineRule="auto"/>
        <w:ind w:left="567" w:right="560"/>
        <w:jc w:val="both"/>
        <w:rPr>
          <w:rFonts w:ascii="Palatino Linotype" w:hAnsi="Palatino Linotype"/>
          <w:sz w:val="22"/>
          <w:szCs w:val="22"/>
        </w:rPr>
      </w:pPr>
      <w:r w:rsidRPr="003D3056">
        <w:rPr>
          <w:rFonts w:ascii="Palatino Linotype" w:hAnsi="Palatino Linotype"/>
          <w:b/>
          <w:bCs/>
          <w:sz w:val="22"/>
          <w:szCs w:val="22"/>
        </w:rPr>
        <w:lastRenderedPageBreak/>
        <w:t>c)  Conducta de la Autoridad:</w:t>
      </w:r>
      <w:r w:rsidRPr="003D3056">
        <w:rPr>
          <w:rFonts w:ascii="Palatino Linotype" w:hAnsi="Palatino Linotype"/>
          <w:sz w:val="22"/>
          <w:szCs w:val="22"/>
        </w:rPr>
        <w:t xml:space="preserve"> Las Acciones u omisiones realizadas en el procedimiento. Así como si la autoridad actuó con la debida diligencia.</w:t>
      </w:r>
    </w:p>
    <w:p w14:paraId="5B9E3337" w14:textId="77777777" w:rsidR="00B24EDF" w:rsidRPr="003D3056" w:rsidRDefault="00B24EDF" w:rsidP="00AD6C1C">
      <w:pPr>
        <w:pStyle w:val="NormalWeb"/>
        <w:spacing w:before="240" w:beforeAutospacing="0" w:after="240" w:afterAutospacing="0" w:line="360" w:lineRule="auto"/>
        <w:ind w:left="567" w:right="560"/>
        <w:jc w:val="both"/>
        <w:rPr>
          <w:rFonts w:ascii="Palatino Linotype" w:hAnsi="Palatino Linotype"/>
          <w:sz w:val="22"/>
          <w:szCs w:val="22"/>
        </w:rPr>
      </w:pPr>
      <w:r w:rsidRPr="003D3056">
        <w:rPr>
          <w:rFonts w:ascii="Palatino Linotype" w:hAnsi="Palatino Linotype"/>
          <w:b/>
          <w:bCs/>
          <w:sz w:val="22"/>
          <w:szCs w:val="22"/>
        </w:rPr>
        <w:t>d) La afectación generada en la situación jurídica de la persona involucrada en el proceso:</w:t>
      </w:r>
      <w:r w:rsidRPr="003D3056">
        <w:rPr>
          <w:rFonts w:ascii="Palatino Linotype" w:hAnsi="Palatino Linotype"/>
          <w:sz w:val="22"/>
          <w:szCs w:val="22"/>
        </w:rPr>
        <w:t xml:space="preserve"> Violación a sus derechos humanos.</w:t>
      </w:r>
    </w:p>
    <w:p w14:paraId="5C30A38B" w14:textId="77777777"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93792A" w14:textId="77777777"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t>Argumento que encuentra sustento en la jurisprudencia P./J. 32/92 emitida por el Pleno de la Suprema Corte de Justicia de la Nación de rubro “</w:t>
      </w:r>
      <w:r w:rsidRPr="003D3056">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3D3056">
        <w:rPr>
          <w:rFonts w:ascii="Palatino Linotype" w:hAnsi="Palatino Linotype"/>
          <w:sz w:val="22"/>
          <w:szCs w:val="22"/>
        </w:rPr>
        <w:t>, visible en la Gaceta del Seminario Judicial de la Federación con el registro digital 205635.</w:t>
      </w:r>
    </w:p>
    <w:p w14:paraId="11594C71" w14:textId="7FB9E71A"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t>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719AFF" w14:textId="77777777"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1266DF43" w14:textId="77777777" w:rsidR="00B24EDF" w:rsidRPr="003D3056" w:rsidRDefault="00B24EDF" w:rsidP="00AD6C1C">
      <w:pPr>
        <w:pStyle w:val="NormalWeb"/>
        <w:spacing w:before="240" w:beforeAutospacing="0" w:after="240" w:afterAutospacing="0" w:line="360" w:lineRule="auto"/>
        <w:ind w:left="567" w:right="560"/>
        <w:jc w:val="both"/>
        <w:rPr>
          <w:rFonts w:ascii="Palatino Linotype" w:hAnsi="Palatino Linotype"/>
          <w:sz w:val="22"/>
          <w:szCs w:val="22"/>
        </w:rPr>
      </w:pPr>
      <w:r w:rsidRPr="003D3056">
        <w:rPr>
          <w:rFonts w:ascii="Palatino Linotype" w:hAnsi="Palatino Linotype"/>
          <w:b/>
          <w:bCs/>
          <w:sz w:val="22"/>
          <w:szCs w:val="22"/>
        </w:rPr>
        <w:t> “PLAZO RAZONABLE PARA RESOLVER. DIMENSIÓN Y EFECTOS DE ESTE CONCEPTO CUANDO SE ADUCE EXCESIVA CARGA DE TRABAJO.”</w:t>
      </w:r>
      <w:r w:rsidRPr="003D3056">
        <w:rPr>
          <w:rFonts w:ascii="Palatino Linotype" w:hAnsi="Palatino Linotype"/>
          <w:sz w:val="22"/>
          <w:szCs w:val="22"/>
        </w:rPr>
        <w:t xml:space="preserve"> consultable en el Seminario Judicial de la Federación y su gaceta, con el registro digital 2002351.</w:t>
      </w:r>
    </w:p>
    <w:p w14:paraId="0F8FD44D" w14:textId="77777777" w:rsidR="00B24EDF" w:rsidRPr="003D3056" w:rsidRDefault="00B24EDF" w:rsidP="00AD6C1C">
      <w:pPr>
        <w:pStyle w:val="NormalWeb"/>
        <w:spacing w:before="240" w:beforeAutospacing="0" w:after="240" w:afterAutospacing="0" w:line="360" w:lineRule="auto"/>
        <w:ind w:left="567" w:right="560"/>
        <w:jc w:val="both"/>
        <w:rPr>
          <w:rFonts w:ascii="Palatino Linotype" w:hAnsi="Palatino Linotype"/>
          <w:sz w:val="22"/>
          <w:szCs w:val="22"/>
        </w:rPr>
      </w:pPr>
      <w:r w:rsidRPr="003D3056">
        <w:rPr>
          <w:rFonts w:ascii="Palatino Linotype" w:hAnsi="Palatino Linotype"/>
          <w:b/>
          <w:bCs/>
          <w:sz w:val="22"/>
          <w:szCs w:val="22"/>
        </w:rPr>
        <w:t>“PLAZO RAZONABLE PARA RESOLVER. CONCEPTO Y ELEMENTOS QUE LO INTEGRAN A LA LUZ DEL DERECHO INTERNACIONAL DE LOS DERECHOS HUMANOS.”,</w:t>
      </w:r>
      <w:r w:rsidRPr="003D3056">
        <w:rPr>
          <w:rFonts w:ascii="Palatino Linotype" w:hAnsi="Palatino Linotype"/>
          <w:sz w:val="22"/>
          <w:szCs w:val="22"/>
        </w:rPr>
        <w:t xml:space="preserve"> visible en el Seminario Judicial de la Federación y su gaceta, con el registro digital 2002350.</w:t>
      </w:r>
    </w:p>
    <w:p w14:paraId="1F7FC98C" w14:textId="77777777" w:rsidR="00B24EDF" w:rsidRPr="003D3056" w:rsidRDefault="00B24EDF" w:rsidP="00AD6C1C">
      <w:pPr>
        <w:pStyle w:val="NormalWeb"/>
        <w:spacing w:before="240" w:beforeAutospacing="0" w:after="240" w:afterAutospacing="0" w:line="360" w:lineRule="auto"/>
        <w:ind w:right="49"/>
        <w:jc w:val="both"/>
        <w:rPr>
          <w:rFonts w:ascii="Palatino Linotype" w:hAnsi="Palatino Linotype"/>
          <w:sz w:val="22"/>
          <w:szCs w:val="22"/>
        </w:rPr>
      </w:pPr>
      <w:r w:rsidRPr="003D3056">
        <w:rPr>
          <w:rFonts w:ascii="Palatino Linotype" w:hAnsi="Palatino Linotype"/>
          <w:sz w:val="22"/>
          <w:szCs w:val="22"/>
        </w:rPr>
        <w:t>Por ello, este organismo garante comprometido con la tutela de los derechos humanos confiados señala que este exceso del plazo legal para resolver el presente asunto resulta de carácter excepcional. </w:t>
      </w:r>
    </w:p>
    <w:p w14:paraId="159645D3" w14:textId="22F66002"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 xml:space="preserve">7. Cierre de instrucción. </w:t>
      </w:r>
      <w:r w:rsidRPr="003D305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B24EDF" w:rsidRPr="003D3056">
        <w:rPr>
          <w:rFonts w:ascii="Palatino Linotype" w:eastAsia="Palatino Linotype" w:hAnsi="Palatino Linotype" w:cs="Palatino Linotype"/>
          <w:b/>
          <w:sz w:val="22"/>
          <w:szCs w:val="22"/>
        </w:rPr>
        <w:t xml:space="preserve"> o</w:t>
      </w:r>
      <w:r w:rsidR="002714C8" w:rsidRPr="003D3056">
        <w:rPr>
          <w:rFonts w:ascii="Palatino Linotype" w:eastAsia="Palatino Linotype" w:hAnsi="Palatino Linotype" w:cs="Palatino Linotype"/>
          <w:b/>
          <w:sz w:val="22"/>
          <w:szCs w:val="22"/>
        </w:rPr>
        <w:t>nce</w:t>
      </w:r>
      <w:r w:rsidR="00B24EDF" w:rsidRPr="003D3056">
        <w:rPr>
          <w:rFonts w:ascii="Palatino Linotype" w:eastAsia="Palatino Linotype" w:hAnsi="Palatino Linotype" w:cs="Palatino Linotype"/>
          <w:b/>
          <w:sz w:val="22"/>
          <w:szCs w:val="22"/>
        </w:rPr>
        <w:t xml:space="preserve"> de agosto </w:t>
      </w:r>
      <w:r w:rsidR="00740FC4" w:rsidRPr="003D3056">
        <w:rPr>
          <w:rFonts w:ascii="Palatino Linotype" w:eastAsia="Palatino Linotype" w:hAnsi="Palatino Linotype" w:cs="Palatino Linotype"/>
          <w:b/>
          <w:sz w:val="22"/>
          <w:szCs w:val="22"/>
        </w:rPr>
        <w:t>d</w:t>
      </w:r>
      <w:r w:rsidRPr="003D3056">
        <w:rPr>
          <w:rFonts w:ascii="Palatino Linotype" w:eastAsia="Palatino Linotype" w:hAnsi="Palatino Linotype" w:cs="Palatino Linotype"/>
          <w:b/>
          <w:sz w:val="22"/>
          <w:szCs w:val="22"/>
        </w:rPr>
        <w:t>e dos mil veinticinco</w:t>
      </w:r>
      <w:r w:rsidRPr="003D305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1016AEC"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E5A5057" w14:textId="77777777" w:rsidR="0088480C" w:rsidRPr="003D3056" w:rsidRDefault="0088480C" w:rsidP="00AD6C1C">
      <w:pPr>
        <w:spacing w:before="240" w:after="240" w:line="360" w:lineRule="auto"/>
        <w:jc w:val="both"/>
        <w:rPr>
          <w:rFonts w:ascii="Palatino Linotype" w:eastAsia="Palatino Linotype" w:hAnsi="Palatino Linotype" w:cs="Palatino Linotype"/>
          <w:sz w:val="22"/>
          <w:szCs w:val="22"/>
        </w:rPr>
      </w:pPr>
    </w:p>
    <w:p w14:paraId="755FE6CE" w14:textId="77777777" w:rsidR="00BB1403" w:rsidRPr="003D3056" w:rsidRDefault="003A56BC" w:rsidP="00AD6C1C">
      <w:pPr>
        <w:widowControl w:val="0"/>
        <w:spacing w:before="240" w:after="240" w:line="360" w:lineRule="auto"/>
        <w:jc w:val="center"/>
        <w:rPr>
          <w:rFonts w:ascii="Palatino Linotype" w:eastAsia="Palatino Linotype" w:hAnsi="Palatino Linotype" w:cs="Palatino Linotype"/>
          <w:b/>
          <w:sz w:val="22"/>
          <w:szCs w:val="22"/>
        </w:rPr>
      </w:pPr>
      <w:r w:rsidRPr="003D3056">
        <w:rPr>
          <w:rFonts w:ascii="Palatino Linotype" w:eastAsia="Palatino Linotype" w:hAnsi="Palatino Linotype" w:cs="Palatino Linotype"/>
          <w:b/>
          <w:sz w:val="22"/>
          <w:szCs w:val="22"/>
        </w:rPr>
        <w:lastRenderedPageBreak/>
        <w:t>II. C O N S I D E R A N D O S</w:t>
      </w:r>
    </w:p>
    <w:p w14:paraId="7B26755A" w14:textId="1EC1DE0E"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Primero. Competencia.</w:t>
      </w:r>
      <w:r w:rsidRPr="003D305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B24EDF" w:rsidRPr="003D3056">
        <w:rPr>
          <w:rFonts w:ascii="Palatino Linotype" w:hAnsi="Palatino Linotype"/>
          <w:sz w:val="22"/>
          <w:szCs w:val="22"/>
        </w:rPr>
        <w:t>5 párrafos trigésimo noveno, cuadragésimo y cuadragésimo primero, fracciones IV y V de la Constitución Política del Estado Libre y Soberano de México;</w:t>
      </w:r>
      <w:r w:rsidR="009F0E3F" w:rsidRPr="003D3056">
        <w:rPr>
          <w:rFonts w:ascii="Palatino Linotype" w:eastAsia="Palatino Linotype" w:hAnsi="Palatino Linotype" w:cs="Palatino Linotype"/>
          <w:sz w:val="22"/>
          <w:szCs w:val="22"/>
        </w:rPr>
        <w:t xml:space="preserve"> </w:t>
      </w:r>
      <w:r w:rsidRPr="003D3056">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D70FC1A"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3D3056">
        <w:rPr>
          <w:rFonts w:ascii="Palatino Linotype" w:eastAsia="Palatino Linotype" w:hAnsi="Palatino Linotype" w:cs="Palatino Linotype"/>
          <w:b/>
          <w:sz w:val="22"/>
          <w:szCs w:val="22"/>
        </w:rPr>
        <w:t>Segundo. Oportunidad y Procedibilidad del Recurso de Revisión</w:t>
      </w:r>
      <w:r w:rsidRPr="003D305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B6EC61F" w14:textId="62CCF133" w:rsidR="00BB1403" w:rsidRPr="003D3056" w:rsidRDefault="003A56BC" w:rsidP="00AD6C1C">
      <w:pPr>
        <w:spacing w:before="240" w:after="240" w:line="360" w:lineRule="auto"/>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 xml:space="preserve">remitió la respuesta a la solicitud de información el día </w:t>
      </w:r>
      <w:r w:rsidR="009B7A2B" w:rsidRPr="003D3056">
        <w:rPr>
          <w:rFonts w:ascii="Palatino Linotype" w:eastAsia="Palatino Linotype" w:hAnsi="Palatino Linotype" w:cs="Palatino Linotype"/>
          <w:b/>
          <w:sz w:val="22"/>
          <w:szCs w:val="22"/>
        </w:rPr>
        <w:t>diez de abril</w:t>
      </w:r>
      <w:r w:rsidR="008E5955" w:rsidRPr="003D3056">
        <w:rPr>
          <w:rFonts w:ascii="Palatino Linotype" w:eastAsia="Palatino Linotype" w:hAnsi="Palatino Linotype" w:cs="Palatino Linotype"/>
          <w:b/>
          <w:sz w:val="22"/>
          <w:szCs w:val="22"/>
        </w:rPr>
        <w:t xml:space="preserve"> de dos mil veinticinco</w:t>
      </w:r>
      <w:r w:rsidRPr="003D3056">
        <w:rPr>
          <w:rFonts w:ascii="Palatino Linotype" w:eastAsia="Palatino Linotype" w:hAnsi="Palatino Linotype" w:cs="Palatino Linotype"/>
          <w:b/>
          <w:sz w:val="22"/>
          <w:szCs w:val="22"/>
        </w:rPr>
        <w:t xml:space="preserve">, </w:t>
      </w:r>
      <w:r w:rsidRPr="003D3056">
        <w:rPr>
          <w:rFonts w:ascii="Palatino Linotype" w:eastAsia="Palatino Linotype" w:hAnsi="Palatino Linotype" w:cs="Palatino Linotype"/>
          <w:sz w:val="22"/>
          <w:szCs w:val="22"/>
        </w:rPr>
        <w:t xml:space="preserve">mientras que el recurso de revisión interpuesto por la parte </w:t>
      </w:r>
      <w:r w:rsidRPr="003D3056">
        <w:rPr>
          <w:rFonts w:ascii="Palatino Linotype" w:eastAsia="Palatino Linotype" w:hAnsi="Palatino Linotype" w:cs="Palatino Linotype"/>
          <w:b/>
          <w:sz w:val="22"/>
          <w:szCs w:val="22"/>
        </w:rPr>
        <w:t xml:space="preserve">Recurrente, </w:t>
      </w:r>
      <w:r w:rsidRPr="003D3056">
        <w:rPr>
          <w:rFonts w:ascii="Palatino Linotype" w:eastAsia="Palatino Linotype" w:hAnsi="Palatino Linotype" w:cs="Palatino Linotype"/>
          <w:sz w:val="22"/>
          <w:szCs w:val="22"/>
        </w:rPr>
        <w:t>se tuvo por presentado el día</w:t>
      </w:r>
      <w:r w:rsidRPr="003D3056">
        <w:rPr>
          <w:rFonts w:ascii="Palatino Linotype" w:eastAsia="Palatino Linotype" w:hAnsi="Palatino Linotype" w:cs="Palatino Linotype"/>
          <w:b/>
          <w:sz w:val="22"/>
          <w:szCs w:val="22"/>
        </w:rPr>
        <w:t xml:space="preserve"> </w:t>
      </w:r>
      <w:r w:rsidR="009B7A2B" w:rsidRPr="003D3056">
        <w:rPr>
          <w:rFonts w:ascii="Palatino Linotype" w:eastAsia="Palatino Linotype" w:hAnsi="Palatino Linotype" w:cs="Palatino Linotype"/>
          <w:b/>
          <w:sz w:val="22"/>
          <w:szCs w:val="22"/>
        </w:rPr>
        <w:t>doce de mayo</w:t>
      </w:r>
      <w:r w:rsidRPr="003D3056">
        <w:rPr>
          <w:rFonts w:ascii="Palatino Linotype" w:eastAsia="Palatino Linotype" w:hAnsi="Palatino Linotype" w:cs="Palatino Linotype"/>
          <w:b/>
          <w:sz w:val="22"/>
          <w:szCs w:val="22"/>
        </w:rPr>
        <w:t xml:space="preserve"> de dos mil veinticinco, </w:t>
      </w:r>
      <w:r w:rsidR="00DD6B74" w:rsidRPr="003D3056">
        <w:rPr>
          <w:rFonts w:ascii="Palatino Linotype" w:eastAsia="Palatino Linotype" w:hAnsi="Palatino Linotype" w:cs="Palatino Linotype"/>
          <w:sz w:val="22"/>
          <w:szCs w:val="22"/>
        </w:rPr>
        <w:t xml:space="preserve">esto es, al décimo quinto día hábil </w:t>
      </w:r>
      <w:r w:rsidRPr="003D3056">
        <w:rPr>
          <w:rFonts w:ascii="Palatino Linotype" w:eastAsia="Palatino Linotype" w:hAnsi="Palatino Linotype" w:cs="Palatino Linotype"/>
          <w:sz w:val="22"/>
          <w:szCs w:val="22"/>
        </w:rPr>
        <w:t xml:space="preserve">en </w:t>
      </w:r>
      <w:r w:rsidR="00DD6B74" w:rsidRPr="003D3056">
        <w:rPr>
          <w:rFonts w:ascii="Palatino Linotype" w:eastAsia="Palatino Linotype" w:hAnsi="Palatino Linotype" w:cs="Palatino Linotype"/>
          <w:sz w:val="22"/>
          <w:szCs w:val="22"/>
        </w:rPr>
        <w:t xml:space="preserve">el que tuvo conocimiento de la respuesta impugnada. </w:t>
      </w:r>
      <w:r w:rsidRPr="003D3056">
        <w:rPr>
          <w:rFonts w:ascii="Palatino Linotype" w:eastAsia="Palatino Linotype" w:hAnsi="Palatino Linotype" w:cs="Palatino Linotype"/>
          <w:sz w:val="22"/>
          <w:szCs w:val="22"/>
        </w:rPr>
        <w:t xml:space="preserve"> </w:t>
      </w:r>
    </w:p>
    <w:p w14:paraId="33B340D2"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Además, por cuanto hace a la procedibilidad del recurso de revisión, es de suma importancia señalar que la parte</w:t>
      </w:r>
      <w:r w:rsidRPr="003D3056">
        <w:rPr>
          <w:rFonts w:ascii="Palatino Linotype" w:eastAsia="Palatino Linotype" w:hAnsi="Palatino Linotype" w:cs="Palatino Linotype"/>
          <w:b/>
          <w:sz w:val="22"/>
          <w:szCs w:val="22"/>
        </w:rPr>
        <w:t xml:space="preserve"> Recurrente</w:t>
      </w:r>
      <w:r w:rsidRPr="003D3056">
        <w:rPr>
          <w:rFonts w:ascii="Palatino Linotype" w:eastAsia="Palatino Linotype" w:hAnsi="Palatino Linotype" w:cs="Palatino Linotype"/>
          <w:sz w:val="22"/>
          <w:szCs w:val="22"/>
        </w:rPr>
        <w:t xml:space="preserve">, no señaló un </w:t>
      </w:r>
      <w:r w:rsidRPr="003D3056">
        <w:rPr>
          <w:rFonts w:ascii="Palatino Linotype" w:eastAsia="Palatino Linotype" w:hAnsi="Palatino Linotype" w:cs="Palatino Linotype"/>
          <w:b/>
          <w:sz w:val="22"/>
          <w:szCs w:val="22"/>
        </w:rPr>
        <w:t>nombre</w:t>
      </w:r>
      <w:r w:rsidRPr="003D3056">
        <w:rPr>
          <w:rFonts w:ascii="Palatino Linotype" w:eastAsia="Palatino Linotype" w:hAnsi="Palatino Linotype" w:cs="Palatino Linotype"/>
          <w:sz w:val="22"/>
          <w:szCs w:val="22"/>
        </w:rPr>
        <w:t xml:space="preserve"> con el cual desea ser identificado, como se advierte en el detalle de seguimiento del SAIMEX, no obstante no </w:t>
      </w:r>
      <w:r w:rsidRPr="003D3056">
        <w:rPr>
          <w:rFonts w:ascii="Palatino Linotype" w:eastAsia="Palatino Linotype" w:hAnsi="Palatino Linotype" w:cs="Palatino Linotype"/>
          <w:sz w:val="22"/>
          <w:szCs w:val="22"/>
        </w:rPr>
        <w:lastRenderedPageBreak/>
        <w:t>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ECA7C8C"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Las solicitudes anónimas</w:t>
      </w:r>
      <w:r w:rsidRPr="003D3056">
        <w:rPr>
          <w:rFonts w:ascii="Palatino Linotype" w:eastAsia="Palatino Linotype" w:hAnsi="Palatino Linotype" w:cs="Palatino Linotype"/>
          <w:i/>
          <w:sz w:val="22"/>
          <w:szCs w:val="22"/>
        </w:rPr>
        <w:t xml:space="preserve">, con nombre incompleto o </w:t>
      </w:r>
      <w:r w:rsidRPr="003D3056">
        <w:rPr>
          <w:rFonts w:ascii="Palatino Linotype" w:eastAsia="Palatino Linotype" w:hAnsi="Palatino Linotype" w:cs="Palatino Linotype"/>
          <w:b/>
          <w:i/>
          <w:sz w:val="22"/>
          <w:szCs w:val="22"/>
        </w:rPr>
        <w:t>seudónimo</w:t>
      </w:r>
      <w:r w:rsidRPr="003D3056">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918F2E8" w14:textId="77777777" w:rsidR="00BB1403" w:rsidRPr="003D3056" w:rsidRDefault="003A56BC" w:rsidP="00AD6C1C">
      <w:pPr>
        <w:spacing w:before="240" w:after="240" w:line="360" w:lineRule="auto"/>
        <w:jc w:val="both"/>
        <w:rPr>
          <w:rFonts w:ascii="Palatino Linotype" w:eastAsia="Palatino Linotype" w:hAnsi="Palatino Linotype" w:cs="Palatino Linotype"/>
          <w:b/>
          <w:sz w:val="22"/>
          <w:szCs w:val="22"/>
        </w:rPr>
      </w:pPr>
      <w:r w:rsidRPr="003D3056">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3D3056">
        <w:rPr>
          <w:rFonts w:ascii="Palatino Linotype" w:eastAsia="Palatino Linotype" w:hAnsi="Palatino Linotype" w:cs="Palatino Linotype"/>
          <w:b/>
          <w:sz w:val="22"/>
          <w:szCs w:val="22"/>
        </w:rPr>
        <w:t xml:space="preserve"> SAIMEX.</w:t>
      </w:r>
    </w:p>
    <w:p w14:paraId="0D2B856D" w14:textId="78B5B16E"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3D3056">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3D3056">
        <w:rPr>
          <w:rFonts w:ascii="Palatino Linotype" w:eastAsia="Palatino Linotype" w:hAnsi="Palatino Linotype" w:cs="Palatino Linotype"/>
          <w:b/>
          <w:sz w:val="22"/>
          <w:szCs w:val="22"/>
        </w:rPr>
        <w:t>Recurrente</w:t>
      </w:r>
      <w:r w:rsidRPr="003D3056">
        <w:rPr>
          <w:rFonts w:ascii="Palatino Linotype" w:eastAsia="Palatino Linotype" w:hAnsi="Palatino Linotype" w:cs="Palatino Linotype"/>
          <w:sz w:val="22"/>
          <w:szCs w:val="22"/>
        </w:rPr>
        <w:t xml:space="preserve"> en sus motivos de inconformidad, de acuerdo al artículo 179, fracci</w:t>
      </w:r>
      <w:r w:rsidR="008E5955" w:rsidRPr="003D3056">
        <w:rPr>
          <w:rFonts w:ascii="Palatino Linotype" w:eastAsia="Palatino Linotype" w:hAnsi="Palatino Linotype" w:cs="Palatino Linotype"/>
          <w:sz w:val="22"/>
          <w:szCs w:val="22"/>
        </w:rPr>
        <w:t>ón</w:t>
      </w:r>
      <w:r w:rsidRPr="003D3056">
        <w:rPr>
          <w:rFonts w:ascii="Palatino Linotype" w:eastAsia="Palatino Linotype" w:hAnsi="Palatino Linotype" w:cs="Palatino Linotype"/>
          <w:sz w:val="22"/>
          <w:szCs w:val="22"/>
        </w:rPr>
        <w:t xml:space="preserve"> </w:t>
      </w:r>
      <w:r w:rsidR="00DD6B74" w:rsidRPr="003D3056">
        <w:rPr>
          <w:rFonts w:ascii="Palatino Linotype" w:eastAsia="Palatino Linotype" w:hAnsi="Palatino Linotype" w:cs="Palatino Linotype"/>
          <w:sz w:val="22"/>
          <w:szCs w:val="22"/>
        </w:rPr>
        <w:t>X</w:t>
      </w:r>
      <w:r w:rsidRPr="003D3056">
        <w:rPr>
          <w:rFonts w:ascii="Palatino Linotype" w:eastAsia="Palatino Linotype" w:hAnsi="Palatino Linotype" w:cs="Palatino Linotype"/>
          <w:sz w:val="22"/>
          <w:szCs w:val="22"/>
        </w:rPr>
        <w:t>I del ordenamiento legal citado, que a la letra dice: </w:t>
      </w:r>
    </w:p>
    <w:p w14:paraId="59AA6397" w14:textId="77777777" w:rsidR="00BB1403" w:rsidRPr="003D3056" w:rsidRDefault="003A56BC" w:rsidP="00AD6C1C">
      <w:pPr>
        <w:tabs>
          <w:tab w:val="left" w:pos="7938"/>
        </w:tabs>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Artículo 179.</w:t>
      </w:r>
      <w:r w:rsidRPr="003D305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8BB6C26" w14:textId="7EFE3149" w:rsidR="00BB1403" w:rsidRPr="003D3056" w:rsidRDefault="00DD6B74" w:rsidP="00AD6C1C">
      <w:pPr>
        <w:tabs>
          <w:tab w:val="left" w:pos="7938"/>
        </w:tabs>
        <w:spacing w:before="240" w:after="240"/>
        <w:ind w:left="1134"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X</w:t>
      </w:r>
      <w:r w:rsidR="003A56BC" w:rsidRPr="003D3056">
        <w:rPr>
          <w:rFonts w:ascii="Palatino Linotype" w:eastAsia="Palatino Linotype" w:hAnsi="Palatino Linotype" w:cs="Palatino Linotype"/>
          <w:b/>
          <w:i/>
          <w:sz w:val="22"/>
          <w:szCs w:val="22"/>
        </w:rPr>
        <w:t>I.</w:t>
      </w:r>
      <w:r w:rsidR="003A56BC" w:rsidRPr="003D3056">
        <w:rPr>
          <w:rFonts w:ascii="Palatino Linotype" w:eastAsia="Palatino Linotype" w:hAnsi="Palatino Linotype" w:cs="Palatino Linotype"/>
          <w:i/>
          <w:sz w:val="22"/>
          <w:szCs w:val="22"/>
        </w:rPr>
        <w:t xml:space="preserve"> </w:t>
      </w:r>
      <w:r w:rsidRPr="003D3056">
        <w:rPr>
          <w:rFonts w:ascii="Palatino Linotype" w:eastAsia="Palatino Linotype" w:hAnsi="Palatino Linotype" w:cs="Palatino Linotype"/>
          <w:i/>
          <w:sz w:val="22"/>
          <w:szCs w:val="22"/>
        </w:rPr>
        <w:t>La falta de trámite a una solicitud</w:t>
      </w:r>
      <w:r w:rsidR="003A56BC" w:rsidRPr="003D3056">
        <w:rPr>
          <w:rFonts w:ascii="Palatino Linotype" w:eastAsia="Palatino Linotype" w:hAnsi="Palatino Linotype" w:cs="Palatino Linotype"/>
          <w:i/>
          <w:sz w:val="22"/>
          <w:szCs w:val="22"/>
        </w:rPr>
        <w:t>;</w:t>
      </w:r>
    </w:p>
    <w:p w14:paraId="4930D4E8" w14:textId="77777777" w:rsidR="00BB1403" w:rsidRPr="003D3056" w:rsidRDefault="003A56BC" w:rsidP="00AD6C1C">
      <w:pPr>
        <w:spacing w:before="240" w:after="240" w:line="360" w:lineRule="auto"/>
        <w:jc w:val="both"/>
        <w:rPr>
          <w:rFonts w:ascii="Palatino Linotype" w:eastAsia="Palatino Linotype" w:hAnsi="Palatino Linotype" w:cs="Palatino Linotype"/>
          <w:b/>
          <w:sz w:val="22"/>
          <w:szCs w:val="22"/>
        </w:rPr>
      </w:pPr>
      <w:r w:rsidRPr="003D3056">
        <w:rPr>
          <w:rFonts w:ascii="Palatino Linotype" w:eastAsia="Palatino Linotype" w:hAnsi="Palatino Linotype" w:cs="Palatino Linotype"/>
          <w:b/>
          <w:sz w:val="22"/>
          <w:szCs w:val="22"/>
        </w:rPr>
        <w:t xml:space="preserve">Tercero. Materia de la revisión. </w:t>
      </w:r>
      <w:r w:rsidRPr="003D305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D3056">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3D3056">
        <w:rPr>
          <w:rFonts w:ascii="Palatino Linotype" w:eastAsia="Palatino Linotype" w:hAnsi="Palatino Linotype" w:cs="Palatino Linotype"/>
          <w:sz w:val="22"/>
          <w:szCs w:val="22"/>
        </w:rPr>
        <w:t xml:space="preserve">de la parte </w:t>
      </w:r>
      <w:r w:rsidRPr="003D3056">
        <w:rPr>
          <w:rFonts w:ascii="Palatino Linotype" w:eastAsia="Palatino Linotype" w:hAnsi="Palatino Linotype" w:cs="Palatino Linotype"/>
          <w:b/>
          <w:sz w:val="22"/>
          <w:szCs w:val="22"/>
        </w:rPr>
        <w:t>Recurrente</w:t>
      </w:r>
      <w:r w:rsidRPr="003D3056">
        <w:rPr>
          <w:rFonts w:ascii="Palatino Linotype" w:eastAsia="Palatino Linotype" w:hAnsi="Palatino Linotype" w:cs="Palatino Linotype"/>
          <w:sz w:val="22"/>
          <w:szCs w:val="22"/>
        </w:rPr>
        <w:t>, o en su defecto, en caso de ser procedente, ordenar la entrega de información.</w:t>
      </w:r>
    </w:p>
    <w:p w14:paraId="71649FB8"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3D3056">
        <w:rPr>
          <w:rFonts w:ascii="Palatino Linotype" w:eastAsia="Palatino Linotype" w:hAnsi="Palatino Linotype" w:cs="Palatino Linotype"/>
          <w:b/>
          <w:sz w:val="22"/>
          <w:szCs w:val="22"/>
        </w:rPr>
        <w:lastRenderedPageBreak/>
        <w:t xml:space="preserve">Cuarto. Estudio del asunto. </w:t>
      </w:r>
      <w:r w:rsidRPr="003D3056">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C505513"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Artículo 4</w:t>
      </w:r>
      <w:r w:rsidRPr="003D305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0DC7DDC"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D305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D55775"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D3056">
        <w:rPr>
          <w:rFonts w:ascii="Palatino Linotype" w:eastAsia="Palatino Linotype" w:hAnsi="Palatino Linotype" w:cs="Palatino Linotype"/>
          <w:i/>
          <w:sz w:val="22"/>
          <w:szCs w:val="22"/>
        </w:rPr>
        <w:t>.”</w:t>
      </w:r>
    </w:p>
    <w:p w14:paraId="74890B20"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87CD2D8"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lastRenderedPageBreak/>
        <w:t>“Artículo 12.-</w:t>
      </w:r>
      <w:r w:rsidRPr="003D305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7B18AFF"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D3056">
        <w:rPr>
          <w:rFonts w:ascii="Palatino Linotype" w:eastAsia="Palatino Linotype" w:hAnsi="Palatino Linotype" w:cs="Palatino Linotype"/>
          <w:i/>
          <w:sz w:val="22"/>
          <w:szCs w:val="22"/>
        </w:rPr>
        <w:t xml:space="preserve">. </w:t>
      </w:r>
      <w:r w:rsidRPr="003D305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12E535E" w14:textId="77777777" w:rsidR="00BB1403" w:rsidRPr="003D3056" w:rsidRDefault="003A56BC" w:rsidP="00AD6C1C">
      <w:pPr>
        <w:spacing w:before="240" w:after="240" w:line="360" w:lineRule="auto"/>
        <w:ind w:right="-93"/>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9412B5F" w14:textId="60497974" w:rsidR="00BB1403" w:rsidRPr="003D3056" w:rsidRDefault="003A56BC" w:rsidP="00AD6C1C">
      <w:pPr>
        <w:spacing w:before="240" w:after="240" w:line="360" w:lineRule="auto"/>
        <w:jc w:val="both"/>
        <w:rPr>
          <w:rFonts w:ascii="Palatino Linotype" w:eastAsia="Palatino Linotype" w:hAnsi="Palatino Linotype" w:cs="Palatino Linotype"/>
          <w:b/>
          <w:sz w:val="22"/>
          <w:szCs w:val="22"/>
        </w:rPr>
      </w:pPr>
      <w:r w:rsidRPr="003D3056">
        <w:rPr>
          <w:rFonts w:ascii="Palatino Linotype" w:eastAsia="Palatino Linotype" w:hAnsi="Palatino Linotype" w:cs="Palatino Linotype"/>
          <w:sz w:val="22"/>
          <w:szCs w:val="22"/>
        </w:rPr>
        <w:t>Sirve de apoyo a lo anterior, el criterio</w:t>
      </w:r>
      <w:r w:rsidR="00DD6B74" w:rsidRPr="003D3056">
        <w:rPr>
          <w:rFonts w:ascii="Palatino Linotype" w:eastAsia="Palatino Linotype" w:hAnsi="Palatino Linotype" w:cs="Palatino Linotype"/>
          <w:sz w:val="22"/>
          <w:szCs w:val="22"/>
        </w:rPr>
        <w:t xml:space="preserve"> orientador </w:t>
      </w:r>
      <w:r w:rsidRPr="003D3056">
        <w:rPr>
          <w:rFonts w:ascii="Palatino Linotype" w:eastAsia="Palatino Linotype" w:hAnsi="Palatino Linotype" w:cs="Palatino Linotype"/>
          <w:sz w:val="22"/>
          <w:szCs w:val="22"/>
        </w:rPr>
        <w:t xml:space="preserve">03/17, emitido por el </w:t>
      </w:r>
      <w:r w:rsidR="00DD6B74" w:rsidRPr="003D3056">
        <w:rPr>
          <w:rFonts w:ascii="Palatino Linotype" w:eastAsia="Palatino Linotype" w:hAnsi="Palatino Linotype" w:cs="Palatino Linotype"/>
          <w:sz w:val="22"/>
          <w:szCs w:val="22"/>
        </w:rPr>
        <w:t xml:space="preserve">entonces </w:t>
      </w:r>
      <w:r w:rsidRPr="003D3056">
        <w:rPr>
          <w:rFonts w:ascii="Palatino Linotype" w:eastAsia="Palatino Linotype" w:hAnsi="Palatino Linotype" w:cs="Palatino Linotype"/>
          <w:sz w:val="22"/>
          <w:szCs w:val="22"/>
        </w:rPr>
        <w:t>Instituto Nacional de Transparencia, Acceso a la Información y Protección de Datos Personales, que por rubro y texto, dispone lo siguiente:</w:t>
      </w:r>
      <w:r w:rsidRPr="003D3056">
        <w:rPr>
          <w:rFonts w:ascii="Palatino Linotype" w:eastAsia="Palatino Linotype" w:hAnsi="Palatino Linotype" w:cs="Palatino Linotype"/>
          <w:b/>
          <w:sz w:val="22"/>
          <w:szCs w:val="22"/>
        </w:rPr>
        <w:t xml:space="preserve"> </w:t>
      </w:r>
    </w:p>
    <w:p w14:paraId="7429967A"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No existe obligación de elaborar documentos ad hoc para atender las solicitudes de acceso a la información.</w:t>
      </w:r>
      <w:r w:rsidRPr="003D305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7A7EC4A5"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4AF7BB"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30EC2A3"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 xml:space="preserve">Artículo 3. </w:t>
      </w:r>
      <w:r w:rsidRPr="003D3056">
        <w:rPr>
          <w:rFonts w:ascii="Palatino Linotype" w:eastAsia="Palatino Linotype" w:hAnsi="Palatino Linotype" w:cs="Palatino Linotype"/>
          <w:i/>
          <w:sz w:val="22"/>
          <w:szCs w:val="22"/>
        </w:rPr>
        <w:t>Para los efectos de la presente Ley se entenderá por:</w:t>
      </w:r>
    </w:p>
    <w:p w14:paraId="384DAAE0"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p>
    <w:p w14:paraId="16A12E0B"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XI. Documento:</w:t>
      </w:r>
      <w:r w:rsidRPr="003D3056">
        <w:rPr>
          <w:rFonts w:ascii="Palatino Linotype" w:eastAsia="Palatino Linotype" w:hAnsi="Palatino Linotype" w:cs="Palatino Linotype"/>
          <w:i/>
          <w:sz w:val="22"/>
          <w:szCs w:val="22"/>
        </w:rPr>
        <w:t xml:space="preserve"> Los expedientes, reportes, estudios, actas</w:t>
      </w:r>
      <w:r w:rsidRPr="003D3056">
        <w:rPr>
          <w:rFonts w:ascii="Palatino Linotype" w:eastAsia="Palatino Linotype" w:hAnsi="Palatino Linotype" w:cs="Palatino Linotype"/>
          <w:b/>
          <w:i/>
          <w:sz w:val="22"/>
          <w:szCs w:val="22"/>
        </w:rPr>
        <w:t>,</w:t>
      </w:r>
      <w:r w:rsidRPr="003D305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070073B"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Es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3D3056">
        <w:rPr>
          <w:rFonts w:ascii="Palatino Linotype" w:eastAsia="Palatino Linotype" w:hAnsi="Palatino Linotype" w:cs="Palatino Linotype"/>
          <w:sz w:val="22"/>
          <w:szCs w:val="22"/>
        </w:rPr>
        <w:lastRenderedPageBreak/>
        <w:t>del Estado Libre y Soberano de México “Gaceta del Gobierno”, el diecinueve de octubre de dos mil once, cuyo rubro y texto refieren lo siguiente:</w:t>
      </w:r>
    </w:p>
    <w:p w14:paraId="24D234DB"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sz w:val="22"/>
          <w:szCs w:val="22"/>
        </w:rPr>
        <w:t>“</w:t>
      </w:r>
      <w:r w:rsidRPr="003D305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D30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4287E8"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6649AA9"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C8E14E4"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1C46450"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6494A13" w14:textId="77777777" w:rsidR="00BB1403" w:rsidRPr="003D3056" w:rsidRDefault="003A56BC" w:rsidP="00AD6C1C">
      <w:pPr>
        <w:spacing w:before="240" w:after="240" w:line="360" w:lineRule="auto"/>
        <w:ind w:right="51"/>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4AB7BDE"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1BBB9A2" w14:textId="77777777" w:rsidR="00BB1403" w:rsidRPr="003D3056" w:rsidRDefault="003A56BC" w:rsidP="00AD6C1C">
      <w:pPr>
        <w:spacing w:before="240" w:after="240" w:line="360" w:lineRule="auto"/>
        <w:ind w:right="51"/>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3D3056">
        <w:rPr>
          <w:rFonts w:ascii="Palatino Linotype" w:eastAsia="Palatino Linotype" w:hAnsi="Palatino Linotype" w:cs="Palatino Linotype"/>
          <w:b/>
          <w:sz w:val="22"/>
          <w:szCs w:val="22"/>
        </w:rPr>
        <w:t>Recurrente</w:t>
      </w:r>
      <w:r w:rsidRPr="003D3056">
        <w:rPr>
          <w:rFonts w:ascii="Palatino Linotype" w:eastAsia="Palatino Linotype" w:hAnsi="Palatino Linotype" w:cs="Palatino Linotype"/>
          <w:sz w:val="22"/>
          <w:szCs w:val="22"/>
        </w:rPr>
        <w:t xml:space="preserve"> requirió al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le proporcione, información consistente en lo siguiente:</w:t>
      </w:r>
    </w:p>
    <w:p w14:paraId="6EBE035A" w14:textId="6B718DE4" w:rsidR="00101231" w:rsidRPr="003D3056" w:rsidRDefault="00101231" w:rsidP="00AD6C1C">
      <w:pPr>
        <w:spacing w:before="240" w:after="240" w:line="360" w:lineRule="auto"/>
        <w:ind w:left="426" w:right="51"/>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1. </w:t>
      </w:r>
      <w:r w:rsidR="00DD6B74" w:rsidRPr="003D3056">
        <w:rPr>
          <w:rFonts w:ascii="Palatino Linotype" w:eastAsia="Palatino Linotype" w:hAnsi="Palatino Linotype" w:cs="Palatino Linotype"/>
          <w:sz w:val="22"/>
          <w:szCs w:val="22"/>
        </w:rPr>
        <w:t>Informe de</w:t>
      </w:r>
      <w:r w:rsidR="008E5955" w:rsidRPr="003D3056">
        <w:rPr>
          <w:rFonts w:ascii="Palatino Linotype" w:eastAsia="Palatino Linotype" w:hAnsi="Palatino Linotype" w:cs="Palatino Linotype"/>
          <w:sz w:val="22"/>
          <w:szCs w:val="22"/>
        </w:rPr>
        <w:t xml:space="preserve"> cumplim</w:t>
      </w:r>
      <w:r w:rsidR="00B22E50" w:rsidRPr="003D3056">
        <w:rPr>
          <w:rFonts w:ascii="Palatino Linotype" w:eastAsia="Palatino Linotype" w:hAnsi="Palatino Linotype" w:cs="Palatino Linotype"/>
          <w:sz w:val="22"/>
          <w:szCs w:val="22"/>
        </w:rPr>
        <w:t>iento de la Recomendación 04</w:t>
      </w:r>
      <w:r w:rsidR="00B22E50" w:rsidRPr="003D3056">
        <w:rPr>
          <w:rFonts w:ascii="Palatino Linotype" w:eastAsia="Palatino Linotype" w:hAnsi="Palatino Linotype" w:cs="Palatino Linotype"/>
          <w:b/>
          <w:sz w:val="22"/>
          <w:szCs w:val="22"/>
          <w:u w:val="single"/>
        </w:rPr>
        <w:t>/200</w:t>
      </w:r>
      <w:r w:rsidR="008E5955" w:rsidRPr="003D3056">
        <w:rPr>
          <w:rFonts w:ascii="Palatino Linotype" w:eastAsia="Palatino Linotype" w:hAnsi="Palatino Linotype" w:cs="Palatino Linotype"/>
          <w:b/>
          <w:sz w:val="22"/>
          <w:szCs w:val="22"/>
          <w:u w:val="single"/>
        </w:rPr>
        <w:t>4</w:t>
      </w:r>
      <w:r w:rsidRPr="003D3056">
        <w:rPr>
          <w:rFonts w:ascii="Palatino Linotype" w:eastAsia="Palatino Linotype" w:hAnsi="Palatino Linotype" w:cs="Palatino Linotype"/>
          <w:b/>
          <w:sz w:val="22"/>
          <w:szCs w:val="22"/>
          <w:u w:val="single"/>
        </w:rPr>
        <w:t>.</w:t>
      </w:r>
    </w:p>
    <w:p w14:paraId="2CBEE8FC" w14:textId="77777777" w:rsidR="00DD6B74" w:rsidRPr="003D3056" w:rsidRDefault="003A56BC"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El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 xml:space="preserve">por conducto de la Unidad de Transparencia hizo del conocimiento de la persona solicitante que </w:t>
      </w:r>
      <w:r w:rsidR="00DD6B74" w:rsidRPr="003D3056">
        <w:rPr>
          <w:rFonts w:ascii="Palatino Linotype" w:hAnsi="Palatino Linotype"/>
          <w:sz w:val="22"/>
          <w:szCs w:val="22"/>
        </w:rPr>
        <w:t>la Secretaría del Ayuntamiento, informó q</w:t>
      </w:r>
      <w:r w:rsidR="00DD6B74" w:rsidRPr="003D3056">
        <w:rPr>
          <w:rFonts w:ascii="Palatino Linotype" w:eastAsia="Palatino Linotype" w:hAnsi="Palatino Linotype" w:cs="Palatino Linotype"/>
          <w:sz w:val="22"/>
          <w:szCs w:val="22"/>
        </w:rPr>
        <w:t xml:space="preserve">ue derivado de la información requerida, es de informar que se realizó una búsqueda en los archivos con los que se cuentan, pero no de encontró documento alguno que dé cuenta de los solicitado, además informa que se cuenta con una instancia especializada en derechos humanos, siendo esta la defensoría municipal de derechos humanos, por lo que sugiere solicitar la información ante tal instancia. </w:t>
      </w:r>
    </w:p>
    <w:p w14:paraId="68516B51" w14:textId="17E26B74" w:rsidR="00DD6B74" w:rsidRPr="003D3056" w:rsidRDefault="00DD6B74"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Por otra parte, la Defensora Municipal del Derechos Humanos, señala que después de una exhaustiva y minuciosa búsqueda, dentro de sus archivos, en el periodo comprendido del veintiuno de marzo de dos mil veinticuatro al veintiuno de marzo de dos mil veinticinco, </w:t>
      </w:r>
      <w:r w:rsidRPr="003D3056">
        <w:rPr>
          <w:rFonts w:ascii="Palatino Linotype" w:eastAsia="Palatino Linotype" w:hAnsi="Palatino Linotype" w:cs="Palatino Linotype"/>
          <w:sz w:val="22"/>
          <w:szCs w:val="22"/>
        </w:rPr>
        <w:lastRenderedPageBreak/>
        <w:t>no se localizó archivo o documento denominado “Informe de cumplimiento a la recomendación</w:t>
      </w:r>
      <w:r w:rsidRPr="003D3056">
        <w:rPr>
          <w:rFonts w:ascii="Palatino Linotype" w:eastAsia="Palatino Linotype" w:hAnsi="Palatino Linotype" w:cs="Palatino Linotype"/>
          <w:b/>
          <w:sz w:val="22"/>
          <w:szCs w:val="22"/>
          <w:u w:val="single"/>
        </w:rPr>
        <w:t xml:space="preserve"> 04/2004</w:t>
      </w:r>
      <w:r w:rsidRPr="003D3056">
        <w:rPr>
          <w:rFonts w:ascii="Palatino Linotype" w:eastAsia="Palatino Linotype" w:hAnsi="Palatino Linotype" w:cs="Palatino Linotype"/>
          <w:sz w:val="22"/>
          <w:szCs w:val="22"/>
        </w:rPr>
        <w:t xml:space="preserve">”, por lo que se encuentra material y jurídicamente imposibilitada a brindar la información solicitada. </w:t>
      </w:r>
    </w:p>
    <w:p w14:paraId="2B42BF94" w14:textId="31AF7A8B" w:rsidR="00DD6B74" w:rsidRPr="003D3056" w:rsidRDefault="003A56BC"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Al no estar conforme con los términos de la respuesta emitida, la parte </w:t>
      </w:r>
      <w:r w:rsidRPr="003D3056">
        <w:rPr>
          <w:rFonts w:ascii="Palatino Linotype" w:eastAsia="Palatino Linotype" w:hAnsi="Palatino Linotype" w:cs="Palatino Linotype"/>
          <w:b/>
          <w:sz w:val="22"/>
          <w:szCs w:val="22"/>
        </w:rPr>
        <w:t xml:space="preserve">Recurrente </w:t>
      </w:r>
      <w:r w:rsidRPr="003D3056">
        <w:rPr>
          <w:rFonts w:ascii="Palatino Linotype" w:eastAsia="Palatino Linotype" w:hAnsi="Palatino Linotype" w:cs="Palatino Linotype"/>
          <w:sz w:val="22"/>
          <w:szCs w:val="22"/>
        </w:rPr>
        <w:t xml:space="preserve">interpuso el recurso de revisión que nos ocupa, donde señaló como motivo de inconformidad, </w:t>
      </w:r>
      <w:r w:rsidR="00101231" w:rsidRPr="003D3056">
        <w:rPr>
          <w:rFonts w:ascii="Palatino Linotype" w:eastAsia="Palatino Linotype" w:hAnsi="Palatino Linotype" w:cs="Palatino Linotype"/>
          <w:sz w:val="22"/>
          <w:szCs w:val="22"/>
        </w:rPr>
        <w:t xml:space="preserve">que el </w:t>
      </w:r>
      <w:r w:rsidR="00101231" w:rsidRPr="003D3056">
        <w:rPr>
          <w:rFonts w:ascii="Palatino Linotype" w:eastAsia="Palatino Linotype" w:hAnsi="Palatino Linotype" w:cs="Palatino Linotype"/>
          <w:b/>
          <w:bCs/>
          <w:sz w:val="22"/>
          <w:szCs w:val="22"/>
        </w:rPr>
        <w:t>Sujeto Obligado</w:t>
      </w:r>
      <w:r w:rsidR="00101231" w:rsidRPr="003D3056">
        <w:rPr>
          <w:rFonts w:ascii="Palatino Linotype" w:eastAsia="Palatino Linotype" w:hAnsi="Palatino Linotype" w:cs="Palatino Linotype"/>
          <w:sz w:val="22"/>
          <w:szCs w:val="22"/>
        </w:rPr>
        <w:t xml:space="preserve"> </w:t>
      </w:r>
      <w:r w:rsidR="00DD6B74" w:rsidRPr="003D3056">
        <w:rPr>
          <w:rFonts w:ascii="Palatino Linotype" w:eastAsia="Palatino Linotype" w:hAnsi="Palatino Linotype" w:cs="Palatino Linotype"/>
          <w:sz w:val="22"/>
          <w:szCs w:val="22"/>
        </w:rPr>
        <w:t xml:space="preserve">no turnó la solicitud a la Defensoría de Derechos Humanos. </w:t>
      </w:r>
    </w:p>
    <w:p w14:paraId="293BBB86" w14:textId="77777777" w:rsidR="00BB1403" w:rsidRPr="003D3056" w:rsidRDefault="003A56BC" w:rsidP="00AD6C1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Durante el periodo de manifestaciones el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 xml:space="preserve">ratificó en lo sustancial la respuesta emitida en primera instancia, y la parte </w:t>
      </w:r>
      <w:r w:rsidRPr="003D3056">
        <w:rPr>
          <w:rFonts w:ascii="Palatino Linotype" w:eastAsia="Palatino Linotype" w:hAnsi="Palatino Linotype" w:cs="Palatino Linotype"/>
          <w:b/>
          <w:sz w:val="22"/>
          <w:szCs w:val="22"/>
        </w:rPr>
        <w:t xml:space="preserve">Recurrente </w:t>
      </w:r>
      <w:r w:rsidRPr="003D3056">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7395C098"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 xml:space="preserve">en contraposición con el motivo de inconformidad alegado por la parte </w:t>
      </w:r>
      <w:r w:rsidRPr="003D3056">
        <w:rPr>
          <w:rFonts w:ascii="Palatino Linotype" w:eastAsia="Palatino Linotype" w:hAnsi="Palatino Linotype" w:cs="Palatino Linotype"/>
          <w:b/>
          <w:sz w:val="22"/>
          <w:szCs w:val="22"/>
        </w:rPr>
        <w:t xml:space="preserve">Recurrente, </w:t>
      </w:r>
      <w:r w:rsidRPr="003D3056">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30A7AE8" w14:textId="77777777" w:rsidR="00BB1403" w:rsidRPr="003D3056" w:rsidRDefault="003A56BC"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41A0181"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4B888EF" w14:textId="77777777" w:rsidR="00BB1403" w:rsidRPr="003D3056" w:rsidRDefault="003A56BC" w:rsidP="00AD6C1C">
      <w:pPr>
        <w:spacing w:before="240" w:after="240" w:line="360" w:lineRule="auto"/>
        <w:ind w:right="51"/>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3669EED9"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w:t>
      </w:r>
      <w:r w:rsidRPr="003D3056">
        <w:rPr>
          <w:rFonts w:ascii="Palatino Linotype" w:eastAsia="Palatino Linotype" w:hAnsi="Palatino Linotype" w:cs="Palatino Linotype"/>
          <w:sz w:val="22"/>
          <w:szCs w:val="22"/>
        </w:rPr>
        <w:lastRenderedPageBreak/>
        <w:t>una vez localizada, la misma sea proporcionada a las personas solicitantes atendiendo a la naturaleza jurídica de la misma.</w:t>
      </w:r>
    </w:p>
    <w:p w14:paraId="6E142A51" w14:textId="4452AA9F" w:rsidR="0054277C" w:rsidRPr="003D3056" w:rsidRDefault="003A56BC"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w:t>
      </w:r>
      <w:r w:rsidR="00DD6B74" w:rsidRPr="003D3056">
        <w:rPr>
          <w:rFonts w:ascii="Palatino Linotype" w:eastAsia="Palatino Linotype" w:hAnsi="Palatino Linotype" w:cs="Palatino Linotype"/>
          <w:sz w:val="22"/>
          <w:szCs w:val="22"/>
        </w:rPr>
        <w:t xml:space="preserve">SÍ </w:t>
      </w:r>
      <w:r w:rsidRPr="003D3056">
        <w:rPr>
          <w:rFonts w:ascii="Palatino Linotype" w:eastAsia="Palatino Linotype" w:hAnsi="Palatino Linotype" w:cs="Palatino Linotype"/>
          <w:sz w:val="22"/>
          <w:szCs w:val="22"/>
        </w:rPr>
        <w:t>turnó la solicitud para su atención a</w:t>
      </w:r>
      <w:r w:rsidR="00A04930" w:rsidRPr="003D3056">
        <w:rPr>
          <w:rFonts w:ascii="Palatino Linotype" w:eastAsia="Palatino Linotype" w:hAnsi="Palatino Linotype" w:cs="Palatino Linotype"/>
          <w:sz w:val="22"/>
          <w:szCs w:val="22"/>
        </w:rPr>
        <w:t xml:space="preserve"> la </w:t>
      </w:r>
      <w:r w:rsidR="00A04930" w:rsidRPr="003D3056">
        <w:rPr>
          <w:rFonts w:ascii="Palatino Linotype" w:hAnsi="Palatino Linotype"/>
          <w:sz w:val="22"/>
          <w:szCs w:val="22"/>
        </w:rPr>
        <w:t>Defensoría Municipal de los Derechos Humanos</w:t>
      </w:r>
      <w:r w:rsidR="0054277C" w:rsidRPr="003D3056">
        <w:rPr>
          <w:rFonts w:ascii="Palatino Linotype" w:eastAsia="Palatino Linotype" w:hAnsi="Palatino Linotype" w:cs="Palatino Linotype"/>
          <w:sz w:val="22"/>
          <w:szCs w:val="22"/>
        </w:rPr>
        <w:t xml:space="preserve">, </w:t>
      </w:r>
      <w:r w:rsidRPr="003D3056">
        <w:rPr>
          <w:rFonts w:ascii="Palatino Linotype" w:eastAsia="Palatino Linotype" w:hAnsi="Palatino Linotype" w:cs="Palatino Linotype"/>
          <w:sz w:val="22"/>
          <w:szCs w:val="22"/>
        </w:rPr>
        <w:t>como se desprende del apartado de Requerimientos del SAIMEX</w:t>
      </w:r>
      <w:r w:rsidR="0054277C" w:rsidRPr="003D3056">
        <w:rPr>
          <w:rFonts w:ascii="Palatino Linotype" w:eastAsia="Palatino Linotype" w:hAnsi="Palatino Linotype" w:cs="Palatino Linotype"/>
          <w:sz w:val="22"/>
          <w:szCs w:val="22"/>
        </w:rPr>
        <w:t>:</w:t>
      </w:r>
    </w:p>
    <w:p w14:paraId="3C906821" w14:textId="12EEDD86" w:rsidR="00DD6B74" w:rsidRPr="003D3056" w:rsidRDefault="00DD6B74"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noProof/>
          <w:sz w:val="22"/>
          <w:szCs w:val="22"/>
        </w:rPr>
        <w:drawing>
          <wp:inline distT="0" distB="0" distL="0" distR="0" wp14:anchorId="70B521F0" wp14:editId="205A8EAA">
            <wp:extent cx="5612130" cy="13360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36040"/>
                    </a:xfrm>
                    <a:prstGeom prst="rect">
                      <a:avLst/>
                    </a:prstGeom>
                  </pic:spPr>
                </pic:pic>
              </a:graphicData>
            </a:graphic>
          </wp:inline>
        </w:drawing>
      </w:r>
    </w:p>
    <w:p w14:paraId="2189957E" w14:textId="688987D6" w:rsidR="0054277C" w:rsidRPr="003D3056" w:rsidRDefault="00DD6B74" w:rsidP="00AD6C1C">
      <w:pPr>
        <w:spacing w:before="240" w:after="240" w:line="360" w:lineRule="auto"/>
        <w:ind w:right="49"/>
        <w:jc w:val="center"/>
        <w:rPr>
          <w:rFonts w:ascii="Palatino Linotype" w:eastAsia="Palatino Linotype" w:hAnsi="Palatino Linotype" w:cs="Palatino Linotype"/>
          <w:sz w:val="22"/>
          <w:szCs w:val="22"/>
        </w:rPr>
      </w:pPr>
      <w:r w:rsidRPr="003D3056">
        <w:rPr>
          <w:rFonts w:ascii="Palatino Linotype" w:eastAsia="Palatino Linotype" w:hAnsi="Palatino Linotype" w:cs="Palatino Linotype"/>
          <w:noProof/>
          <w:sz w:val="22"/>
          <w:szCs w:val="22"/>
        </w:rPr>
        <w:drawing>
          <wp:inline distT="0" distB="0" distL="0" distR="0" wp14:anchorId="7F2D00B1" wp14:editId="7C809257">
            <wp:extent cx="5410478" cy="36387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0478" cy="3638737"/>
                    </a:xfrm>
                    <a:prstGeom prst="rect">
                      <a:avLst/>
                    </a:prstGeom>
                  </pic:spPr>
                </pic:pic>
              </a:graphicData>
            </a:graphic>
          </wp:inline>
        </w:drawing>
      </w:r>
    </w:p>
    <w:p w14:paraId="63F14A4B" w14:textId="51DE9C59" w:rsidR="00155CA0" w:rsidRPr="003D3056" w:rsidRDefault="00155CA0"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lastRenderedPageBreak/>
        <w:t>Por lo que, al haber turnado la solicitud a la Defensora Municipal de Derechos Humanos, se advierte que el Sujeto Obligado cumplió con lo que disponen los artículos 151, 160, 162, 164, 165 y 166, de la Ley de Transparencia y Acceso a la Información Pública del Estado de México y Municipios:</w:t>
      </w:r>
    </w:p>
    <w:p w14:paraId="5B746E74" w14:textId="77777777" w:rsidR="00155CA0" w:rsidRPr="003D3056" w:rsidRDefault="00155CA0" w:rsidP="00AD6C1C">
      <w:pPr>
        <w:pStyle w:val="NormalWeb"/>
        <w:spacing w:before="240" w:beforeAutospacing="0" w:after="240" w:afterAutospacing="0" w:line="360" w:lineRule="auto"/>
        <w:ind w:left="284" w:right="191"/>
        <w:jc w:val="both"/>
        <w:rPr>
          <w:rFonts w:ascii="Palatino Linotype" w:hAnsi="Palatino Linotype"/>
          <w:sz w:val="22"/>
          <w:szCs w:val="22"/>
        </w:rPr>
      </w:pPr>
      <w:r w:rsidRPr="003D3056">
        <w:rPr>
          <w:rFonts w:ascii="Palatino Linotype" w:hAnsi="Palatino Linotype"/>
          <w:sz w:val="22"/>
          <w:szCs w:val="22"/>
        </w:rPr>
        <w:t>•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1CBE2E89" w14:textId="77777777" w:rsidR="00155CA0" w:rsidRPr="003D3056" w:rsidRDefault="00155CA0" w:rsidP="00AD6C1C">
      <w:pPr>
        <w:pStyle w:val="NormalWeb"/>
        <w:spacing w:before="240" w:beforeAutospacing="0" w:after="240" w:afterAutospacing="0" w:line="360" w:lineRule="auto"/>
        <w:ind w:left="284" w:right="191"/>
        <w:jc w:val="both"/>
        <w:rPr>
          <w:rFonts w:ascii="Palatino Linotype" w:hAnsi="Palatino Linotype"/>
          <w:sz w:val="22"/>
          <w:szCs w:val="22"/>
        </w:rPr>
      </w:pPr>
      <w:r w:rsidRPr="003D3056">
        <w:rPr>
          <w:rFonts w:ascii="Palatino Linotype" w:hAnsi="Palatino Linotype"/>
          <w:sz w:val="22"/>
          <w:szCs w:val="22"/>
        </w:rPr>
        <w:t>•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70C01CE" w14:textId="77777777" w:rsidR="00155CA0" w:rsidRPr="003D3056" w:rsidRDefault="00155CA0" w:rsidP="00AD6C1C">
      <w:pPr>
        <w:pStyle w:val="NormalWeb"/>
        <w:spacing w:before="240" w:beforeAutospacing="0" w:after="240" w:afterAutospacing="0" w:line="360" w:lineRule="auto"/>
        <w:ind w:left="284" w:right="191"/>
        <w:jc w:val="both"/>
        <w:rPr>
          <w:rFonts w:ascii="Palatino Linotype" w:hAnsi="Palatino Linotype"/>
          <w:sz w:val="22"/>
          <w:szCs w:val="22"/>
        </w:rPr>
      </w:pPr>
      <w:r w:rsidRPr="003D3056">
        <w:rPr>
          <w:rFonts w:ascii="Palatino Linotype" w:hAnsi="Palatino Linotype"/>
          <w:sz w:val="22"/>
          <w:szCs w:val="22"/>
        </w:rPr>
        <w:t>•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2AE12FB" w14:textId="77777777" w:rsidR="00155CA0" w:rsidRPr="003D3056" w:rsidRDefault="00155CA0" w:rsidP="00AD6C1C">
      <w:pPr>
        <w:pStyle w:val="NormalWeb"/>
        <w:spacing w:before="240" w:beforeAutospacing="0" w:after="240" w:afterAutospacing="0" w:line="360" w:lineRule="auto"/>
        <w:ind w:left="284" w:right="191"/>
        <w:jc w:val="both"/>
        <w:rPr>
          <w:rFonts w:ascii="Palatino Linotype" w:hAnsi="Palatino Linotype"/>
          <w:sz w:val="22"/>
          <w:szCs w:val="22"/>
        </w:rPr>
      </w:pPr>
      <w:r w:rsidRPr="003D3056">
        <w:rPr>
          <w:rFonts w:ascii="Palatino Linotype" w:hAnsi="Palatino Linotype"/>
          <w:sz w:val="22"/>
          <w:szCs w:val="22"/>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1B066A5" w14:textId="2497F8AA" w:rsidR="00155CA0" w:rsidRPr="003D3056" w:rsidRDefault="00155CA0" w:rsidP="00AD6C1C">
      <w:pPr>
        <w:pStyle w:val="NormalWeb"/>
        <w:spacing w:before="240" w:beforeAutospacing="0" w:after="240" w:afterAutospacing="0" w:line="360" w:lineRule="auto"/>
        <w:ind w:right="191"/>
        <w:jc w:val="both"/>
        <w:rPr>
          <w:rFonts w:ascii="Palatino Linotype" w:hAnsi="Palatino Linotype"/>
          <w:sz w:val="22"/>
          <w:szCs w:val="22"/>
        </w:rPr>
      </w:pPr>
      <w:r w:rsidRPr="003D3056">
        <w:rPr>
          <w:rFonts w:ascii="Palatino Linotype" w:hAnsi="Palatino Linotype"/>
          <w:sz w:val="22"/>
          <w:szCs w:val="22"/>
        </w:rPr>
        <w:lastRenderedPageBreak/>
        <w:t xml:space="preserve">En este orden de ideas, se reitera que la Unidad de Transparencia siguió el procedimiento que establece el artículo 162 de la Ley de Transparencia Local, ya que turnó la solicitud de información a la Defensora Municipal de Derechos Humanos. </w:t>
      </w:r>
    </w:p>
    <w:p w14:paraId="6B7B002D" w14:textId="628392F3" w:rsidR="00DD6B74" w:rsidRPr="003D3056" w:rsidRDefault="00ED67DE" w:rsidP="00AD6C1C">
      <w:pPr>
        <w:pStyle w:val="NormalWeb"/>
        <w:spacing w:before="240" w:beforeAutospacing="0" w:after="240" w:afterAutospacing="0" w:line="360" w:lineRule="auto"/>
        <w:ind w:right="191"/>
        <w:jc w:val="both"/>
        <w:rPr>
          <w:rFonts w:ascii="Palatino Linotype" w:hAnsi="Palatino Linotype"/>
          <w:b/>
          <w:bCs/>
          <w:sz w:val="22"/>
          <w:szCs w:val="22"/>
          <w:u w:val="single"/>
        </w:rPr>
      </w:pPr>
      <w:r w:rsidRPr="003D3056">
        <w:rPr>
          <w:rFonts w:ascii="Palatino Linotype" w:hAnsi="Palatino Linotype"/>
          <w:sz w:val="22"/>
          <w:szCs w:val="22"/>
        </w:rPr>
        <w:t>Ahora bien, respecto a la</w:t>
      </w:r>
      <w:r w:rsidR="00155CA0" w:rsidRPr="003D3056">
        <w:rPr>
          <w:rFonts w:ascii="Palatino Linotype" w:hAnsi="Palatino Linotype"/>
          <w:sz w:val="22"/>
          <w:szCs w:val="22"/>
        </w:rPr>
        <w:t xml:space="preserve"> respuesta emitida por la Defensora Municipal de Derechos Humanos,  </w:t>
      </w:r>
      <w:r w:rsidRPr="003D3056">
        <w:rPr>
          <w:rFonts w:ascii="Palatino Linotype" w:hAnsi="Palatino Linotype"/>
          <w:b/>
          <w:bCs/>
          <w:sz w:val="22"/>
          <w:szCs w:val="22"/>
          <w:u w:val="single"/>
        </w:rPr>
        <w:t xml:space="preserve">en la que señala </w:t>
      </w:r>
      <w:r w:rsidR="00155CA0" w:rsidRPr="003D3056">
        <w:rPr>
          <w:rFonts w:ascii="Palatino Linotype" w:hAnsi="Palatino Linotype"/>
          <w:b/>
          <w:bCs/>
          <w:sz w:val="22"/>
          <w:szCs w:val="22"/>
          <w:u w:val="single"/>
        </w:rPr>
        <w:t xml:space="preserve">que No se localizó </w:t>
      </w:r>
      <w:r w:rsidRPr="003D3056">
        <w:rPr>
          <w:rFonts w:ascii="Palatino Linotype" w:hAnsi="Palatino Linotype"/>
          <w:b/>
          <w:bCs/>
          <w:sz w:val="22"/>
          <w:szCs w:val="22"/>
          <w:u w:val="single"/>
        </w:rPr>
        <w:t xml:space="preserve">el </w:t>
      </w:r>
      <w:r w:rsidR="00B22E50" w:rsidRPr="003D3056">
        <w:rPr>
          <w:rFonts w:ascii="Palatino Linotype" w:hAnsi="Palatino Linotype"/>
          <w:b/>
          <w:bCs/>
          <w:sz w:val="22"/>
          <w:szCs w:val="22"/>
          <w:u w:val="single"/>
        </w:rPr>
        <w:t>archivo o documento denominado “Informe de cumplimiento de la recomendación 04/2004</w:t>
      </w:r>
      <w:r w:rsidRPr="003D3056">
        <w:rPr>
          <w:rFonts w:ascii="Palatino Linotype" w:hAnsi="Palatino Linotype"/>
          <w:b/>
          <w:bCs/>
          <w:sz w:val="22"/>
          <w:szCs w:val="22"/>
          <w:u w:val="single"/>
        </w:rPr>
        <w:t xml:space="preserve">. </w:t>
      </w:r>
    </w:p>
    <w:p w14:paraId="6A1C4A28" w14:textId="329236C6" w:rsidR="0054277C" w:rsidRPr="003D3056" w:rsidRDefault="00ED67DE" w:rsidP="00AD6C1C">
      <w:pPr>
        <w:spacing w:before="240" w:after="240" w:line="360" w:lineRule="auto"/>
        <w:ind w:right="49"/>
        <w:jc w:val="both"/>
        <w:rPr>
          <w:rFonts w:ascii="Palatino Linotype" w:eastAsia="Palatino Linotype" w:hAnsi="Palatino Linotype" w:cs="Palatino Linotype"/>
          <w:b/>
          <w:bCs/>
          <w:sz w:val="22"/>
          <w:szCs w:val="22"/>
          <w:u w:val="single"/>
        </w:rPr>
      </w:pPr>
      <w:r w:rsidRPr="003D3056">
        <w:rPr>
          <w:rFonts w:ascii="Palatino Linotype" w:eastAsia="Palatino Linotype" w:hAnsi="Palatino Linotype" w:cs="Palatino Linotype"/>
          <w:sz w:val="22"/>
          <w:szCs w:val="22"/>
        </w:rPr>
        <w:t xml:space="preserve">Es de mencionar que </w:t>
      </w:r>
      <w:r w:rsidR="0054277C" w:rsidRPr="003D3056">
        <w:rPr>
          <w:rFonts w:ascii="Palatino Linotype" w:eastAsia="Palatino Linotype" w:hAnsi="Palatino Linotype" w:cs="Palatino Linotype"/>
          <w:sz w:val="22"/>
          <w:szCs w:val="22"/>
        </w:rPr>
        <w:t xml:space="preserve">de conformidad con los artículos 147 K, fracción VII de la Ley Orgánica Municipal del Estado de México, y 3.65 del Código Reglamentario Municipal de Toluca vigente, la persona titular de la Defensoría Municipal de los Derechos Humanos, tiene a atribución de coadyuvar con la Comisión de Derechos Humanos del Estado de México </w:t>
      </w:r>
      <w:r w:rsidR="0054277C" w:rsidRPr="003D3056">
        <w:rPr>
          <w:rFonts w:ascii="Palatino Linotype" w:eastAsia="Palatino Linotype" w:hAnsi="Palatino Linotype" w:cs="Palatino Linotype"/>
          <w:b/>
          <w:bCs/>
          <w:sz w:val="22"/>
          <w:szCs w:val="22"/>
          <w:u w:val="single"/>
        </w:rPr>
        <w:t>en el seguimiento a las solicitudes de informes y acciones que emanen de las quejas y de las recomendaciones que el organismo dicte en contra de autoridades o servidores públicos del municipio.</w:t>
      </w:r>
    </w:p>
    <w:p w14:paraId="7D26D0E9" w14:textId="45040821" w:rsidR="00701610" w:rsidRPr="003D3056" w:rsidRDefault="00701610"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Asimismo, el artículo 147 C de la Ley Orgánica Municipal del Estado de México, dispone que la Defensoría Municipal de los Derechos Humanos debe coordinarse con la Comisión de Derechos Humanos del Estado de México, para el ejercicio de sus funciones.</w:t>
      </w:r>
    </w:p>
    <w:p w14:paraId="6621DCA0" w14:textId="77777777" w:rsidR="002A29AE" w:rsidRPr="003D3056" w:rsidRDefault="00701610"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Por su parte, </w:t>
      </w:r>
      <w:r w:rsidR="00196BA4" w:rsidRPr="003D3056">
        <w:rPr>
          <w:rFonts w:ascii="Palatino Linotype" w:eastAsia="Palatino Linotype" w:hAnsi="Palatino Linotype" w:cs="Palatino Linotype"/>
          <w:sz w:val="22"/>
          <w:szCs w:val="22"/>
        </w:rPr>
        <w:t>la</w:t>
      </w:r>
      <w:r w:rsidRPr="003D3056">
        <w:rPr>
          <w:rFonts w:ascii="Palatino Linotype" w:eastAsia="Palatino Linotype" w:hAnsi="Palatino Linotype" w:cs="Palatino Linotype"/>
          <w:sz w:val="22"/>
          <w:szCs w:val="22"/>
        </w:rPr>
        <w:t xml:space="preserve"> Ley de la Comisión de Derechos Humanos del Estado de México, </w:t>
      </w:r>
      <w:r w:rsidR="00196BA4" w:rsidRPr="003D3056">
        <w:rPr>
          <w:rFonts w:ascii="Palatino Linotype" w:eastAsia="Palatino Linotype" w:hAnsi="Palatino Linotype" w:cs="Palatino Linotype"/>
          <w:sz w:val="22"/>
          <w:szCs w:val="22"/>
        </w:rPr>
        <w:t>establece en sus artículos 13, fracción VIII, 28, fracción XIV, y 99, fracción III, como atribución de la Comisión de Derechos Humanos del Estado de México, a través de la persona titular de la presidencia de dicho Organismo, la de formular recomendaciones</w:t>
      </w:r>
      <w:r w:rsidR="002A29AE" w:rsidRPr="003D3056">
        <w:rPr>
          <w:rFonts w:ascii="Palatino Linotype" w:eastAsia="Palatino Linotype" w:hAnsi="Palatino Linotype" w:cs="Palatino Linotype"/>
          <w:sz w:val="22"/>
          <w:szCs w:val="22"/>
        </w:rPr>
        <w:t xml:space="preserve"> cuando se comprueben violaciones a derechos humanos.</w:t>
      </w:r>
    </w:p>
    <w:p w14:paraId="3A048FD2" w14:textId="16950AAD" w:rsidR="002A29AE" w:rsidRPr="003D3056" w:rsidRDefault="00462831"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Una vez emitida la Recomendación, d</w:t>
      </w:r>
      <w:r w:rsidR="002A29AE" w:rsidRPr="003D3056">
        <w:rPr>
          <w:rFonts w:ascii="Palatino Linotype" w:eastAsia="Palatino Linotype" w:hAnsi="Palatino Linotype" w:cs="Palatino Linotype"/>
          <w:sz w:val="22"/>
          <w:szCs w:val="22"/>
        </w:rPr>
        <w:t xml:space="preserve">e conformidad con el artículo 104 de la Ley de la Comisión de Derechos Humanos del Estado de México y 100 del Reglamento Interno de la Comisión de Derechos Humanos del Estado de México, ésta debe notificarse al quejoso y al </w:t>
      </w:r>
      <w:r w:rsidR="002A29AE" w:rsidRPr="003D3056">
        <w:rPr>
          <w:rFonts w:ascii="Palatino Linotype" w:eastAsia="Palatino Linotype" w:hAnsi="Palatino Linotype" w:cs="Palatino Linotype"/>
          <w:sz w:val="22"/>
          <w:szCs w:val="22"/>
        </w:rPr>
        <w:lastRenderedPageBreak/>
        <w:t>superior jerárquico de las autoridades o servidores públicos relacionados con las violaciones a derechos humanos, dentro de los tres días hábiles siguientes, y en su caso, serán turnadas al Órgano Interno de Control correspondiente para que sea iniciado o continuado el procedimiento administrativo que contempla la Ley de Responsabilidades Administrativas del Estado de México y Municipios, asimismo, la recomendación debe darse a conocer a través de la página Web de la Comisión después de su notificación, en versión pública.</w:t>
      </w:r>
    </w:p>
    <w:p w14:paraId="32A4B794" w14:textId="28544CCC" w:rsidR="002A29AE" w:rsidRPr="003D3056" w:rsidRDefault="00462831"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Y, </w:t>
      </w:r>
      <w:r w:rsidR="002A29AE" w:rsidRPr="003D3056">
        <w:rPr>
          <w:rFonts w:ascii="Palatino Linotype" w:eastAsia="Palatino Linotype" w:hAnsi="Palatino Linotype" w:cs="Palatino Linotype"/>
          <w:sz w:val="22"/>
          <w:szCs w:val="22"/>
        </w:rPr>
        <w:t xml:space="preserve">recibida la notificación, la autoridad o el servidor público responsable, debe informar dentro de los quince días hábiles siguientes a su notificación, si acepta dicha Recomendación y </w:t>
      </w:r>
      <w:r w:rsidR="002A29AE" w:rsidRPr="003D3056">
        <w:rPr>
          <w:rFonts w:ascii="Palatino Linotype" w:eastAsia="Palatino Linotype" w:hAnsi="Palatino Linotype" w:cs="Palatino Linotype"/>
          <w:b/>
          <w:bCs/>
          <w:sz w:val="22"/>
          <w:szCs w:val="22"/>
          <w:u w:val="single"/>
        </w:rPr>
        <w:t>en quince días hábiles adicionales entregar, en su caso, las pruebas que demuestren su cumplimiento</w:t>
      </w:r>
      <w:r w:rsidR="002A29AE" w:rsidRPr="003D3056">
        <w:rPr>
          <w:rFonts w:ascii="Palatino Linotype" w:eastAsia="Palatino Linotype" w:hAnsi="Palatino Linotype" w:cs="Palatino Linotype"/>
          <w:sz w:val="22"/>
          <w:szCs w:val="22"/>
        </w:rPr>
        <w:t xml:space="preserve">; por su parte la Comisión debe informar a los quejosos la aceptación y cumplimiento que las autoridades y servidores públicos den a las Recomendaciones, según se lee en los artículos </w:t>
      </w:r>
      <w:r w:rsidR="00FD23F3" w:rsidRPr="003D3056">
        <w:rPr>
          <w:rFonts w:ascii="Palatino Linotype" w:eastAsia="Palatino Linotype" w:hAnsi="Palatino Linotype" w:cs="Palatino Linotype"/>
          <w:sz w:val="22"/>
          <w:szCs w:val="22"/>
        </w:rPr>
        <w:t>105 y 106 de la Ley de la Comisión en análisis:</w:t>
      </w:r>
    </w:p>
    <w:p w14:paraId="2F727CD3" w14:textId="77B0F480" w:rsidR="00FD23F3" w:rsidRPr="003D3056" w:rsidRDefault="00FD23F3" w:rsidP="00AD6C1C">
      <w:pPr>
        <w:spacing w:before="240" w:after="240"/>
        <w:ind w:left="851" w:right="902"/>
        <w:jc w:val="both"/>
        <w:rPr>
          <w:rFonts w:ascii="Palatino Linotype" w:eastAsia="Palatino Linotype" w:hAnsi="Palatino Linotype" w:cs="Palatino Linotype"/>
          <w:i/>
          <w:iCs/>
          <w:sz w:val="22"/>
          <w:szCs w:val="22"/>
        </w:rPr>
      </w:pPr>
      <w:r w:rsidRPr="003D3056">
        <w:rPr>
          <w:rFonts w:ascii="Palatino Linotype" w:eastAsia="Palatino Linotype" w:hAnsi="Palatino Linotype" w:cs="Palatino Linotype"/>
          <w:b/>
          <w:bCs/>
          <w:i/>
          <w:iCs/>
          <w:sz w:val="22"/>
          <w:szCs w:val="22"/>
        </w:rPr>
        <w:t>“Artículo 105</w:t>
      </w:r>
      <w:r w:rsidRPr="003D3056">
        <w:rPr>
          <w:rFonts w:ascii="Palatino Linotype" w:eastAsia="Palatino Linotype" w:hAnsi="Palatino Linotype" w:cs="Palatino Linotype"/>
          <w:i/>
          <w:iCs/>
          <w:sz w:val="22"/>
          <w:szCs w:val="22"/>
        </w:rPr>
        <w:t xml:space="preserve">.- Una vez recibida la Recomendación la autoridad o el servidor público responsable, deberá informar dentro de los quince días hábiles siguientes a su notificación, si acepta dicha Recomendación y </w:t>
      </w:r>
      <w:r w:rsidRPr="003D3056">
        <w:rPr>
          <w:rFonts w:ascii="Palatino Linotype" w:eastAsia="Palatino Linotype" w:hAnsi="Palatino Linotype" w:cs="Palatino Linotype"/>
          <w:b/>
          <w:bCs/>
          <w:i/>
          <w:iCs/>
          <w:sz w:val="22"/>
          <w:szCs w:val="22"/>
        </w:rPr>
        <w:t>en quince días hábiles adicionales entregar, en su caso, las pruebas que demuestren su cumplimiento</w:t>
      </w:r>
      <w:r w:rsidRPr="003D3056">
        <w:rPr>
          <w:rFonts w:ascii="Palatino Linotype" w:eastAsia="Palatino Linotype" w:hAnsi="Palatino Linotype" w:cs="Palatino Linotype"/>
          <w:i/>
          <w:iCs/>
          <w:sz w:val="22"/>
          <w:szCs w:val="22"/>
        </w:rPr>
        <w:t xml:space="preserve">. </w:t>
      </w:r>
    </w:p>
    <w:p w14:paraId="5A9B7494" w14:textId="77777777" w:rsidR="00FD23F3" w:rsidRPr="003D3056" w:rsidRDefault="00FD23F3" w:rsidP="00AD6C1C">
      <w:pPr>
        <w:spacing w:before="240" w:after="240"/>
        <w:ind w:left="851" w:right="902"/>
        <w:jc w:val="both"/>
        <w:rPr>
          <w:rFonts w:ascii="Palatino Linotype" w:eastAsia="Palatino Linotype" w:hAnsi="Palatino Linotype" w:cs="Palatino Linotype"/>
          <w:b/>
          <w:i/>
          <w:iCs/>
          <w:sz w:val="22"/>
          <w:szCs w:val="22"/>
          <w:u w:val="single"/>
        </w:rPr>
      </w:pPr>
      <w:r w:rsidRPr="003D3056">
        <w:rPr>
          <w:rFonts w:ascii="Palatino Linotype" w:eastAsia="Palatino Linotype" w:hAnsi="Palatino Linotype" w:cs="Palatino Linotype"/>
          <w:b/>
          <w:i/>
          <w:iCs/>
          <w:sz w:val="22"/>
          <w:szCs w:val="22"/>
          <w:u w:val="single"/>
        </w:rPr>
        <w:t xml:space="preserve">La rendición del informe sobre la aceptación o no de la Recomendación, no podrá ser delegada. </w:t>
      </w:r>
    </w:p>
    <w:p w14:paraId="02EDCA9C" w14:textId="11A48FCA" w:rsidR="00FD23F3" w:rsidRPr="003D3056" w:rsidRDefault="00FD23F3" w:rsidP="00AD6C1C">
      <w:pPr>
        <w:spacing w:before="240" w:after="240"/>
        <w:ind w:left="851" w:right="902"/>
        <w:jc w:val="both"/>
        <w:rPr>
          <w:rFonts w:ascii="Palatino Linotype" w:eastAsia="Palatino Linotype" w:hAnsi="Palatino Linotype" w:cs="Palatino Linotype"/>
          <w:i/>
          <w:iCs/>
          <w:sz w:val="22"/>
          <w:szCs w:val="22"/>
        </w:rPr>
      </w:pPr>
      <w:r w:rsidRPr="003D3056">
        <w:rPr>
          <w:rFonts w:ascii="Palatino Linotype" w:eastAsia="Palatino Linotype" w:hAnsi="Palatino Linotype" w:cs="Palatino Linotype"/>
          <w:b/>
          <w:bCs/>
          <w:i/>
          <w:iCs/>
          <w:sz w:val="22"/>
          <w:szCs w:val="22"/>
        </w:rPr>
        <w:t>Artículo 106</w:t>
      </w:r>
      <w:r w:rsidRPr="003D3056">
        <w:rPr>
          <w:rFonts w:ascii="Palatino Linotype" w:eastAsia="Palatino Linotype" w:hAnsi="Palatino Linotype" w:cs="Palatino Linotype"/>
          <w:i/>
          <w:iCs/>
          <w:sz w:val="22"/>
          <w:szCs w:val="22"/>
        </w:rPr>
        <w:t>.- La Comisión debe informar a los quejosos la aceptación y cumplimiento que las autoridades y servidores públicos den a las Recomendaciones.”</w:t>
      </w:r>
    </w:p>
    <w:p w14:paraId="28D400EA" w14:textId="77777777" w:rsidR="00ED67DE" w:rsidRPr="003D3056" w:rsidRDefault="00ED67DE"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Y, si bien es cierto que las recomendaciones emitidas por la Comisión de Derechos Humanos del Estado de México, no son vinculatorias, no debe perderse de vista que una vez aceptadas, todas las autoridades o servidores públicos están obligados a responder, </w:t>
      </w:r>
      <w:r w:rsidRPr="003D3056">
        <w:rPr>
          <w:rFonts w:ascii="Palatino Linotype" w:eastAsia="Palatino Linotype" w:hAnsi="Palatino Linotype" w:cs="Palatino Linotype"/>
          <w:b/>
          <w:bCs/>
          <w:sz w:val="22"/>
          <w:szCs w:val="22"/>
          <w:u w:val="single"/>
        </w:rPr>
        <w:lastRenderedPageBreak/>
        <w:t>cumplirlas en sus términos y a dar publicidad a las acciones llevadas a cabo para la protección o restitución de los derechos humanos</w:t>
      </w:r>
      <w:r w:rsidRPr="003D3056">
        <w:rPr>
          <w:rFonts w:ascii="Palatino Linotype" w:eastAsia="Palatino Linotype" w:hAnsi="Palatino Linotype" w:cs="Palatino Linotype"/>
          <w:sz w:val="22"/>
          <w:szCs w:val="22"/>
        </w:rPr>
        <w:t xml:space="preserve">, para lo cual, como mínimo </w:t>
      </w:r>
      <w:r w:rsidRPr="003D3056">
        <w:rPr>
          <w:rFonts w:ascii="Palatino Linotype" w:eastAsia="Palatino Linotype" w:hAnsi="Palatino Linotype" w:cs="Palatino Linotype"/>
          <w:b/>
          <w:bCs/>
          <w:sz w:val="22"/>
          <w:szCs w:val="22"/>
          <w:u w:val="single"/>
        </w:rPr>
        <w:t>deben publicar dichas acciones en la página oficial de internet que corresponda y en el Periódico Oficial “Gaceta del Gobierno”</w:t>
      </w:r>
      <w:r w:rsidRPr="003D3056">
        <w:rPr>
          <w:rFonts w:ascii="Palatino Linotype" w:eastAsia="Palatino Linotype" w:hAnsi="Palatino Linotype" w:cs="Palatino Linotype"/>
          <w:b/>
          <w:bCs/>
          <w:sz w:val="22"/>
          <w:szCs w:val="22"/>
        </w:rPr>
        <w:t xml:space="preserve">, </w:t>
      </w:r>
      <w:r w:rsidRPr="003D3056">
        <w:rPr>
          <w:rFonts w:ascii="Palatino Linotype" w:eastAsia="Palatino Linotype" w:hAnsi="Palatino Linotype" w:cs="Palatino Linotype"/>
          <w:sz w:val="22"/>
          <w:szCs w:val="22"/>
        </w:rPr>
        <w:t>como se lee en el artículo 107 de la Ley de la Comisión, a saber:</w:t>
      </w:r>
    </w:p>
    <w:p w14:paraId="6833E3F4" w14:textId="77777777" w:rsidR="00ED67DE" w:rsidRPr="003D3056" w:rsidRDefault="00ED67DE" w:rsidP="00AD6C1C">
      <w:pPr>
        <w:spacing w:before="240" w:after="240"/>
        <w:ind w:left="851" w:right="902"/>
        <w:jc w:val="both"/>
        <w:rPr>
          <w:rFonts w:ascii="Palatino Linotype" w:eastAsia="Palatino Linotype" w:hAnsi="Palatino Linotype" w:cs="Palatino Linotype"/>
          <w:b/>
          <w:bCs/>
          <w:i/>
          <w:iCs/>
          <w:sz w:val="22"/>
          <w:szCs w:val="22"/>
        </w:rPr>
      </w:pPr>
      <w:r w:rsidRPr="003D3056">
        <w:rPr>
          <w:rFonts w:ascii="Palatino Linotype" w:eastAsia="Palatino Linotype" w:hAnsi="Palatino Linotype" w:cs="Palatino Linotype"/>
          <w:i/>
          <w:iCs/>
          <w:sz w:val="22"/>
          <w:szCs w:val="22"/>
        </w:rPr>
        <w:t>“</w:t>
      </w:r>
      <w:r w:rsidRPr="003D3056">
        <w:rPr>
          <w:rFonts w:ascii="Palatino Linotype" w:eastAsia="Palatino Linotype" w:hAnsi="Palatino Linotype" w:cs="Palatino Linotype"/>
          <w:b/>
          <w:bCs/>
          <w:i/>
          <w:iCs/>
          <w:sz w:val="22"/>
          <w:szCs w:val="22"/>
        </w:rPr>
        <w:t>Artículo 107</w:t>
      </w:r>
      <w:r w:rsidRPr="003D3056">
        <w:rPr>
          <w:rFonts w:ascii="Palatino Linotype" w:eastAsia="Palatino Linotype" w:hAnsi="Palatino Linotype" w:cs="Palatino Linotype"/>
          <w:i/>
          <w:iCs/>
          <w:sz w:val="22"/>
          <w:szCs w:val="22"/>
        </w:rPr>
        <w:t xml:space="preserve">.- Las Recomendaciones no son vinculatorias; sin embargo, </w:t>
      </w:r>
      <w:r w:rsidRPr="003D3056">
        <w:rPr>
          <w:rFonts w:ascii="Palatino Linotype" w:eastAsia="Palatino Linotype" w:hAnsi="Palatino Linotype" w:cs="Palatino Linotype"/>
          <w:b/>
          <w:bCs/>
          <w:i/>
          <w:iCs/>
          <w:sz w:val="22"/>
          <w:szCs w:val="22"/>
        </w:rPr>
        <w:t xml:space="preserve">una vez aceptadas, todas las autoridades o servidores públicos están obligados a responder, cumplirlas en sus términos </w:t>
      </w:r>
      <w:r w:rsidRPr="003D3056">
        <w:rPr>
          <w:rFonts w:ascii="Palatino Linotype" w:eastAsia="Palatino Linotype" w:hAnsi="Palatino Linotype" w:cs="Palatino Linotype"/>
          <w:b/>
          <w:bCs/>
          <w:i/>
          <w:iCs/>
          <w:sz w:val="22"/>
          <w:szCs w:val="22"/>
          <w:u w:val="single"/>
        </w:rPr>
        <w:t>y a dar publicidad a las acciones llevadas a cabo para la protección o restitución de los derechos humanos</w:t>
      </w:r>
      <w:r w:rsidRPr="003D3056">
        <w:rPr>
          <w:rFonts w:ascii="Palatino Linotype" w:eastAsia="Palatino Linotype" w:hAnsi="Palatino Linotype" w:cs="Palatino Linotype"/>
          <w:b/>
          <w:bCs/>
          <w:i/>
          <w:iCs/>
          <w:sz w:val="22"/>
          <w:szCs w:val="22"/>
        </w:rPr>
        <w:t xml:space="preserve">. </w:t>
      </w:r>
    </w:p>
    <w:p w14:paraId="465117F9" w14:textId="1E3E8273" w:rsidR="009F0E3F" w:rsidRPr="003D3056" w:rsidRDefault="00ED67DE" w:rsidP="00AD6C1C">
      <w:pPr>
        <w:spacing w:before="240" w:after="240"/>
        <w:ind w:left="851" w:right="902"/>
        <w:jc w:val="both"/>
        <w:rPr>
          <w:rFonts w:ascii="Palatino Linotype" w:eastAsia="Palatino Linotype" w:hAnsi="Palatino Linotype" w:cs="Palatino Linotype"/>
          <w:i/>
          <w:iCs/>
          <w:sz w:val="22"/>
          <w:szCs w:val="22"/>
        </w:rPr>
      </w:pPr>
      <w:r w:rsidRPr="003D3056">
        <w:rPr>
          <w:rFonts w:ascii="Palatino Linotype" w:eastAsia="Palatino Linotype" w:hAnsi="Palatino Linotype" w:cs="Palatino Linotype"/>
          <w:i/>
          <w:iCs/>
          <w:sz w:val="22"/>
          <w:szCs w:val="22"/>
        </w:rPr>
        <w:t xml:space="preserve">Para tal efecto, como mínimo </w:t>
      </w:r>
      <w:r w:rsidRPr="003D3056">
        <w:rPr>
          <w:rFonts w:ascii="Palatino Linotype" w:eastAsia="Palatino Linotype" w:hAnsi="Palatino Linotype" w:cs="Palatino Linotype"/>
          <w:b/>
          <w:bCs/>
          <w:i/>
          <w:iCs/>
          <w:sz w:val="22"/>
          <w:szCs w:val="22"/>
          <w:u w:val="single"/>
        </w:rPr>
        <w:t>deberán publicar dichas acciones en la página oficial de internet que corresponda y en el Periódico Oficial “Gaceta del Gobierno</w:t>
      </w:r>
      <w:r w:rsidR="009F0E3F" w:rsidRPr="003D3056">
        <w:rPr>
          <w:rFonts w:ascii="Palatino Linotype" w:eastAsia="Palatino Linotype" w:hAnsi="Palatino Linotype" w:cs="Palatino Linotype"/>
          <w:i/>
          <w:iCs/>
          <w:sz w:val="22"/>
          <w:szCs w:val="22"/>
        </w:rPr>
        <w:t>.”</w:t>
      </w:r>
    </w:p>
    <w:p w14:paraId="0DCFAD2D" w14:textId="4B7EE136" w:rsidR="00ED67DE" w:rsidRPr="003D3056" w:rsidRDefault="00ED67DE"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Luego entonces se advierte que en cumplimento a una recomendación </w:t>
      </w:r>
      <w:r w:rsidR="009F0E3F" w:rsidRPr="003D3056">
        <w:rPr>
          <w:rFonts w:ascii="Palatino Linotype" w:eastAsia="Palatino Linotype" w:hAnsi="Palatino Linotype" w:cs="Palatino Linotype"/>
          <w:b/>
          <w:sz w:val="22"/>
          <w:szCs w:val="22"/>
          <w:u w:val="single"/>
        </w:rPr>
        <w:t xml:space="preserve">se generan pruebas o </w:t>
      </w:r>
      <w:r w:rsidRPr="003D3056">
        <w:rPr>
          <w:rFonts w:ascii="Palatino Linotype" w:eastAsia="Palatino Linotype" w:hAnsi="Palatino Linotype" w:cs="Palatino Linotype"/>
          <w:b/>
          <w:sz w:val="22"/>
          <w:szCs w:val="22"/>
          <w:u w:val="single"/>
        </w:rPr>
        <w:t xml:space="preserve">evidencias del cumplimiento de la Recomendación, </w:t>
      </w:r>
      <w:r w:rsidRPr="003D3056">
        <w:rPr>
          <w:rFonts w:ascii="Palatino Linotype" w:eastAsia="Palatino Linotype" w:hAnsi="Palatino Linotype" w:cs="Palatino Linotype"/>
          <w:sz w:val="22"/>
          <w:szCs w:val="22"/>
        </w:rPr>
        <w:t xml:space="preserve">la cual sería el documento que daría cuenta de </w:t>
      </w:r>
      <w:r w:rsidR="004168D8" w:rsidRPr="003D3056">
        <w:rPr>
          <w:rFonts w:ascii="Palatino Linotype" w:eastAsia="Palatino Linotype" w:hAnsi="Palatino Linotype" w:cs="Palatino Linotype"/>
          <w:sz w:val="22"/>
          <w:szCs w:val="22"/>
        </w:rPr>
        <w:t xml:space="preserve">lo solicitado por el particular. </w:t>
      </w:r>
    </w:p>
    <w:p w14:paraId="49357E1C" w14:textId="45B56DF4" w:rsidR="004168D8" w:rsidRPr="003D3056" w:rsidRDefault="004168D8"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En este sentido si bien  el particular, al no ser experto en la materia, omitió señalar de manera concreta el o los documentos 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14:paraId="2433C6D9" w14:textId="7512D4AF" w:rsidR="004168D8" w:rsidRPr="003D3056" w:rsidRDefault="004168D8"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lastRenderedPageBreak/>
        <w:t xml:space="preserve">Como sustento a lo anterior resulta aplicable el Criterio </w:t>
      </w:r>
      <w:r w:rsidR="00AD6C1C" w:rsidRPr="003D3056">
        <w:rPr>
          <w:rFonts w:ascii="Palatino Linotype" w:hAnsi="Palatino Linotype"/>
          <w:sz w:val="22"/>
          <w:szCs w:val="22"/>
        </w:rPr>
        <w:t xml:space="preserve">Orientador </w:t>
      </w:r>
      <w:r w:rsidRPr="003D3056">
        <w:rPr>
          <w:rFonts w:ascii="Palatino Linotype" w:hAnsi="Palatino Linotype"/>
          <w:sz w:val="22"/>
          <w:szCs w:val="22"/>
        </w:rPr>
        <w:t xml:space="preserve">16/17, emitido por el </w:t>
      </w:r>
      <w:r w:rsidR="00AD6C1C" w:rsidRPr="003D3056">
        <w:rPr>
          <w:rFonts w:ascii="Palatino Linotype" w:hAnsi="Palatino Linotype"/>
          <w:sz w:val="22"/>
          <w:szCs w:val="22"/>
        </w:rPr>
        <w:t xml:space="preserve">entonces </w:t>
      </w:r>
      <w:r w:rsidRPr="003D3056">
        <w:rPr>
          <w:rFonts w:ascii="Palatino Linotype" w:hAnsi="Palatino Linotype"/>
          <w:sz w:val="22"/>
          <w:szCs w:val="22"/>
        </w:rPr>
        <w:t>Instituto Nacional de Transparencia, Acceso a la Información y Protección de Datos Personales, INAI, establece lo siguiente: </w:t>
      </w:r>
    </w:p>
    <w:p w14:paraId="71604207" w14:textId="77777777" w:rsidR="004168D8" w:rsidRPr="003D3056" w:rsidRDefault="004168D8" w:rsidP="00AD6C1C">
      <w:pPr>
        <w:pStyle w:val="NormalWeb"/>
        <w:spacing w:before="240" w:beforeAutospacing="0" w:after="240" w:afterAutospacing="0" w:line="276" w:lineRule="auto"/>
        <w:ind w:left="851" w:right="902"/>
        <w:jc w:val="both"/>
        <w:rPr>
          <w:rFonts w:ascii="Palatino Linotype" w:hAnsi="Palatino Linotype"/>
          <w:sz w:val="22"/>
          <w:szCs w:val="22"/>
        </w:rPr>
      </w:pPr>
      <w:r w:rsidRPr="003D3056">
        <w:rPr>
          <w:rFonts w:ascii="Palatino Linotype" w:hAnsi="Palatino Linotype"/>
          <w:sz w:val="22"/>
          <w:szCs w:val="22"/>
        </w:rPr>
        <w:t> “</w:t>
      </w:r>
      <w:r w:rsidRPr="003D3056">
        <w:rPr>
          <w:rFonts w:ascii="Palatino Linotype" w:hAnsi="Palatino Linotype"/>
          <w:b/>
          <w:bCs/>
          <w:i/>
          <w:iCs/>
          <w:sz w:val="22"/>
          <w:szCs w:val="22"/>
        </w:rPr>
        <w:t xml:space="preserve">Expresión documental. </w:t>
      </w:r>
      <w:r w:rsidRPr="003D3056">
        <w:rPr>
          <w:rFonts w:ascii="Palatino Linotype" w:hAnsi="Palatino Linotype"/>
          <w:i/>
          <w:iCs/>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850FF72" w14:textId="77777777" w:rsidR="004168D8" w:rsidRPr="003D3056" w:rsidRDefault="004168D8"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50E580A" w14:textId="7F6EBCF5" w:rsidR="004168D8" w:rsidRPr="003D3056" w:rsidRDefault="004168D8" w:rsidP="00AD6C1C">
      <w:pPr>
        <w:pStyle w:val="NormalWeb"/>
        <w:spacing w:before="240" w:beforeAutospacing="0" w:after="240" w:afterAutospacing="0" w:line="276" w:lineRule="auto"/>
        <w:ind w:left="567" w:right="630"/>
        <w:jc w:val="both"/>
        <w:rPr>
          <w:rFonts w:ascii="Palatino Linotype" w:hAnsi="Palatino Linotype"/>
          <w:sz w:val="22"/>
          <w:szCs w:val="22"/>
        </w:rPr>
      </w:pPr>
      <w:r w:rsidRPr="003D3056">
        <w:rPr>
          <w:rFonts w:ascii="Palatino Linotype" w:hAnsi="Palatino Linotype"/>
          <w:i/>
          <w:iCs/>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3AAE4AB0" w14:textId="565FD112" w:rsidR="004168D8" w:rsidRPr="003D3056" w:rsidRDefault="002A29AE"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En este orden de ideas, </w:t>
      </w:r>
      <w:r w:rsidR="00ED67DE" w:rsidRPr="003D3056">
        <w:rPr>
          <w:rFonts w:ascii="Palatino Linotype" w:eastAsia="Palatino Linotype" w:hAnsi="Palatino Linotype" w:cs="Palatino Linotype"/>
          <w:sz w:val="22"/>
          <w:szCs w:val="22"/>
        </w:rPr>
        <w:t xml:space="preserve">cabe mencionar que </w:t>
      </w:r>
      <w:r w:rsidR="004168D8" w:rsidRPr="003D3056">
        <w:rPr>
          <w:rFonts w:ascii="Palatino Linotype" w:eastAsia="Palatino Linotype" w:hAnsi="Palatino Linotype" w:cs="Palatino Linotype"/>
          <w:sz w:val="22"/>
          <w:szCs w:val="22"/>
        </w:rPr>
        <w:t xml:space="preserve">si bien el servidor público habilitado </w:t>
      </w:r>
      <w:r w:rsidR="00AD6C1C" w:rsidRPr="003D3056">
        <w:rPr>
          <w:rFonts w:ascii="Palatino Linotype" w:eastAsia="Palatino Linotype" w:hAnsi="Palatino Linotype" w:cs="Palatino Linotype"/>
          <w:sz w:val="22"/>
          <w:szCs w:val="22"/>
        </w:rPr>
        <w:t xml:space="preserve">competente </w:t>
      </w:r>
      <w:r w:rsidR="004168D8" w:rsidRPr="003D3056">
        <w:rPr>
          <w:rFonts w:ascii="Palatino Linotype" w:eastAsia="Palatino Linotype" w:hAnsi="Palatino Linotype" w:cs="Palatino Linotype"/>
          <w:sz w:val="22"/>
          <w:szCs w:val="22"/>
        </w:rPr>
        <w:t xml:space="preserve">refirió no haber localizado la información solicitada, dicha respuesta no puede darse por </w:t>
      </w:r>
      <w:r w:rsidR="005018FF" w:rsidRPr="003D3056">
        <w:rPr>
          <w:rFonts w:ascii="Palatino Linotype" w:eastAsia="Palatino Linotype" w:hAnsi="Palatino Linotype" w:cs="Palatino Linotype"/>
          <w:sz w:val="22"/>
          <w:szCs w:val="22"/>
        </w:rPr>
        <w:t>válida</w:t>
      </w:r>
      <w:r w:rsidR="004168D8" w:rsidRPr="003D3056">
        <w:rPr>
          <w:rFonts w:ascii="Palatino Linotype" w:eastAsia="Palatino Linotype" w:hAnsi="Palatino Linotype" w:cs="Palatino Linotype"/>
          <w:sz w:val="22"/>
          <w:szCs w:val="22"/>
        </w:rPr>
        <w:t xml:space="preserve"> ya de la lectura a la misma se advierte que </w:t>
      </w:r>
      <w:r w:rsidR="004168D8" w:rsidRPr="003D3056">
        <w:rPr>
          <w:rFonts w:ascii="Palatino Linotype" w:eastAsia="Palatino Linotype" w:hAnsi="Palatino Linotype" w:cs="Palatino Linotype"/>
          <w:b/>
          <w:sz w:val="22"/>
          <w:szCs w:val="22"/>
          <w:u w:val="single"/>
        </w:rPr>
        <w:t>la búsqueda de la información se realizó únicamente en el año inmediato anterior,</w:t>
      </w:r>
      <w:r w:rsidR="004168D8" w:rsidRPr="003D3056">
        <w:rPr>
          <w:rFonts w:ascii="Palatino Linotype" w:eastAsia="Palatino Linotype" w:hAnsi="Palatino Linotype" w:cs="Palatino Linotype"/>
          <w:sz w:val="22"/>
          <w:szCs w:val="22"/>
        </w:rPr>
        <w:t xml:space="preserve"> ya que refirió textualmente que se </w:t>
      </w:r>
      <w:r w:rsidR="004168D8" w:rsidRPr="003D3056">
        <w:rPr>
          <w:rFonts w:ascii="Palatino Linotype" w:eastAsia="Palatino Linotype" w:hAnsi="Palatino Linotype" w:cs="Palatino Linotype"/>
          <w:b/>
          <w:sz w:val="22"/>
          <w:szCs w:val="22"/>
        </w:rPr>
        <w:t>realizó la búsqueda exhaustiva en los archivos que resguarda en el periodo del 21 de marzo de 2004 al 21 de marzo de 2025,</w:t>
      </w:r>
      <w:r w:rsidR="004168D8" w:rsidRPr="003D3056">
        <w:rPr>
          <w:rFonts w:ascii="Palatino Linotype" w:eastAsia="Palatino Linotype" w:hAnsi="Palatino Linotype" w:cs="Palatino Linotype"/>
          <w:sz w:val="22"/>
          <w:szCs w:val="22"/>
        </w:rPr>
        <w:t xml:space="preserve"> no obstante, la información solicitada por el particular se relaciona con una recomendación emitida aparentemente en el </w:t>
      </w:r>
      <w:r w:rsidR="004168D8" w:rsidRPr="003D3056">
        <w:rPr>
          <w:rFonts w:ascii="Palatino Linotype" w:eastAsia="Palatino Linotype" w:hAnsi="Palatino Linotype" w:cs="Palatino Linotype"/>
          <w:b/>
          <w:sz w:val="22"/>
          <w:szCs w:val="22"/>
          <w:u w:val="single"/>
        </w:rPr>
        <w:t>año 2004,</w:t>
      </w:r>
      <w:r w:rsidR="004168D8" w:rsidRPr="003D3056">
        <w:rPr>
          <w:rFonts w:ascii="Palatino Linotype" w:eastAsia="Palatino Linotype" w:hAnsi="Palatino Linotype" w:cs="Palatino Linotype"/>
          <w:sz w:val="22"/>
          <w:szCs w:val="22"/>
        </w:rPr>
        <w:t xml:space="preserve"> por lo que deberá realizar una nueva búsqueda</w:t>
      </w:r>
      <w:r w:rsidR="005018FF" w:rsidRPr="003D3056">
        <w:rPr>
          <w:rFonts w:ascii="Palatino Linotype" w:eastAsia="Palatino Linotype" w:hAnsi="Palatino Linotype" w:cs="Palatino Linotype"/>
          <w:sz w:val="22"/>
          <w:szCs w:val="22"/>
        </w:rPr>
        <w:t xml:space="preserve"> que comprenda el periodo en el que fue emitida en su caso la referida recomendación. </w:t>
      </w:r>
    </w:p>
    <w:p w14:paraId="1FDCCA69" w14:textId="3D68A145"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eastAsia="Palatino Linotype" w:hAnsi="Palatino Linotype" w:cs="Palatino Linotype"/>
          <w:sz w:val="22"/>
          <w:szCs w:val="22"/>
        </w:rPr>
        <w:lastRenderedPageBreak/>
        <w:t xml:space="preserve">Para el caso de que no </w:t>
      </w:r>
      <w:r w:rsidRPr="003D3056">
        <w:rPr>
          <w:rFonts w:ascii="Palatino Linotype" w:hAnsi="Palatino Linotype"/>
          <w:sz w:val="22"/>
          <w:szCs w:val="22"/>
        </w:rPr>
        <w:t xml:space="preserve"> se llegara a localizar información por no haberse generado, al no haberse recibido una recomendación registrada con el folio </w:t>
      </w:r>
      <w:r w:rsidRPr="003D3056">
        <w:rPr>
          <w:rFonts w:ascii="Palatino Linotype" w:hAnsi="Palatino Linotype"/>
          <w:b/>
          <w:sz w:val="22"/>
          <w:szCs w:val="22"/>
          <w:u w:val="single"/>
        </w:rPr>
        <w:t>004/2004</w:t>
      </w:r>
      <w:r w:rsidRPr="003D3056">
        <w:rPr>
          <w:rFonts w:ascii="Palatino Linotype" w:hAnsi="Palatino Linotype"/>
          <w:sz w:val="22"/>
          <w:szCs w:val="22"/>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744DD2BE" w14:textId="77777777" w:rsidR="005018FF" w:rsidRPr="003D3056" w:rsidRDefault="005018FF" w:rsidP="00AD6C1C">
      <w:pPr>
        <w:pStyle w:val="NormalWeb"/>
        <w:spacing w:before="240" w:beforeAutospacing="0" w:after="240" w:afterAutospacing="0" w:line="360" w:lineRule="auto"/>
        <w:ind w:left="851" w:right="902"/>
        <w:jc w:val="both"/>
        <w:rPr>
          <w:rFonts w:ascii="Palatino Linotype" w:hAnsi="Palatino Linotype"/>
          <w:sz w:val="22"/>
          <w:szCs w:val="22"/>
        </w:rPr>
      </w:pPr>
      <w:r w:rsidRPr="003D3056">
        <w:rPr>
          <w:rFonts w:ascii="Palatino Linotype" w:hAnsi="Palatino Linotype"/>
          <w:i/>
          <w:iCs/>
          <w:sz w:val="22"/>
          <w:szCs w:val="22"/>
        </w:rPr>
        <w:t>“</w:t>
      </w:r>
      <w:r w:rsidRPr="003D3056">
        <w:rPr>
          <w:rFonts w:ascii="Palatino Linotype" w:hAnsi="Palatino Linotype"/>
          <w:b/>
          <w:bCs/>
          <w:i/>
          <w:iCs/>
          <w:sz w:val="22"/>
          <w:szCs w:val="22"/>
        </w:rPr>
        <w:t>Artículo 19</w:t>
      </w:r>
      <w:r w:rsidRPr="003D3056">
        <w:rPr>
          <w:rFonts w:ascii="Palatino Linotype" w:hAnsi="Palatino Linotype"/>
          <w:i/>
          <w:iCs/>
          <w:sz w:val="22"/>
          <w:szCs w:val="22"/>
        </w:rPr>
        <w:t>…</w:t>
      </w:r>
    </w:p>
    <w:p w14:paraId="689AB07E" w14:textId="77777777" w:rsidR="005018FF" w:rsidRPr="003D3056" w:rsidRDefault="005018FF" w:rsidP="00AD6C1C">
      <w:pPr>
        <w:pStyle w:val="NormalWeb"/>
        <w:spacing w:before="240" w:beforeAutospacing="0" w:after="240" w:afterAutospacing="0" w:line="276" w:lineRule="auto"/>
        <w:ind w:left="851" w:right="902"/>
        <w:jc w:val="both"/>
        <w:rPr>
          <w:rFonts w:ascii="Palatino Linotype" w:hAnsi="Palatino Linotype"/>
          <w:sz w:val="22"/>
          <w:szCs w:val="22"/>
        </w:rPr>
      </w:pPr>
      <w:r w:rsidRPr="003D3056">
        <w:rPr>
          <w:rFonts w:ascii="Palatino Linotype" w:hAnsi="Palatino Linotype"/>
          <w:i/>
          <w:iCs/>
          <w:sz w:val="22"/>
          <w:szCs w:val="22"/>
        </w:rPr>
        <w:t>En los casos en que ciertas facultades, competencias o funciones no se hayan ejercido, se debe motivar la respuesta en función de las causas que motiven tal circunstancia.”</w:t>
      </w:r>
    </w:p>
    <w:p w14:paraId="1171BA27" w14:textId="77777777"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 xml:space="preserve">Siendo improcedente, en tal supuesto, la entrega de documento alguno, o en su caso, el Acuerdo de Inexistencia, toda vez que el pronunciamiento del </w:t>
      </w:r>
      <w:r w:rsidRPr="003D3056">
        <w:rPr>
          <w:rFonts w:ascii="Palatino Linotype" w:hAnsi="Palatino Linotype"/>
          <w:b/>
          <w:bCs/>
          <w:sz w:val="22"/>
          <w:szCs w:val="22"/>
        </w:rPr>
        <w:t>Sujeto Obligado</w:t>
      </w:r>
      <w:r w:rsidRPr="003D3056">
        <w:rPr>
          <w:rFonts w:ascii="Palatino Linotype" w:hAnsi="Palatino Linotype"/>
          <w:sz w:val="22"/>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0DE38745" w14:textId="5568BBDA"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 xml:space="preserve">No obstante, para el caso en el que derivado de la búsqueda que se ordena, se determina que </w:t>
      </w:r>
      <w:r w:rsidR="001C2C5B" w:rsidRPr="003D3056">
        <w:rPr>
          <w:rFonts w:ascii="Palatino Linotype" w:hAnsi="Palatino Linotype"/>
          <w:b/>
          <w:bCs/>
          <w:sz w:val="22"/>
          <w:szCs w:val="22"/>
        </w:rPr>
        <w:t>sí se recibió una recomendación registrada con el folio 004/</w:t>
      </w:r>
      <w:r w:rsidR="001C2C5B" w:rsidRPr="003D3056">
        <w:rPr>
          <w:rFonts w:ascii="Palatino Linotype" w:hAnsi="Palatino Linotype"/>
          <w:b/>
          <w:bCs/>
          <w:sz w:val="22"/>
          <w:szCs w:val="22"/>
          <w:u w:val="single"/>
        </w:rPr>
        <w:t>2004</w:t>
      </w:r>
      <w:r w:rsidRPr="003D3056">
        <w:rPr>
          <w:rFonts w:ascii="Palatino Linotype" w:hAnsi="Palatino Linotype"/>
          <w:b/>
          <w:bCs/>
          <w:sz w:val="22"/>
          <w:szCs w:val="22"/>
        </w:rPr>
        <w:t xml:space="preserve">, </w:t>
      </w:r>
      <w:r w:rsidR="001C2C5B" w:rsidRPr="003D3056">
        <w:rPr>
          <w:rFonts w:ascii="Palatino Linotype" w:hAnsi="Palatino Linotype"/>
          <w:b/>
          <w:bCs/>
          <w:sz w:val="22"/>
          <w:szCs w:val="22"/>
        </w:rPr>
        <w:t xml:space="preserve">por lo que en </w:t>
      </w:r>
      <w:r w:rsidRPr="003D3056">
        <w:rPr>
          <w:rFonts w:ascii="Palatino Linotype" w:hAnsi="Palatino Linotype"/>
          <w:b/>
          <w:bCs/>
          <w:sz w:val="22"/>
          <w:szCs w:val="22"/>
        </w:rPr>
        <w:t xml:space="preserve">su momento se generó, poseyó y/o administró, </w:t>
      </w:r>
      <w:r w:rsidR="001C2C5B" w:rsidRPr="003D3056">
        <w:rPr>
          <w:rFonts w:ascii="Palatino Linotype" w:hAnsi="Palatino Linotype"/>
          <w:b/>
          <w:bCs/>
          <w:sz w:val="22"/>
          <w:szCs w:val="22"/>
        </w:rPr>
        <w:t xml:space="preserve">la carpeta de evidencias </w:t>
      </w:r>
      <w:r w:rsidR="00AD6C1C" w:rsidRPr="003D3056">
        <w:rPr>
          <w:rFonts w:ascii="Palatino Linotype" w:hAnsi="Palatino Linotype"/>
          <w:b/>
          <w:bCs/>
          <w:sz w:val="22"/>
          <w:szCs w:val="22"/>
        </w:rPr>
        <w:t xml:space="preserve">o pruebas </w:t>
      </w:r>
      <w:r w:rsidR="001C2C5B" w:rsidRPr="003D3056">
        <w:rPr>
          <w:rFonts w:ascii="Palatino Linotype" w:hAnsi="Palatino Linotype"/>
          <w:b/>
          <w:bCs/>
          <w:sz w:val="22"/>
          <w:szCs w:val="22"/>
        </w:rPr>
        <w:t xml:space="preserve">de cumplimiento solicitadas, </w:t>
      </w:r>
      <w:r w:rsidRPr="003D3056">
        <w:rPr>
          <w:rFonts w:ascii="Palatino Linotype" w:hAnsi="Palatino Linotype"/>
          <w:b/>
          <w:bCs/>
          <w:sz w:val="22"/>
          <w:szCs w:val="22"/>
        </w:rPr>
        <w:t>pero por alguna circunstancia al momento de dar cumplimiento a la presente determinación, no se llegara a localizar, y atendiendo a la temporalidad en la que se pudo haber generado</w:t>
      </w:r>
      <w:r w:rsidRPr="003D3056">
        <w:rPr>
          <w:rFonts w:ascii="Palatino Linotype" w:hAnsi="Palatino Linotype"/>
          <w:sz w:val="22"/>
          <w:szCs w:val="22"/>
        </w:rPr>
        <w:t>, deberá ajustarse a lo siguiente:</w:t>
      </w:r>
    </w:p>
    <w:p w14:paraId="7AE194EE" w14:textId="77777777"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 xml:space="preserve">Se deberá acreditar el destino de la misma, es decir; se deberá precisar si la información se envió a su archivo histórico o se procedió a su baja permanente, asimismo, deberá señalar </w:t>
      </w:r>
      <w:r w:rsidRPr="003D3056">
        <w:rPr>
          <w:rFonts w:ascii="Palatino Linotype" w:hAnsi="Palatino Linotype"/>
          <w:sz w:val="22"/>
          <w:szCs w:val="22"/>
        </w:rPr>
        <w:lastRenderedPageBreak/>
        <w:t>las circunstancias de modo, tiempo y lugar que precedieron a la inexistencia de la información, con la finalidad de otorgar certeza jurídica a la persona solicitante.</w:t>
      </w:r>
    </w:p>
    <w:p w14:paraId="258B4BDA" w14:textId="77777777"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Sirve de apoyo a lo anterior por analogía el Criterio Orientador 14-09 que emitió el entonces Instituto Nacional de Transparencia, Acceso a la Información y Protección de Datos Personales que a la letra dice:</w:t>
      </w:r>
    </w:p>
    <w:p w14:paraId="00B68E98" w14:textId="77777777" w:rsidR="005018FF" w:rsidRPr="003D3056" w:rsidRDefault="005018FF" w:rsidP="00AD6C1C">
      <w:pPr>
        <w:pStyle w:val="NormalWeb"/>
        <w:spacing w:before="240" w:beforeAutospacing="0" w:after="240" w:afterAutospacing="0" w:line="276" w:lineRule="auto"/>
        <w:ind w:left="567" w:right="560"/>
        <w:jc w:val="both"/>
        <w:rPr>
          <w:rFonts w:ascii="Palatino Linotype" w:hAnsi="Palatino Linotype"/>
          <w:sz w:val="22"/>
          <w:szCs w:val="22"/>
        </w:rPr>
      </w:pPr>
      <w:r w:rsidRPr="003D3056">
        <w:rPr>
          <w:rFonts w:ascii="Palatino Linotype" w:hAnsi="Palatino Linotype"/>
          <w:b/>
          <w:bCs/>
          <w:i/>
          <w:iCs/>
          <w:sz w:val="22"/>
          <w:szCs w:val="22"/>
        </w:rPr>
        <w:t>“Baja documental</w:t>
      </w:r>
      <w:r w:rsidRPr="003D3056">
        <w:rPr>
          <w:rFonts w:ascii="Palatino Linotype" w:hAnsi="Palatino Linotype"/>
          <w:i/>
          <w:iCs/>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3D3056">
        <w:rPr>
          <w:rFonts w:ascii="Palatino Linotype" w:hAnsi="Palatino Linotype"/>
          <w:b/>
          <w:bCs/>
          <w:i/>
          <w:iCs/>
          <w:sz w:val="22"/>
          <w:szCs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3D3056">
        <w:rPr>
          <w:rFonts w:ascii="Palatino Linotype" w:hAnsi="Palatino Linotype"/>
          <w:i/>
          <w:iCs/>
          <w:sz w:val="22"/>
          <w:szCs w:val="22"/>
        </w:rPr>
        <w:t xml:space="preserve"> en todos aquellos casos en los que la normatividad en materia archivística prevea que la misma debe existir.”(Sic)</w:t>
      </w:r>
    </w:p>
    <w:p w14:paraId="03410F1E" w14:textId="77777777"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448C69F2"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i/>
          <w:iCs/>
          <w:sz w:val="22"/>
          <w:szCs w:val="22"/>
        </w:rPr>
        <w:t>“</w:t>
      </w:r>
      <w:r w:rsidRPr="003D3056">
        <w:rPr>
          <w:rFonts w:ascii="Palatino Linotype" w:hAnsi="Palatino Linotype"/>
          <w:b/>
          <w:bCs/>
          <w:i/>
          <w:iCs/>
          <w:sz w:val="22"/>
          <w:szCs w:val="22"/>
        </w:rPr>
        <w:t>Artículo 19.</w:t>
      </w:r>
      <w:r w:rsidRPr="003D3056">
        <w:rPr>
          <w:rFonts w:ascii="Palatino Linotype" w:hAnsi="Palatino Linotype"/>
          <w:i/>
          <w:iCs/>
          <w:sz w:val="22"/>
          <w:szCs w:val="22"/>
        </w:rPr>
        <w:t xml:space="preserve"> (…)</w:t>
      </w:r>
    </w:p>
    <w:p w14:paraId="59C94C0B"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b/>
          <w:bCs/>
          <w:i/>
          <w:iCs/>
          <w:sz w:val="22"/>
          <w:szCs w:val="22"/>
        </w:rPr>
        <w:t>Si el sujeto obligado, en el ejercicio de sus atribuciones, debía generar, poseer o administrar la información, pero ésta no se encuentra, el Comité de transparencia deberá emitir un acuerdo de inexistencia</w:t>
      </w:r>
      <w:r w:rsidRPr="003D3056">
        <w:rPr>
          <w:rFonts w:ascii="Palatino Linotype" w:hAnsi="Palatino Linotype"/>
          <w:i/>
          <w:iCs/>
          <w:sz w:val="22"/>
          <w:szCs w:val="22"/>
        </w:rPr>
        <w:t>, debidamente fundado y motivado, en el que detalle las razones del por qué no obra en sus archivos.”</w:t>
      </w:r>
    </w:p>
    <w:p w14:paraId="1A7727C0"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i/>
          <w:iCs/>
          <w:sz w:val="22"/>
          <w:szCs w:val="22"/>
        </w:rPr>
        <w:t>“</w:t>
      </w:r>
      <w:r w:rsidRPr="003D3056">
        <w:rPr>
          <w:rFonts w:ascii="Palatino Linotype" w:hAnsi="Palatino Linotype"/>
          <w:b/>
          <w:bCs/>
          <w:i/>
          <w:iCs/>
          <w:sz w:val="22"/>
          <w:szCs w:val="22"/>
        </w:rPr>
        <w:t>Artículo 49.</w:t>
      </w:r>
      <w:r w:rsidRPr="003D3056">
        <w:rPr>
          <w:rFonts w:ascii="Palatino Linotype" w:hAnsi="Palatino Linotype"/>
          <w:i/>
          <w:iCs/>
          <w:sz w:val="22"/>
          <w:szCs w:val="22"/>
        </w:rPr>
        <w:t xml:space="preserve"> </w:t>
      </w:r>
      <w:r w:rsidRPr="003D3056">
        <w:rPr>
          <w:rFonts w:ascii="Palatino Linotype" w:hAnsi="Palatino Linotype"/>
          <w:b/>
          <w:bCs/>
          <w:i/>
          <w:iCs/>
          <w:sz w:val="22"/>
          <w:szCs w:val="22"/>
        </w:rPr>
        <w:t>Los Comités de Transparencia</w:t>
      </w:r>
      <w:r w:rsidRPr="003D3056">
        <w:rPr>
          <w:rFonts w:ascii="Palatino Linotype" w:hAnsi="Palatino Linotype"/>
          <w:i/>
          <w:iCs/>
          <w:sz w:val="22"/>
          <w:szCs w:val="22"/>
        </w:rPr>
        <w:t xml:space="preserve"> tendrán las siguientes </w:t>
      </w:r>
      <w:r w:rsidRPr="003D3056">
        <w:rPr>
          <w:rFonts w:ascii="Palatino Linotype" w:hAnsi="Palatino Linotype"/>
          <w:b/>
          <w:bCs/>
          <w:i/>
          <w:iCs/>
          <w:sz w:val="22"/>
          <w:szCs w:val="22"/>
        </w:rPr>
        <w:t>atribuciones</w:t>
      </w:r>
      <w:r w:rsidRPr="003D3056">
        <w:rPr>
          <w:rFonts w:ascii="Palatino Linotype" w:hAnsi="Palatino Linotype"/>
          <w:i/>
          <w:iCs/>
          <w:sz w:val="22"/>
          <w:szCs w:val="22"/>
        </w:rPr>
        <w:t>:</w:t>
      </w:r>
    </w:p>
    <w:p w14:paraId="683CBDD9"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b/>
          <w:bCs/>
          <w:i/>
          <w:iCs/>
          <w:sz w:val="22"/>
          <w:szCs w:val="22"/>
        </w:rPr>
        <w:lastRenderedPageBreak/>
        <w:t>II.</w:t>
      </w:r>
      <w:r w:rsidRPr="003D3056">
        <w:rPr>
          <w:rFonts w:ascii="Palatino Linotype" w:hAnsi="Palatino Linotype"/>
          <w:i/>
          <w:iCs/>
          <w:sz w:val="22"/>
          <w:szCs w:val="22"/>
        </w:rPr>
        <w:t xml:space="preserve"> </w:t>
      </w:r>
      <w:r w:rsidRPr="003D3056">
        <w:rPr>
          <w:rFonts w:ascii="Palatino Linotype" w:hAnsi="Palatino Linotype"/>
          <w:b/>
          <w:bCs/>
          <w:i/>
          <w:iCs/>
          <w:sz w:val="22"/>
          <w:szCs w:val="22"/>
        </w:rPr>
        <w:t>Confirmar, modificar o revocar las determinaciones que en materia de</w:t>
      </w:r>
      <w:r w:rsidRPr="003D3056">
        <w:rPr>
          <w:rFonts w:ascii="Palatino Linotype" w:hAnsi="Palatino Linotype"/>
          <w:i/>
          <w:iCs/>
          <w:sz w:val="22"/>
          <w:szCs w:val="22"/>
        </w:rPr>
        <w:t xml:space="preserve"> ampliación del plazo de respuesta, clasificación de la información y </w:t>
      </w:r>
      <w:r w:rsidRPr="003D3056">
        <w:rPr>
          <w:rFonts w:ascii="Palatino Linotype" w:hAnsi="Palatino Linotype"/>
          <w:b/>
          <w:bCs/>
          <w:i/>
          <w:iCs/>
          <w:sz w:val="22"/>
          <w:szCs w:val="22"/>
        </w:rPr>
        <w:t>declaración de inexistencia</w:t>
      </w:r>
      <w:r w:rsidRPr="003D3056">
        <w:rPr>
          <w:rFonts w:ascii="Palatino Linotype" w:hAnsi="Palatino Linotype"/>
          <w:i/>
          <w:iCs/>
          <w:sz w:val="22"/>
          <w:szCs w:val="22"/>
        </w:rPr>
        <w:t xml:space="preserve"> o de incompetencia realicen los titulares de las áreas de los sujetos obligados;</w:t>
      </w:r>
    </w:p>
    <w:p w14:paraId="7D4C2A82"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b/>
          <w:bCs/>
          <w:i/>
          <w:iCs/>
          <w:sz w:val="22"/>
          <w:szCs w:val="22"/>
        </w:rPr>
        <w:t>XIII.</w:t>
      </w:r>
      <w:r w:rsidRPr="003D3056">
        <w:rPr>
          <w:rFonts w:ascii="Palatino Linotype" w:hAnsi="Palatino Linotype"/>
          <w:i/>
          <w:iCs/>
          <w:sz w:val="22"/>
          <w:szCs w:val="22"/>
        </w:rPr>
        <w:t xml:space="preserve"> </w:t>
      </w:r>
      <w:r w:rsidRPr="003D3056">
        <w:rPr>
          <w:rFonts w:ascii="Palatino Linotype" w:hAnsi="Palatino Linotype"/>
          <w:b/>
          <w:bCs/>
          <w:i/>
          <w:iCs/>
          <w:sz w:val="22"/>
          <w:szCs w:val="22"/>
        </w:rPr>
        <w:t>Dictaminar las declaratorias de inexistencia de la información</w:t>
      </w:r>
      <w:r w:rsidRPr="003D3056">
        <w:rPr>
          <w:rFonts w:ascii="Palatino Linotype" w:hAnsi="Palatino Linotype"/>
          <w:i/>
          <w:iCs/>
          <w:sz w:val="22"/>
          <w:szCs w:val="22"/>
        </w:rPr>
        <w:t xml:space="preserve"> que les remitan las unidades administrativas y resolver en consecuencia…”</w:t>
      </w:r>
    </w:p>
    <w:p w14:paraId="6E07C704"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i/>
          <w:iCs/>
          <w:sz w:val="22"/>
          <w:szCs w:val="22"/>
        </w:rPr>
        <w:t>“</w:t>
      </w:r>
      <w:r w:rsidRPr="003D3056">
        <w:rPr>
          <w:rFonts w:ascii="Palatino Linotype" w:hAnsi="Palatino Linotype"/>
          <w:b/>
          <w:bCs/>
          <w:i/>
          <w:iCs/>
          <w:sz w:val="22"/>
          <w:szCs w:val="22"/>
        </w:rPr>
        <w:t>Artículo 169</w:t>
      </w:r>
      <w:r w:rsidRPr="003D3056">
        <w:rPr>
          <w:rFonts w:ascii="Palatino Linotype" w:hAnsi="Palatino Linotype"/>
          <w:i/>
          <w:iCs/>
          <w:sz w:val="22"/>
          <w:szCs w:val="22"/>
        </w:rPr>
        <w:t xml:space="preserve">. </w:t>
      </w:r>
      <w:r w:rsidRPr="003D3056">
        <w:rPr>
          <w:rFonts w:ascii="Palatino Linotype" w:hAnsi="Palatino Linotype"/>
          <w:b/>
          <w:bCs/>
          <w:i/>
          <w:iCs/>
          <w:sz w:val="22"/>
          <w:szCs w:val="22"/>
        </w:rPr>
        <w:t>Cuando la información no se encuentre en los archivos del sujeto obligado, el Comité de Transparencia</w:t>
      </w:r>
      <w:r w:rsidRPr="003D3056">
        <w:rPr>
          <w:rFonts w:ascii="Palatino Linotype" w:hAnsi="Palatino Linotype"/>
          <w:i/>
          <w:iCs/>
          <w:sz w:val="22"/>
          <w:szCs w:val="22"/>
        </w:rPr>
        <w:t>: </w:t>
      </w:r>
    </w:p>
    <w:p w14:paraId="3B6AE628"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b/>
          <w:bCs/>
          <w:i/>
          <w:iCs/>
          <w:sz w:val="22"/>
          <w:szCs w:val="22"/>
        </w:rPr>
        <w:t>I.</w:t>
      </w:r>
      <w:r w:rsidRPr="003D3056">
        <w:rPr>
          <w:rFonts w:ascii="Palatino Linotype" w:hAnsi="Palatino Linotype"/>
          <w:i/>
          <w:iCs/>
          <w:sz w:val="22"/>
          <w:szCs w:val="22"/>
        </w:rPr>
        <w:t xml:space="preserve"> Analizará el caso y tomará las medidas necesarias para localizar la información; </w:t>
      </w:r>
    </w:p>
    <w:p w14:paraId="0F0C5032"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b/>
          <w:bCs/>
          <w:i/>
          <w:iCs/>
          <w:sz w:val="22"/>
          <w:szCs w:val="22"/>
        </w:rPr>
        <w:t>II.</w:t>
      </w:r>
      <w:r w:rsidRPr="003D3056">
        <w:rPr>
          <w:rFonts w:ascii="Palatino Linotype" w:hAnsi="Palatino Linotype"/>
          <w:i/>
          <w:iCs/>
          <w:sz w:val="22"/>
          <w:szCs w:val="22"/>
        </w:rPr>
        <w:t xml:space="preserve"> </w:t>
      </w:r>
      <w:r w:rsidRPr="003D3056">
        <w:rPr>
          <w:rFonts w:ascii="Palatino Linotype" w:hAnsi="Palatino Linotype"/>
          <w:b/>
          <w:bCs/>
          <w:i/>
          <w:iCs/>
          <w:sz w:val="22"/>
          <w:szCs w:val="22"/>
        </w:rPr>
        <w:t>Expedirá una resolución que confirme la inexistencia del documento</w:t>
      </w:r>
      <w:r w:rsidRPr="003D3056">
        <w:rPr>
          <w:rFonts w:ascii="Palatino Linotype" w:hAnsi="Palatino Linotype"/>
          <w:i/>
          <w:iCs/>
          <w:sz w:val="22"/>
          <w:szCs w:val="22"/>
        </w:rPr>
        <w:t>; </w:t>
      </w:r>
    </w:p>
    <w:p w14:paraId="666D4276"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b/>
          <w:bCs/>
          <w:i/>
          <w:iCs/>
          <w:sz w:val="22"/>
          <w:szCs w:val="22"/>
        </w:rPr>
        <w:t>III</w:t>
      </w:r>
      <w:r w:rsidRPr="003D3056">
        <w:rPr>
          <w:rFonts w:ascii="Palatino Linotype" w:hAnsi="Palatino Linotype"/>
          <w:i/>
          <w:iCs/>
          <w:sz w:val="22"/>
          <w:szCs w:val="22"/>
        </w:rPr>
        <w:t>.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89BA0D5"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b/>
          <w:bCs/>
          <w:i/>
          <w:iCs/>
          <w:sz w:val="22"/>
          <w:szCs w:val="22"/>
        </w:rPr>
        <w:t xml:space="preserve">IV. </w:t>
      </w:r>
      <w:r w:rsidRPr="003D3056">
        <w:rPr>
          <w:rFonts w:ascii="Palatino Linotype" w:hAnsi="Palatino Linotype"/>
          <w:i/>
          <w:iCs/>
          <w:sz w:val="22"/>
          <w:szCs w:val="22"/>
        </w:rPr>
        <w:t>Notificará al órgano interno de control o equivalente del sujeto obligado quien, en su caso, deberá iniciar el procedimiento de responsabilidad administrativa que corresponda. </w:t>
      </w:r>
    </w:p>
    <w:p w14:paraId="5575B770"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i/>
          <w:iCs/>
          <w:sz w:val="22"/>
          <w:szCs w:val="22"/>
        </w:rPr>
        <w:t>La Unidad de Transparencia deberá notificarlo al solicitante por escrito, en un plazo que no exceda de quince días hábiles contados a partir del día siguiente a la presentación de la solicitud. </w:t>
      </w:r>
    </w:p>
    <w:p w14:paraId="200B1609"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i/>
          <w:iCs/>
          <w:sz w:val="22"/>
          <w:szCs w:val="22"/>
        </w:rPr>
        <w:t>Este plazo podrá ampliarse hasta por otros siete días hábiles, siempre que existan razones para ello, debiendo notificarse por escrito al solicitante.”</w:t>
      </w:r>
    </w:p>
    <w:p w14:paraId="645922A5" w14:textId="77777777" w:rsidR="005018FF" w:rsidRPr="003D3056" w:rsidRDefault="005018FF" w:rsidP="00AD6C1C">
      <w:pPr>
        <w:pStyle w:val="NormalWeb"/>
        <w:spacing w:before="240" w:beforeAutospacing="0" w:after="240" w:afterAutospacing="0" w:line="276" w:lineRule="auto"/>
        <w:ind w:left="709" w:right="560"/>
        <w:jc w:val="both"/>
        <w:rPr>
          <w:rFonts w:ascii="Palatino Linotype" w:hAnsi="Palatino Linotype"/>
          <w:sz w:val="22"/>
          <w:szCs w:val="22"/>
        </w:rPr>
      </w:pPr>
      <w:r w:rsidRPr="003D3056">
        <w:rPr>
          <w:rFonts w:ascii="Palatino Linotype" w:hAnsi="Palatino Linotype"/>
          <w:i/>
          <w:iCs/>
          <w:sz w:val="22"/>
          <w:szCs w:val="22"/>
        </w:rPr>
        <w:t>“</w:t>
      </w:r>
      <w:r w:rsidRPr="003D3056">
        <w:rPr>
          <w:rFonts w:ascii="Palatino Linotype" w:hAnsi="Palatino Linotype"/>
          <w:b/>
          <w:bCs/>
          <w:i/>
          <w:iCs/>
          <w:sz w:val="22"/>
          <w:szCs w:val="22"/>
        </w:rPr>
        <w:t>Artículo 170.</w:t>
      </w:r>
      <w:r w:rsidRPr="003D3056">
        <w:rPr>
          <w:rFonts w:ascii="Palatino Linotype" w:hAnsi="Palatino Linotype"/>
          <w:i/>
          <w:iCs/>
          <w:sz w:val="22"/>
          <w:szCs w:val="22"/>
        </w:rPr>
        <w:t xml:space="preserve"> </w:t>
      </w:r>
      <w:r w:rsidRPr="003D3056">
        <w:rPr>
          <w:rFonts w:ascii="Palatino Linotype" w:hAnsi="Palatino Linotype"/>
          <w:b/>
          <w:bCs/>
          <w:i/>
          <w:iCs/>
          <w:sz w:val="22"/>
          <w:szCs w:val="22"/>
        </w:rPr>
        <w:t>La resolución del Comité de Transparencia que confirme la inexistencia de la información solicitada contendrá los elementos mínimos</w:t>
      </w:r>
      <w:r w:rsidRPr="003D3056">
        <w:rPr>
          <w:rFonts w:ascii="Palatino Linotype" w:hAnsi="Palatino Linotype"/>
          <w:i/>
          <w:iCs/>
          <w:sz w:val="22"/>
          <w:szCs w:val="22"/>
        </w:rPr>
        <w:t xml:space="preserve"> </w:t>
      </w:r>
      <w:r w:rsidRPr="003D3056">
        <w:rPr>
          <w:rFonts w:ascii="Palatino Linotype" w:hAnsi="Palatino Linotype"/>
          <w:b/>
          <w:bCs/>
          <w:i/>
          <w:iCs/>
          <w:sz w:val="22"/>
          <w:szCs w:val="22"/>
        </w:rPr>
        <w:t>que permitan al solicitante tener la certeza de que se utilizó un criterio de búsqueda exhaustivo</w:t>
      </w:r>
      <w:r w:rsidRPr="003D3056">
        <w:rPr>
          <w:rFonts w:ascii="Palatino Linotype" w:hAnsi="Palatino Linotype"/>
          <w:i/>
          <w:iCs/>
          <w:sz w:val="22"/>
          <w:szCs w:val="22"/>
        </w:rPr>
        <w:t xml:space="preserve">, además de señalar las circunstancias de tiempo, modo y lugar </w:t>
      </w:r>
      <w:r w:rsidRPr="003D3056">
        <w:rPr>
          <w:rFonts w:ascii="Palatino Linotype" w:hAnsi="Palatino Linotype"/>
          <w:i/>
          <w:iCs/>
          <w:sz w:val="22"/>
          <w:szCs w:val="22"/>
        </w:rPr>
        <w:lastRenderedPageBreak/>
        <w:t>que generaron la existencia en cuestión y señalará al servidor público responsable de contar con la misma.”</w:t>
      </w:r>
    </w:p>
    <w:p w14:paraId="05EBF2F7" w14:textId="77777777"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42254C57" w14:textId="77777777"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Asimismo, resulta aplicable el Criterio reiterado número 08/19 emitido por Acuerdo del Pleno del Instituto de Transparencia y Acceso a la Información Pública del Estado de México y Municipios, que precisa:</w:t>
      </w:r>
    </w:p>
    <w:p w14:paraId="7956B62B" w14:textId="77777777" w:rsidR="005018FF" w:rsidRPr="003D3056" w:rsidRDefault="005018FF" w:rsidP="00AD6C1C">
      <w:pPr>
        <w:pStyle w:val="NormalWeb"/>
        <w:spacing w:before="240" w:beforeAutospacing="0" w:after="240" w:afterAutospacing="0" w:line="276" w:lineRule="auto"/>
        <w:ind w:left="567" w:right="560"/>
        <w:jc w:val="both"/>
        <w:rPr>
          <w:rFonts w:ascii="Palatino Linotype" w:hAnsi="Palatino Linotype"/>
          <w:sz w:val="22"/>
          <w:szCs w:val="22"/>
        </w:rPr>
      </w:pPr>
      <w:r w:rsidRPr="003D3056">
        <w:rPr>
          <w:rFonts w:ascii="Palatino Linotype" w:hAnsi="Palatino Linotype"/>
          <w:i/>
          <w:iCs/>
          <w:sz w:val="22"/>
          <w:szCs w:val="22"/>
        </w:rPr>
        <w:t>“</w:t>
      </w:r>
      <w:r w:rsidRPr="003D3056">
        <w:rPr>
          <w:rFonts w:ascii="Palatino Linotype" w:hAnsi="Palatino Linotype"/>
          <w:b/>
          <w:bCs/>
          <w:i/>
          <w:iCs/>
          <w:sz w:val="22"/>
          <w:szCs w:val="22"/>
        </w:rPr>
        <w:t>INEXISTENCIA DE LA INFORMACIÓN. SUPUESTOS PARA EMITIR LA RESOLUCIÓN DE LA</w:t>
      </w:r>
      <w:r w:rsidRPr="003D3056">
        <w:rPr>
          <w:rFonts w:ascii="Palatino Linotype" w:hAnsi="Palatino Linotype"/>
          <w:i/>
          <w:iCs/>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w:t>
      </w:r>
      <w:r w:rsidRPr="003D3056">
        <w:rPr>
          <w:rFonts w:ascii="Palatino Linotype" w:hAnsi="Palatino Linotype"/>
          <w:i/>
          <w:iCs/>
          <w:sz w:val="22"/>
          <w:szCs w:val="22"/>
        </w:rPr>
        <w:lastRenderedPageBreak/>
        <w:t>certeza jurídica al particular de que se realizó un criterio de búsqueda exhaustivo y razonable con la debida justificación de la falta de información y en su caso, las consecuencias de ello.”</w:t>
      </w:r>
    </w:p>
    <w:p w14:paraId="64450820" w14:textId="77777777" w:rsidR="005018FF" w:rsidRPr="003D3056" w:rsidRDefault="005018FF" w:rsidP="00AD6C1C">
      <w:pPr>
        <w:pStyle w:val="NormalWeb"/>
        <w:spacing w:before="240" w:beforeAutospacing="0" w:after="240" w:afterAutospacing="0" w:line="360" w:lineRule="auto"/>
        <w:jc w:val="both"/>
        <w:rPr>
          <w:rFonts w:ascii="Palatino Linotype" w:hAnsi="Palatino Linotype"/>
          <w:sz w:val="22"/>
          <w:szCs w:val="22"/>
        </w:rPr>
      </w:pPr>
      <w:r w:rsidRPr="003D3056">
        <w:rPr>
          <w:rFonts w:ascii="Palatino Linotype" w:hAnsi="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65331BB8" w14:textId="419E9F65" w:rsidR="00BB1403" w:rsidRPr="003D3056" w:rsidRDefault="00AD6C1C"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D</w:t>
      </w:r>
      <w:r w:rsidR="003A56BC" w:rsidRPr="003D3056">
        <w:rPr>
          <w:rFonts w:ascii="Palatino Linotype" w:eastAsia="Palatino Linotype" w:hAnsi="Palatino Linotype" w:cs="Palatino Linotype"/>
          <w:sz w:val="22"/>
          <w:szCs w:val="22"/>
        </w:rPr>
        <w:t xml:space="preserve">e lo hasta aquí expuesto, se concluye que los motivos de inconformidad de la parte </w:t>
      </w:r>
      <w:r w:rsidR="003A56BC" w:rsidRPr="003D3056">
        <w:rPr>
          <w:rFonts w:ascii="Palatino Linotype" w:eastAsia="Palatino Linotype" w:hAnsi="Palatino Linotype" w:cs="Palatino Linotype"/>
          <w:b/>
          <w:sz w:val="22"/>
          <w:szCs w:val="22"/>
        </w:rPr>
        <w:t xml:space="preserve">Recurrente </w:t>
      </w:r>
      <w:r w:rsidR="003A56BC" w:rsidRPr="003D3056">
        <w:rPr>
          <w:rFonts w:ascii="Palatino Linotype" w:eastAsia="Palatino Linotype" w:hAnsi="Palatino Linotype" w:cs="Palatino Linotype"/>
          <w:sz w:val="22"/>
          <w:szCs w:val="22"/>
        </w:rPr>
        <w:t xml:space="preserve">devienen </w:t>
      </w:r>
      <w:r w:rsidR="001C2C5B" w:rsidRPr="003D3056">
        <w:rPr>
          <w:rFonts w:ascii="Palatino Linotype" w:eastAsia="Palatino Linotype" w:hAnsi="Palatino Linotype" w:cs="Palatino Linotype"/>
          <w:sz w:val="22"/>
          <w:szCs w:val="22"/>
        </w:rPr>
        <w:t xml:space="preserve">parcialmente </w:t>
      </w:r>
      <w:r w:rsidR="003A56BC" w:rsidRPr="003D3056">
        <w:rPr>
          <w:rFonts w:ascii="Palatino Linotype" w:eastAsia="Palatino Linotype" w:hAnsi="Palatino Linotype" w:cs="Palatino Linotype"/>
          <w:sz w:val="22"/>
          <w:szCs w:val="22"/>
        </w:rPr>
        <w:t xml:space="preserve">fundados, siendo procedente </w:t>
      </w:r>
      <w:r w:rsidR="0019764B" w:rsidRPr="003D3056">
        <w:rPr>
          <w:rFonts w:ascii="Palatino Linotype" w:eastAsia="Palatino Linotype" w:hAnsi="Palatino Linotype" w:cs="Palatino Linotype"/>
          <w:i/>
          <w:sz w:val="22"/>
          <w:szCs w:val="22"/>
        </w:rPr>
        <w:t xml:space="preserve">Modificar </w:t>
      </w:r>
      <w:r w:rsidR="003A56BC" w:rsidRPr="003D3056">
        <w:rPr>
          <w:rFonts w:ascii="Palatino Linotype" w:eastAsia="Palatino Linotype" w:hAnsi="Palatino Linotype" w:cs="Palatino Linotype"/>
          <w:sz w:val="22"/>
          <w:szCs w:val="22"/>
        </w:rPr>
        <w:t xml:space="preserve">la respuesta proporcionada por el </w:t>
      </w:r>
      <w:r w:rsidR="003A56BC" w:rsidRPr="003D3056">
        <w:rPr>
          <w:rFonts w:ascii="Palatino Linotype" w:eastAsia="Palatino Linotype" w:hAnsi="Palatino Linotype" w:cs="Palatino Linotype"/>
          <w:b/>
          <w:sz w:val="22"/>
          <w:szCs w:val="22"/>
        </w:rPr>
        <w:t xml:space="preserve">Sujeto Obligado </w:t>
      </w:r>
      <w:r w:rsidR="003A56BC" w:rsidRPr="003D3056">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74BB5096" w14:textId="1EB161F8"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Quinto. Versión Pública.</w:t>
      </w:r>
      <w:r w:rsidRPr="003D3056">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3D3056">
        <w:rPr>
          <w:rFonts w:ascii="Palatino Linotype" w:eastAsia="Palatino Linotype" w:hAnsi="Palatino Linotype" w:cs="Palatino Linotype"/>
          <w:b/>
          <w:sz w:val="22"/>
          <w:szCs w:val="22"/>
        </w:rPr>
        <w:t>Recurrente</w:t>
      </w:r>
      <w:r w:rsidR="00E367B1" w:rsidRPr="003D3056">
        <w:rPr>
          <w:rFonts w:ascii="Palatino Linotype" w:eastAsia="Palatino Linotype" w:hAnsi="Palatino Linotype" w:cs="Palatino Linotype"/>
          <w:sz w:val="22"/>
          <w:szCs w:val="22"/>
        </w:rPr>
        <w:t>.</w:t>
      </w:r>
    </w:p>
    <w:p w14:paraId="510F762A" w14:textId="6B3C1823"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Para efectos de la elaboración de la versión pública se deberá observar lo dispuesto por los artículos 3</w:t>
      </w:r>
      <w:r w:rsidR="00F37EA5" w:rsidRPr="003D3056">
        <w:rPr>
          <w:rFonts w:ascii="Palatino Linotype" w:eastAsia="Palatino Linotype" w:hAnsi="Palatino Linotype" w:cs="Palatino Linotype"/>
          <w:sz w:val="22"/>
          <w:szCs w:val="22"/>
        </w:rPr>
        <w:t>,</w:t>
      </w:r>
      <w:r w:rsidRPr="003D3056">
        <w:rPr>
          <w:rFonts w:ascii="Palatino Linotype" w:eastAsia="Palatino Linotype" w:hAnsi="Palatino Linotype" w:cs="Palatino Linotype"/>
          <w:sz w:val="22"/>
          <w:szCs w:val="22"/>
        </w:rPr>
        <w:t xml:space="preserve"> fracciones </w:t>
      </w:r>
      <w:r w:rsidR="00F37EA5" w:rsidRPr="003D3056">
        <w:rPr>
          <w:rFonts w:ascii="Palatino Linotype" w:eastAsia="Palatino Linotype" w:hAnsi="Palatino Linotype" w:cs="Palatino Linotype"/>
          <w:sz w:val="22"/>
          <w:szCs w:val="22"/>
        </w:rPr>
        <w:t>XX, XXIV</w:t>
      </w:r>
      <w:r w:rsidR="00AA699C" w:rsidRPr="003D3056">
        <w:rPr>
          <w:rFonts w:ascii="Palatino Linotype" w:eastAsia="Palatino Linotype" w:hAnsi="Palatino Linotype" w:cs="Palatino Linotype"/>
          <w:sz w:val="22"/>
          <w:szCs w:val="22"/>
        </w:rPr>
        <w:t xml:space="preserve"> </w:t>
      </w:r>
      <w:r w:rsidR="0019764B" w:rsidRPr="003D3056">
        <w:rPr>
          <w:rFonts w:ascii="Palatino Linotype" w:eastAsia="Palatino Linotype" w:hAnsi="Palatino Linotype" w:cs="Palatino Linotype"/>
          <w:sz w:val="22"/>
          <w:szCs w:val="22"/>
        </w:rPr>
        <w:t xml:space="preserve">y XLV, 91, </w:t>
      </w:r>
      <w:r w:rsidR="00E31028" w:rsidRPr="003D3056">
        <w:rPr>
          <w:rFonts w:ascii="Palatino Linotype" w:eastAsia="Palatino Linotype" w:hAnsi="Palatino Linotype" w:cs="Palatino Linotype"/>
          <w:sz w:val="22"/>
          <w:szCs w:val="22"/>
        </w:rPr>
        <w:t xml:space="preserve">132 y 137 </w:t>
      </w:r>
      <w:r w:rsidRPr="003D3056">
        <w:rPr>
          <w:rFonts w:ascii="Palatino Linotype" w:eastAsia="Palatino Linotype" w:hAnsi="Palatino Linotype" w:cs="Palatino Linotype"/>
          <w:sz w:val="22"/>
          <w:szCs w:val="22"/>
        </w:rPr>
        <w:t>de la Ley de Transparencia y Acceso a la Información Pública del Estado de México y Municipios, que establecen:</w:t>
      </w:r>
    </w:p>
    <w:p w14:paraId="593503D8"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Artículo 3</w:t>
      </w:r>
      <w:r w:rsidRPr="003D3056">
        <w:rPr>
          <w:rFonts w:ascii="Palatino Linotype" w:eastAsia="Palatino Linotype" w:hAnsi="Palatino Linotype" w:cs="Palatino Linotype"/>
          <w:i/>
          <w:sz w:val="22"/>
          <w:szCs w:val="22"/>
        </w:rPr>
        <w:t>. Para los efectos de la presente Ley se entenderá por:</w:t>
      </w:r>
    </w:p>
    <w:p w14:paraId="61E16675"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p>
    <w:p w14:paraId="5937F51D"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XX. Información clasificada</w:t>
      </w:r>
      <w:r w:rsidRPr="003D3056">
        <w:rPr>
          <w:rFonts w:ascii="Palatino Linotype" w:eastAsia="Palatino Linotype" w:hAnsi="Palatino Linotype" w:cs="Palatino Linotype"/>
          <w:i/>
          <w:sz w:val="22"/>
          <w:szCs w:val="22"/>
        </w:rPr>
        <w:t>: Aquella considerada por la presente Ley como reservada o confidencial;</w:t>
      </w:r>
    </w:p>
    <w:p w14:paraId="6ED3E6D9" w14:textId="2FB31E24" w:rsidR="00AA699C" w:rsidRPr="003D3056" w:rsidRDefault="00AA699C" w:rsidP="00AD6C1C">
      <w:pPr>
        <w:spacing w:before="240" w:after="240"/>
        <w:ind w:left="1134" w:right="902"/>
        <w:jc w:val="both"/>
        <w:rPr>
          <w:rFonts w:ascii="Palatino Linotype" w:hAnsi="Palatino Linotype"/>
          <w:b/>
          <w:i/>
          <w:sz w:val="22"/>
          <w:szCs w:val="22"/>
        </w:rPr>
      </w:pPr>
      <w:r w:rsidRPr="003D3056">
        <w:rPr>
          <w:rFonts w:ascii="Palatino Linotype" w:hAnsi="Palatino Linotype"/>
          <w:b/>
          <w:i/>
          <w:sz w:val="22"/>
          <w:szCs w:val="22"/>
        </w:rPr>
        <w:lastRenderedPageBreak/>
        <w:t>...</w:t>
      </w:r>
    </w:p>
    <w:p w14:paraId="736D98CE" w14:textId="77777777" w:rsidR="00AA699C" w:rsidRPr="003D3056" w:rsidRDefault="00AA699C" w:rsidP="00AD6C1C">
      <w:pPr>
        <w:spacing w:before="240" w:after="240"/>
        <w:ind w:left="1134" w:right="902"/>
        <w:jc w:val="both"/>
        <w:rPr>
          <w:rFonts w:ascii="Palatino Linotype" w:hAnsi="Palatino Linotype"/>
          <w:i/>
          <w:sz w:val="22"/>
          <w:szCs w:val="22"/>
        </w:rPr>
      </w:pPr>
      <w:r w:rsidRPr="003D3056">
        <w:rPr>
          <w:rFonts w:ascii="Palatino Linotype" w:hAnsi="Palatino Linotype"/>
          <w:b/>
          <w:i/>
          <w:sz w:val="22"/>
          <w:szCs w:val="22"/>
        </w:rPr>
        <w:t>XXIV.</w:t>
      </w:r>
      <w:r w:rsidRPr="003D3056">
        <w:rPr>
          <w:rFonts w:ascii="Palatino Linotype" w:hAnsi="Palatino Linotype"/>
          <w:i/>
          <w:sz w:val="22"/>
          <w:szCs w:val="22"/>
        </w:rPr>
        <w:t xml:space="preserve"> </w:t>
      </w:r>
      <w:r w:rsidRPr="003D3056">
        <w:rPr>
          <w:rFonts w:ascii="Palatino Linotype" w:hAnsi="Palatino Linotype"/>
          <w:b/>
          <w:i/>
          <w:sz w:val="22"/>
          <w:szCs w:val="22"/>
        </w:rPr>
        <w:t>Información reservada</w:t>
      </w:r>
      <w:r w:rsidRPr="003D3056">
        <w:rPr>
          <w:rFonts w:ascii="Palatino Linotype" w:hAnsi="Palatino Linotype"/>
          <w:i/>
          <w:sz w:val="22"/>
          <w:szCs w:val="22"/>
        </w:rPr>
        <w:t xml:space="preserve">: La clasificada con este carácter de manera temporal por las disposiciones de esta Ley, cuya divulgación puede causar daño en términos de lo establecido por esta Ley; </w:t>
      </w:r>
    </w:p>
    <w:p w14:paraId="05982393" w14:textId="0550E88B" w:rsidR="00AA699C" w:rsidRPr="003D3056" w:rsidRDefault="00AA699C" w:rsidP="00AD6C1C">
      <w:pPr>
        <w:spacing w:before="240" w:after="240"/>
        <w:ind w:left="1134" w:right="902"/>
        <w:jc w:val="both"/>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sz w:val="22"/>
          <w:szCs w:val="22"/>
        </w:rPr>
        <w:t>...</w:t>
      </w:r>
    </w:p>
    <w:p w14:paraId="29B2CC37" w14:textId="4E8C0654"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XLV. Versión pública:</w:t>
      </w:r>
      <w:r w:rsidRPr="003D305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B51273B"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p>
    <w:p w14:paraId="035AE6B1"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Artículo 91.</w:t>
      </w:r>
      <w:r w:rsidRPr="003D305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B76E861" w14:textId="268D289E" w:rsidR="00E31028" w:rsidRPr="003D3056" w:rsidRDefault="00E31028" w:rsidP="00AD6C1C">
      <w:pPr>
        <w:spacing w:before="240" w:after="240"/>
        <w:ind w:left="851" w:right="902"/>
        <w:jc w:val="both"/>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sz w:val="22"/>
          <w:szCs w:val="22"/>
        </w:rPr>
        <w:t>...</w:t>
      </w:r>
    </w:p>
    <w:p w14:paraId="5150C920"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Artículo 132.</w:t>
      </w:r>
      <w:r w:rsidRPr="003D3056">
        <w:rPr>
          <w:rFonts w:ascii="Palatino Linotype" w:eastAsia="Palatino Linotype" w:hAnsi="Palatino Linotype" w:cs="Palatino Linotype"/>
          <w:i/>
          <w:sz w:val="22"/>
          <w:szCs w:val="22"/>
        </w:rPr>
        <w:t xml:space="preserve"> La clasificación de la información se llevará a cabo en el momento en que:</w:t>
      </w:r>
    </w:p>
    <w:p w14:paraId="2340ACA4"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w:t>
      </w:r>
      <w:r w:rsidRPr="003D3056">
        <w:rPr>
          <w:rFonts w:ascii="Palatino Linotype" w:eastAsia="Palatino Linotype" w:hAnsi="Palatino Linotype" w:cs="Palatino Linotype"/>
          <w:i/>
          <w:sz w:val="22"/>
          <w:szCs w:val="22"/>
        </w:rPr>
        <w:t>. Se reciba una solicitud de acceso a la información;</w:t>
      </w:r>
    </w:p>
    <w:p w14:paraId="032BC528"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II.</w:t>
      </w:r>
      <w:r w:rsidRPr="003D3056">
        <w:rPr>
          <w:rFonts w:ascii="Palatino Linotype" w:eastAsia="Palatino Linotype" w:hAnsi="Palatino Linotype" w:cs="Palatino Linotype"/>
          <w:i/>
          <w:sz w:val="22"/>
          <w:szCs w:val="22"/>
        </w:rPr>
        <w:t xml:space="preserve"> Se determine mediante resolución de autoridad competente; o</w:t>
      </w:r>
    </w:p>
    <w:p w14:paraId="41373E23" w14:textId="77777777" w:rsidR="00BB1403" w:rsidRPr="003D3056" w:rsidRDefault="003A56BC" w:rsidP="00AD6C1C">
      <w:pP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III.</w:t>
      </w:r>
      <w:r w:rsidRPr="003D305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F579DCE"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p>
    <w:p w14:paraId="5F4DD78D" w14:textId="77777777" w:rsidR="00BB1403" w:rsidRPr="003D3056" w:rsidRDefault="003A56BC"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Artículo 137.</w:t>
      </w:r>
      <w:r w:rsidRPr="003D305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24E5270" w14:textId="77777777" w:rsidR="00AA699C" w:rsidRPr="003D3056" w:rsidRDefault="003A56BC" w:rsidP="00AD6C1C">
      <w:pPr>
        <w:spacing w:before="240" w:after="240"/>
        <w:ind w:left="851" w:right="902"/>
        <w:jc w:val="both"/>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sz w:val="22"/>
          <w:szCs w:val="22"/>
        </w:rPr>
        <w:t>…</w:t>
      </w:r>
    </w:p>
    <w:p w14:paraId="0E9DFFE4" w14:textId="48EEC457" w:rsidR="001C2C5B" w:rsidRPr="003D3056" w:rsidRDefault="003A56BC" w:rsidP="00AD6C1C">
      <w:pPr>
        <w:spacing w:before="240" w:after="240" w:line="360" w:lineRule="auto"/>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sz w:val="22"/>
          <w:szCs w:val="22"/>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w:t>
      </w:r>
      <w:r w:rsidRPr="003D3056">
        <w:rPr>
          <w:rFonts w:ascii="Palatino Linotype" w:eastAsia="Palatino Linotype" w:hAnsi="Palatino Linotype" w:cs="Palatino Linotype"/>
          <w:sz w:val="22"/>
          <w:szCs w:val="22"/>
        </w:rPr>
        <w:lastRenderedPageBreak/>
        <w:t>Información Pública y Protección de Datos Personales, que tienen por objeto establecer los criterios con base en los cuales los sujetos obligados clasificarán como reservada o confidencial la información que posean, desclasificarán y generarán, en su caso, ver</w:t>
      </w:r>
      <w:r w:rsidR="001C2C5B" w:rsidRPr="003D3056">
        <w:rPr>
          <w:rFonts w:ascii="Palatino Linotype" w:eastAsia="Palatino Linotype" w:hAnsi="Palatino Linotype" w:cs="Palatino Linotype"/>
          <w:sz w:val="22"/>
          <w:szCs w:val="22"/>
        </w:rPr>
        <w:t xml:space="preserve">siones públicas de expedientes. </w:t>
      </w:r>
    </w:p>
    <w:p w14:paraId="252FD722" w14:textId="77777777" w:rsidR="00E31028" w:rsidRPr="003D3056" w:rsidRDefault="00E31028" w:rsidP="00AD6C1C">
      <w:pPr>
        <w:spacing w:before="240" w:after="240" w:line="360" w:lineRule="auto"/>
        <w:ind w:right="50"/>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75CF151" w14:textId="77777777" w:rsidR="00E31028" w:rsidRPr="003D3056" w:rsidRDefault="00E31028" w:rsidP="00AD6C1C">
      <w:pPr>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“Artículo 49.</w:t>
      </w:r>
      <w:r w:rsidRPr="003D3056">
        <w:rPr>
          <w:rFonts w:ascii="Palatino Linotype" w:eastAsia="Palatino Linotype" w:hAnsi="Palatino Linotype" w:cs="Palatino Linotype"/>
          <w:i/>
          <w:sz w:val="22"/>
          <w:szCs w:val="22"/>
        </w:rPr>
        <w:t xml:space="preserve"> </w:t>
      </w:r>
      <w:r w:rsidRPr="003D3056">
        <w:rPr>
          <w:rFonts w:ascii="Palatino Linotype" w:eastAsia="Palatino Linotype" w:hAnsi="Palatino Linotype" w:cs="Palatino Linotype"/>
          <w:b/>
          <w:i/>
          <w:sz w:val="22"/>
          <w:szCs w:val="22"/>
        </w:rPr>
        <w:t>Los Comités de Transparencia</w:t>
      </w:r>
      <w:r w:rsidRPr="003D3056">
        <w:rPr>
          <w:rFonts w:ascii="Palatino Linotype" w:eastAsia="Palatino Linotype" w:hAnsi="Palatino Linotype" w:cs="Palatino Linotype"/>
          <w:i/>
          <w:sz w:val="22"/>
          <w:szCs w:val="22"/>
        </w:rPr>
        <w:t xml:space="preserve"> tendrán las siguientes atribuciones:</w:t>
      </w:r>
    </w:p>
    <w:p w14:paraId="03A29296" w14:textId="77777777" w:rsidR="00E31028" w:rsidRPr="003D3056" w:rsidRDefault="00E31028" w:rsidP="00AD6C1C">
      <w:pPr>
        <w:spacing w:before="240" w:after="240"/>
        <w:ind w:left="1134"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VIII. Aprobar, modificar o revocar la clasificación de la información</w:t>
      </w:r>
      <w:r w:rsidRPr="003D3056">
        <w:rPr>
          <w:rFonts w:ascii="Palatino Linotype" w:eastAsia="Palatino Linotype" w:hAnsi="Palatino Linotype" w:cs="Palatino Linotype"/>
          <w:i/>
          <w:sz w:val="22"/>
          <w:szCs w:val="22"/>
        </w:rPr>
        <w:t>…”</w:t>
      </w:r>
    </w:p>
    <w:p w14:paraId="0EDE3606" w14:textId="77777777" w:rsidR="00E31028" w:rsidRPr="003D3056" w:rsidRDefault="00E31028" w:rsidP="00AD6C1C">
      <w:pPr>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Artículo 53.</w:t>
      </w:r>
      <w:r w:rsidRPr="003D3056">
        <w:rPr>
          <w:rFonts w:ascii="Palatino Linotype" w:eastAsia="Palatino Linotype" w:hAnsi="Palatino Linotype" w:cs="Palatino Linotype"/>
          <w:i/>
          <w:sz w:val="22"/>
          <w:szCs w:val="22"/>
        </w:rPr>
        <w:t xml:space="preserve"> Las </w:t>
      </w:r>
      <w:r w:rsidRPr="003D3056">
        <w:rPr>
          <w:rFonts w:ascii="Palatino Linotype" w:eastAsia="Palatino Linotype" w:hAnsi="Palatino Linotype" w:cs="Palatino Linotype"/>
          <w:b/>
          <w:i/>
          <w:sz w:val="22"/>
          <w:szCs w:val="22"/>
        </w:rPr>
        <w:t>Unidades de Transparencia</w:t>
      </w:r>
      <w:r w:rsidRPr="003D3056">
        <w:rPr>
          <w:rFonts w:ascii="Palatino Linotype" w:eastAsia="Palatino Linotype" w:hAnsi="Palatino Linotype" w:cs="Palatino Linotype"/>
          <w:i/>
          <w:sz w:val="22"/>
          <w:szCs w:val="22"/>
        </w:rPr>
        <w:t xml:space="preserve"> tendrán las siguientes </w:t>
      </w:r>
      <w:r w:rsidRPr="003D3056">
        <w:rPr>
          <w:rFonts w:ascii="Palatino Linotype" w:eastAsia="Palatino Linotype" w:hAnsi="Palatino Linotype" w:cs="Palatino Linotype"/>
          <w:b/>
          <w:i/>
          <w:sz w:val="22"/>
          <w:szCs w:val="22"/>
        </w:rPr>
        <w:t>funciones</w:t>
      </w:r>
      <w:r w:rsidRPr="003D3056">
        <w:rPr>
          <w:rFonts w:ascii="Palatino Linotype" w:eastAsia="Palatino Linotype" w:hAnsi="Palatino Linotype" w:cs="Palatino Linotype"/>
          <w:i/>
          <w:sz w:val="22"/>
          <w:szCs w:val="22"/>
        </w:rPr>
        <w:t>:</w:t>
      </w:r>
    </w:p>
    <w:p w14:paraId="7DCB3A20" w14:textId="77777777" w:rsidR="00E31028" w:rsidRPr="003D3056" w:rsidRDefault="00E31028" w:rsidP="00AD6C1C">
      <w:pPr>
        <w:spacing w:before="240" w:after="240"/>
        <w:ind w:left="1134"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X. Presentar ante el Comité, el proyecto de clasificación de información</w:t>
      </w:r>
      <w:r w:rsidRPr="003D3056">
        <w:rPr>
          <w:rFonts w:ascii="Palatino Linotype" w:eastAsia="Palatino Linotype" w:hAnsi="Palatino Linotype" w:cs="Palatino Linotype"/>
          <w:i/>
          <w:sz w:val="22"/>
          <w:szCs w:val="22"/>
        </w:rPr>
        <w:t xml:space="preserve">…” </w:t>
      </w:r>
    </w:p>
    <w:p w14:paraId="7881D56F" w14:textId="77777777" w:rsidR="00E31028" w:rsidRPr="003D3056" w:rsidRDefault="00E31028" w:rsidP="00AD6C1C">
      <w:pPr>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“Artículo 59.</w:t>
      </w:r>
      <w:r w:rsidRPr="003D3056">
        <w:rPr>
          <w:rFonts w:ascii="Palatino Linotype" w:eastAsia="Palatino Linotype" w:hAnsi="Palatino Linotype" w:cs="Palatino Linotype"/>
          <w:i/>
          <w:sz w:val="22"/>
          <w:szCs w:val="22"/>
        </w:rPr>
        <w:t xml:space="preserve"> Los </w:t>
      </w:r>
      <w:r w:rsidRPr="003D3056">
        <w:rPr>
          <w:rFonts w:ascii="Palatino Linotype" w:eastAsia="Palatino Linotype" w:hAnsi="Palatino Linotype" w:cs="Palatino Linotype"/>
          <w:b/>
          <w:i/>
          <w:sz w:val="22"/>
          <w:szCs w:val="22"/>
        </w:rPr>
        <w:t>servidores públicos habilitados</w:t>
      </w:r>
      <w:r w:rsidRPr="003D3056">
        <w:rPr>
          <w:rFonts w:ascii="Palatino Linotype" w:eastAsia="Palatino Linotype" w:hAnsi="Palatino Linotype" w:cs="Palatino Linotype"/>
          <w:i/>
          <w:sz w:val="22"/>
          <w:szCs w:val="22"/>
        </w:rPr>
        <w:t xml:space="preserve"> tendrán las </w:t>
      </w:r>
      <w:r w:rsidRPr="003D3056">
        <w:rPr>
          <w:rFonts w:ascii="Palatino Linotype" w:eastAsia="Palatino Linotype" w:hAnsi="Palatino Linotype" w:cs="Palatino Linotype"/>
          <w:b/>
          <w:i/>
          <w:sz w:val="22"/>
          <w:szCs w:val="22"/>
        </w:rPr>
        <w:t>funciones</w:t>
      </w:r>
      <w:r w:rsidRPr="003D3056">
        <w:rPr>
          <w:rFonts w:ascii="Palatino Linotype" w:eastAsia="Palatino Linotype" w:hAnsi="Palatino Linotype" w:cs="Palatino Linotype"/>
          <w:i/>
          <w:sz w:val="22"/>
          <w:szCs w:val="22"/>
        </w:rPr>
        <w:t xml:space="preserve"> siguientes:</w:t>
      </w:r>
    </w:p>
    <w:p w14:paraId="27E5EE40" w14:textId="77777777" w:rsidR="00E31028" w:rsidRPr="003D3056" w:rsidRDefault="00E31028" w:rsidP="00AD6C1C">
      <w:pPr>
        <w:spacing w:before="240" w:after="240"/>
        <w:ind w:left="1134"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D3056">
        <w:rPr>
          <w:rFonts w:ascii="Palatino Linotype" w:eastAsia="Palatino Linotype" w:hAnsi="Palatino Linotype" w:cs="Palatino Linotype"/>
          <w:i/>
          <w:sz w:val="22"/>
          <w:szCs w:val="22"/>
        </w:rPr>
        <w:t>, la cual tendrá los fundamentos y argumentos en que se basa dicha propuesta…”</w:t>
      </w:r>
    </w:p>
    <w:p w14:paraId="3AF1C885" w14:textId="77777777" w:rsidR="00E31028" w:rsidRPr="003D3056" w:rsidRDefault="00E31028"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w:t>
      </w:r>
      <w:r w:rsidRPr="003D3056">
        <w:rPr>
          <w:rFonts w:ascii="Palatino Linotype" w:eastAsia="Palatino Linotype" w:hAnsi="Palatino Linotype" w:cs="Palatino Linotype"/>
          <w:sz w:val="22"/>
          <w:szCs w:val="22"/>
        </w:rPr>
        <w:lastRenderedPageBreak/>
        <w:t>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8A663CA" w14:textId="77777777" w:rsidR="00E31028" w:rsidRPr="003D3056" w:rsidRDefault="00E31028"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524F358B" w14:textId="77777777" w:rsidR="00E31028" w:rsidRPr="003D3056" w:rsidRDefault="00E31028" w:rsidP="00AD6C1C">
      <w:pPr>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Artículo 149.</w:t>
      </w:r>
      <w:r w:rsidRPr="003D3056">
        <w:rPr>
          <w:rFonts w:ascii="Palatino Linotype" w:eastAsia="Palatino Linotype" w:hAnsi="Palatino Linotype" w:cs="Palatino Linotype"/>
          <w:i/>
          <w:sz w:val="22"/>
          <w:szCs w:val="22"/>
        </w:rPr>
        <w:t xml:space="preserve"> El </w:t>
      </w:r>
      <w:r w:rsidRPr="003D3056">
        <w:rPr>
          <w:rFonts w:ascii="Palatino Linotype" w:eastAsia="Palatino Linotype" w:hAnsi="Palatino Linotype" w:cs="Palatino Linotype"/>
          <w:b/>
          <w:i/>
          <w:sz w:val="22"/>
          <w:szCs w:val="22"/>
        </w:rPr>
        <w:t>acuerdo que clasifique la información como confidencial</w:t>
      </w:r>
      <w:r w:rsidRPr="003D305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43C5E452" w14:textId="77777777" w:rsidR="00E31028" w:rsidRPr="003D3056" w:rsidRDefault="00E31028" w:rsidP="00AD6C1C">
      <w:pPr>
        <w:spacing w:before="240" w:after="240" w:line="360" w:lineRule="auto"/>
        <w:ind w:right="51"/>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Es decir, 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19D4FAED" w14:textId="26DB7297" w:rsidR="00E31028" w:rsidRPr="003D3056" w:rsidRDefault="00E31028"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Por último, respecto a la versión pública de los documentos que contenga la información solicitada, cabe señalar que el Comité de Transparencia del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deberá emitir el acuerdo de clasificación de información debidamente fundado y motivado</w:t>
      </w:r>
      <w:r w:rsidR="00F1081B" w:rsidRPr="003D3056">
        <w:rPr>
          <w:rFonts w:ascii="Palatino Linotype" w:eastAsia="Palatino Linotype" w:hAnsi="Palatino Linotype" w:cs="Palatino Linotype"/>
          <w:sz w:val="22"/>
          <w:szCs w:val="22"/>
        </w:rPr>
        <w:t xml:space="preserve">, en términos </w:t>
      </w:r>
      <w:r w:rsidRPr="003D3056">
        <w:rPr>
          <w:rFonts w:ascii="Palatino Linotype" w:eastAsia="Palatino Linotype" w:hAnsi="Palatino Linotype" w:cs="Palatino Linotype"/>
          <w:sz w:val="22"/>
          <w:szCs w:val="22"/>
        </w:rPr>
        <w:t>los Lineamientos Segundo, fracción XVIII, y del Cuarto al Décimo Primero de los “Lineamientos Generales en materia de Clasificación y Desclasificación de la Información, así como para la elaboración de Versiones Públicas”, que literalmente expresan:</w:t>
      </w:r>
    </w:p>
    <w:p w14:paraId="4F60F103" w14:textId="4433C33E"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r w:rsidRPr="003D3056">
        <w:rPr>
          <w:rFonts w:ascii="Palatino Linotype" w:eastAsia="Palatino Linotype" w:hAnsi="Palatino Linotype" w:cs="Palatino Linotype"/>
          <w:b/>
          <w:i/>
          <w:sz w:val="22"/>
          <w:szCs w:val="22"/>
        </w:rPr>
        <w:t>Segundo.-</w:t>
      </w:r>
      <w:r w:rsidRPr="003D3056">
        <w:rPr>
          <w:rFonts w:ascii="Palatino Linotype" w:eastAsia="Palatino Linotype" w:hAnsi="Palatino Linotype" w:cs="Palatino Linotype"/>
          <w:i/>
          <w:sz w:val="22"/>
          <w:szCs w:val="22"/>
        </w:rPr>
        <w:t xml:space="preserve"> Para efectos de los presentes Lineamientos Generales, se entenderá por:</w:t>
      </w:r>
    </w:p>
    <w:p w14:paraId="550AEDA2" w14:textId="77777777" w:rsidR="00E31028" w:rsidRPr="003D3056" w:rsidRDefault="00E31028" w:rsidP="00AD6C1C">
      <w:pPr>
        <w:tabs>
          <w:tab w:val="left" w:pos="8222"/>
        </w:tabs>
        <w:spacing w:before="240" w:after="240"/>
        <w:ind w:left="1134"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lastRenderedPageBreak/>
        <w:t>XVIII.</w:t>
      </w:r>
      <w:r w:rsidRPr="003D3056">
        <w:rPr>
          <w:rFonts w:ascii="Palatino Linotype" w:eastAsia="Palatino Linotype" w:hAnsi="Palatino Linotype" w:cs="Palatino Linotype"/>
          <w:i/>
          <w:sz w:val="22"/>
          <w:szCs w:val="22"/>
        </w:rPr>
        <w:t xml:space="preserve"> </w:t>
      </w:r>
      <w:r w:rsidRPr="003D3056">
        <w:rPr>
          <w:rFonts w:ascii="Palatino Linotype" w:eastAsia="Palatino Linotype" w:hAnsi="Palatino Linotype" w:cs="Palatino Linotype"/>
          <w:b/>
          <w:i/>
          <w:sz w:val="22"/>
          <w:szCs w:val="22"/>
        </w:rPr>
        <w:t>Versión pública:</w:t>
      </w:r>
      <w:r w:rsidRPr="003D305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D3056">
        <w:rPr>
          <w:rFonts w:ascii="Palatino Linotype" w:eastAsia="Palatino Linotype" w:hAnsi="Palatino Linotype" w:cs="Palatino Linotype"/>
          <w:b/>
          <w:i/>
          <w:sz w:val="22"/>
          <w:szCs w:val="22"/>
        </w:rPr>
        <w:t>fundando y motivando la</w:t>
      </w:r>
      <w:r w:rsidRPr="003D3056">
        <w:rPr>
          <w:rFonts w:ascii="Palatino Linotype" w:eastAsia="Palatino Linotype" w:hAnsi="Palatino Linotype" w:cs="Palatino Linotype"/>
          <w:i/>
          <w:sz w:val="22"/>
          <w:szCs w:val="22"/>
        </w:rPr>
        <w:t xml:space="preserve"> </w:t>
      </w:r>
      <w:r w:rsidRPr="003D3056">
        <w:rPr>
          <w:rFonts w:ascii="Palatino Linotype" w:eastAsia="Palatino Linotype" w:hAnsi="Palatino Linotype" w:cs="Palatino Linotype"/>
          <w:b/>
          <w:i/>
          <w:sz w:val="22"/>
          <w:szCs w:val="22"/>
        </w:rPr>
        <w:t>reserva o confidencialidad</w:t>
      </w:r>
      <w:r w:rsidRPr="003D3056">
        <w:rPr>
          <w:rFonts w:ascii="Palatino Linotype" w:eastAsia="Palatino Linotype" w:hAnsi="Palatino Linotype" w:cs="Palatino Linotype"/>
          <w:i/>
          <w:sz w:val="22"/>
          <w:szCs w:val="22"/>
        </w:rPr>
        <w:t>, a través de la resolución que para tal efecto emita el Comité de Transparencia.</w:t>
      </w:r>
    </w:p>
    <w:p w14:paraId="1F4B4F1F"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sz w:val="22"/>
          <w:szCs w:val="22"/>
        </w:rPr>
        <w:t>...</w:t>
      </w:r>
    </w:p>
    <w:p w14:paraId="272727FD"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Cuarto.</w:t>
      </w:r>
      <w:r w:rsidRPr="003D3056">
        <w:rPr>
          <w:rFonts w:ascii="Palatino Linotype" w:eastAsia="Palatino Linotype" w:hAnsi="Palatino Linotype" w:cs="Palatino Linotype"/>
          <w:i/>
          <w:sz w:val="22"/>
          <w:szCs w:val="22"/>
        </w:rPr>
        <w:t xml:space="preserve"> </w:t>
      </w:r>
      <w:r w:rsidRPr="003D3056">
        <w:rPr>
          <w:rFonts w:ascii="Palatino Linotype" w:eastAsia="Palatino Linotype" w:hAnsi="Palatino Linotype" w:cs="Palatino Linotype"/>
          <w:b/>
          <w:i/>
          <w:sz w:val="22"/>
          <w:szCs w:val="22"/>
        </w:rPr>
        <w:t>Para clasificar la información como</w:t>
      </w:r>
      <w:r w:rsidRPr="003D3056">
        <w:rPr>
          <w:rFonts w:ascii="Palatino Linotype" w:eastAsia="Palatino Linotype" w:hAnsi="Palatino Linotype" w:cs="Palatino Linotype"/>
          <w:i/>
          <w:sz w:val="22"/>
          <w:szCs w:val="22"/>
        </w:rPr>
        <w:t xml:space="preserve"> </w:t>
      </w:r>
      <w:r w:rsidRPr="003D3056">
        <w:rPr>
          <w:rFonts w:ascii="Palatino Linotype" w:eastAsia="Palatino Linotype" w:hAnsi="Palatino Linotype" w:cs="Palatino Linotype"/>
          <w:b/>
          <w:i/>
          <w:sz w:val="22"/>
          <w:szCs w:val="22"/>
        </w:rPr>
        <w:t>reservada o</w:t>
      </w:r>
      <w:r w:rsidRPr="003D3056">
        <w:rPr>
          <w:rFonts w:ascii="Palatino Linotype" w:eastAsia="Palatino Linotype" w:hAnsi="Palatino Linotype" w:cs="Palatino Linotype"/>
          <w:i/>
          <w:sz w:val="22"/>
          <w:szCs w:val="22"/>
        </w:rPr>
        <w:t xml:space="preserve"> </w:t>
      </w:r>
      <w:r w:rsidRPr="003D3056">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3D3056">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35D294"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FDC3E0C"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Quinto.</w:t>
      </w:r>
      <w:r w:rsidRPr="003D305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453ABB"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Sexto.</w:t>
      </w:r>
      <w:r w:rsidRPr="003D3056">
        <w:rPr>
          <w:rFonts w:ascii="Palatino Linotype" w:eastAsia="Palatino Linotype" w:hAnsi="Palatino Linotype" w:cs="Palatino Linotype"/>
          <w:i/>
          <w:sz w:val="22"/>
          <w:szCs w:val="22"/>
        </w:rPr>
        <w:t xml:space="preserve"> Se deroga.</w:t>
      </w:r>
    </w:p>
    <w:p w14:paraId="1DEB191D"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Séptimo.</w:t>
      </w:r>
      <w:r w:rsidRPr="003D3056">
        <w:rPr>
          <w:rFonts w:ascii="Palatino Linotype" w:eastAsia="Palatino Linotype" w:hAnsi="Palatino Linotype" w:cs="Palatino Linotype"/>
          <w:i/>
          <w:sz w:val="22"/>
          <w:szCs w:val="22"/>
        </w:rPr>
        <w:t xml:space="preserve"> La clasificación de la información se llevará a cabo en el momento en que:</w:t>
      </w:r>
    </w:p>
    <w:p w14:paraId="5F2F26B4" w14:textId="77777777" w:rsidR="00E31028" w:rsidRPr="003D3056" w:rsidRDefault="00E31028" w:rsidP="00AD6C1C">
      <w:pPr>
        <w:tabs>
          <w:tab w:val="left" w:pos="8222"/>
        </w:tabs>
        <w:spacing w:before="240" w:after="240"/>
        <w:ind w:left="1134"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w:t>
      </w:r>
      <w:r w:rsidRPr="003D3056">
        <w:rPr>
          <w:rFonts w:ascii="Palatino Linotype" w:eastAsia="Palatino Linotype" w:hAnsi="Palatino Linotype" w:cs="Palatino Linotype"/>
          <w:i/>
          <w:sz w:val="22"/>
          <w:szCs w:val="22"/>
        </w:rPr>
        <w:t xml:space="preserve"> Se reciba una solicitud de acceso a la información;</w:t>
      </w:r>
    </w:p>
    <w:p w14:paraId="2EECB7EF" w14:textId="77777777" w:rsidR="00E31028" w:rsidRPr="003D3056" w:rsidRDefault="00E31028" w:rsidP="00AD6C1C">
      <w:pPr>
        <w:tabs>
          <w:tab w:val="left" w:pos="8222"/>
        </w:tabs>
        <w:spacing w:before="240" w:after="240"/>
        <w:ind w:left="1134"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II.</w:t>
      </w:r>
      <w:r w:rsidRPr="003D3056">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4A591EEB" w14:textId="77777777" w:rsidR="00E31028" w:rsidRPr="003D3056" w:rsidRDefault="00E31028" w:rsidP="00AD6C1C">
      <w:pPr>
        <w:tabs>
          <w:tab w:val="left" w:pos="8222"/>
        </w:tabs>
        <w:spacing w:before="240" w:after="240"/>
        <w:ind w:left="1134"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lastRenderedPageBreak/>
        <w:t>III.</w:t>
      </w:r>
      <w:r w:rsidRPr="003D305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8040811"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3D3056">
        <w:rPr>
          <w:rFonts w:ascii="Palatino Linotype" w:hAnsi="Palatino Linotype"/>
          <w:sz w:val="22"/>
          <w:szCs w:val="22"/>
        </w:rPr>
        <w:t xml:space="preserve">, </w:t>
      </w:r>
      <w:r w:rsidRPr="003D3056">
        <w:rPr>
          <w:rFonts w:ascii="Palatino Linotype" w:eastAsia="Palatino Linotype" w:hAnsi="Palatino Linotype" w:cs="Palatino Linotype"/>
          <w:i/>
          <w:sz w:val="22"/>
          <w:szCs w:val="22"/>
        </w:rPr>
        <w:t>conforme a su naturaleza, si encuadra en una causal de reserva o de confidencialidad.</w:t>
      </w:r>
    </w:p>
    <w:p w14:paraId="2DB66731"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Octavo.</w:t>
      </w:r>
      <w:r w:rsidRPr="003D305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A195AC"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6F7BD47"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92525CE"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Noveno.</w:t>
      </w:r>
      <w:r w:rsidRPr="003D305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2847F3"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Décimo.</w:t>
      </w:r>
      <w:r w:rsidRPr="003D305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15CEF59"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556FA69" w14:textId="77777777" w:rsidR="00E31028" w:rsidRPr="003D3056" w:rsidRDefault="00E31028" w:rsidP="00AD6C1C">
      <w:pPr>
        <w:tabs>
          <w:tab w:val="left" w:pos="8222"/>
        </w:tabs>
        <w:spacing w:before="240" w:after="240"/>
        <w:ind w:left="851" w:right="1134"/>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lastRenderedPageBreak/>
        <w:t>Décimo primero.</w:t>
      </w:r>
      <w:r w:rsidRPr="003D305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4D12FC9" w14:textId="77777777" w:rsidR="00E31028" w:rsidRPr="003D3056" w:rsidRDefault="00E31028" w:rsidP="00AD6C1C">
      <w:pPr>
        <w:spacing w:before="240" w:after="240" w:line="360" w:lineRule="auto"/>
        <w:ind w:right="50"/>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Asimismo, deberá observar los Lineamientos Quincuagésimo, Quincuagésimo primero, Quincuagésimo segundo, de los Lineamientos Generales en Materia de Clasificación y Desclasificación de la Información, así como para la Elaboración de Versiones Públicas, que señalan las formalidades que deberá llevar el acuerdo de clasificación que deberá emitir 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siendo estas las siguientes:</w:t>
      </w:r>
    </w:p>
    <w:p w14:paraId="18232137" w14:textId="77777777" w:rsidR="00E31028" w:rsidRPr="003D3056" w:rsidRDefault="00E31028"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 xml:space="preserve"> “Quincuagésimo. </w:t>
      </w:r>
      <w:r w:rsidRPr="003D305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6BE03BD" w14:textId="77777777" w:rsidR="00E31028" w:rsidRPr="003D3056" w:rsidRDefault="00E31028" w:rsidP="00AD6C1C">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 xml:space="preserve">Quincuagésimo primero. </w:t>
      </w:r>
      <w:r w:rsidRPr="003D3056">
        <w:rPr>
          <w:rFonts w:ascii="Palatino Linotype" w:eastAsia="Palatino Linotype" w:hAnsi="Palatino Linotype" w:cs="Palatino Linotype"/>
          <w:i/>
          <w:sz w:val="22"/>
          <w:szCs w:val="22"/>
        </w:rPr>
        <w:t xml:space="preserve">Toda acta del Comité de Transparencia deberá contener: </w:t>
      </w:r>
    </w:p>
    <w:p w14:paraId="12A22B73"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w:t>
      </w:r>
      <w:r w:rsidRPr="003D3056">
        <w:rPr>
          <w:rFonts w:ascii="Palatino Linotype" w:eastAsia="Palatino Linotype" w:hAnsi="Palatino Linotype" w:cs="Palatino Linotype"/>
          <w:i/>
          <w:sz w:val="22"/>
          <w:szCs w:val="22"/>
        </w:rPr>
        <w:t xml:space="preserve"> El número de sesión y fecha; </w:t>
      </w:r>
    </w:p>
    <w:p w14:paraId="7269A0AF"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II</w:t>
      </w:r>
      <w:r w:rsidRPr="003D3056">
        <w:rPr>
          <w:rFonts w:ascii="Palatino Linotype" w:eastAsia="Palatino Linotype" w:hAnsi="Palatino Linotype" w:cs="Palatino Linotype"/>
          <w:i/>
          <w:sz w:val="22"/>
          <w:szCs w:val="22"/>
        </w:rPr>
        <w:t xml:space="preserve">. El nombre del área que solicitó la clasificación de información; </w:t>
      </w:r>
    </w:p>
    <w:p w14:paraId="59464578"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III</w:t>
      </w:r>
      <w:r w:rsidRPr="003D3056">
        <w:rPr>
          <w:rFonts w:ascii="Palatino Linotype" w:eastAsia="Palatino Linotype" w:hAnsi="Palatino Linotype" w:cs="Palatino Linotype"/>
          <w:i/>
          <w:sz w:val="22"/>
          <w:szCs w:val="22"/>
        </w:rPr>
        <w:t xml:space="preserve">. La fundamentación legal y motivación correspondiente; </w:t>
      </w:r>
    </w:p>
    <w:p w14:paraId="77E3FC02"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IV</w:t>
      </w:r>
      <w:r w:rsidRPr="003D3056">
        <w:rPr>
          <w:rFonts w:ascii="Palatino Linotype" w:eastAsia="Palatino Linotype" w:hAnsi="Palatino Linotype" w:cs="Palatino Linotype"/>
          <w:i/>
          <w:sz w:val="22"/>
          <w:szCs w:val="22"/>
        </w:rPr>
        <w:t xml:space="preserve">. La resolución o resoluciones aprobadas; y </w:t>
      </w:r>
    </w:p>
    <w:p w14:paraId="0047DCC1"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V</w:t>
      </w:r>
      <w:r w:rsidRPr="003D3056">
        <w:rPr>
          <w:rFonts w:ascii="Palatino Linotype" w:eastAsia="Palatino Linotype" w:hAnsi="Palatino Linotype" w:cs="Palatino Linotype"/>
          <w:i/>
          <w:sz w:val="22"/>
          <w:szCs w:val="22"/>
        </w:rPr>
        <w:t xml:space="preserve">. La rúbrica o firma digital de cada integrante del Comité de Transparencia. </w:t>
      </w:r>
    </w:p>
    <w:p w14:paraId="5FEC8DAF" w14:textId="77777777" w:rsidR="00E31028" w:rsidRPr="003D3056" w:rsidRDefault="00E31028" w:rsidP="00AD6C1C">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1046DE9"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w:t>
      </w:r>
      <w:r w:rsidRPr="003D3056">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1F944C1"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sz w:val="22"/>
          <w:szCs w:val="22"/>
        </w:rPr>
        <w:t>II</w:t>
      </w:r>
      <w:r w:rsidRPr="003D3056">
        <w:rPr>
          <w:rFonts w:ascii="Palatino Linotype" w:eastAsia="Palatino Linotype" w:hAnsi="Palatino Linotype" w:cs="Palatino Linotype"/>
          <w:i/>
          <w:sz w:val="22"/>
          <w:szCs w:val="22"/>
        </w:rPr>
        <w:t>. Descripción de las partes o secciones reservadas, en caso de clasificación parcial</w:t>
      </w:r>
      <w:r w:rsidRPr="003D3056">
        <w:rPr>
          <w:rFonts w:ascii="Palatino Linotype" w:eastAsia="Palatino Linotype" w:hAnsi="Palatino Linotype" w:cs="Palatino Linotype"/>
          <w:b/>
          <w:i/>
          <w:sz w:val="22"/>
          <w:szCs w:val="22"/>
        </w:rPr>
        <w:t xml:space="preserve">; </w:t>
      </w:r>
    </w:p>
    <w:p w14:paraId="02CF9A66"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III.</w:t>
      </w:r>
      <w:r w:rsidRPr="003D3056">
        <w:rPr>
          <w:rFonts w:ascii="Palatino Linotype" w:eastAsia="Palatino Linotype" w:hAnsi="Palatino Linotype" w:cs="Palatino Linotype"/>
          <w:i/>
          <w:sz w:val="22"/>
          <w:szCs w:val="22"/>
        </w:rPr>
        <w:t xml:space="preserve"> El periodo por el que mantendrá su clasificación y fecha de expiración; y </w:t>
      </w:r>
    </w:p>
    <w:p w14:paraId="7162FF50" w14:textId="77777777" w:rsidR="00E31028" w:rsidRPr="003D3056" w:rsidRDefault="00E31028" w:rsidP="00AD6C1C">
      <w:pPr>
        <w:pBdr>
          <w:top w:val="nil"/>
          <w:left w:val="nil"/>
          <w:bottom w:val="nil"/>
          <w:right w:val="nil"/>
          <w:between w:val="nil"/>
        </w:pBdr>
        <w:spacing w:before="240" w:after="240"/>
        <w:ind w:left="1134"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lastRenderedPageBreak/>
        <w:t>IV.</w:t>
      </w:r>
      <w:r w:rsidRPr="003D3056">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DE98C1C" w14:textId="77777777" w:rsidR="00E31028" w:rsidRPr="003D3056" w:rsidRDefault="00E31028" w:rsidP="00AD6C1C">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3B0FC3F" w14:textId="77777777" w:rsidR="00E31028" w:rsidRPr="003D3056" w:rsidRDefault="00E31028" w:rsidP="00AD6C1C">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7C9A9EB" w14:textId="77777777" w:rsidR="00E31028" w:rsidRPr="003D3056" w:rsidRDefault="00E31028" w:rsidP="00AD6C1C">
      <w:pPr>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Quincuagésimo segundo</w:t>
      </w:r>
      <w:r w:rsidRPr="003D305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E887C94" w14:textId="77777777" w:rsidR="00E31028" w:rsidRPr="003D3056" w:rsidRDefault="00E31028" w:rsidP="00AD6C1C">
      <w:pPr>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 xml:space="preserve">En el caso </w:t>
      </w:r>
      <w:proofErr w:type="spellStart"/>
      <w:r w:rsidRPr="003D3056">
        <w:rPr>
          <w:rFonts w:ascii="Palatino Linotype" w:eastAsia="Palatino Linotype" w:hAnsi="Palatino Linotype" w:cs="Palatino Linotype"/>
          <w:i/>
          <w:sz w:val="22"/>
          <w:szCs w:val="22"/>
        </w:rPr>
        <w:t>especifico</w:t>
      </w:r>
      <w:proofErr w:type="spellEnd"/>
      <w:r w:rsidRPr="003D3056">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65201C4B" w14:textId="77777777" w:rsidR="00E31028" w:rsidRPr="003D3056" w:rsidRDefault="00E31028" w:rsidP="00AD6C1C">
      <w:pPr>
        <w:spacing w:before="240" w:after="240"/>
        <w:ind w:left="1134"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w:t>
      </w:r>
      <w:r w:rsidRPr="003D305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BEA63FB" w14:textId="77777777" w:rsidR="00E31028" w:rsidRPr="003D3056" w:rsidRDefault="00E31028" w:rsidP="00AD6C1C">
      <w:pPr>
        <w:spacing w:before="240" w:after="240"/>
        <w:ind w:left="1134"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II.</w:t>
      </w:r>
      <w:r w:rsidRPr="003D305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A0A5BE5" w14:textId="77777777" w:rsidR="00E31028" w:rsidRPr="003D3056" w:rsidRDefault="00E31028" w:rsidP="00AD6C1C">
      <w:pPr>
        <w:spacing w:before="240" w:after="240"/>
        <w:ind w:left="1134"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III.</w:t>
      </w:r>
      <w:r w:rsidRPr="003D3056">
        <w:rPr>
          <w:rFonts w:ascii="Palatino Linotype" w:eastAsia="Palatino Linotype" w:hAnsi="Palatino Linotype" w:cs="Palatino Linotype"/>
          <w:i/>
          <w:sz w:val="22"/>
          <w:szCs w:val="22"/>
        </w:rPr>
        <w:t xml:space="preserve"> Señalar las personas o instancias autorizadas a acceder a la información clasificada.</w:t>
      </w:r>
    </w:p>
    <w:p w14:paraId="4A740D26" w14:textId="77777777" w:rsidR="00E31028" w:rsidRPr="003D3056" w:rsidRDefault="00E31028" w:rsidP="00AD6C1C">
      <w:pPr>
        <w:spacing w:before="240" w:after="240"/>
        <w:ind w:left="851" w:right="900"/>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129440B" w14:textId="77777777" w:rsidR="00E31028" w:rsidRPr="003D3056" w:rsidRDefault="00E31028" w:rsidP="00AD6C1C">
      <w:pPr>
        <w:spacing w:before="240" w:after="240" w:line="360" w:lineRule="auto"/>
        <w:ind w:right="50"/>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En relación directa con ello deberá observar el Lineamiento Quincuagésimo tercero de los Lineamientos Generales en Materia de Clasificación y Desclasificación de la Información </w:t>
      </w:r>
      <w:proofErr w:type="spellStart"/>
      <w:r w:rsidRPr="003D3056">
        <w:rPr>
          <w:rFonts w:ascii="Palatino Linotype" w:eastAsia="Palatino Linotype" w:hAnsi="Palatino Linotype" w:cs="Palatino Linotype"/>
          <w:sz w:val="22"/>
          <w:szCs w:val="22"/>
        </w:rPr>
        <w:t>supraindicados</w:t>
      </w:r>
      <w:proofErr w:type="spellEnd"/>
      <w:r w:rsidRPr="003D3056">
        <w:rPr>
          <w:rFonts w:ascii="Palatino Linotype" w:eastAsia="Palatino Linotype" w:hAnsi="Palatino Linotype" w:cs="Palatino Linotype"/>
          <w:sz w:val="22"/>
          <w:szCs w:val="22"/>
        </w:rPr>
        <w:t xml:space="preserve">, que establece los formatos para la clasificación de los documentos, conforme a lo siguiente: </w:t>
      </w:r>
    </w:p>
    <w:p w14:paraId="072440A7" w14:textId="77777777" w:rsidR="00E31028" w:rsidRPr="003D3056" w:rsidRDefault="00E31028" w:rsidP="00AD6C1C">
      <w:pPr>
        <w:spacing w:before="240" w:after="240"/>
        <w:ind w:left="851" w:right="900"/>
        <w:jc w:val="center"/>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sz w:val="22"/>
          <w:szCs w:val="22"/>
        </w:rPr>
        <w:lastRenderedPageBreak/>
        <w:t>CAPÍTULO VIII</w:t>
      </w:r>
    </w:p>
    <w:p w14:paraId="14D0F44D" w14:textId="77777777" w:rsidR="00E31028" w:rsidRPr="003D3056" w:rsidRDefault="00E31028" w:rsidP="00AD6C1C">
      <w:pPr>
        <w:spacing w:before="240" w:after="240"/>
        <w:ind w:left="851" w:right="900"/>
        <w:jc w:val="center"/>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sz w:val="22"/>
          <w:szCs w:val="22"/>
        </w:rPr>
        <w:t xml:space="preserve">DE LOS ELEMENTOS PARA LA CLASIFICACIÓN </w:t>
      </w:r>
    </w:p>
    <w:p w14:paraId="2F38F934" w14:textId="77777777" w:rsidR="00E31028" w:rsidRPr="003D3056" w:rsidRDefault="00E31028" w:rsidP="00AD6C1C">
      <w:pPr>
        <w:spacing w:before="240" w:after="240"/>
        <w:ind w:left="851" w:right="900"/>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w:t>
      </w:r>
    </w:p>
    <w:p w14:paraId="37BD0174" w14:textId="77777777" w:rsidR="00E31028" w:rsidRPr="003D3056" w:rsidRDefault="00E31028"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b/>
          <w:i/>
          <w:sz w:val="22"/>
          <w:szCs w:val="22"/>
        </w:rPr>
        <w:t xml:space="preserve">Quincuagésimo tercero. </w:t>
      </w:r>
      <w:r w:rsidRPr="003D3056">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3D3056">
        <w:rPr>
          <w:rFonts w:ascii="Palatino Linotype" w:eastAsia="Palatino Linotype" w:hAnsi="Palatino Linotype" w:cs="Palatino Linotype"/>
          <w:b/>
          <w:i/>
          <w:sz w:val="22"/>
          <w:szCs w:val="22"/>
        </w:rPr>
        <w:t xml:space="preserve">, </w:t>
      </w:r>
      <w:r w:rsidRPr="003D3056">
        <w:rPr>
          <w:rFonts w:ascii="Palatino Linotype" w:eastAsia="Palatino Linotype" w:hAnsi="Palatino Linotype" w:cs="Palatino Linotype"/>
          <w:i/>
          <w:sz w:val="22"/>
          <w:szCs w:val="22"/>
        </w:rPr>
        <w:t xml:space="preserve">es el siguiente: </w:t>
      </w:r>
    </w:p>
    <w:p w14:paraId="68ED9681" w14:textId="77777777" w:rsidR="00E31028" w:rsidRPr="003D3056" w:rsidRDefault="00E31028" w:rsidP="00AD6C1C">
      <w:pPr>
        <w:spacing w:before="240" w:after="240"/>
        <w:ind w:left="851" w:right="902"/>
        <w:jc w:val="center"/>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noProof/>
          <w:sz w:val="22"/>
          <w:szCs w:val="22"/>
        </w:rPr>
        <w:drawing>
          <wp:inline distT="0" distB="0" distL="0" distR="0" wp14:anchorId="66CA6FAC" wp14:editId="79A327D2">
            <wp:extent cx="3960000" cy="272196"/>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1">
                      <a:extLst>
                        <a:ext uri="{28A0092B-C50C-407E-A947-70E740481C1C}">
                          <a14:useLocalDpi xmlns:a14="http://schemas.microsoft.com/office/drawing/2010/main" val="0"/>
                        </a:ext>
                      </a:extLst>
                    </a:blip>
                    <a:srcRect b="95731"/>
                    <a:stretch>
                      <a:fillRect/>
                    </a:stretch>
                  </pic:blipFill>
                  <pic:spPr bwMode="auto">
                    <a:xfrm>
                      <a:off x="0" y="0"/>
                      <a:ext cx="3960000" cy="272196"/>
                    </a:xfrm>
                    <a:prstGeom prst="rect">
                      <a:avLst/>
                    </a:prstGeom>
                    <a:noFill/>
                    <a:ln>
                      <a:noFill/>
                    </a:ln>
                  </pic:spPr>
                </pic:pic>
              </a:graphicData>
            </a:graphic>
          </wp:inline>
        </w:drawing>
      </w:r>
    </w:p>
    <w:p w14:paraId="7DB3CB1F" w14:textId="77777777" w:rsidR="00E31028" w:rsidRPr="003D3056" w:rsidRDefault="00E31028" w:rsidP="00AD6C1C">
      <w:pPr>
        <w:spacing w:before="240" w:after="240"/>
        <w:ind w:left="851" w:right="902"/>
        <w:jc w:val="center"/>
        <w:rPr>
          <w:rFonts w:ascii="Palatino Linotype" w:eastAsia="Palatino Linotype" w:hAnsi="Palatino Linotype" w:cs="Palatino Linotype"/>
          <w:b/>
          <w:i/>
          <w:sz w:val="22"/>
          <w:szCs w:val="22"/>
        </w:rPr>
      </w:pPr>
      <w:r w:rsidRPr="003D3056">
        <w:rPr>
          <w:rFonts w:ascii="Palatino Linotype" w:eastAsia="Palatino Linotype" w:hAnsi="Palatino Linotype" w:cs="Palatino Linotype"/>
          <w:b/>
          <w:i/>
          <w:noProof/>
          <w:sz w:val="22"/>
          <w:szCs w:val="22"/>
        </w:rPr>
        <w:drawing>
          <wp:inline distT="0" distB="0" distL="0" distR="0" wp14:anchorId="2FFEAF38" wp14:editId="17CD95D7">
            <wp:extent cx="3960000" cy="4360352"/>
            <wp:effectExtent l="0" t="0" r="254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1">
                      <a:extLst>
                        <a:ext uri="{28A0092B-C50C-407E-A947-70E740481C1C}">
                          <a14:useLocalDpi xmlns:a14="http://schemas.microsoft.com/office/drawing/2010/main" val="0"/>
                        </a:ext>
                      </a:extLst>
                    </a:blip>
                    <a:srcRect t="30908"/>
                    <a:stretch>
                      <a:fillRect/>
                    </a:stretch>
                  </pic:blipFill>
                  <pic:spPr bwMode="auto">
                    <a:xfrm>
                      <a:off x="0" y="0"/>
                      <a:ext cx="3960000" cy="4360352"/>
                    </a:xfrm>
                    <a:prstGeom prst="rect">
                      <a:avLst/>
                    </a:prstGeom>
                    <a:noFill/>
                    <a:ln>
                      <a:noFill/>
                    </a:ln>
                  </pic:spPr>
                </pic:pic>
              </a:graphicData>
            </a:graphic>
          </wp:inline>
        </w:drawing>
      </w:r>
    </w:p>
    <w:p w14:paraId="7584528E" w14:textId="77777777" w:rsidR="00E31028" w:rsidRPr="003D3056" w:rsidRDefault="00E31028"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Los documentos que integren un expediente reservado en su totalidad no deberán marcarse en lo individual.</w:t>
      </w:r>
    </w:p>
    <w:p w14:paraId="705FF9CF" w14:textId="77777777" w:rsidR="00E31028" w:rsidRPr="003D3056" w:rsidRDefault="00E31028" w:rsidP="00AD6C1C">
      <w:pPr>
        <w:spacing w:before="240" w:after="240"/>
        <w:ind w:left="851" w:right="902"/>
        <w:jc w:val="both"/>
        <w:rPr>
          <w:rFonts w:ascii="Palatino Linotype" w:eastAsia="Palatino Linotype" w:hAnsi="Palatino Linotype" w:cs="Palatino Linotype"/>
          <w:i/>
          <w:sz w:val="22"/>
          <w:szCs w:val="22"/>
        </w:rPr>
      </w:pPr>
      <w:r w:rsidRPr="003D3056">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2CFF6D84" w14:textId="77777777" w:rsidR="00E31028" w:rsidRPr="003D3056" w:rsidRDefault="00E31028"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lastRenderedPageBreak/>
        <w:t>Asimismo, deberá observar los Lineamientos Quincuagésimo cuarto, Quincuagésimo quinto, Quincuagésimo sexto, Quincuagésimo séptimo y Quincuagésimo octavo, establecen lo siguiente:</w:t>
      </w:r>
    </w:p>
    <w:p w14:paraId="5E192968" w14:textId="77777777" w:rsidR="00E31028" w:rsidRPr="003D3056" w:rsidRDefault="00E31028" w:rsidP="00AD6C1C">
      <w:pPr>
        <w:pBdr>
          <w:top w:val="nil"/>
          <w:left w:val="nil"/>
          <w:bottom w:val="nil"/>
          <w:right w:val="nil"/>
          <w:between w:val="nil"/>
        </w:pBdr>
        <w:spacing w:before="240" w:after="240"/>
        <w:ind w:left="851" w:right="900"/>
        <w:jc w:val="both"/>
        <w:rPr>
          <w:rFonts w:ascii="Palatino Linotype" w:eastAsia="Palatino Linotype" w:hAnsi="Palatino Linotype" w:cs="Palatino Linotype"/>
          <w:b/>
          <w:i/>
          <w:sz w:val="22"/>
          <w:szCs w:val="22"/>
        </w:rPr>
      </w:pPr>
      <w:r w:rsidRPr="003D3056">
        <w:rPr>
          <w:rFonts w:ascii="Palatino Linotype" w:hAnsi="Palatino Linotype"/>
          <w:i/>
          <w:iCs/>
          <w:sz w:val="22"/>
          <w:szCs w:val="22"/>
        </w:rPr>
        <w:t>“</w:t>
      </w:r>
      <w:r w:rsidRPr="003D3056">
        <w:rPr>
          <w:rFonts w:ascii="Palatino Linotype" w:eastAsia="Palatino Linotype" w:hAnsi="Palatino Linotype" w:cs="Palatino Linotype"/>
          <w:b/>
          <w:i/>
          <w:sz w:val="22"/>
          <w:szCs w:val="22"/>
        </w:rPr>
        <w:t xml:space="preserve">Quincuagésimo cuarto. </w:t>
      </w:r>
      <w:r w:rsidRPr="003D3056">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D3056">
        <w:rPr>
          <w:rFonts w:ascii="Palatino Linotype" w:eastAsia="Palatino Linotype" w:hAnsi="Palatino Linotype" w:cs="Palatino Linotype"/>
          <w:b/>
          <w:i/>
          <w:sz w:val="22"/>
          <w:szCs w:val="22"/>
        </w:rPr>
        <w:t xml:space="preserve"> </w:t>
      </w:r>
    </w:p>
    <w:p w14:paraId="06566D6D" w14:textId="77777777" w:rsidR="00E31028" w:rsidRPr="003D3056" w:rsidRDefault="00E31028" w:rsidP="00AD6C1C">
      <w:pPr>
        <w:spacing w:before="240" w:after="240"/>
        <w:ind w:left="851" w:right="902"/>
        <w:jc w:val="both"/>
        <w:rPr>
          <w:rFonts w:ascii="Palatino Linotype" w:hAnsi="Palatino Linotype"/>
          <w:i/>
          <w:iCs/>
          <w:sz w:val="22"/>
          <w:szCs w:val="22"/>
        </w:rPr>
      </w:pPr>
      <w:r w:rsidRPr="003D3056">
        <w:rPr>
          <w:rFonts w:ascii="Palatino Linotype" w:eastAsia="Palatino Linotype" w:hAnsi="Palatino Linotype" w:cs="Palatino Linotype"/>
          <w:b/>
          <w:i/>
          <w:sz w:val="22"/>
          <w:szCs w:val="22"/>
        </w:rPr>
        <w:t xml:space="preserve">Quincuagésimo quinto. </w:t>
      </w:r>
      <w:r w:rsidRPr="003D3056">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3D3056">
        <w:rPr>
          <w:rFonts w:ascii="Palatino Linotype" w:eastAsia="Palatino Linotype" w:hAnsi="Palatino Linotype" w:cs="Palatino Linotype"/>
          <w:i/>
          <w:sz w:val="22"/>
          <w:szCs w:val="22"/>
        </w:rPr>
        <w:t>testado</w:t>
      </w:r>
      <w:proofErr w:type="spellEnd"/>
      <w:r w:rsidRPr="003D305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CB09EA1" w14:textId="77777777" w:rsidR="00E31028" w:rsidRPr="003D3056" w:rsidRDefault="00E31028" w:rsidP="00AD6C1C">
      <w:pPr>
        <w:spacing w:before="240" w:after="240"/>
        <w:ind w:left="851" w:right="902"/>
        <w:jc w:val="both"/>
        <w:rPr>
          <w:rFonts w:ascii="Palatino Linotype" w:hAnsi="Palatino Linotype"/>
          <w:b/>
          <w:i/>
          <w:iCs/>
          <w:sz w:val="22"/>
          <w:szCs w:val="22"/>
        </w:rPr>
      </w:pPr>
      <w:r w:rsidRPr="003D3056">
        <w:rPr>
          <w:rFonts w:ascii="Palatino Linotype" w:hAnsi="Palatino Linotype"/>
          <w:b/>
          <w:bCs/>
          <w:i/>
          <w:iCs/>
          <w:sz w:val="22"/>
          <w:szCs w:val="22"/>
        </w:rPr>
        <w:t>..</w:t>
      </w:r>
      <w:r w:rsidRPr="003D3056">
        <w:rPr>
          <w:rFonts w:ascii="Palatino Linotype" w:hAnsi="Palatino Linotype"/>
          <w:b/>
          <w:i/>
          <w:iCs/>
          <w:sz w:val="22"/>
          <w:szCs w:val="22"/>
        </w:rPr>
        <w:t>.</w:t>
      </w:r>
    </w:p>
    <w:p w14:paraId="5EC24A86" w14:textId="77777777" w:rsidR="00E31028" w:rsidRPr="003D3056" w:rsidRDefault="00E31028" w:rsidP="00AD6C1C">
      <w:pPr>
        <w:spacing w:before="240" w:after="240"/>
        <w:ind w:left="851" w:right="902"/>
        <w:jc w:val="both"/>
        <w:rPr>
          <w:rFonts w:ascii="Palatino Linotype" w:hAnsi="Palatino Linotype"/>
          <w:i/>
          <w:iCs/>
          <w:sz w:val="22"/>
          <w:szCs w:val="22"/>
        </w:rPr>
      </w:pPr>
      <w:r w:rsidRPr="003D3056">
        <w:rPr>
          <w:rFonts w:ascii="Palatino Linotype" w:hAnsi="Palatino Linotype"/>
          <w:b/>
          <w:bCs/>
          <w:i/>
          <w:iCs/>
          <w:sz w:val="22"/>
          <w:szCs w:val="22"/>
        </w:rPr>
        <w:t>Quincuagésimo séptimo</w:t>
      </w:r>
      <w:r w:rsidRPr="003D3056">
        <w:rPr>
          <w:rFonts w:ascii="Palatino Linotype" w:hAnsi="Palatino Linotype"/>
          <w:i/>
          <w:iCs/>
          <w:sz w:val="22"/>
          <w:szCs w:val="22"/>
        </w:rPr>
        <w:t xml:space="preserve">. Se considera, en principio, como información pública y no podrá omitirse de las versiones públicas la siguiente: </w:t>
      </w:r>
    </w:p>
    <w:p w14:paraId="5EB1CDD2" w14:textId="77777777" w:rsidR="00E31028" w:rsidRPr="003D3056" w:rsidRDefault="00E31028" w:rsidP="00AD6C1C">
      <w:pPr>
        <w:spacing w:before="240" w:after="240"/>
        <w:ind w:left="1134" w:right="902"/>
        <w:jc w:val="both"/>
        <w:rPr>
          <w:rFonts w:ascii="Palatino Linotype" w:hAnsi="Palatino Linotype"/>
          <w:i/>
          <w:iCs/>
          <w:sz w:val="22"/>
          <w:szCs w:val="22"/>
        </w:rPr>
      </w:pPr>
      <w:r w:rsidRPr="003D3056">
        <w:rPr>
          <w:rFonts w:ascii="Palatino Linotype" w:hAnsi="Palatino Linotype"/>
          <w:b/>
          <w:bCs/>
          <w:i/>
          <w:iCs/>
          <w:sz w:val="22"/>
          <w:szCs w:val="22"/>
        </w:rPr>
        <w:t>I</w:t>
      </w:r>
      <w:r w:rsidRPr="003D3056">
        <w:rPr>
          <w:rFonts w:ascii="Palatino Linotype" w:hAnsi="Palatino Linotype"/>
          <w:i/>
          <w:iCs/>
          <w:sz w:val="22"/>
          <w:szCs w:val="22"/>
        </w:rPr>
        <w:t xml:space="preserve">. La relativa a las Obligaciones de Transparencia que contempla el Título V de la Ley General y las demás disposiciones legales aplicables; </w:t>
      </w:r>
    </w:p>
    <w:p w14:paraId="6631D4A4" w14:textId="77777777" w:rsidR="00E31028" w:rsidRPr="003D3056" w:rsidRDefault="00E31028" w:rsidP="00AD6C1C">
      <w:pPr>
        <w:spacing w:before="240" w:after="240"/>
        <w:ind w:left="1134" w:right="902"/>
        <w:jc w:val="both"/>
        <w:rPr>
          <w:rFonts w:ascii="Palatino Linotype" w:eastAsia="Palatino Linotype" w:hAnsi="Palatino Linotype" w:cs="Palatino Linotype"/>
          <w:i/>
          <w:iCs/>
          <w:sz w:val="22"/>
          <w:szCs w:val="22"/>
        </w:rPr>
      </w:pPr>
      <w:r w:rsidRPr="003D3056">
        <w:rPr>
          <w:rFonts w:ascii="Palatino Linotype" w:hAnsi="Palatino Linotype"/>
          <w:b/>
          <w:bCs/>
          <w:i/>
          <w:iCs/>
          <w:sz w:val="22"/>
          <w:szCs w:val="22"/>
        </w:rPr>
        <w:t>II.</w:t>
      </w:r>
      <w:r w:rsidRPr="003D3056">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0B7923D" w14:textId="77777777" w:rsidR="00E31028" w:rsidRPr="003D3056" w:rsidRDefault="00E31028" w:rsidP="00AD6C1C">
      <w:pPr>
        <w:spacing w:before="240" w:after="240"/>
        <w:ind w:left="1134" w:right="902"/>
        <w:jc w:val="both"/>
        <w:rPr>
          <w:rFonts w:ascii="Palatino Linotype" w:hAnsi="Palatino Linotype"/>
          <w:i/>
          <w:iCs/>
          <w:sz w:val="22"/>
          <w:szCs w:val="22"/>
        </w:rPr>
      </w:pPr>
      <w:r w:rsidRPr="003D3056">
        <w:rPr>
          <w:rFonts w:ascii="Palatino Linotype" w:hAnsi="Palatino Linotype"/>
          <w:b/>
          <w:bCs/>
          <w:i/>
          <w:iCs/>
          <w:sz w:val="22"/>
          <w:szCs w:val="22"/>
        </w:rPr>
        <w:t>III</w:t>
      </w:r>
      <w:r w:rsidRPr="003D3056">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D71EEE6" w14:textId="77777777" w:rsidR="00E31028" w:rsidRPr="003D3056" w:rsidRDefault="00E31028" w:rsidP="00AD6C1C">
      <w:pPr>
        <w:spacing w:before="240" w:after="240"/>
        <w:ind w:left="851" w:right="902"/>
        <w:jc w:val="both"/>
        <w:rPr>
          <w:rFonts w:ascii="Palatino Linotype" w:eastAsia="Palatino Linotype" w:hAnsi="Palatino Linotype" w:cs="Palatino Linotype"/>
          <w:i/>
          <w:iCs/>
          <w:sz w:val="22"/>
          <w:szCs w:val="22"/>
        </w:rPr>
      </w:pPr>
      <w:r w:rsidRPr="003D3056">
        <w:rPr>
          <w:rFonts w:ascii="Palatino Linotype" w:hAnsi="Palatino Linotype"/>
          <w:i/>
          <w:iCs/>
          <w:sz w:val="22"/>
          <w:szCs w:val="22"/>
        </w:rPr>
        <w:t xml:space="preserve">Lo anterior, siempre y cuando no se acredite alguna causal de clasificación, prevista en las leyes o en los tratados internacionales suscritas por el Estado mexicano. </w:t>
      </w:r>
      <w:r w:rsidRPr="003D3056">
        <w:rPr>
          <w:rFonts w:ascii="Palatino Linotype" w:eastAsia="Palatino Linotype" w:hAnsi="Palatino Linotype" w:cs="Palatino Linotype"/>
          <w:i/>
          <w:iCs/>
          <w:sz w:val="22"/>
          <w:szCs w:val="22"/>
        </w:rPr>
        <w:t xml:space="preserve"> </w:t>
      </w:r>
    </w:p>
    <w:p w14:paraId="56E6C4FF" w14:textId="77777777" w:rsidR="00E31028" w:rsidRPr="003D3056" w:rsidRDefault="00E31028" w:rsidP="00AD6C1C">
      <w:pPr>
        <w:spacing w:before="240" w:after="240"/>
        <w:ind w:left="851" w:right="902"/>
        <w:jc w:val="both"/>
        <w:rPr>
          <w:rFonts w:ascii="Palatino Linotype" w:eastAsia="Palatino Linotype" w:hAnsi="Palatino Linotype" w:cs="Palatino Linotype"/>
          <w:i/>
          <w:iCs/>
          <w:sz w:val="22"/>
          <w:szCs w:val="22"/>
        </w:rPr>
      </w:pPr>
      <w:r w:rsidRPr="003D3056">
        <w:rPr>
          <w:rFonts w:ascii="Palatino Linotype" w:hAnsi="Palatino Linotype"/>
          <w:b/>
          <w:bCs/>
          <w:i/>
          <w:iCs/>
          <w:sz w:val="22"/>
          <w:szCs w:val="22"/>
        </w:rPr>
        <w:lastRenderedPageBreak/>
        <w:t>Quincuagésimo octavo</w:t>
      </w:r>
      <w:r w:rsidRPr="003D3056">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6E204380" w14:textId="77777777" w:rsidR="00E31028" w:rsidRPr="003D3056" w:rsidRDefault="00E31028"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95AE7C7" w14:textId="5D07708B"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Así, con fundamento en lo prescrito en los artículos </w:t>
      </w:r>
      <w:r w:rsidR="00AD6C1C" w:rsidRPr="003D3056">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3D3056">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7F7A7DF4" w14:textId="77777777" w:rsidR="00BB1403" w:rsidRPr="003D3056" w:rsidRDefault="003A56BC" w:rsidP="00AD6C1C">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3D3056">
        <w:rPr>
          <w:rFonts w:ascii="Palatino Linotype" w:eastAsia="Palatino Linotype" w:hAnsi="Palatino Linotype" w:cs="Palatino Linotype"/>
          <w:b/>
          <w:sz w:val="22"/>
          <w:szCs w:val="22"/>
        </w:rPr>
        <w:t>III. R E S U E L V E</w:t>
      </w:r>
    </w:p>
    <w:p w14:paraId="193EF07B" w14:textId="036ACC7A"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9" w:name="_heading=h.1t3h5sf" w:colFirst="0" w:colLast="0"/>
      <w:bookmarkEnd w:id="9"/>
      <w:r w:rsidRPr="003D3056">
        <w:rPr>
          <w:rFonts w:ascii="Palatino Linotype" w:eastAsia="Palatino Linotype" w:hAnsi="Palatino Linotype" w:cs="Palatino Linotype"/>
          <w:b/>
          <w:sz w:val="22"/>
          <w:szCs w:val="22"/>
        </w:rPr>
        <w:t xml:space="preserve">Primero. </w:t>
      </w:r>
      <w:r w:rsidRPr="003D3056">
        <w:rPr>
          <w:rFonts w:ascii="Palatino Linotype" w:eastAsia="Palatino Linotype" w:hAnsi="Palatino Linotype" w:cs="Palatino Linotype"/>
          <w:sz w:val="22"/>
          <w:szCs w:val="22"/>
        </w:rPr>
        <w:t>Resultan</w:t>
      </w:r>
      <w:r w:rsidRPr="003D3056">
        <w:rPr>
          <w:rFonts w:ascii="Palatino Linotype" w:eastAsia="Palatino Linotype" w:hAnsi="Palatino Linotype" w:cs="Palatino Linotype"/>
          <w:b/>
          <w:sz w:val="22"/>
          <w:szCs w:val="22"/>
        </w:rPr>
        <w:t xml:space="preserve"> </w:t>
      </w:r>
      <w:r w:rsidR="001C2C5B" w:rsidRPr="003D3056">
        <w:rPr>
          <w:rFonts w:ascii="Palatino Linotype" w:eastAsia="Palatino Linotype" w:hAnsi="Palatino Linotype" w:cs="Palatino Linotype"/>
          <w:b/>
          <w:sz w:val="22"/>
          <w:szCs w:val="22"/>
        </w:rPr>
        <w:t xml:space="preserve">parcialmente </w:t>
      </w:r>
      <w:r w:rsidRPr="003D3056">
        <w:rPr>
          <w:rFonts w:ascii="Palatino Linotype" w:eastAsia="Palatino Linotype" w:hAnsi="Palatino Linotype" w:cs="Palatino Linotype"/>
          <w:b/>
          <w:sz w:val="22"/>
          <w:szCs w:val="22"/>
        </w:rPr>
        <w:t>fundadas</w:t>
      </w:r>
      <w:r w:rsidRPr="003D3056">
        <w:rPr>
          <w:rFonts w:ascii="Palatino Linotype" w:eastAsia="Palatino Linotype" w:hAnsi="Palatino Linotype" w:cs="Palatino Linotype"/>
          <w:sz w:val="22"/>
          <w:szCs w:val="22"/>
        </w:rPr>
        <w:t xml:space="preserve"> las razones o motivos de inconformidad hechos valer por la parte</w:t>
      </w:r>
      <w:r w:rsidRPr="003D3056">
        <w:rPr>
          <w:rFonts w:ascii="Palatino Linotype" w:eastAsia="Palatino Linotype" w:hAnsi="Palatino Linotype" w:cs="Palatino Linotype"/>
          <w:b/>
          <w:sz w:val="22"/>
          <w:szCs w:val="22"/>
        </w:rPr>
        <w:t xml:space="preserve"> Recurrente</w:t>
      </w:r>
      <w:r w:rsidRPr="003D3056">
        <w:rPr>
          <w:rFonts w:ascii="Palatino Linotype" w:eastAsia="Palatino Linotype" w:hAnsi="Palatino Linotype" w:cs="Palatino Linotype"/>
          <w:sz w:val="22"/>
          <w:szCs w:val="22"/>
        </w:rPr>
        <w:t xml:space="preserve"> en el recurso de revisión </w:t>
      </w:r>
      <w:r w:rsidR="001C2C5B" w:rsidRPr="003D3056">
        <w:rPr>
          <w:rFonts w:ascii="Palatino Linotype" w:eastAsia="Palatino Linotype" w:hAnsi="Palatino Linotype" w:cs="Palatino Linotype"/>
          <w:b/>
          <w:sz w:val="22"/>
          <w:szCs w:val="22"/>
        </w:rPr>
        <w:t>05394</w:t>
      </w:r>
      <w:r w:rsidRPr="003D3056">
        <w:rPr>
          <w:rFonts w:ascii="Palatino Linotype" w:eastAsia="Palatino Linotype" w:hAnsi="Palatino Linotype" w:cs="Palatino Linotype"/>
          <w:b/>
          <w:sz w:val="22"/>
          <w:szCs w:val="22"/>
        </w:rPr>
        <w:t>/INFOEM/IP/RR/2025</w:t>
      </w:r>
      <w:r w:rsidRPr="003D3056">
        <w:rPr>
          <w:rFonts w:ascii="Palatino Linotype" w:eastAsia="Palatino Linotype" w:hAnsi="Palatino Linotype" w:cs="Palatino Linotype"/>
          <w:sz w:val="22"/>
          <w:szCs w:val="22"/>
        </w:rPr>
        <w:t xml:space="preserve">; por lo que, en términos del </w:t>
      </w:r>
      <w:r w:rsidRPr="003D3056">
        <w:rPr>
          <w:rFonts w:ascii="Palatino Linotype" w:eastAsia="Palatino Linotype" w:hAnsi="Palatino Linotype" w:cs="Palatino Linotype"/>
          <w:b/>
          <w:sz w:val="22"/>
          <w:szCs w:val="22"/>
        </w:rPr>
        <w:t>Considerando</w:t>
      </w:r>
      <w:r w:rsidRPr="003D3056">
        <w:rPr>
          <w:rFonts w:ascii="Palatino Linotype" w:eastAsia="Palatino Linotype" w:hAnsi="Palatino Linotype" w:cs="Palatino Linotype"/>
          <w:sz w:val="22"/>
          <w:szCs w:val="22"/>
        </w:rPr>
        <w:t xml:space="preserve"> </w:t>
      </w:r>
      <w:r w:rsidRPr="003D3056">
        <w:rPr>
          <w:rFonts w:ascii="Palatino Linotype" w:eastAsia="Palatino Linotype" w:hAnsi="Palatino Linotype" w:cs="Palatino Linotype"/>
          <w:b/>
          <w:sz w:val="22"/>
          <w:szCs w:val="22"/>
        </w:rPr>
        <w:t xml:space="preserve">Cuarto </w:t>
      </w:r>
      <w:r w:rsidRPr="003D3056">
        <w:rPr>
          <w:rFonts w:ascii="Palatino Linotype" w:eastAsia="Palatino Linotype" w:hAnsi="Palatino Linotype" w:cs="Palatino Linotype"/>
          <w:sz w:val="22"/>
          <w:szCs w:val="22"/>
        </w:rPr>
        <w:t xml:space="preserve">de esta resolución, se </w:t>
      </w:r>
      <w:r w:rsidR="0016576A" w:rsidRPr="003D3056">
        <w:rPr>
          <w:rFonts w:ascii="Palatino Linotype" w:eastAsia="Palatino Linotype" w:hAnsi="Palatino Linotype" w:cs="Palatino Linotype"/>
          <w:b/>
          <w:sz w:val="22"/>
          <w:szCs w:val="22"/>
        </w:rPr>
        <w:t xml:space="preserve">Modifica </w:t>
      </w:r>
      <w:r w:rsidRPr="003D3056">
        <w:rPr>
          <w:rFonts w:ascii="Palatino Linotype" w:eastAsia="Palatino Linotype" w:hAnsi="Palatino Linotype" w:cs="Palatino Linotype"/>
          <w:sz w:val="22"/>
          <w:szCs w:val="22"/>
        </w:rPr>
        <w:t xml:space="preserve">la respuesta emitida por el </w:t>
      </w:r>
      <w:r w:rsidRPr="003D3056">
        <w:rPr>
          <w:rFonts w:ascii="Palatino Linotype" w:eastAsia="Palatino Linotype" w:hAnsi="Palatino Linotype" w:cs="Palatino Linotype"/>
          <w:b/>
          <w:sz w:val="22"/>
          <w:szCs w:val="22"/>
        </w:rPr>
        <w:t xml:space="preserve">Sujeto Obligado. </w:t>
      </w:r>
    </w:p>
    <w:p w14:paraId="1E9C5575" w14:textId="6D4EA576" w:rsidR="00BB1403" w:rsidRPr="003D3056" w:rsidRDefault="003A56BC" w:rsidP="00AD6C1C">
      <w:pPr>
        <w:spacing w:before="240" w:after="240" w:line="360" w:lineRule="auto"/>
        <w:ind w:right="49"/>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lastRenderedPageBreak/>
        <w:t xml:space="preserve">Segundo. </w:t>
      </w:r>
      <w:r w:rsidRPr="003D3056">
        <w:rPr>
          <w:rFonts w:ascii="Palatino Linotype" w:eastAsia="Palatino Linotype" w:hAnsi="Palatino Linotype" w:cs="Palatino Linotype"/>
          <w:sz w:val="22"/>
          <w:szCs w:val="22"/>
        </w:rPr>
        <w:t xml:space="preserve">Se </w:t>
      </w:r>
      <w:r w:rsidRPr="003D3056">
        <w:rPr>
          <w:rFonts w:ascii="Palatino Linotype" w:eastAsia="Palatino Linotype" w:hAnsi="Palatino Linotype" w:cs="Palatino Linotype"/>
          <w:b/>
          <w:sz w:val="22"/>
          <w:szCs w:val="22"/>
        </w:rPr>
        <w:t xml:space="preserve">Ordena </w:t>
      </w:r>
      <w:r w:rsidRPr="003D3056">
        <w:rPr>
          <w:rFonts w:ascii="Palatino Linotype" w:eastAsia="Palatino Linotype" w:hAnsi="Palatino Linotype" w:cs="Palatino Linotype"/>
          <w:sz w:val="22"/>
          <w:szCs w:val="22"/>
        </w:rPr>
        <w:t xml:space="preserve">al </w:t>
      </w:r>
      <w:r w:rsidRPr="003D3056">
        <w:rPr>
          <w:rFonts w:ascii="Palatino Linotype" w:eastAsia="Palatino Linotype" w:hAnsi="Palatino Linotype" w:cs="Palatino Linotype"/>
          <w:b/>
          <w:sz w:val="22"/>
          <w:szCs w:val="22"/>
        </w:rPr>
        <w:t xml:space="preserve">Sujeto Obligado, </w:t>
      </w:r>
      <w:r w:rsidRPr="003D3056">
        <w:rPr>
          <w:rFonts w:ascii="Palatino Linotype" w:eastAsia="Palatino Linotype" w:hAnsi="Palatino Linotype" w:cs="Palatino Linotype"/>
          <w:sz w:val="22"/>
          <w:szCs w:val="22"/>
        </w:rPr>
        <w:t xml:space="preserve">en términos de los </w:t>
      </w:r>
      <w:r w:rsidRPr="003D3056">
        <w:rPr>
          <w:rFonts w:ascii="Palatino Linotype" w:eastAsia="Palatino Linotype" w:hAnsi="Palatino Linotype" w:cs="Palatino Linotype"/>
          <w:b/>
          <w:sz w:val="22"/>
          <w:szCs w:val="22"/>
        </w:rPr>
        <w:t>Considerandos</w:t>
      </w:r>
      <w:r w:rsidRPr="003D3056">
        <w:rPr>
          <w:rFonts w:ascii="Palatino Linotype" w:eastAsia="Palatino Linotype" w:hAnsi="Palatino Linotype" w:cs="Palatino Linotype"/>
          <w:sz w:val="22"/>
          <w:szCs w:val="22"/>
        </w:rPr>
        <w:t xml:space="preserve"> </w:t>
      </w:r>
      <w:r w:rsidRPr="003D3056">
        <w:rPr>
          <w:rFonts w:ascii="Palatino Linotype" w:eastAsia="Palatino Linotype" w:hAnsi="Palatino Linotype" w:cs="Palatino Linotype"/>
          <w:b/>
          <w:sz w:val="22"/>
          <w:szCs w:val="22"/>
        </w:rPr>
        <w:t xml:space="preserve">Cuarto </w:t>
      </w:r>
      <w:r w:rsidRPr="003D3056">
        <w:rPr>
          <w:rFonts w:ascii="Palatino Linotype" w:eastAsia="Palatino Linotype" w:hAnsi="Palatino Linotype" w:cs="Palatino Linotype"/>
          <w:sz w:val="22"/>
          <w:szCs w:val="22"/>
        </w:rPr>
        <w:t xml:space="preserve">y </w:t>
      </w:r>
      <w:r w:rsidRPr="003D3056">
        <w:rPr>
          <w:rFonts w:ascii="Palatino Linotype" w:eastAsia="Palatino Linotype" w:hAnsi="Palatino Linotype" w:cs="Palatino Linotype"/>
          <w:b/>
          <w:sz w:val="22"/>
          <w:szCs w:val="22"/>
        </w:rPr>
        <w:t xml:space="preserve">Quinto </w:t>
      </w:r>
      <w:r w:rsidRPr="003D3056">
        <w:rPr>
          <w:rFonts w:ascii="Palatino Linotype" w:eastAsia="Palatino Linotype" w:hAnsi="Palatino Linotype" w:cs="Palatino Linotype"/>
          <w:sz w:val="22"/>
          <w:szCs w:val="22"/>
        </w:rPr>
        <w:t xml:space="preserve">de esta resolución, haga entrega, vía </w:t>
      </w:r>
      <w:r w:rsidRPr="003D3056">
        <w:rPr>
          <w:rFonts w:ascii="Palatino Linotype" w:eastAsia="Palatino Linotype" w:hAnsi="Palatino Linotype" w:cs="Palatino Linotype"/>
          <w:b/>
          <w:sz w:val="22"/>
          <w:szCs w:val="22"/>
        </w:rPr>
        <w:t>SAIMEX</w:t>
      </w:r>
      <w:r w:rsidRPr="003D3056">
        <w:rPr>
          <w:rFonts w:ascii="Palatino Linotype" w:eastAsia="Palatino Linotype" w:hAnsi="Palatino Linotype" w:cs="Palatino Linotype"/>
          <w:sz w:val="22"/>
          <w:szCs w:val="22"/>
        </w:rPr>
        <w:t>, en versión pública de ser procedente, de lo siguiente:</w:t>
      </w:r>
    </w:p>
    <w:p w14:paraId="6E873AE0" w14:textId="0E889CBA" w:rsidR="00BB1403" w:rsidRPr="003D3056" w:rsidRDefault="009F0E3F" w:rsidP="00AD6C1C">
      <w:pPr>
        <w:pStyle w:val="Prrafodelista"/>
        <w:numPr>
          <w:ilvl w:val="0"/>
          <w:numId w:val="4"/>
        </w:numPr>
        <w:pBdr>
          <w:top w:val="nil"/>
          <w:left w:val="nil"/>
          <w:bottom w:val="nil"/>
          <w:right w:val="nil"/>
          <w:between w:val="nil"/>
        </w:pBdr>
        <w:tabs>
          <w:tab w:val="left" w:pos="567"/>
        </w:tabs>
        <w:spacing w:before="240" w:after="240" w:line="360" w:lineRule="auto"/>
        <w:ind w:right="51"/>
        <w:jc w:val="both"/>
        <w:rPr>
          <w:rFonts w:ascii="Palatino Linotype" w:eastAsia="Palatino Linotype" w:hAnsi="Palatino Linotype" w:cs="Palatino Linotype"/>
          <w:sz w:val="22"/>
          <w:szCs w:val="22"/>
        </w:rPr>
      </w:pPr>
      <w:bookmarkStart w:id="10" w:name="_heading=h.1fob9te" w:colFirst="0" w:colLast="0"/>
      <w:bookmarkEnd w:id="10"/>
      <w:r w:rsidRPr="003D3056">
        <w:rPr>
          <w:rFonts w:ascii="Palatino Linotype" w:eastAsia="Palatino Linotype" w:hAnsi="Palatino Linotype" w:cs="Palatino Linotype"/>
          <w:sz w:val="22"/>
          <w:szCs w:val="22"/>
        </w:rPr>
        <w:t xml:space="preserve">Documentos que den cuenta </w:t>
      </w:r>
      <w:r w:rsidR="005C2665" w:rsidRPr="003D3056">
        <w:rPr>
          <w:rFonts w:ascii="Palatino Linotype" w:eastAsia="Palatino Linotype" w:hAnsi="Palatino Linotype" w:cs="Palatino Linotype"/>
          <w:sz w:val="22"/>
          <w:szCs w:val="22"/>
        </w:rPr>
        <w:t xml:space="preserve"> del cumplimi</w:t>
      </w:r>
      <w:r w:rsidRPr="003D3056">
        <w:rPr>
          <w:rFonts w:ascii="Palatino Linotype" w:eastAsia="Palatino Linotype" w:hAnsi="Palatino Linotype" w:cs="Palatino Linotype"/>
          <w:sz w:val="22"/>
          <w:szCs w:val="22"/>
        </w:rPr>
        <w:t xml:space="preserve">ento de la Recomendación 04/2004. </w:t>
      </w:r>
    </w:p>
    <w:p w14:paraId="098D7A13" w14:textId="77777777" w:rsidR="009F0E3F" w:rsidRPr="003D3056" w:rsidRDefault="009F0E3F" w:rsidP="00AD6C1C">
      <w:pPr>
        <w:pStyle w:val="NormalWeb"/>
        <w:spacing w:before="240" w:beforeAutospacing="0" w:after="240" w:afterAutospacing="0"/>
        <w:jc w:val="both"/>
        <w:rPr>
          <w:rFonts w:ascii="Palatino Linotype" w:hAnsi="Palatino Linotype"/>
          <w:sz w:val="22"/>
          <w:szCs w:val="22"/>
        </w:rPr>
      </w:pPr>
      <w:r w:rsidRPr="003D3056">
        <w:rPr>
          <w:rFonts w:ascii="Palatino Linotype" w:hAnsi="Palatino Linotype"/>
          <w:i/>
          <w:iCs/>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3D3056">
        <w:rPr>
          <w:rFonts w:ascii="Palatino Linotype" w:hAnsi="Palatino Linotype"/>
          <w:b/>
          <w:bCs/>
          <w:i/>
          <w:iCs/>
          <w:sz w:val="22"/>
          <w:szCs w:val="22"/>
        </w:rPr>
        <w:t>LA PARTE RECURRENTE</w:t>
      </w:r>
      <w:r w:rsidRPr="003D3056">
        <w:rPr>
          <w:rFonts w:ascii="Palatino Linotype" w:hAnsi="Palatino Linotype"/>
          <w:i/>
          <w:iCs/>
          <w:sz w:val="22"/>
          <w:szCs w:val="22"/>
        </w:rPr>
        <w:t>.</w:t>
      </w:r>
    </w:p>
    <w:p w14:paraId="3A8FDFCE" w14:textId="29EB2E9A" w:rsidR="009F0E3F" w:rsidRPr="003D3056" w:rsidRDefault="009F0E3F" w:rsidP="00AD6C1C">
      <w:pPr>
        <w:pStyle w:val="NormalWeb"/>
        <w:spacing w:before="240" w:beforeAutospacing="0" w:after="240" w:afterAutospacing="0"/>
        <w:jc w:val="both"/>
        <w:rPr>
          <w:rFonts w:ascii="Palatino Linotype" w:hAnsi="Palatino Linotype"/>
          <w:sz w:val="22"/>
          <w:szCs w:val="22"/>
        </w:rPr>
      </w:pPr>
      <w:r w:rsidRPr="003D3056">
        <w:rPr>
          <w:rFonts w:ascii="Palatino Linotype" w:hAnsi="Palatino Linotype"/>
          <w:i/>
          <w:iCs/>
          <w:sz w:val="22"/>
          <w:szCs w:val="22"/>
        </w:rPr>
        <w:t xml:space="preserve">En el supuesto de que no se llegara a localizar la información que se ordena por no haberse generado al no haber recibido un recomendación con el número de folio indicado por el particular, bastará con que así lo haga del conocimiento de </w:t>
      </w:r>
      <w:r w:rsidRPr="003D3056">
        <w:rPr>
          <w:rFonts w:ascii="Palatino Linotype" w:hAnsi="Palatino Linotype"/>
          <w:b/>
          <w:bCs/>
          <w:i/>
          <w:iCs/>
          <w:sz w:val="22"/>
          <w:szCs w:val="22"/>
        </w:rPr>
        <w:t>LA PARTE RECURRENTE</w:t>
      </w:r>
      <w:r w:rsidRPr="003D3056">
        <w:rPr>
          <w:rFonts w:ascii="Palatino Linotype" w:hAnsi="Palatino Linotype"/>
          <w:i/>
          <w:iCs/>
          <w:sz w:val="22"/>
          <w:szCs w:val="22"/>
        </w:rPr>
        <w:t>, en términos del artículo 19, párrafo segundo de la Ley de Transparencia y Acceso a la Información Pública del Estado de México y Municipios, para tener por colmado el requerimiento de información.</w:t>
      </w:r>
    </w:p>
    <w:p w14:paraId="08008F68" w14:textId="77777777" w:rsidR="009F0E3F" w:rsidRPr="003D3056" w:rsidRDefault="009F0E3F" w:rsidP="00AD6C1C">
      <w:pPr>
        <w:pStyle w:val="NormalWeb"/>
        <w:spacing w:before="240" w:beforeAutospacing="0" w:after="240" w:afterAutospacing="0"/>
        <w:jc w:val="both"/>
        <w:rPr>
          <w:rFonts w:ascii="Palatino Linotype" w:hAnsi="Palatino Linotype"/>
          <w:sz w:val="22"/>
          <w:szCs w:val="22"/>
        </w:rPr>
      </w:pPr>
      <w:r w:rsidRPr="003D3056">
        <w:rPr>
          <w:rFonts w:ascii="Palatino Linotype" w:hAnsi="Palatino Linotype"/>
          <w:i/>
          <w:iCs/>
          <w:sz w:val="22"/>
          <w:szCs w:val="22"/>
        </w:rPr>
        <w:t>Para el caso de que la información se hubiera generado, pero no obre en sus archivos por haber causado baja documental o por cualquier otra circunstancia, deberá entregar el acuerdo de inexistencia de conformidad con lo establecido en los artículos 19, párrafo tercero y 169 de la Ley de Transparencia y Acceso a la Información Pública del Estado de México y Municipios</w:t>
      </w:r>
    </w:p>
    <w:p w14:paraId="4453A766"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b/>
          <w:sz w:val="22"/>
          <w:szCs w:val="22"/>
        </w:rPr>
        <w:t xml:space="preserve">Tercero. Notifíquese, </w:t>
      </w:r>
      <w:r w:rsidRPr="003D3056">
        <w:rPr>
          <w:rFonts w:ascii="Palatino Linotype" w:eastAsia="Palatino Linotype" w:hAnsi="Palatino Linotype" w:cs="Palatino Linotype"/>
          <w:sz w:val="22"/>
          <w:szCs w:val="22"/>
        </w:rPr>
        <w:t xml:space="preserve">vía </w:t>
      </w:r>
      <w:r w:rsidRPr="003D3056">
        <w:rPr>
          <w:rFonts w:ascii="Palatino Linotype" w:eastAsia="Palatino Linotype" w:hAnsi="Palatino Linotype" w:cs="Palatino Linotype"/>
          <w:b/>
          <w:sz w:val="22"/>
          <w:szCs w:val="22"/>
        </w:rPr>
        <w:t>SAIMEX</w:t>
      </w:r>
      <w:r w:rsidRPr="003D3056">
        <w:rPr>
          <w:rFonts w:ascii="Palatino Linotype" w:eastAsia="Palatino Linotype" w:hAnsi="Palatino Linotype" w:cs="Palatino Linotype"/>
          <w:sz w:val="22"/>
          <w:szCs w:val="22"/>
        </w:rPr>
        <w:t xml:space="preserve">, al Titular de la Unidad de Transparencia del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49C547"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r w:rsidRPr="003D3056">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3D3056">
        <w:rPr>
          <w:rFonts w:ascii="Palatino Linotype" w:eastAsia="Palatino Linotype" w:hAnsi="Palatino Linotype" w:cs="Palatino Linotype"/>
          <w:b/>
          <w:sz w:val="22"/>
          <w:szCs w:val="22"/>
        </w:rPr>
        <w:t>Sujeto Obligado</w:t>
      </w:r>
      <w:r w:rsidRPr="003D3056">
        <w:rPr>
          <w:rFonts w:ascii="Palatino Linotype" w:eastAsia="Palatino Linotype" w:hAnsi="Palatino Linotype" w:cs="Palatino Linotype"/>
          <w:sz w:val="22"/>
          <w:szCs w:val="22"/>
        </w:rPr>
        <w:t xml:space="preserve"> </w:t>
      </w:r>
      <w:r w:rsidRPr="003D3056">
        <w:rPr>
          <w:rFonts w:ascii="Palatino Linotype" w:eastAsia="Palatino Linotype" w:hAnsi="Palatino Linotype" w:cs="Palatino Linotype"/>
          <w:sz w:val="22"/>
          <w:szCs w:val="22"/>
        </w:rPr>
        <w:lastRenderedPageBreak/>
        <w:t>de manera fundada y motivada, podrá solicitar una ampliación de plazo para el cumplimiento de la presente resolución.</w:t>
      </w:r>
    </w:p>
    <w:p w14:paraId="21220ABD" w14:textId="77777777" w:rsidR="00BB1403" w:rsidRPr="003D3056" w:rsidRDefault="003A56BC" w:rsidP="00AD6C1C">
      <w:pPr>
        <w:spacing w:before="240" w:after="240" w:line="360" w:lineRule="auto"/>
        <w:jc w:val="both"/>
        <w:rPr>
          <w:rFonts w:ascii="Palatino Linotype" w:eastAsia="Palatino Linotype" w:hAnsi="Palatino Linotype" w:cs="Palatino Linotype"/>
          <w:sz w:val="22"/>
          <w:szCs w:val="22"/>
        </w:rPr>
      </w:pPr>
      <w:bookmarkStart w:id="11" w:name="_heading=h.ot3qq6vxa08f" w:colFirst="0" w:colLast="0"/>
      <w:bookmarkEnd w:id="11"/>
      <w:r w:rsidRPr="003D3056">
        <w:rPr>
          <w:rFonts w:ascii="Palatino Linotype" w:eastAsia="Palatino Linotype" w:hAnsi="Palatino Linotype" w:cs="Palatino Linotype"/>
          <w:b/>
          <w:sz w:val="22"/>
          <w:szCs w:val="22"/>
        </w:rPr>
        <w:t xml:space="preserve">Cuarto.  Notifíquese, </w:t>
      </w:r>
      <w:r w:rsidRPr="003D3056">
        <w:rPr>
          <w:rFonts w:ascii="Palatino Linotype" w:eastAsia="Palatino Linotype" w:hAnsi="Palatino Linotype" w:cs="Palatino Linotype"/>
          <w:sz w:val="22"/>
          <w:szCs w:val="22"/>
        </w:rPr>
        <w:t xml:space="preserve">vía </w:t>
      </w:r>
      <w:r w:rsidRPr="003D3056">
        <w:rPr>
          <w:rFonts w:ascii="Palatino Linotype" w:eastAsia="Palatino Linotype" w:hAnsi="Palatino Linotype" w:cs="Palatino Linotype"/>
          <w:b/>
          <w:sz w:val="22"/>
          <w:szCs w:val="22"/>
        </w:rPr>
        <w:t>SAIMEX</w:t>
      </w:r>
      <w:r w:rsidRPr="003D3056">
        <w:rPr>
          <w:rFonts w:ascii="Palatino Linotype" w:eastAsia="Palatino Linotype" w:hAnsi="Palatino Linotype" w:cs="Palatino Linotype"/>
          <w:sz w:val="22"/>
          <w:szCs w:val="22"/>
        </w:rPr>
        <w:t xml:space="preserve"> a la parte </w:t>
      </w:r>
      <w:r w:rsidRPr="003D3056">
        <w:rPr>
          <w:rFonts w:ascii="Palatino Linotype" w:eastAsia="Palatino Linotype" w:hAnsi="Palatino Linotype" w:cs="Palatino Linotype"/>
          <w:b/>
          <w:sz w:val="22"/>
          <w:szCs w:val="22"/>
        </w:rPr>
        <w:t>Recurrente</w:t>
      </w:r>
      <w:r w:rsidRPr="003D305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202B540" w14:textId="60CDE8AB" w:rsidR="00BB1403" w:rsidRPr="00A16EA8" w:rsidRDefault="003A56BC" w:rsidP="00AD6C1C">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3D305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F0E3F" w:rsidRPr="003D3056">
        <w:rPr>
          <w:rFonts w:ascii="Palatino Linotype" w:eastAsia="Palatino Linotype" w:hAnsi="Palatino Linotype" w:cs="Palatino Linotype"/>
          <w:sz w:val="22"/>
          <w:szCs w:val="22"/>
        </w:rPr>
        <w:t xml:space="preserve">VIGÉSIMA OCTAVA  </w:t>
      </w:r>
      <w:r w:rsidRPr="003D3056">
        <w:rPr>
          <w:rFonts w:ascii="Palatino Linotype" w:eastAsia="Palatino Linotype" w:hAnsi="Palatino Linotype" w:cs="Palatino Linotype"/>
          <w:sz w:val="22"/>
          <w:szCs w:val="22"/>
        </w:rPr>
        <w:t xml:space="preserve">ORDINARIA CELEBRADA EL </w:t>
      </w:r>
      <w:r w:rsidR="009F0E3F" w:rsidRPr="003D3056">
        <w:rPr>
          <w:rFonts w:ascii="Palatino Linotype" w:eastAsia="Palatino Linotype" w:hAnsi="Palatino Linotype" w:cs="Palatino Linotype"/>
          <w:sz w:val="22"/>
          <w:szCs w:val="22"/>
        </w:rPr>
        <w:t>TRECE DE AGOSTO</w:t>
      </w:r>
      <w:r w:rsidRPr="003D3056">
        <w:rPr>
          <w:rFonts w:ascii="Palatino Linotype" w:eastAsia="Palatino Linotype" w:hAnsi="Palatino Linotype" w:cs="Palatino Linotype"/>
          <w:sz w:val="22"/>
          <w:szCs w:val="22"/>
        </w:rPr>
        <w:t xml:space="preserve"> DE DOS MIL VEINTICINCO, ANTE EL SECRETARIO TÉCNICO DEL PLENO ALEXIS TAPIA RAMÍREZ.</w:t>
      </w:r>
    </w:p>
    <w:p w14:paraId="2CF021C2"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134BCA39" w14:textId="77777777" w:rsidR="00BB1403" w:rsidRPr="00A16EA8" w:rsidRDefault="00BB1403" w:rsidP="00AD6C1C">
      <w:pPr>
        <w:spacing w:before="240" w:after="240" w:line="360" w:lineRule="auto"/>
        <w:jc w:val="center"/>
        <w:rPr>
          <w:rFonts w:ascii="Palatino Linotype" w:eastAsia="Palatino Linotype" w:hAnsi="Palatino Linotype" w:cs="Palatino Linotype"/>
          <w:sz w:val="22"/>
          <w:szCs w:val="22"/>
        </w:rPr>
      </w:pPr>
    </w:p>
    <w:p w14:paraId="5D99AFC4"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6BF8E1D8"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45FD0E09"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18103EC5"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4244DAB1"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66868AF2"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528D4D2A"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11D629A4"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600822D6"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332D56AA"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6D629950"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7AA07EEE"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7A326DD0" w14:textId="77777777" w:rsidR="00BB1403" w:rsidRPr="00A16EA8" w:rsidRDefault="00BB1403" w:rsidP="00AD6C1C">
      <w:pPr>
        <w:spacing w:before="240" w:after="240" w:line="360" w:lineRule="auto"/>
        <w:jc w:val="both"/>
        <w:rPr>
          <w:rFonts w:ascii="Palatino Linotype" w:eastAsia="Palatino Linotype" w:hAnsi="Palatino Linotype" w:cs="Palatino Linotype"/>
          <w:sz w:val="22"/>
          <w:szCs w:val="22"/>
        </w:rPr>
      </w:pPr>
    </w:p>
    <w:p w14:paraId="47E67CA1" w14:textId="10DFAB2C" w:rsidR="00622A59" w:rsidRPr="00A16EA8" w:rsidRDefault="00622A59" w:rsidP="00AD6C1C">
      <w:pPr>
        <w:spacing w:before="240" w:after="240" w:line="360" w:lineRule="auto"/>
        <w:jc w:val="both"/>
        <w:rPr>
          <w:rFonts w:ascii="Palatino Linotype" w:eastAsia="Palatino Linotype" w:hAnsi="Palatino Linotype" w:cs="Palatino Linotype"/>
          <w:sz w:val="22"/>
          <w:szCs w:val="22"/>
        </w:rPr>
      </w:pPr>
    </w:p>
    <w:sectPr w:rsidR="00622A59" w:rsidRPr="00A16EA8">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63FD" w14:textId="77777777" w:rsidR="00912C42" w:rsidRDefault="00912C42">
      <w:r>
        <w:separator/>
      </w:r>
    </w:p>
  </w:endnote>
  <w:endnote w:type="continuationSeparator" w:id="0">
    <w:p w14:paraId="205E5606" w14:textId="77777777" w:rsidR="00912C42" w:rsidRDefault="0091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B88E" w14:textId="77777777" w:rsidR="001C2C5B" w:rsidRDefault="001C2C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3056">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3056">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3E202A81" w14:textId="77777777" w:rsidR="001C2C5B" w:rsidRDefault="001C2C5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3BDF" w14:textId="77777777" w:rsidR="001C2C5B" w:rsidRDefault="001C2C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305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3056">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57BDCF6C" w14:textId="77777777" w:rsidR="001C2C5B" w:rsidRDefault="001C2C5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28CA" w14:textId="77777777" w:rsidR="00912C42" w:rsidRDefault="00912C42">
      <w:r>
        <w:separator/>
      </w:r>
    </w:p>
  </w:footnote>
  <w:footnote w:type="continuationSeparator" w:id="0">
    <w:p w14:paraId="5FF2F292" w14:textId="77777777" w:rsidR="00912C42" w:rsidRDefault="0091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D56D" w14:textId="77777777" w:rsidR="001C2C5B" w:rsidRDefault="001C2C5B">
    <w:pPr>
      <w:rPr>
        <w:rFonts w:ascii="Cambria" w:eastAsia="Cambria" w:hAnsi="Cambria" w:cs="Cambria"/>
        <w:color w:val="000000"/>
      </w:rPr>
    </w:pPr>
    <w:r>
      <w:rPr>
        <w:noProof/>
      </w:rPr>
      <w:drawing>
        <wp:anchor distT="0" distB="0" distL="0" distR="0" simplePos="0" relativeHeight="251658240" behindDoc="1" locked="0" layoutInCell="1" hidden="0" allowOverlap="1" wp14:anchorId="73C55979" wp14:editId="75067176">
          <wp:simplePos x="0" y="0"/>
          <wp:positionH relativeFrom="column">
            <wp:posOffset>-1080097</wp:posOffset>
          </wp:positionH>
          <wp:positionV relativeFrom="paragraph">
            <wp:posOffset>-488269</wp:posOffset>
          </wp:positionV>
          <wp:extent cx="7809865" cy="10165715"/>
          <wp:effectExtent l="0" t="0" r="0" b="0"/>
          <wp:wrapNone/>
          <wp:docPr id="20832964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0"/>
      <w:tblW w:w="5953" w:type="dxa"/>
      <w:tblInd w:w="3261" w:type="dxa"/>
      <w:tblLayout w:type="fixed"/>
      <w:tblLook w:val="0400" w:firstRow="0" w:lastRow="0" w:firstColumn="0" w:lastColumn="0" w:noHBand="0" w:noVBand="1"/>
    </w:tblPr>
    <w:tblGrid>
      <w:gridCol w:w="2489"/>
      <w:gridCol w:w="3464"/>
    </w:tblGrid>
    <w:tr w:rsidR="001C2C5B" w14:paraId="36D5EACA" w14:textId="77777777">
      <w:tc>
        <w:tcPr>
          <w:tcW w:w="2489" w:type="dxa"/>
          <w:shd w:val="clear" w:color="auto" w:fill="auto"/>
        </w:tcPr>
        <w:p w14:paraId="5A36607B" w14:textId="77777777" w:rsidR="001C2C5B" w:rsidRDefault="001C2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3203D20" w14:textId="7CE2F29C" w:rsidR="001C2C5B" w:rsidRDefault="001C2C5B" w:rsidP="002065F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05394/INFOEM/IP/RR/2025</w:t>
          </w:r>
        </w:p>
      </w:tc>
    </w:tr>
    <w:tr w:rsidR="001C2C5B" w14:paraId="7EB11275" w14:textId="77777777">
      <w:trPr>
        <w:trHeight w:val="228"/>
      </w:trPr>
      <w:tc>
        <w:tcPr>
          <w:tcW w:w="2489" w:type="dxa"/>
          <w:shd w:val="clear" w:color="auto" w:fill="auto"/>
          <w:vAlign w:val="center"/>
        </w:tcPr>
        <w:p w14:paraId="479D0C18" w14:textId="77777777" w:rsidR="001C2C5B" w:rsidRDefault="001C2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EE5BDD9" w14:textId="77777777" w:rsidR="001C2C5B" w:rsidRDefault="001C2C5B">
          <w:pPr>
            <w:ind w:left="-45" w:right="176"/>
            <w:jc w:val="both"/>
            <w:rPr>
              <w:rFonts w:ascii="Palatino Linotype" w:eastAsia="Palatino Linotype" w:hAnsi="Palatino Linotype" w:cs="Palatino Linotype"/>
              <w:b/>
              <w:sz w:val="22"/>
              <w:szCs w:val="22"/>
            </w:rPr>
          </w:pPr>
          <w:r w:rsidRPr="002065FE">
            <w:rPr>
              <w:rFonts w:ascii="Palatino Linotype" w:eastAsia="Palatino Linotype" w:hAnsi="Palatino Linotype" w:cs="Palatino Linotype"/>
              <w:b/>
              <w:sz w:val="22"/>
              <w:szCs w:val="22"/>
            </w:rPr>
            <w:t>Ayuntamiento de Toluca</w:t>
          </w:r>
        </w:p>
      </w:tc>
    </w:tr>
    <w:tr w:rsidR="001C2C5B" w14:paraId="499B28EB" w14:textId="77777777">
      <w:tc>
        <w:tcPr>
          <w:tcW w:w="2489" w:type="dxa"/>
          <w:shd w:val="clear" w:color="auto" w:fill="auto"/>
          <w:vAlign w:val="center"/>
        </w:tcPr>
        <w:p w14:paraId="6A1E109B" w14:textId="77777777" w:rsidR="001C2C5B" w:rsidRDefault="001C2C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E6FFF20" w14:textId="77777777" w:rsidR="001C2C5B" w:rsidRDefault="001C2C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7DA559" w14:textId="77777777" w:rsidR="001C2C5B" w:rsidRDefault="001C2C5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8A96" w14:textId="4DE3952E" w:rsidR="001C2C5B" w:rsidRDefault="001C2C5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33BBB79" wp14:editId="0BFBAF00">
          <wp:simplePos x="0" y="0"/>
          <wp:positionH relativeFrom="page">
            <wp:align>left</wp:align>
          </wp:positionH>
          <wp:positionV relativeFrom="paragraph">
            <wp:posOffset>-369898</wp:posOffset>
          </wp:positionV>
          <wp:extent cx="7809865" cy="10165715"/>
          <wp:effectExtent l="0" t="0" r="635" b="6985"/>
          <wp:wrapNone/>
          <wp:docPr id="20832964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5953" w:type="dxa"/>
      <w:tblInd w:w="3261" w:type="dxa"/>
      <w:tblLayout w:type="fixed"/>
      <w:tblLook w:val="0400" w:firstRow="0" w:lastRow="0" w:firstColumn="0" w:lastColumn="0" w:noHBand="0" w:noVBand="1"/>
    </w:tblPr>
    <w:tblGrid>
      <w:gridCol w:w="2489"/>
      <w:gridCol w:w="3464"/>
    </w:tblGrid>
    <w:tr w:rsidR="001C2C5B" w14:paraId="38AB9D27" w14:textId="77777777">
      <w:tc>
        <w:tcPr>
          <w:tcW w:w="2489" w:type="dxa"/>
          <w:shd w:val="clear" w:color="auto" w:fill="auto"/>
        </w:tcPr>
        <w:p w14:paraId="054F4B7A" w14:textId="77777777" w:rsidR="001C2C5B" w:rsidRDefault="001C2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E0F3686" w14:textId="428B4870" w:rsidR="001C2C5B" w:rsidRDefault="001C2C5B" w:rsidP="00466B7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05394/INFOEM/IP/RR/2025</w:t>
          </w:r>
        </w:p>
      </w:tc>
    </w:tr>
    <w:tr w:rsidR="001C2C5B" w14:paraId="611B6F36" w14:textId="77777777">
      <w:tc>
        <w:tcPr>
          <w:tcW w:w="2489" w:type="dxa"/>
          <w:shd w:val="clear" w:color="auto" w:fill="auto"/>
        </w:tcPr>
        <w:p w14:paraId="2AB8BF48" w14:textId="77777777" w:rsidR="001C2C5B" w:rsidRDefault="001C2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C8EE608" w14:textId="77777777" w:rsidR="001C2C5B" w:rsidRDefault="001C2C5B">
          <w:pPr>
            <w:ind w:right="175"/>
            <w:jc w:val="both"/>
            <w:rPr>
              <w:rFonts w:ascii="Palatino Linotype" w:eastAsia="Palatino Linotype" w:hAnsi="Palatino Linotype" w:cs="Palatino Linotype"/>
              <w:b/>
              <w:sz w:val="22"/>
              <w:szCs w:val="22"/>
            </w:rPr>
          </w:pPr>
        </w:p>
      </w:tc>
    </w:tr>
    <w:tr w:rsidR="001C2C5B" w14:paraId="4FD77386" w14:textId="77777777">
      <w:trPr>
        <w:trHeight w:val="228"/>
      </w:trPr>
      <w:tc>
        <w:tcPr>
          <w:tcW w:w="2489" w:type="dxa"/>
          <w:shd w:val="clear" w:color="auto" w:fill="auto"/>
          <w:vAlign w:val="center"/>
        </w:tcPr>
        <w:p w14:paraId="74864E32" w14:textId="77777777" w:rsidR="001C2C5B" w:rsidRDefault="001C2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F72BD5D" w14:textId="77777777" w:rsidR="001C2C5B" w:rsidRDefault="001C2C5B">
          <w:pPr>
            <w:ind w:left="-45" w:right="176"/>
            <w:jc w:val="both"/>
            <w:rPr>
              <w:rFonts w:ascii="Palatino Linotype" w:eastAsia="Palatino Linotype" w:hAnsi="Palatino Linotype" w:cs="Palatino Linotype"/>
              <w:b/>
              <w:sz w:val="22"/>
              <w:szCs w:val="22"/>
            </w:rPr>
          </w:pPr>
          <w:r w:rsidRPr="002065FE">
            <w:rPr>
              <w:rFonts w:ascii="Palatino Linotype" w:eastAsia="Palatino Linotype" w:hAnsi="Palatino Linotype" w:cs="Palatino Linotype"/>
              <w:b/>
              <w:sz w:val="22"/>
              <w:szCs w:val="22"/>
            </w:rPr>
            <w:t>Ayuntamiento de Toluca</w:t>
          </w:r>
        </w:p>
      </w:tc>
    </w:tr>
    <w:tr w:rsidR="001C2C5B" w14:paraId="58633B28" w14:textId="77777777">
      <w:tc>
        <w:tcPr>
          <w:tcW w:w="2489" w:type="dxa"/>
          <w:shd w:val="clear" w:color="auto" w:fill="auto"/>
          <w:vAlign w:val="center"/>
        </w:tcPr>
        <w:p w14:paraId="1777B43F" w14:textId="77777777" w:rsidR="001C2C5B" w:rsidRDefault="001C2C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64AA32F" w14:textId="77777777" w:rsidR="001C2C5B" w:rsidRDefault="001C2C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E15BBF" w14:textId="77777777" w:rsidR="001C2C5B" w:rsidRDefault="001C2C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29E0"/>
    <w:multiLevelType w:val="hybridMultilevel"/>
    <w:tmpl w:val="552ABF18"/>
    <w:lvl w:ilvl="0" w:tplc="6D78008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3F380739"/>
    <w:multiLevelType w:val="hybridMultilevel"/>
    <w:tmpl w:val="AF7EF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2F1B7E"/>
    <w:multiLevelType w:val="multilevel"/>
    <w:tmpl w:val="D95A03A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2257A4"/>
    <w:multiLevelType w:val="multilevel"/>
    <w:tmpl w:val="0D886FDE"/>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03"/>
    <w:rsid w:val="000C4AC6"/>
    <w:rsid w:val="00101231"/>
    <w:rsid w:val="00115700"/>
    <w:rsid w:val="001307BB"/>
    <w:rsid w:val="00144A43"/>
    <w:rsid w:val="00152544"/>
    <w:rsid w:val="00155CA0"/>
    <w:rsid w:val="0016576A"/>
    <w:rsid w:val="00192AB3"/>
    <w:rsid w:val="00196BA4"/>
    <w:rsid w:val="0019764B"/>
    <w:rsid w:val="001C033A"/>
    <w:rsid w:val="001C2C5B"/>
    <w:rsid w:val="00201C9C"/>
    <w:rsid w:val="002065FE"/>
    <w:rsid w:val="0020785D"/>
    <w:rsid w:val="00214B60"/>
    <w:rsid w:val="00256A8B"/>
    <w:rsid w:val="00262874"/>
    <w:rsid w:val="002714C8"/>
    <w:rsid w:val="002A29AE"/>
    <w:rsid w:val="002D3C55"/>
    <w:rsid w:val="00342EF4"/>
    <w:rsid w:val="00344E8F"/>
    <w:rsid w:val="00373917"/>
    <w:rsid w:val="00374A66"/>
    <w:rsid w:val="00374F89"/>
    <w:rsid w:val="003A56BC"/>
    <w:rsid w:val="003D3056"/>
    <w:rsid w:val="003F1C4B"/>
    <w:rsid w:val="00415895"/>
    <w:rsid w:val="004168D8"/>
    <w:rsid w:val="00435F53"/>
    <w:rsid w:val="00457502"/>
    <w:rsid w:val="00462831"/>
    <w:rsid w:val="0046594B"/>
    <w:rsid w:val="00466B7B"/>
    <w:rsid w:val="00482091"/>
    <w:rsid w:val="004E0B54"/>
    <w:rsid w:val="005018FF"/>
    <w:rsid w:val="0054277C"/>
    <w:rsid w:val="0056063E"/>
    <w:rsid w:val="005C2665"/>
    <w:rsid w:val="005C6B18"/>
    <w:rsid w:val="005C771F"/>
    <w:rsid w:val="00622A59"/>
    <w:rsid w:val="00674587"/>
    <w:rsid w:val="006A0546"/>
    <w:rsid w:val="006A2FE2"/>
    <w:rsid w:val="006C30CE"/>
    <w:rsid w:val="00701610"/>
    <w:rsid w:val="00740FC4"/>
    <w:rsid w:val="00751E02"/>
    <w:rsid w:val="0077325C"/>
    <w:rsid w:val="00777E6F"/>
    <w:rsid w:val="00800FAB"/>
    <w:rsid w:val="00832DCD"/>
    <w:rsid w:val="008563A5"/>
    <w:rsid w:val="0088480C"/>
    <w:rsid w:val="008A41B4"/>
    <w:rsid w:val="008E3B34"/>
    <w:rsid w:val="008E5955"/>
    <w:rsid w:val="00912C42"/>
    <w:rsid w:val="00930D60"/>
    <w:rsid w:val="0093122A"/>
    <w:rsid w:val="00941718"/>
    <w:rsid w:val="00970DF5"/>
    <w:rsid w:val="009A06F7"/>
    <w:rsid w:val="009A62DC"/>
    <w:rsid w:val="009B7A2B"/>
    <w:rsid w:val="009F0E3F"/>
    <w:rsid w:val="00A04930"/>
    <w:rsid w:val="00A1234A"/>
    <w:rsid w:val="00A16EA8"/>
    <w:rsid w:val="00A32DA5"/>
    <w:rsid w:val="00A360C6"/>
    <w:rsid w:val="00AA699C"/>
    <w:rsid w:val="00AD6C1C"/>
    <w:rsid w:val="00AE49F0"/>
    <w:rsid w:val="00AF43CB"/>
    <w:rsid w:val="00B06543"/>
    <w:rsid w:val="00B22E50"/>
    <w:rsid w:val="00B24EDF"/>
    <w:rsid w:val="00BB1403"/>
    <w:rsid w:val="00BB6011"/>
    <w:rsid w:val="00BC70D5"/>
    <w:rsid w:val="00BD7E44"/>
    <w:rsid w:val="00BE3BD1"/>
    <w:rsid w:val="00C075C4"/>
    <w:rsid w:val="00C41AE3"/>
    <w:rsid w:val="00C505FA"/>
    <w:rsid w:val="00C77CAB"/>
    <w:rsid w:val="00D147F9"/>
    <w:rsid w:val="00D64E6B"/>
    <w:rsid w:val="00DA0782"/>
    <w:rsid w:val="00DA4216"/>
    <w:rsid w:val="00DD6B74"/>
    <w:rsid w:val="00DE31E2"/>
    <w:rsid w:val="00DE7F85"/>
    <w:rsid w:val="00E31028"/>
    <w:rsid w:val="00E367B1"/>
    <w:rsid w:val="00E91173"/>
    <w:rsid w:val="00EB0576"/>
    <w:rsid w:val="00EB7B5F"/>
    <w:rsid w:val="00ED67DE"/>
    <w:rsid w:val="00EE7C0F"/>
    <w:rsid w:val="00EF5BB8"/>
    <w:rsid w:val="00F1081B"/>
    <w:rsid w:val="00F242E9"/>
    <w:rsid w:val="00F26AAA"/>
    <w:rsid w:val="00F37EA5"/>
    <w:rsid w:val="00F94283"/>
    <w:rsid w:val="00FC515B"/>
    <w:rsid w:val="00FD23F3"/>
    <w:rsid w:val="00FD27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FE060"/>
  <w15:docId w15:val="{446F4D41-9D32-445B-A260-86D33392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c"/>
    <w:tblPr>
      <w:tblStyleRowBandSize w:val="1"/>
      <w:tblStyleColBandSize w:val="1"/>
      <w:tblCellMar>
        <w:left w:w="115" w:type="dxa"/>
        <w:right w:w="115" w:type="dxa"/>
      </w:tblCellMar>
    </w:tblPr>
  </w:style>
  <w:style w:type="table" w:customStyle="1" w:styleId="a0">
    <w:basedOn w:val="TableNormalc"/>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c"/>
    <w:tblPr>
      <w:tblStyleRowBandSize w:val="1"/>
      <w:tblStyleColBandSize w:val="1"/>
      <w:tblCellMar>
        <w:left w:w="115" w:type="dxa"/>
        <w:right w:w="115" w:type="dxa"/>
      </w:tblCellMar>
    </w:tblPr>
  </w:style>
  <w:style w:type="table" w:customStyle="1" w:styleId="a2">
    <w:basedOn w:val="TableNormalc"/>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a"/>
    <w:tblPr>
      <w:tblStyleRowBandSize w:val="1"/>
      <w:tblStyleColBandSize w:val="1"/>
      <w:tblCellMar>
        <w:left w:w="108" w:type="dxa"/>
        <w:right w:w="108" w:type="dxa"/>
      </w:tblCellMar>
    </w:tblPr>
  </w:style>
  <w:style w:type="table" w:customStyle="1" w:styleId="a6">
    <w:basedOn w:val="TableNormala"/>
    <w:tblPr>
      <w:tblStyleRowBandSize w:val="1"/>
      <w:tblStyleColBandSize w:val="1"/>
      <w:tblCellMar>
        <w:left w:w="108" w:type="dxa"/>
        <w:right w:w="108" w:type="dxa"/>
      </w:tblCellMar>
    </w:tblPr>
  </w:style>
  <w:style w:type="table" w:customStyle="1" w:styleId="a7">
    <w:basedOn w:val="TableNormala"/>
    <w:tblPr>
      <w:tblStyleRowBandSize w:val="1"/>
      <w:tblStyleColBandSize w:val="1"/>
      <w:tblCellMar>
        <w:left w:w="108" w:type="dxa"/>
        <w:right w:w="108" w:type="dxa"/>
      </w:tblCellMar>
    </w:tblPr>
  </w:style>
  <w:style w:type="table" w:customStyle="1" w:styleId="a8">
    <w:basedOn w:val="TableNormala"/>
    <w:tblPr>
      <w:tblStyleRowBandSize w:val="1"/>
      <w:tblStyleColBandSize w:val="1"/>
      <w:tblCellMar>
        <w:left w:w="108" w:type="dxa"/>
        <w:right w:w="108" w:type="dxa"/>
      </w:tblCellMar>
    </w:tblPr>
  </w:style>
  <w:style w:type="table" w:customStyle="1" w:styleId="a9">
    <w:basedOn w:val="TableNormala"/>
    <w:tblPr>
      <w:tblStyleRowBandSize w:val="1"/>
      <w:tblStyleColBandSize w:val="1"/>
      <w:tblCellMar>
        <w:left w:w="108" w:type="dxa"/>
        <w:right w:w="108" w:type="dxa"/>
      </w:tblCellMar>
    </w:tbl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tblPr>
      <w:tblStyleRowBandSize w:val="1"/>
      <w:tblStyleColBandSize w:val="1"/>
      <w:tblCellMar>
        <w:left w:w="115" w:type="dxa"/>
        <w:right w:w="115" w:type="dxa"/>
      </w:tblCellMar>
    </w:tblPr>
  </w:style>
  <w:style w:type="table" w:customStyle="1" w:styleId="ae">
    <w:basedOn w:val="TableNormal9"/>
    <w:tblPr>
      <w:tblStyleRowBandSize w:val="1"/>
      <w:tblStyleColBandSize w:val="1"/>
      <w:tblCellMar>
        <w:left w:w="115" w:type="dxa"/>
        <w:right w:w="115" w:type="dxa"/>
      </w:tblCellMar>
    </w:tblPr>
  </w:style>
  <w:style w:type="table" w:customStyle="1" w:styleId="af">
    <w:basedOn w:val="TableNormal8"/>
    <w:tblPr>
      <w:tblStyleRowBandSize w:val="1"/>
      <w:tblStyleColBandSize w:val="1"/>
      <w:tblCellMar>
        <w:left w:w="115" w:type="dxa"/>
        <w:right w:w="115" w:type="dxa"/>
      </w:tblCellMar>
    </w:tblPr>
  </w:style>
  <w:style w:type="table" w:customStyle="1" w:styleId="af0">
    <w:basedOn w:val="TableNormal8"/>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7"/>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6"/>
    <w:tblPr>
      <w:tblStyleRowBandSize w:val="1"/>
      <w:tblStyleColBandSize w:val="1"/>
      <w:tblCellMar>
        <w:left w:w="115" w:type="dxa"/>
        <w:right w:w="115" w:type="dxa"/>
      </w:tblCellMar>
    </w:tblPr>
  </w:style>
  <w:style w:type="table" w:customStyle="1" w:styleId="af5">
    <w:basedOn w:val="TableNormal6"/>
    <w:tblPr>
      <w:tblStyleRowBandSize w:val="1"/>
      <w:tblStyleColBandSize w:val="1"/>
      <w:tblCellMar>
        <w:left w:w="115" w:type="dxa"/>
        <w:right w:w="115" w:type="dxa"/>
      </w:tblCellMar>
    </w:tbl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701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5219">
      <w:bodyDiv w:val="1"/>
      <w:marLeft w:val="0"/>
      <w:marRight w:val="0"/>
      <w:marTop w:val="0"/>
      <w:marBottom w:val="0"/>
      <w:divBdr>
        <w:top w:val="none" w:sz="0" w:space="0" w:color="auto"/>
        <w:left w:val="none" w:sz="0" w:space="0" w:color="auto"/>
        <w:bottom w:val="none" w:sz="0" w:space="0" w:color="auto"/>
        <w:right w:val="none" w:sz="0" w:space="0" w:color="auto"/>
      </w:divBdr>
    </w:div>
    <w:div w:id="377946163">
      <w:bodyDiv w:val="1"/>
      <w:marLeft w:val="0"/>
      <w:marRight w:val="0"/>
      <w:marTop w:val="0"/>
      <w:marBottom w:val="0"/>
      <w:divBdr>
        <w:top w:val="none" w:sz="0" w:space="0" w:color="auto"/>
        <w:left w:val="none" w:sz="0" w:space="0" w:color="auto"/>
        <w:bottom w:val="none" w:sz="0" w:space="0" w:color="auto"/>
        <w:right w:val="none" w:sz="0" w:space="0" w:color="auto"/>
      </w:divBdr>
    </w:div>
    <w:div w:id="542329741">
      <w:bodyDiv w:val="1"/>
      <w:marLeft w:val="0"/>
      <w:marRight w:val="0"/>
      <w:marTop w:val="0"/>
      <w:marBottom w:val="0"/>
      <w:divBdr>
        <w:top w:val="none" w:sz="0" w:space="0" w:color="auto"/>
        <w:left w:val="none" w:sz="0" w:space="0" w:color="auto"/>
        <w:bottom w:val="none" w:sz="0" w:space="0" w:color="auto"/>
        <w:right w:val="none" w:sz="0" w:space="0" w:color="auto"/>
      </w:divBdr>
    </w:div>
    <w:div w:id="890650682">
      <w:bodyDiv w:val="1"/>
      <w:marLeft w:val="0"/>
      <w:marRight w:val="0"/>
      <w:marTop w:val="0"/>
      <w:marBottom w:val="0"/>
      <w:divBdr>
        <w:top w:val="none" w:sz="0" w:space="0" w:color="auto"/>
        <w:left w:val="none" w:sz="0" w:space="0" w:color="auto"/>
        <w:bottom w:val="none" w:sz="0" w:space="0" w:color="auto"/>
        <w:right w:val="none" w:sz="0" w:space="0" w:color="auto"/>
      </w:divBdr>
    </w:div>
    <w:div w:id="922757064">
      <w:bodyDiv w:val="1"/>
      <w:marLeft w:val="0"/>
      <w:marRight w:val="0"/>
      <w:marTop w:val="0"/>
      <w:marBottom w:val="0"/>
      <w:divBdr>
        <w:top w:val="none" w:sz="0" w:space="0" w:color="auto"/>
        <w:left w:val="none" w:sz="0" w:space="0" w:color="auto"/>
        <w:bottom w:val="none" w:sz="0" w:space="0" w:color="auto"/>
        <w:right w:val="none" w:sz="0" w:space="0" w:color="auto"/>
      </w:divBdr>
    </w:div>
    <w:div w:id="988249442">
      <w:bodyDiv w:val="1"/>
      <w:marLeft w:val="0"/>
      <w:marRight w:val="0"/>
      <w:marTop w:val="0"/>
      <w:marBottom w:val="0"/>
      <w:divBdr>
        <w:top w:val="none" w:sz="0" w:space="0" w:color="auto"/>
        <w:left w:val="none" w:sz="0" w:space="0" w:color="auto"/>
        <w:bottom w:val="none" w:sz="0" w:space="0" w:color="auto"/>
        <w:right w:val="none" w:sz="0" w:space="0" w:color="auto"/>
      </w:divBdr>
    </w:div>
    <w:div w:id="1433165137">
      <w:bodyDiv w:val="1"/>
      <w:marLeft w:val="0"/>
      <w:marRight w:val="0"/>
      <w:marTop w:val="0"/>
      <w:marBottom w:val="0"/>
      <w:divBdr>
        <w:top w:val="none" w:sz="0" w:space="0" w:color="auto"/>
        <w:left w:val="none" w:sz="0" w:space="0" w:color="auto"/>
        <w:bottom w:val="none" w:sz="0" w:space="0" w:color="auto"/>
        <w:right w:val="none" w:sz="0" w:space="0" w:color="auto"/>
      </w:divBdr>
    </w:div>
    <w:div w:id="1755276675">
      <w:bodyDiv w:val="1"/>
      <w:marLeft w:val="0"/>
      <w:marRight w:val="0"/>
      <w:marTop w:val="0"/>
      <w:marBottom w:val="0"/>
      <w:divBdr>
        <w:top w:val="none" w:sz="0" w:space="0" w:color="auto"/>
        <w:left w:val="none" w:sz="0" w:space="0" w:color="auto"/>
        <w:bottom w:val="none" w:sz="0" w:space="0" w:color="auto"/>
        <w:right w:val="none" w:sz="0" w:space="0" w:color="auto"/>
      </w:divBdr>
    </w:div>
    <w:div w:id="1814832510">
      <w:bodyDiv w:val="1"/>
      <w:marLeft w:val="0"/>
      <w:marRight w:val="0"/>
      <w:marTop w:val="0"/>
      <w:marBottom w:val="0"/>
      <w:divBdr>
        <w:top w:val="none" w:sz="0" w:space="0" w:color="auto"/>
        <w:left w:val="none" w:sz="0" w:space="0" w:color="auto"/>
        <w:bottom w:val="none" w:sz="0" w:space="0" w:color="auto"/>
        <w:right w:val="none" w:sz="0" w:space="0" w:color="auto"/>
      </w:divBdr>
    </w:div>
    <w:div w:id="1878201062">
      <w:bodyDiv w:val="1"/>
      <w:marLeft w:val="0"/>
      <w:marRight w:val="0"/>
      <w:marTop w:val="0"/>
      <w:marBottom w:val="0"/>
      <w:divBdr>
        <w:top w:val="none" w:sz="0" w:space="0" w:color="auto"/>
        <w:left w:val="none" w:sz="0" w:space="0" w:color="auto"/>
        <w:bottom w:val="none" w:sz="0" w:space="0" w:color="auto"/>
        <w:right w:val="none" w:sz="0" w:space="0" w:color="auto"/>
      </w:divBdr>
    </w:div>
    <w:div w:id="2115051280">
      <w:bodyDiv w:val="1"/>
      <w:marLeft w:val="0"/>
      <w:marRight w:val="0"/>
      <w:marTop w:val="0"/>
      <w:marBottom w:val="0"/>
      <w:divBdr>
        <w:top w:val="none" w:sz="0" w:space="0" w:color="auto"/>
        <w:left w:val="none" w:sz="0" w:space="0" w:color="auto"/>
        <w:bottom w:val="none" w:sz="0" w:space="0" w:color="auto"/>
        <w:right w:val="none" w:sz="0" w:space="0" w:color="auto"/>
      </w:divBdr>
    </w:div>
    <w:div w:id="2140874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KzXOPNcoYNN/DXxZe8vV+ZTIQ==">CgMxLjAyCWguM3JkY3JqbjIJaC40ZDM0b2c4MghoLmdqZGd4czIJaC4zZHk2dmttMgloLjMwajB6bGwyCWguMnM4ZXlvMTIIaC50eWpjd3QyCWguM3pueXNoNzIJaC4yZXQ5MnAwMgloLjF0M2g1c2YyCWguMWZvYjl0ZTIOaC5vdDNxcTZ2eGEwOGYyCGgubG54Yno5OAByITFYdW9IU25kQmRCV0dNWmFOYWVkWi1FaGxhbHZRUlhWYw==</go:docsCustomData>
</go:gDocsCustomXmlDataStorage>
</file>

<file path=customXml/itemProps1.xml><?xml version="1.0" encoding="utf-8"?>
<ds:datastoreItem xmlns:ds="http://schemas.openxmlformats.org/officeDocument/2006/customXml" ds:itemID="{069A033E-42DF-4B5F-A9ED-5A8879E08C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10653</Words>
  <Characters>58592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2025-08-15T19:46:00Z</cp:lastPrinted>
  <dcterms:created xsi:type="dcterms:W3CDTF">2025-09-03T22:05:00Z</dcterms:created>
  <dcterms:modified xsi:type="dcterms:W3CDTF">2025-09-03T22:05:00Z</dcterms:modified>
</cp:coreProperties>
</file>