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tres de septiembre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04894/INFOEM/IP/RR/2025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 particular que no proporcionó nombre o seudónimo para ser identificado</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01398/TOLUCA/IP/2025</w:t>
      </w:r>
      <w:r w:rsidDel="00000000" w:rsidR="00000000" w:rsidRPr="00000000">
        <w:rPr>
          <w:rFonts w:ascii="Palatino Linotype" w:cs="Palatino Linotype" w:eastAsia="Palatino Linotype" w:hAnsi="Palatino Linotype"/>
          <w:rtl w:val="0"/>
        </w:rPr>
        <w:t xml:space="preserve">proporcionada por parte del </w:t>
      </w:r>
      <w:r w:rsidDel="00000000" w:rsidR="00000000" w:rsidRPr="00000000">
        <w:rPr>
          <w:rFonts w:ascii="Palatino Linotype" w:cs="Palatino Linotype" w:eastAsia="Palatino Linotype" w:hAnsi="Palatino Linotype"/>
          <w:b w:val="1"/>
          <w:rtl w:val="0"/>
        </w:rPr>
        <w:t xml:space="preserve">Ayuntamiento de Toluca</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1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siete de marzo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8">
      <w:pPr>
        <w:spacing w:after="0" w:lineRule="auto"/>
        <w:ind w:left="851" w:right="843"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tl w:val="0"/>
        </w:rPr>
      </w:r>
    </w:p>
    <w:p w:rsidR="00000000" w:rsidDel="00000000" w:rsidP="00000000" w:rsidRDefault="00000000" w:rsidRPr="00000000" w14:paraId="0000000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El número de exservidores (y nombre de estos) públicos municipales que causaron baja el pasado 31 de diciembre de 2021 a los que se les ha liquidado las quincenas, aguinaldo y prima vacacional que se les adeudaba como parte de las percepciones que se les debía de ser cubiertas el año anterior por parte del Ayuntamiento de Toluca administración 2002-2024. Así, como documentos que acrediten su dicho por cuanto hace a su contestación. 2) Relación que guarda el Ayuntamiento de Toluca administración 2025-2027, con el despacho externo encargado por la Lic. Alma Merino, en su caso, contrato o convenio (o cualquier otro instrumento) con el cual se contrato la prestación de servicios, personas que lo integran (el despacho externo) y si las mismas están dadas de alta como servidores públicos municipales. 3) Documentos signados por el Presidente Municipal Constitucional de Toluca, dirigidos a la Tesorería Municipal, o en su caso, al área de recursos humanos del sujeto obligado, en el cual, de la instrucción de pagar las quincenas, aguinaldo y prima vacacional pendientes de pago de las y los servidores públicos municipales que causaron baja el pasado 31 de diciembre de 2021. Y al 31 de diciembre 2024 4) Nombre y área de adscripción, de las y los servidores públicos municipales que causaron baja el pasado 31 de diciembre de 2021 y 31 de diciembre 2024, así como el monto que se les adeuda por concepto de quincenas, aguinaldo y prima vacacional que no les pago el Ayuntamiento de Toluca administración 2019-2021 y 2022-2024. 5) Documentos signados, Secretario del Ayuntamiento de Toluca, dirigidos a la Tesorería Municipal, o en su caso, al área de recursos humanos del sujeto obligado, en el cual, solicite el pago de las quincenas, aguinaldo y prima vacacional pendientes de pago de las y los servidores públicos municipales que causaron baja el pasado 31 de diciembre de 2024. Con fundamento en los artículos 155 fracción V y 156 de la Ley de Transparencia y Acceso a la Información Pública del Estado de México y Municipios, recalco que por así convenir a mis intereses, deseo que la información se me haga llegar vía SAIMEX, y en caso de la Unidad de Transparencia del Ayuntamiento de Toluca deseé de formar discrecional el transgredir mi derecho al acceso a la información pública municipal con malas prácticas como lo es el referir “un cambio de modalidad” o tratar de englobar mi solicitud en el supuesto de “manifestación subjetiva”, se le de vista al Órgano de Control Interno del Ayuntamiento de Toluca, así como a la contraloría del INFOEM.”.</w:t>
      </w:r>
    </w:p>
    <w:p w:rsidR="00000000" w:rsidDel="00000000" w:rsidP="00000000" w:rsidRDefault="00000000" w:rsidRPr="00000000" w14:paraId="0000000A">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1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Respuesta.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treinta y uno de marzo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proporcionó respuesta a la solicitud de información, al tenor de lo siguiente: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atención a la solicitud con folio 01398/TOLUCA/IP/2025, me permito adjuntar al presente la respuesta correspondiente. Sin más por el momento, reciba un saludo.</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Dr. Nahum Miguel Mendoza Morales.”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Adjuntando a su respuesta el archivo electrónico denominado </w:t>
      </w:r>
      <w:r w:rsidDel="00000000" w:rsidR="00000000" w:rsidRPr="00000000">
        <w:rPr>
          <w:rFonts w:ascii="Palatino Linotype" w:cs="Palatino Linotype" w:eastAsia="Palatino Linotype" w:hAnsi="Palatino Linotype"/>
          <w:b w:val="1"/>
          <w:i w:val="1"/>
          <w:rtl w:val="0"/>
        </w:rPr>
        <w:t xml:space="preserve">“R.1398.2025.pdf”</w:t>
      </w:r>
      <w:r w:rsidDel="00000000" w:rsidR="00000000" w:rsidRPr="00000000">
        <w:rPr>
          <w:rFonts w:ascii="Palatino Linotype" w:cs="Palatino Linotype" w:eastAsia="Palatino Linotype" w:hAnsi="Palatino Linotype"/>
          <w:rtl w:val="0"/>
        </w:rPr>
        <w:t xml:space="preserve">, el cual contiene el oficio de fecha treinta y uno de marzo de dos mil veinticinco, signado por el Titular de la Unidad de Transparencia, en el que informó: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“…hago de su conocimiento que </w:t>
      </w:r>
      <w:r w:rsidDel="00000000" w:rsidR="00000000" w:rsidRPr="00000000">
        <w:rPr>
          <w:rFonts w:ascii="Palatino Linotype" w:cs="Palatino Linotype" w:eastAsia="Palatino Linotype" w:hAnsi="Palatino Linotype"/>
          <w:b w:val="1"/>
          <w:i w:val="1"/>
          <w:rtl w:val="0"/>
        </w:rPr>
        <w:t xml:space="preserve">la Dirección General de Administración</w:t>
      </w:r>
      <w:r w:rsidDel="00000000" w:rsidR="00000000" w:rsidRPr="00000000">
        <w:rPr>
          <w:rFonts w:ascii="Palatino Linotype" w:cs="Palatino Linotype" w:eastAsia="Palatino Linotype" w:hAnsi="Palatino Linotype"/>
          <w:i w:val="1"/>
          <w:rtl w:val="0"/>
        </w:rPr>
        <w:t xml:space="preserve"> y Servidora Pública Habilitada, </w:t>
      </w:r>
      <w:r w:rsidDel="00000000" w:rsidR="00000000" w:rsidRPr="00000000">
        <w:rPr>
          <w:rFonts w:ascii="Palatino Linotype" w:cs="Palatino Linotype" w:eastAsia="Palatino Linotype" w:hAnsi="Palatino Linotype"/>
          <w:b w:val="1"/>
          <w:i w:val="1"/>
          <w:rtl w:val="0"/>
        </w:rPr>
        <w:t xml:space="preserve">informó que después de una búsqueda exhaustiva y razonable en los archivos que guarda Departamento de Nóminas</w:t>
      </w:r>
      <w:r w:rsidDel="00000000" w:rsidR="00000000" w:rsidRPr="00000000">
        <w:rPr>
          <w:rFonts w:ascii="Palatino Linotype" w:cs="Palatino Linotype" w:eastAsia="Palatino Linotype" w:hAnsi="Palatino Linotype"/>
          <w:i w:val="1"/>
          <w:rtl w:val="0"/>
        </w:rPr>
        <w:t xml:space="preserve">, informa que </w:t>
      </w:r>
      <w:r w:rsidDel="00000000" w:rsidR="00000000" w:rsidRPr="00000000">
        <w:rPr>
          <w:rFonts w:ascii="Palatino Linotype" w:cs="Palatino Linotype" w:eastAsia="Palatino Linotype" w:hAnsi="Palatino Linotype"/>
          <w:b w:val="1"/>
          <w:i w:val="1"/>
          <w:u w:val="single"/>
          <w:rtl w:val="0"/>
        </w:rPr>
        <w:t xml:space="preserve">no se encontró registro alguno de lo solicitado</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Por lo que respecta de la </w:t>
      </w:r>
      <w:r w:rsidDel="00000000" w:rsidR="00000000" w:rsidRPr="00000000">
        <w:rPr>
          <w:rFonts w:ascii="Palatino Linotype" w:cs="Palatino Linotype" w:eastAsia="Palatino Linotype" w:hAnsi="Palatino Linotype"/>
          <w:b w:val="1"/>
          <w:i w:val="1"/>
          <w:rtl w:val="0"/>
        </w:rPr>
        <w:t xml:space="preserve">Secretaría Particular de Presidencia</w:t>
      </w:r>
      <w:r w:rsidDel="00000000" w:rsidR="00000000" w:rsidRPr="00000000">
        <w:rPr>
          <w:rFonts w:ascii="Palatino Linotype" w:cs="Palatino Linotype" w:eastAsia="Palatino Linotype" w:hAnsi="Palatino Linotype"/>
          <w:i w:val="1"/>
          <w:rtl w:val="0"/>
        </w:rPr>
        <w:t xml:space="preserve"> y Servidor Público Habilitado, informó que derivado de una búsqueda exhaustiva y razonable en los archivos físicos y digitales de la Secretaría Particular, </w:t>
      </w:r>
      <w:r w:rsidDel="00000000" w:rsidR="00000000" w:rsidRPr="00000000">
        <w:rPr>
          <w:rFonts w:ascii="Palatino Linotype" w:cs="Palatino Linotype" w:eastAsia="Palatino Linotype" w:hAnsi="Palatino Linotype"/>
          <w:b w:val="1"/>
          <w:i w:val="1"/>
          <w:u w:val="single"/>
          <w:rtl w:val="0"/>
        </w:rPr>
        <w:t xml:space="preserve">no se encontró información alguna acerca de lo solicitado</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Así mismo la </w:t>
      </w:r>
      <w:r w:rsidDel="00000000" w:rsidR="00000000" w:rsidRPr="00000000">
        <w:rPr>
          <w:rFonts w:ascii="Palatino Linotype" w:cs="Palatino Linotype" w:eastAsia="Palatino Linotype" w:hAnsi="Palatino Linotype"/>
          <w:b w:val="1"/>
          <w:i w:val="1"/>
          <w:rtl w:val="0"/>
        </w:rPr>
        <w:t xml:space="preserve">Secretaría del Ayuntamiento de Toluca</w:t>
      </w:r>
      <w:r w:rsidDel="00000000" w:rsidR="00000000" w:rsidRPr="00000000">
        <w:rPr>
          <w:rFonts w:ascii="Palatino Linotype" w:cs="Palatino Linotype" w:eastAsia="Palatino Linotype" w:hAnsi="Palatino Linotype"/>
          <w:i w:val="1"/>
          <w:rtl w:val="0"/>
        </w:rPr>
        <w:t xml:space="preserve"> y Servidor Público Habilitado, informó que se procedió a realizar la búsqueda exhaustiva y razonable en los archivos que obran en la Secretaría del Ayuntamiento, en este sentido y de acuerdo a las facultades, competencias y funciones, se </w:t>
      </w:r>
      <w:r w:rsidDel="00000000" w:rsidR="00000000" w:rsidRPr="00000000">
        <w:rPr>
          <w:rFonts w:ascii="Palatino Linotype" w:cs="Palatino Linotype" w:eastAsia="Palatino Linotype" w:hAnsi="Palatino Linotype"/>
          <w:b w:val="1"/>
          <w:i w:val="1"/>
          <w:u w:val="single"/>
          <w:rtl w:val="0"/>
        </w:rPr>
        <w:t xml:space="preserve">hace del conocimiento que no se localizó expresión documental que, de atención a la pretensión del С. Solicitante, en razón de no haberse, generado, poseído o administrado dicha información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numPr>
          <w:ilvl w:val="0"/>
          <w:numId w:val="1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veintiocho de abril de dos mil veinticinco</w:t>
      </w:r>
      <w:r w:rsidDel="00000000" w:rsidR="00000000" w:rsidRPr="00000000">
        <w:rPr>
          <w:rFonts w:ascii="Palatino Linotype" w:cs="Palatino Linotype" w:eastAsia="Palatino Linotype" w:hAnsi="Palatino Linotype"/>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el que expresó lo siguiente:</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“La respuesta.”.</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“la entrega de la información esta incompleta no es todo lo solicitado”.</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numPr>
          <w:ilvl w:val="0"/>
          <w:numId w:val="1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04894/INFOEM/IP/RR/2025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numPr>
          <w:ilvl w:val="0"/>
          <w:numId w:val="1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dos de mayo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numPr>
          <w:ilvl w:val="0"/>
          <w:numId w:val="1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Manifestaciones. </w:t>
      </w:r>
      <w:r w:rsidDel="00000000" w:rsidR="00000000" w:rsidRPr="00000000">
        <w:rPr>
          <w:rFonts w:ascii="Palatino Linotype" w:cs="Palatino Linotype" w:eastAsia="Palatino Linotype" w:hAnsi="Palatino Linotype"/>
          <w:rtl w:val="0"/>
        </w:rPr>
        <w:t xml:space="preserve">De las constancias que obran en el expediente electrónico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catorce de mayo de dos mil veinticinco</w:t>
      </w:r>
      <w:r w:rsidDel="00000000" w:rsidR="00000000" w:rsidRPr="00000000">
        <w:rPr>
          <w:rFonts w:ascii="Palatino Linotype" w:cs="Palatino Linotype" w:eastAsia="Palatino Linotype" w:hAnsi="Palatino Linotype"/>
          <w:rtl w:val="0"/>
        </w:rPr>
        <w:t xml:space="preserve">, rindió su informe justificado, a través del archivo electrónico denominado “</w:t>
      </w:r>
      <w:r w:rsidDel="00000000" w:rsidR="00000000" w:rsidRPr="00000000">
        <w:rPr>
          <w:rFonts w:ascii="Palatino Linotype" w:cs="Palatino Linotype" w:eastAsia="Palatino Linotype" w:hAnsi="Palatino Linotype"/>
          <w:b w:val="1"/>
          <w:i w:val="1"/>
          <w:rtl w:val="0"/>
        </w:rPr>
        <w:t xml:space="preserve">Ratificación 04894.pdf</w:t>
      </w:r>
      <w:r w:rsidDel="00000000" w:rsidR="00000000" w:rsidRPr="00000000">
        <w:rPr>
          <w:rFonts w:ascii="Palatino Linotype" w:cs="Palatino Linotype" w:eastAsia="Palatino Linotype" w:hAnsi="Palatino Linotype"/>
          <w:rtl w:val="0"/>
        </w:rPr>
        <w:t xml:space="preserve">”, mediante el cual ratifico su respuesta inicial, mismo que se hizo del conocimiento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veintiséis de agosto de dos mil veinticinco,</w:t>
      </w:r>
      <w:r w:rsidDel="00000000" w:rsidR="00000000" w:rsidRPr="00000000">
        <w:rPr>
          <w:rFonts w:ascii="Palatino Linotype" w:cs="Palatino Linotype" w:eastAsia="Palatino Linotype" w:hAnsi="Palatino Linotype"/>
          <w:rtl w:val="0"/>
        </w:rPr>
        <w:t xml:space="preserve"> para que manifestara lo que a si derecho resultara conveniente.</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ind w:right="84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constancias que obran en el expediente electrónico del SAIMEX se desprende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fue omisa en presentar sus alegatos o manifestación alguna.</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ind w:right="84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ind w:right="84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numPr>
          <w:ilvl w:val="0"/>
          <w:numId w:val="11"/>
        </w:numPr>
        <w:pBdr>
          <w:top w:space="0" w:sz="0" w:val="nil"/>
          <w:left w:space="0" w:sz="0" w:val="nil"/>
          <w:bottom w:space="0" w:sz="0" w:val="nil"/>
          <w:right w:space="0" w:sz="0" w:val="nil"/>
          <w:between w:space="0" w:sz="0" w:val="nil"/>
        </w:pBdr>
        <w:tabs>
          <w:tab w:val="left" w:leader="none" w:pos="426"/>
        </w:tabs>
        <w:spacing w:after="0"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Ampliación de plazo: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veintiséis de agosto de dos mil veinticinco</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pacing w:after="0" w:line="36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35">
      <w:pPr>
        <w:numPr>
          <w:ilvl w:val="0"/>
          <w:numId w:val="1"/>
        </w:numPr>
        <w:spacing w:after="0" w:line="36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36">
      <w:pPr>
        <w:numPr>
          <w:ilvl w:val="0"/>
          <w:numId w:val="1"/>
        </w:numPr>
        <w:spacing w:after="0" w:line="36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37">
      <w:pPr>
        <w:numPr>
          <w:ilvl w:val="0"/>
          <w:numId w:val="1"/>
        </w:numPr>
        <w:spacing w:after="0" w:line="36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3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3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F">
      <w:pPr>
        <w:spacing w:after="0" w:line="36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0">
      <w:pPr>
        <w:spacing w:after="0" w:line="36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1">
      <w:pPr>
        <w:spacing w:after="0" w:line="36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2">
      <w:pPr>
        <w:spacing w:after="0" w:line="360" w:lineRule="auto"/>
        <w:ind w:left="851"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numPr>
          <w:ilvl w:val="0"/>
          <w:numId w:val="1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primero de septiembre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el </w:t>
      </w:r>
      <w:r w:rsidDel="00000000" w:rsidR="00000000" w:rsidRPr="00000000">
        <w:rPr>
          <w:rFonts w:ascii="Palatino Linotype" w:cs="Palatino Linotype" w:eastAsia="Palatino Linotype" w:hAnsi="Palatino Linotype"/>
          <w:b w:val="1"/>
          <w:rtl w:val="0"/>
        </w:rPr>
        <w:t xml:space="preserve">treinta y uno de marzo de dos mil veinticinco</w:t>
      </w:r>
      <w:r w:rsidDel="00000000" w:rsidR="00000000" w:rsidRPr="00000000">
        <w:rPr>
          <w:rFonts w:ascii="Palatino Linotype" w:cs="Palatino Linotype" w:eastAsia="Palatino Linotype" w:hAnsi="Palatino Linotype"/>
          <w:rtl w:val="0"/>
        </w:rPr>
        <w:t xml:space="preserve">, 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w:t>
      </w:r>
      <w:r w:rsidDel="00000000" w:rsidR="00000000" w:rsidRPr="00000000">
        <w:rPr>
          <w:rFonts w:ascii="Palatino Linotype" w:cs="Palatino Linotype" w:eastAsia="Palatino Linotype" w:hAnsi="Palatino Linotype"/>
          <w:b w:val="1"/>
          <w:rtl w:val="0"/>
        </w:rPr>
        <w:t xml:space="preserve">veintiocho de abril de dos mil veinticinco</w:t>
      </w:r>
      <w:r w:rsidDel="00000000" w:rsidR="00000000" w:rsidRPr="00000000">
        <w:rPr>
          <w:rFonts w:ascii="Palatino Linotype" w:cs="Palatino Linotype" w:eastAsia="Palatino Linotype" w:hAnsi="Palatino Linotype"/>
          <w:rtl w:val="0"/>
        </w:rPr>
        <w:t xml:space="preserve">, esto es al décimo quinto día hábil en que se tuvo conocimiento de la respuesta.</w:t>
      </w:r>
    </w:p>
    <w:p w:rsidR="00000000" w:rsidDel="00000000" w:rsidP="00000000" w:rsidRDefault="00000000" w:rsidRPr="00000000" w14:paraId="0000005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suma importancia mencionar que, si bien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no proporciono un nombre para su trámite, como se advierte en el detalle de seguimiento del SAIMEX; sin embargo,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4">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Las solicitudes anónimas</w:t>
      </w:r>
      <w:r w:rsidDel="00000000" w:rsidR="00000000" w:rsidRPr="00000000">
        <w:rPr>
          <w:rFonts w:ascii="Palatino Linotype" w:cs="Palatino Linotype" w:eastAsia="Palatino Linotype" w:hAnsi="Palatino Linotype"/>
          <w:i w:val="1"/>
          <w:rtl w:val="0"/>
        </w:rPr>
        <w:t xml:space="preserve">, con nombre incompleto o seudónimo serán procedentes para su trámite por parte del sujeto obligado ante quien se presente.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5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del recurso de revisión al rubro anotado, toda vez que se actualiza la hipótesis de procedencia prevista en el artículo 179, fracción V de la Ley de la materia, que a la letra dice:</w:t>
      </w:r>
    </w:p>
    <w:p w:rsidR="00000000" w:rsidDel="00000000" w:rsidP="00000000" w:rsidRDefault="00000000" w:rsidRPr="00000000" w14:paraId="00000057">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entrega de información incompleta;</w:t>
      </w:r>
    </w:p>
    <w:p w:rsidR="00000000" w:rsidDel="00000000" w:rsidP="00000000" w:rsidRDefault="00000000" w:rsidRPr="00000000" w14:paraId="0000005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C">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I del artículo 179 de la Ley en la materia. </w:t>
      </w:r>
    </w:p>
    <w:p w:rsidR="00000000" w:rsidDel="00000000" w:rsidP="00000000" w:rsidRDefault="00000000" w:rsidRPr="00000000" w14:paraId="0000005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60">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1o.</w:t>
      </w:r>
      <w:r w:rsidDel="00000000" w:rsidR="00000000" w:rsidRPr="00000000">
        <w:rPr>
          <w:rFonts w:ascii="Palatino Linotype" w:cs="Palatino Linotype" w:eastAsia="Palatino Linotype" w:hAnsi="Palatino Linotype"/>
          <w:i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6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6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00000" w:rsidDel="00000000" w:rsidP="00000000" w:rsidRDefault="00000000" w:rsidRPr="00000000" w14:paraId="0000006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5">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6o.</w:t>
      </w:r>
    </w:p>
    <w:p w:rsidR="00000000" w:rsidDel="00000000" w:rsidP="00000000" w:rsidRDefault="00000000" w:rsidRPr="00000000" w14:paraId="0000006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6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 La información que se refiere a la vida privada y los datos personales será protegida en los términos y con las excepciones que fijen las leyes. Para tal efecto, los sujetos obligados contarán con las facultades suficientes para su atención.</w:t>
      </w:r>
    </w:p>
    <w:p w:rsidR="00000000" w:rsidDel="00000000" w:rsidP="00000000" w:rsidRDefault="00000000" w:rsidRPr="00000000" w14:paraId="0000006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br w:type="textWrapping"/>
        <w:t xml:space="preserve"> 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6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IV.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6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La inobservancia a las disposiciones en materia de acceso a la información pública será sancionada en los términos que dispongan las leyes. [...]”</w:t>
      </w:r>
    </w:p>
    <w:p w:rsidR="00000000" w:rsidDel="00000000" w:rsidP="00000000" w:rsidRDefault="00000000" w:rsidRPr="00000000" w14:paraId="0000006F">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7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75">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7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7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rsidR="00000000" w:rsidDel="00000000" w:rsidP="00000000" w:rsidRDefault="00000000" w:rsidRPr="00000000" w14:paraId="0000007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03/17</w:t>
      </w:r>
    </w:p>
    <w:p w:rsidR="00000000" w:rsidDel="00000000" w:rsidP="00000000" w:rsidRDefault="00000000" w:rsidRPr="00000000" w14:paraId="0000007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7F">
      <w:pPr>
        <w:spacing w:after="0" w:line="36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8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8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8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8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8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8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8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9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9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9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000000" w:rsidDel="00000000" w:rsidP="00000000" w:rsidRDefault="00000000" w:rsidRPr="00000000" w14:paraId="0000009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actuaciones que integran el expediente electrónico, se procede al análisis de los agravios hechos valer por el Recurrente, relativos a la entrega de la información incompleta, lo que actualiza la causal de procedencia prevista en la fracción V del artículo 179 de la Ley de Transparencia y Acceso a la Información Pública del Estado de México y Municipios.</w:t>
      </w:r>
    </w:p>
    <w:p w:rsidR="00000000" w:rsidDel="00000000" w:rsidP="00000000" w:rsidRDefault="00000000" w:rsidRPr="00000000" w14:paraId="0000009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en principio resulta recordar que la pretensión de la ahora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es obtener la siguiente información: </w:t>
      </w:r>
    </w:p>
    <w:p w:rsidR="00000000" w:rsidDel="00000000" w:rsidP="00000000" w:rsidRDefault="00000000" w:rsidRPr="00000000" w14:paraId="0000009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84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número y nombre de ex servidores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públicos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a los que se les liquido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quincenas, aguinaldo y prima vacacional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adeudadas por la administración 2022-2024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84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número, nombre y área de adscripción de los servidores públicos que causaron baja el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pasado 31 de diciembre de 2021</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y 31 de diciembre 2024, </w:t>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51" w:right="84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Monto que se les adeuda</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concepto de quincenas, aguinaldo y prima vacacional de las administraciones 2019-2021 y 2022-2024. </w:t>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851" w:right="843"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Documentos signados por el Presidente Municipal, dirigidos a la Tesorería Municipal, o en su caso, al área de recursos humanos del sujeto obligado, en el cual, de la instrucción de pagar las quincenas, aguinaldo y prima vacacional pendientes de pago del personal que causó baja el pasado 31 de diciembre de 2021; y el 31 de diciembre 2024 </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276" w:lineRule="auto"/>
        <w:ind w:left="851" w:right="843"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Documentos signados por el Secretario del Ayuntamiento de Toluca, dirigido a la Tesorería Municipal, o en su caso, al área de recursos humanos, en el cual, se solicite el pago de las quincenas, aguinaldo y prima vacacional pendientes de pago del personal que causó baja el pasado 31 de diciembre de 2024.</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276" w:lineRule="auto"/>
        <w:ind w:left="851" w:right="843"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Relación que guarda el Ayuntamiento de Toluca administración 2025-2027, con el despacho externo encargado por la Lic. Alma Merino,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su caso,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contrato o convenio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(o cualquier otro instrumento) con el cual se contrató la prestación de servicios,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personas que lo integran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despacho externo) y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si las mismas están dadas de alta como servidores públicos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municipales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Dirección General de Administración informó que después de una búsqueda exhaustiva y razonable en los archivos que guarda el Departamento de Nóminas, no se encontró registro alguno de lo solicitado. </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Secretaría Particular de Presidencia informó que derivado de una búsqueda exhaustiva y razonable en sus archivos físicos y digitales, no se encontró información alguna acerca de lo solicitado. </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la Secretaría del Ayuntamiento informó que procedió a realizar la búsqueda exhaustiva y razonable de la información en sus archivos, en este sentido y de acuerdo a las facultades, competencias y funciones, se hace del conocimiento que no se localizó expresión documental que, de atención a la pretensión del solicitante, en razón de no haberse, generado, poseído o administrado dicha información.</w:t>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inconformó por la entrega de información incompleta.</w:t>
      </w:r>
    </w:p>
    <w:p w:rsidR="00000000" w:rsidDel="00000000" w:rsidP="00000000" w:rsidRDefault="00000000" w:rsidRPr="00000000" w14:paraId="000000A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rindió su informe justificado en el que ratificó su respuesta inicial. </w:t>
      </w:r>
    </w:p>
    <w:p w:rsidR="00000000" w:rsidDel="00000000" w:rsidP="00000000" w:rsidRDefault="00000000" w:rsidRPr="00000000" w14:paraId="000000A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expuestas las posturas de las partes, resulta importante señalar que las unidades administrativas que se pronunciaron desde la respuesta es la Dirección General de Administración, Secretaría Particular de Presidencia y Secretaría del Ayuntamiento, las cuales de conformidad con el Bando Municipal de Toluca vigente en su artículo 92, fracción I y VI; así como los artículos 3.12 fracciones I, III y III, 3.43 fracciones III, IV, 3.44 y 3.45 fracciones II, III, IV y V del Código Reglamentario Municipal de Toluca vigente y el Manual de Organización de Presidencia Municipal, cuentan con las siguientes atribuciones:</w:t>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284"/>
        </w:tabs>
        <w:spacing w:after="0" w:lineRule="auto"/>
        <w:ind w:left="851" w:right="843" w:firstLine="0"/>
        <w:jc w:val="center"/>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284"/>
        </w:tabs>
        <w:spacing w:after="0" w:lineRule="auto"/>
        <w:ind w:left="851" w:right="843" w:firstLine="0"/>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Bando Municipal de Toluca 2025</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92</w:t>
      </w:r>
      <w:r w:rsidDel="00000000" w:rsidR="00000000" w:rsidRPr="00000000">
        <w:rPr>
          <w:rFonts w:ascii="Palatino Linotype" w:cs="Palatino Linotype" w:eastAsia="Palatino Linotype" w:hAnsi="Palatino Linotype"/>
          <w:i w:val="1"/>
          <w:rtl w:val="0"/>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 </w:t>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persona titular de la </w:t>
      </w:r>
      <w:r w:rsidDel="00000000" w:rsidR="00000000" w:rsidRPr="00000000">
        <w:rPr>
          <w:rFonts w:ascii="Palatino Linotype" w:cs="Palatino Linotype" w:eastAsia="Palatino Linotype" w:hAnsi="Palatino Linotype"/>
          <w:b w:val="1"/>
          <w:i w:val="1"/>
          <w:rtl w:val="0"/>
        </w:rPr>
        <w:t xml:space="preserve">Secretaría del Ayuntamiento</w:t>
      </w:r>
      <w:r w:rsidDel="00000000" w:rsidR="00000000" w:rsidRPr="00000000">
        <w:rPr>
          <w:rFonts w:ascii="Palatino Linotype" w:cs="Palatino Linotype" w:eastAsia="Palatino Linotype" w:hAnsi="Palatino Linotype"/>
          <w:i w:val="1"/>
          <w:rtl w:val="0"/>
        </w:rPr>
        <w:t xml:space="preserve"> estará a cargo de una Secretaria o Secretario, quien </w:t>
      </w:r>
      <w:r w:rsidDel="00000000" w:rsidR="00000000" w:rsidRPr="00000000">
        <w:rPr>
          <w:rFonts w:ascii="Palatino Linotype" w:cs="Palatino Linotype" w:eastAsia="Palatino Linotype" w:hAnsi="Palatino Linotype"/>
          <w:b w:val="1"/>
          <w:i w:val="1"/>
          <w:rtl w:val="0"/>
        </w:rPr>
        <w:t xml:space="preserve">tendrá como principales funciones auxiliar a la Presidenta o Presidente Municipal, formular el proyecto de orden del día de las sesiones de cabildo, así como emitir las convocatorias, asistir y levantar las actas correspondientes, elaborar los informes mensuales y trimestrales de las comisiones edilicias y fomentar la participación ciudadana en apoyo de los programas sociales municipales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La persona titular de la </w:t>
      </w:r>
      <w:r w:rsidDel="00000000" w:rsidR="00000000" w:rsidRPr="00000000">
        <w:rPr>
          <w:rFonts w:ascii="Palatino Linotype" w:cs="Palatino Linotype" w:eastAsia="Palatino Linotype" w:hAnsi="Palatino Linotype"/>
          <w:b w:val="1"/>
          <w:i w:val="1"/>
          <w:rtl w:val="0"/>
        </w:rPr>
        <w:t xml:space="preserve">Dirección General de Administración es responsable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de la gestión integral del capital humano del Ayuntamiento</w:t>
      </w:r>
      <w:r w:rsidDel="00000000" w:rsidR="00000000" w:rsidRPr="00000000">
        <w:rPr>
          <w:rFonts w:ascii="Palatino Linotype" w:cs="Palatino Linotype" w:eastAsia="Palatino Linotype" w:hAnsi="Palatino Linotype"/>
          <w:i w:val="1"/>
          <w:rtl w:val="0"/>
        </w:rPr>
        <w:t xml:space="preserve">, coordinando el reclutamiento, contratación, capacitación y.</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desarrollo del personal, así como la aplicación de las disposiciones laborales y sindicales.</w:t>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Supervisará la elaboración y distribución de la nómina</w:t>
      </w:r>
      <w:r w:rsidDel="00000000" w:rsidR="00000000" w:rsidRPr="00000000">
        <w:rPr>
          <w:rFonts w:ascii="Palatino Linotype" w:cs="Palatino Linotype" w:eastAsia="Palatino Linotype" w:hAnsi="Palatino Linotype"/>
          <w:i w:val="1"/>
          <w:rtl w:val="0"/>
        </w:rPr>
        <w:t xml:space="preserve">, garantizando su apego a la normatividad y el presupuesto autorizado. </w:t>
      </w:r>
      <w:r w:rsidDel="00000000" w:rsidR="00000000" w:rsidRPr="00000000">
        <w:rPr>
          <w:rFonts w:ascii="Palatino Linotype" w:cs="Palatino Linotype" w:eastAsia="Palatino Linotype" w:hAnsi="Palatino Linotype"/>
          <w:b w:val="1"/>
          <w:i w:val="1"/>
          <w:rtl w:val="0"/>
        </w:rPr>
        <w:t xml:space="preserve">Dirigirá los procesos de adquisición, arrendamiento y contratación de servicios</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 asegurando la eficiencia y transparencia en el uso de los recursos públicos.</w:t>
      </w:r>
      <w:r w:rsidDel="00000000" w:rsidR="00000000" w:rsidRPr="00000000">
        <w:rPr>
          <w:rFonts w:ascii="Palatino Linotype" w:cs="Palatino Linotype" w:eastAsia="Palatino Linotype" w:hAnsi="Palatino Linotype"/>
          <w:i w:val="1"/>
          <w:rtl w:val="0"/>
        </w:rPr>
        <w:t xml:space="preserve"> Administrará el parque vehicular, los bienes municipales y la logística de eventos públicos e implementará políticas de gobierno digital y normativas para el uso de tecnologías de la información, promoviendo la eficiencia operativa de la administración pública municipal.</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284"/>
        </w:tabs>
        <w:spacing w:after="0" w:lineRule="auto"/>
        <w:ind w:left="851" w:right="843"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Código Reglamentario Municipal de Toluca </w:t>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284"/>
        </w:tabs>
        <w:spacing w:after="0" w:lineRule="auto"/>
        <w:ind w:left="851" w:right="843"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LA SECRETARÍA DEL AYUNTAMIENTO</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3.12.</w:t>
      </w:r>
      <w:r w:rsidDel="00000000" w:rsidR="00000000" w:rsidRPr="00000000">
        <w:rPr>
          <w:rFonts w:ascii="Palatino Linotype" w:cs="Palatino Linotype" w:eastAsia="Palatino Linotype" w:hAnsi="Palatino Linotype"/>
          <w:i w:val="1"/>
          <w:rtl w:val="0"/>
        </w:rPr>
        <w:t xml:space="preserve"> A la o el titular de la </w:t>
      </w:r>
      <w:r w:rsidDel="00000000" w:rsidR="00000000" w:rsidRPr="00000000">
        <w:rPr>
          <w:rFonts w:ascii="Palatino Linotype" w:cs="Palatino Linotype" w:eastAsia="Palatino Linotype" w:hAnsi="Palatino Linotype"/>
          <w:b w:val="1"/>
          <w:i w:val="1"/>
          <w:rtl w:val="0"/>
        </w:rPr>
        <w:t xml:space="preserve">Secretaría del Ayuntamiento</w:t>
      </w:r>
      <w:r w:rsidDel="00000000" w:rsidR="00000000" w:rsidRPr="00000000">
        <w:rPr>
          <w:rFonts w:ascii="Palatino Linotype" w:cs="Palatino Linotype" w:eastAsia="Palatino Linotype" w:hAnsi="Palatino Linotype"/>
          <w:i w:val="1"/>
          <w:rtl w:val="0"/>
        </w:rPr>
        <w:t xml:space="preserve"> le corresponde, además de las atribuciones que le confiere la Ley Orgánica Municipal, el despacho de los siguientes asuntos:</w:t>
        <w:br w:type="textWrapping"/>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i w:val="1"/>
          <w:rtl w:val="0"/>
        </w:rPr>
        <w:t xml:space="preserve">I. Preparar y coordinar las sesiones de cabildo, teniendo bajo su resguardo los libros de actas y sus apéndices;</w:t>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Entregar con oportunidad a los miembros del H. Ayuntamiento los dictámenes de las comisiones edilicias, los proyectos de actas y demás documentación necesaria para las sesiones;</w:t>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Asistir puntualmente a las sesiones que celebre el H. Ayuntamiento, para apoyar al presidente municipal en la celebración de las mismas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leader="none" w:pos="284"/>
        </w:tabs>
        <w:spacing w:after="0" w:lineRule="auto"/>
        <w:ind w:left="851" w:right="843"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LA DIRECCIÓN GENERAL DE ADMINISTRACIÓN</w:t>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3.43.</w:t>
      </w:r>
      <w:r w:rsidDel="00000000" w:rsidR="00000000" w:rsidRPr="00000000">
        <w:rPr>
          <w:rFonts w:ascii="Palatino Linotype" w:cs="Palatino Linotype" w:eastAsia="Palatino Linotype" w:hAnsi="Palatino Linotype"/>
          <w:i w:val="1"/>
          <w:rtl w:val="0"/>
        </w:rPr>
        <w:t xml:space="preserve"> La o el titular de la Dirección General de Administración, tiene las siguientes atribuciones: </w:t>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III. Autorizar las</w:t>
      </w:r>
      <w:r w:rsidDel="00000000" w:rsidR="00000000" w:rsidRPr="00000000">
        <w:rPr>
          <w:rFonts w:ascii="Palatino Linotype" w:cs="Palatino Linotype" w:eastAsia="Palatino Linotype" w:hAnsi="Palatino Linotype"/>
          <w:i w:val="1"/>
          <w:rtl w:val="0"/>
        </w:rPr>
        <w:t xml:space="preserve"> altas, </w:t>
      </w:r>
      <w:r w:rsidDel="00000000" w:rsidR="00000000" w:rsidRPr="00000000">
        <w:rPr>
          <w:rFonts w:ascii="Palatino Linotype" w:cs="Palatino Linotype" w:eastAsia="Palatino Linotype" w:hAnsi="Palatino Linotype"/>
          <w:b w:val="1"/>
          <w:i w:val="1"/>
          <w:u w:val="single"/>
          <w:rtl w:val="0"/>
        </w:rPr>
        <w:t xml:space="preserve">bajas,</w:t>
      </w:r>
      <w:r w:rsidDel="00000000" w:rsidR="00000000" w:rsidRPr="00000000">
        <w:rPr>
          <w:rFonts w:ascii="Palatino Linotype" w:cs="Palatino Linotype" w:eastAsia="Palatino Linotype" w:hAnsi="Palatino Linotype"/>
          <w:i w:val="1"/>
          <w:rtl w:val="0"/>
        </w:rPr>
        <w:t xml:space="preserve"> cambios, permisos, licencias, comisiones </w:t>
      </w:r>
      <w:r w:rsidDel="00000000" w:rsidR="00000000" w:rsidRPr="00000000">
        <w:rPr>
          <w:rFonts w:ascii="Palatino Linotype" w:cs="Palatino Linotype" w:eastAsia="Palatino Linotype" w:hAnsi="Palatino Linotype"/>
          <w:b w:val="1"/>
          <w:i w:val="1"/>
          <w:rtl w:val="0"/>
        </w:rPr>
        <w:t xml:space="preserve">del personal, entre otras, </w:t>
      </w:r>
      <w:r w:rsidDel="00000000" w:rsidR="00000000" w:rsidRPr="00000000">
        <w:rPr>
          <w:rFonts w:ascii="Palatino Linotype" w:cs="Palatino Linotype" w:eastAsia="Palatino Linotype" w:hAnsi="Palatino Linotype"/>
          <w:b w:val="1"/>
          <w:i w:val="1"/>
          <w:u w:val="single"/>
          <w:rtl w:val="0"/>
        </w:rPr>
        <w:t xml:space="preserve">para su trámite y efectos</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 Autorizar la elaboración y distribución oportuna de la nómina al personal</w:t>
      </w:r>
      <w:r w:rsidDel="00000000" w:rsidR="00000000" w:rsidRPr="00000000">
        <w:rPr>
          <w:rFonts w:ascii="Palatino Linotype" w:cs="Palatino Linotype" w:eastAsia="Palatino Linotype" w:hAnsi="Palatino Linotype"/>
          <w:i w:val="1"/>
          <w:rtl w:val="0"/>
        </w:rPr>
        <w:t xml:space="preserve"> que labora en el Ayuntamiento, apegándose a la normatividad en la materia y al presupuesto autorizado;</w:t>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w:t>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XXVII. Establecer, operar y evaluar los mecanismos de coordinación con 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delegaciones administrativas,</w:t>
      </w:r>
      <w:r w:rsidDel="00000000" w:rsidR="00000000" w:rsidRPr="00000000">
        <w:rPr>
          <w:rFonts w:ascii="Palatino Linotype" w:cs="Palatino Linotype" w:eastAsia="Palatino Linotype" w:hAnsi="Palatino Linotype"/>
          <w:i w:val="1"/>
          <w:rtl w:val="0"/>
        </w:rPr>
        <w:t xml:space="preserve"> en el ejercicio del presupuesto asignado, </w:t>
      </w:r>
      <w:r w:rsidDel="00000000" w:rsidR="00000000" w:rsidRPr="00000000">
        <w:rPr>
          <w:rFonts w:ascii="Palatino Linotype" w:cs="Palatino Linotype" w:eastAsia="Palatino Linotype" w:hAnsi="Palatino Linotype"/>
          <w:b w:val="1"/>
          <w:i w:val="1"/>
          <w:rtl w:val="0"/>
        </w:rPr>
        <w:t xml:space="preserve">movimientos de personal</w:t>
      </w:r>
      <w:r w:rsidDel="00000000" w:rsidR="00000000" w:rsidRPr="00000000">
        <w:rPr>
          <w:rFonts w:ascii="Palatino Linotype" w:cs="Palatino Linotype" w:eastAsia="Palatino Linotype" w:hAnsi="Palatino Linotype"/>
          <w:i w:val="1"/>
          <w:rtl w:val="0"/>
        </w:rPr>
        <w:t xml:space="preserve"> y solicitud de bienes, insumos, servicios y arrendamientos </w:t>
      </w:r>
      <w:r w:rsidDel="00000000" w:rsidR="00000000" w:rsidRPr="00000000">
        <w:rPr>
          <w:rFonts w:ascii="Palatino Linotype" w:cs="Palatino Linotype" w:eastAsia="Palatino Linotype" w:hAnsi="Palatino Linotype"/>
          <w:b w:val="1"/>
          <w:i w:val="1"/>
          <w:rtl w:val="0"/>
        </w:rPr>
        <w:t xml:space="preserve">que requieran las unidades administrativas para el desempeño de sus funciones;</w:t>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XXVIII. Emitir las políticas, normas y lineamientos administrativos relativos a los asuntos de su competencia, con la finalidad de que los trabajos y las actividades que sean inherentes a su responsabilidad se desarrollen con transparencia, considerando los lineamientos establecidos en la normatividad anticorrupción, así mismo con eficiencia y eficacia en el manejo de los recursos; y</w:t>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XXIX. Las demás que le confieran otros ordenamientos jurídicos, el H. Ayuntamiento y el presidente municipal.;</w:t>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3.44</w:t>
      </w:r>
      <w:r w:rsidDel="00000000" w:rsidR="00000000" w:rsidRPr="00000000">
        <w:rPr>
          <w:rFonts w:ascii="Palatino Linotype" w:cs="Palatino Linotype" w:eastAsia="Palatino Linotype" w:hAnsi="Palatino Linotype"/>
          <w:i w:val="1"/>
          <w:rtl w:val="0"/>
        </w:rPr>
        <w:t xml:space="preserve">. La Dirección General de Administración, para el cumplimiento de sus atribuciones, </w:t>
      </w:r>
      <w:r w:rsidDel="00000000" w:rsidR="00000000" w:rsidRPr="00000000">
        <w:rPr>
          <w:rFonts w:ascii="Palatino Linotype" w:cs="Palatino Linotype" w:eastAsia="Palatino Linotype" w:hAnsi="Palatino Linotype"/>
          <w:b w:val="1"/>
          <w:i w:val="1"/>
          <w:rtl w:val="0"/>
        </w:rPr>
        <w:t xml:space="preserve">se auxiliará</w:t>
      </w:r>
      <w:r w:rsidDel="00000000" w:rsidR="00000000" w:rsidRPr="00000000">
        <w:rPr>
          <w:rFonts w:ascii="Palatino Linotype" w:cs="Palatino Linotype" w:eastAsia="Palatino Linotype" w:hAnsi="Palatino Linotype"/>
          <w:i w:val="1"/>
          <w:rtl w:val="0"/>
        </w:rPr>
        <w:t xml:space="preserve"> de la </w:t>
      </w:r>
      <w:r w:rsidDel="00000000" w:rsidR="00000000" w:rsidRPr="00000000">
        <w:rPr>
          <w:rFonts w:ascii="Palatino Linotype" w:cs="Palatino Linotype" w:eastAsia="Palatino Linotype" w:hAnsi="Palatino Linotype"/>
          <w:b w:val="1"/>
          <w:i w:val="1"/>
          <w:rtl w:val="0"/>
        </w:rPr>
        <w:t xml:space="preserve">Dirección de Recursos Humanos</w:t>
      </w:r>
      <w:r w:rsidDel="00000000" w:rsidR="00000000" w:rsidRPr="00000000">
        <w:rPr>
          <w:rFonts w:ascii="Palatino Linotype" w:cs="Palatino Linotype" w:eastAsia="Palatino Linotype" w:hAnsi="Palatino Linotype"/>
          <w:i w:val="1"/>
          <w:rtl w:val="0"/>
        </w:rPr>
        <w:t xml:space="preserve">, de la Dirección de Recursos Materiales, de la Dirección de Servicios Generales y de la Dirección de Tecnologías de la Información y Gobierno Digital</w:t>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3.45</w:t>
      </w:r>
      <w:r w:rsidDel="00000000" w:rsidR="00000000" w:rsidRPr="00000000">
        <w:rPr>
          <w:rFonts w:ascii="Palatino Linotype" w:cs="Palatino Linotype" w:eastAsia="Palatino Linotype" w:hAnsi="Palatino Linotype"/>
          <w:i w:val="1"/>
          <w:rtl w:val="0"/>
        </w:rPr>
        <w:t xml:space="preserve">. La o el titular de la </w:t>
      </w:r>
      <w:r w:rsidDel="00000000" w:rsidR="00000000" w:rsidRPr="00000000">
        <w:rPr>
          <w:rFonts w:ascii="Palatino Linotype" w:cs="Palatino Linotype" w:eastAsia="Palatino Linotype" w:hAnsi="Palatino Linotype"/>
          <w:b w:val="1"/>
          <w:i w:val="1"/>
          <w:rtl w:val="0"/>
        </w:rPr>
        <w:t xml:space="preserve">Dirección de Recursos Humanos</w:t>
      </w:r>
      <w:r w:rsidDel="00000000" w:rsidR="00000000" w:rsidRPr="00000000">
        <w:rPr>
          <w:rFonts w:ascii="Palatino Linotype" w:cs="Palatino Linotype" w:eastAsia="Palatino Linotype" w:hAnsi="Palatino Linotype"/>
          <w:i w:val="1"/>
          <w:rtl w:val="0"/>
        </w:rPr>
        <w:t xml:space="preserve"> cuenta con las siguientes atribuciones:</w:t>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Elaborar, operar y mejorar los procedimientos administrativos de control para la selección, reclutamiento, contratación, escalafón, capacitación, retiro, sanción, comisión y desarrollo del personal al servicio del Municipio;</w:t>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 Vigilar que se cumplan</w:t>
      </w:r>
      <w:r w:rsidDel="00000000" w:rsidR="00000000" w:rsidRPr="00000000">
        <w:rPr>
          <w:rFonts w:ascii="Palatino Linotype" w:cs="Palatino Linotype" w:eastAsia="Palatino Linotype" w:hAnsi="Palatino Linotype"/>
          <w:i w:val="1"/>
          <w:rtl w:val="0"/>
        </w:rPr>
        <w:t xml:space="preserve"> las disposiciones en materia de trabajo, seguridad, higiene, así como las demás </w:t>
      </w:r>
      <w:r w:rsidDel="00000000" w:rsidR="00000000" w:rsidRPr="00000000">
        <w:rPr>
          <w:rFonts w:ascii="Palatino Linotype" w:cs="Palatino Linotype" w:eastAsia="Palatino Linotype" w:hAnsi="Palatino Linotype"/>
          <w:b w:val="1"/>
          <w:i w:val="1"/>
          <w:rtl w:val="0"/>
        </w:rPr>
        <w:t xml:space="preserve">normas aplicables a la institución respecto de los derechos y obligaciones del personal</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Garantizar que no se soliciten pruebas de no gravidez o VIH como condicionantes para la contratación;</w:t>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IV. Aplicar las disposiciones legales laborales que rigen al personal del Ayuntamiento;</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V. Registrar las altas, reingresos, </w:t>
      </w:r>
      <w:r w:rsidDel="00000000" w:rsidR="00000000" w:rsidRPr="00000000">
        <w:rPr>
          <w:rFonts w:ascii="Palatino Linotype" w:cs="Palatino Linotype" w:eastAsia="Palatino Linotype" w:hAnsi="Palatino Linotype"/>
          <w:b w:val="1"/>
          <w:i w:val="1"/>
          <w:u w:val="single"/>
          <w:rtl w:val="0"/>
        </w:rPr>
        <w:t xml:space="preserve">bajas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cambios de categoría y adscripción, permisos y licencias por incapacidad, entre otras, </w:t>
      </w:r>
      <w:r w:rsidDel="00000000" w:rsidR="00000000" w:rsidRPr="00000000">
        <w:rPr>
          <w:rFonts w:ascii="Palatino Linotype" w:cs="Palatino Linotype" w:eastAsia="Palatino Linotype" w:hAnsi="Palatino Linotype"/>
          <w:b w:val="1"/>
          <w:i w:val="1"/>
          <w:rtl w:val="0"/>
        </w:rPr>
        <w:t xml:space="preserve">del personal, y su correcta aplicación;</w:t>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 Coadyuvar con la Tesorería en la elaboración y distribución oportuna de la nómina para el pago al personal que labora en el Ayuntamiento, apegándose al presupuesto autorizado y aplicar los descuentos procedentes; </w:t>
      </w:r>
      <w:r w:rsidDel="00000000" w:rsidR="00000000" w:rsidRPr="00000000">
        <w:rPr>
          <w:rFonts w:ascii="Palatino Linotype" w:cs="Palatino Linotype" w:eastAsia="Palatino Linotype" w:hAnsi="Palatino Linotype"/>
          <w:i w:val="1"/>
          <w:rtl w:val="0"/>
        </w:rPr>
        <w:t xml:space="preserve">así como en lo relativo a las determinaciones de los impuestos y la emisión de los CFDI correspondientes una vez realizado el pago;</w:t>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Elaborar programas de capacitación, adiestramiento y desarrollo del personal con el objeto de profesionalizar a los servidores públicos conforme a las necesidades institucionales y a las del mismo personal;</w:t>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Verificar el cumplimento de las cláusulas establecidas en los convenios sindicales suscritos con el gobierno municipal, así como de las condiciones generales de trabajo del personal sindicalizado;</w:t>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Derogada; y</w:t>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Las demás que le asignen otros ordenamientos, el presidente municipal y la o el Director General de Administración.</w:t>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284"/>
        </w:tabs>
        <w:spacing w:after="0" w:lineRule="auto"/>
        <w:ind w:left="851" w:right="843"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Manual de Organización de Presidencia Municipal</w:t>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200010000 Secretaría Particular</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Objetivo: </w:t>
      </w:r>
      <w:r w:rsidDel="00000000" w:rsidR="00000000" w:rsidRPr="00000000">
        <w:rPr>
          <w:rFonts w:ascii="Palatino Linotype" w:cs="Palatino Linotype" w:eastAsia="Palatino Linotype" w:hAnsi="Palatino Linotype"/>
          <w:b w:val="1"/>
          <w:i w:val="1"/>
          <w:rtl w:val="0"/>
        </w:rPr>
        <w:t xml:space="preserve">Planear, organizar y controlar, en coordinación con las unidades administrativas correspondientes, las actividades a realizar por la o el Presidente Municipal,</w:t>
      </w:r>
      <w:r w:rsidDel="00000000" w:rsidR="00000000" w:rsidRPr="00000000">
        <w:rPr>
          <w:rFonts w:ascii="Palatino Linotype" w:cs="Palatino Linotype" w:eastAsia="Palatino Linotype" w:hAnsi="Palatino Linotype"/>
          <w:i w:val="1"/>
          <w:rtl w:val="0"/>
        </w:rPr>
        <w:t xml:space="preserve"> mediante la organización y control de su agenda y el seguimiento a los temas prioritarios…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b w:val="1"/>
          <w:i w:val="1"/>
          <w:u w:val="single"/>
          <w:rtl w:val="0"/>
        </w:rPr>
        <w:t xml:space="preserve"> </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28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D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anteriormente citado, se desprende que la Secretaría del Ayuntamiento tiene como principales funciones auxiliar a la Presidenta o Presidente Municipal, formular el proyecto de orden del día de las sesiones de cabildo, así como emitir las convocatorias, asistir y levantar las actas correspondientes, elaborar los informes mensuales y trimestrales de las comisiones edilicias y fomentar la participación ciudadana en apoyo de los programas sociales municipales. </w:t>
      </w:r>
    </w:p>
    <w:p w:rsidR="00000000" w:rsidDel="00000000" w:rsidP="00000000" w:rsidRDefault="00000000" w:rsidRPr="00000000" w14:paraId="000000D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la Dirección General de Administración es el área responsable de la gestión integral del capital humano del Ayuntamiento, y cuenta con la atribución de autorizar las altas, bajas, cambios, permisos, licencias y comisiones del personal, así como, autorizar la elaboración y distribución oportuna de la nómina al personal, establecer, operar y evaluar los movimientos de personal y coadyuvar con la Tesorería en la elaboración y distribución oportuna de la nómina para el pago al personal que labora en el Ayuntamiento, y finalmente, la Secretaría particular de presidencia se encarga de planear, organizar y controlar, en coordinación con las unidades administrativas correspondientes, las actividades a realizar por la o el Presidente Municipal; por ello es dable afirmar que se pronunciaron algunas de las áreas que pueden conocer de lo solicitado por el ahora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tal y como se podrá observar más adelante. </w:t>
      </w:r>
    </w:p>
    <w:p w:rsidR="00000000" w:rsidDel="00000000" w:rsidP="00000000" w:rsidRDefault="00000000" w:rsidRPr="00000000" w14:paraId="000000D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 la información solicitada en los puntos 1, 2, 3 y 5, consistente en: </w:t>
      </w:r>
    </w:p>
    <w:p w:rsidR="00000000" w:rsidDel="00000000" w:rsidP="00000000" w:rsidRDefault="00000000" w:rsidRPr="00000000" w14:paraId="000000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134"/>
          <w:tab w:val="left" w:leader="none" w:pos="8080"/>
        </w:tabs>
        <w:spacing w:after="0" w:before="0" w:line="276" w:lineRule="auto"/>
        <w:ind w:left="851"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número y nombre de ex servidores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públicos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a los que se les liquido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quincenas, aguinaldo y prima vacacional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adeudadas por la administración 2022-2024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134"/>
          <w:tab w:val="left" w:leader="none" w:pos="8080"/>
        </w:tabs>
        <w:spacing w:after="0" w:before="0" w:line="276" w:lineRule="auto"/>
        <w:ind w:left="851"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número, nombre y área de adscripción de los servidores públicos que causaron baja el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pasado 31 de diciembre de 2021</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y 31 de diciembre 2024, </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134"/>
          <w:tab w:val="left" w:leader="none" w:pos="8080"/>
        </w:tabs>
        <w:spacing w:after="0" w:before="0" w:line="276" w:lineRule="auto"/>
        <w:ind w:left="851"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Monto que se les adeuda</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concepto de quincenas, aguinaldo y prima vacacional de las administraciones 2019-2021 y 2022-2024. </w:t>
      </w:r>
    </w:p>
    <w:p w:rsidR="00000000" w:rsidDel="00000000" w:rsidP="00000000" w:rsidRDefault="00000000" w:rsidRPr="00000000" w14:paraId="000000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851"/>
          <w:tab w:val="left" w:leader="none" w:pos="993"/>
          <w:tab w:val="left" w:leader="none" w:pos="1134"/>
          <w:tab w:val="left" w:leader="none" w:pos="1701"/>
          <w:tab w:val="left" w:leader="none" w:pos="8080"/>
        </w:tabs>
        <w:spacing w:after="0" w:before="0" w:line="276" w:lineRule="auto"/>
        <w:ind w:left="851"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Relación que guarda la administración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2025-2027,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con el despacho externo encargado por la Lic. Alma Merino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su caso,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contrato o convenio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 el cual se contrató la prestación de servicios,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personas que lo integran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 si las mismas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están dadas de alta como servidores públicos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municipales.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843"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conviene recordar que la Dirección de Administración, a través del Departamento de Recursos Humanos se encarga de registrar las bajas del personal del Ayuntamiento de Toluca, por lo que es el área que conocer si en la temporalidad referida por el particular causaron bajo servidores públicos; aunado a ello, el Código Reglamentario Municipal de Toluca establece en sus artículos 11.23 y 11.25 que la baja de un servidor público representa la extinción de la relación laboral entre el Ayuntamiento y el empleado municipal y que este movimiento deberá ser solicitado mediante oficio suscrito por el Director que corresponda y el Delegado Administrativo de la misma dependencia, dirigido a la Dirección de Recursos Humanos, y se acompañará del Formato Único de Personal debidamente requisitado, además de la documentación que justifique la baja.</w:t>
      </w:r>
    </w:p>
    <w:p w:rsidR="00000000" w:rsidDel="00000000" w:rsidP="00000000" w:rsidRDefault="00000000" w:rsidRPr="00000000" w14:paraId="000000E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mismo orden de ideas, el artículo 11.27 del referido Código Reglamentario señala que el servidor público que cause baja, tiene derecho a percibir un finiquito consistente en:</w:t>
      </w:r>
    </w:p>
    <w:p w:rsidR="00000000" w:rsidDel="00000000" w:rsidP="00000000" w:rsidRDefault="00000000" w:rsidRPr="00000000" w14:paraId="000000E4">
      <w:pPr>
        <w:spacing w:after="0" w:line="360" w:lineRule="auto"/>
        <w:ind w:left="993"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5">
      <w:pPr>
        <w:spacing w:after="0" w:lineRule="auto"/>
        <w:ind w:left="993"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11.27.</w:t>
      </w:r>
      <w:r w:rsidDel="00000000" w:rsidR="00000000" w:rsidRPr="00000000">
        <w:rPr>
          <w:rFonts w:ascii="Palatino Linotype" w:cs="Palatino Linotype" w:eastAsia="Palatino Linotype" w:hAnsi="Palatino Linotype"/>
          <w:i w:val="1"/>
          <w:rtl w:val="0"/>
        </w:rPr>
        <w:t xml:space="preserve"> La y el </w:t>
      </w:r>
      <w:r w:rsidDel="00000000" w:rsidR="00000000" w:rsidRPr="00000000">
        <w:rPr>
          <w:rFonts w:ascii="Palatino Linotype" w:cs="Palatino Linotype" w:eastAsia="Palatino Linotype" w:hAnsi="Palatino Linotype"/>
          <w:b w:val="1"/>
          <w:i w:val="1"/>
          <w:u w:val="single"/>
          <w:rtl w:val="0"/>
        </w:rPr>
        <w:t xml:space="preserve">servidor público que cause baja, después</w:t>
      </w:r>
      <w:r w:rsidDel="00000000" w:rsidR="00000000" w:rsidRPr="00000000">
        <w:rPr>
          <w:rFonts w:ascii="Palatino Linotype" w:cs="Palatino Linotype" w:eastAsia="Palatino Linotype" w:hAnsi="Palatino Linotype"/>
          <w:i w:val="1"/>
          <w:u w:val="single"/>
          <w:rtl w:val="0"/>
        </w:rPr>
        <w:t xml:space="preserve"> de solicitarlo por oficio a la Dirección de Recursos Humanos</w:t>
      </w:r>
      <w:r w:rsidDel="00000000" w:rsidR="00000000" w:rsidRPr="00000000">
        <w:rPr>
          <w:rFonts w:ascii="Palatino Linotype" w:cs="Palatino Linotype" w:eastAsia="Palatino Linotype" w:hAnsi="Palatino Linotype"/>
          <w:i w:val="1"/>
          <w:rtl w:val="0"/>
        </w:rPr>
        <w:t xml:space="preserve">, y que anexe original de su renuncia, tiene </w:t>
      </w:r>
      <w:r w:rsidDel="00000000" w:rsidR="00000000" w:rsidRPr="00000000">
        <w:rPr>
          <w:rFonts w:ascii="Palatino Linotype" w:cs="Palatino Linotype" w:eastAsia="Palatino Linotype" w:hAnsi="Palatino Linotype"/>
          <w:b w:val="1"/>
          <w:i w:val="1"/>
          <w:rtl w:val="0"/>
        </w:rPr>
        <w:t xml:space="preserve">derecho a percibir un finiquito consistente</w:t>
      </w:r>
      <w:r w:rsidDel="00000000" w:rsidR="00000000" w:rsidRPr="00000000">
        <w:rPr>
          <w:rFonts w:ascii="Palatino Linotype" w:cs="Palatino Linotype" w:eastAsia="Palatino Linotype" w:hAnsi="Palatino Linotype"/>
          <w:i w:val="1"/>
          <w:rtl w:val="0"/>
        </w:rPr>
        <w:t xml:space="preserve"> en:</w:t>
      </w:r>
    </w:p>
    <w:p w:rsidR="00000000" w:rsidDel="00000000" w:rsidP="00000000" w:rsidRDefault="00000000" w:rsidRPr="00000000" w14:paraId="000000E6">
      <w:pPr>
        <w:spacing w:after="0" w:lineRule="auto"/>
        <w:ind w:left="993"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Su sueldo hasta el último día laborado</w:t>
      </w:r>
      <w:r w:rsidDel="00000000" w:rsidR="00000000" w:rsidRPr="00000000">
        <w:rPr>
          <w:rFonts w:ascii="Palatino Linotype" w:cs="Palatino Linotype" w:eastAsia="Palatino Linotype" w:hAnsi="Palatino Linotype"/>
          <w:b w:val="1"/>
          <w:i w:val="1"/>
          <w:rtl w:val="0"/>
        </w:rPr>
        <w:t xml:space="preserve">, por concepto de salarios devengados;</w:t>
      </w:r>
    </w:p>
    <w:p w:rsidR="00000000" w:rsidDel="00000000" w:rsidP="00000000" w:rsidRDefault="00000000" w:rsidRPr="00000000" w14:paraId="000000E7">
      <w:pPr>
        <w:spacing w:after="0" w:lineRule="auto"/>
        <w:ind w:left="993"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 </w:t>
      </w:r>
      <w:r w:rsidDel="00000000" w:rsidR="00000000" w:rsidRPr="00000000">
        <w:rPr>
          <w:rFonts w:ascii="Palatino Linotype" w:cs="Palatino Linotype" w:eastAsia="Palatino Linotype" w:hAnsi="Palatino Linotype"/>
          <w:b w:val="1"/>
          <w:i w:val="1"/>
          <w:u w:val="single"/>
          <w:rtl w:val="0"/>
        </w:rPr>
        <w:t xml:space="preserve">Parte proporcional de prima vacacional</w:t>
      </w:r>
      <w:r w:rsidDel="00000000" w:rsidR="00000000" w:rsidRPr="00000000">
        <w:rPr>
          <w:rFonts w:ascii="Palatino Linotype" w:cs="Palatino Linotype" w:eastAsia="Palatino Linotype" w:hAnsi="Palatino Linotype"/>
          <w:b w:val="1"/>
          <w:i w:val="1"/>
          <w:rtl w:val="0"/>
        </w:rPr>
        <w:t xml:space="preserve">, siempre y cuando haya cumplido seis meses en el servicio;</w:t>
      </w:r>
    </w:p>
    <w:p w:rsidR="00000000" w:rsidDel="00000000" w:rsidP="00000000" w:rsidRDefault="00000000" w:rsidRPr="00000000" w14:paraId="000000E8">
      <w:pPr>
        <w:spacing w:after="0" w:lineRule="auto"/>
        <w:ind w:left="993"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Parte proporcional de aguinaldo</w:t>
      </w:r>
      <w:r w:rsidDel="00000000" w:rsidR="00000000" w:rsidRPr="00000000">
        <w:rPr>
          <w:rFonts w:ascii="Palatino Linotype" w:cs="Palatino Linotype" w:eastAsia="Palatino Linotype" w:hAnsi="Palatino Linotype"/>
          <w:b w:val="1"/>
          <w:i w:val="1"/>
          <w:rtl w:val="0"/>
        </w:rPr>
        <w:t xml:space="preserve">; y</w:t>
      </w:r>
    </w:p>
    <w:p w:rsidR="00000000" w:rsidDel="00000000" w:rsidP="00000000" w:rsidRDefault="00000000" w:rsidRPr="00000000" w14:paraId="000000E9">
      <w:pPr>
        <w:spacing w:after="0" w:lineRule="auto"/>
        <w:ind w:left="993"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i w:val="1"/>
          <w:rtl w:val="0"/>
        </w:rPr>
        <w:t xml:space="preserve">IV. Parte proporcional de las vacaciones no disfrutadas correspondientes a los meses que trabajó en el semestre respectivo.</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E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 los montos adeudados y pagos realizados por concepto de quincenas, aguinaldo y prima vacacional, los artículos 31, fracción XVIII y 95, fracciones I y IV de la Ley Orgánica Municipal del Estado de México, establecen:</w:t>
      </w:r>
    </w:p>
    <w:p w:rsidR="00000000" w:rsidDel="00000000" w:rsidP="00000000" w:rsidRDefault="00000000" w:rsidRPr="00000000" w14:paraId="000000EC">
      <w:pPr>
        <w:spacing w:after="0" w:lineRule="auto"/>
        <w:ind w:left="851" w:right="9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D">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31.-</w:t>
      </w:r>
      <w:r w:rsidDel="00000000" w:rsidR="00000000" w:rsidRPr="00000000">
        <w:rPr>
          <w:rFonts w:ascii="Palatino Linotype" w:cs="Palatino Linotype" w:eastAsia="Palatino Linotype" w:hAnsi="Palatino Linotype"/>
          <w:i w:val="1"/>
          <w:rtl w:val="0"/>
        </w:rPr>
        <w:t xml:space="preserve"> Son atribuciones de los ayuntamientos:</w:t>
      </w:r>
    </w:p>
    <w:p w:rsidR="00000000" w:rsidDel="00000000" w:rsidP="00000000" w:rsidRDefault="00000000" w:rsidRPr="00000000" w14:paraId="000000EE">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F">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Administrar su hacienda</w:t>
      </w:r>
      <w:r w:rsidDel="00000000" w:rsidR="00000000" w:rsidRPr="00000000">
        <w:rPr>
          <w:rFonts w:ascii="Palatino Linotype" w:cs="Palatino Linotype" w:eastAsia="Palatino Linotype" w:hAnsi="Palatino Linotype"/>
          <w:i w:val="1"/>
          <w:rtl w:val="0"/>
        </w:rPr>
        <w:t xml:space="preserve"> en términos de ley, y controlar a través del presidente y síndico la aplicación del presupuesto de egresos del municipio;</w:t>
      </w:r>
    </w:p>
    <w:p w:rsidR="00000000" w:rsidDel="00000000" w:rsidP="00000000" w:rsidRDefault="00000000" w:rsidRPr="00000000" w14:paraId="000000F0">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1">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95.-</w:t>
      </w:r>
      <w:r w:rsidDel="00000000" w:rsidR="00000000" w:rsidRPr="00000000">
        <w:rPr>
          <w:rFonts w:ascii="Palatino Linotype" w:cs="Palatino Linotype" w:eastAsia="Palatino Linotype" w:hAnsi="Palatino Linotype"/>
          <w:i w:val="1"/>
          <w:rtl w:val="0"/>
        </w:rPr>
        <w:t xml:space="preserve"> Son atribuciones del tesorero municipal:</w:t>
      </w:r>
    </w:p>
    <w:p w:rsidR="00000000" w:rsidDel="00000000" w:rsidP="00000000" w:rsidRDefault="00000000" w:rsidRPr="00000000" w14:paraId="000000F2">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Administrar la hacienda pública municipal</w:t>
      </w:r>
      <w:r w:rsidDel="00000000" w:rsidR="00000000" w:rsidRPr="00000000">
        <w:rPr>
          <w:rFonts w:ascii="Palatino Linotype" w:cs="Palatino Linotype" w:eastAsia="Palatino Linotype" w:hAnsi="Palatino Linotype"/>
          <w:i w:val="1"/>
          <w:rtl w:val="0"/>
        </w:rPr>
        <w:t xml:space="preserve">, de conformidad con las disposiciones legales aplicables;</w:t>
      </w:r>
    </w:p>
    <w:p w:rsidR="00000000" w:rsidDel="00000000" w:rsidP="00000000" w:rsidRDefault="00000000" w:rsidRPr="00000000" w14:paraId="000000F3">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F4">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Llevar los registros contables, financieros y administrativos</w:t>
      </w:r>
      <w:r w:rsidDel="00000000" w:rsidR="00000000" w:rsidRPr="00000000">
        <w:rPr>
          <w:rFonts w:ascii="Palatino Linotype" w:cs="Palatino Linotype" w:eastAsia="Palatino Linotype" w:hAnsi="Palatino Linotype"/>
          <w:i w:val="1"/>
          <w:rtl w:val="0"/>
        </w:rPr>
        <w:t xml:space="preserve"> de los ingresos, </w:t>
      </w:r>
      <w:r w:rsidDel="00000000" w:rsidR="00000000" w:rsidRPr="00000000">
        <w:rPr>
          <w:rFonts w:ascii="Palatino Linotype" w:cs="Palatino Linotype" w:eastAsia="Palatino Linotype" w:hAnsi="Palatino Linotype"/>
          <w:b w:val="1"/>
          <w:i w:val="1"/>
          <w:u w:val="single"/>
          <w:rtl w:val="0"/>
        </w:rPr>
        <w:t xml:space="preserve">egresos</w:t>
      </w:r>
      <w:r w:rsidDel="00000000" w:rsidR="00000000" w:rsidRPr="00000000">
        <w:rPr>
          <w:rFonts w:ascii="Palatino Linotype" w:cs="Palatino Linotype" w:eastAsia="Palatino Linotype" w:hAnsi="Palatino Linotype"/>
          <w:i w:val="1"/>
          <w:rtl w:val="0"/>
        </w:rPr>
        <w:t xml:space="preserve">, e inventarios;”</w:t>
      </w:r>
    </w:p>
    <w:p w:rsidR="00000000" w:rsidDel="00000000" w:rsidP="00000000" w:rsidRDefault="00000000" w:rsidRPr="00000000" w14:paraId="000000F5">
      <w:pPr>
        <w:spacing w:after="0" w:line="24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F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000000" w:rsidDel="00000000" w:rsidP="00000000" w:rsidRDefault="00000000" w:rsidRPr="00000000" w14:paraId="000000F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9">
      <w:pPr>
        <w:widowControl w:val="0"/>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rsidR="00000000" w:rsidDel="00000000" w:rsidP="00000000" w:rsidRDefault="00000000" w:rsidRPr="00000000" w14:paraId="000000FA">
      <w:pPr>
        <w:widowControl w:val="0"/>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spacing w:after="0"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342.-</w:t>
      </w:r>
      <w:r w:rsidDel="00000000" w:rsidR="00000000" w:rsidRPr="00000000">
        <w:rPr>
          <w:rFonts w:ascii="Palatino Linotype" w:cs="Palatino Linotype" w:eastAsia="Palatino Linotype" w:hAnsi="Palatino Linotype"/>
          <w:i w:val="1"/>
          <w:rtl w:val="0"/>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rsidR="00000000" w:rsidDel="00000000" w:rsidP="00000000" w:rsidRDefault="00000000" w:rsidRPr="00000000" w14:paraId="000000FC">
      <w:pPr>
        <w:spacing w:after="0" w:lineRule="auto"/>
        <w:ind w:left="851" w:right="85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FD">
      <w:pPr>
        <w:spacing w:after="0"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343.-</w:t>
      </w:r>
      <w:r w:rsidDel="00000000" w:rsidR="00000000" w:rsidRPr="00000000">
        <w:rPr>
          <w:rFonts w:ascii="Palatino Linotype" w:cs="Palatino Linotype" w:eastAsia="Palatino Linotype" w:hAnsi="Palatino Linotype"/>
          <w:i w:val="1"/>
          <w:rtl w:val="0"/>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000000" w:rsidDel="00000000" w:rsidP="00000000" w:rsidRDefault="00000000" w:rsidRPr="00000000" w14:paraId="000000FE">
      <w:pPr>
        <w:spacing w:after="0"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sistema de contabilidad sobre base acumulativa total se sustentará en los postulados básicos y el marco conceptual de la contabilidad gubernamental. </w:t>
      </w:r>
    </w:p>
    <w:p w:rsidR="00000000" w:rsidDel="00000000" w:rsidP="00000000" w:rsidRDefault="00000000" w:rsidRPr="00000000" w14:paraId="000000FF">
      <w:pPr>
        <w:spacing w:after="0"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Del="00000000" w:rsidR="00000000" w:rsidRPr="00000000">
        <w:rPr>
          <w:rFonts w:ascii="Palatino Linotype" w:cs="Palatino Linotype" w:eastAsia="Palatino Linotype" w:hAnsi="Palatino Linotype"/>
          <w:i w:val="1"/>
          <w:rtl w:val="0"/>
        </w:rPr>
        <w:t xml:space="preserve">en el caso de los Municipios se hará por la Tesorería. </w:t>
      </w:r>
    </w:p>
    <w:p w:rsidR="00000000" w:rsidDel="00000000" w:rsidP="00000000" w:rsidRDefault="00000000" w:rsidRPr="00000000" w14:paraId="00000100">
      <w:pPr>
        <w:spacing w:after="0" w:lineRule="auto"/>
        <w:ind w:left="851" w:right="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Derogado. </w:t>
      </w:r>
    </w:p>
    <w:p w:rsidR="00000000" w:rsidDel="00000000" w:rsidP="00000000" w:rsidRDefault="00000000" w:rsidRPr="00000000" w14:paraId="00000101">
      <w:pPr>
        <w:spacing w:after="0"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Del="00000000" w:rsidR="00000000" w:rsidRPr="00000000">
        <w:rPr>
          <w:rFonts w:ascii="Palatino Linotype" w:cs="Palatino Linotype" w:eastAsia="Palatino Linotype" w:hAnsi="Palatino Linotype"/>
          <w:i w:val="1"/>
          <w:rtl w:val="0"/>
        </w:rPr>
        <w:t xml:space="preserve"> a partir del ejercicio presupuestal siguiente al que corresponda, en el caso de los municipios se hará por la Tesorería. </w:t>
      </w:r>
    </w:p>
    <w:p w:rsidR="00000000" w:rsidDel="00000000" w:rsidP="00000000" w:rsidRDefault="00000000" w:rsidRPr="00000000" w14:paraId="00000102">
      <w:pPr>
        <w:spacing w:after="0" w:lineRule="auto"/>
        <w:ind w:left="851" w:right="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3">
      <w:pPr>
        <w:spacing w:after="0"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345.-</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Las Dependencias, Entidades Públicas y unidades administrativas deberán conservar la documentación contable del año en curso y la de ejercicios anteriores cuyas cuentas públicas hayan sido revisadas y fiscalizadas por la Legislatura</w:t>
      </w:r>
      <w:r w:rsidDel="00000000" w:rsidR="00000000" w:rsidRPr="00000000">
        <w:rPr>
          <w:rFonts w:ascii="Palatino Linotype" w:cs="Palatino Linotype" w:eastAsia="Palatino Linotype" w:hAnsi="Palatino Linotype"/>
          <w:i w:val="1"/>
          <w:rtl w:val="0"/>
        </w:rPr>
        <w:t xml:space="preserve">, la remitirán en un plazo que no excederá de seis meses al Archivo Contable Gubernamental. </w:t>
      </w:r>
      <w:r w:rsidDel="00000000" w:rsidR="00000000" w:rsidRPr="00000000">
        <w:rPr>
          <w:rFonts w:ascii="Palatino Linotype" w:cs="Palatino Linotype" w:eastAsia="Palatino Linotype" w:hAnsi="Palatino Linotype"/>
          <w:b w:val="1"/>
          <w:i w:val="1"/>
          <w:rtl w:val="0"/>
        </w:rPr>
        <w:t xml:space="preserve">Tratándose de los comprobantes fiscales digitales, estos deberán estar agregados en forma electrónica en cada póliza de registro contable</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04">
      <w:pPr>
        <w:spacing w:after="0"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plazo señalado en el párrafo anterior, empezará a contar a partir de la publicación en el Periódico Oficial, del decreto correspondiente. “(Sic) </w:t>
      </w:r>
    </w:p>
    <w:p w:rsidR="00000000" w:rsidDel="00000000" w:rsidP="00000000" w:rsidRDefault="00000000" w:rsidRPr="00000000" w14:paraId="00000105">
      <w:pPr>
        <w:spacing w:after="0" w:lineRule="auto"/>
        <w:ind w:left="851" w:right="85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6">
      <w:pPr>
        <w:tabs>
          <w:tab w:val="left" w:leader="none" w:pos="426"/>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 </w:t>
      </w:r>
    </w:p>
    <w:p w:rsidR="00000000" w:rsidDel="00000000" w:rsidP="00000000" w:rsidRDefault="00000000" w:rsidRPr="00000000" w14:paraId="00000107">
      <w:pPr>
        <w:tabs>
          <w:tab w:val="left" w:leader="none" w:pos="426"/>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8">
      <w:pPr>
        <w:tabs>
          <w:tab w:val="left" w:leader="none" w:pos="426"/>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mayor abundamiento, el artículo 92 fracción II del Bando Municipal de Toluca establece: </w:t>
      </w:r>
    </w:p>
    <w:p w:rsidR="00000000" w:rsidDel="00000000" w:rsidP="00000000" w:rsidRDefault="00000000" w:rsidRPr="00000000" w14:paraId="00000109">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A">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92</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B">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La persona titular de la </w:t>
      </w:r>
      <w:r w:rsidDel="00000000" w:rsidR="00000000" w:rsidRPr="00000000">
        <w:rPr>
          <w:rFonts w:ascii="Palatino Linotype" w:cs="Palatino Linotype" w:eastAsia="Palatino Linotype" w:hAnsi="Palatino Linotype"/>
          <w:b w:val="1"/>
          <w:i w:val="1"/>
          <w:u w:val="single"/>
          <w:rtl w:val="0"/>
        </w:rPr>
        <w:t xml:space="preserve">Tesorería Municipal es responsable de la administración y control de los recursos financieros del municipio</w:t>
      </w:r>
      <w:r w:rsidDel="00000000" w:rsidR="00000000" w:rsidRPr="00000000">
        <w:rPr>
          <w:rFonts w:ascii="Palatino Linotype" w:cs="Palatino Linotype" w:eastAsia="Palatino Linotype" w:hAnsi="Palatino Linotype"/>
          <w:i w:val="1"/>
          <w:rtl w:val="0"/>
        </w:rPr>
        <w:t xml:space="preserve">, asegurando el cumplimiento de las disposiciones fiscales y presupuestales. Sus funciones incluyen la recaudación, fiscalización y administración de ingresos municipales, así como la elaboración y supervisión de los informes financieros y la cuenta pública. Además, coordina la aplicación de políticas de racionalidad y austeridad presupuestal, </w:t>
      </w:r>
      <w:r w:rsidDel="00000000" w:rsidR="00000000" w:rsidRPr="00000000">
        <w:rPr>
          <w:rFonts w:ascii="Palatino Linotype" w:cs="Palatino Linotype" w:eastAsia="Palatino Linotype" w:hAnsi="Palatino Linotype"/>
          <w:b w:val="1"/>
          <w:i w:val="1"/>
          <w:rtl w:val="0"/>
        </w:rPr>
        <w:t xml:space="preserve">otorga suficiencia presupuestaria a las dependencias municipales, y gestiona la nómina del personal, garantizando su pago oportuno</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C">
      <w:pPr>
        <w:tabs>
          <w:tab w:val="left" w:leader="none" w:pos="709"/>
        </w:tabs>
        <w:spacing w:after="0"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se advierte que el área que de manera enunciativa más no limitativa puede o debe contar con el monto pagado a los servidores público que causaron baja, derivado de las competencias y funciones que se señalan, es la Tesorería Municipal. </w:t>
      </w:r>
    </w:p>
    <w:p w:rsidR="00000000" w:rsidDel="00000000" w:rsidP="00000000" w:rsidRDefault="00000000" w:rsidRPr="00000000" w14:paraId="0000010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referir, que los artículos 95 y 251 de la Ley del Trabajo de los Servidores Públicos del Estado y Municipios en el último párrafo establecen: </w:t>
      </w:r>
    </w:p>
    <w:p w:rsidR="00000000" w:rsidDel="00000000" w:rsidP="00000000" w:rsidRDefault="00000000" w:rsidRPr="00000000" w14:paraId="0000011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95</w:t>
      </w:r>
      <w:r w:rsidDel="00000000" w:rsidR="00000000" w:rsidRPr="00000000">
        <w:rPr>
          <w:rFonts w:ascii="Palatino Linotype" w:cs="Palatino Linotype" w:eastAsia="Palatino Linotype" w:hAnsi="Palatino Linotype"/>
          <w:i w:val="1"/>
          <w:rtl w:val="0"/>
        </w:rPr>
        <w:t xml:space="preserve">. Son causas de rescisión de la relación laboral, sin responsabilidad para el servidor público:</w:t>
      </w:r>
    </w:p>
    <w:p w:rsidR="00000000" w:rsidDel="00000000" w:rsidP="00000000" w:rsidRDefault="00000000" w:rsidRPr="00000000" w14:paraId="0000011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3">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Para el pago de cualquier indemnización que se genere por las relaciones laborales entre las instituciones o dependencias y sus servidores públicos señaladas en esta ley no generarán ningún tipo de interés.” </w:t>
      </w:r>
      <w:r w:rsidDel="00000000" w:rsidR="00000000" w:rsidRPr="00000000">
        <w:rPr>
          <w:rtl w:val="0"/>
        </w:rPr>
      </w:r>
    </w:p>
    <w:p w:rsidR="00000000" w:rsidDel="00000000" w:rsidP="00000000" w:rsidRDefault="00000000" w:rsidRPr="00000000" w14:paraId="0000011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251.-</w:t>
      </w:r>
      <w:r w:rsidDel="00000000" w:rsidR="00000000" w:rsidRPr="00000000">
        <w:rPr>
          <w:rFonts w:ascii="Palatino Linotype" w:cs="Palatino Linotype" w:eastAsia="Palatino Linotype" w:hAnsi="Palatino Linotype"/>
          <w:i w:val="1"/>
          <w:rtl w:val="0"/>
        </w:rPr>
        <w:t xml:space="preserve"> Siempre que en ejecución de un laudo o convenio, deba entregarse una suma de dinero o el cumplimiento de un derecho al servidor público, el Presidente cuidará que se le otorgue personalmente.</w:t>
      </w:r>
    </w:p>
    <w:p w:rsidR="00000000" w:rsidDel="00000000" w:rsidP="00000000" w:rsidRDefault="00000000" w:rsidRPr="00000000" w14:paraId="00000115">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titulares de las instituciones o dependencias y los sujetos a esta ley, se atendrán a lo dispuesto por los laudos y convenios, ordenando, en su caso el pago de las indemnizaciones sueldos o cualquier prestación en dinero que se determine en ellos, previo el establecimiento de una partida presupuestal específica para la liquidación respectiva”</w:t>
      </w:r>
    </w:p>
    <w:p w:rsidR="00000000" w:rsidDel="00000000" w:rsidP="00000000" w:rsidRDefault="00000000" w:rsidRPr="00000000" w14:paraId="00000117">
      <w:pPr>
        <w:spacing w:after="0"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robustecer lo anterior, no obsta mencionar que de conformidad con el artículo 23, segundo párrafo de la Ley de Transparencia y Acceso a la Información Pública del Estado de México y Municipios, los Sujetos Obligados deberán hacer pública toda aquella información relativa a los montos y las personas a quienes entreguen, por cualquier motivo, recursos públicos, en virtud de que su acceso permite transparentar la aplicación de los recursos públicos que son otorgados para el cumplimiento de sus funciones.</w:t>
      </w:r>
    </w:p>
    <w:p w:rsidR="00000000" w:rsidDel="00000000" w:rsidP="00000000" w:rsidRDefault="00000000" w:rsidRPr="00000000" w14:paraId="0000011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precisa que, quién dio respuesta a la solicitud es la Dirección General de Administración, Secretaría Particular de Presidencia y Secretaría del Ayuntamiento, sin que se advierta algún pronunciamiento de la Tesorería Municipal; por lo que no se siguió el procedimiento para la atención a las solicitudes de acceso a la información, establecido en los artículos 151, 160, 162, 163, 164, 165 y 166, de la Ley de Transparencia y Acceso a la Información Pública del Estado de México y Municipios: </w:t>
      </w:r>
    </w:p>
    <w:p w:rsidR="00000000" w:rsidDel="00000000" w:rsidP="00000000" w:rsidRDefault="00000000" w:rsidRPr="00000000" w14:paraId="0000011B">
      <w:pPr>
        <w:spacing w:after="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rsidR="00000000" w:rsidDel="00000000" w:rsidP="00000000" w:rsidRDefault="00000000" w:rsidRPr="00000000" w14:paraId="0000011C">
      <w:pPr>
        <w:spacing w:after="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 respuesta a los requerimientos informativos, deberá notificarse al interesado en el menor tiempo posible, que no podrá exceder de quince días hábiles, contados a partir del día siguiente a la presentación de esta.  </w:t>
      </w:r>
    </w:p>
    <w:p w:rsidR="00000000" w:rsidDel="00000000" w:rsidP="00000000" w:rsidRDefault="00000000" w:rsidRPr="00000000" w14:paraId="0000011D">
      <w:pPr>
        <w:spacing w:after="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Excepcionalmente, el plazo referido podrá ampliarse por siete días hábiles más, cuando existan razones fundadas y motivadas, a través del Comité de Transparencia; </w:t>
      </w:r>
    </w:p>
    <w:p w:rsidR="00000000" w:rsidDel="00000000" w:rsidP="00000000" w:rsidRDefault="00000000" w:rsidRPr="00000000" w14:paraId="0000011E">
      <w:pPr>
        <w:spacing w:after="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000000" w:rsidDel="00000000" w:rsidP="00000000" w:rsidRDefault="00000000" w:rsidRPr="00000000" w14:paraId="0000011F">
      <w:pPr>
        <w:spacing w:after="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000000" w:rsidDel="00000000" w:rsidP="00000000" w:rsidRDefault="00000000" w:rsidRPr="00000000" w14:paraId="00000120">
      <w:pPr>
        <w:spacing w:after="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se reitera que la Tesorería Municipal es la unidad administrativa competente para generar, administrar y poseer la información referente a los montos erogados del Ayuntamiento. </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bookmarkStart w:colFirst="0" w:colLast="0" w:name="_heading=h.26in1rg" w:id="1"/>
      <w:bookmarkEnd w:id="1"/>
      <w:r w:rsidDel="00000000" w:rsidR="00000000" w:rsidRPr="00000000">
        <w:rPr>
          <w:rFonts w:ascii="Palatino Linotype" w:cs="Palatino Linotype" w:eastAsia="Palatino Linotype" w:hAnsi="Palatino Linotype"/>
          <w:rtl w:val="0"/>
        </w:rPr>
        <w:t xml:space="preserve">Respecto al número, nombre y área de adscripción del personal dado de baja, así como, la relación que guarda el Ayuntamiento con el despacho externo encargado por la Lic. Alma Merino, en su caso, contrato o convenio de la prestación de servicios, las personas que lo integran y si las mismas están dadas de alta como servidores públicos; resulta importante destacar que si bien es cierto que, la unidad administrativa competente dio puntual respuesta en la que manifestó que después de una búsqueda exhaustiva y razonable en los archivos que guarda el Departamento de Nóminas, no se encontró registro alguno de lo solicitado; también lo es que, a consideración de este Órgano Garante no se realizó adecuadamente el proceso de búsqueda de la información, ya que no se aportaron los medios de convicción que permitan advertir que en efecto se llevó a cabo la búsqueda de la misma, como lo puede ser de manera enunciativa más no limitativa: indicar los archivos físicos y/o electrónicos en los que se efectuó la búsqueda.</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ya que es de recordar que la búsqueda exhaustiva de la información es considerada una actividad necesaria e indispensable para la correcta atención de las solicitudes de información que permite la localización de aquella documentación requerida por el solicitante; por lo que, el indicar los archivos en donde se efectuó la búsqueda constituye un elemento necesario que permite a este Instituto tener la certeza de que la información se trató de localizar.</w:t>
      </w:r>
    </w:p>
    <w:p w:rsidR="00000000" w:rsidDel="00000000" w:rsidP="00000000" w:rsidRDefault="00000000" w:rsidRPr="00000000" w14:paraId="0000012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ocasiona que en el caso no se cumpliera con el principio de búsqueda exhaustiva de la información requerida, cuyo alcance se encuentra establecido en el Criterio Reiterado 02/19 emitido por el Pleno de este Organismo Garante, a saber:</w:t>
      </w:r>
    </w:p>
    <w:p w:rsidR="00000000" w:rsidDel="00000000" w:rsidP="00000000" w:rsidRDefault="00000000" w:rsidRPr="00000000" w14:paraId="0000012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Del="00000000" w:rsidR="00000000" w:rsidRPr="00000000">
        <w:rPr>
          <w:rFonts w:ascii="Palatino Linotype" w:cs="Palatino Linotype" w:eastAsia="Palatino Linotype" w:hAnsi="Palatino Linotype"/>
          <w:i w:val="1"/>
          <w:rtl w:val="0"/>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rsidR="00000000" w:rsidDel="00000000" w:rsidP="00000000" w:rsidRDefault="00000000" w:rsidRPr="00000000" w14:paraId="0000012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C">
      <w:pPr>
        <w:spacing w:after="0" w:line="360" w:lineRule="auto"/>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Asimismo, se considera que en el caso el pronunciamiento del servidor público habilitado competente, tampoco cumplió con los principios de congruencia y exhaustividad, en virtud de que la respuesta no fue clara, pues el servidor público habilitado competente además de que no indicó los archivos en donde procedió a realizar la búsqueda de la información, únicamente se limitó a señalar que no se encontró registro alguno de lo solicitado, si</w:t>
      </w:r>
      <w:r w:rsidDel="00000000" w:rsidR="00000000" w:rsidRPr="00000000">
        <w:rPr>
          <w:rFonts w:ascii="Palatino Linotype" w:cs="Palatino Linotype" w:eastAsia="Palatino Linotype" w:hAnsi="Palatino Linotype"/>
          <w:b w:val="1"/>
          <w:u w:val="single"/>
          <w:rtl w:val="0"/>
        </w:rPr>
        <w:t xml:space="preserve">n precisar las razones por las que arribó a esa conclusión.</w:t>
      </w:r>
    </w:p>
    <w:p w:rsidR="00000000" w:rsidDel="00000000" w:rsidP="00000000" w:rsidRDefault="00000000" w:rsidRPr="00000000" w14:paraId="0000012D">
      <w:pPr>
        <w:spacing w:after="0" w:line="360" w:lineRule="auto"/>
        <w:jc w:val="both"/>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12E">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Lo anterior, ya que el ente público no indicó las razones por las que no se cuenta con el nombre y área de adscripción del personal dado de baja, así como, la relación que guarda el Ayuntamiento con el despacho externo encargado por la Lic. Alma Merino, en su caso, contrato o convenio de la prestación de servicios, las personas que lo integran y si las mismas están dadas de alta como servidores públicos, generando incertidumbre al particular por desconocer la causa por la que no se cuenta con las mismas, es decir, no se indica si no se cuenta con dicha información porque no se generaron o, porque habiéndolas generado, por alguna circunstancia en particular no obra en los archivos 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2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resulta aplicable el Criterio orientador 02/17 emitido por el Peno del entonces Instituto Nacional de Transparencia y Acceso a la Información y Protección de Datos Personales, de título y texto siguientes:</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rtl w:val="0"/>
        </w:rPr>
        <w:t xml:space="preserve">; mientras que </w:t>
      </w:r>
      <w:r w:rsidDel="00000000" w:rsidR="00000000" w:rsidRPr="00000000">
        <w:rPr>
          <w:rFonts w:ascii="Palatino Linotype" w:cs="Palatino Linotype" w:eastAsia="Palatino Linotype" w:hAnsi="Palatino Linotype"/>
          <w:b w:val="1"/>
          <w:i w:val="1"/>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13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la respuesta proporcionada a los requerimientos en análisis no cumplen con los principios de búsqueda exhaustiva, congruencia y exhaustividad. De ahí que, para colmar dichos requerimientos,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deberá realizar una nueva búsqueda de la información dentro de sus archivos tanto físicos como digitales y hacer entrega, de ser procedente en versión pública, del o los documentos que den cuenta de lo siguiente:</w:t>
      </w:r>
    </w:p>
    <w:p w:rsidR="00000000" w:rsidDel="00000000" w:rsidP="00000000" w:rsidRDefault="00000000" w:rsidRPr="00000000" w14:paraId="0000013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número y nombre de ex servidores públicos que causaron baja el treinta y uno de diciembre de dos mil veintiuno, a los que les liquido la administración 2022-2024, las quincenas, aguinaldo y prima vacacional adeudadas. </w:t>
      </w:r>
    </w:p>
    <w:p w:rsidR="00000000" w:rsidDel="00000000" w:rsidP="00000000" w:rsidRDefault="00000000" w:rsidRPr="00000000" w14:paraId="0000013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El número, nombre y área de adscripción de los servidores públicos que causaron baja el pasado 31 de diciembre de 2021 y 31 de diciembre 2024, </w:t>
      </w:r>
    </w:p>
    <w:p w:rsidR="00000000" w:rsidDel="00000000" w:rsidP="00000000" w:rsidRDefault="00000000" w:rsidRPr="00000000" w14:paraId="0000013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Monto que se les adeuda por concepto de quincenas, aguinaldo y prima vacacional de las administraciones 2019-2021 y 2022-2024.</w:t>
      </w:r>
    </w:p>
    <w:p w:rsidR="00000000" w:rsidDel="00000000" w:rsidP="00000000" w:rsidRDefault="00000000" w:rsidRPr="00000000" w14:paraId="0000013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Relación Laboral que guarda la actual administración con el despacho externo encargado por la persona referida en la solicitud, en su caso, contrato o convenio de prestación de servicios, </w:t>
      </w:r>
    </w:p>
    <w:p w:rsidR="00000000" w:rsidDel="00000000" w:rsidP="00000000" w:rsidRDefault="00000000" w:rsidRPr="00000000" w14:paraId="0000013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Las Personas que forman parte del despacho externo, autorizadas para prestar sus servicios al Ayuntamiento de Toluca, al siete de marzo de dos mil veinticinco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caso de que la información que se ordena entregar en los incisos d) y e), no obre en los archivos del Sujeto Obligado, por no contar con alguna relación laboral con el despacho externo, este deberá hacerlo del conocimiento del Particular en términos del artículo 19, párrafo segundo, de la Ley de Transparencia y Acceso a la Información Pública del Estado de México y Municipios, para tenerse por colmado dicho requerimiento.</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respecto a los requerimientos marcados con los numerales </w:t>
      </w:r>
      <w:r w:rsidDel="00000000" w:rsidR="00000000" w:rsidRPr="00000000">
        <w:rPr>
          <w:rFonts w:ascii="Palatino Linotype" w:cs="Palatino Linotype" w:eastAsia="Palatino Linotype" w:hAnsi="Palatino Linotype"/>
          <w:b w:val="1"/>
          <w:rtl w:val="0"/>
        </w:rPr>
        <w:t xml:space="preserve">4 y 5</w:t>
      </w:r>
      <w:r w:rsidDel="00000000" w:rsidR="00000000" w:rsidRPr="00000000">
        <w:rPr>
          <w:rFonts w:ascii="Palatino Linotype" w:cs="Palatino Linotype" w:eastAsia="Palatino Linotype" w:hAnsi="Palatino Linotype"/>
          <w:rtl w:val="0"/>
        </w:rPr>
        <w:t xml:space="preserve">, referentes a los documentos signados por el Presidente Municipal y el Secretario del Ayuntamiento, dirigidos a la Tesorería Municipal, o en su caso, al área de recursos humanos del sujeto obligado, en los cuales se dé la instrucción de pagar las quincenas, aguinaldo y prima vacacional pendientes de pago del personal que causó baja el 31 de diciembre de 2021 y el 31 de diciembre 2024; el Secretario Particular de Presidencia y el Secretario del Ayuntamiento informaron que después de realizar una búsqueda exhaustiva y razonable dentro de sus archivos físicos y digitales y en atención a sus facultades, competencias y funciones no se localizó expresión documental que, de atención a la pretensión del solicitante, en razón de no haberse, generado, poseído o administrado dicha información; por lo que, se tienen por atendidos dichos requerimiento al existir un pronunciamiento de los servidores públicos solicitados, aunado a que de sus atribuciones no se advierte que se encuentren obligados a conocer o generar la información que es del interés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sin menoscabar el derecho a la protección de los datos personales de terceros.</w:t>
      </w:r>
    </w:p>
    <w:p w:rsidR="00000000" w:rsidDel="00000000" w:rsidP="00000000" w:rsidRDefault="00000000" w:rsidRPr="00000000" w14:paraId="0000013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141">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 “Artículo 3. Para los efectos de la presente Ley se entenderá por:</w:t>
      </w:r>
    </w:p>
    <w:p w:rsidR="00000000" w:rsidDel="00000000" w:rsidP="00000000" w:rsidRDefault="00000000" w:rsidRPr="00000000" w14:paraId="0000014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 Datos personales: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rtl w:val="0"/>
        </w:rPr>
        <w:t xml:space="preserve"> según lo dispuesto por la Ley de Protección de Datos Personales del Estado de México;</w:t>
      </w:r>
    </w:p>
    <w:p w:rsidR="00000000" w:rsidDel="00000000" w:rsidP="00000000" w:rsidRDefault="00000000" w:rsidRPr="00000000" w14:paraId="0000014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 Información clasificada:</w:t>
      </w:r>
      <w:r w:rsidDel="00000000" w:rsidR="00000000" w:rsidRPr="00000000">
        <w:rPr>
          <w:rFonts w:ascii="Palatino Linotype" w:cs="Palatino Linotype" w:eastAsia="Palatino Linotype" w:hAnsi="Palatino Linotype"/>
          <w:i w:val="1"/>
          <w:rtl w:val="0"/>
        </w:rPr>
        <w:t xml:space="preserve"> Aquella considerada por la presente Ley como reservada o confidencial;</w:t>
      </w:r>
    </w:p>
    <w:p w:rsidR="00000000" w:rsidDel="00000000" w:rsidP="00000000" w:rsidRDefault="00000000" w:rsidRPr="00000000" w14:paraId="0000014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XXXII. Protección de Datos Personales:</w:t>
      </w:r>
      <w:r w:rsidDel="00000000" w:rsidR="00000000" w:rsidRPr="00000000">
        <w:rPr>
          <w:rFonts w:ascii="Palatino Linotype" w:cs="Palatino Linotype" w:eastAsia="Palatino Linotype" w:hAnsi="Palatino Linotype"/>
          <w:i w:val="1"/>
          <w:rtl w:val="0"/>
        </w:rPr>
        <w:t xml:space="preserve"> Derecho humano que tutela la privacidad de datos personales en poder de los sujetos obligados y sujetos particulares;</w:t>
      </w:r>
    </w:p>
    <w:p w:rsidR="00000000" w:rsidDel="00000000" w:rsidP="00000000" w:rsidRDefault="00000000" w:rsidRPr="00000000" w14:paraId="0000014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XLV. Versión pública</w:t>
      </w:r>
      <w:r w:rsidDel="00000000" w:rsidR="00000000" w:rsidRPr="00000000">
        <w:rPr>
          <w:rFonts w:ascii="Palatino Linotype" w:cs="Palatino Linotype" w:eastAsia="Palatino Linotype" w:hAnsi="Palatino Linotype"/>
          <w:i w:val="1"/>
          <w:rtl w:val="0"/>
        </w:rPr>
        <w:t xml:space="preserve">: Documento en el que se elimine, suprime o borra la información clasificada como reservada o confidencial para permitir su acceso.”</w:t>
      </w:r>
    </w:p>
    <w:p w:rsidR="00000000" w:rsidDel="00000000" w:rsidP="00000000" w:rsidRDefault="00000000" w:rsidRPr="00000000" w14:paraId="00000146">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w:t>
      </w:r>
      <w:r w:rsidDel="00000000" w:rsidR="00000000" w:rsidRPr="00000000">
        <w:rPr>
          <w:rFonts w:ascii="Palatino Linotype" w:cs="Palatino Linotype" w:eastAsia="Palatino Linotype" w:hAnsi="Palatino Linotype"/>
          <w:i w:val="1"/>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48">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9">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137.</w:t>
      </w:r>
      <w:r w:rsidDel="00000000" w:rsidR="00000000" w:rsidRPr="00000000">
        <w:rPr>
          <w:rFonts w:ascii="Palatino Linotype" w:cs="Palatino Linotype" w:eastAsia="Palatino Linotype" w:hAnsi="Palatino Linotype"/>
          <w:i w:val="1"/>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4A">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4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4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4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4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 </w:t>
      </w:r>
    </w:p>
    <w:p w:rsidR="00000000" w:rsidDel="00000000" w:rsidP="00000000" w:rsidRDefault="00000000" w:rsidRPr="00000000" w14:paraId="0000014F">
      <w:pPr>
        <w:spacing w:after="0" w:lineRule="auto"/>
        <w:ind w:left="993"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0">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proceder a testar los datos personales que se encuentren contenidos en los documentos a entregar para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51">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2">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53">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4">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55">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Los Comités de Transparencia</w:t>
      </w:r>
      <w:r w:rsidDel="00000000" w:rsidR="00000000" w:rsidRPr="00000000">
        <w:rPr>
          <w:rFonts w:ascii="Palatino Linotype" w:cs="Palatino Linotype" w:eastAsia="Palatino Linotype" w:hAnsi="Palatino Linotype"/>
          <w:i w:val="1"/>
          <w:rtl w:val="0"/>
        </w:rPr>
        <w:t xml:space="preserve"> tendrán las siguientes atribuciones:</w:t>
      </w:r>
    </w:p>
    <w:p w:rsidR="00000000" w:rsidDel="00000000" w:rsidP="00000000" w:rsidRDefault="00000000" w:rsidRPr="00000000" w14:paraId="0000015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53.</w:t>
      </w:r>
      <w:r w:rsidDel="00000000" w:rsidR="00000000" w:rsidRPr="00000000">
        <w:rPr>
          <w:rFonts w:ascii="Palatino Linotype" w:cs="Palatino Linotype" w:eastAsia="Palatino Linotype" w:hAnsi="Palatino Linotype"/>
          <w:i w:val="1"/>
          <w:rtl w:val="0"/>
        </w:rPr>
        <w:t xml:space="preserve"> Las </w:t>
      </w:r>
      <w:r w:rsidDel="00000000" w:rsidR="00000000" w:rsidRPr="00000000">
        <w:rPr>
          <w:rFonts w:ascii="Palatino Linotype" w:cs="Palatino Linotype" w:eastAsia="Palatino Linotype" w:hAnsi="Palatino Linotype"/>
          <w:b w:val="1"/>
          <w:i w:val="1"/>
          <w:rtl w:val="0"/>
        </w:rPr>
        <w:t xml:space="preserve">Unidades de Transparencia</w:t>
      </w:r>
      <w:r w:rsidDel="00000000" w:rsidR="00000000" w:rsidRPr="00000000">
        <w:rPr>
          <w:rFonts w:ascii="Palatino Linotype" w:cs="Palatino Linotype" w:eastAsia="Palatino Linotype" w:hAnsi="Palatino Linotype"/>
          <w:i w:val="1"/>
          <w:rtl w:val="0"/>
        </w:rPr>
        <w:t xml:space="preserve"> tendrán las siguientes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5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Los </w:t>
      </w:r>
      <w:r w:rsidDel="00000000" w:rsidR="00000000" w:rsidRPr="00000000">
        <w:rPr>
          <w:rFonts w:ascii="Palatino Linotype" w:cs="Palatino Linotype" w:eastAsia="Palatino Linotype" w:hAnsi="Palatino Linotype"/>
          <w:b w:val="1"/>
          <w:i w:val="1"/>
          <w:rtl w:val="0"/>
        </w:rPr>
        <w:t xml:space="preserve">servidores públicos habilitados</w:t>
      </w:r>
      <w:r w:rsidDel="00000000" w:rsidR="00000000" w:rsidRPr="00000000">
        <w:rPr>
          <w:rFonts w:ascii="Palatino Linotype" w:cs="Palatino Linotype" w:eastAsia="Palatino Linotype" w:hAnsi="Palatino Linotype"/>
          <w:i w:val="1"/>
          <w:rtl w:val="0"/>
        </w:rPr>
        <w:t xml:space="preserve"> tendrán las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 siguientes:</w:t>
      </w:r>
    </w:p>
    <w:p w:rsidR="00000000" w:rsidDel="00000000" w:rsidP="00000000" w:rsidRDefault="00000000" w:rsidRPr="00000000" w14:paraId="0000015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rtl w:val="0"/>
        </w:rPr>
        <w:t xml:space="preserve">, la cual tendrá los fundamentos y argumentos en que se basa dicha propuesta…” </w:t>
      </w:r>
    </w:p>
    <w:p w:rsidR="00000000" w:rsidDel="00000000" w:rsidP="00000000" w:rsidRDefault="00000000" w:rsidRPr="00000000" w14:paraId="0000015C">
      <w:pPr>
        <w:spacing w:after="0" w:lineRule="auto"/>
        <w:ind w:left="992" w:right="10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5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60">
      <w:pPr>
        <w:spacing w:after="0" w:lineRule="auto"/>
        <w:ind w:left="993"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6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149.</w:t>
      </w:r>
      <w:r w:rsidDel="00000000" w:rsidR="00000000" w:rsidRPr="00000000">
        <w:rPr>
          <w:rFonts w:ascii="Palatino Linotype" w:cs="Palatino Linotype" w:eastAsia="Palatino Linotype" w:hAnsi="Palatino Linotype"/>
          <w:i w:val="1"/>
          <w:rtl w:val="0"/>
        </w:rPr>
        <w:t xml:space="preserve"> El </w:t>
      </w:r>
      <w:r w:rsidDel="00000000" w:rsidR="00000000" w:rsidRPr="00000000">
        <w:rPr>
          <w:rFonts w:ascii="Palatino Linotype" w:cs="Palatino Linotype" w:eastAsia="Palatino Linotype" w:hAnsi="Palatino Linotype"/>
          <w:b w:val="1"/>
          <w:i w:val="1"/>
          <w:rtl w:val="0"/>
        </w:rPr>
        <w:t xml:space="preserve">acuerdo que clasifique la información como confidencial</w:t>
      </w:r>
      <w:r w:rsidDel="00000000" w:rsidR="00000000" w:rsidRPr="00000000">
        <w:rPr>
          <w:rFonts w:ascii="Palatino Linotype" w:cs="Palatino Linotype" w:eastAsia="Palatino Linotype" w:hAnsi="Palatino Linotype"/>
          <w:i w:val="1"/>
          <w:rtl w:val="0"/>
        </w:rPr>
        <w:t xml:space="preserve"> deberá contener un razonamiento lógico en el que demuestre que la información se encuentra en alguna o algunas de las hipótesis previstas en la presente Ley.”</w:t>
      </w:r>
    </w:p>
    <w:p w:rsidR="00000000" w:rsidDel="00000000" w:rsidP="00000000" w:rsidRDefault="00000000" w:rsidRPr="00000000" w14:paraId="00000162">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3">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6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se destaca que la versión pública que elabore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66">
      <w:pPr>
        <w:spacing w:after="0" w:lineRule="auto"/>
        <w:ind w:left="709" w:right="709"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Segundo.-</w:t>
      </w:r>
      <w:r w:rsidDel="00000000" w:rsidR="00000000" w:rsidRPr="00000000">
        <w:rPr>
          <w:rFonts w:ascii="Palatino Linotype" w:cs="Palatino Linotype" w:eastAsia="Palatino Linotype" w:hAnsi="Palatino Linotype"/>
          <w:i w:val="1"/>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XVIII.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Versión pública:</w:t>
      </w:r>
      <w:r w:rsidDel="00000000" w:rsidR="00000000" w:rsidRPr="00000000">
        <w:rPr>
          <w:rFonts w:ascii="Palatino Linotype" w:cs="Palatino Linotype" w:eastAsia="Palatino Linotype" w:hAnsi="Palatino Linotype"/>
          <w:i w:val="1"/>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u w:val="single"/>
          <w:rtl w:val="0"/>
        </w:rPr>
        <w:t xml:space="preserve">fundando y motivando la</w:t>
      </w:r>
      <w:r w:rsidDel="00000000" w:rsidR="00000000" w:rsidRPr="00000000">
        <w:rPr>
          <w:rFonts w:ascii="Palatino Linotype" w:cs="Palatino Linotype" w:eastAsia="Palatino Linotype" w:hAnsi="Palatino Linotype"/>
          <w:i w:val="1"/>
          <w:rtl w:val="0"/>
        </w:rPr>
        <w:t xml:space="preserve"> reserva o </w:t>
      </w:r>
      <w:r w:rsidDel="00000000" w:rsidR="00000000" w:rsidRPr="00000000">
        <w:rPr>
          <w:rFonts w:ascii="Palatino Linotype" w:cs="Palatino Linotype" w:eastAsia="Palatino Linotype" w:hAnsi="Palatino Linotype"/>
          <w:b w:val="1"/>
          <w:i w:val="1"/>
          <w:u w:val="single"/>
          <w:rtl w:val="0"/>
        </w:rPr>
        <w:t xml:space="preserve">confidencialidad</w:t>
      </w:r>
      <w:r w:rsidDel="00000000" w:rsidR="00000000" w:rsidRPr="00000000">
        <w:rPr>
          <w:rFonts w:ascii="Palatino Linotype" w:cs="Palatino Linotype" w:eastAsia="Palatino Linotype" w:hAnsi="Palatino Linotype"/>
          <w:i w:val="1"/>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Cuarto.</w:t>
      </w:r>
      <w:r w:rsidDel="00000000" w:rsidR="00000000" w:rsidRPr="00000000">
        <w:rPr>
          <w:rFonts w:ascii="Palatino Linotype" w:cs="Palatino Linotype" w:eastAsia="Palatino Linotype" w:hAnsi="Palatino Linotype"/>
          <w:i w:val="1"/>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Quinto.</w:t>
      </w:r>
      <w:r w:rsidDel="00000000" w:rsidR="00000000" w:rsidRPr="00000000">
        <w:rPr>
          <w:rFonts w:ascii="Palatino Linotype" w:cs="Palatino Linotype" w:eastAsia="Palatino Linotype" w:hAnsi="Palatino Linotype"/>
          <w:i w:val="1"/>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Séptimo.</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reciba una solicitud de acceso a la información;</w:t>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Se  determine mediante resolución del Comité de Transparencia, el órgano garante </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Octavo.</w:t>
      </w:r>
      <w:r w:rsidDel="00000000" w:rsidR="00000000" w:rsidRPr="00000000">
        <w:rPr>
          <w:rFonts w:ascii="Palatino Linotype" w:cs="Palatino Linotype" w:eastAsia="Palatino Linotype" w:hAnsi="Palatino Linotype"/>
          <w:i w:val="1"/>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Noveno.</w:t>
      </w:r>
      <w:r w:rsidDel="00000000" w:rsidR="00000000" w:rsidRPr="00000000">
        <w:rPr>
          <w:rFonts w:ascii="Palatino Linotype" w:cs="Palatino Linotype" w:eastAsia="Palatino Linotype" w:hAnsi="Palatino Linotype"/>
          <w:i w:val="1"/>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Décimo.</w:t>
      </w:r>
      <w:r w:rsidDel="00000000" w:rsidR="00000000" w:rsidRPr="00000000">
        <w:rPr>
          <w:rFonts w:ascii="Palatino Linotype" w:cs="Palatino Linotype" w:eastAsia="Palatino Linotype" w:hAnsi="Palatino Linotype"/>
          <w:i w:val="1"/>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Décimo primero.</w:t>
      </w:r>
      <w:r w:rsidDel="00000000" w:rsidR="00000000" w:rsidRPr="00000000">
        <w:rPr>
          <w:rFonts w:ascii="Palatino Linotype" w:cs="Palatino Linotype" w:eastAsia="Palatino Linotype" w:hAnsi="Palatino Linotype"/>
          <w:i w:val="1"/>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Rule="auto"/>
        <w:ind w:left="851" w:right="843"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CAPÍTULO VIII</w:t>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Rule="auto"/>
        <w:ind w:left="851" w:right="843"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LOS ELEMENTOS PARA LA CLASIFICACIÓN</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r w:rsidDel="00000000" w:rsidR="00000000" w:rsidRPr="00000000">
        <w:rPr>
          <w:rtl w:val="0"/>
        </w:rPr>
      </w:r>
    </w:p>
    <w:p w:rsidR="00000000" w:rsidDel="00000000" w:rsidP="00000000" w:rsidRDefault="00000000" w:rsidRPr="00000000" w14:paraId="00000194">
      <w:pPr>
        <w:spacing w:after="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5">
      <w:pPr>
        <w:spacing w:after="0" w:line="360" w:lineRule="auto"/>
        <w:jc w:val="both"/>
        <w:rPr>
          <w:rFonts w:ascii="Palatino Linotype" w:cs="Palatino Linotype" w:eastAsia="Palatino Linotype" w:hAnsi="Palatino Linotype"/>
        </w:rPr>
      </w:pPr>
      <w:bookmarkStart w:colFirst="0" w:colLast="0" w:name="_heading=h.lnxbz9" w:id="2"/>
      <w:bookmarkEnd w:id="2"/>
      <w:r w:rsidDel="00000000" w:rsidR="00000000" w:rsidRPr="00000000">
        <w:rPr>
          <w:rFonts w:ascii="Palatino Linotype" w:cs="Palatino Linotype" w:eastAsia="Palatino Linotype" w:hAnsi="Palatino Linotype"/>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9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debemos tener en cuenta que derivado de la naturaleza de la información que se entregará, es necesario realizar las siguientes precisiones respecto a datos que pudieran obrar en la documentación y son susceptibles de clasificación:</w:t>
      </w:r>
    </w:p>
    <w:p w:rsidR="00000000" w:rsidDel="00000000" w:rsidP="00000000" w:rsidRDefault="00000000" w:rsidRPr="00000000" w14:paraId="0000019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al </w:t>
      </w:r>
      <w:r w:rsidDel="00000000" w:rsidR="00000000" w:rsidRPr="00000000">
        <w:rPr>
          <w:rFonts w:ascii="Palatino Linotype" w:cs="Palatino Linotype" w:eastAsia="Palatino Linotype" w:hAnsi="Palatino Linotype"/>
          <w:b w:val="1"/>
          <w:u w:val="single"/>
          <w:rtl w:val="0"/>
        </w:rPr>
        <w:t xml:space="preserve">Registro Federal de Contribuyentes, RFC</w:t>
      </w:r>
      <w:r w:rsidDel="00000000" w:rsidR="00000000" w:rsidRPr="00000000">
        <w:rPr>
          <w:rFonts w:ascii="Palatino Linotype" w:cs="Palatino Linotype" w:eastAsia="Palatino Linotype" w:hAnsi="Palatino Linotype"/>
          <w:rtl w:val="0"/>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compartido por el entonces Instituto Nacional de Transparencia, Acceso a la Información y Protección de Datos Personales, INAI, a través del Criterio orientador 19/17, el cual es del tenor literal siguiente:</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“Registro Federal de Contribuyentes (RFC) de personas físicas. El RFC es una clave de carácter fiscal, única e irrepetible, que permite identificar al titular, su edad y fecha de nacimiento, por lo que es un dato personal de carácter confidencial.”</w:t>
      </w:r>
      <w:r w:rsidDel="00000000" w:rsidR="00000000" w:rsidRPr="00000000">
        <w:rPr>
          <w:rtl w:val="0"/>
        </w:rPr>
      </w:r>
    </w:p>
    <w:p w:rsidR="00000000" w:rsidDel="00000000" w:rsidP="00000000" w:rsidRDefault="00000000" w:rsidRPr="00000000" w14:paraId="0000019E">
      <w:pPr>
        <w:spacing w:after="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 y por ende, resulta pertinente su clasificación.</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Clave Única de Registro de Personal (CURP)</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es compartido por el entonces Instituto Nacional de Transparencia, Acceso a la Información y Protección de Datos (INAI)</w:t>
      </w:r>
      <w:r w:rsidDel="00000000" w:rsidR="00000000" w:rsidRPr="00000000">
        <w:rPr>
          <w:rFonts w:ascii="Palatino Linotype" w:cs="Palatino Linotype" w:eastAsia="Palatino Linotype" w:hAnsi="Palatino Linotype"/>
          <w:b w:val="1"/>
          <w:rtl w:val="0"/>
        </w:rPr>
        <w:t xml:space="preserve">, conforme al </w:t>
      </w:r>
      <w:r w:rsidDel="00000000" w:rsidR="00000000" w:rsidRPr="00000000">
        <w:rPr>
          <w:rFonts w:ascii="Palatino Linotype" w:cs="Palatino Linotype" w:eastAsia="Palatino Linotype" w:hAnsi="Palatino Linotype"/>
          <w:rtl w:val="0"/>
        </w:rPr>
        <w:t xml:space="preserve">criterio número 18/17, el cual refiere: </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Clave Única de Registro de Población (CURP). </w:t>
      </w:r>
      <w:r w:rsidDel="00000000" w:rsidR="00000000" w:rsidRPr="00000000">
        <w:rPr>
          <w:rFonts w:ascii="Palatino Linotype" w:cs="Palatino Linotype" w:eastAsia="Palatino Linotype" w:hAnsi="Palatino Linotype"/>
          <w:i w:val="1"/>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otro orden de ideas, la información relativa a los números de cuenta bancarios y clabes interbancarias es información confidencial, toda vez que su publicidad no abona a la transparencia y a la rendición de cuentas, sirve de sustento lo dispuesto en el </w:t>
      </w:r>
      <w:r w:rsidDel="00000000" w:rsidR="00000000" w:rsidRPr="00000000">
        <w:rPr>
          <w:rFonts w:ascii="Palatino Linotype" w:cs="Palatino Linotype" w:eastAsia="Palatino Linotype" w:hAnsi="Palatino Linotype"/>
          <w:b w:val="1"/>
          <w:rtl w:val="0"/>
        </w:rPr>
        <w:t xml:space="preserve">criterio 10/17</w:t>
      </w:r>
      <w:r w:rsidDel="00000000" w:rsidR="00000000" w:rsidRPr="00000000">
        <w:rPr>
          <w:rFonts w:ascii="Palatino Linotype" w:cs="Palatino Linotype" w:eastAsia="Palatino Linotype" w:hAnsi="Palatino Linotype"/>
          <w:rtl w:val="0"/>
        </w:rPr>
        <w:t xml:space="preserve"> emitido por el entonces INAI, que es del tenor literal siguiente:</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“Cuentas bancarias y/o CLABE interbancaria de personas físicas y morales privadas. El número de cuenta bancaria y/o CLABE interbancaria de particulares es información confidencial</w:t>
      </w:r>
      <w:r w:rsidDel="00000000" w:rsidR="00000000" w:rsidRPr="00000000">
        <w:rPr>
          <w:rFonts w:ascii="Palatino Linotype" w:cs="Palatino Linotype" w:eastAsia="Palatino Linotype" w:hAnsi="Palatino Linotype"/>
          <w:i w:val="1"/>
          <w:rtl w:val="0"/>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Resoluciones: </w:t>
      </w: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RRA 1276/16 Grupo Aeroportuario de la Ciudad de México. S.A. de C.V. 01 de noviembre de 2016. Por unanimidad. Comisionada Ponente Areli Cano Guadiana.</w:t>
      </w: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RRA 3527/16 Servicio de Administración Tributaria. 07 de diciembre de 2016. Por unanimidad. Comisionada Ponente Ximena Puente de la Mora. ∙ </w:t>
      </w: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RRA 4404/16 Partido del Trabajo. 01 de febrero de 2017. Por unanimidad. Comisionado Ponente Francisco Acuña Llamas.”</w:t>
      </w:r>
      <w:r w:rsidDel="00000000" w:rsidR="00000000" w:rsidRPr="00000000">
        <w:rPr>
          <w:rtl w:val="0"/>
        </w:rPr>
      </w:r>
    </w:p>
    <w:p w:rsidR="00000000" w:rsidDel="00000000" w:rsidP="00000000" w:rsidRDefault="00000000" w:rsidRPr="00000000" w14:paraId="000001AD">
      <w:pPr>
        <w:spacing w:after="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artículo 2°, fracción III, de la Ley General de Títulos y Operaciones de Crédito establece que los actos y las operaciones que regula esta Ley General, se regirán por los usos bancarios y mercantiles, es así que, a manera de contextualización la cuenta bancaria y estado de cuenta se definen como: </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0">
      <w:pPr>
        <w:numPr>
          <w:ilvl w:val="0"/>
          <w:numId w:val="4"/>
        </w:numPr>
        <w:pBdr>
          <w:top w:space="0" w:sz="0" w:val="nil"/>
          <w:left w:space="0" w:sz="0" w:val="nil"/>
          <w:bottom w:space="0" w:sz="0" w:val="nil"/>
          <w:right w:space="0" w:sz="0" w:val="nil"/>
          <w:between w:space="0" w:sz="0" w:val="nil"/>
        </w:pBdr>
        <w:spacing w:after="0"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Cuenta bancaria:</w:t>
      </w:r>
      <w:r w:rsidDel="00000000" w:rsidR="00000000" w:rsidRPr="00000000">
        <w:rPr>
          <w:rFonts w:ascii="Palatino Linotype" w:cs="Palatino Linotype" w:eastAsia="Palatino Linotype" w:hAnsi="Palatino Linotype"/>
          <w:rtl w:val="0"/>
        </w:rPr>
        <w:t xml:space="preserve"> Una cuenta bancaria es un registro que mantiene un banco, en el que guarda dinero y contabiliza todas las entradas y salidas de efectivo, así como los créditos en curso, inversiones y productos relacionados.</w:t>
      </w:r>
    </w:p>
    <w:p w:rsidR="00000000" w:rsidDel="00000000" w:rsidP="00000000" w:rsidRDefault="00000000" w:rsidRPr="00000000" w14:paraId="000001B1">
      <w:pPr>
        <w:numPr>
          <w:ilvl w:val="0"/>
          <w:numId w:val="4"/>
        </w:numPr>
        <w:pBdr>
          <w:top w:space="0" w:sz="0" w:val="nil"/>
          <w:left w:space="0" w:sz="0" w:val="nil"/>
          <w:bottom w:space="0" w:sz="0" w:val="nil"/>
          <w:right w:space="0" w:sz="0" w:val="nil"/>
          <w:between w:space="0" w:sz="0" w:val="nil"/>
        </w:pBdr>
        <w:spacing w:after="0" w:line="360" w:lineRule="auto"/>
        <w:ind w:left="567"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Estado de cuenta:</w:t>
      </w:r>
      <w:r w:rsidDel="00000000" w:rsidR="00000000" w:rsidRPr="00000000">
        <w:rPr>
          <w:rFonts w:ascii="Palatino Linotype" w:cs="Palatino Linotype" w:eastAsia="Palatino Linotype" w:hAnsi="Palatino Linotype"/>
          <w:rtl w:val="0"/>
        </w:rPr>
        <w:t xml:space="preserve"> Un estado de cuenta bancario es un documento oficial, generalmente mensual, emitido por la institución bancaria con la que tiene la cuenta. Este documento contiene todos los movimientos de la cuenta realizados en el mes, además de contener datos como número de cuenta, de tarjeta, saldo al corte, fecha de pago, monto mínimo a pagar, tasa de interés, en caso de ser tarjeta de crédito, entre otros datos relevantes y confidenciales para el usuario.</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del </w:t>
      </w:r>
      <w:r w:rsidDel="00000000" w:rsidR="00000000" w:rsidRPr="00000000">
        <w:rPr>
          <w:rFonts w:ascii="Palatino Linotype" w:cs="Palatino Linotype" w:eastAsia="Palatino Linotype" w:hAnsi="Palatino Linotype"/>
          <w:b w:val="1"/>
          <w:rtl w:val="0"/>
        </w:rPr>
        <w:t xml:space="preserve">número de cuenta</w:t>
      </w:r>
      <w:r w:rsidDel="00000000" w:rsidR="00000000" w:rsidRPr="00000000">
        <w:rPr>
          <w:rFonts w:ascii="Palatino Linotype" w:cs="Palatino Linotype" w:eastAsia="Palatino Linotype" w:hAnsi="Palatino Linotype"/>
          <w:rtl w:val="0"/>
        </w:rPr>
        <w:t xml:space="preserve"> es un conjunto de caracteres numéricos utilizado por los grupos financieros para identificar a los clientes. Dicho número es único e irrepetible, establecido a cada cuenta bancaria que avala que los recursos enviados a las órdenes de cargo, pago de nómina o a las transferencias electrónicas de fondos interbancarios se utilicen exclusivamente en la cuenta señalada por el cliente. </w:t>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respecta al </w:t>
      </w:r>
      <w:r w:rsidDel="00000000" w:rsidR="00000000" w:rsidRPr="00000000">
        <w:rPr>
          <w:rFonts w:ascii="Palatino Linotype" w:cs="Palatino Linotype" w:eastAsia="Palatino Linotype" w:hAnsi="Palatino Linotype"/>
          <w:b w:val="1"/>
          <w:rtl w:val="0"/>
        </w:rPr>
        <w:t xml:space="preserve">número de cuenta bancaria</w:t>
      </w:r>
      <w:r w:rsidDel="00000000" w:rsidR="00000000" w:rsidRPr="00000000">
        <w:rPr>
          <w:rFonts w:ascii="Palatino Linotype" w:cs="Palatino Linotype" w:eastAsia="Palatino Linotype" w:hAnsi="Palatino Linotype"/>
          <w:rtl w:val="0"/>
        </w:rPr>
        <w:t xml:space="preserve">, es un número único e irrepetible asignado a cada cuenta bancaria, que garantiza que los recursos enviados a las órdenes de cargo (transferencias electrónicas de fondos interbancarios bancos) se apliquen exclusivamente a la cuenta señalada por el cliente, como destino u origen. Dicha clave se compone de 18 dígitos numéricos que corresponden a los siguientes datos:</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7">
      <w:pPr>
        <w:numPr>
          <w:ilvl w:val="0"/>
          <w:numId w:val="5"/>
        </w:numPr>
        <w:pBdr>
          <w:top w:space="0" w:sz="0" w:val="nil"/>
          <w:left w:space="0" w:sz="0" w:val="nil"/>
          <w:bottom w:space="0" w:sz="0" w:val="nil"/>
          <w:right w:space="0" w:sz="0" w:val="nil"/>
          <w:between w:space="0" w:sz="0" w:val="nil"/>
        </w:pBdr>
        <w:spacing w:after="0" w:lineRule="auto"/>
        <w:ind w:left="851" w:right="900"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Código de Banco:</w:t>
      </w:r>
      <w:r w:rsidDel="00000000" w:rsidR="00000000" w:rsidRPr="00000000">
        <w:rPr>
          <w:rFonts w:ascii="Palatino Linotype" w:cs="Palatino Linotype" w:eastAsia="Palatino Linotype" w:hAnsi="Palatino Linotype"/>
          <w:rtl w:val="0"/>
        </w:rPr>
        <w:t xml:space="preserve"> Donde radica la cuenta, de acuerdo con los números asignados a las Instituciones de Crédito Asociación de Bancos de México (tres dígitos).</w:t>
      </w:r>
    </w:p>
    <w:p w:rsidR="00000000" w:rsidDel="00000000" w:rsidP="00000000" w:rsidRDefault="00000000" w:rsidRPr="00000000" w14:paraId="000001B8">
      <w:pPr>
        <w:numPr>
          <w:ilvl w:val="0"/>
          <w:numId w:val="5"/>
        </w:numPr>
        <w:pBdr>
          <w:top w:space="0" w:sz="0" w:val="nil"/>
          <w:left w:space="0" w:sz="0" w:val="nil"/>
          <w:bottom w:space="0" w:sz="0" w:val="nil"/>
          <w:right w:space="0" w:sz="0" w:val="nil"/>
          <w:between w:space="0" w:sz="0" w:val="nil"/>
        </w:pBdr>
        <w:spacing w:after="0" w:lineRule="auto"/>
        <w:ind w:left="851" w:right="900" w:hanging="140.9999999999999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Código de Plaza:</w:t>
      </w:r>
      <w:r w:rsidDel="00000000" w:rsidR="00000000" w:rsidRPr="00000000">
        <w:rPr>
          <w:rFonts w:ascii="Palatino Linotype" w:cs="Palatino Linotype" w:eastAsia="Palatino Linotype" w:hAnsi="Palatino Linotype"/>
          <w:rtl w:val="0"/>
        </w:rPr>
        <w:t xml:space="preserve"> Ciudad o región donde el cliente mantiene su cuenta, de acuerdo con la definición de claves de plaza definida para el servicio de cheques (tres dígitos). </w:t>
      </w:r>
    </w:p>
    <w:p w:rsidR="00000000" w:rsidDel="00000000" w:rsidP="00000000" w:rsidRDefault="00000000" w:rsidRPr="00000000" w14:paraId="000001B9">
      <w:pPr>
        <w:numPr>
          <w:ilvl w:val="0"/>
          <w:numId w:val="5"/>
        </w:numPr>
        <w:pBdr>
          <w:top w:space="0" w:sz="0" w:val="nil"/>
          <w:left w:space="0" w:sz="0" w:val="nil"/>
          <w:bottom w:space="0" w:sz="0" w:val="nil"/>
          <w:right w:space="0" w:sz="0" w:val="nil"/>
          <w:between w:space="0" w:sz="0" w:val="nil"/>
        </w:pBdr>
        <w:spacing w:after="0" w:lineRule="auto"/>
        <w:ind w:left="851" w:right="900" w:hanging="140.9999999999999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Número de Cuenta:</w:t>
      </w:r>
      <w:r w:rsidDel="00000000" w:rsidR="00000000" w:rsidRPr="00000000">
        <w:rPr>
          <w:rFonts w:ascii="Palatino Linotype" w:cs="Palatino Linotype" w:eastAsia="Palatino Linotype" w:hAnsi="Palatino Linotype"/>
          <w:rtl w:val="0"/>
        </w:rPr>
        <w:t xml:space="preserve"> Campo en donde se incluye la información que cada banco para individualizar la cuenta de sus clientes (once dígitos), y </w:t>
      </w:r>
    </w:p>
    <w:p w:rsidR="00000000" w:rsidDel="00000000" w:rsidP="00000000" w:rsidRDefault="00000000" w:rsidRPr="00000000" w14:paraId="000001BA">
      <w:pPr>
        <w:numPr>
          <w:ilvl w:val="0"/>
          <w:numId w:val="5"/>
        </w:numPr>
        <w:pBdr>
          <w:top w:space="0" w:sz="0" w:val="nil"/>
          <w:left w:space="0" w:sz="0" w:val="nil"/>
          <w:bottom w:space="0" w:sz="0" w:val="nil"/>
          <w:right w:space="0" w:sz="0" w:val="nil"/>
          <w:between w:space="0" w:sz="0" w:val="nil"/>
        </w:pBdr>
        <w:spacing w:after="0" w:lineRule="auto"/>
        <w:ind w:left="851" w:right="900" w:hanging="140.9999999999999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Dígito de Control.</w:t>
      </w:r>
      <w:r w:rsidDel="00000000" w:rsidR="00000000" w:rsidRPr="00000000">
        <w:rPr>
          <w:rFonts w:ascii="Palatino Linotype" w:cs="Palatino Linotype" w:eastAsia="Palatino Linotype" w:hAnsi="Palatino Linotype"/>
          <w:rtl w:val="0"/>
        </w:rPr>
        <w:t xml:space="preserve"> Es un dígito que se obtiene a través de aplicar un algoritmo que permite validar que la estructura de los datos contenidos en la CLABE sean correctos (un dígito).</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0" w:lineRule="auto"/>
        <w:ind w:left="851" w:right="90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cuentas bancarias otorgadas a un particular y su Clabe es única e irrepetible, estableciendo con ello una relación que avala que los cargos efectuados, las transferencias electrónicas realizadas o los abonos efectuados corresponden, exclusivamente a la cuenta proporcionada a su titular, creando con ello una relación entre el titular y la institución encargada de prestar servicios de carácter financiero, mismo que se encuentra estrechamente relacionada con el patrimonio a la que se asignó el número. </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considera que la cuenta bancaria y la CLABE interbancaria, del particular se encuentra asociado a su patrimonio, entendiendo éste como el conjunto de bienes, fondos, derechos, obligaciones; por tanto, se trata de información que no es de dominio público, por ello resulta procedente su clasificación como confidencial.</w:t>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corresponde a la huella dactilar,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7">
        <w:r w:rsidDel="00000000" w:rsidR="00000000" w:rsidRPr="00000000">
          <w:rPr>
            <w:rFonts w:ascii="Palatino Linotype" w:cs="Palatino Linotype" w:eastAsia="Palatino Linotype" w:hAnsi="Palatino Linotype"/>
            <w:u w:val="single"/>
            <w:rtl w:val="0"/>
          </w:rPr>
          <w:t xml:space="preserve">https://docplayer.es/5455342-Nuevas-tecnologias-biometricas-instituto-nacional-de-ciencias-penales-procuraduria-general-de-la-republica-version-1-0.html</w:t>
        </w:r>
      </w:hyperlink>
      <w:r w:rsidDel="00000000" w:rsidR="00000000" w:rsidRPr="00000000">
        <w:rPr>
          <w:rFonts w:ascii="Palatino Linotype" w:cs="Palatino Linotype" w:eastAsia="Palatino Linotype" w:hAnsi="Palatino Linotype"/>
          <w:rtl w:val="0"/>
        </w:rPr>
        <w:t xml:space="preserve">, se indica que existen tres principios fundamentales para la identificación de las huellas dactilares, a saber: </w:t>
      </w:r>
    </w:p>
    <w:p w:rsidR="00000000" w:rsidDel="00000000" w:rsidP="00000000" w:rsidRDefault="00000000" w:rsidRPr="00000000" w14:paraId="000001C0">
      <w:pPr>
        <w:spacing w:after="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1">
      <w:pPr>
        <w:numPr>
          <w:ilvl w:val="0"/>
          <w:numId w:val="6"/>
        </w:numPr>
        <w:spacing w:after="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Primer principio. La huella es una característica individual. No hay dos huellas con características en las crestas que sean idénticas. </w:t>
      </w:r>
    </w:p>
    <w:p w:rsidR="00000000" w:rsidDel="00000000" w:rsidP="00000000" w:rsidRDefault="00000000" w:rsidRPr="00000000" w14:paraId="000001C2">
      <w:pPr>
        <w:numPr>
          <w:ilvl w:val="0"/>
          <w:numId w:val="6"/>
        </w:numPr>
        <w:spacing w:after="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Segundo principio. Una huella permanece sin cambios durante toda la vida de un individuo (sin embargo, puede adquirir cicatrices o cualquier otra deformación que impida su identificación clara). </w:t>
      </w:r>
    </w:p>
    <w:p w:rsidR="00000000" w:rsidDel="00000000" w:rsidP="00000000" w:rsidRDefault="00000000" w:rsidRPr="00000000" w14:paraId="000001C3">
      <w:pPr>
        <w:numPr>
          <w:ilvl w:val="0"/>
          <w:numId w:val="6"/>
        </w:numPr>
        <w:spacing w:after="0" w:lineRule="auto"/>
        <w:ind w:left="567" w:right="900" w:hanging="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Tercer principio. Las huellas tienen patrones que se forman con sus crestas, lo que hace posible clasificarlas sistemáticamente para agilizar las búsquedas. </w:t>
      </w:r>
    </w:p>
    <w:p w:rsidR="00000000" w:rsidDel="00000000" w:rsidP="00000000" w:rsidRDefault="00000000" w:rsidRPr="00000000" w14:paraId="000001C4">
      <w:pPr>
        <w:spacing w:after="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rsidR="00000000" w:rsidDel="00000000" w:rsidP="00000000" w:rsidRDefault="00000000" w:rsidRPr="00000000" w14:paraId="000001C6">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ES APTA PARA ACREDITAR EL CONSENTIMIENTO EN LA CELEBRACIÓN DE UN CONTRATO.</w:t>
      </w:r>
    </w:p>
    <w:p w:rsidR="00000000" w:rsidDel="00000000" w:rsidP="00000000" w:rsidRDefault="00000000" w:rsidRPr="00000000" w14:paraId="000001C8">
      <w:pPr>
        <w:spacing w:after="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9">
      <w:pPr>
        <w:spacing w:after="0" w:lineRule="auto"/>
        <w:ind w:left="567" w:righ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Del="00000000" w:rsidR="00000000" w:rsidRPr="00000000">
        <w:rPr>
          <w:rFonts w:ascii="Palatino Linotype" w:cs="Palatino Linotype" w:eastAsia="Palatino Linotype" w:hAnsi="Palatino Linotype"/>
          <w:i w:val="1"/>
          <w:rtl w:val="0"/>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r w:rsidDel="00000000" w:rsidR="00000000" w:rsidRPr="00000000">
        <w:rPr>
          <w:rtl w:val="0"/>
        </w:rPr>
      </w:r>
    </w:p>
    <w:p w:rsidR="00000000" w:rsidDel="00000000" w:rsidP="00000000" w:rsidRDefault="00000000" w:rsidRPr="00000000" w14:paraId="000001CA">
      <w:pPr>
        <w:spacing w:after="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 actualidad existen sistemas denominados AFIS por sus siglas en inglés </w:t>
      </w:r>
      <w:r w:rsidDel="00000000" w:rsidR="00000000" w:rsidRPr="00000000">
        <w:rPr>
          <w:rFonts w:ascii="Palatino Linotype" w:cs="Palatino Linotype" w:eastAsia="Palatino Linotype" w:hAnsi="Palatino Linotype"/>
          <w:i w:val="1"/>
          <w:rtl w:val="0"/>
        </w:rPr>
        <w:t xml:space="preserve">Automated Fingerprint Identification System</w:t>
      </w:r>
      <w:r w:rsidDel="00000000" w:rsidR="00000000" w:rsidRPr="00000000">
        <w:rPr>
          <w:rFonts w:ascii="Palatino Linotype" w:cs="Palatino Linotype" w:eastAsia="Palatino Linotype" w:hAnsi="Palatino Linotype"/>
          <w:rtl w:val="0"/>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rsidR="00000000" w:rsidDel="00000000" w:rsidP="00000000" w:rsidRDefault="00000000" w:rsidRPr="00000000" w14:paraId="000001CC">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rsidR="00000000" w:rsidDel="00000000" w:rsidP="00000000" w:rsidRDefault="00000000" w:rsidRPr="00000000" w14:paraId="000001CE">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rsidR="00000000" w:rsidDel="00000000" w:rsidP="00000000" w:rsidRDefault="00000000" w:rsidRPr="00000000" w14:paraId="000001D0">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rsidR="00000000" w:rsidDel="00000000" w:rsidP="00000000" w:rsidRDefault="00000000" w:rsidRPr="00000000" w14:paraId="000001D2">
      <w:pPr>
        <w:shd w:fill="ffffff" w:val="clea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3">
      <w:pPr>
        <w:shd w:fill="ffffff" w:val="clea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de precisar que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D4">
      <w:pPr>
        <w:shd w:fill="ffffff" w:val="clea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anteriormente expuesto y con fundamento en lo prescrito en los artículos 5 párrafos trigésimo noveno, cuadragésimo y cuadragésimo primero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1D6">
      <w:pPr>
        <w:spacing w:after="0" w:line="360" w:lineRule="auto"/>
        <w:ind w:left="108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1D7">
      <w:pPr>
        <w:spacing w:after="0" w:line="360" w:lineRule="auto"/>
        <w:ind w:left="1080"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D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fundados los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04894/INFOEM/IP/RR/2025</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D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A">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entregue, 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vía</w:t>
      </w:r>
      <w:r w:rsidDel="00000000" w:rsidR="00000000" w:rsidRPr="00000000">
        <w:rPr>
          <w:rFonts w:ascii="Palatino Linotype" w:cs="Palatino Linotype" w:eastAsia="Palatino Linotype" w:hAnsi="Palatino Linotype"/>
          <w:b w:val="1"/>
          <w:rtl w:val="0"/>
        </w:rPr>
        <w:t xml:space="preserve"> SAIMEX, </w:t>
      </w:r>
      <w:r w:rsidDel="00000000" w:rsidR="00000000" w:rsidRPr="00000000">
        <w:rPr>
          <w:rFonts w:ascii="Palatino Linotype" w:cs="Palatino Linotype" w:eastAsia="Palatino Linotype" w:hAnsi="Palatino Linotype"/>
          <w:rtl w:val="0"/>
        </w:rPr>
        <w:t xml:space="preserve">previa búsqueda exhaustiva y razonable, en términos de los</w:t>
      </w:r>
      <w:r w:rsidDel="00000000" w:rsidR="00000000" w:rsidRPr="00000000">
        <w:rPr>
          <w:rFonts w:ascii="Palatino Linotype" w:cs="Palatino Linotype" w:eastAsia="Palatino Linotype" w:hAnsi="Palatino Linotype"/>
          <w:b w:val="1"/>
          <w:rtl w:val="0"/>
        </w:rPr>
        <w:t xml:space="preserve"> Considerandos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Cuarto y Quinto</w:t>
      </w:r>
      <w:r w:rsidDel="00000000" w:rsidR="00000000" w:rsidRPr="00000000">
        <w:rPr>
          <w:rFonts w:ascii="Palatino Linotype" w:cs="Palatino Linotype" w:eastAsia="Palatino Linotype" w:hAnsi="Palatino Linotype"/>
          <w:rtl w:val="0"/>
        </w:rPr>
        <w:t xml:space="preserve">, de ser procedente en versión pública, los documentos donde conste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1DB">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DC">
      <w:pPr>
        <w:numPr>
          <w:ilvl w:val="0"/>
          <w:numId w:val="10"/>
        </w:numPr>
        <w:pBdr>
          <w:top w:space="0" w:sz="0" w:val="nil"/>
          <w:left w:space="0" w:sz="0" w:val="nil"/>
          <w:bottom w:space="0" w:sz="0" w:val="nil"/>
          <w:right w:space="0" w:sz="0" w:val="nil"/>
          <w:between w:space="0" w:sz="0" w:val="nil"/>
        </w:pBdr>
        <w:spacing w:after="0" w:line="36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El número y nombre de ex servidores públicos que causaron baja el treinta y uno de diciembre de dos mil veintiuno, a los que les liquidó la administración 2022-2024, las quincenas, aguinaldo y prima vacacional adeudadas. </w:t>
      </w:r>
    </w:p>
    <w:p w:rsidR="00000000" w:rsidDel="00000000" w:rsidP="00000000" w:rsidRDefault="00000000" w:rsidRPr="00000000" w14:paraId="000001DD">
      <w:pPr>
        <w:numPr>
          <w:ilvl w:val="0"/>
          <w:numId w:val="10"/>
        </w:numPr>
        <w:pBdr>
          <w:top w:space="0" w:sz="0" w:val="nil"/>
          <w:left w:space="0" w:sz="0" w:val="nil"/>
          <w:bottom w:space="0" w:sz="0" w:val="nil"/>
          <w:right w:space="0" w:sz="0" w:val="nil"/>
          <w:between w:space="0" w:sz="0" w:val="nil"/>
        </w:pBdr>
        <w:spacing w:after="0" w:line="36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El número, nombre y área de adscripción de los servidores públicos que causaron baja el treinta y uno de diciembre de dos mil veintiuno y treinta y uno de diciembre dos mil veinticuatro, </w:t>
      </w:r>
    </w:p>
    <w:p w:rsidR="00000000" w:rsidDel="00000000" w:rsidP="00000000" w:rsidRDefault="00000000" w:rsidRPr="00000000" w14:paraId="000001DE">
      <w:pPr>
        <w:numPr>
          <w:ilvl w:val="0"/>
          <w:numId w:val="10"/>
        </w:numPr>
        <w:pBdr>
          <w:top w:space="0" w:sz="0" w:val="nil"/>
          <w:left w:space="0" w:sz="0" w:val="nil"/>
          <w:bottom w:space="0" w:sz="0" w:val="nil"/>
          <w:right w:space="0" w:sz="0" w:val="nil"/>
          <w:between w:space="0" w:sz="0" w:val="nil"/>
        </w:pBdr>
        <w:spacing w:after="0" w:line="36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El Monto que se les adeuda por concepto de quincenas, aguinaldo y prima vacacional de las administraciones 2019-2021 y 2022-2024.</w:t>
      </w:r>
    </w:p>
    <w:p w:rsidR="00000000" w:rsidDel="00000000" w:rsidP="00000000" w:rsidRDefault="00000000" w:rsidRPr="00000000" w14:paraId="000001DF">
      <w:pPr>
        <w:numPr>
          <w:ilvl w:val="0"/>
          <w:numId w:val="10"/>
        </w:numPr>
        <w:pBdr>
          <w:top w:space="0" w:sz="0" w:val="nil"/>
          <w:left w:space="0" w:sz="0" w:val="nil"/>
          <w:bottom w:space="0" w:sz="0" w:val="nil"/>
          <w:right w:space="0" w:sz="0" w:val="nil"/>
          <w:between w:space="0" w:sz="0" w:val="nil"/>
        </w:pBdr>
        <w:spacing w:after="0" w:line="36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Relación Laboral que guarda la actual administración con el despacho externo encargado por la persona referida en la solicitud, en su caso, contrato o convenio de prestación de servicios, </w:t>
      </w:r>
    </w:p>
    <w:p w:rsidR="00000000" w:rsidDel="00000000" w:rsidP="00000000" w:rsidRDefault="00000000" w:rsidRPr="00000000" w14:paraId="000001E0">
      <w:pPr>
        <w:numPr>
          <w:ilvl w:val="0"/>
          <w:numId w:val="10"/>
        </w:numPr>
        <w:pBdr>
          <w:top w:space="0" w:sz="0" w:val="nil"/>
          <w:left w:space="0" w:sz="0" w:val="nil"/>
          <w:bottom w:space="0" w:sz="0" w:val="nil"/>
          <w:right w:space="0" w:sz="0" w:val="nil"/>
          <w:between w:space="0" w:sz="0" w:val="nil"/>
        </w:pBdr>
        <w:spacing w:after="0" w:line="36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Las Personas que forman parte del despacho externo, autorizadas para prestar sus servicios al Ayuntamiento de Toluca, al siete de marzo de dos mil veinticinco. </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360" w:lineRule="auto"/>
        <w:ind w:left="851"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Del="00000000" w:rsidR="00000000" w:rsidRPr="00000000">
        <w:rPr>
          <w:rFonts w:ascii="Palatino Linotype" w:cs="Palatino Linotype" w:eastAsia="Palatino Linotype" w:hAnsi="Palatino Linotype"/>
          <w:b w:val="1"/>
          <w:i w:val="1"/>
          <w:rtl w:val="0"/>
        </w:rPr>
        <w:t xml:space="preserve">LA PARTE RECURRENTE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el caso de que la información que se ordena entregar en los incisos d) y e), no obre en los archivos del Sujeto Obligado, por no contar con alguna relación laboral con el despacho externo, este deberá hacerlo del conocimiento del Particular en términos del artículo 19, párrafo segundo, de la Ley de Transparencia y Acceso a la Información Pública del Estado de México y Municipios, para tenerse por colmado dicho requerimiento.</w:t>
      </w:r>
    </w:p>
    <w:p w:rsidR="00000000" w:rsidDel="00000000" w:rsidP="00000000" w:rsidRDefault="00000000" w:rsidRPr="00000000" w14:paraId="000001E5">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vía SAIMEX, </w:t>
      </w:r>
      <w:r w:rsidDel="00000000" w:rsidR="00000000" w:rsidRPr="00000000">
        <w:rPr>
          <w:rFonts w:ascii="Palatino Linotype" w:cs="Palatino Linotype" w:eastAsia="Palatino Linotype" w:hAnsi="Palatino Linotype"/>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E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E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C">
      <w:pPr>
        <w:spacing w:after="0" w:line="360" w:lineRule="auto"/>
        <w:ind w:right="49"/>
        <w:jc w:val="both"/>
        <w:rPr>
          <w:rFonts w:ascii="Palatino Linotype" w:cs="Palatino Linotype" w:eastAsia="Palatino Linotype" w:hAnsi="Palatino Linotype"/>
        </w:rPr>
      </w:pPr>
      <w:bookmarkStart w:colFirst="0" w:colLast="0" w:name="_heading=h.gjdgxs" w:id="3"/>
      <w:bookmarkEnd w:id="3"/>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TRES DE SEPTIEMBRE DE DOS MIL VEINTICINCO, ANTE EL SECRETARIO TÉCNICO DEL PLENO ALEXIS TAPIA RAMÍREZ. </w:t>
      </w:r>
    </w:p>
    <w:p w:rsidR="00000000" w:rsidDel="00000000" w:rsidP="00000000" w:rsidRDefault="00000000" w:rsidRPr="00000000" w14:paraId="000001E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8">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-716842</wp:posOffset>
          </wp:positionH>
          <wp:positionV relativeFrom="paragraph">
            <wp:posOffset>-456588</wp:posOffset>
          </wp:positionV>
          <wp:extent cx="7809876" cy="10165823"/>
          <wp:effectExtent b="0" l="0" r="0" t="0"/>
          <wp:wrapNone/>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04894/INFOEM/IP/RR/2025</w:t>
          </w:r>
        </w:p>
      </w:tc>
    </w:tr>
    <w:tr>
      <w:trPr>
        <w:cantSplit w:val="0"/>
        <w:trHeight w:val="217" w:hRule="atLeast"/>
        <w:tblHeader w:val="0"/>
      </w:trPr>
      <w:tc>
        <w:tcPr>
          <w:vAlign w:val="center"/>
        </w:tcPr>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20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Toluca</w:t>
          </w:r>
        </w:p>
      </w:tc>
    </w:tr>
    <w:tr>
      <w:trPr>
        <w:cantSplit w:val="0"/>
        <w:tblHeader w:val="0"/>
      </w:trPr>
      <w:tc>
        <w:tcPr>
          <w:vAlign w:val="center"/>
        </w:tcPr>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-725803</wp:posOffset>
          </wp:positionH>
          <wp:positionV relativeFrom="paragraph">
            <wp:posOffset>-29841</wp:posOffset>
          </wp:positionV>
          <wp:extent cx="7809865" cy="10165715"/>
          <wp:effectExtent b="0" l="0" r="0" t="0"/>
          <wp:wrapNone/>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04894/INFOEM/IP/RR/2025</w:t>
          </w:r>
        </w:p>
      </w:tc>
    </w:tr>
    <w:tr>
      <w:trPr>
        <w:cantSplit w:val="0"/>
        <w:tblHeader w:val="0"/>
      </w:trPr>
      <w:tc>
        <w:tcPr>
          <w:vAlign w:val="center"/>
        </w:tcPr>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r>
    <w:tr>
      <w:trPr>
        <w:cantSplit w:val="0"/>
        <w:trHeight w:val="152" w:hRule="atLeast"/>
        <w:tblHeader w:val="0"/>
      </w:trPr>
      <w:tc>
        <w:tcPr>
          <w:vAlign w:val="center"/>
        </w:tcPr>
        <w:p w:rsidR="00000000" w:rsidDel="00000000" w:rsidP="00000000" w:rsidRDefault="00000000" w:rsidRPr="00000000" w14:paraId="00000216">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Toluca</w:t>
          </w:r>
        </w:p>
      </w:tc>
    </w:tr>
    <w:tr>
      <w:trPr>
        <w:cantSplit w:val="0"/>
        <w:tblHeader w:val="0"/>
      </w:trPr>
      <w:tc>
        <w:tcPr>
          <w:vAlign w:val="center"/>
        </w:tcPr>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0" w:firstLine="0"/>
      </w:pPr>
      <w:rPr>
        <w:rFonts w:ascii="Palatino Linotype" w:cs="Palatino Linotype" w:eastAsia="Palatino Linotype" w:hAnsi="Palatino Linotype"/>
        <w:b w:val="1"/>
      </w:rPr>
    </w:lvl>
    <w:lvl w:ilvl="1">
      <w:start w:val="1"/>
      <w:numFmt w:val="upperRoman"/>
      <w:lvlText w:val="%2."/>
      <w:lvlJc w:val="left"/>
      <w:pPr>
        <w:ind w:left="1800" w:hanging="720"/>
      </w:pPr>
      <w:rPr>
        <w:b w:val="0"/>
      </w:rPr>
    </w:lvl>
    <w:lvl w:ilvl="2">
      <w:start w:val="1"/>
      <w:numFmt w:val="lowerLetter"/>
      <w:lvlText w:val="%3)"/>
      <w:lvlJc w:val="left"/>
      <w:pPr>
        <w:ind w:left="2160" w:hanging="360"/>
      </w:pPr>
      <w:rPr>
        <w:b w:val="1"/>
      </w:rPr>
    </w:lvl>
    <w:lvl w:ilvl="3">
      <w:start w:val="1"/>
      <w:numFmt w:val="decimal"/>
      <w:lvlText w:val="%4-"/>
      <w:lvlJc w:val="left"/>
      <w:pPr>
        <w:ind w:left="2880" w:hanging="360"/>
      </w:pPr>
      <w:rPr/>
    </w:lvl>
    <w:lvl w:ilvl="4">
      <w:start w:val="1"/>
      <w:numFmt w:val="decimal"/>
      <w:lvlText w:val="%5."/>
      <w:lvlJc w:val="left"/>
      <w:pPr>
        <w:ind w:left="360" w:hanging="360"/>
      </w:pPr>
      <w:rPr>
        <w:b w:val="1"/>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107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107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5"/>
      <w:numFmt w:val="decimal"/>
      <w:lvlText w:val="%1)"/>
      <w:lvlJc w:val="left"/>
      <w:pPr>
        <w:ind w:left="107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2062"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top w:w="15.0" w:type="dxa"/>
        <w:left w:w="115.0" w:type="dxa"/>
        <w:bottom w:w="15.0" w:type="dxa"/>
        <w:right w:w="115.0" w:type="dxa"/>
      </w:tblCellMar>
    </w:tblPr>
  </w:style>
  <w:style w:type="table" w:styleId="a1" w:customStyle="1">
    <w:basedOn w:val="TableNormal"/>
    <w:tblPr>
      <w:tblStyleRowBandSize w:val="1"/>
      <w:tblStyleColBandSize w:val="1"/>
      <w:tblCellMar>
        <w:top w:w="15.0" w:type="dxa"/>
        <w:left w:w="115.0" w:type="dxa"/>
        <w:bottom w:w="15.0" w:type="dxa"/>
        <w:right w:w="115.0" w:type="dxa"/>
      </w:tblCellMar>
    </w:tblPr>
  </w:style>
  <w:style w:type="paragraph" w:styleId="Encabezado">
    <w:name w:val="header"/>
    <w:basedOn w:val="Normal"/>
    <w:link w:val="EncabezadoCar"/>
    <w:uiPriority w:val="99"/>
    <w:unhideWhenUsed w:val="1"/>
    <w:rsid w:val="008D175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D175B"/>
  </w:style>
  <w:style w:type="paragraph" w:styleId="Piedepgina">
    <w:name w:val="footer"/>
    <w:basedOn w:val="Normal"/>
    <w:link w:val="PiedepginaCar"/>
    <w:uiPriority w:val="99"/>
    <w:unhideWhenUsed w:val="1"/>
    <w:rsid w:val="008D175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D175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A52E0"/>
    <w:pPr>
      <w:ind w:left="720"/>
      <w:contextualSpacing w:val="1"/>
    </w:pPr>
  </w:style>
  <w:style w:type="character" w:styleId="Hipervnculo">
    <w:name w:val="Hyperlink"/>
    <w:basedOn w:val="Fuentedeprrafopredeter"/>
    <w:uiPriority w:val="99"/>
    <w:unhideWhenUsed w:val="1"/>
    <w:rsid w:val="009D3057"/>
    <w:rPr>
      <w:color w:val="0000ff" w:themeColor="hyperlink"/>
      <w:u w:val="single"/>
    </w:rPr>
  </w:style>
  <w:style w:type="character" w:styleId="Mencinsinresolver1" w:customStyle="1">
    <w:name w:val="Mención sin resolver1"/>
    <w:basedOn w:val="Fuentedeprrafopredeter"/>
    <w:uiPriority w:val="99"/>
    <w:semiHidden w:val="1"/>
    <w:unhideWhenUsed w:val="1"/>
    <w:rsid w:val="009D3057"/>
    <w:rPr>
      <w:color w:val="605e5c"/>
      <w:shd w:color="auto" w:fill="e1dfdd" w:val="clear"/>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D35D09"/>
  </w:style>
  <w:style w:type="paragraph" w:styleId="Listaconvietas3">
    <w:name w:val="List Bullet 3"/>
    <w:basedOn w:val="Normal"/>
    <w:uiPriority w:val="99"/>
    <w:unhideWhenUsed w:val="1"/>
    <w:rsid w:val="007417CE"/>
    <w:pPr>
      <w:numPr>
        <w:numId w:val="20"/>
      </w:numPr>
      <w:spacing w:after="0" w:line="240" w:lineRule="auto"/>
      <w:contextualSpacing w:val="1"/>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player.es/5455342-Nuevas-tecnologias-biometricas-instituto-nacional-de-ciencias-penales-procuraduria-general-de-la-republica-version-1-0.html"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FMetVQ5G5vXw8W9+CtDpq0qtJg==">CgMxLjAyCWguMzBqMHpsbDIJaC4yNmluMXJnMghoLmxueGJ6OTIIaC5namRneHM4AHIhMXVqdjhPVkxxb2JUQU1HSGNRVGFwekxvRnZtSF9NVTlS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2025-10-03T16:44:00Z</dcterms:created>
  <dc:creator>USUARIO</dc:creator>
</cp:coreProperties>
</file>