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80245A" w:rsidRDefault="00AE3DA7" w:rsidP="00FE422A">
          <w:pPr>
            <w:pStyle w:val="TtulodeTDC"/>
            <w:spacing w:before="0" w:line="240" w:lineRule="auto"/>
            <w:rPr>
              <w:rFonts w:ascii="Palatino Linotype" w:hAnsi="Palatino Linotype"/>
              <w:color w:val="auto"/>
              <w:sz w:val="24"/>
              <w:szCs w:val="24"/>
              <w:lang w:val="es-ES"/>
            </w:rPr>
          </w:pPr>
          <w:r w:rsidRPr="0080245A">
            <w:rPr>
              <w:rFonts w:ascii="Palatino Linotype" w:hAnsi="Palatino Linotype"/>
              <w:color w:val="auto"/>
              <w:sz w:val="24"/>
              <w:szCs w:val="24"/>
              <w:lang w:val="es-ES"/>
            </w:rPr>
            <w:t>Contenido</w:t>
          </w:r>
        </w:p>
        <w:p w14:paraId="3EB312A7" w14:textId="77777777" w:rsidR="00AA6EA9" w:rsidRPr="0080245A" w:rsidRDefault="00AA6EA9" w:rsidP="00FE422A">
          <w:pPr>
            <w:spacing w:line="240" w:lineRule="auto"/>
            <w:rPr>
              <w:sz w:val="16"/>
              <w:szCs w:val="16"/>
              <w:lang w:val="es-ES" w:eastAsia="es-MX"/>
            </w:rPr>
          </w:pPr>
        </w:p>
        <w:p w14:paraId="1A778B7C" w14:textId="0C4FDE7E" w:rsidR="00FE422A" w:rsidRPr="0080245A" w:rsidRDefault="00AE3DA7" w:rsidP="00FE422A">
          <w:pPr>
            <w:pStyle w:val="TDC1"/>
            <w:tabs>
              <w:tab w:val="right" w:leader="dot" w:pos="9034"/>
            </w:tabs>
            <w:rPr>
              <w:rFonts w:asciiTheme="minorHAnsi" w:eastAsiaTheme="minorEastAsia" w:hAnsiTheme="minorHAnsi" w:cstheme="minorBidi"/>
              <w:noProof/>
              <w:szCs w:val="22"/>
              <w:lang w:eastAsia="es-MX"/>
            </w:rPr>
          </w:pPr>
          <w:r w:rsidRPr="0080245A">
            <w:rPr>
              <w:sz w:val="16"/>
              <w:szCs w:val="16"/>
            </w:rPr>
            <w:fldChar w:fldCharType="begin"/>
          </w:r>
          <w:r w:rsidRPr="0080245A">
            <w:rPr>
              <w:sz w:val="16"/>
              <w:szCs w:val="16"/>
            </w:rPr>
            <w:instrText xml:space="preserve"> TOC \o "1-3" \h \z \u </w:instrText>
          </w:r>
          <w:r w:rsidRPr="0080245A">
            <w:rPr>
              <w:sz w:val="16"/>
              <w:szCs w:val="16"/>
            </w:rPr>
            <w:fldChar w:fldCharType="separate"/>
          </w:r>
          <w:hyperlink w:anchor="_Toc212099309" w:history="1">
            <w:r w:rsidR="00FE422A" w:rsidRPr="0080245A">
              <w:rPr>
                <w:rStyle w:val="Hipervnculo"/>
                <w:noProof/>
                <w:color w:val="auto"/>
              </w:rPr>
              <w:t>ANTECEDENTES</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_Toc212099309 \h </w:instrText>
            </w:r>
            <w:r w:rsidR="00FE422A" w:rsidRPr="0080245A">
              <w:rPr>
                <w:noProof/>
                <w:webHidden/>
              </w:rPr>
            </w:r>
            <w:r w:rsidR="00FE422A" w:rsidRPr="0080245A">
              <w:rPr>
                <w:noProof/>
                <w:webHidden/>
              </w:rPr>
              <w:fldChar w:fldCharType="separate"/>
            </w:r>
            <w:r w:rsidR="0080245A">
              <w:rPr>
                <w:noProof/>
                <w:webHidden/>
              </w:rPr>
              <w:t>1</w:t>
            </w:r>
            <w:r w:rsidR="00FE422A" w:rsidRPr="0080245A">
              <w:rPr>
                <w:noProof/>
                <w:webHidden/>
              </w:rPr>
              <w:fldChar w:fldCharType="end"/>
            </w:r>
          </w:hyperlink>
        </w:p>
        <w:p w14:paraId="772ED18F" w14:textId="27281868" w:rsidR="00FE422A" w:rsidRPr="0080245A" w:rsidRDefault="009C627C" w:rsidP="00FE422A">
          <w:pPr>
            <w:pStyle w:val="TDC2"/>
            <w:rPr>
              <w:rFonts w:asciiTheme="minorHAnsi" w:eastAsiaTheme="minorEastAsia" w:hAnsiTheme="minorHAnsi" w:cstheme="minorBidi"/>
              <w:noProof/>
              <w:szCs w:val="22"/>
              <w:lang w:eastAsia="es-MX"/>
            </w:rPr>
          </w:pPr>
          <w:hyperlink w:anchor="_Toc212099310" w:history="1">
            <w:r w:rsidR="00FE422A" w:rsidRPr="0080245A">
              <w:rPr>
                <w:rStyle w:val="Hipervnculo"/>
                <w:noProof/>
                <w:color w:val="auto"/>
              </w:rPr>
              <w:t>DE LA SOLICITUD DE INFORMACIÓN</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_Toc212099310 \h </w:instrText>
            </w:r>
            <w:r w:rsidR="00FE422A" w:rsidRPr="0080245A">
              <w:rPr>
                <w:noProof/>
                <w:webHidden/>
              </w:rPr>
            </w:r>
            <w:r w:rsidR="00FE422A" w:rsidRPr="0080245A">
              <w:rPr>
                <w:noProof/>
                <w:webHidden/>
              </w:rPr>
              <w:fldChar w:fldCharType="separate"/>
            </w:r>
            <w:r w:rsidR="0080245A">
              <w:rPr>
                <w:noProof/>
                <w:webHidden/>
              </w:rPr>
              <w:t>1</w:t>
            </w:r>
            <w:r w:rsidR="00FE422A" w:rsidRPr="0080245A">
              <w:rPr>
                <w:noProof/>
                <w:webHidden/>
              </w:rPr>
              <w:fldChar w:fldCharType="end"/>
            </w:r>
          </w:hyperlink>
        </w:p>
        <w:p w14:paraId="5A2A6005" w14:textId="173B436E" w:rsidR="00FE422A" w:rsidRPr="0080245A" w:rsidRDefault="009C627C" w:rsidP="00FE422A">
          <w:pPr>
            <w:pStyle w:val="TDC3"/>
            <w:rPr>
              <w:rFonts w:asciiTheme="minorHAnsi" w:eastAsiaTheme="minorEastAsia" w:hAnsiTheme="minorHAnsi" w:cstheme="minorBidi"/>
              <w:noProof/>
              <w:szCs w:val="22"/>
              <w:lang w:eastAsia="es-MX"/>
            </w:rPr>
          </w:pPr>
          <w:hyperlink w:anchor="_Toc212099311" w:history="1">
            <w:r w:rsidR="00FE422A" w:rsidRPr="0080245A">
              <w:rPr>
                <w:rStyle w:val="Hipervnculo"/>
                <w:noProof/>
                <w:color w:val="auto"/>
              </w:rPr>
              <w:t>a) Solicitud de información</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_Toc212099311 \h </w:instrText>
            </w:r>
            <w:r w:rsidR="00FE422A" w:rsidRPr="0080245A">
              <w:rPr>
                <w:noProof/>
                <w:webHidden/>
              </w:rPr>
            </w:r>
            <w:r w:rsidR="00FE422A" w:rsidRPr="0080245A">
              <w:rPr>
                <w:noProof/>
                <w:webHidden/>
              </w:rPr>
              <w:fldChar w:fldCharType="separate"/>
            </w:r>
            <w:r w:rsidR="0080245A">
              <w:rPr>
                <w:noProof/>
                <w:webHidden/>
              </w:rPr>
              <w:t>1</w:t>
            </w:r>
            <w:r w:rsidR="00FE422A" w:rsidRPr="0080245A">
              <w:rPr>
                <w:noProof/>
                <w:webHidden/>
              </w:rPr>
              <w:fldChar w:fldCharType="end"/>
            </w:r>
          </w:hyperlink>
        </w:p>
        <w:p w14:paraId="26B2906F" w14:textId="6B45D719" w:rsidR="00FE422A" w:rsidRPr="0080245A" w:rsidRDefault="009C627C" w:rsidP="00FE422A">
          <w:pPr>
            <w:pStyle w:val="TDC3"/>
            <w:rPr>
              <w:rFonts w:asciiTheme="minorHAnsi" w:eastAsiaTheme="minorEastAsia" w:hAnsiTheme="minorHAnsi" w:cstheme="minorBidi"/>
              <w:noProof/>
              <w:szCs w:val="22"/>
              <w:lang w:eastAsia="es-MX"/>
            </w:rPr>
          </w:pPr>
          <w:hyperlink w:anchor="_Toc212099312" w:history="1">
            <w:r w:rsidR="00FE422A" w:rsidRPr="0080245A">
              <w:rPr>
                <w:rStyle w:val="Hipervnculo"/>
                <w:noProof/>
                <w:color w:val="auto"/>
              </w:rPr>
              <w:t>b) Turno de la solicitud de información</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_Toc212099312 \h </w:instrText>
            </w:r>
            <w:r w:rsidR="00FE422A" w:rsidRPr="0080245A">
              <w:rPr>
                <w:noProof/>
                <w:webHidden/>
              </w:rPr>
            </w:r>
            <w:r w:rsidR="00FE422A" w:rsidRPr="0080245A">
              <w:rPr>
                <w:noProof/>
                <w:webHidden/>
              </w:rPr>
              <w:fldChar w:fldCharType="separate"/>
            </w:r>
            <w:r w:rsidR="0080245A">
              <w:rPr>
                <w:noProof/>
                <w:webHidden/>
              </w:rPr>
              <w:t>2</w:t>
            </w:r>
            <w:r w:rsidR="00FE422A" w:rsidRPr="0080245A">
              <w:rPr>
                <w:noProof/>
                <w:webHidden/>
              </w:rPr>
              <w:fldChar w:fldCharType="end"/>
            </w:r>
          </w:hyperlink>
        </w:p>
        <w:p w14:paraId="2B5BCC64" w14:textId="1701C44C" w:rsidR="00FE422A" w:rsidRPr="0080245A" w:rsidRDefault="009C627C" w:rsidP="00FE422A">
          <w:pPr>
            <w:pStyle w:val="TDC3"/>
            <w:rPr>
              <w:rFonts w:asciiTheme="minorHAnsi" w:eastAsiaTheme="minorEastAsia" w:hAnsiTheme="minorHAnsi" w:cstheme="minorBidi"/>
              <w:noProof/>
              <w:szCs w:val="22"/>
              <w:lang w:eastAsia="es-MX"/>
            </w:rPr>
          </w:pPr>
          <w:hyperlink w:anchor="_Toc212099313" w:history="1">
            <w:r w:rsidR="00FE422A" w:rsidRPr="0080245A">
              <w:rPr>
                <w:rStyle w:val="Hipervnculo"/>
                <w:noProof/>
                <w:color w:val="auto"/>
              </w:rPr>
              <w:t>c) Prórroga</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_Toc212099313 \h </w:instrText>
            </w:r>
            <w:r w:rsidR="00FE422A" w:rsidRPr="0080245A">
              <w:rPr>
                <w:noProof/>
                <w:webHidden/>
              </w:rPr>
            </w:r>
            <w:r w:rsidR="00FE422A" w:rsidRPr="0080245A">
              <w:rPr>
                <w:noProof/>
                <w:webHidden/>
              </w:rPr>
              <w:fldChar w:fldCharType="separate"/>
            </w:r>
            <w:r w:rsidR="0080245A">
              <w:rPr>
                <w:noProof/>
                <w:webHidden/>
              </w:rPr>
              <w:t>2</w:t>
            </w:r>
            <w:r w:rsidR="00FE422A" w:rsidRPr="0080245A">
              <w:rPr>
                <w:noProof/>
                <w:webHidden/>
              </w:rPr>
              <w:fldChar w:fldCharType="end"/>
            </w:r>
          </w:hyperlink>
        </w:p>
        <w:p w14:paraId="7BBCD88A" w14:textId="3369CAE9" w:rsidR="00FE422A" w:rsidRPr="0080245A" w:rsidRDefault="009C627C" w:rsidP="00FE422A">
          <w:pPr>
            <w:pStyle w:val="TDC3"/>
            <w:rPr>
              <w:rFonts w:asciiTheme="minorHAnsi" w:eastAsiaTheme="minorEastAsia" w:hAnsiTheme="minorHAnsi" w:cstheme="minorBidi"/>
              <w:noProof/>
              <w:szCs w:val="22"/>
              <w:lang w:eastAsia="es-MX"/>
            </w:rPr>
          </w:pPr>
          <w:hyperlink w:anchor="_Toc212099314" w:history="1">
            <w:r w:rsidR="00FE422A" w:rsidRPr="0080245A">
              <w:rPr>
                <w:rStyle w:val="Hipervnculo"/>
                <w:noProof/>
                <w:color w:val="auto"/>
                <w:lang w:val="es-ES"/>
              </w:rPr>
              <w:t xml:space="preserve">d) Respuesta </w:t>
            </w:r>
            <w:r w:rsidR="00FE422A" w:rsidRPr="0080245A">
              <w:rPr>
                <w:rStyle w:val="Hipervnculo"/>
                <w:rFonts w:eastAsia="Calibri"/>
                <w:noProof/>
                <w:color w:val="auto"/>
                <w:lang w:eastAsia="en-US"/>
              </w:rPr>
              <w:t>del Sujeto Obligado</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_Toc212099314 \h </w:instrText>
            </w:r>
            <w:r w:rsidR="00FE422A" w:rsidRPr="0080245A">
              <w:rPr>
                <w:noProof/>
                <w:webHidden/>
              </w:rPr>
            </w:r>
            <w:r w:rsidR="00FE422A" w:rsidRPr="0080245A">
              <w:rPr>
                <w:noProof/>
                <w:webHidden/>
              </w:rPr>
              <w:fldChar w:fldCharType="separate"/>
            </w:r>
            <w:r w:rsidR="0080245A">
              <w:rPr>
                <w:noProof/>
                <w:webHidden/>
              </w:rPr>
              <w:t>3</w:t>
            </w:r>
            <w:r w:rsidR="00FE422A" w:rsidRPr="0080245A">
              <w:rPr>
                <w:noProof/>
                <w:webHidden/>
              </w:rPr>
              <w:fldChar w:fldCharType="end"/>
            </w:r>
          </w:hyperlink>
        </w:p>
        <w:p w14:paraId="16CC1986" w14:textId="6094CAF4" w:rsidR="00FE422A" w:rsidRPr="0080245A" w:rsidRDefault="009C627C" w:rsidP="00FE422A">
          <w:pPr>
            <w:pStyle w:val="TDC2"/>
            <w:rPr>
              <w:rFonts w:asciiTheme="minorHAnsi" w:eastAsiaTheme="minorEastAsia" w:hAnsiTheme="minorHAnsi" w:cstheme="minorBidi"/>
              <w:noProof/>
              <w:szCs w:val="22"/>
              <w:lang w:eastAsia="es-MX"/>
            </w:rPr>
          </w:pPr>
          <w:hyperlink w:anchor="_Toc212099315" w:history="1">
            <w:r w:rsidR="00FE422A" w:rsidRPr="0080245A">
              <w:rPr>
                <w:rStyle w:val="Hipervnculo"/>
                <w:noProof/>
                <w:color w:val="auto"/>
              </w:rPr>
              <w:t>DEL RECURSO DE REVISIÓN</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_Toc212099315 \h </w:instrText>
            </w:r>
            <w:r w:rsidR="00FE422A" w:rsidRPr="0080245A">
              <w:rPr>
                <w:noProof/>
                <w:webHidden/>
              </w:rPr>
            </w:r>
            <w:r w:rsidR="00FE422A" w:rsidRPr="0080245A">
              <w:rPr>
                <w:noProof/>
                <w:webHidden/>
              </w:rPr>
              <w:fldChar w:fldCharType="separate"/>
            </w:r>
            <w:r w:rsidR="0080245A">
              <w:rPr>
                <w:noProof/>
                <w:webHidden/>
              </w:rPr>
              <w:t>4</w:t>
            </w:r>
            <w:r w:rsidR="00FE422A" w:rsidRPr="0080245A">
              <w:rPr>
                <w:noProof/>
                <w:webHidden/>
              </w:rPr>
              <w:fldChar w:fldCharType="end"/>
            </w:r>
          </w:hyperlink>
        </w:p>
        <w:p w14:paraId="2EFBF908" w14:textId="2858260E" w:rsidR="00FE422A" w:rsidRPr="0080245A" w:rsidRDefault="009C627C" w:rsidP="00FE422A">
          <w:pPr>
            <w:pStyle w:val="TDC3"/>
            <w:rPr>
              <w:rFonts w:asciiTheme="minorHAnsi" w:eastAsiaTheme="minorEastAsia" w:hAnsiTheme="minorHAnsi" w:cstheme="minorBidi"/>
              <w:noProof/>
              <w:szCs w:val="22"/>
              <w:lang w:eastAsia="es-MX"/>
            </w:rPr>
          </w:pPr>
          <w:hyperlink w:anchor="_Toc212099316" w:history="1">
            <w:r w:rsidR="00FE422A" w:rsidRPr="0080245A">
              <w:rPr>
                <w:rStyle w:val="Hipervnculo"/>
                <w:noProof/>
                <w:color w:val="auto"/>
              </w:rPr>
              <w:t>a) Interposición del Recurso de Revisión</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_Toc212099316 \h </w:instrText>
            </w:r>
            <w:r w:rsidR="00FE422A" w:rsidRPr="0080245A">
              <w:rPr>
                <w:noProof/>
                <w:webHidden/>
              </w:rPr>
            </w:r>
            <w:r w:rsidR="00FE422A" w:rsidRPr="0080245A">
              <w:rPr>
                <w:noProof/>
                <w:webHidden/>
              </w:rPr>
              <w:fldChar w:fldCharType="separate"/>
            </w:r>
            <w:r w:rsidR="0080245A">
              <w:rPr>
                <w:noProof/>
                <w:webHidden/>
              </w:rPr>
              <w:t>4</w:t>
            </w:r>
            <w:r w:rsidR="00FE422A" w:rsidRPr="0080245A">
              <w:rPr>
                <w:noProof/>
                <w:webHidden/>
              </w:rPr>
              <w:fldChar w:fldCharType="end"/>
            </w:r>
          </w:hyperlink>
        </w:p>
        <w:p w14:paraId="138D6919" w14:textId="21738371" w:rsidR="00FE422A" w:rsidRPr="0080245A" w:rsidRDefault="009C627C" w:rsidP="00FE422A">
          <w:pPr>
            <w:pStyle w:val="TDC3"/>
            <w:rPr>
              <w:rFonts w:asciiTheme="minorHAnsi" w:eastAsiaTheme="minorEastAsia" w:hAnsiTheme="minorHAnsi" w:cstheme="minorBidi"/>
              <w:noProof/>
              <w:szCs w:val="22"/>
              <w:lang w:eastAsia="es-MX"/>
            </w:rPr>
          </w:pPr>
          <w:hyperlink w:anchor="_Toc212099317" w:history="1">
            <w:r w:rsidR="00FE422A" w:rsidRPr="0080245A">
              <w:rPr>
                <w:rStyle w:val="Hipervnculo"/>
                <w:noProof/>
                <w:color w:val="auto"/>
              </w:rPr>
              <w:t>b) Turno del Recurso de Revisión</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_Toc212099317 \h </w:instrText>
            </w:r>
            <w:r w:rsidR="00FE422A" w:rsidRPr="0080245A">
              <w:rPr>
                <w:noProof/>
                <w:webHidden/>
              </w:rPr>
            </w:r>
            <w:r w:rsidR="00FE422A" w:rsidRPr="0080245A">
              <w:rPr>
                <w:noProof/>
                <w:webHidden/>
              </w:rPr>
              <w:fldChar w:fldCharType="separate"/>
            </w:r>
            <w:r w:rsidR="0080245A">
              <w:rPr>
                <w:noProof/>
                <w:webHidden/>
              </w:rPr>
              <w:t>5</w:t>
            </w:r>
            <w:r w:rsidR="00FE422A" w:rsidRPr="0080245A">
              <w:rPr>
                <w:noProof/>
                <w:webHidden/>
              </w:rPr>
              <w:fldChar w:fldCharType="end"/>
            </w:r>
          </w:hyperlink>
        </w:p>
        <w:p w14:paraId="3305989C" w14:textId="0D1B05A8" w:rsidR="00FE422A" w:rsidRPr="0080245A" w:rsidRDefault="009C627C" w:rsidP="00FE422A">
          <w:pPr>
            <w:pStyle w:val="TDC3"/>
            <w:rPr>
              <w:rFonts w:asciiTheme="minorHAnsi" w:eastAsiaTheme="minorEastAsia" w:hAnsiTheme="minorHAnsi" w:cstheme="minorBidi"/>
              <w:noProof/>
              <w:szCs w:val="22"/>
              <w:lang w:eastAsia="es-MX"/>
            </w:rPr>
          </w:pPr>
          <w:hyperlink w:anchor="_Toc212099318" w:history="1">
            <w:r w:rsidR="00FE422A" w:rsidRPr="0080245A">
              <w:rPr>
                <w:rStyle w:val="Hipervnculo"/>
                <w:noProof/>
                <w:color w:val="auto"/>
              </w:rPr>
              <w:t>c) Admisión del Recurso de Revisión</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_Toc212099318 \h </w:instrText>
            </w:r>
            <w:r w:rsidR="00FE422A" w:rsidRPr="0080245A">
              <w:rPr>
                <w:noProof/>
                <w:webHidden/>
              </w:rPr>
            </w:r>
            <w:r w:rsidR="00FE422A" w:rsidRPr="0080245A">
              <w:rPr>
                <w:noProof/>
                <w:webHidden/>
              </w:rPr>
              <w:fldChar w:fldCharType="separate"/>
            </w:r>
            <w:r w:rsidR="0080245A">
              <w:rPr>
                <w:noProof/>
                <w:webHidden/>
              </w:rPr>
              <w:t>6</w:t>
            </w:r>
            <w:r w:rsidR="00FE422A" w:rsidRPr="0080245A">
              <w:rPr>
                <w:noProof/>
                <w:webHidden/>
              </w:rPr>
              <w:fldChar w:fldCharType="end"/>
            </w:r>
          </w:hyperlink>
        </w:p>
        <w:p w14:paraId="78BC58CF" w14:textId="6BE6EE06" w:rsidR="00FE422A" w:rsidRPr="0080245A" w:rsidRDefault="009C627C" w:rsidP="00FE422A">
          <w:pPr>
            <w:pStyle w:val="TDC3"/>
            <w:rPr>
              <w:rFonts w:asciiTheme="minorHAnsi" w:eastAsiaTheme="minorEastAsia" w:hAnsiTheme="minorHAnsi" w:cstheme="minorBidi"/>
              <w:noProof/>
              <w:szCs w:val="22"/>
              <w:lang w:eastAsia="es-MX"/>
            </w:rPr>
          </w:pPr>
          <w:hyperlink w:anchor="_Toc212099319" w:history="1">
            <w:r w:rsidR="00FE422A" w:rsidRPr="0080245A">
              <w:rPr>
                <w:rStyle w:val="Hipervnculo"/>
                <w:noProof/>
                <w:color w:val="auto"/>
              </w:rPr>
              <w:t>d) Informe Justificado del Sujeto Obligado</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_Toc212099319 \h </w:instrText>
            </w:r>
            <w:r w:rsidR="00FE422A" w:rsidRPr="0080245A">
              <w:rPr>
                <w:noProof/>
                <w:webHidden/>
              </w:rPr>
            </w:r>
            <w:r w:rsidR="00FE422A" w:rsidRPr="0080245A">
              <w:rPr>
                <w:noProof/>
                <w:webHidden/>
              </w:rPr>
              <w:fldChar w:fldCharType="separate"/>
            </w:r>
            <w:r w:rsidR="0080245A">
              <w:rPr>
                <w:noProof/>
                <w:webHidden/>
              </w:rPr>
              <w:t>6</w:t>
            </w:r>
            <w:r w:rsidR="00FE422A" w:rsidRPr="0080245A">
              <w:rPr>
                <w:noProof/>
                <w:webHidden/>
              </w:rPr>
              <w:fldChar w:fldCharType="end"/>
            </w:r>
          </w:hyperlink>
        </w:p>
        <w:p w14:paraId="6CA7E99E" w14:textId="1D354F0C" w:rsidR="00FE422A" w:rsidRPr="0080245A" w:rsidRDefault="009C627C" w:rsidP="00FE422A">
          <w:pPr>
            <w:pStyle w:val="TDC3"/>
            <w:rPr>
              <w:rFonts w:asciiTheme="minorHAnsi" w:eastAsiaTheme="minorEastAsia" w:hAnsiTheme="minorHAnsi" w:cstheme="minorBidi"/>
              <w:noProof/>
              <w:szCs w:val="22"/>
              <w:lang w:eastAsia="es-MX"/>
            </w:rPr>
          </w:pPr>
          <w:hyperlink w:anchor="_Toc212099320" w:history="1">
            <w:r w:rsidR="00FE422A" w:rsidRPr="0080245A">
              <w:rPr>
                <w:rStyle w:val="Hipervnculo"/>
                <w:rFonts w:eastAsia="Calibri"/>
                <w:bCs/>
                <w:noProof/>
                <w:color w:val="auto"/>
                <w:lang w:eastAsia="en-US"/>
              </w:rPr>
              <w:t>e)</w:t>
            </w:r>
            <w:r w:rsidR="00FE422A" w:rsidRPr="0080245A">
              <w:rPr>
                <w:rStyle w:val="Hipervnculo"/>
                <w:noProof/>
                <w:color w:val="auto"/>
              </w:rPr>
              <w:t xml:space="preserve"> </w:t>
            </w:r>
            <w:r w:rsidR="00FE422A" w:rsidRPr="0080245A">
              <w:rPr>
                <w:rStyle w:val="Hipervnculo"/>
                <w:noProof/>
                <w:color w:val="auto"/>
                <w:lang w:val="es-ES"/>
              </w:rPr>
              <w:t>Manifestaciones de la Parte Recurrente</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_Toc212099320 \h </w:instrText>
            </w:r>
            <w:r w:rsidR="00FE422A" w:rsidRPr="0080245A">
              <w:rPr>
                <w:noProof/>
                <w:webHidden/>
              </w:rPr>
            </w:r>
            <w:r w:rsidR="00FE422A" w:rsidRPr="0080245A">
              <w:rPr>
                <w:noProof/>
                <w:webHidden/>
              </w:rPr>
              <w:fldChar w:fldCharType="separate"/>
            </w:r>
            <w:r w:rsidR="0080245A">
              <w:rPr>
                <w:noProof/>
                <w:webHidden/>
              </w:rPr>
              <w:t>6</w:t>
            </w:r>
            <w:r w:rsidR="00FE422A" w:rsidRPr="0080245A">
              <w:rPr>
                <w:noProof/>
                <w:webHidden/>
              </w:rPr>
              <w:fldChar w:fldCharType="end"/>
            </w:r>
          </w:hyperlink>
        </w:p>
        <w:p w14:paraId="00BA4C50" w14:textId="08CDB90D" w:rsidR="00FE422A" w:rsidRPr="0080245A" w:rsidRDefault="009C627C" w:rsidP="00FE422A">
          <w:pPr>
            <w:pStyle w:val="TDC3"/>
            <w:rPr>
              <w:rFonts w:asciiTheme="minorHAnsi" w:eastAsiaTheme="minorEastAsia" w:hAnsiTheme="minorHAnsi" w:cstheme="minorBidi"/>
              <w:noProof/>
              <w:szCs w:val="22"/>
              <w:lang w:eastAsia="es-MX"/>
            </w:rPr>
          </w:pPr>
          <w:hyperlink w:anchor="_Toc212099321" w:history="1">
            <w:r w:rsidR="00FE422A" w:rsidRPr="0080245A">
              <w:rPr>
                <w:rStyle w:val="Hipervnculo"/>
                <w:noProof/>
                <w:color w:val="auto"/>
              </w:rPr>
              <w:t>f) Cierre de instrucción</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_Toc212099321 \h </w:instrText>
            </w:r>
            <w:r w:rsidR="00FE422A" w:rsidRPr="0080245A">
              <w:rPr>
                <w:noProof/>
                <w:webHidden/>
              </w:rPr>
            </w:r>
            <w:r w:rsidR="00FE422A" w:rsidRPr="0080245A">
              <w:rPr>
                <w:noProof/>
                <w:webHidden/>
              </w:rPr>
              <w:fldChar w:fldCharType="separate"/>
            </w:r>
            <w:r w:rsidR="0080245A">
              <w:rPr>
                <w:noProof/>
                <w:webHidden/>
              </w:rPr>
              <w:t>7</w:t>
            </w:r>
            <w:r w:rsidR="00FE422A" w:rsidRPr="0080245A">
              <w:rPr>
                <w:noProof/>
                <w:webHidden/>
              </w:rPr>
              <w:fldChar w:fldCharType="end"/>
            </w:r>
          </w:hyperlink>
        </w:p>
        <w:p w14:paraId="060E3A8F" w14:textId="4B3F6F7A" w:rsidR="00FE422A" w:rsidRPr="0080245A" w:rsidRDefault="009C627C" w:rsidP="00FE422A">
          <w:pPr>
            <w:pStyle w:val="TDC1"/>
            <w:tabs>
              <w:tab w:val="right" w:leader="dot" w:pos="9034"/>
            </w:tabs>
            <w:rPr>
              <w:rFonts w:asciiTheme="minorHAnsi" w:eastAsiaTheme="minorEastAsia" w:hAnsiTheme="minorHAnsi" w:cstheme="minorBidi"/>
              <w:noProof/>
              <w:szCs w:val="22"/>
              <w:lang w:eastAsia="es-MX"/>
            </w:rPr>
          </w:pPr>
          <w:hyperlink w:anchor="_Toc212099322" w:history="1">
            <w:r w:rsidR="00FE422A" w:rsidRPr="0080245A">
              <w:rPr>
                <w:rStyle w:val="Hipervnculo"/>
                <w:rFonts w:eastAsiaTheme="minorHAnsi"/>
                <w:noProof/>
                <w:color w:val="auto"/>
                <w:lang w:eastAsia="en-US"/>
              </w:rPr>
              <w:t>CONSIDERANDOS</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_Toc212099322 \h </w:instrText>
            </w:r>
            <w:r w:rsidR="00FE422A" w:rsidRPr="0080245A">
              <w:rPr>
                <w:noProof/>
                <w:webHidden/>
              </w:rPr>
            </w:r>
            <w:r w:rsidR="00FE422A" w:rsidRPr="0080245A">
              <w:rPr>
                <w:noProof/>
                <w:webHidden/>
              </w:rPr>
              <w:fldChar w:fldCharType="separate"/>
            </w:r>
            <w:r w:rsidR="0080245A">
              <w:rPr>
                <w:noProof/>
                <w:webHidden/>
              </w:rPr>
              <w:t>7</w:t>
            </w:r>
            <w:r w:rsidR="00FE422A" w:rsidRPr="0080245A">
              <w:rPr>
                <w:noProof/>
                <w:webHidden/>
              </w:rPr>
              <w:fldChar w:fldCharType="end"/>
            </w:r>
          </w:hyperlink>
        </w:p>
        <w:p w14:paraId="6AE93AD7" w14:textId="348B8024" w:rsidR="00FE422A" w:rsidRPr="0080245A" w:rsidRDefault="009C627C" w:rsidP="00FE422A">
          <w:pPr>
            <w:pStyle w:val="TDC2"/>
            <w:rPr>
              <w:rFonts w:asciiTheme="minorHAnsi" w:eastAsiaTheme="minorEastAsia" w:hAnsiTheme="minorHAnsi" w:cstheme="minorBidi"/>
              <w:noProof/>
              <w:szCs w:val="22"/>
              <w:lang w:eastAsia="es-MX"/>
            </w:rPr>
          </w:pPr>
          <w:hyperlink w:anchor="_Toc212099323" w:history="1">
            <w:r w:rsidR="00FE422A" w:rsidRPr="0080245A">
              <w:rPr>
                <w:rStyle w:val="Hipervnculo"/>
                <w:rFonts w:eastAsia="Batang"/>
                <w:noProof/>
                <w:color w:val="auto"/>
              </w:rPr>
              <w:t>PRIMERO. Procedibilidad</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_Toc212099323 \h </w:instrText>
            </w:r>
            <w:r w:rsidR="00FE422A" w:rsidRPr="0080245A">
              <w:rPr>
                <w:noProof/>
                <w:webHidden/>
              </w:rPr>
            </w:r>
            <w:r w:rsidR="00FE422A" w:rsidRPr="0080245A">
              <w:rPr>
                <w:noProof/>
                <w:webHidden/>
              </w:rPr>
              <w:fldChar w:fldCharType="separate"/>
            </w:r>
            <w:r w:rsidR="0080245A">
              <w:rPr>
                <w:noProof/>
                <w:webHidden/>
              </w:rPr>
              <w:t>7</w:t>
            </w:r>
            <w:r w:rsidR="00FE422A" w:rsidRPr="0080245A">
              <w:rPr>
                <w:noProof/>
                <w:webHidden/>
              </w:rPr>
              <w:fldChar w:fldCharType="end"/>
            </w:r>
          </w:hyperlink>
        </w:p>
        <w:p w14:paraId="10834CF7" w14:textId="1F8E5A99" w:rsidR="00FE422A" w:rsidRPr="0080245A" w:rsidRDefault="009C627C" w:rsidP="00FE422A">
          <w:pPr>
            <w:pStyle w:val="TDC3"/>
            <w:rPr>
              <w:rFonts w:asciiTheme="minorHAnsi" w:eastAsiaTheme="minorEastAsia" w:hAnsiTheme="minorHAnsi" w:cstheme="minorBidi"/>
              <w:noProof/>
              <w:szCs w:val="22"/>
              <w:lang w:eastAsia="es-MX"/>
            </w:rPr>
          </w:pPr>
          <w:hyperlink w:anchor="_Toc212099324" w:history="1">
            <w:r w:rsidR="00FE422A" w:rsidRPr="0080245A">
              <w:rPr>
                <w:rStyle w:val="Hipervnculo"/>
                <w:noProof/>
                <w:color w:val="auto"/>
              </w:rPr>
              <w:t>a) Competencia del Instituto</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_Toc212099324 \h </w:instrText>
            </w:r>
            <w:r w:rsidR="00FE422A" w:rsidRPr="0080245A">
              <w:rPr>
                <w:noProof/>
                <w:webHidden/>
              </w:rPr>
            </w:r>
            <w:r w:rsidR="00FE422A" w:rsidRPr="0080245A">
              <w:rPr>
                <w:noProof/>
                <w:webHidden/>
              </w:rPr>
              <w:fldChar w:fldCharType="separate"/>
            </w:r>
            <w:r w:rsidR="0080245A">
              <w:rPr>
                <w:noProof/>
                <w:webHidden/>
              </w:rPr>
              <w:t>7</w:t>
            </w:r>
            <w:r w:rsidR="00FE422A" w:rsidRPr="0080245A">
              <w:rPr>
                <w:noProof/>
                <w:webHidden/>
              </w:rPr>
              <w:fldChar w:fldCharType="end"/>
            </w:r>
          </w:hyperlink>
        </w:p>
        <w:p w14:paraId="182C67E4" w14:textId="6877F7D0" w:rsidR="00FE422A" w:rsidRPr="0080245A" w:rsidRDefault="009C627C" w:rsidP="00FE422A">
          <w:pPr>
            <w:pStyle w:val="TDC3"/>
            <w:rPr>
              <w:rFonts w:asciiTheme="minorHAnsi" w:eastAsiaTheme="minorEastAsia" w:hAnsiTheme="minorHAnsi" w:cstheme="minorBidi"/>
              <w:noProof/>
              <w:szCs w:val="22"/>
              <w:lang w:eastAsia="es-MX"/>
            </w:rPr>
          </w:pPr>
          <w:hyperlink w:anchor="_Toc212099325" w:history="1">
            <w:r w:rsidR="00FE422A" w:rsidRPr="0080245A">
              <w:rPr>
                <w:rStyle w:val="Hipervnculo"/>
                <w:noProof/>
                <w:color w:val="auto"/>
              </w:rPr>
              <w:t>b) Legitimidad de la parte recurrente</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_Toc212099325 \h </w:instrText>
            </w:r>
            <w:r w:rsidR="00FE422A" w:rsidRPr="0080245A">
              <w:rPr>
                <w:noProof/>
                <w:webHidden/>
              </w:rPr>
            </w:r>
            <w:r w:rsidR="00FE422A" w:rsidRPr="0080245A">
              <w:rPr>
                <w:noProof/>
                <w:webHidden/>
              </w:rPr>
              <w:fldChar w:fldCharType="separate"/>
            </w:r>
            <w:r w:rsidR="0080245A">
              <w:rPr>
                <w:noProof/>
                <w:webHidden/>
              </w:rPr>
              <w:t>8</w:t>
            </w:r>
            <w:r w:rsidR="00FE422A" w:rsidRPr="0080245A">
              <w:rPr>
                <w:noProof/>
                <w:webHidden/>
              </w:rPr>
              <w:fldChar w:fldCharType="end"/>
            </w:r>
          </w:hyperlink>
        </w:p>
        <w:p w14:paraId="7A9A463B" w14:textId="0DE2DD40" w:rsidR="00FE422A" w:rsidRPr="0080245A" w:rsidRDefault="009C627C" w:rsidP="00FE422A">
          <w:pPr>
            <w:pStyle w:val="TDC3"/>
            <w:rPr>
              <w:rFonts w:asciiTheme="minorHAnsi" w:eastAsiaTheme="minorEastAsia" w:hAnsiTheme="minorHAnsi" w:cstheme="minorBidi"/>
              <w:noProof/>
              <w:szCs w:val="22"/>
              <w:lang w:eastAsia="es-MX"/>
            </w:rPr>
          </w:pPr>
          <w:hyperlink w:anchor="_Toc212099326" w:history="1">
            <w:r w:rsidR="00FE422A" w:rsidRPr="0080245A">
              <w:rPr>
                <w:rStyle w:val="Hipervnculo"/>
                <w:rFonts w:eastAsia="Calibri"/>
                <w:noProof/>
                <w:color w:val="auto"/>
                <w:lang w:eastAsia="es-ES_tradnl"/>
              </w:rPr>
              <w:t>c) Plazo para interponer el recurso</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_Toc212099326 \h </w:instrText>
            </w:r>
            <w:r w:rsidR="00FE422A" w:rsidRPr="0080245A">
              <w:rPr>
                <w:noProof/>
                <w:webHidden/>
              </w:rPr>
            </w:r>
            <w:r w:rsidR="00FE422A" w:rsidRPr="0080245A">
              <w:rPr>
                <w:noProof/>
                <w:webHidden/>
              </w:rPr>
              <w:fldChar w:fldCharType="separate"/>
            </w:r>
            <w:r w:rsidR="0080245A">
              <w:rPr>
                <w:noProof/>
                <w:webHidden/>
              </w:rPr>
              <w:t>8</w:t>
            </w:r>
            <w:r w:rsidR="00FE422A" w:rsidRPr="0080245A">
              <w:rPr>
                <w:noProof/>
                <w:webHidden/>
              </w:rPr>
              <w:fldChar w:fldCharType="end"/>
            </w:r>
          </w:hyperlink>
        </w:p>
        <w:p w14:paraId="0B852C50" w14:textId="4E14009C" w:rsidR="00FE422A" w:rsidRPr="0080245A" w:rsidRDefault="009C627C" w:rsidP="00FE422A">
          <w:pPr>
            <w:pStyle w:val="TDC3"/>
            <w:rPr>
              <w:rFonts w:asciiTheme="minorHAnsi" w:eastAsiaTheme="minorEastAsia" w:hAnsiTheme="minorHAnsi" w:cstheme="minorBidi"/>
              <w:noProof/>
              <w:szCs w:val="22"/>
              <w:lang w:eastAsia="es-MX"/>
            </w:rPr>
          </w:pPr>
          <w:hyperlink w:anchor="_Toc212099327" w:history="1">
            <w:r w:rsidR="00FE422A" w:rsidRPr="0080245A">
              <w:rPr>
                <w:rStyle w:val="Hipervnculo"/>
                <w:rFonts w:eastAsia="Calibri"/>
                <w:noProof/>
                <w:color w:val="auto"/>
                <w:lang w:eastAsia="es-ES_tradnl"/>
              </w:rPr>
              <w:t>d) Causal de Procedencia</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_Toc212099327 \h </w:instrText>
            </w:r>
            <w:r w:rsidR="00FE422A" w:rsidRPr="0080245A">
              <w:rPr>
                <w:noProof/>
                <w:webHidden/>
              </w:rPr>
            </w:r>
            <w:r w:rsidR="00FE422A" w:rsidRPr="0080245A">
              <w:rPr>
                <w:noProof/>
                <w:webHidden/>
              </w:rPr>
              <w:fldChar w:fldCharType="separate"/>
            </w:r>
            <w:r w:rsidR="0080245A">
              <w:rPr>
                <w:noProof/>
                <w:webHidden/>
              </w:rPr>
              <w:t>8</w:t>
            </w:r>
            <w:r w:rsidR="00FE422A" w:rsidRPr="0080245A">
              <w:rPr>
                <w:noProof/>
                <w:webHidden/>
              </w:rPr>
              <w:fldChar w:fldCharType="end"/>
            </w:r>
          </w:hyperlink>
        </w:p>
        <w:p w14:paraId="0F01BBAD" w14:textId="05F13240" w:rsidR="00FE422A" w:rsidRPr="0080245A" w:rsidRDefault="009C627C" w:rsidP="00FE422A">
          <w:pPr>
            <w:pStyle w:val="TDC3"/>
            <w:rPr>
              <w:rFonts w:asciiTheme="minorHAnsi" w:eastAsiaTheme="minorEastAsia" w:hAnsiTheme="minorHAnsi" w:cstheme="minorBidi"/>
              <w:noProof/>
              <w:szCs w:val="22"/>
              <w:lang w:eastAsia="es-MX"/>
            </w:rPr>
          </w:pPr>
          <w:hyperlink w:anchor="_Toc212099328" w:history="1">
            <w:r w:rsidR="00FE422A" w:rsidRPr="0080245A">
              <w:rPr>
                <w:rStyle w:val="Hipervnculo"/>
                <w:noProof/>
                <w:color w:val="auto"/>
              </w:rPr>
              <w:t>e) Requisitos formales para la interposición del recurso</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_Toc212099328 \h </w:instrText>
            </w:r>
            <w:r w:rsidR="00FE422A" w:rsidRPr="0080245A">
              <w:rPr>
                <w:noProof/>
                <w:webHidden/>
              </w:rPr>
            </w:r>
            <w:r w:rsidR="00FE422A" w:rsidRPr="0080245A">
              <w:rPr>
                <w:noProof/>
                <w:webHidden/>
              </w:rPr>
              <w:fldChar w:fldCharType="separate"/>
            </w:r>
            <w:r w:rsidR="0080245A">
              <w:rPr>
                <w:noProof/>
                <w:webHidden/>
              </w:rPr>
              <w:t>8</w:t>
            </w:r>
            <w:r w:rsidR="00FE422A" w:rsidRPr="0080245A">
              <w:rPr>
                <w:noProof/>
                <w:webHidden/>
              </w:rPr>
              <w:fldChar w:fldCharType="end"/>
            </w:r>
          </w:hyperlink>
        </w:p>
        <w:p w14:paraId="5089A1AE" w14:textId="0DFC67D6" w:rsidR="00FE422A" w:rsidRPr="0080245A" w:rsidRDefault="009C627C" w:rsidP="00FE422A">
          <w:pPr>
            <w:pStyle w:val="TDC2"/>
            <w:rPr>
              <w:rFonts w:asciiTheme="minorHAnsi" w:eastAsiaTheme="minorEastAsia" w:hAnsiTheme="minorHAnsi" w:cstheme="minorBidi"/>
              <w:noProof/>
              <w:szCs w:val="22"/>
              <w:lang w:eastAsia="es-MX"/>
            </w:rPr>
          </w:pPr>
          <w:hyperlink w:anchor="_Toc212099329" w:history="1">
            <w:r w:rsidR="00FE422A" w:rsidRPr="0080245A">
              <w:rPr>
                <w:rStyle w:val="Hipervnculo"/>
                <w:noProof/>
                <w:color w:val="auto"/>
              </w:rPr>
              <w:t>SEGUNDO. Estudio de Fondo</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_Toc212099329 \h </w:instrText>
            </w:r>
            <w:r w:rsidR="00FE422A" w:rsidRPr="0080245A">
              <w:rPr>
                <w:noProof/>
                <w:webHidden/>
              </w:rPr>
            </w:r>
            <w:r w:rsidR="00FE422A" w:rsidRPr="0080245A">
              <w:rPr>
                <w:noProof/>
                <w:webHidden/>
              </w:rPr>
              <w:fldChar w:fldCharType="separate"/>
            </w:r>
            <w:r w:rsidR="0080245A">
              <w:rPr>
                <w:noProof/>
                <w:webHidden/>
              </w:rPr>
              <w:t>9</w:t>
            </w:r>
            <w:r w:rsidR="00FE422A" w:rsidRPr="0080245A">
              <w:rPr>
                <w:noProof/>
                <w:webHidden/>
              </w:rPr>
              <w:fldChar w:fldCharType="end"/>
            </w:r>
          </w:hyperlink>
        </w:p>
        <w:p w14:paraId="4B0C7524" w14:textId="3B9B27B6" w:rsidR="00FE422A" w:rsidRPr="0080245A" w:rsidRDefault="009C627C" w:rsidP="00FE422A">
          <w:pPr>
            <w:pStyle w:val="TDC3"/>
            <w:rPr>
              <w:rFonts w:asciiTheme="minorHAnsi" w:eastAsiaTheme="minorEastAsia" w:hAnsiTheme="minorHAnsi" w:cstheme="minorBidi"/>
              <w:noProof/>
              <w:szCs w:val="22"/>
              <w:lang w:eastAsia="es-MX"/>
            </w:rPr>
          </w:pPr>
          <w:hyperlink w:anchor="_Toc212099330" w:history="1">
            <w:r w:rsidR="00FE422A" w:rsidRPr="0080245A">
              <w:rPr>
                <w:rStyle w:val="Hipervnculo"/>
                <w:noProof/>
                <w:color w:val="auto"/>
              </w:rPr>
              <w:t>a) Mandato de transparencia y responsabilidad del Sujeto Obligado</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_Toc212099330 \h </w:instrText>
            </w:r>
            <w:r w:rsidR="00FE422A" w:rsidRPr="0080245A">
              <w:rPr>
                <w:noProof/>
                <w:webHidden/>
              </w:rPr>
            </w:r>
            <w:r w:rsidR="00FE422A" w:rsidRPr="0080245A">
              <w:rPr>
                <w:noProof/>
                <w:webHidden/>
              </w:rPr>
              <w:fldChar w:fldCharType="separate"/>
            </w:r>
            <w:r w:rsidR="0080245A">
              <w:rPr>
                <w:noProof/>
                <w:webHidden/>
              </w:rPr>
              <w:t>9</w:t>
            </w:r>
            <w:r w:rsidR="00FE422A" w:rsidRPr="0080245A">
              <w:rPr>
                <w:noProof/>
                <w:webHidden/>
              </w:rPr>
              <w:fldChar w:fldCharType="end"/>
            </w:r>
          </w:hyperlink>
        </w:p>
        <w:p w14:paraId="37F6B341" w14:textId="6071B144" w:rsidR="00FE422A" w:rsidRPr="0080245A" w:rsidRDefault="009C627C" w:rsidP="00FE422A">
          <w:pPr>
            <w:pStyle w:val="TDC3"/>
            <w:rPr>
              <w:rFonts w:asciiTheme="minorHAnsi" w:eastAsiaTheme="minorEastAsia" w:hAnsiTheme="minorHAnsi" w:cstheme="minorBidi"/>
              <w:noProof/>
              <w:szCs w:val="22"/>
              <w:lang w:eastAsia="es-MX"/>
            </w:rPr>
          </w:pPr>
          <w:hyperlink w:anchor="_Toc212099331" w:history="1">
            <w:r w:rsidR="00FE422A" w:rsidRPr="0080245A">
              <w:rPr>
                <w:rStyle w:val="Hipervnculo"/>
                <w:rFonts w:eastAsia="Calibri"/>
                <w:noProof/>
                <w:color w:val="auto"/>
                <w:lang w:eastAsia="es-ES_tradnl"/>
              </w:rPr>
              <w:t>b) Controversia a resolver</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_Toc212099331 \h </w:instrText>
            </w:r>
            <w:r w:rsidR="00FE422A" w:rsidRPr="0080245A">
              <w:rPr>
                <w:noProof/>
                <w:webHidden/>
              </w:rPr>
            </w:r>
            <w:r w:rsidR="00FE422A" w:rsidRPr="0080245A">
              <w:rPr>
                <w:noProof/>
                <w:webHidden/>
              </w:rPr>
              <w:fldChar w:fldCharType="separate"/>
            </w:r>
            <w:r w:rsidR="0080245A">
              <w:rPr>
                <w:noProof/>
                <w:webHidden/>
              </w:rPr>
              <w:t>12</w:t>
            </w:r>
            <w:r w:rsidR="00FE422A" w:rsidRPr="0080245A">
              <w:rPr>
                <w:noProof/>
                <w:webHidden/>
              </w:rPr>
              <w:fldChar w:fldCharType="end"/>
            </w:r>
          </w:hyperlink>
        </w:p>
        <w:p w14:paraId="0E47A1E7" w14:textId="6363C85F" w:rsidR="00FE422A" w:rsidRPr="0080245A" w:rsidRDefault="009C627C" w:rsidP="00FE422A">
          <w:pPr>
            <w:pStyle w:val="TDC3"/>
            <w:rPr>
              <w:rFonts w:asciiTheme="minorHAnsi" w:eastAsiaTheme="minorEastAsia" w:hAnsiTheme="minorHAnsi" w:cstheme="minorBidi"/>
              <w:noProof/>
              <w:szCs w:val="22"/>
              <w:lang w:eastAsia="es-MX"/>
            </w:rPr>
          </w:pPr>
          <w:hyperlink w:anchor="_Toc212099332" w:history="1">
            <w:r w:rsidR="00FE422A" w:rsidRPr="0080245A">
              <w:rPr>
                <w:rStyle w:val="Hipervnculo"/>
                <w:noProof/>
                <w:color w:val="auto"/>
              </w:rPr>
              <w:t>c) Estudio de la controversia</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_Toc212099332 \h </w:instrText>
            </w:r>
            <w:r w:rsidR="00FE422A" w:rsidRPr="0080245A">
              <w:rPr>
                <w:noProof/>
                <w:webHidden/>
              </w:rPr>
            </w:r>
            <w:r w:rsidR="00FE422A" w:rsidRPr="0080245A">
              <w:rPr>
                <w:noProof/>
                <w:webHidden/>
              </w:rPr>
              <w:fldChar w:fldCharType="separate"/>
            </w:r>
            <w:r w:rsidR="0080245A">
              <w:rPr>
                <w:noProof/>
                <w:webHidden/>
              </w:rPr>
              <w:t>13</w:t>
            </w:r>
            <w:r w:rsidR="00FE422A" w:rsidRPr="0080245A">
              <w:rPr>
                <w:noProof/>
                <w:webHidden/>
              </w:rPr>
              <w:fldChar w:fldCharType="end"/>
            </w:r>
          </w:hyperlink>
        </w:p>
        <w:p w14:paraId="6D1AD3DC" w14:textId="7225C3CA" w:rsidR="00FE422A" w:rsidRPr="0080245A" w:rsidRDefault="009C627C" w:rsidP="00FE422A">
          <w:pPr>
            <w:pStyle w:val="TDC3"/>
            <w:rPr>
              <w:rFonts w:asciiTheme="minorHAnsi" w:eastAsiaTheme="minorEastAsia" w:hAnsiTheme="minorHAnsi" w:cstheme="minorBidi"/>
              <w:noProof/>
              <w:szCs w:val="22"/>
              <w:lang w:eastAsia="es-MX"/>
            </w:rPr>
          </w:pPr>
          <w:hyperlink w:anchor="_Toc212099333" w:history="1">
            <w:r w:rsidR="00FE422A" w:rsidRPr="0080245A">
              <w:rPr>
                <w:rStyle w:val="Hipervnculo"/>
                <w:noProof/>
                <w:color w:val="auto"/>
              </w:rPr>
              <w:t>d) Versión pública</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_Toc212099333 \h </w:instrText>
            </w:r>
            <w:r w:rsidR="00FE422A" w:rsidRPr="0080245A">
              <w:rPr>
                <w:noProof/>
                <w:webHidden/>
              </w:rPr>
            </w:r>
            <w:r w:rsidR="00FE422A" w:rsidRPr="0080245A">
              <w:rPr>
                <w:noProof/>
                <w:webHidden/>
              </w:rPr>
              <w:fldChar w:fldCharType="separate"/>
            </w:r>
            <w:r w:rsidR="0080245A">
              <w:rPr>
                <w:noProof/>
                <w:webHidden/>
              </w:rPr>
              <w:t>23</w:t>
            </w:r>
            <w:r w:rsidR="00FE422A" w:rsidRPr="0080245A">
              <w:rPr>
                <w:noProof/>
                <w:webHidden/>
              </w:rPr>
              <w:fldChar w:fldCharType="end"/>
            </w:r>
          </w:hyperlink>
        </w:p>
        <w:p w14:paraId="393EA0EC" w14:textId="7B4C7573" w:rsidR="00FE422A" w:rsidRPr="0080245A" w:rsidRDefault="009C627C" w:rsidP="00FE422A">
          <w:pPr>
            <w:pStyle w:val="TDC3"/>
            <w:rPr>
              <w:rFonts w:asciiTheme="minorHAnsi" w:eastAsiaTheme="minorEastAsia" w:hAnsiTheme="minorHAnsi" w:cstheme="minorBidi"/>
              <w:noProof/>
              <w:szCs w:val="22"/>
              <w:lang w:eastAsia="es-MX"/>
            </w:rPr>
          </w:pPr>
          <w:hyperlink w:anchor="_Toc212099334" w:history="1">
            <w:r w:rsidR="00FE422A" w:rsidRPr="0080245A">
              <w:rPr>
                <w:rStyle w:val="Hipervnculo"/>
                <w:noProof/>
                <w:color w:val="auto"/>
              </w:rPr>
              <w:t>e) Conclusión</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_Toc212099334 \h </w:instrText>
            </w:r>
            <w:r w:rsidR="00FE422A" w:rsidRPr="0080245A">
              <w:rPr>
                <w:noProof/>
                <w:webHidden/>
              </w:rPr>
            </w:r>
            <w:r w:rsidR="00FE422A" w:rsidRPr="0080245A">
              <w:rPr>
                <w:noProof/>
                <w:webHidden/>
              </w:rPr>
              <w:fldChar w:fldCharType="separate"/>
            </w:r>
            <w:r w:rsidR="0080245A">
              <w:rPr>
                <w:noProof/>
                <w:webHidden/>
              </w:rPr>
              <w:t>36</w:t>
            </w:r>
            <w:r w:rsidR="00FE422A" w:rsidRPr="0080245A">
              <w:rPr>
                <w:noProof/>
                <w:webHidden/>
              </w:rPr>
              <w:fldChar w:fldCharType="end"/>
            </w:r>
          </w:hyperlink>
        </w:p>
        <w:p w14:paraId="32B05D45" w14:textId="0E74163B" w:rsidR="00FE422A" w:rsidRPr="0080245A" w:rsidRDefault="009C627C" w:rsidP="00FE422A">
          <w:pPr>
            <w:pStyle w:val="TDC1"/>
            <w:tabs>
              <w:tab w:val="right" w:leader="dot" w:pos="9034"/>
            </w:tabs>
            <w:rPr>
              <w:rFonts w:asciiTheme="minorHAnsi" w:eastAsiaTheme="minorEastAsia" w:hAnsiTheme="minorHAnsi" w:cstheme="minorBidi"/>
              <w:noProof/>
              <w:szCs w:val="22"/>
              <w:lang w:eastAsia="es-MX"/>
            </w:rPr>
          </w:pPr>
          <w:hyperlink w:anchor="_Toc212099335" w:history="1">
            <w:r w:rsidR="00FE422A" w:rsidRPr="0080245A">
              <w:rPr>
                <w:rStyle w:val="Hipervnculo"/>
                <w:noProof/>
                <w:color w:val="auto"/>
              </w:rPr>
              <w:t>RESUELVE</w:t>
            </w:r>
            <w:r w:rsidR="00FE422A" w:rsidRPr="0080245A">
              <w:rPr>
                <w:noProof/>
                <w:webHidden/>
              </w:rPr>
              <w:tab/>
            </w:r>
            <w:r w:rsidR="00FE422A" w:rsidRPr="0080245A">
              <w:rPr>
                <w:noProof/>
                <w:webHidden/>
              </w:rPr>
              <w:fldChar w:fldCharType="begin"/>
            </w:r>
            <w:r w:rsidR="00FE422A" w:rsidRPr="0080245A">
              <w:rPr>
                <w:noProof/>
                <w:webHidden/>
              </w:rPr>
              <w:instrText xml:space="preserve"> PAGEREF _Toc212099335 \h </w:instrText>
            </w:r>
            <w:r w:rsidR="00FE422A" w:rsidRPr="0080245A">
              <w:rPr>
                <w:noProof/>
                <w:webHidden/>
              </w:rPr>
            </w:r>
            <w:r w:rsidR="00FE422A" w:rsidRPr="0080245A">
              <w:rPr>
                <w:noProof/>
                <w:webHidden/>
              </w:rPr>
              <w:fldChar w:fldCharType="separate"/>
            </w:r>
            <w:r w:rsidR="0080245A">
              <w:rPr>
                <w:noProof/>
                <w:webHidden/>
              </w:rPr>
              <w:t>37</w:t>
            </w:r>
            <w:r w:rsidR="00FE422A" w:rsidRPr="0080245A">
              <w:rPr>
                <w:noProof/>
                <w:webHidden/>
              </w:rPr>
              <w:fldChar w:fldCharType="end"/>
            </w:r>
          </w:hyperlink>
        </w:p>
        <w:p w14:paraId="0C82FD7A" w14:textId="3A6A48CC" w:rsidR="009B2945" w:rsidRPr="0080245A" w:rsidRDefault="00AE3DA7" w:rsidP="00FE422A">
          <w:pPr>
            <w:spacing w:line="240" w:lineRule="auto"/>
            <w:rPr>
              <w:b/>
              <w:bCs/>
              <w:lang w:val="es-ES"/>
            </w:rPr>
          </w:pPr>
          <w:r w:rsidRPr="0080245A">
            <w:rPr>
              <w:b/>
              <w:bCs/>
              <w:sz w:val="16"/>
              <w:szCs w:val="16"/>
              <w:lang w:val="es-ES"/>
            </w:rPr>
            <w:fldChar w:fldCharType="end"/>
          </w:r>
        </w:p>
      </w:sdtContent>
    </w:sdt>
    <w:p w14:paraId="603A07E2" w14:textId="77777777" w:rsidR="00646436" w:rsidRPr="0080245A" w:rsidRDefault="00646436" w:rsidP="00FE422A">
      <w:pPr>
        <w:rPr>
          <w:rFonts w:cs="Tahoma"/>
          <w:szCs w:val="22"/>
        </w:rPr>
        <w:sectPr w:rsidR="00646436" w:rsidRPr="0080245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91E868F" w:rsidR="00775BFC" w:rsidRPr="0080245A" w:rsidRDefault="00775BFC" w:rsidP="00FE422A">
      <w:pPr>
        <w:rPr>
          <w:b/>
        </w:rPr>
      </w:pPr>
      <w:r w:rsidRPr="0080245A">
        <w:lastRenderedPageBreak/>
        <w:t>Resolución del Pleno del Instituto de Transparencia, Acceso a la Información Pública y Protección de Datos Personales del Estado de México y Municipios, con domicilio en Metepec, Estado de México, de</w:t>
      </w:r>
      <w:r w:rsidR="00FE422A" w:rsidRPr="0080245A">
        <w:t>l</w:t>
      </w:r>
      <w:r w:rsidRPr="0080245A">
        <w:t xml:space="preserve"> </w:t>
      </w:r>
      <w:r w:rsidR="00B53EDF" w:rsidRPr="0080245A">
        <w:rPr>
          <w:b/>
        </w:rPr>
        <w:t>veintidós de octubre de dos mil veinticinco</w:t>
      </w:r>
      <w:r w:rsidR="00BD3233" w:rsidRPr="0080245A">
        <w:rPr>
          <w:b/>
        </w:rPr>
        <w:t xml:space="preserve">. </w:t>
      </w:r>
    </w:p>
    <w:p w14:paraId="0AF3AAC4" w14:textId="77777777" w:rsidR="00775BFC" w:rsidRPr="0080245A" w:rsidRDefault="00775BFC" w:rsidP="00FE422A"/>
    <w:p w14:paraId="40EAE038" w14:textId="6EB4C29C" w:rsidR="00775BFC" w:rsidRPr="0080245A" w:rsidRDefault="00775BFC" w:rsidP="00FE422A">
      <w:r w:rsidRPr="0080245A">
        <w:rPr>
          <w:b/>
        </w:rPr>
        <w:t xml:space="preserve">VISTO </w:t>
      </w:r>
      <w:r w:rsidRPr="0080245A">
        <w:t xml:space="preserve">el expediente formado con motivo del Recurso de Revisión </w:t>
      </w:r>
      <w:r w:rsidR="00B53EDF" w:rsidRPr="0080245A">
        <w:rPr>
          <w:rFonts w:eastAsia="Calibri"/>
          <w:b/>
          <w:lang w:eastAsia="en-US"/>
        </w:rPr>
        <w:t>06212</w:t>
      </w:r>
      <w:r w:rsidRPr="0080245A">
        <w:rPr>
          <w:rFonts w:eastAsia="Calibri"/>
          <w:b/>
          <w:lang w:eastAsia="en-US"/>
        </w:rPr>
        <w:t>/INFOEM/IP/RR/</w:t>
      </w:r>
      <w:r w:rsidR="00B53EDF" w:rsidRPr="0080245A">
        <w:rPr>
          <w:rFonts w:eastAsia="Calibri"/>
          <w:b/>
          <w:lang w:eastAsia="en-US"/>
        </w:rPr>
        <w:t>2025</w:t>
      </w:r>
      <w:r w:rsidRPr="0080245A">
        <w:rPr>
          <w:rFonts w:eastAsia="Calibri"/>
          <w:lang w:eastAsia="en-US"/>
        </w:rPr>
        <w:t xml:space="preserve"> </w:t>
      </w:r>
      <w:r w:rsidRPr="0080245A">
        <w:t>interpuesto</w:t>
      </w:r>
      <w:r w:rsidR="00B53EDF" w:rsidRPr="0080245A">
        <w:t xml:space="preserve"> de </w:t>
      </w:r>
      <w:r w:rsidR="00B53EDF" w:rsidRPr="0080245A">
        <w:rPr>
          <w:b/>
        </w:rPr>
        <w:t>manera anónima</w:t>
      </w:r>
      <w:r w:rsidRPr="0080245A">
        <w:t xml:space="preserve">, a quien en lo subsecuente se le denominará </w:t>
      </w:r>
      <w:r w:rsidRPr="0080245A">
        <w:rPr>
          <w:b/>
          <w:bCs/>
        </w:rPr>
        <w:t>LA PARTE RECURRENTE</w:t>
      </w:r>
      <w:r w:rsidRPr="0080245A">
        <w:t>, en contra de la respuesta emitida por</w:t>
      </w:r>
      <w:r w:rsidR="00B53EDF" w:rsidRPr="0080245A">
        <w:t xml:space="preserve"> la </w:t>
      </w:r>
      <w:r w:rsidR="00B53EDF" w:rsidRPr="0080245A">
        <w:rPr>
          <w:rFonts w:eastAsia="Calibri" w:cs="Tahoma"/>
          <w:b/>
          <w:szCs w:val="22"/>
          <w:lang w:eastAsia="en-US"/>
        </w:rPr>
        <w:t>Universidad Autónoma del Estado de México</w:t>
      </w:r>
      <w:r w:rsidRPr="0080245A">
        <w:t xml:space="preserve">, en adelante </w:t>
      </w:r>
      <w:r w:rsidRPr="0080245A">
        <w:rPr>
          <w:b/>
          <w:bCs/>
        </w:rPr>
        <w:t>EL SUJETO OBLIGADO</w:t>
      </w:r>
      <w:r w:rsidRPr="0080245A">
        <w:rPr>
          <w:rFonts w:eastAsia="Calibri"/>
          <w:lang w:eastAsia="en-US"/>
        </w:rPr>
        <w:t xml:space="preserve">, </w:t>
      </w:r>
      <w:r w:rsidRPr="0080245A">
        <w:t>se emite la presente Resolución con base en los Antecedentes y Considerandos que se exponen a continuación:</w:t>
      </w:r>
    </w:p>
    <w:p w14:paraId="2116968C" w14:textId="77777777" w:rsidR="00775BFC" w:rsidRPr="0080245A" w:rsidRDefault="00775BFC" w:rsidP="00FE422A"/>
    <w:p w14:paraId="5A444FB6" w14:textId="639D3567" w:rsidR="00664420" w:rsidRPr="0080245A" w:rsidRDefault="00664420" w:rsidP="00FE422A">
      <w:pPr>
        <w:pStyle w:val="Ttulo1"/>
      </w:pPr>
      <w:bookmarkStart w:id="2" w:name="_Toc212099309"/>
      <w:r w:rsidRPr="0080245A">
        <w:t>ANTECEDENTES</w:t>
      </w:r>
      <w:bookmarkEnd w:id="2"/>
    </w:p>
    <w:p w14:paraId="5CB5034E" w14:textId="77777777" w:rsidR="00AC2DB8" w:rsidRPr="0080245A" w:rsidRDefault="00AC2DB8" w:rsidP="00FE422A"/>
    <w:p w14:paraId="09B2D38F" w14:textId="6E49D146" w:rsidR="00664420" w:rsidRPr="0080245A" w:rsidRDefault="00E37A3F" w:rsidP="00FE422A">
      <w:pPr>
        <w:pStyle w:val="Ttulo2"/>
      </w:pPr>
      <w:bookmarkStart w:id="3" w:name="_Toc212099310"/>
      <w:r w:rsidRPr="0080245A">
        <w:t>DE LA SOLICITUD DE INFORMACIÓN</w:t>
      </w:r>
      <w:bookmarkEnd w:id="3"/>
    </w:p>
    <w:p w14:paraId="2C6AD1A5" w14:textId="0405B3CD" w:rsidR="00664420" w:rsidRPr="0080245A" w:rsidRDefault="00E37A3F" w:rsidP="00FE422A">
      <w:pPr>
        <w:pStyle w:val="Ttulo3"/>
      </w:pPr>
      <w:bookmarkStart w:id="4" w:name="_Toc212099311"/>
      <w:r w:rsidRPr="0080245A">
        <w:t xml:space="preserve">a) </w:t>
      </w:r>
      <w:r w:rsidR="006B10B0" w:rsidRPr="0080245A">
        <w:t>S</w:t>
      </w:r>
      <w:r w:rsidR="00664420" w:rsidRPr="0080245A">
        <w:t xml:space="preserve">olicitud de </w:t>
      </w:r>
      <w:r w:rsidR="006B10B0" w:rsidRPr="0080245A">
        <w:t>i</w:t>
      </w:r>
      <w:r w:rsidR="00664420" w:rsidRPr="0080245A">
        <w:t>nformación</w:t>
      </w:r>
      <w:bookmarkEnd w:id="4"/>
    </w:p>
    <w:p w14:paraId="06DCD29D" w14:textId="20A38FE3" w:rsidR="009A2D78" w:rsidRPr="0080245A" w:rsidRDefault="006B10B0" w:rsidP="00FE422A">
      <w:pPr>
        <w:pStyle w:val="Prrafodelista"/>
        <w:tabs>
          <w:tab w:val="left" w:pos="0"/>
        </w:tabs>
        <w:ind w:left="0"/>
        <w:contextualSpacing w:val="0"/>
        <w:rPr>
          <w:rFonts w:cs="Tahoma"/>
        </w:rPr>
      </w:pPr>
      <w:r w:rsidRPr="0080245A">
        <w:rPr>
          <w:rFonts w:cs="Tahoma"/>
        </w:rPr>
        <w:t>El</w:t>
      </w:r>
      <w:r w:rsidR="00664420" w:rsidRPr="0080245A">
        <w:rPr>
          <w:rFonts w:cs="Tahoma"/>
        </w:rPr>
        <w:t xml:space="preserve"> </w:t>
      </w:r>
      <w:r w:rsidR="00B53EDF" w:rsidRPr="0080245A">
        <w:rPr>
          <w:rFonts w:cs="Tahoma"/>
          <w:b/>
          <w:bCs/>
        </w:rPr>
        <w:t>siete de abril de dos mil veinticinco</w:t>
      </w:r>
      <w:r w:rsidR="00664420" w:rsidRPr="0080245A">
        <w:rPr>
          <w:rFonts w:cs="Tahoma"/>
        </w:rPr>
        <w:t xml:space="preserve">, </w:t>
      </w:r>
      <w:r w:rsidRPr="0080245A">
        <w:rPr>
          <w:b/>
          <w:bCs/>
        </w:rPr>
        <w:t>LA PARTE RECURRENTE</w:t>
      </w:r>
      <w:r w:rsidR="00664420" w:rsidRPr="0080245A">
        <w:rPr>
          <w:rFonts w:cs="Tahoma"/>
        </w:rPr>
        <w:t xml:space="preserve"> presentó una solicitud de acceso a la información pública </w:t>
      </w:r>
      <w:r w:rsidR="001F3515" w:rsidRPr="0080245A">
        <w:rPr>
          <w:rFonts w:cs="Tahoma"/>
        </w:rPr>
        <w:t xml:space="preserve">ante el </w:t>
      </w:r>
      <w:r w:rsidR="001F3515" w:rsidRPr="0080245A">
        <w:rPr>
          <w:rFonts w:cs="Tahoma"/>
          <w:b/>
          <w:bCs/>
        </w:rPr>
        <w:t>SUJETO OBLIGADO</w:t>
      </w:r>
      <w:r w:rsidR="001F3515" w:rsidRPr="0080245A">
        <w:rPr>
          <w:rFonts w:cs="Tahoma"/>
        </w:rPr>
        <w:t xml:space="preserve">, </w:t>
      </w:r>
      <w:r w:rsidR="00664420" w:rsidRPr="0080245A">
        <w:rPr>
          <w:rFonts w:cs="Tahoma"/>
        </w:rPr>
        <w:t>a través del Sistema de Acceso a la Información Mexiquense</w:t>
      </w:r>
      <w:r w:rsidRPr="0080245A">
        <w:rPr>
          <w:rFonts w:cs="Tahoma"/>
        </w:rPr>
        <w:t xml:space="preserve"> </w:t>
      </w:r>
      <w:r w:rsidR="009A2D78" w:rsidRPr="0080245A">
        <w:rPr>
          <w:rFonts w:cs="Tahoma"/>
        </w:rPr>
        <w:t>(</w:t>
      </w:r>
      <w:r w:rsidRPr="0080245A">
        <w:rPr>
          <w:rFonts w:cs="Tahoma"/>
        </w:rPr>
        <w:t>SAIMEX</w:t>
      </w:r>
      <w:r w:rsidR="009A2D78" w:rsidRPr="0080245A">
        <w:rPr>
          <w:rFonts w:cs="Tahoma"/>
        </w:rPr>
        <w:t>). Dicha solicitud quedó</w:t>
      </w:r>
      <w:r w:rsidRPr="0080245A">
        <w:rPr>
          <w:rFonts w:cs="Tahoma"/>
        </w:rPr>
        <w:t xml:space="preserve"> registrada c</w:t>
      </w:r>
      <w:r w:rsidR="00664420" w:rsidRPr="0080245A">
        <w:rPr>
          <w:rFonts w:cs="Tahoma"/>
        </w:rPr>
        <w:t>on el número de folio</w:t>
      </w:r>
      <w:r w:rsidR="00664420" w:rsidRPr="0080245A">
        <w:rPr>
          <w:rFonts w:cs="Tahoma"/>
          <w:b/>
          <w:bCs/>
        </w:rPr>
        <w:t xml:space="preserve"> </w:t>
      </w:r>
      <w:r w:rsidR="00B53EDF" w:rsidRPr="0080245A">
        <w:rPr>
          <w:rFonts w:cs="Tahoma"/>
          <w:b/>
          <w:bCs/>
        </w:rPr>
        <w:t>00744/UAEM/IP/2025</w:t>
      </w:r>
      <w:r w:rsidR="002A3601" w:rsidRPr="0080245A">
        <w:rPr>
          <w:rFonts w:cs="Tahoma"/>
        </w:rPr>
        <w:t xml:space="preserve"> y en ella </w:t>
      </w:r>
      <w:r w:rsidR="009A2D78" w:rsidRPr="0080245A">
        <w:rPr>
          <w:rFonts w:cs="Tahoma"/>
        </w:rPr>
        <w:t>se requirió la siguiente información:</w:t>
      </w:r>
    </w:p>
    <w:p w14:paraId="0459D6AC" w14:textId="77777777" w:rsidR="00664420" w:rsidRPr="0080245A" w:rsidRDefault="00664420" w:rsidP="00FE422A">
      <w:pPr>
        <w:tabs>
          <w:tab w:val="left" w:pos="4667"/>
        </w:tabs>
        <w:ind w:left="567" w:right="567"/>
        <w:rPr>
          <w:rFonts w:cs="Tahoma"/>
          <w:b/>
          <w:bCs/>
        </w:rPr>
      </w:pPr>
    </w:p>
    <w:p w14:paraId="02FE2F0F" w14:textId="77777777" w:rsidR="00B53EDF" w:rsidRPr="0080245A" w:rsidRDefault="00B53EDF" w:rsidP="00FE422A">
      <w:pPr>
        <w:pStyle w:val="Puesto"/>
      </w:pPr>
    </w:p>
    <w:p w14:paraId="179FB369" w14:textId="6C7694A5" w:rsidR="00664420" w:rsidRPr="0080245A" w:rsidRDefault="00B53EDF" w:rsidP="00FE422A">
      <w:pPr>
        <w:pStyle w:val="Puesto"/>
      </w:pPr>
      <w:r w:rsidRPr="0080245A">
        <w:t xml:space="preserve">“Solicito la información del incremento porcentual del salario de Oscar Chaires Palma del año 2025, el cual se desempeña laboralmente como Supervisor de obra en el Departamento de Obra y Construcción de la Universidad Autónoma del Estado de México, así como el soporte documental que acredite que al servidor </w:t>
      </w:r>
      <w:proofErr w:type="spellStart"/>
      <w:r w:rsidRPr="0080245A">
        <w:t>publico</w:t>
      </w:r>
      <w:proofErr w:type="spellEnd"/>
      <w:r w:rsidRPr="0080245A">
        <w:t xml:space="preserve"> mencionado ya se le hizo el incrementó correspondiente. </w:t>
      </w:r>
      <w:r w:rsidR="009A2D78" w:rsidRPr="0080245A">
        <w:t>Copia textual de la solicitud de información en letra cursiva</w:t>
      </w:r>
      <w:r w:rsidR="00664420" w:rsidRPr="0080245A">
        <w:t>.</w:t>
      </w:r>
      <w:r w:rsidRPr="0080245A">
        <w:t>”</w:t>
      </w:r>
    </w:p>
    <w:p w14:paraId="64B27DE3" w14:textId="77777777" w:rsidR="00664420" w:rsidRPr="0080245A" w:rsidRDefault="00664420" w:rsidP="00FE422A">
      <w:pPr>
        <w:tabs>
          <w:tab w:val="left" w:pos="4667"/>
        </w:tabs>
        <w:ind w:left="567" w:right="567"/>
        <w:rPr>
          <w:rFonts w:cs="Tahoma"/>
          <w:bCs/>
          <w:i/>
          <w:szCs w:val="22"/>
        </w:rPr>
      </w:pPr>
    </w:p>
    <w:p w14:paraId="0BD6321D" w14:textId="56D9ABBC" w:rsidR="00664420" w:rsidRPr="0080245A" w:rsidRDefault="009A2D78" w:rsidP="00FE422A">
      <w:pPr>
        <w:tabs>
          <w:tab w:val="left" w:pos="4667"/>
        </w:tabs>
        <w:ind w:left="567" w:right="567"/>
        <w:rPr>
          <w:rFonts w:cs="Tahoma"/>
          <w:bCs/>
          <w:szCs w:val="22"/>
        </w:rPr>
      </w:pPr>
      <w:r w:rsidRPr="0080245A">
        <w:rPr>
          <w:rFonts w:cs="Tahoma"/>
          <w:b/>
          <w:bCs/>
          <w:szCs w:val="22"/>
        </w:rPr>
        <w:t>Modalidad de entrega</w:t>
      </w:r>
      <w:r w:rsidRPr="0080245A">
        <w:rPr>
          <w:rFonts w:cs="Tahoma"/>
          <w:bCs/>
          <w:szCs w:val="22"/>
        </w:rPr>
        <w:t>: a</w:t>
      </w:r>
      <w:r w:rsidR="00664420" w:rsidRPr="0080245A">
        <w:rPr>
          <w:rFonts w:cs="Tahoma"/>
          <w:bCs/>
          <w:i/>
          <w:szCs w:val="22"/>
        </w:rPr>
        <w:t xml:space="preserve"> través del </w:t>
      </w:r>
      <w:r w:rsidR="00664420" w:rsidRPr="0080245A">
        <w:rPr>
          <w:rFonts w:cs="Tahoma"/>
          <w:b/>
          <w:bCs/>
          <w:i/>
          <w:szCs w:val="22"/>
        </w:rPr>
        <w:t>SAIMEX</w:t>
      </w:r>
      <w:r w:rsidRPr="0080245A">
        <w:rPr>
          <w:rFonts w:cs="Tahoma"/>
          <w:bCs/>
          <w:i/>
          <w:szCs w:val="22"/>
        </w:rPr>
        <w:t>.</w:t>
      </w:r>
    </w:p>
    <w:p w14:paraId="5AC1EE52" w14:textId="34C34E77" w:rsidR="00D036D3" w:rsidRPr="0080245A" w:rsidRDefault="00E37A3F" w:rsidP="00FE422A">
      <w:pPr>
        <w:pStyle w:val="Ttulo3"/>
      </w:pPr>
      <w:bookmarkStart w:id="5" w:name="_Toc212099312"/>
      <w:r w:rsidRPr="0080245A">
        <w:lastRenderedPageBreak/>
        <w:t xml:space="preserve">b) </w:t>
      </w:r>
      <w:r w:rsidR="00D036D3" w:rsidRPr="0080245A">
        <w:t>Turno de la solicitud de información</w:t>
      </w:r>
      <w:bookmarkEnd w:id="5"/>
    </w:p>
    <w:p w14:paraId="7CEE6F8C" w14:textId="700B1650" w:rsidR="007D1C55" w:rsidRPr="0080245A" w:rsidRDefault="00D036D3" w:rsidP="00FE422A">
      <w:r w:rsidRPr="0080245A">
        <w:t>En cumplimiento al artículo 162 de la Ley de Transparencia y Acceso a la Información Pública del Estado de México y Municipios, el</w:t>
      </w:r>
      <w:r w:rsidR="00B53EDF" w:rsidRPr="0080245A">
        <w:t xml:space="preserve"> </w:t>
      </w:r>
      <w:r w:rsidR="00B53EDF" w:rsidRPr="0080245A">
        <w:rPr>
          <w:b/>
        </w:rPr>
        <w:t>ocho de abril de dos mil veinticinco</w:t>
      </w:r>
      <w:r w:rsidRPr="0080245A">
        <w:t xml:space="preserve">, el Titular de la Unidad de Transparencia del </w:t>
      </w:r>
      <w:r w:rsidRPr="0080245A">
        <w:rPr>
          <w:b/>
        </w:rPr>
        <w:t>SUJETO OBLIGADO</w:t>
      </w:r>
      <w:r w:rsidRPr="0080245A">
        <w:t xml:space="preserve"> turnó la solicitud de información </w:t>
      </w:r>
      <w:r w:rsidR="00163D12" w:rsidRPr="0080245A">
        <w:t xml:space="preserve">a los </w:t>
      </w:r>
      <w:r w:rsidRPr="0080245A">
        <w:t>servidor</w:t>
      </w:r>
      <w:r w:rsidR="007D1C55" w:rsidRPr="0080245A">
        <w:t>es</w:t>
      </w:r>
      <w:r w:rsidRPr="0080245A">
        <w:t xml:space="preserve"> público</w:t>
      </w:r>
      <w:r w:rsidR="007D1C55" w:rsidRPr="0080245A">
        <w:t>s</w:t>
      </w:r>
      <w:r w:rsidRPr="0080245A">
        <w:t xml:space="preserve"> habilitado</w:t>
      </w:r>
      <w:r w:rsidR="007D1C55" w:rsidRPr="0080245A">
        <w:t>s</w:t>
      </w:r>
      <w:r w:rsidRPr="0080245A">
        <w:t xml:space="preserve"> que estimó pertinente</w:t>
      </w:r>
      <w:r w:rsidR="00163D12" w:rsidRPr="0080245A">
        <w:t>s</w:t>
      </w:r>
      <w:r w:rsidR="007D1C55" w:rsidRPr="0080245A">
        <w:t>.</w:t>
      </w:r>
    </w:p>
    <w:p w14:paraId="7B667FC9" w14:textId="77777777" w:rsidR="007D1C55" w:rsidRPr="0080245A" w:rsidRDefault="007D1C55" w:rsidP="00FE422A"/>
    <w:p w14:paraId="196DA0ED" w14:textId="032B3E54" w:rsidR="007D1C55" w:rsidRPr="0080245A" w:rsidRDefault="00E37A3F" w:rsidP="00FE422A">
      <w:pPr>
        <w:pStyle w:val="Ttulo3"/>
      </w:pPr>
      <w:bookmarkStart w:id="6" w:name="_Toc212099313"/>
      <w:r w:rsidRPr="0080245A">
        <w:t xml:space="preserve">c) </w:t>
      </w:r>
      <w:r w:rsidR="007D1C55" w:rsidRPr="0080245A">
        <w:t>Prórroga</w:t>
      </w:r>
      <w:bookmarkEnd w:id="6"/>
    </w:p>
    <w:p w14:paraId="1DC36F1A" w14:textId="76938BBA" w:rsidR="007D1C55" w:rsidRPr="0080245A" w:rsidRDefault="007D1C55" w:rsidP="00FE422A">
      <w:r w:rsidRPr="0080245A">
        <w:t xml:space="preserve">De las constancias que obran en </w:t>
      </w:r>
      <w:r w:rsidR="00BD3233" w:rsidRPr="0080245A">
        <w:rPr>
          <w:b/>
        </w:rPr>
        <w:t>EL SAIMEX</w:t>
      </w:r>
      <w:r w:rsidRPr="0080245A">
        <w:t xml:space="preserve">, se advierte que el </w:t>
      </w:r>
      <w:r w:rsidR="006337F6" w:rsidRPr="0080245A">
        <w:rPr>
          <w:b/>
        </w:rPr>
        <w:t>siete de mayo de dos mil veinticinco</w:t>
      </w:r>
      <w:r w:rsidRPr="0080245A">
        <w:t xml:space="preserve">, </w:t>
      </w:r>
      <w:r w:rsidRPr="0080245A">
        <w:rPr>
          <w:b/>
          <w:bCs/>
        </w:rPr>
        <w:t>EL SUJETO OBLIGADO</w:t>
      </w:r>
      <w:r w:rsidRPr="0080245A">
        <w:t xml:space="preserve"> notificó una prórroga de siete días para dar respuesta a la solicitud de información planteada por </w:t>
      </w:r>
      <w:r w:rsidRPr="0080245A">
        <w:rPr>
          <w:b/>
          <w:bCs/>
        </w:rPr>
        <w:t>LA PARTE RECURRENTE</w:t>
      </w:r>
      <w:r w:rsidRPr="0080245A">
        <w:t>, en los siguientes términos:</w:t>
      </w:r>
    </w:p>
    <w:p w14:paraId="6D8A0B77" w14:textId="77777777" w:rsidR="007D1C55" w:rsidRPr="0080245A" w:rsidRDefault="007D1C55" w:rsidP="00FE422A"/>
    <w:p w14:paraId="1AF0761E" w14:textId="77777777" w:rsidR="006337F6" w:rsidRPr="0080245A" w:rsidRDefault="007D1C55" w:rsidP="00FE422A">
      <w:pPr>
        <w:pStyle w:val="Puesto"/>
        <w:jc w:val="right"/>
      </w:pPr>
      <w:r w:rsidRPr="0080245A">
        <w:t>“</w:t>
      </w:r>
      <w:r w:rsidR="006337F6" w:rsidRPr="0080245A">
        <w:t>Metepec, México a 07 de Mayo de 2025</w:t>
      </w:r>
    </w:p>
    <w:p w14:paraId="15F00EBB" w14:textId="77777777" w:rsidR="006337F6" w:rsidRPr="0080245A" w:rsidRDefault="006337F6" w:rsidP="00FE422A">
      <w:pPr>
        <w:pStyle w:val="Puesto"/>
        <w:jc w:val="right"/>
      </w:pPr>
      <w:r w:rsidRPr="0080245A">
        <w:t>Nombre del solicitante: C. Solicitante</w:t>
      </w:r>
    </w:p>
    <w:p w14:paraId="3571C765" w14:textId="77777777" w:rsidR="006337F6" w:rsidRPr="0080245A" w:rsidRDefault="006337F6" w:rsidP="00FE422A">
      <w:pPr>
        <w:pStyle w:val="Puesto"/>
        <w:jc w:val="right"/>
      </w:pPr>
      <w:r w:rsidRPr="0080245A">
        <w:t>Folio de la solicitud: 00744/UAEM/IP/2025</w:t>
      </w:r>
    </w:p>
    <w:p w14:paraId="4117DDF0" w14:textId="77777777" w:rsidR="006337F6" w:rsidRPr="0080245A" w:rsidRDefault="006337F6" w:rsidP="00FE422A">
      <w:pPr>
        <w:pStyle w:val="Puesto"/>
      </w:pPr>
    </w:p>
    <w:p w14:paraId="68FB2EA7" w14:textId="77777777" w:rsidR="006337F6" w:rsidRPr="0080245A" w:rsidRDefault="006337F6" w:rsidP="00FE422A">
      <w:pPr>
        <w:pStyle w:val="Puesto"/>
      </w:pPr>
      <w:r w:rsidRPr="0080245A">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BAA1E39" w14:textId="77777777" w:rsidR="006337F6" w:rsidRPr="0080245A" w:rsidRDefault="006337F6" w:rsidP="00FE422A"/>
    <w:p w14:paraId="613BFF4C" w14:textId="4A15CAF4" w:rsidR="007D1C55" w:rsidRPr="0080245A" w:rsidRDefault="006337F6" w:rsidP="00FE422A">
      <w:pPr>
        <w:pStyle w:val="Puesto"/>
      </w:pPr>
      <w:r w:rsidRPr="0080245A">
        <w:t xml:space="preserve">Con fundamento en los artículos 3 fracciones IV, IX, XXIII, XXVII, XXXII, XXXIV, XLV, XLIV, 4. 6, 10, 11, 15, 16, 17, 23 fracción V, 47, 49, 50, 51, 53 fracción X y 163 párrafo segundo, de la Ley de Transparencia y Acceso a la Información Pública del Estado de México y Municipios y demás disposiciones relativas y aplicables vigentes; el Comité de Transparencia de la Universidad Autónoma del Estado de México aprobó la prórroga de la solicitud de información con número de folio 00744/UAEM/IP/2025, toda vez que se está realizando una búsqueda de la información solicitada, es menester señalar que el número de solicitudes de información en el último mes creció de manera exponencial, lo que conlleva un mayor tiempo para que las áreas administrativas atiendan los requerimientos en el </w:t>
      </w:r>
      <w:r w:rsidRPr="0080245A">
        <w:lastRenderedPageBreak/>
        <w:t xml:space="preserve">tiempo estipulado por la ley, sin olvidar que cuentan con actividades sustantivas inherentes al sujeto obligado, de conformidad con el Acuerdo de Prorrogas UAEM/AP/16/2025. </w:t>
      </w:r>
      <w:r w:rsidR="007D1C55" w:rsidRPr="0080245A">
        <w:t xml:space="preserve">Copia textual de la solicitud de </w:t>
      </w:r>
      <w:proofErr w:type="spellStart"/>
      <w:r w:rsidR="007D1C55" w:rsidRPr="0080245A">
        <w:t>prorroga</w:t>
      </w:r>
      <w:proofErr w:type="spellEnd"/>
      <w:r w:rsidR="00AF03C4" w:rsidRPr="0080245A">
        <w:t xml:space="preserve"> en letra cursiva</w:t>
      </w:r>
      <w:r w:rsidR="007D1C55" w:rsidRPr="0080245A">
        <w:t>”</w:t>
      </w:r>
    </w:p>
    <w:p w14:paraId="6A9C2899" w14:textId="77777777" w:rsidR="007D1C55" w:rsidRPr="0080245A" w:rsidRDefault="007D1C55" w:rsidP="00FE422A"/>
    <w:p w14:paraId="36E9087A" w14:textId="5405AA99" w:rsidR="004F7A00" w:rsidRPr="0080245A" w:rsidRDefault="004F7A00" w:rsidP="00FE422A">
      <w:r w:rsidRPr="0080245A">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SAIMEX no se advierte que </w:t>
      </w:r>
      <w:r w:rsidRPr="0080245A">
        <w:rPr>
          <w:b/>
          <w:bCs/>
        </w:rPr>
        <w:t>EL SUJETO OBLIGADO</w:t>
      </w:r>
      <w:r w:rsidRPr="0080245A">
        <w:t xml:space="preserve"> haya acompañó a la solicitud de prórroga el acuerdo mediante el cual el Comité de Transparencia aprobó la ampliación de plazo para dar respuesta a la solicitud de información.</w:t>
      </w:r>
    </w:p>
    <w:p w14:paraId="585648F9" w14:textId="77777777" w:rsidR="006337F6" w:rsidRPr="0080245A" w:rsidRDefault="006337F6" w:rsidP="00FE422A">
      <w:pPr>
        <w:pStyle w:val="Ttulo3"/>
        <w:rPr>
          <w:lang w:val="es-ES"/>
        </w:rPr>
      </w:pPr>
    </w:p>
    <w:p w14:paraId="3212BA4D" w14:textId="170656F6" w:rsidR="00664420" w:rsidRPr="0080245A" w:rsidRDefault="00BD3233" w:rsidP="00FE422A">
      <w:pPr>
        <w:pStyle w:val="Ttulo3"/>
        <w:rPr>
          <w:rFonts w:eastAsia="Calibri"/>
          <w:lang w:eastAsia="en-US"/>
        </w:rPr>
      </w:pPr>
      <w:bookmarkStart w:id="7" w:name="_Toc212099314"/>
      <w:r w:rsidRPr="0080245A">
        <w:rPr>
          <w:lang w:val="es-ES"/>
        </w:rPr>
        <w:t>d</w:t>
      </w:r>
      <w:r w:rsidR="00E37A3F" w:rsidRPr="0080245A">
        <w:rPr>
          <w:lang w:val="es-ES"/>
        </w:rPr>
        <w:t xml:space="preserve">) </w:t>
      </w:r>
      <w:r w:rsidR="00664420" w:rsidRPr="0080245A">
        <w:rPr>
          <w:lang w:val="es-ES"/>
        </w:rPr>
        <w:t xml:space="preserve">Respuesta </w:t>
      </w:r>
      <w:r w:rsidR="00664420" w:rsidRPr="0080245A">
        <w:rPr>
          <w:rFonts w:eastAsia="Calibri"/>
          <w:lang w:eastAsia="en-US"/>
        </w:rPr>
        <w:t>del Sujeto Obligado</w:t>
      </w:r>
      <w:bookmarkEnd w:id="7"/>
    </w:p>
    <w:p w14:paraId="79199CC1" w14:textId="5A5A81A8" w:rsidR="00664420" w:rsidRPr="0080245A" w:rsidRDefault="00664420" w:rsidP="00FE422A">
      <w:pPr>
        <w:pStyle w:val="Sinespaciado"/>
        <w:spacing w:line="360" w:lineRule="auto"/>
        <w:rPr>
          <w:lang w:val="es-ES"/>
        </w:rPr>
      </w:pPr>
      <w:r w:rsidRPr="0080245A">
        <w:rPr>
          <w:lang w:val="es-ES"/>
        </w:rPr>
        <w:t xml:space="preserve">El </w:t>
      </w:r>
      <w:r w:rsidR="006337F6" w:rsidRPr="0080245A">
        <w:rPr>
          <w:b/>
          <w:lang w:val="es-ES"/>
        </w:rPr>
        <w:t>trece de mayo de dos mil veinticinco</w:t>
      </w:r>
      <w:r w:rsidRPr="0080245A">
        <w:rPr>
          <w:lang w:val="es-ES"/>
        </w:rPr>
        <w:t xml:space="preserve">, </w:t>
      </w:r>
      <w:r w:rsidR="00F07EE6" w:rsidRPr="0080245A">
        <w:rPr>
          <w:lang w:val="es-ES"/>
        </w:rPr>
        <w:t xml:space="preserve">el Titular de la Unidad de Transparencia del </w:t>
      </w:r>
      <w:r w:rsidR="00F07EE6" w:rsidRPr="0080245A">
        <w:rPr>
          <w:b/>
          <w:lang w:val="es-ES"/>
        </w:rPr>
        <w:t>SUJETO OBLIGADO</w:t>
      </w:r>
      <w:r w:rsidR="00F07EE6" w:rsidRPr="0080245A">
        <w:rPr>
          <w:lang w:val="es-ES"/>
        </w:rPr>
        <w:t xml:space="preserve"> notificó la siguiente respuesta a través del </w:t>
      </w:r>
      <w:r w:rsidRPr="0080245A">
        <w:rPr>
          <w:b/>
          <w:lang w:val="es-ES"/>
        </w:rPr>
        <w:t>SAIMEX</w:t>
      </w:r>
      <w:r w:rsidR="00F07EE6" w:rsidRPr="0080245A">
        <w:rPr>
          <w:lang w:val="es-ES"/>
        </w:rPr>
        <w:t>:</w:t>
      </w:r>
    </w:p>
    <w:p w14:paraId="669F7EFD" w14:textId="77777777" w:rsidR="00664420" w:rsidRPr="0080245A" w:rsidRDefault="00664420" w:rsidP="00FE422A">
      <w:pPr>
        <w:tabs>
          <w:tab w:val="left" w:pos="4667"/>
        </w:tabs>
        <w:ind w:left="567" w:right="567"/>
        <w:rPr>
          <w:rFonts w:cs="Tahoma"/>
          <w:b/>
          <w:bCs/>
        </w:rPr>
      </w:pPr>
    </w:p>
    <w:p w14:paraId="08162D17" w14:textId="77777777" w:rsidR="006337F6" w:rsidRPr="0080245A" w:rsidRDefault="006337F6" w:rsidP="00FE422A">
      <w:pPr>
        <w:pStyle w:val="Puesto"/>
        <w:jc w:val="right"/>
      </w:pPr>
      <w:r w:rsidRPr="0080245A">
        <w:t>Metepec, México a 13 de Mayo de 2025</w:t>
      </w:r>
    </w:p>
    <w:p w14:paraId="55CC7E15" w14:textId="77777777" w:rsidR="006337F6" w:rsidRPr="0080245A" w:rsidRDefault="006337F6" w:rsidP="00FE422A">
      <w:pPr>
        <w:pStyle w:val="Puesto"/>
        <w:jc w:val="right"/>
      </w:pPr>
      <w:r w:rsidRPr="0080245A">
        <w:t>Nombre del solicitante: C. Solicitante</w:t>
      </w:r>
    </w:p>
    <w:p w14:paraId="210DC459" w14:textId="77777777" w:rsidR="006337F6" w:rsidRPr="0080245A" w:rsidRDefault="006337F6" w:rsidP="00FE422A">
      <w:pPr>
        <w:pStyle w:val="Puesto"/>
        <w:jc w:val="right"/>
      </w:pPr>
      <w:r w:rsidRPr="0080245A">
        <w:t>Folio de la solicitud: 00744/UAEM/IP/2025</w:t>
      </w:r>
    </w:p>
    <w:p w14:paraId="05DE27D2" w14:textId="77777777" w:rsidR="006337F6" w:rsidRPr="0080245A" w:rsidRDefault="006337F6" w:rsidP="00FE422A">
      <w:pPr>
        <w:pStyle w:val="Puesto"/>
      </w:pPr>
    </w:p>
    <w:p w14:paraId="28324035" w14:textId="77777777" w:rsidR="006337F6" w:rsidRPr="0080245A" w:rsidRDefault="006337F6" w:rsidP="00FE422A">
      <w:pPr>
        <w:pStyle w:val="Puesto"/>
      </w:pPr>
      <w:r w:rsidRPr="0080245A">
        <w:t>En respuesta a la solicitud recibida, nos permitimos hacer de su conocimiento que con fundamento en el artículo 53, Fracciones: II, V y VI de la Ley de Transparencia y Acceso a la Información Pública del Estado de México y Municipios, le contestamos que:</w:t>
      </w:r>
    </w:p>
    <w:p w14:paraId="36AA5558" w14:textId="77777777" w:rsidR="006337F6" w:rsidRPr="0080245A" w:rsidRDefault="006337F6" w:rsidP="00FE422A"/>
    <w:p w14:paraId="6E992F21" w14:textId="77777777" w:rsidR="006337F6" w:rsidRPr="0080245A" w:rsidRDefault="006337F6" w:rsidP="00FE422A">
      <w:pPr>
        <w:pStyle w:val="Puesto"/>
      </w:pPr>
      <w:r w:rsidRPr="0080245A">
        <w:t xml:space="preserve">En respuesta a la solicitud de acceso a la información pública con número de folio 00744/UAEM/IP/2025, con fundamento en lo dispuesto en los artículos 150, 163, y 164 de la Ley de Transparencia y Acceso a la Información Pública del Estado de México y Municipios; hacemos de su conocimiento con base en la información proporcionada por la Dirección de Recursos Humanos que la información solicitada puede ser consultada en la siguiente liga electrónica, </w:t>
      </w:r>
      <w:r w:rsidRPr="0080245A">
        <w:rPr>
          <w:b/>
        </w:rPr>
        <w:t xml:space="preserve">en el apartado de tabulador salarial, año 2025, atendiendo a la categoría 22012. </w:t>
      </w:r>
      <w:r w:rsidRPr="0080245A">
        <w:rPr>
          <w:b/>
        </w:rPr>
        <w:lastRenderedPageBreak/>
        <w:t xml:space="preserve">http://transparencia.uaemex.mx/usuario/infPub.php?nomDir=03.catPueTabSal&amp;cveParent=5 </w:t>
      </w:r>
      <w:r w:rsidRPr="0080245A">
        <w:t xml:space="preserve">Es menester señalar que de conformidad con lo establecido en los artículos 51, 53 fracciones I, II, V, 59, y 162 de la Ley de Transparencia, Acceso a la Información Pública del Estado de México y Municipios, las unidades de transparencia deberán recibir, tramitar y dar respuesta a las solicitudes de acceso a la información, con la información que las áreas competentes cuenten de acuerdo a sus facultades, competencias y funciones. En este sentido queda de manifiesto que el titular de esta Unidad de Transparencia realizó las gestiones necesarias para colmar el debido ejercicio del acceso a la información pública. Asimismo, de conformidad con el artículo 51 el Titular de la Unidad de Transparencia, fungirá como enlace entre las Unidades Administrativas que poseen, administran o generan información, es decir, quienes proporcionen la información deben ser las dependencias que tienen en su poder la información.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w:t>
      </w:r>
    </w:p>
    <w:p w14:paraId="17BD8EBA" w14:textId="77777777" w:rsidR="006337F6" w:rsidRPr="0080245A" w:rsidRDefault="006337F6" w:rsidP="00FE422A">
      <w:pPr>
        <w:pStyle w:val="Puesto"/>
      </w:pPr>
    </w:p>
    <w:p w14:paraId="70920289" w14:textId="19904FCA" w:rsidR="00664420" w:rsidRPr="0080245A" w:rsidRDefault="00F07EE6" w:rsidP="00FE422A">
      <w:pPr>
        <w:autoSpaceDE w:val="0"/>
        <w:autoSpaceDN w:val="0"/>
        <w:adjustRightInd w:val="0"/>
        <w:ind w:right="-28"/>
        <w:rPr>
          <w:rFonts w:cs="Tahoma"/>
          <w:bCs/>
          <w:szCs w:val="22"/>
          <w:lang w:val="es-ES"/>
        </w:rPr>
      </w:pPr>
      <w:r w:rsidRPr="0080245A">
        <w:rPr>
          <w:rFonts w:cs="Tahoma"/>
          <w:bCs/>
          <w:szCs w:val="22"/>
          <w:lang w:val="es-ES"/>
        </w:rPr>
        <w:t xml:space="preserve">Asimismo, </w:t>
      </w:r>
      <w:r w:rsidRPr="0080245A">
        <w:rPr>
          <w:rFonts w:cs="Tahoma"/>
          <w:b/>
          <w:szCs w:val="22"/>
          <w:lang w:val="es-ES"/>
        </w:rPr>
        <w:t xml:space="preserve">EL SUJETO OBLIGADO </w:t>
      </w:r>
      <w:r w:rsidRPr="0080245A">
        <w:rPr>
          <w:rFonts w:cs="Tahoma"/>
          <w:bCs/>
          <w:szCs w:val="22"/>
          <w:lang w:val="es-ES"/>
        </w:rPr>
        <w:t xml:space="preserve">adjuntó a su respuesta </w:t>
      </w:r>
      <w:r w:rsidR="006337F6" w:rsidRPr="0080245A">
        <w:rPr>
          <w:rFonts w:cs="Tahoma"/>
          <w:bCs/>
          <w:szCs w:val="22"/>
          <w:lang w:val="es-ES"/>
        </w:rPr>
        <w:t>el</w:t>
      </w:r>
      <w:r w:rsidRPr="0080245A">
        <w:rPr>
          <w:rFonts w:cs="Tahoma"/>
          <w:bCs/>
          <w:szCs w:val="22"/>
          <w:lang w:val="es-ES"/>
        </w:rPr>
        <w:t xml:space="preserve"> archivo electrónico que se describe a continuación</w:t>
      </w:r>
      <w:r w:rsidR="00664420" w:rsidRPr="0080245A">
        <w:rPr>
          <w:rFonts w:cs="Tahoma"/>
          <w:bCs/>
          <w:szCs w:val="22"/>
          <w:lang w:val="es-ES"/>
        </w:rPr>
        <w:t>:</w:t>
      </w:r>
    </w:p>
    <w:p w14:paraId="29A9670A" w14:textId="77777777" w:rsidR="006337F6" w:rsidRPr="0080245A" w:rsidRDefault="006337F6" w:rsidP="00FE422A">
      <w:pPr>
        <w:autoSpaceDE w:val="0"/>
        <w:autoSpaceDN w:val="0"/>
        <w:adjustRightInd w:val="0"/>
        <w:ind w:right="-28"/>
        <w:rPr>
          <w:rFonts w:cs="Tahoma"/>
          <w:bCs/>
          <w:szCs w:val="22"/>
          <w:lang w:val="es-ES"/>
        </w:rPr>
      </w:pPr>
    </w:p>
    <w:p w14:paraId="2C78354F" w14:textId="49252A23" w:rsidR="00664420" w:rsidRPr="0080245A" w:rsidRDefault="006337F6" w:rsidP="00FE422A">
      <w:pPr>
        <w:autoSpaceDE w:val="0"/>
        <w:autoSpaceDN w:val="0"/>
        <w:adjustRightInd w:val="0"/>
        <w:ind w:right="-28"/>
        <w:rPr>
          <w:rFonts w:cs="Tahoma"/>
          <w:b/>
          <w:bCs/>
          <w:szCs w:val="22"/>
          <w:lang w:val="es-ES"/>
        </w:rPr>
      </w:pPr>
      <w:r w:rsidRPr="0080245A">
        <w:rPr>
          <w:rFonts w:cs="Tahoma"/>
          <w:b/>
          <w:bCs/>
          <w:szCs w:val="22"/>
          <w:lang w:val="es-ES"/>
        </w:rPr>
        <w:t xml:space="preserve">-Tabulador_Salarial_2025.pdf: </w:t>
      </w:r>
      <w:r w:rsidRPr="0080245A">
        <w:rPr>
          <w:rFonts w:cs="Tahoma"/>
          <w:bCs/>
          <w:szCs w:val="22"/>
          <w:lang w:val="es-ES"/>
        </w:rPr>
        <w:t>Tabulador de salarios 2025.</w:t>
      </w:r>
    </w:p>
    <w:p w14:paraId="52460699" w14:textId="77777777" w:rsidR="00664420" w:rsidRPr="0080245A" w:rsidRDefault="00664420" w:rsidP="00FE422A">
      <w:pPr>
        <w:autoSpaceDE w:val="0"/>
        <w:autoSpaceDN w:val="0"/>
        <w:adjustRightInd w:val="0"/>
        <w:ind w:right="-28"/>
        <w:rPr>
          <w:rFonts w:cs="Tahoma"/>
          <w:bCs/>
          <w:szCs w:val="22"/>
          <w:lang w:val="es-ES"/>
        </w:rPr>
      </w:pPr>
    </w:p>
    <w:p w14:paraId="5A5DAB9E" w14:textId="77777777" w:rsidR="00E37A3F" w:rsidRPr="0080245A" w:rsidRDefault="00E37A3F" w:rsidP="00FE422A">
      <w:pPr>
        <w:pStyle w:val="Ttulo2"/>
        <w:jc w:val="left"/>
      </w:pPr>
      <w:bookmarkStart w:id="8" w:name="_Toc212099315"/>
      <w:r w:rsidRPr="0080245A">
        <w:t>DEL RECURSO DE REVISIÓN</w:t>
      </w:r>
      <w:bookmarkEnd w:id="8"/>
    </w:p>
    <w:p w14:paraId="2B216813" w14:textId="61ADBB2B" w:rsidR="00664420" w:rsidRPr="0080245A" w:rsidRDefault="006E25BC" w:rsidP="00FE422A">
      <w:pPr>
        <w:pStyle w:val="Ttulo3"/>
      </w:pPr>
      <w:bookmarkStart w:id="9" w:name="_Toc212099316"/>
      <w:r w:rsidRPr="0080245A">
        <w:rPr>
          <w:szCs w:val="32"/>
        </w:rPr>
        <w:t>a)</w:t>
      </w:r>
      <w:r w:rsidRPr="0080245A">
        <w:t xml:space="preserve"> </w:t>
      </w:r>
      <w:r w:rsidR="00664420" w:rsidRPr="0080245A">
        <w:t>Interposición del Recurso de Revisión</w:t>
      </w:r>
      <w:bookmarkEnd w:id="9"/>
    </w:p>
    <w:p w14:paraId="6279C622" w14:textId="7A689D57" w:rsidR="00664420" w:rsidRPr="0080245A" w:rsidRDefault="00664420" w:rsidP="00FE422A">
      <w:pPr>
        <w:autoSpaceDE w:val="0"/>
        <w:autoSpaceDN w:val="0"/>
        <w:adjustRightInd w:val="0"/>
        <w:ind w:right="-28"/>
        <w:rPr>
          <w:rFonts w:cs="Tahoma"/>
          <w:szCs w:val="22"/>
        </w:rPr>
      </w:pPr>
      <w:r w:rsidRPr="0080245A">
        <w:rPr>
          <w:rFonts w:cs="Tahoma"/>
          <w:szCs w:val="22"/>
        </w:rPr>
        <w:t xml:space="preserve">El </w:t>
      </w:r>
      <w:r w:rsidR="006337F6" w:rsidRPr="0080245A">
        <w:rPr>
          <w:rFonts w:cs="Tahoma"/>
          <w:b/>
          <w:bCs/>
          <w:szCs w:val="22"/>
        </w:rPr>
        <w:t xml:space="preserve">veintinueve de mayo de dos </w:t>
      </w:r>
      <w:r w:rsidR="0040525F" w:rsidRPr="0080245A">
        <w:rPr>
          <w:rFonts w:cs="Tahoma"/>
          <w:b/>
          <w:bCs/>
          <w:szCs w:val="22"/>
        </w:rPr>
        <w:t>m</w:t>
      </w:r>
      <w:r w:rsidR="006337F6" w:rsidRPr="0080245A">
        <w:rPr>
          <w:rFonts w:cs="Tahoma"/>
          <w:b/>
          <w:bCs/>
          <w:szCs w:val="22"/>
        </w:rPr>
        <w:t>il veinticinco,</w:t>
      </w:r>
      <w:r w:rsidRPr="0080245A">
        <w:rPr>
          <w:rFonts w:cs="Tahoma"/>
          <w:szCs w:val="22"/>
        </w:rPr>
        <w:t xml:space="preserve"> </w:t>
      </w:r>
      <w:r w:rsidR="00F75D23" w:rsidRPr="0080245A">
        <w:rPr>
          <w:rFonts w:cs="Tahoma"/>
          <w:b/>
          <w:bCs/>
          <w:szCs w:val="22"/>
        </w:rPr>
        <w:t>LA PARTE RECURRENTE</w:t>
      </w:r>
      <w:r w:rsidR="00F75D23" w:rsidRPr="0080245A">
        <w:rPr>
          <w:rFonts w:cs="Tahoma"/>
          <w:szCs w:val="22"/>
        </w:rPr>
        <w:t xml:space="preserve"> interpuso el recurso de revisión en contra de la respuesta emitida por el </w:t>
      </w:r>
      <w:r w:rsidR="00F75D23" w:rsidRPr="0080245A">
        <w:rPr>
          <w:rFonts w:cs="Tahoma"/>
          <w:b/>
          <w:bCs/>
          <w:szCs w:val="22"/>
        </w:rPr>
        <w:t>SUJETO OBLIGADO</w:t>
      </w:r>
      <w:r w:rsidR="00953430" w:rsidRPr="0080245A">
        <w:rPr>
          <w:rFonts w:cs="Tahoma"/>
          <w:szCs w:val="22"/>
        </w:rPr>
        <w:t xml:space="preserve">, mismo que fue registrado en el SAIMEX con el número de expediente </w:t>
      </w:r>
      <w:r w:rsidR="0040525F" w:rsidRPr="0080245A">
        <w:rPr>
          <w:rFonts w:cs="Tahoma"/>
          <w:b/>
          <w:bCs/>
          <w:szCs w:val="22"/>
        </w:rPr>
        <w:t>06212</w:t>
      </w:r>
      <w:r w:rsidR="00953430" w:rsidRPr="0080245A">
        <w:rPr>
          <w:rFonts w:cs="Tahoma"/>
          <w:b/>
          <w:bCs/>
          <w:szCs w:val="22"/>
        </w:rPr>
        <w:t>/INFOEM/IP/RR/</w:t>
      </w:r>
      <w:r w:rsidR="0040525F" w:rsidRPr="0080245A">
        <w:rPr>
          <w:rFonts w:cs="Tahoma"/>
          <w:b/>
          <w:bCs/>
          <w:szCs w:val="22"/>
        </w:rPr>
        <w:t>2025</w:t>
      </w:r>
      <w:r w:rsidR="00953430" w:rsidRPr="0080245A">
        <w:rPr>
          <w:rFonts w:cs="Tahoma"/>
          <w:szCs w:val="22"/>
        </w:rPr>
        <w:t>, y en el cual manifiesta lo siguiente</w:t>
      </w:r>
      <w:r w:rsidRPr="0080245A">
        <w:rPr>
          <w:rFonts w:cs="Tahoma"/>
          <w:szCs w:val="22"/>
        </w:rPr>
        <w:t>:</w:t>
      </w:r>
    </w:p>
    <w:p w14:paraId="74B30008" w14:textId="77777777" w:rsidR="00664420" w:rsidRPr="0080245A" w:rsidRDefault="00664420" w:rsidP="00FE422A">
      <w:pPr>
        <w:tabs>
          <w:tab w:val="left" w:pos="4667"/>
        </w:tabs>
        <w:ind w:right="539"/>
        <w:rPr>
          <w:rFonts w:cs="Tahoma"/>
          <w:szCs w:val="22"/>
        </w:rPr>
      </w:pPr>
    </w:p>
    <w:p w14:paraId="12153283" w14:textId="77777777" w:rsidR="00664420" w:rsidRPr="0080245A" w:rsidRDefault="00664420" w:rsidP="00FE422A">
      <w:pPr>
        <w:tabs>
          <w:tab w:val="left" w:pos="4667"/>
        </w:tabs>
        <w:ind w:left="567" w:right="539"/>
        <w:rPr>
          <w:rFonts w:cs="Tahoma"/>
          <w:b/>
          <w:iCs/>
        </w:rPr>
      </w:pPr>
      <w:r w:rsidRPr="0080245A">
        <w:rPr>
          <w:rFonts w:cs="Tahoma"/>
          <w:b/>
          <w:iCs/>
        </w:rPr>
        <w:t>ACTO IMPUGNADO</w:t>
      </w:r>
      <w:r w:rsidRPr="0080245A">
        <w:rPr>
          <w:rFonts w:cs="Tahoma"/>
          <w:b/>
          <w:iCs/>
        </w:rPr>
        <w:tab/>
      </w:r>
    </w:p>
    <w:p w14:paraId="523F8BF4" w14:textId="24DFF232" w:rsidR="00664420" w:rsidRPr="0080245A" w:rsidRDefault="006337F6" w:rsidP="00FE422A">
      <w:pPr>
        <w:pStyle w:val="Puesto"/>
      </w:pPr>
      <w:r w:rsidRPr="0080245A">
        <w:lastRenderedPageBreak/>
        <w:t xml:space="preserve">“La respuesta a la solicitud 00744/UAEM/IP/2025. </w:t>
      </w:r>
      <w:proofErr w:type="gramStart"/>
      <w:r w:rsidRPr="0080245A">
        <w:t>de</w:t>
      </w:r>
      <w:proofErr w:type="gramEnd"/>
      <w:r w:rsidRPr="0080245A">
        <w:t xml:space="preserve"> fecha 13 de mayo del 2025. DONDE SEÑALAN QUE PUEDE ENCONTRARSE DICHA RESPUESTA EN LA LIGA ELECTRONICA http://transparencia.uaemex.mx/usuario/infPub.php?nomDir=03.catPueTabSal&amp;cveParent=5 NO EXISTE ACCESO A DICHA LIGA ELECTRONICA. FAVOR DE ENVIRA UN DOCUMENTO DONDE EXISTA LO SOLICITADO Y ESPECIFICO AL TRABAJADOR OSCAR CHAIRES PALMA. 1. SU INCREMENTO PORCENTUAL Y 2. EL DOCUMENTO EN CUAL SE REALIZO EL INCREMENTO PORCENTIUAL EN ESTE AÑO 2025.”</w:t>
      </w:r>
    </w:p>
    <w:p w14:paraId="6AE8EA9A" w14:textId="77777777" w:rsidR="00664420" w:rsidRPr="0080245A" w:rsidRDefault="00664420" w:rsidP="00FE422A">
      <w:pPr>
        <w:tabs>
          <w:tab w:val="left" w:pos="4667"/>
        </w:tabs>
        <w:ind w:left="567" w:right="539"/>
        <w:rPr>
          <w:rFonts w:cs="Tahoma"/>
          <w:bCs/>
          <w:i/>
        </w:rPr>
      </w:pPr>
    </w:p>
    <w:p w14:paraId="047D036B" w14:textId="77777777" w:rsidR="00664420" w:rsidRPr="0080245A" w:rsidRDefault="00664420" w:rsidP="00FE422A">
      <w:pPr>
        <w:tabs>
          <w:tab w:val="left" w:pos="4667"/>
        </w:tabs>
        <w:ind w:left="567" w:right="539"/>
        <w:rPr>
          <w:rFonts w:cs="Tahoma"/>
          <w:b/>
          <w:iCs/>
        </w:rPr>
      </w:pPr>
      <w:r w:rsidRPr="0080245A">
        <w:rPr>
          <w:rFonts w:cs="Tahoma"/>
          <w:b/>
          <w:iCs/>
        </w:rPr>
        <w:t>RAZONES O MOTIVOS DE LA INCONFORMIDAD</w:t>
      </w:r>
      <w:r w:rsidRPr="0080245A">
        <w:rPr>
          <w:rFonts w:cs="Tahoma"/>
          <w:b/>
          <w:iCs/>
        </w:rPr>
        <w:tab/>
      </w:r>
    </w:p>
    <w:p w14:paraId="4E578E33" w14:textId="48E6EBFF" w:rsidR="006337F6" w:rsidRPr="0080245A" w:rsidRDefault="006337F6" w:rsidP="00FE422A">
      <w:pPr>
        <w:pStyle w:val="Puesto"/>
        <w:rPr>
          <w:rFonts w:cs="Tahoma"/>
          <w:bCs/>
          <w:i w:val="0"/>
        </w:rPr>
      </w:pPr>
      <w:r w:rsidRPr="0080245A">
        <w:rPr>
          <w:rFonts w:cs="Tahoma"/>
          <w:bCs/>
        </w:rPr>
        <w:t xml:space="preserve">“Se solicitó la información del incremento porcentual del salario de OSCAR CHAIRES PALMA DEL AÑO 2025, el cual se desempeña laboralmente como Supervisor en el Departamento de Obra y Construcción de la Universidad Autónoma del Estado de México UAEMEX, así como el soporte documental en el que acredite que al servidor público mencionado ya se le hizo el incremento correspondiente. </w:t>
      </w:r>
      <w:proofErr w:type="gramStart"/>
      <w:r w:rsidRPr="0080245A">
        <w:rPr>
          <w:rFonts w:cs="Tahoma"/>
          <w:bCs/>
        </w:rPr>
        <w:t>a</w:t>
      </w:r>
      <w:proofErr w:type="gramEnd"/>
      <w:r w:rsidRPr="0080245A">
        <w:rPr>
          <w:rFonts w:cs="Tahoma"/>
          <w:bCs/>
        </w:rPr>
        <w:t xml:space="preserve"> lo cual tuve como respuesta una liga electrónica que no se puede abrir, por lo que la información </w:t>
      </w:r>
      <w:proofErr w:type="spellStart"/>
      <w:r w:rsidRPr="0080245A">
        <w:rPr>
          <w:rFonts w:cs="Tahoma"/>
          <w:bCs/>
        </w:rPr>
        <w:t>esta</w:t>
      </w:r>
      <w:proofErr w:type="spellEnd"/>
      <w:r w:rsidRPr="0080245A">
        <w:rPr>
          <w:rFonts w:cs="Tahoma"/>
          <w:bCs/>
        </w:rPr>
        <w:t xml:space="preserve"> incompleta. </w:t>
      </w:r>
      <w:proofErr w:type="gramStart"/>
      <w:r w:rsidRPr="0080245A">
        <w:rPr>
          <w:rFonts w:cs="Tahoma"/>
          <w:bCs/>
        </w:rPr>
        <w:t>por</w:t>
      </w:r>
      <w:proofErr w:type="gramEnd"/>
      <w:r w:rsidRPr="0080245A">
        <w:rPr>
          <w:rFonts w:cs="Tahoma"/>
          <w:bCs/>
        </w:rPr>
        <w:t xml:space="preserve"> lo que el Titular de esa Unidad de Transparencia, no realizó la gestión necesaria para colmar el debido ejercicio del acceso a la información </w:t>
      </w:r>
      <w:proofErr w:type="spellStart"/>
      <w:r w:rsidRPr="0080245A">
        <w:rPr>
          <w:rFonts w:cs="Tahoma"/>
          <w:bCs/>
        </w:rPr>
        <w:t>publica</w:t>
      </w:r>
      <w:proofErr w:type="spellEnd"/>
      <w:r w:rsidRPr="0080245A">
        <w:rPr>
          <w:rFonts w:cs="Tahoma"/>
          <w:bCs/>
        </w:rPr>
        <w:t xml:space="preserve">, ya que no existe la evidencia que con esa liga electrónica http://transparencia.uaemex.mx/usuario/infPub.php?nomDir=03.catPueTabSal&amp;cveParent=5 se encontraba la respuesta a mi solicitud. 1. El incremento porcentual de Oscar Chaires Palma y 2. </w:t>
      </w:r>
      <w:proofErr w:type="gramStart"/>
      <w:r w:rsidRPr="0080245A">
        <w:rPr>
          <w:rFonts w:cs="Tahoma"/>
          <w:bCs/>
        </w:rPr>
        <w:t>el</w:t>
      </w:r>
      <w:proofErr w:type="gramEnd"/>
      <w:r w:rsidRPr="0080245A">
        <w:rPr>
          <w:rFonts w:cs="Tahoma"/>
          <w:bCs/>
        </w:rPr>
        <w:t xml:space="preserve"> documento con el que acredite dicho incremento.”</w:t>
      </w:r>
    </w:p>
    <w:p w14:paraId="5DF868F5" w14:textId="77777777" w:rsidR="006337F6" w:rsidRPr="0080245A" w:rsidRDefault="006337F6" w:rsidP="00FE422A">
      <w:pPr>
        <w:tabs>
          <w:tab w:val="left" w:pos="4667"/>
        </w:tabs>
        <w:ind w:left="567" w:right="539"/>
        <w:rPr>
          <w:rFonts w:cs="Tahoma"/>
          <w:bCs/>
          <w:i/>
        </w:rPr>
      </w:pPr>
    </w:p>
    <w:p w14:paraId="48FE75EA" w14:textId="2F578201" w:rsidR="00664420" w:rsidRPr="0080245A" w:rsidRDefault="006337F6" w:rsidP="00FE422A">
      <w:pPr>
        <w:tabs>
          <w:tab w:val="left" w:pos="4667"/>
        </w:tabs>
        <w:ind w:right="567"/>
        <w:rPr>
          <w:rFonts w:cs="Tahoma"/>
          <w:bCs/>
        </w:rPr>
      </w:pPr>
      <w:r w:rsidRPr="0080245A">
        <w:rPr>
          <w:rFonts w:cs="Tahoma"/>
          <w:bCs/>
        </w:rPr>
        <w:t>La parte Recurrente anexa los archivos</w:t>
      </w:r>
      <w:r w:rsidRPr="0080245A">
        <w:rPr>
          <w:rFonts w:cs="Tahoma"/>
          <w:b/>
          <w:bCs/>
        </w:rPr>
        <w:t xml:space="preserve"> SOLICITUD. 00744</w:t>
      </w:r>
      <w:proofErr w:type="gramStart"/>
      <w:r w:rsidRPr="0080245A">
        <w:rPr>
          <w:rFonts w:cs="Tahoma"/>
          <w:b/>
          <w:bCs/>
        </w:rPr>
        <w:t>.pdf</w:t>
      </w:r>
      <w:proofErr w:type="gramEnd"/>
      <w:r w:rsidRPr="0080245A">
        <w:rPr>
          <w:rFonts w:cs="Tahoma"/>
          <w:b/>
          <w:bCs/>
        </w:rPr>
        <w:t xml:space="preserve"> y SOLICITUD 00744.pdf, </w:t>
      </w:r>
      <w:r w:rsidRPr="0080245A">
        <w:rPr>
          <w:rFonts w:cs="Tahoma"/>
          <w:bCs/>
        </w:rPr>
        <w:t xml:space="preserve">que son atinentes a imágenes donde se advierte una página donde no se pudo </w:t>
      </w:r>
      <w:proofErr w:type="spellStart"/>
      <w:r w:rsidRPr="0080245A">
        <w:rPr>
          <w:rFonts w:cs="Tahoma"/>
          <w:bCs/>
        </w:rPr>
        <w:t>accesar</w:t>
      </w:r>
      <w:proofErr w:type="spellEnd"/>
      <w:r w:rsidRPr="0080245A">
        <w:rPr>
          <w:rFonts w:cs="Tahoma"/>
          <w:bCs/>
        </w:rPr>
        <w:t xml:space="preserve"> al sitio web y una impresión de la solicitud de información.</w:t>
      </w:r>
    </w:p>
    <w:p w14:paraId="7D97646F" w14:textId="77777777" w:rsidR="006337F6" w:rsidRPr="0080245A" w:rsidRDefault="006337F6" w:rsidP="00FE422A">
      <w:pPr>
        <w:tabs>
          <w:tab w:val="left" w:pos="4667"/>
        </w:tabs>
        <w:ind w:right="567"/>
        <w:rPr>
          <w:rFonts w:cs="Tahoma"/>
          <w:b/>
          <w:bCs/>
        </w:rPr>
      </w:pPr>
    </w:p>
    <w:p w14:paraId="6804DEF1" w14:textId="3C4F6CB5" w:rsidR="00664420" w:rsidRPr="0080245A" w:rsidRDefault="006E25BC" w:rsidP="00FE422A">
      <w:pPr>
        <w:pStyle w:val="Ttulo3"/>
      </w:pPr>
      <w:bookmarkStart w:id="10" w:name="_Toc212099317"/>
      <w:r w:rsidRPr="0080245A">
        <w:t>b</w:t>
      </w:r>
      <w:r w:rsidR="00664420" w:rsidRPr="0080245A">
        <w:t>) Turno del Recurso de Revisión</w:t>
      </w:r>
      <w:bookmarkEnd w:id="10"/>
    </w:p>
    <w:p w14:paraId="1173671B" w14:textId="57FEE6EC" w:rsidR="00C72DAA" w:rsidRPr="0080245A" w:rsidRDefault="00C72DAA" w:rsidP="00FE422A">
      <w:r w:rsidRPr="0080245A">
        <w:t>Con fundamento en el artículo 185, fracción I de la Ley de Transparencia y Acceso a la Información Pública del Estado de México y Municipios, el</w:t>
      </w:r>
      <w:r w:rsidR="0040525F" w:rsidRPr="0080245A">
        <w:rPr>
          <w:b/>
          <w:bCs/>
        </w:rPr>
        <w:t xml:space="preserve"> veintinueve de mayo de dos mil </w:t>
      </w:r>
      <w:r w:rsidR="0040525F" w:rsidRPr="0080245A">
        <w:rPr>
          <w:b/>
          <w:bCs/>
        </w:rPr>
        <w:lastRenderedPageBreak/>
        <w:t>veinticinco,</w:t>
      </w:r>
      <w:r w:rsidRPr="0080245A">
        <w:t xml:space="preserve"> se turnó el recurso de revisión a través del</w:t>
      </w:r>
      <w:r w:rsidRPr="0080245A">
        <w:rPr>
          <w:rFonts w:eastAsia="Arial Unicode MS"/>
        </w:rPr>
        <w:t xml:space="preserve"> </w:t>
      </w:r>
      <w:r w:rsidRPr="0080245A">
        <w:rPr>
          <w:rFonts w:eastAsia="Arial Unicode MS"/>
          <w:bCs/>
        </w:rPr>
        <w:t>SAIMEX</w:t>
      </w:r>
      <w:r w:rsidRPr="0080245A">
        <w:t xml:space="preserve"> a la </w:t>
      </w:r>
      <w:r w:rsidRPr="0080245A">
        <w:rPr>
          <w:b/>
        </w:rPr>
        <w:t>Comisionada Sharon Cristina Morales Martínez</w:t>
      </w:r>
      <w:r w:rsidRPr="0080245A">
        <w:rPr>
          <w:bCs/>
        </w:rPr>
        <w:t xml:space="preserve">, </w:t>
      </w:r>
      <w:r w:rsidRPr="0080245A">
        <w:t xml:space="preserve">a efecto de decretar su admisión o </w:t>
      </w:r>
      <w:proofErr w:type="spellStart"/>
      <w:r w:rsidRPr="0080245A">
        <w:t>desechamiento</w:t>
      </w:r>
      <w:proofErr w:type="spellEnd"/>
      <w:r w:rsidRPr="0080245A">
        <w:t xml:space="preserve">. </w:t>
      </w:r>
    </w:p>
    <w:p w14:paraId="18F305CB" w14:textId="77777777" w:rsidR="00664420" w:rsidRPr="0080245A" w:rsidRDefault="00664420" w:rsidP="00FE422A">
      <w:pPr>
        <w:rPr>
          <w:rFonts w:eastAsia="Batang" w:cs="Tahoma"/>
          <w:bCs/>
          <w:szCs w:val="22"/>
        </w:rPr>
      </w:pPr>
    </w:p>
    <w:p w14:paraId="3E31EC2D" w14:textId="295256A1" w:rsidR="00664420" w:rsidRPr="0080245A" w:rsidRDefault="006E25BC" w:rsidP="00FE422A">
      <w:pPr>
        <w:pStyle w:val="Ttulo3"/>
      </w:pPr>
      <w:bookmarkStart w:id="11" w:name="_Toc212099318"/>
      <w:r w:rsidRPr="0080245A">
        <w:t>c</w:t>
      </w:r>
      <w:r w:rsidR="00664420" w:rsidRPr="0080245A">
        <w:t>) Admisión del Recurso de Revisión</w:t>
      </w:r>
      <w:bookmarkEnd w:id="11"/>
    </w:p>
    <w:p w14:paraId="240447D5" w14:textId="0CB7472E" w:rsidR="000E09C4" w:rsidRPr="0080245A" w:rsidRDefault="000E09C4" w:rsidP="00FE422A">
      <w:pPr>
        <w:rPr>
          <w:rFonts w:cs="Arial"/>
        </w:rPr>
      </w:pPr>
      <w:r w:rsidRPr="0080245A">
        <w:rPr>
          <w:rFonts w:cs="Arial"/>
        </w:rPr>
        <w:t xml:space="preserve">El </w:t>
      </w:r>
      <w:r w:rsidR="0040525F" w:rsidRPr="0080245A">
        <w:rPr>
          <w:rFonts w:cs="Arial"/>
          <w:b/>
        </w:rPr>
        <w:t>veintiséis de septiembre de dos mil veinticinco</w:t>
      </w:r>
      <w:r w:rsidR="0040525F" w:rsidRPr="0080245A">
        <w:rPr>
          <w:rFonts w:cs="Arial"/>
        </w:rPr>
        <w:t>,</w:t>
      </w:r>
      <w:r w:rsidRPr="0080245A">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80245A">
        <w:rPr>
          <w:rFonts w:cs="Arial"/>
        </w:rPr>
        <w:t>, fracción II</w:t>
      </w:r>
      <w:r w:rsidRPr="0080245A">
        <w:rPr>
          <w:rFonts w:cs="Arial"/>
        </w:rPr>
        <w:t xml:space="preserve"> de la Ley de Transparencia y Acceso a la Información Pública del Estado de México y Municipios.</w:t>
      </w:r>
    </w:p>
    <w:p w14:paraId="09B589C5" w14:textId="77777777" w:rsidR="00664420" w:rsidRPr="0080245A" w:rsidRDefault="00664420" w:rsidP="00FE422A">
      <w:pPr>
        <w:rPr>
          <w:rFonts w:cs="Tahoma"/>
          <w:b/>
          <w:szCs w:val="22"/>
        </w:rPr>
      </w:pPr>
    </w:p>
    <w:p w14:paraId="3B820F58" w14:textId="13ED20A8" w:rsidR="00865CF4" w:rsidRPr="0080245A" w:rsidRDefault="00BD3233" w:rsidP="00FE422A">
      <w:pPr>
        <w:pStyle w:val="Ttulo3"/>
      </w:pPr>
      <w:bookmarkStart w:id="12" w:name="_Toc212099319"/>
      <w:r w:rsidRPr="0080245A">
        <w:t>d</w:t>
      </w:r>
      <w:r w:rsidR="00664420" w:rsidRPr="0080245A">
        <w:t xml:space="preserve">) </w:t>
      </w:r>
      <w:r w:rsidR="00865CF4" w:rsidRPr="0080245A">
        <w:t>Informe Justificado del Sujeto Obligado</w:t>
      </w:r>
      <w:bookmarkEnd w:id="12"/>
    </w:p>
    <w:p w14:paraId="195F0D72" w14:textId="31E0EABC" w:rsidR="00865CF4" w:rsidRPr="0080245A" w:rsidRDefault="00865CF4" w:rsidP="00FE422A">
      <w:pPr>
        <w:rPr>
          <w:rFonts w:eastAsia="Calibri" w:cs="Tahoma"/>
          <w:szCs w:val="22"/>
          <w:lang w:eastAsia="en-US"/>
        </w:rPr>
      </w:pPr>
      <w:r w:rsidRPr="0080245A">
        <w:rPr>
          <w:rFonts w:cs="Tahoma"/>
          <w:bCs/>
          <w:szCs w:val="24"/>
        </w:rPr>
        <w:t xml:space="preserve">El </w:t>
      </w:r>
      <w:r w:rsidR="0040525F" w:rsidRPr="0080245A">
        <w:rPr>
          <w:rFonts w:cs="Tahoma"/>
          <w:b/>
          <w:bCs/>
          <w:szCs w:val="24"/>
        </w:rPr>
        <w:t>seis de octubre de dos mil veinticinco</w:t>
      </w:r>
      <w:r w:rsidR="0040525F" w:rsidRPr="0080245A">
        <w:rPr>
          <w:rFonts w:cs="Tahoma"/>
          <w:bCs/>
          <w:szCs w:val="24"/>
        </w:rPr>
        <w:t>,</w:t>
      </w:r>
      <w:r w:rsidRPr="0080245A">
        <w:rPr>
          <w:rFonts w:cs="Tahoma"/>
          <w:b/>
          <w:szCs w:val="24"/>
        </w:rPr>
        <w:t xml:space="preserve"> EL SUJETO OBLIGADO</w:t>
      </w:r>
      <w:r w:rsidRPr="0080245A">
        <w:rPr>
          <w:rFonts w:cs="Tahoma"/>
          <w:bCs/>
          <w:szCs w:val="24"/>
        </w:rPr>
        <w:t xml:space="preserve"> rindió su informe justificado a través del </w:t>
      </w:r>
      <w:r w:rsidRPr="0080245A">
        <w:rPr>
          <w:rFonts w:cs="Tahoma"/>
          <w:b/>
          <w:bCs/>
          <w:szCs w:val="24"/>
        </w:rPr>
        <w:t>SAIMEX</w:t>
      </w:r>
      <w:r w:rsidRPr="0080245A">
        <w:rPr>
          <w:rFonts w:cs="Tahoma"/>
          <w:bCs/>
          <w:szCs w:val="24"/>
        </w:rPr>
        <w:t xml:space="preserve">, </w:t>
      </w:r>
      <w:r w:rsidRPr="0080245A">
        <w:rPr>
          <w:rFonts w:eastAsia="Calibri" w:cs="Tahoma"/>
          <w:szCs w:val="22"/>
          <w:lang w:eastAsia="en-US"/>
        </w:rPr>
        <w:t>en el cual expresó lo siguiente:</w:t>
      </w:r>
    </w:p>
    <w:p w14:paraId="6E939452" w14:textId="77777777" w:rsidR="00865CF4" w:rsidRPr="0080245A" w:rsidRDefault="00865CF4" w:rsidP="00FE422A">
      <w:pPr>
        <w:rPr>
          <w:rFonts w:eastAsia="Calibri" w:cs="Tahoma"/>
          <w:b/>
          <w:szCs w:val="22"/>
          <w:lang w:eastAsia="en-US"/>
        </w:rPr>
      </w:pPr>
    </w:p>
    <w:p w14:paraId="2EADF9B0" w14:textId="437243DE" w:rsidR="00865CF4" w:rsidRPr="0080245A" w:rsidRDefault="0040525F" w:rsidP="00FE422A">
      <w:pPr>
        <w:ind w:left="567" w:right="539"/>
        <w:jc w:val="left"/>
        <w:rPr>
          <w:rFonts w:cs="Tahoma"/>
          <w:bCs/>
        </w:rPr>
      </w:pPr>
      <w:r w:rsidRPr="0080245A">
        <w:rPr>
          <w:rFonts w:cs="Tahoma"/>
          <w:b/>
          <w:bCs/>
          <w:i/>
        </w:rPr>
        <w:t>-rr6212-25_29-03-2025-</w:t>
      </w:r>
      <w:proofErr w:type="gramStart"/>
      <w:r w:rsidRPr="0080245A">
        <w:rPr>
          <w:rFonts w:cs="Tahoma"/>
          <w:b/>
          <w:bCs/>
          <w:i/>
        </w:rPr>
        <w:t>084449.pdf :</w:t>
      </w:r>
      <w:proofErr w:type="gramEnd"/>
      <w:r w:rsidRPr="0080245A">
        <w:rPr>
          <w:rFonts w:cs="Tahoma"/>
          <w:b/>
          <w:bCs/>
          <w:i/>
        </w:rPr>
        <w:t xml:space="preserve"> </w:t>
      </w:r>
      <w:r w:rsidRPr="0080245A">
        <w:rPr>
          <w:rFonts w:cs="Tahoma"/>
          <w:bCs/>
        </w:rPr>
        <w:t>Ratifica la respuesta otorgada.</w:t>
      </w:r>
    </w:p>
    <w:p w14:paraId="371F88A0" w14:textId="77777777" w:rsidR="00441BFA" w:rsidRPr="0080245A" w:rsidRDefault="00441BFA" w:rsidP="00FE422A">
      <w:pPr>
        <w:ind w:right="539"/>
        <w:jc w:val="left"/>
        <w:rPr>
          <w:rFonts w:eastAsia="Calibri" w:cs="Tahoma"/>
          <w:szCs w:val="22"/>
          <w:lang w:eastAsia="en-US"/>
        </w:rPr>
      </w:pPr>
    </w:p>
    <w:p w14:paraId="2D130A9D" w14:textId="4C941A60" w:rsidR="00865CF4" w:rsidRPr="0080245A" w:rsidRDefault="00865CF4" w:rsidP="00FE422A">
      <w:pPr>
        <w:rPr>
          <w:rFonts w:cs="Tahoma"/>
          <w:bCs/>
          <w:szCs w:val="24"/>
        </w:rPr>
      </w:pPr>
      <w:r w:rsidRPr="0080245A">
        <w:rPr>
          <w:rFonts w:cs="Tahoma"/>
          <w:bCs/>
          <w:szCs w:val="24"/>
        </w:rPr>
        <w:t xml:space="preserve">Esta información fue puesta a la vista de </w:t>
      </w:r>
      <w:r w:rsidRPr="0080245A">
        <w:rPr>
          <w:rFonts w:cs="Tahoma"/>
          <w:b/>
          <w:szCs w:val="24"/>
        </w:rPr>
        <w:t xml:space="preserve">LA PARTE RECURRENTE </w:t>
      </w:r>
      <w:r w:rsidRPr="0080245A">
        <w:rPr>
          <w:rFonts w:cs="Tahoma"/>
          <w:bCs/>
          <w:szCs w:val="24"/>
        </w:rPr>
        <w:t xml:space="preserve">el </w:t>
      </w:r>
      <w:r w:rsidR="0064220C" w:rsidRPr="0080245A">
        <w:rPr>
          <w:rFonts w:cs="Tahoma"/>
          <w:b/>
          <w:bCs/>
          <w:szCs w:val="24"/>
        </w:rPr>
        <w:t>quince de octubre de dos mil veinticinco</w:t>
      </w:r>
      <w:r w:rsidRPr="0080245A">
        <w:rPr>
          <w:rFonts w:cs="Tahoma"/>
          <w:bCs/>
          <w:szCs w:val="24"/>
        </w:rPr>
        <w:t xml:space="preserve"> para que, en un plazo de tres días hábiles, manifestara lo que a su derecho conviniera, de conformidad con lo establecido en el </w:t>
      </w:r>
      <w:r w:rsidRPr="0080245A">
        <w:rPr>
          <w:rFonts w:cs="Arial"/>
        </w:rPr>
        <w:t>artículo 185, fracción III de la Ley de Transparencia y Acceso a la Información Pública del Estado de México y Municipios</w:t>
      </w:r>
      <w:r w:rsidRPr="0080245A">
        <w:rPr>
          <w:rFonts w:cs="Tahoma"/>
          <w:bCs/>
          <w:szCs w:val="24"/>
        </w:rPr>
        <w:t>.</w:t>
      </w:r>
    </w:p>
    <w:p w14:paraId="3B386B4C" w14:textId="77777777" w:rsidR="003A40C1" w:rsidRPr="0080245A" w:rsidRDefault="003A40C1" w:rsidP="00FE422A">
      <w:pPr>
        <w:ind w:right="539"/>
        <w:rPr>
          <w:rFonts w:cs="Tahoma"/>
          <w:bCs/>
          <w:szCs w:val="24"/>
        </w:rPr>
      </w:pPr>
    </w:p>
    <w:p w14:paraId="755B7730" w14:textId="2DA02503" w:rsidR="00664420" w:rsidRPr="0080245A" w:rsidRDefault="00BD3233" w:rsidP="00FE422A">
      <w:pPr>
        <w:pStyle w:val="Ttulo3"/>
        <w:rPr>
          <w:lang w:val="es-ES"/>
        </w:rPr>
      </w:pPr>
      <w:bookmarkStart w:id="13" w:name="_Toc212099320"/>
      <w:r w:rsidRPr="0080245A">
        <w:rPr>
          <w:rFonts w:eastAsia="Calibri"/>
          <w:bCs/>
          <w:lang w:eastAsia="en-US"/>
        </w:rPr>
        <w:t>e</w:t>
      </w:r>
      <w:r w:rsidR="00664420" w:rsidRPr="0080245A">
        <w:rPr>
          <w:rFonts w:eastAsia="Calibri"/>
          <w:bCs/>
          <w:lang w:eastAsia="en-US"/>
        </w:rPr>
        <w:t>)</w:t>
      </w:r>
      <w:r w:rsidR="00664420" w:rsidRPr="0080245A">
        <w:t xml:space="preserve"> </w:t>
      </w:r>
      <w:r w:rsidR="00865CF4" w:rsidRPr="0080245A">
        <w:rPr>
          <w:lang w:val="es-ES"/>
        </w:rPr>
        <w:t>Manifestaciones de la Parte Recurrente</w:t>
      </w:r>
      <w:bookmarkEnd w:id="13"/>
    </w:p>
    <w:p w14:paraId="4E8AF011" w14:textId="77777777" w:rsidR="00865CF4" w:rsidRPr="0080245A" w:rsidRDefault="00865CF4" w:rsidP="00FE422A">
      <w:pPr>
        <w:rPr>
          <w:rFonts w:eastAsia="Arial Unicode MS" w:cs="Arial"/>
        </w:rPr>
      </w:pPr>
      <w:r w:rsidRPr="0080245A">
        <w:rPr>
          <w:rFonts w:cs="Tahoma"/>
          <w:b/>
          <w:szCs w:val="24"/>
        </w:rPr>
        <w:t xml:space="preserve">LA PARTE RECURRENTE </w:t>
      </w:r>
      <w:r w:rsidRPr="0080245A">
        <w:rPr>
          <w:rFonts w:eastAsia="Arial Unicode MS" w:cs="Arial"/>
        </w:rPr>
        <w:t>no realizó manifestación alguna dentro del término legalmente concedido para tal efecto, ni presentó pruebas o alegatos.</w:t>
      </w:r>
    </w:p>
    <w:p w14:paraId="6923684C" w14:textId="77777777" w:rsidR="00664420" w:rsidRPr="0080245A" w:rsidRDefault="00664420" w:rsidP="00FE422A">
      <w:pPr>
        <w:rPr>
          <w:rFonts w:cs="Tahoma"/>
          <w:szCs w:val="22"/>
        </w:rPr>
      </w:pPr>
    </w:p>
    <w:p w14:paraId="0E651988" w14:textId="0E1C6A83" w:rsidR="00664420" w:rsidRPr="0080245A" w:rsidRDefault="00BD3233" w:rsidP="00FE422A">
      <w:pPr>
        <w:pStyle w:val="Ttulo3"/>
      </w:pPr>
      <w:bookmarkStart w:id="14" w:name="_Toc212099321"/>
      <w:r w:rsidRPr="0080245A">
        <w:t>f</w:t>
      </w:r>
      <w:r w:rsidR="00664420" w:rsidRPr="0080245A">
        <w:t>) Cierre de instrucción</w:t>
      </w:r>
      <w:bookmarkEnd w:id="14"/>
    </w:p>
    <w:p w14:paraId="79AF95DC" w14:textId="1518F14D" w:rsidR="00664420" w:rsidRPr="0080245A" w:rsidRDefault="00BF091A" w:rsidP="00FE422A">
      <w:r w:rsidRPr="0080245A">
        <w:rPr>
          <w:rFonts w:cs="Tahoma"/>
          <w:szCs w:val="22"/>
        </w:rPr>
        <w:t>Al no existir diligencias pendientes por desahogar</w:t>
      </w:r>
      <w:r w:rsidRPr="0080245A">
        <w:rPr>
          <w:rFonts w:cs="Arial"/>
        </w:rPr>
        <w:t xml:space="preserve">, el </w:t>
      </w:r>
      <w:bookmarkStart w:id="15" w:name="_Hlk104892386"/>
      <w:r w:rsidR="0064220C" w:rsidRPr="0080245A">
        <w:rPr>
          <w:rFonts w:cs="Arial"/>
          <w:b/>
        </w:rPr>
        <w:t>veint</w:t>
      </w:r>
      <w:r w:rsidR="00E66C6E" w:rsidRPr="0080245A">
        <w:rPr>
          <w:rFonts w:cs="Arial"/>
          <w:b/>
        </w:rPr>
        <w:t>e</w:t>
      </w:r>
      <w:r w:rsidR="0064220C" w:rsidRPr="0080245A">
        <w:rPr>
          <w:rFonts w:cs="Arial"/>
          <w:b/>
        </w:rPr>
        <w:t xml:space="preserve"> de octubre de dos mil veinticinco</w:t>
      </w:r>
      <w:bookmarkEnd w:id="15"/>
      <w:r w:rsidR="0064220C" w:rsidRPr="0080245A">
        <w:rPr>
          <w:rFonts w:cs="Arial"/>
          <w:b/>
        </w:rPr>
        <w:t>,</w:t>
      </w:r>
      <w:r w:rsidRPr="0080245A">
        <w:rPr>
          <w:rFonts w:cs="Arial"/>
        </w:rPr>
        <w:t xml:space="preserve"> la </w:t>
      </w:r>
      <w:r w:rsidRPr="0080245A">
        <w:rPr>
          <w:rFonts w:cs="Arial"/>
          <w:b/>
          <w:bCs/>
        </w:rPr>
        <w:t xml:space="preserve">Comisionada </w:t>
      </w:r>
      <w:r w:rsidRPr="0080245A">
        <w:rPr>
          <w:b/>
        </w:rPr>
        <w:t xml:space="preserve">Sharon Cristina Morales Martínez </w:t>
      </w:r>
      <w:r w:rsidRPr="0080245A">
        <w:rPr>
          <w:rFonts w:cs="Arial"/>
        </w:rPr>
        <w:t>acordó el cierre de instrucción</w:t>
      </w:r>
      <w:r w:rsidR="0011350D" w:rsidRPr="0080245A">
        <w:rPr>
          <w:rFonts w:cs="Arial"/>
        </w:rPr>
        <w:t xml:space="preserve"> y</w:t>
      </w:r>
      <w:r w:rsidRPr="0080245A">
        <w:rPr>
          <w:rFonts w:cs="Arial"/>
        </w:rPr>
        <w:t xml:space="preserve"> </w:t>
      </w:r>
      <w:r w:rsidR="0011350D" w:rsidRPr="0080245A">
        <w:rPr>
          <w:rFonts w:cs="Arial"/>
        </w:rPr>
        <w:t xml:space="preserve">la </w:t>
      </w:r>
      <w:r w:rsidRPr="0080245A">
        <w:rPr>
          <w:rFonts w:cs="Arial"/>
        </w:rPr>
        <w:t>remisión del expediente a efecto de ser resuelto, de conformidad con lo establecido en el artículo 185 fracciones VI y VIII de la Ley de Transparencia y Acceso a la Información Pública del Estado de México y Municipios</w:t>
      </w:r>
      <w:r w:rsidRPr="0080245A">
        <w:t>.</w:t>
      </w:r>
      <w:r w:rsidR="0011350D" w:rsidRPr="0080245A">
        <w:t xml:space="preserve"> Dicho acuerdo </w:t>
      </w:r>
      <w:r w:rsidR="00664420" w:rsidRPr="0080245A">
        <w:rPr>
          <w:rFonts w:cs="Tahoma"/>
          <w:szCs w:val="22"/>
        </w:rPr>
        <w:t xml:space="preserve">fue notificado a las partes el mismo día a través del </w:t>
      </w:r>
      <w:r w:rsidR="00664420" w:rsidRPr="0080245A">
        <w:rPr>
          <w:rFonts w:cs="Tahoma"/>
          <w:szCs w:val="22"/>
          <w:lang w:val="es-ES"/>
        </w:rPr>
        <w:t>SAIMEX</w:t>
      </w:r>
      <w:r w:rsidR="00664420" w:rsidRPr="0080245A">
        <w:rPr>
          <w:rFonts w:cs="Tahoma"/>
          <w:szCs w:val="22"/>
        </w:rPr>
        <w:t>.</w:t>
      </w:r>
    </w:p>
    <w:p w14:paraId="741683E3" w14:textId="77777777" w:rsidR="0011350D" w:rsidRPr="0080245A" w:rsidRDefault="0011350D" w:rsidP="00FE422A">
      <w:pPr>
        <w:rPr>
          <w:rFonts w:cs="Tahoma"/>
          <w:szCs w:val="22"/>
        </w:rPr>
      </w:pPr>
    </w:p>
    <w:p w14:paraId="7A9629DE" w14:textId="77777777" w:rsidR="00664420" w:rsidRPr="0080245A" w:rsidRDefault="00664420" w:rsidP="00FE422A">
      <w:pPr>
        <w:pStyle w:val="Ttulo1"/>
        <w:rPr>
          <w:rFonts w:eastAsiaTheme="minorHAnsi"/>
          <w:lang w:eastAsia="en-US"/>
        </w:rPr>
      </w:pPr>
      <w:bookmarkStart w:id="16" w:name="_Toc212099322"/>
      <w:r w:rsidRPr="0080245A">
        <w:rPr>
          <w:rFonts w:eastAsiaTheme="minorHAnsi"/>
          <w:lang w:eastAsia="en-US"/>
        </w:rPr>
        <w:t>CONSIDERANDOS</w:t>
      </w:r>
      <w:bookmarkEnd w:id="16"/>
    </w:p>
    <w:p w14:paraId="6DD1243B" w14:textId="77777777" w:rsidR="00664420" w:rsidRPr="0080245A" w:rsidRDefault="00664420" w:rsidP="00FE422A">
      <w:pPr>
        <w:contextualSpacing/>
        <w:jc w:val="center"/>
        <w:rPr>
          <w:rFonts w:eastAsiaTheme="minorHAnsi" w:cs="Tahoma"/>
          <w:b/>
          <w:szCs w:val="22"/>
          <w:lang w:eastAsia="en-US"/>
        </w:rPr>
      </w:pPr>
    </w:p>
    <w:p w14:paraId="0B67CB92" w14:textId="2E307D3B" w:rsidR="00664420" w:rsidRPr="0080245A" w:rsidRDefault="00664420" w:rsidP="00FE422A">
      <w:pPr>
        <w:pStyle w:val="Ttulo2"/>
        <w:rPr>
          <w:rFonts w:eastAsia="Batang"/>
        </w:rPr>
      </w:pPr>
      <w:bookmarkStart w:id="17" w:name="_Toc212099323"/>
      <w:r w:rsidRPr="0080245A">
        <w:rPr>
          <w:rFonts w:eastAsia="Batang"/>
        </w:rPr>
        <w:t xml:space="preserve">PRIMERO. </w:t>
      </w:r>
      <w:proofErr w:type="spellStart"/>
      <w:r w:rsidR="00BA55A8" w:rsidRPr="0080245A">
        <w:rPr>
          <w:rFonts w:eastAsia="Batang"/>
        </w:rPr>
        <w:t>Procedibilidad</w:t>
      </w:r>
      <w:bookmarkEnd w:id="17"/>
      <w:proofErr w:type="spellEnd"/>
    </w:p>
    <w:p w14:paraId="39C52BC1" w14:textId="56FCC20D" w:rsidR="00BA55A8" w:rsidRPr="0080245A" w:rsidRDefault="00BA55A8" w:rsidP="00FE422A">
      <w:pPr>
        <w:pStyle w:val="Ttulo3"/>
      </w:pPr>
      <w:bookmarkStart w:id="18" w:name="_Toc212099324"/>
      <w:r w:rsidRPr="0080245A">
        <w:t>a) Competencia</w:t>
      </w:r>
      <w:r w:rsidR="00150C49" w:rsidRPr="0080245A">
        <w:t xml:space="preserve"> del Instituto</w:t>
      </w:r>
      <w:bookmarkEnd w:id="18"/>
    </w:p>
    <w:p w14:paraId="56FC4EBD" w14:textId="77777777" w:rsidR="0031457D" w:rsidRPr="0080245A" w:rsidRDefault="0031457D" w:rsidP="00FE422A">
      <w:pPr>
        <w:rPr>
          <w:rFonts w:cs="Arial"/>
        </w:rPr>
      </w:pPr>
      <w:r w:rsidRPr="0080245A">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80245A">
        <w:rPr>
          <w:rFonts w:cs="Tahoma"/>
          <w:bCs/>
          <w:szCs w:val="22"/>
        </w:rPr>
        <w:t xml:space="preserve">párrafos trigésimo noveno, cuadragésimo y cuadragésimo primero, fracciones IV y V, </w:t>
      </w:r>
      <w:r w:rsidRPr="0080245A">
        <w:t>de la Constitución Política del Estado Libre y Soberano de México; ordinal 2, fracción II, 13, 29, 36, fracciones I y II, 176, 178, 179, 181 párrafo tercero y 185 de la Ley de Transparencia y Acceso a la Información Pública del Estado de México y Municipios</w:t>
      </w:r>
      <w:r w:rsidRPr="0080245A">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80245A" w:rsidRDefault="00DB1C09" w:rsidP="00FE422A">
      <w:pPr>
        <w:rPr>
          <w:rFonts w:cs="Arial"/>
        </w:rPr>
      </w:pPr>
    </w:p>
    <w:p w14:paraId="517A2DD6" w14:textId="4169BE4D" w:rsidR="00664420" w:rsidRPr="0080245A" w:rsidRDefault="00BA55A8" w:rsidP="00FE422A">
      <w:pPr>
        <w:pStyle w:val="Ttulo3"/>
      </w:pPr>
      <w:bookmarkStart w:id="19" w:name="_Toc212099325"/>
      <w:r w:rsidRPr="0080245A">
        <w:lastRenderedPageBreak/>
        <w:t>b)</w:t>
      </w:r>
      <w:r w:rsidR="00664420" w:rsidRPr="0080245A">
        <w:t xml:space="preserve"> </w:t>
      </w:r>
      <w:r w:rsidR="00D91CB4" w:rsidRPr="0080245A">
        <w:t>Legitimidad</w:t>
      </w:r>
      <w:r w:rsidRPr="0080245A">
        <w:t xml:space="preserve"> de la parte recurrente</w:t>
      </w:r>
      <w:bookmarkEnd w:id="19"/>
    </w:p>
    <w:p w14:paraId="26FEA382" w14:textId="0B06695C" w:rsidR="00D91CB4" w:rsidRPr="0080245A" w:rsidRDefault="00D91CB4" w:rsidP="00FE422A">
      <w:pPr>
        <w:rPr>
          <w:rFonts w:cs="Arial"/>
          <w:bCs/>
        </w:rPr>
      </w:pPr>
      <w:r w:rsidRPr="0080245A">
        <w:rPr>
          <w:rFonts w:cs="Arial"/>
          <w:bCs/>
        </w:rPr>
        <w:t>El recurso de revisión fue interpuesto por parte legítima, ya que se presentó por la misma persona que formuló la solicitud de acceso a la Información Pública,</w:t>
      </w:r>
      <w:r w:rsidRPr="0080245A">
        <w:rPr>
          <w:rFonts w:cs="Arial"/>
          <w:b/>
          <w:bCs/>
        </w:rPr>
        <w:t xml:space="preserve"> </w:t>
      </w:r>
      <w:r w:rsidRPr="0080245A">
        <w:rPr>
          <w:rFonts w:cs="Arial"/>
        </w:rPr>
        <w:t>debido a que los datos de acceso</w:t>
      </w:r>
      <w:r w:rsidRPr="0080245A">
        <w:rPr>
          <w:rFonts w:cs="Arial"/>
          <w:b/>
          <w:bCs/>
        </w:rPr>
        <w:t xml:space="preserve"> </w:t>
      </w:r>
      <w:r w:rsidRPr="0080245A">
        <w:rPr>
          <w:rFonts w:cs="Arial"/>
        </w:rPr>
        <w:t>SAIMEX</w:t>
      </w:r>
      <w:r w:rsidRPr="0080245A">
        <w:rPr>
          <w:rFonts w:eastAsia="Calibri" w:cs="Arial"/>
          <w:lang w:eastAsia="en-US"/>
        </w:rPr>
        <w:t xml:space="preserve"> son personales e irrepetibles.</w:t>
      </w:r>
    </w:p>
    <w:p w14:paraId="2C367810" w14:textId="77777777" w:rsidR="00D91CB4" w:rsidRPr="0080245A" w:rsidRDefault="00D91CB4" w:rsidP="00FE422A"/>
    <w:p w14:paraId="496490FC" w14:textId="1A5F3FDB" w:rsidR="00D91CB4" w:rsidRPr="0080245A" w:rsidRDefault="00BA55A8" w:rsidP="00FE422A">
      <w:pPr>
        <w:pStyle w:val="Ttulo3"/>
        <w:rPr>
          <w:rFonts w:eastAsia="Calibri"/>
          <w:lang w:eastAsia="es-ES_tradnl"/>
        </w:rPr>
      </w:pPr>
      <w:bookmarkStart w:id="20" w:name="_Toc212099326"/>
      <w:r w:rsidRPr="0080245A">
        <w:rPr>
          <w:rFonts w:eastAsia="Calibri"/>
          <w:lang w:eastAsia="es-ES_tradnl"/>
        </w:rPr>
        <w:t>c)</w:t>
      </w:r>
      <w:r w:rsidR="00664420" w:rsidRPr="0080245A">
        <w:rPr>
          <w:rFonts w:eastAsia="Calibri"/>
          <w:lang w:eastAsia="es-ES_tradnl"/>
        </w:rPr>
        <w:t xml:space="preserve"> </w:t>
      </w:r>
      <w:r w:rsidR="00D91CB4" w:rsidRPr="0080245A">
        <w:rPr>
          <w:rFonts w:eastAsia="Calibri"/>
          <w:lang w:eastAsia="es-ES_tradnl"/>
        </w:rPr>
        <w:t>Plazo para interponer el recurso</w:t>
      </w:r>
      <w:bookmarkEnd w:id="20"/>
    </w:p>
    <w:p w14:paraId="106D37EE" w14:textId="574B1F95" w:rsidR="00D91CB4" w:rsidRPr="0080245A" w:rsidRDefault="00D91CB4" w:rsidP="00FE422A">
      <w:pPr>
        <w:rPr>
          <w:rFonts w:eastAsiaTheme="minorEastAsia" w:cs="Arial"/>
          <w:lang w:val="es-ES_tradnl"/>
        </w:rPr>
      </w:pPr>
      <w:r w:rsidRPr="0080245A">
        <w:rPr>
          <w:rFonts w:cs="Arial"/>
          <w:b/>
        </w:rPr>
        <w:t>EL SUJETO OBLIGADO</w:t>
      </w:r>
      <w:r w:rsidRPr="0080245A">
        <w:rPr>
          <w:rFonts w:cs="Arial"/>
        </w:rPr>
        <w:t xml:space="preserve"> notificó la respuesta a la solicitud de acceso a la Información Pública el </w:t>
      </w:r>
      <w:r w:rsidR="0064220C" w:rsidRPr="0080245A">
        <w:rPr>
          <w:rFonts w:cs="Arial"/>
          <w:b/>
        </w:rPr>
        <w:t>trece de mayo de dos mil veinticinco</w:t>
      </w:r>
      <w:r w:rsidRPr="0080245A">
        <w:rPr>
          <w:rFonts w:cs="Arial"/>
        </w:rPr>
        <w:t xml:space="preserve"> </w:t>
      </w:r>
      <w:r w:rsidR="00A53315" w:rsidRPr="0080245A">
        <w:rPr>
          <w:rFonts w:cs="Arial"/>
        </w:rPr>
        <w:t xml:space="preserve">y el recurso </w:t>
      </w:r>
      <w:r w:rsidR="00A53315" w:rsidRPr="0080245A">
        <w:rPr>
          <w:rFonts w:eastAsia="Palatino Linotype" w:cs="Palatino Linotype"/>
        </w:rPr>
        <w:t xml:space="preserve">que nos ocupa se interpuso el </w:t>
      </w:r>
      <w:r w:rsidR="0064220C" w:rsidRPr="0080245A">
        <w:rPr>
          <w:rFonts w:eastAsia="Palatino Linotype" w:cs="Palatino Linotype"/>
          <w:b/>
        </w:rPr>
        <w:t>veintinueve de mayo de dos mil veinticinco</w:t>
      </w:r>
      <w:r w:rsidR="00A53315" w:rsidRPr="0080245A">
        <w:rPr>
          <w:rFonts w:eastAsia="Palatino Linotype" w:cs="Palatino Linotype"/>
          <w:bCs/>
        </w:rPr>
        <w:t>;</w:t>
      </w:r>
      <w:r w:rsidR="00A53315" w:rsidRPr="0080245A">
        <w:rPr>
          <w:rFonts w:eastAsia="Palatino Linotype" w:cs="Palatino Linotype"/>
        </w:rPr>
        <w:t xml:space="preserve"> por lo tanto, éste se encuentra dentro del margen temporal previsto en el artículo 178 de la </w:t>
      </w:r>
      <w:r w:rsidR="00A53315" w:rsidRPr="0080245A">
        <w:rPr>
          <w:rFonts w:cs="Arial"/>
        </w:rPr>
        <w:t>Ley de Transparencia y Acceso a la Información Pública del Estado de México y Municipios</w:t>
      </w:r>
      <w:r w:rsidR="00163D12" w:rsidRPr="0080245A">
        <w:rPr>
          <w:rFonts w:cs="Arial"/>
        </w:rPr>
        <w:t>.</w:t>
      </w:r>
    </w:p>
    <w:p w14:paraId="49076992" w14:textId="77777777" w:rsidR="00D91CB4" w:rsidRPr="0080245A" w:rsidRDefault="00D91CB4" w:rsidP="00FE422A">
      <w:pPr>
        <w:rPr>
          <w:rFonts w:eastAsia="Palatino Linotype" w:cs="Palatino Linotype"/>
        </w:rPr>
      </w:pPr>
    </w:p>
    <w:p w14:paraId="46C0EB3A" w14:textId="15F1A919" w:rsidR="00A53315" w:rsidRPr="0080245A" w:rsidRDefault="00BA55A8" w:rsidP="00FE422A">
      <w:pPr>
        <w:pStyle w:val="Ttulo3"/>
        <w:rPr>
          <w:rFonts w:eastAsia="Calibri"/>
          <w:lang w:eastAsia="es-ES_tradnl"/>
        </w:rPr>
      </w:pPr>
      <w:bookmarkStart w:id="21" w:name="_Toc212099327"/>
      <w:r w:rsidRPr="0080245A">
        <w:rPr>
          <w:rFonts w:eastAsia="Calibri"/>
          <w:lang w:eastAsia="es-ES_tradnl"/>
        </w:rPr>
        <w:t>d)</w:t>
      </w:r>
      <w:r w:rsidR="00D91CB4" w:rsidRPr="0080245A">
        <w:rPr>
          <w:rFonts w:eastAsia="Calibri"/>
          <w:lang w:eastAsia="es-ES_tradnl"/>
        </w:rPr>
        <w:t xml:space="preserve"> </w:t>
      </w:r>
      <w:r w:rsidR="009A0277" w:rsidRPr="0080245A">
        <w:rPr>
          <w:rFonts w:eastAsia="Calibri"/>
          <w:lang w:eastAsia="es-ES_tradnl"/>
        </w:rPr>
        <w:t>Causal de Procedencia</w:t>
      </w:r>
      <w:bookmarkEnd w:id="21"/>
    </w:p>
    <w:p w14:paraId="190404A6" w14:textId="65776D6A" w:rsidR="00BA55A8" w:rsidRPr="0080245A" w:rsidRDefault="00BA55A8" w:rsidP="00FE422A">
      <w:r w:rsidRPr="0080245A">
        <w:rPr>
          <w:rFonts w:cs="Arial"/>
        </w:rPr>
        <w:t xml:space="preserve">Resulta procedente la interposición del recurso de revisión, ya que </w:t>
      </w:r>
      <w:r w:rsidRPr="0080245A">
        <w:rPr>
          <w:rFonts w:eastAsia="Calibri" w:cs="Tahoma"/>
          <w:szCs w:val="22"/>
          <w:lang w:eastAsia="es-MX"/>
        </w:rPr>
        <w:t xml:space="preserve">se actualiza la causal de procedencia señalada en el artículo 179, fracción </w:t>
      </w:r>
      <w:r w:rsidR="0064220C" w:rsidRPr="0080245A">
        <w:rPr>
          <w:rFonts w:eastAsia="Calibri" w:cs="Tahoma"/>
          <w:szCs w:val="22"/>
          <w:lang w:eastAsia="es-MX"/>
        </w:rPr>
        <w:t>VIII</w:t>
      </w:r>
      <w:r w:rsidRPr="0080245A">
        <w:rPr>
          <w:rFonts w:cs="Arial"/>
        </w:rPr>
        <w:t xml:space="preserve"> de la </w:t>
      </w:r>
      <w:r w:rsidRPr="0080245A">
        <w:t>Ley de Transparencia y Acceso a la Información Pública del Estado de México y Municipios.</w:t>
      </w:r>
    </w:p>
    <w:p w14:paraId="0EFF7141" w14:textId="77777777" w:rsidR="00362A11" w:rsidRPr="0080245A" w:rsidRDefault="00362A11" w:rsidP="00FE422A"/>
    <w:p w14:paraId="2284D7EB" w14:textId="3EE1D036" w:rsidR="00BA55A8" w:rsidRPr="0080245A" w:rsidRDefault="00362A11" w:rsidP="00FE422A">
      <w:pPr>
        <w:pStyle w:val="Ttulo3"/>
      </w:pPr>
      <w:bookmarkStart w:id="22" w:name="_Toc212099328"/>
      <w:r w:rsidRPr="0080245A">
        <w:t>e) Requisitos formales para la interposición del recurso</w:t>
      </w:r>
      <w:bookmarkEnd w:id="22"/>
    </w:p>
    <w:p w14:paraId="6390674A" w14:textId="78A894DD" w:rsidR="00BA55A8" w:rsidRPr="0080245A" w:rsidRDefault="00BA55A8" w:rsidP="00FE422A">
      <w:pPr>
        <w:rPr>
          <w:rFonts w:cs="Arial"/>
        </w:rPr>
      </w:pPr>
      <w:r w:rsidRPr="0080245A">
        <w:rPr>
          <w:rFonts w:cs="Arial"/>
          <w:b/>
          <w:bCs/>
        </w:rPr>
        <w:t xml:space="preserve">LA PARTE RECURRENTE </w:t>
      </w:r>
      <w:r w:rsidRPr="0080245A">
        <w:rPr>
          <w:rFonts w:cs="Arial"/>
        </w:rPr>
        <w:t>acreditó todos y cada uno de los elementos formales exigidos por el artículo 180 de la misma normatividad.</w:t>
      </w:r>
    </w:p>
    <w:p w14:paraId="20BDA7EE" w14:textId="77777777" w:rsidR="005F5301" w:rsidRPr="0080245A" w:rsidRDefault="005F5301" w:rsidP="00FE422A">
      <w:pPr>
        <w:rPr>
          <w:rFonts w:cs="Arial"/>
        </w:rPr>
      </w:pPr>
    </w:p>
    <w:p w14:paraId="1E5C9B96" w14:textId="77777777" w:rsidR="005F5301" w:rsidRPr="0080245A" w:rsidRDefault="005F5301" w:rsidP="00FE422A">
      <w:pPr>
        <w:rPr>
          <w:rFonts w:cs="Arial"/>
          <w:sz w:val="24"/>
          <w:szCs w:val="24"/>
          <w:lang w:val="es-ES"/>
        </w:rPr>
      </w:pPr>
      <w:r w:rsidRPr="0080245A">
        <w:rPr>
          <w:sz w:val="24"/>
          <w:szCs w:val="24"/>
          <w:lang w:val="es-ES"/>
        </w:rPr>
        <w:t xml:space="preserve">Es importante mencionar que, de la revisión del expediente electrónico del </w:t>
      </w:r>
      <w:r w:rsidRPr="0080245A">
        <w:rPr>
          <w:bCs/>
          <w:sz w:val="24"/>
          <w:szCs w:val="24"/>
          <w:lang w:val="es-ES"/>
        </w:rPr>
        <w:t>SAIMEX,</w:t>
      </w:r>
      <w:r w:rsidRPr="0080245A">
        <w:rPr>
          <w:sz w:val="24"/>
          <w:szCs w:val="24"/>
          <w:lang w:val="es-ES"/>
        </w:rPr>
        <w:t xml:space="preserve"> se observa que </w:t>
      </w:r>
      <w:r w:rsidRPr="0080245A">
        <w:rPr>
          <w:b/>
          <w:bCs/>
          <w:sz w:val="24"/>
          <w:szCs w:val="24"/>
          <w:lang w:val="es-ES"/>
        </w:rPr>
        <w:t>LA PARTE RECURRENTE</w:t>
      </w:r>
      <w:r w:rsidRPr="0080245A">
        <w:rPr>
          <w:sz w:val="24"/>
          <w:szCs w:val="24"/>
          <w:lang w:val="es-ES"/>
        </w:rPr>
        <w:t xml:space="preserve"> no proporcionó su nombre para ser identificado, lo que en estricto sentido provoca que </w:t>
      </w:r>
      <w:r w:rsidRPr="0080245A">
        <w:rPr>
          <w:rFonts w:cs="Arial"/>
          <w:sz w:val="24"/>
          <w:szCs w:val="24"/>
          <w:lang w:val="es-ES"/>
        </w:rPr>
        <w:t>no</w:t>
      </w:r>
      <w:r w:rsidRPr="0080245A">
        <w:rPr>
          <w:sz w:val="24"/>
          <w:szCs w:val="24"/>
          <w:lang w:val="es-ES"/>
        </w:rPr>
        <w:t xml:space="preserve"> se colmen los requisitos </w:t>
      </w:r>
      <w:r w:rsidRPr="0080245A">
        <w:rPr>
          <w:sz w:val="24"/>
          <w:szCs w:val="24"/>
          <w:lang w:val="es-ES"/>
        </w:rPr>
        <w:lastRenderedPageBreak/>
        <w:t xml:space="preserve">establecidos en el artículo 180 de la Ley de Transparencia; sin embargo, el artículo 15 de </w:t>
      </w:r>
      <w:r w:rsidRPr="0080245A">
        <w:rPr>
          <w:rFonts w:cs="Arial"/>
          <w:sz w:val="24"/>
          <w:szCs w:val="24"/>
          <w:lang w:val="es-ES" w:eastAsia="es-MX"/>
        </w:rPr>
        <w:t xml:space="preserve">Ley de Transparencia y Acceso a la </w:t>
      </w:r>
      <w:r w:rsidRPr="0080245A">
        <w:rPr>
          <w:rFonts w:cs="Arial"/>
          <w:sz w:val="24"/>
          <w:szCs w:val="24"/>
          <w:lang w:val="es-ES"/>
        </w:rPr>
        <w:t>Información</w:t>
      </w:r>
      <w:r w:rsidRPr="0080245A">
        <w:rPr>
          <w:rFonts w:cs="Arial"/>
          <w:sz w:val="24"/>
          <w:szCs w:val="24"/>
          <w:lang w:val="es-ES" w:eastAsia="es-MX"/>
        </w:rPr>
        <w:t xml:space="preserve"> Pública del Estado de México y Municipios </w:t>
      </w:r>
      <w:r w:rsidRPr="0080245A">
        <w:rPr>
          <w:rFonts w:cs="Arial"/>
          <w:iCs/>
          <w:sz w:val="24"/>
          <w:szCs w:val="24"/>
          <w:lang w:val="es-ES"/>
        </w:rPr>
        <w:t xml:space="preserve">prevé que </w:t>
      </w:r>
      <w:r w:rsidRPr="0080245A">
        <w:rPr>
          <w:sz w:val="24"/>
          <w:szCs w:val="24"/>
          <w:lang w:val="es-ES"/>
        </w:rPr>
        <w:t xml:space="preserve">toda persona tendrá acceso a la información </w:t>
      </w:r>
      <w:r w:rsidRPr="0080245A">
        <w:rPr>
          <w:rFonts w:cs="Arial"/>
          <w:sz w:val="24"/>
          <w:szCs w:val="24"/>
          <w:lang w:val="es-ES"/>
        </w:rPr>
        <w:t xml:space="preserve">sin necesidad de acreditar interés alguno o justificar su utilización, de lo que se infiere que </w:t>
      </w:r>
      <w:r w:rsidRPr="0080245A">
        <w:rPr>
          <w:rFonts w:cs="Arial"/>
          <w:b/>
          <w:sz w:val="24"/>
          <w:szCs w:val="24"/>
          <w:u w:val="single"/>
          <w:lang w:val="es-ES"/>
        </w:rPr>
        <w:t xml:space="preserve">el nombre no es un requisito </w:t>
      </w:r>
      <w:r w:rsidRPr="0080245A">
        <w:rPr>
          <w:rFonts w:cs="Arial"/>
          <w:b/>
          <w:iCs/>
          <w:sz w:val="24"/>
          <w:szCs w:val="24"/>
          <w:u w:val="single"/>
          <w:lang w:val="es-ES"/>
        </w:rPr>
        <w:t>indispensable</w:t>
      </w:r>
      <w:r w:rsidRPr="0080245A">
        <w:rPr>
          <w:rFonts w:cs="Arial"/>
          <w:sz w:val="24"/>
          <w:szCs w:val="24"/>
          <w:lang w:val="es-ES"/>
        </w:rPr>
        <w:t xml:space="preserve"> para que las y los ciudadanos ejerzan el derecho de acceso a la información pública. </w:t>
      </w:r>
    </w:p>
    <w:p w14:paraId="0DBCFA60" w14:textId="77777777" w:rsidR="005F5301" w:rsidRPr="0080245A" w:rsidRDefault="005F5301" w:rsidP="00FE422A">
      <w:pPr>
        <w:rPr>
          <w:rFonts w:cs="Arial"/>
          <w:sz w:val="24"/>
          <w:szCs w:val="24"/>
          <w:lang w:val="es-ES"/>
        </w:rPr>
      </w:pPr>
    </w:p>
    <w:p w14:paraId="4B63C5CE" w14:textId="647DDEF6" w:rsidR="005F5301" w:rsidRPr="0080245A" w:rsidRDefault="005F5301" w:rsidP="00FE422A">
      <w:pPr>
        <w:rPr>
          <w:sz w:val="24"/>
          <w:szCs w:val="24"/>
          <w:lang w:val="es-ES"/>
        </w:rPr>
      </w:pPr>
      <w:r w:rsidRPr="0080245A">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80245A">
        <w:rPr>
          <w:sz w:val="24"/>
          <w:szCs w:val="24"/>
          <w:lang w:val="es-ES"/>
        </w:rPr>
        <w:t xml:space="preserve"> </w:t>
      </w:r>
      <w:r w:rsidRPr="0080245A">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80245A">
        <w:rPr>
          <w:sz w:val="24"/>
          <w:szCs w:val="24"/>
          <w:lang w:val="es-ES"/>
        </w:rPr>
        <w:t>algunos</w:t>
      </w:r>
      <w:r w:rsidRPr="0080245A">
        <w:rPr>
          <w:sz w:val="24"/>
          <w:szCs w:val="24"/>
          <w:lang w:val="es-ES"/>
        </w:rPr>
        <w:t xml:space="preserve"> requisitos, entre ellos, el nombre de</w:t>
      </w:r>
      <w:r w:rsidR="00057B2D" w:rsidRPr="0080245A">
        <w:rPr>
          <w:sz w:val="24"/>
          <w:szCs w:val="24"/>
          <w:lang w:val="es-ES"/>
        </w:rPr>
        <w:t xml:space="preserve"> </w:t>
      </w:r>
      <w:r w:rsidR="00057B2D" w:rsidRPr="0080245A">
        <w:rPr>
          <w:b/>
          <w:bCs/>
          <w:sz w:val="24"/>
          <w:szCs w:val="24"/>
          <w:lang w:val="es-ES"/>
        </w:rPr>
        <w:t>LA PARTE RECURRENTE</w:t>
      </w:r>
      <w:r w:rsidRPr="0080245A">
        <w:rPr>
          <w:rFonts w:cs="Arial"/>
          <w:b/>
          <w:sz w:val="24"/>
          <w:szCs w:val="24"/>
          <w:lang w:val="es-ES"/>
        </w:rPr>
        <w:t>;</w:t>
      </w:r>
      <w:r w:rsidRPr="0080245A">
        <w:rPr>
          <w:sz w:val="24"/>
          <w:szCs w:val="24"/>
          <w:lang w:val="es-ES"/>
        </w:rPr>
        <w:t xml:space="preserve"> por lo que, en el presente caso, al haber sido presentado el recurso de revisión vía </w:t>
      </w:r>
      <w:r w:rsidRPr="0080245A">
        <w:rPr>
          <w:bCs/>
          <w:sz w:val="24"/>
          <w:szCs w:val="24"/>
          <w:lang w:val="es-ES"/>
        </w:rPr>
        <w:t>SAIMEX</w:t>
      </w:r>
      <w:r w:rsidRPr="0080245A">
        <w:rPr>
          <w:sz w:val="24"/>
          <w:szCs w:val="24"/>
          <w:lang w:val="es-ES"/>
        </w:rPr>
        <w:t>, dicho requisito resulta innecesario.</w:t>
      </w:r>
    </w:p>
    <w:p w14:paraId="3A121826" w14:textId="77777777" w:rsidR="00C461EC" w:rsidRPr="0080245A" w:rsidRDefault="00C461EC" w:rsidP="00FE422A">
      <w:pPr>
        <w:ind w:left="-57"/>
        <w:rPr>
          <w:bCs/>
          <w:lang w:val="es-ES_tradnl"/>
        </w:rPr>
      </w:pPr>
    </w:p>
    <w:p w14:paraId="457548E9" w14:textId="3F7AF03B" w:rsidR="00C71CEF" w:rsidRPr="0080245A" w:rsidRDefault="00C71CEF" w:rsidP="00FE422A">
      <w:pPr>
        <w:pStyle w:val="Ttulo2"/>
      </w:pPr>
      <w:bookmarkStart w:id="23" w:name="_Toc212099329"/>
      <w:r w:rsidRPr="0080245A">
        <w:t>SEGUNDO. Estudio de Fondo</w:t>
      </w:r>
      <w:bookmarkEnd w:id="23"/>
    </w:p>
    <w:p w14:paraId="2A308F59" w14:textId="0FF373F0" w:rsidR="00C049E2" w:rsidRPr="0080245A" w:rsidRDefault="00C71CEF" w:rsidP="00FE422A">
      <w:pPr>
        <w:pStyle w:val="Ttulo3"/>
      </w:pPr>
      <w:bookmarkStart w:id="24" w:name="_Toc212099330"/>
      <w:r w:rsidRPr="0080245A">
        <w:t>a</w:t>
      </w:r>
      <w:r w:rsidR="00C049E2" w:rsidRPr="0080245A">
        <w:t>) Mandato de transparencia y responsabilidad del Sujeto Obligado</w:t>
      </w:r>
      <w:bookmarkEnd w:id="24"/>
    </w:p>
    <w:p w14:paraId="6901A889" w14:textId="59EEDAE1" w:rsidR="00C049E2" w:rsidRPr="0080245A" w:rsidRDefault="00C049E2" w:rsidP="00FE422A">
      <w:pPr>
        <w:rPr>
          <w:rFonts w:eastAsia="Palatino Linotype"/>
        </w:rPr>
      </w:pPr>
      <w:r w:rsidRPr="0080245A">
        <w:rPr>
          <w:rFonts w:eastAsia="Palatino Linotype"/>
        </w:rPr>
        <w:t xml:space="preserve">El </w:t>
      </w:r>
      <w:r w:rsidR="00717E59" w:rsidRPr="0080245A">
        <w:rPr>
          <w:rFonts w:eastAsia="Palatino Linotype"/>
        </w:rPr>
        <w:t>d</w:t>
      </w:r>
      <w:r w:rsidRPr="0080245A">
        <w:rPr>
          <w:rFonts w:eastAsia="Palatino Linotype"/>
        </w:rPr>
        <w:t xml:space="preserve">erecho de </w:t>
      </w:r>
      <w:r w:rsidR="00717E59" w:rsidRPr="0080245A">
        <w:rPr>
          <w:rFonts w:eastAsia="Palatino Linotype"/>
        </w:rPr>
        <w:t>a</w:t>
      </w:r>
      <w:r w:rsidRPr="0080245A">
        <w:rPr>
          <w:rFonts w:eastAsia="Palatino Linotype"/>
        </w:rPr>
        <w:t xml:space="preserve">cceso a la </w:t>
      </w:r>
      <w:r w:rsidR="00717E59" w:rsidRPr="0080245A">
        <w:rPr>
          <w:rFonts w:eastAsia="Palatino Linotype"/>
        </w:rPr>
        <w:t>i</w:t>
      </w:r>
      <w:r w:rsidRPr="0080245A">
        <w:rPr>
          <w:rFonts w:eastAsia="Palatino Linotype"/>
        </w:rPr>
        <w:t xml:space="preserve">nformación </w:t>
      </w:r>
      <w:r w:rsidR="00717E59" w:rsidRPr="0080245A">
        <w:rPr>
          <w:rFonts w:eastAsia="Palatino Linotype"/>
        </w:rPr>
        <w:t>p</w:t>
      </w:r>
      <w:r w:rsidRPr="0080245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80245A">
        <w:rPr>
          <w:rFonts w:eastAsia="Palatino Linotype"/>
        </w:rPr>
        <w:t>:</w:t>
      </w:r>
    </w:p>
    <w:p w14:paraId="7FAB8D32" w14:textId="77777777" w:rsidR="00C049E2" w:rsidRPr="0080245A" w:rsidRDefault="00C049E2" w:rsidP="00FE422A">
      <w:pPr>
        <w:rPr>
          <w:rFonts w:eastAsia="Palatino Linotype"/>
        </w:rPr>
      </w:pPr>
    </w:p>
    <w:p w14:paraId="05320813" w14:textId="77777777" w:rsidR="00C049E2" w:rsidRPr="0080245A" w:rsidRDefault="00C049E2" w:rsidP="00FE422A">
      <w:pPr>
        <w:spacing w:line="240" w:lineRule="auto"/>
        <w:ind w:left="567" w:right="539"/>
        <w:rPr>
          <w:rFonts w:eastAsia="Palatino Linotype"/>
          <w:b/>
          <w:i/>
        </w:rPr>
      </w:pPr>
      <w:r w:rsidRPr="0080245A">
        <w:rPr>
          <w:rFonts w:eastAsia="Palatino Linotype"/>
          <w:b/>
          <w:i/>
        </w:rPr>
        <w:t>Constitución Política de los Estados Unidos Mexicanos</w:t>
      </w:r>
    </w:p>
    <w:p w14:paraId="6B6C67B6" w14:textId="77777777" w:rsidR="00C049E2" w:rsidRPr="0080245A" w:rsidRDefault="00C049E2" w:rsidP="00FE422A">
      <w:pPr>
        <w:spacing w:line="240" w:lineRule="auto"/>
        <w:ind w:left="567" w:right="539"/>
        <w:rPr>
          <w:rFonts w:eastAsia="Palatino Linotype"/>
          <w:b/>
          <w:i/>
        </w:rPr>
      </w:pPr>
      <w:r w:rsidRPr="0080245A">
        <w:rPr>
          <w:rFonts w:eastAsia="Palatino Linotype"/>
          <w:b/>
          <w:i/>
        </w:rPr>
        <w:t>“Artículo 6.</w:t>
      </w:r>
    </w:p>
    <w:p w14:paraId="38D3B4C4" w14:textId="77777777" w:rsidR="00C049E2" w:rsidRPr="0080245A" w:rsidRDefault="00C049E2" w:rsidP="00FE422A">
      <w:pPr>
        <w:spacing w:line="240" w:lineRule="auto"/>
        <w:ind w:left="567" w:right="539"/>
        <w:rPr>
          <w:rFonts w:eastAsia="Palatino Linotype"/>
          <w:i/>
        </w:rPr>
      </w:pPr>
      <w:r w:rsidRPr="0080245A">
        <w:rPr>
          <w:rFonts w:eastAsia="Palatino Linotype"/>
          <w:i/>
        </w:rPr>
        <w:t>(…)</w:t>
      </w:r>
    </w:p>
    <w:p w14:paraId="2CCAA297" w14:textId="6602827B" w:rsidR="00C049E2" w:rsidRPr="0080245A" w:rsidRDefault="00C049E2" w:rsidP="00FE422A">
      <w:pPr>
        <w:spacing w:line="240" w:lineRule="auto"/>
        <w:ind w:left="567" w:right="539"/>
        <w:rPr>
          <w:rFonts w:eastAsia="Palatino Linotype"/>
          <w:i/>
        </w:rPr>
      </w:pPr>
      <w:r w:rsidRPr="0080245A">
        <w:rPr>
          <w:rFonts w:eastAsia="Palatino Linotype"/>
          <w:i/>
        </w:rPr>
        <w:t>Para efectos de lo dispuesto en el presente artículo se observará lo siguiente:</w:t>
      </w:r>
    </w:p>
    <w:p w14:paraId="74CC3718" w14:textId="77777777" w:rsidR="00C049E2" w:rsidRPr="0080245A" w:rsidRDefault="00C049E2" w:rsidP="00FE422A">
      <w:pPr>
        <w:spacing w:line="240" w:lineRule="auto"/>
        <w:ind w:left="567" w:right="539"/>
        <w:rPr>
          <w:rFonts w:eastAsia="Palatino Linotype"/>
          <w:b/>
          <w:i/>
        </w:rPr>
      </w:pPr>
      <w:r w:rsidRPr="0080245A">
        <w:rPr>
          <w:rFonts w:eastAsia="Palatino Linotype"/>
          <w:b/>
          <w:i/>
        </w:rPr>
        <w:lastRenderedPageBreak/>
        <w:t>A</w:t>
      </w:r>
      <w:r w:rsidRPr="0080245A">
        <w:rPr>
          <w:rFonts w:eastAsia="Palatino Linotype"/>
          <w:i/>
        </w:rPr>
        <w:t xml:space="preserve">. </w:t>
      </w:r>
      <w:r w:rsidRPr="0080245A">
        <w:rPr>
          <w:rFonts w:eastAsia="Palatino Linotype"/>
          <w:b/>
          <w:i/>
        </w:rPr>
        <w:t>Para el ejercicio del derecho de acceso a la información</w:t>
      </w:r>
      <w:r w:rsidRPr="0080245A">
        <w:rPr>
          <w:rFonts w:eastAsia="Palatino Linotype"/>
          <w:i/>
        </w:rPr>
        <w:t xml:space="preserve">, la Federación y </w:t>
      </w:r>
      <w:r w:rsidRPr="0080245A">
        <w:rPr>
          <w:rFonts w:eastAsia="Palatino Linotype"/>
          <w:b/>
          <w:i/>
        </w:rPr>
        <w:t>las entidades federativas, en el ámbito de sus respectivas competencias, se regirán por los siguientes principios y bases:</w:t>
      </w:r>
    </w:p>
    <w:p w14:paraId="596A956B" w14:textId="77777777" w:rsidR="00C049E2" w:rsidRPr="0080245A" w:rsidRDefault="00C049E2" w:rsidP="00FE422A">
      <w:pPr>
        <w:spacing w:line="240" w:lineRule="auto"/>
        <w:ind w:left="567" w:right="539"/>
        <w:rPr>
          <w:rFonts w:eastAsia="Palatino Linotype"/>
          <w:i/>
        </w:rPr>
      </w:pPr>
      <w:r w:rsidRPr="0080245A">
        <w:rPr>
          <w:rFonts w:eastAsia="Palatino Linotype"/>
          <w:b/>
          <w:i/>
        </w:rPr>
        <w:t xml:space="preserve">I. </w:t>
      </w:r>
      <w:r w:rsidRPr="0080245A">
        <w:rPr>
          <w:rFonts w:eastAsia="Palatino Linotype"/>
          <w:b/>
          <w:i/>
        </w:rPr>
        <w:tab/>
        <w:t>Toda la información en posesión de cualquier</w:t>
      </w:r>
      <w:r w:rsidRPr="0080245A">
        <w:rPr>
          <w:rFonts w:eastAsia="Palatino Linotype"/>
          <w:i/>
        </w:rPr>
        <w:t xml:space="preserve"> </w:t>
      </w:r>
      <w:r w:rsidRPr="0080245A">
        <w:rPr>
          <w:rFonts w:eastAsia="Palatino Linotype"/>
          <w:b/>
          <w:i/>
        </w:rPr>
        <w:t>autoridad</w:t>
      </w:r>
      <w:r w:rsidRPr="0080245A">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0245A">
        <w:rPr>
          <w:rFonts w:eastAsia="Palatino Linotype"/>
          <w:b/>
          <w:i/>
        </w:rPr>
        <w:t>municipal</w:t>
      </w:r>
      <w:r w:rsidRPr="0080245A">
        <w:rPr>
          <w:rFonts w:eastAsia="Palatino Linotype"/>
          <w:i/>
        </w:rPr>
        <w:t xml:space="preserve">, </w:t>
      </w:r>
      <w:r w:rsidRPr="0080245A">
        <w:rPr>
          <w:rFonts w:eastAsia="Palatino Linotype"/>
          <w:b/>
          <w:i/>
        </w:rPr>
        <w:t>es pública</w:t>
      </w:r>
      <w:r w:rsidRPr="0080245A">
        <w:rPr>
          <w:rFonts w:eastAsia="Palatino Linotype"/>
          <w:i/>
        </w:rPr>
        <w:t xml:space="preserve"> y sólo podrá ser reservada temporalmente por razones de interés público y seguridad nacional, en los términos que fijen las leyes. </w:t>
      </w:r>
      <w:r w:rsidRPr="0080245A">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80245A">
        <w:rPr>
          <w:rFonts w:eastAsia="Palatino Linotype"/>
          <w:i/>
        </w:rPr>
        <w:t>, la ley determinará los supuestos específicos bajo los cuales procederá la declaración de inexistencia de la información.”</w:t>
      </w:r>
    </w:p>
    <w:p w14:paraId="68F313E4" w14:textId="77777777" w:rsidR="00C049E2" w:rsidRPr="0080245A" w:rsidRDefault="00C049E2" w:rsidP="00FE422A">
      <w:pPr>
        <w:spacing w:line="240" w:lineRule="auto"/>
        <w:ind w:left="567" w:right="539"/>
        <w:rPr>
          <w:rFonts w:eastAsia="Palatino Linotype"/>
          <w:b/>
          <w:i/>
        </w:rPr>
      </w:pPr>
    </w:p>
    <w:p w14:paraId="504F12DB" w14:textId="77777777" w:rsidR="00C049E2" w:rsidRPr="0080245A" w:rsidRDefault="00C049E2" w:rsidP="00FE422A">
      <w:pPr>
        <w:spacing w:line="240" w:lineRule="auto"/>
        <w:ind w:left="567" w:right="539"/>
        <w:rPr>
          <w:rFonts w:eastAsia="Palatino Linotype"/>
          <w:b/>
          <w:i/>
        </w:rPr>
      </w:pPr>
      <w:r w:rsidRPr="0080245A">
        <w:rPr>
          <w:rFonts w:eastAsia="Palatino Linotype"/>
          <w:b/>
          <w:i/>
        </w:rPr>
        <w:t>Constitución Política del Estado Libre y Soberano de México</w:t>
      </w:r>
    </w:p>
    <w:p w14:paraId="04932D29" w14:textId="77777777" w:rsidR="00C049E2" w:rsidRPr="0080245A" w:rsidRDefault="00C049E2" w:rsidP="00FE422A">
      <w:pPr>
        <w:spacing w:line="240" w:lineRule="auto"/>
        <w:ind w:left="567" w:right="539"/>
        <w:rPr>
          <w:rFonts w:eastAsia="Palatino Linotype"/>
          <w:i/>
        </w:rPr>
      </w:pPr>
      <w:r w:rsidRPr="0080245A">
        <w:rPr>
          <w:rFonts w:eastAsia="Palatino Linotype"/>
          <w:b/>
          <w:i/>
        </w:rPr>
        <w:t>“Artículo 5</w:t>
      </w:r>
      <w:r w:rsidRPr="0080245A">
        <w:rPr>
          <w:rFonts w:eastAsia="Palatino Linotype"/>
          <w:i/>
        </w:rPr>
        <w:t xml:space="preserve">.- </w:t>
      </w:r>
    </w:p>
    <w:p w14:paraId="1D3829F4" w14:textId="77777777" w:rsidR="00C049E2" w:rsidRPr="0080245A" w:rsidRDefault="00C049E2" w:rsidP="00FE422A">
      <w:pPr>
        <w:spacing w:line="240" w:lineRule="auto"/>
        <w:ind w:left="567" w:right="539"/>
        <w:rPr>
          <w:rFonts w:eastAsia="Palatino Linotype"/>
          <w:i/>
        </w:rPr>
      </w:pPr>
      <w:r w:rsidRPr="0080245A">
        <w:rPr>
          <w:rFonts w:eastAsia="Palatino Linotype"/>
          <w:i/>
        </w:rPr>
        <w:t>(…)</w:t>
      </w:r>
    </w:p>
    <w:p w14:paraId="0EAE47FD" w14:textId="77777777" w:rsidR="00C049E2" w:rsidRPr="0080245A" w:rsidRDefault="00C049E2" w:rsidP="00FE422A">
      <w:pPr>
        <w:spacing w:line="240" w:lineRule="auto"/>
        <w:ind w:left="567" w:right="539"/>
        <w:rPr>
          <w:rFonts w:eastAsia="Palatino Linotype"/>
          <w:i/>
        </w:rPr>
      </w:pPr>
      <w:r w:rsidRPr="0080245A">
        <w:rPr>
          <w:rFonts w:eastAsia="Palatino Linotype"/>
          <w:b/>
          <w:i/>
        </w:rPr>
        <w:t>El derecho a la información será garantizado por el Estado. La ley establecerá las previsiones que permitan asegurar la protección, el respeto y la difusión de este derecho</w:t>
      </w:r>
      <w:r w:rsidRPr="0080245A">
        <w:rPr>
          <w:rFonts w:eastAsia="Palatino Linotype"/>
          <w:i/>
        </w:rPr>
        <w:t>.</w:t>
      </w:r>
    </w:p>
    <w:p w14:paraId="4F0C804A" w14:textId="77777777" w:rsidR="00C049E2" w:rsidRPr="0080245A" w:rsidRDefault="00C049E2" w:rsidP="00FE422A">
      <w:pPr>
        <w:spacing w:line="240" w:lineRule="auto"/>
        <w:ind w:left="567" w:right="539"/>
        <w:rPr>
          <w:rFonts w:eastAsia="Palatino Linotype"/>
          <w:i/>
        </w:rPr>
      </w:pPr>
      <w:r w:rsidRPr="0080245A">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80245A" w:rsidRDefault="00C049E2" w:rsidP="00FE422A">
      <w:pPr>
        <w:spacing w:line="240" w:lineRule="auto"/>
        <w:ind w:left="567" w:right="539"/>
        <w:rPr>
          <w:rFonts w:eastAsia="Palatino Linotype"/>
          <w:i/>
        </w:rPr>
      </w:pPr>
      <w:r w:rsidRPr="0080245A">
        <w:rPr>
          <w:rFonts w:eastAsia="Palatino Linotype"/>
          <w:b/>
          <w:i/>
        </w:rPr>
        <w:t>Este derecho se regirá por los principios y bases siguientes</w:t>
      </w:r>
      <w:r w:rsidRPr="0080245A">
        <w:rPr>
          <w:rFonts w:eastAsia="Palatino Linotype"/>
          <w:i/>
        </w:rPr>
        <w:t>:</w:t>
      </w:r>
    </w:p>
    <w:p w14:paraId="4A3E8CBA" w14:textId="77777777" w:rsidR="00C049E2" w:rsidRPr="0080245A" w:rsidRDefault="00C049E2" w:rsidP="00FE422A">
      <w:pPr>
        <w:spacing w:line="240" w:lineRule="auto"/>
        <w:ind w:left="567" w:right="539"/>
        <w:rPr>
          <w:rFonts w:eastAsia="Palatino Linotype"/>
          <w:i/>
        </w:rPr>
      </w:pPr>
      <w:r w:rsidRPr="0080245A">
        <w:rPr>
          <w:rFonts w:eastAsia="Palatino Linotype"/>
          <w:b/>
          <w:i/>
        </w:rPr>
        <w:t>I. Toda la información en posesión de cualquier autoridad, entidad, órgano y organismos de los</w:t>
      </w:r>
      <w:r w:rsidRPr="0080245A">
        <w:rPr>
          <w:rFonts w:eastAsia="Palatino Linotype"/>
          <w:i/>
        </w:rPr>
        <w:t xml:space="preserve"> Poderes Ejecutivo, Legislativo y Judicial, órganos autónomos, partidos políticos, fideicomisos y fondos públicos estatales y </w:t>
      </w:r>
      <w:r w:rsidRPr="0080245A">
        <w:rPr>
          <w:rFonts w:eastAsia="Palatino Linotype"/>
          <w:b/>
          <w:i/>
        </w:rPr>
        <w:t>municipales</w:t>
      </w:r>
      <w:r w:rsidRPr="0080245A">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0245A">
        <w:rPr>
          <w:rFonts w:eastAsia="Palatino Linotype"/>
          <w:b/>
          <w:i/>
        </w:rPr>
        <w:t>es pública</w:t>
      </w:r>
      <w:r w:rsidRPr="0080245A">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80245A">
        <w:rPr>
          <w:rFonts w:eastAsia="Palatino Linotype"/>
          <w:b/>
          <w:i/>
        </w:rPr>
        <w:t>En la interpretación de este derecho deberá prevalecer el principio de máxima publicidad</w:t>
      </w:r>
      <w:r w:rsidRPr="0080245A">
        <w:rPr>
          <w:rFonts w:eastAsia="Palatino Linotype"/>
          <w:i/>
        </w:rPr>
        <w:t xml:space="preserve">. </w:t>
      </w:r>
      <w:r w:rsidRPr="0080245A">
        <w:rPr>
          <w:rFonts w:eastAsia="Palatino Linotype"/>
          <w:b/>
          <w:i/>
        </w:rPr>
        <w:t>Los sujetos obligados deberán documentar todo acto que derive del ejercicio de sus facultades, competencias o funciones</w:t>
      </w:r>
      <w:r w:rsidRPr="0080245A">
        <w:rPr>
          <w:rFonts w:eastAsia="Palatino Linotype"/>
          <w:i/>
        </w:rPr>
        <w:t>, la ley determinará los supuestos específicos bajo los cuales procederá la declaración de inexistencia de la información.”</w:t>
      </w:r>
    </w:p>
    <w:p w14:paraId="5CA98E37" w14:textId="77777777" w:rsidR="00C049E2" w:rsidRPr="0080245A" w:rsidRDefault="00C049E2" w:rsidP="00FE422A">
      <w:pPr>
        <w:rPr>
          <w:rFonts w:eastAsia="Palatino Linotype"/>
          <w:b/>
          <w:i/>
        </w:rPr>
      </w:pPr>
    </w:p>
    <w:p w14:paraId="6FC1BB3B" w14:textId="3BF4A33D" w:rsidR="00C049E2" w:rsidRPr="0080245A" w:rsidRDefault="00717E59" w:rsidP="00FE422A">
      <w:pPr>
        <w:rPr>
          <w:rFonts w:eastAsia="Palatino Linotype"/>
          <w:i/>
        </w:rPr>
      </w:pPr>
      <w:r w:rsidRPr="0080245A">
        <w:rPr>
          <w:rFonts w:eastAsia="Palatino Linotype"/>
        </w:rPr>
        <w:lastRenderedPageBreak/>
        <w:t xml:space="preserve">Asimismo, </w:t>
      </w:r>
      <w:r w:rsidR="00C049E2" w:rsidRPr="0080245A">
        <w:rPr>
          <w:rFonts w:eastAsia="Palatino Linotype"/>
        </w:rPr>
        <w:t>el artículo 150 de la Ley de Transparencia y Acceso a la Información Pública del Estado de México y Municipios</w:t>
      </w:r>
      <w:r w:rsidR="00057B2D" w:rsidRPr="0080245A">
        <w:rPr>
          <w:rFonts w:eastAsia="Palatino Linotype"/>
        </w:rPr>
        <w:t xml:space="preserve"> </w:t>
      </w:r>
      <w:r w:rsidR="00E9335C" w:rsidRPr="0080245A">
        <w:rPr>
          <w:rFonts w:eastAsia="Palatino Linotype"/>
        </w:rPr>
        <w:t xml:space="preserve">indica </w:t>
      </w:r>
      <w:r w:rsidR="00057B2D" w:rsidRPr="0080245A">
        <w:rPr>
          <w:rFonts w:eastAsia="Palatino Linotype"/>
        </w:rPr>
        <w:t>que</w:t>
      </w:r>
      <w:r w:rsidR="00C049E2" w:rsidRPr="0080245A">
        <w:rPr>
          <w:rFonts w:eastAsia="Palatino Linotype"/>
        </w:rPr>
        <w:t xml:space="preserve"> la solicitud es la garantía primaria del Derecho de Acceso a la Información, además, establece que se regirá </w:t>
      </w:r>
      <w:r w:rsidR="00C049E2" w:rsidRPr="0080245A">
        <w:rPr>
          <w:rFonts w:eastAsia="Palatino Linotype"/>
          <w:i/>
        </w:rPr>
        <w:t>por los principios de simplicidad, rapidez</w:t>
      </w:r>
      <w:r w:rsidR="005F65B7" w:rsidRPr="0080245A">
        <w:rPr>
          <w:rFonts w:eastAsia="Palatino Linotype"/>
          <w:i/>
        </w:rPr>
        <w:t>,</w:t>
      </w:r>
      <w:r w:rsidR="00C049E2" w:rsidRPr="0080245A">
        <w:rPr>
          <w:rFonts w:eastAsia="Palatino Linotype"/>
          <w:i/>
        </w:rPr>
        <w:t xml:space="preserve"> gratuidad del procedimiento, auxilio y orientación a los particulare</w:t>
      </w:r>
      <w:r w:rsidR="001A58B3" w:rsidRPr="0080245A">
        <w:rPr>
          <w:rFonts w:eastAsia="Palatino Linotype"/>
          <w:i/>
        </w:rPr>
        <w:t>s.</w:t>
      </w:r>
    </w:p>
    <w:p w14:paraId="033466A6" w14:textId="77777777" w:rsidR="001A58B3" w:rsidRPr="0080245A" w:rsidRDefault="001A58B3" w:rsidP="00FE422A">
      <w:pPr>
        <w:rPr>
          <w:rFonts w:eastAsia="Palatino Linotype"/>
          <w:i/>
        </w:rPr>
      </w:pPr>
    </w:p>
    <w:p w14:paraId="04ADA10B" w14:textId="574A944A" w:rsidR="001A58B3" w:rsidRPr="0080245A" w:rsidRDefault="00233F17" w:rsidP="00FE422A">
      <w:pPr>
        <w:rPr>
          <w:rFonts w:eastAsia="Palatino Linotype" w:cs="Palatino Linotype"/>
          <w:i/>
          <w:szCs w:val="22"/>
        </w:rPr>
      </w:pPr>
      <w:r w:rsidRPr="0080245A">
        <w:rPr>
          <w:rFonts w:eastAsia="Palatino Linotype" w:cs="Palatino Linotype"/>
        </w:rPr>
        <w:t xml:space="preserve">Por su parte, el artículo 4 de </w:t>
      </w:r>
      <w:r w:rsidR="001A58B3" w:rsidRPr="0080245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80245A">
        <w:rPr>
          <w:rFonts w:eastAsia="Palatino Linotype" w:cs="Palatino Linotype"/>
        </w:rPr>
        <w:t>.</w:t>
      </w:r>
    </w:p>
    <w:p w14:paraId="1407DBB8" w14:textId="77777777" w:rsidR="001A58B3" w:rsidRPr="0080245A" w:rsidRDefault="001A58B3" w:rsidP="00FE422A">
      <w:pPr>
        <w:rPr>
          <w:rFonts w:eastAsia="Palatino Linotype" w:cs="Palatino Linotype"/>
        </w:rPr>
      </w:pPr>
    </w:p>
    <w:p w14:paraId="7552AA79" w14:textId="5C52E4A4" w:rsidR="001A58B3" w:rsidRPr="0080245A" w:rsidRDefault="001A58B3" w:rsidP="00FE422A">
      <w:pPr>
        <w:rPr>
          <w:rFonts w:eastAsia="Palatino Linotype" w:cs="Palatino Linotype"/>
        </w:rPr>
      </w:pPr>
      <w:r w:rsidRPr="0080245A">
        <w:rPr>
          <w:rFonts w:eastAsia="Palatino Linotype" w:cs="Palatino Linotype"/>
        </w:rPr>
        <w:t xml:space="preserve">Esto es, que los Sujetos Obligados </w:t>
      </w:r>
      <w:r w:rsidR="00FA5957" w:rsidRPr="0080245A">
        <w:rPr>
          <w:rFonts w:eastAsia="Palatino Linotype" w:cs="Palatino Linotype"/>
        </w:rPr>
        <w:t>deben</w:t>
      </w:r>
      <w:r w:rsidRPr="0080245A">
        <w:rPr>
          <w:rFonts w:eastAsia="Palatino Linotype" w:cs="Palatino Linotype"/>
        </w:rPr>
        <w:t xml:space="preserve"> atender las solicitudes de acceso a la información pública que se les </w:t>
      </w:r>
      <w:r w:rsidR="00FA5957" w:rsidRPr="0080245A">
        <w:rPr>
          <w:rFonts w:eastAsia="Palatino Linotype" w:cs="Palatino Linotype"/>
        </w:rPr>
        <w:t>sean realizadas,</w:t>
      </w:r>
      <w:r w:rsidRPr="0080245A">
        <w:rPr>
          <w:rFonts w:eastAsia="Palatino Linotype" w:cs="Palatino Linotype"/>
        </w:rPr>
        <w:t xml:space="preserve"> y proporcionar la información pública que obre en su poder</w:t>
      </w:r>
      <w:r w:rsidR="00FA5957" w:rsidRPr="0080245A">
        <w:rPr>
          <w:rFonts w:eastAsia="Palatino Linotype" w:cs="Palatino Linotype"/>
        </w:rPr>
        <w:t>,</w:t>
      </w:r>
      <w:r w:rsidRPr="0080245A">
        <w:rPr>
          <w:rFonts w:eastAsia="Palatino Linotype" w:cs="Palatino Linotype"/>
        </w:rPr>
        <w:t xml:space="preserve"> conforme </w:t>
      </w:r>
      <w:r w:rsidR="00FA5957" w:rsidRPr="0080245A">
        <w:rPr>
          <w:rFonts w:eastAsia="Palatino Linotype" w:cs="Palatino Linotype"/>
        </w:rPr>
        <w:t>a</w:t>
      </w:r>
      <w:r w:rsidRPr="0080245A">
        <w:rPr>
          <w:rFonts w:eastAsia="Palatino Linotype" w:cs="Palatino Linotype"/>
        </w:rPr>
        <w:t xml:space="preserve">l estado </w:t>
      </w:r>
      <w:r w:rsidR="00FA5957" w:rsidRPr="0080245A">
        <w:rPr>
          <w:rFonts w:eastAsia="Palatino Linotype" w:cs="Palatino Linotype"/>
        </w:rPr>
        <w:t xml:space="preserve">en </w:t>
      </w:r>
      <w:r w:rsidRPr="0080245A">
        <w:rPr>
          <w:rFonts w:eastAsia="Palatino Linotype" w:cs="Palatino Linotype"/>
        </w:rPr>
        <w:t>que se encuentr</w:t>
      </w:r>
      <w:r w:rsidR="00FA5957" w:rsidRPr="0080245A">
        <w:rPr>
          <w:rFonts w:eastAsia="Palatino Linotype" w:cs="Palatino Linotype"/>
        </w:rPr>
        <w:t>e, sin que sea necesario</w:t>
      </w:r>
      <w:r w:rsidRPr="0080245A">
        <w:rPr>
          <w:rFonts w:eastAsia="Palatino Linotype" w:cs="Palatino Linotype"/>
        </w:rPr>
        <w:t xml:space="preserve"> </w:t>
      </w:r>
      <w:r w:rsidR="00FA5957" w:rsidRPr="0080245A">
        <w:rPr>
          <w:rFonts w:eastAsia="Palatino Linotype" w:cs="Palatino Linotype"/>
        </w:rPr>
        <w:t>procesar</w:t>
      </w:r>
      <w:r w:rsidRPr="0080245A">
        <w:rPr>
          <w:rFonts w:eastAsia="Palatino Linotype" w:cs="Palatino Linotype"/>
        </w:rPr>
        <w:t xml:space="preserve"> la misma, ni presentarla conforme al interés del solicitante; </w:t>
      </w:r>
      <w:r w:rsidR="00FA5957" w:rsidRPr="0080245A">
        <w:rPr>
          <w:rFonts w:eastAsia="Palatino Linotype" w:cs="Palatino Linotype"/>
        </w:rPr>
        <w:t>tal y como</w:t>
      </w:r>
      <w:r w:rsidRPr="0080245A">
        <w:rPr>
          <w:rFonts w:eastAsia="Palatino Linotype" w:cs="Palatino Linotype"/>
        </w:rPr>
        <w:t xml:space="preserve"> lo establece el artículo 12 de la Ley de Transparencia y Acceso a la Información Pública del Estado de México y Municipios</w:t>
      </w:r>
      <w:r w:rsidR="00970EB3" w:rsidRPr="0080245A">
        <w:rPr>
          <w:rFonts w:eastAsia="Palatino Linotype" w:cs="Palatino Linotype"/>
        </w:rPr>
        <w:t>.</w:t>
      </w:r>
    </w:p>
    <w:p w14:paraId="73245195" w14:textId="77777777" w:rsidR="00970EB3" w:rsidRPr="0080245A" w:rsidRDefault="00970EB3" w:rsidP="00FE422A">
      <w:pPr>
        <w:rPr>
          <w:rFonts w:eastAsia="Palatino Linotype" w:cs="Palatino Linotype"/>
        </w:rPr>
      </w:pPr>
    </w:p>
    <w:p w14:paraId="7F62D4DF" w14:textId="775730E1" w:rsidR="001A58B3" w:rsidRPr="0080245A" w:rsidRDefault="001A58B3" w:rsidP="00FE422A">
      <w:pPr>
        <w:rPr>
          <w:rFonts w:eastAsia="Palatino Linotype" w:cs="Palatino Linotype"/>
        </w:rPr>
      </w:pPr>
      <w:r w:rsidRPr="0080245A">
        <w:rPr>
          <w:rFonts w:eastAsia="Palatino Linotype" w:cs="Palatino Linotype"/>
        </w:rPr>
        <w:t>Es decir, que todo sujeto obligado que genere, recopile, administre, procese, archive, posea o conserven, son responsables de la misma</w:t>
      </w:r>
      <w:r w:rsidR="00970EB3" w:rsidRPr="0080245A">
        <w:rPr>
          <w:rFonts w:eastAsia="Palatino Linotype" w:cs="Palatino Linotype"/>
        </w:rPr>
        <w:t>,</w:t>
      </w:r>
      <w:r w:rsidRPr="0080245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80245A">
        <w:rPr>
          <w:rFonts w:eastAsia="Palatino Linotype" w:cs="Palatino Linotype"/>
        </w:rPr>
        <w:t>o</w:t>
      </w:r>
      <w:r w:rsidRPr="0080245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80245A" w:rsidRDefault="001A58B3" w:rsidP="00FE422A">
      <w:pPr>
        <w:rPr>
          <w:rFonts w:eastAsia="Palatino Linotype" w:cs="Palatino Linotype"/>
        </w:rPr>
      </w:pPr>
    </w:p>
    <w:p w14:paraId="04E42DFE" w14:textId="573F1198" w:rsidR="001A58B3" w:rsidRPr="0080245A" w:rsidRDefault="001A58B3" w:rsidP="00FE422A">
      <w:pPr>
        <w:rPr>
          <w:rFonts w:eastAsia="Palatino Linotype" w:cs="Palatino Linotype"/>
        </w:rPr>
      </w:pPr>
      <w:r w:rsidRPr="0080245A">
        <w:rPr>
          <w:rFonts w:eastAsia="Palatino Linotype" w:cs="Palatino Linotype"/>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80245A">
        <w:rPr>
          <w:rFonts w:eastAsia="Palatino Linotype" w:cs="Palatino Linotype"/>
        </w:rPr>
        <w:t>, s</w:t>
      </w:r>
      <w:r w:rsidRPr="0080245A">
        <w:rPr>
          <w:rFonts w:eastAsia="Palatino Linotype" w:cs="Palatino Linotype"/>
        </w:rPr>
        <w:t xml:space="preserve">iempre y cuando no se trate de información reservada o </w:t>
      </w:r>
      <w:r w:rsidR="00331F35" w:rsidRPr="0080245A">
        <w:rPr>
          <w:rFonts w:eastAsia="Palatino Linotype" w:cs="Palatino Linotype"/>
        </w:rPr>
        <w:t>confidencial.</w:t>
      </w:r>
    </w:p>
    <w:p w14:paraId="40C5219F" w14:textId="77777777" w:rsidR="001A58B3" w:rsidRPr="0080245A" w:rsidRDefault="001A58B3" w:rsidP="00FE422A">
      <w:pPr>
        <w:rPr>
          <w:rFonts w:eastAsia="Palatino Linotype" w:cs="Palatino Linotype"/>
        </w:rPr>
      </w:pPr>
    </w:p>
    <w:p w14:paraId="2E629608" w14:textId="01727E15" w:rsidR="00C049E2" w:rsidRPr="0080245A" w:rsidRDefault="006067C7" w:rsidP="00FE422A">
      <w:pPr>
        <w:rPr>
          <w:rFonts w:eastAsia="Palatino Linotype"/>
        </w:rPr>
      </w:pPr>
      <w:bookmarkStart w:id="25" w:name="_heading=h.2s8eyo1" w:colFirst="0" w:colLast="0"/>
      <w:bookmarkEnd w:id="25"/>
      <w:r w:rsidRPr="0080245A">
        <w:rPr>
          <w:rFonts w:eastAsia="Palatino Linotype"/>
        </w:rPr>
        <w:t>Con base en lo anterior</w:t>
      </w:r>
      <w:r w:rsidR="00B22A80" w:rsidRPr="0080245A">
        <w:rPr>
          <w:rFonts w:eastAsia="Palatino Linotype"/>
        </w:rPr>
        <w:t>, se considera que</w:t>
      </w:r>
      <w:r w:rsidR="00C049E2" w:rsidRPr="0080245A">
        <w:rPr>
          <w:rFonts w:eastAsia="Palatino Linotype"/>
        </w:rPr>
        <w:t xml:space="preserve"> </w:t>
      </w:r>
      <w:r w:rsidR="00B22A80" w:rsidRPr="0080245A">
        <w:rPr>
          <w:rFonts w:eastAsia="Palatino Linotype"/>
          <w:b/>
          <w:bCs/>
        </w:rPr>
        <w:t>EL</w:t>
      </w:r>
      <w:r w:rsidR="00C049E2" w:rsidRPr="0080245A">
        <w:rPr>
          <w:rFonts w:eastAsia="Palatino Linotype"/>
        </w:rPr>
        <w:t xml:space="preserve"> </w:t>
      </w:r>
      <w:r w:rsidR="00C049E2" w:rsidRPr="0080245A">
        <w:rPr>
          <w:rFonts w:eastAsia="Palatino Linotype"/>
          <w:b/>
        </w:rPr>
        <w:t>SUJETO OBLIGADO</w:t>
      </w:r>
      <w:r w:rsidR="00C049E2" w:rsidRPr="0080245A">
        <w:rPr>
          <w:rFonts w:eastAsia="Palatino Linotype"/>
        </w:rPr>
        <w:t xml:space="preserve"> </w:t>
      </w:r>
      <w:r w:rsidR="00B22A80" w:rsidRPr="0080245A">
        <w:rPr>
          <w:rFonts w:eastAsia="Palatino Linotype"/>
        </w:rPr>
        <w:t xml:space="preserve">se </w:t>
      </w:r>
      <w:r w:rsidR="00717E59" w:rsidRPr="0080245A">
        <w:rPr>
          <w:rFonts w:eastAsia="Palatino Linotype"/>
        </w:rPr>
        <w:t>encontraba</w:t>
      </w:r>
      <w:r w:rsidR="00B22A80" w:rsidRPr="0080245A">
        <w:rPr>
          <w:rFonts w:eastAsia="Palatino Linotype"/>
        </w:rPr>
        <w:t xml:space="preserve"> compelido a</w:t>
      </w:r>
      <w:r w:rsidR="00C049E2" w:rsidRPr="0080245A">
        <w:rPr>
          <w:rFonts w:eastAsia="Palatino Linotype"/>
        </w:rPr>
        <w:t xml:space="preserve"> atender la solicitud de acceso a la información </w:t>
      </w:r>
      <w:r w:rsidR="00B22A80" w:rsidRPr="0080245A">
        <w:rPr>
          <w:rFonts w:eastAsia="Palatino Linotype"/>
        </w:rPr>
        <w:t xml:space="preserve">realizada por </w:t>
      </w:r>
      <w:r w:rsidR="00B22A80" w:rsidRPr="0080245A">
        <w:rPr>
          <w:rFonts w:eastAsia="Palatino Linotype"/>
          <w:b/>
          <w:bCs/>
        </w:rPr>
        <w:t>LA PARTE RECURRENTE</w:t>
      </w:r>
      <w:r w:rsidR="00331F35" w:rsidRPr="0080245A">
        <w:rPr>
          <w:rFonts w:eastAsia="Palatino Linotype"/>
        </w:rPr>
        <w:t>.</w:t>
      </w:r>
    </w:p>
    <w:p w14:paraId="1611F147" w14:textId="77777777" w:rsidR="00BD5A7C" w:rsidRPr="0080245A" w:rsidRDefault="00BD5A7C" w:rsidP="00FE422A">
      <w:pPr>
        <w:rPr>
          <w:rFonts w:eastAsia="Palatino Linotype"/>
        </w:rPr>
      </w:pPr>
    </w:p>
    <w:p w14:paraId="51A0E8B4" w14:textId="676DCA47" w:rsidR="00664420" w:rsidRPr="0080245A" w:rsidRDefault="00C71CEF" w:rsidP="00FE422A">
      <w:pPr>
        <w:pStyle w:val="Ttulo3"/>
        <w:rPr>
          <w:rFonts w:eastAsia="Calibri"/>
          <w:lang w:eastAsia="es-ES_tradnl"/>
        </w:rPr>
      </w:pPr>
      <w:bookmarkStart w:id="26" w:name="_Toc212099331"/>
      <w:r w:rsidRPr="0080245A">
        <w:rPr>
          <w:rFonts w:eastAsia="Calibri"/>
          <w:lang w:eastAsia="es-ES_tradnl"/>
        </w:rPr>
        <w:t>b)</w:t>
      </w:r>
      <w:r w:rsidR="00A53315" w:rsidRPr="0080245A">
        <w:rPr>
          <w:rFonts w:eastAsia="Calibri"/>
          <w:lang w:eastAsia="es-ES_tradnl"/>
        </w:rPr>
        <w:t xml:space="preserve"> </w:t>
      </w:r>
      <w:r w:rsidR="00A21A20" w:rsidRPr="0080245A">
        <w:rPr>
          <w:rFonts w:eastAsia="Calibri"/>
          <w:lang w:eastAsia="es-ES_tradnl"/>
        </w:rPr>
        <w:t>Controversia a resolver</w:t>
      </w:r>
      <w:bookmarkEnd w:id="26"/>
    </w:p>
    <w:p w14:paraId="5DAE2A65" w14:textId="382C31A9" w:rsidR="00664420" w:rsidRPr="0080245A" w:rsidRDefault="00664420" w:rsidP="00FE422A">
      <w:pPr>
        <w:rPr>
          <w:rFonts w:eastAsia="Calibri"/>
          <w:lang w:eastAsia="es-ES_tradnl"/>
        </w:rPr>
      </w:pPr>
      <w:r w:rsidRPr="0080245A">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80245A">
        <w:rPr>
          <w:rFonts w:eastAsia="Calibri"/>
          <w:b/>
          <w:bCs/>
          <w:lang w:eastAsia="es-ES_tradnl"/>
        </w:rPr>
        <w:t>LA PARTE RECURRENTE</w:t>
      </w:r>
      <w:r w:rsidRPr="0080245A">
        <w:rPr>
          <w:rFonts w:eastAsia="Calibri"/>
          <w:lang w:eastAsia="es-ES_tradnl"/>
        </w:rPr>
        <w:t xml:space="preserve"> solicitó lo siguiente:</w:t>
      </w:r>
    </w:p>
    <w:p w14:paraId="7D9D559B" w14:textId="77777777" w:rsidR="00664420" w:rsidRPr="0080245A" w:rsidRDefault="00664420" w:rsidP="00FE422A">
      <w:pPr>
        <w:tabs>
          <w:tab w:val="left" w:pos="4962"/>
        </w:tabs>
        <w:ind w:left="851" w:right="822"/>
        <w:contextualSpacing/>
        <w:rPr>
          <w:rFonts w:eastAsia="Calibri" w:cs="Tahoma"/>
          <w:iCs/>
          <w:szCs w:val="22"/>
          <w:lang w:eastAsia="es-ES_tradnl"/>
        </w:rPr>
      </w:pPr>
    </w:p>
    <w:p w14:paraId="2DF610EA" w14:textId="3785FB93" w:rsidR="0064220C" w:rsidRPr="0080245A" w:rsidRDefault="0064220C" w:rsidP="00FE422A">
      <w:pPr>
        <w:pStyle w:val="Prrafodelista"/>
        <w:numPr>
          <w:ilvl w:val="0"/>
          <w:numId w:val="16"/>
        </w:numPr>
        <w:tabs>
          <w:tab w:val="left" w:pos="4962"/>
        </w:tabs>
        <w:ind w:left="851" w:right="822"/>
        <w:rPr>
          <w:szCs w:val="22"/>
        </w:rPr>
      </w:pPr>
      <w:r w:rsidRPr="0080245A">
        <w:rPr>
          <w:szCs w:val="22"/>
        </w:rPr>
        <w:t>El incremento porcentual del salario de Os</w:t>
      </w:r>
      <w:r w:rsidR="00875AC3" w:rsidRPr="0080245A">
        <w:rPr>
          <w:szCs w:val="22"/>
        </w:rPr>
        <w:t>car Chaires Palma del año 2025</w:t>
      </w:r>
    </w:p>
    <w:p w14:paraId="5DDC6017" w14:textId="7E0E4B05" w:rsidR="0064220C" w:rsidRPr="0080245A" w:rsidRDefault="0064220C" w:rsidP="00FE422A">
      <w:pPr>
        <w:pStyle w:val="Prrafodelista"/>
        <w:numPr>
          <w:ilvl w:val="0"/>
          <w:numId w:val="16"/>
        </w:numPr>
        <w:tabs>
          <w:tab w:val="left" w:pos="4962"/>
        </w:tabs>
        <w:ind w:left="851" w:right="822"/>
        <w:rPr>
          <w:rFonts w:eastAsia="Calibri" w:cs="Tahoma"/>
          <w:iCs/>
          <w:szCs w:val="22"/>
          <w:lang w:eastAsia="es-ES_tradnl"/>
        </w:rPr>
      </w:pPr>
      <w:r w:rsidRPr="0080245A">
        <w:rPr>
          <w:szCs w:val="22"/>
        </w:rPr>
        <w:t>El soporte documental que acredite el incrementó correspondiente.</w:t>
      </w:r>
    </w:p>
    <w:p w14:paraId="049286CD" w14:textId="77777777" w:rsidR="002910C1" w:rsidRPr="0080245A" w:rsidRDefault="002910C1" w:rsidP="00FE422A">
      <w:pPr>
        <w:pStyle w:val="Prrafodelista"/>
        <w:tabs>
          <w:tab w:val="left" w:pos="4962"/>
        </w:tabs>
        <w:ind w:left="851" w:right="822"/>
        <w:rPr>
          <w:rFonts w:eastAsia="Calibri" w:cs="Tahoma"/>
          <w:iCs/>
          <w:szCs w:val="22"/>
          <w:lang w:eastAsia="es-ES_tradnl"/>
        </w:rPr>
      </w:pPr>
    </w:p>
    <w:p w14:paraId="542946D6" w14:textId="5F0BD869" w:rsidR="0064220C" w:rsidRPr="0080245A" w:rsidRDefault="00664420" w:rsidP="00FE422A">
      <w:pPr>
        <w:tabs>
          <w:tab w:val="left" w:pos="4962"/>
        </w:tabs>
        <w:contextualSpacing/>
        <w:rPr>
          <w:szCs w:val="22"/>
        </w:rPr>
      </w:pPr>
      <w:r w:rsidRPr="0080245A">
        <w:rPr>
          <w:rFonts w:eastAsiaTheme="minorHAnsi" w:cs="Tahoma"/>
          <w:bCs/>
          <w:iCs/>
          <w:szCs w:val="22"/>
          <w:lang w:eastAsia="en-US"/>
        </w:rPr>
        <w:t xml:space="preserve">En respuesta, </w:t>
      </w:r>
      <w:r w:rsidR="005D5A50" w:rsidRPr="0080245A">
        <w:rPr>
          <w:rFonts w:eastAsiaTheme="minorHAnsi" w:cs="Tahoma"/>
          <w:b/>
          <w:iCs/>
          <w:szCs w:val="22"/>
          <w:lang w:eastAsia="en-US"/>
        </w:rPr>
        <w:t>EL SUJETO OBLIGADO</w:t>
      </w:r>
      <w:r w:rsidRPr="0080245A">
        <w:rPr>
          <w:rFonts w:eastAsiaTheme="minorHAnsi" w:cs="Tahoma"/>
          <w:bCs/>
          <w:iCs/>
          <w:szCs w:val="22"/>
          <w:lang w:eastAsia="en-US"/>
        </w:rPr>
        <w:t xml:space="preserve"> se pronunció por conducto de</w:t>
      </w:r>
      <w:r w:rsidR="0064220C" w:rsidRPr="0080245A">
        <w:rPr>
          <w:rFonts w:eastAsiaTheme="minorHAnsi" w:cs="Tahoma"/>
          <w:bCs/>
          <w:iCs/>
          <w:szCs w:val="22"/>
          <w:lang w:eastAsia="en-US"/>
        </w:rPr>
        <w:t xml:space="preserve"> </w:t>
      </w:r>
      <w:r w:rsidR="0064220C" w:rsidRPr="0080245A">
        <w:rPr>
          <w:szCs w:val="22"/>
        </w:rPr>
        <w:t xml:space="preserve">Dirección de Recursos Humanos que entregó el Tabulador de sueldos, así como un enlace para consulta de información, el cual direcciona </w:t>
      </w:r>
      <w:r w:rsidR="004D4006" w:rsidRPr="0080245A">
        <w:rPr>
          <w:szCs w:val="22"/>
        </w:rPr>
        <w:t xml:space="preserve">a una página que contiene el manual de descripción de puestos, el tabulador salarial, las remuneraciones del personal de UAEM y los contratos; </w:t>
      </w:r>
      <w:r w:rsidR="0064220C" w:rsidRPr="0080245A">
        <w:rPr>
          <w:szCs w:val="22"/>
        </w:rPr>
        <w:t>siendo el siguiente:</w:t>
      </w:r>
    </w:p>
    <w:p w14:paraId="5D3E756D" w14:textId="77777777" w:rsidR="0064220C" w:rsidRPr="0080245A" w:rsidRDefault="0064220C" w:rsidP="00FE422A">
      <w:pPr>
        <w:tabs>
          <w:tab w:val="left" w:pos="4962"/>
        </w:tabs>
        <w:contextualSpacing/>
        <w:rPr>
          <w:szCs w:val="22"/>
        </w:rPr>
      </w:pPr>
    </w:p>
    <w:p w14:paraId="739662F2" w14:textId="5BE78DF9" w:rsidR="0064220C" w:rsidRPr="0080245A" w:rsidRDefault="009C627C" w:rsidP="00FE422A">
      <w:pPr>
        <w:tabs>
          <w:tab w:val="left" w:pos="4962"/>
        </w:tabs>
        <w:contextualSpacing/>
        <w:rPr>
          <w:szCs w:val="22"/>
        </w:rPr>
      </w:pPr>
      <w:hyperlink r:id="rId14" w:history="1">
        <w:r w:rsidR="0064220C" w:rsidRPr="0080245A">
          <w:rPr>
            <w:rStyle w:val="Hipervnculo"/>
            <w:color w:val="auto"/>
            <w:szCs w:val="22"/>
          </w:rPr>
          <w:t>http://transparencia.uaemex.mx/usuario/infPub.php?nomDir=03.catPueTabSal&amp;cveParent=5</w:t>
        </w:r>
      </w:hyperlink>
    </w:p>
    <w:p w14:paraId="359F838C" w14:textId="77777777" w:rsidR="0064220C" w:rsidRPr="0080245A" w:rsidRDefault="0064220C" w:rsidP="00FE422A">
      <w:pPr>
        <w:tabs>
          <w:tab w:val="left" w:pos="4962"/>
        </w:tabs>
        <w:contextualSpacing/>
        <w:rPr>
          <w:szCs w:val="22"/>
        </w:rPr>
      </w:pPr>
    </w:p>
    <w:p w14:paraId="6D3F886C" w14:textId="1752E784" w:rsidR="004D4006" w:rsidRPr="0080245A" w:rsidRDefault="00CF7586" w:rsidP="00FE422A">
      <w:pPr>
        <w:tabs>
          <w:tab w:val="left" w:pos="4667"/>
        </w:tabs>
        <w:ind w:right="113"/>
        <w:rPr>
          <w:rFonts w:eastAsiaTheme="minorHAnsi" w:cs="Tahoma"/>
          <w:bCs/>
          <w:iCs/>
          <w:szCs w:val="22"/>
          <w:lang w:eastAsia="en-US"/>
        </w:rPr>
      </w:pPr>
      <w:r w:rsidRPr="0080245A">
        <w:rPr>
          <w:rFonts w:eastAsiaTheme="minorHAnsi" w:cs="Tahoma"/>
          <w:bCs/>
          <w:iCs/>
          <w:szCs w:val="22"/>
          <w:lang w:eastAsia="en-US"/>
        </w:rPr>
        <w:t xml:space="preserve">Ahora bien, en la interposición del presente recurso </w:t>
      </w:r>
      <w:r w:rsidRPr="0080245A">
        <w:rPr>
          <w:rFonts w:eastAsiaTheme="minorHAnsi" w:cs="Tahoma"/>
          <w:b/>
          <w:iCs/>
          <w:szCs w:val="22"/>
          <w:lang w:eastAsia="en-US"/>
        </w:rPr>
        <w:t>LA PARTE RECURRENTE</w:t>
      </w:r>
      <w:r w:rsidR="00664420" w:rsidRPr="0080245A">
        <w:rPr>
          <w:rFonts w:eastAsiaTheme="minorHAnsi" w:cs="Tahoma"/>
          <w:bCs/>
          <w:iCs/>
          <w:szCs w:val="22"/>
          <w:lang w:eastAsia="en-US"/>
        </w:rPr>
        <w:t xml:space="preserve"> se inconformó de</w:t>
      </w:r>
      <w:r w:rsidR="004D4006" w:rsidRPr="0080245A">
        <w:rPr>
          <w:rFonts w:eastAsiaTheme="minorHAnsi" w:cs="Tahoma"/>
          <w:bCs/>
          <w:iCs/>
          <w:szCs w:val="22"/>
          <w:lang w:eastAsia="en-US"/>
        </w:rPr>
        <w:t xml:space="preserve"> la entrega de información en una liga que no abre, incluso anexa los archivos que contienen la captura de pantalla respaldando sus motivos de inconformidad,</w:t>
      </w:r>
      <w:r w:rsidRPr="0080245A">
        <w:rPr>
          <w:rFonts w:eastAsiaTheme="minorHAnsi" w:cs="Tahoma"/>
          <w:bCs/>
          <w:iCs/>
          <w:szCs w:val="22"/>
          <w:lang w:eastAsia="en-US"/>
        </w:rPr>
        <w:t xml:space="preserve"> por lo cual, el estudio </w:t>
      </w:r>
      <w:r w:rsidR="005B18AF" w:rsidRPr="0080245A">
        <w:rPr>
          <w:rFonts w:eastAsiaTheme="minorHAnsi" w:cs="Tahoma"/>
          <w:bCs/>
          <w:iCs/>
          <w:szCs w:val="22"/>
          <w:lang w:eastAsia="en-US"/>
        </w:rPr>
        <w:t>se centrará en determinar si</w:t>
      </w:r>
      <w:r w:rsidR="00D2790D" w:rsidRPr="0080245A">
        <w:rPr>
          <w:rFonts w:eastAsiaTheme="minorHAnsi" w:cs="Tahoma"/>
          <w:bCs/>
          <w:iCs/>
          <w:szCs w:val="22"/>
          <w:lang w:eastAsia="en-US"/>
        </w:rPr>
        <w:t xml:space="preserve"> la información solicitada se encuentra en los enlaces proporcionad</w:t>
      </w:r>
      <w:r w:rsidR="004D4006" w:rsidRPr="0080245A">
        <w:rPr>
          <w:rFonts w:eastAsiaTheme="minorHAnsi" w:cs="Tahoma"/>
          <w:bCs/>
          <w:iCs/>
          <w:szCs w:val="22"/>
          <w:lang w:eastAsia="en-US"/>
        </w:rPr>
        <w:t>os por el sujeto obligado.</w:t>
      </w:r>
    </w:p>
    <w:p w14:paraId="62888213" w14:textId="77777777" w:rsidR="004D4006" w:rsidRPr="0080245A" w:rsidRDefault="004D4006" w:rsidP="00FE422A">
      <w:pPr>
        <w:tabs>
          <w:tab w:val="left" w:pos="4667"/>
        </w:tabs>
        <w:ind w:right="567"/>
        <w:rPr>
          <w:rFonts w:eastAsiaTheme="minorHAnsi" w:cs="Tahoma"/>
          <w:bCs/>
          <w:iCs/>
          <w:szCs w:val="22"/>
          <w:lang w:eastAsia="en-US"/>
        </w:rPr>
      </w:pPr>
    </w:p>
    <w:p w14:paraId="414FD2D5" w14:textId="4408E416" w:rsidR="00664420" w:rsidRPr="0080245A" w:rsidRDefault="00A21A20" w:rsidP="00FE422A">
      <w:pPr>
        <w:pStyle w:val="Ttulo3"/>
      </w:pPr>
      <w:bookmarkStart w:id="27" w:name="_Toc212099332"/>
      <w:r w:rsidRPr="0080245A">
        <w:t>c)</w:t>
      </w:r>
      <w:r w:rsidR="00664420" w:rsidRPr="0080245A">
        <w:t xml:space="preserve"> </w:t>
      </w:r>
      <w:r w:rsidRPr="0080245A">
        <w:t>Estudio de la controversia</w:t>
      </w:r>
      <w:bookmarkEnd w:id="27"/>
    </w:p>
    <w:p w14:paraId="76C62651" w14:textId="77777777" w:rsidR="003868D6" w:rsidRPr="0080245A" w:rsidRDefault="003868D6" w:rsidP="00FE422A">
      <w:pPr>
        <w:rPr>
          <w:szCs w:val="22"/>
        </w:rPr>
      </w:pPr>
      <w:r w:rsidRPr="0080245A">
        <w:rPr>
          <w:szCs w:val="22"/>
        </w:rPr>
        <w:t xml:space="preserve">Este Órgano Garante basará el análisis del presente, en el contenido íntegro de las actuaciones que obran en el expediente electrónico en </w:t>
      </w:r>
      <w:r w:rsidRPr="0080245A">
        <w:rPr>
          <w:b/>
          <w:szCs w:val="22"/>
        </w:rPr>
        <w:t>EL SAIMEX</w:t>
      </w:r>
      <w:r w:rsidRPr="0080245A">
        <w:rPr>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64A375AF" w14:textId="77777777" w:rsidR="00875AC3" w:rsidRPr="0080245A" w:rsidRDefault="00875AC3" w:rsidP="00FE422A">
      <w:pPr>
        <w:spacing w:before="240" w:after="240"/>
        <w:ind w:right="49"/>
        <w:rPr>
          <w:rFonts w:eastAsia="Palatino Linotype" w:cs="Palatino Linotype"/>
        </w:rPr>
      </w:pPr>
      <w:r w:rsidRPr="0080245A">
        <w:rPr>
          <w:rFonts w:eastAsia="Palatino Linotype" w:cs="Palatino Linotype"/>
        </w:rPr>
        <w:t>Una vez establecidas las posturas de las partes,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57A21511" w14:textId="77777777" w:rsidR="00875AC3" w:rsidRPr="0080245A" w:rsidRDefault="00875AC3" w:rsidP="00FE422A">
      <w:pPr>
        <w:spacing w:before="240" w:after="240"/>
        <w:ind w:right="49"/>
        <w:rPr>
          <w:rFonts w:eastAsia="Palatino Linotype" w:cs="Palatino Linotype"/>
        </w:rPr>
      </w:pPr>
      <w:r w:rsidRPr="0080245A">
        <w:rPr>
          <w:rFonts w:eastAsia="Palatino Linotype" w:cs="Palatino Linotype"/>
        </w:rPr>
        <w:t xml:space="preserve">De tal manera que, si bien el Titular de la Unidad de Transparencia no tiene bajo su resguardo el archivo que contiene la documentación en donde consta la información solicitada, esta </w:t>
      </w:r>
      <w:r w:rsidRPr="0080245A">
        <w:rPr>
          <w:rFonts w:eastAsia="Palatino Linotype" w:cs="Palatino Linotype"/>
        </w:rPr>
        <w:lastRenderedPageBreak/>
        <w:t>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000F0273" w14:textId="77777777" w:rsidR="00875AC3" w:rsidRPr="0080245A" w:rsidRDefault="00875AC3" w:rsidP="00FE422A">
      <w:pPr>
        <w:spacing w:before="240" w:after="240"/>
        <w:ind w:right="49"/>
        <w:rPr>
          <w:rFonts w:eastAsia="Palatino Linotype" w:cs="Palatino Linotype"/>
        </w:rPr>
      </w:pPr>
      <w:r w:rsidRPr="0080245A">
        <w:rPr>
          <w:rFonts w:eastAsia="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5ADD9E03" w14:textId="77777777" w:rsidR="00875AC3" w:rsidRPr="0080245A" w:rsidRDefault="00875AC3" w:rsidP="00FE422A">
      <w:pPr>
        <w:spacing w:before="240" w:after="240"/>
        <w:ind w:right="49"/>
        <w:rPr>
          <w:rFonts w:eastAsia="Palatino Linotype" w:cs="Palatino Linotype"/>
        </w:rPr>
      </w:pPr>
      <w:r w:rsidRPr="0080245A">
        <w:rPr>
          <w:rFonts w:eastAsia="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0303C7B0" w14:textId="57639605" w:rsidR="00875AC3" w:rsidRPr="0080245A" w:rsidRDefault="00875AC3" w:rsidP="00FE422A">
      <w:pPr>
        <w:spacing w:before="240" w:after="240"/>
        <w:ind w:right="49"/>
        <w:rPr>
          <w:rFonts w:eastAsia="Palatino Linotype" w:cs="Palatino Linotype"/>
        </w:rPr>
      </w:pPr>
      <w:r w:rsidRPr="0080245A">
        <w:rPr>
          <w:rFonts w:eastAsia="Palatino Linotype" w:cs="Palatino Linotype"/>
        </w:rPr>
        <w:lastRenderedPageBreak/>
        <w:t xml:space="preserve">En esta línea de pensamiento, derivado del análisis de las constancias que obran en el expediente electrónico en el que se actúa, se advirtió que la Unidad de Transparencia del </w:t>
      </w:r>
      <w:r w:rsidR="002910C1" w:rsidRPr="0080245A">
        <w:rPr>
          <w:rFonts w:eastAsia="Palatino Linotype" w:cs="Palatino Linotype"/>
          <w:b/>
        </w:rPr>
        <w:t>SUJETO OBLIGADO</w:t>
      </w:r>
      <w:r w:rsidRPr="0080245A">
        <w:rPr>
          <w:rFonts w:eastAsia="Palatino Linotype" w:cs="Palatino Linotype"/>
        </w:rPr>
        <w:t xml:space="preserve">, turnó la solicitud a la </w:t>
      </w:r>
      <w:r w:rsidRPr="0080245A">
        <w:rPr>
          <w:rFonts w:eastAsia="Palatino Linotype" w:cs="Palatino Linotype"/>
          <w:b/>
        </w:rPr>
        <w:t>Dirección de Recursos Humanos adscrita a la Secretaría de Gestión y Administración Universitaria</w:t>
      </w:r>
      <w:r w:rsidRPr="0080245A">
        <w:rPr>
          <w:rFonts w:eastAsia="Palatino Linotype" w:cs="Palatino Linotype"/>
        </w:rPr>
        <w:t>, como la responsable de planificar, coordinar, dirigir y ejecutar las políticas, programas y procesos para la eficiente administración de los recursos humanos, de conformidad con el artículo 41 del Reglamento de la Administración Universitaria de la Universidad Autónoma del Estado De México.</w:t>
      </w:r>
    </w:p>
    <w:p w14:paraId="43106FF2" w14:textId="77777777" w:rsidR="00875AC3" w:rsidRPr="0080245A" w:rsidRDefault="00875AC3" w:rsidP="00FE422A">
      <w:pPr>
        <w:spacing w:before="240" w:after="240"/>
        <w:ind w:right="49"/>
        <w:rPr>
          <w:rFonts w:eastAsia="Palatino Linotype" w:cs="Palatino Linotype"/>
        </w:rPr>
      </w:pPr>
      <w:r w:rsidRPr="0080245A">
        <w:rPr>
          <w:rFonts w:eastAsia="Palatino Linotype" w:cs="Palatino Linotype"/>
        </w:rPr>
        <w:t xml:space="preserve">Mientras que el </w:t>
      </w:r>
      <w:r w:rsidRPr="0080245A">
        <w:rPr>
          <w:rFonts w:eastAsia="Palatino Linotype" w:cs="Palatino Linotype"/>
          <w:b/>
        </w:rPr>
        <w:t>Manual de Organización de la Dirección de Recursos Humanos</w:t>
      </w:r>
      <w:r w:rsidRPr="0080245A">
        <w:rPr>
          <w:rFonts w:eastAsia="Palatino Linotype" w:cs="Palatino Linotype"/>
        </w:rPr>
        <w:t>, confiere a dicha unidad las siguientes atribuciones en su parte conducente:</w:t>
      </w:r>
    </w:p>
    <w:p w14:paraId="68A37BEB" w14:textId="549AF707" w:rsidR="00875AC3" w:rsidRPr="0080245A" w:rsidRDefault="00875AC3" w:rsidP="00FE422A">
      <w:pPr>
        <w:pStyle w:val="Prrafodelista"/>
        <w:numPr>
          <w:ilvl w:val="0"/>
          <w:numId w:val="28"/>
        </w:numPr>
        <w:spacing w:before="240" w:after="240"/>
        <w:ind w:right="49"/>
        <w:rPr>
          <w:rFonts w:eastAsia="Palatino Linotype" w:cs="Palatino Linotype"/>
        </w:rPr>
      </w:pPr>
      <w:r w:rsidRPr="0080245A">
        <w:rPr>
          <w:rFonts w:eastAsia="Palatino Linotype" w:cs="Palatino Linotype"/>
        </w:rPr>
        <w:t>Disponer las acciones necesarias tendientes a administrar el capital humano, los recursos materiales, financieros y técnicos que tenga asignados para otorgar servicios eficientes y eficaces al trabajador universitario.</w:t>
      </w:r>
    </w:p>
    <w:p w14:paraId="62D5D184" w14:textId="493EC376" w:rsidR="00875AC3" w:rsidRPr="0080245A" w:rsidRDefault="00875AC3" w:rsidP="00FE422A">
      <w:pPr>
        <w:pStyle w:val="Prrafodelista"/>
        <w:numPr>
          <w:ilvl w:val="0"/>
          <w:numId w:val="28"/>
        </w:numPr>
        <w:spacing w:before="240" w:after="240"/>
        <w:ind w:right="49"/>
        <w:rPr>
          <w:rFonts w:eastAsia="Palatino Linotype" w:cs="Palatino Linotype"/>
        </w:rPr>
      </w:pPr>
      <w:r w:rsidRPr="0080245A">
        <w:rPr>
          <w:rFonts w:eastAsia="Palatino Linotype" w:cs="Palatino Linotype"/>
          <w:b/>
        </w:rPr>
        <w:t>Supervisar la aplicación de los movimientos de percepciones y deducciones</w:t>
      </w:r>
      <w:r w:rsidRPr="0080245A">
        <w:rPr>
          <w:rFonts w:eastAsia="Palatino Linotype" w:cs="Palatino Linotype"/>
        </w:rPr>
        <w:t xml:space="preserve">, a efecto de garantizar el pago oportuno de sueldos y prestaciones de los trabajadores universitarios en el Sistema dispuesto para la Administración de Recursos Humanos, así como del aprovechamiento de las tecnologías de la información disponibles en cumplimiento de la normatividad aplicable, Ley Federal de Trabajo, Contratos Colectivos de Trabajo, ISR y Ley </w:t>
      </w:r>
      <w:proofErr w:type="spellStart"/>
      <w:r w:rsidRPr="0080245A">
        <w:rPr>
          <w:rFonts w:eastAsia="Palatino Linotype" w:cs="Palatino Linotype"/>
        </w:rPr>
        <w:t>ISSEMyM</w:t>
      </w:r>
      <w:proofErr w:type="spellEnd"/>
      <w:r w:rsidRPr="0080245A">
        <w:rPr>
          <w:rFonts w:eastAsia="Palatino Linotype" w:cs="Palatino Linotype"/>
        </w:rPr>
        <w:t>.</w:t>
      </w:r>
    </w:p>
    <w:p w14:paraId="3FD3AB6A" w14:textId="77777777" w:rsidR="00875AC3" w:rsidRPr="0080245A" w:rsidRDefault="00875AC3" w:rsidP="00FE422A">
      <w:pPr>
        <w:spacing w:before="240" w:after="240"/>
        <w:ind w:right="49"/>
        <w:rPr>
          <w:rFonts w:eastAsia="Palatino Linotype" w:cs="Palatino Linotype"/>
        </w:rPr>
      </w:pPr>
      <w:r w:rsidRPr="0080245A">
        <w:rPr>
          <w:rFonts w:eastAsia="Palatino Linotype" w:cs="Palatino Linotype"/>
        </w:rPr>
        <w:t>De lo anterior se desprende que la Dirección de Recursos Humanos está facultada para conocer de la información que es del interés de la persona solicitante.</w:t>
      </w:r>
    </w:p>
    <w:p w14:paraId="61C3CCA4" w14:textId="69E91E7D" w:rsidR="003868D6" w:rsidRPr="0080245A" w:rsidRDefault="003868D6" w:rsidP="00FE422A">
      <w:pPr>
        <w:spacing w:before="240" w:after="240"/>
        <w:ind w:right="49"/>
        <w:rPr>
          <w:rFonts w:eastAsia="Palatino Linotype" w:cs="Palatino Linotype"/>
        </w:rPr>
      </w:pPr>
      <w:r w:rsidRPr="0080245A">
        <w:rPr>
          <w:rFonts w:eastAsia="Palatino Linotype" w:cs="Palatino Linotype"/>
        </w:rPr>
        <w:t xml:space="preserve">Expuesto lo anterior, los requerimientos de </w:t>
      </w:r>
      <w:r w:rsidRPr="0080245A">
        <w:rPr>
          <w:rFonts w:eastAsia="Palatino Linotype" w:cs="Palatino Linotype"/>
          <w:b/>
        </w:rPr>
        <w:t>LA PARTE RECURRENTE</w:t>
      </w:r>
      <w:r w:rsidRPr="0080245A">
        <w:rPr>
          <w:rFonts w:eastAsia="Palatino Linotype" w:cs="Palatino Linotype"/>
        </w:rPr>
        <w:t xml:space="preserve"> son específicos al querer conocer del servidor público Oscar Chaires Palma el incremento porcentual de su salario y el documento que lo acredite en la anualidad de dos mil veinticinco.</w:t>
      </w:r>
    </w:p>
    <w:p w14:paraId="53C9E51D" w14:textId="2EA9C4E1" w:rsidR="00BA51D7" w:rsidRPr="0080245A" w:rsidRDefault="00BA51D7" w:rsidP="00FE422A">
      <w:pPr>
        <w:spacing w:before="240" w:after="240"/>
        <w:ind w:right="49"/>
        <w:rPr>
          <w:rFonts w:eastAsia="Palatino Linotype" w:cs="Palatino Linotype"/>
        </w:rPr>
      </w:pPr>
      <w:r w:rsidRPr="0080245A">
        <w:rPr>
          <w:rFonts w:eastAsia="Palatino Linotype" w:cs="Palatino Linotype"/>
        </w:rPr>
        <w:lastRenderedPageBreak/>
        <w:t>En este orden de ideas, como se mencionó anteriormente, el servidor público habilitado manifestó que la información solicitada puede ser consultada a través de la liga electrónica que dirige al apartado correspondiente al Tabulador Salarial 2025, atendiendo a la categoría 22012, disponible en la siguiente dirección:</w:t>
      </w:r>
    </w:p>
    <w:p w14:paraId="148E88D3" w14:textId="59126ADB" w:rsidR="00BA51D7" w:rsidRPr="0080245A" w:rsidRDefault="009C627C" w:rsidP="00FE422A">
      <w:pPr>
        <w:spacing w:before="240" w:after="240"/>
        <w:ind w:right="49"/>
        <w:rPr>
          <w:rFonts w:eastAsia="Palatino Linotype" w:cs="Palatino Linotype"/>
        </w:rPr>
      </w:pPr>
      <w:hyperlink r:id="rId15" w:history="1">
        <w:r w:rsidR="00BA51D7" w:rsidRPr="0080245A">
          <w:rPr>
            <w:rStyle w:val="Hipervnculo"/>
            <w:rFonts w:eastAsia="Palatino Linotype" w:cs="Palatino Linotype"/>
            <w:color w:val="auto"/>
          </w:rPr>
          <w:t>http://transparencia.uaemex.mx/usuario/infPub.php?nomDir=03.catPueTabSal&amp;cveParent=5</w:t>
        </w:r>
      </w:hyperlink>
    </w:p>
    <w:p w14:paraId="50513012" w14:textId="797681C5" w:rsidR="003868D6" w:rsidRPr="0080245A" w:rsidRDefault="00BA51D7" w:rsidP="00FE422A">
      <w:pPr>
        <w:spacing w:before="240" w:after="240"/>
        <w:ind w:right="49"/>
        <w:rPr>
          <w:rFonts w:eastAsia="Palatino Linotype" w:cs="Palatino Linotype"/>
        </w:rPr>
      </w:pPr>
      <w:r w:rsidRPr="0080245A">
        <w:rPr>
          <w:rFonts w:eastAsia="Palatino Linotype" w:cs="Palatino Linotype"/>
        </w:rPr>
        <w:t xml:space="preserve">Cabe precisar que, en atención a los motivos de inconformidad expresados por </w:t>
      </w:r>
      <w:r w:rsidR="002910C1" w:rsidRPr="0080245A">
        <w:rPr>
          <w:rFonts w:eastAsia="Palatino Linotype" w:cs="Palatino Linotype"/>
          <w:b/>
        </w:rPr>
        <w:t>LA PARTE RECURRENTE,</w:t>
      </w:r>
      <w:r w:rsidR="002910C1" w:rsidRPr="0080245A">
        <w:rPr>
          <w:rFonts w:eastAsia="Palatino Linotype" w:cs="Palatino Linotype"/>
        </w:rPr>
        <w:t xml:space="preserve"> </w:t>
      </w:r>
      <w:r w:rsidRPr="0080245A">
        <w:rPr>
          <w:rFonts w:eastAsia="Palatino Linotype" w:cs="Palatino Linotype"/>
        </w:rPr>
        <w:t>este Organismo Garante procedió a verificar el enlace señalado, constatando que dicho vínculo conduce a una página que contiene diversos apartados, entre los que se encuentran el Manual de Descripción de Puestos, el Tabulador Salarial, las Remuneraciones del Personal de la UAEM y los Contratos, conforme a lo siguiente:</w:t>
      </w:r>
    </w:p>
    <w:p w14:paraId="78F76AFD" w14:textId="1A1E6106" w:rsidR="00D16F49" w:rsidRPr="0080245A" w:rsidRDefault="003868D6" w:rsidP="00FE422A">
      <w:pPr>
        <w:pStyle w:val="Prrafodelista"/>
        <w:ind w:left="0" w:right="-28"/>
        <w:jc w:val="center"/>
        <w:rPr>
          <w:rFonts w:cs="Tahoma"/>
          <w:bCs/>
          <w:szCs w:val="22"/>
        </w:rPr>
      </w:pPr>
      <w:r w:rsidRPr="0080245A">
        <w:rPr>
          <w:rFonts w:cs="Tahoma"/>
          <w:bCs/>
          <w:noProof/>
          <w:szCs w:val="22"/>
          <w:lang w:eastAsia="es-MX"/>
        </w:rPr>
        <w:drawing>
          <wp:inline distT="0" distB="0" distL="0" distR="0" wp14:anchorId="1A7CF1A2" wp14:editId="108707D5">
            <wp:extent cx="5742940" cy="23501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9031" cy="2352600"/>
                    </a:xfrm>
                    <a:prstGeom prst="rect">
                      <a:avLst/>
                    </a:prstGeom>
                  </pic:spPr>
                </pic:pic>
              </a:graphicData>
            </a:graphic>
          </wp:inline>
        </w:drawing>
      </w:r>
    </w:p>
    <w:p w14:paraId="5D06A2AF" w14:textId="77777777" w:rsidR="00BA51D7" w:rsidRPr="0080245A" w:rsidRDefault="00BA51D7" w:rsidP="00FE422A">
      <w:pPr>
        <w:pStyle w:val="Prrafodelista"/>
        <w:ind w:left="0" w:right="113"/>
        <w:rPr>
          <w:rFonts w:cs="Tahoma"/>
          <w:bCs/>
          <w:szCs w:val="22"/>
        </w:rPr>
      </w:pPr>
    </w:p>
    <w:p w14:paraId="5D24DE3E" w14:textId="08A3A17E" w:rsidR="00BA51D7" w:rsidRPr="0080245A" w:rsidRDefault="00BA51D7" w:rsidP="00FE422A">
      <w:pPr>
        <w:pStyle w:val="Prrafodelista"/>
        <w:ind w:left="0" w:right="113"/>
        <w:rPr>
          <w:rFonts w:cs="Tahoma"/>
          <w:bCs/>
          <w:szCs w:val="22"/>
        </w:rPr>
      </w:pPr>
      <w:r w:rsidRPr="0080245A">
        <w:rPr>
          <w:rFonts w:cs="Tahoma"/>
          <w:bCs/>
          <w:szCs w:val="22"/>
        </w:rPr>
        <w:t xml:space="preserve">Del análisis efectuado, se advierte que la liga electrónica proporcionada por </w:t>
      </w:r>
      <w:r w:rsidR="002910C1" w:rsidRPr="0080245A">
        <w:rPr>
          <w:rFonts w:cs="Tahoma"/>
          <w:b/>
          <w:bCs/>
          <w:szCs w:val="22"/>
        </w:rPr>
        <w:t>EL SUJETO OBLIGADO</w:t>
      </w:r>
      <w:r w:rsidR="002910C1" w:rsidRPr="0080245A">
        <w:rPr>
          <w:rFonts w:cs="Tahoma"/>
          <w:bCs/>
          <w:szCs w:val="22"/>
        </w:rPr>
        <w:t xml:space="preserve"> </w:t>
      </w:r>
      <w:r w:rsidRPr="0080245A">
        <w:rPr>
          <w:rFonts w:cs="Tahoma"/>
          <w:bCs/>
          <w:szCs w:val="22"/>
        </w:rPr>
        <w:t xml:space="preserve">sí permite acceder a la información pública institucional, particularmente al apartado que contiene el Tabulador Salarial 2025, donde es posible consultar los niveles, categorías y percepciones correspondientes al personal universitario, entre ellos la categoría </w:t>
      </w:r>
      <w:r w:rsidRPr="0080245A">
        <w:rPr>
          <w:rFonts w:cs="Tahoma"/>
          <w:bCs/>
          <w:szCs w:val="22"/>
        </w:rPr>
        <w:lastRenderedPageBreak/>
        <w:t>22012, que guarda relación con el puesto de Supervisor en el Departamento de Obra y Construcción. En consecuencia, se acredita que sí se atendió parcialmente la solicitud de información, en la medida en que el vínculo remitido dirige al portal oficial que concentra los tabuladores y documentos alusivos a las remuneraciones.</w:t>
      </w:r>
    </w:p>
    <w:p w14:paraId="6A6ECB56" w14:textId="77777777" w:rsidR="00BA51D7" w:rsidRPr="0080245A" w:rsidRDefault="00BA51D7" w:rsidP="00FE422A">
      <w:pPr>
        <w:pStyle w:val="Prrafodelista"/>
        <w:ind w:left="0" w:right="113"/>
        <w:rPr>
          <w:rFonts w:cs="Tahoma"/>
          <w:bCs/>
          <w:szCs w:val="22"/>
        </w:rPr>
      </w:pPr>
    </w:p>
    <w:p w14:paraId="377B98C8" w14:textId="63B5A0C6" w:rsidR="00BA51D7" w:rsidRPr="0080245A" w:rsidRDefault="00BA51D7" w:rsidP="00FE422A">
      <w:pPr>
        <w:pStyle w:val="Prrafodelista"/>
        <w:ind w:left="0" w:right="113"/>
        <w:rPr>
          <w:rFonts w:cs="Tahoma"/>
          <w:bCs/>
          <w:szCs w:val="22"/>
        </w:rPr>
      </w:pPr>
      <w:r w:rsidRPr="0080245A">
        <w:rPr>
          <w:rFonts w:cs="Tahoma"/>
          <w:bCs/>
          <w:szCs w:val="22"/>
        </w:rPr>
        <w:t xml:space="preserve">No obstante, también se observa que dicho enlace no contiene evidencia documental específica que permita identificar el incremento porcentual individualizado del servidor público </w:t>
      </w:r>
      <w:r w:rsidR="002910C1" w:rsidRPr="0080245A">
        <w:rPr>
          <w:rFonts w:cs="Tahoma"/>
          <w:bCs/>
          <w:szCs w:val="22"/>
        </w:rPr>
        <w:t xml:space="preserve">precisado en la </w:t>
      </w:r>
      <w:r w:rsidR="00DE05D9" w:rsidRPr="0080245A">
        <w:rPr>
          <w:rFonts w:cs="Tahoma"/>
          <w:bCs/>
          <w:szCs w:val="22"/>
        </w:rPr>
        <w:t>solicitud</w:t>
      </w:r>
      <w:r w:rsidRPr="0080245A">
        <w:rPr>
          <w:rFonts w:cs="Tahoma"/>
          <w:bCs/>
          <w:szCs w:val="22"/>
        </w:rPr>
        <w:t xml:space="preserve">, ni el soporte que acredite la aplicación efectiva del incremento salarial correspondiente al año 2025, como lo solicitó expresamente </w:t>
      </w:r>
      <w:r w:rsidR="00DE05D9" w:rsidRPr="0080245A">
        <w:rPr>
          <w:rFonts w:cs="Tahoma"/>
          <w:b/>
          <w:bCs/>
          <w:szCs w:val="22"/>
        </w:rPr>
        <w:t xml:space="preserve">LA PARTE RECURRENTE, </w:t>
      </w:r>
      <w:r w:rsidR="00DE05D9" w:rsidRPr="0080245A">
        <w:rPr>
          <w:rFonts w:cs="Tahoma"/>
          <w:bCs/>
          <w:szCs w:val="22"/>
        </w:rPr>
        <w:t xml:space="preserve">incluso los pasos a seguir para poder llegar a ella, pues como se dijo solo remite </w:t>
      </w:r>
      <w:r w:rsidR="00FA31A5" w:rsidRPr="0080245A">
        <w:rPr>
          <w:rFonts w:cs="Tahoma"/>
          <w:bCs/>
          <w:szCs w:val="22"/>
        </w:rPr>
        <w:t>dicha liga sin precisar donde se puede encontrar la información solicitada.</w:t>
      </w:r>
    </w:p>
    <w:p w14:paraId="1EF8E5FB" w14:textId="5CC4A8FF" w:rsidR="00DE05D9" w:rsidRPr="0080245A" w:rsidRDefault="00DE05D9" w:rsidP="00FE422A">
      <w:pPr>
        <w:pStyle w:val="Prrafodelista"/>
        <w:ind w:left="0" w:right="113"/>
        <w:rPr>
          <w:rFonts w:cs="Tahoma"/>
          <w:b/>
          <w:bCs/>
          <w:szCs w:val="22"/>
        </w:rPr>
      </w:pPr>
    </w:p>
    <w:p w14:paraId="5459363F" w14:textId="77777777" w:rsidR="00DE05D9" w:rsidRPr="0080245A" w:rsidRDefault="00DE05D9" w:rsidP="00FE422A">
      <w:r w:rsidRPr="0080245A">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7D82EC18" w14:textId="77777777" w:rsidR="00DE05D9" w:rsidRPr="0080245A" w:rsidRDefault="00DE05D9" w:rsidP="00FE422A"/>
    <w:p w14:paraId="22A8536D" w14:textId="77777777" w:rsidR="00DE05D9" w:rsidRPr="0080245A" w:rsidRDefault="00DE05D9" w:rsidP="00FE422A">
      <w:pPr>
        <w:ind w:left="567" w:right="616"/>
        <w:rPr>
          <w:i/>
        </w:rPr>
      </w:pPr>
      <w:r w:rsidRPr="0080245A">
        <w:rPr>
          <w:b/>
          <w:i/>
        </w:rPr>
        <w:t>Artículo 11.</w:t>
      </w:r>
      <w:r w:rsidRPr="0080245A">
        <w:rPr>
          <w:i/>
        </w:rPr>
        <w:t xml:space="preserve"> </w:t>
      </w:r>
      <w:r w:rsidRPr="0080245A">
        <w:rPr>
          <w:b/>
          <w:i/>
          <w:u w:val="single"/>
        </w:rPr>
        <w:t>En la generación, publicación y entrega de información se deberá garantizar que ésta sea accesible, actualizada, completa, congruente, confiable, verificable, veraz, integral, oportuna y expedita</w:t>
      </w:r>
      <w:r w:rsidRPr="0080245A">
        <w:rPr>
          <w:i/>
        </w:rPr>
        <w:t>, sujeta a un claro régimen de excepciones que deberá estar definido y ser además legítima y estrictamente necesaria en una sociedad democrática, por lo que atenderá las necesidades del derecho de acceso a la información de toda persona.</w:t>
      </w:r>
    </w:p>
    <w:p w14:paraId="2E953612" w14:textId="77777777" w:rsidR="00DE05D9" w:rsidRPr="0080245A" w:rsidRDefault="00DE05D9" w:rsidP="00FE422A">
      <w:pPr>
        <w:ind w:left="567" w:right="616"/>
        <w:rPr>
          <w:i/>
        </w:rPr>
      </w:pPr>
      <w:r w:rsidRPr="0080245A">
        <w:rPr>
          <w:i/>
        </w:rPr>
        <w:t>[…]</w:t>
      </w:r>
    </w:p>
    <w:p w14:paraId="2D48103B" w14:textId="77777777" w:rsidR="00DE05D9" w:rsidRPr="0080245A" w:rsidRDefault="00DE05D9" w:rsidP="00FE422A">
      <w:pPr>
        <w:ind w:left="567" w:right="616"/>
        <w:rPr>
          <w:i/>
        </w:rPr>
      </w:pPr>
    </w:p>
    <w:p w14:paraId="40A36A0C" w14:textId="77777777" w:rsidR="00DE05D9" w:rsidRPr="0080245A" w:rsidRDefault="00DE05D9" w:rsidP="00FE422A">
      <w:pPr>
        <w:ind w:left="567" w:right="616"/>
      </w:pPr>
      <w:r w:rsidRPr="0080245A">
        <w:rPr>
          <w:b/>
          <w:i/>
        </w:rPr>
        <w:t>Artículo 161.</w:t>
      </w:r>
      <w:r w:rsidRPr="0080245A">
        <w:rPr>
          <w:i/>
        </w:rPr>
        <w:t xml:space="preserve"> </w:t>
      </w:r>
      <w:r w:rsidRPr="0080245A">
        <w:rPr>
          <w:b/>
          <w:i/>
          <w:u w:val="single"/>
        </w:rPr>
        <w:t>Cuando la información requerida por el solicitante ya esté disponible al público</w:t>
      </w:r>
      <w:r w:rsidRPr="0080245A">
        <w:rPr>
          <w:i/>
        </w:rPr>
        <w:t xml:space="preserve"> en medios impresos, tales como libros, compendios, trípticos, registros públicos, </w:t>
      </w:r>
      <w:r w:rsidRPr="0080245A">
        <w:rPr>
          <w:b/>
          <w:i/>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D911F36" w14:textId="77777777" w:rsidR="00FA31A5" w:rsidRPr="0080245A" w:rsidRDefault="00FA31A5" w:rsidP="00FE422A"/>
    <w:p w14:paraId="149B80BB" w14:textId="475D9E5D" w:rsidR="00DE05D9" w:rsidRPr="0080245A" w:rsidRDefault="00DE05D9" w:rsidP="00FE422A">
      <w:r w:rsidRPr="0080245A">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2CA6531C" w14:textId="77777777" w:rsidR="00DE05D9" w:rsidRPr="0080245A" w:rsidRDefault="00DE05D9" w:rsidP="00FE422A"/>
    <w:p w14:paraId="03CF3676" w14:textId="77777777" w:rsidR="00DE05D9" w:rsidRPr="0080245A" w:rsidRDefault="00DE05D9" w:rsidP="00FE422A">
      <w:pPr>
        <w:numPr>
          <w:ilvl w:val="0"/>
          <w:numId w:val="29"/>
        </w:numPr>
        <w:spacing w:line="240" w:lineRule="auto"/>
        <w:ind w:left="1134" w:hanging="567"/>
      </w:pPr>
      <w:r w:rsidRPr="0080245A">
        <w:t>La fuente</w:t>
      </w:r>
    </w:p>
    <w:p w14:paraId="3F6905D0" w14:textId="77777777" w:rsidR="00DE05D9" w:rsidRPr="0080245A" w:rsidRDefault="00DE05D9" w:rsidP="00FE422A">
      <w:pPr>
        <w:numPr>
          <w:ilvl w:val="0"/>
          <w:numId w:val="29"/>
        </w:numPr>
        <w:spacing w:line="240" w:lineRule="auto"/>
        <w:ind w:left="1134" w:hanging="567"/>
      </w:pPr>
      <w:r w:rsidRPr="0080245A">
        <w:t>El lugar y</w:t>
      </w:r>
    </w:p>
    <w:p w14:paraId="3B10D833" w14:textId="77777777" w:rsidR="00DE05D9" w:rsidRPr="0080245A" w:rsidRDefault="00DE05D9" w:rsidP="00FE422A">
      <w:pPr>
        <w:numPr>
          <w:ilvl w:val="0"/>
          <w:numId w:val="29"/>
        </w:numPr>
        <w:spacing w:line="240" w:lineRule="auto"/>
        <w:ind w:left="1134" w:hanging="567"/>
      </w:pPr>
      <w:r w:rsidRPr="0080245A">
        <w:t xml:space="preserve">La forma </w:t>
      </w:r>
    </w:p>
    <w:p w14:paraId="1042FBFD" w14:textId="77777777" w:rsidR="00DE05D9" w:rsidRPr="0080245A" w:rsidRDefault="00DE05D9" w:rsidP="00FE422A"/>
    <w:p w14:paraId="74C9DC1E" w14:textId="77777777" w:rsidR="00DE05D9" w:rsidRPr="0080245A" w:rsidRDefault="00DE05D9" w:rsidP="00FE422A">
      <w:r w:rsidRPr="0080245A">
        <w:t>Asimismo, se establece que la fuente de la información deberá ser:</w:t>
      </w:r>
    </w:p>
    <w:p w14:paraId="7F0E687A" w14:textId="77777777" w:rsidR="00DE05D9" w:rsidRPr="0080245A" w:rsidRDefault="00DE05D9" w:rsidP="00FE422A"/>
    <w:p w14:paraId="66CAFAA4" w14:textId="77777777" w:rsidR="00DE05D9" w:rsidRPr="0080245A" w:rsidRDefault="00DE05D9" w:rsidP="00FE422A">
      <w:pPr>
        <w:numPr>
          <w:ilvl w:val="0"/>
          <w:numId w:val="30"/>
        </w:numPr>
        <w:spacing w:line="240" w:lineRule="auto"/>
        <w:ind w:left="1134" w:hanging="556"/>
      </w:pPr>
      <w:r w:rsidRPr="0080245A">
        <w:t>Precisa</w:t>
      </w:r>
    </w:p>
    <w:p w14:paraId="13FE5C31" w14:textId="77777777" w:rsidR="00DE05D9" w:rsidRPr="0080245A" w:rsidRDefault="00DE05D9" w:rsidP="00FE422A">
      <w:pPr>
        <w:numPr>
          <w:ilvl w:val="0"/>
          <w:numId w:val="30"/>
        </w:numPr>
        <w:spacing w:line="240" w:lineRule="auto"/>
        <w:ind w:left="1134" w:hanging="556"/>
      </w:pPr>
      <w:r w:rsidRPr="0080245A">
        <w:t>Concreta</w:t>
      </w:r>
    </w:p>
    <w:p w14:paraId="20238BE2" w14:textId="77777777" w:rsidR="00DE05D9" w:rsidRPr="0080245A" w:rsidRDefault="00DE05D9" w:rsidP="00FE422A">
      <w:pPr>
        <w:numPr>
          <w:ilvl w:val="0"/>
          <w:numId w:val="30"/>
        </w:numPr>
        <w:spacing w:line="240" w:lineRule="auto"/>
        <w:ind w:left="1134" w:hanging="556"/>
      </w:pPr>
      <w:r w:rsidRPr="0080245A">
        <w:rPr>
          <w:b/>
        </w:rPr>
        <w:t>Y no debe implicar que el solicitante realice una búsqueda en toda la información que se encuentre disponible</w:t>
      </w:r>
      <w:r w:rsidRPr="0080245A">
        <w:t>.</w:t>
      </w:r>
    </w:p>
    <w:p w14:paraId="0EBA2CE7" w14:textId="77777777" w:rsidR="00DE05D9" w:rsidRPr="0080245A" w:rsidRDefault="00DE05D9" w:rsidP="00FE422A"/>
    <w:p w14:paraId="17595E8E" w14:textId="03C1181E" w:rsidR="00DE05D9" w:rsidRPr="0080245A" w:rsidRDefault="00DE05D9" w:rsidP="00FE422A">
      <w:r w:rsidRPr="0080245A">
        <w:lastRenderedPageBreak/>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w:t>
      </w:r>
      <w:r w:rsidR="00FA31A5" w:rsidRPr="0080245A">
        <w:t xml:space="preserve">que </w:t>
      </w:r>
      <w:r w:rsidR="00FA31A5" w:rsidRPr="0080245A">
        <w:rPr>
          <w:rFonts w:eastAsia="Palatino Linotype" w:cs="Palatino Linotype"/>
        </w:rPr>
        <w:t xml:space="preserve">conduce a una página que contiene diversos apartados, entre los que se encuentran el Manual de Descripción de Puestos, el Tabulador Salarial, las Remuneraciones del Personal de la UAEM y los Contratos, </w:t>
      </w:r>
      <w:r w:rsidRPr="0080245A">
        <w:t>sin que señalara puntualmente el procedimiento que el particular debe seguir para acceder a la información requerida, lo que implica que  la fuente no es precisa 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2D00FD1F" w14:textId="77777777" w:rsidR="00FA31A5" w:rsidRPr="0080245A" w:rsidRDefault="00FA31A5" w:rsidP="00FE422A"/>
    <w:p w14:paraId="5A8D2FBF" w14:textId="283D42A7" w:rsidR="00DE05D9" w:rsidRPr="0080245A" w:rsidRDefault="00DE05D9" w:rsidP="00FE422A">
      <w:pPr>
        <w:ind w:right="51"/>
        <w:rPr>
          <w:rFonts w:cs="Arial"/>
        </w:rPr>
      </w:pPr>
      <w:r w:rsidRPr="0080245A">
        <w:rPr>
          <w:rFonts w:eastAsia="Arial Unicode MS" w:cs="Arial"/>
        </w:rPr>
        <w:t xml:space="preserve">Por lo anteriormente expuesto, se concluye que el </w:t>
      </w:r>
      <w:r w:rsidRPr="0080245A">
        <w:rPr>
          <w:rFonts w:eastAsia="Arial Unicode MS" w:cs="Arial"/>
          <w:b/>
        </w:rPr>
        <w:t>Sujeto Obligado</w:t>
      </w:r>
      <w:r w:rsidRPr="0080245A">
        <w:rPr>
          <w:rFonts w:eastAsia="Arial Unicode MS" w:cs="Arial"/>
        </w:rPr>
        <w:t xml:space="preserve"> no colmó las pretensiones realizadas por el particular, con dichas instrucciones para acceder a la información solicitada; no obstante</w:t>
      </w:r>
      <w:r w:rsidRPr="0080245A">
        <w:rPr>
          <w:rFonts w:cs="Arial"/>
        </w:rPr>
        <w:t xml:space="preserve">, no pasa desapercibido para esta ponencia que el plazo transcurrido entre la solicitud de información y la respuesta del </w:t>
      </w:r>
      <w:r w:rsidRPr="0080245A">
        <w:rPr>
          <w:rFonts w:cs="Arial"/>
          <w:b/>
        </w:rPr>
        <w:t>Sujeto Obligado</w:t>
      </w:r>
      <w:r w:rsidRPr="0080245A">
        <w:rPr>
          <w:rFonts w:cs="Arial"/>
        </w:rPr>
        <w:t xml:space="preserve"> fue de </w:t>
      </w:r>
      <w:r w:rsidR="00FA31A5" w:rsidRPr="0080245A">
        <w:rPr>
          <w:rFonts w:cs="Arial"/>
          <w:b/>
          <w:i/>
        </w:rPr>
        <w:t>diecinueve</w:t>
      </w:r>
      <w:r w:rsidRPr="0080245A">
        <w:rPr>
          <w:rFonts w:cs="Arial"/>
          <w:b/>
          <w:i/>
        </w:rPr>
        <w:t xml:space="preserve"> días hábiles</w:t>
      </w:r>
      <w:r w:rsidRPr="0080245A">
        <w:rPr>
          <w:rFonts w:cs="Arial"/>
        </w:rPr>
        <w:t xml:space="preserve">; al respecto, el artículo 161, de la Ley de Transparencia local indica que cuando la información requerida esté disponible en internet, el </w:t>
      </w:r>
      <w:r w:rsidRPr="0080245A">
        <w:rPr>
          <w:rFonts w:cs="Arial"/>
          <w:b/>
        </w:rPr>
        <w:t>Sujeto Obligado</w:t>
      </w:r>
      <w:r w:rsidRPr="0080245A">
        <w:rPr>
          <w:rFonts w:cs="Arial"/>
        </w:rPr>
        <w:t xml:space="preserve"> </w:t>
      </w:r>
      <w:r w:rsidRPr="0080245A">
        <w:rPr>
          <w:rFonts w:cs="Arial"/>
          <w:b/>
          <w:i/>
          <w:u w:val="single"/>
        </w:rPr>
        <w:t>deberá hacerlo saber al solicitante en un plazo no mayor a cinco días hábiles</w:t>
      </w:r>
      <w:r w:rsidRPr="0080245A">
        <w:rPr>
          <w:rFonts w:cs="Arial"/>
        </w:rPr>
        <w:t xml:space="preserve">; bajo esa premisa, la respuesta del </w:t>
      </w:r>
      <w:r w:rsidRPr="0080245A">
        <w:rPr>
          <w:rFonts w:cs="Arial"/>
          <w:b/>
        </w:rPr>
        <w:t>Sujeto Obligado</w:t>
      </w:r>
      <w:r w:rsidRPr="0080245A">
        <w:rPr>
          <w:rFonts w:cs="Arial"/>
        </w:rPr>
        <w:t xml:space="preserve"> vulneró el referido dispositivo de la Ley de Transparencia.</w:t>
      </w:r>
    </w:p>
    <w:p w14:paraId="756D9B22" w14:textId="77777777" w:rsidR="00DE05D9" w:rsidRPr="0080245A" w:rsidRDefault="00DE05D9" w:rsidP="00FE422A"/>
    <w:p w14:paraId="329A3005" w14:textId="09E43865" w:rsidR="00BA51D7" w:rsidRPr="0080245A" w:rsidRDefault="00DE05D9" w:rsidP="00FE422A">
      <w:pPr>
        <w:rPr>
          <w:rFonts w:cs="Tahoma"/>
          <w:bCs/>
          <w:szCs w:val="22"/>
        </w:rPr>
      </w:pPr>
      <w:r w:rsidRPr="0080245A">
        <w:t>De tal forma que este Instituto estima que el Sujeto Obligado incumplió lo establecido en la Ley de la Materia, por lo cual es procedente revocar la respuesta a la solicitud del particular y ordenar la entrega de la información requerida, pues</w:t>
      </w:r>
      <w:r w:rsidR="00BA51D7" w:rsidRPr="0080245A">
        <w:rPr>
          <w:rFonts w:cs="Tahoma"/>
          <w:bCs/>
          <w:szCs w:val="22"/>
        </w:rPr>
        <w:t xml:space="preserve"> omitió entregar el documento particular </w:t>
      </w:r>
      <w:r w:rsidR="00BA51D7" w:rsidRPr="0080245A">
        <w:rPr>
          <w:rFonts w:cs="Tahoma"/>
          <w:bCs/>
          <w:szCs w:val="22"/>
        </w:rPr>
        <w:lastRenderedPageBreak/>
        <w:t>que demostrara la modificación o actualización salarial del servidor público señalado</w:t>
      </w:r>
      <w:r w:rsidR="002910C1" w:rsidRPr="0080245A">
        <w:rPr>
          <w:rFonts w:cs="Tahoma"/>
          <w:bCs/>
          <w:szCs w:val="22"/>
        </w:rPr>
        <w:t xml:space="preserve"> en la solicitud</w:t>
      </w:r>
      <w:r w:rsidR="00BA51D7" w:rsidRPr="0080245A">
        <w:rPr>
          <w:rFonts w:cs="Tahoma"/>
          <w:bCs/>
          <w:szCs w:val="22"/>
        </w:rPr>
        <w:t>, con lo cual no se satisface plenamente el derecho de acceso a la información del solicitante.</w:t>
      </w:r>
    </w:p>
    <w:p w14:paraId="2F8554F2" w14:textId="77777777" w:rsidR="00BA51D7" w:rsidRPr="0080245A" w:rsidRDefault="00BA51D7" w:rsidP="00FE422A">
      <w:pPr>
        <w:pStyle w:val="Prrafodelista"/>
        <w:ind w:left="0" w:right="113"/>
        <w:rPr>
          <w:rFonts w:cs="Tahoma"/>
          <w:bCs/>
          <w:szCs w:val="22"/>
        </w:rPr>
      </w:pPr>
    </w:p>
    <w:p w14:paraId="22A62981" w14:textId="3A8EEAC6" w:rsidR="00D16F49" w:rsidRPr="0080245A" w:rsidRDefault="00BA51D7" w:rsidP="00FE422A">
      <w:pPr>
        <w:pStyle w:val="Prrafodelista"/>
        <w:ind w:left="0" w:right="113"/>
        <w:rPr>
          <w:rFonts w:cs="Tahoma"/>
          <w:bCs/>
          <w:szCs w:val="22"/>
        </w:rPr>
      </w:pPr>
      <w:r w:rsidRPr="0080245A">
        <w:rPr>
          <w:rFonts w:cs="Tahoma"/>
          <w:bCs/>
          <w:szCs w:val="22"/>
        </w:rPr>
        <w:t xml:space="preserve">Ahora bien, relativo a la </w:t>
      </w:r>
      <w:r w:rsidRPr="0080245A">
        <w:rPr>
          <w:rFonts w:cs="Tahoma"/>
          <w:b/>
          <w:bCs/>
          <w:szCs w:val="22"/>
        </w:rPr>
        <w:t>naturaleza de la información</w:t>
      </w:r>
      <w:r w:rsidRPr="0080245A">
        <w:rPr>
          <w:rFonts w:cs="Tahoma"/>
          <w:bCs/>
          <w:szCs w:val="22"/>
        </w:rPr>
        <w:t xml:space="preserve">, dado que la pretensión del solicitante consiste en acreditar el incremento porcentual del salario de un servidor público específico (Óscar Chaires Palma, Supervisor en el Departamento de Obra y Construcción de la </w:t>
      </w:r>
      <w:proofErr w:type="spellStart"/>
      <w:r w:rsidRPr="0080245A">
        <w:rPr>
          <w:rFonts w:cs="Tahoma"/>
          <w:bCs/>
          <w:szCs w:val="22"/>
        </w:rPr>
        <w:t>UAEMéx</w:t>
      </w:r>
      <w:proofErr w:type="spellEnd"/>
      <w:r w:rsidRPr="0080245A">
        <w:rPr>
          <w:rFonts w:cs="Tahoma"/>
          <w:bCs/>
          <w:szCs w:val="22"/>
        </w:rPr>
        <w:t>, para el ejercicio 2025), los documentos que podrían colmar dicha pretensión son aquellos que demuestren de forma directa y verificable la modificación salarial individual aplicada, con soporte administrativo y presupuestal.</w:t>
      </w:r>
    </w:p>
    <w:p w14:paraId="5B92EFE3" w14:textId="77777777" w:rsidR="00D16F49" w:rsidRPr="0080245A" w:rsidRDefault="00D16F49" w:rsidP="00FE422A">
      <w:pPr>
        <w:pStyle w:val="Prrafodelista"/>
        <w:ind w:right="-93"/>
        <w:rPr>
          <w:rFonts w:cs="Tahoma"/>
          <w:bCs/>
          <w:szCs w:val="22"/>
        </w:rPr>
      </w:pPr>
    </w:p>
    <w:p w14:paraId="3E0E3C41" w14:textId="77777777" w:rsidR="006C2DC2" w:rsidRPr="0080245A" w:rsidRDefault="006C2DC2" w:rsidP="00FE422A">
      <w:pPr>
        <w:pStyle w:val="Prrafodelista"/>
        <w:ind w:left="0" w:right="-28"/>
        <w:rPr>
          <w:rFonts w:cs="Tahoma"/>
          <w:bCs/>
          <w:szCs w:val="22"/>
        </w:rPr>
      </w:pPr>
      <w:r w:rsidRPr="0080245A">
        <w:rPr>
          <w:rFonts w:cs="Tahoma"/>
          <w:bCs/>
          <w:szCs w:val="22"/>
        </w:rPr>
        <w:t>En ese sentido, a manera de ejemplo, este Organismo Garante advierte que los documentos derivados de los procesos de negociación salarial y contractual celebrados entre la Universidad Autónoma del Estado de México (</w:t>
      </w:r>
      <w:proofErr w:type="spellStart"/>
      <w:r w:rsidRPr="0080245A">
        <w:rPr>
          <w:rFonts w:cs="Tahoma"/>
          <w:bCs/>
          <w:szCs w:val="22"/>
        </w:rPr>
        <w:t>UAEMéx</w:t>
      </w:r>
      <w:proofErr w:type="spellEnd"/>
      <w:r w:rsidRPr="0080245A">
        <w:rPr>
          <w:rFonts w:cs="Tahoma"/>
          <w:bCs/>
          <w:szCs w:val="22"/>
        </w:rPr>
        <w:t>) y sus organizaciones sindicales, podrían contener la información requerida por la parte recurrente.</w:t>
      </w:r>
    </w:p>
    <w:p w14:paraId="2E9D8EEC" w14:textId="77777777" w:rsidR="00DA19CF" w:rsidRPr="0080245A" w:rsidRDefault="00DA19CF" w:rsidP="00FE422A">
      <w:pPr>
        <w:pStyle w:val="Prrafodelista"/>
        <w:ind w:left="0" w:right="-28"/>
        <w:rPr>
          <w:rFonts w:cs="Tahoma"/>
          <w:bCs/>
          <w:szCs w:val="22"/>
        </w:rPr>
      </w:pPr>
    </w:p>
    <w:p w14:paraId="2D57DE2E" w14:textId="066F7B4A" w:rsidR="006C2DC2" w:rsidRPr="0080245A" w:rsidRDefault="00094715" w:rsidP="00FE422A">
      <w:pPr>
        <w:pStyle w:val="Prrafodelista"/>
        <w:ind w:left="0" w:right="-28"/>
        <w:rPr>
          <w:rFonts w:cs="Tahoma"/>
          <w:bCs/>
          <w:szCs w:val="22"/>
        </w:rPr>
      </w:pPr>
      <w:r w:rsidRPr="0080245A">
        <w:rPr>
          <w:rFonts w:cs="Tahoma"/>
          <w:bCs/>
          <w:szCs w:val="22"/>
        </w:rPr>
        <w:t>Atento a lo anterior,</w:t>
      </w:r>
      <w:r w:rsidR="006C2DC2" w:rsidRPr="0080245A">
        <w:rPr>
          <w:rFonts w:cs="Tahoma"/>
          <w:bCs/>
          <w:szCs w:val="22"/>
        </w:rPr>
        <w:t xml:space="preserve"> el Contrato Colectivo de Trabajo 2025-2026 del SUTESUAEM, disponible en sa.uaemex.mx</w:t>
      </w:r>
      <w:r w:rsidR="00DA19CF" w:rsidRPr="0080245A">
        <w:rPr>
          <w:rFonts w:cs="Tahoma"/>
          <w:bCs/>
          <w:szCs w:val="22"/>
        </w:rPr>
        <w:t>, como se advierte a continuación:</w:t>
      </w:r>
    </w:p>
    <w:p w14:paraId="6D80BD76" w14:textId="7A57844A" w:rsidR="00DA19CF" w:rsidRPr="0080245A" w:rsidRDefault="00DA19CF" w:rsidP="00FE422A">
      <w:pPr>
        <w:pStyle w:val="Prrafodelista"/>
        <w:ind w:left="0" w:right="-28"/>
        <w:jc w:val="center"/>
        <w:rPr>
          <w:rFonts w:cs="Tahoma"/>
          <w:bCs/>
          <w:szCs w:val="22"/>
        </w:rPr>
      </w:pPr>
      <w:r w:rsidRPr="0080245A">
        <w:rPr>
          <w:rFonts w:cs="Tahoma"/>
          <w:bCs/>
          <w:noProof/>
          <w:szCs w:val="22"/>
          <w:lang w:eastAsia="es-MX"/>
        </w:rPr>
        <w:drawing>
          <wp:inline distT="0" distB="0" distL="0" distR="0" wp14:anchorId="0A7B0086" wp14:editId="45021D5E">
            <wp:extent cx="3933448" cy="181411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53055" cy="1823155"/>
                    </a:xfrm>
                    <a:prstGeom prst="rect">
                      <a:avLst/>
                    </a:prstGeom>
                  </pic:spPr>
                </pic:pic>
              </a:graphicData>
            </a:graphic>
          </wp:inline>
        </w:drawing>
      </w:r>
    </w:p>
    <w:p w14:paraId="1393F4D4" w14:textId="77777777" w:rsidR="00DA19CF" w:rsidRPr="0080245A" w:rsidRDefault="00DA19CF" w:rsidP="00FE422A">
      <w:pPr>
        <w:pStyle w:val="Prrafodelista"/>
        <w:ind w:left="0" w:right="-28"/>
        <w:rPr>
          <w:rFonts w:cs="Tahoma"/>
          <w:bCs/>
          <w:szCs w:val="22"/>
        </w:rPr>
      </w:pPr>
    </w:p>
    <w:p w14:paraId="1EF35365" w14:textId="3E21039A" w:rsidR="006C2DC2" w:rsidRPr="0080245A" w:rsidRDefault="00DA19CF" w:rsidP="00FE422A">
      <w:pPr>
        <w:pStyle w:val="Prrafodelista"/>
        <w:ind w:left="0" w:right="-28"/>
        <w:rPr>
          <w:rFonts w:cs="Tahoma"/>
          <w:bCs/>
          <w:szCs w:val="22"/>
        </w:rPr>
      </w:pPr>
      <w:r w:rsidRPr="0080245A">
        <w:rPr>
          <w:rFonts w:cs="Tahoma"/>
          <w:bCs/>
          <w:szCs w:val="22"/>
        </w:rPr>
        <w:lastRenderedPageBreak/>
        <w:t>El cual</w:t>
      </w:r>
      <w:r w:rsidR="006C2DC2" w:rsidRPr="0080245A">
        <w:rPr>
          <w:rFonts w:cs="Tahoma"/>
          <w:bCs/>
          <w:szCs w:val="22"/>
        </w:rPr>
        <w:t>, contiene cláusulas expresas sobre tabuladores y remuneraciones del personal administrativo universitario.</w:t>
      </w:r>
    </w:p>
    <w:p w14:paraId="77D30482" w14:textId="77777777" w:rsidR="006C2DC2" w:rsidRPr="0080245A" w:rsidRDefault="006C2DC2" w:rsidP="00FE422A">
      <w:pPr>
        <w:pStyle w:val="Prrafodelista"/>
        <w:ind w:left="0" w:right="-28"/>
        <w:rPr>
          <w:rFonts w:cs="Tahoma"/>
          <w:bCs/>
          <w:szCs w:val="22"/>
        </w:rPr>
      </w:pPr>
    </w:p>
    <w:p w14:paraId="629C0923" w14:textId="74BD7962" w:rsidR="00BA51D7" w:rsidRPr="0080245A" w:rsidRDefault="006C2DC2" w:rsidP="00FE422A">
      <w:pPr>
        <w:pStyle w:val="Prrafodelista"/>
        <w:ind w:left="0" w:right="-28"/>
        <w:rPr>
          <w:rFonts w:cs="Tahoma"/>
          <w:bCs/>
          <w:szCs w:val="22"/>
        </w:rPr>
      </w:pPr>
      <w:r w:rsidRPr="0080245A">
        <w:rPr>
          <w:rFonts w:cs="Tahoma"/>
          <w:bCs/>
          <w:szCs w:val="22"/>
        </w:rPr>
        <w:t>En consecuencia, estos instrumentos contractuales y comunicados institucionales pueden constituir documentación orientativa o complementaria que acredite la existencia del incremento salarial general, y que, de manera individualizada, podría derivar en la emisión de documentos específicos —como oficios, nóminas o reportes administrativos— que satisfagan plenamente la pretensión del solicitante.</w:t>
      </w:r>
    </w:p>
    <w:p w14:paraId="2E24203D" w14:textId="77777777" w:rsidR="00DA19CF" w:rsidRPr="0080245A" w:rsidRDefault="00DA19CF" w:rsidP="00FE422A">
      <w:pPr>
        <w:pStyle w:val="Prrafodelista"/>
        <w:ind w:left="0" w:right="-28"/>
        <w:rPr>
          <w:rFonts w:cs="Tahoma"/>
          <w:bCs/>
          <w:szCs w:val="22"/>
        </w:rPr>
      </w:pPr>
    </w:p>
    <w:p w14:paraId="0EA55515" w14:textId="51F5EB9A" w:rsidR="00DA19CF" w:rsidRPr="0080245A" w:rsidRDefault="00DA19CF" w:rsidP="00FE422A">
      <w:pPr>
        <w:pStyle w:val="Prrafodelista"/>
        <w:ind w:left="0" w:right="-28"/>
        <w:rPr>
          <w:rFonts w:cs="Tahoma"/>
          <w:bCs/>
          <w:szCs w:val="22"/>
        </w:rPr>
      </w:pPr>
      <w:r w:rsidRPr="0080245A">
        <w:rPr>
          <w:rFonts w:cs="Tahoma"/>
          <w:bCs/>
          <w:szCs w:val="22"/>
        </w:rPr>
        <w:t xml:space="preserve">En virtud de lo anterior, y con fundamento en lo dispuesto por los artículos 162, 167 y 170 de la Ley de Transparencia y Acceso a la Información Pública del Estado de México y Municipios, este Organismo Garante determina modificar la respuesta emitida por el sujeto obligado, y le ordena realizar una </w:t>
      </w:r>
      <w:r w:rsidRPr="0080245A">
        <w:rPr>
          <w:rFonts w:cs="Tahoma"/>
          <w:b/>
          <w:bCs/>
          <w:szCs w:val="22"/>
        </w:rPr>
        <w:t xml:space="preserve">búsqueda exhaustiva y razonable </w:t>
      </w:r>
      <w:r w:rsidRPr="0080245A">
        <w:rPr>
          <w:rFonts w:cs="Tahoma"/>
          <w:bCs/>
          <w:szCs w:val="22"/>
        </w:rPr>
        <w:t xml:space="preserve">en las áreas competentes, particularmente en la Dirección de Recursos Humanos y la Dirección General de Administración, a efecto de localizar y proporcionar al solicitante la información que acredite el incremento porcentual del salario correspondiente al servidor público </w:t>
      </w:r>
      <w:r w:rsidR="002910C1" w:rsidRPr="0080245A">
        <w:rPr>
          <w:rFonts w:cs="Tahoma"/>
          <w:bCs/>
          <w:szCs w:val="22"/>
        </w:rPr>
        <w:t>precisado en la solicitud</w:t>
      </w:r>
      <w:r w:rsidRPr="0080245A">
        <w:rPr>
          <w:rFonts w:cs="Tahoma"/>
          <w:bCs/>
          <w:szCs w:val="22"/>
        </w:rPr>
        <w:t>, para el ejercicio fiscal 2025.</w:t>
      </w:r>
    </w:p>
    <w:p w14:paraId="77BDBC20" w14:textId="77777777" w:rsidR="00DA19CF" w:rsidRPr="0080245A" w:rsidRDefault="00DA19CF" w:rsidP="00FE422A">
      <w:pPr>
        <w:pStyle w:val="Prrafodelista"/>
        <w:ind w:left="0" w:right="-28"/>
        <w:rPr>
          <w:rFonts w:cs="Tahoma"/>
          <w:bCs/>
          <w:szCs w:val="22"/>
        </w:rPr>
      </w:pPr>
    </w:p>
    <w:p w14:paraId="75FAE134" w14:textId="77777777" w:rsidR="00DA19CF" w:rsidRPr="0080245A" w:rsidRDefault="00DA19CF" w:rsidP="00FE422A">
      <w:pPr>
        <w:pStyle w:val="Prrafodelista"/>
        <w:ind w:left="0" w:right="-28"/>
        <w:rPr>
          <w:rFonts w:cs="Tahoma"/>
          <w:bCs/>
          <w:szCs w:val="22"/>
        </w:rPr>
      </w:pPr>
      <w:r w:rsidRPr="0080245A">
        <w:rPr>
          <w:rFonts w:cs="Tahoma"/>
          <w:bCs/>
          <w:szCs w:val="22"/>
        </w:rPr>
        <w:t xml:space="preserve">Dicha búsqueda deberá considerar los documentos que podrían contener la información solicitada, tales como los acuerdos o comunicados oficiales de incremento salarial, los Contratos Colectivos de Trabajo 2025-2026 celebrados con los sindicatos FAAPAUAEM y SUTESUAEM, así como cualquier oficio o acta interna de aprobación del ajuste salarial. </w:t>
      </w:r>
    </w:p>
    <w:p w14:paraId="40A6F4BD" w14:textId="77777777" w:rsidR="00DA19CF" w:rsidRPr="0080245A" w:rsidRDefault="00DA19CF" w:rsidP="00FE422A">
      <w:pPr>
        <w:pStyle w:val="Prrafodelista"/>
        <w:ind w:left="0" w:right="-28"/>
        <w:rPr>
          <w:rFonts w:cs="Tahoma"/>
          <w:bCs/>
          <w:szCs w:val="22"/>
        </w:rPr>
      </w:pPr>
    </w:p>
    <w:p w14:paraId="7AFAA055" w14:textId="436D656D" w:rsidR="00DA19CF" w:rsidRPr="0080245A" w:rsidRDefault="00DA19CF" w:rsidP="00FE422A">
      <w:pPr>
        <w:pStyle w:val="Prrafodelista"/>
        <w:ind w:left="0" w:right="-28"/>
        <w:rPr>
          <w:rFonts w:cs="Tahoma"/>
          <w:bCs/>
          <w:szCs w:val="22"/>
        </w:rPr>
      </w:pPr>
      <w:r w:rsidRPr="0080245A">
        <w:rPr>
          <w:rFonts w:cs="Tahoma"/>
          <w:bCs/>
          <w:szCs w:val="22"/>
        </w:rPr>
        <w:t xml:space="preserve">Asimismo, como medio idóneo de verificación, el sujeto obligado deberá </w:t>
      </w:r>
      <w:r w:rsidRPr="0080245A">
        <w:rPr>
          <w:rFonts w:cs="Tahoma"/>
          <w:b/>
          <w:bCs/>
          <w:szCs w:val="22"/>
        </w:rPr>
        <w:t>proporcionar los recibos de nómina</w:t>
      </w:r>
      <w:r w:rsidRPr="0080245A">
        <w:rPr>
          <w:rFonts w:cs="Tahoma"/>
          <w:bCs/>
          <w:szCs w:val="22"/>
        </w:rPr>
        <w:t xml:space="preserve"> del servidor público correspondientes a los periodos inmediatos anteriores </w:t>
      </w:r>
      <w:r w:rsidRPr="0080245A">
        <w:rPr>
          <w:rFonts w:cs="Tahoma"/>
          <w:bCs/>
          <w:szCs w:val="22"/>
        </w:rPr>
        <w:lastRenderedPageBreak/>
        <w:t>y posteriores al incremento (por ejemplo, diciembre 2024 y enero 2025), a fin de que el solicitante pueda constatar la aplicación efectiva del incremento salarial.</w:t>
      </w:r>
    </w:p>
    <w:p w14:paraId="5A7DD79F" w14:textId="77777777" w:rsidR="00E625D3" w:rsidRPr="0080245A" w:rsidRDefault="00E625D3" w:rsidP="00FE422A">
      <w:pPr>
        <w:pStyle w:val="Prrafodelista"/>
        <w:ind w:left="0" w:right="-28"/>
        <w:rPr>
          <w:rFonts w:cs="Tahoma"/>
          <w:bCs/>
          <w:szCs w:val="22"/>
        </w:rPr>
      </w:pPr>
    </w:p>
    <w:p w14:paraId="463D72A9" w14:textId="77777777" w:rsidR="00E625D3" w:rsidRPr="0080245A" w:rsidRDefault="00E625D3" w:rsidP="00FE422A">
      <w:pPr>
        <w:rPr>
          <w:rFonts w:eastAsia="Calibri" w:cs="Tahoma"/>
          <w:bCs/>
          <w:szCs w:val="22"/>
          <w:lang w:eastAsia="en-US"/>
        </w:rPr>
      </w:pPr>
      <w:r w:rsidRPr="0080245A">
        <w:rPr>
          <w:rFonts w:eastAsia="Calibri" w:cs="Tahoma"/>
          <w:iCs/>
          <w:szCs w:val="22"/>
          <w:lang w:eastAsia="es-ES_tradnl"/>
        </w:rPr>
        <w:t xml:space="preserve">En relación al presente punto, </w:t>
      </w:r>
      <w:r w:rsidRPr="0080245A">
        <w:rPr>
          <w:rFonts w:eastAsia="Calibri" w:cs="Tahoma"/>
          <w:bCs/>
          <w:szCs w:val="22"/>
          <w:lang w:eastAsia="en-US"/>
        </w:rPr>
        <w:t>conviene precisar en lo que consisten los comprobantes de pago o recibos de nómina, al respecto, el Glosario localizado en la página de Transparencia Presupuestaria de la Secretaría de Hacienda y Crédito Público (</w:t>
      </w:r>
      <w:hyperlink r:id="rId18" w:history="1">
        <w:r w:rsidRPr="0080245A">
          <w:rPr>
            <w:rStyle w:val="Hipervnculo"/>
            <w:rFonts w:eastAsia="Calibri" w:cs="Tahoma"/>
            <w:bCs/>
            <w:color w:val="auto"/>
            <w:szCs w:val="22"/>
            <w:lang w:eastAsia="en-US"/>
          </w:rPr>
          <w:t>http://www.transparenciapresupuestaria.gob.mx/es/PTP/Glosario</w:t>
        </w:r>
      </w:hyperlink>
      <w:r w:rsidRPr="0080245A">
        <w:rPr>
          <w:rFonts w:eastAsia="Calibri" w:cs="Tahoma"/>
          <w:bCs/>
          <w:szCs w:val="22"/>
          <w:lang w:eastAsia="en-US"/>
        </w:rPr>
        <w:t>,),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8D9C8D9" w14:textId="6079405F" w:rsidR="00DA19CF" w:rsidRPr="0080245A" w:rsidRDefault="00DA19CF" w:rsidP="00FE422A">
      <w:pPr>
        <w:pStyle w:val="Prrafodelista"/>
        <w:ind w:left="0" w:right="-28"/>
        <w:rPr>
          <w:rFonts w:cs="Tahoma"/>
          <w:bCs/>
          <w:szCs w:val="22"/>
        </w:rPr>
      </w:pPr>
    </w:p>
    <w:p w14:paraId="534355CD" w14:textId="3D5DB807" w:rsidR="00B22BC5" w:rsidRPr="0080245A" w:rsidRDefault="00B22BC5" w:rsidP="00FE422A">
      <w:pPr>
        <w:rPr>
          <w:rFonts w:eastAsia="Palatino Linotype" w:cs="Palatino Linotype"/>
        </w:rPr>
      </w:pPr>
      <w:r w:rsidRPr="0080245A">
        <w:rPr>
          <w:rFonts w:eastAsia="Palatino Linotype" w:cs="Palatino Linotype"/>
        </w:rPr>
        <w:t>Sin embargo,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593F8E0F" w14:textId="77777777" w:rsidR="00B22BC5" w:rsidRPr="0080245A" w:rsidRDefault="00B22BC5" w:rsidP="00FE422A">
      <w:pPr>
        <w:rPr>
          <w:rFonts w:eastAsia="Palatino Linotype" w:cs="Palatino Linotype"/>
        </w:rPr>
      </w:pPr>
    </w:p>
    <w:p w14:paraId="7639C790" w14:textId="77777777" w:rsidR="00B22BC5" w:rsidRPr="0080245A" w:rsidRDefault="00B22BC5" w:rsidP="00FE422A">
      <w:pPr>
        <w:spacing w:after="120"/>
        <w:ind w:left="851" w:right="902"/>
        <w:rPr>
          <w:rFonts w:eastAsia="Palatino Linotype" w:cs="Palatino Linotype"/>
          <w:i/>
        </w:rPr>
      </w:pPr>
      <w:r w:rsidRPr="0080245A">
        <w:rPr>
          <w:rFonts w:eastAsia="Palatino Linotype" w:cs="Palatino Linotype"/>
          <w:i/>
        </w:rPr>
        <w:t>“</w:t>
      </w:r>
      <w:r w:rsidRPr="0080245A">
        <w:rPr>
          <w:rFonts w:eastAsia="Palatino Linotype" w:cs="Palatino Linotype"/>
          <w:b/>
          <w:i/>
        </w:rPr>
        <w:t>Artículo 19</w:t>
      </w:r>
      <w:r w:rsidRPr="0080245A">
        <w:rPr>
          <w:rFonts w:eastAsia="Palatino Linotype" w:cs="Palatino Linotype"/>
          <w:i/>
        </w:rPr>
        <w:t>…</w:t>
      </w:r>
    </w:p>
    <w:p w14:paraId="21A9D1A8" w14:textId="77777777" w:rsidR="00B22BC5" w:rsidRPr="0080245A" w:rsidRDefault="00B22BC5" w:rsidP="00FE422A">
      <w:pPr>
        <w:spacing w:before="120" w:after="120"/>
        <w:ind w:left="851" w:right="902"/>
        <w:rPr>
          <w:rFonts w:eastAsia="Palatino Linotype" w:cs="Palatino Linotype"/>
          <w:i/>
        </w:rPr>
      </w:pPr>
      <w:r w:rsidRPr="0080245A">
        <w:rPr>
          <w:rFonts w:eastAsia="Palatino Linotype" w:cs="Palatino Linotype"/>
          <w:i/>
        </w:rPr>
        <w:t>En los casos en que ciertas facultades, competencias o funciones no se hayan ejercido, se debe motivar la respuesta en función de las causas que motiven tal circunstancia.”</w:t>
      </w:r>
    </w:p>
    <w:p w14:paraId="5DA7C963" w14:textId="6787BB2B" w:rsidR="00664420" w:rsidRPr="0080245A" w:rsidRDefault="00BD5A7C" w:rsidP="00FE422A">
      <w:pPr>
        <w:pStyle w:val="Ttulo3"/>
      </w:pPr>
      <w:bookmarkStart w:id="28" w:name="_Toc212099333"/>
      <w:r w:rsidRPr="0080245A">
        <w:lastRenderedPageBreak/>
        <w:t>d</w:t>
      </w:r>
      <w:r w:rsidR="00A21A20" w:rsidRPr="0080245A">
        <w:t>)</w:t>
      </w:r>
      <w:r w:rsidR="00664420" w:rsidRPr="0080245A">
        <w:t xml:space="preserve"> Versión pública</w:t>
      </w:r>
      <w:bookmarkEnd w:id="28"/>
    </w:p>
    <w:p w14:paraId="792756E1" w14:textId="77777777" w:rsidR="00E625D3" w:rsidRPr="0080245A" w:rsidRDefault="00E625D3" w:rsidP="00FE422A">
      <w:pPr>
        <w:ind w:right="-30"/>
        <w:contextualSpacing/>
        <w:textAlignment w:val="baseline"/>
        <w:rPr>
          <w:rFonts w:cs="Adelle Sans Devanagari"/>
          <w:sz w:val="24"/>
          <w:szCs w:val="24"/>
          <w:lang w:eastAsia="en-US"/>
        </w:rPr>
      </w:pPr>
      <w:r w:rsidRPr="0080245A">
        <w:rPr>
          <w:rFonts w:eastAsia="Calibri" w:cs="Adelle Sans Devanagari"/>
          <w:szCs w:val="22"/>
          <w:lang w:val="es-ES" w:eastAsia="es-MX"/>
        </w:rPr>
        <w:t>Ahora bien, no pasa desapercibido que la información solicitada</w:t>
      </w:r>
      <w:r w:rsidRPr="0080245A">
        <w:rPr>
          <w:rFonts w:cs="Adelle Sans Devanagari"/>
          <w:szCs w:val="22"/>
          <w:lang w:eastAsia="en-US"/>
        </w:rPr>
        <w:t xml:space="preserve">, </w:t>
      </w:r>
      <w:r w:rsidRPr="0080245A">
        <w:rPr>
          <w:rFonts w:eastAsia="Calibri" w:cs="Adelle Sans Devanagari"/>
          <w:bCs/>
          <w:iCs/>
          <w:szCs w:val="22"/>
          <w:lang w:val="es-ES_tradnl" w:eastAsia="en-US"/>
        </w:rPr>
        <w:t>pudieran contener datos o información clasificada</w:t>
      </w:r>
      <w:r w:rsidRPr="0080245A">
        <w:rPr>
          <w:rFonts w:cs="Adelle Sans Devanagari"/>
          <w:bCs/>
          <w:iCs/>
          <w:szCs w:val="22"/>
          <w:lang w:val="es-ES_tradnl" w:eastAsia="en-US"/>
        </w:rPr>
        <w:t xml:space="preserve"> </w:t>
      </w:r>
      <w:r w:rsidRPr="0080245A">
        <w:rPr>
          <w:rFonts w:cs="Adelle Sans Devanagari"/>
          <w:bCs/>
          <w:iCs/>
          <w:szCs w:val="22"/>
          <w:lang w:eastAsia="en-US"/>
        </w:rPr>
        <w:t>conforme a lo siguiente:</w:t>
      </w:r>
    </w:p>
    <w:p w14:paraId="753CDF02" w14:textId="77777777" w:rsidR="00E625D3" w:rsidRPr="0080245A" w:rsidRDefault="00E625D3" w:rsidP="00FE422A">
      <w:pPr>
        <w:widowControl w:val="0"/>
        <w:tabs>
          <w:tab w:val="center" w:pos="4522"/>
        </w:tabs>
        <w:contextualSpacing/>
        <w:rPr>
          <w:rFonts w:eastAsia="Calibri" w:cs="Adelle Sans Devanagari"/>
          <w:bCs/>
          <w:iCs/>
          <w:szCs w:val="22"/>
          <w:lang w:eastAsia="en-US"/>
        </w:rPr>
      </w:pPr>
    </w:p>
    <w:p w14:paraId="3B4457DF" w14:textId="77777777" w:rsidR="00E625D3" w:rsidRPr="0080245A" w:rsidRDefault="00E625D3" w:rsidP="00FE422A">
      <w:pPr>
        <w:numPr>
          <w:ilvl w:val="0"/>
          <w:numId w:val="18"/>
        </w:numPr>
        <w:autoSpaceDE w:val="0"/>
        <w:autoSpaceDN w:val="0"/>
        <w:adjustRightInd w:val="0"/>
        <w:contextualSpacing/>
        <w:rPr>
          <w:rFonts w:cs="Adelle Sans Devanagari"/>
          <w:bCs/>
          <w:szCs w:val="22"/>
          <w:lang w:val="es-ES" w:eastAsia="en-US"/>
        </w:rPr>
      </w:pPr>
      <w:r w:rsidRPr="0080245A">
        <w:rPr>
          <w:rFonts w:cs="Adelle Sans Devanagari"/>
          <w:bCs/>
          <w:szCs w:val="22"/>
          <w:lang w:val="es-ES" w:eastAsia="en-US"/>
        </w:rPr>
        <w:t>Clave Única de Registro de Población;</w:t>
      </w:r>
    </w:p>
    <w:p w14:paraId="47EBE180" w14:textId="77777777" w:rsidR="00E625D3" w:rsidRPr="0080245A" w:rsidRDefault="00E625D3" w:rsidP="00FE422A">
      <w:pPr>
        <w:numPr>
          <w:ilvl w:val="0"/>
          <w:numId w:val="18"/>
        </w:numPr>
        <w:autoSpaceDE w:val="0"/>
        <w:autoSpaceDN w:val="0"/>
        <w:adjustRightInd w:val="0"/>
        <w:contextualSpacing/>
        <w:rPr>
          <w:rFonts w:cs="Adelle Sans Devanagari"/>
          <w:bCs/>
          <w:iCs/>
          <w:szCs w:val="24"/>
        </w:rPr>
      </w:pPr>
      <w:r w:rsidRPr="0080245A">
        <w:rPr>
          <w:rFonts w:cs="Adelle Sans Devanagari"/>
          <w:bCs/>
          <w:iCs/>
          <w:szCs w:val="24"/>
        </w:rPr>
        <w:t>Registro Federal de Contribuyentes;</w:t>
      </w:r>
    </w:p>
    <w:p w14:paraId="3F36BD06" w14:textId="77777777" w:rsidR="00E625D3" w:rsidRPr="0080245A" w:rsidRDefault="00E625D3" w:rsidP="00FE422A">
      <w:pPr>
        <w:numPr>
          <w:ilvl w:val="0"/>
          <w:numId w:val="18"/>
        </w:numPr>
        <w:autoSpaceDE w:val="0"/>
        <w:autoSpaceDN w:val="0"/>
        <w:adjustRightInd w:val="0"/>
        <w:contextualSpacing/>
        <w:rPr>
          <w:rFonts w:cs="Adelle Sans Devanagari"/>
          <w:bCs/>
          <w:szCs w:val="22"/>
          <w:lang w:val="es-ES" w:eastAsia="en-US"/>
        </w:rPr>
      </w:pPr>
      <w:r w:rsidRPr="0080245A">
        <w:rPr>
          <w:rFonts w:cs="Adelle Sans Devanagari"/>
          <w:bCs/>
          <w:szCs w:val="22"/>
          <w:lang w:val="es-ES" w:eastAsia="en-US"/>
        </w:rPr>
        <w:t>Código bidimensional o QR;</w:t>
      </w:r>
    </w:p>
    <w:p w14:paraId="31FE5AA2" w14:textId="77777777" w:rsidR="00E625D3" w:rsidRPr="0080245A" w:rsidRDefault="00E625D3" w:rsidP="00FE422A">
      <w:pPr>
        <w:numPr>
          <w:ilvl w:val="0"/>
          <w:numId w:val="18"/>
        </w:numPr>
        <w:autoSpaceDE w:val="0"/>
        <w:autoSpaceDN w:val="0"/>
        <w:adjustRightInd w:val="0"/>
        <w:contextualSpacing/>
        <w:rPr>
          <w:rFonts w:cs="Adelle Sans Devanagari"/>
          <w:bCs/>
          <w:szCs w:val="22"/>
          <w:lang w:val="es-ES" w:eastAsia="en-US"/>
        </w:rPr>
      </w:pPr>
      <w:r w:rsidRPr="0080245A">
        <w:rPr>
          <w:rFonts w:cs="Adelle Sans Devanagari"/>
          <w:bCs/>
          <w:szCs w:val="22"/>
          <w:lang w:val="es-ES" w:eastAsia="en-US"/>
        </w:rPr>
        <w:t>Número de seguridad social del Instituto de Seguridad Social del Estado de México y Municipios;</w:t>
      </w:r>
    </w:p>
    <w:p w14:paraId="05E7CF53" w14:textId="77777777" w:rsidR="00E625D3" w:rsidRPr="0080245A" w:rsidRDefault="00E625D3" w:rsidP="00FE422A">
      <w:pPr>
        <w:numPr>
          <w:ilvl w:val="0"/>
          <w:numId w:val="18"/>
        </w:numPr>
        <w:autoSpaceDE w:val="0"/>
        <w:autoSpaceDN w:val="0"/>
        <w:adjustRightInd w:val="0"/>
        <w:contextualSpacing/>
        <w:rPr>
          <w:rFonts w:cs="Adelle Sans Devanagari"/>
          <w:bCs/>
          <w:szCs w:val="22"/>
          <w:lang w:val="es-ES" w:eastAsia="en-US"/>
        </w:rPr>
      </w:pPr>
      <w:r w:rsidRPr="0080245A">
        <w:rPr>
          <w:rFonts w:cs="Adelle Sans Devanagari"/>
          <w:bCs/>
          <w:szCs w:val="22"/>
          <w:lang w:val="es-ES" w:eastAsia="en-US"/>
        </w:rPr>
        <w:t>Deducciones personales;</w:t>
      </w:r>
    </w:p>
    <w:p w14:paraId="290947CB" w14:textId="77777777" w:rsidR="00E625D3" w:rsidRPr="0080245A" w:rsidRDefault="00E625D3" w:rsidP="00FE422A">
      <w:pPr>
        <w:numPr>
          <w:ilvl w:val="0"/>
          <w:numId w:val="18"/>
        </w:numPr>
        <w:autoSpaceDE w:val="0"/>
        <w:autoSpaceDN w:val="0"/>
        <w:adjustRightInd w:val="0"/>
        <w:contextualSpacing/>
        <w:rPr>
          <w:rFonts w:cs="Adelle Sans Devanagari"/>
          <w:bCs/>
          <w:szCs w:val="22"/>
          <w:lang w:val="es-ES" w:eastAsia="en-US"/>
        </w:rPr>
      </w:pPr>
      <w:r w:rsidRPr="0080245A">
        <w:rPr>
          <w:rFonts w:cs="Adelle Sans Devanagari"/>
          <w:bCs/>
          <w:szCs w:val="22"/>
          <w:lang w:val="es-ES" w:eastAsia="en-US"/>
        </w:rPr>
        <w:t>Sellos digitales del emisor y del Servicio de Administración Tributaria y cadena original del complemento de certificación digital del órgano previamente señalado;</w:t>
      </w:r>
    </w:p>
    <w:p w14:paraId="641409C4" w14:textId="77777777" w:rsidR="00E625D3" w:rsidRPr="0080245A" w:rsidRDefault="00E625D3" w:rsidP="00FE422A">
      <w:pPr>
        <w:numPr>
          <w:ilvl w:val="0"/>
          <w:numId w:val="18"/>
        </w:numPr>
        <w:autoSpaceDE w:val="0"/>
        <w:autoSpaceDN w:val="0"/>
        <w:adjustRightInd w:val="0"/>
        <w:contextualSpacing/>
        <w:rPr>
          <w:rFonts w:cs="Adelle Sans Devanagari"/>
          <w:bCs/>
          <w:szCs w:val="22"/>
          <w:lang w:val="es-ES" w:eastAsia="en-US"/>
        </w:rPr>
      </w:pPr>
      <w:r w:rsidRPr="0080245A">
        <w:rPr>
          <w:rFonts w:cs="Adelle Sans Devanagari"/>
          <w:bCs/>
          <w:szCs w:val="22"/>
          <w:lang w:val="es-ES" w:eastAsia="en-US"/>
        </w:rPr>
        <w:t>Folio fiscal, y</w:t>
      </w:r>
    </w:p>
    <w:p w14:paraId="6FC787EE" w14:textId="77777777" w:rsidR="00E625D3" w:rsidRPr="0080245A" w:rsidRDefault="00E625D3" w:rsidP="00FE422A">
      <w:pPr>
        <w:numPr>
          <w:ilvl w:val="0"/>
          <w:numId w:val="18"/>
        </w:numPr>
        <w:autoSpaceDE w:val="0"/>
        <w:autoSpaceDN w:val="0"/>
        <w:adjustRightInd w:val="0"/>
        <w:contextualSpacing/>
        <w:rPr>
          <w:rFonts w:cs="Adelle Sans Devanagari"/>
          <w:bCs/>
          <w:szCs w:val="22"/>
          <w:lang w:val="es-ES" w:eastAsia="en-US"/>
        </w:rPr>
      </w:pPr>
      <w:r w:rsidRPr="0080245A">
        <w:rPr>
          <w:rFonts w:cs="Adelle Sans Devanagari"/>
          <w:bCs/>
          <w:szCs w:val="22"/>
          <w:lang w:val="es-ES" w:eastAsia="en-US"/>
        </w:rPr>
        <w:t>Número de cuenta bancario.</w:t>
      </w:r>
    </w:p>
    <w:p w14:paraId="54B6AC99" w14:textId="77777777" w:rsidR="00E625D3" w:rsidRPr="0080245A" w:rsidRDefault="00E625D3" w:rsidP="00FE422A">
      <w:pPr>
        <w:autoSpaceDE w:val="0"/>
        <w:autoSpaceDN w:val="0"/>
        <w:adjustRightInd w:val="0"/>
        <w:contextualSpacing/>
        <w:rPr>
          <w:rFonts w:cs="Adelle Sans Devanagari"/>
          <w:bCs/>
          <w:szCs w:val="22"/>
          <w:lang w:val="es-ES" w:eastAsia="en-US"/>
        </w:rPr>
      </w:pPr>
    </w:p>
    <w:p w14:paraId="7F083C39" w14:textId="77777777" w:rsidR="00E625D3" w:rsidRPr="0080245A" w:rsidRDefault="00E625D3" w:rsidP="00FE422A">
      <w:pPr>
        <w:contextualSpacing/>
        <w:rPr>
          <w:rFonts w:cs="Adelle Sans Devanagari"/>
          <w:bCs/>
          <w:iCs/>
          <w:szCs w:val="22"/>
          <w:lang w:eastAsia="es-MX"/>
        </w:rPr>
      </w:pPr>
      <w:r w:rsidRPr="0080245A">
        <w:rPr>
          <w:rFonts w:cs="Adelle Sans Devanagari"/>
          <w:bCs/>
          <w:szCs w:val="22"/>
          <w:lang w:val="es-ES" w:eastAsia="en-US"/>
        </w:rPr>
        <w:t>Al respecto, resulta procedente analizar si dichos datos son públicos o privados; para lo cual</w:t>
      </w:r>
      <w:r w:rsidRPr="0080245A">
        <w:rPr>
          <w:rFonts w:cs="Adelle Sans Devanagari"/>
          <w:bCs/>
          <w:iCs/>
          <w:szCs w:val="22"/>
          <w:lang w:eastAsia="es-MX"/>
        </w:rPr>
        <w:t>, el artículo 143, fracción I, de la Ley de la materia, establece que la información privada y los datos personales, concernientes a una persona física o jurídica colectiva identificada o identificable son confidenciales.</w:t>
      </w:r>
    </w:p>
    <w:p w14:paraId="79FB6451" w14:textId="77777777" w:rsidR="00E625D3" w:rsidRPr="0080245A" w:rsidRDefault="00E625D3" w:rsidP="00FE422A">
      <w:pPr>
        <w:contextualSpacing/>
        <w:rPr>
          <w:rFonts w:cs="Adelle Sans Devanagari"/>
          <w:bCs/>
          <w:iCs/>
          <w:szCs w:val="22"/>
          <w:lang w:eastAsia="es-MX"/>
        </w:rPr>
      </w:pPr>
    </w:p>
    <w:p w14:paraId="3C448351" w14:textId="77777777" w:rsidR="00E625D3" w:rsidRPr="0080245A" w:rsidRDefault="00E625D3" w:rsidP="00FE422A">
      <w:pPr>
        <w:contextualSpacing/>
        <w:rPr>
          <w:rFonts w:cs="Adelle Sans Devanagari"/>
          <w:bCs/>
          <w:iCs/>
          <w:szCs w:val="22"/>
          <w:lang w:eastAsia="es-MX"/>
        </w:rPr>
      </w:pPr>
      <w:r w:rsidRPr="0080245A">
        <w:rPr>
          <w:rFonts w:cs="Adelle Sans Devanagari"/>
          <w:bCs/>
          <w:iCs/>
          <w:szCs w:val="22"/>
          <w:lang w:eastAsia="es-MX"/>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w:t>
      </w:r>
      <w:r w:rsidRPr="0080245A">
        <w:rPr>
          <w:rFonts w:cs="Adelle Sans Devanagari"/>
          <w:bCs/>
          <w:iCs/>
          <w:szCs w:val="22"/>
          <w:lang w:eastAsia="es-MX"/>
        </w:rPr>
        <w:lastRenderedPageBreak/>
        <w:t>judicial, iv) por razones de seguridad nacional y salubridad general o v) para proteger los derechos de terceros o cuando se transmita entre sujetos obligados en términos de los tratados y los acuerdos interinstitucionales.</w:t>
      </w:r>
    </w:p>
    <w:p w14:paraId="2B6E9910" w14:textId="77777777" w:rsidR="00E625D3" w:rsidRPr="0080245A" w:rsidRDefault="00E625D3" w:rsidP="00FE422A">
      <w:pPr>
        <w:contextualSpacing/>
        <w:rPr>
          <w:rFonts w:cs="Adelle Sans Devanagari"/>
          <w:bCs/>
          <w:iCs/>
          <w:szCs w:val="22"/>
          <w:lang w:eastAsia="es-MX"/>
        </w:rPr>
      </w:pPr>
    </w:p>
    <w:p w14:paraId="4CF2BE19" w14:textId="77777777" w:rsidR="00E625D3" w:rsidRPr="0080245A" w:rsidRDefault="00E625D3" w:rsidP="00FE422A">
      <w:pPr>
        <w:contextualSpacing/>
        <w:rPr>
          <w:rFonts w:cs="Adelle Sans Devanagari"/>
          <w:bCs/>
          <w:iCs/>
          <w:szCs w:val="22"/>
          <w:lang w:eastAsia="es-MX"/>
        </w:rPr>
      </w:pPr>
      <w:r w:rsidRPr="0080245A">
        <w:rPr>
          <w:rFonts w:cs="Adelle Sans Devanagari"/>
          <w:bCs/>
          <w:iCs/>
          <w:szCs w:val="22"/>
          <w:lang w:eastAsia="es-MX"/>
        </w:rPr>
        <w:t>En términos de lo expuesto, la documentación y aquellos datos que se consideren confidenciales, serán una limitante del derecho de acceso a la información, siempre y cuando:</w:t>
      </w:r>
    </w:p>
    <w:p w14:paraId="1773A345" w14:textId="77777777" w:rsidR="00E625D3" w:rsidRPr="0080245A" w:rsidRDefault="00E625D3" w:rsidP="00FE422A">
      <w:pPr>
        <w:contextualSpacing/>
        <w:rPr>
          <w:rFonts w:cs="Adelle Sans Devanagari"/>
          <w:bCs/>
          <w:iCs/>
          <w:szCs w:val="22"/>
          <w:lang w:eastAsia="es-MX"/>
        </w:rPr>
      </w:pPr>
    </w:p>
    <w:p w14:paraId="4A4B4DE8" w14:textId="77777777" w:rsidR="00E625D3" w:rsidRPr="0080245A" w:rsidRDefault="00E625D3" w:rsidP="00FE422A">
      <w:pPr>
        <w:numPr>
          <w:ilvl w:val="0"/>
          <w:numId w:val="19"/>
        </w:numPr>
        <w:contextualSpacing/>
        <w:rPr>
          <w:rFonts w:cs="Adelle Sans Devanagari"/>
          <w:bCs/>
          <w:iCs/>
          <w:szCs w:val="22"/>
          <w:lang w:eastAsia="es-MX"/>
        </w:rPr>
      </w:pPr>
      <w:r w:rsidRPr="0080245A">
        <w:rPr>
          <w:rFonts w:cs="Adelle Sans Devanagari"/>
          <w:bCs/>
          <w:iCs/>
          <w:szCs w:val="22"/>
          <w:lang w:eastAsia="es-MX"/>
        </w:rPr>
        <w:t xml:space="preserve">Se trate de datos personales o información privada; esto es, información concerniente a una persona física o jurídico colectiva y que esta sea identificada o identificable. </w:t>
      </w:r>
    </w:p>
    <w:p w14:paraId="45F88DD4" w14:textId="77777777" w:rsidR="00E625D3" w:rsidRPr="0080245A" w:rsidRDefault="00E625D3" w:rsidP="00FE422A">
      <w:pPr>
        <w:ind w:left="720"/>
        <w:contextualSpacing/>
        <w:rPr>
          <w:rFonts w:cs="Adelle Sans Devanagari"/>
          <w:bCs/>
          <w:iCs/>
          <w:szCs w:val="22"/>
          <w:lang w:eastAsia="es-MX"/>
        </w:rPr>
      </w:pPr>
    </w:p>
    <w:p w14:paraId="6B65E1F8" w14:textId="77777777" w:rsidR="00E625D3" w:rsidRPr="0080245A" w:rsidRDefault="00E625D3" w:rsidP="00FE422A">
      <w:pPr>
        <w:numPr>
          <w:ilvl w:val="0"/>
          <w:numId w:val="19"/>
        </w:numPr>
        <w:contextualSpacing/>
        <w:rPr>
          <w:rFonts w:cs="Adelle Sans Devanagari"/>
          <w:bCs/>
          <w:iCs/>
          <w:szCs w:val="22"/>
          <w:lang w:eastAsia="es-MX"/>
        </w:rPr>
      </w:pPr>
      <w:r w:rsidRPr="0080245A">
        <w:rPr>
          <w:rFonts w:cs="Adelle Sans Devanagari"/>
          <w:bCs/>
          <w:iCs/>
          <w:szCs w:val="22"/>
          <w:lang w:eastAsia="es-MX"/>
        </w:rPr>
        <w:t xml:space="preserve">Para la difusión de los datos, se requiera el consentimiento del titular. </w:t>
      </w:r>
    </w:p>
    <w:p w14:paraId="3E9ACCC6" w14:textId="77777777" w:rsidR="00E625D3" w:rsidRPr="0080245A" w:rsidRDefault="00E625D3" w:rsidP="00FE422A">
      <w:pPr>
        <w:contextualSpacing/>
        <w:rPr>
          <w:rFonts w:cs="Adelle Sans Devanagari"/>
          <w:bCs/>
          <w:iCs/>
          <w:szCs w:val="22"/>
          <w:lang w:eastAsia="es-MX"/>
        </w:rPr>
      </w:pPr>
    </w:p>
    <w:p w14:paraId="53AE8E23" w14:textId="77777777" w:rsidR="00E625D3" w:rsidRPr="0080245A" w:rsidRDefault="00E625D3" w:rsidP="00FE422A">
      <w:pPr>
        <w:contextualSpacing/>
        <w:rPr>
          <w:rFonts w:cs="Adelle Sans Devanagari"/>
          <w:bCs/>
          <w:iCs/>
          <w:szCs w:val="22"/>
          <w:lang w:eastAsia="es-MX"/>
        </w:rPr>
      </w:pPr>
      <w:r w:rsidRPr="0080245A">
        <w:rPr>
          <w:rFonts w:cs="Adelle Sans Devanagari"/>
          <w:bCs/>
          <w:iCs/>
          <w:szCs w:val="22"/>
          <w:lang w:eastAsia="es-MX"/>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Bajo ese contexto, se analizarán si los datos mencionados de manera enunciativa son confidenciales o públicos.</w:t>
      </w:r>
    </w:p>
    <w:p w14:paraId="6A8FB61F" w14:textId="77777777" w:rsidR="00E625D3" w:rsidRPr="0080245A" w:rsidRDefault="00E625D3" w:rsidP="00FE422A">
      <w:pPr>
        <w:contextualSpacing/>
        <w:rPr>
          <w:rFonts w:cs="Adelle Sans Devanagari"/>
          <w:bCs/>
          <w:iCs/>
          <w:szCs w:val="22"/>
          <w:lang w:eastAsia="es-MX"/>
        </w:rPr>
      </w:pPr>
    </w:p>
    <w:p w14:paraId="264AA233" w14:textId="77777777" w:rsidR="00E625D3" w:rsidRPr="0080245A" w:rsidRDefault="00E625D3" w:rsidP="00FE422A">
      <w:pPr>
        <w:numPr>
          <w:ilvl w:val="0"/>
          <w:numId w:val="20"/>
        </w:numPr>
        <w:contextualSpacing/>
        <w:rPr>
          <w:rFonts w:cs="Adelle Sans Devanagari"/>
          <w:b/>
          <w:szCs w:val="22"/>
          <w:lang w:val="es-ES" w:eastAsia="en-US"/>
        </w:rPr>
      </w:pPr>
      <w:r w:rsidRPr="0080245A">
        <w:rPr>
          <w:rFonts w:cs="Adelle Sans Devanagari"/>
          <w:b/>
          <w:szCs w:val="22"/>
          <w:lang w:val="es-ES" w:eastAsia="en-US"/>
        </w:rPr>
        <w:t>Clave Única de Registro de Población (CURP)</w:t>
      </w:r>
    </w:p>
    <w:p w14:paraId="183D3753" w14:textId="77777777" w:rsidR="00E625D3" w:rsidRPr="0080245A" w:rsidRDefault="00E625D3" w:rsidP="00FE422A">
      <w:pPr>
        <w:tabs>
          <w:tab w:val="left" w:pos="4962"/>
        </w:tabs>
        <w:contextualSpacing/>
        <w:rPr>
          <w:rFonts w:cs="Adelle Sans Devanagari"/>
          <w:bCs/>
          <w:szCs w:val="22"/>
          <w:lang w:val="es-ES" w:eastAsia="en-US"/>
        </w:rPr>
      </w:pPr>
    </w:p>
    <w:p w14:paraId="7F8038D9" w14:textId="77777777" w:rsidR="00E625D3" w:rsidRPr="0080245A" w:rsidRDefault="00E625D3" w:rsidP="00FE422A">
      <w:pPr>
        <w:tabs>
          <w:tab w:val="left" w:pos="4962"/>
        </w:tabs>
        <w:contextualSpacing/>
        <w:rPr>
          <w:rFonts w:cs="Adelle Sans Devanagari"/>
          <w:bCs/>
          <w:szCs w:val="22"/>
          <w:lang w:val="es-ES" w:eastAsia="en-US"/>
        </w:rPr>
      </w:pPr>
      <w:r w:rsidRPr="0080245A">
        <w:rPr>
          <w:rFonts w:cs="Adelle Sans Devanagari"/>
          <w:bCs/>
          <w:szCs w:val="22"/>
          <w:lang w:val="es-ES" w:eastAsia="en-US"/>
        </w:rPr>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511EAE5" w14:textId="77777777" w:rsidR="00E625D3" w:rsidRPr="0080245A" w:rsidRDefault="00E625D3" w:rsidP="00FE422A">
      <w:pPr>
        <w:tabs>
          <w:tab w:val="left" w:pos="4962"/>
        </w:tabs>
        <w:contextualSpacing/>
        <w:rPr>
          <w:rFonts w:cs="Adelle Sans Devanagari"/>
          <w:bCs/>
          <w:szCs w:val="22"/>
          <w:lang w:val="es-ES" w:eastAsia="en-US"/>
        </w:rPr>
      </w:pPr>
    </w:p>
    <w:p w14:paraId="4B6D3C04" w14:textId="77777777" w:rsidR="00E625D3" w:rsidRPr="0080245A" w:rsidRDefault="00E625D3" w:rsidP="00FE422A">
      <w:pPr>
        <w:tabs>
          <w:tab w:val="left" w:pos="4962"/>
        </w:tabs>
        <w:contextualSpacing/>
        <w:rPr>
          <w:rFonts w:cs="Adelle Sans Devanagari"/>
          <w:bCs/>
          <w:szCs w:val="22"/>
          <w:lang w:val="es-ES" w:eastAsia="en-US"/>
        </w:rPr>
      </w:pPr>
      <w:r w:rsidRPr="0080245A">
        <w:rPr>
          <w:rFonts w:cs="Adelle Sans Devanagari"/>
          <w:bCs/>
          <w:szCs w:val="22"/>
          <w:lang w:val="es-ES"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8A443CA" w14:textId="77777777" w:rsidR="00E625D3" w:rsidRPr="0080245A" w:rsidRDefault="00E625D3" w:rsidP="00FE422A">
      <w:pPr>
        <w:tabs>
          <w:tab w:val="left" w:pos="4962"/>
        </w:tabs>
        <w:contextualSpacing/>
        <w:rPr>
          <w:rFonts w:cs="Adelle Sans Devanagari"/>
          <w:bCs/>
          <w:szCs w:val="22"/>
          <w:lang w:val="es-ES" w:eastAsia="en-US"/>
        </w:rPr>
      </w:pPr>
    </w:p>
    <w:p w14:paraId="10C96A29" w14:textId="77777777" w:rsidR="00E625D3" w:rsidRPr="0080245A" w:rsidRDefault="00E625D3" w:rsidP="00FE422A">
      <w:pPr>
        <w:tabs>
          <w:tab w:val="left" w:pos="4962"/>
        </w:tabs>
        <w:contextualSpacing/>
        <w:rPr>
          <w:rFonts w:cs="Adelle Sans Devanagari"/>
          <w:bCs/>
          <w:szCs w:val="22"/>
          <w:lang w:val="es-ES" w:eastAsia="en-US"/>
        </w:rPr>
      </w:pPr>
      <w:r w:rsidRPr="0080245A">
        <w:rPr>
          <w:rFonts w:cs="Adelle Sans Devanagari"/>
          <w:bCs/>
          <w:szCs w:val="22"/>
          <w:lang w:val="es-ES" w:eastAsia="en-US"/>
        </w:rPr>
        <w:t xml:space="preserve">En ese orden de ideas, la Secretaría de Gobernación en las direcciones https://consultas.curp.gob.mx/CurpSP/html/informacionecurpPS.html y </w:t>
      </w:r>
      <w:hyperlink r:id="rId19" w:history="1">
        <w:r w:rsidRPr="0080245A">
          <w:rPr>
            <w:rStyle w:val="Hipervnculo"/>
            <w:rFonts w:eastAsiaTheme="majorEastAsia" w:cs="Adelle Sans Devanagari"/>
            <w:bCs/>
            <w:color w:val="auto"/>
            <w:szCs w:val="22"/>
            <w:lang w:val="es-ES" w:eastAsia="en-US"/>
          </w:rPr>
          <w:t>https://www.gob.mx/segob/renapo/acciones-y-programas/clave-unica-de-registro-de-poblacion-curp-142226</w:t>
        </w:r>
      </w:hyperlink>
      <w:r w:rsidRPr="0080245A">
        <w:rPr>
          <w:rFonts w:cs="Adelle Sans Devanagari"/>
          <w:bCs/>
          <w:szCs w:val="22"/>
          <w:lang w:val="es-ES" w:eastAsia="en-U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80245A">
        <w:rPr>
          <w:rFonts w:cs="Adelle Sans Devanagari"/>
          <w:b/>
          <w:szCs w:val="22"/>
          <w:lang w:val="es-ES" w:eastAsia="en-US"/>
        </w:rPr>
        <w:t>se generan a partir de los datos contenidos en el documento probatorio de la identidad del interesado</w:t>
      </w:r>
      <w:r w:rsidRPr="0080245A">
        <w:rPr>
          <w:rFonts w:cs="Adelle Sans Devanagari"/>
          <w:bCs/>
          <w:szCs w:val="22"/>
          <w:lang w:val="es-ES" w:eastAsia="en-US"/>
        </w:rPr>
        <w:t xml:space="preserve"> (acta de nacimiento, carta de naturalización o documento migratorio) de la siguiente forma:</w:t>
      </w:r>
    </w:p>
    <w:p w14:paraId="19FA6F34" w14:textId="77777777" w:rsidR="00E625D3" w:rsidRPr="0080245A" w:rsidRDefault="00E625D3" w:rsidP="00FE422A">
      <w:pPr>
        <w:tabs>
          <w:tab w:val="left" w:pos="4962"/>
        </w:tabs>
        <w:contextualSpacing/>
        <w:rPr>
          <w:rFonts w:cs="Adelle Sans Devanagari"/>
          <w:bCs/>
          <w:szCs w:val="22"/>
          <w:lang w:val="es-ES" w:eastAsia="en-US"/>
        </w:rPr>
      </w:pPr>
    </w:p>
    <w:p w14:paraId="3788DC3B" w14:textId="77777777" w:rsidR="00E625D3" w:rsidRPr="0080245A" w:rsidRDefault="00E625D3" w:rsidP="00FE422A">
      <w:pPr>
        <w:numPr>
          <w:ilvl w:val="0"/>
          <w:numId w:val="21"/>
        </w:numPr>
        <w:tabs>
          <w:tab w:val="left" w:pos="4962"/>
        </w:tabs>
        <w:contextualSpacing/>
        <w:rPr>
          <w:rFonts w:cs="Adelle Sans Devanagari"/>
          <w:bCs/>
          <w:szCs w:val="22"/>
          <w:lang w:val="es-ES" w:eastAsia="en-US"/>
        </w:rPr>
      </w:pPr>
      <w:r w:rsidRPr="0080245A">
        <w:rPr>
          <w:rFonts w:cs="Adelle Sans Devanagari"/>
          <w:bCs/>
          <w:szCs w:val="22"/>
          <w:lang w:val="es-ES" w:eastAsia="en-US"/>
        </w:rPr>
        <w:t>El primero y segundo apellidos, así como al nombre de pila;</w:t>
      </w:r>
    </w:p>
    <w:p w14:paraId="1875A212" w14:textId="77777777" w:rsidR="00E625D3" w:rsidRPr="0080245A" w:rsidRDefault="00E625D3" w:rsidP="00FE422A">
      <w:pPr>
        <w:numPr>
          <w:ilvl w:val="0"/>
          <w:numId w:val="21"/>
        </w:numPr>
        <w:tabs>
          <w:tab w:val="left" w:pos="4962"/>
        </w:tabs>
        <w:contextualSpacing/>
        <w:rPr>
          <w:rFonts w:cs="Adelle Sans Devanagari"/>
          <w:bCs/>
          <w:szCs w:val="22"/>
          <w:lang w:val="es-ES" w:eastAsia="en-US"/>
        </w:rPr>
      </w:pPr>
      <w:r w:rsidRPr="0080245A">
        <w:rPr>
          <w:rFonts w:cs="Adelle Sans Devanagari"/>
          <w:bCs/>
          <w:szCs w:val="22"/>
          <w:lang w:val="es-ES" w:eastAsia="en-US"/>
        </w:rPr>
        <w:t>La fecha de nacimiento;</w:t>
      </w:r>
    </w:p>
    <w:p w14:paraId="73D74FD2" w14:textId="77777777" w:rsidR="00E625D3" w:rsidRPr="0080245A" w:rsidRDefault="00E625D3" w:rsidP="00FE422A">
      <w:pPr>
        <w:numPr>
          <w:ilvl w:val="0"/>
          <w:numId w:val="21"/>
        </w:numPr>
        <w:tabs>
          <w:tab w:val="left" w:pos="4962"/>
        </w:tabs>
        <w:contextualSpacing/>
        <w:rPr>
          <w:rFonts w:cs="Adelle Sans Devanagari"/>
          <w:bCs/>
          <w:szCs w:val="22"/>
          <w:lang w:val="es-ES" w:eastAsia="en-US"/>
        </w:rPr>
      </w:pPr>
      <w:r w:rsidRPr="0080245A">
        <w:rPr>
          <w:rFonts w:cs="Adelle Sans Devanagari"/>
          <w:bCs/>
          <w:szCs w:val="22"/>
          <w:lang w:val="es-ES" w:eastAsia="en-US"/>
        </w:rPr>
        <w:t>El sexo, y</w:t>
      </w:r>
    </w:p>
    <w:p w14:paraId="261E2FD7" w14:textId="77777777" w:rsidR="00E625D3" w:rsidRPr="0080245A" w:rsidRDefault="00E625D3" w:rsidP="00FE422A">
      <w:pPr>
        <w:numPr>
          <w:ilvl w:val="0"/>
          <w:numId w:val="21"/>
        </w:numPr>
        <w:tabs>
          <w:tab w:val="left" w:pos="4962"/>
        </w:tabs>
        <w:contextualSpacing/>
        <w:rPr>
          <w:rFonts w:cs="Adelle Sans Devanagari"/>
          <w:bCs/>
          <w:szCs w:val="22"/>
          <w:lang w:val="es-ES" w:eastAsia="en-US"/>
        </w:rPr>
      </w:pPr>
      <w:r w:rsidRPr="0080245A">
        <w:rPr>
          <w:rFonts w:cs="Adelle Sans Devanagari"/>
          <w:bCs/>
          <w:szCs w:val="22"/>
          <w:lang w:val="es-ES" w:eastAsia="en-US"/>
        </w:rPr>
        <w:lastRenderedPageBreak/>
        <w:t>La entidad federativa de nacimiento.</w:t>
      </w:r>
    </w:p>
    <w:p w14:paraId="6F1E0B04" w14:textId="77777777" w:rsidR="00E625D3" w:rsidRPr="0080245A" w:rsidRDefault="00E625D3" w:rsidP="00FE422A">
      <w:pPr>
        <w:tabs>
          <w:tab w:val="left" w:pos="4962"/>
        </w:tabs>
        <w:contextualSpacing/>
        <w:rPr>
          <w:rFonts w:cs="Adelle Sans Devanagari"/>
          <w:bCs/>
          <w:szCs w:val="22"/>
          <w:lang w:val="es-ES" w:eastAsia="en-US"/>
        </w:rPr>
      </w:pPr>
    </w:p>
    <w:p w14:paraId="6E999655" w14:textId="77777777" w:rsidR="00E625D3" w:rsidRPr="0080245A" w:rsidRDefault="00E625D3" w:rsidP="00FE422A">
      <w:pPr>
        <w:tabs>
          <w:tab w:val="left" w:pos="4962"/>
        </w:tabs>
        <w:contextualSpacing/>
        <w:rPr>
          <w:rFonts w:cs="Adelle Sans Devanagari"/>
          <w:bCs/>
          <w:szCs w:val="22"/>
          <w:lang w:val="es-ES" w:eastAsia="en-US"/>
        </w:rPr>
      </w:pPr>
      <w:r w:rsidRPr="0080245A">
        <w:rPr>
          <w:rFonts w:cs="Adelle Sans Devanagari"/>
          <w:bCs/>
          <w:szCs w:val="22"/>
          <w:lang w:val="es-ES" w:eastAsia="en-US"/>
        </w:rPr>
        <w:t>Los dos últimos elementos de la Clave Única de Registro de Población evitan la duplicidad de la Clave y garantizan su correcta integración.</w:t>
      </w:r>
    </w:p>
    <w:p w14:paraId="15291AB7" w14:textId="77777777" w:rsidR="00E625D3" w:rsidRPr="0080245A" w:rsidRDefault="00E625D3" w:rsidP="00FE422A">
      <w:pPr>
        <w:tabs>
          <w:tab w:val="left" w:pos="4962"/>
        </w:tabs>
        <w:contextualSpacing/>
        <w:rPr>
          <w:rFonts w:cs="Adelle Sans Devanagari"/>
          <w:bCs/>
          <w:szCs w:val="22"/>
          <w:lang w:val="es-ES" w:eastAsia="en-US"/>
        </w:rPr>
      </w:pPr>
    </w:p>
    <w:p w14:paraId="64F29E3E" w14:textId="77777777" w:rsidR="00E625D3" w:rsidRPr="0080245A" w:rsidRDefault="00E625D3" w:rsidP="00FE422A">
      <w:pPr>
        <w:tabs>
          <w:tab w:val="left" w:pos="4962"/>
        </w:tabs>
        <w:contextualSpacing/>
        <w:rPr>
          <w:rFonts w:cs="Adelle Sans Devanagari"/>
          <w:bCs/>
          <w:szCs w:val="22"/>
          <w:lang w:val="es-ES" w:eastAsia="en-US"/>
        </w:rPr>
      </w:pPr>
      <w:r w:rsidRPr="0080245A">
        <w:rPr>
          <w:rFonts w:cs="Adelle Sans Devanagari"/>
          <w:bCs/>
          <w:szCs w:val="22"/>
          <w:lang w:val="es-ES"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AADA077" w14:textId="77777777" w:rsidR="00E625D3" w:rsidRPr="0080245A" w:rsidRDefault="00E625D3" w:rsidP="00FE422A">
      <w:pPr>
        <w:tabs>
          <w:tab w:val="left" w:pos="4962"/>
        </w:tabs>
        <w:contextualSpacing/>
        <w:rPr>
          <w:rFonts w:cs="Adelle Sans Devanagari"/>
          <w:bCs/>
          <w:szCs w:val="22"/>
          <w:lang w:val="es-ES" w:eastAsia="en-US"/>
        </w:rPr>
      </w:pPr>
    </w:p>
    <w:p w14:paraId="01F1DD4F" w14:textId="77777777" w:rsidR="00E625D3" w:rsidRPr="0080245A" w:rsidRDefault="00E625D3" w:rsidP="00FE422A">
      <w:pPr>
        <w:contextualSpacing/>
        <w:rPr>
          <w:rFonts w:cs="Adelle Sans Devanagari"/>
          <w:bCs/>
          <w:iCs/>
          <w:szCs w:val="22"/>
          <w:lang w:eastAsia="es-MX"/>
        </w:rPr>
      </w:pPr>
      <w:r w:rsidRPr="0080245A">
        <w:rPr>
          <w:rFonts w:cs="Adelle Sans Devanagari"/>
          <w:bCs/>
          <w:iCs/>
          <w:szCs w:val="22"/>
          <w:lang w:eastAsia="es-MX"/>
        </w:rPr>
        <w:t xml:space="preserve">Situación que se robustece, con el </w:t>
      </w:r>
      <w:r w:rsidRPr="0080245A">
        <w:rPr>
          <w:rFonts w:eastAsia="Calibri" w:cs="Adelle Sans Devanagari"/>
          <w:bCs/>
          <w:iCs/>
          <w:szCs w:val="22"/>
          <w:lang w:val="es-ES" w:eastAsia="en-US"/>
        </w:rPr>
        <w:t xml:space="preserve">Criterio de Interpretación, de la Segunda Época, con número de registro </w:t>
      </w:r>
      <w:r w:rsidRPr="0080245A">
        <w:rPr>
          <w:rFonts w:eastAsia="Calibri" w:cs="Adelle Sans Devanagari"/>
          <w:bCs/>
          <w:iCs/>
          <w:szCs w:val="22"/>
          <w:lang w:eastAsia="en-US"/>
        </w:rPr>
        <w:t>SO/018/2017</w:t>
      </w:r>
      <w:r w:rsidRPr="0080245A">
        <w:rPr>
          <w:rFonts w:cs="Adelle Sans Devanagari"/>
          <w:bCs/>
          <w:iCs/>
          <w:szCs w:val="22"/>
          <w:lang w:eastAsia="es-MX"/>
        </w:rPr>
        <w:t>, emitido por el Instituto Nacional de Transparencia, Acceso a la Información y Protección de Datos Personales, que establece lo siguiente:</w:t>
      </w:r>
    </w:p>
    <w:p w14:paraId="36C3DEA4" w14:textId="77777777" w:rsidR="00E625D3" w:rsidRPr="0080245A" w:rsidRDefault="00E625D3" w:rsidP="00FE422A">
      <w:pPr>
        <w:contextualSpacing/>
        <w:rPr>
          <w:rFonts w:cs="Adelle Sans Devanagari"/>
          <w:bCs/>
          <w:iCs/>
          <w:szCs w:val="22"/>
          <w:lang w:eastAsia="es-MX"/>
        </w:rPr>
      </w:pPr>
    </w:p>
    <w:p w14:paraId="1341033D" w14:textId="77777777" w:rsidR="00E625D3" w:rsidRPr="0080245A" w:rsidRDefault="00E625D3" w:rsidP="00FE422A">
      <w:pPr>
        <w:pStyle w:val="Puesto"/>
        <w:rPr>
          <w:lang w:eastAsia="es-MX"/>
        </w:rPr>
      </w:pPr>
      <w:r w:rsidRPr="0080245A">
        <w:rPr>
          <w:b/>
          <w:lang w:eastAsia="es-MX"/>
        </w:rPr>
        <w:t xml:space="preserve">“Clave Única de Registro de Población (CURP). </w:t>
      </w:r>
      <w:r w:rsidRPr="0080245A">
        <w:rPr>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025F47B" w14:textId="77777777" w:rsidR="00E625D3" w:rsidRPr="0080245A" w:rsidRDefault="00E625D3" w:rsidP="00FE422A">
      <w:pPr>
        <w:contextualSpacing/>
        <w:rPr>
          <w:rFonts w:cs="Adelle Sans Devanagari"/>
          <w:bCs/>
          <w:i/>
          <w:iCs/>
          <w:szCs w:val="22"/>
          <w:lang w:eastAsia="es-MX"/>
        </w:rPr>
      </w:pPr>
    </w:p>
    <w:p w14:paraId="0B20EACE" w14:textId="77777777" w:rsidR="00E625D3" w:rsidRPr="0080245A" w:rsidRDefault="00E625D3" w:rsidP="00FE422A">
      <w:pPr>
        <w:contextualSpacing/>
        <w:rPr>
          <w:rFonts w:cs="Adelle Sans Devanagari"/>
          <w:bCs/>
          <w:iCs/>
          <w:szCs w:val="22"/>
          <w:lang w:eastAsia="es-MX"/>
        </w:rPr>
      </w:pPr>
      <w:r w:rsidRPr="0080245A">
        <w:rPr>
          <w:rFonts w:cs="Adelle Sans Devanagari"/>
          <w:bCs/>
          <w:iCs/>
          <w:szCs w:val="22"/>
          <w:lang w:eastAsia="es-MX"/>
        </w:rPr>
        <w:t xml:space="preserve">De acuerdo con lo anterior, resulta procedente la clasificación de </w:t>
      </w:r>
      <w:r w:rsidRPr="0080245A">
        <w:rPr>
          <w:rFonts w:cs="Adelle Sans Devanagari"/>
          <w:b/>
          <w:bCs/>
          <w:iCs/>
          <w:szCs w:val="22"/>
          <w:lang w:eastAsia="es-MX"/>
        </w:rPr>
        <w:t>la Clave Única de Registro de Población</w:t>
      </w:r>
      <w:r w:rsidRPr="0080245A">
        <w:rPr>
          <w:rFonts w:cs="Adelle Sans Devanagari"/>
          <w:bCs/>
          <w:iCs/>
          <w:szCs w:val="22"/>
          <w:lang w:eastAsia="es-MX"/>
        </w:rPr>
        <w:t xml:space="preserve">, por tratarse de un dato personal confidencial, en términos del artículo 143, fracción I, de la Ley de Transparencia y Acceso a la Información Pública del Estado de México y Municipios. </w:t>
      </w:r>
    </w:p>
    <w:p w14:paraId="08DC8554" w14:textId="77777777" w:rsidR="00E625D3" w:rsidRPr="0080245A" w:rsidRDefault="00E625D3" w:rsidP="00FE422A">
      <w:pPr>
        <w:tabs>
          <w:tab w:val="left" w:pos="4962"/>
        </w:tabs>
        <w:contextualSpacing/>
        <w:rPr>
          <w:rFonts w:cs="Adelle Sans Devanagari"/>
          <w:bCs/>
          <w:szCs w:val="22"/>
          <w:lang w:val="es-ES" w:eastAsia="en-US"/>
        </w:rPr>
      </w:pPr>
    </w:p>
    <w:p w14:paraId="0EF3AC9A" w14:textId="77777777" w:rsidR="00E625D3" w:rsidRPr="0080245A" w:rsidRDefault="00E625D3" w:rsidP="00FE422A">
      <w:pPr>
        <w:numPr>
          <w:ilvl w:val="0"/>
          <w:numId w:val="20"/>
        </w:numPr>
        <w:contextualSpacing/>
        <w:rPr>
          <w:rFonts w:cs="Adelle Sans Devanagari"/>
          <w:b/>
          <w:bCs/>
          <w:iCs/>
          <w:szCs w:val="22"/>
          <w:lang w:val="es-ES_tradnl" w:eastAsia="es-MX"/>
        </w:rPr>
      </w:pPr>
      <w:r w:rsidRPr="0080245A">
        <w:rPr>
          <w:rFonts w:cs="Adelle Sans Devanagari"/>
          <w:b/>
          <w:bCs/>
          <w:iCs/>
          <w:szCs w:val="22"/>
          <w:lang w:val="es-ES_tradnl" w:eastAsia="es-MX"/>
        </w:rPr>
        <w:t>Registro Federal de Contribuyentes (RFC)</w:t>
      </w:r>
    </w:p>
    <w:p w14:paraId="3531558E" w14:textId="77777777" w:rsidR="00E625D3" w:rsidRPr="0080245A" w:rsidRDefault="00E625D3" w:rsidP="00FE422A">
      <w:pPr>
        <w:contextualSpacing/>
        <w:rPr>
          <w:rFonts w:cs="Adelle Sans Devanagari"/>
          <w:bCs/>
          <w:iCs/>
          <w:szCs w:val="22"/>
          <w:lang w:eastAsia="es-MX"/>
        </w:rPr>
      </w:pPr>
    </w:p>
    <w:p w14:paraId="40ABF89C" w14:textId="77777777" w:rsidR="00E625D3" w:rsidRPr="0080245A" w:rsidRDefault="00E625D3" w:rsidP="00FE422A">
      <w:pPr>
        <w:contextualSpacing/>
        <w:rPr>
          <w:rFonts w:cs="Adelle Sans Devanagari"/>
          <w:bCs/>
          <w:iCs/>
          <w:szCs w:val="22"/>
          <w:lang w:eastAsia="es-MX"/>
        </w:rPr>
      </w:pPr>
      <w:r w:rsidRPr="0080245A">
        <w:rPr>
          <w:rFonts w:cs="Adelle Sans Devanagari"/>
          <w:bCs/>
          <w:iCs/>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06D5237" w14:textId="77777777" w:rsidR="00E625D3" w:rsidRPr="0080245A" w:rsidRDefault="00E625D3" w:rsidP="00FE422A">
      <w:pPr>
        <w:contextualSpacing/>
        <w:rPr>
          <w:rFonts w:cs="Adelle Sans Devanagari"/>
          <w:bCs/>
          <w:iCs/>
          <w:szCs w:val="22"/>
          <w:lang w:eastAsia="es-MX"/>
        </w:rPr>
      </w:pPr>
    </w:p>
    <w:p w14:paraId="1CF7BDC8" w14:textId="77777777" w:rsidR="00E625D3" w:rsidRPr="0080245A" w:rsidRDefault="00E625D3" w:rsidP="00FE422A">
      <w:pPr>
        <w:contextualSpacing/>
        <w:rPr>
          <w:rFonts w:cs="Adelle Sans Devanagari"/>
          <w:bCs/>
          <w:iCs/>
          <w:szCs w:val="22"/>
          <w:lang w:eastAsia="es-MX"/>
        </w:rPr>
      </w:pPr>
      <w:r w:rsidRPr="0080245A">
        <w:rPr>
          <w:rFonts w:cs="Adelle Sans Devanagari"/>
          <w:bCs/>
          <w:iCs/>
          <w:szCs w:val="22"/>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80245A">
        <w:rPr>
          <w:rFonts w:cs="Adelle Sans Devanagari"/>
          <w:bCs/>
          <w:iCs/>
          <w:szCs w:val="22"/>
          <w:lang w:eastAsia="es-MX"/>
        </w:rPr>
        <w:t>homoclave</w:t>
      </w:r>
      <w:proofErr w:type="spellEnd"/>
      <w:r w:rsidRPr="0080245A">
        <w:rPr>
          <w:rFonts w:cs="Adelle Sans Devanagari"/>
          <w:bCs/>
          <w:iCs/>
          <w:szCs w:val="22"/>
          <w:lang w:eastAsia="es-MX"/>
        </w:rPr>
        <w:t xml:space="preserve"> que establece el sistema automático del Servicio de Administración Tributaria.</w:t>
      </w:r>
    </w:p>
    <w:p w14:paraId="6738652A" w14:textId="77777777" w:rsidR="00E625D3" w:rsidRPr="0080245A" w:rsidRDefault="00E625D3" w:rsidP="00FE422A">
      <w:pPr>
        <w:contextualSpacing/>
        <w:rPr>
          <w:rFonts w:cs="Adelle Sans Devanagari"/>
          <w:bCs/>
          <w:iCs/>
          <w:szCs w:val="22"/>
          <w:lang w:eastAsia="es-MX"/>
        </w:rPr>
      </w:pPr>
    </w:p>
    <w:p w14:paraId="798DEF58" w14:textId="77777777" w:rsidR="00E625D3" w:rsidRPr="0080245A" w:rsidRDefault="00E625D3" w:rsidP="00FE422A">
      <w:pPr>
        <w:contextualSpacing/>
        <w:rPr>
          <w:rFonts w:cs="Adelle Sans Devanagari"/>
          <w:bCs/>
          <w:iCs/>
          <w:szCs w:val="22"/>
          <w:lang w:eastAsia="es-MX"/>
        </w:rPr>
      </w:pPr>
      <w:r w:rsidRPr="0080245A">
        <w:rPr>
          <w:rFonts w:cs="Adelle Sans Devanagari"/>
          <w:bCs/>
          <w:iCs/>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524032C" w14:textId="77777777" w:rsidR="00E625D3" w:rsidRPr="0080245A" w:rsidRDefault="00E625D3" w:rsidP="00FE422A">
      <w:pPr>
        <w:contextualSpacing/>
        <w:rPr>
          <w:rFonts w:cs="Adelle Sans Devanagari"/>
          <w:bCs/>
          <w:iCs/>
          <w:szCs w:val="22"/>
          <w:lang w:eastAsia="es-MX"/>
        </w:rPr>
      </w:pPr>
    </w:p>
    <w:p w14:paraId="619A80BB" w14:textId="77777777" w:rsidR="00E625D3" w:rsidRPr="0080245A" w:rsidRDefault="00E625D3" w:rsidP="00FE422A">
      <w:pPr>
        <w:contextualSpacing/>
        <w:rPr>
          <w:rFonts w:cs="Adelle Sans Devanagari"/>
          <w:bCs/>
          <w:iCs/>
          <w:szCs w:val="22"/>
          <w:lang w:eastAsia="es-MX"/>
        </w:rPr>
      </w:pPr>
      <w:r w:rsidRPr="0080245A">
        <w:rPr>
          <w:rFonts w:cs="Adelle Sans Devanagari"/>
          <w:bCs/>
          <w:iCs/>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w:t>
      </w:r>
      <w:r w:rsidRPr="0080245A">
        <w:rPr>
          <w:rFonts w:cs="Adelle Sans Devanagari"/>
          <w:bCs/>
          <w:iCs/>
          <w:szCs w:val="22"/>
          <w:lang w:eastAsia="es-MX"/>
        </w:rPr>
        <w:lastRenderedPageBreak/>
        <w:t xml:space="preserve">involucrada, en el pago de estos, en el presente caso, del pago del Impuesto Sobre el Producto del Trabajo. </w:t>
      </w:r>
    </w:p>
    <w:p w14:paraId="7F49664A" w14:textId="77777777" w:rsidR="00E625D3" w:rsidRPr="0080245A" w:rsidRDefault="00E625D3" w:rsidP="00FE422A">
      <w:pPr>
        <w:contextualSpacing/>
        <w:rPr>
          <w:rFonts w:cs="Adelle Sans Devanagari"/>
          <w:bCs/>
          <w:iCs/>
          <w:szCs w:val="22"/>
          <w:lang w:eastAsia="es-MX"/>
        </w:rPr>
      </w:pPr>
    </w:p>
    <w:p w14:paraId="3DE6155A" w14:textId="77777777" w:rsidR="00E625D3" w:rsidRPr="0080245A" w:rsidRDefault="00E625D3" w:rsidP="00FE422A">
      <w:pPr>
        <w:contextualSpacing/>
        <w:rPr>
          <w:rFonts w:cs="Adelle Sans Devanagari"/>
          <w:bCs/>
          <w:iCs/>
          <w:szCs w:val="22"/>
          <w:lang w:eastAsia="es-MX"/>
        </w:rPr>
      </w:pPr>
      <w:r w:rsidRPr="0080245A">
        <w:rPr>
          <w:rFonts w:cs="Adelle Sans Devanagari"/>
          <w:bCs/>
          <w:iCs/>
          <w:szCs w:val="22"/>
          <w:lang w:eastAsia="es-MX"/>
        </w:rPr>
        <w:t xml:space="preserve">Lo anterior, resulta congruente con el </w:t>
      </w:r>
      <w:r w:rsidRPr="0080245A">
        <w:rPr>
          <w:rFonts w:eastAsia="Calibri" w:cs="Adelle Sans Devanagari"/>
          <w:bCs/>
          <w:iCs/>
          <w:szCs w:val="22"/>
          <w:lang w:val="es-ES" w:eastAsia="en-US"/>
        </w:rPr>
        <w:t xml:space="preserve">Criterio de Interpretación, de la Segunda Época, con número de registro </w:t>
      </w:r>
      <w:r w:rsidRPr="0080245A">
        <w:rPr>
          <w:rFonts w:eastAsia="Calibri" w:cs="Adelle Sans Devanagari"/>
          <w:bCs/>
          <w:iCs/>
          <w:szCs w:val="22"/>
          <w:lang w:eastAsia="en-US"/>
        </w:rPr>
        <w:t xml:space="preserve">SO/019/2017, </w:t>
      </w:r>
      <w:r w:rsidRPr="0080245A">
        <w:rPr>
          <w:rFonts w:cs="Adelle Sans Devanagari"/>
          <w:bCs/>
          <w:iCs/>
          <w:szCs w:val="22"/>
          <w:lang w:eastAsia="es-MX"/>
        </w:rPr>
        <w:t>emitido por el Instituto Nacional de Transparencia, Acceso a la Información y Protección de Datos Personales, en el cual se señala lo siguiente:</w:t>
      </w:r>
    </w:p>
    <w:p w14:paraId="3ECDE9E6" w14:textId="77777777" w:rsidR="00E625D3" w:rsidRPr="0080245A" w:rsidRDefault="00E625D3" w:rsidP="00FE422A">
      <w:pPr>
        <w:contextualSpacing/>
        <w:rPr>
          <w:rFonts w:cs="Adelle Sans Devanagari"/>
          <w:bCs/>
          <w:iCs/>
          <w:szCs w:val="22"/>
          <w:lang w:eastAsia="es-MX"/>
        </w:rPr>
      </w:pPr>
    </w:p>
    <w:p w14:paraId="7C92EBFA" w14:textId="77777777" w:rsidR="00E625D3" w:rsidRPr="0080245A" w:rsidRDefault="00E625D3" w:rsidP="00FE422A">
      <w:pPr>
        <w:pStyle w:val="Puesto"/>
        <w:rPr>
          <w:lang w:eastAsia="es-MX"/>
        </w:rPr>
      </w:pPr>
      <w:r w:rsidRPr="0080245A">
        <w:rPr>
          <w:b/>
          <w:lang w:eastAsia="es-MX"/>
        </w:rPr>
        <w:t>“Registro Federal de Contribuyentes (RFC) de personas físicas.</w:t>
      </w:r>
      <w:r w:rsidRPr="0080245A">
        <w:rPr>
          <w:lang w:eastAsia="es-MX"/>
        </w:rPr>
        <w:t xml:space="preserve"> El RFC es una clave de carácter fiscal, única e irrepetible, que permite identificar al titular, su edad y fecha de nacimiento, por lo que es un dato personal de carácter confidencial.”</w:t>
      </w:r>
    </w:p>
    <w:p w14:paraId="2B73C457" w14:textId="77777777" w:rsidR="00E625D3" w:rsidRPr="0080245A" w:rsidRDefault="00E625D3" w:rsidP="00FE422A">
      <w:pPr>
        <w:contextualSpacing/>
        <w:rPr>
          <w:rFonts w:cs="Adelle Sans Devanagari"/>
          <w:bCs/>
          <w:iCs/>
          <w:szCs w:val="22"/>
          <w:lang w:eastAsia="es-MX"/>
        </w:rPr>
      </w:pPr>
    </w:p>
    <w:p w14:paraId="13401473" w14:textId="77777777" w:rsidR="00E625D3" w:rsidRPr="0080245A" w:rsidRDefault="00E625D3" w:rsidP="00FE422A">
      <w:pPr>
        <w:contextualSpacing/>
        <w:rPr>
          <w:rFonts w:cs="Adelle Sans Devanagari"/>
          <w:bCs/>
          <w:iCs/>
          <w:szCs w:val="22"/>
          <w:lang w:eastAsia="es-MX"/>
        </w:rPr>
      </w:pPr>
      <w:r w:rsidRPr="0080245A">
        <w:rPr>
          <w:rFonts w:cs="Adelle Sans Devanagari"/>
          <w:bCs/>
          <w:iCs/>
          <w:szCs w:val="22"/>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80245A">
        <w:rPr>
          <w:rFonts w:cs="Adelle Sans Devanagari"/>
          <w:b/>
          <w:iCs/>
          <w:szCs w:val="22"/>
          <w:lang w:eastAsia="es-MX"/>
        </w:rPr>
        <w:t xml:space="preserve"> </w:t>
      </w:r>
    </w:p>
    <w:p w14:paraId="1C5D4743" w14:textId="77777777" w:rsidR="00E625D3" w:rsidRPr="0080245A" w:rsidRDefault="00E625D3" w:rsidP="00FE422A">
      <w:pPr>
        <w:contextualSpacing/>
        <w:rPr>
          <w:rFonts w:cs="Adelle Sans Devanagari"/>
          <w:bCs/>
          <w:iCs/>
          <w:szCs w:val="22"/>
          <w:lang w:eastAsia="es-MX"/>
        </w:rPr>
      </w:pPr>
    </w:p>
    <w:p w14:paraId="418393C1" w14:textId="77777777" w:rsidR="00E625D3" w:rsidRPr="0080245A" w:rsidRDefault="00E625D3" w:rsidP="00FE422A">
      <w:pPr>
        <w:numPr>
          <w:ilvl w:val="0"/>
          <w:numId w:val="17"/>
        </w:numPr>
        <w:contextualSpacing/>
        <w:rPr>
          <w:rFonts w:eastAsia="Calibri" w:cs="Adelle Sans Devanagari"/>
          <w:b/>
          <w:bCs/>
          <w:iCs/>
          <w:szCs w:val="22"/>
          <w:lang w:eastAsia="en-US"/>
        </w:rPr>
      </w:pPr>
      <w:r w:rsidRPr="0080245A">
        <w:rPr>
          <w:rFonts w:eastAsia="Calibri" w:cs="Adelle Sans Devanagari"/>
          <w:b/>
          <w:bCs/>
          <w:iCs/>
          <w:szCs w:val="22"/>
          <w:lang w:eastAsia="en-US"/>
        </w:rPr>
        <w:t xml:space="preserve">Código bidimensional o </w:t>
      </w:r>
      <w:proofErr w:type="spellStart"/>
      <w:r w:rsidRPr="0080245A">
        <w:rPr>
          <w:rFonts w:eastAsia="Calibri" w:cs="Adelle Sans Devanagari"/>
          <w:b/>
          <w:bCs/>
          <w:iCs/>
          <w:szCs w:val="22"/>
          <w:lang w:eastAsia="en-US"/>
        </w:rPr>
        <w:t>Qr</w:t>
      </w:r>
      <w:proofErr w:type="spellEnd"/>
    </w:p>
    <w:p w14:paraId="6FC838B7" w14:textId="77777777" w:rsidR="00E625D3" w:rsidRPr="0080245A" w:rsidRDefault="00E625D3" w:rsidP="00FE422A">
      <w:pPr>
        <w:contextualSpacing/>
        <w:rPr>
          <w:rFonts w:eastAsia="Calibri" w:cs="Adelle Sans Devanagari"/>
          <w:b/>
          <w:bCs/>
          <w:iCs/>
          <w:szCs w:val="22"/>
          <w:lang w:eastAsia="en-US"/>
        </w:rPr>
      </w:pPr>
    </w:p>
    <w:p w14:paraId="6F34AA01" w14:textId="77777777" w:rsidR="00E625D3" w:rsidRPr="0080245A" w:rsidRDefault="00E625D3" w:rsidP="00FE422A">
      <w:pPr>
        <w:contextualSpacing/>
        <w:rPr>
          <w:rFonts w:eastAsia="Calibri" w:cs="Adelle Sans Devanagari"/>
          <w:bCs/>
          <w:szCs w:val="22"/>
          <w:lang w:eastAsia="en-US"/>
        </w:rPr>
      </w:pPr>
      <w:r w:rsidRPr="0080245A">
        <w:rPr>
          <w:rFonts w:eastAsia="Calibri" w:cs="Adelle Sans Devanagari"/>
          <w:bCs/>
          <w:szCs w:val="22"/>
          <w:lang w:eastAsia="en-US"/>
        </w:rPr>
        <w:t xml:space="preserve">En principio, resulta necesario señalar que los comprobantes fiscales digitales por Internet, deben de incluir un código bidimensional conforme al formato </w:t>
      </w:r>
      <w:r w:rsidRPr="0080245A">
        <w:rPr>
          <w:rFonts w:eastAsia="Calibri" w:cs="Adelle Sans Devanagari"/>
          <w:bCs/>
          <w:i/>
          <w:szCs w:val="22"/>
          <w:lang w:eastAsia="en-US"/>
        </w:rPr>
        <w:t xml:space="preserve">QR </w:t>
      </w:r>
      <w:proofErr w:type="spellStart"/>
      <w:r w:rsidRPr="0080245A">
        <w:rPr>
          <w:rFonts w:eastAsia="Calibri" w:cs="Adelle Sans Devanagari"/>
          <w:bCs/>
          <w:i/>
          <w:szCs w:val="22"/>
          <w:lang w:eastAsia="en-US"/>
        </w:rPr>
        <w:t>Code</w:t>
      </w:r>
      <w:proofErr w:type="spellEnd"/>
      <w:r w:rsidRPr="0080245A">
        <w:rPr>
          <w:rFonts w:eastAsia="Calibri" w:cs="Adelle Sans Devanagari"/>
          <w:bCs/>
          <w:i/>
          <w:szCs w:val="22"/>
          <w:lang w:eastAsia="en-US"/>
        </w:rPr>
        <w:t xml:space="preserve"> (Quick Response </w:t>
      </w:r>
      <w:proofErr w:type="spellStart"/>
      <w:r w:rsidRPr="0080245A">
        <w:rPr>
          <w:rFonts w:eastAsia="Calibri" w:cs="Adelle Sans Devanagari"/>
          <w:bCs/>
          <w:i/>
          <w:szCs w:val="22"/>
          <w:lang w:eastAsia="en-US"/>
        </w:rPr>
        <w:t>Code</w:t>
      </w:r>
      <w:proofErr w:type="spellEnd"/>
      <w:r w:rsidRPr="0080245A">
        <w:rPr>
          <w:rFonts w:eastAsia="Calibri" w:cs="Adelle Sans Devanagari"/>
          <w:bCs/>
          <w:i/>
          <w:szCs w:val="22"/>
          <w:lang w:eastAsia="en-US"/>
        </w:rPr>
        <w:t>)</w:t>
      </w:r>
      <w:r w:rsidRPr="0080245A">
        <w:rPr>
          <w:rFonts w:eastAsia="Calibri" w:cs="Adelle Sans Devanagari"/>
          <w:bCs/>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20" w:history="1">
        <w:r w:rsidRPr="0080245A">
          <w:rPr>
            <w:rFonts w:eastAsia="Calibri" w:cs="Adelle Sans Devanagari"/>
            <w:bCs/>
            <w:szCs w:val="22"/>
            <w:u w:val="single"/>
            <w:lang w:eastAsia="en-US"/>
          </w:rPr>
          <w:t>http://dof.gob.mx/nota_detalle.php?codigo=5492254&amp;fecha=28/07/2017</w:t>
        </w:r>
      </w:hyperlink>
      <w:r w:rsidRPr="0080245A">
        <w:rPr>
          <w:rFonts w:eastAsia="Calibri" w:cs="Adelle Sans Devanagari"/>
          <w:bCs/>
          <w:szCs w:val="22"/>
          <w:lang w:eastAsia="en-US"/>
        </w:rPr>
        <w:t xml:space="preserve">. Incluso con la captura de dicho código, a través de la aplicación móvil del Servicio de Administración </w:t>
      </w:r>
      <w:r w:rsidRPr="0080245A">
        <w:rPr>
          <w:rFonts w:eastAsia="Calibri" w:cs="Adelle Sans Devanagari"/>
          <w:bCs/>
          <w:szCs w:val="22"/>
          <w:lang w:eastAsia="en-US"/>
        </w:rPr>
        <w:lastRenderedPageBreak/>
        <w:t>Tributaria, permite el acceso al Registro Federal de Contribuyentes, como del Sujeto Obligado, como de los servidores públicos.</w:t>
      </w:r>
    </w:p>
    <w:p w14:paraId="526AED5C" w14:textId="77777777" w:rsidR="00E625D3" w:rsidRPr="0080245A" w:rsidRDefault="00E625D3" w:rsidP="00FE422A">
      <w:pPr>
        <w:contextualSpacing/>
        <w:rPr>
          <w:rFonts w:eastAsia="Calibri" w:cs="Adelle Sans Devanagari"/>
          <w:bCs/>
          <w:szCs w:val="22"/>
          <w:lang w:eastAsia="en-US"/>
        </w:rPr>
      </w:pPr>
    </w:p>
    <w:p w14:paraId="6B20CC25" w14:textId="77777777" w:rsidR="00E625D3" w:rsidRPr="0080245A" w:rsidRDefault="00E625D3" w:rsidP="00FE422A">
      <w:pPr>
        <w:contextualSpacing/>
        <w:rPr>
          <w:rFonts w:eastAsia="Calibri" w:cs="Adelle Sans Devanagari"/>
          <w:bCs/>
          <w:szCs w:val="22"/>
          <w:lang w:eastAsia="en-US"/>
        </w:rPr>
      </w:pPr>
      <w:r w:rsidRPr="0080245A">
        <w:rPr>
          <w:rFonts w:eastAsia="Calibri" w:cs="Adelle Sans Devanagari"/>
          <w:bCs/>
          <w:szCs w:val="22"/>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64448C98" w14:textId="77777777" w:rsidR="00E625D3" w:rsidRPr="0080245A" w:rsidRDefault="00E625D3" w:rsidP="00FE422A">
      <w:pPr>
        <w:contextualSpacing/>
        <w:rPr>
          <w:rFonts w:eastAsia="Calibri" w:cs="Adelle Sans Devanagari"/>
          <w:bCs/>
          <w:szCs w:val="22"/>
          <w:lang w:eastAsia="en-US"/>
        </w:rPr>
      </w:pPr>
    </w:p>
    <w:p w14:paraId="34D28573" w14:textId="77777777" w:rsidR="00E625D3" w:rsidRPr="0080245A" w:rsidRDefault="00E625D3" w:rsidP="00FE422A">
      <w:pPr>
        <w:numPr>
          <w:ilvl w:val="0"/>
          <w:numId w:val="17"/>
        </w:numPr>
        <w:contextualSpacing/>
        <w:rPr>
          <w:rFonts w:cs="Adelle Sans Devanagari"/>
          <w:b/>
          <w:bCs/>
          <w:iCs/>
          <w:szCs w:val="22"/>
          <w:lang w:eastAsia="es-MX"/>
        </w:rPr>
      </w:pPr>
      <w:r w:rsidRPr="0080245A">
        <w:rPr>
          <w:rFonts w:cs="Adelle Sans Devanagari"/>
          <w:b/>
          <w:bCs/>
          <w:iCs/>
          <w:szCs w:val="22"/>
          <w:lang w:eastAsia="es-MX"/>
        </w:rPr>
        <w:t>Número de seguridad social del Instituto de Seguridad Social del Estado de México y Municipios.</w:t>
      </w:r>
    </w:p>
    <w:p w14:paraId="0B566BA4" w14:textId="77777777" w:rsidR="00E625D3" w:rsidRPr="0080245A" w:rsidRDefault="00E625D3" w:rsidP="00FE422A">
      <w:pPr>
        <w:contextualSpacing/>
        <w:rPr>
          <w:rFonts w:cs="Adelle Sans Devanagari"/>
          <w:b/>
          <w:bCs/>
          <w:iCs/>
          <w:szCs w:val="22"/>
          <w:lang w:eastAsia="es-MX"/>
        </w:rPr>
      </w:pPr>
    </w:p>
    <w:p w14:paraId="0D6C2469" w14:textId="77777777" w:rsidR="00E625D3" w:rsidRPr="0080245A" w:rsidRDefault="00E625D3" w:rsidP="00FE422A">
      <w:pPr>
        <w:contextualSpacing/>
        <w:rPr>
          <w:rFonts w:cs="Adelle Sans Devanagari"/>
          <w:bCs/>
          <w:iCs/>
          <w:szCs w:val="22"/>
          <w:lang w:eastAsia="es-MX"/>
        </w:rPr>
      </w:pPr>
      <w:r w:rsidRPr="0080245A">
        <w:rPr>
          <w:rFonts w:cs="Adelle Sans Devanagari"/>
          <w:bCs/>
          <w:iCs/>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8BD7B9B" w14:textId="77777777" w:rsidR="00E625D3" w:rsidRPr="0080245A" w:rsidRDefault="00E625D3" w:rsidP="00FE422A">
      <w:pPr>
        <w:contextualSpacing/>
        <w:rPr>
          <w:rFonts w:cs="Adelle Sans Devanagari"/>
          <w:bCs/>
          <w:iCs/>
          <w:szCs w:val="22"/>
          <w:lang w:eastAsia="es-MX"/>
        </w:rPr>
      </w:pPr>
    </w:p>
    <w:p w14:paraId="683BAA45" w14:textId="77777777" w:rsidR="00E625D3" w:rsidRPr="0080245A" w:rsidRDefault="00E625D3" w:rsidP="00FE422A">
      <w:pPr>
        <w:contextualSpacing/>
        <w:rPr>
          <w:rFonts w:cs="Adelle Sans Devanagari"/>
          <w:bCs/>
          <w:iCs/>
          <w:szCs w:val="22"/>
          <w:lang w:eastAsia="es-MX"/>
        </w:rPr>
      </w:pPr>
      <w:r w:rsidRPr="0080245A">
        <w:rPr>
          <w:rFonts w:cs="Adelle Sans Devanagari"/>
          <w:bCs/>
          <w:iCs/>
          <w:szCs w:val="22"/>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80245A">
        <w:rPr>
          <w:rFonts w:cs="Adelle Sans Devanagari"/>
          <w:b/>
          <w:bCs/>
          <w:iCs/>
          <w:szCs w:val="22"/>
          <w:lang w:eastAsia="es-MX"/>
        </w:rPr>
        <w:t xml:space="preserve">y se le asigna una clave para hacer identificable al trabajador con </w:t>
      </w:r>
      <w:r w:rsidRPr="0080245A">
        <w:rPr>
          <w:rFonts w:cs="Adelle Sans Devanagari"/>
          <w:b/>
          <w:bCs/>
          <w:iCs/>
          <w:szCs w:val="22"/>
          <w:lang w:eastAsia="es-MX"/>
        </w:rPr>
        <w:lastRenderedPageBreak/>
        <w:t>el objetivo de poder proporcionar los servicios que brinda el Instituto de Seguridad Social del Estado de México y Municipios.</w:t>
      </w:r>
    </w:p>
    <w:p w14:paraId="54000569" w14:textId="77777777" w:rsidR="00E625D3" w:rsidRPr="0080245A" w:rsidRDefault="00E625D3" w:rsidP="00FE422A">
      <w:pPr>
        <w:contextualSpacing/>
        <w:rPr>
          <w:rFonts w:cs="Adelle Sans Devanagari"/>
          <w:bCs/>
          <w:iCs/>
          <w:szCs w:val="22"/>
          <w:lang w:eastAsia="es-MX"/>
        </w:rPr>
      </w:pPr>
    </w:p>
    <w:p w14:paraId="1FDC8003" w14:textId="77777777" w:rsidR="00E625D3" w:rsidRPr="0080245A" w:rsidRDefault="00E625D3" w:rsidP="00FE422A">
      <w:pPr>
        <w:contextualSpacing/>
        <w:rPr>
          <w:rFonts w:cs="Adelle Sans Devanagari"/>
          <w:bCs/>
          <w:iCs/>
          <w:szCs w:val="22"/>
          <w:lang w:eastAsia="es-MX"/>
        </w:rPr>
      </w:pPr>
      <w:r w:rsidRPr="0080245A">
        <w:rPr>
          <w:rFonts w:cs="Adelle Sans Devanagari"/>
          <w:bCs/>
          <w:iCs/>
          <w:szCs w:val="22"/>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927B806" w14:textId="77777777" w:rsidR="00E625D3" w:rsidRPr="0080245A" w:rsidRDefault="00E625D3" w:rsidP="00FE422A">
      <w:pPr>
        <w:contextualSpacing/>
        <w:rPr>
          <w:rFonts w:cs="Adelle Sans Devanagari"/>
          <w:bCs/>
          <w:iCs/>
          <w:szCs w:val="22"/>
          <w:lang w:eastAsia="es-MX"/>
        </w:rPr>
      </w:pPr>
    </w:p>
    <w:p w14:paraId="33CB9C37" w14:textId="77777777" w:rsidR="00E625D3" w:rsidRPr="0080245A" w:rsidRDefault="00E625D3" w:rsidP="00FE422A">
      <w:pPr>
        <w:contextualSpacing/>
        <w:rPr>
          <w:rFonts w:cs="Adelle Sans Devanagari"/>
          <w:b/>
          <w:iCs/>
          <w:szCs w:val="22"/>
          <w:lang w:eastAsia="es-MX"/>
        </w:rPr>
      </w:pPr>
      <w:r w:rsidRPr="0080245A">
        <w:rPr>
          <w:rFonts w:cs="Adelle Sans Devanagari"/>
          <w:bCs/>
          <w:iCs/>
          <w:szCs w:val="22"/>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2534C23F" w14:textId="77777777" w:rsidR="00E625D3" w:rsidRPr="0080245A" w:rsidRDefault="00E625D3" w:rsidP="00FE422A">
      <w:pPr>
        <w:contextualSpacing/>
        <w:rPr>
          <w:rFonts w:eastAsia="Calibri" w:cs="Adelle Sans Devanagari"/>
          <w:b/>
          <w:bCs/>
          <w:szCs w:val="22"/>
          <w:lang w:eastAsia="en-US"/>
        </w:rPr>
      </w:pPr>
    </w:p>
    <w:p w14:paraId="740CC3AD" w14:textId="77777777" w:rsidR="00E625D3" w:rsidRPr="0080245A" w:rsidRDefault="00E625D3" w:rsidP="00FE422A">
      <w:pPr>
        <w:numPr>
          <w:ilvl w:val="0"/>
          <w:numId w:val="22"/>
        </w:numPr>
        <w:contextualSpacing/>
        <w:rPr>
          <w:rFonts w:eastAsia="Calibri" w:cs="Adelle Sans Devanagari"/>
          <w:b/>
          <w:bCs/>
          <w:szCs w:val="22"/>
          <w:lang w:eastAsia="en-US"/>
        </w:rPr>
      </w:pPr>
      <w:r w:rsidRPr="0080245A">
        <w:rPr>
          <w:rFonts w:eastAsia="Calibri" w:cs="Adelle Sans Devanagari"/>
          <w:b/>
          <w:bCs/>
          <w:szCs w:val="22"/>
          <w:lang w:eastAsia="en-US"/>
        </w:rPr>
        <w:t>Descuentos personales</w:t>
      </w:r>
    </w:p>
    <w:p w14:paraId="28BBA70E" w14:textId="77777777" w:rsidR="00E625D3" w:rsidRPr="0080245A" w:rsidRDefault="00E625D3" w:rsidP="00FE422A">
      <w:pPr>
        <w:contextualSpacing/>
        <w:rPr>
          <w:rFonts w:eastAsia="Calibri" w:cs="Adelle Sans Devanagari"/>
          <w:b/>
          <w:bCs/>
          <w:szCs w:val="22"/>
          <w:lang w:eastAsia="en-US"/>
        </w:rPr>
      </w:pPr>
    </w:p>
    <w:p w14:paraId="42048A72" w14:textId="77777777" w:rsidR="00E625D3" w:rsidRPr="0080245A" w:rsidRDefault="00E625D3" w:rsidP="00FE422A">
      <w:pPr>
        <w:contextualSpacing/>
        <w:rPr>
          <w:rFonts w:eastAsia="Calibri" w:cs="Adelle Sans Devanagari"/>
          <w:szCs w:val="22"/>
          <w:lang w:eastAsia="en-US"/>
        </w:rPr>
      </w:pPr>
      <w:r w:rsidRPr="0080245A">
        <w:rPr>
          <w:rFonts w:eastAsia="Calibri" w:cs="Adelle Sans Devanagari"/>
          <w:szCs w:val="22"/>
          <w:lang w:eastAsia="en-US"/>
        </w:rPr>
        <w:t>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Poderes, Municipios e Institución Descentralizadas del Estado de México, seguro de vida, accidentes y enfermedades.</w:t>
      </w:r>
    </w:p>
    <w:p w14:paraId="43400065" w14:textId="77777777" w:rsidR="00E625D3" w:rsidRPr="0080245A" w:rsidRDefault="00E625D3" w:rsidP="00FE422A">
      <w:pPr>
        <w:contextualSpacing/>
        <w:rPr>
          <w:rFonts w:eastAsia="Calibri" w:cs="Adelle Sans Devanagari"/>
          <w:szCs w:val="22"/>
          <w:lang w:eastAsia="en-US"/>
        </w:rPr>
      </w:pPr>
    </w:p>
    <w:p w14:paraId="095BF963" w14:textId="77777777" w:rsidR="00E625D3" w:rsidRPr="0080245A" w:rsidRDefault="00E625D3" w:rsidP="00FE422A">
      <w:pPr>
        <w:contextualSpacing/>
        <w:rPr>
          <w:rFonts w:eastAsia="Calibri" w:cs="Adelle Sans Devanagari"/>
          <w:szCs w:val="22"/>
          <w:lang w:eastAsia="en-US"/>
        </w:rPr>
      </w:pPr>
      <w:r w:rsidRPr="0080245A">
        <w:rPr>
          <w:rFonts w:eastAsia="Calibri" w:cs="Adelle Sans Devanagari"/>
          <w:szCs w:val="22"/>
          <w:lang w:eastAsia="en-US"/>
        </w:rPr>
        <w:lastRenderedPageBreak/>
        <w:t>Asimismo, hay otras que se generan con motivo de una sentencia judicial, como es la pensión alimenticia que periódicamente se retira de la cuenta de un empleado, a efecto de que sea entregado a un tercero.  </w:t>
      </w:r>
    </w:p>
    <w:p w14:paraId="287B0483" w14:textId="77777777" w:rsidR="00E625D3" w:rsidRPr="0080245A" w:rsidRDefault="00E625D3" w:rsidP="00FE422A">
      <w:pPr>
        <w:contextualSpacing/>
        <w:rPr>
          <w:rFonts w:eastAsia="Calibri" w:cs="Adelle Sans Devanagari"/>
          <w:szCs w:val="22"/>
          <w:lang w:eastAsia="en-US"/>
        </w:rPr>
      </w:pPr>
    </w:p>
    <w:p w14:paraId="1268DC40" w14:textId="77777777" w:rsidR="00E625D3" w:rsidRPr="0080245A" w:rsidRDefault="00E625D3" w:rsidP="00FE422A">
      <w:pPr>
        <w:contextualSpacing/>
        <w:rPr>
          <w:rFonts w:eastAsia="Calibri" w:cs="Adelle Sans Devanagari"/>
          <w:szCs w:val="22"/>
          <w:lang w:eastAsia="en-US"/>
        </w:rPr>
      </w:pPr>
      <w:r w:rsidRPr="0080245A">
        <w:rPr>
          <w:rFonts w:eastAsia="Calibri" w:cs="Adelle Sans Devanagari"/>
          <w:szCs w:val="22"/>
          <w:lang w:eastAsia="en-US"/>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BD641BD" w14:textId="77777777" w:rsidR="00E625D3" w:rsidRPr="0080245A" w:rsidRDefault="00E625D3" w:rsidP="00FE422A">
      <w:pPr>
        <w:contextualSpacing/>
        <w:rPr>
          <w:rFonts w:eastAsia="Calibri" w:cs="Adelle Sans Devanagari"/>
          <w:szCs w:val="22"/>
          <w:lang w:eastAsia="en-US"/>
        </w:rPr>
      </w:pPr>
    </w:p>
    <w:p w14:paraId="45A4DC3B" w14:textId="77777777" w:rsidR="00E625D3" w:rsidRPr="0080245A" w:rsidRDefault="00E625D3" w:rsidP="00FE422A">
      <w:pPr>
        <w:contextualSpacing/>
        <w:rPr>
          <w:rFonts w:eastAsia="Calibri" w:cs="Adelle Sans Devanagari"/>
          <w:b/>
          <w:bCs/>
          <w:szCs w:val="22"/>
          <w:lang w:eastAsia="en-US"/>
        </w:rPr>
      </w:pPr>
      <w:r w:rsidRPr="0080245A">
        <w:rPr>
          <w:rFonts w:eastAsia="Calibri" w:cs="Adelle Sans Devanagari"/>
          <w:szCs w:val="22"/>
          <w:lang w:eastAsia="en-US"/>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cuotas sindicales y los fondos de resistencia, de mutualidad y de ahorro del Sindicato Único de Trabajadores de los Poderes, Municipios e Institución Descentralizadas del Estado de México.</w:t>
      </w:r>
    </w:p>
    <w:p w14:paraId="60A1A4D7" w14:textId="77777777" w:rsidR="00E625D3" w:rsidRPr="0080245A" w:rsidRDefault="00E625D3" w:rsidP="00FE422A">
      <w:pPr>
        <w:contextualSpacing/>
        <w:rPr>
          <w:rFonts w:eastAsia="Calibri" w:cs="Adelle Sans Devanagari"/>
          <w:b/>
          <w:bCs/>
          <w:szCs w:val="22"/>
          <w:lang w:eastAsia="en-US"/>
        </w:rPr>
      </w:pPr>
    </w:p>
    <w:p w14:paraId="343DAB0A" w14:textId="77777777" w:rsidR="00E625D3" w:rsidRPr="0080245A" w:rsidRDefault="00E625D3" w:rsidP="00FE422A">
      <w:pPr>
        <w:numPr>
          <w:ilvl w:val="0"/>
          <w:numId w:val="17"/>
        </w:numPr>
        <w:spacing w:after="160"/>
        <w:contextualSpacing/>
        <w:rPr>
          <w:rFonts w:cs="Adelle Sans Devanagari"/>
          <w:bCs/>
          <w:szCs w:val="22"/>
        </w:rPr>
      </w:pPr>
      <w:r w:rsidRPr="0080245A">
        <w:rPr>
          <w:rFonts w:cs="Adelle Sans Devanagari"/>
          <w:b/>
          <w:bCs/>
          <w:szCs w:val="24"/>
        </w:rPr>
        <w:t>Sellos digitales del emisor y del Servicio de Administración Tributaria y cadena original del complemento de certificación digital del órgano previamente señalado</w:t>
      </w:r>
    </w:p>
    <w:p w14:paraId="3CD77DCB" w14:textId="77777777" w:rsidR="00E625D3" w:rsidRPr="0080245A" w:rsidRDefault="00E625D3" w:rsidP="00FE422A">
      <w:pPr>
        <w:ind w:left="720"/>
        <w:contextualSpacing/>
        <w:rPr>
          <w:rFonts w:cs="Adelle Sans Devanagari"/>
          <w:bCs/>
          <w:szCs w:val="22"/>
        </w:rPr>
      </w:pPr>
    </w:p>
    <w:p w14:paraId="3201A273" w14:textId="77777777" w:rsidR="00E625D3" w:rsidRPr="0080245A" w:rsidRDefault="00E625D3" w:rsidP="00FE422A">
      <w:pPr>
        <w:rPr>
          <w:rFonts w:cs="Adelle Sans Devanagari"/>
          <w:bCs/>
          <w:szCs w:val="22"/>
          <w:lang w:val="es-ES"/>
        </w:rPr>
      </w:pPr>
      <w:r w:rsidRPr="0080245A">
        <w:rPr>
          <w:rFonts w:cs="Adelle Sans Devanagari"/>
          <w:bCs/>
          <w:szCs w:val="22"/>
          <w:lang w:val="es-ES"/>
        </w:rPr>
        <w:t xml:space="preserve">Cuando, de la secuencia de números y letras, no se advierta un Registro Federal de Contribuyentes o una Clave Única de Registro de Población, que pueda hacer identificable al </w:t>
      </w:r>
      <w:r w:rsidRPr="0080245A">
        <w:rPr>
          <w:rFonts w:cs="Adelle Sans Devanagari"/>
          <w:bCs/>
          <w:szCs w:val="22"/>
          <w:lang w:val="es-ES"/>
        </w:rPr>
        <w:lastRenderedPageBreak/>
        <w:t>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03C1D71E" w14:textId="77777777" w:rsidR="00E625D3" w:rsidRPr="0080245A" w:rsidRDefault="00E625D3" w:rsidP="00FE422A">
      <w:pPr>
        <w:rPr>
          <w:rFonts w:cs="Adelle Sans Devanagari"/>
          <w:bCs/>
          <w:szCs w:val="22"/>
          <w:lang w:val="es-ES"/>
        </w:rPr>
      </w:pPr>
    </w:p>
    <w:p w14:paraId="3E665C5C" w14:textId="77777777" w:rsidR="00E625D3" w:rsidRPr="0080245A" w:rsidRDefault="00E625D3" w:rsidP="00FE422A">
      <w:pPr>
        <w:rPr>
          <w:rFonts w:cs="Adelle Sans Devanagari"/>
          <w:bCs/>
          <w:szCs w:val="22"/>
          <w:lang w:val="es-ES"/>
        </w:rPr>
      </w:pPr>
      <w:r w:rsidRPr="0080245A">
        <w:rPr>
          <w:rFonts w:cs="Adelle Sans Devanagari"/>
          <w:bCs/>
          <w:szCs w:val="22"/>
          <w:lang w:val="es-ES"/>
        </w:rPr>
        <w:t> </w:t>
      </w:r>
      <w:r w:rsidRPr="0080245A">
        <w:rPr>
          <w:rFonts w:cs="Adelle Sans Devanagari"/>
          <w:szCs w:val="22"/>
          <w:lang w:val="es-ES"/>
        </w:rPr>
        <w:t>Las cadenas originales y sellos que se agregan a las facturas</w:t>
      </w:r>
      <w:r w:rsidRPr="0080245A">
        <w:rPr>
          <w:rFonts w:cs="Adelle Sans Devanagari"/>
          <w:b/>
          <w:bCs/>
          <w:szCs w:val="22"/>
          <w:lang w:val="es-ES"/>
        </w:rPr>
        <w:t>,</w:t>
      </w:r>
      <w:r w:rsidRPr="0080245A">
        <w:rPr>
          <w:rFonts w:cs="Adelle Sans Devanagari"/>
          <w:bCs/>
          <w:szCs w:val="22"/>
          <w:lang w:val="es-ES"/>
        </w:rPr>
        <w:t xml:space="preserve"> tienen una secuencia de generación, determinados con base en el ANEXO 20 de la Segunda Resolución de modificaciones a la Resolución Miscelánea Fiscal para dos mil veintitrés, publicada en el Diario Oficial de la Federación el dieciocho de julio de dos mil diecisiete, que precisa los datos de los que se componen los elementos de seguridad y se puntualiza que dicha información está encriptada. </w:t>
      </w:r>
    </w:p>
    <w:p w14:paraId="118C8631" w14:textId="77777777" w:rsidR="005B08E6" w:rsidRPr="0080245A" w:rsidRDefault="005B08E6" w:rsidP="00FE422A">
      <w:pPr>
        <w:rPr>
          <w:rFonts w:cs="Adelle Sans Devanagari"/>
          <w:bCs/>
          <w:szCs w:val="22"/>
          <w:lang w:val="es-ES"/>
        </w:rPr>
      </w:pPr>
    </w:p>
    <w:p w14:paraId="77F213AE" w14:textId="77777777" w:rsidR="00E625D3" w:rsidRPr="0080245A" w:rsidRDefault="00E625D3" w:rsidP="00FE422A">
      <w:pPr>
        <w:pStyle w:val="Puesto"/>
        <w:rPr>
          <w:rFonts w:eastAsia="Calibri"/>
          <w:lang w:val="es-ES" w:eastAsia="en-US"/>
        </w:rPr>
      </w:pPr>
      <w:r w:rsidRPr="0080245A">
        <w:rPr>
          <w:rFonts w:eastAsia="Calibri"/>
          <w:lang w:val="es-ES" w:eastAsia="en-US"/>
        </w:rPr>
        <w:t>“…</w:t>
      </w:r>
    </w:p>
    <w:p w14:paraId="1CE9E762" w14:textId="77777777" w:rsidR="00E625D3" w:rsidRPr="0080245A" w:rsidRDefault="00E625D3" w:rsidP="00FE422A">
      <w:pPr>
        <w:pStyle w:val="Puesto"/>
        <w:rPr>
          <w:rFonts w:eastAsia="Calibri"/>
          <w:lang w:val="es-ES" w:eastAsia="en-US"/>
        </w:rPr>
      </w:pPr>
      <w:r w:rsidRPr="0080245A">
        <w:rPr>
          <w:rFonts w:eastAsia="Calibri"/>
          <w:lang w:val="es-ES" w:eastAsia="en-US"/>
        </w:rPr>
        <w:t>Elementos utilizados en la generación de Sellos Digitales:</w:t>
      </w:r>
    </w:p>
    <w:p w14:paraId="545E671A" w14:textId="77777777" w:rsidR="00E625D3" w:rsidRPr="0080245A" w:rsidRDefault="00E625D3" w:rsidP="00FE422A">
      <w:pPr>
        <w:pStyle w:val="Puesto"/>
        <w:rPr>
          <w:rFonts w:eastAsia="Calibri"/>
          <w:lang w:val="es-ES" w:eastAsia="en-US"/>
        </w:rPr>
      </w:pPr>
      <w:r w:rsidRPr="0080245A">
        <w:rPr>
          <w:rFonts w:eastAsia="Calibri"/>
          <w:lang w:val="es-ES" w:eastAsia="en-US"/>
        </w:rPr>
        <w:t>•</w:t>
      </w:r>
      <w:r w:rsidRPr="0080245A">
        <w:rPr>
          <w:rFonts w:eastAsia="Calibri"/>
          <w:lang w:val="es-ES" w:eastAsia="en-US"/>
        </w:rPr>
        <w:tab/>
        <w:t>Cadena Original, el elemento a sellar, en este caso de un comprobante fiscal digital a través de Internet.</w:t>
      </w:r>
    </w:p>
    <w:p w14:paraId="44A63BBE" w14:textId="77777777" w:rsidR="00E625D3" w:rsidRPr="0080245A" w:rsidRDefault="00E625D3" w:rsidP="00FE422A">
      <w:pPr>
        <w:pStyle w:val="Puesto"/>
        <w:rPr>
          <w:rFonts w:eastAsia="Calibri"/>
          <w:lang w:val="es-ES" w:eastAsia="en-US"/>
        </w:rPr>
      </w:pPr>
      <w:r w:rsidRPr="0080245A">
        <w:rPr>
          <w:rFonts w:eastAsia="Calibri"/>
          <w:lang w:val="es-ES" w:eastAsia="en-US"/>
        </w:rPr>
        <w:t>•</w:t>
      </w:r>
      <w:r w:rsidRPr="0080245A">
        <w:rPr>
          <w:rFonts w:eastAsia="Calibri"/>
          <w:lang w:val="es-ES" w:eastAsia="en-US"/>
        </w:rPr>
        <w:tab/>
        <w:t>Certificado de Sello Digital y su correspondiente clave privada.</w:t>
      </w:r>
    </w:p>
    <w:p w14:paraId="384EC60F" w14:textId="77777777" w:rsidR="00E625D3" w:rsidRPr="0080245A" w:rsidRDefault="00E625D3" w:rsidP="00FE422A">
      <w:pPr>
        <w:pStyle w:val="Puesto"/>
        <w:rPr>
          <w:rFonts w:eastAsia="Calibri"/>
          <w:lang w:val="es-ES" w:eastAsia="en-US"/>
        </w:rPr>
      </w:pPr>
      <w:r w:rsidRPr="0080245A">
        <w:rPr>
          <w:rFonts w:eastAsia="Calibri"/>
          <w:lang w:val="es-ES" w:eastAsia="en-US"/>
        </w:rPr>
        <w:t>•</w:t>
      </w:r>
      <w:r w:rsidRPr="0080245A">
        <w:rPr>
          <w:rFonts w:eastAsia="Calibri"/>
          <w:lang w:val="es-ES" w:eastAsia="en-US"/>
        </w:rPr>
        <w:tab/>
        <w:t>Algoritmos de criptografía de clave pública para firma electrónica avanzada.</w:t>
      </w:r>
    </w:p>
    <w:p w14:paraId="411105B7" w14:textId="77777777" w:rsidR="00E625D3" w:rsidRPr="0080245A" w:rsidRDefault="00E625D3" w:rsidP="00FE422A">
      <w:pPr>
        <w:pStyle w:val="Puesto"/>
        <w:rPr>
          <w:rFonts w:eastAsia="Calibri"/>
          <w:lang w:val="es-ES" w:eastAsia="en-US"/>
        </w:rPr>
      </w:pPr>
      <w:r w:rsidRPr="0080245A">
        <w:rPr>
          <w:rFonts w:eastAsia="Calibri"/>
          <w:lang w:val="es-ES" w:eastAsia="en-US"/>
        </w:rPr>
        <w:t>•</w:t>
      </w:r>
      <w:r w:rsidRPr="0080245A">
        <w:rPr>
          <w:rFonts w:eastAsia="Calibri"/>
          <w:lang w:val="es-ES" w:eastAsia="en-US"/>
        </w:rPr>
        <w:tab/>
        <w:t>Especificaciones de conversión de la firma electrónica avanzada a Base 64.</w:t>
      </w:r>
    </w:p>
    <w:p w14:paraId="45151645" w14:textId="77777777" w:rsidR="00E625D3" w:rsidRPr="0080245A" w:rsidRDefault="00E625D3" w:rsidP="00FE422A">
      <w:pPr>
        <w:pStyle w:val="Puesto"/>
        <w:rPr>
          <w:rFonts w:eastAsia="Calibri"/>
          <w:lang w:val="es-ES" w:eastAsia="en-US"/>
        </w:rPr>
      </w:pPr>
      <w:r w:rsidRPr="0080245A">
        <w:rPr>
          <w:rFonts w:eastAsia="Calibri"/>
          <w:lang w:val="es-ES" w:eastAsia="en-US"/>
        </w:rPr>
        <w:t>Para la generación de sellos digitales se utiliza criptografía de clave pública aplicada a una cadena original.</w:t>
      </w:r>
    </w:p>
    <w:p w14:paraId="55043845" w14:textId="77777777" w:rsidR="00E625D3" w:rsidRPr="0080245A" w:rsidRDefault="00E625D3" w:rsidP="00FE422A">
      <w:pPr>
        <w:pStyle w:val="Puesto"/>
        <w:rPr>
          <w:rFonts w:eastAsia="Calibri"/>
          <w:lang w:val="es-ES" w:eastAsia="en-US"/>
        </w:rPr>
      </w:pPr>
      <w:r w:rsidRPr="0080245A">
        <w:rPr>
          <w:rFonts w:eastAsia="Calibri"/>
          <w:lang w:val="es-ES" w:eastAsia="en-US"/>
        </w:rPr>
        <w:t>Criptografía de la Clave Pública</w:t>
      </w:r>
    </w:p>
    <w:p w14:paraId="1DEF9BCA" w14:textId="77777777" w:rsidR="00E625D3" w:rsidRPr="0080245A" w:rsidRDefault="00E625D3" w:rsidP="00FE422A">
      <w:pPr>
        <w:pStyle w:val="Puesto"/>
        <w:rPr>
          <w:rFonts w:eastAsia="Calibri"/>
          <w:lang w:val="es-ES" w:eastAsia="en-US"/>
        </w:rPr>
      </w:pPr>
      <w:r w:rsidRPr="0080245A">
        <w:rPr>
          <w:rFonts w:eastAsia="Calibri"/>
          <w:lang w:val="es-ES" w:eastAsia="en-US"/>
        </w:rPr>
        <w:t xml:space="preserve">La criptografía de Clave Pública se basa en la generación de una pareja de números muy grandes relacionados íntimamente entre sí, de tal manera que una operación de </w:t>
      </w:r>
      <w:proofErr w:type="spellStart"/>
      <w:r w:rsidRPr="0080245A">
        <w:rPr>
          <w:rFonts w:eastAsia="Calibri"/>
          <w:lang w:val="es-ES" w:eastAsia="en-US"/>
        </w:rPr>
        <w:t>encripción</w:t>
      </w:r>
      <w:proofErr w:type="spellEnd"/>
      <w:r w:rsidRPr="0080245A">
        <w:rPr>
          <w:rFonts w:eastAsia="Calibri"/>
          <w:lang w:val="es-ES" w:eastAsia="en-US"/>
        </w:rPr>
        <w:t xml:space="preserve"> </w:t>
      </w:r>
      <w:r w:rsidRPr="0080245A">
        <w:rPr>
          <w:rFonts w:eastAsia="Calibri"/>
          <w:lang w:val="es-ES" w:eastAsia="en-US"/>
        </w:rPr>
        <w:lastRenderedPageBreak/>
        <w:t xml:space="preserve">sobre un mensaje tomando como clave de </w:t>
      </w:r>
      <w:proofErr w:type="spellStart"/>
      <w:r w:rsidRPr="0080245A">
        <w:rPr>
          <w:rFonts w:eastAsia="Calibri"/>
          <w:lang w:val="es-ES" w:eastAsia="en-US"/>
        </w:rPr>
        <w:t>encripción</w:t>
      </w:r>
      <w:proofErr w:type="spellEnd"/>
      <w:r w:rsidRPr="0080245A">
        <w:rPr>
          <w:rFonts w:eastAsia="Calibri"/>
          <w:lang w:val="es-ES" w:eastAsia="en-US"/>
        </w:rPr>
        <w:t xml:space="preserve"> a uno de los dos números, produce un mensaje alterado en su significado que solo puede ser devuelto a su estado original mediante la operación de </w:t>
      </w:r>
      <w:proofErr w:type="spellStart"/>
      <w:r w:rsidRPr="0080245A">
        <w:rPr>
          <w:rFonts w:eastAsia="Calibri"/>
          <w:lang w:val="es-ES" w:eastAsia="en-US"/>
        </w:rPr>
        <w:t>desencripción</w:t>
      </w:r>
      <w:proofErr w:type="spellEnd"/>
      <w:r w:rsidRPr="0080245A">
        <w:rPr>
          <w:rFonts w:eastAsia="Calibri"/>
          <w:lang w:val="es-ES" w:eastAsia="en-US"/>
        </w:rPr>
        <w:t xml:space="preserve"> correspondiente tomando como clave de </w:t>
      </w:r>
      <w:proofErr w:type="spellStart"/>
      <w:r w:rsidRPr="0080245A">
        <w:rPr>
          <w:rFonts w:eastAsia="Calibri"/>
          <w:lang w:val="es-ES" w:eastAsia="en-US"/>
        </w:rPr>
        <w:t>desencripción</w:t>
      </w:r>
      <w:proofErr w:type="spellEnd"/>
      <w:r w:rsidRPr="0080245A">
        <w:rPr>
          <w:rFonts w:eastAsia="Calibri"/>
          <w:lang w:val="es-ES" w:eastAsia="en-US"/>
        </w:rPr>
        <w:t xml:space="preserve"> al otro número de la pareja.</w:t>
      </w:r>
    </w:p>
    <w:p w14:paraId="0C385D5E" w14:textId="77777777" w:rsidR="00E625D3" w:rsidRPr="0080245A" w:rsidRDefault="00E625D3" w:rsidP="00FE422A">
      <w:pPr>
        <w:pStyle w:val="Puesto"/>
        <w:rPr>
          <w:rFonts w:eastAsia="Calibri"/>
          <w:lang w:val="es-ES" w:eastAsia="en-US"/>
        </w:rPr>
      </w:pPr>
      <w:r w:rsidRPr="0080245A">
        <w:rPr>
          <w:rFonts w:eastAsia="Calibri"/>
          <w:lang w:val="es-ES" w:eastAsia="en-US"/>
        </w:rPr>
        <w:t>…”</w:t>
      </w:r>
    </w:p>
    <w:p w14:paraId="69628F7A" w14:textId="77777777" w:rsidR="00E625D3" w:rsidRPr="0080245A" w:rsidRDefault="00E625D3" w:rsidP="00FE422A">
      <w:pPr>
        <w:rPr>
          <w:rFonts w:cs="Adelle Sans Devanagari"/>
          <w:bCs/>
          <w:szCs w:val="22"/>
          <w:lang w:val="es-ES"/>
        </w:rPr>
      </w:pPr>
      <w:r w:rsidRPr="0080245A">
        <w:rPr>
          <w:rFonts w:cs="Adelle Sans Devanagari"/>
          <w:bCs/>
          <w:szCs w:val="22"/>
          <w:lang w:val="es-ES"/>
        </w:rPr>
        <w:t> </w:t>
      </w:r>
    </w:p>
    <w:p w14:paraId="05271B3C" w14:textId="77777777" w:rsidR="00E625D3" w:rsidRPr="0080245A" w:rsidRDefault="00E625D3" w:rsidP="00FE422A">
      <w:pPr>
        <w:rPr>
          <w:rFonts w:cs="Adelle Sans Devanagari"/>
          <w:bCs/>
          <w:szCs w:val="22"/>
          <w:lang w:val="es-ES"/>
        </w:rPr>
      </w:pPr>
      <w:r w:rsidRPr="0080245A">
        <w:rPr>
          <w:rFonts w:cs="Adelle Sans Devanagari"/>
          <w:bCs/>
          <w:szCs w:val="22"/>
          <w:lang w:val="es-ES"/>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484C6D17" w14:textId="77777777" w:rsidR="00E625D3" w:rsidRPr="0080245A" w:rsidRDefault="00E625D3" w:rsidP="00FE422A">
      <w:pPr>
        <w:tabs>
          <w:tab w:val="left" w:pos="4962"/>
        </w:tabs>
        <w:rPr>
          <w:rFonts w:eastAsia="Calibri" w:cs="Adelle Sans Devanagari"/>
          <w:bCs/>
          <w:iCs/>
          <w:szCs w:val="22"/>
          <w:lang w:eastAsia="en-US"/>
        </w:rPr>
      </w:pPr>
    </w:p>
    <w:p w14:paraId="3701F036" w14:textId="77777777" w:rsidR="00E625D3" w:rsidRPr="0080245A" w:rsidRDefault="00E625D3" w:rsidP="00FE422A">
      <w:pPr>
        <w:rPr>
          <w:rFonts w:cs="Adelle Sans Devanagari"/>
          <w:szCs w:val="22"/>
          <w:lang w:val="es-ES"/>
        </w:rPr>
      </w:pPr>
      <w:r w:rsidRPr="0080245A">
        <w:rPr>
          <w:rFonts w:eastAsia="Calibri" w:cs="Adelle Sans Devanagari"/>
          <w:bCs/>
          <w:iCs/>
          <w:szCs w:val="22"/>
          <w:lang w:eastAsia="en-US"/>
        </w:rPr>
        <w:t>Cabe señalar que, en algunos casos, las</w:t>
      </w:r>
      <w:r w:rsidRPr="0080245A">
        <w:rPr>
          <w:rFonts w:cs="Adelle Sans Devanagari"/>
          <w:szCs w:val="22"/>
          <w:lang w:val="es-ES"/>
        </w:rPr>
        <w:t xml:space="preserve"> cadenas originales y sellos digitales</w:t>
      </w:r>
      <w:r w:rsidRPr="0080245A">
        <w:rPr>
          <w:rFonts w:cs="Adelle Sans Devanagari"/>
          <w:bCs/>
          <w:szCs w:val="22"/>
          <w:lang w:val="es-ES"/>
        </w:rPr>
        <w:t xml:space="preserve">, se pueden conformar de datos confidenciales, tales como el Registro Federal de Contribuyentes o la Clave Única de Registro de Población; por lo que, en su caso actualizarían </w:t>
      </w:r>
      <w:r w:rsidRPr="0080245A">
        <w:rPr>
          <w:rFonts w:cs="Adelle Sans Devanagari"/>
          <w:szCs w:val="22"/>
          <w:lang w:val="es-ES"/>
        </w:rPr>
        <w:t>actualiza la clasificación, en términos del artículo 143, fracción I, de la Ley de la materia.</w:t>
      </w:r>
    </w:p>
    <w:p w14:paraId="60690DD3" w14:textId="77777777" w:rsidR="00E625D3" w:rsidRPr="0080245A" w:rsidRDefault="00E625D3" w:rsidP="00FE422A">
      <w:pPr>
        <w:rPr>
          <w:rFonts w:cs="Adelle Sans Devanagari"/>
          <w:szCs w:val="22"/>
          <w:lang w:val="es-ES"/>
        </w:rPr>
      </w:pPr>
    </w:p>
    <w:p w14:paraId="3944390F" w14:textId="77777777" w:rsidR="00E625D3" w:rsidRPr="0080245A" w:rsidRDefault="00E625D3" w:rsidP="00FE422A">
      <w:pPr>
        <w:pStyle w:val="Prrafodelista"/>
        <w:numPr>
          <w:ilvl w:val="0"/>
          <w:numId w:val="22"/>
        </w:numPr>
        <w:rPr>
          <w:rFonts w:cs="Adelle Sans Devanagari"/>
          <w:b/>
          <w:szCs w:val="22"/>
        </w:rPr>
      </w:pPr>
      <w:r w:rsidRPr="0080245A">
        <w:rPr>
          <w:rFonts w:cs="Adelle Sans Devanagari"/>
          <w:b/>
          <w:szCs w:val="22"/>
        </w:rPr>
        <w:t>Folio Fiscal</w:t>
      </w:r>
    </w:p>
    <w:p w14:paraId="094DD363" w14:textId="77777777" w:rsidR="00E625D3" w:rsidRPr="0080245A" w:rsidRDefault="00E625D3" w:rsidP="00FE422A">
      <w:pPr>
        <w:ind w:left="360"/>
        <w:rPr>
          <w:rFonts w:cs="Adelle Sans Devanagari"/>
          <w:b/>
          <w:szCs w:val="22"/>
        </w:rPr>
      </w:pPr>
    </w:p>
    <w:p w14:paraId="09B335C4" w14:textId="77777777" w:rsidR="00E625D3" w:rsidRPr="0080245A" w:rsidRDefault="00E625D3" w:rsidP="00FE422A">
      <w:pPr>
        <w:rPr>
          <w:rFonts w:cs="Adelle Sans Devanagari"/>
          <w:bCs/>
          <w:szCs w:val="22"/>
        </w:rPr>
      </w:pPr>
      <w:r w:rsidRPr="0080245A">
        <w:rPr>
          <w:rFonts w:cs="Adelle Sans Devanagari"/>
          <w:bCs/>
          <w:szCs w:val="22"/>
        </w:rPr>
        <w:t xml:space="preserve">Ahora bien, por lo que hace </w:t>
      </w:r>
      <w:r w:rsidRPr="0080245A">
        <w:rPr>
          <w:rFonts w:cs="Adelle Sans Devanagari"/>
          <w:b/>
          <w:bCs/>
          <w:szCs w:val="22"/>
        </w:rPr>
        <w:t>Folio Fiscal,</w:t>
      </w:r>
      <w:r w:rsidRPr="0080245A">
        <w:rPr>
          <w:rFonts w:cs="Adelle Sans Devanagari"/>
          <w:bCs/>
          <w:szCs w:val="22"/>
        </w:rPr>
        <w:t xml:space="preserve">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3B22478B" w14:textId="77777777" w:rsidR="00E625D3" w:rsidRPr="0080245A" w:rsidRDefault="00E625D3" w:rsidP="00FE422A">
      <w:pPr>
        <w:rPr>
          <w:rFonts w:cs="Adelle Sans Devanagari"/>
          <w:bCs/>
          <w:szCs w:val="22"/>
        </w:rPr>
      </w:pPr>
      <w:r w:rsidRPr="0080245A">
        <w:rPr>
          <w:rFonts w:cs="Adelle Sans Devanagari"/>
          <w:bCs/>
          <w:szCs w:val="22"/>
        </w:rPr>
        <w:t xml:space="preserve"> </w:t>
      </w:r>
    </w:p>
    <w:p w14:paraId="2D1F60D6" w14:textId="77777777" w:rsidR="00E625D3" w:rsidRPr="0080245A" w:rsidRDefault="00E625D3" w:rsidP="00FE422A">
      <w:pPr>
        <w:jc w:val="center"/>
        <w:rPr>
          <w:rFonts w:cs="Adelle Sans Devanagari"/>
          <w:bCs/>
          <w:szCs w:val="22"/>
        </w:rPr>
      </w:pPr>
      <w:r w:rsidRPr="0080245A">
        <w:rPr>
          <w:rFonts w:cs="Adelle Sans Devanagari"/>
          <w:noProof/>
          <w:szCs w:val="22"/>
          <w:lang w:eastAsia="es-MX"/>
        </w:rPr>
        <w:lastRenderedPageBreak/>
        <w:drawing>
          <wp:inline distT="0" distB="0" distL="0" distR="0" wp14:anchorId="4C9DEF6B" wp14:editId="61F6BF86">
            <wp:extent cx="4438650" cy="1028700"/>
            <wp:effectExtent l="0" t="0" r="0" b="0"/>
            <wp:docPr id="1850169420"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27D2B435" w14:textId="77777777" w:rsidR="00E625D3" w:rsidRPr="0080245A" w:rsidRDefault="00E625D3" w:rsidP="00FE422A">
      <w:pPr>
        <w:rPr>
          <w:rFonts w:cs="Adelle Sans Devanagari"/>
          <w:bCs/>
          <w:szCs w:val="22"/>
        </w:rPr>
      </w:pPr>
    </w:p>
    <w:p w14:paraId="59580D26" w14:textId="77777777" w:rsidR="00E625D3" w:rsidRPr="0080245A" w:rsidRDefault="00E625D3" w:rsidP="00FE422A">
      <w:pPr>
        <w:rPr>
          <w:rFonts w:cs="Adelle Sans Devanagari"/>
          <w:bCs/>
          <w:szCs w:val="22"/>
        </w:rPr>
      </w:pPr>
      <w:r w:rsidRPr="0080245A">
        <w:rPr>
          <w:rFonts w:cs="Adelle Sans Devanagari"/>
          <w:bCs/>
          <w:szCs w:val="22"/>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21FD57FA" w14:textId="77777777" w:rsidR="00E625D3" w:rsidRPr="0080245A" w:rsidRDefault="00E625D3" w:rsidP="00FE422A">
      <w:pPr>
        <w:rPr>
          <w:rFonts w:cs="Adelle Sans Devanagari"/>
          <w:bCs/>
          <w:szCs w:val="22"/>
        </w:rPr>
      </w:pPr>
    </w:p>
    <w:p w14:paraId="0F24DE40" w14:textId="77777777" w:rsidR="00E625D3" w:rsidRPr="0080245A" w:rsidRDefault="00E625D3" w:rsidP="00FE422A">
      <w:pPr>
        <w:pStyle w:val="Prrafodelista"/>
        <w:numPr>
          <w:ilvl w:val="0"/>
          <w:numId w:val="22"/>
        </w:numPr>
        <w:ind w:right="-93"/>
        <w:rPr>
          <w:rFonts w:cs="Tahoma"/>
          <w:b/>
          <w:szCs w:val="22"/>
        </w:rPr>
      </w:pPr>
      <w:r w:rsidRPr="0080245A">
        <w:rPr>
          <w:rFonts w:cs="Tahoma"/>
          <w:b/>
          <w:bCs/>
          <w:iCs/>
          <w:szCs w:val="22"/>
        </w:rPr>
        <w:t>Número de cuenta o CLABE interbancaria</w:t>
      </w:r>
    </w:p>
    <w:p w14:paraId="146EFB38" w14:textId="77777777" w:rsidR="00E625D3" w:rsidRPr="0080245A" w:rsidRDefault="00E625D3" w:rsidP="00FE422A">
      <w:pPr>
        <w:ind w:right="-93"/>
        <w:rPr>
          <w:rFonts w:cs="Tahoma"/>
          <w:szCs w:val="22"/>
        </w:rPr>
      </w:pPr>
    </w:p>
    <w:p w14:paraId="00A84F24" w14:textId="77777777" w:rsidR="00E625D3" w:rsidRPr="0080245A" w:rsidRDefault="00E625D3" w:rsidP="00FE422A">
      <w:pPr>
        <w:rPr>
          <w:rFonts w:eastAsia="Palatino Linotype" w:cs="Palatino Linotype"/>
          <w:szCs w:val="22"/>
          <w:lang w:eastAsia="es-MX"/>
        </w:rPr>
      </w:pPr>
      <w:r w:rsidRPr="0080245A">
        <w:rPr>
          <w:rFonts w:eastAsia="Palatino Linotype" w:cs="Palatino Linotype"/>
          <w:szCs w:val="22"/>
          <w:lang w:eastAsia="es-MX"/>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53F0C99B" w14:textId="77777777" w:rsidR="00E625D3" w:rsidRPr="0080245A" w:rsidRDefault="00E625D3" w:rsidP="00FE422A">
      <w:pPr>
        <w:rPr>
          <w:rFonts w:eastAsia="Palatino Linotype" w:cs="Palatino Linotype"/>
          <w:szCs w:val="22"/>
          <w:lang w:eastAsia="es-MX"/>
        </w:rPr>
      </w:pPr>
      <w:r w:rsidRPr="0080245A">
        <w:rPr>
          <w:rFonts w:eastAsia="Palatino Linotype" w:cs="Palatino Linotype"/>
          <w:szCs w:val="22"/>
          <w:lang w:eastAsia="es-MX"/>
        </w:rPr>
        <w:t> </w:t>
      </w:r>
    </w:p>
    <w:p w14:paraId="57731B9F" w14:textId="77777777" w:rsidR="00E625D3" w:rsidRPr="0080245A" w:rsidRDefault="00E625D3" w:rsidP="00FE422A">
      <w:pPr>
        <w:rPr>
          <w:rFonts w:eastAsia="Palatino Linotype" w:cs="Palatino Linotype"/>
          <w:szCs w:val="22"/>
          <w:lang w:eastAsia="es-MX"/>
        </w:rPr>
      </w:pPr>
      <w:r w:rsidRPr="0080245A">
        <w:rPr>
          <w:rFonts w:eastAsia="Palatino Linotype" w:cs="Palatino Linotype"/>
          <w:szCs w:val="22"/>
          <w:lang w:eastAsia="es-MX"/>
        </w:rPr>
        <w:t xml:space="preserve">A mayor abundamiento, resulta necesario traer a colación el Criterio Orientador SO/010/2017, emitido por el entonces Instituto Nacional de Transparencia, Acceso a la Información y </w:t>
      </w:r>
      <w:r w:rsidRPr="0080245A">
        <w:rPr>
          <w:rFonts w:eastAsia="Palatino Linotype" w:cs="Palatino Linotype"/>
          <w:szCs w:val="22"/>
          <w:lang w:eastAsia="es-MX"/>
        </w:rPr>
        <w:lastRenderedPageBreak/>
        <w:t>Protección de Datos Personales, vigente a la fecha de la solicitud, mismo que establece lo siguiente:</w:t>
      </w:r>
    </w:p>
    <w:p w14:paraId="75F77FAB" w14:textId="77777777" w:rsidR="00E625D3" w:rsidRPr="0080245A" w:rsidRDefault="00E625D3" w:rsidP="00FE422A">
      <w:pPr>
        <w:rPr>
          <w:rFonts w:eastAsia="Palatino Linotype" w:cs="Palatino Linotype"/>
          <w:szCs w:val="22"/>
          <w:lang w:eastAsia="es-MX"/>
        </w:rPr>
      </w:pPr>
    </w:p>
    <w:p w14:paraId="32E9CC51" w14:textId="77777777" w:rsidR="00E625D3" w:rsidRPr="0080245A" w:rsidRDefault="00E625D3" w:rsidP="00FE422A">
      <w:pPr>
        <w:pStyle w:val="Puesto"/>
        <w:rPr>
          <w:rFonts w:eastAsia="Palatino Linotype"/>
          <w:lang w:eastAsia="es-MX"/>
        </w:rPr>
      </w:pPr>
      <w:r w:rsidRPr="0080245A">
        <w:rPr>
          <w:rFonts w:eastAsia="Palatino Linotype"/>
          <w:lang w:eastAsia="es-MX"/>
        </w:rPr>
        <w:t>“</w:t>
      </w:r>
      <w:r w:rsidRPr="0080245A">
        <w:rPr>
          <w:rFonts w:eastAsia="Palatino Linotype"/>
          <w:b/>
          <w:lang w:eastAsia="es-MX"/>
        </w:rPr>
        <w:t>Cuentas bancarias y/o CLABE interbancaria de personas físicas y morales privadas.</w:t>
      </w:r>
      <w:r w:rsidRPr="0080245A">
        <w:rPr>
          <w:rFonts w:eastAsia="Palatino Linotype"/>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E500961" w14:textId="77777777" w:rsidR="00E625D3" w:rsidRPr="0080245A" w:rsidRDefault="00E625D3" w:rsidP="00FE422A">
      <w:pPr>
        <w:rPr>
          <w:rFonts w:eastAsia="Palatino Linotype" w:cs="Palatino Linotype"/>
          <w:szCs w:val="22"/>
          <w:lang w:eastAsia="es-MX"/>
        </w:rPr>
      </w:pPr>
    </w:p>
    <w:p w14:paraId="6F84B2CA" w14:textId="77777777" w:rsidR="00E625D3" w:rsidRPr="0080245A" w:rsidRDefault="00E625D3" w:rsidP="00FE422A">
      <w:pPr>
        <w:rPr>
          <w:rFonts w:eastAsia="Palatino Linotype" w:cs="Palatino Linotype"/>
          <w:szCs w:val="22"/>
          <w:lang w:eastAsia="es-MX"/>
        </w:rPr>
      </w:pPr>
      <w:r w:rsidRPr="0080245A">
        <w:rPr>
          <w:rFonts w:eastAsia="Palatino Linotype" w:cs="Palatino Linotype"/>
          <w:szCs w:val="22"/>
          <w:lang w:eastAsia="es-MX"/>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50CBE671" w14:textId="77777777" w:rsidR="00E625D3" w:rsidRPr="0080245A" w:rsidRDefault="00E625D3" w:rsidP="00FE422A">
      <w:pPr>
        <w:contextualSpacing/>
        <w:rPr>
          <w:rFonts w:cs="Adelle Sans Devanagari"/>
          <w:bCs/>
          <w:szCs w:val="22"/>
        </w:rPr>
      </w:pPr>
    </w:p>
    <w:p w14:paraId="39546F04" w14:textId="77777777" w:rsidR="00E625D3" w:rsidRPr="0080245A" w:rsidRDefault="00E625D3" w:rsidP="00FE422A">
      <w:pPr>
        <w:tabs>
          <w:tab w:val="left" w:pos="4962"/>
        </w:tabs>
        <w:contextualSpacing/>
        <w:rPr>
          <w:rFonts w:eastAsia="Calibri" w:cs="Adelle Sans Devanagari"/>
          <w:bCs/>
          <w:iCs/>
          <w:szCs w:val="22"/>
          <w:lang w:val="es-ES" w:eastAsia="en-US"/>
        </w:rPr>
      </w:pPr>
      <w:r w:rsidRPr="0080245A">
        <w:rPr>
          <w:rFonts w:cs="Adelle Sans Devanagari"/>
          <w:bCs/>
          <w:szCs w:val="22"/>
        </w:rPr>
        <w:t>Así, este Instituto considera que el Sujeto Obligado deberá proporcionar los documentos solicitados en versión pública; sobre dicha circunstancia, el a</w:t>
      </w:r>
      <w:proofErr w:type="spellStart"/>
      <w:r w:rsidRPr="0080245A">
        <w:rPr>
          <w:rFonts w:eastAsia="Calibri" w:cs="Adelle Sans Devanagari"/>
          <w:bCs/>
          <w:iCs/>
          <w:szCs w:val="22"/>
          <w:lang w:val="es-ES" w:eastAsia="en-US"/>
        </w:rPr>
        <w:t>rtículo</w:t>
      </w:r>
      <w:proofErr w:type="spellEnd"/>
      <w:r w:rsidRPr="0080245A">
        <w:rPr>
          <w:rFonts w:eastAsia="Calibri" w:cs="Adelle Sans Devanagari"/>
          <w:bCs/>
          <w:iCs/>
          <w:szCs w:val="22"/>
          <w:lang w:val="es-ES" w:eastAsia="en-US"/>
        </w:rPr>
        <w:t xml:space="preserve">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733D0DB" w14:textId="77777777" w:rsidR="00E625D3" w:rsidRPr="0080245A" w:rsidRDefault="00E625D3" w:rsidP="00FE422A">
      <w:pPr>
        <w:contextualSpacing/>
        <w:rPr>
          <w:rFonts w:eastAsia="Calibri" w:cs="Adelle Sans Devanagari"/>
          <w:bCs/>
          <w:iCs/>
          <w:szCs w:val="22"/>
          <w:lang w:val="es-ES" w:eastAsia="en-US"/>
        </w:rPr>
      </w:pPr>
    </w:p>
    <w:p w14:paraId="19E04AB0" w14:textId="77777777" w:rsidR="00E625D3" w:rsidRPr="0080245A" w:rsidRDefault="00E625D3" w:rsidP="00FE422A">
      <w:pPr>
        <w:contextualSpacing/>
        <w:rPr>
          <w:rFonts w:eastAsia="Calibri" w:cs="Adelle Sans Devanagari"/>
          <w:bCs/>
          <w:iCs/>
          <w:szCs w:val="22"/>
          <w:lang w:val="es-ES" w:eastAsia="en-US"/>
        </w:rPr>
      </w:pPr>
      <w:r w:rsidRPr="0080245A">
        <w:rPr>
          <w:rFonts w:eastAsia="Calibri" w:cs="Adelle Sans Devanagari"/>
          <w:bCs/>
          <w:iCs/>
          <w:szCs w:val="22"/>
          <w:lang w:val="es-ES" w:eastAsia="en-U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1A1C4CF" w14:textId="77777777" w:rsidR="00E625D3" w:rsidRPr="0080245A" w:rsidRDefault="00E625D3" w:rsidP="00FE422A">
      <w:pPr>
        <w:pStyle w:val="Ttulo3"/>
      </w:pPr>
      <w:bookmarkStart w:id="29" w:name="_Toc210894821"/>
    </w:p>
    <w:p w14:paraId="3C781D17" w14:textId="77777777" w:rsidR="00E625D3" w:rsidRPr="0080245A" w:rsidRDefault="00E625D3" w:rsidP="00FE422A">
      <w:pPr>
        <w:pStyle w:val="Ttulo3"/>
      </w:pPr>
      <w:bookmarkStart w:id="30" w:name="_Toc212099334"/>
      <w:r w:rsidRPr="0080245A">
        <w:t>e) Conclusión</w:t>
      </w:r>
      <w:bookmarkEnd w:id="29"/>
      <w:bookmarkEnd w:id="30"/>
    </w:p>
    <w:p w14:paraId="6700C169" w14:textId="3C0D9708" w:rsidR="00E625D3" w:rsidRPr="0080245A" w:rsidRDefault="00E625D3" w:rsidP="00FE422A">
      <w:pPr>
        <w:widowControl w:val="0"/>
        <w:tabs>
          <w:tab w:val="left" w:pos="1701"/>
          <w:tab w:val="left" w:pos="1843"/>
        </w:tabs>
        <w:rPr>
          <w:rStyle w:val="Textoennegrita"/>
          <w:rFonts w:eastAsiaTheme="majorEastAsia"/>
          <w:b w:val="0"/>
        </w:rPr>
      </w:pPr>
      <w:r w:rsidRPr="0080245A">
        <w:t xml:space="preserve">En razón de lo anteriormente expuesto, este Instituto estima que las razones o motivos de inconformidad hechos valer por </w:t>
      </w:r>
      <w:r w:rsidRPr="0080245A">
        <w:rPr>
          <w:b/>
        </w:rPr>
        <w:t>LA PARTE RECURRENTE</w:t>
      </w:r>
      <w:r w:rsidRPr="0080245A">
        <w:t xml:space="preserve"> devienen </w:t>
      </w:r>
      <w:r w:rsidRPr="0080245A">
        <w:rPr>
          <w:b/>
        </w:rPr>
        <w:t>fundadas</w:t>
      </w:r>
      <w:r w:rsidRPr="0080245A">
        <w:t xml:space="preserve"> y suficientes para </w:t>
      </w:r>
      <w:r w:rsidRPr="0080245A">
        <w:rPr>
          <w:b/>
        </w:rPr>
        <w:t>MODIFICAR</w:t>
      </w:r>
      <w:r w:rsidRPr="0080245A">
        <w:t xml:space="preserve"> la respuesta del </w:t>
      </w:r>
      <w:r w:rsidRPr="0080245A">
        <w:rPr>
          <w:b/>
        </w:rPr>
        <w:t>SUJETO OBLIGADO</w:t>
      </w:r>
      <w:r w:rsidRPr="0080245A">
        <w:t xml:space="preserve"> y ordenarle </w:t>
      </w:r>
      <w:r w:rsidRPr="0080245A">
        <w:rPr>
          <w:rStyle w:val="Textoennegrita"/>
          <w:rFonts w:eastAsiaTheme="majorEastAsia"/>
          <w:b w:val="0"/>
        </w:rPr>
        <w:t>la entrega de lo siguiente:</w:t>
      </w:r>
    </w:p>
    <w:p w14:paraId="717169A6" w14:textId="77777777" w:rsidR="00E625D3" w:rsidRPr="0080245A" w:rsidRDefault="00E625D3" w:rsidP="00FE422A">
      <w:pPr>
        <w:ind w:left="851" w:right="822"/>
        <w:rPr>
          <w:rFonts w:eastAsia="Calibri"/>
          <w:lang w:eastAsia="es-ES_tradnl"/>
        </w:rPr>
      </w:pPr>
    </w:p>
    <w:p w14:paraId="2943C00C" w14:textId="75800A22" w:rsidR="00E625D3" w:rsidRPr="0080245A" w:rsidRDefault="00E625D3" w:rsidP="00FE422A">
      <w:pPr>
        <w:pStyle w:val="Puesto"/>
        <w:numPr>
          <w:ilvl w:val="0"/>
          <w:numId w:val="24"/>
        </w:numPr>
        <w:spacing w:line="276" w:lineRule="auto"/>
        <w:ind w:left="1418" w:right="822"/>
        <w:rPr>
          <w:rFonts w:eastAsia="Calibri"/>
          <w:i w:val="0"/>
          <w:lang w:eastAsia="es-ES_tradnl"/>
        </w:rPr>
      </w:pPr>
      <w:r w:rsidRPr="0080245A">
        <w:rPr>
          <w:rFonts w:eastAsia="Calibri"/>
          <w:i w:val="0"/>
          <w:lang w:eastAsia="es-ES_tradnl"/>
        </w:rPr>
        <w:t>Documento donde conste la información que acredite el incremento porcentual del salario correspondiente al servidor público Óscar Chaires Palma.</w:t>
      </w:r>
    </w:p>
    <w:p w14:paraId="4E315AE1" w14:textId="77777777" w:rsidR="00E625D3" w:rsidRPr="0080245A" w:rsidRDefault="00E625D3" w:rsidP="00FE422A">
      <w:pPr>
        <w:ind w:left="1418" w:right="822"/>
        <w:rPr>
          <w:rFonts w:eastAsia="Calibri"/>
          <w:lang w:eastAsia="es-ES_tradnl"/>
        </w:rPr>
      </w:pPr>
    </w:p>
    <w:p w14:paraId="15B4515B" w14:textId="77A44F38" w:rsidR="00E625D3" w:rsidRPr="0080245A" w:rsidRDefault="00E625D3" w:rsidP="00FE422A">
      <w:pPr>
        <w:pStyle w:val="Puesto"/>
        <w:numPr>
          <w:ilvl w:val="0"/>
          <w:numId w:val="24"/>
        </w:numPr>
        <w:spacing w:line="276" w:lineRule="auto"/>
        <w:ind w:left="1418" w:right="822"/>
        <w:rPr>
          <w:rFonts w:eastAsia="Calibri"/>
          <w:i w:val="0"/>
          <w:lang w:eastAsia="es-ES_tradnl"/>
        </w:rPr>
      </w:pPr>
      <w:r w:rsidRPr="0080245A">
        <w:rPr>
          <w:rFonts w:eastAsia="Calibri"/>
          <w:i w:val="0"/>
          <w:lang w:eastAsia="es-ES_tradnl"/>
        </w:rPr>
        <w:t>Los recibos de nómina del servidor público correspondientes a los periodos inmediatos anteriores y posteriores al incremento.</w:t>
      </w:r>
    </w:p>
    <w:p w14:paraId="12077FAB" w14:textId="77777777" w:rsidR="00E625D3" w:rsidRPr="0080245A" w:rsidRDefault="00E625D3" w:rsidP="00FE422A">
      <w:pPr>
        <w:pStyle w:val="Prrafodelista"/>
        <w:ind w:left="0" w:right="-28"/>
        <w:rPr>
          <w:rFonts w:cs="Tahoma"/>
          <w:bCs/>
          <w:szCs w:val="22"/>
        </w:rPr>
      </w:pPr>
    </w:p>
    <w:p w14:paraId="7C13D1A0" w14:textId="724F7310" w:rsidR="00BD5A7C" w:rsidRPr="0080245A" w:rsidRDefault="0031457D" w:rsidP="00FE422A">
      <w:r w:rsidRPr="0080245A">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CFE1EED" w14:textId="44CEF39F" w:rsidR="00FE422A" w:rsidRPr="0080245A" w:rsidRDefault="00FE422A" w:rsidP="00FE422A"/>
    <w:p w14:paraId="5264F294" w14:textId="77777777" w:rsidR="00FE422A" w:rsidRPr="0080245A" w:rsidRDefault="00FE422A" w:rsidP="00FE422A"/>
    <w:p w14:paraId="5C396097" w14:textId="684A0E4F" w:rsidR="00664420" w:rsidRPr="0080245A" w:rsidRDefault="00664420" w:rsidP="00FE422A">
      <w:pPr>
        <w:pStyle w:val="Ttulo1"/>
      </w:pPr>
      <w:bookmarkStart w:id="31" w:name="_Toc212099335"/>
      <w:r w:rsidRPr="0080245A">
        <w:lastRenderedPageBreak/>
        <w:t>RESUELVE</w:t>
      </w:r>
      <w:bookmarkEnd w:id="31"/>
    </w:p>
    <w:p w14:paraId="203B7093" w14:textId="77777777" w:rsidR="00664420" w:rsidRPr="0080245A" w:rsidRDefault="00664420" w:rsidP="00FE422A">
      <w:pPr>
        <w:ind w:right="113"/>
        <w:rPr>
          <w:rFonts w:cs="Arial"/>
          <w:b/>
          <w:szCs w:val="22"/>
        </w:rPr>
      </w:pPr>
    </w:p>
    <w:p w14:paraId="40DE562B" w14:textId="46B53314" w:rsidR="00FC3CE0" w:rsidRPr="0080245A" w:rsidRDefault="00FC3CE0" w:rsidP="00FE422A">
      <w:pPr>
        <w:widowControl w:val="0"/>
        <w:rPr>
          <w:rFonts w:eastAsia="Calibri" w:cs="Tahoma"/>
          <w:bCs/>
          <w:szCs w:val="22"/>
          <w:lang w:eastAsia="en-US"/>
        </w:rPr>
      </w:pPr>
      <w:r w:rsidRPr="0080245A">
        <w:rPr>
          <w:b/>
          <w:bCs/>
        </w:rPr>
        <w:t>PRIMERO.</w:t>
      </w:r>
      <w:r w:rsidRPr="0080245A">
        <w:t xml:space="preserve"> </w:t>
      </w:r>
      <w:r w:rsidRPr="0080245A">
        <w:rPr>
          <w:rFonts w:cs="Tahoma"/>
          <w:szCs w:val="22"/>
        </w:rPr>
        <w:t xml:space="preserve">Se </w:t>
      </w:r>
      <w:r w:rsidR="004E5068" w:rsidRPr="0080245A">
        <w:rPr>
          <w:rFonts w:cs="Tahoma"/>
          <w:b/>
          <w:bCs/>
          <w:szCs w:val="22"/>
        </w:rPr>
        <w:t>MODIFICA</w:t>
      </w:r>
      <w:r w:rsidRPr="0080245A">
        <w:rPr>
          <w:rFonts w:cs="Tahoma"/>
          <w:szCs w:val="22"/>
        </w:rPr>
        <w:t xml:space="preserve"> la respuesta entregada por el </w:t>
      </w:r>
      <w:r w:rsidR="004E5068" w:rsidRPr="0080245A">
        <w:rPr>
          <w:rFonts w:cs="Tahoma"/>
          <w:b/>
          <w:bCs/>
          <w:szCs w:val="22"/>
        </w:rPr>
        <w:t>SUJETO OBLIGADO</w:t>
      </w:r>
      <w:r w:rsidR="004E5068" w:rsidRPr="0080245A">
        <w:rPr>
          <w:rFonts w:cs="Tahoma"/>
          <w:szCs w:val="22"/>
        </w:rPr>
        <w:t xml:space="preserve"> </w:t>
      </w:r>
      <w:r w:rsidR="0041385B" w:rsidRPr="0080245A">
        <w:rPr>
          <w:rFonts w:cs="Tahoma"/>
          <w:szCs w:val="22"/>
        </w:rPr>
        <w:t>en</w:t>
      </w:r>
      <w:r w:rsidRPr="0080245A">
        <w:rPr>
          <w:rFonts w:cs="Tahoma"/>
          <w:szCs w:val="22"/>
        </w:rPr>
        <w:t xml:space="preserve"> la solicitud de información </w:t>
      </w:r>
      <w:r w:rsidR="00E625D3" w:rsidRPr="0080245A">
        <w:rPr>
          <w:rFonts w:cs="Tahoma"/>
          <w:b/>
          <w:bCs/>
        </w:rPr>
        <w:t>00744/UAEM/IP/2025</w:t>
      </w:r>
      <w:r w:rsidR="00E625D3" w:rsidRPr="0080245A">
        <w:rPr>
          <w:rFonts w:cs="Tahoma"/>
        </w:rPr>
        <w:t>,</w:t>
      </w:r>
      <w:r w:rsidRPr="0080245A">
        <w:rPr>
          <w:rFonts w:cs="Tahoma"/>
          <w:bCs/>
          <w:szCs w:val="22"/>
        </w:rPr>
        <w:t xml:space="preserve"> </w:t>
      </w:r>
      <w:r w:rsidRPr="0080245A">
        <w:rPr>
          <w:rFonts w:eastAsia="Calibri" w:cs="Tahoma"/>
          <w:bCs/>
          <w:szCs w:val="22"/>
          <w:lang w:eastAsia="en-US"/>
        </w:rPr>
        <w:t xml:space="preserve">por resultar </w:t>
      </w:r>
      <w:r w:rsidRPr="0080245A">
        <w:rPr>
          <w:rFonts w:eastAsia="Calibri" w:cs="Tahoma"/>
          <w:b/>
          <w:bCs/>
          <w:szCs w:val="22"/>
          <w:lang w:eastAsia="en-US"/>
        </w:rPr>
        <w:t>FUNDADAS</w:t>
      </w:r>
      <w:r w:rsidRPr="0080245A">
        <w:rPr>
          <w:rFonts w:eastAsia="Calibri" w:cs="Tahoma"/>
          <w:bCs/>
          <w:szCs w:val="22"/>
          <w:lang w:eastAsia="en-US"/>
        </w:rPr>
        <w:t xml:space="preserve"> las razones o motivos de inconformidad hechos valer por </w:t>
      </w:r>
      <w:r w:rsidRPr="0080245A">
        <w:rPr>
          <w:rFonts w:eastAsia="Calibri" w:cs="Tahoma"/>
          <w:b/>
          <w:szCs w:val="22"/>
          <w:lang w:eastAsia="en-US"/>
        </w:rPr>
        <w:t>LA PARTE RECURRENTE</w:t>
      </w:r>
      <w:r w:rsidRPr="0080245A">
        <w:rPr>
          <w:rFonts w:eastAsia="Calibri" w:cs="Tahoma"/>
          <w:bCs/>
          <w:szCs w:val="22"/>
          <w:lang w:eastAsia="en-US"/>
        </w:rPr>
        <w:t xml:space="preserve"> en el Recurso de Revisión </w:t>
      </w:r>
      <w:r w:rsidR="00E625D3" w:rsidRPr="0080245A">
        <w:rPr>
          <w:rFonts w:eastAsia="Calibri" w:cs="Tahoma"/>
          <w:b/>
          <w:bCs/>
          <w:szCs w:val="22"/>
          <w:lang w:eastAsia="en-US"/>
        </w:rPr>
        <w:t>06212</w:t>
      </w:r>
      <w:r w:rsidRPr="0080245A">
        <w:rPr>
          <w:rFonts w:eastAsiaTheme="minorHAnsi" w:cstheme="minorBidi"/>
          <w:b/>
          <w:bCs/>
          <w:szCs w:val="22"/>
          <w:lang w:eastAsia="en-US"/>
        </w:rPr>
        <w:t>/INFOEM/IP/RR/</w:t>
      </w:r>
      <w:r w:rsidR="00E625D3" w:rsidRPr="0080245A">
        <w:rPr>
          <w:rFonts w:eastAsiaTheme="minorHAnsi" w:cstheme="minorBidi"/>
          <w:b/>
          <w:bCs/>
          <w:szCs w:val="22"/>
          <w:lang w:eastAsia="en-US"/>
        </w:rPr>
        <w:t>2025</w:t>
      </w:r>
      <w:r w:rsidRPr="0080245A">
        <w:rPr>
          <w:rFonts w:eastAsiaTheme="minorHAnsi" w:cstheme="minorBidi"/>
          <w:szCs w:val="22"/>
          <w:lang w:eastAsia="en-US"/>
        </w:rPr>
        <w:t>,</w:t>
      </w:r>
      <w:r w:rsidRPr="0080245A">
        <w:rPr>
          <w:rFonts w:cs="Tahoma"/>
          <w:b/>
          <w:szCs w:val="22"/>
        </w:rPr>
        <w:t xml:space="preserve"> </w:t>
      </w:r>
      <w:r w:rsidRPr="0080245A">
        <w:rPr>
          <w:rFonts w:eastAsia="Calibri" w:cs="Tahoma"/>
          <w:bCs/>
          <w:szCs w:val="22"/>
          <w:lang w:eastAsia="en-US"/>
        </w:rPr>
        <w:t xml:space="preserve">en términos del considerando </w:t>
      </w:r>
      <w:r w:rsidRPr="0080245A">
        <w:rPr>
          <w:rFonts w:eastAsia="Calibri" w:cs="Tahoma"/>
          <w:b/>
          <w:szCs w:val="22"/>
          <w:lang w:eastAsia="en-US"/>
        </w:rPr>
        <w:t>SEGUNDO</w:t>
      </w:r>
      <w:r w:rsidRPr="0080245A">
        <w:rPr>
          <w:rFonts w:eastAsia="Calibri" w:cs="Tahoma"/>
          <w:bCs/>
          <w:szCs w:val="22"/>
          <w:lang w:eastAsia="en-US"/>
        </w:rPr>
        <w:t xml:space="preserve"> de la presente Resolución.</w:t>
      </w:r>
    </w:p>
    <w:p w14:paraId="78D4A482" w14:textId="77777777" w:rsidR="00FC3CE0" w:rsidRPr="0080245A" w:rsidRDefault="00FC3CE0" w:rsidP="00FE422A">
      <w:pPr>
        <w:widowControl w:val="0"/>
        <w:rPr>
          <w:rFonts w:eastAsia="Calibri" w:cs="Tahoma"/>
          <w:bCs/>
          <w:szCs w:val="22"/>
          <w:lang w:eastAsia="en-US"/>
        </w:rPr>
      </w:pPr>
    </w:p>
    <w:p w14:paraId="16CF919C" w14:textId="370C9FE3" w:rsidR="00FC3CE0" w:rsidRPr="0080245A" w:rsidRDefault="00FC3CE0" w:rsidP="00FE422A">
      <w:pPr>
        <w:ind w:right="-93"/>
        <w:rPr>
          <w:rFonts w:eastAsia="Calibri" w:cs="Tahoma"/>
          <w:bCs/>
          <w:szCs w:val="22"/>
          <w:lang w:eastAsia="en-US"/>
        </w:rPr>
      </w:pPr>
      <w:r w:rsidRPr="0080245A">
        <w:rPr>
          <w:rFonts w:eastAsia="Calibri" w:cs="Tahoma"/>
          <w:b/>
          <w:bCs/>
          <w:szCs w:val="22"/>
          <w:lang w:eastAsia="en-US"/>
        </w:rPr>
        <w:t>SEGUNDO.</w:t>
      </w:r>
      <w:r w:rsidRPr="0080245A">
        <w:rPr>
          <w:rFonts w:eastAsia="Calibri" w:cs="Tahoma"/>
          <w:szCs w:val="22"/>
          <w:lang w:eastAsia="es-MX"/>
        </w:rPr>
        <w:t xml:space="preserve"> Se </w:t>
      </w:r>
      <w:r w:rsidRPr="0080245A">
        <w:rPr>
          <w:rFonts w:eastAsia="Calibri" w:cs="Tahoma"/>
          <w:b/>
          <w:szCs w:val="22"/>
          <w:lang w:eastAsia="es-MX"/>
        </w:rPr>
        <w:t xml:space="preserve">ORDENA </w:t>
      </w:r>
      <w:r w:rsidRPr="0080245A">
        <w:rPr>
          <w:rFonts w:eastAsia="Calibri" w:cs="Tahoma"/>
          <w:szCs w:val="22"/>
          <w:lang w:eastAsia="es-MX"/>
        </w:rPr>
        <w:t xml:space="preserve">al </w:t>
      </w:r>
      <w:r w:rsidRPr="0080245A">
        <w:rPr>
          <w:rFonts w:eastAsia="Calibri" w:cs="Tahoma"/>
          <w:b/>
          <w:bCs/>
          <w:szCs w:val="22"/>
          <w:lang w:eastAsia="es-MX"/>
        </w:rPr>
        <w:t>SUJETO OBLIGADO</w:t>
      </w:r>
      <w:r w:rsidRPr="0080245A">
        <w:rPr>
          <w:rFonts w:eastAsia="Calibri" w:cs="Tahoma"/>
          <w:szCs w:val="22"/>
          <w:lang w:eastAsia="es-MX"/>
        </w:rPr>
        <w:t xml:space="preserve">, </w:t>
      </w:r>
      <w:r w:rsidRPr="0080245A">
        <w:rPr>
          <w:rFonts w:eastAsia="Calibri" w:cs="Tahoma"/>
          <w:bCs/>
          <w:szCs w:val="22"/>
          <w:lang w:eastAsia="en-US"/>
        </w:rPr>
        <w:t xml:space="preserve">a efecto de que, previa búsqueda exhaustiva y razonable de la información, entregue a través del </w:t>
      </w:r>
      <w:r w:rsidR="00233005" w:rsidRPr="0080245A">
        <w:rPr>
          <w:rFonts w:eastAsia="Calibri" w:cs="Tahoma"/>
          <w:b/>
          <w:bCs/>
          <w:szCs w:val="22"/>
          <w:lang w:eastAsia="en-US"/>
        </w:rPr>
        <w:t>SAIMEX</w:t>
      </w:r>
      <w:r w:rsidR="00233005" w:rsidRPr="0080245A">
        <w:rPr>
          <w:rFonts w:eastAsia="Calibri" w:cs="Tahoma"/>
          <w:bCs/>
          <w:szCs w:val="22"/>
          <w:lang w:eastAsia="en-US"/>
        </w:rPr>
        <w:t xml:space="preserve">, </w:t>
      </w:r>
      <w:r w:rsidR="005B08E6" w:rsidRPr="0080245A">
        <w:rPr>
          <w:rFonts w:eastAsia="Calibri" w:cs="Tahoma"/>
          <w:bCs/>
          <w:szCs w:val="22"/>
          <w:lang w:eastAsia="en-US"/>
        </w:rPr>
        <w:t>de ser procedente en</w:t>
      </w:r>
      <w:r w:rsidRPr="0080245A">
        <w:rPr>
          <w:rFonts w:eastAsia="Calibri" w:cs="Tahoma"/>
          <w:bCs/>
          <w:szCs w:val="22"/>
          <w:lang w:eastAsia="en-US"/>
        </w:rPr>
        <w:t xml:space="preserve"> </w:t>
      </w:r>
      <w:r w:rsidRPr="0080245A">
        <w:rPr>
          <w:rFonts w:eastAsia="Calibri" w:cs="Tahoma"/>
          <w:b/>
          <w:bCs/>
          <w:szCs w:val="22"/>
          <w:lang w:eastAsia="en-US"/>
        </w:rPr>
        <w:t>versión pública</w:t>
      </w:r>
      <w:r w:rsidRPr="0080245A">
        <w:rPr>
          <w:rFonts w:eastAsia="Calibri" w:cs="Tahoma"/>
          <w:bCs/>
          <w:szCs w:val="22"/>
          <w:lang w:eastAsia="en-US"/>
        </w:rPr>
        <w:t>, los documentos que den cuenta de lo siguiente:</w:t>
      </w:r>
    </w:p>
    <w:p w14:paraId="4C119EAE" w14:textId="77777777" w:rsidR="00E625D3" w:rsidRPr="0080245A" w:rsidRDefault="00E625D3" w:rsidP="00FE422A">
      <w:pPr>
        <w:ind w:right="-93"/>
        <w:rPr>
          <w:rFonts w:eastAsia="Calibri" w:cs="Tahoma"/>
          <w:bCs/>
          <w:szCs w:val="22"/>
          <w:lang w:eastAsia="en-US"/>
        </w:rPr>
      </w:pPr>
    </w:p>
    <w:p w14:paraId="12FA7497" w14:textId="77777777" w:rsidR="005A2D80" w:rsidRPr="0080245A" w:rsidRDefault="00E625D3" w:rsidP="00FE422A">
      <w:pPr>
        <w:pStyle w:val="Puesto"/>
        <w:numPr>
          <w:ilvl w:val="0"/>
          <w:numId w:val="25"/>
        </w:numPr>
        <w:spacing w:line="276" w:lineRule="auto"/>
        <w:ind w:left="851" w:right="822"/>
        <w:rPr>
          <w:rFonts w:eastAsia="Calibri"/>
          <w:i w:val="0"/>
          <w:lang w:eastAsia="es-ES_tradnl"/>
        </w:rPr>
      </w:pPr>
      <w:r w:rsidRPr="0080245A">
        <w:rPr>
          <w:rFonts w:eastAsia="Calibri"/>
          <w:i w:val="0"/>
          <w:lang w:eastAsia="es-ES_tradnl"/>
        </w:rPr>
        <w:t xml:space="preserve">Documento donde conste la información que acredite el incremento porcentual del salario correspondiente al servidor público </w:t>
      </w:r>
      <w:r w:rsidR="00842F03" w:rsidRPr="0080245A">
        <w:rPr>
          <w:rFonts w:eastAsia="Calibri"/>
          <w:i w:val="0"/>
          <w:lang w:eastAsia="es-ES_tradnl"/>
        </w:rPr>
        <w:t>precisado en la solicitud, al 07 de abril de 2025</w:t>
      </w:r>
      <w:r w:rsidRPr="0080245A">
        <w:rPr>
          <w:rFonts w:eastAsia="Calibri"/>
          <w:i w:val="0"/>
          <w:lang w:eastAsia="es-ES_tradnl"/>
        </w:rPr>
        <w:t>.</w:t>
      </w:r>
    </w:p>
    <w:p w14:paraId="11EC2CD1" w14:textId="77777777" w:rsidR="005A2D80" w:rsidRPr="0080245A" w:rsidRDefault="005A2D80" w:rsidP="00FE422A">
      <w:pPr>
        <w:rPr>
          <w:rFonts w:eastAsia="Calibri"/>
          <w:lang w:eastAsia="es-ES_tradnl"/>
        </w:rPr>
      </w:pPr>
    </w:p>
    <w:p w14:paraId="48C3E239" w14:textId="2250DB51" w:rsidR="00E625D3" w:rsidRPr="0080245A" w:rsidRDefault="00E625D3" w:rsidP="00FE422A">
      <w:pPr>
        <w:pStyle w:val="Puesto"/>
        <w:numPr>
          <w:ilvl w:val="0"/>
          <w:numId w:val="25"/>
        </w:numPr>
        <w:spacing w:line="276" w:lineRule="auto"/>
        <w:ind w:left="851" w:right="822"/>
        <w:rPr>
          <w:rFonts w:eastAsia="Calibri"/>
          <w:i w:val="0"/>
          <w:lang w:eastAsia="es-ES_tradnl"/>
        </w:rPr>
      </w:pPr>
      <w:r w:rsidRPr="0080245A">
        <w:rPr>
          <w:rFonts w:eastAsia="Calibri"/>
          <w:i w:val="0"/>
          <w:lang w:eastAsia="es-ES_tradnl"/>
        </w:rPr>
        <w:t>Los</w:t>
      </w:r>
      <w:r w:rsidR="00291B36" w:rsidRPr="0080245A">
        <w:rPr>
          <w:rFonts w:eastAsia="Calibri"/>
          <w:i w:val="0"/>
          <w:lang w:eastAsia="es-ES_tradnl"/>
        </w:rPr>
        <w:t xml:space="preserve"> dos</w:t>
      </w:r>
      <w:r w:rsidRPr="0080245A">
        <w:rPr>
          <w:rFonts w:eastAsia="Calibri"/>
          <w:i w:val="0"/>
          <w:lang w:eastAsia="es-ES_tradnl"/>
        </w:rPr>
        <w:t xml:space="preserve"> recibos de nómina del servidor público correspondientes al periodo inmediato anterior y poste</w:t>
      </w:r>
      <w:r w:rsidR="00291B36" w:rsidRPr="0080245A">
        <w:rPr>
          <w:rFonts w:eastAsia="Calibri"/>
          <w:i w:val="0"/>
          <w:lang w:eastAsia="es-ES_tradnl"/>
        </w:rPr>
        <w:t>rior al incremento, (por ejemplo, diciembre 2024 y enero 2025), a fin de que el solicitante pueda constatar la aplicación efectiva del incremento salarial.</w:t>
      </w:r>
    </w:p>
    <w:p w14:paraId="258459AC" w14:textId="77777777" w:rsidR="00E625D3" w:rsidRPr="0080245A" w:rsidRDefault="00E625D3" w:rsidP="00FE422A">
      <w:pPr>
        <w:ind w:left="851" w:right="822"/>
        <w:rPr>
          <w:rFonts w:eastAsia="Calibri" w:cs="Tahoma"/>
          <w:bCs/>
          <w:szCs w:val="22"/>
          <w:lang w:eastAsia="en-US"/>
        </w:rPr>
      </w:pPr>
    </w:p>
    <w:p w14:paraId="76973A25" w14:textId="24D02FB5" w:rsidR="005B08E6" w:rsidRPr="0080245A" w:rsidRDefault="005B08E6" w:rsidP="00FE422A">
      <w:pPr>
        <w:rPr>
          <w:bCs/>
        </w:rPr>
      </w:pPr>
      <w:r w:rsidRPr="0080245A">
        <w:rPr>
          <w:bCs/>
        </w:rPr>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EB13319" w14:textId="77777777" w:rsidR="00B22BC5" w:rsidRPr="0080245A" w:rsidRDefault="00B22BC5" w:rsidP="00FE422A">
      <w:pPr>
        <w:rPr>
          <w:bCs/>
        </w:rPr>
      </w:pPr>
    </w:p>
    <w:p w14:paraId="61C2F836" w14:textId="3D773CE6" w:rsidR="00B22BC5" w:rsidRPr="0080245A" w:rsidRDefault="00B22BC5" w:rsidP="00FE422A">
      <w:pPr>
        <w:rPr>
          <w:bCs/>
        </w:rPr>
      </w:pPr>
      <w:r w:rsidRPr="0080245A">
        <w:rPr>
          <w:bCs/>
        </w:rPr>
        <w:lastRenderedPageBreak/>
        <w:t>Una vez realizada la búsqueda exhaustiva y razonable para el caso de</w:t>
      </w:r>
      <w:r w:rsidR="005A2D80" w:rsidRPr="0080245A">
        <w:rPr>
          <w:bCs/>
        </w:rPr>
        <w:t xml:space="preserve"> que no se haya generado el incremento salarial al 07 de abril de 2025, </w:t>
      </w:r>
      <w:r w:rsidRPr="0080245A">
        <w:rPr>
          <w:bCs/>
        </w:rPr>
        <w:t xml:space="preserve">bastará con que </w:t>
      </w:r>
      <w:r w:rsidR="005A2D80" w:rsidRPr="0080245A">
        <w:rPr>
          <w:bCs/>
        </w:rPr>
        <w:t xml:space="preserve">el </w:t>
      </w:r>
      <w:r w:rsidRPr="0080245A">
        <w:rPr>
          <w:bCs/>
        </w:rPr>
        <w:t xml:space="preserve">Sujeto Obligado lo haga del conocimiento del Recurrente, </w:t>
      </w:r>
      <w:r w:rsidRPr="0080245A">
        <w:rPr>
          <w:rFonts w:eastAsia="Palatino Linotype" w:cs="Palatino Linotype"/>
        </w:rPr>
        <w:t>atendiendo las formalidades que establece el artículo 19, párrafo segundo de la Ley de Transparencia y Acceso a la Información Pública del Estado de México y Municipios.</w:t>
      </w:r>
    </w:p>
    <w:p w14:paraId="2942B765" w14:textId="77777777" w:rsidR="00E625D3" w:rsidRPr="0080245A" w:rsidRDefault="00E625D3" w:rsidP="00FE422A">
      <w:pPr>
        <w:rPr>
          <w:b/>
          <w:bCs/>
        </w:rPr>
      </w:pPr>
    </w:p>
    <w:p w14:paraId="3230BFEF" w14:textId="77777777" w:rsidR="009A0277" w:rsidRPr="0080245A" w:rsidRDefault="009A0277" w:rsidP="00FE422A">
      <w:r w:rsidRPr="0080245A">
        <w:rPr>
          <w:b/>
          <w:bCs/>
        </w:rPr>
        <w:t>TERCERO.</w:t>
      </w:r>
      <w:r w:rsidRPr="0080245A">
        <w:t xml:space="preserve"> </w:t>
      </w:r>
      <w:r w:rsidRPr="0080245A">
        <w:rPr>
          <w:rFonts w:eastAsia="Palatino Linotype" w:cs="Palatino Linotype"/>
          <w:b/>
          <w:lang w:eastAsia="es-MX"/>
        </w:rPr>
        <w:t xml:space="preserve">Notifíquese </w:t>
      </w:r>
      <w:r w:rsidRPr="0080245A">
        <w:rPr>
          <w:szCs w:val="17"/>
          <w:lang w:eastAsia="es-ES_tradnl"/>
        </w:rPr>
        <w:t xml:space="preserve">vía </w:t>
      </w:r>
      <w:r w:rsidRPr="0080245A">
        <w:rPr>
          <w:rFonts w:cs="Arial"/>
        </w:rPr>
        <w:t>Sistema de Acceso a la Información Mexiquense (</w:t>
      </w:r>
      <w:r w:rsidRPr="0080245A">
        <w:rPr>
          <w:rFonts w:cs="Arial"/>
          <w:b/>
          <w:bCs/>
        </w:rPr>
        <w:t>SAIMEX)</w:t>
      </w:r>
      <w:r w:rsidRPr="0080245A">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80245A" w:rsidRDefault="00FC3CE0" w:rsidP="00FE422A"/>
    <w:p w14:paraId="16A4F4E2" w14:textId="64DF9CE2" w:rsidR="00FC3CE0" w:rsidRPr="0080245A" w:rsidRDefault="00FC3CE0" w:rsidP="00FE422A">
      <w:r w:rsidRPr="0080245A">
        <w:rPr>
          <w:b/>
          <w:bCs/>
        </w:rPr>
        <w:t>CUARTO.</w:t>
      </w:r>
      <w:r w:rsidRPr="0080245A">
        <w:t xml:space="preserve"> Notifíquese a </w:t>
      </w:r>
      <w:r w:rsidRPr="0080245A">
        <w:rPr>
          <w:b/>
          <w:bCs/>
        </w:rPr>
        <w:t>LA PARTE RECURRENTE</w:t>
      </w:r>
      <w:r w:rsidRPr="0080245A">
        <w:t xml:space="preserve"> la presente resolución vía Sistema de Acceso a la Información Mexiquense </w:t>
      </w:r>
      <w:r w:rsidR="008B1E16" w:rsidRPr="0080245A">
        <w:t>(</w:t>
      </w:r>
      <w:r w:rsidRPr="0080245A">
        <w:rPr>
          <w:b/>
        </w:rPr>
        <w:t>SAIMEX</w:t>
      </w:r>
      <w:r w:rsidR="008B1E16" w:rsidRPr="0080245A">
        <w:t>)</w:t>
      </w:r>
      <w:r w:rsidRPr="0080245A">
        <w:t>.</w:t>
      </w:r>
    </w:p>
    <w:p w14:paraId="515336ED" w14:textId="77777777" w:rsidR="00FC3CE0" w:rsidRPr="0080245A" w:rsidRDefault="00FC3CE0" w:rsidP="00FE422A"/>
    <w:p w14:paraId="006EFE1D" w14:textId="07CDFDE4" w:rsidR="00FC3CE0" w:rsidRPr="0080245A" w:rsidRDefault="00FC3CE0" w:rsidP="00FE422A">
      <w:r w:rsidRPr="0080245A">
        <w:rPr>
          <w:b/>
          <w:bCs/>
        </w:rPr>
        <w:t>QUINTO</w:t>
      </w:r>
      <w:r w:rsidRPr="0080245A">
        <w:t>. Hágase del conocimiento a</w:t>
      </w:r>
      <w:r w:rsidR="008B1E16" w:rsidRPr="0080245A">
        <w:t xml:space="preserve"> </w:t>
      </w:r>
      <w:r w:rsidR="008B1E16" w:rsidRPr="0080245A">
        <w:rPr>
          <w:b/>
          <w:bCs/>
        </w:rPr>
        <w:t xml:space="preserve">LA PARTE </w:t>
      </w:r>
      <w:r w:rsidRPr="0080245A">
        <w:rPr>
          <w:b/>
          <w:bCs/>
        </w:rPr>
        <w:t>RECURRENTE</w:t>
      </w:r>
      <w:r w:rsidRPr="0080245A">
        <w:t xml:space="preserve"> que</w:t>
      </w:r>
      <w:r w:rsidR="008B1E16" w:rsidRPr="0080245A">
        <w:t>,</w:t>
      </w:r>
      <w:r w:rsidRPr="0080245A">
        <w:t xml:space="preserve"> de conformidad con lo establecido en el artículo 196 de la Ley de Transparencia y Acceso a la Información Pública del Estado de México y Municipios, podrá impugnar</w:t>
      </w:r>
      <w:r w:rsidR="008B1E16" w:rsidRPr="0080245A">
        <w:t xml:space="preserve"> la presente resolución</w:t>
      </w:r>
      <w:r w:rsidRPr="0080245A">
        <w:t xml:space="preserve"> vía Juicio de Amparo en los términos de las leyes aplicables.</w:t>
      </w:r>
    </w:p>
    <w:p w14:paraId="1FDCA0FE" w14:textId="77777777" w:rsidR="00163D12" w:rsidRPr="0080245A" w:rsidRDefault="00163D12" w:rsidP="00FE422A"/>
    <w:p w14:paraId="43DF9D99" w14:textId="4C6E52F9" w:rsidR="00FC3CE0" w:rsidRPr="0080245A" w:rsidRDefault="00FC3CE0" w:rsidP="00FE422A">
      <w:r w:rsidRPr="0080245A">
        <w:rPr>
          <w:b/>
          <w:bCs/>
        </w:rPr>
        <w:lastRenderedPageBreak/>
        <w:t>SEXTO.</w:t>
      </w:r>
      <w:r w:rsidRPr="0080245A">
        <w:t xml:space="preserve"> De conformidad con el artículo 198 de la Ley de Transparencia y Acceso a la Información Pública del Estado de México y Municipios, el </w:t>
      </w:r>
      <w:r w:rsidR="008B1E16" w:rsidRPr="0080245A">
        <w:rPr>
          <w:b/>
          <w:bCs/>
        </w:rPr>
        <w:t>SUJETO OBLIGADO</w:t>
      </w:r>
      <w:r w:rsidR="008B1E16" w:rsidRPr="0080245A">
        <w:t xml:space="preserve"> </w:t>
      </w:r>
      <w:r w:rsidRPr="0080245A">
        <w:t>podrá solicitar</w:t>
      </w:r>
      <w:r w:rsidR="008B1E16" w:rsidRPr="0080245A">
        <w:t xml:space="preserve"> </w:t>
      </w:r>
      <w:r w:rsidRPr="0080245A">
        <w:t xml:space="preserve">una ampliación de plazo </w:t>
      </w:r>
      <w:r w:rsidR="008B1E16" w:rsidRPr="0080245A">
        <w:t xml:space="preserve">de manera fundada y motivada, </w:t>
      </w:r>
      <w:r w:rsidRPr="0080245A">
        <w:t>para el cumplimiento de la presente resolución.</w:t>
      </w:r>
    </w:p>
    <w:p w14:paraId="2BC8564F" w14:textId="77777777" w:rsidR="00FC3CE0" w:rsidRPr="0080245A" w:rsidRDefault="00FC3CE0" w:rsidP="00FE422A">
      <w:pPr>
        <w:ind w:right="113"/>
        <w:rPr>
          <w:rFonts w:cs="Arial"/>
          <w:b/>
          <w:szCs w:val="22"/>
        </w:rPr>
      </w:pPr>
    </w:p>
    <w:p w14:paraId="5243958B" w14:textId="6F33E8D6" w:rsidR="00842F03" w:rsidRPr="0080245A" w:rsidRDefault="00842F03" w:rsidP="00FE422A">
      <w:pPr>
        <w:ind w:right="-93"/>
      </w:pPr>
      <w:r w:rsidRPr="0080245A">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w:t>
      </w:r>
      <w:r w:rsidR="008226CC" w:rsidRPr="0080245A">
        <w:t>,</w:t>
      </w:r>
      <w:r w:rsidRPr="0080245A">
        <w:t xml:space="preserve"> ANTE EL SECRETARIO TÉCNICO DEL PLENO, ALEXIS TAPIA RAMÍREZ.</w:t>
      </w:r>
    </w:p>
    <w:p w14:paraId="2AB73DBD" w14:textId="13EED3CE" w:rsidR="009A0277" w:rsidRPr="00FE422A" w:rsidRDefault="009A0277" w:rsidP="00FE422A">
      <w:pPr>
        <w:widowControl w:val="0"/>
        <w:autoSpaceDE w:val="0"/>
        <w:autoSpaceDN w:val="0"/>
        <w:adjustRightInd w:val="0"/>
        <w:rPr>
          <w:rFonts w:eastAsiaTheme="minorEastAsia"/>
          <w:sz w:val="18"/>
          <w:szCs w:val="18"/>
          <w:lang w:val="it-IT"/>
        </w:rPr>
      </w:pPr>
      <w:r w:rsidRPr="0080245A">
        <w:rPr>
          <w:rFonts w:eastAsiaTheme="minorEastAsia"/>
          <w:sz w:val="18"/>
          <w:szCs w:val="18"/>
          <w:lang w:val="it-IT"/>
        </w:rPr>
        <w:t>SCMM/AGZ/DEMF/</w:t>
      </w:r>
      <w:r w:rsidR="00842F03" w:rsidRPr="0080245A">
        <w:rPr>
          <w:rFonts w:eastAsiaTheme="minorEastAsia"/>
          <w:sz w:val="18"/>
          <w:szCs w:val="18"/>
          <w:lang w:val="it-IT"/>
        </w:rPr>
        <w:t>AGE</w:t>
      </w:r>
      <w:bookmarkStart w:id="32" w:name="_GoBack"/>
      <w:bookmarkEnd w:id="32"/>
    </w:p>
    <w:p w14:paraId="49D72DA3" w14:textId="77777777" w:rsidR="00664420" w:rsidRPr="00FE422A" w:rsidRDefault="00664420" w:rsidP="00FE422A">
      <w:pPr>
        <w:ind w:right="-93"/>
        <w:rPr>
          <w:rFonts w:eastAsia="Calibri" w:cs="Tahoma"/>
          <w:bCs/>
          <w:szCs w:val="22"/>
          <w:lang w:eastAsia="en-US"/>
        </w:rPr>
      </w:pPr>
    </w:p>
    <w:p w14:paraId="5EFEA0CD" w14:textId="77777777" w:rsidR="00664420" w:rsidRPr="00FE422A" w:rsidRDefault="00664420" w:rsidP="00FE422A">
      <w:pPr>
        <w:ind w:right="-93"/>
        <w:rPr>
          <w:rFonts w:eastAsia="Calibri" w:cs="Tahoma"/>
          <w:szCs w:val="22"/>
          <w:lang w:val="es-ES"/>
        </w:rPr>
      </w:pPr>
    </w:p>
    <w:p w14:paraId="696BC976" w14:textId="77777777" w:rsidR="00664420" w:rsidRPr="00FE422A" w:rsidRDefault="00664420" w:rsidP="00FE422A">
      <w:pPr>
        <w:ind w:right="-93"/>
        <w:rPr>
          <w:rFonts w:eastAsia="Calibri" w:cs="Tahoma"/>
          <w:bCs/>
          <w:szCs w:val="22"/>
          <w:lang w:val="es-ES" w:eastAsia="en-US"/>
        </w:rPr>
      </w:pPr>
    </w:p>
    <w:p w14:paraId="671CB0C5" w14:textId="77777777" w:rsidR="00664420" w:rsidRPr="00FE422A" w:rsidRDefault="00664420" w:rsidP="00FE422A">
      <w:pPr>
        <w:ind w:right="-93"/>
        <w:rPr>
          <w:rFonts w:eastAsia="Calibri" w:cs="Tahoma"/>
          <w:bCs/>
          <w:szCs w:val="22"/>
          <w:lang w:val="es-ES_tradnl" w:eastAsia="en-US"/>
        </w:rPr>
      </w:pPr>
    </w:p>
    <w:p w14:paraId="52B66DE7" w14:textId="77777777" w:rsidR="00664420" w:rsidRPr="00FE422A" w:rsidRDefault="00664420" w:rsidP="00FE422A">
      <w:pPr>
        <w:ind w:right="-93"/>
        <w:rPr>
          <w:rFonts w:eastAsia="Calibri" w:cs="Tahoma"/>
          <w:bCs/>
          <w:szCs w:val="22"/>
          <w:lang w:val="es-ES_tradnl" w:eastAsia="en-US"/>
        </w:rPr>
      </w:pPr>
    </w:p>
    <w:p w14:paraId="3BA305D1" w14:textId="77777777" w:rsidR="00664420" w:rsidRPr="00FE422A" w:rsidRDefault="00664420" w:rsidP="00FE422A">
      <w:pPr>
        <w:ind w:right="-93"/>
        <w:rPr>
          <w:rFonts w:eastAsia="Calibri" w:cs="Tahoma"/>
          <w:bCs/>
          <w:szCs w:val="22"/>
          <w:lang w:val="es-ES_tradnl" w:eastAsia="en-US"/>
        </w:rPr>
      </w:pPr>
    </w:p>
    <w:p w14:paraId="78230707" w14:textId="77777777" w:rsidR="00664420" w:rsidRPr="00FE422A" w:rsidRDefault="00664420" w:rsidP="00FE422A">
      <w:pPr>
        <w:ind w:right="-93"/>
        <w:rPr>
          <w:rFonts w:eastAsia="Calibri" w:cs="Tahoma"/>
          <w:bCs/>
          <w:szCs w:val="22"/>
          <w:lang w:val="es-ES_tradnl" w:eastAsia="en-US"/>
        </w:rPr>
      </w:pPr>
    </w:p>
    <w:p w14:paraId="72D18B28" w14:textId="77777777" w:rsidR="00664420" w:rsidRPr="00FE422A" w:rsidRDefault="00664420" w:rsidP="00FE422A">
      <w:pPr>
        <w:ind w:right="-93"/>
        <w:rPr>
          <w:rFonts w:eastAsia="Calibri" w:cs="Tahoma"/>
          <w:bCs/>
          <w:szCs w:val="22"/>
          <w:lang w:val="es-ES_tradnl" w:eastAsia="en-US"/>
        </w:rPr>
      </w:pPr>
    </w:p>
    <w:p w14:paraId="6BD461DC" w14:textId="77777777" w:rsidR="00664420" w:rsidRPr="00FE422A" w:rsidRDefault="00664420" w:rsidP="00FE422A">
      <w:pPr>
        <w:tabs>
          <w:tab w:val="center" w:pos="4568"/>
        </w:tabs>
        <w:ind w:right="-93"/>
        <w:rPr>
          <w:rFonts w:eastAsia="Calibri" w:cs="Tahoma"/>
          <w:bCs/>
          <w:szCs w:val="22"/>
          <w:lang w:eastAsia="en-US"/>
        </w:rPr>
      </w:pPr>
    </w:p>
    <w:p w14:paraId="4DBB1727" w14:textId="77777777" w:rsidR="00664420" w:rsidRPr="00FE422A" w:rsidRDefault="00664420" w:rsidP="00FE422A">
      <w:pPr>
        <w:tabs>
          <w:tab w:val="center" w:pos="4568"/>
        </w:tabs>
        <w:ind w:right="-93"/>
        <w:rPr>
          <w:rFonts w:eastAsia="Calibri" w:cs="Tahoma"/>
          <w:bCs/>
          <w:szCs w:val="22"/>
          <w:lang w:eastAsia="en-US"/>
        </w:rPr>
      </w:pPr>
    </w:p>
    <w:p w14:paraId="1D74121B" w14:textId="77777777" w:rsidR="00664420" w:rsidRPr="00FE422A" w:rsidRDefault="00664420" w:rsidP="00FE422A">
      <w:pPr>
        <w:tabs>
          <w:tab w:val="center" w:pos="4568"/>
        </w:tabs>
        <w:ind w:right="-93"/>
        <w:rPr>
          <w:rFonts w:eastAsia="Calibri" w:cs="Tahoma"/>
          <w:bCs/>
          <w:szCs w:val="22"/>
          <w:lang w:eastAsia="en-US"/>
        </w:rPr>
      </w:pPr>
    </w:p>
    <w:p w14:paraId="08E74E9C" w14:textId="77777777" w:rsidR="00664420" w:rsidRPr="00FE422A" w:rsidRDefault="00664420" w:rsidP="00FE422A">
      <w:pPr>
        <w:tabs>
          <w:tab w:val="center" w:pos="4568"/>
        </w:tabs>
        <w:ind w:right="-93"/>
        <w:rPr>
          <w:rFonts w:eastAsia="Calibri" w:cs="Tahoma"/>
          <w:bCs/>
          <w:szCs w:val="22"/>
          <w:lang w:eastAsia="en-US"/>
        </w:rPr>
      </w:pPr>
    </w:p>
    <w:p w14:paraId="2CBF5E03" w14:textId="77777777" w:rsidR="00664420" w:rsidRPr="00FE422A" w:rsidRDefault="00664420" w:rsidP="00FE422A">
      <w:pPr>
        <w:tabs>
          <w:tab w:val="center" w:pos="4568"/>
        </w:tabs>
        <w:ind w:right="-93"/>
        <w:rPr>
          <w:rFonts w:eastAsia="Calibri" w:cs="Tahoma"/>
          <w:bCs/>
          <w:szCs w:val="22"/>
          <w:lang w:eastAsia="en-US"/>
        </w:rPr>
      </w:pPr>
    </w:p>
    <w:p w14:paraId="44865A6D" w14:textId="77777777" w:rsidR="00664420" w:rsidRPr="00FE422A" w:rsidRDefault="00664420" w:rsidP="00FE422A">
      <w:pPr>
        <w:tabs>
          <w:tab w:val="center" w:pos="4568"/>
        </w:tabs>
        <w:ind w:right="-93"/>
        <w:rPr>
          <w:rFonts w:eastAsia="Calibri" w:cs="Tahoma"/>
          <w:bCs/>
          <w:szCs w:val="22"/>
          <w:lang w:eastAsia="en-US"/>
        </w:rPr>
      </w:pPr>
    </w:p>
    <w:p w14:paraId="7147F06B" w14:textId="77777777" w:rsidR="00664420" w:rsidRPr="00FE422A" w:rsidRDefault="00664420" w:rsidP="00FE422A">
      <w:pPr>
        <w:tabs>
          <w:tab w:val="center" w:pos="4568"/>
        </w:tabs>
        <w:ind w:right="-93"/>
        <w:rPr>
          <w:rFonts w:eastAsia="Calibri" w:cs="Tahoma"/>
          <w:bCs/>
          <w:szCs w:val="22"/>
          <w:lang w:eastAsia="en-US"/>
        </w:rPr>
      </w:pPr>
    </w:p>
    <w:p w14:paraId="6FDF3D7E" w14:textId="77777777" w:rsidR="00664420" w:rsidRPr="00FE422A" w:rsidRDefault="00664420" w:rsidP="00FE422A">
      <w:pPr>
        <w:tabs>
          <w:tab w:val="center" w:pos="4568"/>
        </w:tabs>
        <w:ind w:right="-93"/>
        <w:rPr>
          <w:rFonts w:eastAsia="Calibri" w:cs="Tahoma"/>
          <w:bCs/>
          <w:szCs w:val="22"/>
          <w:lang w:eastAsia="en-US"/>
        </w:rPr>
      </w:pPr>
    </w:p>
    <w:p w14:paraId="6246F818" w14:textId="77777777" w:rsidR="00664420" w:rsidRPr="00FE422A" w:rsidRDefault="00664420" w:rsidP="00FE422A">
      <w:pPr>
        <w:tabs>
          <w:tab w:val="center" w:pos="4568"/>
        </w:tabs>
        <w:ind w:right="-93"/>
        <w:rPr>
          <w:rFonts w:eastAsia="Calibri" w:cs="Tahoma"/>
          <w:bCs/>
          <w:szCs w:val="22"/>
          <w:lang w:eastAsia="en-US"/>
        </w:rPr>
      </w:pPr>
    </w:p>
    <w:p w14:paraId="57A88B28" w14:textId="77777777" w:rsidR="00664420" w:rsidRPr="00FE422A" w:rsidRDefault="00664420" w:rsidP="00FE422A">
      <w:pPr>
        <w:tabs>
          <w:tab w:val="center" w:pos="4568"/>
        </w:tabs>
        <w:ind w:right="-93"/>
        <w:rPr>
          <w:rFonts w:eastAsia="Calibri" w:cs="Tahoma"/>
          <w:bCs/>
          <w:szCs w:val="22"/>
          <w:lang w:eastAsia="en-US"/>
        </w:rPr>
      </w:pPr>
    </w:p>
    <w:p w14:paraId="77EF6095" w14:textId="77777777" w:rsidR="00664420" w:rsidRPr="00FE422A" w:rsidRDefault="00664420" w:rsidP="00FE422A">
      <w:pPr>
        <w:tabs>
          <w:tab w:val="center" w:pos="4568"/>
        </w:tabs>
        <w:ind w:right="-93"/>
        <w:rPr>
          <w:rFonts w:eastAsia="Calibri" w:cs="Tahoma"/>
          <w:bCs/>
          <w:szCs w:val="22"/>
          <w:lang w:eastAsia="en-US"/>
        </w:rPr>
      </w:pPr>
    </w:p>
    <w:p w14:paraId="35593947" w14:textId="77777777" w:rsidR="00664420" w:rsidRPr="00FE422A" w:rsidRDefault="00664420" w:rsidP="00FE422A">
      <w:pPr>
        <w:tabs>
          <w:tab w:val="center" w:pos="4568"/>
        </w:tabs>
        <w:ind w:right="-93"/>
        <w:rPr>
          <w:rFonts w:eastAsia="Calibri" w:cs="Tahoma"/>
          <w:bCs/>
          <w:szCs w:val="22"/>
          <w:lang w:eastAsia="en-US"/>
        </w:rPr>
      </w:pPr>
    </w:p>
    <w:p w14:paraId="3AF72A17" w14:textId="77777777" w:rsidR="00664420" w:rsidRPr="00FE422A" w:rsidRDefault="00664420" w:rsidP="00FE422A">
      <w:pPr>
        <w:tabs>
          <w:tab w:val="center" w:pos="4568"/>
        </w:tabs>
        <w:ind w:right="-93"/>
        <w:rPr>
          <w:rFonts w:eastAsia="Calibri" w:cs="Tahoma"/>
          <w:bCs/>
          <w:szCs w:val="22"/>
          <w:lang w:eastAsia="en-US"/>
        </w:rPr>
      </w:pPr>
    </w:p>
    <w:p w14:paraId="37169144" w14:textId="77777777" w:rsidR="00664420" w:rsidRPr="00FE422A" w:rsidRDefault="00664420" w:rsidP="00FE422A">
      <w:pPr>
        <w:tabs>
          <w:tab w:val="center" w:pos="4568"/>
        </w:tabs>
        <w:ind w:right="-93"/>
        <w:rPr>
          <w:rFonts w:eastAsia="Calibri" w:cs="Tahoma"/>
          <w:bCs/>
          <w:szCs w:val="22"/>
          <w:lang w:eastAsia="en-US"/>
        </w:rPr>
      </w:pPr>
    </w:p>
    <w:p w14:paraId="77CFC088" w14:textId="77777777" w:rsidR="00664420" w:rsidRPr="00FE422A" w:rsidRDefault="00664420" w:rsidP="00FE422A">
      <w:pPr>
        <w:tabs>
          <w:tab w:val="center" w:pos="4568"/>
        </w:tabs>
        <w:ind w:right="-93"/>
        <w:rPr>
          <w:rFonts w:eastAsia="Calibri" w:cs="Tahoma"/>
          <w:bCs/>
          <w:szCs w:val="22"/>
          <w:lang w:eastAsia="en-US"/>
        </w:rPr>
      </w:pPr>
    </w:p>
    <w:p w14:paraId="781A11A5" w14:textId="77777777" w:rsidR="00664420" w:rsidRPr="00FE422A" w:rsidRDefault="00664420" w:rsidP="00FE422A">
      <w:pPr>
        <w:tabs>
          <w:tab w:val="center" w:pos="4568"/>
        </w:tabs>
        <w:ind w:right="-93"/>
        <w:rPr>
          <w:rFonts w:eastAsia="Calibri" w:cs="Tahoma"/>
          <w:bCs/>
          <w:szCs w:val="22"/>
          <w:lang w:eastAsia="en-US"/>
        </w:rPr>
      </w:pPr>
    </w:p>
    <w:p w14:paraId="5B4ADFF3" w14:textId="77777777" w:rsidR="00A131AC" w:rsidRPr="00FE422A" w:rsidRDefault="00A131AC" w:rsidP="00FE422A"/>
    <w:sectPr w:rsidR="00A131AC" w:rsidRPr="00FE422A" w:rsidSect="00EE2AF2">
      <w:footerReference w:type="default" r:id="rId22"/>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C4FB5" w14:textId="77777777" w:rsidR="009C627C" w:rsidRDefault="009C627C" w:rsidP="00664420">
      <w:pPr>
        <w:spacing w:line="240" w:lineRule="auto"/>
      </w:pPr>
      <w:r>
        <w:separator/>
      </w:r>
    </w:p>
  </w:endnote>
  <w:endnote w:type="continuationSeparator" w:id="0">
    <w:p w14:paraId="749F3513" w14:textId="77777777" w:rsidR="009C627C" w:rsidRDefault="009C627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delle Sans Devanagari">
    <w:charset w:val="B2"/>
    <w:family w:val="auto"/>
    <w:pitch w:val="variable"/>
    <w:sig w:usb0="0300A007" w:usb1="00000001" w:usb2="00000008" w:usb3="00000000" w:csb0="0001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DE05D9" w:rsidRDefault="00DE05D9">
    <w:pPr>
      <w:tabs>
        <w:tab w:val="center" w:pos="4550"/>
        <w:tab w:val="left" w:pos="5818"/>
      </w:tabs>
      <w:ind w:right="260"/>
      <w:jc w:val="right"/>
      <w:rPr>
        <w:color w:val="071320" w:themeColor="text2" w:themeShade="80"/>
        <w:sz w:val="24"/>
        <w:szCs w:val="24"/>
      </w:rPr>
    </w:pPr>
  </w:p>
  <w:p w14:paraId="1BCA7F23" w14:textId="77777777" w:rsidR="00DE05D9" w:rsidRDefault="00DE05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08A3725" w:rsidR="00DE05D9" w:rsidRDefault="00DE05D9">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80245A" w:rsidRPr="0080245A">
      <w:rPr>
        <w:noProof/>
        <w:color w:val="0A1D30" w:themeColor="text2" w:themeShade="BF"/>
        <w:sz w:val="24"/>
        <w:szCs w:val="24"/>
        <w:lang w:val="es-ES"/>
      </w:rPr>
      <w:t>38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80245A" w:rsidRPr="0080245A">
      <w:rPr>
        <w:noProof/>
        <w:color w:val="0A1D30" w:themeColor="text2" w:themeShade="BF"/>
        <w:sz w:val="24"/>
        <w:szCs w:val="24"/>
        <w:lang w:val="es-ES"/>
      </w:rPr>
      <w:t>42</w:t>
    </w:r>
    <w:r>
      <w:rPr>
        <w:color w:val="0A1D30" w:themeColor="text2" w:themeShade="BF"/>
        <w:sz w:val="24"/>
        <w:szCs w:val="24"/>
      </w:rPr>
      <w:fldChar w:fldCharType="end"/>
    </w:r>
  </w:p>
  <w:p w14:paraId="310E15C0" w14:textId="77777777" w:rsidR="00DE05D9" w:rsidRDefault="00DE05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5BAB3" w14:textId="77777777" w:rsidR="009C627C" w:rsidRDefault="009C627C" w:rsidP="00664420">
      <w:pPr>
        <w:spacing w:line="240" w:lineRule="auto"/>
      </w:pPr>
      <w:r>
        <w:separator/>
      </w:r>
    </w:p>
  </w:footnote>
  <w:footnote w:type="continuationSeparator" w:id="0">
    <w:p w14:paraId="49667B6B" w14:textId="77777777" w:rsidR="009C627C" w:rsidRDefault="009C627C"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E05D9" w:rsidRPr="00330DA7" w14:paraId="070A4B18" w14:textId="77777777" w:rsidTr="003F35FD">
      <w:trPr>
        <w:trHeight w:val="144"/>
        <w:jc w:val="right"/>
      </w:trPr>
      <w:tc>
        <w:tcPr>
          <w:tcW w:w="2727" w:type="dxa"/>
        </w:tcPr>
        <w:p w14:paraId="62B7493A" w14:textId="77777777" w:rsidR="00DE05D9" w:rsidRPr="00330DA7" w:rsidRDefault="00DE05D9"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9E3D18C" w:rsidR="00DE05D9" w:rsidRPr="00A90C72" w:rsidRDefault="00DE05D9" w:rsidP="003F35FD">
          <w:pPr>
            <w:tabs>
              <w:tab w:val="right" w:pos="8838"/>
            </w:tabs>
            <w:ind w:left="-74" w:right="-105"/>
            <w:rPr>
              <w:rFonts w:eastAsia="Calibri" w:cs="Tahoma"/>
              <w:szCs w:val="22"/>
              <w:lang w:eastAsia="en-US"/>
            </w:rPr>
          </w:pPr>
          <w:r>
            <w:rPr>
              <w:rFonts w:eastAsia="Calibri" w:cs="Tahoma"/>
              <w:szCs w:val="22"/>
              <w:lang w:eastAsia="en-US"/>
            </w:rPr>
            <w:t>06212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DE05D9" w:rsidRPr="00330DA7" w14:paraId="4521E058" w14:textId="77777777" w:rsidTr="003F35FD">
      <w:trPr>
        <w:trHeight w:val="283"/>
        <w:jc w:val="right"/>
      </w:trPr>
      <w:tc>
        <w:tcPr>
          <w:tcW w:w="2727" w:type="dxa"/>
        </w:tcPr>
        <w:p w14:paraId="0B68C086" w14:textId="77777777" w:rsidR="00DE05D9" w:rsidRPr="00330DA7" w:rsidRDefault="00DE05D9"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B354F94" w:rsidR="00DE05D9" w:rsidRPr="00952DD0" w:rsidRDefault="00DE05D9" w:rsidP="003F35FD">
          <w:pPr>
            <w:tabs>
              <w:tab w:val="left" w:pos="2834"/>
              <w:tab w:val="right" w:pos="8838"/>
            </w:tabs>
            <w:ind w:left="-108" w:right="-105"/>
            <w:rPr>
              <w:rFonts w:eastAsia="Calibri" w:cs="Tahoma"/>
              <w:szCs w:val="22"/>
              <w:lang w:eastAsia="en-US"/>
            </w:rPr>
          </w:pPr>
          <w:r w:rsidRPr="00B53EDF">
            <w:rPr>
              <w:rFonts w:eastAsia="Calibri" w:cs="Tahoma"/>
              <w:szCs w:val="22"/>
              <w:lang w:eastAsia="en-US"/>
            </w:rPr>
            <w:t>Universidad Autónoma del Estado de México</w:t>
          </w:r>
        </w:p>
      </w:tc>
    </w:tr>
    <w:tr w:rsidR="00DE05D9" w:rsidRPr="00330DA7" w14:paraId="6331D9B6" w14:textId="77777777" w:rsidTr="003F35FD">
      <w:trPr>
        <w:trHeight w:val="283"/>
        <w:jc w:val="right"/>
      </w:trPr>
      <w:tc>
        <w:tcPr>
          <w:tcW w:w="2727" w:type="dxa"/>
        </w:tcPr>
        <w:p w14:paraId="3FA86BAE" w14:textId="04F1C45E" w:rsidR="00DE05D9" w:rsidRPr="00330DA7" w:rsidRDefault="00DE05D9"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DE05D9" w:rsidRPr="00EA66FC" w:rsidRDefault="00DE05D9"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DE05D9" w:rsidRPr="00443C6B" w:rsidRDefault="00DE05D9"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DE05D9" w:rsidRPr="00330DA7" w14:paraId="29CFF901" w14:textId="77777777" w:rsidTr="00B53EDF">
      <w:trPr>
        <w:trHeight w:val="1435"/>
      </w:trPr>
      <w:tc>
        <w:tcPr>
          <w:tcW w:w="283" w:type="dxa"/>
        </w:tcPr>
        <w:p w14:paraId="046B9F8F" w14:textId="77777777" w:rsidR="00DE05D9" w:rsidRPr="00330DA7" w:rsidRDefault="00DE05D9" w:rsidP="00B53EDF">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DE05D9" w:rsidRPr="00330DA7" w14:paraId="04F272D2" w14:textId="77777777" w:rsidTr="00B53EDF">
            <w:trPr>
              <w:trHeight w:val="144"/>
            </w:trPr>
            <w:tc>
              <w:tcPr>
                <w:tcW w:w="2727" w:type="dxa"/>
              </w:tcPr>
              <w:p w14:paraId="2FD4DBF6" w14:textId="77777777" w:rsidR="00DE05D9" w:rsidRPr="00330DA7" w:rsidRDefault="00DE05D9" w:rsidP="00B53EDF">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3D9820D" w:rsidR="00DE05D9" w:rsidRPr="00A90C72" w:rsidRDefault="00DE05D9" w:rsidP="00B53EDF">
                <w:pPr>
                  <w:tabs>
                    <w:tab w:val="right" w:pos="8838"/>
                  </w:tabs>
                  <w:ind w:left="-74" w:right="-105"/>
                  <w:rPr>
                    <w:rFonts w:eastAsia="Calibri" w:cs="Tahoma"/>
                    <w:szCs w:val="22"/>
                    <w:lang w:eastAsia="en-US"/>
                  </w:rPr>
                </w:pPr>
                <w:r>
                  <w:rPr>
                    <w:rFonts w:eastAsia="Calibri" w:cs="Tahoma"/>
                    <w:szCs w:val="22"/>
                    <w:lang w:eastAsia="en-US"/>
                  </w:rPr>
                  <w:t>06212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DE05D9" w:rsidRDefault="00DE05D9" w:rsidP="00B53EDF">
                <w:pPr>
                  <w:tabs>
                    <w:tab w:val="right" w:pos="8838"/>
                  </w:tabs>
                  <w:ind w:left="-74" w:right="-105"/>
                  <w:rPr>
                    <w:rFonts w:eastAsia="Calibri" w:cs="Tahoma"/>
                    <w:szCs w:val="22"/>
                    <w:lang w:eastAsia="en-US"/>
                  </w:rPr>
                </w:pPr>
              </w:p>
            </w:tc>
          </w:tr>
          <w:tr w:rsidR="00DE05D9" w:rsidRPr="00330DA7" w14:paraId="05C58951" w14:textId="77777777" w:rsidTr="00B53EDF">
            <w:trPr>
              <w:trHeight w:val="144"/>
            </w:trPr>
            <w:tc>
              <w:tcPr>
                <w:tcW w:w="2727" w:type="dxa"/>
              </w:tcPr>
              <w:p w14:paraId="642B9610" w14:textId="77777777" w:rsidR="00DE05D9" w:rsidRPr="00330DA7" w:rsidRDefault="00DE05D9" w:rsidP="00B53EDF">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049B42E" w:rsidR="00DE05D9" w:rsidRPr="005F19B1" w:rsidRDefault="00DE05D9" w:rsidP="00B53EDF">
                <w:pPr>
                  <w:tabs>
                    <w:tab w:val="left" w:pos="3122"/>
                    <w:tab w:val="right" w:pos="8838"/>
                  </w:tabs>
                  <w:ind w:left="-105" w:right="-105"/>
                  <w:rPr>
                    <w:rFonts w:eastAsia="Calibri" w:cs="Tahoma"/>
                    <w:szCs w:val="22"/>
                    <w:lang w:eastAsia="en-US"/>
                  </w:rPr>
                </w:pPr>
              </w:p>
            </w:tc>
            <w:tc>
              <w:tcPr>
                <w:tcW w:w="3402" w:type="dxa"/>
              </w:tcPr>
              <w:p w14:paraId="73F47F53" w14:textId="77777777" w:rsidR="00DE05D9" w:rsidRPr="005F19B1" w:rsidRDefault="00DE05D9" w:rsidP="00B53EDF">
                <w:pPr>
                  <w:tabs>
                    <w:tab w:val="left" w:pos="3122"/>
                    <w:tab w:val="right" w:pos="8838"/>
                  </w:tabs>
                  <w:ind w:left="-105" w:right="-105"/>
                  <w:rPr>
                    <w:rFonts w:eastAsia="Calibri" w:cs="Tahoma"/>
                    <w:szCs w:val="22"/>
                    <w:lang w:eastAsia="en-US"/>
                  </w:rPr>
                </w:pPr>
              </w:p>
            </w:tc>
          </w:tr>
          <w:bookmarkEnd w:id="1"/>
          <w:tr w:rsidR="00DE05D9" w:rsidRPr="00330DA7" w14:paraId="00E6CDC1" w14:textId="77777777" w:rsidTr="00B53EDF">
            <w:trPr>
              <w:trHeight w:val="283"/>
            </w:trPr>
            <w:tc>
              <w:tcPr>
                <w:tcW w:w="2727" w:type="dxa"/>
              </w:tcPr>
              <w:p w14:paraId="0631AD24" w14:textId="77777777" w:rsidR="00DE05D9" w:rsidRPr="00330DA7" w:rsidRDefault="00DE05D9" w:rsidP="00B53EDF">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FBFFDC6" w:rsidR="00DE05D9" w:rsidRPr="00952DD0" w:rsidRDefault="00DE05D9" w:rsidP="00B53EDF">
                <w:pPr>
                  <w:tabs>
                    <w:tab w:val="left" w:pos="2834"/>
                    <w:tab w:val="right" w:pos="8838"/>
                  </w:tabs>
                  <w:ind w:left="-108" w:right="-105"/>
                  <w:rPr>
                    <w:rFonts w:eastAsia="Calibri" w:cs="Tahoma"/>
                    <w:szCs w:val="22"/>
                    <w:lang w:eastAsia="en-US"/>
                  </w:rPr>
                </w:pPr>
                <w:r w:rsidRPr="00B53EDF">
                  <w:rPr>
                    <w:rFonts w:eastAsia="Calibri" w:cs="Tahoma"/>
                    <w:szCs w:val="22"/>
                    <w:lang w:eastAsia="en-US"/>
                  </w:rPr>
                  <w:t>Universidad Autónoma del Estado de México</w:t>
                </w:r>
              </w:p>
            </w:tc>
            <w:tc>
              <w:tcPr>
                <w:tcW w:w="3402" w:type="dxa"/>
              </w:tcPr>
              <w:p w14:paraId="3A7DA319" w14:textId="77777777" w:rsidR="00DE05D9" w:rsidRPr="00A90C72" w:rsidRDefault="00DE05D9" w:rsidP="00B53EDF">
                <w:pPr>
                  <w:tabs>
                    <w:tab w:val="left" w:pos="2834"/>
                    <w:tab w:val="right" w:pos="8838"/>
                  </w:tabs>
                  <w:ind w:left="-108" w:right="-105"/>
                  <w:rPr>
                    <w:rFonts w:eastAsia="Calibri" w:cs="Tahoma"/>
                    <w:szCs w:val="22"/>
                    <w:lang w:eastAsia="en-US"/>
                  </w:rPr>
                </w:pPr>
              </w:p>
            </w:tc>
          </w:tr>
          <w:tr w:rsidR="00DE05D9" w:rsidRPr="00330DA7" w14:paraId="0F6CD8D2" w14:textId="77777777" w:rsidTr="00B53EDF">
            <w:trPr>
              <w:trHeight w:val="283"/>
            </w:trPr>
            <w:tc>
              <w:tcPr>
                <w:tcW w:w="2727" w:type="dxa"/>
              </w:tcPr>
              <w:p w14:paraId="31700628" w14:textId="385332FF" w:rsidR="00DE05D9" w:rsidRPr="00330DA7" w:rsidRDefault="00DE05D9" w:rsidP="00B53EDF">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DE05D9" w:rsidRPr="00EA66FC" w:rsidRDefault="00DE05D9" w:rsidP="00B53EDF">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DE05D9" w:rsidRPr="00330DA7" w:rsidRDefault="00DE05D9" w:rsidP="00B53EDF">
                <w:pPr>
                  <w:tabs>
                    <w:tab w:val="right" w:pos="8838"/>
                  </w:tabs>
                  <w:ind w:left="-108" w:right="-105"/>
                  <w:rPr>
                    <w:rFonts w:eastAsia="Calibri" w:cs="Tahoma"/>
                    <w:szCs w:val="22"/>
                    <w:lang w:eastAsia="en-US"/>
                  </w:rPr>
                </w:pPr>
              </w:p>
            </w:tc>
          </w:tr>
        </w:tbl>
        <w:p w14:paraId="5DC6AC61" w14:textId="77777777" w:rsidR="00DE05D9" w:rsidRPr="00330DA7" w:rsidRDefault="00DE05D9" w:rsidP="00B53EDF">
          <w:pPr>
            <w:tabs>
              <w:tab w:val="right" w:pos="8838"/>
            </w:tabs>
            <w:ind w:left="-28"/>
            <w:rPr>
              <w:rFonts w:ascii="Arial" w:eastAsia="Calibri" w:hAnsi="Arial" w:cs="Arial"/>
              <w:b/>
              <w:szCs w:val="22"/>
              <w:lang w:eastAsia="en-US"/>
            </w:rPr>
          </w:pPr>
        </w:p>
      </w:tc>
    </w:tr>
  </w:tbl>
  <w:p w14:paraId="2A906731" w14:textId="77777777" w:rsidR="00DE05D9" w:rsidRPr="00765661" w:rsidRDefault="009C627C" w:rsidP="00B53EDF">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7E0425"/>
    <w:multiLevelType w:val="hybridMultilevel"/>
    <w:tmpl w:val="44142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FC0B6B"/>
    <w:multiLevelType w:val="hybridMultilevel"/>
    <w:tmpl w:val="A22E6F62"/>
    <w:lvl w:ilvl="0" w:tplc="A84ABC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15:restartNumberingAfterBreak="0">
    <w:nsid w:val="324711F3"/>
    <w:multiLevelType w:val="hybridMultilevel"/>
    <w:tmpl w:val="838E59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B261B5"/>
    <w:multiLevelType w:val="hybridMultilevel"/>
    <w:tmpl w:val="BF84E38E"/>
    <w:lvl w:ilvl="0" w:tplc="CB586728">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9"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0" w15:restartNumberingAfterBreak="0">
    <w:nsid w:val="55FC5A7F"/>
    <w:multiLevelType w:val="hybridMultilevel"/>
    <w:tmpl w:val="20F6C5F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Times New Roman"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Times New Roman"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Times New Roman" w:hint="default"/>
      </w:rPr>
    </w:lvl>
    <w:lvl w:ilvl="8" w:tplc="080A0005">
      <w:start w:val="1"/>
      <w:numFmt w:val="bullet"/>
      <w:lvlText w:val=""/>
      <w:lvlJc w:val="left"/>
      <w:pPr>
        <w:ind w:left="6540" w:hanging="360"/>
      </w:pPr>
      <w:rPr>
        <w:rFonts w:ascii="Wingdings" w:hAnsi="Wingdings" w:hint="default"/>
      </w:rPr>
    </w:lvl>
  </w:abstractNum>
  <w:abstractNum w:abstractNumId="21" w15:restartNumberingAfterBreak="0">
    <w:nsid w:val="58022060"/>
    <w:multiLevelType w:val="hybridMultilevel"/>
    <w:tmpl w:val="4618787A"/>
    <w:lvl w:ilvl="0" w:tplc="76E4ADE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5297554"/>
    <w:multiLevelType w:val="multilevel"/>
    <w:tmpl w:val="2ACAFE3A"/>
    <w:lvl w:ilvl="0">
      <w:start w:val="1"/>
      <w:numFmt w:val="bullet"/>
      <w:lvlText w:val="-"/>
      <w:lvlJc w:val="left"/>
      <w:pPr>
        <w:tabs>
          <w:tab w:val="num" w:pos="720"/>
        </w:tabs>
        <w:ind w:left="720" w:hanging="360"/>
      </w:pPr>
      <w:rPr>
        <w:rFonts w:ascii="Palatino Linotype" w:eastAsia="Times New Roman" w:hAnsi="Palatino Linotype"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1B1608"/>
    <w:multiLevelType w:val="hybridMultilevel"/>
    <w:tmpl w:val="A22E6F62"/>
    <w:lvl w:ilvl="0" w:tplc="A84ABC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17"/>
  </w:num>
  <w:num w:numId="3">
    <w:abstractNumId w:val="23"/>
  </w:num>
  <w:num w:numId="4">
    <w:abstractNumId w:val="5"/>
  </w:num>
  <w:num w:numId="5">
    <w:abstractNumId w:val="1"/>
  </w:num>
  <w:num w:numId="6">
    <w:abstractNumId w:val="25"/>
  </w:num>
  <w:num w:numId="7">
    <w:abstractNumId w:val="15"/>
  </w:num>
  <w:num w:numId="8">
    <w:abstractNumId w:val="3"/>
  </w:num>
  <w:num w:numId="9">
    <w:abstractNumId w:val="14"/>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8"/>
  </w:num>
  <w:num w:numId="13">
    <w:abstractNumId w:val="0"/>
  </w:num>
  <w:num w:numId="14">
    <w:abstractNumId w:val="2"/>
  </w:num>
  <w:num w:numId="15">
    <w:abstractNumId w:val="16"/>
  </w:num>
  <w:num w:numId="16">
    <w:abstractNumId w:val="10"/>
  </w:num>
  <w:num w:numId="17">
    <w:abstractNumId w:val="4"/>
  </w:num>
  <w:num w:numId="18">
    <w:abstractNumId w:val="2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2"/>
  </w:num>
  <w:num w:numId="22">
    <w:abstractNumId w:val="24"/>
  </w:num>
  <w:num w:numId="23">
    <w:abstractNumId w:val="11"/>
  </w:num>
  <w:num w:numId="24">
    <w:abstractNumId w:val="26"/>
  </w:num>
  <w:num w:numId="25">
    <w:abstractNumId w:val="7"/>
  </w:num>
  <w:num w:numId="26">
    <w:abstractNumId w:val="18"/>
  </w:num>
  <w:num w:numId="27">
    <w:abstractNumId w:val="6"/>
  </w:num>
  <w:num w:numId="28">
    <w:abstractNumId w:val="21"/>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80071"/>
    <w:rsid w:val="00094715"/>
    <w:rsid w:val="000D0D67"/>
    <w:rsid w:val="000D5ED5"/>
    <w:rsid w:val="000E09C4"/>
    <w:rsid w:val="0011350D"/>
    <w:rsid w:val="00131034"/>
    <w:rsid w:val="00141876"/>
    <w:rsid w:val="0014207B"/>
    <w:rsid w:val="00150C49"/>
    <w:rsid w:val="00163D12"/>
    <w:rsid w:val="001A58B3"/>
    <w:rsid w:val="001C7688"/>
    <w:rsid w:val="001D30FA"/>
    <w:rsid w:val="001F3515"/>
    <w:rsid w:val="001F5C8C"/>
    <w:rsid w:val="00233005"/>
    <w:rsid w:val="00233F17"/>
    <w:rsid w:val="002910C1"/>
    <w:rsid w:val="00291B36"/>
    <w:rsid w:val="002A3601"/>
    <w:rsid w:val="002B7C6F"/>
    <w:rsid w:val="002C6AFF"/>
    <w:rsid w:val="002D111C"/>
    <w:rsid w:val="002F4BBA"/>
    <w:rsid w:val="00302476"/>
    <w:rsid w:val="0031457D"/>
    <w:rsid w:val="00331F35"/>
    <w:rsid w:val="00335CDF"/>
    <w:rsid w:val="00337F4D"/>
    <w:rsid w:val="00362A11"/>
    <w:rsid w:val="003868D6"/>
    <w:rsid w:val="003A40C1"/>
    <w:rsid w:val="003B5D3E"/>
    <w:rsid w:val="003E4F98"/>
    <w:rsid w:val="003F35FD"/>
    <w:rsid w:val="003F6FBF"/>
    <w:rsid w:val="0040525F"/>
    <w:rsid w:val="0041385B"/>
    <w:rsid w:val="00441BFA"/>
    <w:rsid w:val="00454FBD"/>
    <w:rsid w:val="004A6E06"/>
    <w:rsid w:val="004D4006"/>
    <w:rsid w:val="004D7CD8"/>
    <w:rsid w:val="004E5068"/>
    <w:rsid w:val="004F7A00"/>
    <w:rsid w:val="00523F48"/>
    <w:rsid w:val="005365FA"/>
    <w:rsid w:val="005723CB"/>
    <w:rsid w:val="00575400"/>
    <w:rsid w:val="005861D3"/>
    <w:rsid w:val="005A2D80"/>
    <w:rsid w:val="005B08E6"/>
    <w:rsid w:val="005B18AF"/>
    <w:rsid w:val="005D5A50"/>
    <w:rsid w:val="005F5301"/>
    <w:rsid w:val="005F65B7"/>
    <w:rsid w:val="006067C7"/>
    <w:rsid w:val="00606A65"/>
    <w:rsid w:val="006159AD"/>
    <w:rsid w:val="006337F6"/>
    <w:rsid w:val="0064220C"/>
    <w:rsid w:val="00646436"/>
    <w:rsid w:val="00654F0D"/>
    <w:rsid w:val="00664420"/>
    <w:rsid w:val="006A646A"/>
    <w:rsid w:val="006B10B0"/>
    <w:rsid w:val="006C2DC2"/>
    <w:rsid w:val="006E25BC"/>
    <w:rsid w:val="006E6BBC"/>
    <w:rsid w:val="006F7768"/>
    <w:rsid w:val="00717E59"/>
    <w:rsid w:val="00754967"/>
    <w:rsid w:val="00775BFC"/>
    <w:rsid w:val="007A3459"/>
    <w:rsid w:val="007B6074"/>
    <w:rsid w:val="007D1C55"/>
    <w:rsid w:val="007D29D7"/>
    <w:rsid w:val="007D317F"/>
    <w:rsid w:val="007F5D06"/>
    <w:rsid w:val="007F7EDC"/>
    <w:rsid w:val="0080245A"/>
    <w:rsid w:val="00805A6E"/>
    <w:rsid w:val="00814AED"/>
    <w:rsid w:val="008226CC"/>
    <w:rsid w:val="00842F03"/>
    <w:rsid w:val="00865CF4"/>
    <w:rsid w:val="00875AC3"/>
    <w:rsid w:val="00876DBC"/>
    <w:rsid w:val="008978F4"/>
    <w:rsid w:val="008A6003"/>
    <w:rsid w:val="008A6F88"/>
    <w:rsid w:val="008B1E16"/>
    <w:rsid w:val="008E1316"/>
    <w:rsid w:val="008E1CA9"/>
    <w:rsid w:val="00902EE5"/>
    <w:rsid w:val="00910FD2"/>
    <w:rsid w:val="00931437"/>
    <w:rsid w:val="00953430"/>
    <w:rsid w:val="00970EB3"/>
    <w:rsid w:val="009718B6"/>
    <w:rsid w:val="009A0277"/>
    <w:rsid w:val="009A2D78"/>
    <w:rsid w:val="009A7C10"/>
    <w:rsid w:val="009B2945"/>
    <w:rsid w:val="009C627C"/>
    <w:rsid w:val="009E2DEE"/>
    <w:rsid w:val="009F797C"/>
    <w:rsid w:val="00A131AC"/>
    <w:rsid w:val="00A16D85"/>
    <w:rsid w:val="00A21A20"/>
    <w:rsid w:val="00A36A99"/>
    <w:rsid w:val="00A53315"/>
    <w:rsid w:val="00A70EF0"/>
    <w:rsid w:val="00A9208D"/>
    <w:rsid w:val="00AA6EA9"/>
    <w:rsid w:val="00AC2DB8"/>
    <w:rsid w:val="00AC3CA0"/>
    <w:rsid w:val="00AE3DA7"/>
    <w:rsid w:val="00AF03C4"/>
    <w:rsid w:val="00B22A80"/>
    <w:rsid w:val="00B22BC5"/>
    <w:rsid w:val="00B53EDF"/>
    <w:rsid w:val="00B94487"/>
    <w:rsid w:val="00BA51D7"/>
    <w:rsid w:val="00BA55A8"/>
    <w:rsid w:val="00BA7B9C"/>
    <w:rsid w:val="00BB2ABF"/>
    <w:rsid w:val="00BB64F4"/>
    <w:rsid w:val="00BD3233"/>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16F49"/>
    <w:rsid w:val="00D2790D"/>
    <w:rsid w:val="00D51ECD"/>
    <w:rsid w:val="00D6170E"/>
    <w:rsid w:val="00D91CB4"/>
    <w:rsid w:val="00DA19CF"/>
    <w:rsid w:val="00DB1C09"/>
    <w:rsid w:val="00DC2048"/>
    <w:rsid w:val="00DE05D9"/>
    <w:rsid w:val="00DE1133"/>
    <w:rsid w:val="00E16BF5"/>
    <w:rsid w:val="00E37A3F"/>
    <w:rsid w:val="00E37D3C"/>
    <w:rsid w:val="00E40A98"/>
    <w:rsid w:val="00E625D3"/>
    <w:rsid w:val="00E62E6A"/>
    <w:rsid w:val="00E66C6E"/>
    <w:rsid w:val="00E83EF5"/>
    <w:rsid w:val="00E9335C"/>
    <w:rsid w:val="00ED1C1E"/>
    <w:rsid w:val="00EE2AF2"/>
    <w:rsid w:val="00EF165E"/>
    <w:rsid w:val="00F07EE6"/>
    <w:rsid w:val="00F33CC8"/>
    <w:rsid w:val="00F4481C"/>
    <w:rsid w:val="00F75D23"/>
    <w:rsid w:val="00FA31A5"/>
    <w:rsid w:val="00FA5957"/>
    <w:rsid w:val="00FC3CE0"/>
    <w:rsid w:val="00FD06A8"/>
    <w:rsid w:val="00FE42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Textoennegrita">
    <w:name w:val="Strong"/>
    <w:basedOn w:val="Fuentedeprrafopredeter"/>
    <w:uiPriority w:val="22"/>
    <w:qFormat/>
    <w:rsid w:val="00E62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930596">
      <w:bodyDiv w:val="1"/>
      <w:marLeft w:val="0"/>
      <w:marRight w:val="0"/>
      <w:marTop w:val="0"/>
      <w:marBottom w:val="0"/>
      <w:divBdr>
        <w:top w:val="none" w:sz="0" w:space="0" w:color="auto"/>
        <w:left w:val="none" w:sz="0" w:space="0" w:color="auto"/>
        <w:bottom w:val="none" w:sz="0" w:space="0" w:color="auto"/>
        <w:right w:val="none" w:sz="0" w:space="0" w:color="auto"/>
      </w:divBdr>
    </w:div>
    <w:div w:id="367221555">
      <w:bodyDiv w:val="1"/>
      <w:marLeft w:val="0"/>
      <w:marRight w:val="0"/>
      <w:marTop w:val="0"/>
      <w:marBottom w:val="0"/>
      <w:divBdr>
        <w:top w:val="none" w:sz="0" w:space="0" w:color="auto"/>
        <w:left w:val="none" w:sz="0" w:space="0" w:color="auto"/>
        <w:bottom w:val="none" w:sz="0" w:space="0" w:color="auto"/>
        <w:right w:val="none" w:sz="0" w:space="0" w:color="auto"/>
      </w:divBdr>
    </w:div>
    <w:div w:id="428283708">
      <w:bodyDiv w:val="1"/>
      <w:marLeft w:val="0"/>
      <w:marRight w:val="0"/>
      <w:marTop w:val="0"/>
      <w:marBottom w:val="0"/>
      <w:divBdr>
        <w:top w:val="none" w:sz="0" w:space="0" w:color="auto"/>
        <w:left w:val="none" w:sz="0" w:space="0" w:color="auto"/>
        <w:bottom w:val="none" w:sz="0" w:space="0" w:color="auto"/>
        <w:right w:val="none" w:sz="0" w:space="0" w:color="auto"/>
      </w:divBdr>
    </w:div>
    <w:div w:id="1052459942">
      <w:bodyDiv w:val="1"/>
      <w:marLeft w:val="0"/>
      <w:marRight w:val="0"/>
      <w:marTop w:val="0"/>
      <w:marBottom w:val="0"/>
      <w:divBdr>
        <w:top w:val="none" w:sz="0" w:space="0" w:color="auto"/>
        <w:left w:val="none" w:sz="0" w:space="0" w:color="auto"/>
        <w:bottom w:val="none" w:sz="0" w:space="0" w:color="auto"/>
        <w:right w:val="none" w:sz="0" w:space="0" w:color="auto"/>
      </w:divBdr>
    </w:div>
    <w:div w:id="1386178380">
      <w:bodyDiv w:val="1"/>
      <w:marLeft w:val="0"/>
      <w:marRight w:val="0"/>
      <w:marTop w:val="0"/>
      <w:marBottom w:val="0"/>
      <w:divBdr>
        <w:top w:val="none" w:sz="0" w:space="0" w:color="auto"/>
        <w:left w:val="none" w:sz="0" w:space="0" w:color="auto"/>
        <w:bottom w:val="none" w:sz="0" w:space="0" w:color="auto"/>
        <w:right w:val="none" w:sz="0" w:space="0" w:color="auto"/>
      </w:divBdr>
    </w:div>
    <w:div w:id="1702628617">
      <w:bodyDiv w:val="1"/>
      <w:marLeft w:val="0"/>
      <w:marRight w:val="0"/>
      <w:marTop w:val="0"/>
      <w:marBottom w:val="0"/>
      <w:divBdr>
        <w:top w:val="none" w:sz="0" w:space="0" w:color="auto"/>
        <w:left w:val="none" w:sz="0" w:space="0" w:color="auto"/>
        <w:bottom w:val="none" w:sz="0" w:space="0" w:color="auto"/>
        <w:right w:val="none" w:sz="0" w:space="0" w:color="auto"/>
      </w:divBdr>
    </w:div>
    <w:div w:id="1901673086">
      <w:bodyDiv w:val="1"/>
      <w:marLeft w:val="0"/>
      <w:marRight w:val="0"/>
      <w:marTop w:val="0"/>
      <w:marBottom w:val="0"/>
      <w:divBdr>
        <w:top w:val="none" w:sz="0" w:space="0" w:color="auto"/>
        <w:left w:val="none" w:sz="0" w:space="0" w:color="auto"/>
        <w:bottom w:val="none" w:sz="0" w:space="0" w:color="auto"/>
        <w:right w:val="none" w:sz="0" w:space="0" w:color="auto"/>
      </w:divBdr>
    </w:div>
    <w:div w:id="20377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transparenciapresupuestaria.gob.mx/es/PTP/Glosario"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dof.gob.mx/nota_detalle.php?codigo=5492254&amp;fecha=28/07/20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transparencia.uaemex.mx/usuario/infPub.php?nomDir=03.catPueTabSal&amp;cveParent=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b.mx/segob/renapo/acciones-y-programas/clave-unica-de-registro-de-poblacion-curp-1422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ransparencia.uaemex.mx/usuario/infPub.php?nomDir=03.catPueTabSal&amp;cveParent=5"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6E06AEDC-EA97-4BA9-ADC9-0880A432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42</Pages>
  <Words>10247</Words>
  <Characters>56364</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2025-10-23T23:25:00Z</cp:lastPrinted>
  <dcterms:created xsi:type="dcterms:W3CDTF">2025-10-20T23:12:00Z</dcterms:created>
  <dcterms:modified xsi:type="dcterms:W3CDTF">2025-10-23T23:25:00Z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