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DA20BE" w:rsidRDefault="00AE3DA7" w:rsidP="00DA20BE">
          <w:pPr>
            <w:pStyle w:val="TtulodeTDC"/>
            <w:spacing w:before="0" w:line="240" w:lineRule="auto"/>
            <w:rPr>
              <w:rFonts w:ascii="Palatino Linotype" w:hAnsi="Palatino Linotype"/>
              <w:color w:val="auto"/>
              <w:sz w:val="24"/>
              <w:szCs w:val="24"/>
              <w:lang w:val="es-ES"/>
            </w:rPr>
          </w:pPr>
          <w:r w:rsidRPr="00DA20BE">
            <w:rPr>
              <w:rFonts w:ascii="Palatino Linotype" w:hAnsi="Palatino Linotype"/>
              <w:color w:val="auto"/>
              <w:sz w:val="24"/>
              <w:szCs w:val="24"/>
              <w:lang w:val="es-ES"/>
            </w:rPr>
            <w:t>Contenido</w:t>
          </w:r>
        </w:p>
        <w:p w14:paraId="3EB312A7" w14:textId="77777777" w:rsidR="00AA6EA9" w:rsidRPr="00DA20BE" w:rsidRDefault="00AA6EA9" w:rsidP="00DA20BE">
          <w:pPr>
            <w:spacing w:line="240" w:lineRule="auto"/>
            <w:rPr>
              <w:sz w:val="16"/>
              <w:szCs w:val="16"/>
              <w:lang w:val="es-ES" w:eastAsia="es-MX"/>
            </w:rPr>
          </w:pPr>
        </w:p>
        <w:p w14:paraId="43896121" w14:textId="77777777" w:rsidR="00B2163F" w:rsidRPr="00DA20BE" w:rsidRDefault="00AE3DA7" w:rsidP="00DA20BE">
          <w:pPr>
            <w:pStyle w:val="TDC1"/>
            <w:tabs>
              <w:tab w:val="right" w:leader="dot" w:pos="9034"/>
            </w:tabs>
            <w:rPr>
              <w:rFonts w:asciiTheme="minorHAnsi" w:eastAsiaTheme="minorEastAsia" w:hAnsiTheme="minorHAnsi" w:cstheme="minorBidi"/>
              <w:noProof/>
              <w:szCs w:val="22"/>
              <w:lang w:eastAsia="es-MX"/>
            </w:rPr>
          </w:pPr>
          <w:r w:rsidRPr="00DA20BE">
            <w:rPr>
              <w:sz w:val="16"/>
              <w:szCs w:val="16"/>
            </w:rPr>
            <w:fldChar w:fldCharType="begin"/>
          </w:r>
          <w:r w:rsidRPr="00DA20BE">
            <w:rPr>
              <w:sz w:val="16"/>
              <w:szCs w:val="16"/>
            </w:rPr>
            <w:instrText xml:space="preserve"> TOC \o "1-3" \h \z \u </w:instrText>
          </w:r>
          <w:r w:rsidRPr="00DA20BE">
            <w:rPr>
              <w:sz w:val="16"/>
              <w:szCs w:val="16"/>
            </w:rPr>
            <w:fldChar w:fldCharType="separate"/>
          </w:r>
          <w:hyperlink w:anchor="_Toc207804979" w:history="1">
            <w:r w:rsidR="00B2163F" w:rsidRPr="00DA20BE">
              <w:rPr>
                <w:rStyle w:val="Hipervnculo"/>
                <w:noProof/>
                <w:color w:val="auto"/>
              </w:rPr>
              <w:t>ANTECEDENTES</w:t>
            </w:r>
            <w:r w:rsidR="00B2163F" w:rsidRPr="00DA20BE">
              <w:rPr>
                <w:noProof/>
                <w:webHidden/>
              </w:rPr>
              <w:tab/>
            </w:r>
            <w:r w:rsidR="00B2163F" w:rsidRPr="00DA20BE">
              <w:rPr>
                <w:noProof/>
                <w:webHidden/>
              </w:rPr>
              <w:fldChar w:fldCharType="begin"/>
            </w:r>
            <w:r w:rsidR="00B2163F" w:rsidRPr="00DA20BE">
              <w:rPr>
                <w:noProof/>
                <w:webHidden/>
              </w:rPr>
              <w:instrText xml:space="preserve"> PAGEREF _Toc207804979 \h </w:instrText>
            </w:r>
            <w:r w:rsidR="00B2163F" w:rsidRPr="00DA20BE">
              <w:rPr>
                <w:noProof/>
                <w:webHidden/>
              </w:rPr>
            </w:r>
            <w:r w:rsidR="00B2163F" w:rsidRPr="00DA20BE">
              <w:rPr>
                <w:noProof/>
                <w:webHidden/>
              </w:rPr>
              <w:fldChar w:fldCharType="separate"/>
            </w:r>
            <w:r w:rsidR="00BF3DF2">
              <w:rPr>
                <w:noProof/>
                <w:webHidden/>
              </w:rPr>
              <w:t>1</w:t>
            </w:r>
            <w:r w:rsidR="00B2163F" w:rsidRPr="00DA20BE">
              <w:rPr>
                <w:noProof/>
                <w:webHidden/>
              </w:rPr>
              <w:fldChar w:fldCharType="end"/>
            </w:r>
          </w:hyperlink>
        </w:p>
        <w:p w14:paraId="085FFA25" w14:textId="77777777" w:rsidR="00B2163F" w:rsidRPr="00DA20BE" w:rsidRDefault="00873B84" w:rsidP="00DA20BE">
          <w:pPr>
            <w:pStyle w:val="TDC2"/>
            <w:rPr>
              <w:rFonts w:asciiTheme="minorHAnsi" w:eastAsiaTheme="minorEastAsia" w:hAnsiTheme="minorHAnsi" w:cstheme="minorBidi"/>
              <w:noProof/>
              <w:szCs w:val="22"/>
              <w:lang w:eastAsia="es-MX"/>
            </w:rPr>
          </w:pPr>
          <w:hyperlink w:anchor="_Toc207804980" w:history="1">
            <w:r w:rsidR="00B2163F" w:rsidRPr="00DA20BE">
              <w:rPr>
                <w:rStyle w:val="Hipervnculo"/>
                <w:noProof/>
                <w:color w:val="auto"/>
              </w:rPr>
              <w:t>DE LA SOLICITUD DE INFORMACIÓN</w:t>
            </w:r>
            <w:r w:rsidR="00B2163F" w:rsidRPr="00DA20BE">
              <w:rPr>
                <w:noProof/>
                <w:webHidden/>
              </w:rPr>
              <w:tab/>
            </w:r>
            <w:r w:rsidR="00B2163F" w:rsidRPr="00DA20BE">
              <w:rPr>
                <w:noProof/>
                <w:webHidden/>
              </w:rPr>
              <w:fldChar w:fldCharType="begin"/>
            </w:r>
            <w:r w:rsidR="00B2163F" w:rsidRPr="00DA20BE">
              <w:rPr>
                <w:noProof/>
                <w:webHidden/>
              </w:rPr>
              <w:instrText xml:space="preserve"> PAGEREF _Toc207804980 \h </w:instrText>
            </w:r>
            <w:r w:rsidR="00B2163F" w:rsidRPr="00DA20BE">
              <w:rPr>
                <w:noProof/>
                <w:webHidden/>
              </w:rPr>
            </w:r>
            <w:r w:rsidR="00B2163F" w:rsidRPr="00DA20BE">
              <w:rPr>
                <w:noProof/>
                <w:webHidden/>
              </w:rPr>
              <w:fldChar w:fldCharType="separate"/>
            </w:r>
            <w:r w:rsidR="00BF3DF2">
              <w:rPr>
                <w:noProof/>
                <w:webHidden/>
              </w:rPr>
              <w:t>1</w:t>
            </w:r>
            <w:r w:rsidR="00B2163F" w:rsidRPr="00DA20BE">
              <w:rPr>
                <w:noProof/>
                <w:webHidden/>
              </w:rPr>
              <w:fldChar w:fldCharType="end"/>
            </w:r>
          </w:hyperlink>
        </w:p>
        <w:p w14:paraId="650C1809" w14:textId="77777777" w:rsidR="00B2163F" w:rsidRPr="00DA20BE" w:rsidRDefault="00873B84" w:rsidP="00DA20BE">
          <w:pPr>
            <w:pStyle w:val="TDC3"/>
            <w:rPr>
              <w:rFonts w:asciiTheme="minorHAnsi" w:eastAsiaTheme="minorEastAsia" w:hAnsiTheme="minorHAnsi" w:cstheme="minorBidi"/>
              <w:noProof/>
              <w:szCs w:val="22"/>
              <w:lang w:eastAsia="es-MX"/>
            </w:rPr>
          </w:pPr>
          <w:hyperlink w:anchor="_Toc207804981" w:history="1">
            <w:r w:rsidR="00B2163F" w:rsidRPr="00DA20BE">
              <w:rPr>
                <w:rStyle w:val="Hipervnculo"/>
                <w:noProof/>
                <w:color w:val="auto"/>
              </w:rPr>
              <w:t>a) Solicitud de información</w:t>
            </w:r>
            <w:r w:rsidR="00B2163F" w:rsidRPr="00DA20BE">
              <w:rPr>
                <w:noProof/>
                <w:webHidden/>
              </w:rPr>
              <w:tab/>
            </w:r>
            <w:r w:rsidR="00B2163F" w:rsidRPr="00DA20BE">
              <w:rPr>
                <w:noProof/>
                <w:webHidden/>
              </w:rPr>
              <w:fldChar w:fldCharType="begin"/>
            </w:r>
            <w:r w:rsidR="00B2163F" w:rsidRPr="00DA20BE">
              <w:rPr>
                <w:noProof/>
                <w:webHidden/>
              </w:rPr>
              <w:instrText xml:space="preserve"> PAGEREF _Toc207804981 \h </w:instrText>
            </w:r>
            <w:r w:rsidR="00B2163F" w:rsidRPr="00DA20BE">
              <w:rPr>
                <w:noProof/>
                <w:webHidden/>
              </w:rPr>
            </w:r>
            <w:r w:rsidR="00B2163F" w:rsidRPr="00DA20BE">
              <w:rPr>
                <w:noProof/>
                <w:webHidden/>
              </w:rPr>
              <w:fldChar w:fldCharType="separate"/>
            </w:r>
            <w:r w:rsidR="00BF3DF2">
              <w:rPr>
                <w:noProof/>
                <w:webHidden/>
              </w:rPr>
              <w:t>1</w:t>
            </w:r>
            <w:r w:rsidR="00B2163F" w:rsidRPr="00DA20BE">
              <w:rPr>
                <w:noProof/>
                <w:webHidden/>
              </w:rPr>
              <w:fldChar w:fldCharType="end"/>
            </w:r>
          </w:hyperlink>
        </w:p>
        <w:p w14:paraId="1C02ECC2" w14:textId="77777777" w:rsidR="00B2163F" w:rsidRPr="00DA20BE" w:rsidRDefault="00873B84" w:rsidP="00DA20BE">
          <w:pPr>
            <w:pStyle w:val="TDC3"/>
            <w:rPr>
              <w:rFonts w:asciiTheme="minorHAnsi" w:eastAsiaTheme="minorEastAsia" w:hAnsiTheme="minorHAnsi" w:cstheme="minorBidi"/>
              <w:noProof/>
              <w:szCs w:val="22"/>
              <w:lang w:eastAsia="es-MX"/>
            </w:rPr>
          </w:pPr>
          <w:hyperlink w:anchor="_Toc207804982" w:history="1">
            <w:r w:rsidR="00B2163F" w:rsidRPr="00DA20BE">
              <w:rPr>
                <w:rStyle w:val="Hipervnculo"/>
                <w:noProof/>
                <w:color w:val="auto"/>
              </w:rPr>
              <w:t>b) Turno de la solicitud de información</w:t>
            </w:r>
            <w:r w:rsidR="00B2163F" w:rsidRPr="00DA20BE">
              <w:rPr>
                <w:noProof/>
                <w:webHidden/>
              </w:rPr>
              <w:tab/>
            </w:r>
            <w:r w:rsidR="00B2163F" w:rsidRPr="00DA20BE">
              <w:rPr>
                <w:noProof/>
                <w:webHidden/>
              </w:rPr>
              <w:fldChar w:fldCharType="begin"/>
            </w:r>
            <w:r w:rsidR="00B2163F" w:rsidRPr="00DA20BE">
              <w:rPr>
                <w:noProof/>
                <w:webHidden/>
              </w:rPr>
              <w:instrText xml:space="preserve"> PAGEREF _Toc207804982 \h </w:instrText>
            </w:r>
            <w:r w:rsidR="00B2163F" w:rsidRPr="00DA20BE">
              <w:rPr>
                <w:noProof/>
                <w:webHidden/>
              </w:rPr>
            </w:r>
            <w:r w:rsidR="00B2163F" w:rsidRPr="00DA20BE">
              <w:rPr>
                <w:noProof/>
                <w:webHidden/>
              </w:rPr>
              <w:fldChar w:fldCharType="separate"/>
            </w:r>
            <w:r w:rsidR="00BF3DF2">
              <w:rPr>
                <w:noProof/>
                <w:webHidden/>
              </w:rPr>
              <w:t>2</w:t>
            </w:r>
            <w:r w:rsidR="00B2163F" w:rsidRPr="00DA20BE">
              <w:rPr>
                <w:noProof/>
                <w:webHidden/>
              </w:rPr>
              <w:fldChar w:fldCharType="end"/>
            </w:r>
          </w:hyperlink>
        </w:p>
        <w:p w14:paraId="3741A000" w14:textId="77777777" w:rsidR="00B2163F" w:rsidRPr="00DA20BE" w:rsidRDefault="00873B84" w:rsidP="00DA20BE">
          <w:pPr>
            <w:pStyle w:val="TDC3"/>
            <w:rPr>
              <w:rFonts w:asciiTheme="minorHAnsi" w:eastAsiaTheme="minorEastAsia" w:hAnsiTheme="minorHAnsi" w:cstheme="minorBidi"/>
              <w:noProof/>
              <w:szCs w:val="22"/>
              <w:lang w:eastAsia="es-MX"/>
            </w:rPr>
          </w:pPr>
          <w:hyperlink w:anchor="_Toc207804983" w:history="1">
            <w:r w:rsidR="00B2163F" w:rsidRPr="00DA20BE">
              <w:rPr>
                <w:rStyle w:val="Hipervnculo"/>
                <w:rFonts w:eastAsia="Calibri"/>
                <w:noProof/>
                <w:color w:val="auto"/>
                <w:lang w:eastAsia="en-US"/>
              </w:rPr>
              <w:t>c). Respuesta del Sujeto Obligado</w:t>
            </w:r>
            <w:r w:rsidR="00B2163F" w:rsidRPr="00DA20BE">
              <w:rPr>
                <w:noProof/>
                <w:webHidden/>
              </w:rPr>
              <w:tab/>
            </w:r>
            <w:r w:rsidR="00B2163F" w:rsidRPr="00DA20BE">
              <w:rPr>
                <w:noProof/>
                <w:webHidden/>
              </w:rPr>
              <w:fldChar w:fldCharType="begin"/>
            </w:r>
            <w:r w:rsidR="00B2163F" w:rsidRPr="00DA20BE">
              <w:rPr>
                <w:noProof/>
                <w:webHidden/>
              </w:rPr>
              <w:instrText xml:space="preserve"> PAGEREF _Toc207804983 \h </w:instrText>
            </w:r>
            <w:r w:rsidR="00B2163F" w:rsidRPr="00DA20BE">
              <w:rPr>
                <w:noProof/>
                <w:webHidden/>
              </w:rPr>
            </w:r>
            <w:r w:rsidR="00B2163F" w:rsidRPr="00DA20BE">
              <w:rPr>
                <w:noProof/>
                <w:webHidden/>
              </w:rPr>
              <w:fldChar w:fldCharType="separate"/>
            </w:r>
            <w:r w:rsidR="00BF3DF2">
              <w:rPr>
                <w:noProof/>
                <w:webHidden/>
              </w:rPr>
              <w:t>2</w:t>
            </w:r>
            <w:r w:rsidR="00B2163F" w:rsidRPr="00DA20BE">
              <w:rPr>
                <w:noProof/>
                <w:webHidden/>
              </w:rPr>
              <w:fldChar w:fldCharType="end"/>
            </w:r>
          </w:hyperlink>
        </w:p>
        <w:p w14:paraId="6BA3EB73" w14:textId="77777777" w:rsidR="00B2163F" w:rsidRPr="00DA20BE" w:rsidRDefault="00873B84" w:rsidP="00DA20BE">
          <w:pPr>
            <w:pStyle w:val="TDC2"/>
            <w:rPr>
              <w:rFonts w:asciiTheme="minorHAnsi" w:eastAsiaTheme="minorEastAsia" w:hAnsiTheme="minorHAnsi" w:cstheme="minorBidi"/>
              <w:noProof/>
              <w:szCs w:val="22"/>
              <w:lang w:eastAsia="es-MX"/>
            </w:rPr>
          </w:pPr>
          <w:hyperlink w:anchor="_Toc207804984" w:history="1">
            <w:r w:rsidR="00B2163F" w:rsidRPr="00DA20BE">
              <w:rPr>
                <w:rStyle w:val="Hipervnculo"/>
                <w:noProof/>
                <w:color w:val="auto"/>
              </w:rPr>
              <w:t>DEL RECURSO DE REVISIÓN</w:t>
            </w:r>
            <w:r w:rsidR="00B2163F" w:rsidRPr="00DA20BE">
              <w:rPr>
                <w:noProof/>
                <w:webHidden/>
              </w:rPr>
              <w:tab/>
            </w:r>
            <w:r w:rsidR="00B2163F" w:rsidRPr="00DA20BE">
              <w:rPr>
                <w:noProof/>
                <w:webHidden/>
              </w:rPr>
              <w:fldChar w:fldCharType="begin"/>
            </w:r>
            <w:r w:rsidR="00B2163F" w:rsidRPr="00DA20BE">
              <w:rPr>
                <w:noProof/>
                <w:webHidden/>
              </w:rPr>
              <w:instrText xml:space="preserve"> PAGEREF _Toc207804984 \h </w:instrText>
            </w:r>
            <w:r w:rsidR="00B2163F" w:rsidRPr="00DA20BE">
              <w:rPr>
                <w:noProof/>
                <w:webHidden/>
              </w:rPr>
            </w:r>
            <w:r w:rsidR="00B2163F" w:rsidRPr="00DA20BE">
              <w:rPr>
                <w:noProof/>
                <w:webHidden/>
              </w:rPr>
              <w:fldChar w:fldCharType="separate"/>
            </w:r>
            <w:r w:rsidR="00BF3DF2">
              <w:rPr>
                <w:noProof/>
                <w:webHidden/>
              </w:rPr>
              <w:t>3</w:t>
            </w:r>
            <w:r w:rsidR="00B2163F" w:rsidRPr="00DA20BE">
              <w:rPr>
                <w:noProof/>
                <w:webHidden/>
              </w:rPr>
              <w:fldChar w:fldCharType="end"/>
            </w:r>
          </w:hyperlink>
        </w:p>
        <w:p w14:paraId="0A8C979D" w14:textId="77777777" w:rsidR="00B2163F" w:rsidRPr="00DA20BE" w:rsidRDefault="00873B84" w:rsidP="00DA20BE">
          <w:pPr>
            <w:pStyle w:val="TDC3"/>
            <w:rPr>
              <w:rFonts w:asciiTheme="minorHAnsi" w:eastAsiaTheme="minorEastAsia" w:hAnsiTheme="minorHAnsi" w:cstheme="minorBidi"/>
              <w:noProof/>
              <w:szCs w:val="22"/>
              <w:lang w:eastAsia="es-MX"/>
            </w:rPr>
          </w:pPr>
          <w:hyperlink w:anchor="_Toc207804985" w:history="1">
            <w:r w:rsidR="00B2163F" w:rsidRPr="00DA20BE">
              <w:rPr>
                <w:rStyle w:val="Hipervnculo"/>
                <w:noProof/>
                <w:color w:val="auto"/>
              </w:rPr>
              <w:t>a) Interposición del Recurso de Revisión</w:t>
            </w:r>
            <w:r w:rsidR="00B2163F" w:rsidRPr="00DA20BE">
              <w:rPr>
                <w:noProof/>
                <w:webHidden/>
              </w:rPr>
              <w:tab/>
            </w:r>
            <w:r w:rsidR="00B2163F" w:rsidRPr="00DA20BE">
              <w:rPr>
                <w:noProof/>
                <w:webHidden/>
              </w:rPr>
              <w:fldChar w:fldCharType="begin"/>
            </w:r>
            <w:r w:rsidR="00B2163F" w:rsidRPr="00DA20BE">
              <w:rPr>
                <w:noProof/>
                <w:webHidden/>
              </w:rPr>
              <w:instrText xml:space="preserve"> PAGEREF _Toc207804985 \h </w:instrText>
            </w:r>
            <w:r w:rsidR="00B2163F" w:rsidRPr="00DA20BE">
              <w:rPr>
                <w:noProof/>
                <w:webHidden/>
              </w:rPr>
            </w:r>
            <w:r w:rsidR="00B2163F" w:rsidRPr="00DA20BE">
              <w:rPr>
                <w:noProof/>
                <w:webHidden/>
              </w:rPr>
              <w:fldChar w:fldCharType="separate"/>
            </w:r>
            <w:r w:rsidR="00BF3DF2">
              <w:rPr>
                <w:noProof/>
                <w:webHidden/>
              </w:rPr>
              <w:t>3</w:t>
            </w:r>
            <w:r w:rsidR="00B2163F" w:rsidRPr="00DA20BE">
              <w:rPr>
                <w:noProof/>
                <w:webHidden/>
              </w:rPr>
              <w:fldChar w:fldCharType="end"/>
            </w:r>
          </w:hyperlink>
        </w:p>
        <w:p w14:paraId="4EA106D3" w14:textId="77777777" w:rsidR="00B2163F" w:rsidRPr="00DA20BE" w:rsidRDefault="00873B84" w:rsidP="00DA20BE">
          <w:pPr>
            <w:pStyle w:val="TDC3"/>
            <w:rPr>
              <w:rFonts w:asciiTheme="minorHAnsi" w:eastAsiaTheme="minorEastAsia" w:hAnsiTheme="minorHAnsi" w:cstheme="minorBidi"/>
              <w:noProof/>
              <w:szCs w:val="22"/>
              <w:lang w:eastAsia="es-MX"/>
            </w:rPr>
          </w:pPr>
          <w:hyperlink w:anchor="_Toc207804986" w:history="1">
            <w:r w:rsidR="00B2163F" w:rsidRPr="00DA20BE">
              <w:rPr>
                <w:rStyle w:val="Hipervnculo"/>
                <w:noProof/>
                <w:color w:val="auto"/>
              </w:rPr>
              <w:t>b) Turno del Recurso de Revisión</w:t>
            </w:r>
            <w:r w:rsidR="00B2163F" w:rsidRPr="00DA20BE">
              <w:rPr>
                <w:noProof/>
                <w:webHidden/>
              </w:rPr>
              <w:tab/>
            </w:r>
            <w:r w:rsidR="00B2163F" w:rsidRPr="00DA20BE">
              <w:rPr>
                <w:noProof/>
                <w:webHidden/>
              </w:rPr>
              <w:fldChar w:fldCharType="begin"/>
            </w:r>
            <w:r w:rsidR="00B2163F" w:rsidRPr="00DA20BE">
              <w:rPr>
                <w:noProof/>
                <w:webHidden/>
              </w:rPr>
              <w:instrText xml:space="preserve"> PAGEREF _Toc207804986 \h </w:instrText>
            </w:r>
            <w:r w:rsidR="00B2163F" w:rsidRPr="00DA20BE">
              <w:rPr>
                <w:noProof/>
                <w:webHidden/>
              </w:rPr>
            </w:r>
            <w:r w:rsidR="00B2163F" w:rsidRPr="00DA20BE">
              <w:rPr>
                <w:noProof/>
                <w:webHidden/>
              </w:rPr>
              <w:fldChar w:fldCharType="separate"/>
            </w:r>
            <w:r w:rsidR="00BF3DF2">
              <w:rPr>
                <w:noProof/>
                <w:webHidden/>
              </w:rPr>
              <w:t>4</w:t>
            </w:r>
            <w:r w:rsidR="00B2163F" w:rsidRPr="00DA20BE">
              <w:rPr>
                <w:noProof/>
                <w:webHidden/>
              </w:rPr>
              <w:fldChar w:fldCharType="end"/>
            </w:r>
          </w:hyperlink>
        </w:p>
        <w:p w14:paraId="128FAD9D" w14:textId="77777777" w:rsidR="00B2163F" w:rsidRPr="00DA20BE" w:rsidRDefault="00873B84" w:rsidP="00DA20BE">
          <w:pPr>
            <w:pStyle w:val="TDC3"/>
            <w:rPr>
              <w:rFonts w:asciiTheme="minorHAnsi" w:eastAsiaTheme="minorEastAsia" w:hAnsiTheme="minorHAnsi" w:cstheme="minorBidi"/>
              <w:noProof/>
              <w:szCs w:val="22"/>
              <w:lang w:eastAsia="es-MX"/>
            </w:rPr>
          </w:pPr>
          <w:hyperlink w:anchor="_Toc207804987" w:history="1">
            <w:r w:rsidR="00B2163F" w:rsidRPr="00DA20BE">
              <w:rPr>
                <w:rStyle w:val="Hipervnculo"/>
                <w:noProof/>
                <w:color w:val="auto"/>
              </w:rPr>
              <w:t>c) Admisión del Recurso de Revisión</w:t>
            </w:r>
            <w:r w:rsidR="00B2163F" w:rsidRPr="00DA20BE">
              <w:rPr>
                <w:noProof/>
                <w:webHidden/>
              </w:rPr>
              <w:tab/>
            </w:r>
            <w:r w:rsidR="00B2163F" w:rsidRPr="00DA20BE">
              <w:rPr>
                <w:noProof/>
                <w:webHidden/>
              </w:rPr>
              <w:fldChar w:fldCharType="begin"/>
            </w:r>
            <w:r w:rsidR="00B2163F" w:rsidRPr="00DA20BE">
              <w:rPr>
                <w:noProof/>
                <w:webHidden/>
              </w:rPr>
              <w:instrText xml:space="preserve"> PAGEREF _Toc207804987 \h </w:instrText>
            </w:r>
            <w:r w:rsidR="00B2163F" w:rsidRPr="00DA20BE">
              <w:rPr>
                <w:noProof/>
                <w:webHidden/>
              </w:rPr>
            </w:r>
            <w:r w:rsidR="00B2163F" w:rsidRPr="00DA20BE">
              <w:rPr>
                <w:noProof/>
                <w:webHidden/>
              </w:rPr>
              <w:fldChar w:fldCharType="separate"/>
            </w:r>
            <w:r w:rsidR="00BF3DF2">
              <w:rPr>
                <w:noProof/>
                <w:webHidden/>
              </w:rPr>
              <w:t>4</w:t>
            </w:r>
            <w:r w:rsidR="00B2163F" w:rsidRPr="00DA20BE">
              <w:rPr>
                <w:noProof/>
                <w:webHidden/>
              </w:rPr>
              <w:fldChar w:fldCharType="end"/>
            </w:r>
          </w:hyperlink>
        </w:p>
        <w:p w14:paraId="2D041529" w14:textId="77777777" w:rsidR="00B2163F" w:rsidRPr="00DA20BE" w:rsidRDefault="00873B84" w:rsidP="00DA20BE">
          <w:pPr>
            <w:pStyle w:val="TDC3"/>
            <w:rPr>
              <w:rFonts w:asciiTheme="minorHAnsi" w:eastAsiaTheme="minorEastAsia" w:hAnsiTheme="minorHAnsi" w:cstheme="minorBidi"/>
              <w:noProof/>
              <w:szCs w:val="22"/>
              <w:lang w:eastAsia="es-MX"/>
            </w:rPr>
          </w:pPr>
          <w:hyperlink w:anchor="_Toc207804988" w:history="1">
            <w:r w:rsidR="00B2163F" w:rsidRPr="00DA20BE">
              <w:rPr>
                <w:rStyle w:val="Hipervnculo"/>
                <w:noProof/>
                <w:color w:val="auto"/>
              </w:rPr>
              <w:t>d) Informe Justificado del Sujeto Obligado</w:t>
            </w:r>
            <w:r w:rsidR="00B2163F" w:rsidRPr="00DA20BE">
              <w:rPr>
                <w:noProof/>
                <w:webHidden/>
              </w:rPr>
              <w:tab/>
            </w:r>
            <w:r w:rsidR="00B2163F" w:rsidRPr="00DA20BE">
              <w:rPr>
                <w:noProof/>
                <w:webHidden/>
              </w:rPr>
              <w:fldChar w:fldCharType="begin"/>
            </w:r>
            <w:r w:rsidR="00B2163F" w:rsidRPr="00DA20BE">
              <w:rPr>
                <w:noProof/>
                <w:webHidden/>
              </w:rPr>
              <w:instrText xml:space="preserve"> PAGEREF _Toc207804988 \h </w:instrText>
            </w:r>
            <w:r w:rsidR="00B2163F" w:rsidRPr="00DA20BE">
              <w:rPr>
                <w:noProof/>
                <w:webHidden/>
              </w:rPr>
            </w:r>
            <w:r w:rsidR="00B2163F" w:rsidRPr="00DA20BE">
              <w:rPr>
                <w:noProof/>
                <w:webHidden/>
              </w:rPr>
              <w:fldChar w:fldCharType="separate"/>
            </w:r>
            <w:r w:rsidR="00BF3DF2">
              <w:rPr>
                <w:noProof/>
                <w:webHidden/>
              </w:rPr>
              <w:t>5</w:t>
            </w:r>
            <w:r w:rsidR="00B2163F" w:rsidRPr="00DA20BE">
              <w:rPr>
                <w:noProof/>
                <w:webHidden/>
              </w:rPr>
              <w:fldChar w:fldCharType="end"/>
            </w:r>
          </w:hyperlink>
        </w:p>
        <w:p w14:paraId="10AC976B" w14:textId="77777777" w:rsidR="00B2163F" w:rsidRPr="00DA20BE" w:rsidRDefault="00873B84" w:rsidP="00DA20BE">
          <w:pPr>
            <w:pStyle w:val="TDC3"/>
            <w:rPr>
              <w:rFonts w:asciiTheme="minorHAnsi" w:eastAsiaTheme="minorEastAsia" w:hAnsiTheme="minorHAnsi" w:cstheme="minorBidi"/>
              <w:noProof/>
              <w:szCs w:val="22"/>
              <w:lang w:eastAsia="es-MX"/>
            </w:rPr>
          </w:pPr>
          <w:hyperlink w:anchor="_Toc207804989" w:history="1">
            <w:r w:rsidR="00B2163F" w:rsidRPr="00DA20BE">
              <w:rPr>
                <w:rStyle w:val="Hipervnculo"/>
                <w:rFonts w:eastAsia="Calibri"/>
                <w:bCs/>
                <w:noProof/>
                <w:color w:val="auto"/>
                <w:lang w:eastAsia="en-US"/>
              </w:rPr>
              <w:t>e)</w:t>
            </w:r>
            <w:r w:rsidR="00B2163F" w:rsidRPr="00DA20BE">
              <w:rPr>
                <w:rStyle w:val="Hipervnculo"/>
                <w:noProof/>
                <w:color w:val="auto"/>
              </w:rPr>
              <w:t xml:space="preserve"> </w:t>
            </w:r>
            <w:r w:rsidR="00B2163F" w:rsidRPr="00DA20BE">
              <w:rPr>
                <w:rStyle w:val="Hipervnculo"/>
                <w:noProof/>
                <w:color w:val="auto"/>
                <w:lang w:val="es-ES"/>
              </w:rPr>
              <w:t>Manifestaciones de la Parte Recurrente</w:t>
            </w:r>
            <w:r w:rsidR="00B2163F" w:rsidRPr="00DA20BE">
              <w:rPr>
                <w:noProof/>
                <w:webHidden/>
              </w:rPr>
              <w:tab/>
            </w:r>
            <w:r w:rsidR="00B2163F" w:rsidRPr="00DA20BE">
              <w:rPr>
                <w:noProof/>
                <w:webHidden/>
              </w:rPr>
              <w:fldChar w:fldCharType="begin"/>
            </w:r>
            <w:r w:rsidR="00B2163F" w:rsidRPr="00DA20BE">
              <w:rPr>
                <w:noProof/>
                <w:webHidden/>
              </w:rPr>
              <w:instrText xml:space="preserve"> PAGEREF _Toc207804989 \h </w:instrText>
            </w:r>
            <w:r w:rsidR="00B2163F" w:rsidRPr="00DA20BE">
              <w:rPr>
                <w:noProof/>
                <w:webHidden/>
              </w:rPr>
            </w:r>
            <w:r w:rsidR="00B2163F" w:rsidRPr="00DA20BE">
              <w:rPr>
                <w:noProof/>
                <w:webHidden/>
              </w:rPr>
              <w:fldChar w:fldCharType="separate"/>
            </w:r>
            <w:r w:rsidR="00BF3DF2">
              <w:rPr>
                <w:noProof/>
                <w:webHidden/>
              </w:rPr>
              <w:t>5</w:t>
            </w:r>
            <w:r w:rsidR="00B2163F" w:rsidRPr="00DA20BE">
              <w:rPr>
                <w:noProof/>
                <w:webHidden/>
              </w:rPr>
              <w:fldChar w:fldCharType="end"/>
            </w:r>
          </w:hyperlink>
        </w:p>
        <w:p w14:paraId="4839AF53" w14:textId="77777777" w:rsidR="00B2163F" w:rsidRPr="00DA20BE" w:rsidRDefault="00873B84" w:rsidP="00DA20BE">
          <w:pPr>
            <w:pStyle w:val="TDC3"/>
            <w:rPr>
              <w:rFonts w:asciiTheme="minorHAnsi" w:eastAsiaTheme="minorEastAsia" w:hAnsiTheme="minorHAnsi" w:cstheme="minorBidi"/>
              <w:noProof/>
              <w:szCs w:val="22"/>
              <w:lang w:eastAsia="es-MX"/>
            </w:rPr>
          </w:pPr>
          <w:hyperlink w:anchor="_Toc207804990" w:history="1">
            <w:r w:rsidR="00B2163F" w:rsidRPr="00DA20BE">
              <w:rPr>
                <w:rStyle w:val="Hipervnculo"/>
                <w:rFonts w:eastAsia="Calibri"/>
                <w:bCs/>
                <w:noProof/>
                <w:color w:val="auto"/>
                <w:lang w:eastAsia="en-US"/>
              </w:rPr>
              <w:t>f) Ampliación de Plazo para Resolver</w:t>
            </w:r>
            <w:r w:rsidR="00B2163F" w:rsidRPr="00DA20BE">
              <w:rPr>
                <w:noProof/>
                <w:webHidden/>
              </w:rPr>
              <w:tab/>
            </w:r>
            <w:r w:rsidR="00B2163F" w:rsidRPr="00DA20BE">
              <w:rPr>
                <w:noProof/>
                <w:webHidden/>
              </w:rPr>
              <w:fldChar w:fldCharType="begin"/>
            </w:r>
            <w:r w:rsidR="00B2163F" w:rsidRPr="00DA20BE">
              <w:rPr>
                <w:noProof/>
                <w:webHidden/>
              </w:rPr>
              <w:instrText xml:space="preserve"> PAGEREF _Toc207804990 \h </w:instrText>
            </w:r>
            <w:r w:rsidR="00B2163F" w:rsidRPr="00DA20BE">
              <w:rPr>
                <w:noProof/>
                <w:webHidden/>
              </w:rPr>
            </w:r>
            <w:r w:rsidR="00B2163F" w:rsidRPr="00DA20BE">
              <w:rPr>
                <w:noProof/>
                <w:webHidden/>
              </w:rPr>
              <w:fldChar w:fldCharType="separate"/>
            </w:r>
            <w:r w:rsidR="00BF3DF2">
              <w:rPr>
                <w:noProof/>
                <w:webHidden/>
              </w:rPr>
              <w:t>5</w:t>
            </w:r>
            <w:r w:rsidR="00B2163F" w:rsidRPr="00DA20BE">
              <w:rPr>
                <w:noProof/>
                <w:webHidden/>
              </w:rPr>
              <w:fldChar w:fldCharType="end"/>
            </w:r>
          </w:hyperlink>
        </w:p>
        <w:p w14:paraId="6807D99E" w14:textId="77777777" w:rsidR="00B2163F" w:rsidRPr="00DA20BE" w:rsidRDefault="00873B84" w:rsidP="00DA20BE">
          <w:pPr>
            <w:pStyle w:val="TDC3"/>
            <w:rPr>
              <w:rFonts w:asciiTheme="minorHAnsi" w:eastAsiaTheme="minorEastAsia" w:hAnsiTheme="minorHAnsi" w:cstheme="minorBidi"/>
              <w:noProof/>
              <w:szCs w:val="22"/>
              <w:lang w:eastAsia="es-MX"/>
            </w:rPr>
          </w:pPr>
          <w:hyperlink w:anchor="_Toc207804991" w:history="1">
            <w:r w:rsidR="00B2163F" w:rsidRPr="00DA20BE">
              <w:rPr>
                <w:rStyle w:val="Hipervnculo"/>
                <w:rFonts w:eastAsia="Calibri"/>
                <w:bCs/>
                <w:noProof/>
                <w:color w:val="auto"/>
                <w:lang w:eastAsia="en-US"/>
              </w:rPr>
              <w:t>g) Cierre de instrucción</w:t>
            </w:r>
            <w:r w:rsidR="00B2163F" w:rsidRPr="00DA20BE">
              <w:rPr>
                <w:noProof/>
                <w:webHidden/>
              </w:rPr>
              <w:tab/>
            </w:r>
            <w:r w:rsidR="00B2163F" w:rsidRPr="00DA20BE">
              <w:rPr>
                <w:noProof/>
                <w:webHidden/>
              </w:rPr>
              <w:fldChar w:fldCharType="begin"/>
            </w:r>
            <w:r w:rsidR="00B2163F" w:rsidRPr="00DA20BE">
              <w:rPr>
                <w:noProof/>
                <w:webHidden/>
              </w:rPr>
              <w:instrText xml:space="preserve"> PAGEREF _Toc207804991 \h </w:instrText>
            </w:r>
            <w:r w:rsidR="00B2163F" w:rsidRPr="00DA20BE">
              <w:rPr>
                <w:noProof/>
                <w:webHidden/>
              </w:rPr>
            </w:r>
            <w:r w:rsidR="00B2163F" w:rsidRPr="00DA20BE">
              <w:rPr>
                <w:noProof/>
                <w:webHidden/>
              </w:rPr>
              <w:fldChar w:fldCharType="separate"/>
            </w:r>
            <w:r w:rsidR="00BF3DF2">
              <w:rPr>
                <w:noProof/>
                <w:webHidden/>
              </w:rPr>
              <w:t>6</w:t>
            </w:r>
            <w:r w:rsidR="00B2163F" w:rsidRPr="00DA20BE">
              <w:rPr>
                <w:noProof/>
                <w:webHidden/>
              </w:rPr>
              <w:fldChar w:fldCharType="end"/>
            </w:r>
          </w:hyperlink>
        </w:p>
        <w:p w14:paraId="103473C5" w14:textId="77777777" w:rsidR="00B2163F" w:rsidRPr="00DA20BE" w:rsidRDefault="00873B84" w:rsidP="00DA20BE">
          <w:pPr>
            <w:pStyle w:val="TDC1"/>
            <w:tabs>
              <w:tab w:val="right" w:leader="dot" w:pos="9034"/>
            </w:tabs>
            <w:rPr>
              <w:rFonts w:asciiTheme="minorHAnsi" w:eastAsiaTheme="minorEastAsia" w:hAnsiTheme="minorHAnsi" w:cstheme="minorBidi"/>
              <w:noProof/>
              <w:szCs w:val="22"/>
              <w:lang w:eastAsia="es-MX"/>
            </w:rPr>
          </w:pPr>
          <w:hyperlink w:anchor="_Toc207804992" w:history="1">
            <w:r w:rsidR="00B2163F" w:rsidRPr="00DA20BE">
              <w:rPr>
                <w:rStyle w:val="Hipervnculo"/>
                <w:rFonts w:eastAsiaTheme="minorHAnsi"/>
                <w:noProof/>
                <w:color w:val="auto"/>
                <w:lang w:eastAsia="en-US"/>
              </w:rPr>
              <w:t>CONSIDERANDOS</w:t>
            </w:r>
            <w:r w:rsidR="00B2163F" w:rsidRPr="00DA20BE">
              <w:rPr>
                <w:noProof/>
                <w:webHidden/>
              </w:rPr>
              <w:tab/>
            </w:r>
            <w:r w:rsidR="00B2163F" w:rsidRPr="00DA20BE">
              <w:rPr>
                <w:noProof/>
                <w:webHidden/>
              </w:rPr>
              <w:fldChar w:fldCharType="begin"/>
            </w:r>
            <w:r w:rsidR="00B2163F" w:rsidRPr="00DA20BE">
              <w:rPr>
                <w:noProof/>
                <w:webHidden/>
              </w:rPr>
              <w:instrText xml:space="preserve"> PAGEREF _Toc207804992 \h </w:instrText>
            </w:r>
            <w:r w:rsidR="00B2163F" w:rsidRPr="00DA20BE">
              <w:rPr>
                <w:noProof/>
                <w:webHidden/>
              </w:rPr>
            </w:r>
            <w:r w:rsidR="00B2163F" w:rsidRPr="00DA20BE">
              <w:rPr>
                <w:noProof/>
                <w:webHidden/>
              </w:rPr>
              <w:fldChar w:fldCharType="separate"/>
            </w:r>
            <w:r w:rsidR="00BF3DF2">
              <w:rPr>
                <w:noProof/>
                <w:webHidden/>
              </w:rPr>
              <w:t>6</w:t>
            </w:r>
            <w:r w:rsidR="00B2163F" w:rsidRPr="00DA20BE">
              <w:rPr>
                <w:noProof/>
                <w:webHidden/>
              </w:rPr>
              <w:fldChar w:fldCharType="end"/>
            </w:r>
          </w:hyperlink>
        </w:p>
        <w:p w14:paraId="4749F939" w14:textId="77777777" w:rsidR="00B2163F" w:rsidRPr="00DA20BE" w:rsidRDefault="00873B84" w:rsidP="00DA20BE">
          <w:pPr>
            <w:pStyle w:val="TDC2"/>
            <w:rPr>
              <w:rFonts w:asciiTheme="minorHAnsi" w:eastAsiaTheme="minorEastAsia" w:hAnsiTheme="minorHAnsi" w:cstheme="minorBidi"/>
              <w:noProof/>
              <w:szCs w:val="22"/>
              <w:lang w:eastAsia="es-MX"/>
            </w:rPr>
          </w:pPr>
          <w:hyperlink w:anchor="_Toc207804993" w:history="1">
            <w:r w:rsidR="00B2163F" w:rsidRPr="00DA20BE">
              <w:rPr>
                <w:rStyle w:val="Hipervnculo"/>
                <w:rFonts w:eastAsia="Batang"/>
                <w:noProof/>
                <w:color w:val="auto"/>
              </w:rPr>
              <w:t>PRIMERO. Procedibilidad</w:t>
            </w:r>
            <w:r w:rsidR="00B2163F" w:rsidRPr="00DA20BE">
              <w:rPr>
                <w:noProof/>
                <w:webHidden/>
              </w:rPr>
              <w:tab/>
            </w:r>
            <w:r w:rsidR="00B2163F" w:rsidRPr="00DA20BE">
              <w:rPr>
                <w:noProof/>
                <w:webHidden/>
              </w:rPr>
              <w:fldChar w:fldCharType="begin"/>
            </w:r>
            <w:r w:rsidR="00B2163F" w:rsidRPr="00DA20BE">
              <w:rPr>
                <w:noProof/>
                <w:webHidden/>
              </w:rPr>
              <w:instrText xml:space="preserve"> PAGEREF _Toc207804993 \h </w:instrText>
            </w:r>
            <w:r w:rsidR="00B2163F" w:rsidRPr="00DA20BE">
              <w:rPr>
                <w:noProof/>
                <w:webHidden/>
              </w:rPr>
            </w:r>
            <w:r w:rsidR="00B2163F" w:rsidRPr="00DA20BE">
              <w:rPr>
                <w:noProof/>
                <w:webHidden/>
              </w:rPr>
              <w:fldChar w:fldCharType="separate"/>
            </w:r>
            <w:r w:rsidR="00BF3DF2">
              <w:rPr>
                <w:noProof/>
                <w:webHidden/>
              </w:rPr>
              <w:t>6</w:t>
            </w:r>
            <w:r w:rsidR="00B2163F" w:rsidRPr="00DA20BE">
              <w:rPr>
                <w:noProof/>
                <w:webHidden/>
              </w:rPr>
              <w:fldChar w:fldCharType="end"/>
            </w:r>
          </w:hyperlink>
        </w:p>
        <w:p w14:paraId="7BEAE36F" w14:textId="77777777" w:rsidR="00B2163F" w:rsidRPr="00DA20BE" w:rsidRDefault="00873B84" w:rsidP="00DA20BE">
          <w:pPr>
            <w:pStyle w:val="TDC3"/>
            <w:rPr>
              <w:rFonts w:asciiTheme="minorHAnsi" w:eastAsiaTheme="minorEastAsia" w:hAnsiTheme="minorHAnsi" w:cstheme="minorBidi"/>
              <w:noProof/>
              <w:szCs w:val="22"/>
              <w:lang w:eastAsia="es-MX"/>
            </w:rPr>
          </w:pPr>
          <w:hyperlink w:anchor="_Toc207804994" w:history="1">
            <w:r w:rsidR="00B2163F" w:rsidRPr="00DA20BE">
              <w:rPr>
                <w:rStyle w:val="Hipervnculo"/>
                <w:noProof/>
                <w:color w:val="auto"/>
              </w:rPr>
              <w:t>a) Competencia del Instituto</w:t>
            </w:r>
            <w:r w:rsidR="00B2163F" w:rsidRPr="00DA20BE">
              <w:rPr>
                <w:noProof/>
                <w:webHidden/>
              </w:rPr>
              <w:tab/>
            </w:r>
            <w:r w:rsidR="00B2163F" w:rsidRPr="00DA20BE">
              <w:rPr>
                <w:noProof/>
                <w:webHidden/>
              </w:rPr>
              <w:fldChar w:fldCharType="begin"/>
            </w:r>
            <w:r w:rsidR="00B2163F" w:rsidRPr="00DA20BE">
              <w:rPr>
                <w:noProof/>
                <w:webHidden/>
              </w:rPr>
              <w:instrText xml:space="preserve"> PAGEREF _Toc207804994 \h </w:instrText>
            </w:r>
            <w:r w:rsidR="00B2163F" w:rsidRPr="00DA20BE">
              <w:rPr>
                <w:noProof/>
                <w:webHidden/>
              </w:rPr>
            </w:r>
            <w:r w:rsidR="00B2163F" w:rsidRPr="00DA20BE">
              <w:rPr>
                <w:noProof/>
                <w:webHidden/>
              </w:rPr>
              <w:fldChar w:fldCharType="separate"/>
            </w:r>
            <w:r w:rsidR="00BF3DF2">
              <w:rPr>
                <w:noProof/>
                <w:webHidden/>
              </w:rPr>
              <w:t>6</w:t>
            </w:r>
            <w:r w:rsidR="00B2163F" w:rsidRPr="00DA20BE">
              <w:rPr>
                <w:noProof/>
                <w:webHidden/>
              </w:rPr>
              <w:fldChar w:fldCharType="end"/>
            </w:r>
          </w:hyperlink>
        </w:p>
        <w:p w14:paraId="7D241075" w14:textId="77777777" w:rsidR="00B2163F" w:rsidRPr="00DA20BE" w:rsidRDefault="00873B84" w:rsidP="00DA20BE">
          <w:pPr>
            <w:pStyle w:val="TDC3"/>
            <w:rPr>
              <w:rFonts w:asciiTheme="minorHAnsi" w:eastAsiaTheme="minorEastAsia" w:hAnsiTheme="minorHAnsi" w:cstheme="minorBidi"/>
              <w:noProof/>
              <w:szCs w:val="22"/>
              <w:lang w:eastAsia="es-MX"/>
            </w:rPr>
          </w:pPr>
          <w:hyperlink w:anchor="_Toc207804995" w:history="1">
            <w:r w:rsidR="00B2163F" w:rsidRPr="00DA20BE">
              <w:rPr>
                <w:rStyle w:val="Hipervnculo"/>
                <w:noProof/>
                <w:color w:val="auto"/>
              </w:rPr>
              <w:t>b) Legitimidad de la parte recurrente</w:t>
            </w:r>
            <w:r w:rsidR="00B2163F" w:rsidRPr="00DA20BE">
              <w:rPr>
                <w:noProof/>
                <w:webHidden/>
              </w:rPr>
              <w:tab/>
            </w:r>
            <w:r w:rsidR="00B2163F" w:rsidRPr="00DA20BE">
              <w:rPr>
                <w:noProof/>
                <w:webHidden/>
              </w:rPr>
              <w:fldChar w:fldCharType="begin"/>
            </w:r>
            <w:r w:rsidR="00B2163F" w:rsidRPr="00DA20BE">
              <w:rPr>
                <w:noProof/>
                <w:webHidden/>
              </w:rPr>
              <w:instrText xml:space="preserve"> PAGEREF _Toc207804995 \h </w:instrText>
            </w:r>
            <w:r w:rsidR="00B2163F" w:rsidRPr="00DA20BE">
              <w:rPr>
                <w:noProof/>
                <w:webHidden/>
              </w:rPr>
            </w:r>
            <w:r w:rsidR="00B2163F" w:rsidRPr="00DA20BE">
              <w:rPr>
                <w:noProof/>
                <w:webHidden/>
              </w:rPr>
              <w:fldChar w:fldCharType="separate"/>
            </w:r>
            <w:r w:rsidR="00BF3DF2">
              <w:rPr>
                <w:noProof/>
                <w:webHidden/>
              </w:rPr>
              <w:t>7</w:t>
            </w:r>
            <w:r w:rsidR="00B2163F" w:rsidRPr="00DA20BE">
              <w:rPr>
                <w:noProof/>
                <w:webHidden/>
              </w:rPr>
              <w:fldChar w:fldCharType="end"/>
            </w:r>
          </w:hyperlink>
        </w:p>
        <w:p w14:paraId="6B985183" w14:textId="77777777" w:rsidR="00B2163F" w:rsidRPr="00DA20BE" w:rsidRDefault="00873B84" w:rsidP="00DA20BE">
          <w:pPr>
            <w:pStyle w:val="TDC3"/>
            <w:rPr>
              <w:rFonts w:asciiTheme="minorHAnsi" w:eastAsiaTheme="minorEastAsia" w:hAnsiTheme="minorHAnsi" w:cstheme="minorBidi"/>
              <w:noProof/>
              <w:szCs w:val="22"/>
              <w:lang w:eastAsia="es-MX"/>
            </w:rPr>
          </w:pPr>
          <w:hyperlink w:anchor="_Toc207804996" w:history="1">
            <w:r w:rsidR="00B2163F" w:rsidRPr="00DA20BE">
              <w:rPr>
                <w:rStyle w:val="Hipervnculo"/>
                <w:rFonts w:eastAsia="Calibri"/>
                <w:noProof/>
                <w:color w:val="auto"/>
                <w:lang w:eastAsia="es-ES_tradnl"/>
              </w:rPr>
              <w:t>c) Plazo para interponer el recurso</w:t>
            </w:r>
            <w:r w:rsidR="00B2163F" w:rsidRPr="00DA20BE">
              <w:rPr>
                <w:noProof/>
                <w:webHidden/>
              </w:rPr>
              <w:tab/>
            </w:r>
            <w:r w:rsidR="00B2163F" w:rsidRPr="00DA20BE">
              <w:rPr>
                <w:noProof/>
                <w:webHidden/>
              </w:rPr>
              <w:fldChar w:fldCharType="begin"/>
            </w:r>
            <w:r w:rsidR="00B2163F" w:rsidRPr="00DA20BE">
              <w:rPr>
                <w:noProof/>
                <w:webHidden/>
              </w:rPr>
              <w:instrText xml:space="preserve"> PAGEREF _Toc207804996 \h </w:instrText>
            </w:r>
            <w:r w:rsidR="00B2163F" w:rsidRPr="00DA20BE">
              <w:rPr>
                <w:noProof/>
                <w:webHidden/>
              </w:rPr>
            </w:r>
            <w:r w:rsidR="00B2163F" w:rsidRPr="00DA20BE">
              <w:rPr>
                <w:noProof/>
                <w:webHidden/>
              </w:rPr>
              <w:fldChar w:fldCharType="separate"/>
            </w:r>
            <w:r w:rsidR="00BF3DF2">
              <w:rPr>
                <w:noProof/>
                <w:webHidden/>
              </w:rPr>
              <w:t>7</w:t>
            </w:r>
            <w:r w:rsidR="00B2163F" w:rsidRPr="00DA20BE">
              <w:rPr>
                <w:noProof/>
                <w:webHidden/>
              </w:rPr>
              <w:fldChar w:fldCharType="end"/>
            </w:r>
          </w:hyperlink>
        </w:p>
        <w:p w14:paraId="4D7BF5EA" w14:textId="77777777" w:rsidR="00B2163F" w:rsidRPr="00DA20BE" w:rsidRDefault="00873B84" w:rsidP="00DA20BE">
          <w:pPr>
            <w:pStyle w:val="TDC3"/>
            <w:rPr>
              <w:rFonts w:asciiTheme="minorHAnsi" w:eastAsiaTheme="minorEastAsia" w:hAnsiTheme="minorHAnsi" w:cstheme="minorBidi"/>
              <w:noProof/>
              <w:szCs w:val="22"/>
              <w:lang w:eastAsia="es-MX"/>
            </w:rPr>
          </w:pPr>
          <w:hyperlink w:anchor="_Toc207804997" w:history="1">
            <w:r w:rsidR="00B2163F" w:rsidRPr="00DA20BE">
              <w:rPr>
                <w:rStyle w:val="Hipervnculo"/>
                <w:rFonts w:eastAsia="Calibri"/>
                <w:noProof/>
                <w:color w:val="auto"/>
                <w:lang w:eastAsia="es-ES_tradnl"/>
              </w:rPr>
              <w:t>d) Causal de procedencia</w:t>
            </w:r>
            <w:r w:rsidR="00B2163F" w:rsidRPr="00DA20BE">
              <w:rPr>
                <w:noProof/>
                <w:webHidden/>
              </w:rPr>
              <w:tab/>
            </w:r>
            <w:r w:rsidR="00B2163F" w:rsidRPr="00DA20BE">
              <w:rPr>
                <w:noProof/>
                <w:webHidden/>
              </w:rPr>
              <w:fldChar w:fldCharType="begin"/>
            </w:r>
            <w:r w:rsidR="00B2163F" w:rsidRPr="00DA20BE">
              <w:rPr>
                <w:noProof/>
                <w:webHidden/>
              </w:rPr>
              <w:instrText xml:space="preserve"> PAGEREF _Toc207804997 \h </w:instrText>
            </w:r>
            <w:r w:rsidR="00B2163F" w:rsidRPr="00DA20BE">
              <w:rPr>
                <w:noProof/>
                <w:webHidden/>
              </w:rPr>
            </w:r>
            <w:r w:rsidR="00B2163F" w:rsidRPr="00DA20BE">
              <w:rPr>
                <w:noProof/>
                <w:webHidden/>
              </w:rPr>
              <w:fldChar w:fldCharType="separate"/>
            </w:r>
            <w:r w:rsidR="00BF3DF2">
              <w:rPr>
                <w:noProof/>
                <w:webHidden/>
              </w:rPr>
              <w:t>7</w:t>
            </w:r>
            <w:r w:rsidR="00B2163F" w:rsidRPr="00DA20BE">
              <w:rPr>
                <w:noProof/>
                <w:webHidden/>
              </w:rPr>
              <w:fldChar w:fldCharType="end"/>
            </w:r>
          </w:hyperlink>
        </w:p>
        <w:p w14:paraId="2795FE6E" w14:textId="77777777" w:rsidR="00B2163F" w:rsidRPr="00DA20BE" w:rsidRDefault="00873B84" w:rsidP="00DA20BE">
          <w:pPr>
            <w:pStyle w:val="TDC3"/>
            <w:rPr>
              <w:rFonts w:asciiTheme="minorHAnsi" w:eastAsiaTheme="minorEastAsia" w:hAnsiTheme="minorHAnsi" w:cstheme="minorBidi"/>
              <w:noProof/>
              <w:szCs w:val="22"/>
              <w:lang w:eastAsia="es-MX"/>
            </w:rPr>
          </w:pPr>
          <w:hyperlink w:anchor="_Toc207804998" w:history="1">
            <w:r w:rsidR="00B2163F" w:rsidRPr="00DA20BE">
              <w:rPr>
                <w:rStyle w:val="Hipervnculo"/>
                <w:noProof/>
                <w:color w:val="auto"/>
              </w:rPr>
              <w:t>e) Requisitos formales para la interposición del recurso</w:t>
            </w:r>
            <w:r w:rsidR="00B2163F" w:rsidRPr="00DA20BE">
              <w:rPr>
                <w:noProof/>
                <w:webHidden/>
              </w:rPr>
              <w:tab/>
            </w:r>
            <w:r w:rsidR="00B2163F" w:rsidRPr="00DA20BE">
              <w:rPr>
                <w:noProof/>
                <w:webHidden/>
              </w:rPr>
              <w:fldChar w:fldCharType="begin"/>
            </w:r>
            <w:r w:rsidR="00B2163F" w:rsidRPr="00DA20BE">
              <w:rPr>
                <w:noProof/>
                <w:webHidden/>
              </w:rPr>
              <w:instrText xml:space="preserve"> PAGEREF _Toc207804998 \h </w:instrText>
            </w:r>
            <w:r w:rsidR="00B2163F" w:rsidRPr="00DA20BE">
              <w:rPr>
                <w:noProof/>
                <w:webHidden/>
              </w:rPr>
            </w:r>
            <w:r w:rsidR="00B2163F" w:rsidRPr="00DA20BE">
              <w:rPr>
                <w:noProof/>
                <w:webHidden/>
              </w:rPr>
              <w:fldChar w:fldCharType="separate"/>
            </w:r>
            <w:r w:rsidR="00BF3DF2">
              <w:rPr>
                <w:noProof/>
                <w:webHidden/>
              </w:rPr>
              <w:t>7</w:t>
            </w:r>
            <w:r w:rsidR="00B2163F" w:rsidRPr="00DA20BE">
              <w:rPr>
                <w:noProof/>
                <w:webHidden/>
              </w:rPr>
              <w:fldChar w:fldCharType="end"/>
            </w:r>
          </w:hyperlink>
        </w:p>
        <w:p w14:paraId="404E956E" w14:textId="77777777" w:rsidR="00B2163F" w:rsidRPr="00DA20BE" w:rsidRDefault="00873B84" w:rsidP="00DA20BE">
          <w:pPr>
            <w:pStyle w:val="TDC2"/>
            <w:rPr>
              <w:rFonts w:asciiTheme="minorHAnsi" w:eastAsiaTheme="minorEastAsia" w:hAnsiTheme="minorHAnsi" w:cstheme="minorBidi"/>
              <w:noProof/>
              <w:szCs w:val="22"/>
              <w:lang w:eastAsia="es-MX"/>
            </w:rPr>
          </w:pPr>
          <w:hyperlink w:anchor="_Toc207804999" w:history="1">
            <w:r w:rsidR="00B2163F" w:rsidRPr="00DA20BE">
              <w:rPr>
                <w:rStyle w:val="Hipervnculo"/>
                <w:noProof/>
                <w:color w:val="auto"/>
              </w:rPr>
              <w:t>SEGUNDO. Estudio de Fondo</w:t>
            </w:r>
            <w:r w:rsidR="00B2163F" w:rsidRPr="00DA20BE">
              <w:rPr>
                <w:noProof/>
                <w:webHidden/>
              </w:rPr>
              <w:tab/>
            </w:r>
            <w:r w:rsidR="00B2163F" w:rsidRPr="00DA20BE">
              <w:rPr>
                <w:noProof/>
                <w:webHidden/>
              </w:rPr>
              <w:fldChar w:fldCharType="begin"/>
            </w:r>
            <w:r w:rsidR="00B2163F" w:rsidRPr="00DA20BE">
              <w:rPr>
                <w:noProof/>
                <w:webHidden/>
              </w:rPr>
              <w:instrText xml:space="preserve"> PAGEREF _Toc207804999 \h </w:instrText>
            </w:r>
            <w:r w:rsidR="00B2163F" w:rsidRPr="00DA20BE">
              <w:rPr>
                <w:noProof/>
                <w:webHidden/>
              </w:rPr>
            </w:r>
            <w:r w:rsidR="00B2163F" w:rsidRPr="00DA20BE">
              <w:rPr>
                <w:noProof/>
                <w:webHidden/>
              </w:rPr>
              <w:fldChar w:fldCharType="separate"/>
            </w:r>
            <w:r w:rsidR="00BF3DF2">
              <w:rPr>
                <w:noProof/>
                <w:webHidden/>
              </w:rPr>
              <w:t>8</w:t>
            </w:r>
            <w:r w:rsidR="00B2163F" w:rsidRPr="00DA20BE">
              <w:rPr>
                <w:noProof/>
                <w:webHidden/>
              </w:rPr>
              <w:fldChar w:fldCharType="end"/>
            </w:r>
          </w:hyperlink>
        </w:p>
        <w:p w14:paraId="21C78424" w14:textId="77777777" w:rsidR="00B2163F" w:rsidRPr="00DA20BE" w:rsidRDefault="00873B84" w:rsidP="00DA20BE">
          <w:pPr>
            <w:pStyle w:val="TDC3"/>
            <w:rPr>
              <w:rFonts w:asciiTheme="minorHAnsi" w:eastAsiaTheme="minorEastAsia" w:hAnsiTheme="minorHAnsi" w:cstheme="minorBidi"/>
              <w:noProof/>
              <w:szCs w:val="22"/>
              <w:lang w:eastAsia="es-MX"/>
            </w:rPr>
          </w:pPr>
          <w:hyperlink w:anchor="_Toc207805000" w:history="1">
            <w:r w:rsidR="00B2163F" w:rsidRPr="00DA20BE">
              <w:rPr>
                <w:rStyle w:val="Hipervnculo"/>
                <w:noProof/>
                <w:color w:val="auto"/>
              </w:rPr>
              <w:t>a) Mandato de transparencia y responsabilidad del Sujeto Obligado</w:t>
            </w:r>
            <w:r w:rsidR="00B2163F" w:rsidRPr="00DA20BE">
              <w:rPr>
                <w:noProof/>
                <w:webHidden/>
              </w:rPr>
              <w:tab/>
            </w:r>
            <w:r w:rsidR="00B2163F" w:rsidRPr="00DA20BE">
              <w:rPr>
                <w:noProof/>
                <w:webHidden/>
              </w:rPr>
              <w:fldChar w:fldCharType="begin"/>
            </w:r>
            <w:r w:rsidR="00B2163F" w:rsidRPr="00DA20BE">
              <w:rPr>
                <w:noProof/>
                <w:webHidden/>
              </w:rPr>
              <w:instrText xml:space="preserve"> PAGEREF _Toc207805000 \h </w:instrText>
            </w:r>
            <w:r w:rsidR="00B2163F" w:rsidRPr="00DA20BE">
              <w:rPr>
                <w:noProof/>
                <w:webHidden/>
              </w:rPr>
            </w:r>
            <w:r w:rsidR="00B2163F" w:rsidRPr="00DA20BE">
              <w:rPr>
                <w:noProof/>
                <w:webHidden/>
              </w:rPr>
              <w:fldChar w:fldCharType="separate"/>
            </w:r>
            <w:r w:rsidR="00BF3DF2">
              <w:rPr>
                <w:noProof/>
                <w:webHidden/>
              </w:rPr>
              <w:t>8</w:t>
            </w:r>
            <w:r w:rsidR="00B2163F" w:rsidRPr="00DA20BE">
              <w:rPr>
                <w:noProof/>
                <w:webHidden/>
              </w:rPr>
              <w:fldChar w:fldCharType="end"/>
            </w:r>
          </w:hyperlink>
        </w:p>
        <w:p w14:paraId="7E25111F" w14:textId="77777777" w:rsidR="00B2163F" w:rsidRPr="00DA20BE" w:rsidRDefault="00873B84" w:rsidP="00DA20BE">
          <w:pPr>
            <w:pStyle w:val="TDC3"/>
            <w:rPr>
              <w:rFonts w:asciiTheme="minorHAnsi" w:eastAsiaTheme="minorEastAsia" w:hAnsiTheme="minorHAnsi" w:cstheme="minorBidi"/>
              <w:noProof/>
              <w:szCs w:val="22"/>
              <w:lang w:eastAsia="es-MX"/>
            </w:rPr>
          </w:pPr>
          <w:hyperlink w:anchor="_Toc207805001" w:history="1">
            <w:r w:rsidR="00B2163F" w:rsidRPr="00DA20BE">
              <w:rPr>
                <w:rStyle w:val="Hipervnculo"/>
                <w:rFonts w:eastAsia="Calibri"/>
                <w:noProof/>
                <w:color w:val="auto"/>
                <w:lang w:eastAsia="es-ES_tradnl"/>
              </w:rPr>
              <w:t>b) Controversia a resolver</w:t>
            </w:r>
            <w:r w:rsidR="00B2163F" w:rsidRPr="00DA20BE">
              <w:rPr>
                <w:noProof/>
                <w:webHidden/>
              </w:rPr>
              <w:tab/>
            </w:r>
            <w:r w:rsidR="00B2163F" w:rsidRPr="00DA20BE">
              <w:rPr>
                <w:noProof/>
                <w:webHidden/>
              </w:rPr>
              <w:fldChar w:fldCharType="begin"/>
            </w:r>
            <w:r w:rsidR="00B2163F" w:rsidRPr="00DA20BE">
              <w:rPr>
                <w:noProof/>
                <w:webHidden/>
              </w:rPr>
              <w:instrText xml:space="preserve"> PAGEREF _Toc207805001 \h </w:instrText>
            </w:r>
            <w:r w:rsidR="00B2163F" w:rsidRPr="00DA20BE">
              <w:rPr>
                <w:noProof/>
                <w:webHidden/>
              </w:rPr>
            </w:r>
            <w:r w:rsidR="00B2163F" w:rsidRPr="00DA20BE">
              <w:rPr>
                <w:noProof/>
                <w:webHidden/>
              </w:rPr>
              <w:fldChar w:fldCharType="separate"/>
            </w:r>
            <w:r w:rsidR="00BF3DF2">
              <w:rPr>
                <w:noProof/>
                <w:webHidden/>
              </w:rPr>
              <w:t>10</w:t>
            </w:r>
            <w:r w:rsidR="00B2163F" w:rsidRPr="00DA20BE">
              <w:rPr>
                <w:noProof/>
                <w:webHidden/>
              </w:rPr>
              <w:fldChar w:fldCharType="end"/>
            </w:r>
          </w:hyperlink>
        </w:p>
        <w:p w14:paraId="6F0ECD5E" w14:textId="77777777" w:rsidR="00B2163F" w:rsidRPr="00DA20BE" w:rsidRDefault="00873B84" w:rsidP="00DA20BE">
          <w:pPr>
            <w:pStyle w:val="TDC3"/>
            <w:rPr>
              <w:rFonts w:asciiTheme="minorHAnsi" w:eastAsiaTheme="minorEastAsia" w:hAnsiTheme="minorHAnsi" w:cstheme="minorBidi"/>
              <w:noProof/>
              <w:szCs w:val="22"/>
              <w:lang w:eastAsia="es-MX"/>
            </w:rPr>
          </w:pPr>
          <w:hyperlink w:anchor="_Toc207805002" w:history="1">
            <w:r w:rsidR="00B2163F" w:rsidRPr="00DA20BE">
              <w:rPr>
                <w:rStyle w:val="Hipervnculo"/>
                <w:rFonts w:eastAsia="Calibri"/>
                <w:noProof/>
                <w:color w:val="auto"/>
                <w:lang w:eastAsia="es-ES_tradnl"/>
              </w:rPr>
              <w:t>c) Estudio de la controversia</w:t>
            </w:r>
            <w:r w:rsidR="00B2163F" w:rsidRPr="00DA20BE">
              <w:rPr>
                <w:noProof/>
                <w:webHidden/>
              </w:rPr>
              <w:tab/>
            </w:r>
            <w:r w:rsidR="00B2163F" w:rsidRPr="00DA20BE">
              <w:rPr>
                <w:noProof/>
                <w:webHidden/>
              </w:rPr>
              <w:fldChar w:fldCharType="begin"/>
            </w:r>
            <w:r w:rsidR="00B2163F" w:rsidRPr="00DA20BE">
              <w:rPr>
                <w:noProof/>
                <w:webHidden/>
              </w:rPr>
              <w:instrText xml:space="preserve"> PAGEREF _Toc207805002 \h </w:instrText>
            </w:r>
            <w:r w:rsidR="00B2163F" w:rsidRPr="00DA20BE">
              <w:rPr>
                <w:noProof/>
                <w:webHidden/>
              </w:rPr>
            </w:r>
            <w:r w:rsidR="00B2163F" w:rsidRPr="00DA20BE">
              <w:rPr>
                <w:noProof/>
                <w:webHidden/>
              </w:rPr>
              <w:fldChar w:fldCharType="separate"/>
            </w:r>
            <w:r w:rsidR="00BF3DF2">
              <w:rPr>
                <w:noProof/>
                <w:webHidden/>
              </w:rPr>
              <w:t>11</w:t>
            </w:r>
            <w:r w:rsidR="00B2163F" w:rsidRPr="00DA20BE">
              <w:rPr>
                <w:noProof/>
                <w:webHidden/>
              </w:rPr>
              <w:fldChar w:fldCharType="end"/>
            </w:r>
          </w:hyperlink>
        </w:p>
        <w:p w14:paraId="25E979C6" w14:textId="77777777" w:rsidR="00B2163F" w:rsidRPr="00DA20BE" w:rsidRDefault="00873B84" w:rsidP="00DA20BE">
          <w:pPr>
            <w:pStyle w:val="TDC3"/>
            <w:rPr>
              <w:rFonts w:asciiTheme="minorHAnsi" w:eastAsiaTheme="minorEastAsia" w:hAnsiTheme="minorHAnsi" w:cstheme="minorBidi"/>
              <w:noProof/>
              <w:szCs w:val="22"/>
              <w:lang w:eastAsia="es-MX"/>
            </w:rPr>
          </w:pPr>
          <w:hyperlink w:anchor="_Toc207805003" w:history="1">
            <w:r w:rsidR="00B2163F" w:rsidRPr="00DA20BE">
              <w:rPr>
                <w:rStyle w:val="Hipervnculo"/>
                <w:noProof/>
                <w:color w:val="auto"/>
              </w:rPr>
              <w:t>d) Versión pública</w:t>
            </w:r>
            <w:r w:rsidR="00B2163F" w:rsidRPr="00DA20BE">
              <w:rPr>
                <w:noProof/>
                <w:webHidden/>
              </w:rPr>
              <w:tab/>
            </w:r>
            <w:r w:rsidR="00B2163F" w:rsidRPr="00DA20BE">
              <w:rPr>
                <w:noProof/>
                <w:webHidden/>
              </w:rPr>
              <w:fldChar w:fldCharType="begin"/>
            </w:r>
            <w:r w:rsidR="00B2163F" w:rsidRPr="00DA20BE">
              <w:rPr>
                <w:noProof/>
                <w:webHidden/>
              </w:rPr>
              <w:instrText xml:space="preserve"> PAGEREF _Toc207805003 \h </w:instrText>
            </w:r>
            <w:r w:rsidR="00B2163F" w:rsidRPr="00DA20BE">
              <w:rPr>
                <w:noProof/>
                <w:webHidden/>
              </w:rPr>
            </w:r>
            <w:r w:rsidR="00B2163F" w:rsidRPr="00DA20BE">
              <w:rPr>
                <w:noProof/>
                <w:webHidden/>
              </w:rPr>
              <w:fldChar w:fldCharType="separate"/>
            </w:r>
            <w:r w:rsidR="00BF3DF2">
              <w:rPr>
                <w:noProof/>
                <w:webHidden/>
              </w:rPr>
              <w:t>15</w:t>
            </w:r>
            <w:r w:rsidR="00B2163F" w:rsidRPr="00DA20BE">
              <w:rPr>
                <w:noProof/>
                <w:webHidden/>
              </w:rPr>
              <w:fldChar w:fldCharType="end"/>
            </w:r>
          </w:hyperlink>
        </w:p>
        <w:p w14:paraId="08F166B1" w14:textId="77777777" w:rsidR="00B2163F" w:rsidRPr="00DA20BE" w:rsidRDefault="00873B84" w:rsidP="00DA20BE">
          <w:pPr>
            <w:pStyle w:val="TDC3"/>
            <w:rPr>
              <w:rFonts w:asciiTheme="minorHAnsi" w:eastAsiaTheme="minorEastAsia" w:hAnsiTheme="minorHAnsi" w:cstheme="minorBidi"/>
              <w:noProof/>
              <w:szCs w:val="22"/>
              <w:lang w:eastAsia="es-MX"/>
            </w:rPr>
          </w:pPr>
          <w:hyperlink w:anchor="_Toc207805004" w:history="1">
            <w:r w:rsidR="00B2163F" w:rsidRPr="00DA20BE">
              <w:rPr>
                <w:rStyle w:val="Hipervnculo"/>
                <w:noProof/>
                <w:color w:val="auto"/>
              </w:rPr>
              <w:t>e) Conclusión</w:t>
            </w:r>
            <w:r w:rsidR="00B2163F" w:rsidRPr="00DA20BE">
              <w:rPr>
                <w:noProof/>
                <w:webHidden/>
              </w:rPr>
              <w:tab/>
            </w:r>
            <w:r w:rsidR="00B2163F" w:rsidRPr="00DA20BE">
              <w:rPr>
                <w:noProof/>
                <w:webHidden/>
              </w:rPr>
              <w:fldChar w:fldCharType="begin"/>
            </w:r>
            <w:r w:rsidR="00B2163F" w:rsidRPr="00DA20BE">
              <w:rPr>
                <w:noProof/>
                <w:webHidden/>
              </w:rPr>
              <w:instrText xml:space="preserve"> PAGEREF _Toc207805004 \h </w:instrText>
            </w:r>
            <w:r w:rsidR="00B2163F" w:rsidRPr="00DA20BE">
              <w:rPr>
                <w:noProof/>
                <w:webHidden/>
              </w:rPr>
            </w:r>
            <w:r w:rsidR="00B2163F" w:rsidRPr="00DA20BE">
              <w:rPr>
                <w:noProof/>
                <w:webHidden/>
              </w:rPr>
              <w:fldChar w:fldCharType="separate"/>
            </w:r>
            <w:r w:rsidR="00BF3DF2">
              <w:rPr>
                <w:noProof/>
                <w:webHidden/>
              </w:rPr>
              <w:t>31</w:t>
            </w:r>
            <w:r w:rsidR="00B2163F" w:rsidRPr="00DA20BE">
              <w:rPr>
                <w:noProof/>
                <w:webHidden/>
              </w:rPr>
              <w:fldChar w:fldCharType="end"/>
            </w:r>
          </w:hyperlink>
        </w:p>
        <w:p w14:paraId="0C82FD7A" w14:textId="235587DB" w:rsidR="009B2945" w:rsidRPr="00DA20BE" w:rsidRDefault="00873B84" w:rsidP="00DA20BE">
          <w:pPr>
            <w:pStyle w:val="TDC1"/>
            <w:tabs>
              <w:tab w:val="right" w:leader="dot" w:pos="9034"/>
            </w:tabs>
            <w:rPr>
              <w:b/>
              <w:bCs/>
              <w:lang w:val="es-ES"/>
            </w:rPr>
          </w:pPr>
          <w:hyperlink w:anchor="_Toc207805005" w:history="1">
            <w:r w:rsidR="00B2163F" w:rsidRPr="00DA20BE">
              <w:rPr>
                <w:rStyle w:val="Hipervnculo"/>
                <w:noProof/>
                <w:color w:val="auto"/>
              </w:rPr>
              <w:t>RESUELVE</w:t>
            </w:r>
            <w:r w:rsidR="00B2163F" w:rsidRPr="00DA20BE">
              <w:rPr>
                <w:noProof/>
                <w:webHidden/>
              </w:rPr>
              <w:tab/>
            </w:r>
            <w:r w:rsidR="00B2163F" w:rsidRPr="00DA20BE">
              <w:rPr>
                <w:noProof/>
                <w:webHidden/>
              </w:rPr>
              <w:fldChar w:fldCharType="begin"/>
            </w:r>
            <w:r w:rsidR="00B2163F" w:rsidRPr="00DA20BE">
              <w:rPr>
                <w:noProof/>
                <w:webHidden/>
              </w:rPr>
              <w:instrText xml:space="preserve"> PAGEREF _Toc207805005 \h </w:instrText>
            </w:r>
            <w:r w:rsidR="00B2163F" w:rsidRPr="00DA20BE">
              <w:rPr>
                <w:noProof/>
                <w:webHidden/>
              </w:rPr>
            </w:r>
            <w:r w:rsidR="00B2163F" w:rsidRPr="00DA20BE">
              <w:rPr>
                <w:noProof/>
                <w:webHidden/>
              </w:rPr>
              <w:fldChar w:fldCharType="separate"/>
            </w:r>
            <w:r w:rsidR="00BF3DF2">
              <w:rPr>
                <w:noProof/>
                <w:webHidden/>
              </w:rPr>
              <w:t>31</w:t>
            </w:r>
            <w:r w:rsidR="00B2163F" w:rsidRPr="00DA20BE">
              <w:rPr>
                <w:noProof/>
                <w:webHidden/>
              </w:rPr>
              <w:fldChar w:fldCharType="end"/>
            </w:r>
          </w:hyperlink>
          <w:r w:rsidR="00AE3DA7" w:rsidRPr="00DA20BE">
            <w:rPr>
              <w:b/>
              <w:bCs/>
              <w:sz w:val="16"/>
              <w:szCs w:val="16"/>
              <w:lang w:val="es-ES"/>
            </w:rPr>
            <w:fldChar w:fldCharType="end"/>
          </w:r>
        </w:p>
      </w:sdtContent>
    </w:sdt>
    <w:p w14:paraId="603A07E2" w14:textId="77777777" w:rsidR="00646436" w:rsidRPr="00DA20BE" w:rsidRDefault="00646436" w:rsidP="00DA20BE">
      <w:pPr>
        <w:rPr>
          <w:rFonts w:cs="Tahoma"/>
          <w:szCs w:val="22"/>
        </w:rPr>
        <w:sectPr w:rsidR="00646436" w:rsidRPr="00DA20BE"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55BBA080" w:rsidR="00775BFC" w:rsidRPr="00DA20BE" w:rsidRDefault="00775BFC" w:rsidP="00DA20BE">
      <w:r w:rsidRPr="00DA20BE">
        <w:lastRenderedPageBreak/>
        <w:t>Resolución del Pleno del Instituto de Transparencia, Acceso a la Información Pública y Protección de Datos Personales del Estado de México y Municipios, con domicilio e</w:t>
      </w:r>
      <w:r w:rsidR="004D0573" w:rsidRPr="00DA20BE">
        <w:t>n Metepec, Estado de México, de</w:t>
      </w:r>
      <w:r w:rsidR="00B2163F" w:rsidRPr="00DA20BE">
        <w:t>l</w:t>
      </w:r>
      <w:r w:rsidR="004D0573" w:rsidRPr="00DA20BE">
        <w:t xml:space="preserve"> </w:t>
      </w:r>
      <w:r w:rsidR="002D049D" w:rsidRPr="00DA20BE">
        <w:rPr>
          <w:b/>
        </w:rPr>
        <w:t xml:space="preserve">tres de septiembre </w:t>
      </w:r>
      <w:r w:rsidR="006E7E69" w:rsidRPr="00DA20BE">
        <w:rPr>
          <w:b/>
        </w:rPr>
        <w:t>de dos mil veinticinco</w:t>
      </w:r>
      <w:r w:rsidRPr="00DA20BE">
        <w:t>.</w:t>
      </w:r>
    </w:p>
    <w:p w14:paraId="0AF3AAC4" w14:textId="77777777" w:rsidR="00775BFC" w:rsidRPr="00DA20BE" w:rsidRDefault="00775BFC" w:rsidP="00DA20BE"/>
    <w:p w14:paraId="40EAE038" w14:textId="6CA6368F" w:rsidR="00775BFC" w:rsidRPr="00DA20BE" w:rsidRDefault="00775BFC" w:rsidP="00DA20BE">
      <w:r w:rsidRPr="00DA20BE">
        <w:rPr>
          <w:b/>
        </w:rPr>
        <w:t xml:space="preserve">VISTO </w:t>
      </w:r>
      <w:r w:rsidRPr="00DA20BE">
        <w:t xml:space="preserve">el expediente formado con motivo del Recurso de Revisión </w:t>
      </w:r>
      <w:r w:rsidR="006E7E69" w:rsidRPr="00DA20BE">
        <w:rPr>
          <w:rFonts w:eastAsia="Calibri"/>
          <w:b/>
          <w:lang w:eastAsia="en-US"/>
        </w:rPr>
        <w:t>0</w:t>
      </w:r>
      <w:r w:rsidR="005D516F" w:rsidRPr="00DA20BE">
        <w:rPr>
          <w:rFonts w:eastAsia="Calibri"/>
          <w:b/>
          <w:lang w:eastAsia="en-US"/>
        </w:rPr>
        <w:t>7</w:t>
      </w:r>
      <w:r w:rsidR="00850F39" w:rsidRPr="00DA20BE">
        <w:rPr>
          <w:rFonts w:eastAsia="Calibri"/>
          <w:b/>
          <w:lang w:eastAsia="en-US"/>
        </w:rPr>
        <w:t>412</w:t>
      </w:r>
      <w:r w:rsidR="006E7E69" w:rsidRPr="00DA20BE">
        <w:rPr>
          <w:rFonts w:eastAsia="Calibri"/>
          <w:b/>
          <w:lang w:eastAsia="en-US"/>
        </w:rPr>
        <w:t>/INFOEM/IP/RR/2025</w:t>
      </w:r>
      <w:r w:rsidRPr="00DA20BE">
        <w:rPr>
          <w:rFonts w:eastAsia="Calibri"/>
          <w:lang w:eastAsia="en-US"/>
        </w:rPr>
        <w:t xml:space="preserve"> </w:t>
      </w:r>
      <w:r w:rsidRPr="00DA20BE">
        <w:t xml:space="preserve">interpuesto por </w:t>
      </w:r>
      <w:bookmarkStart w:id="2" w:name="_GoBack"/>
      <w:r w:rsidR="00D04896">
        <w:rPr>
          <w:rFonts w:eastAsia="Calibri" w:cs="Tahoma"/>
          <w:b/>
          <w:bCs/>
          <w:szCs w:val="22"/>
          <w:lang w:val="es-ES" w:eastAsia="en-US"/>
        </w:rPr>
        <w:t>XXXXXX XXXX XXXXXXX</w:t>
      </w:r>
      <w:bookmarkEnd w:id="2"/>
      <w:r w:rsidRPr="00DA20BE">
        <w:rPr>
          <w:rFonts w:eastAsia="Calibri"/>
          <w:b/>
          <w:lang w:eastAsia="en-US"/>
        </w:rPr>
        <w:t>,</w:t>
      </w:r>
      <w:r w:rsidRPr="00DA20BE">
        <w:t xml:space="preserve"> a quien en lo subsecuente se le denominará </w:t>
      </w:r>
      <w:r w:rsidRPr="00DA20BE">
        <w:rPr>
          <w:b/>
          <w:bCs/>
        </w:rPr>
        <w:t>LA PARTE RECURRENTE</w:t>
      </w:r>
      <w:r w:rsidRPr="00DA20BE">
        <w:t xml:space="preserve">, en contra de la </w:t>
      </w:r>
      <w:r w:rsidR="00773DD6" w:rsidRPr="00DA20BE">
        <w:t xml:space="preserve">respuesta </w:t>
      </w:r>
      <w:r w:rsidR="00BA1AB6" w:rsidRPr="00DA20BE">
        <w:t>de</w:t>
      </w:r>
      <w:r w:rsidR="005A5BF2" w:rsidRPr="00DA20BE">
        <w:t>l</w:t>
      </w:r>
      <w:r w:rsidR="00773DD6" w:rsidRPr="00DA20BE">
        <w:t xml:space="preserve"> </w:t>
      </w:r>
      <w:r w:rsidR="00850F39" w:rsidRPr="00DA20BE">
        <w:rPr>
          <w:rFonts w:eastAsia="Calibri" w:cs="Tahoma"/>
          <w:b/>
          <w:bCs/>
          <w:szCs w:val="22"/>
          <w:lang w:val="es-ES" w:eastAsia="en-US"/>
        </w:rPr>
        <w:t>Ayuntamiento de Apaxco</w:t>
      </w:r>
      <w:r w:rsidRPr="00DA20BE">
        <w:rPr>
          <w:b/>
          <w:bCs/>
        </w:rPr>
        <w:t>,</w:t>
      </w:r>
      <w:r w:rsidRPr="00DA20BE">
        <w:t xml:space="preserve"> en adelante </w:t>
      </w:r>
      <w:r w:rsidRPr="00DA20BE">
        <w:rPr>
          <w:b/>
          <w:bCs/>
        </w:rPr>
        <w:t>EL SUJETO OBLIGADO</w:t>
      </w:r>
      <w:r w:rsidRPr="00DA20BE">
        <w:rPr>
          <w:rFonts w:eastAsia="Calibri"/>
          <w:lang w:eastAsia="en-US"/>
        </w:rPr>
        <w:t xml:space="preserve">, </w:t>
      </w:r>
      <w:r w:rsidRPr="00DA20BE">
        <w:t>se emite la presente Resolución con base en los Antecedentes y Considerandos que se exponen a continuación:</w:t>
      </w:r>
    </w:p>
    <w:p w14:paraId="2116968C" w14:textId="77777777" w:rsidR="00775BFC" w:rsidRPr="00DA20BE" w:rsidRDefault="00775BFC" w:rsidP="00DA20BE"/>
    <w:p w14:paraId="5A444FB6" w14:textId="639D3567" w:rsidR="00664420" w:rsidRPr="00DA20BE" w:rsidRDefault="00664420" w:rsidP="00DA20BE">
      <w:pPr>
        <w:pStyle w:val="Ttulo1"/>
      </w:pPr>
      <w:bookmarkStart w:id="3" w:name="_Toc207804979"/>
      <w:r w:rsidRPr="00DA20BE">
        <w:t>ANTECEDENTES</w:t>
      </w:r>
      <w:bookmarkEnd w:id="3"/>
    </w:p>
    <w:p w14:paraId="5CB5034E" w14:textId="77777777" w:rsidR="00AC2DB8" w:rsidRPr="00DA20BE" w:rsidRDefault="00AC2DB8" w:rsidP="00DA20BE"/>
    <w:p w14:paraId="09B2D38F" w14:textId="6E49D146" w:rsidR="00664420" w:rsidRPr="00DA20BE" w:rsidRDefault="00E37A3F" w:rsidP="00DA20BE">
      <w:pPr>
        <w:pStyle w:val="Ttulo2"/>
      </w:pPr>
      <w:bookmarkStart w:id="4" w:name="_Toc207804980"/>
      <w:r w:rsidRPr="00DA20BE">
        <w:t>DE LA SOLICITUD DE INFORMACIÓN</w:t>
      </w:r>
      <w:bookmarkEnd w:id="4"/>
    </w:p>
    <w:p w14:paraId="2C6AD1A5" w14:textId="0405B3CD" w:rsidR="00664420" w:rsidRPr="00DA20BE" w:rsidRDefault="00E37A3F" w:rsidP="00DA20BE">
      <w:pPr>
        <w:pStyle w:val="Ttulo3"/>
      </w:pPr>
      <w:bookmarkStart w:id="5" w:name="_Toc207804981"/>
      <w:r w:rsidRPr="00DA20BE">
        <w:t xml:space="preserve">a) </w:t>
      </w:r>
      <w:r w:rsidR="006B10B0" w:rsidRPr="00DA20BE">
        <w:t>S</w:t>
      </w:r>
      <w:r w:rsidR="00664420" w:rsidRPr="00DA20BE">
        <w:t xml:space="preserve">olicitud de </w:t>
      </w:r>
      <w:r w:rsidR="006B10B0" w:rsidRPr="00DA20BE">
        <w:t>i</w:t>
      </w:r>
      <w:r w:rsidR="00664420" w:rsidRPr="00DA20BE">
        <w:t>nformación</w:t>
      </w:r>
      <w:bookmarkEnd w:id="5"/>
    </w:p>
    <w:p w14:paraId="6F73510B" w14:textId="760F5F40" w:rsidR="000F32E8" w:rsidRPr="00DA20BE" w:rsidRDefault="00B169A2" w:rsidP="00DA20BE">
      <w:pPr>
        <w:pStyle w:val="Prrafodelista"/>
        <w:tabs>
          <w:tab w:val="left" w:pos="0"/>
        </w:tabs>
        <w:ind w:left="0"/>
        <w:contextualSpacing w:val="0"/>
        <w:rPr>
          <w:rFonts w:cs="Tahoma"/>
        </w:rPr>
      </w:pPr>
      <w:r w:rsidRPr="00DA20BE">
        <w:rPr>
          <w:rFonts w:cs="Tahoma"/>
        </w:rPr>
        <w:t xml:space="preserve">El </w:t>
      </w:r>
      <w:r w:rsidR="005D516F" w:rsidRPr="00DA20BE">
        <w:rPr>
          <w:rFonts w:cs="Tahoma"/>
          <w:b/>
          <w:bCs/>
        </w:rPr>
        <w:t>catorce de mayo d</w:t>
      </w:r>
      <w:r w:rsidR="006E7E69" w:rsidRPr="00DA20BE">
        <w:rPr>
          <w:rFonts w:cs="Tahoma"/>
          <w:b/>
          <w:bCs/>
        </w:rPr>
        <w:t>e dos mil veinticinco</w:t>
      </w:r>
      <w:r w:rsidRPr="00DA20BE">
        <w:rPr>
          <w:rFonts w:cs="Tahoma"/>
        </w:rPr>
        <w:t xml:space="preserve">, </w:t>
      </w:r>
      <w:r w:rsidRPr="00DA20BE">
        <w:rPr>
          <w:b/>
          <w:bCs/>
        </w:rPr>
        <w:t>LA PARTE RECURRENTE</w:t>
      </w:r>
      <w:r w:rsidRPr="00DA20BE">
        <w:rPr>
          <w:rFonts w:cs="Tahoma"/>
        </w:rPr>
        <w:t xml:space="preserve"> presentó una solicitud de acceso a la información pública ante el </w:t>
      </w:r>
      <w:r w:rsidRPr="00DA20BE">
        <w:rPr>
          <w:rFonts w:cs="Tahoma"/>
          <w:b/>
          <w:bCs/>
        </w:rPr>
        <w:t>SUJETO OBLIGADO</w:t>
      </w:r>
      <w:r w:rsidRPr="00DA20BE">
        <w:rPr>
          <w:rFonts w:cs="Tahoma"/>
        </w:rPr>
        <w:t xml:space="preserve">, a través </w:t>
      </w:r>
      <w:r w:rsidR="000F32E8" w:rsidRPr="00DA20BE">
        <w:rPr>
          <w:rFonts w:cs="Tahoma"/>
        </w:rPr>
        <w:t>Sistema de Acceso a la Información Mexiquense (</w:t>
      </w:r>
      <w:r w:rsidR="000F32E8" w:rsidRPr="00DA20BE">
        <w:rPr>
          <w:rFonts w:cs="Tahoma"/>
          <w:b/>
        </w:rPr>
        <w:t>SAIMEX</w:t>
      </w:r>
      <w:r w:rsidR="000F32E8" w:rsidRPr="00DA20BE">
        <w:rPr>
          <w:rFonts w:cs="Tahoma"/>
        </w:rPr>
        <w:t xml:space="preserve">). </w:t>
      </w:r>
      <w:r w:rsidRPr="00DA20BE">
        <w:rPr>
          <w:rFonts w:cs="Tahoma"/>
        </w:rPr>
        <w:t>Dicha solicitud quedó registrada con el número de folio</w:t>
      </w:r>
      <w:r w:rsidRPr="00DA20BE">
        <w:rPr>
          <w:rFonts w:cs="Tahoma"/>
          <w:b/>
          <w:bCs/>
        </w:rPr>
        <w:t xml:space="preserve"> </w:t>
      </w:r>
      <w:r w:rsidR="00850F39" w:rsidRPr="00DA20BE">
        <w:rPr>
          <w:rFonts w:cs="Tahoma"/>
          <w:b/>
          <w:bCs/>
        </w:rPr>
        <w:t>00040/APAXCO/IP/2025</w:t>
      </w:r>
      <w:r w:rsidR="005D516F" w:rsidRPr="00DA20BE">
        <w:rPr>
          <w:rFonts w:cs="Tahoma"/>
          <w:b/>
          <w:bCs/>
        </w:rPr>
        <w:t xml:space="preserve"> </w:t>
      </w:r>
      <w:r w:rsidRPr="00DA20BE">
        <w:rPr>
          <w:rFonts w:cs="Tahoma"/>
        </w:rPr>
        <w:t>y en ella se requirió la siguiente información:</w:t>
      </w:r>
    </w:p>
    <w:p w14:paraId="0459D6AC" w14:textId="77777777" w:rsidR="00664420" w:rsidRPr="00DA20BE" w:rsidRDefault="00664420" w:rsidP="00DA20BE">
      <w:pPr>
        <w:tabs>
          <w:tab w:val="left" w:pos="4667"/>
        </w:tabs>
        <w:ind w:left="567" w:right="567"/>
        <w:rPr>
          <w:rFonts w:cs="Tahoma"/>
          <w:b/>
          <w:bCs/>
        </w:rPr>
      </w:pPr>
    </w:p>
    <w:p w14:paraId="64B27DE3" w14:textId="323837FF" w:rsidR="00664420" w:rsidRPr="00DA20BE" w:rsidRDefault="002B1D44" w:rsidP="00DA20BE">
      <w:pPr>
        <w:pStyle w:val="Puesto"/>
      </w:pPr>
      <w:r w:rsidRPr="00DA20BE">
        <w:t>“</w:t>
      </w:r>
      <w:r w:rsidR="00850F39" w:rsidRPr="00DA20BE">
        <w:t>Solicito la información que integra el Paquete Presupuestal Municipal 2025, es decir, los documentos en los formatos que se especifican en los Lineamientos que regulan su entrega. Lo anterior porque la información es de interés público porque contribuye a la transparencia y rendición de cuentas, fortalece la correcta aplicación y manejo de los recursos. Esta información deberá entregarse completa, íntegra y legible. Anexo al presente los Lineamientos que menciono porque allí se especifican los documentos, formatos, calidad y características de los archivos, mismos que por su extensión se pueden entregar perfectamente mediante la plataforma SAIMEX. Por su rápida atención, gracias.</w:t>
      </w:r>
      <w:r w:rsidR="001C1696" w:rsidRPr="00DA20BE">
        <w:t>”</w:t>
      </w:r>
      <w:r w:rsidR="00BA1AB6" w:rsidRPr="00DA20BE">
        <w:t xml:space="preserve"> (sic)</w:t>
      </w:r>
    </w:p>
    <w:p w14:paraId="07B1E1B5" w14:textId="77777777" w:rsidR="004D0573" w:rsidRPr="00DA20BE" w:rsidRDefault="004D0573" w:rsidP="00DA20BE">
      <w:pPr>
        <w:pStyle w:val="Puesto"/>
      </w:pPr>
    </w:p>
    <w:p w14:paraId="0BD6321D" w14:textId="5D8567EA" w:rsidR="00664420" w:rsidRPr="00DA20BE" w:rsidRDefault="009A2D78" w:rsidP="00DA20BE">
      <w:pPr>
        <w:tabs>
          <w:tab w:val="left" w:pos="4667"/>
        </w:tabs>
        <w:ind w:left="567" w:right="567"/>
        <w:rPr>
          <w:rFonts w:cs="Tahoma"/>
          <w:bCs/>
          <w:szCs w:val="22"/>
        </w:rPr>
      </w:pPr>
      <w:r w:rsidRPr="00DA20BE">
        <w:rPr>
          <w:rFonts w:cs="Tahoma"/>
          <w:b/>
          <w:bCs/>
          <w:szCs w:val="22"/>
        </w:rPr>
        <w:t>Modalidad de entrega</w:t>
      </w:r>
      <w:r w:rsidRPr="00DA20BE">
        <w:rPr>
          <w:rFonts w:cs="Tahoma"/>
          <w:bCs/>
          <w:szCs w:val="22"/>
        </w:rPr>
        <w:t>: a</w:t>
      </w:r>
      <w:r w:rsidR="00664420" w:rsidRPr="00DA20BE">
        <w:rPr>
          <w:rFonts w:cs="Tahoma"/>
          <w:bCs/>
          <w:i/>
          <w:szCs w:val="22"/>
        </w:rPr>
        <w:t xml:space="preserve"> través del </w:t>
      </w:r>
      <w:r w:rsidR="00664420" w:rsidRPr="00DA20BE">
        <w:rPr>
          <w:rFonts w:cs="Tahoma"/>
          <w:b/>
          <w:bCs/>
          <w:i/>
          <w:szCs w:val="22"/>
        </w:rPr>
        <w:t>SAIMEX</w:t>
      </w:r>
      <w:r w:rsidRPr="00DA20BE">
        <w:rPr>
          <w:rFonts w:cs="Tahoma"/>
          <w:bCs/>
          <w:i/>
          <w:szCs w:val="22"/>
        </w:rPr>
        <w:t>.</w:t>
      </w:r>
    </w:p>
    <w:p w14:paraId="334D2860" w14:textId="77777777" w:rsidR="00664420" w:rsidRPr="00DA20BE" w:rsidRDefault="00664420" w:rsidP="00DA20BE">
      <w:pPr>
        <w:autoSpaceDE w:val="0"/>
        <w:autoSpaceDN w:val="0"/>
        <w:adjustRightInd w:val="0"/>
        <w:ind w:right="-28"/>
        <w:rPr>
          <w:rFonts w:cs="Tahoma"/>
          <w:bCs/>
          <w:i/>
          <w:szCs w:val="22"/>
        </w:rPr>
      </w:pPr>
    </w:p>
    <w:p w14:paraId="1A627259" w14:textId="1B97906A" w:rsidR="005D516F" w:rsidRPr="00DA20BE" w:rsidRDefault="005D516F" w:rsidP="00DA20BE">
      <w:pPr>
        <w:autoSpaceDE w:val="0"/>
        <w:autoSpaceDN w:val="0"/>
        <w:adjustRightInd w:val="0"/>
        <w:ind w:right="-28"/>
        <w:rPr>
          <w:rFonts w:cs="Tahoma"/>
          <w:szCs w:val="22"/>
          <w:lang w:val="es-ES"/>
        </w:rPr>
      </w:pPr>
      <w:r w:rsidRPr="00DA20BE">
        <w:rPr>
          <w:rFonts w:cs="Tahoma"/>
          <w:bCs/>
          <w:szCs w:val="22"/>
          <w:lang w:val="es-ES"/>
        </w:rPr>
        <w:t xml:space="preserve">Asimismo, </w:t>
      </w:r>
      <w:r w:rsidRPr="00DA20BE">
        <w:rPr>
          <w:rFonts w:cs="Tahoma"/>
          <w:b/>
          <w:szCs w:val="22"/>
          <w:lang w:val="es-ES"/>
        </w:rPr>
        <w:t xml:space="preserve">LA PARTE RECURRENTE </w:t>
      </w:r>
      <w:r w:rsidRPr="00DA20BE">
        <w:rPr>
          <w:rFonts w:cs="Tahoma"/>
          <w:bCs/>
          <w:szCs w:val="22"/>
          <w:lang w:val="es-ES"/>
        </w:rPr>
        <w:t xml:space="preserve">adjuntó a su solicitud de información el archivo electrónico denominado </w:t>
      </w:r>
      <w:r w:rsidRPr="00DA20BE">
        <w:rPr>
          <w:rFonts w:cs="Tahoma"/>
          <w:b/>
          <w:bCs/>
          <w:i/>
          <w:iCs/>
          <w:szCs w:val="22"/>
        </w:rPr>
        <w:t xml:space="preserve">ene221a.pdf, </w:t>
      </w:r>
      <w:r w:rsidRPr="00DA20BE">
        <w:rPr>
          <w:rFonts w:cs="Tahoma"/>
          <w:szCs w:val="22"/>
        </w:rPr>
        <w:t xml:space="preserve">el cual de su contenido se advierte el </w:t>
      </w:r>
      <w:r w:rsidRPr="00DA20BE">
        <w:rPr>
          <w:rFonts w:cs="Tahoma"/>
          <w:i/>
          <w:iCs/>
          <w:szCs w:val="22"/>
        </w:rPr>
        <w:t>Acuerdo 3/2025 por el que se emiten los Lineamientos para la integración, envío y recepción electrónica del paquete presupuestal Municipal 2025</w:t>
      </w:r>
      <w:r w:rsidRPr="00DA20BE">
        <w:rPr>
          <w:rFonts w:cs="Tahoma"/>
          <w:szCs w:val="22"/>
          <w:lang w:val="es-ES"/>
        </w:rPr>
        <w:t xml:space="preserve">, emitidos por el Órgano Superior de Fiscalización del Estado de México. </w:t>
      </w:r>
    </w:p>
    <w:p w14:paraId="21C7A27B" w14:textId="77777777" w:rsidR="005D516F" w:rsidRPr="00DA20BE" w:rsidRDefault="005D516F" w:rsidP="00DA20BE">
      <w:pPr>
        <w:autoSpaceDE w:val="0"/>
        <w:autoSpaceDN w:val="0"/>
        <w:adjustRightInd w:val="0"/>
        <w:ind w:right="-28"/>
        <w:rPr>
          <w:rFonts w:cs="Tahoma"/>
          <w:bCs/>
          <w:i/>
          <w:szCs w:val="22"/>
          <w:lang w:val="es-ES"/>
        </w:rPr>
      </w:pPr>
    </w:p>
    <w:p w14:paraId="68706CF2" w14:textId="77777777" w:rsidR="005D516F" w:rsidRPr="00DA20BE" w:rsidRDefault="005D516F" w:rsidP="00DA20BE">
      <w:pPr>
        <w:pStyle w:val="Ttulo3"/>
      </w:pPr>
      <w:bookmarkStart w:id="6" w:name="_Toc207804982"/>
      <w:r w:rsidRPr="00DA20BE">
        <w:t>b) Turno de la solicitud de información</w:t>
      </w:r>
      <w:bookmarkEnd w:id="6"/>
    </w:p>
    <w:p w14:paraId="3C1068BD" w14:textId="229D8FD4" w:rsidR="005D516F" w:rsidRPr="00DA20BE" w:rsidRDefault="005D516F" w:rsidP="00DA20BE">
      <w:r w:rsidRPr="00DA20BE">
        <w:t xml:space="preserve">En cumplimiento al artículo 162 de la Ley de Transparencia y Acceso a la Información Pública del Estado de México y Municipios, el </w:t>
      </w:r>
      <w:r w:rsidR="00850F39" w:rsidRPr="00DA20BE">
        <w:rPr>
          <w:b/>
        </w:rPr>
        <w:t>quince</w:t>
      </w:r>
      <w:r w:rsidRPr="00DA20BE">
        <w:rPr>
          <w:b/>
        </w:rPr>
        <w:t xml:space="preserve"> de mayo de dos mil veinticinco</w:t>
      </w:r>
      <w:r w:rsidRPr="00DA20BE">
        <w:t xml:space="preserve">, el Titular de la Unidad de Transparencia del </w:t>
      </w:r>
      <w:r w:rsidRPr="00DA20BE">
        <w:rPr>
          <w:b/>
        </w:rPr>
        <w:t>SUJETO OBLIGADO</w:t>
      </w:r>
      <w:r w:rsidRPr="00DA20BE">
        <w:t xml:space="preserve"> turnó la solicitud de información al servidor público habilitado que estimó pertinente.</w:t>
      </w:r>
    </w:p>
    <w:p w14:paraId="3A81A80D" w14:textId="77777777" w:rsidR="005D516F" w:rsidRPr="00DA20BE" w:rsidRDefault="005D516F" w:rsidP="00DA20BE">
      <w:pPr>
        <w:autoSpaceDE w:val="0"/>
        <w:autoSpaceDN w:val="0"/>
        <w:adjustRightInd w:val="0"/>
        <w:ind w:right="-28"/>
        <w:rPr>
          <w:rFonts w:cs="Tahoma"/>
          <w:bCs/>
          <w:i/>
          <w:szCs w:val="22"/>
        </w:rPr>
      </w:pPr>
    </w:p>
    <w:p w14:paraId="3212BA4D" w14:textId="0293B767" w:rsidR="00664420" w:rsidRPr="00DA20BE" w:rsidRDefault="00D167CF" w:rsidP="00DA20BE">
      <w:pPr>
        <w:pStyle w:val="Ttulo3"/>
        <w:rPr>
          <w:rFonts w:eastAsia="Calibri"/>
          <w:lang w:eastAsia="en-US"/>
        </w:rPr>
      </w:pPr>
      <w:bookmarkStart w:id="7" w:name="_Toc207040170"/>
      <w:bookmarkStart w:id="8" w:name="_Toc207804983"/>
      <w:r w:rsidRPr="00DA20BE">
        <w:rPr>
          <w:rFonts w:eastAsia="Calibri"/>
          <w:lang w:eastAsia="en-US"/>
        </w:rPr>
        <w:t xml:space="preserve">c). </w:t>
      </w:r>
      <w:bookmarkEnd w:id="7"/>
      <w:r w:rsidR="00664420" w:rsidRPr="00DA20BE">
        <w:rPr>
          <w:rFonts w:eastAsia="Calibri"/>
          <w:lang w:eastAsia="en-US"/>
        </w:rPr>
        <w:t>Respuesta del Sujeto Obligado</w:t>
      </w:r>
      <w:bookmarkEnd w:id="8"/>
    </w:p>
    <w:p w14:paraId="2143017E" w14:textId="31F822B6" w:rsidR="00BA1AB6" w:rsidRPr="00DA20BE" w:rsidRDefault="003B0255" w:rsidP="00DA20BE">
      <w:pPr>
        <w:rPr>
          <w:lang w:val="es-ES"/>
        </w:rPr>
      </w:pPr>
      <w:r w:rsidRPr="00DA20BE">
        <w:rPr>
          <w:lang w:val="es-ES"/>
        </w:rPr>
        <w:t xml:space="preserve">El </w:t>
      </w:r>
      <w:r w:rsidR="00850F39" w:rsidRPr="00DA20BE">
        <w:rPr>
          <w:b/>
          <w:bCs/>
          <w:lang w:val="es-ES"/>
        </w:rPr>
        <w:t xml:space="preserve">veintinueve de mayo </w:t>
      </w:r>
      <w:r w:rsidRPr="00DA20BE">
        <w:rPr>
          <w:b/>
          <w:bCs/>
          <w:lang w:val="es-ES"/>
        </w:rPr>
        <w:t>de dos mil veintic</w:t>
      </w:r>
      <w:r w:rsidR="006E7E69" w:rsidRPr="00DA20BE">
        <w:rPr>
          <w:b/>
          <w:bCs/>
          <w:lang w:val="es-ES"/>
        </w:rPr>
        <w:t>inco</w:t>
      </w:r>
      <w:r w:rsidRPr="00DA20BE">
        <w:rPr>
          <w:lang w:val="es-ES"/>
        </w:rPr>
        <w:t xml:space="preserve">, el Titular de la Unidad de Transparencia del </w:t>
      </w:r>
      <w:r w:rsidRPr="00DA20BE">
        <w:rPr>
          <w:b/>
          <w:lang w:val="es-ES"/>
        </w:rPr>
        <w:t>SUJETO OBLIGADO</w:t>
      </w:r>
      <w:r w:rsidRPr="00DA20BE">
        <w:rPr>
          <w:lang w:val="es-ES"/>
        </w:rPr>
        <w:t xml:space="preserve"> notificó la siguiente respuesta a través del </w:t>
      </w:r>
      <w:r w:rsidRPr="00DA20BE">
        <w:rPr>
          <w:b/>
          <w:lang w:val="es-ES"/>
        </w:rPr>
        <w:t>SAIMEX</w:t>
      </w:r>
      <w:r w:rsidRPr="00DA20BE">
        <w:rPr>
          <w:lang w:val="es-ES"/>
        </w:rPr>
        <w:t>:</w:t>
      </w:r>
    </w:p>
    <w:p w14:paraId="64166B4B" w14:textId="77777777" w:rsidR="003B0255" w:rsidRPr="00DA20BE" w:rsidRDefault="003B0255" w:rsidP="00DA20BE"/>
    <w:p w14:paraId="0EEC0887" w14:textId="77777777" w:rsidR="00850F39" w:rsidRPr="00DA20BE" w:rsidRDefault="003B0255" w:rsidP="00DA20BE">
      <w:pPr>
        <w:pStyle w:val="Puesto"/>
      </w:pPr>
      <w:r w:rsidRPr="00DA20BE">
        <w:t>“</w:t>
      </w:r>
      <w:r w:rsidR="00850F39" w:rsidRPr="00DA20BE">
        <w:t>En respuesta a la solicitud recibida, nos permitimos hacer de su conocimiento que con fundamento en el artículo 53, Fracciones: II, V y VI de la Ley de Transparencia y Acceso a la Información Pública del Estado de México y Municipios, le contestamos que:</w:t>
      </w:r>
    </w:p>
    <w:p w14:paraId="4D1A261F" w14:textId="77777777" w:rsidR="00850F39" w:rsidRPr="00DA20BE" w:rsidRDefault="00850F39" w:rsidP="00DA20BE"/>
    <w:p w14:paraId="100FEB34" w14:textId="77777777" w:rsidR="00850F39" w:rsidRPr="00DA20BE" w:rsidRDefault="00850F39" w:rsidP="00DA20BE">
      <w:pPr>
        <w:pStyle w:val="Puesto"/>
      </w:pPr>
      <w:r w:rsidRPr="00DA20BE">
        <w:t xml:space="preserve">Con fundamento en lo dispuesto por el artículo 163 párrafo primero, de la Ley de Transparencia y Acceso a la Información Pública del Estado de México y Municipios, se le notifica como respuesta que, se adjunta en formato pdf, la respuesta otorgada a su solicitud de información pública de mérito. Finalmente, ponemos a su disposición el número telefónico 599 99 8 27 00 y el correo electrónico coordinaciontransparencia@apaxco.gob.mx para atender cualquier duda o aclaración sobre la respuesta proporcionada, o bien, si requiere información adicional. Asimismo, se hace de su conocimiento que, en caso de inconformidad con la respuesta otorgada, podrá interponer recurso de revisión dentro de </w:t>
      </w:r>
      <w:r w:rsidRPr="00DA20BE">
        <w:lastRenderedPageBreak/>
        <w:t>los quince días hábiles posterior a la notificación, ante el Instituto de Transparencia, Acceso a la Información Pública y Protección de Datos Personales del Estado de México y Municipios, en términos de lo establecido en los artículos 142 de la Ley General de Transparencia y Acceso a la Información Pública y 178 de la Ley de Transparencia y Acceso a la Información Pública del Estado de México y Municipios.</w:t>
      </w:r>
    </w:p>
    <w:p w14:paraId="3D2335DD" w14:textId="77777777" w:rsidR="00850F39" w:rsidRPr="00DA20BE" w:rsidRDefault="00850F39" w:rsidP="00DA20BE"/>
    <w:p w14:paraId="4DBEDA4B" w14:textId="77777777" w:rsidR="00850F39" w:rsidRPr="00DA20BE" w:rsidRDefault="00850F39" w:rsidP="00DA20BE">
      <w:pPr>
        <w:pStyle w:val="Puesto"/>
      </w:pPr>
      <w:r w:rsidRPr="00DA20BE">
        <w:t>ATENTAMENTE</w:t>
      </w:r>
    </w:p>
    <w:p w14:paraId="58688624" w14:textId="77777777" w:rsidR="00850F39" w:rsidRPr="00DA20BE" w:rsidRDefault="00850F39" w:rsidP="00DA20BE"/>
    <w:p w14:paraId="4A08B1BE" w14:textId="2DC95620" w:rsidR="003B0255" w:rsidRPr="00DA20BE" w:rsidRDefault="00850F39" w:rsidP="00DA20BE">
      <w:pPr>
        <w:pStyle w:val="Puesto"/>
      </w:pPr>
      <w:r w:rsidRPr="00DA20BE">
        <w:t>LIC RAYMUNDO SIERRA ESCAMILLA</w:t>
      </w:r>
      <w:r w:rsidR="003B0255" w:rsidRPr="00DA20BE">
        <w:t>” (sic)</w:t>
      </w:r>
    </w:p>
    <w:p w14:paraId="4B1F18A0" w14:textId="77777777" w:rsidR="003B0255" w:rsidRPr="00DA20BE" w:rsidRDefault="003B0255" w:rsidP="00DA20BE"/>
    <w:p w14:paraId="31CAA66B" w14:textId="77777777" w:rsidR="00850F39" w:rsidRPr="00DA20BE" w:rsidRDefault="00850F39" w:rsidP="00DA20BE">
      <w:pPr>
        <w:rPr>
          <w:bCs/>
          <w:lang w:val="es-ES"/>
        </w:rPr>
      </w:pPr>
      <w:r w:rsidRPr="00DA20BE">
        <w:rPr>
          <w:bCs/>
          <w:lang w:val="es-ES"/>
        </w:rPr>
        <w:t xml:space="preserve">Asimismo, </w:t>
      </w:r>
      <w:r w:rsidRPr="00DA20BE">
        <w:rPr>
          <w:b/>
          <w:lang w:val="es-ES"/>
        </w:rPr>
        <w:t xml:space="preserve">EL SUJETO OBLIGADO </w:t>
      </w:r>
      <w:r w:rsidRPr="00DA20BE">
        <w:rPr>
          <w:bCs/>
          <w:lang w:val="es-ES"/>
        </w:rPr>
        <w:t xml:space="preserve">adjuntó a su respuesta los archivos electrónicos que se describen a continuación: </w:t>
      </w:r>
    </w:p>
    <w:p w14:paraId="4DA2DEDD" w14:textId="77777777" w:rsidR="00850F39" w:rsidRPr="00DA20BE" w:rsidRDefault="00850F39" w:rsidP="00DA20BE">
      <w:pPr>
        <w:rPr>
          <w:bCs/>
          <w:lang w:val="es-ES"/>
        </w:rPr>
      </w:pPr>
    </w:p>
    <w:p w14:paraId="25FD87CE" w14:textId="352ABAA6" w:rsidR="00850F39" w:rsidRPr="00DA20BE" w:rsidRDefault="00850F39" w:rsidP="00DA20BE">
      <w:pPr>
        <w:pStyle w:val="Prrafodelista"/>
        <w:numPr>
          <w:ilvl w:val="0"/>
          <w:numId w:val="6"/>
        </w:numPr>
        <w:rPr>
          <w:bCs/>
          <w:i/>
          <w:iCs/>
          <w:lang w:val="es-ES"/>
        </w:rPr>
      </w:pPr>
      <w:r w:rsidRPr="00DA20BE">
        <w:rPr>
          <w:b/>
          <w:bCs/>
          <w:i/>
          <w:iCs/>
        </w:rPr>
        <w:t xml:space="preserve">00040 Paquete presopuestal.pdf, </w:t>
      </w:r>
      <w:r w:rsidRPr="00DA20BE">
        <w:t xml:space="preserve">el cual contiene el oficio TM-OI/091/2025 del veintiséis de mayo de dos mil veinticinco, por medio del cual la Tesorera Municipal remite las caratulas del presupuesto de ingresos y egresos para el ejercicio fiscal 2025. </w:t>
      </w:r>
    </w:p>
    <w:p w14:paraId="68482116" w14:textId="274EDF32" w:rsidR="00850F39" w:rsidRPr="00DA20BE" w:rsidRDefault="00850F39" w:rsidP="00DA20BE">
      <w:pPr>
        <w:pStyle w:val="Prrafodelista"/>
        <w:numPr>
          <w:ilvl w:val="0"/>
          <w:numId w:val="6"/>
        </w:numPr>
        <w:rPr>
          <w:bCs/>
          <w:i/>
          <w:iCs/>
          <w:lang w:val="es-ES"/>
        </w:rPr>
      </w:pPr>
      <w:r w:rsidRPr="00DA20BE">
        <w:rPr>
          <w:b/>
          <w:bCs/>
          <w:i/>
          <w:iCs/>
        </w:rPr>
        <w:t xml:space="preserve">CARATULA DEL PRESUPUESTO DE EGRESOS.pdf, </w:t>
      </w:r>
      <w:r w:rsidRPr="00DA20BE">
        <w:t>el cual contiene la caratula del presupuesto de egresos 2025.</w:t>
      </w:r>
    </w:p>
    <w:p w14:paraId="25AAFD26" w14:textId="56540BE4" w:rsidR="00850F39" w:rsidRPr="00DA20BE" w:rsidRDefault="00850F39" w:rsidP="00DA20BE">
      <w:pPr>
        <w:pStyle w:val="Prrafodelista"/>
        <w:numPr>
          <w:ilvl w:val="0"/>
          <w:numId w:val="6"/>
        </w:numPr>
        <w:rPr>
          <w:bCs/>
          <w:i/>
          <w:iCs/>
          <w:lang w:val="es-ES"/>
        </w:rPr>
      </w:pPr>
      <w:r w:rsidRPr="00DA20BE">
        <w:rPr>
          <w:b/>
          <w:bCs/>
          <w:i/>
          <w:iCs/>
        </w:rPr>
        <w:t xml:space="preserve">CARATULA DEL PRESUPUESTO DE INGRESOS.pdf, </w:t>
      </w:r>
      <w:r w:rsidRPr="00DA20BE">
        <w:t>el cual contiene la caratula del presupuesto de ingresos 2025</w:t>
      </w:r>
    </w:p>
    <w:p w14:paraId="7A0E7964" w14:textId="77777777" w:rsidR="00850F39" w:rsidRPr="00DA20BE" w:rsidRDefault="00850F39" w:rsidP="00DA20BE">
      <w:pPr>
        <w:rPr>
          <w:bCs/>
          <w:lang w:val="es-ES"/>
        </w:rPr>
      </w:pPr>
    </w:p>
    <w:p w14:paraId="0F24A322" w14:textId="7F9E5F9A" w:rsidR="00B137E8" w:rsidRPr="00DA20BE" w:rsidRDefault="00B137E8" w:rsidP="00DA20BE">
      <w:pPr>
        <w:pStyle w:val="Ttulo2"/>
        <w:jc w:val="left"/>
      </w:pPr>
      <w:bookmarkStart w:id="9" w:name="_Toc171527280"/>
      <w:bookmarkStart w:id="10" w:name="_Toc207804984"/>
      <w:r w:rsidRPr="00DA20BE">
        <w:t>DEL RECURSO DE REVISIÓN</w:t>
      </w:r>
      <w:bookmarkEnd w:id="9"/>
      <w:bookmarkEnd w:id="10"/>
    </w:p>
    <w:p w14:paraId="2B216813" w14:textId="61ADBB2B" w:rsidR="00664420" w:rsidRPr="00DA20BE" w:rsidRDefault="006E25BC" w:rsidP="00DA20BE">
      <w:pPr>
        <w:pStyle w:val="Ttulo3"/>
      </w:pPr>
      <w:bookmarkStart w:id="11" w:name="_Toc207804985"/>
      <w:r w:rsidRPr="00DA20BE">
        <w:rPr>
          <w:szCs w:val="32"/>
        </w:rPr>
        <w:t>a)</w:t>
      </w:r>
      <w:r w:rsidRPr="00DA20BE">
        <w:t xml:space="preserve"> </w:t>
      </w:r>
      <w:r w:rsidR="00664420" w:rsidRPr="00DA20BE">
        <w:t>Interposición del Recurso de Revisión</w:t>
      </w:r>
      <w:bookmarkEnd w:id="11"/>
    </w:p>
    <w:p w14:paraId="6279C622" w14:textId="1E14C2B3" w:rsidR="00664420" w:rsidRPr="00DA20BE" w:rsidRDefault="00664420" w:rsidP="00DA20BE">
      <w:pPr>
        <w:autoSpaceDE w:val="0"/>
        <w:autoSpaceDN w:val="0"/>
        <w:adjustRightInd w:val="0"/>
        <w:ind w:right="-28"/>
        <w:rPr>
          <w:rFonts w:cs="Tahoma"/>
          <w:szCs w:val="22"/>
        </w:rPr>
      </w:pPr>
      <w:r w:rsidRPr="00DA20BE">
        <w:rPr>
          <w:rFonts w:cs="Tahoma"/>
          <w:szCs w:val="22"/>
        </w:rPr>
        <w:t xml:space="preserve">El </w:t>
      </w:r>
      <w:r w:rsidR="00850F39" w:rsidRPr="00DA20BE">
        <w:rPr>
          <w:rFonts w:cs="Tahoma"/>
          <w:b/>
          <w:bCs/>
          <w:szCs w:val="22"/>
        </w:rPr>
        <w:t>diecinueve de j</w:t>
      </w:r>
      <w:r w:rsidR="005D516F" w:rsidRPr="00DA20BE">
        <w:rPr>
          <w:rFonts w:cs="Tahoma"/>
          <w:b/>
          <w:bCs/>
          <w:szCs w:val="22"/>
        </w:rPr>
        <w:t xml:space="preserve">unio </w:t>
      </w:r>
      <w:r w:rsidR="00D167CF" w:rsidRPr="00DA20BE">
        <w:rPr>
          <w:rFonts w:cs="Tahoma"/>
          <w:b/>
          <w:bCs/>
          <w:szCs w:val="22"/>
        </w:rPr>
        <w:t xml:space="preserve">de </w:t>
      </w:r>
      <w:r w:rsidRPr="00DA20BE">
        <w:rPr>
          <w:rFonts w:cs="Tahoma"/>
          <w:b/>
          <w:bCs/>
          <w:szCs w:val="22"/>
        </w:rPr>
        <w:t>dos mil</w:t>
      </w:r>
      <w:r w:rsidR="00F45902" w:rsidRPr="00DA20BE">
        <w:rPr>
          <w:rFonts w:cs="Tahoma"/>
          <w:b/>
          <w:bCs/>
          <w:szCs w:val="22"/>
        </w:rPr>
        <w:t xml:space="preserve"> veintic</w:t>
      </w:r>
      <w:r w:rsidR="006E7E69" w:rsidRPr="00DA20BE">
        <w:rPr>
          <w:rFonts w:cs="Tahoma"/>
          <w:b/>
          <w:bCs/>
          <w:szCs w:val="22"/>
        </w:rPr>
        <w:t>inco</w:t>
      </w:r>
      <w:r w:rsidRPr="00DA20BE">
        <w:rPr>
          <w:rFonts w:cs="Tahoma"/>
          <w:szCs w:val="22"/>
        </w:rPr>
        <w:t xml:space="preserve"> </w:t>
      </w:r>
      <w:r w:rsidR="00F75D23" w:rsidRPr="00DA20BE">
        <w:rPr>
          <w:rFonts w:cs="Tahoma"/>
          <w:b/>
          <w:bCs/>
          <w:szCs w:val="22"/>
        </w:rPr>
        <w:t>LA PARTE RECURRENTE</w:t>
      </w:r>
      <w:r w:rsidR="00F75D23" w:rsidRPr="00DA20BE">
        <w:rPr>
          <w:rFonts w:cs="Tahoma"/>
          <w:szCs w:val="22"/>
        </w:rPr>
        <w:t xml:space="preserve"> interpuso el recurso de revisión en contra de la respuesta emitida por el </w:t>
      </w:r>
      <w:r w:rsidR="00F75D23" w:rsidRPr="00DA20BE">
        <w:rPr>
          <w:rFonts w:cs="Tahoma"/>
          <w:b/>
          <w:bCs/>
          <w:szCs w:val="22"/>
        </w:rPr>
        <w:t>SUJETO OBLIGADO</w:t>
      </w:r>
      <w:r w:rsidR="00953430" w:rsidRPr="00DA20BE">
        <w:rPr>
          <w:rFonts w:cs="Tahoma"/>
          <w:szCs w:val="22"/>
        </w:rPr>
        <w:t xml:space="preserve">, mismo que fue registrado en el </w:t>
      </w:r>
      <w:r w:rsidR="00953430" w:rsidRPr="00DA20BE">
        <w:rPr>
          <w:rFonts w:cs="Tahoma"/>
          <w:b/>
          <w:szCs w:val="22"/>
        </w:rPr>
        <w:t>SAIMEX</w:t>
      </w:r>
      <w:r w:rsidR="00953430" w:rsidRPr="00DA20BE">
        <w:rPr>
          <w:rFonts w:cs="Tahoma"/>
          <w:szCs w:val="22"/>
        </w:rPr>
        <w:t xml:space="preserve"> con el número de expediente </w:t>
      </w:r>
      <w:r w:rsidR="005D516F" w:rsidRPr="00DA20BE">
        <w:rPr>
          <w:rFonts w:cs="Tahoma"/>
          <w:b/>
          <w:bCs/>
          <w:szCs w:val="22"/>
        </w:rPr>
        <w:t>0</w:t>
      </w:r>
      <w:r w:rsidR="00850F39" w:rsidRPr="00DA20BE">
        <w:rPr>
          <w:rFonts w:cs="Tahoma"/>
          <w:b/>
          <w:bCs/>
          <w:szCs w:val="22"/>
        </w:rPr>
        <w:t>7412</w:t>
      </w:r>
      <w:r w:rsidR="005D516F" w:rsidRPr="00DA20BE">
        <w:rPr>
          <w:rFonts w:cs="Tahoma"/>
          <w:b/>
          <w:bCs/>
          <w:szCs w:val="22"/>
        </w:rPr>
        <w:t>/INFOEM/IP/RR/2025</w:t>
      </w:r>
      <w:r w:rsidR="00953430" w:rsidRPr="00DA20BE">
        <w:rPr>
          <w:rFonts w:cs="Tahoma"/>
          <w:szCs w:val="22"/>
        </w:rPr>
        <w:t>, y en el cual manifiesta lo siguiente</w:t>
      </w:r>
      <w:r w:rsidRPr="00DA20BE">
        <w:rPr>
          <w:rFonts w:cs="Tahoma"/>
          <w:szCs w:val="22"/>
        </w:rPr>
        <w:t>:</w:t>
      </w:r>
    </w:p>
    <w:p w14:paraId="74B30008" w14:textId="77777777" w:rsidR="00664420" w:rsidRPr="00DA20BE" w:rsidRDefault="00664420" w:rsidP="00DA20BE">
      <w:pPr>
        <w:tabs>
          <w:tab w:val="left" w:pos="4667"/>
        </w:tabs>
        <w:ind w:right="539"/>
        <w:rPr>
          <w:rFonts w:cs="Tahoma"/>
          <w:szCs w:val="22"/>
        </w:rPr>
      </w:pPr>
    </w:p>
    <w:p w14:paraId="3A3988B0" w14:textId="77777777" w:rsidR="001544A1" w:rsidRPr="00DA20BE" w:rsidRDefault="00664420" w:rsidP="00DA20BE">
      <w:pPr>
        <w:tabs>
          <w:tab w:val="left" w:pos="4667"/>
        </w:tabs>
        <w:ind w:right="539"/>
        <w:rPr>
          <w:rFonts w:cs="Tahoma"/>
          <w:b/>
          <w:iCs/>
        </w:rPr>
      </w:pPr>
      <w:r w:rsidRPr="00DA20BE">
        <w:rPr>
          <w:rFonts w:cs="Tahoma"/>
          <w:b/>
          <w:iCs/>
        </w:rPr>
        <w:lastRenderedPageBreak/>
        <w:t>ACTO IMPUGNADO</w:t>
      </w:r>
      <w:r w:rsidR="001544A1" w:rsidRPr="00DA20BE">
        <w:rPr>
          <w:rFonts w:cs="Tahoma"/>
          <w:b/>
          <w:iCs/>
        </w:rPr>
        <w:t xml:space="preserve">: </w:t>
      </w:r>
    </w:p>
    <w:p w14:paraId="74BBD238" w14:textId="77777777" w:rsidR="001544A1" w:rsidRPr="00DA20BE" w:rsidRDefault="001544A1" w:rsidP="00DA20BE">
      <w:pPr>
        <w:pStyle w:val="Puesto"/>
      </w:pPr>
    </w:p>
    <w:p w14:paraId="327EED5D" w14:textId="648562CC" w:rsidR="001544A1" w:rsidRPr="00DA20BE" w:rsidRDefault="001544A1" w:rsidP="00DA20BE">
      <w:pPr>
        <w:pStyle w:val="Puesto"/>
      </w:pPr>
      <w:r w:rsidRPr="00DA20BE">
        <w:t>“</w:t>
      </w:r>
      <w:r w:rsidR="00850F39" w:rsidRPr="00DA20BE">
        <w:t>La entrega de información que no corresponde con lo solicitado.</w:t>
      </w:r>
      <w:r w:rsidRPr="00DA20BE">
        <w:t xml:space="preserve">” (sic) </w:t>
      </w:r>
    </w:p>
    <w:p w14:paraId="1F180CCD" w14:textId="77777777" w:rsidR="001544A1" w:rsidRPr="00DA20BE" w:rsidRDefault="001544A1" w:rsidP="00DA20BE">
      <w:pPr>
        <w:pStyle w:val="Puesto"/>
      </w:pPr>
    </w:p>
    <w:p w14:paraId="093C3F85" w14:textId="65D81CDC" w:rsidR="00CE3DBD" w:rsidRPr="00DA20BE" w:rsidRDefault="00CE3DBD" w:rsidP="00DA20BE">
      <w:pPr>
        <w:tabs>
          <w:tab w:val="left" w:pos="4667"/>
        </w:tabs>
        <w:ind w:right="539"/>
        <w:rPr>
          <w:rFonts w:cs="Tahoma"/>
          <w:b/>
          <w:iCs/>
        </w:rPr>
      </w:pPr>
      <w:r w:rsidRPr="00DA20BE">
        <w:rPr>
          <w:rFonts w:cs="Tahoma"/>
          <w:b/>
          <w:iCs/>
        </w:rPr>
        <w:t xml:space="preserve">RAZONES O MOTIVOS DE INCONFORMIDAD </w:t>
      </w:r>
    </w:p>
    <w:p w14:paraId="177EE3D5" w14:textId="77777777" w:rsidR="00F45902" w:rsidRPr="00DA20BE" w:rsidRDefault="00F45902" w:rsidP="00DA20BE">
      <w:pPr>
        <w:pStyle w:val="Puesto"/>
      </w:pPr>
    </w:p>
    <w:p w14:paraId="523F8BF4" w14:textId="756C0A84" w:rsidR="00664420" w:rsidRPr="00DA20BE" w:rsidRDefault="00F45902" w:rsidP="00DA20BE">
      <w:pPr>
        <w:pStyle w:val="Puesto"/>
      </w:pPr>
      <w:r w:rsidRPr="00DA20BE">
        <w:t>“</w:t>
      </w:r>
      <w:r w:rsidR="00850F39" w:rsidRPr="00DA20BE">
        <w:t>El motivo del recurso es porque entrega información que no corresponde con lo solicitado. Solicité el Paquete Presupuestal 2025, mismo que de acuerdo con los Lineamientos que también puse a disposición del sujeto obligado, se conforma con 76 documentos distribuidos en 4 módulos. Con la omisión en la entrega de lo solicitado se viola el derecho humano de acceso a la información pública, por lo tanto deberá ordenarse la entrega inmediata de lo solicitado y darse vista al órgano interno de control por la omisión en el cumplimiento de obligaciones.</w:t>
      </w:r>
      <w:r w:rsidR="009A1340" w:rsidRPr="00DA20BE">
        <w:t>”</w:t>
      </w:r>
      <w:r w:rsidRPr="00DA20BE">
        <w:t xml:space="preserve">(sic) </w:t>
      </w:r>
    </w:p>
    <w:p w14:paraId="6AE8EA9A" w14:textId="77777777" w:rsidR="00664420" w:rsidRPr="00DA20BE" w:rsidRDefault="00664420" w:rsidP="00DA20BE">
      <w:pPr>
        <w:pStyle w:val="Puesto"/>
        <w:ind w:left="0"/>
      </w:pPr>
    </w:p>
    <w:p w14:paraId="6804DEF1" w14:textId="1FD3227A" w:rsidR="00664420" w:rsidRPr="00DA20BE" w:rsidRDefault="006E25BC" w:rsidP="00DA20BE">
      <w:pPr>
        <w:pStyle w:val="Ttulo3"/>
      </w:pPr>
      <w:bookmarkStart w:id="12" w:name="_Toc207804986"/>
      <w:r w:rsidRPr="00DA20BE">
        <w:t>b</w:t>
      </w:r>
      <w:r w:rsidR="00664420" w:rsidRPr="00DA20BE">
        <w:t>) Turno del Recurso de Revisión</w:t>
      </w:r>
      <w:bookmarkEnd w:id="12"/>
    </w:p>
    <w:p w14:paraId="1173671B" w14:textId="0C1626B8" w:rsidR="00C72DAA" w:rsidRPr="00DA20BE" w:rsidRDefault="00C72DAA" w:rsidP="00DA20BE">
      <w:r w:rsidRPr="00DA20BE">
        <w:t>Con fundamento en el artículo 185, fracción I de la Ley de Transparencia y Acceso a la Información Pública del Estado de México y Municipios, el</w:t>
      </w:r>
      <w:r w:rsidRPr="00DA20BE">
        <w:rPr>
          <w:b/>
          <w:bCs/>
        </w:rPr>
        <w:t xml:space="preserve"> </w:t>
      </w:r>
      <w:r w:rsidR="00850F39" w:rsidRPr="00DA20BE">
        <w:rPr>
          <w:rFonts w:eastAsia="Palatino Linotype" w:cs="Palatino Linotype"/>
          <w:b/>
        </w:rPr>
        <w:t xml:space="preserve">diecinueve </w:t>
      </w:r>
      <w:r w:rsidR="005D516F" w:rsidRPr="00DA20BE">
        <w:rPr>
          <w:rFonts w:eastAsia="Palatino Linotype" w:cs="Palatino Linotype"/>
          <w:b/>
        </w:rPr>
        <w:t xml:space="preserve">de junio </w:t>
      </w:r>
      <w:r w:rsidR="009A1340" w:rsidRPr="00DA20BE">
        <w:rPr>
          <w:rFonts w:eastAsia="Palatino Linotype" w:cs="Palatino Linotype"/>
          <w:b/>
        </w:rPr>
        <w:t xml:space="preserve">de dos mil veinticinco, </w:t>
      </w:r>
      <w:r w:rsidRPr="00DA20BE">
        <w:t>se turnó el recurso de revisión a través del</w:t>
      </w:r>
      <w:r w:rsidRPr="00DA20BE">
        <w:rPr>
          <w:rFonts w:eastAsia="Arial Unicode MS"/>
        </w:rPr>
        <w:t xml:space="preserve"> </w:t>
      </w:r>
      <w:r w:rsidRPr="00DA20BE">
        <w:rPr>
          <w:rFonts w:eastAsia="Arial Unicode MS"/>
          <w:b/>
          <w:bCs/>
        </w:rPr>
        <w:t>SAIMEX</w:t>
      </w:r>
      <w:r w:rsidRPr="00DA20BE">
        <w:t xml:space="preserve"> a la </w:t>
      </w:r>
      <w:r w:rsidRPr="00DA20BE">
        <w:rPr>
          <w:b/>
        </w:rPr>
        <w:t>Comisionada Sharon Cristina Morales Martínez</w:t>
      </w:r>
      <w:r w:rsidRPr="00DA20BE">
        <w:rPr>
          <w:bCs/>
        </w:rPr>
        <w:t xml:space="preserve">, </w:t>
      </w:r>
      <w:r w:rsidRPr="00DA20BE">
        <w:t xml:space="preserve">a efecto de decretar su admisión o desechamiento. </w:t>
      </w:r>
    </w:p>
    <w:p w14:paraId="18F305CB" w14:textId="77777777" w:rsidR="00664420" w:rsidRPr="00DA20BE" w:rsidRDefault="00664420" w:rsidP="00DA20BE">
      <w:pPr>
        <w:rPr>
          <w:rFonts w:eastAsia="Batang" w:cs="Tahoma"/>
          <w:bCs/>
          <w:szCs w:val="22"/>
        </w:rPr>
      </w:pPr>
    </w:p>
    <w:p w14:paraId="3E31EC2D" w14:textId="295256A1" w:rsidR="00664420" w:rsidRPr="00DA20BE" w:rsidRDefault="006E25BC" w:rsidP="00DA20BE">
      <w:pPr>
        <w:pStyle w:val="Ttulo3"/>
      </w:pPr>
      <w:bookmarkStart w:id="13" w:name="_Toc207804987"/>
      <w:r w:rsidRPr="00DA20BE">
        <w:t>c</w:t>
      </w:r>
      <w:r w:rsidR="00664420" w:rsidRPr="00DA20BE">
        <w:t>) Admisión del Recurso de Revisión</w:t>
      </w:r>
      <w:bookmarkEnd w:id="13"/>
    </w:p>
    <w:p w14:paraId="240447D5" w14:textId="2E348E07" w:rsidR="000E09C4" w:rsidRPr="00DA20BE" w:rsidRDefault="000E09C4" w:rsidP="00DA20BE">
      <w:pPr>
        <w:rPr>
          <w:rFonts w:cs="Arial"/>
        </w:rPr>
      </w:pPr>
      <w:r w:rsidRPr="00DA20BE">
        <w:rPr>
          <w:rFonts w:cs="Arial"/>
        </w:rPr>
        <w:t xml:space="preserve">El </w:t>
      </w:r>
      <w:r w:rsidR="00850F39" w:rsidRPr="00DA20BE">
        <w:rPr>
          <w:rFonts w:eastAsia="Palatino Linotype" w:cs="Palatino Linotype"/>
          <w:b/>
        </w:rPr>
        <w:t xml:space="preserve">veinte de junio </w:t>
      </w:r>
      <w:r w:rsidR="003A67CC" w:rsidRPr="00DA20BE">
        <w:rPr>
          <w:rFonts w:eastAsia="Palatino Linotype" w:cs="Palatino Linotype"/>
          <w:b/>
        </w:rPr>
        <w:t>d</w:t>
      </w:r>
      <w:r w:rsidR="00657603" w:rsidRPr="00DA20BE">
        <w:rPr>
          <w:rFonts w:eastAsia="Palatino Linotype" w:cs="Palatino Linotype"/>
          <w:b/>
        </w:rPr>
        <w:t>e dos mil veintic</w:t>
      </w:r>
      <w:r w:rsidR="009A1340" w:rsidRPr="00DA20BE">
        <w:rPr>
          <w:rFonts w:eastAsia="Palatino Linotype" w:cs="Palatino Linotype"/>
          <w:b/>
        </w:rPr>
        <w:t>inco</w:t>
      </w:r>
      <w:r w:rsidRPr="00DA20BE">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DA20BE">
        <w:rPr>
          <w:rFonts w:cs="Arial"/>
        </w:rPr>
        <w:t>, fracción II</w:t>
      </w:r>
      <w:r w:rsidRPr="00DA20BE">
        <w:rPr>
          <w:rFonts w:cs="Arial"/>
        </w:rPr>
        <w:t xml:space="preserve"> de la Ley de Transparencia y Acceso a la Información Pública del Estado de México y Municipios.</w:t>
      </w:r>
    </w:p>
    <w:p w14:paraId="34EC3F86" w14:textId="77777777" w:rsidR="00D2790D" w:rsidRPr="00DA20BE" w:rsidRDefault="00D2790D" w:rsidP="00DA20BE">
      <w:pPr>
        <w:rPr>
          <w:rFonts w:cs="Arial"/>
        </w:rPr>
      </w:pPr>
    </w:p>
    <w:p w14:paraId="3B820F58" w14:textId="503F9071" w:rsidR="00865CF4" w:rsidRPr="00DA20BE" w:rsidRDefault="0075751F" w:rsidP="00DA20BE">
      <w:pPr>
        <w:pStyle w:val="Ttulo3"/>
      </w:pPr>
      <w:bookmarkStart w:id="14" w:name="_Toc207804988"/>
      <w:r w:rsidRPr="00DA20BE">
        <w:lastRenderedPageBreak/>
        <w:t>d</w:t>
      </w:r>
      <w:r w:rsidR="00664420" w:rsidRPr="00DA20BE">
        <w:t xml:space="preserve">) </w:t>
      </w:r>
      <w:r w:rsidR="00865CF4" w:rsidRPr="00DA20BE">
        <w:t>Informe Justificado del Sujeto Obligado</w:t>
      </w:r>
      <w:bookmarkEnd w:id="14"/>
    </w:p>
    <w:p w14:paraId="0FCE7DA1" w14:textId="0EDE484F" w:rsidR="00850F39" w:rsidRPr="00DA20BE" w:rsidRDefault="00EF2F18" w:rsidP="00DA20BE">
      <w:pPr>
        <w:rPr>
          <w:rFonts w:cs="Tahoma"/>
          <w:szCs w:val="24"/>
        </w:rPr>
      </w:pPr>
      <w:r w:rsidRPr="00DA20BE">
        <w:rPr>
          <w:rFonts w:cs="Tahoma"/>
          <w:bCs/>
          <w:szCs w:val="24"/>
        </w:rPr>
        <w:t xml:space="preserve">El </w:t>
      </w:r>
      <w:r w:rsidR="00850F39" w:rsidRPr="00DA20BE">
        <w:rPr>
          <w:rFonts w:cs="Tahoma"/>
          <w:b/>
          <w:szCs w:val="24"/>
        </w:rPr>
        <w:t xml:space="preserve">uno de julio </w:t>
      </w:r>
      <w:r w:rsidR="001E7E0E" w:rsidRPr="00DA20BE">
        <w:rPr>
          <w:rFonts w:cs="Tahoma"/>
          <w:b/>
          <w:szCs w:val="24"/>
        </w:rPr>
        <w:t>d</w:t>
      </w:r>
      <w:r w:rsidRPr="00DA20BE">
        <w:rPr>
          <w:rFonts w:cs="Tahoma"/>
          <w:b/>
          <w:szCs w:val="24"/>
        </w:rPr>
        <w:t>e dos mil veinticinco EL SUJETO OBLIGADO</w:t>
      </w:r>
      <w:r w:rsidRPr="00DA20BE">
        <w:rPr>
          <w:rFonts w:cs="Tahoma"/>
          <w:bCs/>
          <w:szCs w:val="24"/>
        </w:rPr>
        <w:t xml:space="preserve"> rindió su informe justificado a través del </w:t>
      </w:r>
      <w:r w:rsidRPr="00DA20BE">
        <w:rPr>
          <w:rFonts w:cs="Tahoma"/>
          <w:b/>
          <w:bCs/>
          <w:szCs w:val="24"/>
        </w:rPr>
        <w:t>SAIMEX</w:t>
      </w:r>
      <w:r w:rsidRPr="00DA20BE">
        <w:rPr>
          <w:rFonts w:cs="Tahoma"/>
          <w:bCs/>
          <w:szCs w:val="24"/>
        </w:rPr>
        <w:t xml:space="preserve">, </w:t>
      </w:r>
      <w:bookmarkStart w:id="15" w:name="_Hlk165379932"/>
      <w:r w:rsidRPr="00DA20BE">
        <w:rPr>
          <w:rFonts w:cs="Tahoma"/>
          <w:bCs/>
          <w:szCs w:val="24"/>
        </w:rPr>
        <w:t xml:space="preserve">adjuntando para ello </w:t>
      </w:r>
      <w:r w:rsidR="00850F39" w:rsidRPr="00DA20BE">
        <w:rPr>
          <w:rFonts w:cs="Tahoma"/>
          <w:bCs/>
          <w:szCs w:val="24"/>
        </w:rPr>
        <w:t>el</w:t>
      </w:r>
      <w:r w:rsidRPr="00DA20BE">
        <w:rPr>
          <w:rFonts w:cs="Tahoma"/>
          <w:bCs/>
          <w:szCs w:val="24"/>
        </w:rPr>
        <w:t xml:space="preserve"> archivo electrónico</w:t>
      </w:r>
      <w:r w:rsidR="005D516F" w:rsidRPr="00DA20BE">
        <w:rPr>
          <w:rFonts w:cs="Tahoma"/>
          <w:bCs/>
          <w:szCs w:val="24"/>
        </w:rPr>
        <w:t xml:space="preserve"> </w:t>
      </w:r>
      <w:r w:rsidR="00850F39" w:rsidRPr="00DA20BE">
        <w:rPr>
          <w:rFonts w:cs="Tahoma"/>
          <w:bCs/>
          <w:szCs w:val="24"/>
        </w:rPr>
        <w:t xml:space="preserve">denominado </w:t>
      </w:r>
      <w:r w:rsidR="00850F39" w:rsidRPr="00DA20BE">
        <w:rPr>
          <w:rFonts w:cs="Tahoma"/>
          <w:b/>
          <w:bCs/>
          <w:i/>
          <w:iCs/>
          <w:szCs w:val="24"/>
        </w:rPr>
        <w:t xml:space="preserve">00040 Informe Justificado.pdf, </w:t>
      </w:r>
      <w:r w:rsidR="00DC6E72" w:rsidRPr="00DA20BE">
        <w:rPr>
          <w:rFonts w:cs="Tahoma"/>
          <w:szCs w:val="24"/>
        </w:rPr>
        <w:t xml:space="preserve">el cual contiene el oficio del treinta de junio de dos mil veinticinco, por medio del cual el titular de la Unidad de Transparencia y Acceso a la Información Pública medularmente confirma la respuesta otorgada. </w:t>
      </w:r>
    </w:p>
    <w:p w14:paraId="0BAE105A" w14:textId="77777777" w:rsidR="00DC6E72" w:rsidRPr="00DA20BE" w:rsidRDefault="00DC6E72" w:rsidP="00DA20BE">
      <w:pPr>
        <w:rPr>
          <w:rFonts w:cs="Tahoma"/>
          <w:szCs w:val="24"/>
        </w:rPr>
      </w:pPr>
    </w:p>
    <w:bookmarkEnd w:id="15"/>
    <w:p w14:paraId="1DBFF06D" w14:textId="59B6E394" w:rsidR="00EF2F18" w:rsidRPr="00DA20BE" w:rsidRDefault="00EF2F18" w:rsidP="00DA20BE">
      <w:pPr>
        <w:contextualSpacing/>
        <w:rPr>
          <w:rFonts w:cs="Tahoma"/>
          <w:bCs/>
          <w:szCs w:val="24"/>
        </w:rPr>
      </w:pPr>
      <w:r w:rsidRPr="00DA20BE">
        <w:rPr>
          <w:rFonts w:cs="Tahoma"/>
          <w:bCs/>
          <w:szCs w:val="24"/>
        </w:rPr>
        <w:t xml:space="preserve">Esta información fue puesta a la vista de </w:t>
      </w:r>
      <w:r w:rsidRPr="00DA20BE">
        <w:rPr>
          <w:rFonts w:cs="Tahoma"/>
          <w:b/>
          <w:szCs w:val="24"/>
        </w:rPr>
        <w:t xml:space="preserve">LA PARTE RECURRENTE </w:t>
      </w:r>
      <w:r w:rsidRPr="00DA20BE">
        <w:rPr>
          <w:rFonts w:cs="Tahoma"/>
          <w:bCs/>
          <w:szCs w:val="24"/>
        </w:rPr>
        <w:t xml:space="preserve">el </w:t>
      </w:r>
      <w:r w:rsidR="00DC6E72" w:rsidRPr="00DA20BE">
        <w:rPr>
          <w:rFonts w:cs="Tahoma"/>
          <w:b/>
          <w:szCs w:val="24"/>
        </w:rPr>
        <w:t xml:space="preserve">seis de </w:t>
      </w:r>
      <w:r w:rsidR="001E7E0E" w:rsidRPr="00DA20BE">
        <w:rPr>
          <w:rFonts w:cs="Tahoma"/>
          <w:b/>
          <w:szCs w:val="24"/>
        </w:rPr>
        <w:t xml:space="preserve">agosto de </w:t>
      </w:r>
      <w:r w:rsidRPr="00DA20BE">
        <w:rPr>
          <w:rFonts w:cs="Tahoma"/>
          <w:b/>
          <w:szCs w:val="24"/>
        </w:rPr>
        <w:t>mil veinticinco</w:t>
      </w:r>
      <w:r w:rsidRPr="00DA20BE">
        <w:rPr>
          <w:rFonts w:cs="Tahoma"/>
          <w:bCs/>
          <w:szCs w:val="24"/>
        </w:rPr>
        <w:t xml:space="preserve"> para que, en un plazo de tres días hábiles, manifestara lo que a su derecho conviniera, de conformidad con lo establecido en el </w:t>
      </w:r>
      <w:r w:rsidRPr="00DA20BE">
        <w:rPr>
          <w:rFonts w:cs="Arial"/>
        </w:rPr>
        <w:t>artículo 185, fracción III de la Ley de Transparencia y Acceso a la Información Pública del Estado de México y Municipios</w:t>
      </w:r>
      <w:r w:rsidRPr="00DA20BE">
        <w:rPr>
          <w:rFonts w:cs="Tahoma"/>
          <w:bCs/>
          <w:szCs w:val="24"/>
        </w:rPr>
        <w:t>.</w:t>
      </w:r>
    </w:p>
    <w:p w14:paraId="66BA6FC7" w14:textId="77777777" w:rsidR="00865CF4" w:rsidRPr="00DA20BE" w:rsidRDefault="00865CF4" w:rsidP="00DA20BE">
      <w:pPr>
        <w:rPr>
          <w:rFonts w:cs="Tahoma"/>
          <w:szCs w:val="24"/>
        </w:rPr>
      </w:pPr>
    </w:p>
    <w:p w14:paraId="755B7730" w14:textId="3EA3E31D" w:rsidR="00664420" w:rsidRPr="00DA20BE" w:rsidRDefault="0075751F" w:rsidP="00DA20BE">
      <w:pPr>
        <w:pStyle w:val="Ttulo3"/>
        <w:rPr>
          <w:lang w:val="es-ES"/>
        </w:rPr>
      </w:pPr>
      <w:bookmarkStart w:id="16" w:name="_Toc207804989"/>
      <w:r w:rsidRPr="00DA20BE">
        <w:rPr>
          <w:rFonts w:eastAsia="Calibri"/>
          <w:bCs/>
          <w:lang w:eastAsia="en-US"/>
        </w:rPr>
        <w:t>e</w:t>
      </w:r>
      <w:r w:rsidR="00664420" w:rsidRPr="00DA20BE">
        <w:rPr>
          <w:rFonts w:eastAsia="Calibri"/>
          <w:bCs/>
          <w:lang w:eastAsia="en-US"/>
        </w:rPr>
        <w:t>)</w:t>
      </w:r>
      <w:r w:rsidR="00664420" w:rsidRPr="00DA20BE">
        <w:t xml:space="preserve"> </w:t>
      </w:r>
      <w:r w:rsidR="00865CF4" w:rsidRPr="00DA20BE">
        <w:rPr>
          <w:lang w:val="es-ES"/>
        </w:rPr>
        <w:t>Manifestaciones de la Parte Recurrente</w:t>
      </w:r>
      <w:bookmarkEnd w:id="16"/>
    </w:p>
    <w:p w14:paraId="4E8AF011" w14:textId="05D05BD3" w:rsidR="00865CF4" w:rsidRPr="00DA20BE" w:rsidRDefault="00096BCC" w:rsidP="00DA20BE">
      <w:pPr>
        <w:rPr>
          <w:rFonts w:eastAsia="Arial Unicode MS" w:cs="Arial"/>
          <w:b/>
          <w:bCs/>
        </w:rPr>
      </w:pPr>
      <w:r w:rsidRPr="00DA20BE">
        <w:rPr>
          <w:rFonts w:cs="Tahoma"/>
          <w:bCs/>
          <w:szCs w:val="24"/>
        </w:rPr>
        <w:t xml:space="preserve">El </w:t>
      </w:r>
      <w:r w:rsidRPr="00DA20BE">
        <w:rPr>
          <w:rFonts w:cs="Tahoma"/>
          <w:b/>
          <w:szCs w:val="24"/>
        </w:rPr>
        <w:t xml:space="preserve">doce de agosto de dos mil veinticinco, </w:t>
      </w:r>
      <w:r w:rsidR="00865CF4" w:rsidRPr="00DA20BE">
        <w:rPr>
          <w:rFonts w:cs="Tahoma"/>
          <w:b/>
          <w:szCs w:val="24"/>
        </w:rPr>
        <w:t>LA PARTE RECURRENTE</w:t>
      </w:r>
      <w:r w:rsidRPr="00DA20BE">
        <w:rPr>
          <w:rFonts w:cs="Tahoma"/>
          <w:b/>
          <w:szCs w:val="24"/>
        </w:rPr>
        <w:t xml:space="preserve"> </w:t>
      </w:r>
      <w:r w:rsidRPr="00DA20BE">
        <w:rPr>
          <w:rFonts w:cs="Tahoma"/>
          <w:bCs/>
          <w:szCs w:val="24"/>
        </w:rPr>
        <w:t xml:space="preserve">adjuntó el archivo electrónico denominado </w:t>
      </w:r>
      <w:r w:rsidRPr="00DA20BE">
        <w:rPr>
          <w:rFonts w:cs="Tahoma"/>
          <w:b/>
          <w:bCs/>
          <w:i/>
          <w:iCs/>
          <w:szCs w:val="24"/>
        </w:rPr>
        <w:t>Comisionados del INFOEM.docx</w:t>
      </w:r>
      <w:r w:rsidRPr="00DA20BE">
        <w:rPr>
          <w:rFonts w:eastAsia="Arial Unicode MS" w:cs="Arial"/>
        </w:rPr>
        <w:t>,</w:t>
      </w:r>
      <w:r w:rsidR="00865CF4" w:rsidRPr="00DA20BE">
        <w:rPr>
          <w:rFonts w:eastAsia="Arial Unicode MS" w:cs="Arial"/>
        </w:rPr>
        <w:t xml:space="preserve"> </w:t>
      </w:r>
      <w:r w:rsidRPr="00DA20BE">
        <w:rPr>
          <w:rFonts w:eastAsia="Arial Unicode MS" w:cs="Arial"/>
        </w:rPr>
        <w:t>por medio de cual realizó sus manifestaciones que consideró convenient</w:t>
      </w:r>
      <w:r w:rsidR="00865CF4" w:rsidRPr="00DA20BE">
        <w:rPr>
          <w:rFonts w:eastAsia="Arial Unicode MS" w:cs="Arial"/>
        </w:rPr>
        <w:t>e</w:t>
      </w:r>
      <w:r w:rsidR="0058020B" w:rsidRPr="00DA20BE">
        <w:rPr>
          <w:rFonts w:eastAsia="Arial Unicode MS" w:cs="Arial"/>
        </w:rPr>
        <w:t xml:space="preserve"> respecto del incumplimiento del </w:t>
      </w:r>
      <w:r w:rsidR="0058020B" w:rsidRPr="00DA20BE">
        <w:rPr>
          <w:rFonts w:eastAsia="Arial Unicode MS" w:cs="Arial"/>
          <w:b/>
          <w:bCs/>
        </w:rPr>
        <w:t xml:space="preserve">SUJETO OBLIGADO. </w:t>
      </w:r>
    </w:p>
    <w:p w14:paraId="43289D82" w14:textId="77777777" w:rsidR="00865CF4" w:rsidRPr="00DA20BE" w:rsidRDefault="00865CF4" w:rsidP="00DA20BE">
      <w:pPr>
        <w:rPr>
          <w:rFonts w:eastAsia="Arial Unicode MS" w:cs="Arial"/>
        </w:rPr>
      </w:pPr>
    </w:p>
    <w:p w14:paraId="04752365" w14:textId="77777777" w:rsidR="00BA1636" w:rsidRPr="00DA20BE" w:rsidRDefault="00BA1636" w:rsidP="00DA20BE">
      <w:pPr>
        <w:pStyle w:val="Ttulo3"/>
        <w:rPr>
          <w:rFonts w:eastAsia="Calibri"/>
          <w:bCs/>
          <w:lang w:eastAsia="en-US"/>
        </w:rPr>
      </w:pPr>
      <w:bookmarkStart w:id="17" w:name="_Toc207804990"/>
      <w:r w:rsidRPr="00DA20BE">
        <w:rPr>
          <w:rFonts w:eastAsia="Calibri"/>
          <w:bCs/>
          <w:lang w:eastAsia="en-US"/>
        </w:rPr>
        <w:t>f) Ampliación de Plazo para Resolver</w:t>
      </w:r>
      <w:bookmarkEnd w:id="17"/>
      <w:r w:rsidRPr="00DA20BE">
        <w:rPr>
          <w:rFonts w:eastAsia="Calibri"/>
          <w:bCs/>
          <w:lang w:eastAsia="en-US"/>
        </w:rPr>
        <w:t xml:space="preserve"> </w:t>
      </w:r>
    </w:p>
    <w:p w14:paraId="1CDB8082" w14:textId="46BCEB6D" w:rsidR="00BA1636" w:rsidRPr="00DA20BE" w:rsidRDefault="00BA1636" w:rsidP="00DA20BE">
      <w:pPr>
        <w:rPr>
          <w:rFonts w:eastAsia="Arial Unicode MS" w:cs="Arial"/>
        </w:rPr>
      </w:pPr>
      <w:r w:rsidRPr="00DA20BE">
        <w:rPr>
          <w:rFonts w:eastAsia="Arial Unicode MS" w:cs="Arial"/>
        </w:rPr>
        <w:t xml:space="preserve">El </w:t>
      </w:r>
      <w:r w:rsidRPr="00DA20BE">
        <w:rPr>
          <w:rFonts w:eastAsia="Arial Unicode MS" w:cs="Arial"/>
          <w:b/>
        </w:rPr>
        <w:t>veintisiete de agosto de dos mil veinticinco</w:t>
      </w:r>
      <w:r w:rsidRPr="00DA20BE">
        <w:rPr>
          <w:rFonts w:eastAsia="Arial Unicode MS" w:cs="Arial"/>
        </w:rPr>
        <w:t>, se notificó el acuerdo de ampliación de plazo para resolver el presente Recurso de Revisión, previsto en el artículo 181, tercer párrafo de la Ley de Transparencia y Acceso a la Información Pública del Estado de México y Municipios.</w:t>
      </w:r>
    </w:p>
    <w:p w14:paraId="6B571DB2" w14:textId="77777777" w:rsidR="00BA1636" w:rsidRPr="00DA20BE" w:rsidRDefault="00BA1636" w:rsidP="00DA20BE">
      <w:pPr>
        <w:rPr>
          <w:rFonts w:eastAsia="Arial Unicode MS" w:cs="Arial"/>
        </w:rPr>
      </w:pPr>
    </w:p>
    <w:p w14:paraId="0E651988" w14:textId="22E09CB3" w:rsidR="00664420" w:rsidRPr="00DA20BE" w:rsidRDefault="0077621B" w:rsidP="00DA20BE">
      <w:pPr>
        <w:pStyle w:val="Ttulo3"/>
        <w:rPr>
          <w:rFonts w:eastAsia="Calibri"/>
          <w:bCs/>
          <w:lang w:eastAsia="en-US"/>
        </w:rPr>
      </w:pPr>
      <w:bookmarkStart w:id="18" w:name="_Toc172051809"/>
      <w:bookmarkStart w:id="19" w:name="_Toc178101309"/>
      <w:bookmarkStart w:id="20" w:name="_Toc207804991"/>
      <w:r w:rsidRPr="00DA20BE">
        <w:rPr>
          <w:rFonts w:eastAsia="Calibri"/>
          <w:bCs/>
          <w:lang w:eastAsia="en-US"/>
        </w:rPr>
        <w:lastRenderedPageBreak/>
        <w:t>g</w:t>
      </w:r>
      <w:r w:rsidR="00F00B10" w:rsidRPr="00DA20BE">
        <w:rPr>
          <w:rFonts w:eastAsia="Calibri"/>
          <w:bCs/>
          <w:lang w:eastAsia="en-US"/>
        </w:rPr>
        <w:t xml:space="preserve">) </w:t>
      </w:r>
      <w:bookmarkEnd w:id="18"/>
      <w:bookmarkEnd w:id="19"/>
      <w:r w:rsidR="00664420" w:rsidRPr="00DA20BE">
        <w:rPr>
          <w:rFonts w:eastAsia="Calibri"/>
          <w:bCs/>
          <w:lang w:eastAsia="en-US"/>
        </w:rPr>
        <w:t>Cierre de instrucción</w:t>
      </w:r>
      <w:bookmarkEnd w:id="20"/>
    </w:p>
    <w:p w14:paraId="79AF95DC" w14:textId="01C3F071" w:rsidR="00664420" w:rsidRPr="00DA20BE" w:rsidRDefault="00BF091A" w:rsidP="00DA20BE">
      <w:r w:rsidRPr="00DA20BE">
        <w:rPr>
          <w:rFonts w:cs="Tahoma"/>
          <w:szCs w:val="22"/>
        </w:rPr>
        <w:t>Al no existir diligencias pendientes por desahogar</w:t>
      </w:r>
      <w:r w:rsidRPr="00DA20BE">
        <w:rPr>
          <w:rFonts w:cs="Arial"/>
        </w:rPr>
        <w:t xml:space="preserve">, el </w:t>
      </w:r>
      <w:bookmarkStart w:id="21" w:name="_Hlk104892386"/>
      <w:r w:rsidR="001672D5" w:rsidRPr="00DA20BE">
        <w:rPr>
          <w:rFonts w:cs="Arial"/>
          <w:b/>
        </w:rPr>
        <w:t xml:space="preserve">dos de septiembre </w:t>
      </w:r>
      <w:r w:rsidR="009A1340" w:rsidRPr="00DA20BE">
        <w:rPr>
          <w:rFonts w:cs="Arial"/>
          <w:b/>
        </w:rPr>
        <w:t xml:space="preserve">de dos mil veinticinco </w:t>
      </w:r>
      <w:bookmarkEnd w:id="21"/>
      <w:r w:rsidRPr="00DA20BE">
        <w:rPr>
          <w:rFonts w:cs="Arial"/>
        </w:rPr>
        <w:t xml:space="preserve">la </w:t>
      </w:r>
      <w:r w:rsidRPr="00DA20BE">
        <w:rPr>
          <w:rFonts w:cs="Arial"/>
          <w:b/>
          <w:bCs/>
        </w:rPr>
        <w:t xml:space="preserve">Comisionada </w:t>
      </w:r>
      <w:r w:rsidRPr="00DA20BE">
        <w:rPr>
          <w:b/>
        </w:rPr>
        <w:t xml:space="preserve">Sharon Cristina Morales Martínez </w:t>
      </w:r>
      <w:r w:rsidRPr="00DA20BE">
        <w:rPr>
          <w:rFonts w:cs="Arial"/>
        </w:rPr>
        <w:t>acordó el cierre de instrucción</w:t>
      </w:r>
      <w:r w:rsidR="0011350D" w:rsidRPr="00DA20BE">
        <w:rPr>
          <w:rFonts w:cs="Arial"/>
        </w:rPr>
        <w:t xml:space="preserve"> y</w:t>
      </w:r>
      <w:r w:rsidRPr="00DA20BE">
        <w:rPr>
          <w:rFonts w:cs="Arial"/>
        </w:rPr>
        <w:t xml:space="preserve"> </w:t>
      </w:r>
      <w:r w:rsidR="0011350D" w:rsidRPr="00DA20BE">
        <w:rPr>
          <w:rFonts w:cs="Arial"/>
        </w:rPr>
        <w:t xml:space="preserve">la </w:t>
      </w:r>
      <w:r w:rsidRPr="00DA20BE">
        <w:rPr>
          <w:rFonts w:cs="Arial"/>
        </w:rPr>
        <w:t>remisión del expediente a efecto de ser resuelto, de conformidad con lo establecido en el artículo 185 fracciones VI y VIII de la Ley de Transparencia y Acceso a la Información Pública del Estado de México y Municipios</w:t>
      </w:r>
      <w:r w:rsidRPr="00DA20BE">
        <w:t>.</w:t>
      </w:r>
      <w:r w:rsidR="0011350D" w:rsidRPr="00DA20BE">
        <w:t xml:space="preserve"> Dicho acuerdo </w:t>
      </w:r>
      <w:r w:rsidR="00664420" w:rsidRPr="00DA20BE">
        <w:rPr>
          <w:rFonts w:cs="Tahoma"/>
          <w:szCs w:val="22"/>
        </w:rPr>
        <w:t xml:space="preserve">fue notificado a las partes el mismo día a través del </w:t>
      </w:r>
      <w:r w:rsidR="00664420" w:rsidRPr="00DA20BE">
        <w:rPr>
          <w:rFonts w:cs="Tahoma"/>
          <w:b/>
          <w:bCs/>
          <w:szCs w:val="22"/>
          <w:lang w:val="es-ES"/>
        </w:rPr>
        <w:t>SAIMEX</w:t>
      </w:r>
      <w:r w:rsidR="00664420" w:rsidRPr="00DA20BE">
        <w:rPr>
          <w:rFonts w:cs="Tahoma"/>
          <w:szCs w:val="22"/>
        </w:rPr>
        <w:t>.</w:t>
      </w:r>
    </w:p>
    <w:p w14:paraId="741683E3" w14:textId="77777777" w:rsidR="0011350D" w:rsidRPr="00DA20BE" w:rsidRDefault="0011350D" w:rsidP="00DA20BE">
      <w:pPr>
        <w:rPr>
          <w:rFonts w:cs="Tahoma"/>
          <w:szCs w:val="22"/>
        </w:rPr>
      </w:pPr>
    </w:p>
    <w:p w14:paraId="7A9629DE" w14:textId="77777777" w:rsidR="00664420" w:rsidRPr="00DA20BE" w:rsidRDefault="00664420" w:rsidP="00DA20BE">
      <w:pPr>
        <w:pStyle w:val="Ttulo1"/>
        <w:rPr>
          <w:rFonts w:eastAsiaTheme="minorHAnsi"/>
          <w:lang w:eastAsia="en-US"/>
        </w:rPr>
      </w:pPr>
      <w:bookmarkStart w:id="22" w:name="_Toc207804992"/>
      <w:r w:rsidRPr="00DA20BE">
        <w:rPr>
          <w:rFonts w:eastAsiaTheme="minorHAnsi"/>
          <w:lang w:eastAsia="en-US"/>
        </w:rPr>
        <w:t>CONSIDERANDOS</w:t>
      </w:r>
      <w:bookmarkEnd w:id="22"/>
    </w:p>
    <w:p w14:paraId="6DD1243B" w14:textId="77777777" w:rsidR="00664420" w:rsidRPr="00DA20BE" w:rsidRDefault="00664420" w:rsidP="00DA20BE">
      <w:pPr>
        <w:contextualSpacing/>
        <w:jc w:val="center"/>
        <w:rPr>
          <w:rFonts w:eastAsiaTheme="minorHAnsi" w:cs="Tahoma"/>
          <w:b/>
          <w:szCs w:val="22"/>
          <w:lang w:eastAsia="en-US"/>
        </w:rPr>
      </w:pPr>
    </w:p>
    <w:p w14:paraId="0B67CB92" w14:textId="2E307D3B" w:rsidR="00664420" w:rsidRPr="00DA20BE" w:rsidRDefault="00664420" w:rsidP="00DA20BE">
      <w:pPr>
        <w:pStyle w:val="Ttulo2"/>
        <w:rPr>
          <w:rFonts w:eastAsia="Batang"/>
        </w:rPr>
      </w:pPr>
      <w:bookmarkStart w:id="23" w:name="_Toc207804993"/>
      <w:r w:rsidRPr="00DA20BE">
        <w:rPr>
          <w:rFonts w:eastAsia="Batang"/>
        </w:rPr>
        <w:t xml:space="preserve">PRIMERO. </w:t>
      </w:r>
      <w:r w:rsidR="00BA55A8" w:rsidRPr="00DA20BE">
        <w:rPr>
          <w:rFonts w:eastAsia="Batang"/>
        </w:rPr>
        <w:t>Procedibilidad</w:t>
      </w:r>
      <w:bookmarkEnd w:id="23"/>
    </w:p>
    <w:p w14:paraId="39C52BC1" w14:textId="56FCC20D" w:rsidR="00BA55A8" w:rsidRPr="00DA20BE" w:rsidRDefault="00BA55A8" w:rsidP="00DA20BE">
      <w:pPr>
        <w:pStyle w:val="Ttulo3"/>
      </w:pPr>
      <w:bookmarkStart w:id="24" w:name="_Toc207804994"/>
      <w:r w:rsidRPr="00DA20BE">
        <w:t>a) Competencia</w:t>
      </w:r>
      <w:r w:rsidR="00150C49" w:rsidRPr="00DA20BE">
        <w:t xml:space="preserve"> del Instituto</w:t>
      </w:r>
      <w:bookmarkEnd w:id="24"/>
    </w:p>
    <w:p w14:paraId="56E64942" w14:textId="7D6B3128" w:rsidR="0011350D" w:rsidRPr="00DA20BE" w:rsidRDefault="0011350D" w:rsidP="00DA20BE">
      <w:pPr>
        <w:rPr>
          <w:rFonts w:cs="Arial"/>
        </w:rPr>
      </w:pPr>
      <w:r w:rsidRPr="00DA20BE">
        <w:t xml:space="preserve">Este Instituto de Transparencia, Acceso a la Información Pública y Protección de Datos Personales del Estado de México y Municipios es competente para conocer y resolver </w:t>
      </w:r>
      <w:r w:rsidR="005F65B7" w:rsidRPr="00DA20BE">
        <w:t xml:space="preserve">el </w:t>
      </w:r>
      <w:r w:rsidRPr="00DA20BE">
        <w:t xml:space="preserve">presente Recurso de Revisión, conforme a lo dispuesto en los artículos 6, Apartado A de la Constitución Política de los Estados Unidos Mexicanos; 5, </w:t>
      </w:r>
      <w:r w:rsidR="001544A1" w:rsidRPr="00DA20BE">
        <w:rPr>
          <w:bCs/>
        </w:rPr>
        <w:t xml:space="preserve">párrafos </w:t>
      </w:r>
      <w:r w:rsidR="001544A1" w:rsidRPr="00DA20BE">
        <w:t xml:space="preserve">trigésimo séptimo, trigésimo octavo, trigésimo noveno, fracciones </w:t>
      </w:r>
      <w:r w:rsidRPr="00DA20BE">
        <w:t>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DA20BE">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DA20BE" w:rsidRDefault="00DB1C09" w:rsidP="00DA20BE">
      <w:pPr>
        <w:rPr>
          <w:rFonts w:cs="Arial"/>
        </w:rPr>
      </w:pPr>
    </w:p>
    <w:p w14:paraId="517A2DD6" w14:textId="4169BE4D" w:rsidR="00664420" w:rsidRPr="00DA20BE" w:rsidRDefault="00BA55A8" w:rsidP="00DA20BE">
      <w:pPr>
        <w:pStyle w:val="Ttulo3"/>
      </w:pPr>
      <w:bookmarkStart w:id="25" w:name="_Toc207804995"/>
      <w:r w:rsidRPr="00DA20BE">
        <w:lastRenderedPageBreak/>
        <w:t>b)</w:t>
      </w:r>
      <w:r w:rsidR="00664420" w:rsidRPr="00DA20BE">
        <w:t xml:space="preserve"> </w:t>
      </w:r>
      <w:r w:rsidR="00D91CB4" w:rsidRPr="00DA20BE">
        <w:t>Legitimidad</w:t>
      </w:r>
      <w:r w:rsidRPr="00DA20BE">
        <w:t xml:space="preserve"> de la parte recurrente</w:t>
      </w:r>
      <w:bookmarkEnd w:id="25"/>
    </w:p>
    <w:p w14:paraId="26FEA382" w14:textId="0B06695C" w:rsidR="00D91CB4" w:rsidRPr="00DA20BE" w:rsidRDefault="00D91CB4" w:rsidP="00DA20BE">
      <w:pPr>
        <w:rPr>
          <w:rFonts w:cs="Arial"/>
          <w:bCs/>
        </w:rPr>
      </w:pPr>
      <w:r w:rsidRPr="00DA20BE">
        <w:rPr>
          <w:rFonts w:cs="Arial"/>
          <w:bCs/>
        </w:rPr>
        <w:t>El recurso de revisión fue interpuesto por parte legítima, ya que se presentó por la misma persona que formuló la solicitud de acceso a la Información Pública,</w:t>
      </w:r>
      <w:r w:rsidRPr="00DA20BE">
        <w:rPr>
          <w:rFonts w:cs="Arial"/>
          <w:b/>
          <w:bCs/>
        </w:rPr>
        <w:t xml:space="preserve"> </w:t>
      </w:r>
      <w:r w:rsidRPr="00DA20BE">
        <w:rPr>
          <w:rFonts w:cs="Arial"/>
        </w:rPr>
        <w:t>debido a que los datos de acceso</w:t>
      </w:r>
      <w:r w:rsidRPr="00DA20BE">
        <w:rPr>
          <w:rFonts w:cs="Arial"/>
          <w:b/>
          <w:bCs/>
        </w:rPr>
        <w:t xml:space="preserve"> </w:t>
      </w:r>
      <w:r w:rsidRPr="00DA20BE">
        <w:rPr>
          <w:rFonts w:cs="Arial"/>
          <w:b/>
        </w:rPr>
        <w:t>SAIMEX</w:t>
      </w:r>
      <w:r w:rsidRPr="00DA20BE">
        <w:rPr>
          <w:rFonts w:eastAsia="Calibri" w:cs="Arial"/>
          <w:lang w:eastAsia="en-US"/>
        </w:rPr>
        <w:t xml:space="preserve"> son personales e irrepetibles.</w:t>
      </w:r>
    </w:p>
    <w:p w14:paraId="2C367810" w14:textId="77777777" w:rsidR="00D91CB4" w:rsidRPr="00DA20BE" w:rsidRDefault="00D91CB4" w:rsidP="00DA20BE"/>
    <w:p w14:paraId="5C5FA5A8" w14:textId="77777777" w:rsidR="004565C2" w:rsidRPr="00DA20BE" w:rsidRDefault="004565C2" w:rsidP="00DA20BE">
      <w:pPr>
        <w:pStyle w:val="Ttulo3"/>
        <w:rPr>
          <w:rFonts w:eastAsia="Calibri"/>
          <w:lang w:eastAsia="es-ES_tradnl"/>
        </w:rPr>
      </w:pPr>
      <w:bookmarkStart w:id="26" w:name="_Toc170932820"/>
      <w:bookmarkStart w:id="27" w:name="_Toc207804996"/>
      <w:r w:rsidRPr="00DA20BE">
        <w:rPr>
          <w:rFonts w:eastAsia="Calibri"/>
          <w:lang w:eastAsia="es-ES_tradnl"/>
        </w:rPr>
        <w:t>c) Plazo para interponer el recurso</w:t>
      </w:r>
      <w:bookmarkEnd w:id="26"/>
      <w:bookmarkEnd w:id="27"/>
    </w:p>
    <w:p w14:paraId="5C63152A" w14:textId="6B67EE24" w:rsidR="004565C2" w:rsidRPr="00DA20BE" w:rsidRDefault="004565C2" w:rsidP="00DA20BE">
      <w:pPr>
        <w:rPr>
          <w:rFonts w:eastAsiaTheme="minorEastAsia" w:cs="Arial"/>
          <w:lang w:val="es-ES_tradnl"/>
        </w:rPr>
      </w:pPr>
      <w:r w:rsidRPr="00DA20BE">
        <w:rPr>
          <w:rFonts w:cs="Arial"/>
          <w:b/>
        </w:rPr>
        <w:t>EL SUJETO OBLIGADO</w:t>
      </w:r>
      <w:r w:rsidRPr="00DA20BE">
        <w:rPr>
          <w:rFonts w:cs="Arial"/>
        </w:rPr>
        <w:t xml:space="preserve"> notificó la respuesta a la solicitud de acceso a la Información Pública el </w:t>
      </w:r>
      <w:r w:rsidR="00DC6E72" w:rsidRPr="00DA20BE">
        <w:rPr>
          <w:rFonts w:eastAsia="Palatino Linotype" w:cs="Palatino Linotype"/>
          <w:b/>
        </w:rPr>
        <w:t xml:space="preserve">veintinueve de mayo </w:t>
      </w:r>
      <w:r w:rsidR="00B373AF" w:rsidRPr="00DA20BE">
        <w:rPr>
          <w:rFonts w:eastAsia="Palatino Linotype" w:cs="Palatino Linotype"/>
          <w:b/>
        </w:rPr>
        <w:t>d</w:t>
      </w:r>
      <w:r w:rsidR="009A1340" w:rsidRPr="00DA20BE">
        <w:rPr>
          <w:rFonts w:eastAsia="Palatino Linotype" w:cs="Palatino Linotype"/>
          <w:b/>
        </w:rPr>
        <w:t xml:space="preserve">e dos mil veinticinco </w:t>
      </w:r>
      <w:r w:rsidRPr="00DA20BE">
        <w:rPr>
          <w:rFonts w:cs="Arial"/>
        </w:rPr>
        <w:t xml:space="preserve">y el recurso </w:t>
      </w:r>
      <w:r w:rsidRPr="00DA20BE">
        <w:rPr>
          <w:rFonts w:eastAsia="Palatino Linotype" w:cs="Palatino Linotype"/>
        </w:rPr>
        <w:t xml:space="preserve">que nos ocupa se </w:t>
      </w:r>
      <w:r w:rsidR="00E27023" w:rsidRPr="00DA20BE">
        <w:rPr>
          <w:rFonts w:eastAsia="Palatino Linotype" w:cs="Palatino Linotype"/>
        </w:rPr>
        <w:t xml:space="preserve">tuvo por </w:t>
      </w:r>
      <w:r w:rsidRPr="00DA20BE">
        <w:rPr>
          <w:rFonts w:eastAsia="Palatino Linotype" w:cs="Palatino Linotype"/>
        </w:rPr>
        <w:t>interpu</w:t>
      </w:r>
      <w:r w:rsidR="00E27023" w:rsidRPr="00DA20BE">
        <w:rPr>
          <w:rFonts w:eastAsia="Palatino Linotype" w:cs="Palatino Linotype"/>
        </w:rPr>
        <w:t>esto</w:t>
      </w:r>
      <w:r w:rsidRPr="00DA20BE">
        <w:rPr>
          <w:rFonts w:eastAsia="Palatino Linotype" w:cs="Palatino Linotype"/>
        </w:rPr>
        <w:t xml:space="preserve"> el </w:t>
      </w:r>
      <w:r w:rsidR="00DC6E72" w:rsidRPr="00DA20BE">
        <w:rPr>
          <w:rFonts w:eastAsia="Palatino Linotype" w:cs="Palatino Linotype"/>
          <w:b/>
        </w:rPr>
        <w:t xml:space="preserve">diecinueve </w:t>
      </w:r>
      <w:r w:rsidR="004C3367" w:rsidRPr="00DA20BE">
        <w:rPr>
          <w:rFonts w:eastAsia="Palatino Linotype" w:cs="Palatino Linotype"/>
          <w:b/>
        </w:rPr>
        <w:t xml:space="preserve">de junio </w:t>
      </w:r>
      <w:r w:rsidR="009A1340" w:rsidRPr="00DA20BE">
        <w:rPr>
          <w:rFonts w:eastAsia="Palatino Linotype" w:cs="Palatino Linotype"/>
          <w:b/>
        </w:rPr>
        <w:t>de dos mil veinticinco</w:t>
      </w:r>
      <w:r w:rsidRPr="00DA20BE">
        <w:rPr>
          <w:rFonts w:eastAsia="Palatino Linotype" w:cs="Palatino Linotype"/>
          <w:bCs/>
        </w:rPr>
        <w:t>;</w:t>
      </w:r>
      <w:r w:rsidRPr="00DA20BE">
        <w:rPr>
          <w:rFonts w:eastAsia="Palatino Linotype" w:cs="Palatino Linotype"/>
        </w:rPr>
        <w:t xml:space="preserve"> por lo tanto, éste se encuentra dentro del margen temporal previsto en el artículo 178 de la </w:t>
      </w:r>
      <w:r w:rsidRPr="00DA20BE">
        <w:rPr>
          <w:rFonts w:cs="Arial"/>
        </w:rPr>
        <w:t>Ley de Transparencia y Acceso a la Información Pública del Estado de México y Municipios</w:t>
      </w:r>
      <w:r w:rsidRPr="00DA20BE">
        <w:rPr>
          <w:rFonts w:eastAsiaTheme="minorEastAsia" w:cs="Arial"/>
          <w:lang w:val="es-ES_tradnl"/>
        </w:rPr>
        <w:t>.</w:t>
      </w:r>
    </w:p>
    <w:p w14:paraId="41262D82" w14:textId="77777777" w:rsidR="00813497" w:rsidRPr="00DA20BE" w:rsidRDefault="00813497" w:rsidP="00DA20BE"/>
    <w:p w14:paraId="46C0EB3A" w14:textId="5A92AF42" w:rsidR="00A53315" w:rsidRPr="00DA20BE" w:rsidRDefault="00BA55A8" w:rsidP="00DA20BE">
      <w:pPr>
        <w:pStyle w:val="Ttulo3"/>
        <w:rPr>
          <w:rFonts w:eastAsia="Calibri"/>
          <w:lang w:eastAsia="es-ES_tradnl"/>
        </w:rPr>
      </w:pPr>
      <w:bookmarkStart w:id="28" w:name="_Toc207804997"/>
      <w:r w:rsidRPr="00DA20BE">
        <w:rPr>
          <w:rFonts w:eastAsia="Calibri"/>
          <w:lang w:eastAsia="es-ES_tradnl"/>
        </w:rPr>
        <w:t>d)</w:t>
      </w:r>
      <w:r w:rsidR="00D91CB4" w:rsidRPr="00DA20BE">
        <w:rPr>
          <w:rFonts w:eastAsia="Calibri"/>
          <w:lang w:eastAsia="es-ES_tradnl"/>
        </w:rPr>
        <w:t xml:space="preserve"> </w:t>
      </w:r>
      <w:r w:rsidR="004565C2" w:rsidRPr="00DA20BE">
        <w:rPr>
          <w:rFonts w:eastAsia="Calibri"/>
          <w:lang w:eastAsia="es-ES_tradnl"/>
        </w:rPr>
        <w:t>Causal de procedencia</w:t>
      </w:r>
      <w:bookmarkEnd w:id="28"/>
    </w:p>
    <w:p w14:paraId="190404A6" w14:textId="35271803" w:rsidR="00BA55A8" w:rsidRPr="00DA20BE" w:rsidRDefault="00BA55A8" w:rsidP="00DA20BE">
      <w:pPr>
        <w:rPr>
          <w:rFonts w:eastAsia="Calibri" w:cs="Tahoma"/>
          <w:szCs w:val="22"/>
          <w:lang w:eastAsia="es-MX"/>
        </w:rPr>
      </w:pPr>
      <w:r w:rsidRPr="00DA20BE">
        <w:rPr>
          <w:rFonts w:cs="Arial"/>
        </w:rPr>
        <w:t xml:space="preserve">Resulta procedente la interposición del recurso de revisión, ya que </w:t>
      </w:r>
      <w:r w:rsidRPr="00DA20BE">
        <w:rPr>
          <w:rFonts w:eastAsia="Calibri" w:cs="Tahoma"/>
          <w:szCs w:val="22"/>
          <w:lang w:eastAsia="es-MX"/>
        </w:rPr>
        <w:t xml:space="preserve">se actualiza la causal de procedencia señalada en el artículo 179, fracción </w:t>
      </w:r>
      <w:r w:rsidR="004C3367" w:rsidRPr="00DA20BE">
        <w:rPr>
          <w:rFonts w:eastAsia="Calibri" w:cs="Tahoma"/>
          <w:szCs w:val="22"/>
          <w:lang w:eastAsia="es-MX"/>
        </w:rPr>
        <w:t>V</w:t>
      </w:r>
      <w:r w:rsidR="00E27023" w:rsidRPr="00DA20BE">
        <w:rPr>
          <w:rFonts w:eastAsia="Calibri" w:cs="Tahoma"/>
          <w:szCs w:val="22"/>
          <w:lang w:eastAsia="es-MX"/>
        </w:rPr>
        <w:t>I</w:t>
      </w:r>
      <w:r w:rsidRPr="00DA20BE">
        <w:rPr>
          <w:rFonts w:cs="Arial"/>
        </w:rPr>
        <w:t xml:space="preserve"> de la </w:t>
      </w:r>
      <w:r w:rsidRPr="00DA20BE">
        <w:t>Ley de Transparencia y Acceso a la Información Pública del Estado de México y Municipios.</w:t>
      </w:r>
    </w:p>
    <w:p w14:paraId="0EFF7141" w14:textId="77777777" w:rsidR="00362A11" w:rsidRPr="00DA20BE" w:rsidRDefault="00362A11" w:rsidP="00DA20BE"/>
    <w:p w14:paraId="2284D7EB" w14:textId="3EE1D036" w:rsidR="00BA55A8" w:rsidRPr="00DA20BE" w:rsidRDefault="00362A11" w:rsidP="00DA20BE">
      <w:pPr>
        <w:pStyle w:val="Ttulo3"/>
      </w:pPr>
      <w:bookmarkStart w:id="29" w:name="_Toc207804998"/>
      <w:r w:rsidRPr="00DA20BE">
        <w:t>e) Requisitos formales para la interposición del recurso</w:t>
      </w:r>
      <w:bookmarkEnd w:id="29"/>
    </w:p>
    <w:p w14:paraId="677C7009" w14:textId="77777777" w:rsidR="00185C7C" w:rsidRPr="00DA20BE" w:rsidRDefault="00185C7C" w:rsidP="00DA20BE">
      <w:pPr>
        <w:rPr>
          <w:rFonts w:cs="Arial"/>
        </w:rPr>
      </w:pPr>
      <w:r w:rsidRPr="00DA20BE">
        <w:rPr>
          <w:rFonts w:cs="Arial"/>
          <w:b/>
          <w:bCs/>
        </w:rPr>
        <w:t xml:space="preserve">LA PARTE RECURRENTE </w:t>
      </w:r>
      <w:r w:rsidRPr="00DA20BE">
        <w:rPr>
          <w:rFonts w:cs="Arial"/>
        </w:rPr>
        <w:t>acreditó todos y cada uno de los elementos formales exigidos por el artículo 180 de la misma normatividad.</w:t>
      </w:r>
    </w:p>
    <w:p w14:paraId="2BE2EBCD" w14:textId="77777777" w:rsidR="00185C7C" w:rsidRPr="00DA20BE" w:rsidRDefault="00185C7C" w:rsidP="00DA20BE">
      <w:pPr>
        <w:rPr>
          <w:rFonts w:cs="Arial"/>
        </w:rPr>
      </w:pPr>
    </w:p>
    <w:p w14:paraId="457548E9" w14:textId="44AFCB07" w:rsidR="00C71CEF" w:rsidRPr="00DA20BE" w:rsidRDefault="00C71CEF" w:rsidP="00DA20BE">
      <w:pPr>
        <w:pStyle w:val="Ttulo2"/>
      </w:pPr>
      <w:bookmarkStart w:id="30" w:name="_Toc207804999"/>
      <w:r w:rsidRPr="00DA20BE">
        <w:lastRenderedPageBreak/>
        <w:t>SEGUNDO. Estudio de Fondo</w:t>
      </w:r>
      <w:bookmarkEnd w:id="30"/>
    </w:p>
    <w:p w14:paraId="2A308F59" w14:textId="0FF373F0" w:rsidR="00C049E2" w:rsidRPr="00DA20BE" w:rsidRDefault="00C71CEF" w:rsidP="00DA20BE">
      <w:pPr>
        <w:pStyle w:val="Ttulo3"/>
      </w:pPr>
      <w:bookmarkStart w:id="31" w:name="_Toc207805000"/>
      <w:r w:rsidRPr="00DA20BE">
        <w:t>a</w:t>
      </w:r>
      <w:r w:rsidR="00C049E2" w:rsidRPr="00DA20BE">
        <w:t>) Mandato de transparencia y responsabilidad del Sujeto Obligado</w:t>
      </w:r>
      <w:bookmarkEnd w:id="31"/>
    </w:p>
    <w:p w14:paraId="6901A889" w14:textId="59EEDAE1" w:rsidR="00C049E2" w:rsidRPr="00DA20BE" w:rsidRDefault="00C049E2" w:rsidP="00DA20BE">
      <w:pPr>
        <w:rPr>
          <w:rFonts w:eastAsia="Palatino Linotype"/>
        </w:rPr>
      </w:pPr>
      <w:r w:rsidRPr="00DA20BE">
        <w:rPr>
          <w:rFonts w:eastAsia="Palatino Linotype"/>
        </w:rPr>
        <w:t xml:space="preserve">El </w:t>
      </w:r>
      <w:r w:rsidR="00717E59" w:rsidRPr="00DA20BE">
        <w:rPr>
          <w:rFonts w:eastAsia="Palatino Linotype"/>
        </w:rPr>
        <w:t>d</w:t>
      </w:r>
      <w:r w:rsidRPr="00DA20BE">
        <w:rPr>
          <w:rFonts w:eastAsia="Palatino Linotype"/>
        </w:rPr>
        <w:t xml:space="preserve">erecho de </w:t>
      </w:r>
      <w:r w:rsidR="00717E59" w:rsidRPr="00DA20BE">
        <w:rPr>
          <w:rFonts w:eastAsia="Palatino Linotype"/>
        </w:rPr>
        <w:t>a</w:t>
      </w:r>
      <w:r w:rsidRPr="00DA20BE">
        <w:rPr>
          <w:rFonts w:eastAsia="Palatino Linotype"/>
        </w:rPr>
        <w:t xml:space="preserve">cceso a la </w:t>
      </w:r>
      <w:r w:rsidR="00717E59" w:rsidRPr="00DA20BE">
        <w:rPr>
          <w:rFonts w:eastAsia="Palatino Linotype"/>
        </w:rPr>
        <w:t>i</w:t>
      </w:r>
      <w:r w:rsidRPr="00DA20BE">
        <w:rPr>
          <w:rFonts w:eastAsia="Palatino Linotype"/>
        </w:rPr>
        <w:t xml:space="preserve">nformación </w:t>
      </w:r>
      <w:r w:rsidR="00717E59" w:rsidRPr="00DA20BE">
        <w:rPr>
          <w:rFonts w:eastAsia="Palatino Linotype"/>
        </w:rPr>
        <w:t>p</w:t>
      </w:r>
      <w:r w:rsidRPr="00DA20BE">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DA20BE">
        <w:rPr>
          <w:rFonts w:eastAsia="Palatino Linotype"/>
        </w:rPr>
        <w:t>:</w:t>
      </w:r>
    </w:p>
    <w:p w14:paraId="7FAB8D32" w14:textId="77777777" w:rsidR="00C049E2" w:rsidRPr="00DA20BE" w:rsidRDefault="00C049E2" w:rsidP="00DA20BE">
      <w:pPr>
        <w:rPr>
          <w:rFonts w:eastAsia="Palatino Linotype"/>
        </w:rPr>
      </w:pPr>
    </w:p>
    <w:p w14:paraId="05320813" w14:textId="77777777" w:rsidR="00C049E2" w:rsidRPr="00DA20BE" w:rsidRDefault="00C049E2" w:rsidP="00DA20BE">
      <w:pPr>
        <w:pStyle w:val="Puesto"/>
        <w:rPr>
          <w:rFonts w:eastAsia="Palatino Linotype"/>
          <w:b/>
        </w:rPr>
      </w:pPr>
      <w:r w:rsidRPr="00DA20BE">
        <w:rPr>
          <w:rFonts w:eastAsia="Palatino Linotype"/>
          <w:b/>
        </w:rPr>
        <w:t>Constitución Política de los Estados Unidos Mexicanos</w:t>
      </w:r>
    </w:p>
    <w:p w14:paraId="6B6C67B6" w14:textId="77777777" w:rsidR="00C049E2" w:rsidRPr="00DA20BE" w:rsidRDefault="00C049E2" w:rsidP="00DA20BE">
      <w:pPr>
        <w:pStyle w:val="Puesto"/>
        <w:rPr>
          <w:rFonts w:eastAsia="Palatino Linotype"/>
          <w:b/>
        </w:rPr>
      </w:pPr>
      <w:r w:rsidRPr="00DA20BE">
        <w:rPr>
          <w:rFonts w:eastAsia="Palatino Linotype"/>
        </w:rPr>
        <w:t>“</w:t>
      </w:r>
      <w:r w:rsidRPr="00DA20BE">
        <w:rPr>
          <w:rFonts w:eastAsia="Palatino Linotype"/>
          <w:b/>
        </w:rPr>
        <w:t>Artículo 6.</w:t>
      </w:r>
    </w:p>
    <w:p w14:paraId="38D3B4C4" w14:textId="77777777" w:rsidR="00C049E2" w:rsidRPr="00DA20BE" w:rsidRDefault="00C049E2" w:rsidP="00DA20BE">
      <w:pPr>
        <w:pStyle w:val="Puesto"/>
        <w:rPr>
          <w:rFonts w:eastAsia="Palatino Linotype"/>
        </w:rPr>
      </w:pPr>
      <w:r w:rsidRPr="00DA20BE">
        <w:rPr>
          <w:rFonts w:eastAsia="Palatino Linotype"/>
        </w:rPr>
        <w:t>(…)</w:t>
      </w:r>
    </w:p>
    <w:p w14:paraId="2CCAA297" w14:textId="6602827B" w:rsidR="00C049E2" w:rsidRPr="00DA20BE" w:rsidRDefault="00C049E2" w:rsidP="00DA20BE">
      <w:pPr>
        <w:pStyle w:val="Puesto"/>
        <w:rPr>
          <w:rFonts w:eastAsia="Palatino Linotype"/>
        </w:rPr>
      </w:pPr>
      <w:r w:rsidRPr="00DA20BE">
        <w:rPr>
          <w:rFonts w:eastAsia="Palatino Linotype"/>
        </w:rPr>
        <w:t>Para efectos de lo dispuesto en el presente artículo se observará lo siguiente:</w:t>
      </w:r>
    </w:p>
    <w:p w14:paraId="74CC3718" w14:textId="77777777" w:rsidR="00C049E2" w:rsidRPr="00DA20BE" w:rsidRDefault="00C049E2" w:rsidP="00DA20BE">
      <w:pPr>
        <w:pStyle w:val="Puesto"/>
        <w:rPr>
          <w:rFonts w:eastAsia="Palatino Linotype"/>
        </w:rPr>
      </w:pPr>
      <w:r w:rsidRPr="00DA20BE">
        <w:rPr>
          <w:rFonts w:eastAsia="Palatino Linotype"/>
        </w:rPr>
        <w:t>A. Para el ejercicio del derecho de acceso a la información, la Federación y las entidades federativas, en el ámbito de sus respectivas competencias, se regirán por los siguientes principios y bases:</w:t>
      </w:r>
    </w:p>
    <w:p w14:paraId="596A956B" w14:textId="77777777" w:rsidR="00C049E2" w:rsidRPr="00DA20BE" w:rsidRDefault="00C049E2" w:rsidP="00DA20BE">
      <w:pPr>
        <w:pStyle w:val="Puesto"/>
        <w:rPr>
          <w:rFonts w:eastAsia="Palatino Linotype"/>
        </w:rPr>
      </w:pPr>
      <w:r w:rsidRPr="00DA20BE">
        <w:rPr>
          <w:rFonts w:eastAsia="Palatino Linotype"/>
        </w:rPr>
        <w:t xml:space="preserve">I. </w:t>
      </w:r>
      <w:r w:rsidRPr="00DA20BE">
        <w:rPr>
          <w:rFonts w:eastAsia="Palatino Linotype"/>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F313E4" w14:textId="77777777" w:rsidR="00C049E2" w:rsidRPr="00DA20BE" w:rsidRDefault="00C049E2" w:rsidP="00DA20BE">
      <w:pPr>
        <w:pStyle w:val="Puesto"/>
        <w:rPr>
          <w:rFonts w:eastAsia="Palatino Linotype"/>
        </w:rPr>
      </w:pPr>
    </w:p>
    <w:p w14:paraId="504F12DB" w14:textId="77777777" w:rsidR="00C049E2" w:rsidRPr="00DA20BE" w:rsidRDefault="00C049E2" w:rsidP="00DA20BE">
      <w:pPr>
        <w:pStyle w:val="Puesto"/>
        <w:rPr>
          <w:rFonts w:eastAsia="Palatino Linotype"/>
          <w:b/>
        </w:rPr>
      </w:pPr>
      <w:r w:rsidRPr="00DA20BE">
        <w:rPr>
          <w:rFonts w:eastAsia="Palatino Linotype"/>
          <w:b/>
        </w:rPr>
        <w:t>Constitución Política del Estado Libre y Soberano de México</w:t>
      </w:r>
    </w:p>
    <w:p w14:paraId="04932D29" w14:textId="77777777" w:rsidR="00C049E2" w:rsidRPr="00DA20BE" w:rsidRDefault="00C049E2" w:rsidP="00DA20BE">
      <w:pPr>
        <w:pStyle w:val="Puesto"/>
        <w:rPr>
          <w:rFonts w:eastAsia="Palatino Linotype"/>
          <w:b/>
        </w:rPr>
      </w:pPr>
      <w:r w:rsidRPr="00DA20BE">
        <w:rPr>
          <w:rFonts w:eastAsia="Palatino Linotype"/>
        </w:rPr>
        <w:t>“</w:t>
      </w:r>
      <w:r w:rsidRPr="00DA20BE">
        <w:rPr>
          <w:rFonts w:eastAsia="Palatino Linotype"/>
          <w:b/>
        </w:rPr>
        <w:t xml:space="preserve">Artículo 5.- </w:t>
      </w:r>
    </w:p>
    <w:p w14:paraId="1D3829F4" w14:textId="77777777" w:rsidR="00C049E2" w:rsidRPr="00DA20BE" w:rsidRDefault="00C049E2" w:rsidP="00DA20BE">
      <w:pPr>
        <w:pStyle w:val="Puesto"/>
        <w:rPr>
          <w:rFonts w:eastAsia="Palatino Linotype"/>
        </w:rPr>
      </w:pPr>
      <w:r w:rsidRPr="00DA20BE">
        <w:rPr>
          <w:rFonts w:eastAsia="Palatino Linotype"/>
        </w:rPr>
        <w:t>(…)</w:t>
      </w:r>
    </w:p>
    <w:p w14:paraId="0EAE47FD" w14:textId="77777777" w:rsidR="00C049E2" w:rsidRPr="00DA20BE" w:rsidRDefault="00C049E2" w:rsidP="00DA20BE">
      <w:pPr>
        <w:pStyle w:val="Puesto"/>
        <w:rPr>
          <w:rFonts w:eastAsia="Palatino Linotype"/>
        </w:rPr>
      </w:pPr>
      <w:r w:rsidRPr="00DA20BE">
        <w:rPr>
          <w:rFonts w:eastAsia="Palatino Linotype"/>
        </w:rPr>
        <w:t>El derecho a la información será garantizado por el Estado. La ley establecerá las previsiones que permitan asegurar la protección, el respeto y la difusión de este derecho.</w:t>
      </w:r>
    </w:p>
    <w:p w14:paraId="4F0C804A" w14:textId="77777777" w:rsidR="00C049E2" w:rsidRPr="00DA20BE" w:rsidRDefault="00C049E2" w:rsidP="00DA20BE">
      <w:pPr>
        <w:pStyle w:val="Puesto"/>
        <w:rPr>
          <w:rFonts w:eastAsia="Palatino Linotype"/>
        </w:rPr>
      </w:pPr>
      <w:r w:rsidRPr="00DA20BE">
        <w:rPr>
          <w:rFonts w:eastAsia="Palatino Linotype"/>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DA20BE" w:rsidRDefault="00C049E2" w:rsidP="00DA20BE">
      <w:pPr>
        <w:pStyle w:val="Puesto"/>
        <w:rPr>
          <w:rFonts w:eastAsia="Palatino Linotype"/>
        </w:rPr>
      </w:pPr>
      <w:r w:rsidRPr="00DA20BE">
        <w:rPr>
          <w:rFonts w:eastAsia="Palatino Linotype"/>
        </w:rPr>
        <w:t>Este derecho se regirá por los principios y bases siguientes:</w:t>
      </w:r>
    </w:p>
    <w:p w14:paraId="4A3E8CBA" w14:textId="77777777" w:rsidR="00C049E2" w:rsidRPr="00DA20BE" w:rsidRDefault="00C049E2" w:rsidP="00DA20BE">
      <w:pPr>
        <w:pStyle w:val="Puesto"/>
        <w:rPr>
          <w:rFonts w:eastAsia="Palatino Linotype"/>
        </w:rPr>
      </w:pPr>
      <w:r w:rsidRPr="00DA20BE">
        <w:rPr>
          <w:rFonts w:eastAsia="Palatino Linotype"/>
        </w:rPr>
        <w:lastRenderedPageBreak/>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A98E37" w14:textId="77777777" w:rsidR="00C049E2" w:rsidRPr="00DA20BE" w:rsidRDefault="00C049E2" w:rsidP="00DA20BE">
      <w:pPr>
        <w:rPr>
          <w:rFonts w:eastAsia="Palatino Linotype"/>
          <w:b/>
          <w:i/>
        </w:rPr>
      </w:pPr>
    </w:p>
    <w:p w14:paraId="6FC1BB3B" w14:textId="3BF4A33D" w:rsidR="00C049E2" w:rsidRPr="00DA20BE" w:rsidRDefault="00717E59" w:rsidP="00DA20BE">
      <w:pPr>
        <w:rPr>
          <w:rFonts w:eastAsia="Palatino Linotype"/>
          <w:i/>
        </w:rPr>
      </w:pPr>
      <w:r w:rsidRPr="00DA20BE">
        <w:rPr>
          <w:rFonts w:eastAsia="Palatino Linotype"/>
        </w:rPr>
        <w:t xml:space="preserve">Asimismo, </w:t>
      </w:r>
      <w:r w:rsidR="00C049E2" w:rsidRPr="00DA20BE">
        <w:rPr>
          <w:rFonts w:eastAsia="Palatino Linotype"/>
        </w:rPr>
        <w:t>el artículo 150 de la Ley de Transparencia y Acceso a la Información Pública del Estado de México y Municipios</w:t>
      </w:r>
      <w:r w:rsidR="00057B2D" w:rsidRPr="00DA20BE">
        <w:rPr>
          <w:rFonts w:eastAsia="Palatino Linotype"/>
        </w:rPr>
        <w:t xml:space="preserve"> </w:t>
      </w:r>
      <w:r w:rsidR="00E9335C" w:rsidRPr="00DA20BE">
        <w:rPr>
          <w:rFonts w:eastAsia="Palatino Linotype"/>
        </w:rPr>
        <w:t xml:space="preserve">indica </w:t>
      </w:r>
      <w:r w:rsidR="00057B2D" w:rsidRPr="00DA20BE">
        <w:rPr>
          <w:rFonts w:eastAsia="Palatino Linotype"/>
        </w:rPr>
        <w:t>que</w:t>
      </w:r>
      <w:r w:rsidR="00C049E2" w:rsidRPr="00DA20BE">
        <w:rPr>
          <w:rFonts w:eastAsia="Palatino Linotype"/>
        </w:rPr>
        <w:t xml:space="preserve"> la solicitud es la garantía primaria del Derecho de Acceso a la Información, además, establece que se regirá </w:t>
      </w:r>
      <w:r w:rsidR="00C049E2" w:rsidRPr="00DA20BE">
        <w:rPr>
          <w:rFonts w:eastAsia="Palatino Linotype"/>
          <w:i/>
        </w:rPr>
        <w:t>por los principios de simplicidad, rapidez</w:t>
      </w:r>
      <w:r w:rsidR="005F65B7" w:rsidRPr="00DA20BE">
        <w:rPr>
          <w:rFonts w:eastAsia="Palatino Linotype"/>
          <w:i/>
        </w:rPr>
        <w:t>,</w:t>
      </w:r>
      <w:r w:rsidR="00C049E2" w:rsidRPr="00DA20BE">
        <w:rPr>
          <w:rFonts w:eastAsia="Palatino Linotype"/>
          <w:i/>
        </w:rPr>
        <w:t xml:space="preserve"> gratuidad del procedimiento, auxilio y orientación a los particulare</w:t>
      </w:r>
      <w:r w:rsidR="001A58B3" w:rsidRPr="00DA20BE">
        <w:rPr>
          <w:rFonts w:eastAsia="Palatino Linotype"/>
          <w:i/>
        </w:rPr>
        <w:t>s.</w:t>
      </w:r>
    </w:p>
    <w:p w14:paraId="033466A6" w14:textId="77777777" w:rsidR="001A58B3" w:rsidRPr="00DA20BE" w:rsidRDefault="001A58B3" w:rsidP="00DA20BE">
      <w:pPr>
        <w:rPr>
          <w:rFonts w:eastAsia="Palatino Linotype"/>
          <w:i/>
        </w:rPr>
      </w:pPr>
    </w:p>
    <w:p w14:paraId="04ADA10B" w14:textId="574A944A" w:rsidR="001A58B3" w:rsidRPr="00DA20BE" w:rsidRDefault="00233F17" w:rsidP="00DA20BE">
      <w:pPr>
        <w:rPr>
          <w:rFonts w:eastAsia="Palatino Linotype" w:cs="Palatino Linotype"/>
          <w:i/>
          <w:szCs w:val="22"/>
        </w:rPr>
      </w:pPr>
      <w:r w:rsidRPr="00DA20BE">
        <w:rPr>
          <w:rFonts w:eastAsia="Palatino Linotype" w:cs="Palatino Linotype"/>
        </w:rPr>
        <w:t xml:space="preserve">Por su parte, el artículo 4 de </w:t>
      </w:r>
      <w:r w:rsidR="001A58B3" w:rsidRPr="00DA20BE">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DA20BE">
        <w:rPr>
          <w:rFonts w:eastAsia="Palatino Linotype" w:cs="Palatino Linotype"/>
        </w:rPr>
        <w:t>.</w:t>
      </w:r>
    </w:p>
    <w:p w14:paraId="1407DBB8" w14:textId="77777777" w:rsidR="001A58B3" w:rsidRPr="00DA20BE" w:rsidRDefault="001A58B3" w:rsidP="00DA20BE">
      <w:pPr>
        <w:rPr>
          <w:rFonts w:eastAsia="Palatino Linotype" w:cs="Palatino Linotype"/>
        </w:rPr>
      </w:pPr>
    </w:p>
    <w:p w14:paraId="7552AA79" w14:textId="5C52E4A4" w:rsidR="001A58B3" w:rsidRPr="00DA20BE" w:rsidRDefault="001A58B3" w:rsidP="00DA20BE">
      <w:pPr>
        <w:rPr>
          <w:rFonts w:eastAsia="Palatino Linotype" w:cs="Palatino Linotype"/>
        </w:rPr>
      </w:pPr>
      <w:r w:rsidRPr="00DA20BE">
        <w:rPr>
          <w:rFonts w:eastAsia="Palatino Linotype" w:cs="Palatino Linotype"/>
        </w:rPr>
        <w:t xml:space="preserve">Esto es, que los Sujetos Obligados </w:t>
      </w:r>
      <w:r w:rsidR="00FA5957" w:rsidRPr="00DA20BE">
        <w:rPr>
          <w:rFonts w:eastAsia="Palatino Linotype" w:cs="Palatino Linotype"/>
        </w:rPr>
        <w:t>deben</w:t>
      </w:r>
      <w:r w:rsidRPr="00DA20BE">
        <w:rPr>
          <w:rFonts w:eastAsia="Palatino Linotype" w:cs="Palatino Linotype"/>
        </w:rPr>
        <w:t xml:space="preserve"> atender las solicitudes de acceso a la información pública que se les </w:t>
      </w:r>
      <w:r w:rsidR="00FA5957" w:rsidRPr="00DA20BE">
        <w:rPr>
          <w:rFonts w:eastAsia="Palatino Linotype" w:cs="Palatino Linotype"/>
        </w:rPr>
        <w:t>sean realizadas,</w:t>
      </w:r>
      <w:r w:rsidRPr="00DA20BE">
        <w:rPr>
          <w:rFonts w:eastAsia="Palatino Linotype" w:cs="Palatino Linotype"/>
        </w:rPr>
        <w:t xml:space="preserve"> y proporcionar la información pública que obre en su poder</w:t>
      </w:r>
      <w:r w:rsidR="00FA5957" w:rsidRPr="00DA20BE">
        <w:rPr>
          <w:rFonts w:eastAsia="Palatino Linotype" w:cs="Palatino Linotype"/>
        </w:rPr>
        <w:t>,</w:t>
      </w:r>
      <w:r w:rsidRPr="00DA20BE">
        <w:rPr>
          <w:rFonts w:eastAsia="Palatino Linotype" w:cs="Palatino Linotype"/>
        </w:rPr>
        <w:t xml:space="preserve"> conforme </w:t>
      </w:r>
      <w:r w:rsidR="00FA5957" w:rsidRPr="00DA20BE">
        <w:rPr>
          <w:rFonts w:eastAsia="Palatino Linotype" w:cs="Palatino Linotype"/>
        </w:rPr>
        <w:t>a</w:t>
      </w:r>
      <w:r w:rsidRPr="00DA20BE">
        <w:rPr>
          <w:rFonts w:eastAsia="Palatino Linotype" w:cs="Palatino Linotype"/>
        </w:rPr>
        <w:t xml:space="preserve">l estado </w:t>
      </w:r>
      <w:r w:rsidR="00FA5957" w:rsidRPr="00DA20BE">
        <w:rPr>
          <w:rFonts w:eastAsia="Palatino Linotype" w:cs="Palatino Linotype"/>
        </w:rPr>
        <w:t xml:space="preserve">en </w:t>
      </w:r>
      <w:r w:rsidRPr="00DA20BE">
        <w:rPr>
          <w:rFonts w:eastAsia="Palatino Linotype" w:cs="Palatino Linotype"/>
        </w:rPr>
        <w:t>que se encuentr</w:t>
      </w:r>
      <w:r w:rsidR="00FA5957" w:rsidRPr="00DA20BE">
        <w:rPr>
          <w:rFonts w:eastAsia="Palatino Linotype" w:cs="Palatino Linotype"/>
        </w:rPr>
        <w:t>e, sin que sea necesario</w:t>
      </w:r>
      <w:r w:rsidRPr="00DA20BE">
        <w:rPr>
          <w:rFonts w:eastAsia="Palatino Linotype" w:cs="Palatino Linotype"/>
        </w:rPr>
        <w:t xml:space="preserve"> </w:t>
      </w:r>
      <w:r w:rsidR="00FA5957" w:rsidRPr="00DA20BE">
        <w:rPr>
          <w:rFonts w:eastAsia="Palatino Linotype" w:cs="Palatino Linotype"/>
        </w:rPr>
        <w:t>procesar</w:t>
      </w:r>
      <w:r w:rsidRPr="00DA20BE">
        <w:rPr>
          <w:rFonts w:eastAsia="Palatino Linotype" w:cs="Palatino Linotype"/>
        </w:rPr>
        <w:t xml:space="preserve"> la misma, ni presentarla conforme al interés del solicitante; </w:t>
      </w:r>
      <w:r w:rsidR="00FA5957" w:rsidRPr="00DA20BE">
        <w:rPr>
          <w:rFonts w:eastAsia="Palatino Linotype" w:cs="Palatino Linotype"/>
        </w:rPr>
        <w:t>tal y como</w:t>
      </w:r>
      <w:r w:rsidRPr="00DA20BE">
        <w:rPr>
          <w:rFonts w:eastAsia="Palatino Linotype" w:cs="Palatino Linotype"/>
        </w:rPr>
        <w:t xml:space="preserve"> lo establece el artículo 12 de la Ley de Transparencia y Acceso a la Información Pública del Estado de México y Municipios</w:t>
      </w:r>
      <w:r w:rsidR="00970EB3" w:rsidRPr="00DA20BE">
        <w:rPr>
          <w:rFonts w:eastAsia="Palatino Linotype" w:cs="Palatino Linotype"/>
        </w:rPr>
        <w:t>.</w:t>
      </w:r>
    </w:p>
    <w:p w14:paraId="73245195" w14:textId="77777777" w:rsidR="00970EB3" w:rsidRPr="00DA20BE" w:rsidRDefault="00970EB3" w:rsidP="00DA20BE">
      <w:pPr>
        <w:rPr>
          <w:rFonts w:eastAsia="Palatino Linotype" w:cs="Palatino Linotype"/>
        </w:rPr>
      </w:pPr>
    </w:p>
    <w:p w14:paraId="7F62D4DF" w14:textId="775730E1" w:rsidR="001A58B3" w:rsidRPr="00DA20BE" w:rsidRDefault="001A58B3" w:rsidP="00DA20BE">
      <w:pPr>
        <w:rPr>
          <w:rFonts w:eastAsia="Palatino Linotype" w:cs="Palatino Linotype"/>
        </w:rPr>
      </w:pPr>
      <w:r w:rsidRPr="00DA20BE">
        <w:rPr>
          <w:rFonts w:eastAsia="Palatino Linotype" w:cs="Palatino Linotype"/>
        </w:rPr>
        <w:lastRenderedPageBreak/>
        <w:t>Es decir, que todo sujeto obligado que genere, recopile, administre, procese, archive, posea o conserven, son responsables de la misma</w:t>
      </w:r>
      <w:r w:rsidR="00970EB3" w:rsidRPr="00DA20BE">
        <w:rPr>
          <w:rFonts w:eastAsia="Palatino Linotype" w:cs="Palatino Linotype"/>
        </w:rPr>
        <w:t>,</w:t>
      </w:r>
      <w:r w:rsidRPr="00DA20BE">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DA20BE">
        <w:rPr>
          <w:rFonts w:eastAsia="Palatino Linotype" w:cs="Palatino Linotype"/>
        </w:rPr>
        <w:t>o</w:t>
      </w:r>
      <w:r w:rsidRPr="00DA20BE">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DA20BE" w:rsidRDefault="001A58B3" w:rsidP="00DA20BE">
      <w:pPr>
        <w:rPr>
          <w:rFonts w:eastAsia="Palatino Linotype" w:cs="Palatino Linotype"/>
        </w:rPr>
      </w:pPr>
    </w:p>
    <w:p w14:paraId="04E42DFE" w14:textId="573F1198" w:rsidR="001A58B3" w:rsidRPr="00DA20BE" w:rsidRDefault="001A58B3" w:rsidP="00DA20BE">
      <w:pPr>
        <w:rPr>
          <w:rFonts w:eastAsia="Palatino Linotype" w:cs="Palatino Linotype"/>
        </w:rPr>
      </w:pPr>
      <w:r w:rsidRPr="00DA20BE">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DA20BE">
        <w:rPr>
          <w:rFonts w:eastAsia="Palatino Linotype" w:cs="Palatino Linotype"/>
        </w:rPr>
        <w:t>, s</w:t>
      </w:r>
      <w:r w:rsidRPr="00DA20BE">
        <w:rPr>
          <w:rFonts w:eastAsia="Palatino Linotype" w:cs="Palatino Linotype"/>
        </w:rPr>
        <w:t xml:space="preserve">iempre y cuando no se trate de información reservada o </w:t>
      </w:r>
      <w:r w:rsidR="00331F35" w:rsidRPr="00DA20BE">
        <w:rPr>
          <w:rFonts w:eastAsia="Palatino Linotype" w:cs="Palatino Linotype"/>
        </w:rPr>
        <w:t>confidencial.</w:t>
      </w:r>
    </w:p>
    <w:p w14:paraId="40C5219F" w14:textId="77777777" w:rsidR="001A58B3" w:rsidRPr="00DA20BE" w:rsidRDefault="001A58B3" w:rsidP="00DA20BE">
      <w:pPr>
        <w:rPr>
          <w:rFonts w:eastAsia="Palatino Linotype" w:cs="Palatino Linotype"/>
        </w:rPr>
      </w:pPr>
    </w:p>
    <w:p w14:paraId="2E629608" w14:textId="01727E15" w:rsidR="00C049E2" w:rsidRPr="00DA20BE" w:rsidRDefault="006067C7" w:rsidP="00DA20BE">
      <w:pPr>
        <w:rPr>
          <w:rFonts w:eastAsia="Palatino Linotype"/>
        </w:rPr>
      </w:pPr>
      <w:bookmarkStart w:id="32" w:name="_heading=h.2s8eyo1" w:colFirst="0" w:colLast="0"/>
      <w:bookmarkEnd w:id="32"/>
      <w:r w:rsidRPr="00DA20BE">
        <w:rPr>
          <w:rFonts w:eastAsia="Palatino Linotype"/>
        </w:rPr>
        <w:t>Con base en lo anterior</w:t>
      </w:r>
      <w:r w:rsidR="00B22A80" w:rsidRPr="00DA20BE">
        <w:rPr>
          <w:rFonts w:eastAsia="Palatino Linotype"/>
        </w:rPr>
        <w:t>, se considera que</w:t>
      </w:r>
      <w:r w:rsidR="00C049E2" w:rsidRPr="00DA20BE">
        <w:rPr>
          <w:rFonts w:eastAsia="Palatino Linotype"/>
        </w:rPr>
        <w:t xml:space="preserve"> </w:t>
      </w:r>
      <w:r w:rsidR="00B22A80" w:rsidRPr="00DA20BE">
        <w:rPr>
          <w:rFonts w:eastAsia="Palatino Linotype"/>
          <w:b/>
          <w:bCs/>
        </w:rPr>
        <w:t>EL</w:t>
      </w:r>
      <w:r w:rsidR="00C049E2" w:rsidRPr="00DA20BE">
        <w:rPr>
          <w:rFonts w:eastAsia="Palatino Linotype"/>
        </w:rPr>
        <w:t xml:space="preserve"> </w:t>
      </w:r>
      <w:r w:rsidR="00C049E2" w:rsidRPr="00DA20BE">
        <w:rPr>
          <w:rFonts w:eastAsia="Palatino Linotype"/>
          <w:b/>
        </w:rPr>
        <w:t>SUJETO OBLIGADO</w:t>
      </w:r>
      <w:r w:rsidR="00C049E2" w:rsidRPr="00DA20BE">
        <w:rPr>
          <w:rFonts w:eastAsia="Palatino Linotype"/>
        </w:rPr>
        <w:t xml:space="preserve"> </w:t>
      </w:r>
      <w:r w:rsidR="00B22A80" w:rsidRPr="00DA20BE">
        <w:rPr>
          <w:rFonts w:eastAsia="Palatino Linotype"/>
        </w:rPr>
        <w:t xml:space="preserve">se </w:t>
      </w:r>
      <w:r w:rsidR="00717E59" w:rsidRPr="00DA20BE">
        <w:rPr>
          <w:rFonts w:eastAsia="Palatino Linotype"/>
        </w:rPr>
        <w:t>encontraba</w:t>
      </w:r>
      <w:r w:rsidR="00B22A80" w:rsidRPr="00DA20BE">
        <w:rPr>
          <w:rFonts w:eastAsia="Palatino Linotype"/>
        </w:rPr>
        <w:t xml:space="preserve"> compelido a</w:t>
      </w:r>
      <w:r w:rsidR="00C049E2" w:rsidRPr="00DA20BE">
        <w:rPr>
          <w:rFonts w:eastAsia="Palatino Linotype"/>
        </w:rPr>
        <w:t xml:space="preserve"> atender la solicitud de acceso a la información </w:t>
      </w:r>
      <w:r w:rsidR="00B22A80" w:rsidRPr="00DA20BE">
        <w:rPr>
          <w:rFonts w:eastAsia="Palatino Linotype"/>
        </w:rPr>
        <w:t xml:space="preserve">realizada por </w:t>
      </w:r>
      <w:r w:rsidR="00B22A80" w:rsidRPr="00DA20BE">
        <w:rPr>
          <w:rFonts w:eastAsia="Palatino Linotype"/>
          <w:b/>
          <w:bCs/>
        </w:rPr>
        <w:t>LA PARTE RECURRENTE</w:t>
      </w:r>
      <w:r w:rsidR="00331F35" w:rsidRPr="00DA20BE">
        <w:rPr>
          <w:rFonts w:eastAsia="Palatino Linotype"/>
        </w:rPr>
        <w:t>.</w:t>
      </w:r>
    </w:p>
    <w:p w14:paraId="1611F147" w14:textId="77777777" w:rsidR="00BD5A7C" w:rsidRPr="00DA20BE" w:rsidRDefault="00BD5A7C" w:rsidP="00DA20BE">
      <w:pPr>
        <w:rPr>
          <w:rFonts w:eastAsia="Palatino Linotype"/>
        </w:rPr>
      </w:pPr>
    </w:p>
    <w:p w14:paraId="51A0E8B4" w14:textId="676DCA47" w:rsidR="00664420" w:rsidRPr="00DA20BE" w:rsidRDefault="00C71CEF" w:rsidP="00DA20BE">
      <w:pPr>
        <w:pStyle w:val="Ttulo3"/>
        <w:rPr>
          <w:rFonts w:eastAsia="Calibri"/>
          <w:lang w:eastAsia="es-ES_tradnl"/>
        </w:rPr>
      </w:pPr>
      <w:bookmarkStart w:id="33" w:name="_Toc207805001"/>
      <w:r w:rsidRPr="00DA20BE">
        <w:rPr>
          <w:rFonts w:eastAsia="Calibri"/>
          <w:lang w:eastAsia="es-ES_tradnl"/>
        </w:rPr>
        <w:t>b)</w:t>
      </w:r>
      <w:r w:rsidR="00A53315" w:rsidRPr="00DA20BE">
        <w:rPr>
          <w:rFonts w:eastAsia="Calibri"/>
          <w:lang w:eastAsia="es-ES_tradnl"/>
        </w:rPr>
        <w:t xml:space="preserve"> </w:t>
      </w:r>
      <w:r w:rsidR="00A21A20" w:rsidRPr="00DA20BE">
        <w:rPr>
          <w:rFonts w:eastAsia="Calibri"/>
          <w:lang w:eastAsia="es-ES_tradnl"/>
        </w:rPr>
        <w:t>Controversia a resolver</w:t>
      </w:r>
      <w:bookmarkEnd w:id="33"/>
    </w:p>
    <w:p w14:paraId="36B170C1" w14:textId="3CA70AE2" w:rsidR="004C3367" w:rsidRPr="00DA20BE" w:rsidRDefault="00BC6BAF" w:rsidP="00DA20BE">
      <w:pPr>
        <w:rPr>
          <w:rFonts w:eastAsia="Calibri"/>
          <w:i/>
          <w:iCs/>
          <w:lang w:eastAsia="es-ES_tradnl"/>
        </w:rPr>
      </w:pPr>
      <w:r w:rsidRPr="00DA20BE">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Pr="00DA20BE">
        <w:rPr>
          <w:rFonts w:eastAsia="Calibri"/>
          <w:b/>
          <w:lang w:eastAsia="es-ES_tradnl"/>
        </w:rPr>
        <w:t>LA PARTE RECURRENTE</w:t>
      </w:r>
      <w:r w:rsidRPr="00DA20BE">
        <w:rPr>
          <w:rFonts w:eastAsia="Calibri"/>
          <w:lang w:eastAsia="es-ES_tradnl"/>
        </w:rPr>
        <w:t xml:space="preserve"> solicitó</w:t>
      </w:r>
      <w:r w:rsidR="001D07AB" w:rsidRPr="00DA20BE">
        <w:rPr>
          <w:rFonts w:eastAsia="Calibri"/>
          <w:lang w:eastAsia="es-ES_tradnl"/>
        </w:rPr>
        <w:t xml:space="preserve"> </w:t>
      </w:r>
      <w:r w:rsidR="004C3367" w:rsidRPr="00DA20BE">
        <w:rPr>
          <w:rFonts w:eastAsia="Calibri"/>
          <w:lang w:eastAsia="es-ES_tradnl"/>
        </w:rPr>
        <w:t xml:space="preserve">el Paquete Presupuestal Municipal 2025, es decir, los documentos en los formatos que se especifican en los Lineamientos que regulan su entrega, adjuntando para ello el </w:t>
      </w:r>
      <w:r w:rsidR="004C3367" w:rsidRPr="00DA20BE">
        <w:rPr>
          <w:rFonts w:cs="Tahoma"/>
          <w:i/>
          <w:iCs/>
          <w:szCs w:val="22"/>
        </w:rPr>
        <w:t xml:space="preserve">Acuerdo 3/2025 por el que se emiten los Lineamientos para la integración, envío y recepción electrónica del paquete presupuestal Municipal 2025. </w:t>
      </w:r>
    </w:p>
    <w:p w14:paraId="2AA60575" w14:textId="77777777" w:rsidR="004C3367" w:rsidRPr="00DA20BE" w:rsidRDefault="004C3367" w:rsidP="00DA20BE">
      <w:pPr>
        <w:rPr>
          <w:rFonts w:eastAsia="Calibri"/>
          <w:lang w:eastAsia="es-ES_tradnl"/>
        </w:rPr>
      </w:pPr>
    </w:p>
    <w:p w14:paraId="1D95CE80" w14:textId="578B2EAA" w:rsidR="00096378" w:rsidRPr="00DA20BE" w:rsidRDefault="00B32E5E" w:rsidP="00DA20BE">
      <w:pPr>
        <w:tabs>
          <w:tab w:val="left" w:pos="4962"/>
        </w:tabs>
        <w:contextualSpacing/>
        <w:rPr>
          <w:bCs/>
          <w:i/>
          <w:iCs/>
          <w:lang w:val="es-ES"/>
        </w:rPr>
      </w:pPr>
      <w:r w:rsidRPr="00DA20BE">
        <w:rPr>
          <w:rFonts w:eastAsiaTheme="minorHAnsi" w:cs="Tahoma"/>
          <w:bCs/>
          <w:iCs/>
          <w:szCs w:val="22"/>
          <w:lang w:eastAsia="en-US"/>
        </w:rPr>
        <w:lastRenderedPageBreak/>
        <w:t xml:space="preserve">Al respecto, </w:t>
      </w:r>
      <w:r w:rsidRPr="00DA20BE">
        <w:rPr>
          <w:rFonts w:eastAsiaTheme="minorHAnsi" w:cs="Tahoma"/>
          <w:b/>
          <w:iCs/>
          <w:szCs w:val="22"/>
          <w:lang w:eastAsia="en-US"/>
        </w:rPr>
        <w:t xml:space="preserve">EL SUJETO OBIGADO </w:t>
      </w:r>
      <w:r w:rsidR="004C3367" w:rsidRPr="00DA20BE">
        <w:rPr>
          <w:rFonts w:eastAsiaTheme="minorHAnsi" w:cs="Tahoma"/>
          <w:bCs/>
          <w:iCs/>
          <w:szCs w:val="22"/>
          <w:lang w:eastAsia="en-US"/>
        </w:rPr>
        <w:t xml:space="preserve">proporcionó </w:t>
      </w:r>
      <w:r w:rsidR="00096378" w:rsidRPr="00DA20BE">
        <w:t>la caratula del presupuesto de egresos 2025 y caratula del presupuesto de ingresos 2025</w:t>
      </w:r>
    </w:p>
    <w:p w14:paraId="6D72859C" w14:textId="77777777" w:rsidR="00DC6E72" w:rsidRPr="00DA20BE" w:rsidRDefault="00DC6E72" w:rsidP="00DA20BE">
      <w:pPr>
        <w:tabs>
          <w:tab w:val="left" w:pos="4962"/>
        </w:tabs>
        <w:contextualSpacing/>
        <w:rPr>
          <w:rFonts w:eastAsiaTheme="minorHAnsi" w:cs="Tahoma"/>
          <w:bCs/>
          <w:iCs/>
          <w:szCs w:val="22"/>
          <w:lang w:val="es-ES" w:eastAsia="en-US"/>
        </w:rPr>
      </w:pPr>
    </w:p>
    <w:p w14:paraId="3F853D0A" w14:textId="5E27587A" w:rsidR="00BC6BAF" w:rsidRPr="00DA20BE" w:rsidRDefault="00BC6BAF" w:rsidP="00DA20BE">
      <w:pPr>
        <w:autoSpaceDE w:val="0"/>
        <w:autoSpaceDN w:val="0"/>
        <w:adjustRightInd w:val="0"/>
        <w:ind w:right="-28"/>
        <w:rPr>
          <w:rFonts w:eastAsiaTheme="minorHAnsi" w:cs="Tahoma"/>
          <w:bCs/>
          <w:iCs/>
          <w:szCs w:val="22"/>
          <w:lang w:eastAsia="en-US"/>
        </w:rPr>
      </w:pPr>
      <w:r w:rsidRPr="00DA20BE">
        <w:rPr>
          <w:rFonts w:eastAsiaTheme="minorHAnsi" w:cs="Tahoma"/>
          <w:bCs/>
          <w:iCs/>
          <w:szCs w:val="22"/>
          <w:lang w:eastAsia="en-US"/>
        </w:rPr>
        <w:t xml:space="preserve">Ahora bien, en la interposición del presente recurso </w:t>
      </w:r>
      <w:r w:rsidRPr="00DA20BE">
        <w:rPr>
          <w:rFonts w:eastAsiaTheme="minorHAnsi" w:cs="Tahoma"/>
          <w:b/>
          <w:iCs/>
          <w:szCs w:val="22"/>
          <w:lang w:eastAsia="en-US"/>
        </w:rPr>
        <w:t>LA PARTE RECURRENTE</w:t>
      </w:r>
      <w:r w:rsidRPr="00DA20BE">
        <w:rPr>
          <w:rFonts w:eastAsiaTheme="minorHAnsi" w:cs="Tahoma"/>
          <w:bCs/>
          <w:iCs/>
          <w:szCs w:val="22"/>
          <w:lang w:eastAsia="en-US"/>
        </w:rPr>
        <w:t xml:space="preserve"> se inconformó medularmente por</w:t>
      </w:r>
      <w:r w:rsidR="004C3367" w:rsidRPr="00DA20BE">
        <w:rPr>
          <w:rFonts w:eastAsiaTheme="minorHAnsi" w:cs="Tahoma"/>
          <w:bCs/>
          <w:iCs/>
          <w:szCs w:val="22"/>
          <w:lang w:eastAsia="en-US"/>
        </w:rPr>
        <w:t xml:space="preserve"> considerar que la información entregada no correspondía a lo solicitado. </w:t>
      </w:r>
    </w:p>
    <w:p w14:paraId="75837A27" w14:textId="77777777" w:rsidR="00BC6BAF" w:rsidRPr="00DA20BE" w:rsidRDefault="00BC6BAF" w:rsidP="00DA20BE">
      <w:pPr>
        <w:tabs>
          <w:tab w:val="left" w:pos="4962"/>
        </w:tabs>
        <w:contextualSpacing/>
        <w:rPr>
          <w:rFonts w:eastAsiaTheme="minorHAnsi" w:cs="Tahoma"/>
          <w:bCs/>
          <w:iCs/>
          <w:szCs w:val="22"/>
          <w:lang w:eastAsia="en-US"/>
        </w:rPr>
      </w:pPr>
    </w:p>
    <w:p w14:paraId="6A6D7CE6" w14:textId="4748879C" w:rsidR="00415748" w:rsidRPr="00DA20BE" w:rsidRDefault="00415748" w:rsidP="00DA20BE">
      <w:pPr>
        <w:pStyle w:val="Prrafodelista"/>
        <w:widowControl w:val="0"/>
        <w:autoSpaceDE w:val="0"/>
        <w:autoSpaceDN w:val="0"/>
        <w:adjustRightInd w:val="0"/>
        <w:ind w:left="0"/>
        <w:rPr>
          <w:rFonts w:eastAsia="Arial Unicode MS" w:cs="Arial"/>
          <w:b/>
          <w:bCs/>
        </w:rPr>
      </w:pPr>
      <w:r w:rsidRPr="00DA20BE">
        <w:rPr>
          <w:rFonts w:eastAsiaTheme="minorHAnsi" w:cs="Tahoma"/>
          <w:bCs/>
          <w:iCs/>
          <w:szCs w:val="22"/>
          <w:lang w:eastAsia="en-US"/>
        </w:rPr>
        <w:t>Asimismo</w:t>
      </w:r>
      <w:r w:rsidRPr="00DA20BE">
        <w:t xml:space="preserve">, es importante señalar que </w:t>
      </w:r>
      <w:r w:rsidRPr="00DA20BE">
        <w:rPr>
          <w:b/>
        </w:rPr>
        <w:t>EL SUJETO OBLIGADO</w:t>
      </w:r>
      <w:r w:rsidRPr="00DA20BE">
        <w:rPr>
          <w:rFonts w:cs="Arial"/>
        </w:rPr>
        <w:t xml:space="preserve"> </w:t>
      </w:r>
      <w:r w:rsidR="00B6035B" w:rsidRPr="00DA20BE">
        <w:rPr>
          <w:rFonts w:cs="Arial"/>
        </w:rPr>
        <w:t xml:space="preserve">mediante </w:t>
      </w:r>
      <w:r w:rsidRPr="00DA20BE">
        <w:t>Informe Justificado</w:t>
      </w:r>
      <w:r w:rsidR="00096378" w:rsidRPr="00DA20BE">
        <w:t xml:space="preserve"> confirmo la respuesta otorgada</w:t>
      </w:r>
      <w:r w:rsidR="0058020B" w:rsidRPr="00DA20BE">
        <w:t xml:space="preserve">; por su parte, </w:t>
      </w:r>
      <w:r w:rsidR="0058020B" w:rsidRPr="00DA20BE">
        <w:rPr>
          <w:b/>
          <w:iCs/>
        </w:rPr>
        <w:t>LA PARTE RECURRENTE</w:t>
      </w:r>
      <w:r w:rsidR="0058020B" w:rsidRPr="00DA20BE">
        <w:rPr>
          <w:bCs/>
          <w:iCs/>
        </w:rPr>
        <w:t xml:space="preserve"> </w:t>
      </w:r>
      <w:r w:rsidR="0058020B" w:rsidRPr="00DA20BE">
        <w:rPr>
          <w:rFonts w:eastAsia="Arial Unicode MS" w:cs="Arial"/>
        </w:rPr>
        <w:t xml:space="preserve">realizó sus manifestaciones que consideró conveniente respecto del incumplimiento del </w:t>
      </w:r>
      <w:r w:rsidR="0058020B" w:rsidRPr="00DA20BE">
        <w:rPr>
          <w:rFonts w:eastAsia="Arial Unicode MS" w:cs="Arial"/>
          <w:b/>
          <w:bCs/>
        </w:rPr>
        <w:t xml:space="preserve">SUJETO OBLIGADO. </w:t>
      </w:r>
    </w:p>
    <w:p w14:paraId="54FB9C1B" w14:textId="77777777" w:rsidR="0058020B" w:rsidRPr="00DA20BE" w:rsidRDefault="0058020B" w:rsidP="00DA20BE">
      <w:pPr>
        <w:pStyle w:val="Prrafodelista"/>
        <w:widowControl w:val="0"/>
        <w:autoSpaceDE w:val="0"/>
        <w:autoSpaceDN w:val="0"/>
        <w:adjustRightInd w:val="0"/>
        <w:ind w:left="0"/>
        <w:rPr>
          <w:rFonts w:cs="Tahoma"/>
          <w:bCs/>
          <w:iCs/>
          <w:szCs w:val="24"/>
        </w:rPr>
      </w:pPr>
    </w:p>
    <w:p w14:paraId="27546954" w14:textId="2FF60D17" w:rsidR="00BC6BAF" w:rsidRPr="00DA20BE" w:rsidRDefault="00793B64" w:rsidP="00DA20BE">
      <w:pPr>
        <w:tabs>
          <w:tab w:val="left" w:pos="4962"/>
        </w:tabs>
        <w:contextualSpacing/>
        <w:rPr>
          <w:rFonts w:eastAsiaTheme="minorHAnsi" w:cs="Tahoma"/>
          <w:bCs/>
          <w:iCs/>
          <w:szCs w:val="22"/>
          <w:lang w:eastAsia="en-US"/>
        </w:rPr>
      </w:pPr>
      <w:r w:rsidRPr="00DA20BE">
        <w:rPr>
          <w:rFonts w:eastAsiaTheme="minorHAnsi" w:cs="Tahoma"/>
          <w:bCs/>
          <w:iCs/>
          <w:szCs w:val="22"/>
          <w:lang w:eastAsia="en-US"/>
        </w:rPr>
        <w:t xml:space="preserve">En consecuencia, </w:t>
      </w:r>
      <w:r w:rsidR="00BC6BAF" w:rsidRPr="00DA20BE">
        <w:rPr>
          <w:rFonts w:eastAsiaTheme="minorHAnsi" w:cs="Tahoma"/>
          <w:bCs/>
          <w:iCs/>
          <w:szCs w:val="22"/>
          <w:lang w:eastAsia="en-US"/>
        </w:rPr>
        <w:t xml:space="preserve">el estudio se centrará en determinar si la información entregada colma el derecho de acceso a la información ejercido por </w:t>
      </w:r>
      <w:r w:rsidR="00BC6BAF" w:rsidRPr="00DA20BE">
        <w:rPr>
          <w:rFonts w:eastAsiaTheme="minorHAnsi" w:cs="Tahoma"/>
          <w:b/>
          <w:bCs/>
          <w:iCs/>
          <w:szCs w:val="22"/>
          <w:lang w:eastAsia="en-US"/>
        </w:rPr>
        <w:t>LA PARTE RECURRENTE</w:t>
      </w:r>
      <w:r w:rsidRPr="00DA20BE">
        <w:rPr>
          <w:rFonts w:eastAsiaTheme="minorHAnsi" w:cs="Tahoma"/>
          <w:b/>
          <w:bCs/>
          <w:iCs/>
          <w:szCs w:val="22"/>
          <w:lang w:eastAsia="en-US"/>
        </w:rPr>
        <w:t xml:space="preserve"> </w:t>
      </w:r>
      <w:r w:rsidRPr="00DA20BE">
        <w:rPr>
          <w:rFonts w:eastAsiaTheme="minorHAnsi" w:cs="Tahoma"/>
          <w:iCs/>
          <w:szCs w:val="22"/>
          <w:lang w:eastAsia="en-US"/>
        </w:rPr>
        <w:t>en solicitud</w:t>
      </w:r>
      <w:r w:rsidR="00BC6BAF" w:rsidRPr="00DA20BE">
        <w:rPr>
          <w:rFonts w:eastAsiaTheme="minorHAnsi" w:cs="Tahoma"/>
          <w:bCs/>
          <w:iCs/>
          <w:szCs w:val="22"/>
          <w:lang w:eastAsia="en-US"/>
        </w:rPr>
        <w:t>.</w:t>
      </w:r>
    </w:p>
    <w:p w14:paraId="6C598A6A" w14:textId="77777777" w:rsidR="00BC6BAF" w:rsidRPr="00DA20BE" w:rsidRDefault="00BC6BAF" w:rsidP="00DA20BE">
      <w:pPr>
        <w:pStyle w:val="Prrafodelista"/>
        <w:widowControl w:val="0"/>
        <w:autoSpaceDE w:val="0"/>
        <w:autoSpaceDN w:val="0"/>
        <w:adjustRightInd w:val="0"/>
        <w:ind w:left="0"/>
      </w:pPr>
    </w:p>
    <w:p w14:paraId="421FE89D" w14:textId="77777777" w:rsidR="00BC6BAF" w:rsidRPr="00DA20BE" w:rsidRDefault="00BC6BAF" w:rsidP="00DA20BE">
      <w:pPr>
        <w:pStyle w:val="Ttulo3"/>
        <w:rPr>
          <w:rFonts w:eastAsia="Calibri"/>
          <w:lang w:eastAsia="es-ES_tradnl"/>
        </w:rPr>
      </w:pPr>
      <w:bookmarkStart w:id="34" w:name="_Toc176296473"/>
      <w:bookmarkStart w:id="35" w:name="_Toc199766557"/>
      <w:bookmarkStart w:id="36" w:name="_Toc207805002"/>
      <w:r w:rsidRPr="00DA20BE">
        <w:rPr>
          <w:rFonts w:eastAsia="Calibri"/>
          <w:lang w:eastAsia="es-ES_tradnl"/>
        </w:rPr>
        <w:t>c) Estudio de la controversia</w:t>
      </w:r>
      <w:bookmarkEnd w:id="34"/>
      <w:bookmarkEnd w:id="35"/>
      <w:bookmarkEnd w:id="36"/>
    </w:p>
    <w:p w14:paraId="770EC72B" w14:textId="6B082903" w:rsidR="004C3367" w:rsidRPr="00DA20BE" w:rsidRDefault="009B79BD" w:rsidP="00DA20BE">
      <w:pPr>
        <w:rPr>
          <w:rFonts w:cs="Arial"/>
        </w:rPr>
      </w:pPr>
      <w:r w:rsidRPr="00DA20BE">
        <w:rPr>
          <w:rFonts w:cs="Arial"/>
        </w:rPr>
        <w:t xml:space="preserve">Primero, </w:t>
      </w:r>
      <w:r w:rsidR="004C3367" w:rsidRPr="00DA20BE">
        <w:rPr>
          <w:rFonts w:cs="Arial"/>
        </w:rPr>
        <w:t xml:space="preserve">se considera necesario precisar que conforme al </w:t>
      </w:r>
      <w:r w:rsidR="004C3367" w:rsidRPr="00DA20BE">
        <w:rPr>
          <w:rFonts w:cs="Arial"/>
          <w:i/>
        </w:rPr>
        <w:t>Acuerdo 3/2025 por el que se emiten los Lineamientos para la Integración, Envío y Recepción Electrónica del Paquete Presupuestal Municipal 2025.”</w:t>
      </w:r>
      <w:r w:rsidR="004C3367" w:rsidRPr="00DA20BE">
        <w:rPr>
          <w:rFonts w:cs="Arial"/>
          <w:vertAlign w:val="superscript"/>
        </w:rPr>
        <w:footnoteReference w:id="1"/>
      </w:r>
      <w:r w:rsidR="004C3367" w:rsidRPr="00DA20BE">
        <w:rPr>
          <w:rFonts w:cs="Arial"/>
        </w:rPr>
        <w:t>, se advierte que el Órgano Superior de Fiscalización implementó la herramienta tecnológica denominada Plataforma Digital, con el objetivo de eficientar sus acciones en materia de fiscalización y realizar revisiones al paquete presupuestal municipal, con la finalidad de fortalecer el funcionamiento de los sistemas de rendición de cuentas, anticorrupción, fiscalización y transparencia.</w:t>
      </w:r>
    </w:p>
    <w:p w14:paraId="63074AF8" w14:textId="77777777" w:rsidR="004C3367" w:rsidRPr="00DA20BE" w:rsidRDefault="004C3367" w:rsidP="00DA20BE">
      <w:pPr>
        <w:rPr>
          <w:rFonts w:cs="Arial"/>
        </w:rPr>
      </w:pPr>
    </w:p>
    <w:p w14:paraId="6888DC66" w14:textId="134EE965" w:rsidR="002A42DA" w:rsidRPr="00DA20BE" w:rsidRDefault="002A42DA" w:rsidP="00DA20BE">
      <w:pPr>
        <w:rPr>
          <w:rFonts w:cs="Arial"/>
        </w:rPr>
      </w:pPr>
      <w:r w:rsidRPr="00DA20BE">
        <w:rPr>
          <w:rFonts w:cs="Arial"/>
        </w:rPr>
        <w:lastRenderedPageBreak/>
        <w:t>Asimismo, el envío del soporte documental del Paquete Presupuestal Municipal 2025, debe realizarse a través del Componente Presupuesto Municipal (COPREMUN) de la Plataforma Digital del Órgano Superior de Fiscalización del Estado de México.</w:t>
      </w:r>
    </w:p>
    <w:p w14:paraId="59B41DDC" w14:textId="77777777" w:rsidR="002A42DA" w:rsidRPr="00DA20BE" w:rsidRDefault="002A42DA" w:rsidP="00DA20BE">
      <w:pPr>
        <w:rPr>
          <w:rFonts w:cs="Arial"/>
        </w:rPr>
      </w:pPr>
    </w:p>
    <w:p w14:paraId="52BFBB7A" w14:textId="66524006" w:rsidR="002A42DA" w:rsidRPr="00DA20BE" w:rsidRDefault="002A42DA" w:rsidP="00DA20BE">
      <w:pPr>
        <w:rPr>
          <w:rFonts w:cs="Arial"/>
        </w:rPr>
      </w:pPr>
      <w:r w:rsidRPr="00DA20BE">
        <w:rPr>
          <w:rFonts w:cs="Arial"/>
        </w:rPr>
        <w:t>El envío del soporte documental del Paquete Presupuestal Municipal 2025, debe ser de calidad y estará sujeto a características cualitativas de utilidad, confiabilidad, relevancia, comprensibilidad y comparabilidad, así como a los atributos de oportunidad, veracidad, representatividad, objetividad, suficiencia, posibilidad de predicción e importancia relativa; por lo que, las entidades fiscalizables deben presentar información que guarde plena relación con lo requerido y evitar actos de simulación que entorpezcan y obstaculicen la actividad fiscalizadora de Órgano Superior de Fiscalización</w:t>
      </w:r>
    </w:p>
    <w:p w14:paraId="12BA5E04" w14:textId="77777777" w:rsidR="002A42DA" w:rsidRPr="00DA20BE" w:rsidRDefault="002A42DA" w:rsidP="00DA20BE">
      <w:pPr>
        <w:rPr>
          <w:rFonts w:cs="Arial"/>
        </w:rPr>
      </w:pPr>
    </w:p>
    <w:p w14:paraId="25B83B8C" w14:textId="0B659322" w:rsidR="006F2933" w:rsidRPr="00DA20BE" w:rsidRDefault="007E2ACA" w:rsidP="00DA20BE">
      <w:pPr>
        <w:tabs>
          <w:tab w:val="left" w:pos="4962"/>
        </w:tabs>
        <w:contextualSpacing/>
        <w:rPr>
          <w:bCs/>
          <w:sz w:val="24"/>
          <w:szCs w:val="24"/>
        </w:rPr>
      </w:pPr>
      <w:r w:rsidRPr="00DA20BE">
        <w:t xml:space="preserve">Ahora bien, del análisis realizado a las documentales que integran el expediente electrónico, este Órgano Garante advierte que </w:t>
      </w:r>
      <w:r w:rsidRPr="00DA20BE">
        <w:rPr>
          <w:b/>
          <w:bCs/>
        </w:rPr>
        <w:t xml:space="preserve">EL SUJETO OBLIGADO </w:t>
      </w:r>
      <w:r w:rsidRPr="00DA20BE">
        <w:t>únicamente hizo entrega de la caratula del presupuesto de egresos 2025 y caratula del presupuesto de ingresos 2025, documentos que forman parte del paquete presupuestal 2025</w:t>
      </w:r>
      <w:r w:rsidRPr="00DA20BE">
        <w:rPr>
          <w:rFonts w:cs="Arial"/>
        </w:rPr>
        <w:t>; sin embargo, hacen falta más documentos que integran dicho paquete, para mejor referencia se inserta la siguiente imagen</w:t>
      </w:r>
      <w:r w:rsidR="006F2933" w:rsidRPr="00DA20BE">
        <w:rPr>
          <w:bCs/>
          <w:sz w:val="24"/>
          <w:szCs w:val="24"/>
        </w:rPr>
        <w:t>:</w:t>
      </w:r>
    </w:p>
    <w:p w14:paraId="0D50BEBE" w14:textId="77777777" w:rsidR="007E2ACA" w:rsidRPr="00DA20BE" w:rsidRDefault="007E2ACA" w:rsidP="00DA20BE">
      <w:pPr>
        <w:tabs>
          <w:tab w:val="left" w:pos="4962"/>
        </w:tabs>
        <w:contextualSpacing/>
        <w:rPr>
          <w:bCs/>
          <w:sz w:val="24"/>
          <w:szCs w:val="24"/>
        </w:rPr>
      </w:pPr>
    </w:p>
    <w:bookmarkStart w:id="37" w:name="_Hlk207218994"/>
    <w:p w14:paraId="567C7855" w14:textId="6D39DD1C" w:rsidR="006F2933" w:rsidRPr="00DA20BE" w:rsidRDefault="002229C9" w:rsidP="00DA20BE">
      <w:pPr>
        <w:jc w:val="center"/>
        <w:rPr>
          <w:bCs/>
          <w:sz w:val="24"/>
          <w:szCs w:val="24"/>
        </w:rPr>
      </w:pPr>
      <w:r w:rsidRPr="00DA20BE">
        <w:rPr>
          <w:bCs/>
          <w:noProof/>
          <w:sz w:val="24"/>
          <w:szCs w:val="24"/>
          <w:lang w:eastAsia="es-MX"/>
          <w14:ligatures w14:val="standardContextual"/>
        </w:rPr>
        <w:lastRenderedPageBreak/>
        <mc:AlternateContent>
          <mc:Choice Requires="wps">
            <w:drawing>
              <wp:anchor distT="0" distB="0" distL="114300" distR="114300" simplePos="0" relativeHeight="251659264" behindDoc="0" locked="0" layoutInCell="1" allowOverlap="1" wp14:anchorId="5FE472AE" wp14:editId="5948B0C2">
                <wp:simplePos x="0" y="0"/>
                <wp:positionH relativeFrom="column">
                  <wp:posOffset>1128238</wp:posOffset>
                </wp:positionH>
                <wp:positionV relativeFrom="paragraph">
                  <wp:posOffset>4893247</wp:posOffset>
                </wp:positionV>
                <wp:extent cx="2797521" cy="330452"/>
                <wp:effectExtent l="19050" t="19050" r="22225" b="12700"/>
                <wp:wrapNone/>
                <wp:docPr id="677227368" name="Rectángulo: esquinas redondeadas 1"/>
                <wp:cNvGraphicFramePr/>
                <a:graphic xmlns:a="http://schemas.openxmlformats.org/drawingml/2006/main">
                  <a:graphicData uri="http://schemas.microsoft.com/office/word/2010/wordprocessingShape">
                    <wps:wsp>
                      <wps:cNvSpPr/>
                      <wps:spPr>
                        <a:xfrm>
                          <a:off x="0" y="0"/>
                          <a:ext cx="2797521" cy="330452"/>
                        </a:xfrm>
                        <a:prstGeom prst="roundRect">
                          <a:avLst/>
                        </a:prstGeom>
                        <a:no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DF1EB72" id="Rectángulo: esquinas redondeadas 1" o:spid="_x0000_s1026" style="position:absolute;margin-left:88.85pt;margin-top:385.3pt;width:220.3pt;height:26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" filled="f" strokecolor="#e00" strokeweight="3pt">
                <v:stroke joinstyle="miter"/>
              </v:roundrect>
            </w:pict>
          </mc:Fallback>
        </mc:AlternateContent>
      </w:r>
      <w:r w:rsidR="007E2ACA" w:rsidRPr="00DA20BE">
        <w:rPr>
          <w:bCs/>
          <w:noProof/>
          <w:sz w:val="24"/>
          <w:szCs w:val="24"/>
          <w:lang w:eastAsia="es-MX"/>
        </w:rPr>
        <w:drawing>
          <wp:inline distT="0" distB="0" distL="0" distR="0" wp14:anchorId="192DA70F" wp14:editId="47360B53">
            <wp:extent cx="5688965" cy="5509034"/>
            <wp:effectExtent l="0" t="0" r="6985" b="0"/>
            <wp:docPr id="1482281133"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281133" name="Imagen 1" descr="Tabla&#10;&#10;El contenido generado por IA puede ser incorrecto."/>
                    <pic:cNvPicPr/>
                  </pic:nvPicPr>
                  <pic:blipFill>
                    <a:blip r:embed="rId14"/>
                    <a:stretch>
                      <a:fillRect/>
                    </a:stretch>
                  </pic:blipFill>
                  <pic:spPr>
                    <a:xfrm>
                      <a:off x="0" y="0"/>
                      <a:ext cx="5710848" cy="5530225"/>
                    </a:xfrm>
                    <a:prstGeom prst="rect">
                      <a:avLst/>
                    </a:prstGeom>
                  </pic:spPr>
                </pic:pic>
              </a:graphicData>
            </a:graphic>
          </wp:inline>
        </w:drawing>
      </w:r>
    </w:p>
    <w:p w14:paraId="3AE04B1C" w14:textId="6905AD3D" w:rsidR="006F2933" w:rsidRPr="00DA20BE" w:rsidRDefault="002229C9" w:rsidP="00DA20BE">
      <w:pPr>
        <w:jc w:val="center"/>
        <w:rPr>
          <w:rFonts w:cs="Arial"/>
        </w:rPr>
      </w:pPr>
      <w:r w:rsidRPr="00DA20BE">
        <w:rPr>
          <w:bCs/>
          <w:noProof/>
          <w:sz w:val="24"/>
          <w:szCs w:val="24"/>
          <w:lang w:eastAsia="es-MX"/>
          <w14:ligatures w14:val="standardContextual"/>
        </w:rPr>
        <w:lastRenderedPageBreak/>
        <mc:AlternateContent>
          <mc:Choice Requires="wps">
            <w:drawing>
              <wp:anchor distT="0" distB="0" distL="114300" distR="114300" simplePos="0" relativeHeight="251661312" behindDoc="0" locked="0" layoutInCell="1" allowOverlap="1" wp14:anchorId="19D3EAC8" wp14:editId="2EAF9F49">
                <wp:simplePos x="0" y="0"/>
                <wp:positionH relativeFrom="column">
                  <wp:posOffset>1105603</wp:posOffset>
                </wp:positionH>
                <wp:positionV relativeFrom="paragraph">
                  <wp:posOffset>865599</wp:posOffset>
                </wp:positionV>
                <wp:extent cx="2833659" cy="456257"/>
                <wp:effectExtent l="19050" t="19050" r="24130" b="20320"/>
                <wp:wrapNone/>
                <wp:docPr id="769908128" name="Rectángulo: esquinas redondeadas 1"/>
                <wp:cNvGraphicFramePr/>
                <a:graphic xmlns:a="http://schemas.openxmlformats.org/drawingml/2006/main">
                  <a:graphicData uri="http://schemas.microsoft.com/office/word/2010/wordprocessingShape">
                    <wps:wsp>
                      <wps:cNvSpPr/>
                      <wps:spPr>
                        <a:xfrm>
                          <a:off x="0" y="0"/>
                          <a:ext cx="2833659" cy="456257"/>
                        </a:xfrm>
                        <a:prstGeom prst="roundRect">
                          <a:avLst/>
                        </a:prstGeom>
                        <a:no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B57956B" id="Rectángulo: esquinas redondeadas 1" o:spid="_x0000_s1026" style="position:absolute;margin-left:87.05pt;margin-top:68.15pt;width:223.1pt;height:3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" filled="f" strokecolor="#e00" strokeweight="3pt">
                <v:stroke joinstyle="miter"/>
              </v:roundrect>
            </w:pict>
          </mc:Fallback>
        </mc:AlternateContent>
      </w:r>
      <w:r w:rsidR="007E2ACA" w:rsidRPr="00DA20BE">
        <w:rPr>
          <w:rFonts w:cs="Arial"/>
          <w:noProof/>
          <w:lang w:eastAsia="es-MX"/>
        </w:rPr>
        <w:drawing>
          <wp:inline distT="0" distB="0" distL="0" distR="0" wp14:anchorId="602987AC" wp14:editId="72C24FC5">
            <wp:extent cx="5742940" cy="5929630"/>
            <wp:effectExtent l="0" t="0" r="0" b="0"/>
            <wp:docPr id="1827985719" name="Imagen 1" descr="Interfaz de usuario gráfica, Aplicación, 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985719" name="Imagen 1" descr="Interfaz de usuario gráfica, Aplicación, Tabla&#10;&#10;El contenido generado por IA puede ser incorrecto."/>
                    <pic:cNvPicPr/>
                  </pic:nvPicPr>
                  <pic:blipFill>
                    <a:blip r:embed="rId15"/>
                    <a:stretch>
                      <a:fillRect/>
                    </a:stretch>
                  </pic:blipFill>
                  <pic:spPr>
                    <a:xfrm>
                      <a:off x="0" y="0"/>
                      <a:ext cx="5742940" cy="5929630"/>
                    </a:xfrm>
                    <a:prstGeom prst="rect">
                      <a:avLst/>
                    </a:prstGeom>
                  </pic:spPr>
                </pic:pic>
              </a:graphicData>
            </a:graphic>
          </wp:inline>
        </w:drawing>
      </w:r>
    </w:p>
    <w:bookmarkEnd w:id="37"/>
    <w:p w14:paraId="5B9E3EC0" w14:textId="77777777" w:rsidR="00101617" w:rsidRPr="00DA20BE" w:rsidRDefault="00101617" w:rsidP="00DA20BE"/>
    <w:p w14:paraId="7E22308E" w14:textId="06ECB139" w:rsidR="002A42DA" w:rsidRPr="00DA20BE" w:rsidRDefault="007E2ACA" w:rsidP="00DA20BE">
      <w:pPr>
        <w:rPr>
          <w:lang w:eastAsia="es-MX"/>
        </w:rPr>
      </w:pPr>
      <w:r w:rsidRPr="00DA20BE">
        <w:rPr>
          <w:lang w:eastAsia="es-MX"/>
        </w:rPr>
        <w:t xml:space="preserve">Es así que, este Órgano Garante determina </w:t>
      </w:r>
      <w:r w:rsidR="002A42DA" w:rsidRPr="00DA20BE">
        <w:rPr>
          <w:lang w:eastAsia="es-MX"/>
        </w:rPr>
        <w:t xml:space="preserve">que no se tiene por colmado el derecho de acceso a la información ejercido por </w:t>
      </w:r>
      <w:r w:rsidR="002A42DA" w:rsidRPr="00DA20BE">
        <w:rPr>
          <w:b/>
          <w:bCs/>
          <w:lang w:eastAsia="es-MX"/>
        </w:rPr>
        <w:t>LA PARTE RECURRENTE</w:t>
      </w:r>
      <w:r w:rsidR="004869C2" w:rsidRPr="00DA20BE">
        <w:rPr>
          <w:b/>
          <w:bCs/>
          <w:lang w:eastAsia="es-MX"/>
        </w:rPr>
        <w:t>;</w:t>
      </w:r>
      <w:r w:rsidR="002A42DA" w:rsidRPr="00DA20BE">
        <w:rPr>
          <w:b/>
          <w:bCs/>
          <w:lang w:eastAsia="es-MX"/>
        </w:rPr>
        <w:t xml:space="preserve"> </w:t>
      </w:r>
      <w:r w:rsidR="002A42DA" w:rsidRPr="00DA20BE">
        <w:rPr>
          <w:lang w:eastAsia="es-MX"/>
        </w:rPr>
        <w:t xml:space="preserve">en </w:t>
      </w:r>
      <w:r w:rsidR="004869C2" w:rsidRPr="00DA20BE">
        <w:rPr>
          <w:lang w:eastAsia="es-MX"/>
        </w:rPr>
        <w:t>consecuencia,</w:t>
      </w:r>
      <w:r w:rsidR="002A42DA" w:rsidRPr="00DA20BE">
        <w:rPr>
          <w:lang w:eastAsia="es-MX"/>
        </w:rPr>
        <w:t xml:space="preserve"> determina ordenar </w:t>
      </w:r>
      <w:r w:rsidR="004869C2" w:rsidRPr="00DA20BE">
        <w:rPr>
          <w:lang w:eastAsia="es-MX"/>
        </w:rPr>
        <w:t xml:space="preserve">en </w:t>
      </w:r>
      <w:r w:rsidR="004869C2" w:rsidRPr="00DA20BE">
        <w:rPr>
          <w:b/>
          <w:bCs/>
          <w:lang w:eastAsia="es-MX"/>
        </w:rPr>
        <w:t>versión pública</w:t>
      </w:r>
      <w:r w:rsidR="002A42DA" w:rsidRPr="00DA20BE">
        <w:rPr>
          <w:lang w:eastAsia="es-MX"/>
        </w:rPr>
        <w:t xml:space="preserve"> los documentos </w:t>
      </w:r>
      <w:r w:rsidRPr="00DA20BE">
        <w:rPr>
          <w:lang w:eastAsia="es-MX"/>
        </w:rPr>
        <w:t xml:space="preserve">faltantes que </w:t>
      </w:r>
      <w:r w:rsidR="002A42DA" w:rsidRPr="00DA20BE">
        <w:rPr>
          <w:lang w:eastAsia="es-MX"/>
        </w:rPr>
        <w:t xml:space="preserve">integran el Paquete presupuestal 2025. </w:t>
      </w:r>
    </w:p>
    <w:p w14:paraId="20D2D057" w14:textId="77777777" w:rsidR="002A42DA" w:rsidRPr="00DA20BE" w:rsidRDefault="002A42DA" w:rsidP="00DA20BE">
      <w:pPr>
        <w:rPr>
          <w:lang w:eastAsia="es-MX"/>
        </w:rPr>
      </w:pPr>
    </w:p>
    <w:p w14:paraId="6EF68EB1" w14:textId="77777777" w:rsidR="004869C2" w:rsidRPr="00DA20BE" w:rsidRDefault="004869C2" w:rsidP="00DA20BE">
      <w:pPr>
        <w:keepNext/>
        <w:keepLines/>
        <w:spacing w:line="480" w:lineRule="auto"/>
        <w:jc w:val="left"/>
        <w:outlineLvl w:val="2"/>
        <w:rPr>
          <w:b/>
          <w:szCs w:val="28"/>
        </w:rPr>
      </w:pPr>
      <w:bookmarkStart w:id="38" w:name="_Toc170898812"/>
      <w:bookmarkStart w:id="39" w:name="_Toc172051201"/>
      <w:bookmarkStart w:id="40" w:name="_Toc174466654"/>
      <w:bookmarkStart w:id="41" w:name="_Toc207805003"/>
      <w:r w:rsidRPr="00DA20BE">
        <w:rPr>
          <w:b/>
          <w:szCs w:val="28"/>
        </w:rPr>
        <w:lastRenderedPageBreak/>
        <w:t>d) Versión pública</w:t>
      </w:r>
      <w:bookmarkEnd w:id="38"/>
      <w:bookmarkEnd w:id="39"/>
      <w:bookmarkEnd w:id="40"/>
      <w:bookmarkEnd w:id="41"/>
    </w:p>
    <w:p w14:paraId="03CD21E7" w14:textId="77777777" w:rsidR="004869C2" w:rsidRPr="00DA20BE" w:rsidRDefault="004869C2" w:rsidP="00DA20BE">
      <w:pPr>
        <w:rPr>
          <w:bCs/>
        </w:rPr>
      </w:pPr>
      <w:r w:rsidRPr="00DA20BE">
        <w:t xml:space="preserve">Para el caso de que el o los documentos de los cuales se ordena su entrega contengan datos personales susceptibles de ser testados, deberán ser entregados en </w:t>
      </w:r>
      <w:r w:rsidRPr="00DA20BE">
        <w:rPr>
          <w:b/>
        </w:rPr>
        <w:t>versión pública</w:t>
      </w:r>
      <w:r w:rsidRPr="00DA20BE">
        <w:t>, pues el</w:t>
      </w:r>
      <w:r w:rsidRPr="00DA20BE">
        <w:rPr>
          <w:bCs/>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F9A494C" w14:textId="77777777" w:rsidR="004869C2" w:rsidRPr="00DA20BE" w:rsidRDefault="004869C2" w:rsidP="00DA20BE">
      <w:pPr>
        <w:rPr>
          <w:rFonts w:eastAsia="Calibri"/>
          <w:bCs/>
          <w:lang w:eastAsia="en-US"/>
        </w:rPr>
      </w:pPr>
    </w:p>
    <w:p w14:paraId="0CFAD329" w14:textId="77777777" w:rsidR="004869C2" w:rsidRPr="00DA20BE" w:rsidRDefault="004869C2" w:rsidP="00DA20BE">
      <w:pPr>
        <w:rPr>
          <w:bCs/>
        </w:rPr>
      </w:pPr>
      <w:r w:rsidRPr="00DA20BE">
        <w:rPr>
          <w:bCs/>
        </w:rPr>
        <w:t>A este respecto, los artículos 3, fracciones IX, XX, XXI y XLV; 51 y 52 de la Ley de Transparencia y Acceso a la Información Pública del Estado de México y Municipios establecen:</w:t>
      </w:r>
    </w:p>
    <w:p w14:paraId="0D838AC3" w14:textId="77777777" w:rsidR="004869C2" w:rsidRPr="00DA20BE" w:rsidRDefault="004869C2" w:rsidP="00DA20BE"/>
    <w:p w14:paraId="0A6F1D88" w14:textId="77777777" w:rsidR="004869C2" w:rsidRPr="00DA20BE" w:rsidRDefault="004869C2" w:rsidP="00DA20BE">
      <w:pPr>
        <w:spacing w:line="240" w:lineRule="auto"/>
        <w:ind w:left="567" w:right="567"/>
        <w:contextualSpacing/>
        <w:rPr>
          <w:i/>
          <w:kern w:val="28"/>
          <w:szCs w:val="56"/>
          <w14:ligatures w14:val="standardContextual"/>
        </w:rPr>
      </w:pPr>
      <w:r w:rsidRPr="00DA20BE">
        <w:rPr>
          <w:b/>
          <w:bCs/>
          <w:i/>
          <w:noProof/>
          <w:kern w:val="28"/>
          <w:szCs w:val="56"/>
          <w14:ligatures w14:val="standardContextual"/>
        </w:rPr>
        <w:t>“</w:t>
      </w:r>
      <w:r w:rsidRPr="00DA20BE">
        <w:rPr>
          <w:b/>
          <w:bCs/>
          <w:i/>
          <w:kern w:val="28"/>
          <w:szCs w:val="56"/>
          <w14:ligatures w14:val="standardContextual"/>
        </w:rPr>
        <w:t xml:space="preserve">Artículo 3. </w:t>
      </w:r>
      <w:r w:rsidRPr="00DA20BE">
        <w:rPr>
          <w:i/>
          <w:kern w:val="28"/>
          <w:szCs w:val="56"/>
          <w14:ligatures w14:val="standardContextual"/>
        </w:rPr>
        <w:t xml:space="preserve">Para los efectos de la presente Ley se entenderá por: </w:t>
      </w:r>
    </w:p>
    <w:p w14:paraId="63CC90D8" w14:textId="77777777" w:rsidR="004869C2" w:rsidRPr="00DA20BE" w:rsidRDefault="004869C2" w:rsidP="00DA20BE">
      <w:pPr>
        <w:spacing w:line="240" w:lineRule="auto"/>
        <w:ind w:left="567" w:right="567"/>
        <w:contextualSpacing/>
        <w:rPr>
          <w:i/>
          <w:kern w:val="28"/>
          <w:szCs w:val="56"/>
          <w14:ligatures w14:val="standardContextual"/>
        </w:rPr>
      </w:pPr>
      <w:r w:rsidRPr="00DA20BE">
        <w:rPr>
          <w:b/>
          <w:i/>
          <w:kern w:val="28"/>
          <w:szCs w:val="56"/>
          <w14:ligatures w14:val="standardContextual"/>
        </w:rPr>
        <w:t>IX.</w:t>
      </w:r>
      <w:r w:rsidRPr="00DA20BE">
        <w:rPr>
          <w:i/>
          <w:kern w:val="28"/>
          <w:szCs w:val="56"/>
          <w14:ligatures w14:val="standardContextual"/>
        </w:rPr>
        <w:t xml:space="preserve"> </w:t>
      </w:r>
      <w:r w:rsidRPr="00DA20BE">
        <w:rPr>
          <w:b/>
          <w:i/>
          <w:kern w:val="28"/>
          <w:szCs w:val="56"/>
          <w14:ligatures w14:val="standardContextual"/>
        </w:rPr>
        <w:t xml:space="preserve">Datos personales: </w:t>
      </w:r>
      <w:r w:rsidRPr="00DA20BE">
        <w:rPr>
          <w:i/>
          <w:kern w:val="28"/>
          <w:szCs w:val="56"/>
          <w14:ligatures w14:val="standardContextual"/>
        </w:rPr>
        <w:t xml:space="preserve">La información concerniente a una persona, identificada o identificable según lo dispuesto por la Ley de Protección de Datos Personales del Estado de México; </w:t>
      </w:r>
    </w:p>
    <w:p w14:paraId="39DD8F47" w14:textId="77777777" w:rsidR="004869C2" w:rsidRPr="00DA20BE" w:rsidRDefault="004869C2" w:rsidP="00DA20BE"/>
    <w:p w14:paraId="03CE6459" w14:textId="77777777" w:rsidR="004869C2" w:rsidRPr="00DA20BE" w:rsidRDefault="004869C2" w:rsidP="00DA20BE">
      <w:pPr>
        <w:spacing w:line="240" w:lineRule="auto"/>
        <w:ind w:left="567" w:right="567"/>
        <w:contextualSpacing/>
        <w:rPr>
          <w:i/>
          <w:kern w:val="28"/>
          <w:szCs w:val="56"/>
          <w14:ligatures w14:val="standardContextual"/>
        </w:rPr>
      </w:pPr>
      <w:r w:rsidRPr="00DA20BE">
        <w:rPr>
          <w:b/>
          <w:i/>
          <w:kern w:val="28"/>
          <w:szCs w:val="56"/>
          <w14:ligatures w14:val="standardContextual"/>
        </w:rPr>
        <w:t>XX.</w:t>
      </w:r>
      <w:r w:rsidRPr="00DA20BE">
        <w:rPr>
          <w:i/>
          <w:kern w:val="28"/>
          <w:szCs w:val="56"/>
          <w14:ligatures w14:val="standardContextual"/>
        </w:rPr>
        <w:t xml:space="preserve"> </w:t>
      </w:r>
      <w:r w:rsidRPr="00DA20BE">
        <w:rPr>
          <w:b/>
          <w:i/>
          <w:kern w:val="28"/>
          <w:szCs w:val="56"/>
          <w14:ligatures w14:val="standardContextual"/>
        </w:rPr>
        <w:t>Información clasificada:</w:t>
      </w:r>
      <w:r w:rsidRPr="00DA20BE">
        <w:rPr>
          <w:i/>
          <w:kern w:val="28"/>
          <w:szCs w:val="56"/>
          <w14:ligatures w14:val="standardContextual"/>
        </w:rPr>
        <w:t xml:space="preserve"> Aquella considerada por la presente Ley como reservada o confidencial; </w:t>
      </w:r>
    </w:p>
    <w:p w14:paraId="1FEC5DBC" w14:textId="77777777" w:rsidR="004869C2" w:rsidRPr="00DA20BE" w:rsidRDefault="004869C2" w:rsidP="00DA20BE"/>
    <w:p w14:paraId="49D4C000" w14:textId="77777777" w:rsidR="004869C2" w:rsidRPr="00DA20BE" w:rsidRDefault="004869C2" w:rsidP="00DA20BE">
      <w:pPr>
        <w:spacing w:line="240" w:lineRule="auto"/>
        <w:ind w:left="567" w:right="567"/>
        <w:contextualSpacing/>
        <w:rPr>
          <w:i/>
          <w:kern w:val="28"/>
          <w:szCs w:val="56"/>
          <w14:ligatures w14:val="standardContextual"/>
        </w:rPr>
      </w:pPr>
      <w:r w:rsidRPr="00DA20BE">
        <w:rPr>
          <w:b/>
          <w:i/>
          <w:kern w:val="28"/>
          <w:szCs w:val="56"/>
          <w14:ligatures w14:val="standardContextual"/>
        </w:rPr>
        <w:t>XXI.</w:t>
      </w:r>
      <w:r w:rsidRPr="00DA20BE">
        <w:rPr>
          <w:i/>
          <w:kern w:val="28"/>
          <w:szCs w:val="56"/>
          <w14:ligatures w14:val="standardContextual"/>
        </w:rPr>
        <w:t xml:space="preserve"> </w:t>
      </w:r>
      <w:r w:rsidRPr="00DA20BE">
        <w:rPr>
          <w:b/>
          <w:i/>
          <w:kern w:val="28"/>
          <w:szCs w:val="56"/>
          <w14:ligatures w14:val="standardContextual"/>
        </w:rPr>
        <w:t>Información confidencial</w:t>
      </w:r>
      <w:r w:rsidRPr="00DA20BE">
        <w:rPr>
          <w:i/>
          <w:kern w:val="28"/>
          <w:szCs w:val="56"/>
          <w14:ligatures w14:val="standardContextual"/>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1D69D84" w14:textId="77777777" w:rsidR="004869C2" w:rsidRPr="00DA20BE" w:rsidRDefault="004869C2" w:rsidP="00DA20BE"/>
    <w:p w14:paraId="21657871" w14:textId="77777777" w:rsidR="004869C2" w:rsidRPr="00DA20BE" w:rsidRDefault="004869C2" w:rsidP="00DA20BE">
      <w:pPr>
        <w:spacing w:line="240" w:lineRule="auto"/>
        <w:ind w:left="567" w:right="567"/>
        <w:contextualSpacing/>
        <w:rPr>
          <w:i/>
          <w:kern w:val="28"/>
          <w:szCs w:val="56"/>
          <w14:ligatures w14:val="standardContextual"/>
        </w:rPr>
      </w:pPr>
      <w:r w:rsidRPr="00DA20BE">
        <w:rPr>
          <w:b/>
          <w:i/>
          <w:kern w:val="28"/>
          <w:szCs w:val="56"/>
          <w14:ligatures w14:val="standardContextual"/>
        </w:rPr>
        <w:lastRenderedPageBreak/>
        <w:t>XLV. Versión pública:</w:t>
      </w:r>
      <w:r w:rsidRPr="00DA20BE">
        <w:rPr>
          <w:i/>
          <w:kern w:val="28"/>
          <w:szCs w:val="56"/>
          <w14:ligatures w14:val="standardContextual"/>
        </w:rPr>
        <w:t xml:space="preserve"> Documento en el que se elimine, suprime o borra la información clasificada como reservada o confidencial para permitir su acceso. </w:t>
      </w:r>
    </w:p>
    <w:p w14:paraId="4CCA5654" w14:textId="77777777" w:rsidR="004869C2" w:rsidRPr="00DA20BE" w:rsidRDefault="004869C2" w:rsidP="00DA20BE"/>
    <w:p w14:paraId="095EA5BE" w14:textId="77777777" w:rsidR="004869C2" w:rsidRPr="00DA20BE" w:rsidRDefault="004869C2" w:rsidP="00DA20BE">
      <w:pPr>
        <w:spacing w:line="240" w:lineRule="auto"/>
        <w:ind w:left="567" w:right="567"/>
        <w:contextualSpacing/>
        <w:rPr>
          <w:i/>
          <w:kern w:val="28"/>
          <w:szCs w:val="56"/>
          <w14:ligatures w14:val="standardContextual"/>
        </w:rPr>
      </w:pPr>
      <w:r w:rsidRPr="00DA20BE">
        <w:rPr>
          <w:b/>
          <w:i/>
          <w:kern w:val="28"/>
          <w:szCs w:val="56"/>
          <w14:ligatures w14:val="standardContextual"/>
        </w:rPr>
        <w:t>Artículo 51.</w:t>
      </w:r>
      <w:r w:rsidRPr="00DA20BE">
        <w:rPr>
          <w:i/>
          <w:kern w:val="28"/>
          <w:szCs w:val="56"/>
          <w14:ligatures w14:val="standardContextual"/>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DA20BE">
        <w:rPr>
          <w:b/>
          <w:i/>
          <w:kern w:val="28"/>
          <w:szCs w:val="56"/>
          <w14:ligatures w14:val="standardContextual"/>
        </w:rPr>
        <w:t xml:space="preserve">y tendrá la responsabilidad de verificar en cada caso que la misma no sea confidencial o reservada. </w:t>
      </w:r>
      <w:r w:rsidRPr="00DA20BE">
        <w:rPr>
          <w:i/>
          <w:kern w:val="28"/>
          <w:szCs w:val="56"/>
          <w14:ligatures w14:val="standardContextual"/>
        </w:rPr>
        <w:t>Dicha Unidad contará con las facultades internas necesarias para gestionar la atención a las solicitudes de información en los términos de la Ley General y la presente Ley.</w:t>
      </w:r>
    </w:p>
    <w:p w14:paraId="0F09199B" w14:textId="77777777" w:rsidR="004869C2" w:rsidRPr="00DA20BE" w:rsidRDefault="004869C2" w:rsidP="00DA20BE"/>
    <w:p w14:paraId="6B280FE5" w14:textId="77777777" w:rsidR="004869C2" w:rsidRPr="00DA20BE" w:rsidRDefault="004869C2" w:rsidP="00DA20BE">
      <w:pPr>
        <w:spacing w:line="240" w:lineRule="auto"/>
        <w:ind w:left="567" w:right="567"/>
        <w:contextualSpacing/>
        <w:rPr>
          <w:i/>
          <w:kern w:val="28"/>
          <w:szCs w:val="56"/>
          <w14:ligatures w14:val="standardContextual"/>
        </w:rPr>
      </w:pPr>
      <w:r w:rsidRPr="00DA20BE">
        <w:rPr>
          <w:b/>
          <w:i/>
          <w:kern w:val="28"/>
          <w:szCs w:val="56"/>
          <w14:ligatures w14:val="standardContextual"/>
        </w:rPr>
        <w:t>Artículo 52.</w:t>
      </w:r>
      <w:r w:rsidRPr="00DA20BE">
        <w:rPr>
          <w:i/>
          <w:kern w:val="28"/>
          <w:szCs w:val="56"/>
          <w14:ligatures w14:val="standardContextual"/>
        </w:rPr>
        <w:t xml:space="preserve"> Las solicitudes de acceso a la información y las respuestas que se les dé, incluyendo, en su caso, </w:t>
      </w:r>
      <w:r w:rsidRPr="00DA20BE">
        <w:rPr>
          <w:i/>
          <w:kern w:val="28"/>
          <w:szCs w:val="56"/>
          <w:u w:val="single"/>
          <w14:ligatures w14:val="standardContextual"/>
        </w:rPr>
        <w:t>la información entregada, así como las resoluciones a los recursos que en su caso se promuevan serán públicas, y de ser el caso que contenga datos personales que deban ser protegidos se podrá dar su acceso en su versión pública</w:t>
      </w:r>
      <w:r w:rsidRPr="00DA20BE">
        <w:rPr>
          <w:i/>
          <w:kern w:val="28"/>
          <w:szCs w:val="56"/>
          <w14:ligatures w14:val="standardContextual"/>
        </w:rPr>
        <w:t>, siempre y cuando la resolución de referencia se someta a un proceso de disociación, es decir, no haga identificable al titular de tales datos personales.</w:t>
      </w:r>
      <w:r w:rsidRPr="00DA20BE">
        <w:rPr>
          <w:bCs/>
          <w:i/>
          <w:noProof/>
          <w:kern w:val="28"/>
          <w:szCs w:val="56"/>
          <w14:ligatures w14:val="standardContextual"/>
        </w:rPr>
        <w:t xml:space="preserve">” </w:t>
      </w:r>
      <w:r w:rsidRPr="00DA20BE">
        <w:rPr>
          <w:iCs/>
          <w:kern w:val="28"/>
          <w:szCs w:val="22"/>
          <w14:ligatures w14:val="standardContextual"/>
        </w:rPr>
        <w:t>(Énfasis añadido)</w:t>
      </w:r>
    </w:p>
    <w:p w14:paraId="7AF6B40E" w14:textId="77777777" w:rsidR="004869C2" w:rsidRPr="00DA20BE" w:rsidRDefault="004869C2" w:rsidP="00DA20BE"/>
    <w:p w14:paraId="656684A1" w14:textId="77777777" w:rsidR="004869C2" w:rsidRPr="00DA20BE" w:rsidRDefault="004869C2" w:rsidP="00DA20BE">
      <w:r w:rsidRPr="00DA20BE">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28FB04F5" w14:textId="77777777" w:rsidR="004869C2" w:rsidRPr="00DA20BE" w:rsidRDefault="004869C2" w:rsidP="00DA20BE"/>
    <w:p w14:paraId="40F9F722" w14:textId="77777777" w:rsidR="004869C2" w:rsidRPr="00DA20BE" w:rsidRDefault="004869C2" w:rsidP="00DA20BE">
      <w:pPr>
        <w:spacing w:line="240" w:lineRule="auto"/>
        <w:ind w:left="567" w:right="567"/>
        <w:contextualSpacing/>
        <w:rPr>
          <w:rFonts w:eastAsia="Arial Unicode MS"/>
          <w:i/>
          <w:kern w:val="28"/>
          <w:szCs w:val="56"/>
          <w14:ligatures w14:val="standardContextual"/>
        </w:rPr>
      </w:pPr>
      <w:r w:rsidRPr="00DA20BE">
        <w:rPr>
          <w:rFonts w:eastAsia="Arial Unicode MS"/>
          <w:b/>
          <w:i/>
          <w:kern w:val="28"/>
          <w:szCs w:val="56"/>
          <w14:ligatures w14:val="standardContextual"/>
        </w:rPr>
        <w:t>“Artículo 22.</w:t>
      </w:r>
      <w:r w:rsidRPr="00DA20BE">
        <w:rPr>
          <w:rFonts w:eastAsia="Arial Unicode MS"/>
          <w:i/>
          <w:kern w:val="28"/>
          <w:szCs w:val="56"/>
          <w14:ligatures w14:val="standardContextual"/>
        </w:rPr>
        <w:t xml:space="preserve"> Todo tratamiento de datos personales que efectúe el responsable deberá estar justificado por finalidades concretas, lícitas, explícitas y legítimas, relacionadas con las atribuciones que la normatividad aplicable les confiera. </w:t>
      </w:r>
    </w:p>
    <w:p w14:paraId="508A9BCE" w14:textId="77777777" w:rsidR="004869C2" w:rsidRPr="00DA20BE" w:rsidRDefault="004869C2" w:rsidP="00DA20BE">
      <w:pPr>
        <w:rPr>
          <w:rFonts w:eastAsia="Arial Unicode MS"/>
        </w:rPr>
      </w:pPr>
    </w:p>
    <w:p w14:paraId="70882079" w14:textId="77777777" w:rsidR="004869C2" w:rsidRPr="00DA20BE" w:rsidRDefault="004869C2" w:rsidP="00DA20BE">
      <w:pPr>
        <w:spacing w:line="240" w:lineRule="auto"/>
        <w:ind w:left="567" w:right="567"/>
        <w:contextualSpacing/>
        <w:rPr>
          <w:rFonts w:eastAsia="Arial Unicode MS"/>
          <w:i/>
          <w:kern w:val="28"/>
          <w:szCs w:val="56"/>
          <w14:ligatures w14:val="standardContextual"/>
        </w:rPr>
      </w:pPr>
      <w:r w:rsidRPr="00DA20BE">
        <w:rPr>
          <w:rFonts w:eastAsia="Arial Unicode MS"/>
          <w:b/>
          <w:i/>
          <w:kern w:val="28"/>
          <w:szCs w:val="56"/>
          <w14:ligatures w14:val="standardContextual"/>
        </w:rPr>
        <w:lastRenderedPageBreak/>
        <w:t>Artículo 38.</w:t>
      </w:r>
      <w:r w:rsidRPr="00DA20BE">
        <w:rPr>
          <w:rFonts w:eastAsia="Arial Unicode MS"/>
          <w:i/>
          <w:kern w:val="28"/>
          <w:szCs w:val="56"/>
          <w14:ligatures w14:val="standardContextual"/>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DA20BE">
        <w:rPr>
          <w:rFonts w:eastAsia="Arial Unicode MS"/>
          <w:b/>
          <w:i/>
          <w:kern w:val="28"/>
          <w:szCs w:val="56"/>
          <w14:ligatures w14:val="standardContextual"/>
        </w:rPr>
        <w:t>”</w:t>
      </w:r>
      <w:r w:rsidRPr="00DA20BE">
        <w:rPr>
          <w:rFonts w:eastAsia="Arial Unicode MS"/>
          <w:i/>
          <w:kern w:val="28"/>
          <w:szCs w:val="56"/>
          <w14:ligatures w14:val="standardContextual"/>
        </w:rPr>
        <w:t xml:space="preserve"> </w:t>
      </w:r>
    </w:p>
    <w:p w14:paraId="3152BEB7" w14:textId="77777777" w:rsidR="004869C2" w:rsidRPr="00DA20BE" w:rsidRDefault="004869C2" w:rsidP="00DA20BE">
      <w:pPr>
        <w:rPr>
          <w:rFonts w:eastAsia="Arial Unicode MS"/>
          <w:i/>
          <w:szCs w:val="22"/>
        </w:rPr>
      </w:pPr>
    </w:p>
    <w:p w14:paraId="4E6B3697" w14:textId="77777777" w:rsidR="004869C2" w:rsidRPr="00DA20BE" w:rsidRDefault="004869C2" w:rsidP="00DA20BE">
      <w:r w:rsidRPr="00DA20BE">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021A1CF8" w14:textId="77777777" w:rsidR="004869C2" w:rsidRPr="00DA20BE" w:rsidRDefault="004869C2" w:rsidP="00DA20BE"/>
    <w:p w14:paraId="3ED60EF7" w14:textId="77777777" w:rsidR="004869C2" w:rsidRPr="00DA20BE" w:rsidRDefault="004869C2" w:rsidP="00DA20BE">
      <w:r w:rsidRPr="00DA20BE">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DA20BE">
        <w:rPr>
          <w:rFonts w:eastAsia="Arial Unicode MS"/>
        </w:rPr>
        <w:t xml:space="preserve"> que debe ser protegida por </w:t>
      </w:r>
      <w:r w:rsidRPr="00DA20BE">
        <w:rPr>
          <w:rFonts w:eastAsia="Arial Unicode MS"/>
          <w:b/>
        </w:rPr>
        <w:t>EL SUJETO OBLIGADO,</w:t>
      </w:r>
      <w:r w:rsidRPr="00DA20BE">
        <w:rPr>
          <w:rFonts w:eastAsia="Arial Unicode MS"/>
        </w:rPr>
        <w:t xml:space="preserve"> por lo </w:t>
      </w:r>
      <w:r w:rsidRPr="00DA20BE">
        <w:t>que, todo dato personal susceptible de clasificación debe ser protegido.</w:t>
      </w:r>
    </w:p>
    <w:p w14:paraId="3508EE67" w14:textId="77777777" w:rsidR="004869C2" w:rsidRPr="00DA20BE" w:rsidRDefault="004869C2" w:rsidP="00DA20BE"/>
    <w:p w14:paraId="32AEB9A3" w14:textId="77777777" w:rsidR="004869C2" w:rsidRPr="00DA20BE" w:rsidRDefault="004869C2" w:rsidP="00DA20BE">
      <w:r w:rsidRPr="00DA20BE">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74148258" w14:textId="77777777" w:rsidR="004869C2" w:rsidRPr="00DA20BE" w:rsidRDefault="004869C2" w:rsidP="00DA20BE"/>
    <w:p w14:paraId="51D96BE5" w14:textId="77777777" w:rsidR="004869C2" w:rsidRPr="00DA20BE" w:rsidRDefault="004869C2" w:rsidP="00DA20BE">
      <w:r w:rsidRPr="00DA20BE">
        <w:t xml:space="preserve">Asimismo, es importante señalar que dicha clasificación se tiene que efectuar mediante la forma y formalidades que la ley de la materia impone; es decir, mediante acuerdo </w:t>
      </w:r>
      <w:r w:rsidRPr="00DA20BE">
        <w:lastRenderedPageBreak/>
        <w:t>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D0D08D6" w14:textId="77777777" w:rsidR="004869C2" w:rsidRPr="00DA20BE" w:rsidRDefault="004869C2" w:rsidP="00DA20BE"/>
    <w:p w14:paraId="1818A8A6" w14:textId="77777777" w:rsidR="004869C2" w:rsidRPr="00DA20BE" w:rsidRDefault="004869C2" w:rsidP="00DA20BE">
      <w:pPr>
        <w:jc w:val="center"/>
        <w:rPr>
          <w:b/>
          <w:i/>
          <w:szCs w:val="22"/>
        </w:rPr>
      </w:pPr>
      <w:r w:rsidRPr="00DA20BE">
        <w:rPr>
          <w:b/>
          <w:i/>
          <w:szCs w:val="22"/>
          <w:lang w:val="es-ES_tradnl"/>
        </w:rPr>
        <w:t>Ley de Transparencia y Acceso a la Información Pública del Estado de México y Municipios</w:t>
      </w:r>
    </w:p>
    <w:p w14:paraId="050AB6E9" w14:textId="77777777" w:rsidR="004869C2" w:rsidRPr="00DA20BE" w:rsidRDefault="004869C2" w:rsidP="00DA20BE"/>
    <w:p w14:paraId="0717AA84" w14:textId="77777777" w:rsidR="004869C2" w:rsidRPr="00DA20BE" w:rsidRDefault="004869C2" w:rsidP="00DA20BE">
      <w:pPr>
        <w:spacing w:line="240" w:lineRule="auto"/>
        <w:ind w:left="567" w:right="567"/>
        <w:contextualSpacing/>
        <w:rPr>
          <w:i/>
          <w:kern w:val="28"/>
          <w:szCs w:val="56"/>
          <w14:ligatures w14:val="standardContextual"/>
        </w:rPr>
      </w:pPr>
      <w:r w:rsidRPr="00DA20BE">
        <w:rPr>
          <w:b/>
          <w:i/>
          <w:kern w:val="28"/>
          <w:szCs w:val="56"/>
          <w14:ligatures w14:val="standardContextual"/>
        </w:rPr>
        <w:t xml:space="preserve">“Artículo 49. </w:t>
      </w:r>
      <w:r w:rsidRPr="00DA20BE">
        <w:rPr>
          <w:i/>
          <w:kern w:val="28"/>
          <w:szCs w:val="56"/>
          <w14:ligatures w14:val="standardContextual"/>
        </w:rPr>
        <w:t>Los Comités de Transparencia tendrán las siguientes atribuciones:</w:t>
      </w:r>
    </w:p>
    <w:p w14:paraId="31F54154" w14:textId="77777777" w:rsidR="004869C2" w:rsidRPr="00DA20BE" w:rsidRDefault="004869C2" w:rsidP="00DA20BE">
      <w:pPr>
        <w:spacing w:line="240" w:lineRule="auto"/>
        <w:ind w:left="567" w:right="567"/>
        <w:contextualSpacing/>
        <w:rPr>
          <w:i/>
          <w:kern w:val="28"/>
          <w:szCs w:val="56"/>
          <w14:ligatures w14:val="standardContextual"/>
        </w:rPr>
      </w:pPr>
      <w:r w:rsidRPr="00DA20BE">
        <w:rPr>
          <w:b/>
          <w:i/>
          <w:kern w:val="28"/>
          <w:szCs w:val="56"/>
          <w14:ligatures w14:val="standardContextual"/>
        </w:rPr>
        <w:t>VIII.</w:t>
      </w:r>
      <w:r w:rsidRPr="00DA20BE">
        <w:rPr>
          <w:i/>
          <w:kern w:val="28"/>
          <w:szCs w:val="56"/>
          <w14:ligatures w14:val="standardContextual"/>
        </w:rPr>
        <w:t xml:space="preserve"> Aprobar, modificar o revocar la clasificación de la información;</w:t>
      </w:r>
    </w:p>
    <w:p w14:paraId="28D7EFE9" w14:textId="77777777" w:rsidR="004869C2" w:rsidRPr="00DA20BE" w:rsidRDefault="004869C2" w:rsidP="00DA20BE"/>
    <w:p w14:paraId="7F1B808D" w14:textId="77777777" w:rsidR="004869C2" w:rsidRPr="00DA20BE" w:rsidRDefault="004869C2" w:rsidP="00DA20BE">
      <w:pPr>
        <w:spacing w:line="240" w:lineRule="auto"/>
        <w:ind w:left="567" w:right="567"/>
        <w:contextualSpacing/>
        <w:rPr>
          <w:i/>
          <w:kern w:val="28"/>
          <w:szCs w:val="56"/>
          <w14:ligatures w14:val="standardContextual"/>
        </w:rPr>
      </w:pPr>
      <w:r w:rsidRPr="00DA20BE">
        <w:rPr>
          <w:b/>
          <w:i/>
          <w:kern w:val="28"/>
          <w:szCs w:val="56"/>
          <w14:ligatures w14:val="standardContextual"/>
        </w:rPr>
        <w:t>Artículo 132.</w:t>
      </w:r>
      <w:r w:rsidRPr="00DA20BE">
        <w:rPr>
          <w:i/>
          <w:kern w:val="28"/>
          <w:szCs w:val="56"/>
          <w14:ligatures w14:val="standardContextual"/>
        </w:rPr>
        <w:t xml:space="preserve"> La clasificación de la información se llevará a cabo en el momento en que:</w:t>
      </w:r>
    </w:p>
    <w:p w14:paraId="5D1FA94A" w14:textId="77777777" w:rsidR="004869C2" w:rsidRPr="00DA20BE" w:rsidRDefault="004869C2" w:rsidP="00DA20BE">
      <w:pPr>
        <w:spacing w:line="240" w:lineRule="auto"/>
        <w:ind w:left="567" w:right="567"/>
        <w:contextualSpacing/>
        <w:rPr>
          <w:i/>
          <w:kern w:val="28"/>
          <w:szCs w:val="56"/>
          <w14:ligatures w14:val="standardContextual"/>
        </w:rPr>
      </w:pPr>
      <w:r w:rsidRPr="00DA20BE">
        <w:rPr>
          <w:b/>
          <w:i/>
          <w:kern w:val="28"/>
          <w:szCs w:val="56"/>
          <w14:ligatures w14:val="standardContextual"/>
        </w:rPr>
        <w:t>I.</w:t>
      </w:r>
      <w:r w:rsidRPr="00DA20BE">
        <w:rPr>
          <w:i/>
          <w:kern w:val="28"/>
          <w:szCs w:val="56"/>
          <w14:ligatures w14:val="standardContextual"/>
        </w:rPr>
        <w:t xml:space="preserve"> Se reciba una solicitud de acceso a la información;</w:t>
      </w:r>
    </w:p>
    <w:p w14:paraId="22AE76B1" w14:textId="77777777" w:rsidR="004869C2" w:rsidRPr="00DA20BE" w:rsidRDefault="004869C2" w:rsidP="00DA20BE">
      <w:pPr>
        <w:spacing w:line="240" w:lineRule="auto"/>
        <w:ind w:left="567" w:right="567"/>
        <w:contextualSpacing/>
        <w:rPr>
          <w:i/>
          <w:kern w:val="28"/>
          <w:szCs w:val="56"/>
          <w14:ligatures w14:val="standardContextual"/>
        </w:rPr>
      </w:pPr>
      <w:r w:rsidRPr="00DA20BE">
        <w:rPr>
          <w:b/>
          <w:i/>
          <w:kern w:val="28"/>
          <w:szCs w:val="56"/>
          <w14:ligatures w14:val="standardContextual"/>
        </w:rPr>
        <w:t>II.</w:t>
      </w:r>
      <w:r w:rsidRPr="00DA20BE">
        <w:rPr>
          <w:i/>
          <w:kern w:val="28"/>
          <w:szCs w:val="56"/>
          <w14:ligatures w14:val="standardContextual"/>
        </w:rPr>
        <w:t xml:space="preserve"> Se determine mediante resolución de autoridad competente; o</w:t>
      </w:r>
    </w:p>
    <w:p w14:paraId="1A0C32FA" w14:textId="77777777" w:rsidR="004869C2" w:rsidRPr="00DA20BE" w:rsidRDefault="004869C2" w:rsidP="00DA20BE">
      <w:pPr>
        <w:spacing w:line="240" w:lineRule="auto"/>
        <w:ind w:left="567" w:right="567"/>
        <w:contextualSpacing/>
        <w:rPr>
          <w:b/>
          <w:i/>
          <w:kern w:val="28"/>
          <w:szCs w:val="56"/>
          <w14:ligatures w14:val="standardContextual"/>
        </w:rPr>
      </w:pPr>
      <w:r w:rsidRPr="00DA20BE">
        <w:rPr>
          <w:b/>
          <w:bCs/>
          <w:i/>
          <w:kern w:val="28"/>
          <w:szCs w:val="56"/>
          <w14:ligatures w14:val="standardContextual"/>
        </w:rPr>
        <w:t>III.</w:t>
      </w:r>
      <w:r w:rsidRPr="00DA20BE">
        <w:rPr>
          <w:i/>
          <w:kern w:val="28"/>
          <w:szCs w:val="56"/>
          <w14:ligatures w14:val="standardContextual"/>
        </w:rPr>
        <w:t xml:space="preserve"> Se generen versiones públicas para dar cumplimiento a las obligaciones de transparencia previstas en esta Ley.</w:t>
      </w:r>
      <w:r w:rsidRPr="00DA20BE">
        <w:rPr>
          <w:b/>
          <w:i/>
          <w:kern w:val="28"/>
          <w:szCs w:val="56"/>
          <w14:ligatures w14:val="standardContextual"/>
        </w:rPr>
        <w:t>”</w:t>
      </w:r>
    </w:p>
    <w:p w14:paraId="610C7005" w14:textId="77777777" w:rsidR="004869C2" w:rsidRPr="00DA20BE" w:rsidRDefault="004869C2" w:rsidP="00DA20BE"/>
    <w:p w14:paraId="3532496E" w14:textId="77777777" w:rsidR="004869C2" w:rsidRPr="00DA20BE" w:rsidRDefault="004869C2" w:rsidP="00DA20BE">
      <w:pPr>
        <w:spacing w:line="240" w:lineRule="auto"/>
        <w:ind w:left="567" w:right="567"/>
        <w:contextualSpacing/>
        <w:rPr>
          <w:i/>
          <w:kern w:val="28"/>
          <w:szCs w:val="56"/>
          <w14:ligatures w14:val="standardContextual"/>
        </w:rPr>
      </w:pPr>
      <w:r w:rsidRPr="00DA20BE">
        <w:rPr>
          <w:b/>
          <w:i/>
          <w:kern w:val="28"/>
          <w:szCs w:val="56"/>
          <w14:ligatures w14:val="standardContextual"/>
        </w:rPr>
        <w:t>“Segundo. -</w:t>
      </w:r>
      <w:r w:rsidRPr="00DA20BE">
        <w:rPr>
          <w:i/>
          <w:kern w:val="28"/>
          <w:szCs w:val="56"/>
          <w14:ligatures w14:val="standardContextual"/>
        </w:rPr>
        <w:t xml:space="preserve"> Para efectos de los presentes Lineamientos Generales, se entenderá por:</w:t>
      </w:r>
    </w:p>
    <w:p w14:paraId="6537E417" w14:textId="77777777" w:rsidR="004869C2" w:rsidRPr="00DA20BE" w:rsidRDefault="004869C2" w:rsidP="00DA20BE">
      <w:pPr>
        <w:spacing w:line="240" w:lineRule="auto"/>
        <w:ind w:left="567" w:right="567"/>
        <w:contextualSpacing/>
        <w:rPr>
          <w:i/>
          <w:kern w:val="28"/>
          <w:szCs w:val="56"/>
          <w14:ligatures w14:val="standardContextual"/>
        </w:rPr>
      </w:pPr>
      <w:r w:rsidRPr="00DA20BE">
        <w:rPr>
          <w:b/>
          <w:i/>
          <w:kern w:val="28"/>
          <w:szCs w:val="56"/>
          <w14:ligatures w14:val="standardContextual"/>
        </w:rPr>
        <w:t>XVIII.</w:t>
      </w:r>
      <w:r w:rsidRPr="00DA20BE">
        <w:rPr>
          <w:i/>
          <w:kern w:val="28"/>
          <w:szCs w:val="56"/>
          <w14:ligatures w14:val="standardContextual"/>
        </w:rPr>
        <w:t xml:space="preserve">  </w:t>
      </w:r>
      <w:r w:rsidRPr="00DA20BE">
        <w:rPr>
          <w:b/>
          <w:i/>
          <w:kern w:val="28"/>
          <w:szCs w:val="56"/>
          <w14:ligatures w14:val="standardContextual"/>
        </w:rPr>
        <w:t>Versión pública:</w:t>
      </w:r>
      <w:r w:rsidRPr="00DA20BE">
        <w:rPr>
          <w:i/>
          <w:kern w:val="28"/>
          <w:szCs w:val="56"/>
          <w14:ligatures w14:val="standardContextual"/>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C362C1C" w14:textId="77777777" w:rsidR="004869C2" w:rsidRPr="00DA20BE" w:rsidRDefault="004869C2" w:rsidP="00DA20BE">
      <w:pPr>
        <w:spacing w:line="240" w:lineRule="auto"/>
        <w:ind w:left="567" w:right="567"/>
        <w:contextualSpacing/>
        <w:rPr>
          <w:i/>
          <w:kern w:val="28"/>
          <w:szCs w:val="56"/>
          <w14:ligatures w14:val="standardContextual"/>
        </w:rPr>
      </w:pPr>
    </w:p>
    <w:p w14:paraId="3546FB46" w14:textId="77777777" w:rsidR="004869C2" w:rsidRPr="00DA20BE" w:rsidRDefault="004869C2" w:rsidP="00DA20BE">
      <w:pPr>
        <w:spacing w:line="240" w:lineRule="auto"/>
        <w:ind w:left="567" w:right="567"/>
        <w:contextualSpacing/>
        <w:rPr>
          <w:b/>
          <w:i/>
          <w:kern w:val="28"/>
          <w:szCs w:val="56"/>
          <w:lang w:val="es-ES_tradnl" w:eastAsia="es-MX"/>
          <w14:ligatures w14:val="standardContextual"/>
        </w:rPr>
      </w:pPr>
      <w:r w:rsidRPr="00DA20BE">
        <w:rPr>
          <w:b/>
          <w:i/>
          <w:kern w:val="28"/>
          <w:szCs w:val="56"/>
          <w:lang w:val="es-ES_tradnl" w:eastAsia="es-MX"/>
          <w14:ligatures w14:val="standardContextual"/>
        </w:rPr>
        <w:t xml:space="preserve">Lineamientos Generales en materia de Clasificación y Desclasificación de la </w:t>
      </w:r>
      <w:r w:rsidRPr="00DA20BE">
        <w:rPr>
          <w:b/>
          <w:i/>
          <w:kern w:val="28"/>
          <w:szCs w:val="56"/>
          <w:lang w:val="es-ES_tradnl"/>
          <w14:ligatures w14:val="standardContextual"/>
        </w:rPr>
        <w:t>Información</w:t>
      </w:r>
    </w:p>
    <w:p w14:paraId="7F2282BE" w14:textId="77777777" w:rsidR="004869C2" w:rsidRPr="00DA20BE" w:rsidRDefault="004869C2" w:rsidP="00DA20BE">
      <w:pPr>
        <w:spacing w:line="240" w:lineRule="auto"/>
        <w:ind w:left="567" w:right="567"/>
        <w:contextualSpacing/>
        <w:rPr>
          <w:i/>
          <w:kern w:val="28"/>
          <w:szCs w:val="56"/>
          <w14:ligatures w14:val="standardContextual"/>
        </w:rPr>
      </w:pPr>
    </w:p>
    <w:p w14:paraId="69FEBCD0" w14:textId="77777777" w:rsidR="004869C2" w:rsidRPr="00DA20BE" w:rsidRDefault="004869C2" w:rsidP="00DA20BE">
      <w:pPr>
        <w:spacing w:line="240" w:lineRule="auto"/>
        <w:ind w:left="567" w:right="567"/>
        <w:contextualSpacing/>
        <w:rPr>
          <w:i/>
          <w:kern w:val="28"/>
          <w:szCs w:val="56"/>
          <w14:ligatures w14:val="standardContextual"/>
        </w:rPr>
      </w:pPr>
      <w:r w:rsidRPr="00DA20BE">
        <w:rPr>
          <w:b/>
          <w:i/>
          <w:kern w:val="28"/>
          <w:szCs w:val="56"/>
          <w14:ligatures w14:val="standardContextual"/>
        </w:rPr>
        <w:t>Cuarto.</w:t>
      </w:r>
      <w:r w:rsidRPr="00DA20BE">
        <w:rPr>
          <w:i/>
          <w:kern w:val="28"/>
          <w:szCs w:val="56"/>
          <w14:ligatures w14:val="standardContextual"/>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C9E7943" w14:textId="77777777" w:rsidR="004869C2" w:rsidRPr="00DA20BE" w:rsidRDefault="004869C2" w:rsidP="00DA20BE">
      <w:pPr>
        <w:spacing w:line="240" w:lineRule="auto"/>
        <w:ind w:left="567" w:right="567"/>
        <w:contextualSpacing/>
        <w:rPr>
          <w:i/>
          <w:kern w:val="28"/>
          <w:szCs w:val="56"/>
          <w14:ligatures w14:val="standardContextual"/>
        </w:rPr>
      </w:pPr>
      <w:r w:rsidRPr="00DA20BE">
        <w:rPr>
          <w:i/>
          <w:kern w:val="28"/>
          <w:szCs w:val="56"/>
          <w14:ligatures w14:val="standardContextual"/>
        </w:rPr>
        <w:lastRenderedPageBreak/>
        <w:t>Los sujetos obligados deberán aplicar, de manera estricta, las excepciones al derecho de acceso a la información y sólo podrán invocarlas cuando acrediten su procedencia.</w:t>
      </w:r>
    </w:p>
    <w:p w14:paraId="169EE94B" w14:textId="77777777" w:rsidR="004869C2" w:rsidRPr="00DA20BE" w:rsidRDefault="004869C2" w:rsidP="00DA20BE"/>
    <w:p w14:paraId="69688FBA" w14:textId="77777777" w:rsidR="004869C2" w:rsidRPr="00DA20BE" w:rsidRDefault="004869C2" w:rsidP="00DA20BE">
      <w:pPr>
        <w:spacing w:line="240" w:lineRule="auto"/>
        <w:ind w:left="567" w:right="567"/>
        <w:contextualSpacing/>
        <w:rPr>
          <w:i/>
          <w:kern w:val="28"/>
          <w:szCs w:val="56"/>
          <w14:ligatures w14:val="standardContextual"/>
        </w:rPr>
      </w:pPr>
      <w:r w:rsidRPr="00DA20BE">
        <w:rPr>
          <w:b/>
          <w:i/>
          <w:kern w:val="28"/>
          <w:szCs w:val="56"/>
          <w14:ligatures w14:val="standardContextual"/>
        </w:rPr>
        <w:t>Quinto.</w:t>
      </w:r>
      <w:r w:rsidRPr="00DA20BE">
        <w:rPr>
          <w:i/>
          <w:kern w:val="28"/>
          <w:szCs w:val="56"/>
          <w14:ligatures w14:val="standardContextual"/>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B5EB639" w14:textId="77777777" w:rsidR="004869C2" w:rsidRPr="00DA20BE" w:rsidRDefault="004869C2" w:rsidP="00DA20BE"/>
    <w:p w14:paraId="2B8198E0" w14:textId="77777777" w:rsidR="004869C2" w:rsidRPr="00DA20BE" w:rsidRDefault="004869C2" w:rsidP="00DA20BE">
      <w:pPr>
        <w:spacing w:line="240" w:lineRule="auto"/>
        <w:ind w:left="567" w:right="567"/>
        <w:contextualSpacing/>
        <w:rPr>
          <w:i/>
          <w:kern w:val="28"/>
          <w:szCs w:val="56"/>
          <w14:ligatures w14:val="standardContextual"/>
        </w:rPr>
      </w:pPr>
      <w:r w:rsidRPr="00DA20BE">
        <w:rPr>
          <w:b/>
          <w:i/>
          <w:kern w:val="28"/>
          <w:szCs w:val="56"/>
          <w14:ligatures w14:val="standardContextual"/>
        </w:rPr>
        <w:t>Sexto.</w:t>
      </w:r>
      <w:r w:rsidRPr="00DA20BE">
        <w:rPr>
          <w:i/>
          <w:kern w:val="28"/>
          <w:szCs w:val="56"/>
          <w14:ligatures w14:val="standardContextual"/>
        </w:rPr>
        <w:t xml:space="preserve"> Se deroga.</w:t>
      </w:r>
    </w:p>
    <w:p w14:paraId="25D2A012" w14:textId="77777777" w:rsidR="004869C2" w:rsidRPr="00DA20BE" w:rsidRDefault="004869C2" w:rsidP="00DA20BE"/>
    <w:p w14:paraId="1C538C16" w14:textId="77777777" w:rsidR="004869C2" w:rsidRPr="00DA20BE" w:rsidRDefault="004869C2" w:rsidP="00DA20BE">
      <w:pPr>
        <w:spacing w:line="240" w:lineRule="auto"/>
        <w:ind w:left="567" w:right="567"/>
        <w:contextualSpacing/>
        <w:rPr>
          <w:i/>
          <w:kern w:val="28"/>
          <w:szCs w:val="56"/>
          <w14:ligatures w14:val="standardContextual"/>
        </w:rPr>
      </w:pPr>
      <w:r w:rsidRPr="00DA20BE">
        <w:rPr>
          <w:b/>
          <w:i/>
          <w:kern w:val="28"/>
          <w:szCs w:val="56"/>
          <w14:ligatures w14:val="standardContextual"/>
        </w:rPr>
        <w:t>Séptimo.</w:t>
      </w:r>
      <w:r w:rsidRPr="00DA20BE">
        <w:rPr>
          <w:i/>
          <w:kern w:val="28"/>
          <w:szCs w:val="56"/>
          <w14:ligatures w14:val="standardContextual"/>
        </w:rPr>
        <w:t xml:space="preserve"> La clasificación de la información se llevará a cabo en el momento en que:</w:t>
      </w:r>
    </w:p>
    <w:p w14:paraId="4C31EEA6" w14:textId="77777777" w:rsidR="004869C2" w:rsidRPr="00DA20BE" w:rsidRDefault="004869C2" w:rsidP="00DA20BE">
      <w:pPr>
        <w:spacing w:line="240" w:lineRule="auto"/>
        <w:ind w:left="567" w:right="567"/>
        <w:contextualSpacing/>
        <w:rPr>
          <w:i/>
          <w:kern w:val="28"/>
          <w:szCs w:val="56"/>
          <w14:ligatures w14:val="standardContextual"/>
        </w:rPr>
      </w:pPr>
      <w:r w:rsidRPr="00DA20BE">
        <w:rPr>
          <w:b/>
          <w:i/>
          <w:kern w:val="28"/>
          <w:szCs w:val="56"/>
          <w14:ligatures w14:val="standardContextual"/>
        </w:rPr>
        <w:t>I.</w:t>
      </w:r>
      <w:r w:rsidRPr="00DA20BE">
        <w:rPr>
          <w:i/>
          <w:kern w:val="28"/>
          <w:szCs w:val="56"/>
          <w14:ligatures w14:val="standardContextual"/>
        </w:rPr>
        <w:t xml:space="preserve">        Se reciba una solicitud de acceso a la información;</w:t>
      </w:r>
    </w:p>
    <w:p w14:paraId="329D3B29" w14:textId="77777777" w:rsidR="004869C2" w:rsidRPr="00DA20BE" w:rsidRDefault="004869C2" w:rsidP="00DA20BE">
      <w:pPr>
        <w:spacing w:line="240" w:lineRule="auto"/>
        <w:ind w:left="567" w:right="567"/>
        <w:contextualSpacing/>
        <w:rPr>
          <w:i/>
          <w:kern w:val="28"/>
          <w:szCs w:val="56"/>
          <w14:ligatures w14:val="standardContextual"/>
        </w:rPr>
      </w:pPr>
      <w:r w:rsidRPr="00DA20BE">
        <w:rPr>
          <w:b/>
          <w:i/>
          <w:kern w:val="28"/>
          <w:szCs w:val="56"/>
          <w14:ligatures w14:val="standardContextual"/>
        </w:rPr>
        <w:t>II.</w:t>
      </w:r>
      <w:r w:rsidRPr="00DA20BE">
        <w:rPr>
          <w:i/>
          <w:kern w:val="28"/>
          <w:szCs w:val="56"/>
          <w14:ligatures w14:val="standardContextual"/>
        </w:rPr>
        <w:t xml:space="preserve">       Se determine mediante resolución del Comité de Transparencia, el órgano garante competente, o en cumplimiento a una sentencia del Poder Judicial; o</w:t>
      </w:r>
    </w:p>
    <w:p w14:paraId="54F35A1A" w14:textId="77777777" w:rsidR="004869C2" w:rsidRPr="00DA20BE" w:rsidRDefault="004869C2" w:rsidP="00DA20BE">
      <w:pPr>
        <w:spacing w:line="240" w:lineRule="auto"/>
        <w:ind w:left="567" w:right="567"/>
        <w:contextualSpacing/>
        <w:rPr>
          <w:i/>
          <w:kern w:val="28"/>
          <w:szCs w:val="56"/>
          <w14:ligatures w14:val="standardContextual"/>
        </w:rPr>
      </w:pPr>
      <w:r w:rsidRPr="00DA20BE">
        <w:rPr>
          <w:b/>
          <w:i/>
          <w:kern w:val="28"/>
          <w:szCs w:val="56"/>
          <w14:ligatures w14:val="standardContextual"/>
        </w:rPr>
        <w:t>III.</w:t>
      </w:r>
      <w:r w:rsidRPr="00DA20BE">
        <w:rPr>
          <w:i/>
          <w:kern w:val="28"/>
          <w:szCs w:val="56"/>
          <w14:ligatures w14:val="standardContextual"/>
        </w:rPr>
        <w:t xml:space="preserve">      Se generen versiones públicas para dar cumplimiento a las obligaciones de transparencia previstas en la Ley General, la Ley Federal y las correspondientes de las entidades federativas.</w:t>
      </w:r>
    </w:p>
    <w:p w14:paraId="16D478DB" w14:textId="77777777" w:rsidR="004869C2" w:rsidRPr="00DA20BE" w:rsidRDefault="004869C2" w:rsidP="00DA20BE">
      <w:pPr>
        <w:spacing w:line="240" w:lineRule="auto"/>
        <w:ind w:left="567" w:right="567"/>
        <w:contextualSpacing/>
        <w:rPr>
          <w:i/>
          <w:kern w:val="28"/>
          <w:szCs w:val="56"/>
          <w14:ligatures w14:val="standardContextual"/>
        </w:rPr>
      </w:pPr>
      <w:r w:rsidRPr="00DA20BE">
        <w:rPr>
          <w:i/>
          <w:kern w:val="28"/>
          <w:szCs w:val="56"/>
          <w14:ligatures w14:val="standardContextual"/>
        </w:rPr>
        <w:t xml:space="preserve">Los titulares de las áreas deberán revisar la información requerida al momento de la recepción de una solicitud de acceso, para verificar, conforme a su naturaleza, si encuadra en una causal de reserva o de confidencialidad. </w:t>
      </w:r>
    </w:p>
    <w:p w14:paraId="702D2220" w14:textId="77777777" w:rsidR="004869C2" w:rsidRPr="00DA20BE" w:rsidRDefault="004869C2" w:rsidP="00DA20BE"/>
    <w:p w14:paraId="0E832B27" w14:textId="77777777" w:rsidR="004869C2" w:rsidRPr="00DA20BE" w:rsidRDefault="004869C2" w:rsidP="00DA20BE">
      <w:pPr>
        <w:spacing w:line="240" w:lineRule="auto"/>
        <w:ind w:left="567" w:right="567"/>
        <w:contextualSpacing/>
        <w:rPr>
          <w:i/>
          <w:kern w:val="28"/>
          <w:szCs w:val="56"/>
          <w14:ligatures w14:val="standardContextual"/>
        </w:rPr>
      </w:pPr>
      <w:r w:rsidRPr="00DA20BE">
        <w:rPr>
          <w:b/>
          <w:i/>
          <w:kern w:val="28"/>
          <w:szCs w:val="56"/>
          <w14:ligatures w14:val="standardContextual"/>
        </w:rPr>
        <w:t>Octavo.</w:t>
      </w:r>
      <w:r w:rsidRPr="00DA20BE">
        <w:rPr>
          <w:i/>
          <w:kern w:val="28"/>
          <w:szCs w:val="56"/>
          <w14:ligatures w14:val="standardContextual"/>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91B1EA7" w14:textId="77777777" w:rsidR="004869C2" w:rsidRPr="00DA20BE" w:rsidRDefault="004869C2" w:rsidP="00DA20BE">
      <w:pPr>
        <w:spacing w:line="240" w:lineRule="auto"/>
        <w:ind w:left="567" w:right="567"/>
        <w:contextualSpacing/>
        <w:rPr>
          <w:i/>
          <w:kern w:val="28"/>
          <w:szCs w:val="56"/>
          <w14:ligatures w14:val="standardContextual"/>
        </w:rPr>
      </w:pPr>
      <w:r w:rsidRPr="00DA20BE">
        <w:rPr>
          <w:i/>
          <w:kern w:val="28"/>
          <w:szCs w:val="56"/>
          <w14:ligatures w14:val="standardContextual"/>
        </w:rPr>
        <w:t>Para motivar la clasificación se deberán señalar las razones o circunstancias especiales que lo llevaron a concluir que el caso particular se ajusta al supuesto previsto por la norma legal invocada como fundamento.</w:t>
      </w:r>
    </w:p>
    <w:p w14:paraId="0073E24F" w14:textId="77777777" w:rsidR="004869C2" w:rsidRPr="00DA20BE" w:rsidRDefault="004869C2" w:rsidP="00DA20BE">
      <w:pPr>
        <w:spacing w:line="240" w:lineRule="auto"/>
        <w:ind w:left="567" w:right="567"/>
        <w:contextualSpacing/>
        <w:rPr>
          <w:i/>
          <w:kern w:val="28"/>
          <w:szCs w:val="56"/>
          <w14:ligatures w14:val="standardContextual"/>
        </w:rPr>
      </w:pPr>
      <w:r w:rsidRPr="00DA20BE">
        <w:rPr>
          <w:i/>
          <w:kern w:val="28"/>
          <w:szCs w:val="56"/>
          <w14:ligatures w14:val="standardContextual"/>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78BDAAEA" w14:textId="77777777" w:rsidR="004869C2" w:rsidRPr="00DA20BE" w:rsidRDefault="004869C2" w:rsidP="00DA20BE"/>
    <w:p w14:paraId="1F52D862" w14:textId="77777777" w:rsidR="004869C2" w:rsidRPr="00DA20BE" w:rsidRDefault="004869C2" w:rsidP="00DA20BE">
      <w:pPr>
        <w:spacing w:line="240" w:lineRule="auto"/>
        <w:ind w:left="567" w:right="567"/>
        <w:contextualSpacing/>
        <w:rPr>
          <w:i/>
          <w:kern w:val="28"/>
          <w:szCs w:val="56"/>
          <w14:ligatures w14:val="standardContextual"/>
        </w:rPr>
      </w:pPr>
      <w:r w:rsidRPr="00DA20BE">
        <w:rPr>
          <w:b/>
          <w:i/>
          <w:kern w:val="28"/>
          <w:szCs w:val="56"/>
          <w14:ligatures w14:val="standardContextual"/>
        </w:rPr>
        <w:lastRenderedPageBreak/>
        <w:t>Noveno.</w:t>
      </w:r>
      <w:r w:rsidRPr="00DA20BE">
        <w:rPr>
          <w:i/>
          <w:kern w:val="28"/>
          <w:szCs w:val="56"/>
          <w14:ligatures w14:val="standardContextual"/>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843F2E8" w14:textId="77777777" w:rsidR="004869C2" w:rsidRPr="00DA20BE" w:rsidRDefault="004869C2" w:rsidP="00DA20BE"/>
    <w:p w14:paraId="71CA76CF" w14:textId="77777777" w:rsidR="004869C2" w:rsidRPr="00DA20BE" w:rsidRDefault="004869C2" w:rsidP="00DA20BE">
      <w:pPr>
        <w:spacing w:line="240" w:lineRule="auto"/>
        <w:ind w:left="567" w:right="567"/>
        <w:contextualSpacing/>
        <w:rPr>
          <w:i/>
          <w:kern w:val="28"/>
          <w:szCs w:val="56"/>
          <w14:ligatures w14:val="standardContextual"/>
        </w:rPr>
      </w:pPr>
      <w:r w:rsidRPr="00DA20BE">
        <w:rPr>
          <w:b/>
          <w:i/>
          <w:kern w:val="28"/>
          <w:szCs w:val="56"/>
          <w14:ligatures w14:val="standardContextual"/>
        </w:rPr>
        <w:t>Décimo.</w:t>
      </w:r>
      <w:r w:rsidRPr="00DA20BE">
        <w:rPr>
          <w:i/>
          <w:kern w:val="28"/>
          <w:szCs w:val="56"/>
          <w14:ligatures w14:val="standardContextual"/>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7F3CDCCE" w14:textId="77777777" w:rsidR="004869C2" w:rsidRPr="00DA20BE" w:rsidRDefault="004869C2" w:rsidP="00DA20BE">
      <w:pPr>
        <w:spacing w:line="240" w:lineRule="auto"/>
        <w:ind w:left="567" w:right="567"/>
        <w:contextualSpacing/>
        <w:rPr>
          <w:i/>
          <w:kern w:val="28"/>
          <w:szCs w:val="56"/>
          <w14:ligatures w14:val="standardContextual"/>
        </w:rPr>
      </w:pPr>
      <w:r w:rsidRPr="00DA20BE">
        <w:rPr>
          <w:i/>
          <w:kern w:val="28"/>
          <w:szCs w:val="56"/>
          <w14:ligatures w14:val="standardContextual"/>
        </w:rPr>
        <w:t>En ausencia de los titulares de las áreas, la información será clasificada o desclasificada por la persona que lo supla, en términos de la normativa que rija la actuación del sujeto obligado.</w:t>
      </w:r>
    </w:p>
    <w:p w14:paraId="5CEFC38B" w14:textId="77777777" w:rsidR="004869C2" w:rsidRPr="00DA20BE" w:rsidRDefault="004869C2" w:rsidP="00DA20BE">
      <w:pPr>
        <w:spacing w:line="240" w:lineRule="auto"/>
        <w:ind w:left="567" w:right="567"/>
        <w:contextualSpacing/>
        <w:rPr>
          <w:b/>
          <w:i/>
          <w:kern w:val="28"/>
          <w:szCs w:val="56"/>
          <w14:ligatures w14:val="standardContextual"/>
        </w:rPr>
      </w:pPr>
      <w:r w:rsidRPr="00DA20BE">
        <w:rPr>
          <w:b/>
          <w:i/>
          <w:kern w:val="28"/>
          <w:szCs w:val="56"/>
          <w14:ligatures w14:val="standardContextual"/>
        </w:rPr>
        <w:t>Décimo primero.</w:t>
      </w:r>
      <w:r w:rsidRPr="00DA20BE">
        <w:rPr>
          <w:i/>
          <w:kern w:val="28"/>
          <w:szCs w:val="56"/>
          <w14:ligatures w14:val="standardContextual"/>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DA20BE">
        <w:rPr>
          <w:b/>
          <w:i/>
          <w:kern w:val="28"/>
          <w:szCs w:val="56"/>
          <w14:ligatures w14:val="standardContextual"/>
        </w:rPr>
        <w:t>”</w:t>
      </w:r>
    </w:p>
    <w:p w14:paraId="752D9D4F" w14:textId="77777777" w:rsidR="004869C2" w:rsidRPr="00DA20BE" w:rsidRDefault="004869C2" w:rsidP="00DA20BE"/>
    <w:p w14:paraId="71F8DC87" w14:textId="77777777" w:rsidR="004869C2" w:rsidRPr="00DA20BE" w:rsidRDefault="004869C2" w:rsidP="00DA20BE">
      <w:pPr>
        <w:rPr>
          <w:lang w:eastAsia="es-CO"/>
        </w:rPr>
      </w:pPr>
      <w:r w:rsidRPr="00DA20BE">
        <w:t xml:space="preserve">Consecuentemente, se destaca que la versión pública que elabore </w:t>
      </w:r>
      <w:r w:rsidRPr="00DA20BE">
        <w:rPr>
          <w:b/>
        </w:rPr>
        <w:t>EL SUJETO OBLIGADO</w:t>
      </w:r>
      <w:r w:rsidRPr="00DA20BE">
        <w:t xml:space="preserve"> debe cumplir con las formalidades exigidas en la Ley, por lo que para tal efecto emitirá el </w:t>
      </w:r>
      <w:r w:rsidRPr="00DA20BE">
        <w:rPr>
          <w:b/>
        </w:rPr>
        <w:t>Acuerdo del Comité de Transparencia</w:t>
      </w:r>
      <w:r w:rsidRPr="00DA20BE">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DA20BE">
        <w:rPr>
          <w:lang w:eastAsia="es-CO"/>
        </w:rPr>
        <w:t>,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296FB5B5" w14:textId="5379F0E9" w:rsidR="009B5437" w:rsidRPr="00DA20BE" w:rsidRDefault="009B5437" w:rsidP="00DA20BE"/>
    <w:p w14:paraId="66822A50" w14:textId="77777777" w:rsidR="004869C2" w:rsidRPr="00DA20BE" w:rsidRDefault="004869C2" w:rsidP="00DA20BE">
      <w:r w:rsidRPr="00DA20BE">
        <w:lastRenderedPageBreak/>
        <w:t>Es importante señalar que, para el caso en concreto, se deben tomar en consideración los siguientes datos que de manera enunciativa más no limitativa se pudieran clasificar como confidenciales:</w:t>
      </w:r>
    </w:p>
    <w:p w14:paraId="2A9E3C92" w14:textId="77777777" w:rsidR="004869C2" w:rsidRPr="00DA20BE" w:rsidRDefault="004869C2" w:rsidP="00DA20BE"/>
    <w:p w14:paraId="13866A09" w14:textId="77777777" w:rsidR="004869C2" w:rsidRPr="00DA20BE" w:rsidRDefault="004869C2" w:rsidP="00DA20BE">
      <w:pPr>
        <w:numPr>
          <w:ilvl w:val="0"/>
          <w:numId w:val="4"/>
        </w:numPr>
        <w:spacing w:after="160" w:line="256" w:lineRule="auto"/>
        <w:jc w:val="left"/>
      </w:pPr>
      <w:r w:rsidRPr="00DA20BE">
        <w:rPr>
          <w:rFonts w:eastAsia="Palatino Linotype" w:cs="Palatino Linotype"/>
          <w:b/>
          <w:szCs w:val="22"/>
        </w:rPr>
        <w:t>Registro Federal de Contribuyentes</w:t>
      </w:r>
      <w:r w:rsidRPr="00DA20BE">
        <w:rPr>
          <w:rFonts w:eastAsia="Palatino Linotype" w:cs="Palatino Linotype"/>
          <w:szCs w:val="22"/>
        </w:rPr>
        <w:t xml:space="preserve"> </w:t>
      </w:r>
      <w:r w:rsidRPr="00DA20BE">
        <w:rPr>
          <w:rFonts w:eastAsia="Palatino Linotype" w:cs="Palatino Linotype"/>
          <w:b/>
          <w:szCs w:val="22"/>
        </w:rPr>
        <w:t>de las personas físicas</w:t>
      </w:r>
    </w:p>
    <w:p w14:paraId="269E8934" w14:textId="77777777" w:rsidR="004869C2" w:rsidRPr="00DA20BE" w:rsidRDefault="004869C2" w:rsidP="00DA20BE">
      <w:pPr>
        <w:ind w:left="720"/>
        <w:rPr>
          <w:rFonts w:eastAsia="Palatino Linotype" w:cs="Palatino Linotype"/>
          <w:szCs w:val="22"/>
        </w:rPr>
      </w:pPr>
    </w:p>
    <w:p w14:paraId="2B0250A1" w14:textId="77777777" w:rsidR="004869C2" w:rsidRPr="00DA20BE" w:rsidRDefault="004869C2" w:rsidP="00DA20BE">
      <w:r w:rsidRPr="00DA20BE">
        <w:t>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14:paraId="12DC07EF" w14:textId="77777777" w:rsidR="004869C2" w:rsidRPr="00DA20BE" w:rsidRDefault="004869C2" w:rsidP="00DA20BE"/>
    <w:p w14:paraId="1E290E54" w14:textId="77777777" w:rsidR="004869C2" w:rsidRPr="00DA20BE" w:rsidRDefault="004869C2" w:rsidP="00DA20BE">
      <w:pPr>
        <w:rPr>
          <w:b/>
        </w:rPr>
      </w:pPr>
      <w:r w:rsidRPr="00DA20BE">
        <w:t>Al respecto, es aplicable el Criterio 19/17 de la Segunda Época, emitido por el Instituto Nacional de Transparencia, Acceso a la Información y Protección de Datos Personales, que dice:</w:t>
      </w:r>
      <w:r w:rsidRPr="00DA20BE">
        <w:rPr>
          <w:b/>
        </w:rPr>
        <w:t xml:space="preserve"> </w:t>
      </w:r>
    </w:p>
    <w:p w14:paraId="28177054" w14:textId="77777777" w:rsidR="004869C2" w:rsidRPr="00DA20BE" w:rsidRDefault="004869C2" w:rsidP="00DA20BE">
      <w:pPr>
        <w:rPr>
          <w:b/>
        </w:rPr>
      </w:pPr>
    </w:p>
    <w:p w14:paraId="263D08C1" w14:textId="77777777" w:rsidR="004869C2" w:rsidRPr="00DA20BE" w:rsidRDefault="004869C2" w:rsidP="00DA20BE">
      <w:pPr>
        <w:spacing w:line="240" w:lineRule="auto"/>
        <w:ind w:left="567" w:right="567"/>
        <w:contextualSpacing/>
        <w:rPr>
          <w:i/>
          <w:kern w:val="28"/>
          <w:szCs w:val="56"/>
        </w:rPr>
      </w:pPr>
      <w:r w:rsidRPr="00DA20BE">
        <w:rPr>
          <w:i/>
          <w:kern w:val="28"/>
          <w:szCs w:val="56"/>
        </w:rPr>
        <w:t>“</w:t>
      </w:r>
      <w:r w:rsidRPr="00DA20BE">
        <w:rPr>
          <w:b/>
          <w:i/>
          <w:kern w:val="28"/>
          <w:szCs w:val="56"/>
        </w:rPr>
        <w:t>Registro Federal de Contribuyentes (RFC) de personas físicas.</w:t>
      </w:r>
      <w:r w:rsidRPr="00DA20BE">
        <w:rPr>
          <w:i/>
          <w:kern w:val="28"/>
          <w:szCs w:val="56"/>
        </w:rPr>
        <w:t xml:space="preserve"> El RFC es una clave de carácter fiscal, única e irrepetible, que permite identificar al titular, su edad y fecha de nacimiento, por lo que es un dato personal de carácter confidencial.</w:t>
      </w:r>
    </w:p>
    <w:p w14:paraId="0E859D79" w14:textId="77777777" w:rsidR="004869C2" w:rsidRPr="00DA20BE" w:rsidRDefault="004869C2" w:rsidP="00DA20BE">
      <w:pPr>
        <w:spacing w:line="240" w:lineRule="auto"/>
        <w:ind w:left="567" w:right="567"/>
        <w:contextualSpacing/>
        <w:rPr>
          <w:i/>
          <w:kern w:val="28"/>
          <w:szCs w:val="56"/>
        </w:rPr>
      </w:pPr>
      <w:r w:rsidRPr="00DA20BE">
        <w:rPr>
          <w:i/>
          <w:kern w:val="28"/>
          <w:szCs w:val="56"/>
        </w:rPr>
        <w:t xml:space="preserve"> (Énfasis añadido)</w:t>
      </w:r>
    </w:p>
    <w:p w14:paraId="36F6D7C4" w14:textId="77777777" w:rsidR="004869C2" w:rsidRPr="00DA20BE" w:rsidRDefault="004869C2" w:rsidP="00DA20BE">
      <w:pPr>
        <w:ind w:left="851" w:right="899"/>
      </w:pPr>
    </w:p>
    <w:p w14:paraId="36C04582" w14:textId="77777777" w:rsidR="004869C2" w:rsidRPr="00DA20BE" w:rsidRDefault="004869C2" w:rsidP="00DA20BE">
      <w:r w:rsidRPr="00DA20BE">
        <w:t xml:space="preserve">De lo anterior, se desprende que el Registro Federal de Contribuyentes se vincula al nombre de su titular, permitiendo identificar la edad de la persona y fecha de nacimiento, determinando la identificación de dicha persona para efectos fiscales, por lo que éste constituye un dato personal que concierne a una persona física identificada e identificable en </w:t>
      </w:r>
      <w:r w:rsidRPr="00DA20BE">
        <w:lastRenderedPageBreak/>
        <w:t>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093754C3" w14:textId="77777777" w:rsidR="004869C2" w:rsidRPr="00DA20BE" w:rsidRDefault="004869C2" w:rsidP="00DA20BE"/>
    <w:p w14:paraId="2ABB69B9" w14:textId="77777777" w:rsidR="004869C2" w:rsidRPr="00DA20BE" w:rsidRDefault="004869C2" w:rsidP="00DA20BE">
      <w:pPr>
        <w:numPr>
          <w:ilvl w:val="0"/>
          <w:numId w:val="4"/>
        </w:numPr>
        <w:spacing w:after="160" w:line="256" w:lineRule="auto"/>
        <w:jc w:val="left"/>
        <w:rPr>
          <w:rFonts w:eastAsia="Palatino Linotype" w:cs="Palatino Linotype"/>
          <w:szCs w:val="22"/>
        </w:rPr>
      </w:pPr>
      <w:r w:rsidRPr="00DA20BE">
        <w:rPr>
          <w:rFonts w:eastAsia="Palatino Linotype" w:cs="Palatino Linotype"/>
          <w:b/>
          <w:szCs w:val="22"/>
        </w:rPr>
        <w:t>Clave Única de Registro de Población</w:t>
      </w:r>
    </w:p>
    <w:p w14:paraId="72D3B07A" w14:textId="77777777" w:rsidR="004869C2" w:rsidRPr="00DA20BE" w:rsidRDefault="004869C2" w:rsidP="00DA20BE">
      <w:pPr>
        <w:ind w:left="720"/>
        <w:rPr>
          <w:rFonts w:eastAsia="Palatino Linotype" w:cs="Palatino Linotype"/>
          <w:szCs w:val="22"/>
        </w:rPr>
      </w:pPr>
    </w:p>
    <w:p w14:paraId="3E262318" w14:textId="77777777" w:rsidR="004869C2" w:rsidRPr="00DA20BE" w:rsidRDefault="004869C2" w:rsidP="00DA20BE">
      <w:r w:rsidRPr="00DA20BE">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581D236A" w14:textId="77777777" w:rsidR="004869C2" w:rsidRPr="00DA20BE" w:rsidRDefault="004869C2" w:rsidP="00DA20BE"/>
    <w:p w14:paraId="70E46F39" w14:textId="77777777" w:rsidR="004869C2" w:rsidRPr="00DA20BE" w:rsidRDefault="004869C2" w:rsidP="00DA20BE">
      <w:r w:rsidRPr="00DA20BE">
        <w:t>Lo anterior, tiene sustento en los artículos 86 y 91 de la Ley General de Población, la cual señala lo siguiente:</w:t>
      </w:r>
    </w:p>
    <w:p w14:paraId="068BD61F" w14:textId="77777777" w:rsidR="004869C2" w:rsidRPr="00DA20BE" w:rsidRDefault="004869C2" w:rsidP="00DA20BE"/>
    <w:p w14:paraId="3DA212D7" w14:textId="77777777" w:rsidR="004869C2" w:rsidRPr="00DA20BE" w:rsidRDefault="004869C2" w:rsidP="00DA20BE">
      <w:pPr>
        <w:spacing w:line="240" w:lineRule="auto"/>
        <w:ind w:left="567" w:right="567"/>
        <w:contextualSpacing/>
        <w:rPr>
          <w:i/>
          <w:kern w:val="28"/>
          <w:szCs w:val="56"/>
        </w:rPr>
      </w:pPr>
      <w:r w:rsidRPr="00DA20BE">
        <w:rPr>
          <w:i/>
          <w:kern w:val="28"/>
          <w:szCs w:val="56"/>
        </w:rPr>
        <w:t>“</w:t>
      </w:r>
      <w:r w:rsidRPr="00DA20BE">
        <w:rPr>
          <w:b/>
          <w:i/>
          <w:kern w:val="28"/>
          <w:szCs w:val="56"/>
        </w:rPr>
        <w:t xml:space="preserve">Artículo 86. </w:t>
      </w:r>
      <w:r w:rsidRPr="00DA20BE">
        <w:rPr>
          <w:i/>
          <w:kern w:val="28"/>
          <w:szCs w:val="56"/>
        </w:rPr>
        <w:t>El Registro Nacional de Población tiene como finalidad registrar a cada una de las personas que integran la población del país, con los datos que permitan certificar y acreditar fehacientemente su identidad.</w:t>
      </w:r>
    </w:p>
    <w:p w14:paraId="0DB9A90F" w14:textId="77777777" w:rsidR="004869C2" w:rsidRPr="00DA20BE" w:rsidRDefault="004869C2" w:rsidP="00DA20BE">
      <w:pPr>
        <w:spacing w:line="240" w:lineRule="auto"/>
        <w:ind w:left="567" w:right="567"/>
        <w:contextualSpacing/>
        <w:rPr>
          <w:i/>
          <w:kern w:val="28"/>
          <w:szCs w:val="56"/>
        </w:rPr>
      </w:pPr>
      <w:r w:rsidRPr="00DA20BE">
        <w:rPr>
          <w:b/>
          <w:i/>
          <w:kern w:val="28"/>
          <w:szCs w:val="56"/>
        </w:rPr>
        <w:t xml:space="preserve">Artículo 91. </w:t>
      </w:r>
      <w:r w:rsidRPr="00DA20BE">
        <w:rPr>
          <w:b/>
          <w:i/>
          <w:kern w:val="28"/>
          <w:szCs w:val="56"/>
          <w:u w:val="single"/>
        </w:rPr>
        <w:t>Al incorporar a una persona en el Registro Nacional de Población</w:t>
      </w:r>
      <w:r w:rsidRPr="00DA20BE">
        <w:rPr>
          <w:i/>
          <w:kern w:val="28"/>
          <w:szCs w:val="56"/>
        </w:rPr>
        <w:t xml:space="preserve">, se le asignará una clave </w:t>
      </w:r>
      <w:r w:rsidRPr="00DA20BE">
        <w:rPr>
          <w:b/>
          <w:i/>
          <w:kern w:val="28"/>
          <w:szCs w:val="56"/>
          <w:u w:val="single"/>
        </w:rPr>
        <w:t>que se denominará Clave Única de Registro de Población</w:t>
      </w:r>
      <w:r w:rsidRPr="00DA20BE">
        <w:rPr>
          <w:i/>
          <w:kern w:val="28"/>
          <w:szCs w:val="56"/>
        </w:rPr>
        <w:t xml:space="preserve">. </w:t>
      </w:r>
      <w:r w:rsidRPr="00DA20BE">
        <w:rPr>
          <w:b/>
          <w:i/>
          <w:kern w:val="28"/>
          <w:szCs w:val="56"/>
          <w:u w:val="single"/>
        </w:rPr>
        <w:t>Esta servirá para</w:t>
      </w:r>
      <w:r w:rsidRPr="00DA20BE">
        <w:rPr>
          <w:i/>
          <w:kern w:val="28"/>
          <w:szCs w:val="56"/>
        </w:rPr>
        <w:t xml:space="preserve"> registrarla e </w:t>
      </w:r>
      <w:r w:rsidRPr="00DA20BE">
        <w:rPr>
          <w:b/>
          <w:i/>
          <w:kern w:val="28"/>
          <w:szCs w:val="56"/>
          <w:u w:val="single"/>
        </w:rPr>
        <w:t>identificarla en forma individual</w:t>
      </w:r>
      <w:r w:rsidRPr="00DA20BE">
        <w:rPr>
          <w:i/>
          <w:kern w:val="28"/>
          <w:szCs w:val="56"/>
        </w:rPr>
        <w:t xml:space="preserve">.” </w:t>
      </w:r>
    </w:p>
    <w:p w14:paraId="26976DF5" w14:textId="77777777" w:rsidR="004869C2" w:rsidRPr="00DA20BE" w:rsidRDefault="004869C2" w:rsidP="00DA20BE">
      <w:pPr>
        <w:spacing w:line="240" w:lineRule="auto"/>
        <w:ind w:left="567" w:right="567"/>
        <w:contextualSpacing/>
        <w:rPr>
          <w:i/>
          <w:kern w:val="28"/>
          <w:szCs w:val="56"/>
        </w:rPr>
      </w:pPr>
      <w:r w:rsidRPr="00DA20BE">
        <w:rPr>
          <w:i/>
          <w:kern w:val="28"/>
          <w:szCs w:val="56"/>
        </w:rPr>
        <w:t>(Énfasis añadido)</w:t>
      </w:r>
    </w:p>
    <w:p w14:paraId="1A620AC0" w14:textId="77777777" w:rsidR="004869C2" w:rsidRPr="00DA20BE" w:rsidRDefault="004869C2" w:rsidP="00DA20BE"/>
    <w:p w14:paraId="3E432AD0" w14:textId="77777777" w:rsidR="004869C2" w:rsidRPr="00DA20BE" w:rsidRDefault="004869C2" w:rsidP="00DA20BE">
      <w:r w:rsidRPr="00DA20BE">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de </w:t>
      </w:r>
      <w:r w:rsidRPr="00DA20BE">
        <w:lastRenderedPageBreak/>
        <w:t xml:space="preserve">nacimiento; consonantes internas del nombre y apellidos; un diferenciador de homonimia y siglo; y un digito verificador, que garantizan la correcta integración. </w:t>
      </w:r>
    </w:p>
    <w:p w14:paraId="31CE36D8" w14:textId="77777777" w:rsidR="004869C2" w:rsidRPr="00DA20BE" w:rsidRDefault="004869C2" w:rsidP="00DA20BE"/>
    <w:p w14:paraId="4F1AC8AC" w14:textId="77777777" w:rsidR="004869C2" w:rsidRPr="00DA20BE" w:rsidRDefault="004869C2" w:rsidP="00DA20BE">
      <w:r w:rsidRPr="00DA20BE">
        <w:t>Al respecto, el Instituto Nacional de Transparencia, Acceso a la Información y Protección de Datos Personales (INAI), a través del Criterio 18/17 de la Segunda Época, señala literalmente lo siguiente:</w:t>
      </w:r>
    </w:p>
    <w:p w14:paraId="51913DE8" w14:textId="77777777" w:rsidR="004869C2" w:rsidRPr="00DA20BE" w:rsidRDefault="004869C2" w:rsidP="00DA20BE"/>
    <w:p w14:paraId="4C00DBCD" w14:textId="77777777" w:rsidR="004869C2" w:rsidRPr="00DA20BE" w:rsidRDefault="004869C2" w:rsidP="00DA20BE">
      <w:pPr>
        <w:spacing w:line="240" w:lineRule="auto"/>
        <w:ind w:left="567" w:right="567"/>
        <w:contextualSpacing/>
        <w:rPr>
          <w:i/>
          <w:kern w:val="28"/>
          <w:szCs w:val="56"/>
        </w:rPr>
      </w:pPr>
      <w:r w:rsidRPr="00DA20BE">
        <w:rPr>
          <w:i/>
          <w:kern w:val="28"/>
          <w:szCs w:val="56"/>
        </w:rPr>
        <w:t>“</w:t>
      </w:r>
      <w:r w:rsidRPr="00DA20BE">
        <w:rPr>
          <w:b/>
          <w:i/>
          <w:kern w:val="28"/>
          <w:szCs w:val="56"/>
        </w:rPr>
        <w:t>Clave Única de Registro de Población (CURP). La Clave Única de Registro de Población</w:t>
      </w:r>
      <w:r w:rsidRPr="00DA20BE">
        <w:rPr>
          <w:i/>
          <w:kern w:val="28"/>
          <w:szCs w:val="56"/>
        </w:rPr>
        <w:t xml:space="preserve">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7FD1E3D" w14:textId="77777777" w:rsidR="004869C2" w:rsidRPr="00DA20BE" w:rsidRDefault="004869C2" w:rsidP="00DA20BE">
      <w:pPr>
        <w:spacing w:line="240" w:lineRule="auto"/>
        <w:ind w:left="567" w:right="567"/>
        <w:contextualSpacing/>
        <w:rPr>
          <w:i/>
          <w:kern w:val="28"/>
          <w:szCs w:val="56"/>
        </w:rPr>
      </w:pPr>
      <w:r w:rsidRPr="00DA20BE">
        <w:rPr>
          <w:i/>
          <w:kern w:val="28"/>
          <w:szCs w:val="56"/>
        </w:rPr>
        <w:t xml:space="preserve"> (Énfasis añadido)</w:t>
      </w:r>
    </w:p>
    <w:p w14:paraId="247DF10A" w14:textId="77777777" w:rsidR="004869C2" w:rsidRPr="00DA20BE" w:rsidRDefault="004869C2" w:rsidP="00DA20BE">
      <w:pPr>
        <w:ind w:left="851" w:right="902"/>
      </w:pPr>
    </w:p>
    <w:p w14:paraId="0E94CF2C" w14:textId="77777777" w:rsidR="004869C2" w:rsidRPr="00DA20BE" w:rsidRDefault="004869C2" w:rsidP="00DA20BE">
      <w:r w:rsidRPr="00DA20BE">
        <w:t>De lo anterior, se desprende que la Clave Única de Registro de Población, se encuentra vinculada al nombre y apellidos de la persona, permitiendo identificar fecha y lugar de nacimiento, así como el sexo; datos que únicamente le atañen a su titular,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7DDC89D9" w14:textId="77777777" w:rsidR="004869C2" w:rsidRPr="00DA20BE" w:rsidRDefault="004869C2" w:rsidP="00DA20BE"/>
    <w:p w14:paraId="10A132E2" w14:textId="77777777" w:rsidR="004869C2" w:rsidRPr="00DA20BE" w:rsidRDefault="004869C2" w:rsidP="00DA20BE">
      <w:pPr>
        <w:numPr>
          <w:ilvl w:val="0"/>
          <w:numId w:val="4"/>
        </w:numPr>
        <w:spacing w:after="160" w:line="256" w:lineRule="auto"/>
        <w:jc w:val="left"/>
        <w:rPr>
          <w:rFonts w:eastAsia="Palatino Linotype" w:cs="Palatino Linotype"/>
          <w:b/>
          <w:szCs w:val="22"/>
        </w:rPr>
      </w:pPr>
      <w:r w:rsidRPr="00DA20BE">
        <w:rPr>
          <w:rFonts w:eastAsia="Palatino Linotype" w:cs="Palatino Linotype"/>
          <w:b/>
          <w:szCs w:val="22"/>
        </w:rPr>
        <w:t>Clave de cualquier tipo de seguridad social</w:t>
      </w:r>
    </w:p>
    <w:p w14:paraId="1329D50E" w14:textId="77777777" w:rsidR="004869C2" w:rsidRPr="00DA20BE" w:rsidRDefault="004869C2" w:rsidP="00DA20BE"/>
    <w:p w14:paraId="46DF4277" w14:textId="77777777" w:rsidR="004869C2" w:rsidRPr="00DA20BE" w:rsidRDefault="004869C2" w:rsidP="00DA20BE">
      <w:r w:rsidRPr="00DA20BE">
        <w:t xml:space="preserve">Por cuanto hace a la </w:t>
      </w:r>
      <w:r w:rsidRPr="00DA20BE">
        <w:rPr>
          <w:b/>
        </w:rPr>
        <w:t>Clave de cualquier tipo de seguridad social</w:t>
      </w:r>
      <w:r w:rsidRPr="00DA20BE">
        <w:t xml:space="preserve"> (ISSEMYM, u otros), está integrado por una secuencia de números con los que se identifica a los trabajadores que cubren las cuotas respectivas, asimismo, lo identifica con la fuente de trabajo; por lo que al ser una </w:t>
      </w:r>
      <w:r w:rsidRPr="00DA20BE">
        <w:lastRenderedPageBreak/>
        <w:t>clave de identificación de los trabajadores, constituye información confidencial, 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7E05BAE6" w14:textId="77777777" w:rsidR="004869C2" w:rsidRPr="00DA20BE" w:rsidRDefault="004869C2" w:rsidP="00DA20BE"/>
    <w:p w14:paraId="3CE00A6F" w14:textId="77777777" w:rsidR="004869C2" w:rsidRPr="00DA20BE" w:rsidRDefault="004869C2" w:rsidP="00DA20BE">
      <w:pPr>
        <w:numPr>
          <w:ilvl w:val="0"/>
          <w:numId w:val="4"/>
        </w:numPr>
        <w:spacing w:after="160" w:line="256" w:lineRule="auto"/>
        <w:jc w:val="left"/>
        <w:rPr>
          <w:rFonts w:eastAsia="Palatino Linotype" w:cs="Palatino Linotype"/>
          <w:b/>
          <w:szCs w:val="22"/>
        </w:rPr>
      </w:pPr>
      <w:r w:rsidRPr="00DA20BE">
        <w:rPr>
          <w:rFonts w:eastAsia="Palatino Linotype" w:cs="Palatino Linotype"/>
          <w:b/>
          <w:szCs w:val="22"/>
        </w:rPr>
        <w:t>Número de cuenta bancaria de los particulares</w:t>
      </w:r>
    </w:p>
    <w:p w14:paraId="79FD07FB" w14:textId="77777777" w:rsidR="004869C2" w:rsidRPr="00DA20BE" w:rsidRDefault="004869C2" w:rsidP="00DA20BE">
      <w:pPr>
        <w:ind w:left="720"/>
        <w:rPr>
          <w:rFonts w:eastAsia="Palatino Linotype" w:cs="Palatino Linotype"/>
          <w:b/>
          <w:szCs w:val="22"/>
        </w:rPr>
      </w:pPr>
    </w:p>
    <w:p w14:paraId="7B282935" w14:textId="77777777" w:rsidR="004869C2" w:rsidRPr="00DA20BE" w:rsidRDefault="004869C2" w:rsidP="00DA20BE">
      <w:r w:rsidRPr="00DA20BE">
        <w:t>Por otro lado, es importante señalar que por cuanto hace al el número de cuenta bancaria de los particulares debe ser clasificado como confidencial con fundamento en las fracciones I y II del artículo 143 de la Ley de la Materia de la Entidad; en razón de que, con su difusión se estaría poniendo en riesgo la seguridad de su titular.</w:t>
      </w:r>
    </w:p>
    <w:p w14:paraId="4EC1CE5D" w14:textId="77777777" w:rsidR="004869C2" w:rsidRPr="00DA20BE" w:rsidRDefault="004869C2" w:rsidP="00DA20BE">
      <w:pPr>
        <w:ind w:right="50"/>
      </w:pPr>
    </w:p>
    <w:p w14:paraId="7C16A637" w14:textId="77777777" w:rsidR="004869C2" w:rsidRPr="00DA20BE" w:rsidRDefault="004869C2" w:rsidP="00DA20BE">
      <w:pPr>
        <w:ind w:right="51"/>
      </w:pPr>
      <w:r w:rsidRPr="00DA20BE">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0BF3836B" w14:textId="77777777" w:rsidR="004869C2" w:rsidRPr="00DA20BE" w:rsidRDefault="004869C2" w:rsidP="00DA20BE">
      <w:pPr>
        <w:ind w:right="51"/>
      </w:pPr>
    </w:p>
    <w:p w14:paraId="18056808" w14:textId="77777777" w:rsidR="004869C2" w:rsidRPr="00DA20BE" w:rsidRDefault="004869C2" w:rsidP="00DA20BE">
      <w:pPr>
        <w:ind w:right="50"/>
      </w:pPr>
      <w:r w:rsidRPr="00DA20BE">
        <w:t>Lo anterior encuentra sustento en el criterio 10/17 emitido por el Instituto Nacional de Transparencia y Acceso a la Información Pública del Estado de México y Municipios, que a la letra dicen:</w:t>
      </w:r>
    </w:p>
    <w:p w14:paraId="2274AB50" w14:textId="77777777" w:rsidR="004869C2" w:rsidRPr="00DA20BE" w:rsidRDefault="004869C2" w:rsidP="00DA20BE">
      <w:pPr>
        <w:ind w:right="50"/>
      </w:pPr>
    </w:p>
    <w:p w14:paraId="70DCDC93" w14:textId="77777777" w:rsidR="004869C2" w:rsidRPr="00DA20BE" w:rsidRDefault="004869C2" w:rsidP="00DA20BE">
      <w:pPr>
        <w:spacing w:line="240" w:lineRule="auto"/>
        <w:ind w:left="567" w:right="567"/>
        <w:contextualSpacing/>
        <w:rPr>
          <w:i/>
          <w:kern w:val="28"/>
          <w:szCs w:val="56"/>
        </w:rPr>
      </w:pPr>
      <w:r w:rsidRPr="00DA20BE">
        <w:rPr>
          <w:b/>
          <w:i/>
          <w:kern w:val="28"/>
          <w:szCs w:val="56"/>
        </w:rPr>
        <w:lastRenderedPageBreak/>
        <w:t>“Cuentas bancarias y/o CLABE interbancaria de personas físicas y morales privadas.</w:t>
      </w:r>
      <w:r w:rsidRPr="00DA20BE">
        <w:rPr>
          <w:i/>
          <w:kern w:val="28"/>
          <w:szCs w:val="56"/>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6406DC4D" w14:textId="77777777" w:rsidR="004869C2" w:rsidRPr="00DA20BE" w:rsidRDefault="004869C2" w:rsidP="00DA20BE">
      <w:pPr>
        <w:ind w:left="851" w:right="1134"/>
        <w:jc w:val="center"/>
        <w:rPr>
          <w:b/>
          <w:i/>
        </w:rPr>
      </w:pPr>
    </w:p>
    <w:p w14:paraId="763E5B33" w14:textId="77777777" w:rsidR="004869C2" w:rsidRPr="00DA20BE" w:rsidRDefault="004869C2" w:rsidP="00DA20BE">
      <w:pPr>
        <w:numPr>
          <w:ilvl w:val="0"/>
          <w:numId w:val="4"/>
        </w:numPr>
        <w:spacing w:after="160" w:line="256" w:lineRule="auto"/>
        <w:jc w:val="left"/>
        <w:rPr>
          <w:rFonts w:eastAsia="Palatino Linotype" w:cs="Palatino Linotype"/>
          <w:b/>
          <w:szCs w:val="22"/>
        </w:rPr>
      </w:pPr>
      <w:r w:rsidRPr="00DA20BE">
        <w:rPr>
          <w:rFonts w:eastAsia="Palatino Linotype" w:cs="Palatino Linotype"/>
          <w:b/>
          <w:szCs w:val="22"/>
        </w:rPr>
        <w:t>Número de empleado de servidores públicos o su equivalente</w:t>
      </w:r>
    </w:p>
    <w:p w14:paraId="513D9C93" w14:textId="77777777" w:rsidR="004869C2" w:rsidRPr="00DA20BE" w:rsidRDefault="004869C2" w:rsidP="00DA20BE"/>
    <w:p w14:paraId="43ACA6B8" w14:textId="77777777" w:rsidR="004869C2" w:rsidRPr="00DA20BE" w:rsidRDefault="004869C2" w:rsidP="00DA20BE">
      <w:r w:rsidRPr="00DA20BE">
        <w:t xml:space="preserve">Por otro lado, es necesario precisar que el </w:t>
      </w:r>
      <w:r w:rsidRPr="00DA20BE">
        <w:rPr>
          <w:b/>
        </w:rPr>
        <w:t>número de empleado de servidores públicos o su equivalente</w:t>
      </w:r>
      <w:r w:rsidRPr="00DA20BE">
        <w:t xml:space="preserve">, con independencia del nombre que reciba, constituye un instrumento de control interno que permite a las dependencias y entidades identificar a sus trabajadores y a estos les facilita la realización de gestiones en su carácter de empleado. </w:t>
      </w:r>
    </w:p>
    <w:p w14:paraId="5184A939" w14:textId="77777777" w:rsidR="004869C2" w:rsidRPr="00DA20BE" w:rsidRDefault="004869C2" w:rsidP="00DA20BE">
      <w:pPr>
        <w:spacing w:before="240" w:after="240"/>
        <w:ind w:right="49"/>
      </w:pPr>
      <w:r w:rsidRPr="00DA20BE">
        <w:t>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14:paraId="695CDB60" w14:textId="77777777" w:rsidR="004869C2" w:rsidRPr="00DA20BE" w:rsidRDefault="004869C2" w:rsidP="00DA20BE">
      <w:pPr>
        <w:spacing w:before="240" w:after="240"/>
        <w:ind w:right="49"/>
      </w:pPr>
      <w:r w:rsidRPr="00DA20BE">
        <w:t xml:space="preserve">Lo anterior, toma sustento en el Criterio de Interpretación, de la Segunda Época, con número de registro SO/006/2019, emitido por el Instituto Nacional de Transparencia, Acceso a la Información y Protección de Datos Personales, que establece lo siguiente: </w:t>
      </w:r>
    </w:p>
    <w:p w14:paraId="2A58F2C1" w14:textId="77777777" w:rsidR="004869C2" w:rsidRPr="00DA20BE" w:rsidRDefault="004869C2" w:rsidP="00DA20BE">
      <w:pPr>
        <w:spacing w:line="240" w:lineRule="auto"/>
        <w:ind w:left="567" w:right="567"/>
        <w:contextualSpacing/>
        <w:rPr>
          <w:i/>
          <w:kern w:val="28"/>
          <w:szCs w:val="56"/>
        </w:rPr>
      </w:pPr>
      <w:r w:rsidRPr="00DA20BE">
        <w:rPr>
          <w:i/>
          <w:kern w:val="28"/>
          <w:szCs w:val="56"/>
        </w:rPr>
        <w:t>“</w:t>
      </w:r>
      <w:r w:rsidRPr="00DA20BE">
        <w:rPr>
          <w:b/>
          <w:i/>
          <w:kern w:val="28"/>
          <w:szCs w:val="56"/>
        </w:rPr>
        <w:t>Número de empleado.</w:t>
      </w:r>
      <w:r w:rsidRPr="00DA20BE">
        <w:rPr>
          <w:i/>
          <w:kern w:val="28"/>
          <w:szCs w:val="56"/>
        </w:rPr>
        <w:t xml:space="preserve"> 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 </w:t>
      </w:r>
    </w:p>
    <w:p w14:paraId="316599C6" w14:textId="77777777" w:rsidR="004869C2" w:rsidRPr="00DA20BE" w:rsidRDefault="004869C2" w:rsidP="00DA20BE">
      <w:pPr>
        <w:spacing w:line="240" w:lineRule="auto"/>
        <w:ind w:left="567" w:right="567"/>
        <w:contextualSpacing/>
        <w:rPr>
          <w:i/>
          <w:kern w:val="28"/>
          <w:szCs w:val="56"/>
        </w:rPr>
      </w:pPr>
    </w:p>
    <w:p w14:paraId="21C91B98" w14:textId="77777777" w:rsidR="004869C2" w:rsidRPr="00DA20BE" w:rsidRDefault="004869C2" w:rsidP="00DA20BE">
      <w:pPr>
        <w:ind w:right="49"/>
      </w:pPr>
      <w:r w:rsidRPr="00DA20BE">
        <w:t>Así, se colige que solamente procederá la clasificación del número de empleado, cuando se integre con datos personales de los servidores públicos o funcione como clave de acceso que no requiera una contraseña para ingresar a sistemas o bases de datos. De tales circunstancias, se considera que el Ente Recurrido deberá proporcionar dicho dato, en el caso, de que este se conforme únicamente de números, símbolos o dígitos, que de ninguna manera puedan revelar datos personales o de acceso a sistemas con información de los trabajadores; en el caso contrario, procederá su clasificación, en términos del artículo 143, fracción I, de la Ley de la materia.</w:t>
      </w:r>
    </w:p>
    <w:p w14:paraId="5F51E0DE" w14:textId="77777777" w:rsidR="004869C2" w:rsidRPr="00DA20BE" w:rsidRDefault="004869C2" w:rsidP="00DA20BE"/>
    <w:p w14:paraId="7086998A" w14:textId="77777777" w:rsidR="004869C2" w:rsidRPr="00DA20BE" w:rsidRDefault="004869C2" w:rsidP="00DA20BE">
      <w:pPr>
        <w:rPr>
          <w:rFonts w:eastAsia="Palatino Linotype" w:cs="Palatino Linotype"/>
        </w:rPr>
      </w:pPr>
      <w:r w:rsidRPr="00DA20BE">
        <w:t>Asimismo, n</w:t>
      </w:r>
      <w:r w:rsidRPr="00DA20BE">
        <w:rPr>
          <w:rFonts w:eastAsia="Palatino Linotype" w:cs="Palatino Linotype"/>
        </w:rPr>
        <w:t xml:space="preserve">o escapa de la óptica de este Instituto que dentro de la información que se ordena se puede encontrar información relativa a los elementos operativos del cuerpo de seguridad pública, los cuales es criterio del pleno de este Organismo que el nombre de estos servidores públicos encuadra en una excepción y por tanto debe ser objeto de un proceso de </w:t>
      </w:r>
      <w:r w:rsidRPr="00DA20BE">
        <w:rPr>
          <w:rFonts w:eastAsia="Palatino Linotype" w:cs="Palatino Linotype"/>
          <w:b/>
          <w:u w:val="single"/>
        </w:rPr>
        <w:t>reserva de la información</w:t>
      </w:r>
      <w:r w:rsidRPr="00DA20BE">
        <w:rPr>
          <w:rFonts w:eastAsia="Palatino Linotype" w:cs="Palatino Linotype"/>
        </w:rPr>
        <w:t>, para no hacer identificable al titular de tal dato personal.</w:t>
      </w:r>
    </w:p>
    <w:p w14:paraId="76BD42CF" w14:textId="77777777" w:rsidR="004869C2" w:rsidRPr="00DA20BE" w:rsidRDefault="004869C2" w:rsidP="00DA20BE">
      <w:pPr>
        <w:ind w:right="-93"/>
        <w:rPr>
          <w:rFonts w:cs="Arial"/>
        </w:rPr>
      </w:pPr>
    </w:p>
    <w:p w14:paraId="55B8ECD1" w14:textId="77777777" w:rsidR="004869C2" w:rsidRPr="00DA20BE" w:rsidRDefault="004869C2" w:rsidP="00DA20BE">
      <w:pPr>
        <w:rPr>
          <w:rFonts w:cs="Arial"/>
        </w:rPr>
      </w:pPr>
      <w:r w:rsidRPr="00DA20BE">
        <w:rPr>
          <w:rFonts w:cs="Arial"/>
        </w:rPr>
        <w:t>Ello, conforme al propio concepto de versión pública contenido en el artículo 3, fracción XXIV, de la multicitada Ley se define como:</w:t>
      </w:r>
    </w:p>
    <w:p w14:paraId="3262043D" w14:textId="77777777" w:rsidR="004869C2" w:rsidRPr="00DA20BE" w:rsidRDefault="004869C2" w:rsidP="00DA20BE">
      <w:pPr>
        <w:rPr>
          <w:rFonts w:cs="Arial"/>
        </w:rPr>
      </w:pPr>
    </w:p>
    <w:p w14:paraId="75496ABA" w14:textId="77777777" w:rsidR="004869C2" w:rsidRPr="00DA20BE" w:rsidRDefault="004869C2" w:rsidP="00DA20BE">
      <w:pPr>
        <w:spacing w:line="240" w:lineRule="auto"/>
        <w:ind w:left="851" w:right="899"/>
        <w:rPr>
          <w:rFonts w:cs="Arial"/>
          <w:i/>
        </w:rPr>
      </w:pPr>
      <w:r w:rsidRPr="00DA20BE">
        <w:rPr>
          <w:rFonts w:cs="Arial"/>
          <w:i/>
        </w:rPr>
        <w:t>“</w:t>
      </w:r>
      <w:r w:rsidRPr="00DA20BE">
        <w:rPr>
          <w:rFonts w:cs="Arial"/>
          <w:b/>
          <w:i/>
        </w:rPr>
        <w:t>XXIV</w:t>
      </w:r>
      <w:r w:rsidRPr="00DA20BE">
        <w:rPr>
          <w:rFonts w:cs="Arial"/>
          <w:i/>
        </w:rPr>
        <w:t xml:space="preserve">. </w:t>
      </w:r>
      <w:r w:rsidRPr="00DA20BE">
        <w:rPr>
          <w:rFonts w:cs="Arial"/>
          <w:b/>
          <w:i/>
        </w:rPr>
        <w:t>Información reservada:</w:t>
      </w:r>
      <w:r w:rsidRPr="00DA20BE">
        <w:rPr>
          <w:rFonts w:cs="Arial"/>
          <w:i/>
        </w:rPr>
        <w:t xml:space="preserve"> La clasificada con este carácter de manera temporal por las disposiciones de esta Ley, cuya divulgación puede causar daño en términos de lo establecido por esta Ley;”</w:t>
      </w:r>
    </w:p>
    <w:p w14:paraId="1C906838" w14:textId="77777777" w:rsidR="004869C2" w:rsidRPr="00DA20BE" w:rsidRDefault="004869C2" w:rsidP="00DA20BE">
      <w:pPr>
        <w:rPr>
          <w:rFonts w:cs="Arial"/>
        </w:rPr>
      </w:pPr>
    </w:p>
    <w:p w14:paraId="6AFAEF8D" w14:textId="77777777" w:rsidR="004869C2" w:rsidRPr="00DA20BE" w:rsidRDefault="004869C2" w:rsidP="00DA20BE">
      <w:pPr>
        <w:rPr>
          <w:rFonts w:cs="Arial"/>
        </w:rPr>
      </w:pPr>
      <w:r w:rsidRPr="00DA20BE">
        <w:rPr>
          <w:rFonts w:cs="Arial"/>
        </w:rPr>
        <w:t xml:space="preserve">No obstante que si bien, por regla general 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w:t>
      </w:r>
      <w:r w:rsidRPr="00DA20BE">
        <w:rPr>
          <w:rFonts w:cs="Arial"/>
        </w:rPr>
        <w:lastRenderedPageBreak/>
        <w:t xml:space="preserve">con el artículo 23, segundo párrafo, de la Ley ya analizado, lo cierto es que, en lo que respecta </w:t>
      </w:r>
      <w:r w:rsidRPr="00DA20BE">
        <w:rPr>
          <w:rFonts w:cs="Arial"/>
          <w:b/>
        </w:rPr>
        <w:t>elementos de seguridad pública, la elaboración de versiones públicas pudiera variar, eliminando información adicional, siempre y cuando se demuestre que pueda poner en riesgo la vida e integridad física con motivo de las funciones de servidores públicos</w:t>
      </w:r>
      <w:r w:rsidRPr="00DA20BE">
        <w:rPr>
          <w:rFonts w:cs="Arial"/>
        </w:rPr>
        <w:t>.</w:t>
      </w:r>
    </w:p>
    <w:p w14:paraId="37C4F1CE" w14:textId="77777777" w:rsidR="004869C2" w:rsidRPr="00DA20BE" w:rsidRDefault="004869C2" w:rsidP="00DA20BE">
      <w:pPr>
        <w:rPr>
          <w:rFonts w:cs="Arial"/>
        </w:rPr>
      </w:pPr>
    </w:p>
    <w:p w14:paraId="197D2FCC" w14:textId="77777777" w:rsidR="004869C2" w:rsidRPr="00DA20BE" w:rsidRDefault="004869C2" w:rsidP="00DA20BE">
      <w:pPr>
        <w:rPr>
          <w:rFonts w:cs="Arial"/>
        </w:rPr>
      </w:pPr>
      <w:r w:rsidRPr="00DA20BE">
        <w:rPr>
          <w:rFonts w:cs="Arial"/>
        </w:rPr>
        <w:t xml:space="preserve">Esto es así, ya que el artículo 81, fracción III, de la Ley de Seguridad del Estado de México, establece lo siguiente: </w:t>
      </w:r>
    </w:p>
    <w:p w14:paraId="729F7548" w14:textId="77777777" w:rsidR="004869C2" w:rsidRPr="00DA20BE" w:rsidRDefault="004869C2" w:rsidP="00DA20BE">
      <w:pPr>
        <w:rPr>
          <w:rFonts w:cs="Arial"/>
        </w:rPr>
      </w:pPr>
    </w:p>
    <w:p w14:paraId="6A6332A1" w14:textId="77777777" w:rsidR="004869C2" w:rsidRPr="00DA20BE" w:rsidRDefault="004869C2" w:rsidP="00DA20BE">
      <w:pPr>
        <w:spacing w:line="240" w:lineRule="auto"/>
        <w:ind w:left="567" w:right="567"/>
        <w:contextualSpacing/>
        <w:rPr>
          <w:i/>
          <w:kern w:val="28"/>
          <w:szCs w:val="56"/>
        </w:rPr>
      </w:pPr>
      <w:r w:rsidRPr="00DA20BE">
        <w:rPr>
          <w:i/>
          <w:kern w:val="28"/>
          <w:szCs w:val="56"/>
        </w:rPr>
        <w:t>“</w:t>
      </w:r>
      <w:r w:rsidRPr="00DA20BE">
        <w:rPr>
          <w:b/>
          <w:i/>
          <w:kern w:val="28"/>
          <w:szCs w:val="56"/>
        </w:rPr>
        <w:t>Artículo 81.-</w:t>
      </w:r>
      <w:r w:rsidRPr="00DA20BE">
        <w:rPr>
          <w:i/>
          <w:kern w:val="28"/>
          <w:szCs w:val="56"/>
        </w:rPr>
        <w:t xml:space="preserve"> </w:t>
      </w:r>
      <w:r w:rsidRPr="00DA20BE">
        <w:rPr>
          <w:b/>
          <w:i/>
          <w:kern w:val="28"/>
          <w:szCs w:val="56"/>
        </w:rPr>
        <w:t>Toda información para la seguridad pública</w:t>
      </w:r>
      <w:r w:rsidRPr="00DA20BE">
        <w:rPr>
          <w:i/>
          <w:kern w:val="28"/>
          <w:szCs w:val="56"/>
        </w:rPr>
        <w:t xml:space="preserve"> generada o en poder de Instituciones de Seguridad Pública o de cualquier instancia del Sistema Estatal </w:t>
      </w:r>
      <w:r w:rsidRPr="00DA20BE">
        <w:rPr>
          <w:b/>
          <w:i/>
          <w:kern w:val="28"/>
          <w:szCs w:val="56"/>
        </w:rPr>
        <w:t>debe</w:t>
      </w:r>
      <w:r w:rsidRPr="00DA20BE">
        <w:rPr>
          <w:i/>
          <w:kern w:val="28"/>
          <w:szCs w:val="56"/>
        </w:rPr>
        <w:t xml:space="preserve"> registrarse, </w:t>
      </w:r>
      <w:r w:rsidRPr="00DA20BE">
        <w:rPr>
          <w:b/>
          <w:i/>
          <w:kern w:val="28"/>
          <w:szCs w:val="56"/>
        </w:rPr>
        <w:t>clasificarse</w:t>
      </w:r>
      <w:r w:rsidRPr="00DA20BE">
        <w:rPr>
          <w:i/>
          <w:kern w:val="28"/>
          <w:szCs w:val="56"/>
        </w:rPr>
        <w:t xml:space="preserve"> y tratarse de conformidad con las disposiciones aplicables. No obstante lo anterior, esta información se considerará reservada en los casos siguientes:</w:t>
      </w:r>
    </w:p>
    <w:p w14:paraId="7A9A44D8" w14:textId="77777777" w:rsidR="004869C2" w:rsidRPr="00DA20BE" w:rsidRDefault="004869C2" w:rsidP="00DA20BE">
      <w:pPr>
        <w:ind w:left="567" w:right="567"/>
        <w:rPr>
          <w:rFonts w:cs="Arial"/>
          <w:i/>
        </w:rPr>
      </w:pPr>
      <w:r w:rsidRPr="00DA20BE">
        <w:rPr>
          <w:rFonts w:cs="Arial"/>
          <w:i/>
        </w:rPr>
        <w:t>(…)</w:t>
      </w:r>
    </w:p>
    <w:p w14:paraId="0B500410" w14:textId="77777777" w:rsidR="004869C2" w:rsidRPr="00DA20BE" w:rsidRDefault="004869C2" w:rsidP="00DA20BE">
      <w:pPr>
        <w:spacing w:line="240" w:lineRule="auto"/>
        <w:ind w:left="567" w:right="567"/>
        <w:contextualSpacing/>
        <w:rPr>
          <w:b/>
          <w:i/>
          <w:kern w:val="28"/>
          <w:szCs w:val="56"/>
        </w:rPr>
      </w:pPr>
      <w:r w:rsidRPr="00DA20BE">
        <w:rPr>
          <w:b/>
          <w:i/>
          <w:kern w:val="28"/>
          <w:szCs w:val="56"/>
        </w:rPr>
        <w:t>III</w:t>
      </w:r>
      <w:r w:rsidRPr="00DA20BE">
        <w:rPr>
          <w:i/>
          <w:kern w:val="28"/>
          <w:szCs w:val="56"/>
        </w:rPr>
        <w:t xml:space="preserve">. </w:t>
      </w:r>
      <w:r w:rsidRPr="00DA20BE">
        <w:rPr>
          <w:b/>
          <w:i/>
          <w:kern w:val="28"/>
          <w:szCs w:val="56"/>
        </w:rPr>
        <w:t>La relativa a servidores públicos miembros de las instituciones de seguridad pública, cuya revelación pueda poner en riesgo su vida e integridad física con motivo de sus funciones;”</w:t>
      </w:r>
    </w:p>
    <w:p w14:paraId="17B89B61" w14:textId="77777777" w:rsidR="004869C2" w:rsidRPr="00DA20BE" w:rsidRDefault="004869C2" w:rsidP="00DA20BE">
      <w:pPr>
        <w:rPr>
          <w:rFonts w:cs="Arial"/>
        </w:rPr>
      </w:pPr>
    </w:p>
    <w:p w14:paraId="202D893E" w14:textId="77777777" w:rsidR="004869C2" w:rsidRPr="00DA20BE" w:rsidRDefault="004869C2" w:rsidP="00DA20BE">
      <w:pPr>
        <w:rPr>
          <w:rFonts w:cs="Arial"/>
        </w:rPr>
      </w:pPr>
      <w:r w:rsidRPr="00DA20BE">
        <w:rPr>
          <w:rFonts w:cs="Arial"/>
        </w:rPr>
        <w:t xml:space="preserve">Por tanto, </w:t>
      </w:r>
      <w:r w:rsidRPr="00DA20BE">
        <w:rPr>
          <w:rFonts w:cs="Arial"/>
          <w:b/>
        </w:rPr>
        <w:t>EL SUJETO OBLIGADO</w:t>
      </w:r>
      <w:r w:rsidRPr="00DA20BE">
        <w:rPr>
          <w:rFonts w:cs="Arial"/>
        </w:rPr>
        <w:t xml:space="preserve"> deberá clasificar dicha información, justificando de manera fundada y motivada las circunstancias por las cuales se podría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0DF6E16C" w14:textId="77777777" w:rsidR="004869C2" w:rsidRPr="00DA20BE" w:rsidRDefault="004869C2" w:rsidP="00DA20BE">
      <w:pPr>
        <w:rPr>
          <w:rFonts w:cs="Arial"/>
        </w:rPr>
      </w:pPr>
    </w:p>
    <w:p w14:paraId="5332B42A" w14:textId="77777777" w:rsidR="004869C2" w:rsidRPr="00DA20BE" w:rsidRDefault="004869C2" w:rsidP="00DA20BE">
      <w:pPr>
        <w:rPr>
          <w:rFonts w:cs="Arial"/>
        </w:rPr>
      </w:pPr>
      <w:r w:rsidRPr="00DA20BE">
        <w:rPr>
          <w:rFonts w:cs="Arial"/>
        </w:rPr>
        <w:t xml:space="preserve">Es decir, podrá eliminar cualquier información considerada no confidencial, de los elementos de seguridad pública, desde el nombre hasta las percepciones económicas, dependiendo de la </w:t>
      </w:r>
      <w:r w:rsidRPr="00DA20BE">
        <w:rPr>
          <w:rFonts w:cs="Arial"/>
        </w:rPr>
        <w:lastRenderedPageBreak/>
        <w:t>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5B36977B" w14:textId="77777777" w:rsidR="004869C2" w:rsidRPr="00DA20BE" w:rsidRDefault="004869C2" w:rsidP="00DA20BE">
      <w:pPr>
        <w:rPr>
          <w:rFonts w:cs="Arial"/>
        </w:rPr>
      </w:pPr>
    </w:p>
    <w:p w14:paraId="585E3CEC" w14:textId="77777777" w:rsidR="004869C2" w:rsidRPr="00DA20BE" w:rsidRDefault="004869C2" w:rsidP="00DA20BE">
      <w:pPr>
        <w:rPr>
          <w:rFonts w:cs="Arial"/>
        </w:rPr>
      </w:pPr>
      <w:r w:rsidRPr="00DA20BE">
        <w:rPr>
          <w:rFonts w:cs="Arial"/>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32541183" w14:textId="77777777" w:rsidR="004869C2" w:rsidRPr="00DA20BE" w:rsidRDefault="004869C2" w:rsidP="00DA20BE">
      <w:pPr>
        <w:rPr>
          <w:rFonts w:cs="Arial"/>
        </w:rPr>
      </w:pPr>
    </w:p>
    <w:p w14:paraId="5E309805" w14:textId="77777777" w:rsidR="004869C2" w:rsidRPr="00DA20BE" w:rsidRDefault="004869C2" w:rsidP="00DA20BE">
      <w:pPr>
        <w:rPr>
          <w:b/>
          <w:bCs/>
          <w:lang w:val="es-ES_tradnl"/>
        </w:rPr>
      </w:pPr>
      <w:r w:rsidRPr="00DA20BE">
        <w:rPr>
          <w:rFonts w:cs="Arial"/>
          <w:lang w:val="es-ES_tradnl" w:eastAsia="es-MX"/>
        </w:rPr>
        <w:t xml:space="preserve">Al respecto, </w:t>
      </w:r>
      <w:r w:rsidRPr="00DA20BE">
        <w:rPr>
          <w:rFonts w:cs="Arial"/>
          <w:lang w:val="es-ES_tradnl"/>
        </w:rPr>
        <w:t>es aplicable el Criterio 09/2024 de la Tercera Época, emitido por este Órgano Garante</w:t>
      </w:r>
      <w:r w:rsidRPr="00DA20BE">
        <w:rPr>
          <w:rFonts w:eastAsia="Arial Unicode MS" w:cs="Arial"/>
          <w:lang w:val="es-ES_tradnl"/>
        </w:rPr>
        <w:t>,</w:t>
      </w:r>
      <w:r w:rsidRPr="00DA20BE">
        <w:rPr>
          <w:bCs/>
          <w:lang w:val="es-ES_tradnl"/>
        </w:rPr>
        <w:t xml:space="preserve"> que dice:</w:t>
      </w:r>
      <w:r w:rsidRPr="00DA20BE">
        <w:rPr>
          <w:b/>
          <w:bCs/>
          <w:lang w:val="es-ES_tradnl"/>
        </w:rPr>
        <w:t xml:space="preserve"> </w:t>
      </w:r>
    </w:p>
    <w:p w14:paraId="0944D1F5" w14:textId="77777777" w:rsidR="004869C2" w:rsidRPr="00DA20BE" w:rsidRDefault="004869C2" w:rsidP="00DA20BE">
      <w:pPr>
        <w:rPr>
          <w:rFonts w:cs="Arial"/>
          <w:lang w:val="es-ES_tradnl"/>
        </w:rPr>
      </w:pPr>
    </w:p>
    <w:p w14:paraId="30376B30" w14:textId="77777777" w:rsidR="004869C2" w:rsidRPr="00DA20BE" w:rsidRDefault="004869C2" w:rsidP="00DA20BE">
      <w:pPr>
        <w:spacing w:line="240" w:lineRule="auto"/>
        <w:ind w:left="567" w:right="567"/>
        <w:contextualSpacing/>
        <w:rPr>
          <w:i/>
          <w:kern w:val="28"/>
          <w:szCs w:val="56"/>
        </w:rPr>
      </w:pPr>
      <w:r w:rsidRPr="00DA20BE">
        <w:rPr>
          <w:b/>
          <w:i/>
          <w:kern w:val="28"/>
          <w:szCs w:val="56"/>
        </w:rPr>
        <w:t>“NOMBRE DE PERSONAL OPERATIVO DE  SEGURIDAD PÚBLICA. PROCEDE SU CLASIFICACIÓN COMO INFORMACIÓN RESERVADA</w:t>
      </w:r>
      <w:r w:rsidRPr="00DA20BE">
        <w:rPr>
          <w:i/>
          <w:kern w:val="28"/>
          <w:szCs w:val="56"/>
        </w:rPr>
        <w:t>. El nombre del persona</w:t>
      </w:r>
      <w:r w:rsidRPr="00DA20BE">
        <w:rPr>
          <w:rFonts w:eastAsiaTheme="majorEastAsia"/>
          <w:kern w:val="28"/>
          <w:szCs w:val="56"/>
        </w:rPr>
        <w:t>l</w:t>
      </w:r>
      <w:r w:rsidRPr="00DA20BE">
        <w:rPr>
          <w:i/>
          <w:kern w:val="28"/>
          <w:szCs w:val="56"/>
        </w:rPr>
        <w:t xml:space="preserve"> operativo de seguridad pública debe clasificarse como información reservada previa acreditación de la prueba de daño, ya que su publicidad podría entorpecer las tareas de seguridad pública y poner en riesgo la vida, la seguridad o la salud del servidor público, ya que los vuelve plenamente identificables ante grupos delictivos. Sin embargo, esta causal de reserva por regla general no puede aplicar al personal administrativo y de mando medio y superior, al no realizar funciones operativas de seguridad pública.” (sic) </w:t>
      </w:r>
    </w:p>
    <w:p w14:paraId="5917D957" w14:textId="77777777" w:rsidR="004869C2" w:rsidRPr="00DA20BE" w:rsidRDefault="004869C2" w:rsidP="00DA20BE">
      <w:pPr>
        <w:rPr>
          <w:rFonts w:cs="Arial"/>
        </w:rPr>
      </w:pPr>
    </w:p>
    <w:p w14:paraId="02F9D4B2" w14:textId="77777777" w:rsidR="004869C2" w:rsidRPr="00DA20BE" w:rsidRDefault="004869C2" w:rsidP="00DA20BE">
      <w:pPr>
        <w:ind w:right="-93"/>
        <w:rPr>
          <w:rFonts w:cs="Arial"/>
          <w:bCs/>
        </w:rPr>
      </w:pPr>
      <w:r w:rsidRPr="00DA20BE">
        <w:rPr>
          <w:rFonts w:cs="Arial"/>
          <w:bCs/>
        </w:rPr>
        <w:t xml:space="preserve">En ese orden de ideas, si bien por regla general los nombres de los trabajadores gubernamentales son información pública de oficio, existe una excepción relativa a </w:t>
      </w:r>
      <w:r w:rsidRPr="00DA20BE">
        <w:rPr>
          <w:rFonts w:cs="Arial"/>
          <w:b/>
          <w:bCs/>
        </w:rPr>
        <w:t xml:space="preserve">aquellos </w:t>
      </w:r>
      <w:r w:rsidRPr="00DA20BE">
        <w:rPr>
          <w:rFonts w:cs="Arial"/>
          <w:b/>
          <w:bCs/>
        </w:rPr>
        <w:lastRenderedPageBreak/>
        <w:t>que realicen actividades operativas en materia de seguridad,</w:t>
      </w:r>
      <w:r w:rsidRPr="00DA20BE">
        <w:rPr>
          <w:rFonts w:cs="Arial"/>
          <w:bCs/>
        </w:rPr>
        <w:t xml:space="preserve"> como es el caso de los elementos operativos y la policía municipal.</w:t>
      </w:r>
    </w:p>
    <w:p w14:paraId="45616E54" w14:textId="77777777" w:rsidR="004869C2" w:rsidRPr="00DA20BE" w:rsidRDefault="004869C2" w:rsidP="00DA20BE">
      <w:pPr>
        <w:ind w:right="-93"/>
        <w:rPr>
          <w:rFonts w:cs="Arial"/>
          <w:bCs/>
        </w:rPr>
      </w:pPr>
    </w:p>
    <w:p w14:paraId="45D2792A" w14:textId="77777777" w:rsidR="004869C2" w:rsidRPr="00DA20BE" w:rsidRDefault="004869C2" w:rsidP="00DA20BE">
      <w:pPr>
        <w:ind w:right="-93"/>
        <w:rPr>
          <w:rFonts w:cs="Arial"/>
          <w:bCs/>
        </w:rPr>
      </w:pPr>
      <w:r w:rsidRPr="00DA20BE">
        <w:rPr>
          <w:rFonts w:cs="Arial"/>
          <w:bCs/>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367F1946" w14:textId="77777777" w:rsidR="004869C2" w:rsidRPr="00DA20BE" w:rsidRDefault="004869C2" w:rsidP="00DA20BE">
      <w:pPr>
        <w:ind w:right="-93"/>
        <w:rPr>
          <w:rFonts w:cs="Arial"/>
          <w:bCs/>
        </w:rPr>
      </w:pPr>
    </w:p>
    <w:p w14:paraId="44F9642D" w14:textId="77777777" w:rsidR="004869C2" w:rsidRPr="00DA20BE" w:rsidRDefault="004869C2" w:rsidP="00DA20BE">
      <w:pPr>
        <w:ind w:right="-93"/>
        <w:rPr>
          <w:rFonts w:cs="Arial"/>
          <w:bCs/>
        </w:rPr>
      </w:pPr>
      <w:r w:rsidRPr="00DA20BE">
        <w:rPr>
          <w:rFonts w:cs="Arial"/>
          <w:bCs/>
        </w:rPr>
        <w:t>En ese contexto, el artículo 6, fracciones XI y XII de dicho ordenamiento jurídico, establece los siguientes conceptos:</w:t>
      </w:r>
    </w:p>
    <w:p w14:paraId="2E84F2B5" w14:textId="77777777" w:rsidR="004869C2" w:rsidRPr="00DA20BE" w:rsidRDefault="004869C2" w:rsidP="00DA20BE">
      <w:pPr>
        <w:ind w:right="-93"/>
        <w:rPr>
          <w:rFonts w:cs="Arial"/>
          <w:bCs/>
        </w:rPr>
      </w:pPr>
    </w:p>
    <w:p w14:paraId="3D5FD3DC" w14:textId="77777777" w:rsidR="004869C2" w:rsidRPr="00DA20BE" w:rsidRDefault="004869C2" w:rsidP="00DA20BE">
      <w:pPr>
        <w:numPr>
          <w:ilvl w:val="0"/>
          <w:numId w:val="5"/>
        </w:numPr>
        <w:ind w:right="-93"/>
        <w:rPr>
          <w:rFonts w:cs="Arial"/>
          <w:b/>
          <w:bCs/>
        </w:rPr>
      </w:pPr>
      <w:r w:rsidRPr="00DA20BE">
        <w:rPr>
          <w:rFonts w:cs="Arial"/>
          <w:b/>
          <w:bCs/>
        </w:rPr>
        <w:t xml:space="preserve">Instituciones Policiales: </w:t>
      </w:r>
      <w:r w:rsidRPr="00DA20BE">
        <w:rPr>
          <w:rFonts w:cs="Arial"/>
          <w:bCs/>
        </w:rPr>
        <w:t xml:space="preserve">Son los cuerpos de policía, de vigilancia y custodia de los establecimientos penitenciarios, detención preventiva, centros de arraigo y en general, </w:t>
      </w:r>
      <w:r w:rsidRPr="00DA20BE">
        <w:rPr>
          <w:rFonts w:cs="Arial"/>
          <w:b/>
          <w:bCs/>
        </w:rPr>
        <w:t>todas las dependencias encargadas de la seguridad pública a nivel</w:t>
      </w:r>
      <w:r w:rsidRPr="00DA20BE">
        <w:rPr>
          <w:rFonts w:cs="Arial"/>
          <w:bCs/>
        </w:rPr>
        <w:t xml:space="preserve"> estatal y </w:t>
      </w:r>
      <w:r w:rsidRPr="00DA20BE">
        <w:rPr>
          <w:rFonts w:cs="Arial"/>
          <w:b/>
          <w:bCs/>
        </w:rPr>
        <w:t>municipal.</w:t>
      </w:r>
    </w:p>
    <w:p w14:paraId="204F6B0D" w14:textId="77777777" w:rsidR="004869C2" w:rsidRPr="00DA20BE" w:rsidRDefault="004869C2" w:rsidP="00DA20BE">
      <w:pPr>
        <w:numPr>
          <w:ilvl w:val="0"/>
          <w:numId w:val="5"/>
        </w:numPr>
        <w:ind w:right="-93"/>
        <w:rPr>
          <w:rFonts w:cs="Arial"/>
          <w:b/>
          <w:bCs/>
        </w:rPr>
      </w:pPr>
      <w:r w:rsidRPr="00DA20BE">
        <w:rPr>
          <w:rFonts w:cs="Arial"/>
          <w:b/>
          <w:bCs/>
        </w:rPr>
        <w:t xml:space="preserve">Instituciones de Seguridad Pública: </w:t>
      </w:r>
      <w:r w:rsidRPr="00DA20BE">
        <w:rPr>
          <w:rFonts w:cs="Arial"/>
          <w:bCs/>
        </w:rPr>
        <w:t xml:space="preserve">Instituciones Policiales, Procuración de Justicia, Sistema Penitenciario y </w:t>
      </w:r>
      <w:r w:rsidRPr="00DA20BE">
        <w:rPr>
          <w:rFonts w:cs="Arial"/>
          <w:b/>
          <w:bCs/>
        </w:rPr>
        <w:t xml:space="preserve">dependencias encargadas de la seguridad pública a nivel </w:t>
      </w:r>
      <w:r w:rsidRPr="00DA20BE">
        <w:rPr>
          <w:rFonts w:cs="Arial"/>
          <w:bCs/>
        </w:rPr>
        <w:t xml:space="preserve">estatal y </w:t>
      </w:r>
      <w:r w:rsidRPr="00DA20BE">
        <w:rPr>
          <w:rFonts w:cs="Arial"/>
          <w:b/>
          <w:bCs/>
        </w:rPr>
        <w:t>municipal.</w:t>
      </w:r>
    </w:p>
    <w:p w14:paraId="21CA9A2E" w14:textId="77777777" w:rsidR="004869C2" w:rsidRPr="00DA20BE" w:rsidRDefault="004869C2" w:rsidP="00DA20BE">
      <w:pPr>
        <w:ind w:right="-93"/>
        <w:rPr>
          <w:rFonts w:cs="Arial"/>
          <w:b/>
          <w:bCs/>
        </w:rPr>
      </w:pPr>
    </w:p>
    <w:p w14:paraId="7489A2FC" w14:textId="77777777" w:rsidR="004869C2" w:rsidRPr="00DA20BE" w:rsidRDefault="004869C2" w:rsidP="00DA20BE">
      <w:pPr>
        <w:ind w:right="-93"/>
        <w:rPr>
          <w:rFonts w:cs="Arial"/>
          <w:bCs/>
        </w:rPr>
      </w:pPr>
      <w:r w:rsidRPr="00DA20BE">
        <w:rPr>
          <w:rFonts w:cs="Arial"/>
          <w:iCs/>
          <w:lang w:val="es-ES"/>
        </w:rPr>
        <w:t>Conforme a lo anterior</w:t>
      </w:r>
      <w:r w:rsidRPr="00DA20BE">
        <w:rPr>
          <w:rFonts w:cs="Arial"/>
          <w:bCs/>
        </w:rPr>
        <w:t xml:space="preserve">, se puede deducir que el área </w:t>
      </w:r>
      <w:r w:rsidRPr="00DA20BE">
        <w:rPr>
          <w:rFonts w:cs="Arial"/>
          <w:bCs/>
          <w:lang w:val="es-ES_tradnl"/>
        </w:rPr>
        <w:t>Seguridad Pública</w:t>
      </w:r>
      <w:r w:rsidRPr="00DA20BE">
        <w:rPr>
          <w:rFonts w:cs="Arial"/>
          <w:bCs/>
        </w:rPr>
        <w:t xml:space="preserve"> tiene como atribución principal, la prevención de delitos </w:t>
      </w:r>
      <w:r w:rsidRPr="00DA20BE">
        <w:rPr>
          <w:rFonts w:cs="Arial"/>
        </w:rPr>
        <w:t>y proteger a las personas, sus propiedades, posesiones y derechos</w:t>
      </w:r>
    </w:p>
    <w:p w14:paraId="5F3E9A4D" w14:textId="77777777" w:rsidR="004869C2" w:rsidRPr="00DA20BE" w:rsidRDefault="004869C2" w:rsidP="00DA20BE">
      <w:pPr>
        <w:ind w:right="-93"/>
        <w:rPr>
          <w:rFonts w:cs="Arial"/>
          <w:bCs/>
          <w:lang w:val="es-ES"/>
        </w:rPr>
      </w:pPr>
    </w:p>
    <w:p w14:paraId="7FB26671" w14:textId="77777777" w:rsidR="004869C2" w:rsidRPr="00DA20BE" w:rsidRDefault="004869C2" w:rsidP="00DA20BE">
      <w:pPr>
        <w:ind w:right="-93"/>
        <w:rPr>
          <w:rFonts w:cs="Arial"/>
          <w:bCs/>
        </w:rPr>
      </w:pPr>
      <w:r w:rsidRPr="00DA20BE">
        <w:rPr>
          <w:rFonts w:cs="Arial"/>
          <w:bCs/>
          <w:lang w:val="es-ES"/>
        </w:rPr>
        <w:lastRenderedPageBreak/>
        <w:t xml:space="preserve">Además, </w:t>
      </w:r>
      <w:r w:rsidRPr="00DA20BE">
        <w:rPr>
          <w:rFonts w:cs="Arial"/>
          <w:bCs/>
        </w:rPr>
        <w:t xml:space="preserve">el Instructivo de llenado del Formato “Personal de Seguridad Pública”, del Secretariado Ejecutivo del Sistema Nacional de Seguridad Pública (consultado el veinticinco de abril de dos mil veintidós, a las dieciséis horas, en la liga electrónica </w:t>
      </w:r>
      <w:hyperlink r:id="rId16" w:history="1">
        <w:r w:rsidRPr="00DA20BE">
          <w:rPr>
            <w:rFonts w:cs="Arial"/>
            <w:bCs/>
            <w:u w:val="single"/>
          </w:rPr>
          <w:t>http://secretariadoejecutivo.gob.mx/work/models/SecretariadoEjecutivo/Resource/328/1/images/instructivo_final_edo_fuerza(1).pdf</w:t>
        </w:r>
      </w:hyperlink>
      <w:r w:rsidRPr="00DA20BE">
        <w:rPr>
          <w:rFonts w:cs="Arial"/>
          <w:bCs/>
        </w:rPr>
        <w:t xml:space="preserve">), establece que los elementos operativos de seguridad pública, son aquellos que desempeñan funciones de campo (policiacas, especializadas o equivalentes y que no </w:t>
      </w:r>
      <w:r w:rsidRPr="00DA20BE">
        <w:rPr>
          <w:rFonts w:cs="Arial"/>
          <w:b/>
          <w:bCs/>
        </w:rPr>
        <w:t>desempeña funciones de mando</w:t>
      </w:r>
      <w:r w:rsidRPr="00DA20BE">
        <w:rPr>
          <w:rFonts w:cs="Arial"/>
          <w:bCs/>
        </w:rPr>
        <w:t xml:space="preserve">), entre los cuales, se encuentra </w:t>
      </w:r>
      <w:r w:rsidRPr="00DA20BE">
        <w:rPr>
          <w:rFonts w:cs="Arial"/>
          <w:b/>
          <w:bCs/>
        </w:rPr>
        <w:t>la Policía Municipal</w:t>
      </w:r>
      <w:r w:rsidRPr="00DA20BE">
        <w:rPr>
          <w:rFonts w:cs="Arial"/>
          <w:bCs/>
        </w:rPr>
        <w:t>.</w:t>
      </w:r>
    </w:p>
    <w:p w14:paraId="7A110185" w14:textId="77777777" w:rsidR="004869C2" w:rsidRPr="00DA20BE" w:rsidRDefault="004869C2" w:rsidP="00DA20BE">
      <w:pPr>
        <w:ind w:right="-93"/>
        <w:rPr>
          <w:rFonts w:cs="Arial"/>
          <w:bCs/>
        </w:rPr>
      </w:pPr>
    </w:p>
    <w:p w14:paraId="797450E9" w14:textId="77777777" w:rsidR="004869C2" w:rsidRPr="00DA20BE" w:rsidRDefault="004869C2" w:rsidP="00DA20BE">
      <w:pPr>
        <w:ind w:right="-93"/>
        <w:rPr>
          <w:rFonts w:cs="Arial"/>
          <w:bCs/>
        </w:rPr>
      </w:pPr>
      <w:r w:rsidRPr="00DA20BE">
        <w:rPr>
          <w:rFonts w:cs="Arial"/>
          <w:bCs/>
        </w:rPr>
        <w:t>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w:t>
      </w:r>
    </w:p>
    <w:p w14:paraId="7E50F5C0" w14:textId="77777777" w:rsidR="004869C2" w:rsidRPr="00DA20BE" w:rsidRDefault="004869C2" w:rsidP="00DA20BE">
      <w:pPr>
        <w:ind w:right="-93"/>
        <w:rPr>
          <w:rFonts w:cs="Arial"/>
        </w:rPr>
      </w:pPr>
    </w:p>
    <w:p w14:paraId="02F0B161" w14:textId="77777777" w:rsidR="004869C2" w:rsidRPr="00DA20BE" w:rsidRDefault="004869C2" w:rsidP="00DA20BE">
      <w:pPr>
        <w:ind w:right="-93"/>
        <w:rPr>
          <w:rFonts w:cs="Arial"/>
          <w:bCs/>
        </w:rPr>
      </w:pPr>
      <w:r w:rsidRPr="00DA20BE">
        <w:rPr>
          <w:rFonts w:cs="Arial"/>
          <w:bCs/>
        </w:rPr>
        <w:t>Así, dar a conocer el nombre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6EBD42BD" w14:textId="77777777" w:rsidR="004869C2" w:rsidRPr="00DA20BE" w:rsidRDefault="004869C2" w:rsidP="00DA20BE"/>
    <w:p w14:paraId="0C134D16" w14:textId="77777777" w:rsidR="004869C2" w:rsidRPr="00DA20BE" w:rsidRDefault="004869C2" w:rsidP="00DA20BE">
      <w:pPr>
        <w:keepNext/>
        <w:keepLines/>
        <w:spacing w:line="480" w:lineRule="auto"/>
        <w:jc w:val="left"/>
        <w:outlineLvl w:val="2"/>
        <w:rPr>
          <w:b/>
          <w:szCs w:val="28"/>
        </w:rPr>
      </w:pPr>
      <w:bookmarkStart w:id="42" w:name="_Toc172051202"/>
      <w:bookmarkStart w:id="43" w:name="_Toc174466655"/>
      <w:bookmarkStart w:id="44" w:name="_Toc207199084"/>
      <w:bookmarkStart w:id="45" w:name="_Toc207805004"/>
      <w:r w:rsidRPr="00DA20BE">
        <w:rPr>
          <w:b/>
          <w:szCs w:val="28"/>
        </w:rPr>
        <w:lastRenderedPageBreak/>
        <w:t>e) Conclusión</w:t>
      </w:r>
      <w:bookmarkEnd w:id="42"/>
      <w:bookmarkEnd w:id="43"/>
      <w:bookmarkEnd w:id="44"/>
      <w:bookmarkEnd w:id="45"/>
    </w:p>
    <w:p w14:paraId="5B810DBF" w14:textId="06B5522A" w:rsidR="004869C2" w:rsidRPr="00DA20BE" w:rsidRDefault="004869C2" w:rsidP="00DA20BE">
      <w:pPr>
        <w:widowControl w:val="0"/>
        <w:tabs>
          <w:tab w:val="left" w:pos="1701"/>
          <w:tab w:val="left" w:pos="1843"/>
        </w:tabs>
        <w:rPr>
          <w:rFonts w:eastAsia="Palatino Linotype" w:cs="Palatino Linotype"/>
        </w:rPr>
      </w:pPr>
      <w:r w:rsidRPr="00DA20BE">
        <w:rPr>
          <w:rFonts w:eastAsia="Palatino Linotype" w:cs="Palatino Linotype"/>
        </w:rPr>
        <w:t xml:space="preserve">En razón de lo anteriormente expuesto, este Instituto estima que las razones o motivos de inconformidad hechos valer por </w:t>
      </w:r>
      <w:r w:rsidRPr="00DA20BE">
        <w:rPr>
          <w:rFonts w:eastAsia="Aptos" w:cs="Tahoma"/>
          <w:b/>
          <w:iCs/>
          <w:szCs w:val="22"/>
          <w:lang w:eastAsia="en-US"/>
        </w:rPr>
        <w:t>LA PARTE RECURRENTE</w:t>
      </w:r>
      <w:r w:rsidRPr="00DA20BE">
        <w:rPr>
          <w:rFonts w:eastAsia="Aptos" w:cs="Tahoma"/>
          <w:bCs/>
          <w:iCs/>
          <w:szCs w:val="22"/>
          <w:lang w:eastAsia="en-US"/>
        </w:rPr>
        <w:t xml:space="preserve"> </w:t>
      </w:r>
      <w:r w:rsidRPr="00DA20BE">
        <w:rPr>
          <w:rFonts w:eastAsia="Palatino Linotype" w:cs="Palatino Linotype"/>
        </w:rPr>
        <w:t xml:space="preserve">devienen </w:t>
      </w:r>
      <w:r w:rsidRPr="00DA20BE">
        <w:rPr>
          <w:rFonts w:eastAsia="Palatino Linotype" w:cs="Palatino Linotype"/>
          <w:b/>
        </w:rPr>
        <w:t>fundadas</w:t>
      </w:r>
      <w:r w:rsidRPr="00DA20BE">
        <w:rPr>
          <w:rFonts w:eastAsia="Palatino Linotype" w:cs="Palatino Linotype"/>
        </w:rPr>
        <w:t xml:space="preserve"> y suficientes para </w:t>
      </w:r>
      <w:r w:rsidR="002229C9" w:rsidRPr="00DA20BE">
        <w:rPr>
          <w:rFonts w:eastAsia="Palatino Linotype" w:cs="Palatino Linotype"/>
          <w:b/>
        </w:rPr>
        <w:t>MODIFICAR</w:t>
      </w:r>
      <w:r w:rsidRPr="00DA20BE">
        <w:rPr>
          <w:rFonts w:eastAsia="Palatino Linotype" w:cs="Palatino Linotype"/>
        </w:rPr>
        <w:t xml:space="preserve"> las respuestas del </w:t>
      </w:r>
      <w:r w:rsidRPr="00DA20BE">
        <w:rPr>
          <w:rFonts w:eastAsia="Palatino Linotype" w:cs="Palatino Linotype"/>
          <w:b/>
        </w:rPr>
        <w:t>SUJETO OBLIGADO</w:t>
      </w:r>
      <w:r w:rsidRPr="00DA20BE">
        <w:rPr>
          <w:rFonts w:eastAsia="Palatino Linotype" w:cs="Palatino Linotype"/>
        </w:rPr>
        <w:t xml:space="preserve"> y ordenarle haga entrega de la información descrita en el presente Considerando.</w:t>
      </w:r>
    </w:p>
    <w:p w14:paraId="00F9408B" w14:textId="77777777" w:rsidR="004869C2" w:rsidRPr="00DA20BE" w:rsidRDefault="004869C2" w:rsidP="00DA20BE">
      <w:pPr>
        <w:rPr>
          <w:rFonts w:cs="Tahoma"/>
          <w:bCs/>
          <w:szCs w:val="22"/>
        </w:rPr>
      </w:pPr>
      <w:r w:rsidRPr="00DA20BE">
        <w:rPr>
          <w:rFonts w:eastAsia="Arial Unicode MS" w:cs="Arial"/>
          <w:sz w:val="24"/>
          <w:szCs w:val="24"/>
        </w:rPr>
        <w:br/>
      </w:r>
      <w:r w:rsidRPr="00DA20BE">
        <w:rPr>
          <w:rFonts w:cs="Tahoma"/>
          <w:bCs/>
          <w:szCs w:val="22"/>
        </w:rPr>
        <w:t xml:space="preserve">Así, con fundamento en lo establecido en los artículos 5, párrafos </w:t>
      </w:r>
      <w:r w:rsidRPr="00DA20BE">
        <w:t>trigésimo séptimo, trigésimo octavo, trigésimo noveno, fracciones IV y V</w:t>
      </w:r>
      <w:r w:rsidRPr="00DA20BE">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752DB40A" w14:textId="77777777" w:rsidR="004869C2" w:rsidRPr="00DA20BE" w:rsidRDefault="004869C2" w:rsidP="00DA20BE"/>
    <w:p w14:paraId="7560CF87" w14:textId="77777777" w:rsidR="004869C2" w:rsidRPr="00DA20BE" w:rsidRDefault="004869C2" w:rsidP="00DA20BE">
      <w:pPr>
        <w:keepNext/>
        <w:keepLines/>
        <w:jc w:val="center"/>
        <w:outlineLvl w:val="0"/>
        <w:rPr>
          <w:b/>
          <w:szCs w:val="40"/>
        </w:rPr>
      </w:pPr>
      <w:bookmarkStart w:id="46" w:name="_Toc207199085"/>
      <w:bookmarkStart w:id="47" w:name="_Toc207805005"/>
      <w:r w:rsidRPr="00DA20BE">
        <w:rPr>
          <w:b/>
          <w:szCs w:val="40"/>
        </w:rPr>
        <w:t>RESUELVE</w:t>
      </w:r>
      <w:bookmarkEnd w:id="46"/>
      <w:bookmarkEnd w:id="47"/>
    </w:p>
    <w:p w14:paraId="1E066901" w14:textId="77777777" w:rsidR="004869C2" w:rsidRPr="00DA20BE" w:rsidRDefault="004869C2" w:rsidP="00DA20BE">
      <w:pPr>
        <w:ind w:right="113"/>
        <w:rPr>
          <w:rFonts w:cs="Arial"/>
          <w:b/>
          <w:szCs w:val="22"/>
        </w:rPr>
      </w:pPr>
    </w:p>
    <w:p w14:paraId="76F701AF" w14:textId="3FD7CDA4" w:rsidR="004869C2" w:rsidRPr="00DA20BE" w:rsidRDefault="004869C2" w:rsidP="00DA20BE">
      <w:pPr>
        <w:widowControl w:val="0"/>
        <w:rPr>
          <w:rFonts w:eastAsia="Calibri" w:cs="Tahoma"/>
          <w:bCs/>
          <w:szCs w:val="22"/>
          <w:lang w:eastAsia="en-US"/>
        </w:rPr>
      </w:pPr>
      <w:r w:rsidRPr="00DA20BE">
        <w:rPr>
          <w:b/>
          <w:bCs/>
        </w:rPr>
        <w:t>PRIMERO.</w:t>
      </w:r>
      <w:r w:rsidRPr="00DA20BE">
        <w:t xml:space="preserve"> </w:t>
      </w:r>
      <w:r w:rsidRPr="00DA20BE">
        <w:rPr>
          <w:rFonts w:cs="Tahoma"/>
          <w:szCs w:val="22"/>
        </w:rPr>
        <w:t xml:space="preserve">Se </w:t>
      </w:r>
      <w:r w:rsidR="002229C9" w:rsidRPr="00DA20BE">
        <w:rPr>
          <w:rFonts w:cs="Tahoma"/>
          <w:b/>
          <w:bCs/>
          <w:szCs w:val="22"/>
        </w:rPr>
        <w:t>MODIFICA</w:t>
      </w:r>
      <w:r w:rsidRPr="00DA20BE">
        <w:rPr>
          <w:rFonts w:cs="Tahoma"/>
          <w:szCs w:val="22"/>
        </w:rPr>
        <w:t xml:space="preserve"> la respuesta entregada por el </w:t>
      </w:r>
      <w:r w:rsidRPr="00DA20BE">
        <w:rPr>
          <w:rFonts w:cs="Tahoma"/>
          <w:b/>
          <w:bCs/>
          <w:szCs w:val="22"/>
        </w:rPr>
        <w:t>SUJETO OBLIGADO</w:t>
      </w:r>
      <w:r w:rsidRPr="00DA20BE">
        <w:rPr>
          <w:rFonts w:cs="Tahoma"/>
          <w:szCs w:val="22"/>
        </w:rPr>
        <w:t xml:space="preserve"> en la solicitud de información </w:t>
      </w:r>
      <w:r w:rsidR="002229C9" w:rsidRPr="00DA20BE">
        <w:rPr>
          <w:rFonts w:cs="Tahoma"/>
          <w:b/>
          <w:bCs/>
          <w:szCs w:val="22"/>
        </w:rPr>
        <w:t>00040/APAXCO/IP/2025</w:t>
      </w:r>
      <w:r w:rsidRPr="00DA20BE">
        <w:rPr>
          <w:rFonts w:eastAsia="Palatino Linotype"/>
          <w:b/>
          <w:szCs w:val="22"/>
        </w:rPr>
        <w:t>,</w:t>
      </w:r>
      <w:r w:rsidRPr="00DA20BE">
        <w:rPr>
          <w:rFonts w:cs="Tahoma"/>
          <w:bCs/>
          <w:szCs w:val="22"/>
        </w:rPr>
        <w:t xml:space="preserve"> </w:t>
      </w:r>
      <w:r w:rsidRPr="00DA20BE">
        <w:rPr>
          <w:rFonts w:eastAsia="Calibri" w:cs="Tahoma"/>
          <w:bCs/>
          <w:szCs w:val="22"/>
          <w:lang w:eastAsia="en-US"/>
        </w:rPr>
        <w:t xml:space="preserve">por resultar </w:t>
      </w:r>
      <w:r w:rsidRPr="00DA20BE">
        <w:rPr>
          <w:rFonts w:eastAsia="Calibri" w:cs="Tahoma"/>
          <w:b/>
          <w:bCs/>
          <w:szCs w:val="22"/>
          <w:lang w:eastAsia="en-US"/>
        </w:rPr>
        <w:t>FUNDADAS</w:t>
      </w:r>
      <w:r w:rsidRPr="00DA20BE">
        <w:rPr>
          <w:rFonts w:eastAsia="Calibri" w:cs="Tahoma"/>
          <w:bCs/>
          <w:szCs w:val="22"/>
          <w:lang w:eastAsia="en-US"/>
        </w:rPr>
        <w:t xml:space="preserve"> las razones o motivos de inconformidad hechos valer por </w:t>
      </w:r>
      <w:r w:rsidRPr="00DA20BE">
        <w:rPr>
          <w:rFonts w:eastAsia="Calibri" w:cs="Tahoma"/>
          <w:b/>
          <w:szCs w:val="22"/>
          <w:lang w:eastAsia="en-US"/>
        </w:rPr>
        <w:t>LA PARTE RECURRENTE</w:t>
      </w:r>
      <w:r w:rsidRPr="00DA20BE">
        <w:rPr>
          <w:rFonts w:eastAsia="Calibri" w:cs="Tahoma"/>
          <w:bCs/>
          <w:szCs w:val="22"/>
          <w:lang w:eastAsia="en-US"/>
        </w:rPr>
        <w:t xml:space="preserve"> en el Recurso de Revisión </w:t>
      </w:r>
      <w:r w:rsidRPr="00DA20BE">
        <w:rPr>
          <w:rFonts w:eastAsia="Calibri"/>
          <w:b/>
          <w:lang w:eastAsia="en-US"/>
        </w:rPr>
        <w:t>0</w:t>
      </w:r>
      <w:r w:rsidR="004A0EDD" w:rsidRPr="00DA20BE">
        <w:rPr>
          <w:rFonts w:eastAsia="Calibri"/>
          <w:b/>
          <w:lang w:eastAsia="en-US"/>
        </w:rPr>
        <w:t>7</w:t>
      </w:r>
      <w:r w:rsidR="002229C9" w:rsidRPr="00DA20BE">
        <w:rPr>
          <w:rFonts w:eastAsia="Calibri"/>
          <w:b/>
          <w:lang w:eastAsia="en-US"/>
        </w:rPr>
        <w:t>412</w:t>
      </w:r>
      <w:r w:rsidRPr="00DA20BE">
        <w:rPr>
          <w:rFonts w:eastAsia="Calibri"/>
          <w:b/>
          <w:lang w:eastAsia="en-US"/>
        </w:rPr>
        <w:t>/INFOEM/IP/RR/2025</w:t>
      </w:r>
      <w:r w:rsidRPr="00DA20BE">
        <w:rPr>
          <w:rFonts w:eastAsia="Aptos"/>
          <w:szCs w:val="22"/>
          <w:lang w:eastAsia="en-US"/>
        </w:rPr>
        <w:t>,</w:t>
      </w:r>
      <w:r w:rsidRPr="00DA20BE">
        <w:rPr>
          <w:rFonts w:cs="Tahoma"/>
          <w:b/>
          <w:szCs w:val="22"/>
        </w:rPr>
        <w:t xml:space="preserve"> </w:t>
      </w:r>
      <w:r w:rsidRPr="00DA20BE">
        <w:rPr>
          <w:rFonts w:eastAsia="Calibri" w:cs="Tahoma"/>
          <w:bCs/>
          <w:szCs w:val="22"/>
          <w:lang w:eastAsia="en-US"/>
        </w:rPr>
        <w:t xml:space="preserve">en términos del considerando </w:t>
      </w:r>
      <w:r w:rsidRPr="00DA20BE">
        <w:rPr>
          <w:rFonts w:eastAsia="Calibri" w:cs="Tahoma"/>
          <w:b/>
          <w:szCs w:val="22"/>
          <w:lang w:eastAsia="en-US"/>
        </w:rPr>
        <w:t>SEGUNDO</w:t>
      </w:r>
      <w:r w:rsidRPr="00DA20BE">
        <w:rPr>
          <w:rFonts w:eastAsia="Calibri" w:cs="Tahoma"/>
          <w:bCs/>
          <w:szCs w:val="22"/>
          <w:lang w:eastAsia="en-US"/>
        </w:rPr>
        <w:t xml:space="preserve"> de la presente Resolución.</w:t>
      </w:r>
    </w:p>
    <w:p w14:paraId="7D088ADC" w14:textId="77777777" w:rsidR="004869C2" w:rsidRPr="00DA20BE" w:rsidRDefault="004869C2" w:rsidP="00DA20BE">
      <w:pPr>
        <w:rPr>
          <w:rFonts w:eastAsia="Palatino Linotype"/>
          <w:b/>
          <w:szCs w:val="22"/>
        </w:rPr>
      </w:pPr>
    </w:p>
    <w:p w14:paraId="4BC41687" w14:textId="77777777" w:rsidR="004869C2" w:rsidRPr="00DA20BE" w:rsidRDefault="004869C2" w:rsidP="00DA20BE">
      <w:pPr>
        <w:ind w:right="-93"/>
        <w:rPr>
          <w:rFonts w:eastAsia="Calibri" w:cs="Tahoma"/>
          <w:bCs/>
          <w:szCs w:val="22"/>
          <w:lang w:eastAsia="en-US"/>
        </w:rPr>
      </w:pPr>
      <w:r w:rsidRPr="00DA20BE">
        <w:rPr>
          <w:rFonts w:eastAsia="Calibri" w:cs="Tahoma"/>
          <w:b/>
          <w:bCs/>
          <w:szCs w:val="22"/>
          <w:lang w:eastAsia="en-US"/>
        </w:rPr>
        <w:t>SEGUNDO.</w:t>
      </w:r>
      <w:r w:rsidRPr="00DA20BE">
        <w:rPr>
          <w:rFonts w:eastAsia="Calibri" w:cs="Tahoma"/>
          <w:szCs w:val="22"/>
          <w:lang w:eastAsia="es-MX"/>
        </w:rPr>
        <w:t xml:space="preserve"> Se </w:t>
      </w:r>
      <w:r w:rsidRPr="00DA20BE">
        <w:rPr>
          <w:rFonts w:eastAsia="Calibri" w:cs="Tahoma"/>
          <w:b/>
          <w:szCs w:val="22"/>
          <w:lang w:eastAsia="es-MX"/>
        </w:rPr>
        <w:t xml:space="preserve">ORDENA </w:t>
      </w:r>
      <w:r w:rsidRPr="00DA20BE">
        <w:rPr>
          <w:rFonts w:eastAsia="Calibri" w:cs="Tahoma"/>
          <w:szCs w:val="22"/>
          <w:lang w:eastAsia="es-MX"/>
        </w:rPr>
        <w:t xml:space="preserve">al </w:t>
      </w:r>
      <w:r w:rsidRPr="00DA20BE">
        <w:rPr>
          <w:rFonts w:eastAsia="Calibri" w:cs="Tahoma"/>
          <w:b/>
          <w:bCs/>
          <w:szCs w:val="22"/>
          <w:lang w:eastAsia="es-MX"/>
        </w:rPr>
        <w:t>SUJETO OBLIGADO</w:t>
      </w:r>
      <w:r w:rsidRPr="00DA20BE">
        <w:rPr>
          <w:rFonts w:eastAsia="Calibri" w:cs="Tahoma"/>
          <w:szCs w:val="22"/>
          <w:lang w:eastAsia="es-MX"/>
        </w:rPr>
        <w:t xml:space="preserve">, </w:t>
      </w:r>
      <w:r w:rsidRPr="00DA20BE">
        <w:rPr>
          <w:rFonts w:eastAsia="Calibri" w:cs="Tahoma"/>
          <w:bCs/>
          <w:szCs w:val="22"/>
          <w:lang w:eastAsia="en-US"/>
        </w:rPr>
        <w:t xml:space="preserve">a efecto de que a través del </w:t>
      </w:r>
      <w:r w:rsidRPr="00DA20BE">
        <w:rPr>
          <w:rFonts w:eastAsia="Calibri" w:cs="Tahoma"/>
          <w:b/>
          <w:bCs/>
          <w:szCs w:val="22"/>
          <w:lang w:eastAsia="en-US"/>
        </w:rPr>
        <w:t>SAIMEX</w:t>
      </w:r>
      <w:r w:rsidRPr="00DA20BE">
        <w:rPr>
          <w:rFonts w:eastAsia="Calibri" w:cs="Tahoma"/>
          <w:bCs/>
          <w:szCs w:val="22"/>
          <w:lang w:eastAsia="en-US"/>
        </w:rPr>
        <w:t xml:space="preserve">, en </w:t>
      </w:r>
      <w:r w:rsidRPr="00DA20BE">
        <w:rPr>
          <w:rFonts w:eastAsia="Calibri" w:cs="Tahoma"/>
          <w:b/>
          <w:szCs w:val="22"/>
          <w:lang w:eastAsia="en-US"/>
        </w:rPr>
        <w:t>versión pública</w:t>
      </w:r>
      <w:r w:rsidRPr="00DA20BE">
        <w:rPr>
          <w:rFonts w:eastAsia="Calibri" w:cs="Tahoma"/>
          <w:bCs/>
          <w:szCs w:val="22"/>
          <w:lang w:eastAsia="en-US"/>
        </w:rPr>
        <w:t xml:space="preserve"> lo siguiente:</w:t>
      </w:r>
    </w:p>
    <w:p w14:paraId="3CA11594" w14:textId="77777777" w:rsidR="004869C2" w:rsidRPr="00DA20BE" w:rsidRDefault="004869C2" w:rsidP="00DA20BE">
      <w:pPr>
        <w:rPr>
          <w:rFonts w:eastAsia="Palatino Linotype"/>
          <w:b/>
          <w:szCs w:val="22"/>
        </w:rPr>
      </w:pPr>
    </w:p>
    <w:p w14:paraId="2A626914" w14:textId="26EFDB78" w:rsidR="004A0EDD" w:rsidRPr="00DA20BE" w:rsidRDefault="004A0EDD" w:rsidP="00DA20BE">
      <w:pPr>
        <w:pStyle w:val="Puesto"/>
        <w:rPr>
          <w:b/>
          <w:bCs/>
          <w:lang w:eastAsia="es-MX"/>
        </w:rPr>
      </w:pPr>
      <w:r w:rsidRPr="00DA20BE">
        <w:rPr>
          <w:b/>
          <w:bCs/>
          <w:lang w:eastAsia="es-MX"/>
        </w:rPr>
        <w:t xml:space="preserve">Los documentos </w:t>
      </w:r>
      <w:r w:rsidR="002229C9" w:rsidRPr="00DA20BE">
        <w:rPr>
          <w:b/>
          <w:bCs/>
          <w:lang w:eastAsia="es-MX"/>
        </w:rPr>
        <w:t xml:space="preserve">faltantes </w:t>
      </w:r>
      <w:r w:rsidRPr="00DA20BE">
        <w:rPr>
          <w:b/>
          <w:bCs/>
          <w:lang w:eastAsia="es-MX"/>
        </w:rPr>
        <w:t xml:space="preserve">que integran el Paquete presupuestal 2025. </w:t>
      </w:r>
    </w:p>
    <w:p w14:paraId="7B14714F" w14:textId="77777777" w:rsidR="004869C2" w:rsidRPr="00DA20BE" w:rsidRDefault="004869C2" w:rsidP="00DA20BE"/>
    <w:p w14:paraId="5A4BF07D" w14:textId="77777777" w:rsidR="004869C2" w:rsidRPr="00DA20BE" w:rsidRDefault="004869C2" w:rsidP="00DA20BE">
      <w:pPr>
        <w:spacing w:after="240"/>
        <w:rPr>
          <w:bCs/>
        </w:rPr>
      </w:pPr>
      <w:r w:rsidRPr="00DA20BE">
        <w:rPr>
          <w:bCs/>
        </w:rPr>
        <w:lastRenderedPageBreak/>
        <w:t>Para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2D3D65C0" w14:textId="77777777" w:rsidR="004869C2" w:rsidRPr="00DA20BE" w:rsidRDefault="004869C2" w:rsidP="00DA20BE">
      <w:pPr>
        <w:spacing w:after="240"/>
      </w:pPr>
      <w:r w:rsidRPr="00DA20BE">
        <w:rPr>
          <w:b/>
          <w:bCs/>
        </w:rPr>
        <w:t>TERCERO.</w:t>
      </w:r>
      <w:r w:rsidRPr="00DA20BE">
        <w:t xml:space="preserve"> </w:t>
      </w:r>
      <w:r w:rsidRPr="00DA20BE">
        <w:rPr>
          <w:rFonts w:eastAsia="Palatino Linotype" w:cs="Palatino Linotype"/>
          <w:b/>
          <w:lang w:eastAsia="es-MX"/>
        </w:rPr>
        <w:t xml:space="preserve">Notifíquese </w:t>
      </w:r>
      <w:r w:rsidRPr="00DA20BE">
        <w:rPr>
          <w:szCs w:val="17"/>
          <w:lang w:eastAsia="es-ES_tradnl"/>
        </w:rPr>
        <w:t xml:space="preserve">vía </w:t>
      </w:r>
      <w:r w:rsidRPr="00DA20BE">
        <w:rPr>
          <w:rFonts w:cs="Arial"/>
        </w:rPr>
        <w:t>Sistema de Acceso a la Información Mexiquense (</w:t>
      </w:r>
      <w:r w:rsidRPr="00DA20BE">
        <w:rPr>
          <w:rFonts w:cs="Arial"/>
          <w:b/>
          <w:bCs/>
        </w:rPr>
        <w:t>SAIMEX)</w:t>
      </w:r>
      <w:r w:rsidRPr="00DA20BE">
        <w:rPr>
          <w:shd w:val="clear" w:color="auto" w:fill="FFFFFF"/>
        </w:rPr>
        <w:t xml:space="preserve"> la presente resolución al Titular de la Unidad de Transparencia del Sujeto Obligado</w:t>
      </w:r>
      <w:r w:rsidRPr="00DA20BE">
        <w:t xml:space="preserve">, para que conforme al artículo 186 último párrafo, 189 segundo párrafo y 194 de la Ley de Transparencia y Acceso a la Información Pública del Estado de México y Municipios, dé cumplimiento a lo ordenado dentro del plazo de </w:t>
      </w:r>
      <w:r w:rsidRPr="00DA20BE">
        <w:rPr>
          <w:b/>
          <w:bCs/>
        </w:rPr>
        <w:t>diez días hábiles</w:t>
      </w:r>
      <w:r w:rsidRPr="00DA20BE">
        <w:t xml:space="preserve">, e informe a este Instituto en un plazo de </w:t>
      </w:r>
      <w:r w:rsidRPr="00DA20BE">
        <w:rPr>
          <w:b/>
          <w:bCs/>
        </w:rPr>
        <w:t>tres días hábiles</w:t>
      </w:r>
      <w:r w:rsidRPr="00DA20BE">
        <w:t xml:space="preserve"> siguientes, sobre el cumplimiento dado a la presente. 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634F57B" w14:textId="77777777" w:rsidR="004869C2" w:rsidRPr="00DA20BE" w:rsidRDefault="004869C2" w:rsidP="00DA20BE">
      <w:pPr>
        <w:spacing w:after="240"/>
      </w:pPr>
      <w:r w:rsidRPr="00DA20BE">
        <w:rPr>
          <w:b/>
          <w:bCs/>
        </w:rPr>
        <w:t>CUARTO.</w:t>
      </w:r>
      <w:r w:rsidRPr="00DA20BE">
        <w:t xml:space="preserve"> Notifíquese a </w:t>
      </w:r>
      <w:r w:rsidRPr="00DA20BE">
        <w:rPr>
          <w:b/>
          <w:bCs/>
        </w:rPr>
        <w:t>LA PARTE RECURRENTE</w:t>
      </w:r>
      <w:r w:rsidRPr="00DA20BE">
        <w:t xml:space="preserve"> la presente resolución vía Sistema de Acceso a la Información Mexiquense (</w:t>
      </w:r>
      <w:r w:rsidRPr="00DA20BE">
        <w:rPr>
          <w:b/>
          <w:bCs/>
        </w:rPr>
        <w:t>SAIMEX</w:t>
      </w:r>
      <w:r w:rsidRPr="00DA20BE">
        <w:t>).</w:t>
      </w:r>
    </w:p>
    <w:p w14:paraId="2F6F56A9" w14:textId="77777777" w:rsidR="004869C2" w:rsidRPr="00DA20BE" w:rsidRDefault="004869C2" w:rsidP="00DA20BE">
      <w:pPr>
        <w:spacing w:after="240"/>
      </w:pPr>
      <w:r w:rsidRPr="00DA20BE">
        <w:rPr>
          <w:b/>
          <w:bCs/>
        </w:rPr>
        <w:t>QUINTO</w:t>
      </w:r>
      <w:r w:rsidRPr="00DA20BE">
        <w:t xml:space="preserve">. Hágase del conocimiento a </w:t>
      </w:r>
      <w:r w:rsidRPr="00DA20BE">
        <w:rPr>
          <w:b/>
          <w:bCs/>
        </w:rPr>
        <w:t>LA PARTE RECURRENTE</w:t>
      </w:r>
      <w:r w:rsidRPr="00DA20BE">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3C657BA9" w14:textId="77777777" w:rsidR="004869C2" w:rsidRPr="00DA20BE" w:rsidRDefault="004869C2" w:rsidP="00DA20BE">
      <w:r w:rsidRPr="00DA20BE">
        <w:rPr>
          <w:b/>
          <w:bCs/>
        </w:rPr>
        <w:t>SEXTO.</w:t>
      </w:r>
      <w:r w:rsidRPr="00DA20BE">
        <w:t xml:space="preserve"> De conformidad con el artículo 198 de la Ley de Transparencia y Acceso a la Información Pública del Estado de México y Municipios, el </w:t>
      </w:r>
      <w:r w:rsidRPr="00DA20BE">
        <w:rPr>
          <w:b/>
          <w:bCs/>
        </w:rPr>
        <w:t>SUJETO OBLIGADO</w:t>
      </w:r>
      <w:r w:rsidRPr="00DA20BE">
        <w:t xml:space="preserve"> podrá solicitar una ampliación de plazo de manera fundada y motivada, para el cumplimiento de la presente resolución.</w:t>
      </w:r>
    </w:p>
    <w:p w14:paraId="3ECE3F17" w14:textId="59DD636F" w:rsidR="004869C2" w:rsidRPr="00DA20BE" w:rsidRDefault="00DA20BE" w:rsidP="00DA20BE">
      <w:pPr>
        <w:ind w:right="-93"/>
      </w:pPr>
      <w:r w:rsidRPr="00595222">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t xml:space="preserve"> (AUSENCIA JUSTIFICADA)</w:t>
      </w:r>
      <w:r w:rsidRPr="00595222">
        <w:t>, S</w:t>
      </w:r>
      <w:r>
        <w:t xml:space="preserve">HARON CRISTINA MORALES MARTÍNEZ, LUIS GUSTAVO PARRA NORIEGA </w:t>
      </w:r>
      <w:r w:rsidR="00C91DA6">
        <w:t xml:space="preserve">EMITIENDO VOTO PARTICULAR </w:t>
      </w:r>
      <w:r w:rsidRPr="00595222">
        <w:t>Y GUADALUPE RAMÍREZ PEÑA</w:t>
      </w:r>
      <w:r w:rsidR="00C91DA6">
        <w:t xml:space="preserve"> EMITIENDO VOTO PARTICULAR</w:t>
      </w:r>
      <w:r w:rsidRPr="00595222">
        <w:t xml:space="preserve">, EN LA </w:t>
      </w:r>
      <w:r>
        <w:t>TRIGÉSIMA PRIMERA</w:t>
      </w:r>
      <w:r w:rsidRPr="00595222">
        <w:t xml:space="preserve"> SESIÓN ORDINARIA, CELEBRADA EL </w:t>
      </w:r>
      <w:r>
        <w:t>TRES DE SEPTIEMBRE</w:t>
      </w:r>
      <w:r w:rsidRPr="00595222">
        <w:t xml:space="preserve"> DE DOS MIL VEINTICINCO ANTE EL SECRETARIO TÉCNICO DEL PLENO, ALEXIS TAPIA RAMÍREZ.</w:t>
      </w:r>
    </w:p>
    <w:p w14:paraId="64E59AFC" w14:textId="1DAEF4D3" w:rsidR="00B822AE" w:rsidRPr="00DA20BE" w:rsidRDefault="009C04A8" w:rsidP="00DA20BE">
      <w:pPr>
        <w:ind w:right="-93"/>
        <w:rPr>
          <w:rFonts w:eastAsia="Palatino Linotype" w:cs="Palatino Linotype"/>
          <w:sz w:val="20"/>
        </w:rPr>
      </w:pPr>
      <w:r w:rsidRPr="00DA20BE">
        <w:rPr>
          <w:rFonts w:eastAsia="Palatino Linotype" w:cs="Palatino Linotype"/>
          <w:sz w:val="20"/>
        </w:rPr>
        <w:t>SCMM/AGZ/DEMF/RPG</w:t>
      </w:r>
    </w:p>
    <w:p w14:paraId="5BF3172C" w14:textId="77777777" w:rsidR="00B822AE" w:rsidRPr="00DA20BE" w:rsidRDefault="00B822AE" w:rsidP="00DA20BE">
      <w:pPr>
        <w:spacing w:after="160" w:line="259" w:lineRule="auto"/>
        <w:jc w:val="left"/>
        <w:rPr>
          <w:rFonts w:eastAsia="Palatino Linotype" w:cs="Palatino Linotype"/>
          <w:sz w:val="20"/>
        </w:rPr>
      </w:pPr>
      <w:r w:rsidRPr="00DA20BE">
        <w:rPr>
          <w:rFonts w:eastAsia="Palatino Linotype" w:cs="Palatino Linotype"/>
          <w:sz w:val="20"/>
        </w:rPr>
        <w:br w:type="page"/>
      </w:r>
    </w:p>
    <w:p w14:paraId="1A2522A6" w14:textId="77777777" w:rsidR="009C04A8" w:rsidRPr="00DA20BE" w:rsidRDefault="009C04A8" w:rsidP="00DA20BE">
      <w:pPr>
        <w:ind w:right="-93"/>
        <w:rPr>
          <w:rFonts w:eastAsia="Calibri" w:cs="Tahoma"/>
          <w:szCs w:val="22"/>
          <w:lang w:val="es-ES"/>
        </w:rPr>
      </w:pPr>
    </w:p>
    <w:p w14:paraId="696BC976" w14:textId="77777777" w:rsidR="00664420" w:rsidRPr="00DA20BE" w:rsidRDefault="00664420" w:rsidP="00DA20BE">
      <w:pPr>
        <w:ind w:right="-93"/>
        <w:rPr>
          <w:rFonts w:eastAsia="Calibri" w:cs="Tahoma"/>
          <w:bCs/>
          <w:szCs w:val="22"/>
          <w:lang w:val="es-ES" w:eastAsia="en-US"/>
        </w:rPr>
      </w:pPr>
    </w:p>
    <w:p w14:paraId="671CB0C5" w14:textId="77777777" w:rsidR="00664420" w:rsidRPr="00DA20BE" w:rsidRDefault="00664420" w:rsidP="00DA20BE">
      <w:pPr>
        <w:ind w:right="-93"/>
        <w:rPr>
          <w:rFonts w:eastAsia="Calibri" w:cs="Tahoma"/>
          <w:bCs/>
          <w:szCs w:val="22"/>
          <w:lang w:val="es-ES_tradnl" w:eastAsia="en-US"/>
        </w:rPr>
      </w:pPr>
    </w:p>
    <w:p w14:paraId="6FDF3D7E" w14:textId="77777777" w:rsidR="00664420" w:rsidRPr="00DA20BE" w:rsidRDefault="00664420" w:rsidP="00DA20BE">
      <w:pPr>
        <w:tabs>
          <w:tab w:val="center" w:pos="4568"/>
        </w:tabs>
        <w:ind w:right="-93"/>
        <w:rPr>
          <w:rFonts w:eastAsia="Calibri" w:cs="Tahoma"/>
          <w:bCs/>
          <w:szCs w:val="22"/>
          <w:lang w:eastAsia="en-US"/>
        </w:rPr>
      </w:pPr>
    </w:p>
    <w:p w14:paraId="6246F818" w14:textId="77777777" w:rsidR="00664420" w:rsidRPr="00DA20BE" w:rsidRDefault="00664420" w:rsidP="00DA20BE">
      <w:pPr>
        <w:tabs>
          <w:tab w:val="center" w:pos="4568"/>
        </w:tabs>
        <w:ind w:right="-93"/>
        <w:rPr>
          <w:rFonts w:eastAsia="Calibri" w:cs="Tahoma"/>
          <w:bCs/>
          <w:szCs w:val="22"/>
          <w:lang w:eastAsia="en-US"/>
        </w:rPr>
      </w:pPr>
    </w:p>
    <w:p w14:paraId="57A88B28" w14:textId="77777777" w:rsidR="00664420" w:rsidRPr="00DA20BE" w:rsidRDefault="00664420" w:rsidP="00DA20BE">
      <w:pPr>
        <w:tabs>
          <w:tab w:val="center" w:pos="4568"/>
        </w:tabs>
        <w:ind w:right="-93"/>
        <w:rPr>
          <w:rFonts w:eastAsia="Calibri" w:cs="Tahoma"/>
          <w:bCs/>
          <w:szCs w:val="22"/>
          <w:lang w:eastAsia="en-US"/>
        </w:rPr>
      </w:pPr>
    </w:p>
    <w:p w14:paraId="77EF6095" w14:textId="77777777" w:rsidR="00664420" w:rsidRPr="00DA20BE" w:rsidRDefault="00664420" w:rsidP="00DA20BE">
      <w:pPr>
        <w:tabs>
          <w:tab w:val="center" w:pos="4568"/>
        </w:tabs>
        <w:ind w:right="-93"/>
        <w:rPr>
          <w:rFonts w:eastAsia="Calibri" w:cs="Tahoma"/>
          <w:bCs/>
          <w:szCs w:val="22"/>
          <w:lang w:eastAsia="en-US"/>
        </w:rPr>
      </w:pPr>
    </w:p>
    <w:p w14:paraId="35593947" w14:textId="77777777" w:rsidR="00664420" w:rsidRPr="00DA20BE" w:rsidRDefault="00664420" w:rsidP="00DA20BE">
      <w:pPr>
        <w:tabs>
          <w:tab w:val="center" w:pos="4568"/>
        </w:tabs>
        <w:ind w:right="-93"/>
        <w:rPr>
          <w:rFonts w:eastAsia="Calibri" w:cs="Tahoma"/>
          <w:bCs/>
          <w:szCs w:val="22"/>
          <w:lang w:eastAsia="en-US"/>
        </w:rPr>
      </w:pPr>
    </w:p>
    <w:p w14:paraId="3AF72A17" w14:textId="77777777" w:rsidR="00664420" w:rsidRPr="00DA20BE" w:rsidRDefault="00664420" w:rsidP="00DA20BE">
      <w:pPr>
        <w:tabs>
          <w:tab w:val="center" w:pos="4568"/>
        </w:tabs>
        <w:ind w:right="-93"/>
        <w:rPr>
          <w:rFonts w:eastAsia="Calibri" w:cs="Tahoma"/>
          <w:bCs/>
          <w:szCs w:val="22"/>
          <w:lang w:eastAsia="en-US"/>
        </w:rPr>
      </w:pPr>
    </w:p>
    <w:p w14:paraId="37169144" w14:textId="77777777" w:rsidR="00664420" w:rsidRPr="00DA20BE" w:rsidRDefault="00664420" w:rsidP="00DA20BE">
      <w:pPr>
        <w:tabs>
          <w:tab w:val="center" w:pos="4568"/>
        </w:tabs>
        <w:ind w:right="-93"/>
        <w:rPr>
          <w:rFonts w:eastAsia="Calibri" w:cs="Tahoma"/>
          <w:bCs/>
          <w:szCs w:val="22"/>
          <w:lang w:eastAsia="en-US"/>
        </w:rPr>
      </w:pPr>
    </w:p>
    <w:p w14:paraId="77CFC088" w14:textId="77777777" w:rsidR="00664420" w:rsidRPr="00DA20BE" w:rsidRDefault="00664420" w:rsidP="00DA20BE">
      <w:pPr>
        <w:tabs>
          <w:tab w:val="center" w:pos="4568"/>
        </w:tabs>
        <w:ind w:right="-93"/>
        <w:rPr>
          <w:rFonts w:eastAsia="Calibri" w:cs="Tahoma"/>
          <w:bCs/>
          <w:szCs w:val="22"/>
          <w:lang w:eastAsia="en-US"/>
        </w:rPr>
      </w:pPr>
    </w:p>
    <w:p w14:paraId="781A11A5" w14:textId="77777777" w:rsidR="00664420" w:rsidRPr="00DA20BE" w:rsidRDefault="00664420" w:rsidP="00DA20BE">
      <w:pPr>
        <w:tabs>
          <w:tab w:val="center" w:pos="4568"/>
        </w:tabs>
        <w:ind w:right="-93"/>
        <w:rPr>
          <w:rFonts w:eastAsia="Calibri" w:cs="Tahoma"/>
          <w:bCs/>
          <w:szCs w:val="22"/>
          <w:lang w:eastAsia="en-US"/>
        </w:rPr>
      </w:pPr>
    </w:p>
    <w:p w14:paraId="5B4ADFF3" w14:textId="77777777" w:rsidR="00A131AC" w:rsidRPr="00DA20BE" w:rsidRDefault="00A131AC" w:rsidP="00DA20BE"/>
    <w:sectPr w:rsidR="00A131AC" w:rsidRPr="00DA20BE" w:rsidSect="00EE2AF2">
      <w:footerReference w:type="default" r:id="rId17"/>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16FB77" w14:textId="77777777" w:rsidR="00873B84" w:rsidRDefault="00873B84" w:rsidP="00664420">
      <w:pPr>
        <w:spacing w:line="240" w:lineRule="auto"/>
      </w:pPr>
      <w:r>
        <w:separator/>
      </w:r>
    </w:p>
  </w:endnote>
  <w:endnote w:type="continuationSeparator" w:id="0">
    <w:p w14:paraId="229220D8" w14:textId="77777777" w:rsidR="00873B84" w:rsidRDefault="00873B84"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ptos">
    <w:altName w:val="Arial"/>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415748" w:rsidRDefault="00415748">
    <w:pPr>
      <w:tabs>
        <w:tab w:val="center" w:pos="4550"/>
        <w:tab w:val="left" w:pos="5818"/>
      </w:tabs>
      <w:ind w:right="260"/>
      <w:jc w:val="right"/>
      <w:rPr>
        <w:color w:val="071320" w:themeColor="text2" w:themeShade="80"/>
        <w:sz w:val="24"/>
        <w:szCs w:val="24"/>
      </w:rPr>
    </w:pPr>
  </w:p>
  <w:p w14:paraId="1BCA7F23" w14:textId="77777777" w:rsidR="00415748" w:rsidRDefault="0041574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0BF4830B" w:rsidR="00415748" w:rsidRDefault="00415748">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D04896" w:rsidRPr="00D04896">
      <w:rPr>
        <w:noProof/>
        <w:color w:val="0A1D30" w:themeColor="text2" w:themeShade="BF"/>
        <w:sz w:val="24"/>
        <w:szCs w:val="24"/>
        <w:lang w:val="es-ES"/>
      </w:rPr>
      <w:t>35</w:t>
    </w:r>
    <w:r>
      <w:rPr>
        <w:color w:val="0A1D30" w:themeColor="text2" w:themeShade="BF"/>
        <w:sz w:val="24"/>
        <w:szCs w:val="24"/>
      </w:rPr>
      <w:fldChar w:fldCharType="end"/>
    </w:r>
  </w:p>
  <w:p w14:paraId="310E15C0" w14:textId="77777777" w:rsidR="00415748" w:rsidRDefault="0041574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EA443B" w14:textId="77777777" w:rsidR="00873B84" w:rsidRDefault="00873B84" w:rsidP="00664420">
      <w:pPr>
        <w:spacing w:line="240" w:lineRule="auto"/>
      </w:pPr>
      <w:r>
        <w:separator/>
      </w:r>
    </w:p>
  </w:footnote>
  <w:footnote w:type="continuationSeparator" w:id="0">
    <w:p w14:paraId="4EE86C22" w14:textId="77777777" w:rsidR="00873B84" w:rsidRDefault="00873B84" w:rsidP="00664420">
      <w:pPr>
        <w:spacing w:line="240" w:lineRule="auto"/>
      </w:pPr>
      <w:r>
        <w:continuationSeparator/>
      </w:r>
    </w:p>
  </w:footnote>
  <w:footnote w:id="1">
    <w:p w14:paraId="0CFBC020" w14:textId="77777777" w:rsidR="004C3367" w:rsidRDefault="004C3367" w:rsidP="004C3367">
      <w:pPr>
        <w:pStyle w:val="Textonotapie"/>
        <w:rPr>
          <w:i/>
          <w:sz w:val="18"/>
        </w:rPr>
      </w:pPr>
      <w:r>
        <w:rPr>
          <w:rStyle w:val="Refdenotaalpie"/>
          <w:rFonts w:eastAsiaTheme="majorEastAsia"/>
        </w:rPr>
        <w:footnoteRef/>
      </w:r>
      <w:r>
        <w:t xml:space="preserve"> </w:t>
      </w:r>
      <w:r>
        <w:rPr>
          <w:i/>
          <w:sz w:val="18"/>
        </w:rPr>
        <w:t>https://legislacion.edomex.gob.mx/sites/legislacion.edomex.gob.mx/files/files/pdf/gct/2025/enero/ene221/ene221a.pdf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415748" w:rsidRPr="00330DA7" w14:paraId="070A4B18" w14:textId="77777777" w:rsidTr="003F35FD">
      <w:trPr>
        <w:trHeight w:val="144"/>
        <w:jc w:val="right"/>
      </w:trPr>
      <w:tc>
        <w:tcPr>
          <w:tcW w:w="2727" w:type="dxa"/>
        </w:tcPr>
        <w:p w14:paraId="62B7493A" w14:textId="77777777" w:rsidR="00415748" w:rsidRPr="00330DA7" w:rsidRDefault="00415748"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13879FD4" w:rsidR="00415748" w:rsidRPr="00A90C72" w:rsidRDefault="00415748" w:rsidP="0083499A">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sidR="004D2A20">
            <w:rPr>
              <w:rFonts w:eastAsia="Calibri" w:cs="Tahoma"/>
              <w:szCs w:val="22"/>
              <w:lang w:eastAsia="en-US"/>
            </w:rPr>
            <w:t>7</w:t>
          </w:r>
          <w:r w:rsidR="00850F39">
            <w:rPr>
              <w:rFonts w:eastAsia="Calibri" w:cs="Tahoma"/>
              <w:szCs w:val="22"/>
              <w:lang w:eastAsia="en-US"/>
            </w:rPr>
            <w:t>412</w:t>
          </w:r>
          <w:r w:rsidRPr="006E7E69">
            <w:rPr>
              <w:rFonts w:eastAsia="Calibri" w:cs="Tahoma"/>
              <w:szCs w:val="22"/>
              <w:lang w:eastAsia="en-US"/>
            </w:rPr>
            <w:t>/INFOEM/IP/RR/2025</w:t>
          </w:r>
        </w:p>
      </w:tc>
    </w:tr>
    <w:tr w:rsidR="00415748" w:rsidRPr="00330DA7" w14:paraId="4521E058" w14:textId="77777777" w:rsidTr="003F35FD">
      <w:trPr>
        <w:trHeight w:val="283"/>
        <w:jc w:val="right"/>
      </w:trPr>
      <w:tc>
        <w:tcPr>
          <w:tcW w:w="2727" w:type="dxa"/>
        </w:tcPr>
        <w:p w14:paraId="0B68C086" w14:textId="77777777" w:rsidR="00415748" w:rsidRPr="00330DA7" w:rsidRDefault="00415748"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09B0E8B7" w:rsidR="00415748" w:rsidRPr="009233A1" w:rsidRDefault="00850F39" w:rsidP="001E5C43">
          <w:pPr>
            <w:tabs>
              <w:tab w:val="right" w:pos="8838"/>
            </w:tabs>
            <w:spacing w:line="240" w:lineRule="auto"/>
            <w:ind w:left="-74" w:right="-105"/>
            <w:rPr>
              <w:rFonts w:eastAsia="Calibri" w:cs="Tahoma"/>
              <w:szCs w:val="22"/>
              <w:lang w:val="es-MX" w:eastAsia="en-US"/>
            </w:rPr>
          </w:pPr>
          <w:r w:rsidRPr="00850F39">
            <w:rPr>
              <w:rFonts w:eastAsia="Calibri" w:cs="Tahoma"/>
              <w:szCs w:val="22"/>
              <w:lang w:eastAsia="en-US"/>
            </w:rPr>
            <w:t>Ayuntamiento de Apaxco</w:t>
          </w:r>
        </w:p>
      </w:tc>
    </w:tr>
    <w:tr w:rsidR="00415748" w:rsidRPr="00330DA7" w14:paraId="6331D9B6" w14:textId="77777777" w:rsidTr="003F35FD">
      <w:trPr>
        <w:trHeight w:val="283"/>
        <w:jc w:val="right"/>
      </w:trPr>
      <w:tc>
        <w:tcPr>
          <w:tcW w:w="2727" w:type="dxa"/>
        </w:tcPr>
        <w:p w14:paraId="3FA86BAE" w14:textId="6568823B" w:rsidR="00415748" w:rsidRPr="00330DA7" w:rsidRDefault="00415748"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415748" w:rsidRPr="00EA66FC" w:rsidRDefault="00415748"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415748" w:rsidRPr="00443C6B" w:rsidRDefault="00415748"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415748" w:rsidRPr="00330DA7" w14:paraId="29CFF901" w14:textId="77777777" w:rsidTr="004D0573">
      <w:trPr>
        <w:trHeight w:val="1435"/>
      </w:trPr>
      <w:tc>
        <w:tcPr>
          <w:tcW w:w="283" w:type="dxa"/>
        </w:tcPr>
        <w:p w14:paraId="046B9F8F" w14:textId="77777777" w:rsidR="00415748" w:rsidRPr="00330DA7" w:rsidRDefault="00415748" w:rsidP="004D0573">
          <w:pPr>
            <w:tabs>
              <w:tab w:val="right" w:pos="4273"/>
            </w:tabs>
            <w:rPr>
              <w:rFonts w:ascii="Garamond" w:eastAsia="Calibri" w:hAnsi="Garamond"/>
              <w:szCs w:val="22"/>
              <w:lang w:eastAsia="en-US"/>
            </w:rPr>
          </w:pPr>
        </w:p>
      </w:tc>
      <w:tc>
        <w:tcPr>
          <w:tcW w:w="6379" w:type="dxa"/>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415748" w:rsidRPr="00330DA7" w14:paraId="04F272D2" w14:textId="77777777" w:rsidTr="004D0573">
            <w:trPr>
              <w:trHeight w:val="144"/>
            </w:trPr>
            <w:tc>
              <w:tcPr>
                <w:tcW w:w="2727" w:type="dxa"/>
              </w:tcPr>
              <w:p w14:paraId="2FD4DBF6" w14:textId="77777777" w:rsidR="00415748" w:rsidRPr="00330DA7" w:rsidRDefault="00415748" w:rsidP="004D0573">
                <w:pPr>
                  <w:tabs>
                    <w:tab w:val="right" w:pos="8838"/>
                  </w:tabs>
                  <w:spacing w:line="240" w:lineRule="auto"/>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62E596E4" w:rsidR="00415748" w:rsidRPr="004D0573" w:rsidRDefault="00415748" w:rsidP="0083499A">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sidR="004D2A20">
                  <w:rPr>
                    <w:rFonts w:eastAsia="Calibri" w:cs="Tahoma"/>
                    <w:szCs w:val="22"/>
                    <w:lang w:eastAsia="en-US"/>
                  </w:rPr>
                  <w:t>7</w:t>
                </w:r>
                <w:r w:rsidR="00850F39">
                  <w:rPr>
                    <w:rFonts w:eastAsia="Calibri" w:cs="Tahoma"/>
                    <w:szCs w:val="22"/>
                    <w:lang w:eastAsia="en-US"/>
                  </w:rPr>
                  <w:t>412</w:t>
                </w:r>
                <w:r w:rsidRPr="006E7E69">
                  <w:rPr>
                    <w:rFonts w:eastAsia="Calibri" w:cs="Tahoma"/>
                    <w:szCs w:val="22"/>
                    <w:lang w:eastAsia="en-US"/>
                  </w:rPr>
                  <w:t>/INFOEM/IP/RR/2025</w:t>
                </w:r>
              </w:p>
            </w:tc>
            <w:tc>
              <w:tcPr>
                <w:tcW w:w="3402" w:type="dxa"/>
              </w:tcPr>
              <w:p w14:paraId="71DEA1CF" w14:textId="77777777" w:rsidR="00415748" w:rsidRDefault="00415748" w:rsidP="004D0573">
                <w:pPr>
                  <w:tabs>
                    <w:tab w:val="right" w:pos="8838"/>
                  </w:tabs>
                  <w:spacing w:line="240" w:lineRule="auto"/>
                  <w:ind w:left="-74" w:right="-105"/>
                  <w:rPr>
                    <w:rFonts w:eastAsia="Calibri" w:cs="Tahoma"/>
                    <w:szCs w:val="22"/>
                    <w:lang w:eastAsia="en-US"/>
                  </w:rPr>
                </w:pPr>
              </w:p>
            </w:tc>
          </w:tr>
          <w:tr w:rsidR="00415748" w:rsidRPr="00330DA7" w14:paraId="05C58951" w14:textId="77777777" w:rsidTr="004D0573">
            <w:trPr>
              <w:trHeight w:val="144"/>
            </w:trPr>
            <w:tc>
              <w:tcPr>
                <w:tcW w:w="2727" w:type="dxa"/>
              </w:tcPr>
              <w:p w14:paraId="642B9610" w14:textId="77777777" w:rsidR="00415748" w:rsidRPr="00330DA7" w:rsidRDefault="00415748" w:rsidP="004D0573">
                <w:pPr>
                  <w:tabs>
                    <w:tab w:val="right" w:pos="8838"/>
                  </w:tabs>
                  <w:spacing w:line="240" w:lineRule="auto"/>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751F2AF4" w:rsidR="00415748" w:rsidRPr="004D0573" w:rsidRDefault="00D04896" w:rsidP="00F8365A">
                <w:pPr>
                  <w:tabs>
                    <w:tab w:val="right" w:pos="8838"/>
                  </w:tabs>
                  <w:spacing w:line="240" w:lineRule="auto"/>
                  <w:ind w:left="-74" w:right="-105"/>
                  <w:rPr>
                    <w:rFonts w:eastAsia="Calibri" w:cs="Tahoma"/>
                    <w:szCs w:val="22"/>
                    <w:lang w:eastAsia="en-US"/>
                  </w:rPr>
                </w:pPr>
                <w:r>
                  <w:rPr>
                    <w:rFonts w:eastAsia="Calibri" w:cs="Tahoma"/>
                    <w:szCs w:val="22"/>
                    <w:lang w:eastAsia="en-US"/>
                  </w:rPr>
                  <w:t>XXXXXX XXXX XXXXXXX</w:t>
                </w:r>
              </w:p>
            </w:tc>
            <w:tc>
              <w:tcPr>
                <w:tcW w:w="3402" w:type="dxa"/>
              </w:tcPr>
              <w:p w14:paraId="73F47F53" w14:textId="77777777" w:rsidR="00415748" w:rsidRPr="005F19B1" w:rsidRDefault="00415748" w:rsidP="004D0573">
                <w:pPr>
                  <w:tabs>
                    <w:tab w:val="left" w:pos="3122"/>
                    <w:tab w:val="right" w:pos="8838"/>
                  </w:tabs>
                  <w:spacing w:line="240" w:lineRule="auto"/>
                  <w:ind w:left="-105" w:right="-105"/>
                  <w:rPr>
                    <w:rFonts w:eastAsia="Calibri" w:cs="Tahoma"/>
                    <w:szCs w:val="22"/>
                    <w:lang w:eastAsia="en-US"/>
                  </w:rPr>
                </w:pPr>
              </w:p>
            </w:tc>
          </w:tr>
          <w:bookmarkEnd w:id="1"/>
          <w:tr w:rsidR="00415748" w:rsidRPr="00330DA7" w14:paraId="00E6CDC1" w14:textId="77777777" w:rsidTr="004D0573">
            <w:trPr>
              <w:trHeight w:val="283"/>
            </w:trPr>
            <w:tc>
              <w:tcPr>
                <w:tcW w:w="2727" w:type="dxa"/>
              </w:tcPr>
              <w:p w14:paraId="0631AD24" w14:textId="77777777" w:rsidR="00415748" w:rsidRPr="00330DA7" w:rsidRDefault="00415748"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45D57D3A" w:rsidR="00415748" w:rsidRPr="004D0573" w:rsidRDefault="00850F39" w:rsidP="001E5C43">
                <w:pPr>
                  <w:tabs>
                    <w:tab w:val="right" w:pos="8838"/>
                  </w:tabs>
                  <w:spacing w:line="240" w:lineRule="auto"/>
                  <w:ind w:left="-74" w:right="-105"/>
                  <w:rPr>
                    <w:rFonts w:eastAsia="Calibri" w:cs="Tahoma"/>
                    <w:szCs w:val="22"/>
                    <w:lang w:eastAsia="en-US"/>
                  </w:rPr>
                </w:pPr>
                <w:r w:rsidRPr="00850F39">
                  <w:rPr>
                    <w:rFonts w:eastAsia="Calibri" w:cs="Tahoma"/>
                    <w:szCs w:val="22"/>
                    <w:lang w:eastAsia="en-US"/>
                  </w:rPr>
                  <w:t>Ayuntamiento de Apaxco</w:t>
                </w:r>
              </w:p>
            </w:tc>
            <w:tc>
              <w:tcPr>
                <w:tcW w:w="3402" w:type="dxa"/>
              </w:tcPr>
              <w:p w14:paraId="3A7DA319" w14:textId="77777777" w:rsidR="00415748" w:rsidRPr="00A90C72" w:rsidRDefault="00415748" w:rsidP="004D0573">
                <w:pPr>
                  <w:tabs>
                    <w:tab w:val="left" w:pos="2834"/>
                    <w:tab w:val="right" w:pos="8838"/>
                  </w:tabs>
                  <w:spacing w:line="240" w:lineRule="auto"/>
                  <w:ind w:left="-108" w:right="-105"/>
                  <w:rPr>
                    <w:rFonts w:eastAsia="Calibri" w:cs="Tahoma"/>
                    <w:szCs w:val="22"/>
                    <w:lang w:eastAsia="en-US"/>
                  </w:rPr>
                </w:pPr>
              </w:p>
            </w:tc>
          </w:tr>
          <w:tr w:rsidR="00415748" w:rsidRPr="00330DA7" w14:paraId="0F6CD8D2" w14:textId="77777777" w:rsidTr="004D0573">
            <w:trPr>
              <w:trHeight w:val="283"/>
            </w:trPr>
            <w:tc>
              <w:tcPr>
                <w:tcW w:w="2727" w:type="dxa"/>
              </w:tcPr>
              <w:p w14:paraId="31700628" w14:textId="0565A62A" w:rsidR="00415748" w:rsidRPr="00330DA7" w:rsidRDefault="00415748"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415748" w:rsidRPr="00EA66FC" w:rsidRDefault="00415748"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415748" w:rsidRPr="00330DA7" w:rsidRDefault="00415748" w:rsidP="004D0573">
                <w:pPr>
                  <w:tabs>
                    <w:tab w:val="right" w:pos="8838"/>
                  </w:tabs>
                  <w:spacing w:line="240" w:lineRule="auto"/>
                  <w:ind w:left="-108" w:right="-105"/>
                  <w:rPr>
                    <w:rFonts w:eastAsia="Calibri" w:cs="Tahoma"/>
                    <w:szCs w:val="22"/>
                    <w:lang w:eastAsia="en-US"/>
                  </w:rPr>
                </w:pPr>
              </w:p>
            </w:tc>
          </w:tr>
        </w:tbl>
        <w:p w14:paraId="5DC6AC61" w14:textId="77777777" w:rsidR="00415748" w:rsidRPr="00330DA7" w:rsidRDefault="00415748" w:rsidP="004D0573">
          <w:pPr>
            <w:tabs>
              <w:tab w:val="right" w:pos="8838"/>
            </w:tabs>
            <w:ind w:left="-28"/>
            <w:rPr>
              <w:rFonts w:ascii="Arial" w:eastAsia="Calibri" w:hAnsi="Arial" w:cs="Arial"/>
              <w:b/>
              <w:szCs w:val="22"/>
              <w:lang w:eastAsia="en-US"/>
            </w:rPr>
          </w:pPr>
        </w:p>
      </w:tc>
    </w:tr>
  </w:tbl>
  <w:p w14:paraId="2A906731" w14:textId="77777777" w:rsidR="00415748" w:rsidRPr="00765661" w:rsidRDefault="00873B84" w:rsidP="004D05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9D0CA1"/>
    <w:multiLevelType w:val="hybridMultilevel"/>
    <w:tmpl w:val="3B708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1595321"/>
    <w:multiLevelType w:val="hybridMultilevel"/>
    <w:tmpl w:val="D4F2D6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29E25BB"/>
    <w:multiLevelType w:val="multilevel"/>
    <w:tmpl w:val="72300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701138"/>
    <w:multiLevelType w:val="multilevel"/>
    <w:tmpl w:val="7BFC0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D17284"/>
    <w:multiLevelType w:val="multilevel"/>
    <w:tmpl w:val="FBD013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11232"/>
    <w:rsid w:val="0002630F"/>
    <w:rsid w:val="000318BC"/>
    <w:rsid w:val="0003246A"/>
    <w:rsid w:val="00033156"/>
    <w:rsid w:val="00042FBB"/>
    <w:rsid w:val="00057B2D"/>
    <w:rsid w:val="00065518"/>
    <w:rsid w:val="000777E2"/>
    <w:rsid w:val="00080071"/>
    <w:rsid w:val="00096378"/>
    <w:rsid w:val="00096BCC"/>
    <w:rsid w:val="000A0798"/>
    <w:rsid w:val="000A2CCB"/>
    <w:rsid w:val="000A509B"/>
    <w:rsid w:val="000C2AF4"/>
    <w:rsid w:val="000C3BBA"/>
    <w:rsid w:val="000D0D67"/>
    <w:rsid w:val="000D5E4F"/>
    <w:rsid w:val="000E09C4"/>
    <w:rsid w:val="000E23B9"/>
    <w:rsid w:val="000F32E8"/>
    <w:rsid w:val="000F46F7"/>
    <w:rsid w:val="00101617"/>
    <w:rsid w:val="00103C8A"/>
    <w:rsid w:val="00107F71"/>
    <w:rsid w:val="00107FCC"/>
    <w:rsid w:val="0011350D"/>
    <w:rsid w:val="001144FB"/>
    <w:rsid w:val="00117DDB"/>
    <w:rsid w:val="00127130"/>
    <w:rsid w:val="00135056"/>
    <w:rsid w:val="00136FD0"/>
    <w:rsid w:val="00141876"/>
    <w:rsid w:val="0014207B"/>
    <w:rsid w:val="00150C49"/>
    <w:rsid w:val="001544A1"/>
    <w:rsid w:val="001672D5"/>
    <w:rsid w:val="001734D5"/>
    <w:rsid w:val="00185C7C"/>
    <w:rsid w:val="001878E5"/>
    <w:rsid w:val="001A58B3"/>
    <w:rsid w:val="001A64FD"/>
    <w:rsid w:val="001A6A2C"/>
    <w:rsid w:val="001C1696"/>
    <w:rsid w:val="001C555C"/>
    <w:rsid w:val="001C6BE2"/>
    <w:rsid w:val="001C7688"/>
    <w:rsid w:val="001D061F"/>
    <w:rsid w:val="001D07AB"/>
    <w:rsid w:val="001D2464"/>
    <w:rsid w:val="001D5BAD"/>
    <w:rsid w:val="001E0CFD"/>
    <w:rsid w:val="001E5C43"/>
    <w:rsid w:val="001E7E0E"/>
    <w:rsid w:val="001F0118"/>
    <w:rsid w:val="001F329F"/>
    <w:rsid w:val="001F3515"/>
    <w:rsid w:val="002015AE"/>
    <w:rsid w:val="00202480"/>
    <w:rsid w:val="00211F42"/>
    <w:rsid w:val="002229C9"/>
    <w:rsid w:val="00233005"/>
    <w:rsid w:val="00233F17"/>
    <w:rsid w:val="00237120"/>
    <w:rsid w:val="00240234"/>
    <w:rsid w:val="00245D19"/>
    <w:rsid w:val="002553CD"/>
    <w:rsid w:val="00267F62"/>
    <w:rsid w:val="00287429"/>
    <w:rsid w:val="00292202"/>
    <w:rsid w:val="00293D29"/>
    <w:rsid w:val="002958FA"/>
    <w:rsid w:val="002961A6"/>
    <w:rsid w:val="002961B5"/>
    <w:rsid w:val="0029641C"/>
    <w:rsid w:val="002A3601"/>
    <w:rsid w:val="002A42DA"/>
    <w:rsid w:val="002B1D44"/>
    <w:rsid w:val="002B4ED6"/>
    <w:rsid w:val="002B7C6F"/>
    <w:rsid w:val="002D049D"/>
    <w:rsid w:val="002D0A56"/>
    <w:rsid w:val="002D111C"/>
    <w:rsid w:val="002E18F0"/>
    <w:rsid w:val="002E3E00"/>
    <w:rsid w:val="002F6393"/>
    <w:rsid w:val="00302476"/>
    <w:rsid w:val="00304C8C"/>
    <w:rsid w:val="00306C07"/>
    <w:rsid w:val="00316ABB"/>
    <w:rsid w:val="00327203"/>
    <w:rsid w:val="00331F35"/>
    <w:rsid w:val="00334471"/>
    <w:rsid w:val="00335CDF"/>
    <w:rsid w:val="00341E94"/>
    <w:rsid w:val="00345E85"/>
    <w:rsid w:val="00346BC2"/>
    <w:rsid w:val="00353A30"/>
    <w:rsid w:val="00362A11"/>
    <w:rsid w:val="00386CD1"/>
    <w:rsid w:val="003A3A7E"/>
    <w:rsid w:val="003A40C1"/>
    <w:rsid w:val="003A67CC"/>
    <w:rsid w:val="003B0255"/>
    <w:rsid w:val="003B0AEC"/>
    <w:rsid w:val="003B2486"/>
    <w:rsid w:val="003B5D3E"/>
    <w:rsid w:val="003F28CD"/>
    <w:rsid w:val="003F35FD"/>
    <w:rsid w:val="0041385B"/>
    <w:rsid w:val="00415748"/>
    <w:rsid w:val="00416357"/>
    <w:rsid w:val="00425B2F"/>
    <w:rsid w:val="00430170"/>
    <w:rsid w:val="00441BFA"/>
    <w:rsid w:val="00454FBD"/>
    <w:rsid w:val="004565C2"/>
    <w:rsid w:val="00475FF6"/>
    <w:rsid w:val="004869C2"/>
    <w:rsid w:val="004A0EDD"/>
    <w:rsid w:val="004A4241"/>
    <w:rsid w:val="004B001B"/>
    <w:rsid w:val="004B287B"/>
    <w:rsid w:val="004B34FB"/>
    <w:rsid w:val="004C1963"/>
    <w:rsid w:val="004C3367"/>
    <w:rsid w:val="004C43D3"/>
    <w:rsid w:val="004D0573"/>
    <w:rsid w:val="004D2A20"/>
    <w:rsid w:val="004D7CD8"/>
    <w:rsid w:val="004E2939"/>
    <w:rsid w:val="004E5068"/>
    <w:rsid w:val="004E761D"/>
    <w:rsid w:val="004F7A00"/>
    <w:rsid w:val="005122DD"/>
    <w:rsid w:val="00522385"/>
    <w:rsid w:val="00523E60"/>
    <w:rsid w:val="00523F48"/>
    <w:rsid w:val="005365FA"/>
    <w:rsid w:val="00536C50"/>
    <w:rsid w:val="005432B1"/>
    <w:rsid w:val="00550AB5"/>
    <w:rsid w:val="0055624C"/>
    <w:rsid w:val="0056448D"/>
    <w:rsid w:val="005719D6"/>
    <w:rsid w:val="005723CB"/>
    <w:rsid w:val="0057419A"/>
    <w:rsid w:val="00575400"/>
    <w:rsid w:val="0058020B"/>
    <w:rsid w:val="00581E24"/>
    <w:rsid w:val="00590E23"/>
    <w:rsid w:val="00591A20"/>
    <w:rsid w:val="005A468E"/>
    <w:rsid w:val="005A5BF2"/>
    <w:rsid w:val="005B18AF"/>
    <w:rsid w:val="005B45A1"/>
    <w:rsid w:val="005D516F"/>
    <w:rsid w:val="005D5A50"/>
    <w:rsid w:val="005D7913"/>
    <w:rsid w:val="005F5301"/>
    <w:rsid w:val="005F65B7"/>
    <w:rsid w:val="006067C7"/>
    <w:rsid w:val="006159AD"/>
    <w:rsid w:val="00646436"/>
    <w:rsid w:val="00657603"/>
    <w:rsid w:val="00664420"/>
    <w:rsid w:val="006A21FC"/>
    <w:rsid w:val="006A646A"/>
    <w:rsid w:val="006B10B0"/>
    <w:rsid w:val="006D3237"/>
    <w:rsid w:val="006E13CF"/>
    <w:rsid w:val="006E25BC"/>
    <w:rsid w:val="006E6BBC"/>
    <w:rsid w:val="006E7E69"/>
    <w:rsid w:val="006F2933"/>
    <w:rsid w:val="006F3BE7"/>
    <w:rsid w:val="006F7768"/>
    <w:rsid w:val="00702E98"/>
    <w:rsid w:val="00717E59"/>
    <w:rsid w:val="00724F22"/>
    <w:rsid w:val="007517BD"/>
    <w:rsid w:val="0075751F"/>
    <w:rsid w:val="0076337C"/>
    <w:rsid w:val="00773DD6"/>
    <w:rsid w:val="00773EAB"/>
    <w:rsid w:val="00774516"/>
    <w:rsid w:val="00775BFC"/>
    <w:rsid w:val="0077621B"/>
    <w:rsid w:val="007770D8"/>
    <w:rsid w:val="00793B64"/>
    <w:rsid w:val="00794BA5"/>
    <w:rsid w:val="007A02AF"/>
    <w:rsid w:val="007A202D"/>
    <w:rsid w:val="007A2B8D"/>
    <w:rsid w:val="007A3459"/>
    <w:rsid w:val="007B6074"/>
    <w:rsid w:val="007C7C47"/>
    <w:rsid w:val="007D1C55"/>
    <w:rsid w:val="007D1C84"/>
    <w:rsid w:val="007D317F"/>
    <w:rsid w:val="007E07E1"/>
    <w:rsid w:val="007E2ACA"/>
    <w:rsid w:val="007E4B2D"/>
    <w:rsid w:val="007F5D06"/>
    <w:rsid w:val="00801241"/>
    <w:rsid w:val="00805A6E"/>
    <w:rsid w:val="00811211"/>
    <w:rsid w:val="00811F75"/>
    <w:rsid w:val="00813497"/>
    <w:rsid w:val="00816072"/>
    <w:rsid w:val="00823BA5"/>
    <w:rsid w:val="00826C28"/>
    <w:rsid w:val="0082715D"/>
    <w:rsid w:val="00831728"/>
    <w:rsid w:val="008329F8"/>
    <w:rsid w:val="0083499A"/>
    <w:rsid w:val="00836332"/>
    <w:rsid w:val="00843323"/>
    <w:rsid w:val="00850F39"/>
    <w:rsid w:val="00860F56"/>
    <w:rsid w:val="00864CC1"/>
    <w:rsid w:val="00865CF4"/>
    <w:rsid w:val="00873B84"/>
    <w:rsid w:val="00876DBC"/>
    <w:rsid w:val="008950DC"/>
    <w:rsid w:val="008A6003"/>
    <w:rsid w:val="008A6F88"/>
    <w:rsid w:val="008B1E16"/>
    <w:rsid w:val="008E1316"/>
    <w:rsid w:val="008E6224"/>
    <w:rsid w:val="00903DBE"/>
    <w:rsid w:val="00910FD2"/>
    <w:rsid w:val="00911079"/>
    <w:rsid w:val="009164F6"/>
    <w:rsid w:val="009233A1"/>
    <w:rsid w:val="00925ECA"/>
    <w:rsid w:val="00931437"/>
    <w:rsid w:val="00936B5A"/>
    <w:rsid w:val="00952651"/>
    <w:rsid w:val="00953212"/>
    <w:rsid w:val="00953430"/>
    <w:rsid w:val="00965890"/>
    <w:rsid w:val="00970EB3"/>
    <w:rsid w:val="0097369C"/>
    <w:rsid w:val="00976247"/>
    <w:rsid w:val="00982877"/>
    <w:rsid w:val="00985840"/>
    <w:rsid w:val="0098693C"/>
    <w:rsid w:val="00993ED0"/>
    <w:rsid w:val="009953BC"/>
    <w:rsid w:val="0099691F"/>
    <w:rsid w:val="009A1340"/>
    <w:rsid w:val="009A2D78"/>
    <w:rsid w:val="009A2EDE"/>
    <w:rsid w:val="009A7C10"/>
    <w:rsid w:val="009B2945"/>
    <w:rsid w:val="009B5437"/>
    <w:rsid w:val="009B79BD"/>
    <w:rsid w:val="009C04A8"/>
    <w:rsid w:val="009E0652"/>
    <w:rsid w:val="009E2DEE"/>
    <w:rsid w:val="009E45F2"/>
    <w:rsid w:val="009E4644"/>
    <w:rsid w:val="009E6B1C"/>
    <w:rsid w:val="009F231D"/>
    <w:rsid w:val="009F797C"/>
    <w:rsid w:val="00A12AFA"/>
    <w:rsid w:val="00A131AC"/>
    <w:rsid w:val="00A16D85"/>
    <w:rsid w:val="00A21A20"/>
    <w:rsid w:val="00A35DA7"/>
    <w:rsid w:val="00A36A99"/>
    <w:rsid w:val="00A41792"/>
    <w:rsid w:val="00A53315"/>
    <w:rsid w:val="00A53382"/>
    <w:rsid w:val="00A6091A"/>
    <w:rsid w:val="00A63966"/>
    <w:rsid w:val="00A6415E"/>
    <w:rsid w:val="00A70EF0"/>
    <w:rsid w:val="00A76102"/>
    <w:rsid w:val="00A815EA"/>
    <w:rsid w:val="00A822BF"/>
    <w:rsid w:val="00A9208D"/>
    <w:rsid w:val="00A964CC"/>
    <w:rsid w:val="00AA3AE9"/>
    <w:rsid w:val="00AA6EA9"/>
    <w:rsid w:val="00AB6BBD"/>
    <w:rsid w:val="00AC173B"/>
    <w:rsid w:val="00AC2DB8"/>
    <w:rsid w:val="00AC3CA0"/>
    <w:rsid w:val="00AD4855"/>
    <w:rsid w:val="00AE3DA7"/>
    <w:rsid w:val="00AE5AEF"/>
    <w:rsid w:val="00AF03C4"/>
    <w:rsid w:val="00B137E8"/>
    <w:rsid w:val="00B169A2"/>
    <w:rsid w:val="00B2163F"/>
    <w:rsid w:val="00B22A80"/>
    <w:rsid w:val="00B32E5E"/>
    <w:rsid w:val="00B348A2"/>
    <w:rsid w:val="00B36848"/>
    <w:rsid w:val="00B373AF"/>
    <w:rsid w:val="00B47DF0"/>
    <w:rsid w:val="00B6035B"/>
    <w:rsid w:val="00B61BCE"/>
    <w:rsid w:val="00B65555"/>
    <w:rsid w:val="00B80A20"/>
    <w:rsid w:val="00B822AE"/>
    <w:rsid w:val="00BA1636"/>
    <w:rsid w:val="00BA1AB6"/>
    <w:rsid w:val="00BA27B5"/>
    <w:rsid w:val="00BA55A8"/>
    <w:rsid w:val="00BA5FBF"/>
    <w:rsid w:val="00BB2ABF"/>
    <w:rsid w:val="00BB64F4"/>
    <w:rsid w:val="00BB702C"/>
    <w:rsid w:val="00BC1202"/>
    <w:rsid w:val="00BC1DC3"/>
    <w:rsid w:val="00BC6BAF"/>
    <w:rsid w:val="00BD2738"/>
    <w:rsid w:val="00BD3F4F"/>
    <w:rsid w:val="00BD5A7C"/>
    <w:rsid w:val="00BE7A1B"/>
    <w:rsid w:val="00BF0221"/>
    <w:rsid w:val="00BF091A"/>
    <w:rsid w:val="00BF3DF2"/>
    <w:rsid w:val="00BF4EAD"/>
    <w:rsid w:val="00BF51BF"/>
    <w:rsid w:val="00C00D03"/>
    <w:rsid w:val="00C049E2"/>
    <w:rsid w:val="00C10D59"/>
    <w:rsid w:val="00C220EF"/>
    <w:rsid w:val="00C229BF"/>
    <w:rsid w:val="00C30616"/>
    <w:rsid w:val="00C351EC"/>
    <w:rsid w:val="00C36795"/>
    <w:rsid w:val="00C42CA7"/>
    <w:rsid w:val="00C461EC"/>
    <w:rsid w:val="00C507D4"/>
    <w:rsid w:val="00C71CEF"/>
    <w:rsid w:val="00C72DAA"/>
    <w:rsid w:val="00C73A98"/>
    <w:rsid w:val="00C7571D"/>
    <w:rsid w:val="00C80B14"/>
    <w:rsid w:val="00C91DA6"/>
    <w:rsid w:val="00CA50B3"/>
    <w:rsid w:val="00CB7C31"/>
    <w:rsid w:val="00CB7E9A"/>
    <w:rsid w:val="00CD0B92"/>
    <w:rsid w:val="00CD3244"/>
    <w:rsid w:val="00CD732B"/>
    <w:rsid w:val="00CD7661"/>
    <w:rsid w:val="00CE1DFB"/>
    <w:rsid w:val="00CE29D3"/>
    <w:rsid w:val="00CE3DBD"/>
    <w:rsid w:val="00CE58F2"/>
    <w:rsid w:val="00CF2D8B"/>
    <w:rsid w:val="00CF7586"/>
    <w:rsid w:val="00CF7F0C"/>
    <w:rsid w:val="00D036D3"/>
    <w:rsid w:val="00D04896"/>
    <w:rsid w:val="00D07C17"/>
    <w:rsid w:val="00D161C4"/>
    <w:rsid w:val="00D167CF"/>
    <w:rsid w:val="00D20F37"/>
    <w:rsid w:val="00D228A6"/>
    <w:rsid w:val="00D2790D"/>
    <w:rsid w:val="00D44B43"/>
    <w:rsid w:val="00D51ECD"/>
    <w:rsid w:val="00D53CE6"/>
    <w:rsid w:val="00D5461D"/>
    <w:rsid w:val="00D55FDA"/>
    <w:rsid w:val="00D57603"/>
    <w:rsid w:val="00D6170E"/>
    <w:rsid w:val="00D91CB4"/>
    <w:rsid w:val="00DA20BE"/>
    <w:rsid w:val="00DA54C1"/>
    <w:rsid w:val="00DB1C09"/>
    <w:rsid w:val="00DC11A3"/>
    <w:rsid w:val="00DC30FA"/>
    <w:rsid w:val="00DC669D"/>
    <w:rsid w:val="00DC6E72"/>
    <w:rsid w:val="00DE1133"/>
    <w:rsid w:val="00DE28A3"/>
    <w:rsid w:val="00DE5DCF"/>
    <w:rsid w:val="00DF70BC"/>
    <w:rsid w:val="00E11AA0"/>
    <w:rsid w:val="00E16BF5"/>
    <w:rsid w:val="00E27023"/>
    <w:rsid w:val="00E33233"/>
    <w:rsid w:val="00E37496"/>
    <w:rsid w:val="00E37A3F"/>
    <w:rsid w:val="00E37D3C"/>
    <w:rsid w:val="00E62E6A"/>
    <w:rsid w:val="00E73A29"/>
    <w:rsid w:val="00E83EF5"/>
    <w:rsid w:val="00E9335C"/>
    <w:rsid w:val="00ED1C1E"/>
    <w:rsid w:val="00EE2AF2"/>
    <w:rsid w:val="00EE7028"/>
    <w:rsid w:val="00EE77E9"/>
    <w:rsid w:val="00EF2F18"/>
    <w:rsid w:val="00EF6D46"/>
    <w:rsid w:val="00F00B10"/>
    <w:rsid w:val="00F07EE6"/>
    <w:rsid w:val="00F25625"/>
    <w:rsid w:val="00F26F8F"/>
    <w:rsid w:val="00F32348"/>
    <w:rsid w:val="00F33CC8"/>
    <w:rsid w:val="00F433D6"/>
    <w:rsid w:val="00F4481C"/>
    <w:rsid w:val="00F44A86"/>
    <w:rsid w:val="00F45902"/>
    <w:rsid w:val="00F52005"/>
    <w:rsid w:val="00F52089"/>
    <w:rsid w:val="00F75D23"/>
    <w:rsid w:val="00F8365A"/>
    <w:rsid w:val="00F8547A"/>
    <w:rsid w:val="00F86DF5"/>
    <w:rsid w:val="00F93742"/>
    <w:rsid w:val="00FA5957"/>
    <w:rsid w:val="00FC3CE0"/>
    <w:rsid w:val="00FC7090"/>
    <w:rsid w:val="00FD06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ACA"/>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E0CFD"/>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14:ligatures w14:val="none"/>
    </w:rPr>
  </w:style>
  <w:style w:type="paragraph" w:customStyle="1" w:styleId="Default">
    <w:name w:val="Default"/>
    <w:rsid w:val="00C30616"/>
    <w:pPr>
      <w:autoSpaceDE w:val="0"/>
      <w:autoSpaceDN w:val="0"/>
      <w:adjustRightInd w:val="0"/>
      <w:spacing w:after="0" w:line="240" w:lineRule="auto"/>
    </w:pPr>
    <w:rPr>
      <w:rFonts w:ascii="Arial" w:hAnsi="Arial" w:cs="Arial"/>
      <w:color w:val="000000"/>
      <w:kern w:val="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1544A1"/>
    <w:rPr>
      <w:color w:val="605E5C"/>
      <w:shd w:val="clear" w:color="auto" w:fill="E1DFDD"/>
    </w:rPr>
  </w:style>
  <w:style w:type="character" w:customStyle="1" w:styleId="UnresolvedMention">
    <w:name w:val="Unresolved Mention"/>
    <w:basedOn w:val="Fuentedeprrafopredeter"/>
    <w:uiPriority w:val="99"/>
    <w:semiHidden/>
    <w:unhideWhenUsed/>
    <w:rsid w:val="001C1696"/>
    <w:rPr>
      <w:color w:val="605E5C"/>
      <w:shd w:val="clear" w:color="auto" w:fill="E1DFDD"/>
    </w:rPr>
  </w:style>
  <w:style w:type="character" w:customStyle="1" w:styleId="Hipervnculo151">
    <w:name w:val="Hipervínculo151"/>
    <w:basedOn w:val="Fuentedeprrafopredeter"/>
    <w:uiPriority w:val="99"/>
    <w:rsid w:val="00CD732B"/>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41333">
      <w:bodyDiv w:val="1"/>
      <w:marLeft w:val="0"/>
      <w:marRight w:val="0"/>
      <w:marTop w:val="0"/>
      <w:marBottom w:val="0"/>
      <w:divBdr>
        <w:top w:val="none" w:sz="0" w:space="0" w:color="auto"/>
        <w:left w:val="none" w:sz="0" w:space="0" w:color="auto"/>
        <w:bottom w:val="none" w:sz="0" w:space="0" w:color="auto"/>
        <w:right w:val="none" w:sz="0" w:space="0" w:color="auto"/>
      </w:divBdr>
    </w:div>
    <w:div w:id="160201178">
      <w:bodyDiv w:val="1"/>
      <w:marLeft w:val="0"/>
      <w:marRight w:val="0"/>
      <w:marTop w:val="0"/>
      <w:marBottom w:val="0"/>
      <w:divBdr>
        <w:top w:val="none" w:sz="0" w:space="0" w:color="auto"/>
        <w:left w:val="none" w:sz="0" w:space="0" w:color="auto"/>
        <w:bottom w:val="none" w:sz="0" w:space="0" w:color="auto"/>
        <w:right w:val="none" w:sz="0" w:space="0" w:color="auto"/>
      </w:divBdr>
    </w:div>
    <w:div w:id="179665923">
      <w:bodyDiv w:val="1"/>
      <w:marLeft w:val="0"/>
      <w:marRight w:val="0"/>
      <w:marTop w:val="0"/>
      <w:marBottom w:val="0"/>
      <w:divBdr>
        <w:top w:val="none" w:sz="0" w:space="0" w:color="auto"/>
        <w:left w:val="none" w:sz="0" w:space="0" w:color="auto"/>
        <w:bottom w:val="none" w:sz="0" w:space="0" w:color="auto"/>
        <w:right w:val="none" w:sz="0" w:space="0" w:color="auto"/>
      </w:divBdr>
    </w:div>
    <w:div w:id="186407535">
      <w:bodyDiv w:val="1"/>
      <w:marLeft w:val="0"/>
      <w:marRight w:val="0"/>
      <w:marTop w:val="0"/>
      <w:marBottom w:val="0"/>
      <w:divBdr>
        <w:top w:val="none" w:sz="0" w:space="0" w:color="auto"/>
        <w:left w:val="none" w:sz="0" w:space="0" w:color="auto"/>
        <w:bottom w:val="none" w:sz="0" w:space="0" w:color="auto"/>
        <w:right w:val="none" w:sz="0" w:space="0" w:color="auto"/>
      </w:divBdr>
    </w:div>
    <w:div w:id="285428060">
      <w:bodyDiv w:val="1"/>
      <w:marLeft w:val="0"/>
      <w:marRight w:val="0"/>
      <w:marTop w:val="0"/>
      <w:marBottom w:val="0"/>
      <w:divBdr>
        <w:top w:val="none" w:sz="0" w:space="0" w:color="auto"/>
        <w:left w:val="none" w:sz="0" w:space="0" w:color="auto"/>
        <w:bottom w:val="none" w:sz="0" w:space="0" w:color="auto"/>
        <w:right w:val="none" w:sz="0" w:space="0" w:color="auto"/>
      </w:divBdr>
    </w:div>
    <w:div w:id="328947305">
      <w:bodyDiv w:val="1"/>
      <w:marLeft w:val="0"/>
      <w:marRight w:val="0"/>
      <w:marTop w:val="0"/>
      <w:marBottom w:val="0"/>
      <w:divBdr>
        <w:top w:val="none" w:sz="0" w:space="0" w:color="auto"/>
        <w:left w:val="none" w:sz="0" w:space="0" w:color="auto"/>
        <w:bottom w:val="none" w:sz="0" w:space="0" w:color="auto"/>
        <w:right w:val="none" w:sz="0" w:space="0" w:color="auto"/>
      </w:divBdr>
    </w:div>
    <w:div w:id="333533794">
      <w:bodyDiv w:val="1"/>
      <w:marLeft w:val="0"/>
      <w:marRight w:val="0"/>
      <w:marTop w:val="0"/>
      <w:marBottom w:val="0"/>
      <w:divBdr>
        <w:top w:val="none" w:sz="0" w:space="0" w:color="auto"/>
        <w:left w:val="none" w:sz="0" w:space="0" w:color="auto"/>
        <w:bottom w:val="none" w:sz="0" w:space="0" w:color="auto"/>
        <w:right w:val="none" w:sz="0" w:space="0" w:color="auto"/>
      </w:divBdr>
    </w:div>
    <w:div w:id="457991894">
      <w:bodyDiv w:val="1"/>
      <w:marLeft w:val="0"/>
      <w:marRight w:val="0"/>
      <w:marTop w:val="0"/>
      <w:marBottom w:val="0"/>
      <w:divBdr>
        <w:top w:val="none" w:sz="0" w:space="0" w:color="auto"/>
        <w:left w:val="none" w:sz="0" w:space="0" w:color="auto"/>
        <w:bottom w:val="none" w:sz="0" w:space="0" w:color="auto"/>
        <w:right w:val="none" w:sz="0" w:space="0" w:color="auto"/>
      </w:divBdr>
    </w:div>
    <w:div w:id="527186236">
      <w:bodyDiv w:val="1"/>
      <w:marLeft w:val="0"/>
      <w:marRight w:val="0"/>
      <w:marTop w:val="0"/>
      <w:marBottom w:val="0"/>
      <w:divBdr>
        <w:top w:val="none" w:sz="0" w:space="0" w:color="auto"/>
        <w:left w:val="none" w:sz="0" w:space="0" w:color="auto"/>
        <w:bottom w:val="none" w:sz="0" w:space="0" w:color="auto"/>
        <w:right w:val="none" w:sz="0" w:space="0" w:color="auto"/>
      </w:divBdr>
    </w:div>
    <w:div w:id="533004562">
      <w:bodyDiv w:val="1"/>
      <w:marLeft w:val="0"/>
      <w:marRight w:val="0"/>
      <w:marTop w:val="0"/>
      <w:marBottom w:val="0"/>
      <w:divBdr>
        <w:top w:val="none" w:sz="0" w:space="0" w:color="auto"/>
        <w:left w:val="none" w:sz="0" w:space="0" w:color="auto"/>
        <w:bottom w:val="none" w:sz="0" w:space="0" w:color="auto"/>
        <w:right w:val="none" w:sz="0" w:space="0" w:color="auto"/>
      </w:divBdr>
    </w:div>
    <w:div w:id="576014576">
      <w:bodyDiv w:val="1"/>
      <w:marLeft w:val="0"/>
      <w:marRight w:val="0"/>
      <w:marTop w:val="0"/>
      <w:marBottom w:val="0"/>
      <w:divBdr>
        <w:top w:val="none" w:sz="0" w:space="0" w:color="auto"/>
        <w:left w:val="none" w:sz="0" w:space="0" w:color="auto"/>
        <w:bottom w:val="none" w:sz="0" w:space="0" w:color="auto"/>
        <w:right w:val="none" w:sz="0" w:space="0" w:color="auto"/>
      </w:divBdr>
    </w:div>
    <w:div w:id="601843710">
      <w:bodyDiv w:val="1"/>
      <w:marLeft w:val="0"/>
      <w:marRight w:val="0"/>
      <w:marTop w:val="0"/>
      <w:marBottom w:val="0"/>
      <w:divBdr>
        <w:top w:val="none" w:sz="0" w:space="0" w:color="auto"/>
        <w:left w:val="none" w:sz="0" w:space="0" w:color="auto"/>
        <w:bottom w:val="none" w:sz="0" w:space="0" w:color="auto"/>
        <w:right w:val="none" w:sz="0" w:space="0" w:color="auto"/>
      </w:divBdr>
    </w:div>
    <w:div w:id="651759630">
      <w:bodyDiv w:val="1"/>
      <w:marLeft w:val="0"/>
      <w:marRight w:val="0"/>
      <w:marTop w:val="0"/>
      <w:marBottom w:val="0"/>
      <w:divBdr>
        <w:top w:val="none" w:sz="0" w:space="0" w:color="auto"/>
        <w:left w:val="none" w:sz="0" w:space="0" w:color="auto"/>
        <w:bottom w:val="none" w:sz="0" w:space="0" w:color="auto"/>
        <w:right w:val="none" w:sz="0" w:space="0" w:color="auto"/>
      </w:divBdr>
    </w:div>
    <w:div w:id="681782180">
      <w:bodyDiv w:val="1"/>
      <w:marLeft w:val="0"/>
      <w:marRight w:val="0"/>
      <w:marTop w:val="0"/>
      <w:marBottom w:val="0"/>
      <w:divBdr>
        <w:top w:val="none" w:sz="0" w:space="0" w:color="auto"/>
        <w:left w:val="none" w:sz="0" w:space="0" w:color="auto"/>
        <w:bottom w:val="none" w:sz="0" w:space="0" w:color="auto"/>
        <w:right w:val="none" w:sz="0" w:space="0" w:color="auto"/>
      </w:divBdr>
    </w:div>
    <w:div w:id="732654892">
      <w:bodyDiv w:val="1"/>
      <w:marLeft w:val="0"/>
      <w:marRight w:val="0"/>
      <w:marTop w:val="0"/>
      <w:marBottom w:val="0"/>
      <w:divBdr>
        <w:top w:val="none" w:sz="0" w:space="0" w:color="auto"/>
        <w:left w:val="none" w:sz="0" w:space="0" w:color="auto"/>
        <w:bottom w:val="none" w:sz="0" w:space="0" w:color="auto"/>
        <w:right w:val="none" w:sz="0" w:space="0" w:color="auto"/>
      </w:divBdr>
    </w:div>
    <w:div w:id="736050479">
      <w:bodyDiv w:val="1"/>
      <w:marLeft w:val="0"/>
      <w:marRight w:val="0"/>
      <w:marTop w:val="0"/>
      <w:marBottom w:val="0"/>
      <w:divBdr>
        <w:top w:val="none" w:sz="0" w:space="0" w:color="auto"/>
        <w:left w:val="none" w:sz="0" w:space="0" w:color="auto"/>
        <w:bottom w:val="none" w:sz="0" w:space="0" w:color="auto"/>
        <w:right w:val="none" w:sz="0" w:space="0" w:color="auto"/>
      </w:divBdr>
    </w:div>
    <w:div w:id="745153732">
      <w:bodyDiv w:val="1"/>
      <w:marLeft w:val="0"/>
      <w:marRight w:val="0"/>
      <w:marTop w:val="0"/>
      <w:marBottom w:val="0"/>
      <w:divBdr>
        <w:top w:val="none" w:sz="0" w:space="0" w:color="auto"/>
        <w:left w:val="none" w:sz="0" w:space="0" w:color="auto"/>
        <w:bottom w:val="none" w:sz="0" w:space="0" w:color="auto"/>
        <w:right w:val="none" w:sz="0" w:space="0" w:color="auto"/>
      </w:divBdr>
    </w:div>
    <w:div w:id="747655630">
      <w:bodyDiv w:val="1"/>
      <w:marLeft w:val="0"/>
      <w:marRight w:val="0"/>
      <w:marTop w:val="0"/>
      <w:marBottom w:val="0"/>
      <w:divBdr>
        <w:top w:val="none" w:sz="0" w:space="0" w:color="auto"/>
        <w:left w:val="none" w:sz="0" w:space="0" w:color="auto"/>
        <w:bottom w:val="none" w:sz="0" w:space="0" w:color="auto"/>
        <w:right w:val="none" w:sz="0" w:space="0" w:color="auto"/>
      </w:divBdr>
    </w:div>
    <w:div w:id="751122055">
      <w:bodyDiv w:val="1"/>
      <w:marLeft w:val="0"/>
      <w:marRight w:val="0"/>
      <w:marTop w:val="0"/>
      <w:marBottom w:val="0"/>
      <w:divBdr>
        <w:top w:val="none" w:sz="0" w:space="0" w:color="auto"/>
        <w:left w:val="none" w:sz="0" w:space="0" w:color="auto"/>
        <w:bottom w:val="none" w:sz="0" w:space="0" w:color="auto"/>
        <w:right w:val="none" w:sz="0" w:space="0" w:color="auto"/>
      </w:divBdr>
    </w:div>
    <w:div w:id="790242645">
      <w:bodyDiv w:val="1"/>
      <w:marLeft w:val="0"/>
      <w:marRight w:val="0"/>
      <w:marTop w:val="0"/>
      <w:marBottom w:val="0"/>
      <w:divBdr>
        <w:top w:val="none" w:sz="0" w:space="0" w:color="auto"/>
        <w:left w:val="none" w:sz="0" w:space="0" w:color="auto"/>
        <w:bottom w:val="none" w:sz="0" w:space="0" w:color="auto"/>
        <w:right w:val="none" w:sz="0" w:space="0" w:color="auto"/>
      </w:divBdr>
    </w:div>
    <w:div w:id="849641196">
      <w:bodyDiv w:val="1"/>
      <w:marLeft w:val="0"/>
      <w:marRight w:val="0"/>
      <w:marTop w:val="0"/>
      <w:marBottom w:val="0"/>
      <w:divBdr>
        <w:top w:val="none" w:sz="0" w:space="0" w:color="auto"/>
        <w:left w:val="none" w:sz="0" w:space="0" w:color="auto"/>
        <w:bottom w:val="none" w:sz="0" w:space="0" w:color="auto"/>
        <w:right w:val="none" w:sz="0" w:space="0" w:color="auto"/>
      </w:divBdr>
    </w:div>
    <w:div w:id="889998922">
      <w:bodyDiv w:val="1"/>
      <w:marLeft w:val="0"/>
      <w:marRight w:val="0"/>
      <w:marTop w:val="0"/>
      <w:marBottom w:val="0"/>
      <w:divBdr>
        <w:top w:val="none" w:sz="0" w:space="0" w:color="auto"/>
        <w:left w:val="none" w:sz="0" w:space="0" w:color="auto"/>
        <w:bottom w:val="none" w:sz="0" w:space="0" w:color="auto"/>
        <w:right w:val="none" w:sz="0" w:space="0" w:color="auto"/>
      </w:divBdr>
    </w:div>
    <w:div w:id="1055471471">
      <w:bodyDiv w:val="1"/>
      <w:marLeft w:val="0"/>
      <w:marRight w:val="0"/>
      <w:marTop w:val="0"/>
      <w:marBottom w:val="0"/>
      <w:divBdr>
        <w:top w:val="none" w:sz="0" w:space="0" w:color="auto"/>
        <w:left w:val="none" w:sz="0" w:space="0" w:color="auto"/>
        <w:bottom w:val="none" w:sz="0" w:space="0" w:color="auto"/>
        <w:right w:val="none" w:sz="0" w:space="0" w:color="auto"/>
      </w:divBdr>
    </w:div>
    <w:div w:id="1056510357">
      <w:bodyDiv w:val="1"/>
      <w:marLeft w:val="0"/>
      <w:marRight w:val="0"/>
      <w:marTop w:val="0"/>
      <w:marBottom w:val="0"/>
      <w:divBdr>
        <w:top w:val="none" w:sz="0" w:space="0" w:color="auto"/>
        <w:left w:val="none" w:sz="0" w:space="0" w:color="auto"/>
        <w:bottom w:val="none" w:sz="0" w:space="0" w:color="auto"/>
        <w:right w:val="none" w:sz="0" w:space="0" w:color="auto"/>
      </w:divBdr>
    </w:div>
    <w:div w:id="1095901841">
      <w:bodyDiv w:val="1"/>
      <w:marLeft w:val="0"/>
      <w:marRight w:val="0"/>
      <w:marTop w:val="0"/>
      <w:marBottom w:val="0"/>
      <w:divBdr>
        <w:top w:val="none" w:sz="0" w:space="0" w:color="auto"/>
        <w:left w:val="none" w:sz="0" w:space="0" w:color="auto"/>
        <w:bottom w:val="none" w:sz="0" w:space="0" w:color="auto"/>
        <w:right w:val="none" w:sz="0" w:space="0" w:color="auto"/>
      </w:divBdr>
    </w:div>
    <w:div w:id="1162743535">
      <w:bodyDiv w:val="1"/>
      <w:marLeft w:val="0"/>
      <w:marRight w:val="0"/>
      <w:marTop w:val="0"/>
      <w:marBottom w:val="0"/>
      <w:divBdr>
        <w:top w:val="none" w:sz="0" w:space="0" w:color="auto"/>
        <w:left w:val="none" w:sz="0" w:space="0" w:color="auto"/>
        <w:bottom w:val="none" w:sz="0" w:space="0" w:color="auto"/>
        <w:right w:val="none" w:sz="0" w:space="0" w:color="auto"/>
      </w:divBdr>
    </w:div>
    <w:div w:id="1166749207">
      <w:bodyDiv w:val="1"/>
      <w:marLeft w:val="0"/>
      <w:marRight w:val="0"/>
      <w:marTop w:val="0"/>
      <w:marBottom w:val="0"/>
      <w:divBdr>
        <w:top w:val="none" w:sz="0" w:space="0" w:color="auto"/>
        <w:left w:val="none" w:sz="0" w:space="0" w:color="auto"/>
        <w:bottom w:val="none" w:sz="0" w:space="0" w:color="auto"/>
        <w:right w:val="none" w:sz="0" w:space="0" w:color="auto"/>
      </w:divBdr>
    </w:div>
    <w:div w:id="1182012252">
      <w:bodyDiv w:val="1"/>
      <w:marLeft w:val="0"/>
      <w:marRight w:val="0"/>
      <w:marTop w:val="0"/>
      <w:marBottom w:val="0"/>
      <w:divBdr>
        <w:top w:val="none" w:sz="0" w:space="0" w:color="auto"/>
        <w:left w:val="none" w:sz="0" w:space="0" w:color="auto"/>
        <w:bottom w:val="none" w:sz="0" w:space="0" w:color="auto"/>
        <w:right w:val="none" w:sz="0" w:space="0" w:color="auto"/>
      </w:divBdr>
      <w:divsChild>
        <w:div w:id="2094162619">
          <w:marLeft w:val="0"/>
          <w:marRight w:val="0"/>
          <w:marTop w:val="0"/>
          <w:marBottom w:val="0"/>
          <w:divBdr>
            <w:top w:val="none" w:sz="0" w:space="0" w:color="auto"/>
            <w:left w:val="none" w:sz="0" w:space="0" w:color="auto"/>
            <w:bottom w:val="none" w:sz="0" w:space="0" w:color="auto"/>
            <w:right w:val="none" w:sz="0" w:space="0" w:color="auto"/>
          </w:divBdr>
        </w:div>
      </w:divsChild>
    </w:div>
    <w:div w:id="1191799466">
      <w:bodyDiv w:val="1"/>
      <w:marLeft w:val="0"/>
      <w:marRight w:val="0"/>
      <w:marTop w:val="0"/>
      <w:marBottom w:val="0"/>
      <w:divBdr>
        <w:top w:val="none" w:sz="0" w:space="0" w:color="auto"/>
        <w:left w:val="none" w:sz="0" w:space="0" w:color="auto"/>
        <w:bottom w:val="none" w:sz="0" w:space="0" w:color="auto"/>
        <w:right w:val="none" w:sz="0" w:space="0" w:color="auto"/>
      </w:divBdr>
    </w:div>
    <w:div w:id="1193029831">
      <w:bodyDiv w:val="1"/>
      <w:marLeft w:val="0"/>
      <w:marRight w:val="0"/>
      <w:marTop w:val="0"/>
      <w:marBottom w:val="0"/>
      <w:divBdr>
        <w:top w:val="none" w:sz="0" w:space="0" w:color="auto"/>
        <w:left w:val="none" w:sz="0" w:space="0" w:color="auto"/>
        <w:bottom w:val="none" w:sz="0" w:space="0" w:color="auto"/>
        <w:right w:val="none" w:sz="0" w:space="0" w:color="auto"/>
      </w:divBdr>
    </w:div>
    <w:div w:id="1228420352">
      <w:bodyDiv w:val="1"/>
      <w:marLeft w:val="0"/>
      <w:marRight w:val="0"/>
      <w:marTop w:val="0"/>
      <w:marBottom w:val="0"/>
      <w:divBdr>
        <w:top w:val="none" w:sz="0" w:space="0" w:color="auto"/>
        <w:left w:val="none" w:sz="0" w:space="0" w:color="auto"/>
        <w:bottom w:val="none" w:sz="0" w:space="0" w:color="auto"/>
        <w:right w:val="none" w:sz="0" w:space="0" w:color="auto"/>
      </w:divBdr>
    </w:div>
    <w:div w:id="1237204418">
      <w:bodyDiv w:val="1"/>
      <w:marLeft w:val="0"/>
      <w:marRight w:val="0"/>
      <w:marTop w:val="0"/>
      <w:marBottom w:val="0"/>
      <w:divBdr>
        <w:top w:val="none" w:sz="0" w:space="0" w:color="auto"/>
        <w:left w:val="none" w:sz="0" w:space="0" w:color="auto"/>
        <w:bottom w:val="none" w:sz="0" w:space="0" w:color="auto"/>
        <w:right w:val="none" w:sz="0" w:space="0" w:color="auto"/>
      </w:divBdr>
    </w:div>
    <w:div w:id="1327199999">
      <w:bodyDiv w:val="1"/>
      <w:marLeft w:val="0"/>
      <w:marRight w:val="0"/>
      <w:marTop w:val="0"/>
      <w:marBottom w:val="0"/>
      <w:divBdr>
        <w:top w:val="none" w:sz="0" w:space="0" w:color="auto"/>
        <w:left w:val="none" w:sz="0" w:space="0" w:color="auto"/>
        <w:bottom w:val="none" w:sz="0" w:space="0" w:color="auto"/>
        <w:right w:val="none" w:sz="0" w:space="0" w:color="auto"/>
      </w:divBdr>
    </w:div>
    <w:div w:id="1415859842">
      <w:bodyDiv w:val="1"/>
      <w:marLeft w:val="0"/>
      <w:marRight w:val="0"/>
      <w:marTop w:val="0"/>
      <w:marBottom w:val="0"/>
      <w:divBdr>
        <w:top w:val="none" w:sz="0" w:space="0" w:color="auto"/>
        <w:left w:val="none" w:sz="0" w:space="0" w:color="auto"/>
        <w:bottom w:val="none" w:sz="0" w:space="0" w:color="auto"/>
        <w:right w:val="none" w:sz="0" w:space="0" w:color="auto"/>
      </w:divBdr>
    </w:div>
    <w:div w:id="1419864680">
      <w:bodyDiv w:val="1"/>
      <w:marLeft w:val="0"/>
      <w:marRight w:val="0"/>
      <w:marTop w:val="0"/>
      <w:marBottom w:val="0"/>
      <w:divBdr>
        <w:top w:val="none" w:sz="0" w:space="0" w:color="auto"/>
        <w:left w:val="none" w:sz="0" w:space="0" w:color="auto"/>
        <w:bottom w:val="none" w:sz="0" w:space="0" w:color="auto"/>
        <w:right w:val="none" w:sz="0" w:space="0" w:color="auto"/>
      </w:divBdr>
    </w:div>
    <w:div w:id="1457679685">
      <w:bodyDiv w:val="1"/>
      <w:marLeft w:val="0"/>
      <w:marRight w:val="0"/>
      <w:marTop w:val="0"/>
      <w:marBottom w:val="0"/>
      <w:divBdr>
        <w:top w:val="none" w:sz="0" w:space="0" w:color="auto"/>
        <w:left w:val="none" w:sz="0" w:space="0" w:color="auto"/>
        <w:bottom w:val="none" w:sz="0" w:space="0" w:color="auto"/>
        <w:right w:val="none" w:sz="0" w:space="0" w:color="auto"/>
      </w:divBdr>
    </w:div>
    <w:div w:id="1467433191">
      <w:bodyDiv w:val="1"/>
      <w:marLeft w:val="0"/>
      <w:marRight w:val="0"/>
      <w:marTop w:val="0"/>
      <w:marBottom w:val="0"/>
      <w:divBdr>
        <w:top w:val="none" w:sz="0" w:space="0" w:color="auto"/>
        <w:left w:val="none" w:sz="0" w:space="0" w:color="auto"/>
        <w:bottom w:val="none" w:sz="0" w:space="0" w:color="auto"/>
        <w:right w:val="none" w:sz="0" w:space="0" w:color="auto"/>
      </w:divBdr>
    </w:div>
    <w:div w:id="1527331856">
      <w:bodyDiv w:val="1"/>
      <w:marLeft w:val="0"/>
      <w:marRight w:val="0"/>
      <w:marTop w:val="0"/>
      <w:marBottom w:val="0"/>
      <w:divBdr>
        <w:top w:val="none" w:sz="0" w:space="0" w:color="auto"/>
        <w:left w:val="none" w:sz="0" w:space="0" w:color="auto"/>
        <w:bottom w:val="none" w:sz="0" w:space="0" w:color="auto"/>
        <w:right w:val="none" w:sz="0" w:space="0" w:color="auto"/>
      </w:divBdr>
    </w:div>
    <w:div w:id="1564097649">
      <w:bodyDiv w:val="1"/>
      <w:marLeft w:val="0"/>
      <w:marRight w:val="0"/>
      <w:marTop w:val="0"/>
      <w:marBottom w:val="0"/>
      <w:divBdr>
        <w:top w:val="none" w:sz="0" w:space="0" w:color="auto"/>
        <w:left w:val="none" w:sz="0" w:space="0" w:color="auto"/>
        <w:bottom w:val="none" w:sz="0" w:space="0" w:color="auto"/>
        <w:right w:val="none" w:sz="0" w:space="0" w:color="auto"/>
      </w:divBdr>
    </w:div>
    <w:div w:id="1569876346">
      <w:bodyDiv w:val="1"/>
      <w:marLeft w:val="0"/>
      <w:marRight w:val="0"/>
      <w:marTop w:val="0"/>
      <w:marBottom w:val="0"/>
      <w:divBdr>
        <w:top w:val="none" w:sz="0" w:space="0" w:color="auto"/>
        <w:left w:val="none" w:sz="0" w:space="0" w:color="auto"/>
        <w:bottom w:val="none" w:sz="0" w:space="0" w:color="auto"/>
        <w:right w:val="none" w:sz="0" w:space="0" w:color="auto"/>
      </w:divBdr>
    </w:div>
    <w:div w:id="1712195326">
      <w:bodyDiv w:val="1"/>
      <w:marLeft w:val="0"/>
      <w:marRight w:val="0"/>
      <w:marTop w:val="0"/>
      <w:marBottom w:val="0"/>
      <w:divBdr>
        <w:top w:val="none" w:sz="0" w:space="0" w:color="auto"/>
        <w:left w:val="none" w:sz="0" w:space="0" w:color="auto"/>
        <w:bottom w:val="none" w:sz="0" w:space="0" w:color="auto"/>
        <w:right w:val="none" w:sz="0" w:space="0" w:color="auto"/>
      </w:divBdr>
    </w:div>
    <w:div w:id="1803883569">
      <w:bodyDiv w:val="1"/>
      <w:marLeft w:val="0"/>
      <w:marRight w:val="0"/>
      <w:marTop w:val="0"/>
      <w:marBottom w:val="0"/>
      <w:divBdr>
        <w:top w:val="none" w:sz="0" w:space="0" w:color="auto"/>
        <w:left w:val="none" w:sz="0" w:space="0" w:color="auto"/>
        <w:bottom w:val="none" w:sz="0" w:space="0" w:color="auto"/>
        <w:right w:val="none" w:sz="0" w:space="0" w:color="auto"/>
      </w:divBdr>
    </w:div>
    <w:div w:id="1813013096">
      <w:bodyDiv w:val="1"/>
      <w:marLeft w:val="0"/>
      <w:marRight w:val="0"/>
      <w:marTop w:val="0"/>
      <w:marBottom w:val="0"/>
      <w:divBdr>
        <w:top w:val="none" w:sz="0" w:space="0" w:color="auto"/>
        <w:left w:val="none" w:sz="0" w:space="0" w:color="auto"/>
        <w:bottom w:val="none" w:sz="0" w:space="0" w:color="auto"/>
        <w:right w:val="none" w:sz="0" w:space="0" w:color="auto"/>
      </w:divBdr>
    </w:div>
    <w:div w:id="1838033326">
      <w:bodyDiv w:val="1"/>
      <w:marLeft w:val="0"/>
      <w:marRight w:val="0"/>
      <w:marTop w:val="0"/>
      <w:marBottom w:val="0"/>
      <w:divBdr>
        <w:top w:val="none" w:sz="0" w:space="0" w:color="auto"/>
        <w:left w:val="none" w:sz="0" w:space="0" w:color="auto"/>
        <w:bottom w:val="none" w:sz="0" w:space="0" w:color="auto"/>
        <w:right w:val="none" w:sz="0" w:space="0" w:color="auto"/>
      </w:divBdr>
      <w:divsChild>
        <w:div w:id="91972728">
          <w:marLeft w:val="0"/>
          <w:marRight w:val="0"/>
          <w:marTop w:val="0"/>
          <w:marBottom w:val="0"/>
          <w:divBdr>
            <w:top w:val="none" w:sz="0" w:space="0" w:color="auto"/>
            <w:left w:val="none" w:sz="0" w:space="0" w:color="auto"/>
            <w:bottom w:val="none" w:sz="0" w:space="0" w:color="auto"/>
            <w:right w:val="none" w:sz="0" w:space="0" w:color="auto"/>
          </w:divBdr>
        </w:div>
      </w:divsChild>
    </w:div>
    <w:div w:id="1838839345">
      <w:bodyDiv w:val="1"/>
      <w:marLeft w:val="0"/>
      <w:marRight w:val="0"/>
      <w:marTop w:val="0"/>
      <w:marBottom w:val="0"/>
      <w:divBdr>
        <w:top w:val="none" w:sz="0" w:space="0" w:color="auto"/>
        <w:left w:val="none" w:sz="0" w:space="0" w:color="auto"/>
        <w:bottom w:val="none" w:sz="0" w:space="0" w:color="auto"/>
        <w:right w:val="none" w:sz="0" w:space="0" w:color="auto"/>
      </w:divBdr>
    </w:div>
    <w:div w:id="1849249811">
      <w:bodyDiv w:val="1"/>
      <w:marLeft w:val="0"/>
      <w:marRight w:val="0"/>
      <w:marTop w:val="0"/>
      <w:marBottom w:val="0"/>
      <w:divBdr>
        <w:top w:val="none" w:sz="0" w:space="0" w:color="auto"/>
        <w:left w:val="none" w:sz="0" w:space="0" w:color="auto"/>
        <w:bottom w:val="none" w:sz="0" w:space="0" w:color="auto"/>
        <w:right w:val="none" w:sz="0" w:space="0" w:color="auto"/>
      </w:divBdr>
    </w:div>
    <w:div w:id="1901790917">
      <w:bodyDiv w:val="1"/>
      <w:marLeft w:val="0"/>
      <w:marRight w:val="0"/>
      <w:marTop w:val="0"/>
      <w:marBottom w:val="0"/>
      <w:divBdr>
        <w:top w:val="none" w:sz="0" w:space="0" w:color="auto"/>
        <w:left w:val="none" w:sz="0" w:space="0" w:color="auto"/>
        <w:bottom w:val="none" w:sz="0" w:space="0" w:color="auto"/>
        <w:right w:val="none" w:sz="0" w:space="0" w:color="auto"/>
      </w:divBdr>
    </w:div>
    <w:div w:id="1919823183">
      <w:bodyDiv w:val="1"/>
      <w:marLeft w:val="0"/>
      <w:marRight w:val="0"/>
      <w:marTop w:val="0"/>
      <w:marBottom w:val="0"/>
      <w:divBdr>
        <w:top w:val="none" w:sz="0" w:space="0" w:color="auto"/>
        <w:left w:val="none" w:sz="0" w:space="0" w:color="auto"/>
        <w:bottom w:val="none" w:sz="0" w:space="0" w:color="auto"/>
        <w:right w:val="none" w:sz="0" w:space="0" w:color="auto"/>
      </w:divBdr>
    </w:div>
    <w:div w:id="2071343102">
      <w:bodyDiv w:val="1"/>
      <w:marLeft w:val="0"/>
      <w:marRight w:val="0"/>
      <w:marTop w:val="0"/>
      <w:marBottom w:val="0"/>
      <w:divBdr>
        <w:top w:val="none" w:sz="0" w:space="0" w:color="auto"/>
        <w:left w:val="none" w:sz="0" w:space="0" w:color="auto"/>
        <w:bottom w:val="none" w:sz="0" w:space="0" w:color="auto"/>
        <w:right w:val="none" w:sz="0" w:space="0" w:color="auto"/>
      </w:divBdr>
    </w:div>
    <w:div w:id="2075811785">
      <w:bodyDiv w:val="1"/>
      <w:marLeft w:val="0"/>
      <w:marRight w:val="0"/>
      <w:marTop w:val="0"/>
      <w:marBottom w:val="0"/>
      <w:divBdr>
        <w:top w:val="none" w:sz="0" w:space="0" w:color="auto"/>
        <w:left w:val="none" w:sz="0" w:space="0" w:color="auto"/>
        <w:bottom w:val="none" w:sz="0" w:space="0" w:color="auto"/>
        <w:right w:val="none" w:sz="0" w:space="0" w:color="auto"/>
      </w:divBdr>
    </w:div>
    <w:div w:id="2097898446">
      <w:bodyDiv w:val="1"/>
      <w:marLeft w:val="0"/>
      <w:marRight w:val="0"/>
      <w:marTop w:val="0"/>
      <w:marBottom w:val="0"/>
      <w:divBdr>
        <w:top w:val="none" w:sz="0" w:space="0" w:color="auto"/>
        <w:left w:val="none" w:sz="0" w:space="0" w:color="auto"/>
        <w:bottom w:val="none" w:sz="0" w:space="0" w:color="auto"/>
        <w:right w:val="none" w:sz="0" w:space="0" w:color="auto"/>
      </w:divBdr>
    </w:div>
    <w:div w:id="2105346612">
      <w:bodyDiv w:val="1"/>
      <w:marLeft w:val="0"/>
      <w:marRight w:val="0"/>
      <w:marTop w:val="0"/>
      <w:marBottom w:val="0"/>
      <w:divBdr>
        <w:top w:val="none" w:sz="0" w:space="0" w:color="auto"/>
        <w:left w:val="none" w:sz="0" w:space="0" w:color="auto"/>
        <w:bottom w:val="none" w:sz="0" w:space="0" w:color="auto"/>
        <w:right w:val="none" w:sz="0" w:space="0" w:color="auto"/>
      </w:divBdr>
    </w:div>
    <w:div w:id="212823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retariadoejecutivo.gob.mx/work/models/SecretariadoEjecutivo/Resource/328/1/images/instructivo_final_edo_fuerza(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894BCA7-F31F-4F84-8037-AFD48DD54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35</Pages>
  <Words>8716</Words>
  <Characters>47943</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7</cp:revision>
  <cp:lastPrinted>2025-09-04T19:50:00Z</cp:lastPrinted>
  <dcterms:created xsi:type="dcterms:W3CDTF">2025-09-01T22:38:00Z</dcterms:created>
  <dcterms:modified xsi:type="dcterms:W3CDTF">2025-11-09T22:51:00Z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