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D72FB" w14:textId="77777777" w:rsidR="00A45F42" w:rsidRPr="00CD7D2A" w:rsidRDefault="000E551E">
      <w:pPr>
        <w:spacing w:line="360" w:lineRule="auto"/>
        <w:ind w:left="-425" w:right="-787"/>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de fecha </w:t>
      </w:r>
      <w:r w:rsidRPr="00CD7D2A">
        <w:rPr>
          <w:rFonts w:ascii="Palatino Linotype" w:eastAsia="Palatino Linotype" w:hAnsi="Palatino Linotype" w:cs="Palatino Linotype"/>
        </w:rPr>
        <w:t>doce (12) de marzo de dos mil veinticinco</w:t>
      </w:r>
      <w:r w:rsidRPr="00CD7D2A">
        <w:rPr>
          <w:rFonts w:ascii="Palatino Linotype" w:eastAsia="Palatino Linotype" w:hAnsi="Palatino Linotype" w:cs="Palatino Linotype"/>
          <w:color w:val="000000"/>
        </w:rPr>
        <w:t>.</w:t>
      </w:r>
    </w:p>
    <w:p w14:paraId="4F10D6D5"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540E8670" w14:textId="7FF8709D" w:rsidR="00A45F42" w:rsidRPr="00CD7D2A" w:rsidRDefault="000E551E">
      <w:pPr>
        <w:spacing w:line="360" w:lineRule="auto"/>
        <w:ind w:left="-425" w:right="-787"/>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b/>
          <w:color w:val="000000"/>
        </w:rPr>
        <w:t>VISTO</w:t>
      </w:r>
      <w:r w:rsidRPr="00CD7D2A">
        <w:rPr>
          <w:rFonts w:ascii="Palatino Linotype" w:eastAsia="Palatino Linotype" w:hAnsi="Palatino Linotype" w:cs="Palatino Linotype"/>
          <w:color w:val="000000"/>
        </w:rPr>
        <w:t xml:space="preserve"> el expediente electrónico formado con motivo del Recurso de Revisión </w:t>
      </w:r>
      <w:r w:rsidRPr="00CD7D2A">
        <w:rPr>
          <w:rFonts w:ascii="Palatino Linotype" w:eastAsia="Palatino Linotype" w:hAnsi="Palatino Linotype" w:cs="Palatino Linotype"/>
          <w:b/>
          <w:color w:val="000000"/>
        </w:rPr>
        <w:t>03413/INFOEM/IP/RR/2024</w:t>
      </w:r>
      <w:r w:rsidRPr="00CD7D2A">
        <w:rPr>
          <w:rFonts w:ascii="Palatino Linotype" w:eastAsia="Palatino Linotype" w:hAnsi="Palatino Linotype" w:cs="Palatino Linotype"/>
          <w:color w:val="000000"/>
        </w:rPr>
        <w:t>, promovido por</w:t>
      </w:r>
      <w:r w:rsidRPr="00CD7D2A">
        <w:rPr>
          <w:rFonts w:ascii="Palatino Linotype" w:eastAsia="Palatino Linotype" w:hAnsi="Palatino Linotype" w:cs="Palatino Linotype"/>
          <w:b/>
          <w:color w:val="000000"/>
        </w:rPr>
        <w:t xml:space="preserve"> </w:t>
      </w:r>
      <w:r w:rsidR="00E170AA" w:rsidRPr="00CD7D2A">
        <w:rPr>
          <w:rFonts w:ascii="Palatino Linotype" w:eastAsia="Palatino Linotype" w:hAnsi="Palatino Linotype" w:cs="Palatino Linotype"/>
          <w:sz w:val="22"/>
          <w:szCs w:val="22"/>
        </w:rPr>
        <w:t>Anónimo</w:t>
      </w:r>
      <w:r w:rsidRPr="00CD7D2A">
        <w:rPr>
          <w:rFonts w:ascii="Palatino Linotype" w:eastAsia="Palatino Linotype" w:hAnsi="Palatino Linotype" w:cs="Palatino Linotype"/>
          <w:b/>
          <w:color w:val="000000"/>
        </w:rPr>
        <w:t>,</w:t>
      </w:r>
      <w:r w:rsidRPr="00CD7D2A">
        <w:rPr>
          <w:rFonts w:ascii="Palatino Linotype" w:eastAsia="Palatino Linotype" w:hAnsi="Palatino Linotype" w:cs="Palatino Linotype"/>
          <w:color w:val="000000"/>
        </w:rPr>
        <w:t xml:space="preserve"> a quien en lo sucesivo se le identificará como </w:t>
      </w:r>
      <w:r w:rsidRPr="00CD7D2A">
        <w:rPr>
          <w:rFonts w:ascii="Palatino Linotype" w:eastAsia="Palatino Linotype" w:hAnsi="Palatino Linotype" w:cs="Palatino Linotype"/>
          <w:b/>
          <w:color w:val="000000"/>
        </w:rPr>
        <w:t>RECURRENTE</w:t>
      </w:r>
      <w:r w:rsidRPr="00CD7D2A">
        <w:rPr>
          <w:rFonts w:ascii="Palatino Linotype" w:eastAsia="Palatino Linotype" w:hAnsi="Palatino Linotype" w:cs="Palatino Linotype"/>
        </w:rPr>
        <w:t>,</w:t>
      </w:r>
      <w:r w:rsidRPr="00CD7D2A">
        <w:rPr>
          <w:rFonts w:ascii="Palatino Linotype" w:eastAsia="Palatino Linotype" w:hAnsi="Palatino Linotype" w:cs="Palatino Linotype"/>
          <w:color w:val="000000"/>
        </w:rPr>
        <w:t xml:space="preserve"> en contra de la respuesta del </w:t>
      </w:r>
      <w:r w:rsidRPr="00CD7D2A">
        <w:rPr>
          <w:rFonts w:ascii="Palatino Linotype" w:eastAsia="Palatino Linotype" w:hAnsi="Palatino Linotype" w:cs="Palatino Linotype"/>
          <w:b/>
          <w:color w:val="000000"/>
        </w:rPr>
        <w:t>Unidad de Asuntos Internos</w:t>
      </w:r>
      <w:r w:rsidRPr="00CD7D2A">
        <w:rPr>
          <w:rFonts w:ascii="Palatino Linotype" w:eastAsia="Palatino Linotype" w:hAnsi="Palatino Linotype" w:cs="Palatino Linotype"/>
          <w:color w:val="000000"/>
        </w:rPr>
        <w:t>, en adelante el</w:t>
      </w:r>
      <w:r w:rsidRPr="00CD7D2A">
        <w:rPr>
          <w:rFonts w:ascii="Palatino Linotype" w:eastAsia="Palatino Linotype" w:hAnsi="Palatino Linotype" w:cs="Palatino Linotype"/>
          <w:b/>
          <w:color w:val="000000"/>
        </w:rPr>
        <w:t xml:space="preserve"> SUJETO OBLIGADO</w:t>
      </w:r>
      <w:r w:rsidRPr="00CD7D2A">
        <w:rPr>
          <w:rFonts w:ascii="Palatino Linotype" w:eastAsia="Palatino Linotype" w:hAnsi="Palatino Linotype" w:cs="Palatino Linotype"/>
          <w:color w:val="000000"/>
        </w:rPr>
        <w:t>,</w:t>
      </w:r>
      <w:r w:rsidRPr="00CD7D2A">
        <w:rPr>
          <w:rFonts w:ascii="Palatino Linotype" w:eastAsia="Palatino Linotype" w:hAnsi="Palatino Linotype" w:cs="Palatino Linotype"/>
          <w:b/>
          <w:color w:val="000000"/>
        </w:rPr>
        <w:t xml:space="preserve"> </w:t>
      </w:r>
      <w:r w:rsidRPr="00CD7D2A">
        <w:rPr>
          <w:rFonts w:ascii="Palatino Linotype" w:eastAsia="Palatino Linotype" w:hAnsi="Palatino Linotype" w:cs="Palatino Linotype"/>
          <w:color w:val="000000"/>
        </w:rPr>
        <w:t>se procede a dictar la presente Resolución, con base en los siguientes:</w:t>
      </w:r>
    </w:p>
    <w:p w14:paraId="4C486774"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10B5B525" w14:textId="77777777" w:rsidR="00A45F42" w:rsidRPr="00CD7D2A" w:rsidRDefault="000E551E">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r w:rsidRPr="00CD7D2A">
        <w:rPr>
          <w:rFonts w:ascii="Palatino Linotype" w:eastAsia="Palatino Linotype" w:hAnsi="Palatino Linotype" w:cs="Palatino Linotype"/>
          <w:b/>
          <w:color w:val="000000"/>
        </w:rPr>
        <w:t>A N T E C E D E N T E S</w:t>
      </w:r>
    </w:p>
    <w:p w14:paraId="25F3046A"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76FD2448"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El veintisiete de mayo de dos mil veinticuatro, </w:t>
      </w:r>
      <w:r w:rsidRPr="00CD7D2A">
        <w:rPr>
          <w:rFonts w:ascii="Palatino Linotype" w:eastAsia="Palatino Linotype" w:hAnsi="Palatino Linotype" w:cs="Palatino Linotype"/>
          <w:b/>
          <w:color w:val="000000"/>
        </w:rPr>
        <w:t>EL RECURRENTE</w:t>
      </w:r>
      <w:r w:rsidRPr="00CD7D2A">
        <w:rPr>
          <w:rFonts w:ascii="Palatino Linotype" w:eastAsia="Palatino Linotype" w:hAnsi="Palatino Linotype" w:cs="Palatino Linotype"/>
          <w:color w:val="000000"/>
        </w:rPr>
        <w:t xml:space="preserve"> presentó, ante el </w:t>
      </w:r>
      <w:r w:rsidRPr="00CD7D2A">
        <w:rPr>
          <w:rFonts w:ascii="Palatino Linotype" w:eastAsia="Palatino Linotype" w:hAnsi="Palatino Linotype" w:cs="Palatino Linotype"/>
          <w:b/>
          <w:color w:val="000000"/>
        </w:rPr>
        <w:t>SUJETO OBLIGADO</w:t>
      </w:r>
      <w:r w:rsidRPr="00CD7D2A">
        <w:rPr>
          <w:rFonts w:ascii="Palatino Linotype" w:eastAsia="Palatino Linotype" w:hAnsi="Palatino Linotype" w:cs="Palatino Linotype"/>
          <w:color w:val="000000"/>
        </w:rPr>
        <w:t xml:space="preserve"> vía Plataforma Nacional de Transparencia (PNT), vinculada al Sistema de Acceso a la Información Mexiquense (SAIMEX), la Solicitud de Información Pública registrada con el número </w:t>
      </w:r>
      <w:r w:rsidRPr="00CD7D2A">
        <w:rPr>
          <w:rFonts w:ascii="Palatino Linotype" w:eastAsia="Palatino Linotype" w:hAnsi="Palatino Linotype" w:cs="Palatino Linotype"/>
          <w:b/>
          <w:color w:val="000000"/>
        </w:rPr>
        <w:t xml:space="preserve">00008/UAI/IP/2024, </w:t>
      </w:r>
      <w:r w:rsidRPr="00CD7D2A">
        <w:rPr>
          <w:rFonts w:ascii="Palatino Linotype" w:eastAsia="Palatino Linotype" w:hAnsi="Palatino Linotype" w:cs="Palatino Linotype"/>
        </w:rPr>
        <w:t xml:space="preserve">en la que se </w:t>
      </w:r>
      <w:r w:rsidRPr="00CD7D2A">
        <w:rPr>
          <w:rFonts w:ascii="Palatino Linotype" w:eastAsia="Palatino Linotype" w:hAnsi="Palatino Linotype" w:cs="Palatino Linotype"/>
          <w:color w:val="000000"/>
        </w:rPr>
        <w:t>solicitó lo siguiente:</w:t>
      </w:r>
      <w:r w:rsidRPr="00CD7D2A">
        <w:rPr>
          <w:rFonts w:ascii="Palatino Linotype" w:eastAsia="Palatino Linotype" w:hAnsi="Palatino Linotype" w:cs="Palatino Linotype"/>
          <w:b/>
          <w:color w:val="000000"/>
        </w:rPr>
        <w:t xml:space="preserve"> </w:t>
      </w:r>
    </w:p>
    <w:p w14:paraId="6865CCD3"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246F9F6F" w14:textId="77777777" w:rsidR="00A45F42" w:rsidRPr="00CD7D2A" w:rsidRDefault="000E551E">
      <w:pPr>
        <w:spacing w:line="360" w:lineRule="auto"/>
        <w:ind w:left="-425" w:right="-787"/>
        <w:jc w:val="both"/>
        <w:rPr>
          <w:rFonts w:ascii="Palatino Linotype" w:eastAsia="Palatino Linotype" w:hAnsi="Palatino Linotype" w:cs="Palatino Linotype"/>
          <w:i/>
          <w:color w:val="000000"/>
        </w:rPr>
      </w:pPr>
      <w:r w:rsidRPr="00CD7D2A">
        <w:rPr>
          <w:rFonts w:ascii="Palatino Linotype" w:eastAsia="Palatino Linotype" w:hAnsi="Palatino Linotype" w:cs="Palatino Linotype"/>
          <w:i/>
          <w:color w:val="000000"/>
        </w:rPr>
        <w:t>“r</w:t>
      </w:r>
      <w:r w:rsidRPr="00CD7D2A">
        <w:rPr>
          <w:rFonts w:ascii="Palatino Linotype" w:eastAsia="Palatino Linotype" w:hAnsi="Palatino Linotype" w:cs="Palatino Linotype"/>
        </w:rPr>
        <w:t xml:space="preserve"> </w:t>
      </w:r>
      <w:r w:rsidRPr="00CD7D2A">
        <w:rPr>
          <w:rFonts w:ascii="Palatino Linotype" w:eastAsia="Palatino Linotype" w:hAnsi="Palatino Linotype" w:cs="Palatino Linotype"/>
          <w:i/>
          <w:color w:val="000000"/>
        </w:rPr>
        <w:t xml:space="preserve">quiero los resultados integrales de las evaluaciones de control de confianza de todos los mandos medios </w:t>
      </w:r>
      <w:proofErr w:type="gramStart"/>
      <w:r w:rsidRPr="00CD7D2A">
        <w:rPr>
          <w:rFonts w:ascii="Palatino Linotype" w:eastAsia="Palatino Linotype" w:hAnsi="Palatino Linotype" w:cs="Palatino Linotype"/>
          <w:i/>
          <w:color w:val="000000"/>
        </w:rPr>
        <w:t>y</w:t>
      </w:r>
      <w:proofErr w:type="gramEnd"/>
      <w:r w:rsidRPr="00CD7D2A">
        <w:rPr>
          <w:rFonts w:ascii="Palatino Linotype" w:eastAsia="Palatino Linotype" w:hAnsi="Palatino Linotype" w:cs="Palatino Linotype"/>
          <w:i/>
          <w:color w:val="000000"/>
        </w:rPr>
        <w:t xml:space="preserve"> superiores que estuvieron adscritos desde 2021 hasta la fecha, aunque ya no laboren en la dependencia, no los quiero desagregados, procede su entrega por ser requisito de ingreso y permanencia”</w:t>
      </w:r>
    </w:p>
    <w:p w14:paraId="69442490" w14:textId="77777777" w:rsidR="00A45F42" w:rsidRPr="00CD7D2A" w:rsidRDefault="00A45F42">
      <w:pPr>
        <w:spacing w:line="360" w:lineRule="auto"/>
        <w:ind w:left="-425" w:right="-787"/>
        <w:jc w:val="both"/>
        <w:rPr>
          <w:rFonts w:ascii="Palatino Linotype" w:eastAsia="Palatino Linotype" w:hAnsi="Palatino Linotype" w:cs="Palatino Linotype"/>
          <w:i/>
        </w:rPr>
      </w:pPr>
    </w:p>
    <w:p w14:paraId="763B8DD6" w14:textId="77777777" w:rsidR="00A45F42" w:rsidRPr="00CD7D2A" w:rsidRDefault="000E551E" w:rsidP="00E170AA">
      <w:pPr>
        <w:pStyle w:val="Prrafodelista"/>
        <w:numPr>
          <w:ilvl w:val="0"/>
          <w:numId w:val="14"/>
        </w:num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Señaló como modalidad de entrega de la información a través </w:t>
      </w:r>
      <w:r w:rsidRPr="00CD7D2A">
        <w:rPr>
          <w:rFonts w:ascii="Palatino Linotype" w:eastAsia="Palatino Linotype" w:hAnsi="Palatino Linotype" w:cs="Palatino Linotype"/>
        </w:rPr>
        <w:t>de la PNT vinculada al SAIMEX</w:t>
      </w:r>
      <w:r w:rsidRPr="00CD7D2A">
        <w:rPr>
          <w:rFonts w:ascii="Palatino Linotype" w:eastAsia="Palatino Linotype" w:hAnsi="Palatino Linotype" w:cs="Palatino Linotype"/>
          <w:color w:val="000000"/>
        </w:rPr>
        <w:t>.</w:t>
      </w:r>
    </w:p>
    <w:p w14:paraId="65BD4FAA"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lastRenderedPageBreak/>
        <w:t xml:space="preserve">En fecha treinta de mayo de dos mil veinticuatro, el </w:t>
      </w:r>
      <w:r w:rsidRPr="00CD7D2A">
        <w:rPr>
          <w:rFonts w:ascii="Palatino Linotype" w:eastAsia="Palatino Linotype" w:hAnsi="Palatino Linotype" w:cs="Palatino Linotype"/>
          <w:b/>
          <w:color w:val="000000"/>
        </w:rPr>
        <w:t>SUJETO OBLIGADO</w:t>
      </w:r>
      <w:r w:rsidRPr="00CD7D2A">
        <w:rPr>
          <w:rFonts w:ascii="Palatino Linotype" w:eastAsia="Palatino Linotype" w:hAnsi="Palatino Linotype" w:cs="Palatino Linotype"/>
          <w:color w:val="000000"/>
        </w:rPr>
        <w:t xml:space="preserve"> dio respuesta declinando su incompetencia para dar atención a la solicitud de información y, orientando al solicitante ante el Sujeto Obligado Centro de Control de Confianza del Estado de México.</w:t>
      </w:r>
    </w:p>
    <w:p w14:paraId="2AA60F97"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3FB0DDBC"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Inconforme, </w:t>
      </w:r>
      <w:r w:rsidRPr="00CD7D2A">
        <w:rPr>
          <w:rFonts w:ascii="Palatino Linotype" w:eastAsia="Palatino Linotype" w:hAnsi="Palatino Linotype" w:cs="Palatino Linotype"/>
          <w:b/>
          <w:color w:val="000000"/>
        </w:rPr>
        <w:t>EL RECURRENTE</w:t>
      </w:r>
      <w:r w:rsidRPr="00CD7D2A">
        <w:rPr>
          <w:rFonts w:ascii="Palatino Linotype" w:eastAsia="Palatino Linotype" w:hAnsi="Palatino Linotype" w:cs="Palatino Linotype"/>
          <w:color w:val="000000"/>
        </w:rPr>
        <w:t xml:space="preserve"> interpuso el  recurso de revisión, en contra de la declinación de incompetencia, señalando:</w:t>
      </w:r>
    </w:p>
    <w:p w14:paraId="7F3752E1" w14:textId="77777777" w:rsidR="00A1172B" w:rsidRPr="00CD7D2A" w:rsidRDefault="00A1172B" w:rsidP="00A1172B">
      <w:pPr>
        <w:pStyle w:val="Prrafodelista"/>
        <w:rPr>
          <w:rFonts w:ascii="Palatino Linotype" w:eastAsia="Palatino Linotype" w:hAnsi="Palatino Linotype" w:cs="Palatino Linotype"/>
          <w:color w:val="000000"/>
        </w:rPr>
      </w:pPr>
    </w:p>
    <w:p w14:paraId="08737CED" w14:textId="77777777" w:rsidR="00A45F42" w:rsidRPr="00CD7D2A" w:rsidRDefault="000E551E">
      <w:pPr>
        <w:numPr>
          <w:ilvl w:val="0"/>
          <w:numId w:val="1"/>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sz w:val="22"/>
          <w:szCs w:val="22"/>
        </w:rPr>
      </w:pPr>
      <w:r w:rsidRPr="00CD7D2A">
        <w:rPr>
          <w:rFonts w:ascii="Palatino Linotype" w:eastAsia="Palatino Linotype" w:hAnsi="Palatino Linotype" w:cs="Palatino Linotype"/>
          <w:b/>
          <w:color w:val="000000"/>
          <w:sz w:val="22"/>
          <w:szCs w:val="22"/>
        </w:rPr>
        <w:t>ACTO IMPUGNADO</w:t>
      </w:r>
      <w:r w:rsidRPr="00CD7D2A">
        <w:rPr>
          <w:rFonts w:ascii="Palatino Linotype" w:eastAsia="Palatino Linotype" w:hAnsi="Palatino Linotype" w:cs="Palatino Linotype"/>
          <w:b/>
          <w:color w:val="000000"/>
          <w:sz w:val="22"/>
          <w:szCs w:val="22"/>
        </w:rPr>
        <w:tab/>
      </w:r>
    </w:p>
    <w:p w14:paraId="518C34E3" w14:textId="77777777" w:rsidR="00A45F42" w:rsidRPr="00CD7D2A" w:rsidRDefault="000E551E">
      <w:pPr>
        <w:pBdr>
          <w:top w:val="nil"/>
          <w:left w:val="nil"/>
          <w:bottom w:val="nil"/>
          <w:right w:val="nil"/>
          <w:between w:val="nil"/>
        </w:pBdr>
        <w:spacing w:line="360" w:lineRule="auto"/>
        <w:ind w:left="294" w:right="-787" w:firstLine="425"/>
        <w:jc w:val="both"/>
        <w:rPr>
          <w:rFonts w:ascii="Palatino Linotype" w:eastAsia="Palatino Linotype" w:hAnsi="Palatino Linotype" w:cs="Palatino Linotype"/>
          <w:i/>
          <w:color w:val="000000"/>
          <w:sz w:val="22"/>
          <w:szCs w:val="22"/>
        </w:rPr>
      </w:pPr>
      <w:r w:rsidRPr="00CD7D2A">
        <w:rPr>
          <w:rFonts w:ascii="Palatino Linotype" w:eastAsia="Palatino Linotype" w:hAnsi="Palatino Linotype" w:cs="Palatino Linotype"/>
          <w:i/>
          <w:color w:val="000000"/>
          <w:sz w:val="22"/>
          <w:szCs w:val="22"/>
        </w:rPr>
        <w:t>“la respuesta, si son competentes”</w:t>
      </w:r>
    </w:p>
    <w:p w14:paraId="0AD5C96D"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469D0FB9"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sidRPr="00CD7D2A">
        <w:rPr>
          <w:rFonts w:ascii="Palatino Linotype" w:eastAsia="Palatino Linotype" w:hAnsi="Palatino Linotype" w:cs="Palatino Linotype"/>
        </w:rPr>
        <w:t>turna</w:t>
      </w:r>
      <w:r w:rsidRPr="00CD7D2A">
        <w:rPr>
          <w:rFonts w:ascii="Palatino Linotype" w:eastAsia="Palatino Linotype" w:hAnsi="Palatino Linotype" w:cs="Palatino Linotype"/>
          <w:color w:val="000000"/>
        </w:rPr>
        <w:t xml:space="preserve"> a la Comisionada María del Rosario Mejía Ayala, </w:t>
      </w:r>
      <w:r w:rsidRPr="00CD7D2A">
        <w:rPr>
          <w:rFonts w:ascii="Palatino Linotype" w:eastAsia="Palatino Linotype" w:hAnsi="Palatino Linotype" w:cs="Palatino Linotype"/>
        </w:rPr>
        <w:t>para</w:t>
      </w:r>
      <w:r w:rsidRPr="00CD7D2A">
        <w:rPr>
          <w:rFonts w:ascii="Palatino Linotype" w:eastAsia="Palatino Linotype" w:hAnsi="Palatino Linotype" w:cs="Palatino Linotype"/>
          <w:color w:val="000000"/>
        </w:rPr>
        <w:t xml:space="preserve"> su análisis.</w:t>
      </w:r>
    </w:p>
    <w:p w14:paraId="1270FDBB"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13C2BA64"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w:t>
      </w:r>
      <w:r w:rsidRPr="00CD7D2A">
        <w:rPr>
          <w:rFonts w:ascii="Palatino Linotype" w:eastAsia="Palatino Linotype" w:hAnsi="Palatino Linotype" w:cs="Palatino Linotype"/>
          <w:b/>
          <w:color w:val="000000"/>
        </w:rPr>
        <w:t>cuatro de junio de dos mil veinticuatro</w:t>
      </w:r>
      <w:r w:rsidRPr="00CD7D2A">
        <w:rPr>
          <w:rFonts w:ascii="Palatino Linotype" w:eastAsia="Palatino Linotype" w:hAnsi="Palatino Linotype" w:cs="Palatino Linotype"/>
          <w:color w:val="000000"/>
        </w:rPr>
        <w:t xml:space="preserve">, puso a disposición de las partes el expediente electrónico vía SAIMEX a efecto de que en un plazo máximo de siete días </w:t>
      </w:r>
      <w:r w:rsidRPr="00CD7D2A">
        <w:rPr>
          <w:rFonts w:ascii="Palatino Linotype" w:eastAsia="Palatino Linotype" w:hAnsi="Palatino Linotype" w:cs="Palatino Linotype"/>
        </w:rPr>
        <w:t>manifestara</w:t>
      </w:r>
      <w:r w:rsidRPr="00CD7D2A">
        <w:rPr>
          <w:rFonts w:ascii="Palatino Linotype" w:eastAsia="Palatino Linotype" w:hAnsi="Palatino Linotype" w:cs="Palatino Linotype"/>
          <w:color w:val="000000"/>
        </w:rPr>
        <w:t xml:space="preserve"> lo que a derecho </w:t>
      </w:r>
      <w:r w:rsidRPr="00CD7D2A">
        <w:rPr>
          <w:rFonts w:ascii="Palatino Linotype" w:eastAsia="Palatino Linotype" w:hAnsi="Palatino Linotype" w:cs="Palatino Linotype"/>
        </w:rPr>
        <w:t>conviniera</w:t>
      </w:r>
      <w:r w:rsidRPr="00CD7D2A">
        <w:rPr>
          <w:rFonts w:ascii="Palatino Linotype" w:eastAsia="Palatino Linotype" w:hAnsi="Palatino Linotype" w:cs="Palatino Linotype"/>
          <w:color w:val="000000"/>
        </w:rPr>
        <w:t xml:space="preserve">, </w:t>
      </w:r>
      <w:r w:rsidRPr="00CD7D2A">
        <w:rPr>
          <w:rFonts w:ascii="Palatino Linotype" w:eastAsia="Palatino Linotype" w:hAnsi="Palatino Linotype" w:cs="Palatino Linotype"/>
        </w:rPr>
        <w:t>ofreciera</w:t>
      </w:r>
      <w:r w:rsidRPr="00CD7D2A">
        <w:rPr>
          <w:rFonts w:ascii="Palatino Linotype" w:eastAsia="Palatino Linotype" w:hAnsi="Palatino Linotype" w:cs="Palatino Linotype"/>
          <w:color w:val="000000"/>
        </w:rPr>
        <w:t xml:space="preserve"> pruebas y alegatos según corresponda al caso concreto, de esta forma para que el </w:t>
      </w:r>
      <w:r w:rsidRPr="00CD7D2A">
        <w:rPr>
          <w:rFonts w:ascii="Palatino Linotype" w:eastAsia="Palatino Linotype" w:hAnsi="Palatino Linotype" w:cs="Palatino Linotype"/>
          <w:b/>
          <w:color w:val="000000"/>
        </w:rPr>
        <w:t>SUJETO OBLIGADO</w:t>
      </w:r>
      <w:r w:rsidRPr="00CD7D2A">
        <w:rPr>
          <w:rFonts w:ascii="Palatino Linotype" w:eastAsia="Palatino Linotype" w:hAnsi="Palatino Linotype" w:cs="Palatino Linotype"/>
          <w:color w:val="000000"/>
        </w:rPr>
        <w:t xml:space="preserve"> </w:t>
      </w:r>
      <w:r w:rsidRPr="00CD7D2A">
        <w:rPr>
          <w:rFonts w:ascii="Palatino Linotype" w:eastAsia="Palatino Linotype" w:hAnsi="Palatino Linotype" w:cs="Palatino Linotype"/>
        </w:rPr>
        <w:t>presentará</w:t>
      </w:r>
      <w:r w:rsidRPr="00CD7D2A">
        <w:rPr>
          <w:rFonts w:ascii="Palatino Linotype" w:eastAsia="Palatino Linotype" w:hAnsi="Palatino Linotype" w:cs="Palatino Linotype"/>
          <w:color w:val="000000"/>
        </w:rPr>
        <w:t xml:space="preserve"> el informe justificado procedente. </w:t>
      </w:r>
    </w:p>
    <w:p w14:paraId="30753E6F" w14:textId="77777777" w:rsidR="00A45F42" w:rsidRPr="00CD7D2A" w:rsidRDefault="00A45F42">
      <w:pPr>
        <w:tabs>
          <w:tab w:val="left" w:pos="284"/>
        </w:tabs>
        <w:spacing w:line="360" w:lineRule="auto"/>
        <w:ind w:left="-425" w:right="-787"/>
        <w:jc w:val="both"/>
        <w:rPr>
          <w:rFonts w:ascii="Palatino Linotype" w:eastAsia="Palatino Linotype" w:hAnsi="Palatino Linotype" w:cs="Palatino Linotype"/>
          <w:i/>
          <w:color w:val="000000"/>
        </w:rPr>
      </w:pPr>
    </w:p>
    <w:p w14:paraId="1CE8F354" w14:textId="77777777" w:rsidR="00A45F42" w:rsidRPr="00CD7D2A" w:rsidRDefault="000E551E">
      <w:pPr>
        <w:numPr>
          <w:ilvl w:val="0"/>
          <w:numId w:val="2"/>
        </w:numPr>
        <w:tabs>
          <w:tab w:val="left" w:pos="284"/>
        </w:tabs>
        <w:spacing w:line="360" w:lineRule="auto"/>
        <w:ind w:left="-425" w:right="-787" w:firstLine="0"/>
        <w:jc w:val="both"/>
        <w:rPr>
          <w:rFonts w:ascii="Palatino Linotype" w:eastAsia="Palatino Linotype" w:hAnsi="Palatino Linotype" w:cs="Palatino Linotype"/>
          <w:color w:val="222222"/>
        </w:rPr>
      </w:pPr>
      <w:r w:rsidRPr="00CD7D2A">
        <w:rPr>
          <w:rFonts w:ascii="Palatino Linotype" w:eastAsia="Palatino Linotype" w:hAnsi="Palatino Linotype" w:cs="Palatino Linotype"/>
          <w:color w:val="000000"/>
        </w:rPr>
        <w:t xml:space="preserve">El </w:t>
      </w:r>
      <w:r w:rsidRPr="00CD7D2A">
        <w:rPr>
          <w:rFonts w:ascii="Palatino Linotype" w:eastAsia="Palatino Linotype" w:hAnsi="Palatino Linotype" w:cs="Palatino Linotype"/>
          <w:b/>
          <w:color w:val="000000"/>
        </w:rPr>
        <w:t xml:space="preserve">SUJETO OBLIGADO, </w:t>
      </w:r>
      <w:r w:rsidRPr="00CD7D2A">
        <w:rPr>
          <w:rFonts w:ascii="Palatino Linotype" w:eastAsia="Palatino Linotype" w:hAnsi="Palatino Linotype" w:cs="Palatino Linotype"/>
          <w:color w:val="000000"/>
        </w:rPr>
        <w:t xml:space="preserve">el día doce de junio de dos mil veinticuatro rindió informe justificado a través de un archivo electrónico denominado </w:t>
      </w:r>
      <w:r w:rsidRPr="00CD7D2A">
        <w:rPr>
          <w:rFonts w:ascii="Palatino Linotype" w:eastAsia="Palatino Linotype" w:hAnsi="Palatino Linotype" w:cs="Palatino Linotype"/>
          <w:b/>
          <w:i/>
          <w:color w:val="000000"/>
        </w:rPr>
        <w:t>INFORME JUSTIFICADO 03413-</w:t>
      </w:r>
      <w:r w:rsidRPr="00CD7D2A">
        <w:rPr>
          <w:rFonts w:ascii="Palatino Linotype" w:eastAsia="Palatino Linotype" w:hAnsi="Palatino Linotype" w:cs="Palatino Linotype"/>
          <w:b/>
          <w:i/>
          <w:color w:val="000000"/>
        </w:rPr>
        <w:lastRenderedPageBreak/>
        <w:t>INFOEM-IP-RR-2024.pdf</w:t>
      </w:r>
      <w:r w:rsidRPr="00CD7D2A">
        <w:rPr>
          <w:rFonts w:ascii="Palatino Linotype" w:eastAsia="Palatino Linotype" w:hAnsi="Palatino Linotype" w:cs="Palatino Linotype"/>
          <w:color w:val="000000"/>
        </w:rPr>
        <w:t>, a través del cual confirma su respuesta inicial y agrega que tampoco existe fuente obligacional que constriña al Centro de Control de Confianza a enviar a la Unidad de Asuntos Internos, los resultados de las evaluaciones.</w:t>
      </w:r>
    </w:p>
    <w:p w14:paraId="2FCBB08A"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i/>
          <w:color w:val="222222"/>
        </w:rPr>
      </w:pPr>
    </w:p>
    <w:p w14:paraId="34405B80" w14:textId="77777777" w:rsidR="00A45F42" w:rsidRPr="00CD7D2A" w:rsidRDefault="000E551E">
      <w:pPr>
        <w:numPr>
          <w:ilvl w:val="0"/>
          <w:numId w:val="2"/>
        </w:numPr>
        <w:tabs>
          <w:tab w:val="left" w:pos="284"/>
        </w:tabs>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222222"/>
        </w:rPr>
        <w:t>Por su parte, el particular fue omiso en realizar manifestaciones que a su derecho conviniera y asistiera.</w:t>
      </w:r>
    </w:p>
    <w:p w14:paraId="24030E46" w14:textId="77777777" w:rsidR="00A45F42" w:rsidRPr="00CD7D2A" w:rsidRDefault="00A45F42">
      <w:pPr>
        <w:tabs>
          <w:tab w:val="left" w:pos="284"/>
        </w:tabs>
        <w:spacing w:line="360" w:lineRule="auto"/>
        <w:ind w:left="-425" w:right="-787"/>
        <w:jc w:val="both"/>
        <w:rPr>
          <w:rFonts w:ascii="Palatino Linotype" w:eastAsia="Palatino Linotype" w:hAnsi="Palatino Linotype" w:cs="Palatino Linotype"/>
          <w:i/>
          <w:color w:val="000000"/>
        </w:rPr>
      </w:pPr>
    </w:p>
    <w:p w14:paraId="244765EE" w14:textId="77777777" w:rsidR="00A45F42" w:rsidRPr="00CD7D2A" w:rsidRDefault="000E551E">
      <w:pPr>
        <w:numPr>
          <w:ilvl w:val="0"/>
          <w:numId w:val="2"/>
        </w:numPr>
        <w:tabs>
          <w:tab w:val="left" w:pos="284"/>
        </w:tabs>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El </w:t>
      </w:r>
      <w:r w:rsidRPr="00CD7D2A">
        <w:rPr>
          <w:rFonts w:ascii="Palatino Linotype" w:eastAsia="Palatino Linotype" w:hAnsi="Palatino Linotype" w:cs="Palatino Linotype"/>
          <w:b/>
          <w:color w:val="000000"/>
        </w:rPr>
        <w:t>veintisiete de febrero del año en curso</w:t>
      </w:r>
      <w:r w:rsidRPr="00CD7D2A">
        <w:rPr>
          <w:rFonts w:ascii="Palatino Linotype" w:eastAsia="Palatino Linotype" w:hAnsi="Palatino Linotype" w:cs="Palatino Linotype"/>
          <w:color w:val="000000"/>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14:paraId="621E0E69"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i/>
          <w:color w:val="000000"/>
        </w:rPr>
      </w:pPr>
    </w:p>
    <w:p w14:paraId="361BBFC4"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61989213"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3528D4DF"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A7B2D0D"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627C34D8"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2043CAD"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07989C82"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04B8CAAC"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4043D8BD"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del tiempo necesario para su resolución, atentos a los siguientes criterios:   </w:t>
      </w:r>
    </w:p>
    <w:p w14:paraId="05DEA39B" w14:textId="77777777" w:rsidR="00A45F42" w:rsidRPr="00CD7D2A" w:rsidRDefault="000E551E">
      <w:pPr>
        <w:numPr>
          <w:ilvl w:val="2"/>
          <w:numId w:val="2"/>
        </w:numPr>
        <w:pBdr>
          <w:top w:val="nil"/>
          <w:left w:val="nil"/>
          <w:bottom w:val="nil"/>
          <w:right w:val="nil"/>
          <w:between w:val="nil"/>
        </w:pBdr>
        <w:spacing w:line="360" w:lineRule="auto"/>
        <w:ind w:left="425" w:right="-220" w:firstLine="0"/>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Complejidad del asunto: La complejidad de la prueba, la pluralidad de sujetos procesales, el tiempo transcurrido, las características y contexto del recurso.</w:t>
      </w:r>
    </w:p>
    <w:p w14:paraId="493715B9" w14:textId="77777777" w:rsidR="00A45F42" w:rsidRPr="00CD7D2A" w:rsidRDefault="000E551E">
      <w:pPr>
        <w:numPr>
          <w:ilvl w:val="2"/>
          <w:numId w:val="2"/>
        </w:numPr>
        <w:pBdr>
          <w:top w:val="nil"/>
          <w:left w:val="nil"/>
          <w:bottom w:val="nil"/>
          <w:right w:val="nil"/>
          <w:between w:val="nil"/>
        </w:pBdr>
        <w:spacing w:line="360" w:lineRule="auto"/>
        <w:ind w:left="425" w:right="-220" w:firstLine="0"/>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Actividad Procesal del interesado: Acciones u omisiones del interesado.</w:t>
      </w:r>
    </w:p>
    <w:p w14:paraId="61493EAF" w14:textId="77777777" w:rsidR="00A45F42" w:rsidRPr="00CD7D2A" w:rsidRDefault="000E551E">
      <w:pPr>
        <w:numPr>
          <w:ilvl w:val="2"/>
          <w:numId w:val="2"/>
        </w:numPr>
        <w:pBdr>
          <w:top w:val="nil"/>
          <w:left w:val="nil"/>
          <w:bottom w:val="nil"/>
          <w:right w:val="nil"/>
          <w:between w:val="nil"/>
        </w:pBdr>
        <w:spacing w:line="360" w:lineRule="auto"/>
        <w:ind w:left="425" w:right="-220" w:firstLine="0"/>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51F6AFAB" w14:textId="77777777" w:rsidR="00A45F42" w:rsidRPr="00CD7D2A" w:rsidRDefault="000E551E">
      <w:pPr>
        <w:numPr>
          <w:ilvl w:val="2"/>
          <w:numId w:val="2"/>
        </w:numPr>
        <w:pBdr>
          <w:top w:val="nil"/>
          <w:left w:val="nil"/>
          <w:bottom w:val="nil"/>
          <w:right w:val="nil"/>
          <w:between w:val="nil"/>
        </w:pBdr>
        <w:spacing w:line="360" w:lineRule="auto"/>
        <w:ind w:left="425" w:right="-220" w:firstLine="0"/>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7FBE02C4"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377D1CA1"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w:t>
      </w:r>
      <w:r w:rsidRPr="00CD7D2A">
        <w:rPr>
          <w:rFonts w:ascii="Palatino Linotype" w:eastAsia="Palatino Linotype" w:hAnsi="Palatino Linotype" w:cs="Palatino Linotype"/>
          <w:color w:val="000000"/>
        </w:rPr>
        <w:lastRenderedPageBreak/>
        <w:t>jurisdiccional respectivo supere notoriamente al que podría considerarse normal, debe concluirse que es una excluyente de responsabilidad en relación con la actuación del funcionario, como ha acontecido en el caso que nos ocupa.</w:t>
      </w:r>
    </w:p>
    <w:p w14:paraId="55C0170A"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4540D092"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Argumento que encuentra sustento en la jurisprudencia P</w:t>
      </w:r>
      <w:proofErr w:type="gramStart"/>
      <w:r w:rsidRPr="00CD7D2A">
        <w:rPr>
          <w:rFonts w:ascii="Palatino Linotype" w:eastAsia="Palatino Linotype" w:hAnsi="Palatino Linotype" w:cs="Palatino Linotype"/>
          <w:color w:val="000000"/>
        </w:rPr>
        <w:t>./</w:t>
      </w:r>
      <w:proofErr w:type="gramEnd"/>
      <w:r w:rsidRPr="00CD7D2A">
        <w:rPr>
          <w:rFonts w:ascii="Palatino Linotype" w:eastAsia="Palatino Linotype" w:hAnsi="Palatino Linotype" w:cs="Palatino Linotype"/>
          <w:color w:val="000000"/>
        </w:rPr>
        <w:t xml:space="preserve">J. 32/92 emitida por el Pleno de la Suprema Corte de Justicia de la Nación </w:t>
      </w:r>
      <w:r w:rsidRPr="00CD7D2A">
        <w:rPr>
          <w:rFonts w:ascii="Palatino Linotype" w:eastAsia="Palatino Linotype" w:hAnsi="Palatino Linotype" w:cs="Palatino Linotype"/>
        </w:rPr>
        <w:t>del rubro</w:t>
      </w:r>
      <w:r w:rsidRPr="00CD7D2A">
        <w:rPr>
          <w:rFonts w:ascii="Palatino Linotype" w:eastAsia="Palatino Linotype" w:hAnsi="Palatino Linotype" w:cs="Palatino Linotype"/>
          <w:color w:val="000000"/>
        </w:rPr>
        <w:t xml:space="preserve"> </w:t>
      </w:r>
      <w:r w:rsidRPr="00CD7D2A">
        <w:rPr>
          <w:rFonts w:ascii="Palatino Linotype" w:eastAsia="Palatino Linotype" w:hAnsi="Palatino Linotype" w:cs="Palatino Linotype"/>
          <w:b/>
          <w:color w:val="000000"/>
        </w:rPr>
        <w:t>“TÉRMINOS PROCESALES. PARA DETERMINAR SI UN FUNCIONARIO JUDICIAL ACTUÓ INDEBIDAMENTE POR NO RESPETARLOS SE DEBE ATENDER AL PRESUPUESTO QUE CONSIDERÓ EL LEGISLADOR AL FIJARLOS Y LAS CARACTERÍSTICAS DEL CASO.”,</w:t>
      </w:r>
      <w:r w:rsidRPr="00CD7D2A">
        <w:rPr>
          <w:rFonts w:ascii="Palatino Linotype" w:eastAsia="Palatino Linotype" w:hAnsi="Palatino Linotype" w:cs="Palatino Linotype"/>
          <w:color w:val="000000"/>
        </w:rPr>
        <w:t xml:space="preserve"> visible en la Gaceta del </w:t>
      </w:r>
      <w:r w:rsidRPr="00CD7D2A">
        <w:rPr>
          <w:rFonts w:ascii="Palatino Linotype" w:eastAsia="Palatino Linotype" w:hAnsi="Palatino Linotype" w:cs="Palatino Linotype"/>
        </w:rPr>
        <w:t>Semanario</w:t>
      </w:r>
      <w:r w:rsidRPr="00CD7D2A">
        <w:rPr>
          <w:rFonts w:ascii="Palatino Linotype" w:eastAsia="Palatino Linotype" w:hAnsi="Palatino Linotype" w:cs="Palatino Linotype"/>
          <w:color w:val="000000"/>
        </w:rPr>
        <w:t xml:space="preserve"> Judicial de la Federación con el registro digital 205635.</w:t>
      </w:r>
    </w:p>
    <w:p w14:paraId="628E4721"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074BB1E1"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DF3C5FF"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0BFFCFDC"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lastRenderedPageBreak/>
        <w:t>Al respecto, también son de considerar los criterios sostenidos por el Cuarto Tribunal Colegiado en Materia Administrativa del Primer Circuito, cuyos rubros y datos de identificación son los siguientes:</w:t>
      </w:r>
    </w:p>
    <w:p w14:paraId="6FD5E716" w14:textId="77777777" w:rsidR="00A45F42" w:rsidRPr="00CD7D2A" w:rsidRDefault="000E551E">
      <w:pPr>
        <w:pBdr>
          <w:top w:val="nil"/>
          <w:left w:val="nil"/>
          <w:bottom w:val="nil"/>
          <w:right w:val="nil"/>
          <w:between w:val="nil"/>
        </w:pBdr>
        <w:spacing w:line="360" w:lineRule="auto"/>
        <w:ind w:left="425" w:right="-79"/>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w:t>
      </w:r>
      <w:r w:rsidRPr="00CD7D2A">
        <w:rPr>
          <w:rFonts w:ascii="Palatino Linotype" w:eastAsia="Palatino Linotype" w:hAnsi="Palatino Linotype" w:cs="Palatino Linotype"/>
          <w:b/>
          <w:color w:val="000000"/>
          <w:sz w:val="22"/>
          <w:szCs w:val="22"/>
        </w:rPr>
        <w:t>PLAZO RAZONABLE PARA RESOLVER. DIMENSIÓN Y EFECTOS DE ESTE CONCEPTO CUANDO SE ADUCE EXCESIVA CARGA DE TRABAJO</w:t>
      </w:r>
      <w:r w:rsidRPr="00CD7D2A">
        <w:rPr>
          <w:rFonts w:ascii="Palatino Linotype" w:eastAsia="Palatino Linotype" w:hAnsi="Palatino Linotype" w:cs="Palatino Linotype"/>
          <w:color w:val="000000"/>
          <w:sz w:val="22"/>
          <w:szCs w:val="22"/>
        </w:rPr>
        <w:t>.” consultable en el Sem</w:t>
      </w:r>
      <w:r w:rsidRPr="00CD7D2A">
        <w:rPr>
          <w:rFonts w:ascii="Palatino Linotype" w:eastAsia="Palatino Linotype" w:hAnsi="Palatino Linotype" w:cs="Palatino Linotype"/>
          <w:sz w:val="22"/>
          <w:szCs w:val="22"/>
        </w:rPr>
        <w:t>a</w:t>
      </w:r>
      <w:r w:rsidRPr="00CD7D2A">
        <w:rPr>
          <w:rFonts w:ascii="Palatino Linotype" w:eastAsia="Palatino Linotype" w:hAnsi="Palatino Linotype" w:cs="Palatino Linotype"/>
          <w:color w:val="000000"/>
          <w:sz w:val="22"/>
          <w:szCs w:val="22"/>
        </w:rPr>
        <w:t>nario Judicial de la Federación y su gaceta, con el registro digital 2002351.</w:t>
      </w:r>
    </w:p>
    <w:p w14:paraId="7C0F31B9" w14:textId="77777777" w:rsidR="00A45F42" w:rsidRPr="00CD7D2A" w:rsidRDefault="00A45F42">
      <w:pPr>
        <w:pBdr>
          <w:top w:val="nil"/>
          <w:left w:val="nil"/>
          <w:bottom w:val="nil"/>
          <w:right w:val="nil"/>
          <w:between w:val="nil"/>
        </w:pBdr>
        <w:spacing w:line="360" w:lineRule="auto"/>
        <w:ind w:left="425" w:right="-79"/>
        <w:jc w:val="both"/>
        <w:rPr>
          <w:rFonts w:ascii="Palatino Linotype" w:eastAsia="Palatino Linotype" w:hAnsi="Palatino Linotype" w:cs="Palatino Linotype"/>
          <w:color w:val="000000"/>
          <w:sz w:val="22"/>
          <w:szCs w:val="22"/>
        </w:rPr>
      </w:pPr>
    </w:p>
    <w:p w14:paraId="6DF3746D" w14:textId="77777777" w:rsidR="00A45F42" w:rsidRPr="00CD7D2A" w:rsidRDefault="000E551E">
      <w:pPr>
        <w:pBdr>
          <w:top w:val="nil"/>
          <w:left w:val="nil"/>
          <w:bottom w:val="nil"/>
          <w:right w:val="nil"/>
          <w:between w:val="nil"/>
        </w:pBdr>
        <w:spacing w:line="360" w:lineRule="auto"/>
        <w:ind w:left="425" w:right="-79"/>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w:t>
      </w:r>
      <w:r w:rsidRPr="00CD7D2A">
        <w:rPr>
          <w:rFonts w:ascii="Palatino Linotype" w:eastAsia="Palatino Linotype" w:hAnsi="Palatino Linotype" w:cs="Palatino Linotype"/>
          <w:b/>
          <w:color w:val="000000"/>
          <w:sz w:val="22"/>
          <w:szCs w:val="22"/>
        </w:rPr>
        <w:t>PLAZO RAZONABLE PARA RESOLVER. CONCEPTO Y ELEMENTOS QUE LO INTEGRAN A LA LUZ DEL DERECHO INTERNACIONAL DE LOS DERECHOS HUMANOS.</w:t>
      </w:r>
      <w:r w:rsidRPr="00CD7D2A">
        <w:rPr>
          <w:rFonts w:ascii="Palatino Linotype" w:eastAsia="Palatino Linotype" w:hAnsi="Palatino Linotype" w:cs="Palatino Linotype"/>
          <w:color w:val="000000"/>
          <w:sz w:val="22"/>
          <w:szCs w:val="22"/>
        </w:rPr>
        <w:t>”, visible en el Sem</w:t>
      </w:r>
      <w:r w:rsidRPr="00CD7D2A">
        <w:rPr>
          <w:rFonts w:ascii="Palatino Linotype" w:eastAsia="Palatino Linotype" w:hAnsi="Palatino Linotype" w:cs="Palatino Linotype"/>
          <w:sz w:val="22"/>
          <w:szCs w:val="22"/>
        </w:rPr>
        <w:t>a</w:t>
      </w:r>
      <w:r w:rsidRPr="00CD7D2A">
        <w:rPr>
          <w:rFonts w:ascii="Palatino Linotype" w:eastAsia="Palatino Linotype" w:hAnsi="Palatino Linotype" w:cs="Palatino Linotype"/>
          <w:color w:val="000000"/>
          <w:sz w:val="22"/>
          <w:szCs w:val="22"/>
        </w:rPr>
        <w:t xml:space="preserve">nario Judicial de la Federación y su gaceta, con el registro digital 2002350. </w:t>
      </w:r>
    </w:p>
    <w:p w14:paraId="2FC65AEE"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679B3480"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 Seguidamente mediante Acuerdo de fecha seis de marzo del año en curso se decretó el cierre de instrucción, por lo que: ---------------------------------------------------------</w:t>
      </w:r>
    </w:p>
    <w:p w14:paraId="4839FCC0"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73A21AF4" w14:textId="77777777" w:rsidR="00A45F42" w:rsidRPr="00CD7D2A" w:rsidRDefault="000E551E">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r w:rsidRPr="00CD7D2A">
        <w:rPr>
          <w:rFonts w:ascii="Palatino Linotype" w:eastAsia="Palatino Linotype" w:hAnsi="Palatino Linotype" w:cs="Palatino Linotype"/>
          <w:b/>
          <w:color w:val="000000"/>
        </w:rPr>
        <w:t>C O N S I D E R A N D O</w:t>
      </w:r>
    </w:p>
    <w:p w14:paraId="2CF0EE3D"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p>
    <w:p w14:paraId="31F06DB5" w14:textId="77777777" w:rsidR="00A45F42" w:rsidRPr="00CD7D2A" w:rsidRDefault="000E551E">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r w:rsidRPr="00CD7D2A">
        <w:rPr>
          <w:rFonts w:ascii="Palatino Linotype" w:eastAsia="Palatino Linotype" w:hAnsi="Palatino Linotype" w:cs="Palatino Linotype"/>
          <w:b/>
          <w:color w:val="000000"/>
        </w:rPr>
        <w:t>PRIMERO. De la competencia</w:t>
      </w:r>
    </w:p>
    <w:p w14:paraId="6FAD8088"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w:t>
      </w:r>
      <w:r w:rsidRPr="00CD7D2A">
        <w:rPr>
          <w:rFonts w:ascii="Palatino Linotype" w:eastAsia="Palatino Linotype" w:hAnsi="Palatino Linotype" w:cs="Palatino Linotype"/>
          <w:color w:val="000000"/>
        </w:rPr>
        <w:lastRenderedPageBreak/>
        <w:t>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E28E20E"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31752EA5" w14:textId="77777777" w:rsidR="00A45F42" w:rsidRPr="00CD7D2A" w:rsidRDefault="000E551E">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r w:rsidRPr="00CD7D2A">
        <w:rPr>
          <w:rFonts w:ascii="Palatino Linotype" w:eastAsia="Palatino Linotype" w:hAnsi="Palatino Linotype" w:cs="Palatino Linotype"/>
          <w:b/>
          <w:color w:val="000000"/>
        </w:rPr>
        <w:t>SEGUNDO. De la oportunidad y procedencia.</w:t>
      </w:r>
    </w:p>
    <w:p w14:paraId="778B37A5"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CD7D2A">
        <w:rPr>
          <w:rFonts w:ascii="Palatino Linotype" w:eastAsia="Palatino Linotype" w:hAnsi="Palatino Linotype" w:cs="Palatino Linotype"/>
        </w:rPr>
        <w:t xml:space="preserve">El medio de impugnación fue presentado a través del </w:t>
      </w:r>
      <w:r w:rsidRPr="00CD7D2A">
        <w:rPr>
          <w:rFonts w:ascii="Palatino Linotype" w:eastAsia="Palatino Linotype" w:hAnsi="Palatino Linotype" w:cs="Palatino Linotype"/>
          <w:b/>
        </w:rPr>
        <w:t>SAIMEX,</w:t>
      </w:r>
      <w:r w:rsidRPr="00CD7D2A">
        <w:rPr>
          <w:rFonts w:ascii="Palatino Linotype" w:eastAsia="Palatino Linotype" w:hAnsi="Palatino Linotype" w:cs="Palatino Linotype"/>
        </w:rPr>
        <w:t xml:space="preserve"> en el formato previamente aprobado para tal efecto y dentro del plazo legal de quince días hábiles </w:t>
      </w:r>
      <w:r w:rsidRPr="00CD7D2A">
        <w:rPr>
          <w:rFonts w:ascii="Palatino Linotype" w:eastAsia="Palatino Linotype" w:hAnsi="Palatino Linotype" w:cs="Palatino Linotype"/>
          <w:color w:val="000000"/>
        </w:rPr>
        <w:t>otorgados</w:t>
      </w:r>
      <w:r w:rsidRPr="00CD7D2A">
        <w:rPr>
          <w:rFonts w:ascii="Palatino Linotype" w:eastAsia="Palatino Linotype" w:hAnsi="Palatino Linotype" w:cs="Palatino Linotype"/>
        </w:rPr>
        <w:t xml:space="preserve">; para el caso en particular es de señalar que el </w:t>
      </w:r>
      <w:r w:rsidRPr="00CD7D2A">
        <w:rPr>
          <w:rFonts w:ascii="Palatino Linotype" w:eastAsia="Palatino Linotype" w:hAnsi="Palatino Linotype" w:cs="Palatino Linotype"/>
          <w:b/>
        </w:rPr>
        <w:t>SUJETO OBLIGADO</w:t>
      </w:r>
      <w:r w:rsidRPr="00CD7D2A">
        <w:rPr>
          <w:rFonts w:ascii="Palatino Linotype" w:eastAsia="Palatino Linotype" w:hAnsi="Palatino Linotype" w:cs="Palatino Linotype"/>
        </w:rPr>
        <w:t xml:space="preserve"> entregó respuesta el día </w:t>
      </w:r>
      <w:r w:rsidRPr="00CD7D2A">
        <w:rPr>
          <w:rFonts w:ascii="Palatino Linotype" w:eastAsia="Palatino Linotype" w:hAnsi="Palatino Linotype" w:cs="Palatino Linotype"/>
          <w:b/>
        </w:rPr>
        <w:t xml:space="preserve">treinta </w:t>
      </w:r>
      <w:r w:rsidR="002F5592" w:rsidRPr="00CD7D2A">
        <w:rPr>
          <w:rFonts w:ascii="Palatino Linotype" w:eastAsia="Palatino Linotype" w:hAnsi="Palatino Linotype" w:cs="Palatino Linotype"/>
          <w:b/>
        </w:rPr>
        <w:t>de</w:t>
      </w:r>
      <w:r w:rsidRPr="00CD7D2A">
        <w:rPr>
          <w:rFonts w:ascii="Palatino Linotype" w:eastAsia="Palatino Linotype" w:hAnsi="Palatino Linotype" w:cs="Palatino Linotype"/>
          <w:b/>
        </w:rPr>
        <w:t xml:space="preserve"> mayo de dos mil veinticuatro</w:t>
      </w:r>
      <w:r w:rsidRPr="00CD7D2A">
        <w:rPr>
          <w:rFonts w:ascii="Palatino Linotype" w:eastAsia="Palatino Linotype" w:hAnsi="Palatino Linotype" w:cs="Palatino Linotype"/>
        </w:rPr>
        <w:t xml:space="preserve">, de tal forma que el plazo para interponer el recurso transcurrió del </w:t>
      </w:r>
      <w:r w:rsidR="00CA6A99" w:rsidRPr="00CD7D2A">
        <w:rPr>
          <w:rFonts w:ascii="Palatino Linotype" w:eastAsia="Palatino Linotype" w:hAnsi="Palatino Linotype" w:cs="Palatino Linotype"/>
          <w:b/>
        </w:rPr>
        <w:t>tres al veintiuno de junio de dos mil</w:t>
      </w:r>
      <w:r w:rsidRPr="00CD7D2A">
        <w:rPr>
          <w:rFonts w:ascii="Palatino Linotype" w:eastAsia="Palatino Linotype" w:hAnsi="Palatino Linotype" w:cs="Palatino Linotype"/>
          <w:b/>
        </w:rPr>
        <w:t xml:space="preserve"> veinticuatro</w:t>
      </w:r>
      <w:r w:rsidRPr="00CD7D2A">
        <w:rPr>
          <w:rFonts w:ascii="Palatino Linotype" w:eastAsia="Palatino Linotype" w:hAnsi="Palatino Linotype" w:cs="Palatino Linotype"/>
        </w:rPr>
        <w:t xml:space="preserve">, de acuerdo al calendario oficial del Instituto de Transparencia del Estado de México y Municipios; en consecuencia, si el particular presentó su inconformidad el día </w:t>
      </w:r>
      <w:r w:rsidRPr="00CD7D2A">
        <w:rPr>
          <w:rFonts w:ascii="Palatino Linotype" w:eastAsia="Palatino Linotype" w:hAnsi="Palatino Linotype" w:cs="Palatino Linotype"/>
          <w:b/>
        </w:rPr>
        <w:t>uno de junio de dos mil veinticuatro</w:t>
      </w:r>
      <w:r w:rsidR="002F5592" w:rsidRPr="00CD7D2A">
        <w:rPr>
          <w:rFonts w:ascii="Palatino Linotype" w:eastAsia="Palatino Linotype" w:hAnsi="Palatino Linotype" w:cs="Palatino Linotype"/>
          <w:b/>
        </w:rPr>
        <w:t>;</w:t>
      </w:r>
      <w:r w:rsidR="002F5592" w:rsidRPr="00CD7D2A">
        <w:rPr>
          <w:rFonts w:ascii="Palatino Linotype" w:eastAsia="Palatino Linotype" w:hAnsi="Palatino Linotype" w:cs="Palatino Linotype"/>
        </w:rPr>
        <w:t xml:space="preserve"> mismo que al ser inhábil quedo registrado en el SAIMEX el día siguiente hábil siguientes; es decir el </w:t>
      </w:r>
      <w:r w:rsidR="00CA6A99" w:rsidRPr="00CD7D2A">
        <w:rPr>
          <w:rFonts w:ascii="Palatino Linotype" w:eastAsia="Palatino Linotype" w:hAnsi="Palatino Linotype" w:cs="Palatino Linotype"/>
          <w:b/>
        </w:rPr>
        <w:t>tres de junio de dos mil veinticuatro</w:t>
      </w:r>
      <w:r w:rsidRPr="00CD7D2A">
        <w:rPr>
          <w:rFonts w:ascii="Palatino Linotype" w:eastAsia="Palatino Linotype" w:hAnsi="Palatino Linotype" w:cs="Palatino Linotype"/>
        </w:rPr>
        <w:t xml:space="preserve">, se encuentra dentro de los márgenes temporales previstos en el artículo 178 de la </w:t>
      </w:r>
      <w:r w:rsidRPr="00CD7D2A">
        <w:rPr>
          <w:rFonts w:ascii="Palatino Linotype" w:eastAsia="Palatino Linotype" w:hAnsi="Palatino Linotype" w:cs="Palatino Linotype"/>
          <w:b/>
        </w:rPr>
        <w:t xml:space="preserve">Ley de Transparencia y Acceso a la Información Pública del Estado de México y Municipios </w:t>
      </w:r>
      <w:r w:rsidRPr="00CD7D2A">
        <w:rPr>
          <w:rFonts w:ascii="Palatino Linotype" w:eastAsia="Palatino Linotype" w:hAnsi="Palatino Linotype" w:cs="Palatino Linotype"/>
        </w:rPr>
        <w:t xml:space="preserve">vigente. </w:t>
      </w:r>
    </w:p>
    <w:p w14:paraId="32E2AEA0"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3D52095D"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b/>
        </w:rPr>
      </w:pPr>
      <w:r w:rsidRPr="00CD7D2A">
        <w:rPr>
          <w:rFonts w:ascii="Palatino Linotype" w:eastAsia="Palatino Linotype" w:hAnsi="Palatino Linotype" w:cs="Palatino Linotype"/>
        </w:rPr>
        <w:t xml:space="preserve">Consecuentemente, el escrito contiene las formalidades previstas por el artículo 180 último párrafo de la Ley de la materia actual, por lo que es procedente que este Instituto de </w:t>
      </w:r>
      <w:r w:rsidRPr="00CD7D2A">
        <w:rPr>
          <w:rFonts w:ascii="Palatino Linotype" w:eastAsia="Palatino Linotype" w:hAnsi="Palatino Linotype" w:cs="Palatino Linotype"/>
        </w:rPr>
        <w:lastRenderedPageBreak/>
        <w:t>Transparencia, Acceso a la Información Pública y Protección de Datos Personales del Estado de México y Municipios, conozca y resuelva el presente Recurso.</w:t>
      </w:r>
    </w:p>
    <w:p w14:paraId="0F3E1B71" w14:textId="77777777" w:rsidR="00CA6A99" w:rsidRPr="00CD7D2A" w:rsidRDefault="00CA6A99" w:rsidP="00CA6A99">
      <w:pPr>
        <w:pStyle w:val="Prrafodelista"/>
        <w:rPr>
          <w:rFonts w:ascii="Palatino Linotype" w:eastAsia="Palatino Linotype" w:hAnsi="Palatino Linotype" w:cs="Palatino Linotype"/>
          <w:b/>
        </w:rPr>
      </w:pPr>
    </w:p>
    <w:p w14:paraId="5CAF6BAE" w14:textId="77777777" w:rsidR="00A45F42" w:rsidRPr="00CD7D2A" w:rsidRDefault="000E551E">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r w:rsidRPr="00CD7D2A">
        <w:rPr>
          <w:rFonts w:ascii="Palatino Linotype" w:eastAsia="Palatino Linotype" w:hAnsi="Palatino Linotype" w:cs="Palatino Linotype"/>
          <w:b/>
          <w:color w:val="000000"/>
        </w:rPr>
        <w:t xml:space="preserve">TERCERO. Planteamiento de la </w:t>
      </w:r>
      <w:r w:rsidRPr="00CD7D2A">
        <w:rPr>
          <w:rFonts w:ascii="Palatino Linotype" w:eastAsia="Palatino Linotype" w:hAnsi="Palatino Linotype" w:cs="Palatino Linotype"/>
          <w:b/>
          <w:i/>
          <w:color w:val="000000"/>
        </w:rPr>
        <w:t>Litis</w:t>
      </w:r>
    </w:p>
    <w:p w14:paraId="50C2E3CD"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color w:val="000000"/>
        </w:rPr>
        <w:t xml:space="preserve">El recurrente </w:t>
      </w:r>
      <w:r w:rsidRPr="00CD7D2A">
        <w:rPr>
          <w:rFonts w:ascii="Palatino Linotype" w:eastAsia="Palatino Linotype" w:hAnsi="Palatino Linotype" w:cs="Palatino Linotype"/>
        </w:rPr>
        <w:t>solicitó</w:t>
      </w:r>
      <w:r w:rsidRPr="00CD7D2A">
        <w:rPr>
          <w:rFonts w:ascii="Palatino Linotype" w:eastAsia="Palatino Linotype" w:hAnsi="Palatino Linotype" w:cs="Palatino Linotype"/>
          <w:color w:val="000000"/>
        </w:rPr>
        <w:t xml:space="preserve"> la siguiente información:</w:t>
      </w:r>
    </w:p>
    <w:p w14:paraId="5FAA1766" w14:textId="77777777" w:rsidR="00A45F42" w:rsidRPr="00CD7D2A" w:rsidRDefault="000E551E">
      <w:pPr>
        <w:numPr>
          <w:ilvl w:val="0"/>
          <w:numId w:val="12"/>
        </w:numPr>
        <w:pBdr>
          <w:top w:val="nil"/>
          <w:left w:val="nil"/>
          <w:bottom w:val="nil"/>
          <w:right w:val="nil"/>
          <w:between w:val="nil"/>
        </w:pBdr>
        <w:tabs>
          <w:tab w:val="left" w:pos="851"/>
        </w:tabs>
        <w:spacing w:line="360" w:lineRule="auto"/>
        <w:ind w:left="283" w:right="-220" w:firstLine="0"/>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Resultados de las evaluaciones de control de confianza de todos los mandos medios y superiores del 1 de enero de 2021 al 27 de mayo de 2024.</w:t>
      </w:r>
    </w:p>
    <w:p w14:paraId="1B507B6C" w14:textId="77777777" w:rsidR="00A45F42" w:rsidRPr="00CD7D2A" w:rsidRDefault="00A45F42">
      <w:pPr>
        <w:pBdr>
          <w:top w:val="nil"/>
          <w:left w:val="nil"/>
          <w:bottom w:val="nil"/>
          <w:right w:val="nil"/>
          <w:between w:val="nil"/>
        </w:pBdr>
        <w:tabs>
          <w:tab w:val="left" w:pos="851"/>
        </w:tabs>
        <w:spacing w:line="360" w:lineRule="auto"/>
        <w:ind w:left="-425" w:right="-787"/>
        <w:jc w:val="both"/>
        <w:rPr>
          <w:rFonts w:ascii="Palatino Linotype" w:eastAsia="Palatino Linotype" w:hAnsi="Palatino Linotype" w:cs="Palatino Linotype"/>
          <w:color w:val="000000"/>
        </w:rPr>
      </w:pPr>
    </w:p>
    <w:p w14:paraId="799BB021"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CD7D2A">
        <w:rPr>
          <w:rFonts w:ascii="Palatino Linotype" w:eastAsia="Palatino Linotype" w:hAnsi="Palatino Linotype" w:cs="Palatino Linotype"/>
        </w:rPr>
        <w:t xml:space="preserve">Derivado de la declinación de incompetencia por parte del </w:t>
      </w:r>
      <w:r w:rsidRPr="00CD7D2A">
        <w:rPr>
          <w:rFonts w:ascii="Palatino Linotype" w:eastAsia="Palatino Linotype" w:hAnsi="Palatino Linotype" w:cs="Palatino Linotype"/>
          <w:b/>
        </w:rPr>
        <w:t>SUJETO OBLIGADO</w:t>
      </w:r>
      <w:r w:rsidRPr="00CD7D2A">
        <w:rPr>
          <w:rFonts w:ascii="Palatino Linotype" w:eastAsia="Palatino Linotype" w:hAnsi="Palatino Linotype" w:cs="Palatino Linotype"/>
        </w:rPr>
        <w:t>, el particular interpuso el Recurso de Revisión, inconformándose ante tal pronunciamiento.</w:t>
      </w:r>
    </w:p>
    <w:p w14:paraId="64C0D048" w14:textId="77777777" w:rsidR="00A45F42" w:rsidRPr="00CD7D2A" w:rsidRDefault="00A45F42">
      <w:pPr>
        <w:tabs>
          <w:tab w:val="left" w:pos="284"/>
        </w:tabs>
        <w:spacing w:line="360" w:lineRule="auto"/>
        <w:ind w:left="-425" w:right="-787"/>
        <w:jc w:val="both"/>
        <w:rPr>
          <w:rFonts w:ascii="Palatino Linotype" w:eastAsia="Palatino Linotype" w:hAnsi="Palatino Linotype" w:cs="Palatino Linotype"/>
          <w:i/>
        </w:rPr>
      </w:pPr>
    </w:p>
    <w:p w14:paraId="54034261"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CD7D2A">
        <w:rPr>
          <w:rFonts w:ascii="Palatino Linotype" w:eastAsia="Palatino Linotype" w:hAnsi="Palatino Linotype" w:cs="Palatino Linotype"/>
        </w:rPr>
        <w:t xml:space="preserve">En dichas condiciones, la </w:t>
      </w:r>
      <w:r w:rsidRPr="00CD7D2A">
        <w:rPr>
          <w:rFonts w:ascii="Palatino Linotype" w:eastAsia="Palatino Linotype" w:hAnsi="Palatino Linotype" w:cs="Palatino Linotype"/>
          <w:i/>
        </w:rPr>
        <w:t>Litis</w:t>
      </w:r>
      <w:r w:rsidRPr="00CD7D2A">
        <w:rPr>
          <w:rFonts w:ascii="Palatino Linotype" w:eastAsia="Palatino Linotype" w:hAnsi="Palatino Linotype" w:cs="Palatino Linotype"/>
        </w:rPr>
        <w:t xml:space="preserve"> a resolver en el presente recurso de revisión se circunscribe a determinar si se actualizan la causal de procedencia prevista en el artículo 179, fracción </w:t>
      </w:r>
      <w:r w:rsidRPr="00CD7D2A">
        <w:rPr>
          <w:rFonts w:ascii="Palatino Linotype" w:eastAsia="Palatino Linotype" w:hAnsi="Palatino Linotype" w:cs="Palatino Linotype"/>
          <w:b/>
        </w:rPr>
        <w:t>IV</w:t>
      </w:r>
      <w:r w:rsidRPr="00CD7D2A">
        <w:rPr>
          <w:rFonts w:ascii="Palatino Linotype" w:eastAsia="Palatino Linotype" w:hAnsi="Palatino Linotype" w:cs="Palatino Linotype"/>
        </w:rPr>
        <w:t xml:space="preserve"> de la </w:t>
      </w:r>
      <w:r w:rsidRPr="00CD7D2A">
        <w:rPr>
          <w:rFonts w:ascii="Palatino Linotype" w:eastAsia="Palatino Linotype" w:hAnsi="Palatino Linotype" w:cs="Palatino Linotype"/>
          <w:b/>
        </w:rPr>
        <w:t xml:space="preserve">Ley de Transparencia y Acceso a la </w:t>
      </w:r>
      <w:r w:rsidRPr="00CD7D2A">
        <w:rPr>
          <w:rFonts w:ascii="Palatino Linotype" w:eastAsia="Palatino Linotype" w:hAnsi="Palatino Linotype" w:cs="Palatino Linotype"/>
        </w:rPr>
        <w:t>Información</w:t>
      </w:r>
      <w:r w:rsidRPr="00CD7D2A">
        <w:rPr>
          <w:rFonts w:ascii="Palatino Linotype" w:eastAsia="Palatino Linotype" w:hAnsi="Palatino Linotype" w:cs="Palatino Linotype"/>
          <w:b/>
        </w:rPr>
        <w:t xml:space="preserve"> Pública del Estado de México y Municipios</w:t>
      </w:r>
      <w:r w:rsidRPr="00CD7D2A">
        <w:rPr>
          <w:rFonts w:ascii="Palatino Linotype" w:eastAsia="Palatino Linotype" w:hAnsi="Palatino Linotype" w:cs="Palatino Linotype"/>
        </w:rPr>
        <w:t xml:space="preserve">; </w:t>
      </w:r>
      <w:r w:rsidRPr="00CD7D2A">
        <w:rPr>
          <w:rFonts w:ascii="Palatino Linotype" w:eastAsia="Palatino Linotype" w:hAnsi="Palatino Linotype" w:cs="Palatino Linotype"/>
          <w:color w:val="000000"/>
        </w:rPr>
        <w:t xml:space="preserve">fracción que determina la hipótesis jurídica relativa a la declaración de incompetencia por el sujeto obligado; </w:t>
      </w:r>
      <w:r w:rsidRPr="00CD7D2A">
        <w:rPr>
          <w:rFonts w:ascii="Palatino Linotype" w:eastAsia="Palatino Linotype" w:hAnsi="Palatino Linotype" w:cs="Palatino Linotype"/>
        </w:rPr>
        <w:t xml:space="preserve">contexto del cual se dolió el </w:t>
      </w:r>
      <w:r w:rsidRPr="00CD7D2A">
        <w:rPr>
          <w:rFonts w:ascii="Palatino Linotype" w:eastAsia="Palatino Linotype" w:hAnsi="Palatino Linotype" w:cs="Palatino Linotype"/>
          <w:b/>
        </w:rPr>
        <w:t>RECURRENTE</w:t>
      </w:r>
      <w:r w:rsidRPr="00CD7D2A">
        <w:rPr>
          <w:rFonts w:ascii="Palatino Linotype" w:eastAsia="Palatino Linotype" w:hAnsi="Palatino Linotype" w:cs="Palatino Linotype"/>
        </w:rPr>
        <w:t xml:space="preserve"> al momento de interponer su recurso de revisión</w:t>
      </w:r>
      <w:r w:rsidRPr="00CD7D2A">
        <w:rPr>
          <w:rFonts w:ascii="Palatino Linotype" w:eastAsia="Palatino Linotype" w:hAnsi="Palatino Linotype" w:cs="Palatino Linotype"/>
          <w:color w:val="000000"/>
        </w:rPr>
        <w:t>; asimismo, determinar si se vulnera el derecho de acceso a la información de la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C16767B"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24CC0E19" w14:textId="77777777" w:rsidR="00A45F42" w:rsidRPr="00CD7D2A" w:rsidRDefault="000E551E">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r w:rsidRPr="00CD7D2A">
        <w:rPr>
          <w:rFonts w:ascii="Palatino Linotype" w:eastAsia="Palatino Linotype" w:hAnsi="Palatino Linotype" w:cs="Palatino Linotype"/>
          <w:b/>
          <w:color w:val="000000"/>
        </w:rPr>
        <w:t>CUARTO. Estudio y Resolución del asunto.</w:t>
      </w:r>
    </w:p>
    <w:p w14:paraId="43459E83"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CD7D2A">
        <w:rPr>
          <w:rFonts w:ascii="Palatino Linotype" w:eastAsia="Palatino Linotype" w:hAnsi="Palatino Linotype" w:cs="Palatino Linotype"/>
        </w:rPr>
        <w:lastRenderedPageBreak/>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14:paraId="60DEE1BA"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61868A1D"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CD7D2A">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016D69CF"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5D80D38F" w14:textId="77777777" w:rsidR="00A45F42" w:rsidRPr="00CD7D2A" w:rsidRDefault="000E551E">
      <w:pPr>
        <w:numPr>
          <w:ilvl w:val="0"/>
          <w:numId w:val="2"/>
        </w:numPr>
        <w:pBdr>
          <w:top w:val="nil"/>
          <w:left w:val="nil"/>
          <w:bottom w:val="nil"/>
          <w:right w:val="nil"/>
          <w:between w:val="nil"/>
        </w:pBdr>
        <w:spacing w:line="360" w:lineRule="auto"/>
        <w:ind w:left="-425" w:right="-787" w:firstLine="0"/>
        <w:jc w:val="both"/>
        <w:rPr>
          <w:rFonts w:ascii="Palatino Linotype" w:eastAsia="Palatino Linotype" w:hAnsi="Palatino Linotype" w:cs="Palatino Linotype"/>
        </w:rPr>
      </w:pPr>
      <w:r w:rsidRPr="00CD7D2A">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w:t>
      </w:r>
      <w:r w:rsidRPr="00CD7D2A">
        <w:rPr>
          <w:rFonts w:ascii="Palatino Linotype" w:eastAsia="Palatino Linotype" w:hAnsi="Palatino Linotype" w:cs="Palatino Linotype"/>
        </w:rPr>
        <w:lastRenderedPageBreak/>
        <w:t>o porque la requieren a través de una solicitud de acceso a la información, siempre y cuando no encuadre en una de las excepciones contempladas por la ley.</w:t>
      </w:r>
    </w:p>
    <w:p w14:paraId="3240F8FB" w14:textId="77777777" w:rsidR="00A45F42" w:rsidRPr="00CD7D2A" w:rsidRDefault="000E551E">
      <w:pPr>
        <w:spacing w:line="360" w:lineRule="auto"/>
        <w:ind w:left="-425" w:right="-787"/>
        <w:jc w:val="both"/>
        <w:rPr>
          <w:rFonts w:ascii="Palatino Linotype" w:eastAsia="Palatino Linotype" w:hAnsi="Palatino Linotype" w:cs="Palatino Linotype"/>
          <w:b/>
          <w:color w:val="000000"/>
        </w:rPr>
      </w:pPr>
      <w:r w:rsidRPr="00CD7D2A">
        <w:rPr>
          <w:rFonts w:ascii="Palatino Linotype" w:eastAsia="Palatino Linotype" w:hAnsi="Palatino Linotype" w:cs="Palatino Linotype"/>
          <w:b/>
        </w:rPr>
        <w:t xml:space="preserve">29. </w:t>
      </w:r>
      <w:r w:rsidRPr="00CD7D2A">
        <w:rPr>
          <w:rFonts w:ascii="Palatino Linotype" w:eastAsia="Palatino Linotype" w:hAnsi="Palatino Linotype" w:cs="Palatino Linotype"/>
        </w:rPr>
        <w:t>Acotado lo anterior, es dable primeramente recordar que la respuesta versó en declinar la competencia a un sujeto obligado diverso por ausencia de atribuciones de la Unidad de Asuntos Internos respecto de lo solicitado.</w:t>
      </w:r>
    </w:p>
    <w:p w14:paraId="019C86EF" w14:textId="77777777" w:rsidR="00A45F42" w:rsidRPr="00CD7D2A" w:rsidRDefault="00A45F42">
      <w:pPr>
        <w:spacing w:line="360" w:lineRule="auto"/>
        <w:ind w:right="-787"/>
        <w:jc w:val="both"/>
        <w:rPr>
          <w:rFonts w:ascii="Palatino Linotype" w:eastAsia="Palatino Linotype" w:hAnsi="Palatino Linotype" w:cs="Palatino Linotype"/>
          <w:b/>
        </w:rPr>
      </w:pPr>
    </w:p>
    <w:p w14:paraId="6CF138D1"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30. </w:t>
      </w:r>
      <w:r w:rsidRPr="00CD7D2A">
        <w:rPr>
          <w:rFonts w:ascii="Palatino Linotype" w:eastAsia="Palatino Linotype" w:hAnsi="Palatino Linotype" w:cs="Palatino Linotype"/>
          <w:color w:val="000000"/>
        </w:rPr>
        <w:t>Contexto que se confirmó en calidad de informe justificado, donde además se aduce que se realizó en tiempo y forma. En ese sentido es dable mencionar que d</w:t>
      </w:r>
      <w:r w:rsidRPr="00CD7D2A">
        <w:rPr>
          <w:rFonts w:ascii="Palatino Linotype" w:eastAsia="Palatino Linotype" w:hAnsi="Palatino Linotype" w:cs="Palatino Linotype"/>
        </w:rPr>
        <w:t xml:space="preserve">e acuerdo con, Cabanellas, Guillermo (1993), en el </w:t>
      </w:r>
      <w:r w:rsidRPr="00CD7D2A">
        <w:rPr>
          <w:rFonts w:ascii="Palatino Linotype" w:eastAsia="Palatino Linotype" w:hAnsi="Palatino Linotype" w:cs="Palatino Linotype"/>
          <w:i/>
        </w:rPr>
        <w:t>“Diccionario Jurídico Elemental”</w:t>
      </w:r>
      <w:r w:rsidRPr="00CD7D2A">
        <w:rPr>
          <w:rFonts w:ascii="Palatino Linotype" w:eastAsia="Palatino Linotype" w:hAnsi="Palatino Linotype" w:cs="Palatino Linotype"/>
        </w:rPr>
        <w:t xml:space="preserve"> (p. 32 y 161) la competencia o bien, la incompetencia se refiere a:  </w:t>
      </w:r>
    </w:p>
    <w:p w14:paraId="7D1D9A64" w14:textId="77777777" w:rsidR="00A45F42" w:rsidRPr="00CD7D2A" w:rsidRDefault="000E551E">
      <w:pPr>
        <w:numPr>
          <w:ilvl w:val="0"/>
          <w:numId w:val="3"/>
        </w:numPr>
        <w:spacing w:line="360" w:lineRule="auto"/>
        <w:ind w:left="141"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b/>
          <w:sz w:val="22"/>
          <w:szCs w:val="22"/>
        </w:rPr>
        <w:t xml:space="preserve">Competencia: </w:t>
      </w:r>
      <w:r w:rsidRPr="00CD7D2A">
        <w:rPr>
          <w:rFonts w:ascii="Palatino Linotype" w:eastAsia="Palatino Linotype" w:hAnsi="Palatino Linotype" w:cs="Palatino Linotype"/>
          <w:sz w:val="22"/>
          <w:szCs w:val="22"/>
        </w:rPr>
        <w:t>La capacidad de una autoridad para conocer sobre una materia o asunto.</w:t>
      </w:r>
    </w:p>
    <w:p w14:paraId="73B8EC6E" w14:textId="77777777" w:rsidR="00A45F42" w:rsidRPr="00CD7D2A" w:rsidRDefault="000E551E">
      <w:pPr>
        <w:numPr>
          <w:ilvl w:val="0"/>
          <w:numId w:val="3"/>
        </w:numPr>
        <w:spacing w:line="360" w:lineRule="auto"/>
        <w:ind w:left="141"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b/>
          <w:sz w:val="22"/>
          <w:szCs w:val="22"/>
        </w:rPr>
        <w:t>Incompetencia:</w:t>
      </w:r>
      <w:r w:rsidRPr="00CD7D2A">
        <w:rPr>
          <w:rFonts w:ascii="Palatino Linotype" w:eastAsia="Palatino Linotype" w:hAnsi="Palatino Linotype" w:cs="Palatino Linotype"/>
          <w:sz w:val="22"/>
          <w:szCs w:val="22"/>
        </w:rPr>
        <w:t xml:space="preserve"> Falta de Competencia.</w:t>
      </w:r>
    </w:p>
    <w:p w14:paraId="18532CC7"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49E988A9"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31. </w:t>
      </w:r>
      <w:r w:rsidRPr="00CD7D2A">
        <w:rPr>
          <w:rFonts w:ascii="Palatino Linotype" w:eastAsia="Palatino Linotype" w:hAnsi="Palatino Linotype" w:cs="Palatino Linotype"/>
        </w:rPr>
        <w:t xml:space="preserve">Por lo que, </w:t>
      </w:r>
      <w:r w:rsidRPr="00CD7D2A">
        <w:rPr>
          <w:rFonts w:ascii="Palatino Linotype" w:eastAsia="Palatino Linotype" w:hAnsi="Palatino Linotype" w:cs="Palatino Linotype"/>
          <w:b/>
        </w:rPr>
        <w:t>la incompetencia</w:t>
      </w:r>
      <w:r w:rsidRPr="00CD7D2A">
        <w:rPr>
          <w:rFonts w:ascii="Palatino Linotype" w:eastAsia="Palatino Linotype" w:hAnsi="Palatino Linotype" w:cs="Palatino Linotype"/>
        </w:rPr>
        <w:t xml:space="preserve">, radica en la incapacidad de una autoridad para conocer de un tema o asunto; en el mismo sentido, conviene traer a cuenta tesis aislada número III.2o.P.11 K, publicada en el Semanario Judicial de la Federación y su Gaceta, Novena Época, Tomo XV, Mayo de 2002, Pág. 1243, ya que precisa lo siguiente: </w:t>
      </w:r>
    </w:p>
    <w:p w14:paraId="1F2CA858"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0F42EF7E"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 xml:space="preserve">“LEGITIMACIÓN DE FUNCIONARIOS PÚBLICOS. LOS TRIBUNALES DE AMPARO, POR ESTAR VINCULADOS CON EL CONCEPTO DE COMPETENCIA A QUE SE REFIERE EL ARTÍCULO 16 CONSTITUCIONAL, NO PUEDEN CONOCER DE AQUÉLLA. </w:t>
      </w:r>
      <w:r w:rsidRPr="00CD7D2A">
        <w:rPr>
          <w:rFonts w:ascii="Palatino Linotype" w:eastAsia="Palatino Linotype" w:hAnsi="Palatino Linotype" w:cs="Palatino Linotype"/>
          <w:i/>
          <w:sz w:val="22"/>
          <w:szCs w:val="22"/>
        </w:rPr>
        <w:t>El artículo </w:t>
      </w:r>
      <w:hyperlink r:id="rId9">
        <w:r w:rsidRPr="00CD7D2A">
          <w:rPr>
            <w:rFonts w:ascii="Palatino Linotype" w:eastAsia="Palatino Linotype" w:hAnsi="Palatino Linotype" w:cs="Palatino Linotype"/>
            <w:i/>
            <w:sz w:val="22"/>
            <w:szCs w:val="22"/>
            <w:u w:val="single"/>
          </w:rPr>
          <w:t>16 constitucional</w:t>
        </w:r>
      </w:hyperlink>
      <w:r w:rsidRPr="00CD7D2A">
        <w:rPr>
          <w:rFonts w:ascii="Palatino Linotype" w:eastAsia="Palatino Linotype" w:hAnsi="Palatino Linotype" w:cs="Palatino Linotype"/>
          <w:i/>
          <w:sz w:val="22"/>
          <w:szCs w:val="22"/>
        </w:rPr>
        <w:t xml:space="preserve"> se refiere a la competencia que tienen las autoridades para conocer de determinadas conductas en particular, caso que corresponde a la esfera de atribuciones de </w:t>
      </w:r>
      <w:r w:rsidRPr="00CD7D2A">
        <w:rPr>
          <w:rFonts w:ascii="Palatino Linotype" w:eastAsia="Palatino Linotype" w:hAnsi="Palatino Linotype" w:cs="Palatino Linotype"/>
          <w:i/>
          <w:sz w:val="22"/>
          <w:szCs w:val="22"/>
        </w:rPr>
        <w:lastRenderedPageBreak/>
        <w:t>las autoridades cuya competencia constituye el análisis del Poder Judicial de la Federación, mas no la forma en que una autoridad fue elegida o integrada, circunstancia que le compete estudiar a la autoridad individual o colegiada que otorgó el nombramiento o, en todo caso, el régimen establecido para ello, porque el precitado artículo constitucional no se refiere a la legitimación de un funcionario, ni a la manera como se incorpora a la función pública, sino a los límites fijados para la actuación del órgano frente a los particulares, ya que consagra una garantía individual y no un control interno de la organización administrativa.”</w:t>
      </w:r>
    </w:p>
    <w:p w14:paraId="15EA7F1B" w14:textId="77777777" w:rsidR="00A45F42" w:rsidRPr="00CD7D2A" w:rsidRDefault="00A45F42">
      <w:pPr>
        <w:spacing w:line="360" w:lineRule="auto"/>
        <w:ind w:left="-425" w:right="-787"/>
        <w:jc w:val="both"/>
        <w:rPr>
          <w:rFonts w:ascii="Palatino Linotype" w:eastAsia="Palatino Linotype" w:hAnsi="Palatino Linotype" w:cs="Palatino Linotype"/>
          <w:b/>
        </w:rPr>
      </w:pPr>
    </w:p>
    <w:p w14:paraId="601AE97A"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32.</w:t>
      </w:r>
      <w:r w:rsidRPr="00CD7D2A">
        <w:rPr>
          <w:rFonts w:ascii="Palatino Linotype" w:eastAsia="Palatino Linotype" w:hAnsi="Palatino Linotype" w:cs="Palatino Linotype"/>
        </w:rPr>
        <w:t xml:space="preserve"> De la misma manera, resulta necesario traer a colación, el Criterio 13/17, emitido por el Instituto Nacional de Transparencia, Acceso a la Información y Protección de Datos Personales, que dispone lo siguiente: </w:t>
      </w:r>
    </w:p>
    <w:p w14:paraId="037BCFC8"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3FDED2B2" w14:textId="77777777" w:rsidR="00A45F42" w:rsidRPr="00CD7D2A" w:rsidRDefault="000E551E">
      <w:pPr>
        <w:spacing w:line="360" w:lineRule="auto"/>
        <w:ind w:left="425" w:right="-787"/>
        <w:jc w:val="both"/>
        <w:rPr>
          <w:rFonts w:ascii="Palatino Linotype" w:eastAsia="Palatino Linotype" w:hAnsi="Palatino Linotype" w:cs="Palatino Linotype"/>
          <w:i/>
        </w:rPr>
      </w:pPr>
      <w:r w:rsidRPr="00CD7D2A">
        <w:rPr>
          <w:rFonts w:ascii="Palatino Linotype" w:eastAsia="Palatino Linotype" w:hAnsi="Palatino Linotype" w:cs="Palatino Linotype"/>
          <w:i/>
        </w:rPr>
        <w:t>“</w:t>
      </w:r>
      <w:r w:rsidRPr="00CD7D2A">
        <w:rPr>
          <w:rFonts w:ascii="Palatino Linotype" w:eastAsia="Palatino Linotype" w:hAnsi="Palatino Linotype" w:cs="Palatino Linotype"/>
          <w:b/>
          <w:i/>
        </w:rPr>
        <w:t xml:space="preserve">Incompetencia. </w:t>
      </w:r>
      <w:r w:rsidRPr="00CD7D2A">
        <w:rPr>
          <w:rFonts w:ascii="Palatino Linotype" w:eastAsia="Palatino Linotype" w:hAnsi="Palatino Linotype" w:cs="Palatino Linotype"/>
          <w:i/>
        </w:rPr>
        <w:t>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6245C27D" w14:textId="77777777" w:rsidR="00A45F42" w:rsidRPr="00CD7D2A" w:rsidRDefault="00A45F42">
      <w:pPr>
        <w:spacing w:line="360" w:lineRule="auto"/>
        <w:ind w:right="-787"/>
        <w:jc w:val="both"/>
        <w:rPr>
          <w:rFonts w:ascii="Palatino Linotype" w:eastAsia="Palatino Linotype" w:hAnsi="Palatino Linotype" w:cs="Palatino Linotype"/>
        </w:rPr>
      </w:pPr>
    </w:p>
    <w:p w14:paraId="29432EB9"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33. </w:t>
      </w:r>
      <w:r w:rsidRPr="00CD7D2A">
        <w:rPr>
          <w:rFonts w:ascii="Palatino Linotype" w:eastAsia="Palatino Linotype" w:hAnsi="Palatino Linotype" w:cs="Palatino Linotype"/>
        </w:rPr>
        <w:t xml:space="preserve">En tal virtud, la </w:t>
      </w:r>
      <w:r w:rsidRPr="00CD7D2A">
        <w:rPr>
          <w:rFonts w:ascii="Palatino Linotype" w:eastAsia="Palatino Linotype" w:hAnsi="Palatino Linotype" w:cs="Palatino Linotype"/>
          <w:b/>
        </w:rPr>
        <w:t xml:space="preserve">incompetencia </w:t>
      </w:r>
      <w:r w:rsidRPr="00CD7D2A">
        <w:rPr>
          <w:rFonts w:ascii="Palatino Linotype" w:eastAsia="Palatino Linotype" w:hAnsi="Palatino Linotype" w:cs="Palatino Linotype"/>
        </w:rPr>
        <w:t>implica que, de conformidad con las atribuciones conferidas al sujeto obligado, no habría razón por la cual este debe contar con la información solicitada, en cuyo caso, tendría que orientar al particular para que acuda a la instancia competente.</w:t>
      </w:r>
    </w:p>
    <w:p w14:paraId="1164259C"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4A038034"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34.</w:t>
      </w:r>
      <w:r w:rsidRPr="00CD7D2A">
        <w:rPr>
          <w:rFonts w:ascii="Palatino Linotype" w:eastAsia="Palatino Linotype" w:hAnsi="Palatino Linotype" w:cs="Palatino Linotype"/>
        </w:rPr>
        <w:t xml:space="preserve"> Ahora bien, en cuanto hace a la Declaración de Incompetencia la Ley de Transparencia y Acceso a la Información Pública del Estado de México, establece, en los artículos 49, fracción II y 167, lo siguiente: </w:t>
      </w:r>
    </w:p>
    <w:p w14:paraId="035A1D04"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3317D8ED" w14:textId="77777777" w:rsidR="00A45F42" w:rsidRPr="00CD7D2A" w:rsidRDefault="000E551E">
      <w:pPr>
        <w:spacing w:line="360" w:lineRule="auto"/>
        <w:ind w:left="283" w:right="-79"/>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r w:rsidRPr="00CD7D2A">
        <w:rPr>
          <w:rFonts w:ascii="Palatino Linotype" w:eastAsia="Palatino Linotype" w:hAnsi="Palatino Linotype" w:cs="Palatino Linotype"/>
          <w:b/>
          <w:i/>
          <w:sz w:val="22"/>
          <w:szCs w:val="22"/>
        </w:rPr>
        <w:t>Artículo 49.</w:t>
      </w:r>
      <w:r w:rsidRPr="00CD7D2A">
        <w:rPr>
          <w:rFonts w:ascii="Palatino Linotype" w:eastAsia="Palatino Linotype" w:hAnsi="Palatino Linotype" w:cs="Palatino Linotype"/>
          <w:i/>
          <w:sz w:val="22"/>
          <w:szCs w:val="22"/>
        </w:rPr>
        <w:t xml:space="preserve"> </w:t>
      </w:r>
      <w:r w:rsidRPr="00CD7D2A">
        <w:rPr>
          <w:rFonts w:ascii="Palatino Linotype" w:eastAsia="Palatino Linotype" w:hAnsi="Palatino Linotype" w:cs="Palatino Linotype"/>
          <w:b/>
          <w:i/>
          <w:sz w:val="22"/>
          <w:szCs w:val="22"/>
        </w:rPr>
        <w:t>Los Comités de Transparencia</w:t>
      </w:r>
      <w:r w:rsidRPr="00CD7D2A">
        <w:rPr>
          <w:rFonts w:ascii="Palatino Linotype" w:eastAsia="Palatino Linotype" w:hAnsi="Palatino Linotype" w:cs="Palatino Linotype"/>
          <w:i/>
          <w:sz w:val="22"/>
          <w:szCs w:val="22"/>
        </w:rPr>
        <w:t xml:space="preserve"> tendrán las siguientes atribuciones:</w:t>
      </w:r>
    </w:p>
    <w:p w14:paraId="34E9D7F6" w14:textId="77777777" w:rsidR="00A45F42" w:rsidRPr="00CD7D2A" w:rsidRDefault="000E551E">
      <w:pPr>
        <w:spacing w:line="360" w:lineRule="auto"/>
        <w:ind w:left="283" w:right="-79"/>
        <w:jc w:val="both"/>
        <w:rPr>
          <w:rFonts w:ascii="Palatino Linotype" w:eastAsia="Palatino Linotype" w:hAnsi="Palatino Linotype" w:cs="Palatino Linotype"/>
          <w:b/>
          <w:i/>
          <w:sz w:val="22"/>
          <w:szCs w:val="22"/>
        </w:rPr>
      </w:pPr>
      <w:r w:rsidRPr="00CD7D2A">
        <w:rPr>
          <w:rFonts w:ascii="Palatino Linotype" w:eastAsia="Palatino Linotype" w:hAnsi="Palatino Linotype" w:cs="Palatino Linotype"/>
          <w:b/>
          <w:i/>
          <w:sz w:val="22"/>
          <w:szCs w:val="22"/>
        </w:rPr>
        <w:t>...</w:t>
      </w:r>
    </w:p>
    <w:p w14:paraId="0A0EC65F" w14:textId="77777777" w:rsidR="00A45F42" w:rsidRPr="00CD7D2A" w:rsidRDefault="000E551E">
      <w:pPr>
        <w:spacing w:line="360" w:lineRule="auto"/>
        <w:ind w:left="283" w:right="-79"/>
        <w:jc w:val="both"/>
        <w:rPr>
          <w:rFonts w:ascii="Palatino Linotype" w:eastAsia="Palatino Linotype" w:hAnsi="Palatino Linotype" w:cs="Palatino Linotype"/>
          <w:b/>
          <w:i/>
          <w:sz w:val="22"/>
          <w:szCs w:val="22"/>
          <w:u w:val="single"/>
        </w:rPr>
      </w:pPr>
      <w:r w:rsidRPr="00CD7D2A">
        <w:rPr>
          <w:rFonts w:ascii="Palatino Linotype" w:eastAsia="Palatino Linotype" w:hAnsi="Palatino Linotype" w:cs="Palatino Linotype"/>
          <w:b/>
          <w:i/>
          <w:sz w:val="22"/>
          <w:szCs w:val="22"/>
        </w:rPr>
        <w:t>II.</w:t>
      </w:r>
      <w:r w:rsidRPr="00CD7D2A">
        <w:rPr>
          <w:rFonts w:ascii="Palatino Linotype" w:eastAsia="Palatino Linotype" w:hAnsi="Palatino Linotype" w:cs="Palatino Linotype"/>
          <w:sz w:val="22"/>
          <w:szCs w:val="22"/>
        </w:rPr>
        <w:t xml:space="preserve"> </w:t>
      </w:r>
      <w:r w:rsidRPr="00CD7D2A">
        <w:rPr>
          <w:rFonts w:ascii="Palatino Linotype" w:eastAsia="Palatino Linotype" w:hAnsi="Palatino Linotype" w:cs="Palatino Linotype"/>
          <w:b/>
          <w:i/>
          <w:sz w:val="22"/>
          <w:szCs w:val="22"/>
        </w:rPr>
        <w:t>Confirmar, modificar o revocar</w:t>
      </w:r>
      <w:r w:rsidRPr="00CD7D2A">
        <w:rPr>
          <w:rFonts w:ascii="Palatino Linotype" w:eastAsia="Palatino Linotype" w:hAnsi="Palatino Linotype" w:cs="Palatino Linotype"/>
          <w:i/>
          <w:sz w:val="22"/>
          <w:szCs w:val="22"/>
        </w:rPr>
        <w:t xml:space="preserve"> las determinaciones que en materia de ampliación del plazo de respuesta, clasificación de la información </w:t>
      </w:r>
      <w:r w:rsidRPr="00CD7D2A">
        <w:rPr>
          <w:rFonts w:ascii="Palatino Linotype" w:eastAsia="Palatino Linotype" w:hAnsi="Palatino Linotype" w:cs="Palatino Linotype"/>
          <w:b/>
          <w:i/>
          <w:sz w:val="22"/>
          <w:szCs w:val="22"/>
        </w:rPr>
        <w:t>y declaración</w:t>
      </w:r>
      <w:r w:rsidRPr="00CD7D2A">
        <w:rPr>
          <w:rFonts w:ascii="Palatino Linotype" w:eastAsia="Palatino Linotype" w:hAnsi="Palatino Linotype" w:cs="Palatino Linotype"/>
          <w:i/>
          <w:sz w:val="22"/>
          <w:szCs w:val="22"/>
        </w:rPr>
        <w:t xml:space="preserve"> de inexistencia o </w:t>
      </w:r>
      <w:r w:rsidRPr="00CD7D2A">
        <w:rPr>
          <w:rFonts w:ascii="Palatino Linotype" w:eastAsia="Palatino Linotype" w:hAnsi="Palatino Linotype" w:cs="Palatino Linotype"/>
          <w:b/>
          <w:i/>
          <w:sz w:val="22"/>
          <w:szCs w:val="22"/>
        </w:rPr>
        <w:t>de incompetencia realicen los titulares de las áreas de los sujetos obligados;</w:t>
      </w:r>
    </w:p>
    <w:p w14:paraId="73DCE15B" w14:textId="77777777" w:rsidR="00A45F42" w:rsidRPr="00CD7D2A" w:rsidRDefault="000E551E">
      <w:pPr>
        <w:spacing w:line="360" w:lineRule="auto"/>
        <w:ind w:left="283" w:right="-79"/>
        <w:jc w:val="both"/>
        <w:rPr>
          <w:rFonts w:ascii="Palatino Linotype" w:eastAsia="Palatino Linotype" w:hAnsi="Palatino Linotype" w:cs="Palatino Linotype"/>
          <w:b/>
          <w:i/>
          <w:sz w:val="22"/>
          <w:szCs w:val="22"/>
        </w:rPr>
      </w:pPr>
      <w:r w:rsidRPr="00CD7D2A">
        <w:rPr>
          <w:rFonts w:ascii="Palatino Linotype" w:eastAsia="Palatino Linotype" w:hAnsi="Palatino Linotype" w:cs="Palatino Linotype"/>
          <w:b/>
          <w:i/>
          <w:sz w:val="22"/>
          <w:szCs w:val="22"/>
        </w:rPr>
        <w:t>...</w:t>
      </w:r>
    </w:p>
    <w:p w14:paraId="7BBE5EC2" w14:textId="77777777" w:rsidR="00A45F42" w:rsidRPr="00CD7D2A" w:rsidRDefault="000E551E">
      <w:pPr>
        <w:spacing w:line="360" w:lineRule="auto"/>
        <w:ind w:left="283" w:right="-79"/>
        <w:jc w:val="both"/>
        <w:rPr>
          <w:rFonts w:ascii="Palatino Linotype" w:eastAsia="Palatino Linotype" w:hAnsi="Palatino Linotype" w:cs="Palatino Linotype"/>
          <w:b/>
          <w:i/>
          <w:sz w:val="22"/>
          <w:szCs w:val="22"/>
        </w:rPr>
      </w:pPr>
      <w:r w:rsidRPr="00CD7D2A">
        <w:rPr>
          <w:rFonts w:ascii="Palatino Linotype" w:eastAsia="Palatino Linotype" w:hAnsi="Palatino Linotype" w:cs="Palatino Linotype"/>
          <w:b/>
          <w:i/>
          <w:sz w:val="22"/>
          <w:szCs w:val="22"/>
        </w:rPr>
        <w:t>Artículo 167</w:t>
      </w:r>
      <w:r w:rsidRPr="00CD7D2A">
        <w:rPr>
          <w:rFonts w:ascii="Palatino Linotype" w:eastAsia="Palatino Linotype" w:hAnsi="Palatino Linotype" w:cs="Palatino Linotype"/>
          <w:i/>
          <w:sz w:val="22"/>
          <w:szCs w:val="22"/>
        </w:rPr>
        <w:t xml:space="preserve">. </w:t>
      </w:r>
      <w:r w:rsidRPr="00CD7D2A">
        <w:rPr>
          <w:rFonts w:ascii="Palatino Linotype" w:eastAsia="Palatino Linotype" w:hAnsi="Palatino Linotype" w:cs="Palatino Linotype"/>
          <w:b/>
          <w:i/>
          <w:sz w:val="22"/>
          <w:szCs w:val="22"/>
        </w:rPr>
        <w:t>Cuando las unidades de transparencia determinen la notoria incompetencia</w:t>
      </w:r>
      <w:r w:rsidRPr="00CD7D2A">
        <w:rPr>
          <w:rFonts w:ascii="Palatino Linotype" w:eastAsia="Palatino Linotype" w:hAnsi="Palatino Linotype" w:cs="Palatino Linotype"/>
          <w:i/>
          <w:sz w:val="22"/>
          <w:szCs w:val="22"/>
        </w:rPr>
        <w:t xml:space="preserve"> por parte de los sujetos obligados, dentro del ámbito de aplicación, para atender la solicitud de acceso a la información, </w:t>
      </w:r>
      <w:r w:rsidRPr="00CD7D2A">
        <w:rPr>
          <w:rFonts w:ascii="Palatino Linotype" w:eastAsia="Palatino Linotype" w:hAnsi="Palatino Linotype" w:cs="Palatino Linotype"/>
          <w:b/>
          <w:i/>
          <w:sz w:val="22"/>
          <w:szCs w:val="22"/>
        </w:rPr>
        <w:t>deberán comunicarlo al solicitante, dentro de los tres días hábiles posteriores a la recepción de la solicitud</w:t>
      </w:r>
      <w:r w:rsidRPr="00CD7D2A">
        <w:rPr>
          <w:rFonts w:ascii="Palatino Linotype" w:eastAsia="Palatino Linotype" w:hAnsi="Palatino Linotype" w:cs="Palatino Linotype"/>
          <w:i/>
          <w:sz w:val="22"/>
          <w:szCs w:val="22"/>
        </w:rPr>
        <w:t xml:space="preserve"> y, </w:t>
      </w:r>
      <w:r w:rsidRPr="00CD7D2A">
        <w:rPr>
          <w:rFonts w:ascii="Palatino Linotype" w:eastAsia="Palatino Linotype" w:hAnsi="Palatino Linotype" w:cs="Palatino Linotype"/>
          <w:b/>
          <w:i/>
          <w:sz w:val="22"/>
          <w:szCs w:val="22"/>
        </w:rPr>
        <w:t>en su caso orientar al solicitante, el o los sujetos obligados competentes.</w:t>
      </w:r>
    </w:p>
    <w:p w14:paraId="51463EAC" w14:textId="77777777" w:rsidR="00A45F42" w:rsidRPr="00CD7D2A" w:rsidRDefault="00A45F42">
      <w:pPr>
        <w:tabs>
          <w:tab w:val="left" w:pos="142"/>
          <w:tab w:val="left" w:pos="284"/>
        </w:tabs>
        <w:spacing w:line="360" w:lineRule="auto"/>
        <w:ind w:left="-425" w:right="-787"/>
        <w:jc w:val="both"/>
        <w:rPr>
          <w:rFonts w:ascii="Palatino Linotype" w:eastAsia="Palatino Linotype" w:hAnsi="Palatino Linotype" w:cs="Palatino Linotype"/>
          <w:b/>
          <w:i/>
        </w:rPr>
      </w:pPr>
    </w:p>
    <w:p w14:paraId="0EDF329D"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35. </w:t>
      </w:r>
      <w:r w:rsidRPr="00CD7D2A">
        <w:rPr>
          <w:rFonts w:ascii="Palatino Linotype" w:eastAsia="Palatino Linotype" w:hAnsi="Palatino Linotype" w:cs="Palatino Linotype"/>
        </w:rPr>
        <w:t xml:space="preserve">De los preceptos citados se desprende que es atribución del Comité de Transparencia confirmar, modificar o revocar, en su caso, la declaración de incompetencia, en aquellos casos en los que no se trate de una notoria incompetencia, para lo cual deberán comunicarlo dentro de los tres días hábiles posteriores a la recepción de la solicitud y, en su caso, orientar al solicitante respecto de los sujetos obligados competentes. </w:t>
      </w:r>
    </w:p>
    <w:p w14:paraId="23A57A9E" w14:textId="77777777" w:rsidR="00A45F42" w:rsidRPr="00CD7D2A" w:rsidRDefault="00A45F42">
      <w:pPr>
        <w:spacing w:line="360" w:lineRule="auto"/>
        <w:ind w:right="-787"/>
        <w:jc w:val="both"/>
        <w:rPr>
          <w:rFonts w:ascii="Palatino Linotype" w:eastAsia="Palatino Linotype" w:hAnsi="Palatino Linotype" w:cs="Palatino Linotype"/>
        </w:rPr>
      </w:pPr>
    </w:p>
    <w:p w14:paraId="1E5DC11D"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36. </w:t>
      </w:r>
      <w:r w:rsidRPr="00CD7D2A">
        <w:rPr>
          <w:rFonts w:ascii="Palatino Linotype" w:eastAsia="Palatino Linotype" w:hAnsi="Palatino Linotype" w:cs="Palatino Linotype"/>
        </w:rPr>
        <w:t>Contexto que si bien en el presente caso se actualiza, no es dable tomar en consideración para efecto de este Órgano Garante confirma la incompetencia, en razón de las siguientes consideraciones.</w:t>
      </w:r>
    </w:p>
    <w:p w14:paraId="0DC6347A" w14:textId="77777777" w:rsidR="00A45F42" w:rsidRPr="00CD7D2A" w:rsidRDefault="00A45F42">
      <w:pPr>
        <w:tabs>
          <w:tab w:val="left" w:pos="142"/>
          <w:tab w:val="left" w:pos="284"/>
        </w:tabs>
        <w:spacing w:line="360" w:lineRule="auto"/>
        <w:ind w:left="-425" w:right="-787"/>
        <w:jc w:val="both"/>
        <w:rPr>
          <w:rFonts w:ascii="Palatino Linotype" w:eastAsia="Palatino Linotype" w:hAnsi="Palatino Linotype" w:cs="Palatino Linotype"/>
        </w:rPr>
      </w:pPr>
    </w:p>
    <w:p w14:paraId="07D7F5FB"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lastRenderedPageBreak/>
        <w:t>37.</w:t>
      </w:r>
      <w:r w:rsidRPr="00CD7D2A">
        <w:rPr>
          <w:rFonts w:ascii="Palatino Linotype" w:eastAsia="Palatino Linotype" w:hAnsi="Palatino Linotype" w:cs="Palatino Linotype"/>
        </w:rPr>
        <w:t xml:space="preserve"> Primeramente, referir que el Centro de Control de Confianza del Estado de México al cual se declina la competencia en la respuesta inicial, es un organismo público descentralizado, con personalidad jurídica y patrimonio propios, sectorizado de la Secretaría de Seguridad, cuyo objeto es realizar las evaluaciones permanentes de control de confianza, de desempeño, poligrafía, entorno social y psicológico, así como exámenes toxicológicos a los aspirante e integrantes de las instituciones de seguridad pública y privada, estatal y municipal, a fin de emitir la certificación correspondiente.</w:t>
      </w:r>
    </w:p>
    <w:p w14:paraId="03044081" w14:textId="77777777" w:rsidR="00A45F42" w:rsidRPr="00CD7D2A" w:rsidRDefault="00A45F42">
      <w:pPr>
        <w:spacing w:line="360" w:lineRule="auto"/>
        <w:ind w:left="-566" w:right="-787"/>
        <w:jc w:val="both"/>
        <w:rPr>
          <w:rFonts w:ascii="Palatino Linotype" w:eastAsia="Palatino Linotype" w:hAnsi="Palatino Linotype" w:cs="Palatino Linotype"/>
        </w:rPr>
      </w:pPr>
    </w:p>
    <w:p w14:paraId="552B4FAE"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38.</w:t>
      </w:r>
      <w:r w:rsidRPr="00CD7D2A">
        <w:rPr>
          <w:rFonts w:ascii="Palatino Linotype" w:eastAsia="Palatino Linotype" w:hAnsi="Palatino Linotype" w:cs="Palatino Linotype"/>
        </w:rPr>
        <w:t xml:space="preserve"> En ese contexto, el artículo 5°, fracciones VIII, IX y X, de la Ley General del Sistema Nacional de Seguridad Pública y el diverso 6°, fracciones XI y XII, de la Ley de Seguridad del Estado de México, establece lo siguiente:</w:t>
      </w:r>
    </w:p>
    <w:p w14:paraId="799CB69A" w14:textId="77777777" w:rsidR="00A45F42" w:rsidRPr="00CD7D2A" w:rsidRDefault="00A45F42">
      <w:pPr>
        <w:spacing w:line="360" w:lineRule="auto"/>
        <w:ind w:left="-566" w:right="-787"/>
        <w:jc w:val="both"/>
        <w:rPr>
          <w:rFonts w:ascii="Palatino Linotype" w:eastAsia="Palatino Linotype" w:hAnsi="Palatino Linotype" w:cs="Palatino Linotype"/>
        </w:rPr>
      </w:pPr>
    </w:p>
    <w:p w14:paraId="0C163479" w14:textId="77777777" w:rsidR="00A45F42" w:rsidRPr="00CD7D2A" w:rsidRDefault="000E551E">
      <w:pPr>
        <w:numPr>
          <w:ilvl w:val="0"/>
          <w:numId w:val="6"/>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b/>
          <w:sz w:val="22"/>
          <w:szCs w:val="22"/>
        </w:rPr>
        <w:t>Instituciones Policiales:</w:t>
      </w:r>
      <w:r w:rsidRPr="00CD7D2A">
        <w:rPr>
          <w:rFonts w:ascii="Palatino Linotype" w:eastAsia="Palatino Linotype" w:hAnsi="Palatino Linotype" w:cs="Palatino Linotype"/>
          <w:sz w:val="22"/>
          <w:szCs w:val="22"/>
        </w:rPr>
        <w:t xml:space="preserve"> Son los cuerpos de policía, de vigilancia y custodia de los establecimientos penitenciarios, detención preventiva, centros de arraigo y en general, todas las dependencias encargadas de la seguridad pública a nivel federal, estatal y municipal.</w:t>
      </w:r>
    </w:p>
    <w:p w14:paraId="4AE7C99E" w14:textId="77777777" w:rsidR="00A45F42" w:rsidRPr="00CD7D2A" w:rsidRDefault="000E551E">
      <w:pPr>
        <w:numPr>
          <w:ilvl w:val="0"/>
          <w:numId w:val="6"/>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b/>
          <w:sz w:val="22"/>
          <w:szCs w:val="22"/>
        </w:rPr>
        <w:t xml:space="preserve">Instituciones de Procuración de Justicia: </w:t>
      </w:r>
      <w:r w:rsidRPr="00CD7D2A">
        <w:rPr>
          <w:rFonts w:ascii="Palatino Linotype" w:eastAsia="Palatino Linotype" w:hAnsi="Palatino Linotype" w:cs="Palatino Linotype"/>
          <w:sz w:val="22"/>
          <w:szCs w:val="22"/>
        </w:rPr>
        <w:t>Son aquellas de la Federación y Entidades Federativas que integran el Ministerio Público, los servicios periciales, policías de investigación y auxiliares.</w:t>
      </w:r>
    </w:p>
    <w:p w14:paraId="392E8D10" w14:textId="77777777" w:rsidR="00A45F42" w:rsidRPr="00CD7D2A" w:rsidRDefault="000E551E">
      <w:pPr>
        <w:numPr>
          <w:ilvl w:val="0"/>
          <w:numId w:val="6"/>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b/>
          <w:sz w:val="22"/>
          <w:szCs w:val="22"/>
        </w:rPr>
        <w:t>Instituciones de Seguridad Pública:</w:t>
      </w:r>
      <w:r w:rsidRPr="00CD7D2A">
        <w:rPr>
          <w:rFonts w:ascii="Palatino Linotype" w:eastAsia="Palatino Linotype" w:hAnsi="Palatino Linotype" w:cs="Palatino Linotype"/>
          <w:sz w:val="22"/>
          <w:szCs w:val="22"/>
        </w:rPr>
        <w:t xml:space="preserve"> Instituciones Policiales, de Procuración de Justicia, del Sistema Penitenciario y dependencias encargadas de la seguridad pública a nivel federal, estatal y municipal.</w:t>
      </w:r>
    </w:p>
    <w:p w14:paraId="49E67069"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28733E91"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39.</w:t>
      </w:r>
      <w:r w:rsidRPr="00CD7D2A">
        <w:rPr>
          <w:rFonts w:ascii="Palatino Linotype" w:eastAsia="Palatino Linotype" w:hAnsi="Palatino Linotype" w:cs="Palatino Linotype"/>
        </w:rPr>
        <w:t xml:space="preserve"> Sobre lo anterior, el Instructivo de llenado del Formato “Personal de Seguridad Pública”, del</w:t>
      </w:r>
    </w:p>
    <w:p w14:paraId="68341305"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rPr>
        <w:lastRenderedPageBreak/>
        <w:t xml:space="preserve">Secretariado Ejecutivo del Sistema Nacional de Seguridad Pública (consultado, en la liga </w:t>
      </w:r>
      <w:r w:rsidRPr="00CD7D2A">
        <w:rPr>
          <w:rFonts w:ascii="Palatino Linotype" w:eastAsia="Palatino Linotype" w:hAnsi="Palatino Linotype" w:cs="Palatino Linotype"/>
          <w:color w:val="0563C1"/>
          <w:u w:val="single"/>
        </w:rPr>
        <w:t>http://secretariadoejecutivo.gob.mx/work/models/SecretariadoEjecutivo/Resource/328/1/images/instructivo_final_edo_</w:t>
      </w:r>
      <w:proofErr w:type="gramStart"/>
      <w:r w:rsidRPr="00CD7D2A">
        <w:rPr>
          <w:rFonts w:ascii="Palatino Linotype" w:eastAsia="Palatino Linotype" w:hAnsi="Palatino Linotype" w:cs="Palatino Linotype"/>
          <w:color w:val="0563C1"/>
          <w:u w:val="single"/>
        </w:rPr>
        <w:t>fuerza(</w:t>
      </w:r>
      <w:proofErr w:type="gramEnd"/>
      <w:r w:rsidRPr="00CD7D2A">
        <w:rPr>
          <w:rFonts w:ascii="Palatino Linotype" w:eastAsia="Palatino Linotype" w:hAnsi="Palatino Linotype" w:cs="Palatino Linotype"/>
          <w:color w:val="0563C1"/>
          <w:u w:val="single"/>
        </w:rPr>
        <w:t>1).pdf</w:t>
      </w:r>
      <w:r w:rsidRPr="00CD7D2A">
        <w:rPr>
          <w:rFonts w:ascii="Palatino Linotype" w:eastAsia="Palatino Linotype" w:hAnsi="Palatino Linotype" w:cs="Palatino Linotype"/>
        </w:rPr>
        <w:t>, el primero de marzo de dos mil veintidós, a las diez horas), establece que las instituciones de seguridad pública, se integran por los siguientes categorizaciones de puestos:</w:t>
      </w:r>
    </w:p>
    <w:p w14:paraId="30CA988F"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674B7572" w14:textId="77777777" w:rsidR="00A45F42" w:rsidRPr="00CD7D2A" w:rsidRDefault="000E551E">
      <w:pPr>
        <w:numPr>
          <w:ilvl w:val="0"/>
          <w:numId w:val="7"/>
        </w:numPr>
        <w:pBdr>
          <w:top w:val="nil"/>
          <w:left w:val="nil"/>
          <w:bottom w:val="nil"/>
          <w:right w:val="nil"/>
          <w:between w:val="nil"/>
        </w:pBdr>
        <w:spacing w:line="360" w:lineRule="auto"/>
        <w:ind w:left="141" w:right="-79" w:firstLine="0"/>
        <w:jc w:val="both"/>
        <w:rPr>
          <w:rFonts w:ascii="Palatino Linotype" w:eastAsia="Palatino Linotype" w:hAnsi="Palatino Linotype" w:cs="Palatino Linotype"/>
          <w:b/>
          <w:color w:val="000000"/>
          <w:sz w:val="22"/>
          <w:szCs w:val="22"/>
        </w:rPr>
      </w:pPr>
      <w:r w:rsidRPr="00CD7D2A">
        <w:rPr>
          <w:rFonts w:ascii="Palatino Linotype" w:eastAsia="Palatino Linotype" w:hAnsi="Palatino Linotype" w:cs="Palatino Linotype"/>
          <w:b/>
          <w:color w:val="000000"/>
          <w:sz w:val="22"/>
          <w:szCs w:val="22"/>
        </w:rPr>
        <w:t xml:space="preserve">Mando: </w:t>
      </w:r>
      <w:r w:rsidRPr="00CD7D2A">
        <w:rPr>
          <w:rFonts w:ascii="Palatino Linotype" w:eastAsia="Palatino Linotype" w:hAnsi="Palatino Linotype" w:cs="Palatino Linotype"/>
          <w:color w:val="000000"/>
          <w:sz w:val="22"/>
          <w:szCs w:val="22"/>
        </w:rPr>
        <w:t>Se conforma por el personal con funciones de dirección, coordinación y supervisión, es decir, los altos mandos y mandos medios y superiores.</w:t>
      </w:r>
    </w:p>
    <w:p w14:paraId="54E58BE7" w14:textId="77777777" w:rsidR="00A45F42" w:rsidRPr="00CD7D2A" w:rsidRDefault="000E551E">
      <w:pPr>
        <w:numPr>
          <w:ilvl w:val="0"/>
          <w:numId w:val="7"/>
        </w:numPr>
        <w:pBdr>
          <w:top w:val="nil"/>
          <w:left w:val="nil"/>
          <w:bottom w:val="nil"/>
          <w:right w:val="nil"/>
          <w:between w:val="nil"/>
        </w:pBdr>
        <w:spacing w:line="360" w:lineRule="auto"/>
        <w:ind w:left="141" w:right="-79" w:firstLine="0"/>
        <w:jc w:val="both"/>
        <w:rPr>
          <w:rFonts w:ascii="Palatino Linotype" w:eastAsia="Palatino Linotype" w:hAnsi="Palatino Linotype" w:cs="Palatino Linotype"/>
          <w:b/>
          <w:color w:val="000000"/>
          <w:sz w:val="22"/>
          <w:szCs w:val="22"/>
        </w:rPr>
      </w:pPr>
      <w:r w:rsidRPr="00CD7D2A">
        <w:rPr>
          <w:rFonts w:ascii="Palatino Linotype" w:eastAsia="Palatino Linotype" w:hAnsi="Palatino Linotype" w:cs="Palatino Linotype"/>
          <w:b/>
          <w:color w:val="000000"/>
          <w:sz w:val="22"/>
          <w:szCs w:val="22"/>
        </w:rPr>
        <w:t xml:space="preserve">Operativos: </w:t>
      </w:r>
      <w:r w:rsidRPr="00CD7D2A">
        <w:rPr>
          <w:rFonts w:ascii="Palatino Linotype" w:eastAsia="Palatino Linotype" w:hAnsi="Palatino Linotype" w:cs="Palatino Linotype"/>
          <w:color w:val="000000"/>
          <w:sz w:val="22"/>
          <w:szCs w:val="22"/>
        </w:rPr>
        <w:t>Integrado por el personal que desempeña funciones de campo (policiacas, especializadas y no tienen funciones de mando), tales como la Policía Ministerial, Judicial, Estatal Preventiva, Municipal, escoltas, grupos antisecuestro, terrorismo, inteligencia, grupos de reacción o equivalentes.</w:t>
      </w:r>
    </w:p>
    <w:p w14:paraId="0534EF91" w14:textId="77777777" w:rsidR="00A45F42" w:rsidRPr="00CD7D2A" w:rsidRDefault="000E551E">
      <w:pPr>
        <w:numPr>
          <w:ilvl w:val="0"/>
          <w:numId w:val="7"/>
        </w:numPr>
        <w:pBdr>
          <w:top w:val="nil"/>
          <w:left w:val="nil"/>
          <w:bottom w:val="nil"/>
          <w:right w:val="nil"/>
          <w:between w:val="nil"/>
        </w:pBdr>
        <w:spacing w:line="360" w:lineRule="auto"/>
        <w:ind w:left="141" w:right="-79" w:firstLine="0"/>
        <w:jc w:val="both"/>
        <w:rPr>
          <w:rFonts w:ascii="Palatino Linotype" w:eastAsia="Palatino Linotype" w:hAnsi="Palatino Linotype" w:cs="Palatino Linotype"/>
          <w:b/>
          <w:color w:val="000000"/>
          <w:sz w:val="22"/>
          <w:szCs w:val="22"/>
        </w:rPr>
      </w:pPr>
      <w:r w:rsidRPr="00CD7D2A">
        <w:rPr>
          <w:rFonts w:ascii="Palatino Linotype" w:eastAsia="Palatino Linotype" w:hAnsi="Palatino Linotype" w:cs="Palatino Linotype"/>
          <w:b/>
          <w:color w:val="000000"/>
          <w:sz w:val="22"/>
          <w:szCs w:val="22"/>
        </w:rPr>
        <w:t xml:space="preserve">Administrativos: </w:t>
      </w:r>
      <w:r w:rsidRPr="00CD7D2A">
        <w:rPr>
          <w:rFonts w:ascii="Palatino Linotype" w:eastAsia="Palatino Linotype" w:hAnsi="Palatino Linotype" w:cs="Palatino Linotype"/>
          <w:color w:val="000000"/>
          <w:sz w:val="22"/>
          <w:szCs w:val="22"/>
        </w:rPr>
        <w:t>Conformado por el personal de apoyo.</w:t>
      </w:r>
    </w:p>
    <w:p w14:paraId="5AD74E90"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10EDCFB2" w14:textId="3DE61BFB"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40. </w:t>
      </w:r>
      <w:r w:rsidRPr="00CD7D2A">
        <w:rPr>
          <w:rFonts w:ascii="Palatino Linotype" w:eastAsia="Palatino Linotype" w:hAnsi="Palatino Linotype" w:cs="Palatino Linotype"/>
        </w:rPr>
        <w:t>De lo citado se logra observar, que los servidores públicos adscritos a la Unidad de Asuntos Internos, para ingresar o permanecer, deben contar con la certificación de control de confianza; además, que el encargado de emitir dicho documento, en la Entidad Federativa, es el Centro de Control de Confianza del Estado de México</w:t>
      </w:r>
      <w:r w:rsidR="007C50F6" w:rsidRPr="00CD7D2A">
        <w:rPr>
          <w:rFonts w:ascii="Palatino Linotype" w:eastAsia="Palatino Linotype" w:hAnsi="Palatino Linotype" w:cs="Palatino Linotype"/>
        </w:rPr>
        <w:t xml:space="preserve">, asimismo a Ley de Seguridad del Estado de México indica en el artículo 221 que los servidores públicos adscritos a la Unidad de Asuntos Internos, </w:t>
      </w:r>
      <w:r w:rsidR="007C50F6" w:rsidRPr="00CD7D2A">
        <w:rPr>
          <w:rFonts w:ascii="Palatino Linotype" w:eastAsia="Palatino Linotype" w:hAnsi="Palatino Linotype" w:cs="Palatino Linotype"/>
          <w:b/>
          <w:bCs/>
        </w:rPr>
        <w:t>sin excepción</w:t>
      </w:r>
      <w:r w:rsidR="007C50F6" w:rsidRPr="00CD7D2A">
        <w:rPr>
          <w:rFonts w:ascii="Palatino Linotype" w:eastAsia="Palatino Linotype" w:hAnsi="Palatino Linotype" w:cs="Palatino Linotype"/>
        </w:rPr>
        <w:t>, deberán someterse a las evaluaciones de confianza establecidas por el Centro de Control de Confianza.</w:t>
      </w:r>
    </w:p>
    <w:p w14:paraId="0E4589ED"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1CC90DA9"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41.</w:t>
      </w:r>
      <w:r w:rsidRPr="00CD7D2A">
        <w:rPr>
          <w:rFonts w:ascii="Palatino Linotype" w:eastAsia="Palatino Linotype" w:hAnsi="Palatino Linotype" w:cs="Palatino Linotype"/>
        </w:rPr>
        <w:t xml:space="preserve"> Ahora bien, es necesario traer a contexto el Manual de Procedimientos de la Unidad de Vinculación y Mejora Continua, que describe al Enlace Institucional de la siguiente manera:</w:t>
      </w:r>
    </w:p>
    <w:p w14:paraId="681DC796"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597EB25D"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“Enlace Institucional.-</w:t>
      </w:r>
      <w:r w:rsidRPr="00CD7D2A">
        <w:rPr>
          <w:rFonts w:ascii="Palatino Linotype" w:eastAsia="Palatino Linotype" w:hAnsi="Palatino Linotype" w:cs="Palatino Linotype"/>
          <w:i/>
          <w:sz w:val="22"/>
          <w:szCs w:val="22"/>
        </w:rPr>
        <w:t xml:space="preserve"> Persona que funge como mecanismo de coordinación entre el solicitante de evaluación y el Centro de Control de Confianza del Estado de México, que permite la operación de la aplicación de las evaluaciones de control de confianza, mediante la recolección de los requisitos previos a la programación hasta la entrega de resultados clasificándose en oficial y habilitado.”</w:t>
      </w:r>
    </w:p>
    <w:p w14:paraId="6C8D70B3"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092977D8"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42.</w:t>
      </w:r>
      <w:r w:rsidRPr="00CD7D2A">
        <w:rPr>
          <w:rFonts w:ascii="Palatino Linotype" w:eastAsia="Palatino Linotype" w:hAnsi="Palatino Linotype" w:cs="Palatino Linotype"/>
        </w:rPr>
        <w:t xml:space="preserve"> Como se observa, el enlace Institucional es el encargado de coordinar entre el solicitante de evaluación y el Centro de Control de Confianza del Estado de México y, su función principal es facilitar el proceso de aplicación de evaluaciones de control de confianza, asegurando que se cumplan todos los requisitos previos, desde la recolección de documentos hasta la entrega de resultados.</w:t>
      </w:r>
    </w:p>
    <w:p w14:paraId="16E753D7"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438825B0"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43. </w:t>
      </w:r>
      <w:r w:rsidRPr="00CD7D2A">
        <w:rPr>
          <w:rFonts w:ascii="Palatino Linotype" w:eastAsia="Palatino Linotype" w:hAnsi="Palatino Linotype" w:cs="Palatino Linotype"/>
        </w:rPr>
        <w:t>En esa tesitura, informa sobre los resultados del proceso al titular de la Unidad de Vinculación y Mejora Continua y se entera e informa al Director General del Centro de Control de Confianza del Estado de México y al Titular de la Institución Pública, Privada, Estatal o Municipal. Como se desprende del Manual de Procedimientos de la Unidad de Vinculación y Mejora Continua, a saber:</w:t>
      </w:r>
    </w:p>
    <w:p w14:paraId="591AAED2"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6FB19EFB" w14:textId="77777777" w:rsidR="00A45F42" w:rsidRPr="00CD7D2A" w:rsidRDefault="000E551E">
      <w:pPr>
        <w:spacing w:line="360" w:lineRule="auto"/>
        <w:ind w:left="-425" w:right="-787"/>
        <w:jc w:val="center"/>
        <w:rPr>
          <w:rFonts w:ascii="Palatino Linotype" w:eastAsia="Palatino Linotype" w:hAnsi="Palatino Linotype" w:cs="Palatino Linotype"/>
        </w:rPr>
      </w:pPr>
      <w:r w:rsidRPr="00CD7D2A">
        <w:rPr>
          <w:rFonts w:ascii="Palatino Linotype" w:eastAsia="Palatino Linotype" w:hAnsi="Palatino Linotype" w:cs="Palatino Linotype"/>
          <w:noProof/>
        </w:rPr>
        <w:lastRenderedPageBreak/>
        <w:drawing>
          <wp:inline distT="0" distB="0" distL="0" distR="0" wp14:anchorId="32D02427" wp14:editId="7607B572">
            <wp:extent cx="3906800" cy="3105372"/>
            <wp:effectExtent l="0" t="0" r="0" b="0"/>
            <wp:docPr id="1741521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906800" cy="3105372"/>
                    </a:xfrm>
                    <a:prstGeom prst="rect">
                      <a:avLst/>
                    </a:prstGeom>
                    <a:ln/>
                  </pic:spPr>
                </pic:pic>
              </a:graphicData>
            </a:graphic>
          </wp:inline>
        </w:drawing>
      </w:r>
    </w:p>
    <w:p w14:paraId="0C2CE438"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313BF483"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44. </w:t>
      </w:r>
      <w:r w:rsidRPr="00CD7D2A">
        <w:rPr>
          <w:rFonts w:ascii="Palatino Linotype" w:eastAsia="Palatino Linotype" w:hAnsi="Palatino Linotype" w:cs="Palatino Linotype"/>
        </w:rPr>
        <w:t>Por otro lado, el Manual General de Organización del Centro de Control de Confianza del Estado de México, establece que la Unidad de Evaluación, será quien emita e integre los resultados como se observa:</w:t>
      </w:r>
    </w:p>
    <w:p w14:paraId="642019F5" w14:textId="77777777" w:rsidR="00A45F42" w:rsidRPr="00CD7D2A" w:rsidRDefault="000E551E">
      <w:pPr>
        <w:spacing w:line="360" w:lineRule="auto"/>
        <w:ind w:left="141" w:right="-220"/>
        <w:jc w:val="both"/>
        <w:rPr>
          <w:rFonts w:ascii="Palatino Linotype" w:eastAsia="Palatino Linotype" w:hAnsi="Palatino Linotype" w:cs="Palatino Linotype"/>
          <w:b/>
          <w:i/>
          <w:sz w:val="22"/>
          <w:szCs w:val="22"/>
        </w:rPr>
      </w:pPr>
      <w:r w:rsidRPr="00CD7D2A">
        <w:rPr>
          <w:rFonts w:ascii="Palatino Linotype" w:eastAsia="Palatino Linotype" w:hAnsi="Palatino Linotype" w:cs="Palatino Linotype"/>
          <w:b/>
          <w:i/>
          <w:sz w:val="22"/>
          <w:szCs w:val="22"/>
        </w:rPr>
        <w:t>“OBJETIVO:</w:t>
      </w:r>
    </w:p>
    <w:p w14:paraId="3E90BA13"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Emitir los resultados finales derivados de los procesos de las evaluaciones de control de confianza a los elementos de seguridad pública y de nuevo ingreso, de conformidad con los criterios y lineamientos vigentes y enviarlos a la instancia respectiva para su conocimiento y atención.</w:t>
      </w:r>
    </w:p>
    <w:p w14:paraId="513F3E39" w14:textId="77777777" w:rsidR="00A45F42" w:rsidRPr="00CD7D2A" w:rsidRDefault="000E551E">
      <w:pPr>
        <w:spacing w:line="360" w:lineRule="auto"/>
        <w:ind w:left="141" w:right="-220"/>
        <w:jc w:val="both"/>
        <w:rPr>
          <w:rFonts w:ascii="Palatino Linotype" w:eastAsia="Palatino Linotype" w:hAnsi="Palatino Linotype" w:cs="Palatino Linotype"/>
          <w:b/>
          <w:i/>
          <w:sz w:val="22"/>
          <w:szCs w:val="22"/>
        </w:rPr>
      </w:pPr>
      <w:r w:rsidRPr="00CD7D2A">
        <w:rPr>
          <w:rFonts w:ascii="Palatino Linotype" w:eastAsia="Palatino Linotype" w:hAnsi="Palatino Linotype" w:cs="Palatino Linotype"/>
          <w:b/>
          <w:i/>
          <w:sz w:val="22"/>
          <w:szCs w:val="22"/>
        </w:rPr>
        <w:t>FUNCIOINES:</w:t>
      </w:r>
    </w:p>
    <w:p w14:paraId="0242E9F3"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 xml:space="preserve">Integrar los resultados finales de las evaluaciones de control de confianza, de conformidad con los criterios y lineamientos emitidos por la Dirección General del Centro de Control de Confianza del Estado de México y por el Centro Nacional de Certificación y Acreditación. </w:t>
      </w:r>
    </w:p>
    <w:p w14:paraId="5C15CF90"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p>
    <w:p w14:paraId="4BC8C1AC"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lastRenderedPageBreak/>
        <w:t xml:space="preserve">- </w:t>
      </w:r>
      <w:r w:rsidRPr="00CD7D2A">
        <w:rPr>
          <w:rFonts w:ascii="Palatino Linotype" w:eastAsia="Palatino Linotype" w:hAnsi="Palatino Linotype" w:cs="Palatino Linotype"/>
          <w:b/>
          <w:i/>
          <w:sz w:val="22"/>
          <w:szCs w:val="22"/>
        </w:rPr>
        <w:t>Informar los resultados emitidos en materia de evaluación a la Unidad de Normatividad, a efecto de que realice las notificaciones correspondientes a las Instituciones de Seguridad Pública</w:t>
      </w:r>
      <w:r w:rsidRPr="00CD7D2A">
        <w:rPr>
          <w:rFonts w:ascii="Palatino Linotype" w:eastAsia="Palatino Linotype" w:hAnsi="Palatino Linotype" w:cs="Palatino Linotype"/>
          <w:i/>
          <w:sz w:val="22"/>
          <w:szCs w:val="22"/>
        </w:rPr>
        <w:t>.”</w:t>
      </w:r>
    </w:p>
    <w:p w14:paraId="6FBAC5B6"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6B3FDC56"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45.</w:t>
      </w:r>
      <w:r w:rsidRPr="00CD7D2A">
        <w:rPr>
          <w:rFonts w:ascii="Palatino Linotype" w:eastAsia="Palatino Linotype" w:hAnsi="Palatino Linotype" w:cs="Palatino Linotype"/>
        </w:rPr>
        <w:t xml:space="preserve"> Como se observa, en el proceso de evaluación de control de confianza, su labor consiste en informar los resultados emitidos en materia de evaluación a la Unidad de Normatividad, con el fin de que esta última lleve a cabo las notificaciones correspondientes a las Instituciones de Seguridad Pública, garantizando que los resultados de las evaluaciones sean comunicados de manera oficial y oportuna, permitiendo que las instituciones tomen decisiones informadas sobre la permanencia o ingreso del personal en las corporaciones de seguridad.</w:t>
      </w:r>
    </w:p>
    <w:p w14:paraId="0BF4CDF3"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498D9CBF" w14:textId="1AFED961"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46.</w:t>
      </w:r>
      <w:r w:rsidRPr="00CD7D2A">
        <w:rPr>
          <w:rFonts w:ascii="Palatino Linotype" w:eastAsia="Palatino Linotype" w:hAnsi="Palatino Linotype" w:cs="Palatino Linotype"/>
        </w:rPr>
        <w:t xml:space="preserve"> Luego entonces, si bien la Unidad de Asuntos Interno, no genera lo solicitado, si lo posee y administra en sus archivos las evaluaciones de control de confianza de mandos medios y superiores porque como ya se estableció, el marco normativo que regula la evaluación de confianza, establece que personal de seguridad pública así como mandos medios y superiores , sean evaluados para garantizar su idoneidad y confiabilidad del personal de seguridad, especialmente en niveles de mando donde las decisiones tienen mayor impacto en la seguridad pública</w:t>
      </w:r>
      <w:r w:rsidR="007C50F6" w:rsidRPr="00CD7D2A">
        <w:rPr>
          <w:rFonts w:ascii="Palatino Linotype" w:eastAsia="Palatino Linotype" w:hAnsi="Palatino Linotype" w:cs="Palatino Linotype"/>
        </w:rPr>
        <w:t>; asimismo, conforme al a</w:t>
      </w:r>
      <w:r w:rsidR="007C50F6" w:rsidRPr="00CD7D2A">
        <w:t>rtículo 221 de la Ley de Seguridad del Estado de México  los servidores públicos adscritos a la Unidad de Asuntos Internos, sin excepción, deberán someterse a las evaluaciones de confianza establecidas por el Centro de Control de Confianza.</w:t>
      </w:r>
    </w:p>
    <w:p w14:paraId="58C33170" w14:textId="77777777" w:rsidR="00A45F42" w:rsidRPr="00CD7D2A" w:rsidRDefault="00A45F42">
      <w:pPr>
        <w:spacing w:line="360" w:lineRule="auto"/>
        <w:ind w:left="-566" w:right="-787"/>
        <w:jc w:val="both"/>
        <w:rPr>
          <w:rFonts w:ascii="Palatino Linotype" w:eastAsia="Palatino Linotype" w:hAnsi="Palatino Linotype" w:cs="Palatino Linotype"/>
        </w:rPr>
      </w:pPr>
    </w:p>
    <w:p w14:paraId="534C7EA9"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47.</w:t>
      </w:r>
      <w:r w:rsidRPr="00CD7D2A">
        <w:rPr>
          <w:rFonts w:ascii="Palatino Linotype" w:eastAsia="Palatino Linotype" w:hAnsi="Palatino Linotype" w:cs="Palatino Linotype"/>
        </w:rPr>
        <w:t xml:space="preserve"> Ahora bien, de la solicitud de información, se logra desprender que la pretensión del ahora Recurrente, es obtener el documento donde conste el resultado global de la evaluación de confianza, es decir, aquel que señale que los servidores públicos, aprobaron o no la evaluación </w:t>
      </w:r>
      <w:r w:rsidRPr="00CD7D2A">
        <w:rPr>
          <w:rFonts w:ascii="Palatino Linotype" w:eastAsia="Palatino Linotype" w:hAnsi="Palatino Linotype" w:cs="Palatino Linotype"/>
        </w:rPr>
        <w:lastRenderedPageBreak/>
        <w:t>de confianza, por lo que, no requiere tener acceso a las evaluaciones individuales realizadas por el Centro de Control de Confianza del Estado de México y Municipios.</w:t>
      </w:r>
    </w:p>
    <w:p w14:paraId="38A40597"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077756CA"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48.</w:t>
      </w:r>
      <w:r w:rsidRPr="00CD7D2A">
        <w:rPr>
          <w:rFonts w:ascii="Palatino Linotype" w:eastAsia="Palatino Linotype" w:hAnsi="Palatino Linotype" w:cs="Palatino Linotype"/>
        </w:rPr>
        <w:t xml:space="preserve"> Al respecto, el artículo 85, fracción II, de la Ley General del Sistema Nacional de Seguridad Pública, y el 147, fracción II, de la Ley de Seguridad del Estado de México, precisa que el Centro de Control de Confianza del Estado de México, será el encargado de expedir el Certificado Único Policial.</w:t>
      </w:r>
    </w:p>
    <w:p w14:paraId="08492A33"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79E49D72"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49.</w:t>
      </w:r>
      <w:r w:rsidRPr="00CD7D2A">
        <w:rPr>
          <w:rFonts w:ascii="Palatino Linotype" w:eastAsia="Palatino Linotype" w:hAnsi="Palatino Linotype" w:cs="Palatino Linotype"/>
        </w:rPr>
        <w:t xml:space="preserve"> Además, los Lineamientos de Operación del Centro de Evaluación y Control de Confianza del Servicio de Protección Federal, traídos de manera de analogía precisan lo siguiente:</w:t>
      </w:r>
    </w:p>
    <w:p w14:paraId="52792416"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0C6A3BA2" w14:textId="77777777" w:rsidR="00A45F42" w:rsidRPr="00CD7D2A" w:rsidRDefault="000E551E">
      <w:pPr>
        <w:numPr>
          <w:ilvl w:val="0"/>
          <w:numId w:val="5"/>
        </w:numPr>
        <w:spacing w:line="360" w:lineRule="auto"/>
        <w:ind w:left="141" w:right="-220" w:firstLine="0"/>
        <w:jc w:val="both"/>
        <w:rPr>
          <w:rFonts w:ascii="Palatino Linotype" w:eastAsia="Palatino Linotype" w:hAnsi="Palatino Linotype" w:cs="Palatino Linotype"/>
        </w:rPr>
      </w:pPr>
      <w:r w:rsidRPr="00CD7D2A">
        <w:rPr>
          <w:rFonts w:ascii="Palatino Linotype" w:eastAsia="Palatino Linotype" w:hAnsi="Palatino Linotype" w:cs="Palatino Linotype"/>
          <w:b/>
        </w:rPr>
        <w:t>(</w:t>
      </w:r>
      <w:r w:rsidRPr="00CD7D2A">
        <w:rPr>
          <w:rFonts w:ascii="Palatino Linotype" w:eastAsia="Palatino Linotype" w:hAnsi="Palatino Linotype" w:cs="Palatino Linotype"/>
          <w:b/>
          <w:sz w:val="22"/>
          <w:szCs w:val="22"/>
        </w:rPr>
        <w:t>Artículo 27):</w:t>
      </w:r>
      <w:r w:rsidRPr="00CD7D2A">
        <w:rPr>
          <w:rFonts w:ascii="Palatino Linotype" w:eastAsia="Palatino Linotype" w:hAnsi="Palatino Linotype" w:cs="Palatino Linotype"/>
          <w:sz w:val="22"/>
          <w:szCs w:val="22"/>
        </w:rPr>
        <w:t xml:space="preserve"> El resultado único del proceso de evaluación, es la consecuencia del análisis objetivo y metodológico de la información recolectada durante la aplicación del Proceso de Evaluación, el cual se emitirá en los siguientes términos: </w:t>
      </w:r>
    </w:p>
    <w:p w14:paraId="627E6EF2" w14:textId="77777777" w:rsidR="00A45F42" w:rsidRPr="00CD7D2A" w:rsidRDefault="000E551E">
      <w:pPr>
        <w:numPr>
          <w:ilvl w:val="0"/>
          <w:numId w:val="8"/>
        </w:numPr>
        <w:pBdr>
          <w:top w:val="nil"/>
          <w:left w:val="nil"/>
          <w:bottom w:val="nil"/>
          <w:right w:val="nil"/>
          <w:between w:val="nil"/>
        </w:pBdr>
        <w:spacing w:line="360" w:lineRule="auto"/>
        <w:ind w:left="141" w:right="-220" w:firstLine="0"/>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Aprobado;</w:t>
      </w:r>
    </w:p>
    <w:p w14:paraId="2773237D" w14:textId="77777777" w:rsidR="00A45F42" w:rsidRPr="00CD7D2A" w:rsidRDefault="000E551E">
      <w:pPr>
        <w:numPr>
          <w:ilvl w:val="0"/>
          <w:numId w:val="8"/>
        </w:numPr>
        <w:pBdr>
          <w:top w:val="nil"/>
          <w:left w:val="nil"/>
          <w:bottom w:val="nil"/>
          <w:right w:val="nil"/>
          <w:between w:val="nil"/>
        </w:pBdr>
        <w:spacing w:line="360" w:lineRule="auto"/>
        <w:ind w:left="141" w:right="-220" w:firstLine="0"/>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No aprobado, y</w:t>
      </w:r>
    </w:p>
    <w:p w14:paraId="072549A1" w14:textId="77777777" w:rsidR="00A45F42" w:rsidRPr="00CD7D2A" w:rsidRDefault="000E551E">
      <w:pPr>
        <w:numPr>
          <w:ilvl w:val="0"/>
          <w:numId w:val="8"/>
        </w:numPr>
        <w:pBdr>
          <w:top w:val="nil"/>
          <w:left w:val="nil"/>
          <w:bottom w:val="nil"/>
          <w:right w:val="nil"/>
          <w:between w:val="nil"/>
        </w:pBdr>
        <w:spacing w:line="360" w:lineRule="auto"/>
        <w:ind w:left="141" w:right="-220" w:firstLine="0"/>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No cubre con el perfil de puesto.</w:t>
      </w:r>
    </w:p>
    <w:p w14:paraId="3C866973" w14:textId="77777777" w:rsidR="00A45F42" w:rsidRPr="00CD7D2A" w:rsidRDefault="00A45F42">
      <w:pPr>
        <w:spacing w:line="360" w:lineRule="auto"/>
        <w:ind w:left="141" w:right="-220"/>
        <w:jc w:val="both"/>
        <w:rPr>
          <w:rFonts w:ascii="Palatino Linotype" w:eastAsia="Palatino Linotype" w:hAnsi="Palatino Linotype" w:cs="Palatino Linotype"/>
          <w:b/>
          <w:sz w:val="22"/>
          <w:szCs w:val="22"/>
        </w:rPr>
      </w:pPr>
    </w:p>
    <w:p w14:paraId="0B8830F4" w14:textId="77777777" w:rsidR="00A45F42" w:rsidRPr="00CD7D2A" w:rsidRDefault="000E551E">
      <w:pPr>
        <w:numPr>
          <w:ilvl w:val="0"/>
          <w:numId w:val="5"/>
        </w:numPr>
        <w:spacing w:line="360" w:lineRule="auto"/>
        <w:ind w:left="141" w:right="-220" w:firstLine="0"/>
        <w:jc w:val="both"/>
        <w:rPr>
          <w:rFonts w:ascii="Palatino Linotype" w:eastAsia="Palatino Linotype" w:hAnsi="Palatino Linotype" w:cs="Palatino Linotype"/>
          <w:b/>
          <w:sz w:val="22"/>
          <w:szCs w:val="22"/>
        </w:rPr>
      </w:pPr>
      <w:r w:rsidRPr="00CD7D2A">
        <w:rPr>
          <w:rFonts w:ascii="Palatino Linotype" w:eastAsia="Palatino Linotype" w:hAnsi="Palatino Linotype" w:cs="Palatino Linotype"/>
          <w:b/>
          <w:sz w:val="22"/>
          <w:szCs w:val="22"/>
        </w:rPr>
        <w:t xml:space="preserve">(Artículo 30): </w:t>
      </w:r>
      <w:r w:rsidRPr="00CD7D2A">
        <w:rPr>
          <w:rFonts w:ascii="Palatino Linotype" w:eastAsia="Palatino Linotype" w:hAnsi="Palatino Linotype" w:cs="Palatino Linotype"/>
          <w:sz w:val="22"/>
          <w:szCs w:val="22"/>
        </w:rPr>
        <w:t>El resultado único del proceso de evaluación, debe emitirse valorándose y apoderándose de forma conjunta e integral los exámenes que conforman el Proceso de Evaluación aplicado a cada Evaluado.</w:t>
      </w:r>
    </w:p>
    <w:p w14:paraId="02CAC1C2"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3777DD09"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50. </w:t>
      </w:r>
      <w:r w:rsidRPr="00CD7D2A">
        <w:rPr>
          <w:rFonts w:ascii="Palatino Linotype" w:eastAsia="Palatino Linotype" w:hAnsi="Palatino Linotype" w:cs="Palatino Linotype"/>
        </w:rPr>
        <w:t xml:space="preserve">Conforme a lo anterior, se logra observar que el Sujeto Obligado es competente para conocer de la información peticionada y que la pretensión del ahora Recurrente, es obtener, los </w:t>
      </w:r>
      <w:r w:rsidRPr="00CD7D2A">
        <w:rPr>
          <w:rFonts w:ascii="Palatino Linotype" w:eastAsia="Palatino Linotype" w:hAnsi="Palatino Linotype" w:cs="Palatino Linotype"/>
        </w:rPr>
        <w:lastRenderedPageBreak/>
        <w:t xml:space="preserve">documentos donde conste el resultado global de control de confianza de todos los mandos medios y superiores que estuvieron adscritos desde el 1 de enero de 2021 a la fecha de la solicitud; es decir al 27 de mayo 2024, aun y cuando ya no laboren en la dependencia, </w:t>
      </w:r>
      <w:r w:rsidRPr="00CD7D2A">
        <w:rPr>
          <w:rFonts w:ascii="Palatino Linotype" w:eastAsia="Palatino Linotype" w:hAnsi="Palatino Linotype" w:cs="Palatino Linotype"/>
          <w:u w:val="single"/>
        </w:rPr>
        <w:t xml:space="preserve">de manera no desagregada, </w:t>
      </w:r>
      <w:r w:rsidRPr="00CD7D2A">
        <w:rPr>
          <w:rFonts w:ascii="Palatino Linotype" w:eastAsia="Palatino Linotype" w:hAnsi="Palatino Linotype" w:cs="Palatino Linotype"/>
        </w:rPr>
        <w:t xml:space="preserve">esto es debiendo identificar el nombre y el resultado individual, al tratarse de una </w:t>
      </w:r>
      <w:r w:rsidRPr="00CD7D2A">
        <w:rPr>
          <w:rFonts w:ascii="Palatino Linotype" w:eastAsia="Palatino Linotype" w:hAnsi="Palatino Linotype" w:cs="Palatino Linotype"/>
          <w:b/>
        </w:rPr>
        <w:t>cuestión de interés público y rendición de cuentas</w:t>
      </w:r>
      <w:r w:rsidRPr="00CD7D2A">
        <w:rPr>
          <w:rFonts w:ascii="Palatino Linotype" w:eastAsia="Palatino Linotype" w:hAnsi="Palatino Linotype" w:cs="Palatino Linotype"/>
        </w:rPr>
        <w:t xml:space="preserve"> por ser un requisito de ingreso y permanencia a una Institución de Seguridad pública.</w:t>
      </w:r>
    </w:p>
    <w:p w14:paraId="0C676689"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75D54C17"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51. </w:t>
      </w:r>
      <w:r w:rsidRPr="00CD7D2A">
        <w:rPr>
          <w:rFonts w:ascii="Palatino Linotype" w:eastAsia="Palatino Linotype" w:hAnsi="Palatino Linotype" w:cs="Palatino Linotype"/>
        </w:rPr>
        <w:t>Ahora bien, de las constancias que obran en el expediente se advierte que el Sujeto Obligado no turno la solicitud, tanto en respuesta, como durante la sustanciación del Medio de Impugnación, a las áreas competentes por ser la propia Unidad de Transparencia quien emite los pronunciamientos; por lo que, es necesario hacer referencia al procedimiento de búsqueda que deben de seguir los Sujetos Obligados para localizar la informació</w:t>
      </w:r>
      <w:r w:rsidRPr="00CD7D2A">
        <w:rPr>
          <w:rFonts w:ascii="Palatino Linotype" w:eastAsia="Palatino Linotype" w:hAnsi="Palatino Linotype" w:cs="Palatino Linotype"/>
          <w:b/>
        </w:rPr>
        <w:t>n</w:t>
      </w:r>
      <w:r w:rsidRPr="00CD7D2A">
        <w:rPr>
          <w:rFonts w:ascii="Palatino Linotype" w:eastAsia="Palatino Linotype" w:hAnsi="Palatino Linotype" w:cs="Palatino Linotype"/>
        </w:rPr>
        <w:t>, el cual se encuentra previsto en los artículos 160 y 162 de la Ley de Transparencia y Acceso a la Información Pública del Estado de México y Municipios, mismo que es el siguiente:</w:t>
      </w:r>
    </w:p>
    <w:p w14:paraId="12D502A6" w14:textId="77777777" w:rsidR="00A45F42" w:rsidRPr="00CD7D2A" w:rsidRDefault="00A45F42">
      <w:pPr>
        <w:spacing w:line="360" w:lineRule="auto"/>
        <w:ind w:left="-566" w:right="-787"/>
        <w:jc w:val="both"/>
        <w:rPr>
          <w:rFonts w:ascii="Palatino Linotype" w:eastAsia="Palatino Linotype" w:hAnsi="Palatino Linotype" w:cs="Palatino Linotype"/>
        </w:rPr>
      </w:pPr>
    </w:p>
    <w:p w14:paraId="10D34A30" w14:textId="77777777" w:rsidR="00A45F42" w:rsidRPr="00CD7D2A" w:rsidRDefault="000E551E">
      <w:pPr>
        <w:numPr>
          <w:ilvl w:val="0"/>
          <w:numId w:val="4"/>
        </w:numPr>
        <w:spacing w:line="360" w:lineRule="auto"/>
        <w:ind w:left="141"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14D1C98A" w14:textId="77777777" w:rsidR="00A45F42" w:rsidRPr="00CD7D2A" w:rsidRDefault="00A45F42">
      <w:pPr>
        <w:spacing w:line="360" w:lineRule="auto"/>
        <w:ind w:left="141" w:right="-220"/>
        <w:jc w:val="both"/>
        <w:rPr>
          <w:rFonts w:ascii="Palatino Linotype" w:eastAsia="Palatino Linotype" w:hAnsi="Palatino Linotype" w:cs="Palatino Linotype"/>
          <w:sz w:val="22"/>
          <w:szCs w:val="22"/>
        </w:rPr>
      </w:pPr>
    </w:p>
    <w:p w14:paraId="4F2D6C27" w14:textId="77777777" w:rsidR="00A45F42" w:rsidRPr="00CD7D2A" w:rsidRDefault="000E551E">
      <w:pPr>
        <w:numPr>
          <w:ilvl w:val="0"/>
          <w:numId w:val="4"/>
        </w:numPr>
        <w:spacing w:line="360" w:lineRule="auto"/>
        <w:ind w:left="141"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Los sujetos obligados otorgarán acceso a los documentos que se encuentren en sus archivos o que estén obligados a documentar de acuerdo con sus facultades, competencias o funciones, en el formato en que el solicitante manifieste, de entre aquellos formatos existentes.</w:t>
      </w:r>
    </w:p>
    <w:p w14:paraId="1C9AF6C7"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7FF9E544"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52. </w:t>
      </w:r>
      <w:r w:rsidRPr="00CD7D2A">
        <w:rPr>
          <w:rFonts w:ascii="Palatino Linotype" w:eastAsia="Palatino Linotype" w:hAnsi="Palatino Linotype" w:cs="Palatino Linotype"/>
        </w:rPr>
        <w:t>Atendiendo a lo dispuesto en los preceptos legales de referencia, a efecto de determinar el procedimiento que debe seguir el Sujeto Obligado, es necesario traer a colación el Reglamento Interior de la Unidad de Asuntos Internos, en su artículo 14, ya que establece las atribuciones de la Unidad de Apoyo Administrativo de planear, organizar integrar y controlar los recursos humanos de la Unidad de Asuntos Internos, en el marco de la normatividad aplicable, como se observa:</w:t>
      </w:r>
    </w:p>
    <w:p w14:paraId="30DD4BA7" w14:textId="77777777" w:rsidR="00A45F42" w:rsidRPr="00CD7D2A" w:rsidRDefault="00A45F42">
      <w:pPr>
        <w:spacing w:line="360" w:lineRule="auto"/>
        <w:ind w:left="-566" w:right="-787"/>
        <w:jc w:val="both"/>
        <w:rPr>
          <w:rFonts w:ascii="Palatino Linotype" w:eastAsia="Palatino Linotype" w:hAnsi="Palatino Linotype" w:cs="Palatino Linotype"/>
        </w:rPr>
      </w:pPr>
    </w:p>
    <w:p w14:paraId="34AC1984"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“Artículo 14. Corresponde a la Unidad de Apoyo Administrativo las atribuciones siguientes:</w:t>
      </w:r>
    </w:p>
    <w:p w14:paraId="495B9A3F"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I. Formular con la Dirección de Información, Planeación, Programación y Evaluación, el anteproyecto de presupuesto por programas de la Unidad, que el Titular de la Unidad presentará ante el Consejo Directivo para su aprobación y posterior remisión a la Secretaría;</w:t>
      </w:r>
    </w:p>
    <w:p w14:paraId="5A392CB1"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p>
    <w:p w14:paraId="5E7458EB"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IV. Programar, planear, organizar y controlar el suministro, administración y aplicación de los recursos humanos, materiales, financieros y técnicos, así como los servicios generales necesarios para el funcionamiento de la Unidad, conjuntamente con las Unidades Administrativas competentes de la misma, conforme a la naturaleza del asunto;</w:t>
      </w:r>
    </w:p>
    <w:p w14:paraId="30840850"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p>
    <w:p w14:paraId="543FAFD7"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XIII. Aplicar y supervisar los sistemas de control del personal, así como los movimientos e incidencias de éstos, a fin de ejecutar, en su caso, las sanciones correspondientes de conformidad con las disposiciones jurídicas aplicables;</w:t>
      </w:r>
    </w:p>
    <w:p w14:paraId="2A49AF96" w14:textId="77777777" w:rsidR="00A45F42" w:rsidRPr="00CD7D2A" w:rsidRDefault="000E551E">
      <w:pPr>
        <w:spacing w:line="360" w:lineRule="auto"/>
        <w:ind w:left="283"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p>
    <w:p w14:paraId="67E1D738"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5E0A755B"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lastRenderedPageBreak/>
        <w:t xml:space="preserve">53. </w:t>
      </w:r>
      <w:r w:rsidRPr="00CD7D2A">
        <w:rPr>
          <w:rFonts w:ascii="Palatino Linotype" w:eastAsia="Palatino Linotype" w:hAnsi="Palatino Linotype" w:cs="Palatino Linotype"/>
        </w:rPr>
        <w:t xml:space="preserve">Resultando un área que de manera enunciativa más no limitativa debiera turnarse la solicitud a efecto que realice la búsqueda exhaustiva y razonable del soporte documental solicitado y que es el la evaluación de control de confianza; </w:t>
      </w:r>
      <w:r w:rsidRPr="00CD7D2A">
        <w:rPr>
          <w:rFonts w:ascii="Palatino Linotype" w:eastAsia="Palatino Linotype" w:hAnsi="Palatino Linotype" w:cs="Palatino Linotype"/>
          <w:b/>
        </w:rPr>
        <w:t>a fin de ordenar el documento en donde conste el resultado global (aprobado o no aprobado) de la evaluación de control de confianza</w:t>
      </w:r>
      <w:r w:rsidRPr="00CD7D2A">
        <w:rPr>
          <w:rFonts w:ascii="Palatino Linotype" w:eastAsia="Palatino Linotype" w:hAnsi="Palatino Linotype" w:cs="Palatino Linotype"/>
        </w:rPr>
        <w:t>.</w:t>
      </w:r>
    </w:p>
    <w:p w14:paraId="5245011E"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3C48CCAB"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54. </w:t>
      </w:r>
      <w:r w:rsidRPr="00CD7D2A">
        <w:rPr>
          <w:rFonts w:ascii="Palatino Linotype" w:eastAsia="Palatino Linotype" w:hAnsi="Palatino Linotype" w:cs="Palatino Linotype"/>
        </w:rPr>
        <w:t>Al respecto, es dable mencionar que los artículos 39, apartado B, fracción VIII, 40, fracción XV, 56, segundo párrafo, 73, segundo párrafo, 74, 85, fracciones II y III, 88, apartado A, fracción VI, apartado B, fracción VI, 96 y 97, de la Ley General del Sistema Nacional de Seguridad Pública, establecen lo siguiente:</w:t>
      </w:r>
    </w:p>
    <w:p w14:paraId="4FE07DC2" w14:textId="77777777" w:rsidR="00A45F42" w:rsidRPr="00CD7D2A" w:rsidRDefault="00A45F42">
      <w:pPr>
        <w:spacing w:line="360" w:lineRule="auto"/>
        <w:ind w:left="-566" w:right="-787"/>
        <w:jc w:val="both"/>
        <w:rPr>
          <w:rFonts w:ascii="Palatino Linotype" w:eastAsia="Palatino Linotype" w:hAnsi="Palatino Linotype" w:cs="Palatino Linotype"/>
        </w:rPr>
      </w:pPr>
    </w:p>
    <w:p w14:paraId="724559CF"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 xml:space="preserve">Que corresponde a los municipios abstenerse de contratar y emplear en las Instituciones Policiales a personas que no cuenten con el registro y </w:t>
      </w:r>
      <w:r w:rsidRPr="00CD7D2A">
        <w:rPr>
          <w:rFonts w:ascii="Palatino Linotype" w:eastAsia="Palatino Linotype" w:hAnsi="Palatino Linotype" w:cs="Palatino Linotype"/>
          <w:sz w:val="22"/>
          <w:szCs w:val="22"/>
          <w:u w:val="single"/>
        </w:rPr>
        <w:t>certificado emitido por el centro de evaluación y control de confianza</w:t>
      </w:r>
      <w:r w:rsidRPr="00CD7D2A">
        <w:rPr>
          <w:rFonts w:ascii="Palatino Linotype" w:eastAsia="Palatino Linotype" w:hAnsi="Palatino Linotype" w:cs="Palatino Linotype"/>
          <w:sz w:val="22"/>
          <w:szCs w:val="22"/>
        </w:rPr>
        <w:t xml:space="preserve"> respectivo;</w:t>
      </w:r>
    </w:p>
    <w:p w14:paraId="69934E56"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Que, con el objeto de garantizar el cumplimiento de los principios constitucionales de legalidad, objetividad, eficiencia, profesionalismo, honradez y respeto a los derechos humanos, los integrantes de las Instituciones de Seguridad Pública deben someterse a evaluaciones periódicas para acreditar el cumplimiento de sus requisitos de permanencia, así como obtener y mantener vigente la certificación respectiva;</w:t>
      </w:r>
    </w:p>
    <w:p w14:paraId="5331280F"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Que los resultados de los procesos de evaluación y los expedientes que se formen con los mismos serán confidenciales, salvo en aquellos casos en que deban presentarse en procedimientos administrativos o judiciales y se mantendrán en reserva en los términos de las disposiciones aplicables;</w:t>
      </w:r>
    </w:p>
    <w:p w14:paraId="1FDABA17"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lastRenderedPageBreak/>
        <w:t>Que tanto los servidores públicos de las Instituciones Policiales en los tres órdenes de gobierno, pertenecientes a la Carrera Policial, como aquellos considerados de Confianza</w:t>
      </w:r>
      <w:r w:rsidRPr="00CD7D2A">
        <w:rPr>
          <w:rFonts w:ascii="Palatino Linotype" w:eastAsia="Palatino Linotype" w:hAnsi="Palatino Linotype" w:cs="Palatino Linotype"/>
          <w:sz w:val="22"/>
          <w:szCs w:val="22"/>
          <w:u w:val="single"/>
        </w:rPr>
        <w:t xml:space="preserve">, en caso de </w:t>
      </w:r>
      <w:r w:rsidRPr="00CD7D2A">
        <w:rPr>
          <w:rFonts w:ascii="Palatino Linotype" w:eastAsia="Palatino Linotype" w:hAnsi="Palatino Linotype" w:cs="Palatino Linotype"/>
          <w:b/>
          <w:sz w:val="22"/>
          <w:szCs w:val="22"/>
          <w:u w:val="single"/>
        </w:rPr>
        <w:t>no</w:t>
      </w:r>
      <w:r w:rsidRPr="00CD7D2A">
        <w:rPr>
          <w:rFonts w:ascii="Palatino Linotype" w:eastAsia="Palatino Linotype" w:hAnsi="Palatino Linotype" w:cs="Palatino Linotype"/>
          <w:sz w:val="22"/>
          <w:szCs w:val="22"/>
          <w:u w:val="single"/>
        </w:rPr>
        <w:t xml:space="preserve"> acreditar las evaluaciones de control de confianza, podrán darse por terminados los efectos de su nombramiento;</w:t>
      </w:r>
    </w:p>
    <w:p w14:paraId="2521DAC0"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Que todo aspirante a ingresar a la Carrera Policial deberá tramitar, obtener y mantener actualizado el Certificado Único Policial, que expedirá el centro de control de confianza respectivo; por lo que ninguna persona podrá ingresar a las Instituciones Policiales si no ha sido debidamente certificado y registrado en el Sistema;</w:t>
      </w:r>
    </w:p>
    <w:p w14:paraId="1ED1BBCA"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 xml:space="preserve">Que tanto </w:t>
      </w:r>
      <w:r w:rsidRPr="00CD7D2A">
        <w:rPr>
          <w:rFonts w:ascii="Palatino Linotype" w:eastAsia="Palatino Linotype" w:hAnsi="Palatino Linotype" w:cs="Palatino Linotype"/>
          <w:sz w:val="22"/>
          <w:szCs w:val="22"/>
          <w:u w:val="single"/>
        </w:rPr>
        <w:t>para el ingreso como para la permanencia en la Carrera Policial es requisito aprobar los procesos de evaluación de control de confianza</w:t>
      </w:r>
      <w:r w:rsidRPr="00CD7D2A">
        <w:rPr>
          <w:rFonts w:ascii="Palatino Linotype" w:eastAsia="Palatino Linotype" w:hAnsi="Palatino Linotype" w:cs="Palatino Linotype"/>
          <w:sz w:val="22"/>
          <w:szCs w:val="22"/>
        </w:rPr>
        <w:t>;</w:t>
      </w:r>
    </w:p>
    <w:p w14:paraId="6F1DE529"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Que la certificación es el proceso mediante el cual los integrantes de las Instituciones Policiales se someten a las evaluaciones periódicas establecidas por el Centro de Control de Confianza correspondiente, para comprobar el cumplimiento de los perfiles de personalidad, éticos, socioeconómicos y médicos, en los procedimientos de ingreso, promoción y permanencia;</w:t>
      </w:r>
    </w:p>
    <w:p w14:paraId="68ED393F"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Que las Instituciones Policiales contratarán únicamente al personal que cuente con el requisito de certificación expedido por su centro de control de confianza respectivo, y</w:t>
      </w:r>
    </w:p>
    <w:p w14:paraId="6FBA20B1" w14:textId="77777777" w:rsidR="00A45F42" w:rsidRPr="00CD7D2A" w:rsidRDefault="000E551E">
      <w:pPr>
        <w:numPr>
          <w:ilvl w:val="0"/>
          <w:numId w:val="9"/>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Que el objeto de la certificación es identificar los factores de riesgo que interfieran, repercutan o pongan en peligro el desempeño de las funciones policiales, con el fin de garantizar la calidad de los servicios.</w:t>
      </w:r>
    </w:p>
    <w:p w14:paraId="52851B57"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5776A7F4"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55.</w:t>
      </w:r>
      <w:r w:rsidRPr="00CD7D2A">
        <w:rPr>
          <w:rFonts w:ascii="Palatino Linotype" w:eastAsia="Palatino Linotype" w:hAnsi="Palatino Linotype" w:cs="Palatino Linotype"/>
        </w:rPr>
        <w:t xml:space="preserve"> Por su parte, el artículo 109, cuarto párrafo, de la Ley de Seguridad del Estado de México, determina lo siguiente:</w:t>
      </w:r>
    </w:p>
    <w:p w14:paraId="7E162330"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3250E9B1" w14:textId="77777777" w:rsidR="00A45F42" w:rsidRPr="00CD7D2A" w:rsidRDefault="000E551E">
      <w:pPr>
        <w:numPr>
          <w:ilvl w:val="0"/>
          <w:numId w:val="10"/>
        </w:numPr>
        <w:spacing w:line="360" w:lineRule="auto"/>
        <w:ind w:left="283" w:right="-220" w:firstLine="0"/>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lastRenderedPageBreak/>
        <w:t>Que los resultados de los procesos de evaluación y los expedientes que se formen con los mismos serán confidenciales, salvo en aquellos casos en que deban presentarse en procedimientos administrativos o judiciales.</w:t>
      </w:r>
    </w:p>
    <w:p w14:paraId="6521EB83"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6154F3FA"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56. </w:t>
      </w:r>
      <w:r w:rsidRPr="00CD7D2A">
        <w:rPr>
          <w:rFonts w:ascii="Palatino Linotype" w:eastAsia="Palatino Linotype" w:hAnsi="Palatino Linotype" w:cs="Palatino Linotype"/>
        </w:rPr>
        <w:t xml:space="preserve">Conforme a la normatividad citada, </w:t>
      </w:r>
      <w:r w:rsidRPr="00CD7D2A">
        <w:rPr>
          <w:rFonts w:ascii="Palatino Linotype" w:eastAsia="Palatino Linotype" w:hAnsi="Palatino Linotype" w:cs="Palatino Linotype"/>
          <w:b/>
        </w:rPr>
        <w:t>se advierte que la evaluación de control de confianza es un requisito indispensable para ingresar y permanecer en una Institución de Seguridad Pública</w:t>
      </w:r>
      <w:r w:rsidRPr="00CD7D2A">
        <w:rPr>
          <w:rFonts w:ascii="Palatino Linotype" w:eastAsia="Palatino Linotype" w:hAnsi="Palatino Linotype" w:cs="Palatino Linotype"/>
        </w:rPr>
        <w:t xml:space="preserve"> y que el resultado de los procesos y los expedientes que se formen con los mismos, son confidenciales, es decir, </w:t>
      </w:r>
      <w:r w:rsidRPr="00CD7D2A">
        <w:rPr>
          <w:rFonts w:ascii="Palatino Linotype" w:eastAsia="Palatino Linotype" w:hAnsi="Palatino Linotype" w:cs="Palatino Linotype"/>
          <w:u w:val="single"/>
        </w:rPr>
        <w:t>que el resultado aislado de cada etapa de examen es confidencial</w:t>
      </w:r>
      <w:r w:rsidRPr="00CD7D2A">
        <w:rPr>
          <w:rFonts w:ascii="Palatino Linotype" w:eastAsia="Palatino Linotype" w:hAnsi="Palatino Linotype" w:cs="Palatino Linotype"/>
        </w:rPr>
        <w:t xml:space="preserve">; </w:t>
      </w:r>
      <w:r w:rsidRPr="00CD7D2A">
        <w:rPr>
          <w:rFonts w:ascii="Palatino Linotype" w:eastAsia="Palatino Linotype" w:hAnsi="Palatino Linotype" w:cs="Palatino Linotype"/>
          <w:b/>
        </w:rPr>
        <w:t>sin embargo, el resultado global, correspondiente a que el servidor público aprobó la evaluación, en el presente caso, “Aprobado” o “No Aprobado”, guarda la naturaleza pública.</w:t>
      </w:r>
    </w:p>
    <w:p w14:paraId="1320B389"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68944FF4"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57. </w:t>
      </w:r>
      <w:r w:rsidRPr="00CD7D2A">
        <w:rPr>
          <w:rFonts w:ascii="Palatino Linotype" w:eastAsia="Palatino Linotype" w:hAnsi="Palatino Linotype" w:cs="Palatino Linotype"/>
        </w:rPr>
        <w:t xml:space="preserve">Situación que guarda relevancia, pues en la resolución de la Acción de Inconstitucionalidad 88/2018, la Suprema Corte de Justicia de la Nación, precisa que los resultados de las evaluaciones de control de confianza, es decir, los resultados de los exámenes médicos, toxicológicos, psicológicos, poligráficos y estudios socioeconómicos, guardan la naturaleza de confidencial. Contexto que guarda relación con el  </w:t>
      </w:r>
      <w:r w:rsidRPr="00CD7D2A">
        <w:rPr>
          <w:rFonts w:ascii="Palatino Linotype" w:eastAsia="Palatino Linotype" w:hAnsi="Palatino Linotype" w:cs="Palatino Linotype"/>
          <w:b/>
        </w:rPr>
        <w:t>CRITERIO REITERADO 06/24,</w:t>
      </w:r>
      <w:r w:rsidRPr="00CD7D2A">
        <w:rPr>
          <w:rFonts w:ascii="Palatino Linotype" w:eastAsia="Palatino Linotype" w:hAnsi="Palatino Linotype" w:cs="Palatino Linotype"/>
        </w:rPr>
        <w:t xml:space="preserve"> de este Instituto a saber:</w:t>
      </w:r>
    </w:p>
    <w:p w14:paraId="1CCC44E5" w14:textId="77777777" w:rsidR="00A45F42" w:rsidRPr="00CD7D2A" w:rsidRDefault="00A45F42">
      <w:pPr>
        <w:pBdr>
          <w:top w:val="nil"/>
          <w:left w:val="nil"/>
          <w:bottom w:val="nil"/>
          <w:right w:val="nil"/>
          <w:between w:val="nil"/>
        </w:pBdr>
        <w:spacing w:line="360" w:lineRule="auto"/>
        <w:ind w:left="-425" w:right="-787"/>
        <w:rPr>
          <w:rFonts w:ascii="Palatino Linotype" w:eastAsia="Palatino Linotype" w:hAnsi="Palatino Linotype" w:cs="Palatino Linotype"/>
          <w:color w:val="000000"/>
        </w:rPr>
      </w:pPr>
    </w:p>
    <w:p w14:paraId="637BC554" w14:textId="77777777" w:rsidR="00A45F42" w:rsidRPr="00CD7D2A" w:rsidRDefault="000E551E">
      <w:pPr>
        <w:pBdr>
          <w:top w:val="nil"/>
          <w:left w:val="nil"/>
          <w:bottom w:val="nil"/>
          <w:right w:val="nil"/>
          <w:between w:val="nil"/>
        </w:pBdr>
        <w:spacing w:line="360" w:lineRule="auto"/>
        <w:ind w:left="141" w:right="-220"/>
        <w:jc w:val="both"/>
        <w:rPr>
          <w:rFonts w:ascii="Palatino Linotype" w:eastAsia="Palatino Linotype" w:hAnsi="Palatino Linotype" w:cs="Palatino Linotype"/>
          <w:b/>
          <w:i/>
          <w:color w:val="FF0000"/>
          <w:sz w:val="22"/>
          <w:szCs w:val="22"/>
        </w:rPr>
      </w:pPr>
      <w:r w:rsidRPr="00CD7D2A">
        <w:rPr>
          <w:rFonts w:ascii="Palatino Linotype" w:eastAsia="Palatino Linotype" w:hAnsi="Palatino Linotype" w:cs="Palatino Linotype"/>
          <w:b/>
          <w:i/>
          <w:color w:val="000000"/>
          <w:sz w:val="22"/>
          <w:szCs w:val="22"/>
        </w:rPr>
        <w:t xml:space="preserve">“RESULTADO GLOBAL DE EVALUACIONES DE EXAMEN DE CONTROL DE CONFIANZA. DOCUMENTO DE CARÁCTER PÚBLICO. </w:t>
      </w:r>
      <w:r w:rsidRPr="00CD7D2A">
        <w:rPr>
          <w:rFonts w:ascii="Palatino Linotype" w:eastAsia="Palatino Linotype" w:hAnsi="Palatino Linotype" w:cs="Palatino Linotype"/>
          <w:i/>
          <w:color w:val="000000"/>
          <w:sz w:val="22"/>
          <w:szCs w:val="22"/>
        </w:rPr>
        <w:t xml:space="preserve">El resultado de los procesos de cada etapa y los expedientes respecto a las evaluaciones de control de confianza, son confidenciales; sin embargo, será público el resultado global correspondiente a que el servidor público haya “Aprobado” o “No Aprobado” la evaluación, pues es de interés público conocer si los servidores públicos </w:t>
      </w:r>
      <w:r w:rsidRPr="00CD7D2A">
        <w:rPr>
          <w:rFonts w:ascii="Palatino Linotype" w:eastAsia="Palatino Linotype" w:hAnsi="Palatino Linotype" w:cs="Palatino Linotype"/>
          <w:i/>
          <w:color w:val="000000"/>
          <w:sz w:val="22"/>
          <w:szCs w:val="22"/>
        </w:rPr>
        <w:lastRenderedPageBreak/>
        <w:t>contratados cumplen con los requisitos legales para el ingreso y permanencia en el servicio público, de conformidad con lo dispuesto por el artículo 109, de la Ley de Seguridad del Estado de México.”</w:t>
      </w:r>
    </w:p>
    <w:p w14:paraId="1E4E13F0"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345FB1A9"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58. </w:t>
      </w:r>
      <w:r w:rsidRPr="00CD7D2A">
        <w:rPr>
          <w:rFonts w:ascii="Palatino Linotype" w:eastAsia="Palatino Linotype" w:hAnsi="Palatino Linotype" w:cs="Palatino Linotype"/>
        </w:rPr>
        <w:t xml:space="preserve">Además, es de referir que es de interés público de la ciudadanía, conocer que los trabajadores gubernamentales cumplen con todos los requisitos establecidos en la normatividad respectiva, sobre todo, en materia de seguridad pública, pues sólo así, se puede saber, si los empleados señalados, </w:t>
      </w:r>
      <w:r w:rsidRPr="00CD7D2A">
        <w:rPr>
          <w:rFonts w:ascii="Palatino Linotype" w:eastAsia="Palatino Linotype" w:hAnsi="Palatino Linotype" w:cs="Palatino Linotype"/>
          <w:b/>
        </w:rPr>
        <w:t>son aptos para ocupar determinados puestos;</w:t>
      </w:r>
      <w:r w:rsidRPr="00CD7D2A">
        <w:rPr>
          <w:rFonts w:ascii="Palatino Linotype" w:eastAsia="Palatino Linotype" w:hAnsi="Palatino Linotype" w:cs="Palatino Linotype"/>
        </w:rPr>
        <w:t xml:space="preserve"> toma relevancia dicha situación, al tratarse, en el presente caso de, cargos de procuración de justicia y seguridad.</w:t>
      </w:r>
    </w:p>
    <w:p w14:paraId="562F6135"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72B10CA9"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59. </w:t>
      </w:r>
      <w:r w:rsidRPr="00CD7D2A">
        <w:rPr>
          <w:rFonts w:ascii="Palatino Linotype" w:eastAsia="Palatino Linotype" w:hAnsi="Palatino Linotype" w:cs="Palatino Linotype"/>
        </w:rPr>
        <w:t>Situación que toma sustento en el artículo 21, décimo párrafo inciso a), de la Constitución Política de los Estados Unidos Mexicanos, que alude a que los integrantes de las instituciones de seguridad pública, deben de estar certificados.</w:t>
      </w:r>
    </w:p>
    <w:p w14:paraId="0D3FAA81" w14:textId="77777777" w:rsidR="00A45F42" w:rsidRPr="00CD7D2A" w:rsidRDefault="00A45F42">
      <w:pPr>
        <w:spacing w:line="360" w:lineRule="auto"/>
        <w:ind w:left="-566" w:right="-787"/>
        <w:jc w:val="both"/>
        <w:rPr>
          <w:rFonts w:ascii="Palatino Linotype" w:eastAsia="Palatino Linotype" w:hAnsi="Palatino Linotype" w:cs="Palatino Linotype"/>
        </w:rPr>
      </w:pPr>
    </w:p>
    <w:p w14:paraId="5E7CDB1F"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60. </w:t>
      </w:r>
      <w:r w:rsidRPr="00CD7D2A">
        <w:rPr>
          <w:rFonts w:ascii="Palatino Linotype" w:eastAsia="Palatino Linotype" w:hAnsi="Palatino Linotype" w:cs="Palatino Linotype"/>
        </w:rPr>
        <w:t>Asimismo, la publicidad de la información ayuda a rendir cuentas a la población, respecto a que las instituciones de seguridad cumplen con lo establecido en los ordenamientos jurídicos, ya que permite a las personas verificar que una Dependencia o Ayuntamiento, contrata a servidores públicos capaces e idóneos para cumplir con sus funciones y cumplen con los requisitos respectivos, sobre todo, si se trata de trabajadores en materia de seguridad pública.</w:t>
      </w:r>
    </w:p>
    <w:p w14:paraId="76EF204E"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4EB74DB1"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61.</w:t>
      </w:r>
      <w:r w:rsidRPr="00CD7D2A">
        <w:rPr>
          <w:rFonts w:ascii="Palatino Linotype" w:eastAsia="Palatino Linotype" w:hAnsi="Palatino Linotype" w:cs="Palatino Linotype"/>
        </w:rPr>
        <w:t xml:space="preserve"> De tal suerte, que resulta  procedente que le sean entregados los</w:t>
      </w:r>
      <w:r w:rsidRPr="00CD7D2A">
        <w:rPr>
          <w:rFonts w:ascii="Palatino Linotype" w:eastAsia="Palatino Linotype" w:hAnsi="Palatino Linotype" w:cs="Palatino Linotype"/>
          <w:b/>
        </w:rPr>
        <w:t xml:space="preserve"> resultados globales de la evaluación de control de confianza</w:t>
      </w:r>
      <w:r w:rsidRPr="00CD7D2A">
        <w:rPr>
          <w:rFonts w:ascii="Palatino Linotype" w:eastAsia="Palatino Linotype" w:hAnsi="Palatino Linotype" w:cs="Palatino Linotype"/>
        </w:rPr>
        <w:t xml:space="preserve">, los cuales se considera que no actualiza la causal de clasificación, en términos del artículo 143, fracción I, de la Ley de Transparencia y Acceso a la Información Pública del Estado de México y Municipios, pues con dicho dato se logra advertir </w:t>
      </w:r>
      <w:r w:rsidRPr="00CD7D2A">
        <w:rPr>
          <w:rFonts w:ascii="Palatino Linotype" w:eastAsia="Palatino Linotype" w:hAnsi="Palatino Linotype" w:cs="Palatino Linotype"/>
        </w:rPr>
        <w:lastRenderedPageBreak/>
        <w:t>que los servidores públicos solicitados cumplen con uno de los requisitos indispensables y establecidos en la normatividad aplicable, para ocupar dichos puestos, en la institución de seguridad pública.</w:t>
      </w:r>
    </w:p>
    <w:p w14:paraId="692C54CB"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64BDD340" w14:textId="77777777" w:rsidR="00A45F42" w:rsidRPr="00CD7D2A" w:rsidRDefault="000E551E">
      <w:pP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63. </w:t>
      </w:r>
      <w:r w:rsidRPr="00CD7D2A">
        <w:rPr>
          <w:rFonts w:ascii="Palatino Linotype" w:eastAsia="Palatino Linotype" w:hAnsi="Palatino Linotype" w:cs="Palatino Linotype"/>
        </w:rPr>
        <w:t xml:space="preserve">Con la determinación anterior quedará por colmado el derecho de acceso a la información del ahora </w:t>
      </w:r>
      <w:r w:rsidRPr="00CD7D2A">
        <w:rPr>
          <w:rFonts w:ascii="Palatino Linotype" w:eastAsia="Palatino Linotype" w:hAnsi="Palatino Linotype" w:cs="Palatino Linotype"/>
          <w:b/>
        </w:rPr>
        <w:t>RECURRENTE</w:t>
      </w:r>
      <w:r w:rsidRPr="00CD7D2A">
        <w:rPr>
          <w:rFonts w:ascii="Palatino Linotype" w:eastAsia="Palatino Linotype" w:hAnsi="Palatino Linotype" w:cs="Palatino Linotype"/>
        </w:rPr>
        <w:t xml:space="preserve">; toda vez </w:t>
      </w:r>
      <w:r w:rsidRPr="00CD7D2A">
        <w:rPr>
          <w:rFonts w:ascii="Palatino Linotype" w:eastAsia="Palatino Linotype" w:hAnsi="Palatino Linotype" w:cs="Palatino Linotype"/>
          <w:color w:val="000000"/>
        </w:rPr>
        <w:t xml:space="preserve">que el Derecho que tutela este Órgano Garante corresponde a la  </w:t>
      </w:r>
      <w:r w:rsidRPr="00CD7D2A">
        <w:rPr>
          <w:rFonts w:ascii="Palatino Linotype" w:eastAsia="Palatino Linotype" w:hAnsi="Palatino Linotype" w:cs="Palatino Linotype"/>
          <w:i/>
        </w:rPr>
        <w:t>igualdad de oportunidades para recibir, buscar e impartir información</w:t>
      </w:r>
      <w:r w:rsidRPr="00CD7D2A">
        <w:rPr>
          <w:rFonts w:ascii="Palatino Linotype" w:eastAsia="Palatino Linotype" w:hAnsi="Palatino Linotype" w:cs="Palatino Linotype"/>
          <w:i/>
          <w:vertAlign w:val="superscript"/>
        </w:rPr>
        <w:footnoteReference w:id="1"/>
      </w:r>
      <w:r w:rsidRPr="00CD7D2A">
        <w:rPr>
          <w:rFonts w:ascii="Palatino Linotype" w:eastAsia="Palatino Linotype" w:hAnsi="Palatino Linotype" w:cs="Palatino Linotype"/>
          <w:i/>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CD7D2A">
        <w:rPr>
          <w:rFonts w:ascii="Palatino Linotype" w:eastAsia="Palatino Linotype" w:hAnsi="Palatino Linotype" w:cs="Palatino Linotype"/>
          <w:vertAlign w:val="superscript"/>
        </w:rPr>
        <w:footnoteReference w:id="2"/>
      </w:r>
      <w:r w:rsidRPr="00CD7D2A">
        <w:rPr>
          <w:rFonts w:ascii="Palatino Linotype" w:eastAsia="Palatino Linotype" w:hAnsi="Palatino Linotype" w:cs="Palatino Linotype"/>
          <w:i/>
        </w:rPr>
        <w:t xml:space="preserve"> </w:t>
      </w:r>
      <w:r w:rsidRPr="00CD7D2A">
        <w:rPr>
          <w:rFonts w:ascii="Palatino Linotype" w:eastAsia="Palatino Linotype" w:hAnsi="Palatino Linotype" w:cs="Palatino Linotype"/>
        </w:rPr>
        <w:t xml:space="preserve">que se constituye como una herramienta fundamental para </w:t>
      </w:r>
      <w:r w:rsidRPr="00CD7D2A">
        <w:rPr>
          <w:rFonts w:ascii="Palatino Linotype" w:eastAsia="Palatino Linotype" w:hAnsi="Palatino Linotype" w:cs="Palatino Linotype"/>
          <w:i/>
        </w:rPr>
        <w:t>ejercer control democrático de las gestiones estatales, de forma tal que puedan cuestionar, indagar y considerar si se está dando un adecuado cumplimiento de las funciones públicas,</w:t>
      </w:r>
      <w:r w:rsidRPr="00CD7D2A">
        <w:rPr>
          <w:rFonts w:ascii="Palatino Linotype" w:eastAsia="Palatino Linotype" w:hAnsi="Palatino Linotype" w:cs="Palatino Linotype"/>
          <w:i/>
          <w:vertAlign w:val="superscript"/>
        </w:rPr>
        <w:footnoteReference w:id="3"/>
      </w:r>
      <w:r w:rsidRPr="00CD7D2A">
        <w:rPr>
          <w:rFonts w:ascii="Palatino Linotype" w:eastAsia="Palatino Linotype" w:hAnsi="Palatino Linotype" w:cs="Palatino Linotype"/>
        </w:rPr>
        <w:t>fomentando</w:t>
      </w:r>
      <w:r w:rsidRPr="00CD7D2A">
        <w:rPr>
          <w:rFonts w:ascii="Palatino Linotype" w:eastAsia="Palatino Linotype" w:hAnsi="Palatino Linotype" w:cs="Palatino Linotype"/>
          <w:i/>
        </w:rPr>
        <w:t xml:space="preserve"> la transparencia de las actividades estatales y</w:t>
      </w:r>
      <w:r w:rsidRPr="00CD7D2A">
        <w:rPr>
          <w:rFonts w:ascii="Palatino Linotype" w:eastAsia="Palatino Linotype" w:hAnsi="Palatino Linotype" w:cs="Palatino Linotype"/>
        </w:rPr>
        <w:t xml:space="preserve"> promoviendo</w:t>
      </w:r>
      <w:r w:rsidRPr="00CD7D2A">
        <w:rPr>
          <w:rFonts w:ascii="Palatino Linotype" w:eastAsia="Palatino Linotype" w:hAnsi="Palatino Linotype" w:cs="Palatino Linotype"/>
          <w:i/>
        </w:rPr>
        <w:t xml:space="preserve"> la responsabilidad de los funcionarios sobre su gestión pública</w:t>
      </w:r>
      <w:r w:rsidRPr="00CD7D2A">
        <w:rPr>
          <w:rFonts w:ascii="Palatino Linotype" w:eastAsia="Palatino Linotype" w:hAnsi="Palatino Linotype" w:cs="Palatino Linotype"/>
          <w:i/>
          <w:vertAlign w:val="superscript"/>
        </w:rPr>
        <w:footnoteReference w:id="4"/>
      </w:r>
      <w:r w:rsidRPr="00CD7D2A">
        <w:rPr>
          <w:rFonts w:ascii="Palatino Linotype" w:eastAsia="Palatino Linotype" w:hAnsi="Palatino Linotype" w:cs="Palatino Linotype"/>
          <w:i/>
        </w:rPr>
        <w:t xml:space="preserve"> </w:t>
      </w:r>
      <w:r w:rsidRPr="00CD7D2A">
        <w:rPr>
          <w:rFonts w:ascii="Palatino Linotype" w:eastAsia="Palatino Linotype" w:hAnsi="Palatino Linotype" w:cs="Palatino Linotype"/>
        </w:rPr>
        <w:t>que permite</w:t>
      </w:r>
      <w:r w:rsidRPr="00CD7D2A">
        <w:rPr>
          <w:rFonts w:ascii="Palatino Linotype" w:eastAsia="Palatino Linotype" w:hAnsi="Palatino Linotype" w:cs="Palatino Linotype"/>
          <w:i/>
        </w:rPr>
        <w:t xml:space="preserve"> saber qué están haciendo los gobiernos por sus pueblos, sin lo cual la verdad languidecería y la participación en el gobierno permanecería fragmentada.</w:t>
      </w:r>
      <w:r w:rsidRPr="00CD7D2A">
        <w:rPr>
          <w:rFonts w:ascii="Palatino Linotype" w:eastAsia="Palatino Linotype" w:hAnsi="Palatino Linotype" w:cs="Palatino Linotype"/>
          <w:i/>
          <w:vertAlign w:val="superscript"/>
        </w:rPr>
        <w:footnoteReference w:id="5"/>
      </w:r>
      <w:r w:rsidRPr="00CD7D2A">
        <w:rPr>
          <w:rFonts w:ascii="Palatino Linotype" w:eastAsia="Palatino Linotype" w:hAnsi="Palatino Linotype" w:cs="Palatino Linotype"/>
        </w:rPr>
        <w:t xml:space="preserve"> ” </w:t>
      </w:r>
    </w:p>
    <w:p w14:paraId="615E207B" w14:textId="77777777" w:rsidR="00A45F42" w:rsidRPr="00CD7D2A" w:rsidRDefault="00A45F42">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p>
    <w:p w14:paraId="7310ED8A"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lastRenderedPageBreak/>
        <w:t xml:space="preserve">64. </w:t>
      </w:r>
      <w:r w:rsidRPr="00CD7D2A">
        <w:rPr>
          <w:rFonts w:ascii="Palatino Linotype" w:eastAsia="Palatino Linotype" w:hAnsi="Palatino Linotype" w:cs="Palatino Linotype"/>
        </w:rPr>
        <w:t xml:space="preserve">Es así que, todos los actos de autoridad que realicen los Sujetos Obligados </w:t>
      </w:r>
      <w:r w:rsidRPr="00CD7D2A">
        <w:rPr>
          <w:rFonts w:ascii="Palatino Linotype" w:eastAsia="Palatino Linotype" w:hAnsi="Palatino Linotype" w:cs="Palatino Linotype"/>
          <w:b/>
        </w:rPr>
        <w:t xml:space="preserve">deben estar </w:t>
      </w:r>
      <w:r w:rsidRPr="00CD7D2A">
        <w:rPr>
          <w:rFonts w:ascii="Palatino Linotype" w:eastAsia="Palatino Linotype" w:hAnsi="Palatino Linotype" w:cs="Palatino Linotype"/>
        </w:rPr>
        <w:t>documentados y, bajo el más alto estándar de transparencia deberán poner toda la información que se encuentre en su posesión, a disposición de los particulares que la soliciten.</w:t>
      </w:r>
    </w:p>
    <w:p w14:paraId="6B75C5AF" w14:textId="77777777" w:rsidR="00A45F42" w:rsidRPr="00CD7D2A" w:rsidRDefault="00A45F42">
      <w:pPr>
        <w:pBdr>
          <w:top w:val="nil"/>
          <w:left w:val="nil"/>
          <w:bottom w:val="nil"/>
          <w:right w:val="nil"/>
          <w:between w:val="nil"/>
        </w:pBdr>
        <w:spacing w:line="360" w:lineRule="auto"/>
        <w:ind w:right="-787"/>
        <w:jc w:val="both"/>
        <w:rPr>
          <w:rFonts w:ascii="Palatino Linotype" w:eastAsia="Palatino Linotype" w:hAnsi="Palatino Linotype" w:cs="Palatino Linotype"/>
        </w:rPr>
      </w:pPr>
    </w:p>
    <w:p w14:paraId="202DC2D6"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65. </w:t>
      </w:r>
      <w:r w:rsidRPr="00CD7D2A">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169853C0"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 xml:space="preserve">Artículo 4. </w:t>
      </w:r>
      <w:r w:rsidRPr="00CD7D2A">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6CD1B594"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Toda la información</w:t>
      </w:r>
      <w:r w:rsidRPr="00CD7D2A">
        <w:rPr>
          <w:rFonts w:ascii="Palatino Linotype" w:eastAsia="Palatino Linotype" w:hAnsi="Palatino Linotype" w:cs="Palatino Linotype"/>
          <w:i/>
          <w:sz w:val="22"/>
          <w:szCs w:val="22"/>
        </w:rPr>
        <w:t xml:space="preserve"> generada, obtenida, adquirida, transformada, administrada o </w:t>
      </w:r>
      <w:r w:rsidRPr="00CD7D2A">
        <w:rPr>
          <w:rFonts w:ascii="Palatino Linotype" w:eastAsia="Palatino Linotype" w:hAnsi="Palatino Linotype" w:cs="Palatino Linotype"/>
          <w:b/>
          <w:i/>
          <w:sz w:val="22"/>
          <w:szCs w:val="22"/>
        </w:rPr>
        <w:t>en posesión de los sujetos obligados es pública</w:t>
      </w:r>
      <w:r w:rsidRPr="00CD7D2A">
        <w:rPr>
          <w:rFonts w:ascii="Palatino Linotype" w:eastAsia="Palatino Linotype" w:hAnsi="Palatino Linotype" w:cs="Palatino Linotype"/>
          <w:i/>
          <w:sz w:val="22"/>
          <w:szCs w:val="22"/>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42FDDE2"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7B600F53"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Artículo 12. Quienes generen, recopilen, administren, manejen, procesen, archiven o conserven información pública serán responsables de la misma en los términos de las disposiciones jurídicas aplicables.</w:t>
      </w:r>
    </w:p>
    <w:p w14:paraId="2F38D665" w14:textId="77777777" w:rsidR="00A45F42" w:rsidRPr="00CD7D2A" w:rsidRDefault="000E551E">
      <w:pPr>
        <w:spacing w:line="360" w:lineRule="auto"/>
        <w:ind w:left="141"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CD7D2A">
        <w:rPr>
          <w:rFonts w:ascii="Palatino Linotype" w:eastAsia="Palatino Linotype" w:hAnsi="Palatino Linotype" w:cs="Palatino Linotype"/>
          <w:i/>
          <w:sz w:val="22"/>
          <w:szCs w:val="22"/>
        </w:rPr>
        <w:t xml:space="preserve">. La obligación de proporcionar </w:t>
      </w:r>
      <w:r w:rsidRPr="00CD7D2A">
        <w:rPr>
          <w:rFonts w:ascii="Palatino Linotype" w:eastAsia="Palatino Linotype" w:hAnsi="Palatino Linotype" w:cs="Palatino Linotype"/>
          <w:i/>
          <w:sz w:val="22"/>
          <w:szCs w:val="22"/>
        </w:rPr>
        <w:lastRenderedPageBreak/>
        <w:t>información no comprende el procesamiento de la misma, ni el presentarla conforme al interés del solicitante; no estarán obligados a generarla, resumirla, efectuar cálculos o practicar investigaciones.</w:t>
      </w:r>
    </w:p>
    <w:p w14:paraId="3285A241" w14:textId="77777777" w:rsidR="00A45F42" w:rsidRPr="00CD7D2A" w:rsidRDefault="00A45F42">
      <w:pPr>
        <w:spacing w:line="360" w:lineRule="auto"/>
        <w:ind w:left="141" w:right="-220"/>
        <w:jc w:val="both"/>
        <w:rPr>
          <w:rFonts w:ascii="Palatino Linotype" w:eastAsia="Palatino Linotype" w:hAnsi="Palatino Linotype" w:cs="Palatino Linotype"/>
          <w:i/>
          <w:sz w:val="22"/>
          <w:szCs w:val="22"/>
        </w:rPr>
      </w:pPr>
    </w:p>
    <w:p w14:paraId="4BAE6EFB"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66. </w:t>
      </w:r>
      <w:r w:rsidRPr="00CD7D2A">
        <w:rPr>
          <w:rFonts w:ascii="Palatino Linotype" w:eastAsia="Palatino Linotype" w:hAnsi="Palatino Linotype" w:cs="Palatino Linotype"/>
        </w:rPr>
        <w:t xml:space="preserve">Es así </w:t>
      </w:r>
      <w:r w:rsidRPr="00CD7D2A">
        <w:rPr>
          <w:rFonts w:ascii="Palatino Linotype" w:eastAsia="Palatino Linotype" w:hAnsi="Palatino Linotype" w:cs="Palatino Linotype"/>
          <w:color w:val="000000"/>
        </w:rPr>
        <w:t>que</w:t>
      </w:r>
      <w:r w:rsidRPr="00CD7D2A">
        <w:rPr>
          <w:rFonts w:ascii="Palatino Linotype" w:eastAsia="Palatino Linotype" w:hAnsi="Palatino Linotype" w:cs="Palatino Linotype"/>
        </w:rPr>
        <w:t>,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CD7D2A">
        <w:rPr>
          <w:rFonts w:ascii="Palatino Linotype" w:eastAsia="Palatino Linotype" w:hAnsi="Palatino Linotype" w:cs="Palatino Linotype"/>
          <w:vertAlign w:val="superscript"/>
        </w:rPr>
        <w:footnoteReference w:id="6"/>
      </w:r>
      <w:r w:rsidRPr="00CD7D2A">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DE46514" w14:textId="77777777" w:rsidR="00A45F42" w:rsidRPr="00CD7D2A" w:rsidRDefault="00A45F42">
      <w:pPr>
        <w:pBdr>
          <w:top w:val="nil"/>
          <w:left w:val="nil"/>
          <w:bottom w:val="nil"/>
          <w:right w:val="nil"/>
          <w:between w:val="nil"/>
        </w:pBdr>
        <w:tabs>
          <w:tab w:val="left" w:pos="851"/>
        </w:tabs>
        <w:spacing w:line="360" w:lineRule="auto"/>
        <w:ind w:left="-425" w:right="-787"/>
        <w:jc w:val="both"/>
        <w:rPr>
          <w:rFonts w:ascii="Palatino Linotype" w:eastAsia="Palatino Linotype" w:hAnsi="Palatino Linotype" w:cs="Palatino Linotype"/>
          <w:color w:val="000000"/>
        </w:rPr>
      </w:pPr>
    </w:p>
    <w:p w14:paraId="3E069E8F"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67. </w:t>
      </w:r>
      <w:r w:rsidRPr="00CD7D2A">
        <w:rPr>
          <w:rFonts w:ascii="Palatino Linotype" w:eastAsia="Palatino Linotype" w:hAnsi="Palatino Linotype" w:cs="Palatino Linotype"/>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1EFDBC2D" w14:textId="77777777" w:rsidR="00A45F42" w:rsidRPr="00CD7D2A" w:rsidRDefault="000E551E">
      <w:pPr>
        <w:pBdr>
          <w:top w:val="nil"/>
          <w:left w:val="nil"/>
          <w:bottom w:val="nil"/>
          <w:right w:val="nil"/>
          <w:between w:val="nil"/>
        </w:pBdr>
        <w:spacing w:line="360" w:lineRule="auto"/>
        <w:ind w:left="283" w:right="-220"/>
        <w:jc w:val="both"/>
        <w:rPr>
          <w:rFonts w:ascii="Palatino Linotype" w:eastAsia="Palatino Linotype" w:hAnsi="Palatino Linotype" w:cs="Palatino Linotype"/>
          <w:i/>
          <w:color w:val="000000"/>
          <w:sz w:val="22"/>
          <w:szCs w:val="22"/>
        </w:rPr>
      </w:pPr>
      <w:r w:rsidRPr="00CD7D2A">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CD7D2A">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w:t>
      </w:r>
      <w:r w:rsidRPr="00CD7D2A">
        <w:rPr>
          <w:rFonts w:ascii="Palatino Linotype" w:eastAsia="Palatino Linotype" w:hAnsi="Palatino Linotype" w:cs="Palatino Linotype"/>
          <w:i/>
          <w:color w:val="000000"/>
          <w:sz w:val="22"/>
          <w:szCs w:val="22"/>
        </w:rPr>
        <w:lastRenderedPageBreak/>
        <w:t>"ACCESO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14:paraId="0728D73A"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p>
    <w:p w14:paraId="44D58D7C" w14:textId="77777777" w:rsidR="00A45F42" w:rsidRPr="00CD7D2A" w:rsidRDefault="000E551E">
      <w:pPr>
        <w:spacing w:line="360" w:lineRule="auto"/>
        <w:ind w:left="-425" w:right="-787"/>
        <w:jc w:val="both"/>
        <w:rPr>
          <w:rFonts w:ascii="Palatino Linotype" w:eastAsia="Palatino Linotype" w:hAnsi="Palatino Linotype" w:cs="Palatino Linotype"/>
          <w:b/>
        </w:rPr>
      </w:pPr>
      <w:bookmarkStart w:id="0" w:name="_heading=h.gjdgxs" w:colFirst="0" w:colLast="0"/>
      <w:bookmarkEnd w:id="0"/>
      <w:r w:rsidRPr="00CD7D2A">
        <w:rPr>
          <w:rFonts w:ascii="Palatino Linotype" w:eastAsia="Palatino Linotype" w:hAnsi="Palatino Linotype" w:cs="Palatino Linotype"/>
        </w:rPr>
        <w:t xml:space="preserve"> </w:t>
      </w:r>
      <w:r w:rsidRPr="00CD7D2A">
        <w:rPr>
          <w:rFonts w:ascii="Palatino Linotype" w:eastAsia="Palatino Linotype" w:hAnsi="Palatino Linotype" w:cs="Palatino Linotype"/>
          <w:b/>
        </w:rPr>
        <w:t>QUINTO. De la versión pública.</w:t>
      </w:r>
    </w:p>
    <w:p w14:paraId="4FA1977A" w14:textId="77777777" w:rsidR="00A45F42" w:rsidRPr="00CD7D2A" w:rsidRDefault="000E551E">
      <w:pPr>
        <w:pBdr>
          <w:top w:val="nil"/>
          <w:left w:val="nil"/>
          <w:bottom w:val="nil"/>
          <w:right w:val="nil"/>
          <w:between w:val="nil"/>
        </w:pBd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68.</w:t>
      </w:r>
      <w:r w:rsidRPr="00CD7D2A">
        <w:rPr>
          <w:rFonts w:ascii="Palatino Linotype" w:eastAsia="Palatino Linotype" w:hAnsi="Palatino Linotype" w:cs="Palatino Linotype"/>
        </w:rPr>
        <w:t xml:space="preserve"> Finalmente, debe señalarse que de ser el caso en que los documentos que vayan a ser entregados por el</w:t>
      </w:r>
      <w:r w:rsidRPr="00CD7D2A">
        <w:rPr>
          <w:rFonts w:ascii="Palatino Linotype" w:eastAsia="Palatino Linotype" w:hAnsi="Palatino Linotype" w:cs="Palatino Linotype"/>
          <w:b/>
        </w:rPr>
        <w:t xml:space="preserve"> </w:t>
      </w:r>
      <w:r w:rsidRPr="00CD7D2A">
        <w:rPr>
          <w:rFonts w:ascii="Palatino Linotype" w:eastAsia="Palatino Linotype" w:hAnsi="Palatino Linotype" w:cs="Palatino Linotype"/>
        </w:rPr>
        <w:t xml:space="preserve">sujeto obligado, para dar cumplimiento a la presente resolución, contengan datos que deban ser clasificados, el </w:t>
      </w:r>
      <w:r w:rsidRPr="00CD7D2A">
        <w:rPr>
          <w:rFonts w:ascii="Palatino Linotype" w:eastAsia="Palatino Linotype" w:hAnsi="Palatino Linotype" w:cs="Palatino Linotype"/>
          <w:b/>
        </w:rPr>
        <w:t>Sujeto Obligado</w:t>
      </w:r>
      <w:r w:rsidRPr="00CD7D2A">
        <w:rPr>
          <w:rFonts w:ascii="Palatino Linotype" w:eastAsia="Palatino Linotype" w:hAnsi="Palatino Linotype" w:cs="Palatino Linotype"/>
        </w:rPr>
        <w:t xml:space="preserve"> deberá hacer la elaboración de la versión pública de tales documentos a fin de satisfacer el derecho de acceso a la información pública del recurrente sin menoscabo al derecho a la protección de los datos personales de terceros.</w:t>
      </w:r>
    </w:p>
    <w:p w14:paraId="053CFD77"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rPr>
      </w:pPr>
    </w:p>
    <w:p w14:paraId="0FD45F0D"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 69. </w:t>
      </w:r>
      <w:r w:rsidRPr="00CD7D2A">
        <w:rPr>
          <w:rFonts w:ascii="Palatino Linotype" w:eastAsia="Palatino Linotype" w:hAnsi="Palatino Linotype" w:cs="Palatino Linotype"/>
        </w:rPr>
        <w:t xml:space="preserve">Para efectos de la elaboración de la versión pública se deberá observar lo dispuesto por los artículos 3 fracciones IX, XX, XXI y XLV, 91, 132 fracciones II y III, y 143 </w:t>
      </w:r>
      <w:proofErr w:type="gramStart"/>
      <w:r w:rsidRPr="00CD7D2A">
        <w:rPr>
          <w:rFonts w:ascii="Palatino Linotype" w:eastAsia="Palatino Linotype" w:hAnsi="Palatino Linotype" w:cs="Palatino Linotype"/>
        </w:rPr>
        <w:t>fracción</w:t>
      </w:r>
      <w:proofErr w:type="gramEnd"/>
      <w:r w:rsidRPr="00CD7D2A">
        <w:rPr>
          <w:rFonts w:ascii="Palatino Linotype" w:eastAsia="Palatino Linotype" w:hAnsi="Palatino Linotype" w:cs="Palatino Linotype"/>
        </w:rPr>
        <w:t xml:space="preserve"> I de la Ley de </w:t>
      </w:r>
      <w:r w:rsidRPr="00CD7D2A">
        <w:rPr>
          <w:rFonts w:ascii="Palatino Linotype" w:eastAsia="Palatino Linotype" w:hAnsi="Palatino Linotype" w:cs="Palatino Linotype"/>
        </w:rPr>
        <w:lastRenderedPageBreak/>
        <w:t>Transparencia y Acceso a la Información Pública del Estado de México y Municipios que establecen:</w:t>
      </w:r>
    </w:p>
    <w:p w14:paraId="614F3EA0" w14:textId="77777777" w:rsidR="00A45F42" w:rsidRPr="00CD7D2A" w:rsidRDefault="000E551E">
      <w:pPr>
        <w:spacing w:line="360" w:lineRule="auto"/>
        <w:ind w:left="-425" w:right="-79"/>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r w:rsidRPr="00CD7D2A">
        <w:rPr>
          <w:rFonts w:ascii="Palatino Linotype" w:eastAsia="Palatino Linotype" w:hAnsi="Palatino Linotype" w:cs="Palatino Linotype"/>
          <w:b/>
          <w:i/>
          <w:sz w:val="22"/>
          <w:szCs w:val="22"/>
        </w:rPr>
        <w:t>Artículo 3</w:t>
      </w:r>
      <w:r w:rsidRPr="00CD7D2A">
        <w:rPr>
          <w:rFonts w:ascii="Palatino Linotype" w:eastAsia="Palatino Linotype" w:hAnsi="Palatino Linotype" w:cs="Palatino Linotype"/>
          <w:i/>
          <w:sz w:val="22"/>
          <w:szCs w:val="22"/>
        </w:rPr>
        <w:t>. Para los efectos de la presente Ley se entenderá por:</w:t>
      </w:r>
    </w:p>
    <w:p w14:paraId="38227636" w14:textId="77777777" w:rsidR="00A45F42" w:rsidRPr="00CD7D2A" w:rsidRDefault="000E551E">
      <w:pPr>
        <w:spacing w:line="360" w:lineRule="auto"/>
        <w:ind w:left="-425" w:right="-79"/>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p>
    <w:p w14:paraId="1D1DD9A6" w14:textId="77777777" w:rsidR="00A45F42" w:rsidRPr="00CD7D2A" w:rsidRDefault="000E551E">
      <w:pPr>
        <w:spacing w:line="360" w:lineRule="auto"/>
        <w:ind w:left="-425" w:right="-79"/>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IX. Datos personales</w:t>
      </w:r>
      <w:r w:rsidRPr="00CD7D2A">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1D337B97" w14:textId="77777777" w:rsidR="00A45F42" w:rsidRPr="00CD7D2A" w:rsidRDefault="000E551E">
      <w:pPr>
        <w:spacing w:line="360" w:lineRule="auto"/>
        <w:ind w:left="-425" w:right="-79"/>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XX. Información clasificada</w:t>
      </w:r>
      <w:r w:rsidRPr="00CD7D2A">
        <w:rPr>
          <w:rFonts w:ascii="Palatino Linotype" w:eastAsia="Palatino Linotype" w:hAnsi="Palatino Linotype" w:cs="Palatino Linotype"/>
          <w:i/>
          <w:sz w:val="22"/>
          <w:szCs w:val="22"/>
        </w:rPr>
        <w:t>: Aquella considerada por la presente Ley como reservada o confidencial;</w:t>
      </w:r>
    </w:p>
    <w:p w14:paraId="5B1911DE" w14:textId="77777777" w:rsidR="00A45F42" w:rsidRPr="00CD7D2A" w:rsidRDefault="000E551E">
      <w:pPr>
        <w:spacing w:line="360" w:lineRule="auto"/>
        <w:ind w:left="-425" w:right="-79"/>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 xml:space="preserve">XXI. Información confidencial: </w:t>
      </w:r>
      <w:r w:rsidRPr="00CD7D2A">
        <w:rPr>
          <w:rFonts w:ascii="Palatino Linotype" w:eastAsia="Palatino Linotype" w:hAnsi="Palatino Linotype" w:cs="Palatino Linotype"/>
          <w:i/>
          <w:sz w:val="22"/>
          <w:szCs w:val="22"/>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BCF4C76" w14:textId="77777777" w:rsidR="00A45F42" w:rsidRPr="00CD7D2A" w:rsidRDefault="000E551E">
      <w:pPr>
        <w:spacing w:line="360" w:lineRule="auto"/>
        <w:ind w:left="-425" w:right="-79"/>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XLV. Versión pública:</w:t>
      </w:r>
      <w:r w:rsidRPr="00CD7D2A">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AB52A68" w14:textId="77777777" w:rsidR="00A45F42" w:rsidRPr="00CD7D2A" w:rsidRDefault="000E551E">
      <w:pPr>
        <w:spacing w:line="360" w:lineRule="auto"/>
        <w:ind w:left="-425" w:right="-79"/>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p>
    <w:p w14:paraId="63287BAC" w14:textId="77777777" w:rsidR="00A45F42" w:rsidRPr="00CD7D2A" w:rsidRDefault="00A45F42">
      <w:pPr>
        <w:spacing w:line="360" w:lineRule="auto"/>
        <w:ind w:left="-425" w:right="-787"/>
        <w:jc w:val="both"/>
        <w:rPr>
          <w:rFonts w:ascii="Palatino Linotype" w:eastAsia="Palatino Linotype" w:hAnsi="Palatino Linotype" w:cs="Palatino Linotype"/>
          <w:i/>
        </w:rPr>
      </w:pPr>
    </w:p>
    <w:p w14:paraId="231D4F8D"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Artículo 91.</w:t>
      </w:r>
      <w:r w:rsidRPr="00CD7D2A">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6819470" w14:textId="77777777" w:rsidR="00A45F42" w:rsidRPr="00CD7D2A" w:rsidRDefault="00A45F42">
      <w:pPr>
        <w:spacing w:line="360" w:lineRule="auto"/>
        <w:ind w:left="-425" w:right="-220"/>
        <w:jc w:val="both"/>
        <w:rPr>
          <w:rFonts w:ascii="Palatino Linotype" w:eastAsia="Palatino Linotype" w:hAnsi="Palatino Linotype" w:cs="Palatino Linotype"/>
          <w:i/>
          <w:sz w:val="22"/>
          <w:szCs w:val="22"/>
        </w:rPr>
      </w:pPr>
    </w:p>
    <w:p w14:paraId="242859B7"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Artículo 132.</w:t>
      </w:r>
      <w:r w:rsidRPr="00CD7D2A">
        <w:rPr>
          <w:rFonts w:ascii="Palatino Linotype" w:eastAsia="Palatino Linotype" w:hAnsi="Palatino Linotype" w:cs="Palatino Linotype"/>
          <w:i/>
          <w:sz w:val="22"/>
          <w:szCs w:val="22"/>
        </w:rPr>
        <w:t xml:space="preserve"> La clasificación de la información se llevará a cabo en el momento en que:</w:t>
      </w:r>
    </w:p>
    <w:p w14:paraId="3B0690D5"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w:t>
      </w:r>
      <w:r w:rsidRPr="00CD7D2A">
        <w:rPr>
          <w:rFonts w:ascii="Palatino Linotype" w:eastAsia="Palatino Linotype" w:hAnsi="Palatino Linotype" w:cs="Palatino Linotype"/>
          <w:i/>
          <w:sz w:val="22"/>
          <w:szCs w:val="22"/>
        </w:rPr>
        <w:t>. Se reciba una solicitud de acceso a la información;</w:t>
      </w:r>
    </w:p>
    <w:p w14:paraId="05EEFC92"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II.</w:t>
      </w:r>
      <w:r w:rsidRPr="00CD7D2A">
        <w:rPr>
          <w:rFonts w:ascii="Palatino Linotype" w:eastAsia="Palatino Linotype" w:hAnsi="Palatino Linotype" w:cs="Palatino Linotype"/>
          <w:i/>
          <w:sz w:val="22"/>
          <w:szCs w:val="22"/>
        </w:rPr>
        <w:t xml:space="preserve"> Se determine mediante resolución de autoridad competente; o</w:t>
      </w:r>
    </w:p>
    <w:p w14:paraId="3C5C2190"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III.</w:t>
      </w:r>
      <w:r w:rsidRPr="00CD7D2A">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358077D1"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w:t>
      </w:r>
    </w:p>
    <w:p w14:paraId="1C8152FC"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Artículo 143</w:t>
      </w:r>
      <w:r w:rsidRPr="00CD7D2A">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8596105"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lastRenderedPageBreak/>
        <w:t>I.</w:t>
      </w:r>
      <w:r w:rsidRPr="00CD7D2A">
        <w:rPr>
          <w:rFonts w:ascii="Palatino Linotype" w:eastAsia="Palatino Linotype" w:hAnsi="Palatino Linotype" w:cs="Palatino Linotype"/>
          <w:i/>
          <w:sz w:val="22"/>
          <w:szCs w:val="22"/>
        </w:rPr>
        <w:t xml:space="preserve"> Se refiera a la información privada y los datos personales concernientes a una persona física o </w:t>
      </w:r>
      <w:proofErr w:type="gramStart"/>
      <w:r w:rsidRPr="00CD7D2A">
        <w:rPr>
          <w:rFonts w:ascii="Palatino Linotype" w:eastAsia="Palatino Linotype" w:hAnsi="Palatino Linotype" w:cs="Palatino Linotype"/>
          <w:i/>
          <w:sz w:val="22"/>
          <w:szCs w:val="22"/>
        </w:rPr>
        <w:t>jurídico</w:t>
      </w:r>
      <w:proofErr w:type="gramEnd"/>
      <w:r w:rsidRPr="00CD7D2A">
        <w:rPr>
          <w:rFonts w:ascii="Palatino Linotype" w:eastAsia="Palatino Linotype" w:hAnsi="Palatino Linotype" w:cs="Palatino Linotype"/>
          <w:i/>
          <w:sz w:val="22"/>
          <w:szCs w:val="22"/>
        </w:rPr>
        <w:t xml:space="preserve"> colectiva identificada o identificable;</w:t>
      </w:r>
    </w:p>
    <w:p w14:paraId="07EBBDA2"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II.</w:t>
      </w:r>
      <w:r w:rsidRPr="00CD7D2A">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9D6A7E5"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III.</w:t>
      </w:r>
      <w:r w:rsidRPr="00CD7D2A">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3AF3F74D"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C63093C" w14:textId="77777777" w:rsidR="00A45F42" w:rsidRPr="00CD7D2A" w:rsidRDefault="000E551E">
      <w:pPr>
        <w:spacing w:line="360" w:lineRule="auto"/>
        <w:ind w:left="-425"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3E66087B" w14:textId="77777777" w:rsidR="00A45F42" w:rsidRPr="00CD7D2A" w:rsidRDefault="00A45F42">
      <w:pPr>
        <w:spacing w:line="360" w:lineRule="auto"/>
        <w:ind w:left="-425" w:right="-787"/>
        <w:jc w:val="both"/>
        <w:rPr>
          <w:rFonts w:ascii="Palatino Linotype" w:eastAsia="Palatino Linotype" w:hAnsi="Palatino Linotype" w:cs="Palatino Linotype"/>
          <w:b/>
          <w:i/>
        </w:rPr>
      </w:pPr>
    </w:p>
    <w:p w14:paraId="6B602DAC"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70. </w:t>
      </w:r>
      <w:r w:rsidRPr="00CD7D2A">
        <w:rPr>
          <w:rFonts w:ascii="Palatino Linotype" w:eastAsia="Palatino Linotype" w:hAnsi="Palatino Linotype" w:cs="Palatino Linotype"/>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 como reservada o confidencial la información que posean, desclasificará y generarán, en su caso, versiones públicas de expedientes o documentos que contengan partes o secciones clasificadas.</w:t>
      </w:r>
    </w:p>
    <w:p w14:paraId="63C51B44"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rPr>
      </w:pPr>
    </w:p>
    <w:p w14:paraId="1BB3DC3E"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71. </w:t>
      </w:r>
      <w:r w:rsidRPr="00CD7D2A">
        <w:rPr>
          <w:rFonts w:ascii="Palatino Linotype" w:eastAsia="Palatino Linotype" w:hAnsi="Palatino Linotype" w:cs="Palatino Linotype"/>
        </w:rPr>
        <w:t>Entorno a lo que aquí nos interesa, los Lineamientos Quincuagésimo sexto, Quincuagésimo séptimo y Quincuagésimo octavo, establecen lo siguiente:</w:t>
      </w:r>
    </w:p>
    <w:p w14:paraId="5E14F683" w14:textId="77777777" w:rsidR="00A45F42" w:rsidRPr="00CD7D2A" w:rsidRDefault="000E551E">
      <w:pPr>
        <w:spacing w:line="360" w:lineRule="auto"/>
        <w:ind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lastRenderedPageBreak/>
        <w:t>“Quincuagésimo sexto</w:t>
      </w:r>
      <w:r w:rsidRPr="00CD7D2A">
        <w:rPr>
          <w:rFonts w:ascii="Palatino Linotype" w:eastAsia="Palatino Linotype" w:hAnsi="Palatino Linotype" w:cs="Palatino Linotype"/>
          <w:i/>
          <w:sz w:val="22"/>
          <w:szCs w:val="22"/>
        </w:rPr>
        <w:t>.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6541DE13" w14:textId="77777777" w:rsidR="00A45F42" w:rsidRPr="00CD7D2A" w:rsidRDefault="000E551E">
      <w:pPr>
        <w:spacing w:line="360" w:lineRule="auto"/>
        <w:ind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Quincuagésimo séptimo</w:t>
      </w:r>
      <w:r w:rsidRPr="00CD7D2A">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2AF15A9E" w14:textId="77777777" w:rsidR="00A45F42" w:rsidRPr="00CD7D2A" w:rsidRDefault="000E551E">
      <w:pPr>
        <w:spacing w:line="360" w:lineRule="auto"/>
        <w:ind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w:t>
      </w:r>
      <w:r w:rsidRPr="00CD7D2A">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082E1F77" w14:textId="77777777" w:rsidR="00A45F42" w:rsidRPr="00CD7D2A" w:rsidRDefault="000E551E">
      <w:pPr>
        <w:spacing w:line="360" w:lineRule="auto"/>
        <w:ind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II.</w:t>
      </w:r>
      <w:r w:rsidRPr="00CD7D2A">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6C79D751" w14:textId="77777777" w:rsidR="00A45F42" w:rsidRPr="00CD7D2A" w:rsidRDefault="000E551E">
      <w:pPr>
        <w:spacing w:line="360" w:lineRule="auto"/>
        <w:ind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III.</w:t>
      </w:r>
      <w:r w:rsidRPr="00CD7D2A">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19463C62" w14:textId="77777777" w:rsidR="00A45F42" w:rsidRPr="00CD7D2A" w:rsidRDefault="000E551E">
      <w:pPr>
        <w:spacing w:line="360" w:lineRule="auto"/>
        <w:ind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internaciones suscritos por el Estado mexicano. </w:t>
      </w:r>
    </w:p>
    <w:p w14:paraId="36873C1E" w14:textId="77777777" w:rsidR="00A45F42" w:rsidRPr="00CD7D2A" w:rsidRDefault="000E551E">
      <w:pPr>
        <w:spacing w:line="360" w:lineRule="auto"/>
        <w:ind w:right="-220"/>
        <w:jc w:val="both"/>
        <w:rPr>
          <w:rFonts w:ascii="Palatino Linotype" w:eastAsia="Palatino Linotype" w:hAnsi="Palatino Linotype" w:cs="Palatino Linotype"/>
          <w:i/>
          <w:sz w:val="22"/>
          <w:szCs w:val="22"/>
        </w:rPr>
      </w:pPr>
      <w:r w:rsidRPr="00CD7D2A">
        <w:rPr>
          <w:rFonts w:ascii="Palatino Linotype" w:eastAsia="Palatino Linotype" w:hAnsi="Palatino Linotype" w:cs="Palatino Linotype"/>
          <w:b/>
          <w:i/>
          <w:sz w:val="22"/>
          <w:szCs w:val="22"/>
        </w:rPr>
        <w:t>Quincuagésimo octavo</w:t>
      </w:r>
      <w:r w:rsidRPr="00CD7D2A">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7D1A0D6E" w14:textId="77777777" w:rsidR="00A45F42" w:rsidRPr="00CD7D2A" w:rsidRDefault="00A45F42">
      <w:pPr>
        <w:spacing w:line="360" w:lineRule="auto"/>
        <w:ind w:left="-425" w:right="-787"/>
        <w:jc w:val="both"/>
        <w:rPr>
          <w:rFonts w:ascii="Palatino Linotype" w:eastAsia="Palatino Linotype" w:hAnsi="Palatino Linotype" w:cs="Palatino Linotype"/>
          <w:i/>
        </w:rPr>
      </w:pPr>
    </w:p>
    <w:p w14:paraId="6B82408D"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b/>
        </w:rPr>
        <w:t>72.</w:t>
      </w:r>
      <w:r w:rsidRPr="00CD7D2A">
        <w:rPr>
          <w:rFonts w:ascii="Palatino Linotype" w:eastAsia="Palatino Linotype" w:hAnsi="Palatino Linotype" w:cs="Palatino Linotype"/>
        </w:rPr>
        <w:t xml:space="preserve"> 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D7D2A">
        <w:rPr>
          <w:rFonts w:ascii="Palatino Linotype" w:eastAsia="Palatino Linotype" w:hAnsi="Palatino Linotype" w:cs="Palatino Linotype"/>
          <w:b/>
        </w:rPr>
        <w:t>Sujeto Obligado</w:t>
      </w:r>
      <w:r w:rsidRPr="00CD7D2A">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w:t>
      </w:r>
      <w:r w:rsidRPr="00CD7D2A">
        <w:rPr>
          <w:rFonts w:ascii="Palatino Linotype" w:eastAsia="Palatino Linotype" w:hAnsi="Palatino Linotype" w:cs="Palatino Linotype"/>
        </w:rPr>
        <w:lastRenderedPageBreak/>
        <w:t>testan o suprimen- deja al solicitante en estado de incertidumbre, al no conocer o comprender porque no aparecen en la documentación respectiva.</w:t>
      </w:r>
    </w:p>
    <w:p w14:paraId="7EF34A58" w14:textId="77777777" w:rsidR="00A45F42" w:rsidRPr="00CD7D2A" w:rsidRDefault="00A45F42">
      <w:pPr>
        <w:pBdr>
          <w:top w:val="nil"/>
          <w:left w:val="nil"/>
          <w:bottom w:val="nil"/>
          <w:right w:val="nil"/>
          <w:between w:val="nil"/>
        </w:pBdr>
        <w:tabs>
          <w:tab w:val="left" w:pos="0"/>
          <w:tab w:val="left" w:pos="284"/>
        </w:tabs>
        <w:spacing w:line="360" w:lineRule="auto"/>
        <w:ind w:left="-425" w:right="-787"/>
        <w:jc w:val="both"/>
        <w:rPr>
          <w:rFonts w:ascii="Palatino Linotype" w:eastAsia="Palatino Linotype" w:hAnsi="Palatino Linotype" w:cs="Palatino Linotype"/>
          <w:color w:val="000000"/>
        </w:rPr>
      </w:pPr>
    </w:p>
    <w:p w14:paraId="56780C2D"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b/>
        </w:rPr>
        <w:t xml:space="preserve">73. </w:t>
      </w:r>
      <w:r w:rsidRPr="00CD7D2A">
        <w:rPr>
          <w:rFonts w:ascii="Palatino Linotype" w:eastAsia="Palatino Linotype" w:hAnsi="Palatino Linotype" w:cs="Palatino Linotype"/>
          <w:color w:val="000000"/>
        </w:rPr>
        <w:t>Los sujetos obligados</w:t>
      </w:r>
      <w:r w:rsidRPr="00CD7D2A">
        <w:rPr>
          <w:rFonts w:ascii="Palatino Linotype" w:eastAsia="Palatino Linotype" w:hAnsi="Palatino Linotype" w:cs="Palatino Linotype"/>
          <w:b/>
          <w:color w:val="000000"/>
        </w:rPr>
        <w:t xml:space="preserve"> </w:t>
      </w:r>
      <w:r w:rsidRPr="00CD7D2A">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677FE13" w14:textId="77777777" w:rsidR="00A45F42" w:rsidRPr="00CD7D2A" w:rsidRDefault="00A45F42">
      <w:pPr>
        <w:tabs>
          <w:tab w:val="left" w:pos="284"/>
        </w:tabs>
        <w:spacing w:line="360" w:lineRule="auto"/>
        <w:ind w:left="-425" w:right="-787"/>
        <w:jc w:val="both"/>
        <w:rPr>
          <w:rFonts w:ascii="Palatino Linotype" w:eastAsia="Palatino Linotype" w:hAnsi="Palatino Linotype" w:cs="Palatino Linotype"/>
          <w:color w:val="000000"/>
        </w:rPr>
      </w:pPr>
    </w:p>
    <w:tbl>
      <w:tblPr>
        <w:tblStyle w:val="a3"/>
        <w:tblW w:w="9975" w:type="dxa"/>
        <w:tblInd w:w="-3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35"/>
        <w:gridCol w:w="6840"/>
      </w:tblGrid>
      <w:tr w:rsidR="00A45F42" w:rsidRPr="00CD7D2A" w14:paraId="2796D532" w14:textId="77777777">
        <w:tc>
          <w:tcPr>
            <w:tcW w:w="3135" w:type="dxa"/>
          </w:tcPr>
          <w:p w14:paraId="545B160A"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a) Requisitos previos.</w:t>
            </w:r>
          </w:p>
        </w:tc>
        <w:tc>
          <w:tcPr>
            <w:tcW w:w="6840" w:type="dxa"/>
          </w:tcPr>
          <w:p w14:paraId="45695021"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433DB4D"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14:paraId="04710699"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14:paraId="7F16C52A"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CD7D2A">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CD7D2A">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A45F42" w:rsidRPr="00CD7D2A" w14:paraId="3AA30B10" w14:textId="77777777">
        <w:tc>
          <w:tcPr>
            <w:tcW w:w="3135" w:type="dxa"/>
          </w:tcPr>
          <w:p w14:paraId="607D993B"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lastRenderedPageBreak/>
              <w:t>b) Supuestos de clasificación.</w:t>
            </w:r>
          </w:p>
        </w:tc>
        <w:tc>
          <w:tcPr>
            <w:tcW w:w="6840" w:type="dxa"/>
          </w:tcPr>
          <w:p w14:paraId="4D6C63DE"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14:paraId="52402A04"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298CAA7"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color w:val="000000"/>
                <w:sz w:val="22"/>
                <w:szCs w:val="22"/>
              </w:rPr>
              <w:t xml:space="preserve">El </w:t>
            </w:r>
            <w:r w:rsidRPr="00CD7D2A">
              <w:rPr>
                <w:rFonts w:ascii="Palatino Linotype" w:eastAsia="Palatino Linotype" w:hAnsi="Palatino Linotype" w:cs="Palatino Linotype"/>
                <w:b/>
                <w:color w:val="000000"/>
                <w:sz w:val="22"/>
                <w:szCs w:val="22"/>
              </w:rPr>
              <w:t>Sujeto Obligado</w:t>
            </w:r>
            <w:r w:rsidRPr="00CD7D2A">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45F42" w:rsidRPr="00CD7D2A" w14:paraId="6E9EC6FD" w14:textId="77777777">
        <w:tc>
          <w:tcPr>
            <w:tcW w:w="3135" w:type="dxa"/>
          </w:tcPr>
          <w:p w14:paraId="1BEC269B"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t>c) Formalidades para emitir el acuerdo de clasificación.</w:t>
            </w:r>
          </w:p>
        </w:tc>
        <w:tc>
          <w:tcPr>
            <w:tcW w:w="6840" w:type="dxa"/>
          </w:tcPr>
          <w:p w14:paraId="4D91BEDB"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14:paraId="6B53BA63"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Es necesario que </w:t>
            </w:r>
            <w:r w:rsidRPr="00CD7D2A">
              <w:rPr>
                <w:rFonts w:ascii="Palatino Linotype" w:eastAsia="Palatino Linotype" w:hAnsi="Palatino Linotype" w:cs="Palatino Linotype"/>
                <w:b/>
                <w:color w:val="000000"/>
                <w:sz w:val="22"/>
                <w:szCs w:val="22"/>
                <w:u w:val="single"/>
              </w:rPr>
              <w:t>el acto reúna con los requisitos elementales</w:t>
            </w:r>
            <w:r w:rsidRPr="00CD7D2A">
              <w:rPr>
                <w:rFonts w:ascii="Palatino Linotype" w:eastAsia="Palatino Linotype" w:hAnsi="Palatino Linotype" w:cs="Palatino Linotype"/>
                <w:color w:val="000000"/>
                <w:sz w:val="22"/>
                <w:szCs w:val="22"/>
              </w:rPr>
              <w:t>, entre ellos, que la autoridad que va a emitir el acto de autoridad sea la legalmente facultada para ello.</w:t>
            </w:r>
          </w:p>
          <w:p w14:paraId="06225836"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w:t>
            </w:r>
            <w:r w:rsidRPr="00CD7D2A">
              <w:rPr>
                <w:rFonts w:ascii="Palatino Linotype" w:eastAsia="Palatino Linotype" w:hAnsi="Palatino Linotype" w:cs="Palatino Linotype"/>
                <w:color w:val="000000"/>
                <w:sz w:val="22"/>
                <w:szCs w:val="22"/>
              </w:rPr>
              <w:lastRenderedPageBreak/>
              <w:t xml:space="preserve">el Titular del I. </w:t>
            </w:r>
            <w:r w:rsidRPr="00CD7D2A">
              <w:rPr>
                <w:rFonts w:ascii="Palatino Linotype" w:eastAsia="Palatino Linotype" w:hAnsi="Palatino Linotype" w:cs="Palatino Linotype"/>
                <w:sz w:val="22"/>
                <w:szCs w:val="22"/>
              </w:rPr>
              <w:t>El área</w:t>
            </w:r>
            <w:r w:rsidRPr="00CD7D2A">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45F42" w:rsidRPr="00CD7D2A" w14:paraId="18DFE451" w14:textId="77777777">
        <w:tc>
          <w:tcPr>
            <w:tcW w:w="3135" w:type="dxa"/>
          </w:tcPr>
          <w:p w14:paraId="5C44BAAA" w14:textId="77777777" w:rsidR="00A45F42" w:rsidRPr="00CD7D2A" w:rsidRDefault="00A45F42">
            <w:pPr>
              <w:tabs>
                <w:tab w:val="left" w:pos="-5"/>
              </w:tabs>
              <w:spacing w:line="360" w:lineRule="auto"/>
              <w:ind w:right="-14"/>
              <w:jc w:val="both"/>
              <w:rPr>
                <w:rFonts w:ascii="Palatino Linotype" w:eastAsia="Palatino Linotype" w:hAnsi="Palatino Linotype" w:cs="Palatino Linotype"/>
                <w:sz w:val="22"/>
                <w:szCs w:val="22"/>
              </w:rPr>
            </w:pPr>
          </w:p>
          <w:p w14:paraId="53B9F52E"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color w:val="000000"/>
                <w:sz w:val="22"/>
                <w:szCs w:val="22"/>
              </w:rPr>
              <w:t xml:space="preserve">d) Requisitos de fondo del acuerdo de clasificación. </w:t>
            </w:r>
          </w:p>
        </w:tc>
        <w:tc>
          <w:tcPr>
            <w:tcW w:w="6840" w:type="dxa"/>
          </w:tcPr>
          <w:p w14:paraId="1FFFD55B"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D7D2A">
              <w:rPr>
                <w:rFonts w:ascii="Palatino Linotype" w:eastAsia="Palatino Linotype" w:hAnsi="Palatino Linotype" w:cs="Palatino Linotype"/>
                <w:b/>
                <w:color w:val="000000"/>
                <w:sz w:val="22"/>
                <w:szCs w:val="22"/>
              </w:rPr>
              <w:t>Sujetos Obligados</w:t>
            </w:r>
            <w:r w:rsidRPr="00CD7D2A">
              <w:rPr>
                <w:rFonts w:ascii="Palatino Linotype" w:eastAsia="Palatino Linotype" w:hAnsi="Palatino Linotype" w:cs="Palatino Linotype"/>
                <w:color w:val="000000"/>
                <w:sz w:val="22"/>
                <w:szCs w:val="22"/>
              </w:rPr>
              <w:t xml:space="preserve">, por lo que deberán fundar y motivar debidamente la clasificación. </w:t>
            </w:r>
          </w:p>
          <w:p w14:paraId="34A8D043"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De lo anterior, se desprende que para una correcta </w:t>
            </w:r>
            <w:r w:rsidRPr="00CD7D2A">
              <w:rPr>
                <w:rFonts w:ascii="Palatino Linotype" w:eastAsia="Palatino Linotype" w:hAnsi="Palatino Linotype" w:cs="Palatino Linotype"/>
                <w:b/>
                <w:color w:val="000000"/>
                <w:sz w:val="22"/>
                <w:szCs w:val="22"/>
              </w:rPr>
              <w:t>clasificación total o parcial</w:t>
            </w:r>
            <w:r w:rsidRPr="00CD7D2A">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4B4A69C3"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w:t>
            </w:r>
            <w:r w:rsidRPr="00CD7D2A">
              <w:rPr>
                <w:rFonts w:ascii="Palatino Linotype" w:eastAsia="Palatino Linotype" w:hAnsi="Palatino Linotype" w:cs="Palatino Linotype"/>
                <w:color w:val="000000"/>
                <w:sz w:val="22"/>
                <w:szCs w:val="22"/>
              </w:rPr>
              <w:lastRenderedPageBreak/>
              <w:t>persona que se sienta afectada pueda impugnar la decisión, permitiéndole una real y auténtica defensa.</w:t>
            </w:r>
          </w:p>
          <w:p w14:paraId="00C84C5D"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14:paraId="1F263C31"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Ahora bien, </w:t>
            </w:r>
            <w:r w:rsidRPr="00CD7D2A">
              <w:rPr>
                <w:rFonts w:ascii="Palatino Linotype" w:eastAsia="Palatino Linotype" w:hAnsi="Palatino Linotype" w:cs="Palatino Linotype"/>
                <w:b/>
                <w:color w:val="000000"/>
                <w:sz w:val="22"/>
                <w:szCs w:val="22"/>
                <w:u w:val="single"/>
              </w:rPr>
              <w:t>para cada caso además de fundar y motivar</w:t>
            </w:r>
            <w:r w:rsidRPr="00CD7D2A">
              <w:rPr>
                <w:rFonts w:ascii="Palatino Linotype" w:eastAsia="Palatino Linotype" w:hAnsi="Palatino Linotype" w:cs="Palatino Linotype"/>
                <w:color w:val="000000"/>
                <w:sz w:val="22"/>
                <w:szCs w:val="22"/>
              </w:rPr>
              <w:t xml:space="preserve">, se debe identificar con claridad </w:t>
            </w:r>
            <w:r w:rsidRPr="00CD7D2A">
              <w:rPr>
                <w:rFonts w:ascii="Palatino Linotype" w:eastAsia="Palatino Linotype" w:hAnsi="Palatino Linotype" w:cs="Palatino Linotype"/>
                <w:sz w:val="22"/>
                <w:szCs w:val="22"/>
              </w:rPr>
              <w:t>qué</w:t>
            </w:r>
            <w:r w:rsidRPr="00CD7D2A">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45F42" w:rsidRPr="00CD7D2A" w14:paraId="0606378C" w14:textId="77777777">
        <w:tc>
          <w:tcPr>
            <w:tcW w:w="3135" w:type="dxa"/>
          </w:tcPr>
          <w:p w14:paraId="6046C576"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840" w:type="dxa"/>
          </w:tcPr>
          <w:p w14:paraId="161233BF"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14:paraId="5357E986" w14:textId="77777777" w:rsidR="00A45F42" w:rsidRPr="00CD7D2A" w:rsidRDefault="000E551E">
            <w:pPr>
              <w:tabs>
                <w:tab w:val="left" w:pos="-5"/>
              </w:tabs>
              <w:spacing w:line="360" w:lineRule="auto"/>
              <w:ind w:right="-14"/>
              <w:jc w:val="both"/>
              <w:rPr>
                <w:rFonts w:ascii="Palatino Linotype" w:eastAsia="Palatino Linotype" w:hAnsi="Palatino Linotype" w:cs="Palatino Linotype"/>
                <w:color w:val="000000"/>
                <w:sz w:val="22"/>
                <w:szCs w:val="22"/>
              </w:rPr>
            </w:pPr>
            <w:r w:rsidRPr="00CD7D2A">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EA689ED" w14:textId="77777777" w:rsidR="00A45F42" w:rsidRPr="00CD7D2A" w:rsidRDefault="000E551E">
            <w:pPr>
              <w:tabs>
                <w:tab w:val="left" w:pos="-5"/>
              </w:tabs>
              <w:spacing w:line="360" w:lineRule="auto"/>
              <w:ind w:right="-14"/>
              <w:jc w:val="both"/>
              <w:rPr>
                <w:rFonts w:ascii="Palatino Linotype" w:eastAsia="Palatino Linotype" w:hAnsi="Palatino Linotype" w:cs="Palatino Linotype"/>
                <w:sz w:val="22"/>
                <w:szCs w:val="22"/>
              </w:rPr>
            </w:pPr>
            <w:r w:rsidRPr="00CD7D2A">
              <w:rPr>
                <w:rFonts w:ascii="Palatino Linotype" w:eastAsia="Palatino Linotype" w:hAnsi="Palatino Linotype" w:cs="Palatino Linotype"/>
                <w:color w:val="000000"/>
                <w:sz w:val="22"/>
                <w:szCs w:val="22"/>
              </w:rPr>
              <w:t xml:space="preserve">Pero si la información que se pretende clasificar como confidencial no se encuentra en los supuestos de los artículos señalados y es posible, se deberá consultar al titular de los datos si permite o no el </w:t>
            </w:r>
            <w:r w:rsidRPr="00CD7D2A">
              <w:rPr>
                <w:rFonts w:ascii="Palatino Linotype" w:eastAsia="Palatino Linotype" w:hAnsi="Palatino Linotype" w:cs="Palatino Linotype"/>
                <w:color w:val="000000"/>
                <w:sz w:val="22"/>
                <w:szCs w:val="22"/>
              </w:rPr>
              <w:lastRenderedPageBreak/>
              <w:t>acceso. De no ser posible, la realización de la consulta, procede, fundando y motivando, la clasificación.</w:t>
            </w:r>
          </w:p>
        </w:tc>
      </w:tr>
    </w:tbl>
    <w:p w14:paraId="378D9F72" w14:textId="77777777" w:rsidR="00A45F42" w:rsidRPr="00CD7D2A" w:rsidRDefault="00A45F42">
      <w:pPr>
        <w:tabs>
          <w:tab w:val="left" w:pos="284"/>
        </w:tabs>
        <w:spacing w:line="360" w:lineRule="auto"/>
        <w:ind w:left="-425" w:right="-787"/>
        <w:jc w:val="both"/>
        <w:rPr>
          <w:rFonts w:ascii="Palatino Linotype" w:eastAsia="Palatino Linotype" w:hAnsi="Palatino Linotype" w:cs="Palatino Linotype"/>
          <w:color w:val="000000"/>
        </w:rPr>
      </w:pPr>
    </w:p>
    <w:p w14:paraId="4F2AAAFC"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b/>
        </w:rPr>
        <w:t xml:space="preserve">74. </w:t>
      </w:r>
      <w:r w:rsidRPr="00CD7D2A">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w:t>
      </w:r>
      <w:r w:rsidRPr="00CD7D2A">
        <w:rPr>
          <w:rFonts w:ascii="Palatino Linotype" w:eastAsia="Palatino Linotype" w:hAnsi="Palatino Linotype" w:cs="Palatino Linotype"/>
          <w:color w:val="000000"/>
        </w:rPr>
        <w:t>establecidas</w:t>
      </w:r>
      <w:r w:rsidRPr="00CD7D2A">
        <w:rPr>
          <w:rFonts w:ascii="Palatino Linotype" w:eastAsia="Palatino Linotype" w:hAnsi="Palatino Linotype" w:cs="Palatino Linotype"/>
        </w:rPr>
        <w:t>, asimismo que si entrega un documento testado sin el debido acuerdo de clasificación.</w:t>
      </w:r>
    </w:p>
    <w:p w14:paraId="32EE65D5"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p>
    <w:p w14:paraId="7EC55F83" w14:textId="77777777" w:rsidR="00A45F42" w:rsidRPr="00CD7D2A" w:rsidRDefault="000E551E">
      <w:pPr>
        <w:pBdr>
          <w:top w:val="nil"/>
          <w:left w:val="nil"/>
          <w:bottom w:val="nil"/>
          <w:right w:val="nil"/>
          <w:between w:val="nil"/>
        </w:pBdr>
        <w:spacing w:line="360" w:lineRule="auto"/>
        <w:ind w:left="-566" w:right="-787"/>
        <w:jc w:val="both"/>
        <w:rPr>
          <w:rFonts w:ascii="Palatino Linotype" w:eastAsia="Palatino Linotype" w:hAnsi="Palatino Linotype" w:cs="Palatino Linotype"/>
        </w:rPr>
      </w:pPr>
      <w:r w:rsidRPr="00CD7D2A">
        <w:rPr>
          <w:rFonts w:ascii="Palatino Linotype" w:eastAsia="Palatino Linotype" w:hAnsi="Palatino Linotype" w:cs="Palatino Linotype"/>
          <w:b/>
          <w:color w:val="222222"/>
        </w:rPr>
        <w:t>75.</w:t>
      </w:r>
      <w:r w:rsidRPr="00CD7D2A">
        <w:rPr>
          <w:rFonts w:ascii="Palatino Linotype" w:eastAsia="Palatino Linotype" w:hAnsi="Palatino Linotype" w:cs="Palatino Linotype"/>
          <w:color w:val="222222"/>
        </w:rPr>
        <w:t xml:space="preserve"> Por lo </w:t>
      </w:r>
      <w:r w:rsidRPr="00CD7D2A">
        <w:rPr>
          <w:rFonts w:ascii="Palatino Linotype" w:eastAsia="Palatino Linotype" w:hAnsi="Palatino Linotype" w:cs="Palatino Linotype"/>
        </w:rPr>
        <w:t>anteriormente</w:t>
      </w:r>
      <w:r w:rsidRPr="00CD7D2A">
        <w:rPr>
          <w:rFonts w:ascii="Palatino Linotype" w:eastAsia="Palatino Linotype" w:hAnsi="Palatino Linotype" w:cs="Palatino Linotype"/>
          <w:color w:val="222222"/>
        </w:rPr>
        <w:t xml:space="preserve"> expuesto y fundado, este </w:t>
      </w:r>
      <w:r w:rsidRPr="00CD7D2A">
        <w:rPr>
          <w:rFonts w:ascii="Palatino Linotype" w:eastAsia="Palatino Linotype" w:hAnsi="Palatino Linotype" w:cs="Palatino Linotype"/>
          <w:b/>
          <w:color w:val="222222"/>
        </w:rPr>
        <w:t>ÓRGANO GARANTE</w:t>
      </w:r>
      <w:r w:rsidRPr="00CD7D2A">
        <w:rPr>
          <w:rFonts w:ascii="Palatino Linotype" w:eastAsia="Palatino Linotype" w:hAnsi="Palatino Linotype" w:cs="Palatino Linotype"/>
          <w:color w:val="222222"/>
        </w:rPr>
        <w:t xml:space="preserve"> emite los siguientes:</w:t>
      </w:r>
    </w:p>
    <w:p w14:paraId="74EE1B33" w14:textId="77777777" w:rsidR="00A45F42" w:rsidRPr="00CD7D2A" w:rsidRDefault="00A45F42">
      <w:pPr>
        <w:pBdr>
          <w:top w:val="nil"/>
          <w:left w:val="nil"/>
          <w:bottom w:val="nil"/>
          <w:right w:val="nil"/>
          <w:between w:val="nil"/>
        </w:pBdr>
        <w:ind w:left="-425" w:right="-787"/>
        <w:rPr>
          <w:rFonts w:ascii="Palatino Linotype" w:eastAsia="Palatino Linotype" w:hAnsi="Palatino Linotype" w:cs="Palatino Linotype"/>
          <w:color w:val="000000"/>
        </w:rPr>
      </w:pPr>
    </w:p>
    <w:p w14:paraId="6D96620B" w14:textId="77777777" w:rsidR="00A45F42" w:rsidRPr="00CD7D2A" w:rsidRDefault="000E551E">
      <w:pPr>
        <w:pBdr>
          <w:top w:val="nil"/>
          <w:left w:val="nil"/>
          <w:bottom w:val="nil"/>
          <w:right w:val="nil"/>
          <w:between w:val="nil"/>
        </w:pBdr>
        <w:spacing w:line="360" w:lineRule="auto"/>
        <w:ind w:left="-425" w:right="-787"/>
        <w:jc w:val="center"/>
        <w:rPr>
          <w:rFonts w:ascii="Palatino Linotype" w:eastAsia="Palatino Linotype" w:hAnsi="Palatino Linotype" w:cs="Palatino Linotype"/>
          <w:b/>
          <w:color w:val="000000"/>
        </w:rPr>
      </w:pPr>
      <w:r w:rsidRPr="00CD7D2A">
        <w:rPr>
          <w:rFonts w:ascii="Palatino Linotype" w:eastAsia="Palatino Linotype" w:hAnsi="Palatino Linotype" w:cs="Palatino Linotype"/>
          <w:b/>
          <w:color w:val="000000"/>
        </w:rPr>
        <w:t>R E S O L U T I V O S</w:t>
      </w:r>
    </w:p>
    <w:p w14:paraId="3D3C3D34" w14:textId="77777777" w:rsidR="00A45F42" w:rsidRPr="00CD7D2A" w:rsidRDefault="00A45F42">
      <w:pPr>
        <w:spacing w:line="360" w:lineRule="auto"/>
        <w:ind w:left="-425" w:right="-787"/>
        <w:jc w:val="both"/>
        <w:rPr>
          <w:rFonts w:ascii="Palatino Linotype" w:eastAsia="Palatino Linotype" w:hAnsi="Palatino Linotype" w:cs="Palatino Linotype"/>
          <w:color w:val="000000"/>
        </w:rPr>
      </w:pPr>
    </w:p>
    <w:p w14:paraId="4B04BB72" w14:textId="790538CF"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PRIMERO. </w:t>
      </w:r>
      <w:r w:rsidRPr="00CD7D2A">
        <w:rPr>
          <w:rFonts w:ascii="Palatino Linotype" w:eastAsia="Palatino Linotype" w:hAnsi="Palatino Linotype" w:cs="Palatino Linotype"/>
        </w:rPr>
        <w:t>Resultan parcialmente fundadas las</w:t>
      </w:r>
      <w:r w:rsidRPr="00CD7D2A">
        <w:rPr>
          <w:rFonts w:ascii="Palatino Linotype" w:eastAsia="Palatino Linotype" w:hAnsi="Palatino Linotype" w:cs="Palatino Linotype"/>
          <w:b/>
        </w:rPr>
        <w:t xml:space="preserve"> </w:t>
      </w:r>
      <w:r w:rsidRPr="00CD7D2A">
        <w:rPr>
          <w:rFonts w:ascii="Palatino Linotype" w:eastAsia="Palatino Linotype" w:hAnsi="Palatino Linotype" w:cs="Palatino Linotype"/>
        </w:rPr>
        <w:t>razones o motivos de inconformidad hechos valer en el Recurso de Revisión</w:t>
      </w:r>
      <w:r w:rsidRPr="00CD7D2A">
        <w:rPr>
          <w:rFonts w:ascii="Palatino Linotype" w:eastAsia="Palatino Linotype" w:hAnsi="Palatino Linotype" w:cs="Palatino Linotype"/>
          <w:b/>
        </w:rPr>
        <w:t xml:space="preserve"> 03413/INFOEM/IP/RR/2024</w:t>
      </w:r>
      <w:r w:rsidR="00E170AA" w:rsidRPr="00CD7D2A">
        <w:rPr>
          <w:rFonts w:ascii="Palatino Linotype" w:eastAsia="Palatino Linotype" w:hAnsi="Palatino Linotype" w:cs="Palatino Linotype"/>
          <w:b/>
        </w:rPr>
        <w:t>,</w:t>
      </w:r>
      <w:r w:rsidRPr="00CD7D2A">
        <w:rPr>
          <w:rFonts w:ascii="Palatino Linotype" w:eastAsia="Palatino Linotype" w:hAnsi="Palatino Linotype" w:cs="Palatino Linotype"/>
          <w:b/>
        </w:rPr>
        <w:t xml:space="preserve"> </w:t>
      </w:r>
      <w:r w:rsidRPr="00CD7D2A">
        <w:rPr>
          <w:rFonts w:ascii="Palatino Linotype" w:eastAsia="Palatino Linotype" w:hAnsi="Palatino Linotype" w:cs="Palatino Linotype"/>
        </w:rPr>
        <w:t>en términos de los</w:t>
      </w:r>
      <w:r w:rsidRPr="00CD7D2A">
        <w:rPr>
          <w:rFonts w:ascii="Palatino Linotype" w:eastAsia="Palatino Linotype" w:hAnsi="Palatino Linotype" w:cs="Palatino Linotype"/>
          <w:b/>
        </w:rPr>
        <w:t xml:space="preserve"> Considerandos</w:t>
      </w:r>
      <w:r w:rsidRPr="00CD7D2A">
        <w:rPr>
          <w:rFonts w:ascii="Palatino Linotype" w:eastAsia="Palatino Linotype" w:hAnsi="Palatino Linotype" w:cs="Palatino Linotype"/>
        </w:rPr>
        <w:t xml:space="preserve"> </w:t>
      </w:r>
      <w:r w:rsidRPr="00CD7D2A">
        <w:rPr>
          <w:rFonts w:ascii="Palatino Linotype" w:eastAsia="Palatino Linotype" w:hAnsi="Palatino Linotype" w:cs="Palatino Linotype"/>
          <w:b/>
        </w:rPr>
        <w:t>CUARTO y QUINTO</w:t>
      </w:r>
      <w:r w:rsidRPr="00CD7D2A">
        <w:rPr>
          <w:rFonts w:ascii="Palatino Linotype" w:eastAsia="Palatino Linotype" w:hAnsi="Palatino Linotype" w:cs="Palatino Linotype"/>
        </w:rPr>
        <w:t xml:space="preserve"> de la presente Resolución.</w:t>
      </w:r>
    </w:p>
    <w:p w14:paraId="0F97F02A"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52E53660"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SEGUNDO. </w:t>
      </w:r>
      <w:r w:rsidRPr="00CD7D2A">
        <w:rPr>
          <w:rFonts w:ascii="Palatino Linotype" w:eastAsia="Palatino Linotype" w:hAnsi="Palatino Linotype" w:cs="Palatino Linotype"/>
        </w:rPr>
        <w:t xml:space="preserve">Se </w:t>
      </w:r>
      <w:r w:rsidRPr="00CD7D2A">
        <w:rPr>
          <w:rFonts w:ascii="Palatino Linotype" w:eastAsia="Palatino Linotype" w:hAnsi="Palatino Linotype" w:cs="Palatino Linotype"/>
          <w:b/>
        </w:rPr>
        <w:t>REVOCA</w:t>
      </w:r>
      <w:r w:rsidRPr="00CD7D2A">
        <w:rPr>
          <w:rFonts w:ascii="Palatino Linotype" w:eastAsia="Palatino Linotype" w:hAnsi="Palatino Linotype" w:cs="Palatino Linotype"/>
        </w:rPr>
        <w:t xml:space="preserve"> la respuesta de la</w:t>
      </w:r>
      <w:r w:rsidRPr="00CD7D2A">
        <w:rPr>
          <w:rFonts w:ascii="Palatino Linotype" w:eastAsia="Palatino Linotype" w:hAnsi="Palatino Linotype" w:cs="Palatino Linotype"/>
          <w:b/>
        </w:rPr>
        <w:t xml:space="preserve"> Unidad de Asuntos Internos </w:t>
      </w:r>
      <w:r w:rsidRPr="00CD7D2A">
        <w:rPr>
          <w:rFonts w:ascii="Palatino Linotype" w:eastAsia="Palatino Linotype" w:hAnsi="Palatino Linotype" w:cs="Palatino Linotype"/>
        </w:rPr>
        <w:t xml:space="preserve">y se </w:t>
      </w:r>
      <w:r w:rsidRPr="00CD7D2A">
        <w:rPr>
          <w:rFonts w:ascii="Palatino Linotype" w:eastAsia="Palatino Linotype" w:hAnsi="Palatino Linotype" w:cs="Palatino Linotype"/>
          <w:b/>
        </w:rPr>
        <w:t xml:space="preserve">ORDENA </w:t>
      </w:r>
      <w:r w:rsidRPr="00CD7D2A">
        <w:rPr>
          <w:rFonts w:ascii="Palatino Linotype" w:eastAsia="Palatino Linotype" w:hAnsi="Palatino Linotype" w:cs="Palatino Linotype"/>
        </w:rPr>
        <w:t xml:space="preserve">entregar vía Sistema de Acceso a la Información Mexiquense </w:t>
      </w:r>
      <w:r w:rsidRPr="00CD7D2A">
        <w:rPr>
          <w:rFonts w:ascii="Palatino Linotype" w:eastAsia="Palatino Linotype" w:hAnsi="Palatino Linotype" w:cs="Palatino Linotype"/>
          <w:b/>
        </w:rPr>
        <w:t>(SAIMEX)</w:t>
      </w:r>
      <w:r w:rsidRPr="00CD7D2A">
        <w:rPr>
          <w:rFonts w:ascii="Palatino Linotype" w:eastAsia="Palatino Linotype" w:hAnsi="Palatino Linotype" w:cs="Palatino Linotype"/>
        </w:rPr>
        <w:t>, en versión pública, el documento donde conste  la siguiente información:</w:t>
      </w:r>
    </w:p>
    <w:p w14:paraId="3E63E6C7"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19993B55" w14:textId="77777777" w:rsidR="00A45F42" w:rsidRPr="00CD7D2A" w:rsidRDefault="000E551E">
      <w:pPr>
        <w:numPr>
          <w:ilvl w:val="0"/>
          <w:numId w:val="11"/>
        </w:numPr>
        <w:pBdr>
          <w:top w:val="nil"/>
          <w:left w:val="nil"/>
          <w:bottom w:val="nil"/>
          <w:right w:val="nil"/>
          <w:between w:val="nil"/>
        </w:pBdr>
        <w:spacing w:line="360" w:lineRule="auto"/>
        <w:ind w:left="566" w:right="-787" w:firstLine="0"/>
        <w:jc w:val="both"/>
        <w:rPr>
          <w:rFonts w:ascii="Palatino Linotype" w:eastAsia="Palatino Linotype" w:hAnsi="Palatino Linotype" w:cs="Palatino Linotype"/>
          <w:b/>
          <w:color w:val="000000"/>
        </w:rPr>
      </w:pPr>
      <w:r w:rsidRPr="00CD7D2A">
        <w:rPr>
          <w:rFonts w:ascii="Palatino Linotype" w:eastAsia="Palatino Linotype" w:hAnsi="Palatino Linotype" w:cs="Palatino Linotype"/>
          <w:color w:val="000000"/>
        </w:rPr>
        <w:t xml:space="preserve">El resultado global de evaluación de control de confianza de mandos medios y superiores adscritos a la Unidad de Asuntos Internos (aprobado, no aprobado </w:t>
      </w:r>
      <w:proofErr w:type="spellStart"/>
      <w:r w:rsidRPr="00CD7D2A">
        <w:rPr>
          <w:rFonts w:ascii="Palatino Linotype" w:eastAsia="Palatino Linotype" w:hAnsi="Palatino Linotype" w:cs="Palatino Linotype"/>
          <w:color w:val="000000"/>
        </w:rPr>
        <w:t>u</w:t>
      </w:r>
      <w:proofErr w:type="spellEnd"/>
      <w:r w:rsidRPr="00CD7D2A">
        <w:rPr>
          <w:rFonts w:ascii="Palatino Linotype" w:eastAsia="Palatino Linotype" w:hAnsi="Palatino Linotype" w:cs="Palatino Linotype"/>
          <w:color w:val="000000"/>
        </w:rPr>
        <w:t xml:space="preserve"> homólogo), del 1 de enero de 2021 al 27 de mayo de 2024; </w:t>
      </w:r>
    </w:p>
    <w:p w14:paraId="2685F9F5" w14:textId="77777777" w:rsidR="00A45F42" w:rsidRPr="00CD7D2A" w:rsidRDefault="00A45F42">
      <w:pPr>
        <w:pBdr>
          <w:top w:val="nil"/>
          <w:left w:val="nil"/>
          <w:bottom w:val="nil"/>
          <w:right w:val="nil"/>
          <w:between w:val="nil"/>
        </w:pBdr>
        <w:spacing w:line="360" w:lineRule="auto"/>
        <w:ind w:left="-425" w:right="-787"/>
        <w:jc w:val="both"/>
        <w:rPr>
          <w:rFonts w:ascii="Palatino Linotype" w:eastAsia="Palatino Linotype" w:hAnsi="Palatino Linotype" w:cs="Palatino Linotype"/>
          <w:b/>
          <w:color w:val="000000"/>
        </w:rPr>
      </w:pPr>
    </w:p>
    <w:p w14:paraId="7CD2E9D1" w14:textId="77777777" w:rsidR="00A45F42" w:rsidRPr="00CD7D2A" w:rsidRDefault="000E551E">
      <w:pPr>
        <w:spacing w:line="360" w:lineRule="auto"/>
        <w:ind w:left="-425" w:right="-787"/>
        <w:jc w:val="both"/>
        <w:rPr>
          <w:rFonts w:ascii="Palatino Linotype" w:eastAsia="Palatino Linotype" w:hAnsi="Palatino Linotype" w:cs="Palatino Linotype"/>
        </w:rPr>
      </w:pPr>
      <w:bookmarkStart w:id="1" w:name="_heading=h.3znysh7" w:colFirst="0" w:colLast="0"/>
      <w:bookmarkEnd w:id="1"/>
      <w:r w:rsidRPr="00CD7D2A">
        <w:rPr>
          <w:rFonts w:ascii="Palatino Linotype" w:eastAsia="Palatino Linotype" w:hAnsi="Palatino Linotype" w:cs="Palatino Linotype"/>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w:t>
      </w:r>
    </w:p>
    <w:p w14:paraId="4260F182" w14:textId="77777777" w:rsidR="00A45F42" w:rsidRPr="00CD7D2A" w:rsidRDefault="00A45F42">
      <w:pPr>
        <w:spacing w:line="360" w:lineRule="auto"/>
        <w:ind w:left="-425" w:right="-787"/>
        <w:jc w:val="both"/>
        <w:rPr>
          <w:rFonts w:ascii="Palatino Linotype" w:eastAsia="Palatino Linotype" w:hAnsi="Palatino Linotype" w:cs="Palatino Linotype"/>
          <w:color w:val="222222"/>
        </w:rPr>
      </w:pPr>
      <w:bookmarkStart w:id="2" w:name="_heading=h.1fob9te" w:colFirst="0" w:colLast="0"/>
      <w:bookmarkEnd w:id="2"/>
    </w:p>
    <w:p w14:paraId="1C1DE85D" w14:textId="6EFB6BEB" w:rsidR="00A45F42" w:rsidRPr="00CD7D2A" w:rsidRDefault="000E551E">
      <w:pPr>
        <w:pBdr>
          <w:top w:val="nil"/>
          <w:left w:val="nil"/>
          <w:bottom w:val="nil"/>
          <w:right w:val="nil"/>
          <w:between w:val="nil"/>
        </w:pBdr>
        <w:spacing w:line="360" w:lineRule="auto"/>
        <w:ind w:left="-425" w:right="-787"/>
        <w:jc w:val="both"/>
        <w:rPr>
          <w:rFonts w:ascii="Palatino Linotype" w:eastAsia="Palatino Linotype" w:hAnsi="Palatino Linotype" w:cs="Palatino Linotype"/>
          <w:color w:val="000000"/>
        </w:rPr>
      </w:pPr>
      <w:r w:rsidRPr="00CD7D2A">
        <w:rPr>
          <w:rFonts w:ascii="Palatino Linotype" w:eastAsia="Palatino Linotype" w:hAnsi="Palatino Linotype" w:cs="Palatino Linotype"/>
          <w:b/>
          <w:color w:val="000000"/>
        </w:rPr>
        <w:t xml:space="preserve">TERCERO. </w:t>
      </w:r>
      <w:r w:rsidRPr="00CD7D2A">
        <w:rPr>
          <w:rFonts w:ascii="Palatino Linotype" w:eastAsia="Palatino Linotype" w:hAnsi="Palatino Linotype" w:cs="Palatino Linotype"/>
          <w:b/>
          <w:color w:val="222222"/>
        </w:rPr>
        <w:t>NOTIFÍQUESE</w:t>
      </w:r>
      <w:r w:rsidRPr="00CD7D2A">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w:t>
      </w:r>
      <w:r w:rsidR="00E170AA" w:rsidRPr="00CD7D2A">
        <w:rPr>
          <w:rFonts w:ascii="Palatino Linotype" w:eastAsia="Palatino Linotype" w:hAnsi="Palatino Linotype" w:cs="Palatino Linotype"/>
          <w:color w:val="222222"/>
        </w:rPr>
        <w:t>,</w:t>
      </w:r>
      <w:r w:rsidRPr="00CD7D2A">
        <w:rPr>
          <w:rFonts w:ascii="Palatino Linotype" w:eastAsia="Palatino Linotype" w:hAnsi="Palatino Linotype" w:cs="Palatino Linotype"/>
          <w:color w:val="222222"/>
        </w:rPr>
        <w:t xml:space="preserve"> último párrafo, 189</w:t>
      </w:r>
      <w:r w:rsidR="00E170AA" w:rsidRPr="00CD7D2A">
        <w:rPr>
          <w:rFonts w:ascii="Palatino Linotype" w:eastAsia="Palatino Linotype" w:hAnsi="Palatino Linotype" w:cs="Palatino Linotype"/>
          <w:color w:val="222222"/>
        </w:rPr>
        <w:t>,</w:t>
      </w:r>
      <w:r w:rsidRPr="00CD7D2A">
        <w:rPr>
          <w:rFonts w:ascii="Palatino Linotype" w:eastAsia="Palatino Linotype" w:hAnsi="Palatino Linotype" w:cs="Palatino Linotype"/>
          <w:color w:val="222222"/>
        </w:rPr>
        <w:t xml:space="preserve"> segundo párrafo y 194</w:t>
      </w:r>
      <w:r w:rsidR="00E170AA" w:rsidRPr="00CD7D2A">
        <w:rPr>
          <w:rFonts w:ascii="Palatino Linotype" w:eastAsia="Palatino Linotype" w:hAnsi="Palatino Linotype" w:cs="Palatino Linotype"/>
          <w:color w:val="222222"/>
        </w:rPr>
        <w:t>,</w:t>
      </w:r>
      <w:r w:rsidRPr="00CD7D2A">
        <w:rPr>
          <w:rFonts w:ascii="Palatino Linotype" w:eastAsia="Palatino Linotype" w:hAnsi="Palatino Linotype" w:cs="Palatino Linotype"/>
          <w:color w:val="222222"/>
        </w:rPr>
        <w:t xml:space="preserve"> de la Ley de Transparencia y Acceso a la Información Pública del Estado de México y Municipios; </w:t>
      </w:r>
      <w:r w:rsidRPr="00CD7D2A">
        <w:rPr>
          <w:rFonts w:ascii="Palatino Linotype" w:eastAsia="Palatino Linotype" w:hAnsi="Palatino Linotype" w:cs="Palatino Linotype"/>
          <w:b/>
          <w:color w:val="222222"/>
        </w:rPr>
        <w:t>dé cumplimiento a lo ordenado dentro del plazo de diez días hábiles,</w:t>
      </w:r>
      <w:r w:rsidRPr="00CD7D2A">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267ECFC"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27FB580A" w14:textId="77777777" w:rsidR="00A45F42" w:rsidRPr="00CD7D2A" w:rsidRDefault="000E551E">
      <w:pPr>
        <w:tabs>
          <w:tab w:val="left" w:pos="284"/>
          <w:tab w:val="left" w:pos="8080"/>
        </w:tabs>
        <w:spacing w:line="360" w:lineRule="auto"/>
        <w:ind w:left="-425" w:right="-787"/>
        <w:jc w:val="both"/>
        <w:rPr>
          <w:rFonts w:ascii="Palatino Linotype" w:eastAsia="Palatino Linotype" w:hAnsi="Palatino Linotype" w:cs="Palatino Linotype"/>
          <w:color w:val="222222"/>
        </w:rPr>
      </w:pPr>
      <w:r w:rsidRPr="00CD7D2A">
        <w:rPr>
          <w:rFonts w:ascii="Palatino Linotype" w:eastAsia="Palatino Linotype" w:hAnsi="Palatino Linotype" w:cs="Palatino Linotype"/>
          <w:b/>
        </w:rPr>
        <w:t xml:space="preserve">CUARTO. </w:t>
      </w:r>
      <w:r w:rsidRPr="00CD7D2A">
        <w:rPr>
          <w:rFonts w:ascii="Palatino Linotype" w:eastAsia="Palatino Linotype" w:hAnsi="Palatino Linotype" w:cs="Palatino Linotype"/>
          <w:b/>
          <w:color w:val="222222"/>
        </w:rPr>
        <w:t xml:space="preserve">Notifíquese </w:t>
      </w:r>
      <w:r w:rsidRPr="00CD7D2A">
        <w:rPr>
          <w:rFonts w:ascii="Palatino Linotype" w:eastAsia="Palatino Linotype" w:hAnsi="Palatino Linotype" w:cs="Palatino Linotype"/>
          <w:color w:val="222222"/>
        </w:rPr>
        <w:t xml:space="preserve">al </w:t>
      </w:r>
      <w:r w:rsidRPr="00CD7D2A">
        <w:rPr>
          <w:rFonts w:ascii="Palatino Linotype" w:eastAsia="Palatino Linotype" w:hAnsi="Palatino Linotype" w:cs="Palatino Linotype"/>
          <w:b/>
          <w:color w:val="222222"/>
        </w:rPr>
        <w:t xml:space="preserve">RECURRENTE </w:t>
      </w:r>
      <w:r w:rsidRPr="00CD7D2A">
        <w:rPr>
          <w:rFonts w:ascii="Palatino Linotype" w:eastAsia="Palatino Linotype" w:hAnsi="Palatino Linotype" w:cs="Palatino Linotype"/>
        </w:rPr>
        <w:t>la presente Resolución a través del Sistema de Acceso a la Información Mexiquense (SAIMEX).</w:t>
      </w:r>
    </w:p>
    <w:p w14:paraId="706D3EF6" w14:textId="77777777" w:rsidR="00A45F42" w:rsidRPr="00CD7D2A" w:rsidRDefault="00A45F42">
      <w:pPr>
        <w:tabs>
          <w:tab w:val="left" w:pos="284"/>
          <w:tab w:val="left" w:pos="8080"/>
        </w:tabs>
        <w:spacing w:line="360" w:lineRule="auto"/>
        <w:ind w:left="-425" w:right="-787"/>
        <w:jc w:val="both"/>
        <w:rPr>
          <w:rFonts w:ascii="Palatino Linotype" w:eastAsia="Palatino Linotype" w:hAnsi="Palatino Linotype" w:cs="Palatino Linotype"/>
          <w:color w:val="222222"/>
        </w:rPr>
      </w:pPr>
    </w:p>
    <w:p w14:paraId="2A156093" w14:textId="77777777" w:rsidR="00A45F42" w:rsidRPr="00CD7D2A" w:rsidRDefault="000E551E">
      <w:pPr>
        <w:tabs>
          <w:tab w:val="left" w:pos="284"/>
        </w:tabs>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QUINTO. </w:t>
      </w:r>
      <w:r w:rsidRPr="00CD7D2A">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126AEF6" w14:textId="77777777" w:rsidR="00A45F42" w:rsidRPr="00CD7D2A" w:rsidRDefault="00A45F42">
      <w:pPr>
        <w:tabs>
          <w:tab w:val="left" w:pos="284"/>
        </w:tabs>
        <w:spacing w:line="360" w:lineRule="auto"/>
        <w:ind w:left="-425" w:right="-787"/>
        <w:jc w:val="both"/>
        <w:rPr>
          <w:rFonts w:ascii="Palatino Linotype" w:eastAsia="Palatino Linotype" w:hAnsi="Palatino Linotype" w:cs="Palatino Linotype"/>
        </w:rPr>
      </w:pPr>
    </w:p>
    <w:p w14:paraId="1412D8C1" w14:textId="77777777" w:rsidR="00A45F42" w:rsidRPr="00CD7D2A" w:rsidRDefault="000E551E">
      <w:pPr>
        <w:spacing w:line="360" w:lineRule="auto"/>
        <w:ind w:left="-425" w:right="-787"/>
        <w:jc w:val="both"/>
        <w:rPr>
          <w:rFonts w:ascii="Palatino Linotype" w:eastAsia="Palatino Linotype" w:hAnsi="Palatino Linotype" w:cs="Palatino Linotype"/>
        </w:rPr>
      </w:pPr>
      <w:r w:rsidRPr="00CD7D2A">
        <w:rPr>
          <w:rFonts w:ascii="Palatino Linotype" w:eastAsia="Palatino Linotype" w:hAnsi="Palatino Linotype" w:cs="Palatino Linotype"/>
          <w:b/>
        </w:rPr>
        <w:t xml:space="preserve">SEXTO. </w:t>
      </w:r>
      <w:r w:rsidRPr="00CD7D2A">
        <w:rPr>
          <w:rFonts w:ascii="Palatino Linotype" w:eastAsia="Palatino Linotype" w:hAnsi="Palatino Linotype" w:cs="Palatino Linotype"/>
        </w:rPr>
        <w:t>Se hace del conocimiento del</w:t>
      </w:r>
      <w:r w:rsidRPr="00CD7D2A">
        <w:rPr>
          <w:rFonts w:ascii="Palatino Linotype" w:eastAsia="Palatino Linotype" w:hAnsi="Palatino Linotype" w:cs="Palatino Linotype"/>
          <w:b/>
        </w:rPr>
        <w:t xml:space="preserve"> RECURRENTE </w:t>
      </w:r>
      <w:r w:rsidRPr="00CD7D2A">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32121F3C" w14:textId="77777777" w:rsidR="00A45F42" w:rsidRPr="00CD7D2A" w:rsidRDefault="00A45F42">
      <w:pPr>
        <w:spacing w:line="360" w:lineRule="auto"/>
        <w:ind w:left="-425" w:right="-787"/>
        <w:jc w:val="both"/>
        <w:rPr>
          <w:rFonts w:ascii="Palatino Linotype" w:eastAsia="Palatino Linotype" w:hAnsi="Palatino Linotype" w:cs="Palatino Linotype"/>
        </w:rPr>
      </w:pPr>
    </w:p>
    <w:p w14:paraId="72674FB0" w14:textId="77777777" w:rsidR="00E170AA" w:rsidRPr="003C7186" w:rsidRDefault="00E170AA" w:rsidP="00E170AA">
      <w:pPr>
        <w:spacing w:line="360" w:lineRule="auto"/>
        <w:ind w:left="-426" w:right="-660" w:firstLine="1"/>
        <w:jc w:val="both"/>
        <w:rPr>
          <w:rFonts w:ascii="Palatino Linotype" w:hAnsi="Palatino Linotype"/>
        </w:rPr>
      </w:pPr>
      <w:r w:rsidRPr="00CD7D2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bookmarkStart w:id="3" w:name="_GoBack"/>
      <w:bookmarkEnd w:id="3"/>
      <w:r w:rsidRPr="003C7186">
        <w:rPr>
          <w:rFonts w:ascii="Palatino Linotype" w:hAnsi="Palatino Linotype"/>
        </w:rPr>
        <w:t xml:space="preserve"> </w:t>
      </w:r>
    </w:p>
    <w:p w14:paraId="2FDCAC0B" w14:textId="77777777" w:rsidR="00A45F42" w:rsidRDefault="00A45F42" w:rsidP="00E170AA">
      <w:pPr>
        <w:spacing w:line="360" w:lineRule="auto"/>
        <w:ind w:left="-426" w:right="-660"/>
        <w:jc w:val="both"/>
        <w:rPr>
          <w:rFonts w:ascii="Palatino Linotype" w:eastAsia="Palatino Linotype" w:hAnsi="Palatino Linotype" w:cs="Palatino Linotype"/>
          <w:color w:val="000000"/>
        </w:rPr>
      </w:pPr>
    </w:p>
    <w:p w14:paraId="3FC0FD09" w14:textId="77777777" w:rsidR="00A45F42" w:rsidRDefault="00A45F42" w:rsidP="00E170AA">
      <w:pPr>
        <w:spacing w:line="360" w:lineRule="auto"/>
        <w:ind w:left="-426" w:right="-660"/>
        <w:jc w:val="both"/>
        <w:rPr>
          <w:rFonts w:ascii="Palatino Linotype" w:eastAsia="Palatino Linotype" w:hAnsi="Palatino Linotype" w:cs="Palatino Linotype"/>
          <w:color w:val="000000"/>
        </w:rPr>
      </w:pPr>
    </w:p>
    <w:p w14:paraId="69B81058" w14:textId="77777777" w:rsidR="00A45F42" w:rsidRDefault="00A45F42" w:rsidP="00E170AA">
      <w:pPr>
        <w:spacing w:line="360" w:lineRule="auto"/>
        <w:ind w:left="-426" w:right="-660"/>
        <w:jc w:val="both"/>
        <w:rPr>
          <w:rFonts w:ascii="Palatino Linotype" w:eastAsia="Palatino Linotype" w:hAnsi="Palatino Linotype" w:cs="Palatino Linotype"/>
          <w:color w:val="000000"/>
        </w:rPr>
      </w:pPr>
    </w:p>
    <w:p w14:paraId="5557E426"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27D85A07"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32027850"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23CE70A0"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41C3829E"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0476AEBC"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581A12C6"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7B4F23C5"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261C47B6"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25F7D06F"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2F03F875"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465F7AF1"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57FC529B"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05F9E319"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5E89E0F1"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6A87537E"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649AEFB9"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26EB7C14" w14:textId="77777777" w:rsidR="00A45F42" w:rsidRDefault="00A45F42">
      <w:pPr>
        <w:spacing w:line="360" w:lineRule="auto"/>
        <w:ind w:left="-425" w:right="-787"/>
        <w:jc w:val="both"/>
        <w:rPr>
          <w:rFonts w:ascii="Palatino Linotype" w:eastAsia="Palatino Linotype" w:hAnsi="Palatino Linotype" w:cs="Palatino Linotype"/>
          <w:color w:val="000000"/>
        </w:rPr>
      </w:pPr>
    </w:p>
    <w:p w14:paraId="3303C603" w14:textId="77777777" w:rsidR="00A45F42" w:rsidRDefault="00A45F42">
      <w:pPr>
        <w:spacing w:line="360" w:lineRule="auto"/>
        <w:ind w:left="-425" w:right="-787"/>
        <w:jc w:val="both"/>
        <w:rPr>
          <w:rFonts w:ascii="Palatino Linotype" w:eastAsia="Palatino Linotype" w:hAnsi="Palatino Linotype" w:cs="Palatino Linotype"/>
          <w:color w:val="000000"/>
        </w:rPr>
      </w:pPr>
    </w:p>
    <w:sectPr w:rsidR="00A45F42">
      <w:headerReference w:type="default" r:id="rId11"/>
      <w:footerReference w:type="default" r:id="rId12"/>
      <w:headerReference w:type="first" r:id="rId13"/>
      <w:footerReference w:type="first" r:id="rId14"/>
      <w:pgSz w:w="12240" w:h="15840"/>
      <w:pgMar w:top="2268" w:right="1701" w:bottom="1985"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7C843" w14:textId="77777777" w:rsidR="002974A4" w:rsidRDefault="002974A4">
      <w:r>
        <w:separator/>
      </w:r>
    </w:p>
  </w:endnote>
  <w:endnote w:type="continuationSeparator" w:id="0">
    <w:p w14:paraId="1D644BCE" w14:textId="77777777" w:rsidR="002974A4" w:rsidRDefault="0029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73217" w14:textId="77777777" w:rsidR="00A45F42" w:rsidRDefault="000E551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CD7D2A">
      <w:rPr>
        <w:rFonts w:ascii="Palatino Linotype" w:eastAsia="Palatino Linotype" w:hAnsi="Palatino Linotype" w:cs="Palatino Linotype"/>
        <w:b/>
        <w:noProof/>
        <w:color w:val="000000"/>
        <w:sz w:val="22"/>
        <w:szCs w:val="22"/>
      </w:rPr>
      <w:t>37</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CD7D2A">
      <w:rPr>
        <w:rFonts w:ascii="Palatino Linotype" w:eastAsia="Palatino Linotype" w:hAnsi="Palatino Linotype" w:cs="Palatino Linotype"/>
        <w:b/>
        <w:noProof/>
        <w:color w:val="000000"/>
        <w:sz w:val="22"/>
        <w:szCs w:val="22"/>
      </w:rPr>
      <w:t>39</w:t>
    </w:r>
    <w:r>
      <w:rPr>
        <w:rFonts w:ascii="Palatino Linotype" w:eastAsia="Palatino Linotype" w:hAnsi="Palatino Linotype" w:cs="Palatino Linotype"/>
        <w:b/>
        <w:color w:val="000000"/>
        <w:sz w:val="22"/>
        <w:szCs w:val="22"/>
      </w:rPr>
      <w:fldChar w:fldCharType="end"/>
    </w:r>
  </w:p>
  <w:p w14:paraId="720960C3" w14:textId="77777777" w:rsidR="00A45F42" w:rsidRDefault="00A45F42">
    <w:pPr>
      <w:pBdr>
        <w:top w:val="nil"/>
        <w:left w:val="nil"/>
        <w:bottom w:val="nil"/>
        <w:right w:val="nil"/>
        <w:between w:val="nil"/>
      </w:pBdr>
      <w:tabs>
        <w:tab w:val="center" w:pos="4252"/>
        <w:tab w:val="right" w:pos="8504"/>
      </w:tabs>
      <w:rPr>
        <w:color w:val="000000"/>
      </w:rPr>
    </w:pPr>
  </w:p>
  <w:p w14:paraId="6CD212D2" w14:textId="77777777" w:rsidR="00A45F42" w:rsidRDefault="00A45F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071A1" w14:textId="77777777" w:rsidR="00A45F42" w:rsidRDefault="000E551E">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D7D2A">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D7D2A">
      <w:rPr>
        <w:rFonts w:ascii="Palatino Linotype" w:eastAsia="Palatino Linotype" w:hAnsi="Palatino Linotype" w:cs="Palatino Linotype"/>
        <w:noProof/>
        <w:color w:val="000000"/>
        <w:sz w:val="22"/>
        <w:szCs w:val="22"/>
      </w:rPr>
      <w:t>39</w:t>
    </w:r>
    <w:r>
      <w:rPr>
        <w:rFonts w:ascii="Palatino Linotype" w:eastAsia="Palatino Linotype" w:hAnsi="Palatino Linotype" w:cs="Palatino Linotype"/>
        <w:color w:val="000000"/>
        <w:sz w:val="22"/>
        <w:szCs w:val="22"/>
      </w:rPr>
      <w:fldChar w:fldCharType="end"/>
    </w:r>
  </w:p>
  <w:p w14:paraId="38240FF2" w14:textId="77777777" w:rsidR="00A45F42" w:rsidRDefault="00A45F42">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p w14:paraId="5A848450" w14:textId="77777777" w:rsidR="00A45F42" w:rsidRDefault="00A45F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02897" w14:textId="77777777" w:rsidR="002974A4" w:rsidRDefault="002974A4">
      <w:r>
        <w:separator/>
      </w:r>
    </w:p>
  </w:footnote>
  <w:footnote w:type="continuationSeparator" w:id="0">
    <w:p w14:paraId="5101A350" w14:textId="77777777" w:rsidR="002974A4" w:rsidRDefault="002974A4">
      <w:r>
        <w:continuationSeparator/>
      </w:r>
    </w:p>
  </w:footnote>
  <w:footnote w:id="1">
    <w:p w14:paraId="69326173" w14:textId="77777777" w:rsidR="00A45F42" w:rsidRDefault="000E551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4CD17B14" w14:textId="77777777" w:rsidR="00A45F42" w:rsidRDefault="000E551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1B6B833D" w14:textId="77777777" w:rsidR="00A45F42" w:rsidRDefault="000E551E">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06966DE4" w14:textId="77777777" w:rsidR="00A45F42" w:rsidRDefault="000E551E">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5402762E" w14:textId="77777777" w:rsidR="00A45F42" w:rsidRDefault="000E551E">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20"/>
            <w:szCs w:val="20"/>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7D7C9EF2" w14:textId="77777777" w:rsidR="00A45F42" w:rsidRDefault="000E551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14:paraId="30EA9AC2" w14:textId="77777777" w:rsidR="00A45F42" w:rsidRDefault="000E551E">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14:paraId="333FCD3C" w14:textId="77777777" w:rsidR="00A45F42" w:rsidRDefault="000E551E">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C74C" w14:textId="77777777" w:rsidR="00A45F42" w:rsidRDefault="00A45F42">
    <w:pPr>
      <w:widowControl w:val="0"/>
      <w:pBdr>
        <w:top w:val="nil"/>
        <w:left w:val="nil"/>
        <w:bottom w:val="nil"/>
        <w:right w:val="nil"/>
        <w:between w:val="nil"/>
      </w:pBdr>
      <w:spacing w:line="276" w:lineRule="auto"/>
      <w:rPr>
        <w:color w:val="000000"/>
        <w:sz w:val="20"/>
        <w:szCs w:val="20"/>
      </w:rPr>
    </w:pPr>
  </w:p>
  <w:tbl>
    <w:tblPr>
      <w:tblStyle w:val="a4"/>
      <w:tblW w:w="6950"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60"/>
      <w:gridCol w:w="3690"/>
    </w:tblGrid>
    <w:tr w:rsidR="00A45F42" w14:paraId="2E2BCB97" w14:textId="77777777">
      <w:trPr>
        <w:trHeight w:val="138"/>
        <w:jc w:val="right"/>
      </w:trPr>
      <w:tc>
        <w:tcPr>
          <w:tcW w:w="3260" w:type="dxa"/>
          <w:vAlign w:val="center"/>
        </w:tcPr>
        <w:p w14:paraId="1E86A85F" w14:textId="77777777" w:rsidR="00A45F42" w:rsidRDefault="000E551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90" w:type="dxa"/>
          <w:vAlign w:val="center"/>
        </w:tcPr>
        <w:p w14:paraId="2EF5FE5C" w14:textId="77777777" w:rsidR="00A45F42" w:rsidRDefault="000E551E">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03413/INFOEM/IP/RR/2024</w:t>
          </w:r>
        </w:p>
      </w:tc>
    </w:tr>
    <w:tr w:rsidR="00A45F42" w14:paraId="5772119D" w14:textId="77777777">
      <w:trPr>
        <w:trHeight w:val="233"/>
        <w:jc w:val="right"/>
      </w:trPr>
      <w:tc>
        <w:tcPr>
          <w:tcW w:w="3260" w:type="dxa"/>
          <w:vAlign w:val="center"/>
        </w:tcPr>
        <w:p w14:paraId="612E3439" w14:textId="77777777" w:rsidR="00A45F42" w:rsidRDefault="000E551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90" w:type="dxa"/>
          <w:vAlign w:val="center"/>
        </w:tcPr>
        <w:p w14:paraId="44965CC7" w14:textId="77777777" w:rsidR="00A45F42" w:rsidRDefault="000E551E">
          <w:pPr>
            <w:pBdr>
              <w:top w:val="nil"/>
              <w:left w:val="nil"/>
              <w:bottom w:val="nil"/>
              <w:right w:val="nil"/>
              <w:between w:val="nil"/>
            </w:pBdr>
            <w:tabs>
              <w:tab w:val="center" w:pos="4252"/>
              <w:tab w:val="right" w:pos="8504"/>
            </w:tabs>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Unidad de Asuntos Internos</w:t>
          </w:r>
        </w:p>
      </w:tc>
    </w:tr>
    <w:tr w:rsidR="00A45F42" w14:paraId="0B5902A1" w14:textId="77777777">
      <w:trPr>
        <w:trHeight w:val="321"/>
        <w:jc w:val="right"/>
      </w:trPr>
      <w:tc>
        <w:tcPr>
          <w:tcW w:w="3260" w:type="dxa"/>
          <w:vAlign w:val="center"/>
        </w:tcPr>
        <w:p w14:paraId="4E1A8D46" w14:textId="77777777" w:rsidR="00A45F42" w:rsidRDefault="000E551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90" w:type="dxa"/>
          <w:vAlign w:val="center"/>
        </w:tcPr>
        <w:p w14:paraId="6BAA9D14" w14:textId="77777777" w:rsidR="00A45F42" w:rsidRDefault="000E551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70C67F6D" w14:textId="77777777" w:rsidR="00A45F42" w:rsidRDefault="000E551E">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6371D5B5" wp14:editId="21207C03">
          <wp:simplePos x="0" y="0"/>
          <wp:positionH relativeFrom="page">
            <wp:posOffset>30785</wp:posOffset>
          </wp:positionH>
          <wp:positionV relativeFrom="page">
            <wp:posOffset>30480</wp:posOffset>
          </wp:positionV>
          <wp:extent cx="7695210" cy="10020839"/>
          <wp:effectExtent l="0" t="0" r="0" b="0"/>
          <wp:wrapNone/>
          <wp:docPr id="17415212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5210" cy="10020839"/>
                  </a:xfrm>
                  <a:prstGeom prst="rect">
                    <a:avLst/>
                  </a:prstGeom>
                  <a:ln/>
                </pic:spPr>
              </pic:pic>
            </a:graphicData>
          </a:graphic>
        </wp:anchor>
      </w:drawing>
    </w:r>
  </w:p>
  <w:p w14:paraId="0A13677F" w14:textId="77777777" w:rsidR="00A45F42" w:rsidRDefault="00A45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800AA" w14:textId="77777777" w:rsidR="00A45F42" w:rsidRDefault="002974A4">
    <w:pPr>
      <w:pBdr>
        <w:top w:val="nil"/>
        <w:left w:val="nil"/>
        <w:bottom w:val="nil"/>
        <w:right w:val="nil"/>
        <w:between w:val="nil"/>
      </w:pBdr>
      <w:tabs>
        <w:tab w:val="right" w:pos="8504"/>
        <w:tab w:val="left" w:pos="3103"/>
      </w:tabs>
      <w:rPr>
        <w:color w:val="000000"/>
      </w:rPr>
    </w:pPr>
    <w:r>
      <w:rPr>
        <w:color w:val="000000"/>
      </w:rPr>
      <w:pict w14:anchorId="76425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118.65pt;margin-top:-128.35pt;width:663.5pt;height:12in;z-index:-251658240;mso-position-horizontal:absolute;mso-position-horizontal-relative:margin;mso-position-vertical:absolute;mso-position-vertical-relative:margin">
          <v:imagedata r:id="rId1" o:title="image1"/>
          <w10:wrap anchorx="margin" anchory="margin"/>
        </v:shape>
      </w:pict>
    </w:r>
    <w:r w:rsidR="000E551E">
      <w:rPr>
        <w:color w:val="000000"/>
      </w:rPr>
      <w:tab/>
    </w:r>
  </w:p>
  <w:tbl>
    <w:tblPr>
      <w:tblStyle w:val="a5"/>
      <w:tblW w:w="7365"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3270"/>
      <w:gridCol w:w="4095"/>
    </w:tblGrid>
    <w:tr w:rsidR="00A45F42" w14:paraId="40DFD728" w14:textId="77777777">
      <w:trPr>
        <w:trHeight w:val="138"/>
        <w:jc w:val="right"/>
      </w:trPr>
      <w:tc>
        <w:tcPr>
          <w:tcW w:w="3270" w:type="dxa"/>
          <w:vAlign w:val="center"/>
        </w:tcPr>
        <w:p w14:paraId="302E2FDB" w14:textId="77777777" w:rsidR="00A45F42" w:rsidRDefault="000E551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095" w:type="dxa"/>
          <w:vAlign w:val="center"/>
        </w:tcPr>
        <w:p w14:paraId="76EEC3F0" w14:textId="77777777" w:rsidR="00A45F42" w:rsidRDefault="000E551E">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03413/INFOEM/IP/RR/2024</w:t>
          </w:r>
        </w:p>
      </w:tc>
    </w:tr>
    <w:tr w:rsidR="00A45F42" w14:paraId="42170B47" w14:textId="77777777">
      <w:trPr>
        <w:trHeight w:val="233"/>
        <w:jc w:val="right"/>
      </w:trPr>
      <w:tc>
        <w:tcPr>
          <w:tcW w:w="3270" w:type="dxa"/>
          <w:vAlign w:val="center"/>
        </w:tcPr>
        <w:p w14:paraId="664DF4DE" w14:textId="77777777" w:rsidR="00A45F42" w:rsidRDefault="000E551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095" w:type="dxa"/>
        </w:tcPr>
        <w:p w14:paraId="57B7D299" w14:textId="0328C687" w:rsidR="00A45F42" w:rsidRDefault="00E170AA">
          <w:pPr>
            <w:pBdr>
              <w:top w:val="nil"/>
              <w:left w:val="nil"/>
              <w:bottom w:val="nil"/>
              <w:right w:val="nil"/>
              <w:between w:val="nil"/>
            </w:pBdr>
            <w:tabs>
              <w:tab w:val="center" w:pos="4252"/>
              <w:tab w:val="right" w:pos="8504"/>
            </w:tabs>
            <w:ind w:right="-107"/>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Anónimo</w:t>
          </w:r>
        </w:p>
      </w:tc>
    </w:tr>
    <w:tr w:rsidR="00A45F42" w14:paraId="03CF4216" w14:textId="77777777">
      <w:trPr>
        <w:trHeight w:val="321"/>
        <w:jc w:val="right"/>
      </w:trPr>
      <w:tc>
        <w:tcPr>
          <w:tcW w:w="3270" w:type="dxa"/>
          <w:vAlign w:val="center"/>
        </w:tcPr>
        <w:p w14:paraId="09187884" w14:textId="77777777" w:rsidR="00A45F42" w:rsidRDefault="000E551E">
          <w:pPr>
            <w:ind w:firstLine="459"/>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095" w:type="dxa"/>
          <w:vAlign w:val="center"/>
        </w:tcPr>
        <w:p w14:paraId="0AD40BA4" w14:textId="77777777" w:rsidR="00A45F42" w:rsidRDefault="000E551E">
          <w:pPr>
            <w:jc w:val="both"/>
            <w:rPr>
              <w:rFonts w:ascii="Palatino Linotype" w:eastAsia="Palatino Linotype" w:hAnsi="Palatino Linotype" w:cs="Palatino Linotype"/>
            </w:rPr>
          </w:pPr>
          <w:r>
            <w:rPr>
              <w:rFonts w:ascii="Palatino Linotype" w:eastAsia="Palatino Linotype" w:hAnsi="Palatino Linotype" w:cs="Palatino Linotype"/>
              <w:sz w:val="22"/>
              <w:szCs w:val="22"/>
            </w:rPr>
            <w:t>Unidad de Asuntos Internos</w:t>
          </w:r>
        </w:p>
      </w:tc>
    </w:tr>
    <w:tr w:rsidR="00A45F42" w14:paraId="0EB1EF21" w14:textId="77777777">
      <w:trPr>
        <w:trHeight w:val="321"/>
        <w:jc w:val="right"/>
      </w:trPr>
      <w:tc>
        <w:tcPr>
          <w:tcW w:w="3270" w:type="dxa"/>
          <w:vAlign w:val="center"/>
        </w:tcPr>
        <w:p w14:paraId="4126FF9D" w14:textId="77777777" w:rsidR="00A45F42" w:rsidRDefault="000E551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095" w:type="dxa"/>
          <w:vAlign w:val="center"/>
        </w:tcPr>
        <w:p w14:paraId="1028F7AA" w14:textId="77777777" w:rsidR="00A45F42" w:rsidRDefault="000E551E">
          <w:pPr>
            <w:pBdr>
              <w:top w:val="nil"/>
              <w:left w:val="nil"/>
              <w:bottom w:val="nil"/>
              <w:right w:val="nil"/>
              <w:between w:val="nil"/>
            </w:pBdr>
            <w:tabs>
              <w:tab w:val="center" w:pos="4252"/>
              <w:tab w:val="right" w:pos="8504"/>
            </w:tabs>
            <w:ind w:left="3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5B2F8B92" w14:textId="77777777" w:rsidR="00A45F42" w:rsidRDefault="00A45F42">
    <w:pPr>
      <w:pBdr>
        <w:top w:val="nil"/>
        <w:left w:val="nil"/>
        <w:bottom w:val="nil"/>
        <w:right w:val="nil"/>
        <w:between w:val="nil"/>
      </w:pBdr>
      <w:tabs>
        <w:tab w:val="center" w:pos="4252"/>
        <w:tab w:val="right" w:pos="8504"/>
        <w:tab w:val="left" w:pos="3103"/>
      </w:tabs>
      <w:rPr>
        <w:color w:val="000000"/>
      </w:rPr>
    </w:pPr>
  </w:p>
  <w:p w14:paraId="4A0A3DED" w14:textId="77777777" w:rsidR="00A45F42" w:rsidRDefault="00A45F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D124E"/>
    <w:multiLevelType w:val="multilevel"/>
    <w:tmpl w:val="F464469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15286016"/>
    <w:multiLevelType w:val="multilevel"/>
    <w:tmpl w:val="EB8E6156"/>
    <w:lvl w:ilvl="0">
      <w:start w:val="1"/>
      <w:numFmt w:val="bullet"/>
      <w:pStyle w:val="Listaconvietas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A9E2812"/>
    <w:multiLevelType w:val="multilevel"/>
    <w:tmpl w:val="D6E0F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AF7B8D"/>
    <w:multiLevelType w:val="multilevel"/>
    <w:tmpl w:val="64F0DF42"/>
    <w:lvl w:ilvl="0">
      <w:start w:val="1"/>
      <w:numFmt w:val="bullet"/>
      <w:lvlText w:val="●"/>
      <w:lvlJc w:val="left"/>
      <w:pPr>
        <w:ind w:left="720" w:hanging="360"/>
      </w:pPr>
      <w:rPr>
        <w:rFonts w:ascii="Noto Sans Symbols" w:eastAsia="Noto Sans Symbols" w:hAnsi="Noto Sans Symbols" w:cs="Noto Sans Symbols"/>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53A2428"/>
    <w:multiLevelType w:val="multilevel"/>
    <w:tmpl w:val="A39C30A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3196"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3F67EF1"/>
    <w:multiLevelType w:val="multilevel"/>
    <w:tmpl w:val="71D6871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F734587"/>
    <w:multiLevelType w:val="multilevel"/>
    <w:tmpl w:val="366630E2"/>
    <w:lvl w:ilvl="0">
      <w:start w:val="1"/>
      <w:numFmt w:val="decimal"/>
      <w:lvlText w:val="%1."/>
      <w:lvlJc w:val="left"/>
      <w:pPr>
        <w:ind w:left="502" w:hanging="360"/>
      </w:pPr>
      <w:rPr>
        <w:b/>
        <w:i w:val="0"/>
        <w:sz w:val="24"/>
        <w:szCs w:val="24"/>
      </w:rPr>
    </w:lvl>
    <w:lvl w:ilvl="1">
      <w:start w:val="5"/>
      <w:numFmt w:val="bullet"/>
      <w:lvlText w:val="•"/>
      <w:lvlJc w:val="left"/>
      <w:pPr>
        <w:ind w:left="1785" w:hanging="705"/>
      </w:pPr>
      <w:rPr>
        <w:rFonts w:ascii="Palatino Linotype" w:eastAsia="Palatino Linotype" w:hAnsi="Palatino Linotype" w:cs="Palatino Linotype"/>
      </w:rPr>
    </w:lvl>
    <w:lvl w:ilvl="2">
      <w:start w:val="1"/>
      <w:numFmt w:val="lowerLetter"/>
      <w:lvlText w:val="%3)"/>
      <w:lvlJc w:val="left"/>
      <w:pPr>
        <w:ind w:left="2820" w:hanging="840"/>
      </w:pPr>
    </w:lvl>
    <w:lvl w:ilvl="3">
      <w:start w:val="1"/>
      <w:numFmt w:val="upperRoman"/>
      <w:lvlText w:val="%4."/>
      <w:lvlJc w:val="left"/>
      <w:pPr>
        <w:ind w:left="3240" w:hanging="720"/>
      </w:pPr>
    </w:lvl>
    <w:lvl w:ilvl="4">
      <w:start w:val="1"/>
      <w:numFmt w:val="upperLetter"/>
      <w:lvlText w:val="%5."/>
      <w:lvlJc w:val="left"/>
      <w:pPr>
        <w:ind w:left="786" w:hanging="360"/>
      </w:pPr>
    </w:lvl>
    <w:lvl w:ilvl="5">
      <w:start w:val="70"/>
      <w:numFmt w:val="bullet"/>
      <w:lvlText w:val="·"/>
      <w:lvlJc w:val="left"/>
      <w:pPr>
        <w:ind w:left="4500" w:hanging="360"/>
      </w:pPr>
      <w:rPr>
        <w:rFonts w:ascii="Palatino Linotype" w:eastAsia="Palatino Linotype" w:hAnsi="Palatino Linotype" w:cs="Palatino Linotype"/>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3713AC"/>
    <w:multiLevelType w:val="multilevel"/>
    <w:tmpl w:val="B024F02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nsid w:val="59C949E9"/>
    <w:multiLevelType w:val="multilevel"/>
    <w:tmpl w:val="88EA0CD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nsid w:val="5A8C66E5"/>
    <w:multiLevelType w:val="hybridMultilevel"/>
    <w:tmpl w:val="69C4EA9A"/>
    <w:lvl w:ilvl="0" w:tplc="080A0001">
      <w:start w:val="1"/>
      <w:numFmt w:val="bullet"/>
      <w:lvlText w:val=""/>
      <w:lvlJc w:val="left"/>
      <w:pPr>
        <w:ind w:left="295" w:hanging="360"/>
      </w:pPr>
      <w:rPr>
        <w:rFonts w:ascii="Symbol" w:hAnsi="Symbol" w:hint="default"/>
      </w:rPr>
    </w:lvl>
    <w:lvl w:ilvl="1" w:tplc="080A0003" w:tentative="1">
      <w:start w:val="1"/>
      <w:numFmt w:val="bullet"/>
      <w:lvlText w:val="o"/>
      <w:lvlJc w:val="left"/>
      <w:pPr>
        <w:ind w:left="1015" w:hanging="360"/>
      </w:pPr>
      <w:rPr>
        <w:rFonts w:ascii="Courier New" w:hAnsi="Courier New" w:cs="Courier New" w:hint="default"/>
      </w:rPr>
    </w:lvl>
    <w:lvl w:ilvl="2" w:tplc="080A0005" w:tentative="1">
      <w:start w:val="1"/>
      <w:numFmt w:val="bullet"/>
      <w:lvlText w:val=""/>
      <w:lvlJc w:val="left"/>
      <w:pPr>
        <w:ind w:left="1735" w:hanging="360"/>
      </w:pPr>
      <w:rPr>
        <w:rFonts w:ascii="Wingdings" w:hAnsi="Wingdings" w:hint="default"/>
      </w:rPr>
    </w:lvl>
    <w:lvl w:ilvl="3" w:tplc="080A0001" w:tentative="1">
      <w:start w:val="1"/>
      <w:numFmt w:val="bullet"/>
      <w:lvlText w:val=""/>
      <w:lvlJc w:val="left"/>
      <w:pPr>
        <w:ind w:left="2455" w:hanging="360"/>
      </w:pPr>
      <w:rPr>
        <w:rFonts w:ascii="Symbol" w:hAnsi="Symbol" w:hint="default"/>
      </w:rPr>
    </w:lvl>
    <w:lvl w:ilvl="4" w:tplc="080A0003" w:tentative="1">
      <w:start w:val="1"/>
      <w:numFmt w:val="bullet"/>
      <w:lvlText w:val="o"/>
      <w:lvlJc w:val="left"/>
      <w:pPr>
        <w:ind w:left="3175" w:hanging="360"/>
      </w:pPr>
      <w:rPr>
        <w:rFonts w:ascii="Courier New" w:hAnsi="Courier New" w:cs="Courier New" w:hint="default"/>
      </w:rPr>
    </w:lvl>
    <w:lvl w:ilvl="5" w:tplc="080A0005" w:tentative="1">
      <w:start w:val="1"/>
      <w:numFmt w:val="bullet"/>
      <w:lvlText w:val=""/>
      <w:lvlJc w:val="left"/>
      <w:pPr>
        <w:ind w:left="3895" w:hanging="360"/>
      </w:pPr>
      <w:rPr>
        <w:rFonts w:ascii="Wingdings" w:hAnsi="Wingdings" w:hint="default"/>
      </w:rPr>
    </w:lvl>
    <w:lvl w:ilvl="6" w:tplc="080A0001" w:tentative="1">
      <w:start w:val="1"/>
      <w:numFmt w:val="bullet"/>
      <w:lvlText w:val=""/>
      <w:lvlJc w:val="left"/>
      <w:pPr>
        <w:ind w:left="4615" w:hanging="360"/>
      </w:pPr>
      <w:rPr>
        <w:rFonts w:ascii="Symbol" w:hAnsi="Symbol" w:hint="default"/>
      </w:rPr>
    </w:lvl>
    <w:lvl w:ilvl="7" w:tplc="080A0003" w:tentative="1">
      <w:start w:val="1"/>
      <w:numFmt w:val="bullet"/>
      <w:lvlText w:val="o"/>
      <w:lvlJc w:val="left"/>
      <w:pPr>
        <w:ind w:left="5335" w:hanging="360"/>
      </w:pPr>
      <w:rPr>
        <w:rFonts w:ascii="Courier New" w:hAnsi="Courier New" w:cs="Courier New" w:hint="default"/>
      </w:rPr>
    </w:lvl>
    <w:lvl w:ilvl="8" w:tplc="080A0005" w:tentative="1">
      <w:start w:val="1"/>
      <w:numFmt w:val="bullet"/>
      <w:lvlText w:val=""/>
      <w:lvlJc w:val="left"/>
      <w:pPr>
        <w:ind w:left="6055" w:hanging="360"/>
      </w:pPr>
      <w:rPr>
        <w:rFonts w:ascii="Wingdings" w:hAnsi="Wingdings" w:hint="default"/>
      </w:rPr>
    </w:lvl>
  </w:abstractNum>
  <w:abstractNum w:abstractNumId="10">
    <w:nsid w:val="64C06B73"/>
    <w:multiLevelType w:val="multilevel"/>
    <w:tmpl w:val="DFD69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2365573"/>
    <w:multiLevelType w:val="multilevel"/>
    <w:tmpl w:val="A63E16EE"/>
    <w:lvl w:ilvl="0">
      <w:start w:val="1"/>
      <w:numFmt w:val="lowerLetter"/>
      <w:lvlText w:val="%1)"/>
      <w:lvlJc w:val="left"/>
      <w:pPr>
        <w:ind w:left="1571" w:hanging="360"/>
      </w:pPr>
      <w:rPr>
        <w:b/>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nsid w:val="77A95E52"/>
    <w:multiLevelType w:val="multilevel"/>
    <w:tmpl w:val="5810E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86C1E25"/>
    <w:multiLevelType w:val="multilevel"/>
    <w:tmpl w:val="3940A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8"/>
  </w:num>
  <w:num w:numId="4">
    <w:abstractNumId w:val="3"/>
  </w:num>
  <w:num w:numId="5">
    <w:abstractNumId w:val="4"/>
  </w:num>
  <w:num w:numId="6">
    <w:abstractNumId w:val="2"/>
  </w:num>
  <w:num w:numId="7">
    <w:abstractNumId w:val="13"/>
  </w:num>
  <w:num w:numId="8">
    <w:abstractNumId w:val="7"/>
  </w:num>
  <w:num w:numId="9">
    <w:abstractNumId w:val="12"/>
  </w:num>
  <w:num w:numId="10">
    <w:abstractNumId w:val="10"/>
  </w:num>
  <w:num w:numId="11">
    <w:abstractNumId w:val="11"/>
  </w:num>
  <w:num w:numId="12">
    <w:abstractNumId w:val="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42"/>
    <w:rsid w:val="00047BD4"/>
    <w:rsid w:val="000C5DFA"/>
    <w:rsid w:val="000E551E"/>
    <w:rsid w:val="002974A4"/>
    <w:rsid w:val="002F5592"/>
    <w:rsid w:val="007C50F6"/>
    <w:rsid w:val="00A1172B"/>
    <w:rsid w:val="00A45F42"/>
    <w:rsid w:val="00BF50C7"/>
    <w:rsid w:val="00CA6A99"/>
    <w:rsid w:val="00CD7D2A"/>
    <w:rsid w:val="00E170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76CF3"/>
  <w15:docId w15:val="{112BFC3F-8444-4153-877B-FA2B0882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0D"/>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r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paragraph" w:styleId="Listaconvietas3">
    <w:name w:val="List Bullet 3"/>
    <w:basedOn w:val="Normal"/>
    <w:uiPriority w:val="99"/>
    <w:unhideWhenUsed/>
    <w:rsid w:val="00D9082A"/>
    <w:pPr>
      <w:numPr>
        <w:numId w:val="13"/>
      </w:numPr>
      <w:contextualSpacing/>
    </w:pPr>
    <w:rPr>
      <w:rFonts w:ascii="Times New Roman" w:eastAsia="Times New Roman" w:hAnsi="Times New Roman" w:cs="Times New Roman"/>
      <w:lang w:val="es-ES"/>
    </w:r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mzhJBH1XXH5oB5wmppVr5rbBg==">CgMxLjAyCGguZ2pkZ3hzMgloLjN6bnlzaDcyCWguMWZvYjl0ZTgAciExdHZwQjV5cUhTZHNOQlp2NDVrdXpHNDdNUjlUczlhZ1Y=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173CDC-3C1E-4601-8C18-D3256625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39</Pages>
  <Words>9073</Words>
  <Characters>49905</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INFOEM416</cp:lastModifiedBy>
  <cp:revision>7</cp:revision>
  <cp:lastPrinted>2025-03-13T16:45:00Z</cp:lastPrinted>
  <dcterms:created xsi:type="dcterms:W3CDTF">2025-03-10T22:35:00Z</dcterms:created>
  <dcterms:modified xsi:type="dcterms:W3CDTF">2025-03-13T16:45:00Z</dcterms:modified>
</cp:coreProperties>
</file>