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A2972" w14:textId="21C329FE" w:rsidR="00197609" w:rsidRPr="00A87AFB" w:rsidRDefault="00247528" w:rsidP="00457B44">
      <w:pPr>
        <w:spacing w:line="360" w:lineRule="auto"/>
        <w:jc w:val="both"/>
        <w:rPr>
          <w:rFonts w:ascii="Palatino Linotype" w:eastAsia="Palatino Linotype" w:hAnsi="Palatino Linotype" w:cs="Palatino Linotype"/>
          <w:sz w:val="22"/>
          <w:szCs w:val="22"/>
        </w:rPr>
      </w:pPr>
      <w:r w:rsidRPr="00427F23">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4720A" w:rsidRPr="00A87AFB">
        <w:rPr>
          <w:rFonts w:ascii="Palatino Linotype" w:eastAsia="Palatino Linotype" w:hAnsi="Palatino Linotype" w:cs="Palatino Linotype"/>
          <w:sz w:val="22"/>
          <w:szCs w:val="22"/>
        </w:rPr>
        <w:t>nueve de julio</w:t>
      </w:r>
      <w:r w:rsidRPr="00A87AFB">
        <w:rPr>
          <w:rFonts w:ascii="Palatino Linotype" w:eastAsia="Palatino Linotype" w:hAnsi="Palatino Linotype" w:cs="Palatino Linotype"/>
          <w:sz w:val="22"/>
          <w:szCs w:val="22"/>
        </w:rPr>
        <w:t xml:space="preserve"> de dos mil veinticinco. </w:t>
      </w:r>
    </w:p>
    <w:p w14:paraId="2F14831F" w14:textId="77777777" w:rsidR="00F73FE3" w:rsidRPr="00A87AFB" w:rsidRDefault="00F73FE3" w:rsidP="00457B44">
      <w:pPr>
        <w:spacing w:line="360" w:lineRule="auto"/>
        <w:jc w:val="both"/>
        <w:rPr>
          <w:rFonts w:ascii="Palatino Linotype" w:eastAsia="Palatino Linotype" w:hAnsi="Palatino Linotype" w:cs="Palatino Linotype"/>
          <w:b/>
          <w:sz w:val="22"/>
          <w:szCs w:val="22"/>
        </w:rPr>
      </w:pPr>
    </w:p>
    <w:p w14:paraId="63D4DC6B" w14:textId="2ADCD10A"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VISTO</w:t>
      </w:r>
      <w:r w:rsidRPr="00A87AFB">
        <w:rPr>
          <w:rFonts w:ascii="Palatino Linotype" w:eastAsia="Palatino Linotype" w:hAnsi="Palatino Linotype" w:cs="Palatino Linotype"/>
          <w:sz w:val="22"/>
          <w:szCs w:val="22"/>
        </w:rPr>
        <w:t xml:space="preserve"> el expediente formado con motivo del recurso de revisión </w:t>
      </w:r>
      <w:r w:rsidR="0094720A" w:rsidRPr="00A87AFB">
        <w:rPr>
          <w:rFonts w:ascii="Palatino Linotype" w:eastAsia="Palatino Linotype" w:hAnsi="Palatino Linotype" w:cs="Palatino Linotype"/>
          <w:b/>
          <w:sz w:val="22"/>
          <w:szCs w:val="22"/>
        </w:rPr>
        <w:t>03949</w:t>
      </w:r>
      <w:r w:rsidRPr="00A87AFB">
        <w:rPr>
          <w:rFonts w:ascii="Palatino Linotype" w:eastAsia="Palatino Linotype" w:hAnsi="Palatino Linotype" w:cs="Palatino Linotype"/>
          <w:b/>
          <w:sz w:val="22"/>
          <w:szCs w:val="22"/>
        </w:rPr>
        <w:t>/INFOEM/IP/RR/2025</w:t>
      </w:r>
      <w:r w:rsidRPr="00A87AFB">
        <w:rPr>
          <w:rFonts w:ascii="Palatino Linotype" w:eastAsia="Palatino Linotype" w:hAnsi="Palatino Linotype" w:cs="Palatino Linotype"/>
          <w:sz w:val="22"/>
          <w:szCs w:val="22"/>
        </w:rPr>
        <w:t>, por</w:t>
      </w:r>
      <w:r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interpuesto por</w:t>
      </w:r>
      <w:r w:rsidRPr="00A87AFB">
        <w:rPr>
          <w:rFonts w:ascii="Palatino Linotype" w:eastAsia="Palatino Linotype" w:hAnsi="Palatino Linotype" w:cs="Palatino Linotype"/>
          <w:b/>
          <w:sz w:val="22"/>
          <w:szCs w:val="22"/>
        </w:rPr>
        <w:t xml:space="preserve"> </w:t>
      </w:r>
      <w:r w:rsidR="00C703E9" w:rsidRPr="00C703E9">
        <w:rPr>
          <w:rFonts w:ascii="Palatino Linotype" w:eastAsia="Palatino Linotype" w:hAnsi="Palatino Linotype" w:cs="Palatino Linotype"/>
          <w:b/>
          <w:sz w:val="22"/>
          <w:szCs w:val="22"/>
        </w:rPr>
        <w:t>XXXX XXXXX</w:t>
      </w:r>
      <w:r w:rsidRPr="00A87AFB">
        <w:rPr>
          <w:rFonts w:ascii="Palatino Linotype" w:eastAsia="Palatino Linotype" w:hAnsi="Palatino Linotype" w:cs="Palatino Linotype"/>
          <w:b/>
          <w:sz w:val="22"/>
          <w:szCs w:val="22"/>
        </w:rPr>
        <w:t>,</w:t>
      </w:r>
      <w:r w:rsidRPr="00A87AFB">
        <w:rPr>
          <w:rFonts w:ascii="Palatino Linotype" w:eastAsia="Palatino Linotype" w:hAnsi="Palatino Linotype" w:cs="Palatino Linotype"/>
          <w:sz w:val="22"/>
          <w:szCs w:val="22"/>
        </w:rPr>
        <w:t xml:space="preserve"> en lo sucesivo la parte </w:t>
      </w:r>
      <w:r w:rsidR="00F73FE3"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b/>
          <w:sz w:val="22"/>
          <w:szCs w:val="22"/>
        </w:rPr>
        <w:t>,</w:t>
      </w:r>
      <w:r w:rsidRPr="00A87AFB">
        <w:rPr>
          <w:rFonts w:ascii="Palatino Linotype" w:eastAsia="Palatino Linotype" w:hAnsi="Palatino Linotype" w:cs="Palatino Linotype"/>
          <w:sz w:val="22"/>
          <w:szCs w:val="22"/>
        </w:rPr>
        <w:t xml:space="preserve"> en contra de la respuesta a su solicitud por parte del </w:t>
      </w:r>
      <w:r w:rsidR="0094720A" w:rsidRPr="00A87AFB">
        <w:rPr>
          <w:rFonts w:ascii="Palatino Linotype" w:eastAsia="Palatino Linotype" w:hAnsi="Palatino Linotype" w:cs="Palatino Linotype"/>
          <w:b/>
          <w:sz w:val="22"/>
          <w:szCs w:val="22"/>
        </w:rPr>
        <w:t>Ayuntamiento de Tenancingo</w:t>
      </w:r>
      <w:r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 xml:space="preserve">en lo sucesivo el </w:t>
      </w:r>
      <w:r w:rsidR="00F73FE3"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se procede a dictar la presente resolución co</w:t>
      </w:r>
      <w:r w:rsidR="00F73FE3" w:rsidRPr="00A87AFB">
        <w:rPr>
          <w:rFonts w:ascii="Palatino Linotype" w:eastAsia="Palatino Linotype" w:hAnsi="Palatino Linotype" w:cs="Palatino Linotype"/>
          <w:sz w:val="22"/>
          <w:szCs w:val="22"/>
        </w:rPr>
        <w:t xml:space="preserve">n base en los siguientes: </w:t>
      </w:r>
    </w:p>
    <w:p w14:paraId="194523C6" w14:textId="77777777" w:rsidR="00F73FE3" w:rsidRPr="00A87AFB" w:rsidRDefault="00F73FE3" w:rsidP="00457B44">
      <w:pPr>
        <w:spacing w:line="360" w:lineRule="auto"/>
        <w:jc w:val="both"/>
        <w:rPr>
          <w:rFonts w:ascii="Palatino Linotype" w:eastAsia="Palatino Linotype" w:hAnsi="Palatino Linotype" w:cs="Palatino Linotype"/>
          <w:sz w:val="22"/>
          <w:szCs w:val="22"/>
        </w:rPr>
      </w:pPr>
    </w:p>
    <w:p w14:paraId="7818E52F" w14:textId="446F51CC" w:rsidR="00197609" w:rsidRPr="00A87AFB" w:rsidRDefault="00247528" w:rsidP="00F73FE3">
      <w:pPr>
        <w:pStyle w:val="Prrafodelista"/>
        <w:numPr>
          <w:ilvl w:val="0"/>
          <w:numId w:val="41"/>
        </w:numPr>
        <w:spacing w:line="360" w:lineRule="auto"/>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A N T E C E D E N T E S</w:t>
      </w:r>
    </w:p>
    <w:p w14:paraId="0C7A21CC" w14:textId="77777777" w:rsidR="00F73FE3" w:rsidRPr="00A87AFB" w:rsidRDefault="00F73FE3" w:rsidP="00F73FE3">
      <w:pPr>
        <w:pStyle w:val="Prrafodelista"/>
        <w:spacing w:line="360" w:lineRule="auto"/>
        <w:ind w:left="1080"/>
        <w:rPr>
          <w:rFonts w:ascii="Palatino Linotype" w:eastAsia="Palatino Linotype" w:hAnsi="Palatino Linotype" w:cs="Palatino Linotype"/>
          <w:b/>
          <w:sz w:val="22"/>
          <w:szCs w:val="22"/>
        </w:rPr>
      </w:pPr>
    </w:p>
    <w:p w14:paraId="6E1D46FD" w14:textId="40B01F20"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1. Solicitud de acceso a la información.</w:t>
      </w:r>
      <w:r w:rsidRPr="00A87AFB">
        <w:rPr>
          <w:rFonts w:ascii="Palatino Linotype" w:eastAsia="Palatino Linotype" w:hAnsi="Palatino Linotype" w:cs="Palatino Linotype"/>
          <w:sz w:val="22"/>
          <w:szCs w:val="22"/>
        </w:rPr>
        <w:t xml:space="preserve"> Con fecha </w:t>
      </w:r>
      <w:r w:rsidR="0094720A" w:rsidRPr="00A87AFB">
        <w:rPr>
          <w:rFonts w:ascii="Palatino Linotype" w:eastAsia="Palatino Linotype" w:hAnsi="Palatino Linotype" w:cs="Palatino Linotype"/>
          <w:b/>
          <w:sz w:val="22"/>
          <w:szCs w:val="22"/>
        </w:rPr>
        <w:t>trece de marzo de dos mil veinticinco</w:t>
      </w:r>
      <w:r w:rsidRPr="00A87AFB">
        <w:rPr>
          <w:rFonts w:ascii="Palatino Linotype" w:eastAsia="Palatino Linotype" w:hAnsi="Palatino Linotype" w:cs="Palatino Linotype"/>
          <w:sz w:val="22"/>
          <w:szCs w:val="22"/>
        </w:rPr>
        <w:t xml:space="preserve">, el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formuló una solicitud, través del Sistema de Acceso a la Información Mexiquense, en lo subsecuente el </w:t>
      </w:r>
      <w:r w:rsidRPr="00A87AFB">
        <w:rPr>
          <w:rFonts w:ascii="Palatino Linotype" w:eastAsia="Palatino Linotype" w:hAnsi="Palatino Linotype" w:cs="Palatino Linotype"/>
          <w:b/>
          <w:sz w:val="22"/>
          <w:szCs w:val="22"/>
        </w:rPr>
        <w:t>SAIMEX,</w:t>
      </w:r>
      <w:r w:rsidRPr="00A87AFB">
        <w:rPr>
          <w:rFonts w:ascii="Palatino Linotype" w:eastAsia="Palatino Linotype" w:hAnsi="Palatino Linotype" w:cs="Palatino Linotype"/>
          <w:sz w:val="22"/>
          <w:szCs w:val="22"/>
        </w:rPr>
        <w:t xml:space="preserve"> ante el </w:t>
      </w:r>
      <w:r w:rsidR="00F73FE3"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la solicitud de acceso a la información pública, a la que se le asignó el número</w:t>
      </w:r>
      <w:r w:rsidRPr="00A87AFB">
        <w:rPr>
          <w:rFonts w:ascii="Palatino Linotype" w:eastAsia="Palatino Linotype" w:hAnsi="Palatino Linotype" w:cs="Palatino Linotype"/>
          <w:b/>
          <w:sz w:val="22"/>
          <w:szCs w:val="22"/>
        </w:rPr>
        <w:t xml:space="preserve"> </w:t>
      </w:r>
      <w:r w:rsidR="0094720A" w:rsidRPr="00A87AFB">
        <w:rPr>
          <w:rFonts w:ascii="Palatino Linotype" w:eastAsia="Palatino Linotype" w:hAnsi="Palatino Linotype" w:cs="Palatino Linotype"/>
          <w:b/>
          <w:sz w:val="22"/>
          <w:szCs w:val="22"/>
        </w:rPr>
        <w:t>00318/TENANCIN/IP/2025</w:t>
      </w:r>
      <w:r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mediante la cual requ</w:t>
      </w:r>
      <w:r w:rsidR="00F73FE3" w:rsidRPr="00A87AFB">
        <w:rPr>
          <w:rFonts w:ascii="Palatino Linotype" w:eastAsia="Palatino Linotype" w:hAnsi="Palatino Linotype" w:cs="Palatino Linotype"/>
          <w:sz w:val="22"/>
          <w:szCs w:val="22"/>
        </w:rPr>
        <w:t xml:space="preserve">irió la información siguiente: </w:t>
      </w:r>
    </w:p>
    <w:p w14:paraId="094D8C1B" w14:textId="77777777" w:rsidR="00F73FE3" w:rsidRPr="00A87AFB" w:rsidRDefault="00F73FE3" w:rsidP="00457B44">
      <w:pPr>
        <w:spacing w:line="360" w:lineRule="auto"/>
        <w:jc w:val="both"/>
        <w:rPr>
          <w:rFonts w:ascii="Palatino Linotype" w:eastAsia="Palatino Linotype" w:hAnsi="Palatino Linotype" w:cs="Palatino Linotype"/>
          <w:sz w:val="22"/>
          <w:szCs w:val="22"/>
        </w:rPr>
      </w:pPr>
    </w:p>
    <w:p w14:paraId="74394F1E" w14:textId="1D4D35C6" w:rsidR="00197609" w:rsidRPr="00A87AFB" w:rsidRDefault="00247528" w:rsidP="00F73FE3">
      <w:pPr>
        <w:ind w:left="851" w:right="616"/>
        <w:jc w:val="both"/>
        <w:rPr>
          <w:rFonts w:ascii="Palatino Linotype" w:eastAsia="Palatino Linotype" w:hAnsi="Palatino Linotype" w:cs="Palatino Linotype"/>
          <w:i/>
          <w:sz w:val="22"/>
          <w:szCs w:val="22"/>
        </w:rPr>
      </w:pPr>
      <w:bookmarkStart w:id="0" w:name="_heading=h.gjdgxs" w:colFirst="0" w:colLast="0"/>
      <w:bookmarkEnd w:id="0"/>
      <w:r w:rsidRPr="00A87AFB">
        <w:rPr>
          <w:rFonts w:ascii="Palatino Linotype" w:eastAsia="Palatino Linotype" w:hAnsi="Palatino Linotype" w:cs="Palatino Linotype"/>
          <w:i/>
          <w:sz w:val="22"/>
          <w:szCs w:val="22"/>
        </w:rPr>
        <w:t>“</w:t>
      </w:r>
      <w:r w:rsidR="0094720A" w:rsidRPr="00A87AFB">
        <w:rPr>
          <w:rFonts w:ascii="Palatino Linotype" w:eastAsia="Palatino Linotype" w:hAnsi="Palatino Linotype" w:cs="Palatino Linotype"/>
          <w:i/>
          <w:sz w:val="22"/>
          <w:szCs w:val="22"/>
        </w:rPr>
        <w:t xml:space="preserve">SOLICITO QUE EL AYUNTAMIENTO DE TENANCINGO, POR CONDUCTO DEL SERVIDOR PÚBLICO HABILITADO, ES DECIR, EL TITULAR DEL ÓRGANO INTERNO DE CONTROL MUNICIPAL, REMITA </w:t>
      </w:r>
      <w:r w:rsidR="0094720A" w:rsidRPr="00A87AFB">
        <w:rPr>
          <w:rFonts w:ascii="Palatino Linotype" w:eastAsia="Palatino Linotype" w:hAnsi="Palatino Linotype" w:cs="Palatino Linotype"/>
          <w:b/>
          <w:i/>
          <w:sz w:val="22"/>
          <w:szCs w:val="22"/>
        </w:rPr>
        <w:t>LOS ACUERDOS DE RADICACIÓN DE LOS EXPEDIENTES NÚMEROS PMT058/CM/AI/CP/001/2025, PMT058/CM/AI/CP/002/2025, PMT058/CM/AI/233/2022, PMT058/CM/AI/235/2022 Y PMT058/CM/AI/236/2022;</w:t>
      </w:r>
      <w:r w:rsidR="0094720A" w:rsidRPr="00A87AFB">
        <w:rPr>
          <w:rFonts w:ascii="Palatino Linotype" w:eastAsia="Palatino Linotype" w:hAnsi="Palatino Linotype" w:cs="Palatino Linotype"/>
          <w:i/>
          <w:sz w:val="22"/>
          <w:szCs w:val="22"/>
        </w:rPr>
        <w:t xml:space="preserve"> ASÍ COMO ÚNICAMENTE, </w:t>
      </w:r>
      <w:r w:rsidR="0094720A" w:rsidRPr="00A87AFB">
        <w:rPr>
          <w:rFonts w:ascii="Palatino Linotype" w:eastAsia="Palatino Linotype" w:hAnsi="Palatino Linotype" w:cs="Palatino Linotype"/>
          <w:b/>
          <w:i/>
          <w:sz w:val="22"/>
          <w:szCs w:val="22"/>
        </w:rPr>
        <w:t>LAS DILIGENCIAS DE INVESTIGACIÓN EFECTUADAS POR ESE ÓRGANO DE CONTROL INTERNO</w:t>
      </w:r>
      <w:r w:rsidR="0094720A" w:rsidRPr="00A87AFB">
        <w:rPr>
          <w:rFonts w:ascii="Palatino Linotype" w:eastAsia="Palatino Linotype" w:hAnsi="Palatino Linotype" w:cs="Palatino Linotype"/>
          <w:i/>
          <w:sz w:val="22"/>
          <w:szCs w:val="22"/>
        </w:rPr>
        <w:t>, QUE SUSTENTEN EL PROCEDIMIENTO DE INVESTIGACIÓN RESPECTIVO.</w:t>
      </w:r>
      <w:r w:rsidRPr="00A87AFB">
        <w:rPr>
          <w:rFonts w:ascii="Palatino Linotype" w:eastAsia="Palatino Linotype" w:hAnsi="Palatino Linotype" w:cs="Palatino Linotype"/>
          <w:i/>
          <w:sz w:val="22"/>
          <w:szCs w:val="22"/>
        </w:rPr>
        <w:t>” (Sic)</w:t>
      </w:r>
    </w:p>
    <w:p w14:paraId="559D31CD" w14:textId="77777777" w:rsidR="00197609" w:rsidRPr="00A87AFB" w:rsidRDefault="00197609" w:rsidP="00457B44">
      <w:pPr>
        <w:ind w:left="851" w:right="902"/>
        <w:jc w:val="both"/>
        <w:rPr>
          <w:rFonts w:ascii="Palatino Linotype" w:eastAsia="Palatino Linotype" w:hAnsi="Palatino Linotype" w:cs="Palatino Linotype"/>
          <w:i/>
          <w:sz w:val="22"/>
          <w:szCs w:val="22"/>
        </w:rPr>
      </w:pPr>
    </w:p>
    <w:p w14:paraId="0A8C61B7"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Modalidad de Entrega:</w:t>
      </w:r>
      <w:r w:rsidRPr="00A87AFB">
        <w:rPr>
          <w:rFonts w:ascii="Palatino Linotype" w:eastAsia="Palatino Linotype" w:hAnsi="Palatino Linotype" w:cs="Palatino Linotype"/>
          <w:sz w:val="22"/>
          <w:szCs w:val="22"/>
        </w:rPr>
        <w:t xml:space="preserve"> A través de SAIMEX.</w:t>
      </w:r>
    </w:p>
    <w:p w14:paraId="468D4D99" w14:textId="77777777" w:rsidR="00197609" w:rsidRPr="00A87AFB" w:rsidRDefault="00197609" w:rsidP="00457B44">
      <w:pPr>
        <w:spacing w:line="360" w:lineRule="auto"/>
        <w:jc w:val="both"/>
        <w:rPr>
          <w:rFonts w:ascii="Palatino Linotype" w:eastAsia="Palatino Linotype" w:hAnsi="Palatino Linotype" w:cs="Palatino Linotype"/>
          <w:sz w:val="22"/>
          <w:szCs w:val="22"/>
        </w:rPr>
      </w:pPr>
    </w:p>
    <w:p w14:paraId="35E6AF30" w14:textId="2DEEEDC3"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2. Respuesta. </w:t>
      </w:r>
      <w:r w:rsidRPr="00A87AFB">
        <w:rPr>
          <w:rFonts w:ascii="Palatino Linotype" w:eastAsia="Palatino Linotype" w:hAnsi="Palatino Linotype" w:cs="Palatino Linotype"/>
          <w:sz w:val="22"/>
          <w:szCs w:val="22"/>
        </w:rPr>
        <w:t xml:space="preserve">Con fecha </w:t>
      </w:r>
      <w:r w:rsidR="0094720A" w:rsidRPr="00A87AFB">
        <w:rPr>
          <w:rFonts w:ascii="Palatino Linotype" w:eastAsia="Palatino Linotype" w:hAnsi="Palatino Linotype" w:cs="Palatino Linotype"/>
          <w:b/>
          <w:sz w:val="22"/>
          <w:szCs w:val="22"/>
        </w:rPr>
        <w:t>dos de abril</w:t>
      </w:r>
      <w:r w:rsidRPr="00A87AFB">
        <w:rPr>
          <w:rFonts w:ascii="Palatino Linotype" w:eastAsia="Palatino Linotype" w:hAnsi="Palatino Linotype" w:cs="Palatino Linotype"/>
          <w:b/>
          <w:sz w:val="22"/>
          <w:szCs w:val="22"/>
        </w:rPr>
        <w:t xml:space="preserve"> de dos mil veinticinco</w:t>
      </w:r>
      <w:r w:rsidRPr="00A87AFB">
        <w:rPr>
          <w:rFonts w:ascii="Palatino Linotype" w:eastAsia="Palatino Linotype" w:hAnsi="Palatino Linotype" w:cs="Palatino Linotype"/>
          <w:sz w:val="22"/>
          <w:szCs w:val="22"/>
        </w:rPr>
        <w:t xml:space="preserve">, el </w:t>
      </w:r>
      <w:r w:rsidR="00F73FE3"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sz w:val="22"/>
          <w:szCs w:val="22"/>
        </w:rPr>
        <w:t>envió su respuesta a la solicitud de acceso a la información a través de SAIMEX, sustancialment</w:t>
      </w:r>
      <w:r w:rsidR="00F73FE3" w:rsidRPr="00A87AFB">
        <w:rPr>
          <w:rFonts w:ascii="Palatino Linotype" w:eastAsia="Palatino Linotype" w:hAnsi="Palatino Linotype" w:cs="Palatino Linotype"/>
          <w:sz w:val="22"/>
          <w:szCs w:val="22"/>
        </w:rPr>
        <w:t xml:space="preserve">e en los términos siguientes:  </w:t>
      </w:r>
    </w:p>
    <w:p w14:paraId="4A4EE551" w14:textId="77777777" w:rsidR="00F73FE3" w:rsidRPr="00A87AFB" w:rsidRDefault="00F73FE3" w:rsidP="00F73FE3">
      <w:pPr>
        <w:spacing w:line="276" w:lineRule="auto"/>
        <w:jc w:val="both"/>
        <w:rPr>
          <w:rFonts w:ascii="Palatino Linotype" w:eastAsia="Palatino Linotype" w:hAnsi="Palatino Linotype" w:cs="Palatino Linotype"/>
          <w:b/>
          <w:sz w:val="22"/>
          <w:szCs w:val="22"/>
        </w:rPr>
      </w:pPr>
    </w:p>
    <w:p w14:paraId="1BF838AC" w14:textId="5CE10BEB" w:rsidR="0094720A" w:rsidRPr="00A87AFB" w:rsidRDefault="00247528"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0094720A" w:rsidRPr="00A87AFB">
        <w:rPr>
          <w:rFonts w:ascii="Palatino Linotype" w:eastAsia="Palatino Linotype" w:hAnsi="Palatino Linotype" w:cs="Palatino Linotype"/>
          <w:i/>
          <w:sz w:val="22"/>
          <w:szCs w:val="22"/>
        </w:rPr>
        <w:t xml:space="preserve">C. </w:t>
      </w:r>
      <w:r w:rsidR="00501047">
        <w:rPr>
          <w:rFonts w:ascii="Palatino Linotype" w:eastAsia="Palatino Linotype" w:hAnsi="Palatino Linotype" w:cs="Palatino Linotype"/>
          <w:i/>
          <w:sz w:val="22"/>
          <w:szCs w:val="22"/>
        </w:rPr>
        <w:t>XXXXXXXXXX XX XXXXXXXXXXX</w:t>
      </w:r>
      <w:r w:rsidR="0094720A" w:rsidRPr="00A87AFB">
        <w:rPr>
          <w:rFonts w:ascii="Palatino Linotype" w:eastAsia="Palatino Linotype" w:hAnsi="Palatino Linotype" w:cs="Palatino Linotype"/>
          <w:i/>
          <w:sz w:val="22"/>
          <w:szCs w:val="22"/>
        </w:rPr>
        <w:t xml:space="preserve">. PRESENTE. En atención a su solicitud de información recibida a través del Sistema de Acceso a la Información Mexiquense (SAIMEX), identificada con el número 00318/TENANCIN/IP/2025; en la cual solicita información relacionada con lo siguiente: “SOLICITO QUE EL AYUNTAMIENTO DE TENANCINGO, POR CONDUCTO DEL SERVIDOR PÚBLICO HABILITADO, ES DECIR, EL TITULAR DEL ÓRGANO INTERNO DE CONTROL MUNICIPAL, REMITA LOS ACUERDOS DE RADICACIÓN DE LOS EXPEDIENTES NÚMEROS PMT058/CM/AI/CP/001/2025, PMT058/CM/AI/CP/002/2025, PMT058/CM/AI/233/2022, PMT058/CM/AI/235/2022 Y PMT058/CM/AI/236/2022; ASÍ COMO ÚNICAMENTE, LAS DILIGENCIAS DE INVESTIGACIÓN EFECTUADAS POR ESE ÓRGANO DE CONTROL INTERNO, QUE SUSTENTEN EL PROCEDIMIENTO DE INVESTIGACIÓN RESPECTIVO.”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w:t>
      </w:r>
      <w:r w:rsidR="0094720A" w:rsidRPr="00A87AFB">
        <w:rPr>
          <w:rFonts w:ascii="Palatino Linotype" w:eastAsia="Palatino Linotype" w:hAnsi="Palatino Linotype" w:cs="Palatino Linotype"/>
          <w:i/>
          <w:sz w:val="22"/>
          <w:szCs w:val="22"/>
        </w:rPr>
        <w:lastRenderedPageBreak/>
        <w:t xml:space="preserve">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w:t>
      </w:r>
      <w:r w:rsidR="0094720A" w:rsidRPr="00A87AFB">
        <w:rPr>
          <w:rFonts w:ascii="Palatino Linotype" w:eastAsia="Palatino Linotype" w:hAnsi="Palatino Linotype" w:cs="Palatino Linotype"/>
          <w:b/>
          <w:i/>
          <w:sz w:val="22"/>
          <w:szCs w:val="22"/>
        </w:rPr>
        <w:t>adjunto al presente se servirá encontrar el oficio de respuesta que emite la Autoridad Investigadora, dependiente del Órgano de Control Interno del Ayuntamiento de Tenancingo</w:t>
      </w:r>
      <w:r w:rsidR="0094720A" w:rsidRPr="00A87AFB">
        <w:rPr>
          <w:rFonts w:ascii="Palatino Linotype" w:eastAsia="Palatino Linotype" w:hAnsi="Palatino Linotype" w:cs="Palatino Linotype"/>
          <w:i/>
          <w:sz w:val="22"/>
          <w:szCs w:val="22"/>
        </w:rPr>
        <w:t>, Estado de México. Sin otro particular, reciba un cordial saludo.</w:t>
      </w:r>
    </w:p>
    <w:p w14:paraId="1CA2EC1D" w14:textId="77777777" w:rsidR="0094720A" w:rsidRPr="00A87AFB" w:rsidRDefault="0094720A"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ATENTAMENTE</w:t>
      </w:r>
    </w:p>
    <w:p w14:paraId="68243BDF" w14:textId="3148CEE8" w:rsidR="00197609" w:rsidRPr="00A87AFB" w:rsidRDefault="0094720A"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LIC. KAREN ALONDRA MEJÍA GUARDIAN</w:t>
      </w:r>
      <w:r w:rsidR="00247528" w:rsidRPr="00A87AFB">
        <w:rPr>
          <w:rFonts w:ascii="Palatino Linotype" w:eastAsia="Palatino Linotype" w:hAnsi="Palatino Linotype" w:cs="Palatino Linotype"/>
          <w:i/>
          <w:sz w:val="22"/>
          <w:szCs w:val="22"/>
        </w:rPr>
        <w:t>” (Sic)</w:t>
      </w:r>
    </w:p>
    <w:p w14:paraId="06670861" w14:textId="77777777" w:rsidR="0094720A" w:rsidRPr="00A87AFB" w:rsidRDefault="0094720A" w:rsidP="00457B44">
      <w:pPr>
        <w:spacing w:line="276" w:lineRule="auto"/>
        <w:ind w:left="851" w:right="616"/>
        <w:jc w:val="both"/>
        <w:rPr>
          <w:rFonts w:ascii="Palatino Linotype" w:eastAsia="Palatino Linotype" w:hAnsi="Palatino Linotype" w:cs="Palatino Linotype"/>
          <w:i/>
          <w:sz w:val="22"/>
          <w:szCs w:val="22"/>
        </w:rPr>
      </w:pPr>
    </w:p>
    <w:p w14:paraId="5119B666" w14:textId="5C8A0B90"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El </w:t>
      </w:r>
      <w:r w:rsidR="00F73FE3" w:rsidRPr="00A87AFB">
        <w:rPr>
          <w:rFonts w:ascii="Palatino Linotype" w:eastAsia="Palatino Linotype" w:hAnsi="Palatino Linotype" w:cs="Palatino Linotype"/>
          <w:b/>
          <w:sz w:val="22"/>
          <w:szCs w:val="22"/>
        </w:rPr>
        <w:t>Sujeto Obligado</w:t>
      </w:r>
      <w:r w:rsidR="00F73FE3" w:rsidRPr="00A87AFB">
        <w:rPr>
          <w:rFonts w:ascii="Palatino Linotype" w:eastAsia="Palatino Linotype" w:hAnsi="Palatino Linotype" w:cs="Palatino Linotype"/>
          <w:sz w:val="22"/>
          <w:szCs w:val="22"/>
        </w:rPr>
        <w:t xml:space="preserve"> </w:t>
      </w:r>
      <w:r w:rsidR="0094720A" w:rsidRPr="00A87AFB">
        <w:rPr>
          <w:rFonts w:ascii="Palatino Linotype" w:eastAsia="Palatino Linotype" w:hAnsi="Palatino Linotype" w:cs="Palatino Linotype"/>
          <w:sz w:val="22"/>
          <w:szCs w:val="22"/>
        </w:rPr>
        <w:t xml:space="preserve">adjuntó </w:t>
      </w:r>
      <w:r w:rsidRPr="00A87AFB">
        <w:rPr>
          <w:rFonts w:ascii="Palatino Linotype" w:eastAsia="Palatino Linotype" w:hAnsi="Palatino Linotype" w:cs="Palatino Linotype"/>
          <w:sz w:val="22"/>
          <w:szCs w:val="22"/>
        </w:rPr>
        <w:t>l</w:t>
      </w:r>
      <w:r w:rsidR="0094720A" w:rsidRPr="00A87AFB">
        <w:rPr>
          <w:rFonts w:ascii="Palatino Linotype" w:eastAsia="Palatino Linotype" w:hAnsi="Palatino Linotype" w:cs="Palatino Linotype"/>
          <w:sz w:val="22"/>
          <w:szCs w:val="22"/>
        </w:rPr>
        <w:t>os</w:t>
      </w:r>
      <w:r w:rsidRPr="00A87AFB">
        <w:rPr>
          <w:rFonts w:ascii="Palatino Linotype" w:eastAsia="Palatino Linotype" w:hAnsi="Palatino Linotype" w:cs="Palatino Linotype"/>
          <w:sz w:val="22"/>
          <w:szCs w:val="22"/>
        </w:rPr>
        <w:t xml:space="preserve"> siguiente</w:t>
      </w:r>
      <w:r w:rsidR="0094720A" w:rsidRPr="00A87AFB">
        <w:rPr>
          <w:rFonts w:ascii="Palatino Linotype" w:eastAsia="Palatino Linotype" w:hAnsi="Palatino Linotype" w:cs="Palatino Linotype"/>
          <w:sz w:val="22"/>
          <w:szCs w:val="22"/>
        </w:rPr>
        <w:t>s</w:t>
      </w:r>
      <w:r w:rsidRPr="00A87AFB">
        <w:rPr>
          <w:rFonts w:ascii="Palatino Linotype" w:eastAsia="Palatino Linotype" w:hAnsi="Palatino Linotype" w:cs="Palatino Linotype"/>
          <w:sz w:val="22"/>
          <w:szCs w:val="22"/>
        </w:rPr>
        <w:t xml:space="preserve"> archivo</w:t>
      </w:r>
      <w:r w:rsidR="0094720A" w:rsidRPr="00A87AFB">
        <w:rPr>
          <w:rFonts w:ascii="Palatino Linotype" w:eastAsia="Palatino Linotype" w:hAnsi="Palatino Linotype" w:cs="Palatino Linotype"/>
          <w:sz w:val="22"/>
          <w:szCs w:val="22"/>
        </w:rPr>
        <w:t>s</w:t>
      </w:r>
      <w:r w:rsidRPr="00A87AFB">
        <w:rPr>
          <w:rFonts w:ascii="Palatino Linotype" w:eastAsia="Palatino Linotype" w:hAnsi="Palatino Linotype" w:cs="Palatino Linotype"/>
          <w:sz w:val="22"/>
          <w:szCs w:val="22"/>
        </w:rPr>
        <w:t xml:space="preserve"> electrónico</w:t>
      </w:r>
      <w:r w:rsidR="0094720A" w:rsidRPr="00A87AFB">
        <w:rPr>
          <w:rFonts w:ascii="Palatino Linotype" w:eastAsia="Palatino Linotype" w:hAnsi="Palatino Linotype" w:cs="Palatino Linotype"/>
          <w:sz w:val="22"/>
          <w:szCs w:val="22"/>
        </w:rPr>
        <w:t>s</w:t>
      </w:r>
      <w:r w:rsidRPr="00A87AFB">
        <w:rPr>
          <w:rFonts w:ascii="Palatino Linotype" w:eastAsia="Palatino Linotype" w:hAnsi="Palatino Linotype" w:cs="Palatino Linotype"/>
          <w:sz w:val="22"/>
          <w:szCs w:val="22"/>
        </w:rPr>
        <w:t>:</w:t>
      </w:r>
    </w:p>
    <w:p w14:paraId="36EA765E" w14:textId="77777777" w:rsidR="00F73FE3" w:rsidRPr="00A87AFB" w:rsidRDefault="00F73FE3" w:rsidP="00457B44">
      <w:pPr>
        <w:spacing w:line="360" w:lineRule="auto"/>
        <w:ind w:right="49"/>
        <w:jc w:val="both"/>
        <w:rPr>
          <w:rFonts w:ascii="Palatino Linotype" w:eastAsia="Palatino Linotype" w:hAnsi="Palatino Linotype" w:cs="Palatino Linotype"/>
          <w:sz w:val="22"/>
          <w:szCs w:val="22"/>
        </w:rPr>
      </w:pPr>
    </w:p>
    <w:p w14:paraId="090A83AA" w14:textId="05852171" w:rsidR="0094720A" w:rsidRPr="00A87AFB" w:rsidRDefault="0094720A" w:rsidP="00457B44">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i/>
          <w:sz w:val="22"/>
          <w:szCs w:val="22"/>
        </w:rPr>
        <w:t xml:space="preserve">Contestación 00318 </w:t>
      </w:r>
      <w:proofErr w:type="spellStart"/>
      <w:r w:rsidRPr="00A87AFB">
        <w:rPr>
          <w:rFonts w:ascii="Palatino Linotype" w:eastAsia="Palatino Linotype" w:hAnsi="Palatino Linotype" w:cs="Palatino Linotype"/>
          <w:b/>
          <w:i/>
          <w:sz w:val="22"/>
          <w:szCs w:val="22"/>
        </w:rPr>
        <w:t>Organo</w:t>
      </w:r>
      <w:proofErr w:type="spellEnd"/>
      <w:r w:rsidRPr="00A87AFB">
        <w:rPr>
          <w:rFonts w:ascii="Palatino Linotype" w:eastAsia="Palatino Linotype" w:hAnsi="Palatino Linotype" w:cs="Palatino Linotype"/>
          <w:b/>
          <w:i/>
          <w:sz w:val="22"/>
          <w:szCs w:val="22"/>
        </w:rPr>
        <w:t xml:space="preserve"> Interno Municipal (2).</w:t>
      </w:r>
      <w:proofErr w:type="spellStart"/>
      <w:r w:rsidRPr="00A87AFB">
        <w:rPr>
          <w:rFonts w:ascii="Palatino Linotype" w:eastAsia="Palatino Linotype" w:hAnsi="Palatino Linotype" w:cs="Palatino Linotype"/>
          <w:b/>
          <w:i/>
          <w:sz w:val="22"/>
          <w:szCs w:val="22"/>
        </w:rPr>
        <w:t>pdf</w:t>
      </w:r>
      <w:proofErr w:type="spellEnd"/>
      <w:r w:rsidR="00247528" w:rsidRPr="00A87AFB">
        <w:rPr>
          <w:rFonts w:ascii="Palatino Linotype" w:eastAsia="Palatino Linotype" w:hAnsi="Palatino Linotype" w:cs="Palatino Linotype"/>
          <w:b/>
          <w:i/>
          <w:sz w:val="22"/>
          <w:szCs w:val="22"/>
        </w:rPr>
        <w:t>:</w:t>
      </w:r>
      <w:r w:rsidR="00247528" w:rsidRPr="00A87AFB">
        <w:rPr>
          <w:rFonts w:ascii="Palatino Linotype" w:eastAsia="Palatino Linotype" w:hAnsi="Palatino Linotype" w:cs="Palatino Linotype"/>
          <w:b/>
          <w:sz w:val="22"/>
          <w:szCs w:val="22"/>
        </w:rPr>
        <w:t xml:space="preserve"> </w:t>
      </w:r>
      <w:r w:rsidR="00247528" w:rsidRPr="00A87AFB">
        <w:rPr>
          <w:rFonts w:ascii="Palatino Linotype" w:eastAsia="Palatino Linotype" w:hAnsi="Palatino Linotype" w:cs="Palatino Linotype"/>
          <w:sz w:val="22"/>
          <w:szCs w:val="22"/>
        </w:rPr>
        <w:t>Oficio</w:t>
      </w:r>
      <w:r w:rsidRPr="00A87AFB">
        <w:rPr>
          <w:rFonts w:ascii="Palatino Linotype" w:eastAsia="Palatino Linotype" w:hAnsi="Palatino Linotype" w:cs="Palatino Linotype"/>
          <w:sz w:val="22"/>
          <w:szCs w:val="22"/>
        </w:rPr>
        <w:t xml:space="preserve"> número PMT058/OIC/AI/76/2025, de fecha veintiséis de marzo de dos mil veinticinco, </w:t>
      </w:r>
      <w:r w:rsidR="00247528" w:rsidRPr="00A87AFB">
        <w:rPr>
          <w:rFonts w:ascii="Palatino Linotype" w:eastAsia="Palatino Linotype" w:hAnsi="Palatino Linotype" w:cs="Palatino Linotype"/>
          <w:sz w:val="22"/>
          <w:szCs w:val="22"/>
        </w:rPr>
        <w:t xml:space="preserve">signado por </w:t>
      </w:r>
      <w:r w:rsidRPr="00A87AFB">
        <w:rPr>
          <w:rFonts w:ascii="Palatino Linotype" w:eastAsia="Palatino Linotype" w:hAnsi="Palatino Linotype" w:cs="Palatino Linotype"/>
          <w:sz w:val="22"/>
          <w:szCs w:val="22"/>
        </w:rPr>
        <w:t>la Autoridad Investigadora adscrita al Órgano Interno de Control, mediante el cual informó</w:t>
      </w:r>
      <w:r w:rsidR="00377745" w:rsidRPr="00A87AFB">
        <w:rPr>
          <w:rFonts w:ascii="Palatino Linotype" w:eastAsia="Palatino Linotype" w:hAnsi="Palatino Linotype" w:cs="Palatino Linotype"/>
          <w:sz w:val="22"/>
          <w:szCs w:val="22"/>
        </w:rPr>
        <w:t xml:space="preserve"> que en cuanto a que sea proporcionado los acuerdos de radicación, así como únicamente, las diligencias de investigación efectuadas, de los expedientes siguientes:</w:t>
      </w:r>
    </w:p>
    <w:p w14:paraId="3873EA74" w14:textId="7DD45021" w:rsidR="00377745" w:rsidRPr="00A87AFB" w:rsidRDefault="00377745" w:rsidP="00457B44">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noProof/>
          <w:sz w:val="22"/>
          <w:szCs w:val="22"/>
          <w:lang w:val="es-MX"/>
        </w:rPr>
        <w:drawing>
          <wp:inline distT="0" distB="0" distL="0" distR="0" wp14:anchorId="55130CAE" wp14:editId="56DA5171">
            <wp:extent cx="3953427" cy="5715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3427" cy="571580"/>
                    </a:xfrm>
                    <a:prstGeom prst="rect">
                      <a:avLst/>
                    </a:prstGeom>
                  </pic:spPr>
                </pic:pic>
              </a:graphicData>
            </a:graphic>
          </wp:inline>
        </w:drawing>
      </w:r>
    </w:p>
    <w:p w14:paraId="51F63F7A" w14:textId="4F29FC71" w:rsidR="00377745" w:rsidRPr="00A87AFB" w:rsidRDefault="00994426"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00377745" w:rsidRPr="00A87AFB">
        <w:rPr>
          <w:rFonts w:ascii="Palatino Linotype" w:eastAsia="Palatino Linotype" w:hAnsi="Palatino Linotype" w:cs="Palatino Linotype"/>
          <w:b/>
          <w:i/>
          <w:sz w:val="22"/>
          <w:szCs w:val="22"/>
        </w:rPr>
        <w:t>Puede causar un serio perjuicio a las actividades de prevención o persecución de alguna responsabilidad administrativa</w:t>
      </w:r>
      <w:r w:rsidR="00377745" w:rsidRPr="00A87AFB">
        <w:rPr>
          <w:rFonts w:ascii="Palatino Linotype" w:eastAsia="Palatino Linotype" w:hAnsi="Palatino Linotype" w:cs="Palatino Linotype"/>
          <w:i/>
          <w:sz w:val="22"/>
          <w:szCs w:val="22"/>
        </w:rPr>
        <w:t xml:space="preserve">, </w:t>
      </w:r>
      <w:r w:rsidR="00377745" w:rsidRPr="00A87AFB">
        <w:rPr>
          <w:rFonts w:ascii="Palatino Linotype" w:eastAsia="Palatino Linotype" w:hAnsi="Palatino Linotype" w:cs="Palatino Linotype"/>
          <w:b/>
          <w:i/>
          <w:sz w:val="22"/>
          <w:szCs w:val="22"/>
        </w:rPr>
        <w:t>por lo cual solicitó que se someta a consideración del Comité la reserva</w:t>
      </w:r>
      <w:r w:rsidR="00377745" w:rsidRPr="00A87AFB">
        <w:rPr>
          <w:rFonts w:ascii="Palatino Linotype" w:eastAsia="Palatino Linotype" w:hAnsi="Palatino Linotype" w:cs="Palatino Linotype"/>
          <w:i/>
          <w:sz w:val="22"/>
          <w:szCs w:val="22"/>
        </w:rPr>
        <w:t xml:space="preserve"> de los mismos, ya que se co</w:t>
      </w:r>
      <w:r w:rsidR="00377745" w:rsidRPr="00A87AFB">
        <w:rPr>
          <w:rFonts w:ascii="Palatino Linotype" w:eastAsia="Palatino Linotype" w:hAnsi="Palatino Linotype" w:cs="Palatino Linotype"/>
          <w:b/>
          <w:i/>
          <w:sz w:val="22"/>
          <w:szCs w:val="22"/>
          <w:u w:val="single"/>
        </w:rPr>
        <w:t>nstriñen a expedientes en proceso de investigación</w:t>
      </w:r>
      <w:r w:rsidR="00377745" w:rsidRPr="00A87AFB">
        <w:rPr>
          <w:rFonts w:ascii="Palatino Linotype" w:eastAsia="Palatino Linotype" w:hAnsi="Palatino Linotype" w:cs="Palatino Linotype"/>
          <w:i/>
          <w:sz w:val="22"/>
          <w:szCs w:val="22"/>
        </w:rPr>
        <w:t xml:space="preserve">, a efecto de determinar la existencia y/o inexistencia de presuntas faltas administrativas en términos de la Ley </w:t>
      </w:r>
      <w:r w:rsidR="00377745" w:rsidRPr="00A87AFB">
        <w:rPr>
          <w:rFonts w:ascii="Palatino Linotype" w:eastAsia="Palatino Linotype" w:hAnsi="Palatino Linotype" w:cs="Palatino Linotype"/>
          <w:i/>
          <w:sz w:val="22"/>
          <w:szCs w:val="22"/>
        </w:rPr>
        <w:lastRenderedPageBreak/>
        <w:t xml:space="preserve">de Responsabilidades Administrativas del Estado de México y Municipios; </w:t>
      </w:r>
      <w:r w:rsidR="00377745" w:rsidRPr="00A87AFB">
        <w:rPr>
          <w:rFonts w:ascii="Palatino Linotype" w:eastAsia="Palatino Linotype" w:hAnsi="Palatino Linotype" w:cs="Palatino Linotype"/>
          <w:b/>
          <w:i/>
          <w:sz w:val="22"/>
          <w:szCs w:val="22"/>
        </w:rPr>
        <w:t>por lo que es importante resaltar que no han sido concluidos</w:t>
      </w:r>
      <w:r w:rsidR="00377745" w:rsidRPr="00A87AFB">
        <w:rPr>
          <w:rFonts w:ascii="Palatino Linotype" w:eastAsia="Palatino Linotype" w:hAnsi="Palatino Linotype" w:cs="Palatino Linotype"/>
          <w:i/>
          <w:sz w:val="22"/>
          <w:szCs w:val="22"/>
        </w:rPr>
        <w:t>; por lo tanto, en virtud de que de hacerse pública dicha información podría ocasionar un perjuicio real y directo a las actividades de prevención o persecución de responsabilidad administrativa, la impartición de justicia, la recaudación de las contribuciones, o cualquier otra acción que tenga por objeto la aplicación de las leyes; para lo cual, se presenta y aplica una Prueba De Daño, entendiéndose por esta, la demostración de manera fundada y motivada que la divulgación de la información lesiona el interés jurídicamente protegido por la ley y que el menoscabo o daño que pueda producirse es mayor que el interés de conocerla y, por consiguiente, debe clasificarse como reservada, precisando las razones objetivas por las que la apertura de la información generaría una afectación.</w:t>
      </w:r>
    </w:p>
    <w:p w14:paraId="31A7B108" w14:textId="77777777" w:rsidR="00377745" w:rsidRPr="00A87AFB" w:rsidRDefault="00377745"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93F533B" w14:textId="05EA52E2" w:rsidR="00377745" w:rsidRPr="00A87AFB" w:rsidRDefault="00377745"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Ello ateniendo a la propia naturaleza de la información solicitada, toda vez </w:t>
      </w:r>
      <w:r w:rsidRPr="00A87AFB">
        <w:rPr>
          <w:rFonts w:ascii="Palatino Linotype" w:eastAsia="Palatino Linotype" w:hAnsi="Palatino Linotype" w:cs="Palatino Linotype"/>
          <w:b/>
          <w:i/>
          <w:sz w:val="22"/>
          <w:szCs w:val="22"/>
        </w:rPr>
        <w:t xml:space="preserve">que esta Autoridad Investigadora a mi cargo, sostiene que es información reservada de conformidad con lo establecido en los artículos 3 fracción XXIV y 140 fracción IV </w:t>
      </w:r>
      <w:r w:rsidRPr="00A87AFB">
        <w:rPr>
          <w:rFonts w:ascii="Palatino Linotype" w:eastAsia="Palatino Linotype" w:hAnsi="Palatino Linotype" w:cs="Palatino Linotype"/>
          <w:i/>
          <w:sz w:val="22"/>
          <w:szCs w:val="22"/>
        </w:rPr>
        <w:t>de la Ley de Transparencia y Acceso a la Información del Estado de México y Municipios, que señalan textualmente lo siguiente</w:t>
      </w:r>
      <w:r w:rsidR="00F72791" w:rsidRPr="00A87AFB">
        <w:rPr>
          <w:rFonts w:ascii="Palatino Linotype" w:eastAsia="Palatino Linotype" w:hAnsi="Palatino Linotype" w:cs="Palatino Linotype"/>
          <w:i/>
          <w:sz w:val="22"/>
          <w:szCs w:val="22"/>
        </w:rPr>
        <w:t xml:space="preserve">: </w:t>
      </w:r>
    </w:p>
    <w:p w14:paraId="1C784821" w14:textId="66405D92" w:rsidR="00377745" w:rsidRPr="00A87AFB" w:rsidRDefault="00F72791"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26CA1C62" w14:textId="4D31645C" w:rsidR="00F72791" w:rsidRPr="00A87AFB" w:rsidRDefault="00F72791"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En lo tocante a lo previsto por los Lineamentos Generales en materia de clasificación y desclasificación de la información, el dispositivo Vigésimo Sexto, en lo que aquí interesa, dice:</w:t>
      </w:r>
    </w:p>
    <w:p w14:paraId="18C64B01" w14:textId="77777777" w:rsidR="00994426" w:rsidRPr="00A87AFB" w:rsidRDefault="00994426" w:rsidP="00457B44">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p>
    <w:p w14:paraId="45B7E029" w14:textId="17E22C47" w:rsidR="00F72791" w:rsidRPr="00A87AFB" w:rsidRDefault="00994426"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00F72791" w:rsidRPr="00A87AFB">
        <w:rPr>
          <w:rFonts w:ascii="Palatino Linotype" w:eastAsia="Palatino Linotype" w:hAnsi="Palatino Linotype" w:cs="Palatino Linotype"/>
          <w:b/>
          <w:i/>
          <w:sz w:val="22"/>
          <w:szCs w:val="22"/>
        </w:rPr>
        <w:t xml:space="preserve">Vigésimo Sexto. - </w:t>
      </w:r>
      <w:r w:rsidR="00F72791" w:rsidRPr="00A87AFB">
        <w:rPr>
          <w:rFonts w:ascii="Palatino Linotype" w:eastAsia="Palatino Linotype" w:hAnsi="Palatino Linotype" w:cs="Palatino Linotype"/>
          <w:i/>
          <w:sz w:val="22"/>
          <w:szCs w:val="22"/>
        </w:rPr>
        <w:t>La información se clasificará como reservada en los términos de la fracción III del artículo 30 de la Ley, cuando su divulgación pueda causar un serio perjuicio a las actividades de prevención o persecución de los delitos, la impartición de justicia, la recaudación de las contribuciones, o cualquier otra acción que tenga por objeto la aplicación de las leyes, tales como:</w:t>
      </w:r>
    </w:p>
    <w:p w14:paraId="5DA804D1" w14:textId="38807F0A" w:rsidR="00F72791" w:rsidRPr="00A87AFB" w:rsidRDefault="00F72791"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1. Cuando pueda causar un serio perjuicio a las actividades de prevención o persecución de los delitos, en caso de que: </w:t>
      </w:r>
    </w:p>
    <w:p w14:paraId="17F49852" w14:textId="522DD0A3" w:rsidR="00F72791" w:rsidRPr="00A87AFB" w:rsidRDefault="00F72791"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Los efectos de la difusión de la información, puedan impedir u obstruir las acciones o medidas implementadas para evitar la comisión de los delitos, o bien, las atribuciones que ejercen el Ministerio Público y la policía durante las actuaciones de investigación y ante los Tribunales del Poder Judicial del 0Estado.</w:t>
      </w:r>
    </w:p>
    <w:p w14:paraId="1D844C92" w14:textId="77777777" w:rsidR="00F72791" w:rsidRPr="00A87AFB" w:rsidRDefault="00F72791"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2. Puede causar un serio perjuicio a la impartición de justicia:</w:t>
      </w:r>
    </w:p>
    <w:p w14:paraId="777A3B27" w14:textId="77777777" w:rsidR="00F72791" w:rsidRPr="00A87AFB" w:rsidRDefault="00F72791"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lastRenderedPageBreak/>
        <w:t>3. Puede causar un serio perjuicio a la recaudación de rentas:</w:t>
      </w:r>
    </w:p>
    <w:p w14:paraId="273C3743" w14:textId="77777777" w:rsidR="00F72791" w:rsidRPr="00A87AFB" w:rsidRDefault="00F72791"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4. Cualquier otra acción que tenga por objeto la aplicación de las leyes:</w:t>
      </w:r>
    </w:p>
    <w:p w14:paraId="2297CAF9" w14:textId="1ADDA0A4" w:rsidR="00F72791" w:rsidRPr="00A87AFB" w:rsidRDefault="00F72791" w:rsidP="00457B44">
      <w:pPr>
        <w:pBdr>
          <w:top w:val="nil"/>
          <w:left w:val="nil"/>
          <w:bottom w:val="nil"/>
          <w:right w:val="nil"/>
          <w:between w:val="nil"/>
        </w:pBdr>
        <w:ind w:left="1560"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La información que posean los sujetos obligados directos y que, por su naturaleza jurídica, su divulgación pueda causar un serio perjuicio.</w:t>
      </w:r>
      <w:r w:rsidR="00994426" w:rsidRPr="00A87AFB">
        <w:rPr>
          <w:rFonts w:ascii="Palatino Linotype" w:eastAsia="Palatino Linotype" w:hAnsi="Palatino Linotype" w:cs="Palatino Linotype"/>
          <w:i/>
          <w:sz w:val="22"/>
          <w:szCs w:val="22"/>
        </w:rPr>
        <w:t>”</w:t>
      </w:r>
    </w:p>
    <w:p w14:paraId="478AB571" w14:textId="793D2861" w:rsidR="00E811B0" w:rsidRPr="00A87AFB" w:rsidRDefault="00E811B0" w:rsidP="00F73FE3">
      <w:pPr>
        <w:pStyle w:val="Prrafodelista"/>
        <w:numPr>
          <w:ilvl w:val="0"/>
          <w:numId w:val="17"/>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u w:val="single"/>
        </w:rPr>
      </w:pPr>
      <w:r w:rsidRPr="00A87AFB">
        <w:rPr>
          <w:rFonts w:ascii="Palatino Linotype" w:eastAsia="Palatino Linotype" w:hAnsi="Palatino Linotype" w:cs="Palatino Linotype"/>
          <w:i/>
          <w:sz w:val="22"/>
          <w:szCs w:val="22"/>
          <w:u w:val="single"/>
        </w:rPr>
        <w:t>Ponderación de intereses en conflicto</w:t>
      </w:r>
    </w:p>
    <w:p w14:paraId="60355650" w14:textId="77777777" w:rsidR="003473FF" w:rsidRPr="00A87AFB" w:rsidRDefault="003473FF" w:rsidP="00F73FE3">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p>
    <w:p w14:paraId="40466FB0" w14:textId="5DAFFD1A" w:rsidR="00E811B0" w:rsidRPr="00A87AFB" w:rsidRDefault="00E811B0"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Como lo indican las disposiciones de orden público antes citadas, el acceso a la información podrá ser restringido cuando se cause un daño u obstruyan los derechos del debido proceso en los procedimientos administrativos, incluidos los de quejas y denuncias que no hayan quedado firmes; supuesto que se actualiza en el presente caso, </w:t>
      </w:r>
      <w:r w:rsidRPr="00A87AFB">
        <w:rPr>
          <w:rFonts w:ascii="Palatino Linotype" w:eastAsia="Palatino Linotype" w:hAnsi="Palatino Linotype" w:cs="Palatino Linotype"/>
          <w:b/>
          <w:i/>
          <w:sz w:val="22"/>
          <w:szCs w:val="22"/>
        </w:rPr>
        <w:t>en virtud de que el procedimiento correspondiente derivado de la información contenida en los expedientes PMT058/CM/AI/CP/001/2025 y PMT058/CM/AI/CP/002/2025, se encuentran en trámite con la finalidad de determinar la existencia o no de faltas administrativas contempladas en la Ley de Responsabilidades Administrativas del Estado de México y Municipios, con motivo de los hechos denunciados</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por tanto, no existe a la presente fecha una determinación definitiva que permita la conclusión del asunto; y en consecuencia, ésta aún no ha quedado firme</w:t>
      </w:r>
      <w:r w:rsidRPr="00A87AFB">
        <w:rPr>
          <w:rFonts w:ascii="Palatino Linotype" w:eastAsia="Palatino Linotype" w:hAnsi="Palatino Linotype" w:cs="Palatino Linotype"/>
          <w:i/>
          <w:sz w:val="22"/>
          <w:szCs w:val="22"/>
        </w:rPr>
        <w:t>; constituyéndose así un interés superior al derecho de acceso a la información, debido a que existe disposición expresa para la no divulgación de la información solicitada.</w:t>
      </w:r>
    </w:p>
    <w:p w14:paraId="55D241CC" w14:textId="77777777" w:rsidR="00E811B0" w:rsidRPr="00A87AFB" w:rsidRDefault="00E811B0"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D68B14F" w14:textId="025BB89B" w:rsidR="00377745" w:rsidRPr="00A87AFB" w:rsidRDefault="00E811B0"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Además de lo anterior, es preciso señalar que, durante el procedimiento de investigación, las autoridades competentes son las responsables de la integridad de los datos y documentos, así como del resguardo del expediente en su conjunto, como lo disponen los artículos 90 primer párrafo de la Ley General de Responsabilidades Administrativas y 94 fracción II de la Ley de Responsabilidades Administrativas del Estado de México y Municipios, que señalan, en ese orden, lo </w:t>
      </w:r>
      <w:proofErr w:type="gramStart"/>
      <w:r w:rsidRPr="00A87AFB">
        <w:rPr>
          <w:rFonts w:ascii="Palatino Linotype" w:eastAsia="Palatino Linotype" w:hAnsi="Palatino Linotype" w:cs="Palatino Linotype"/>
          <w:i/>
          <w:sz w:val="22"/>
          <w:szCs w:val="22"/>
        </w:rPr>
        <w:t>siguiente:…</w:t>
      </w:r>
      <w:proofErr w:type="gramEnd"/>
    </w:p>
    <w:p w14:paraId="526E4459" w14:textId="77777777" w:rsidR="00E811B0" w:rsidRPr="00A87AFB" w:rsidRDefault="00E811B0"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94B917D" w14:textId="703CA0AB" w:rsidR="00F72791" w:rsidRPr="00A87AFB" w:rsidRDefault="00E811B0"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Por tanto, </w:t>
      </w:r>
      <w:r w:rsidRPr="00A87AFB">
        <w:rPr>
          <w:rFonts w:ascii="Palatino Linotype" w:eastAsia="Palatino Linotype" w:hAnsi="Palatino Linotype" w:cs="Palatino Linotype"/>
          <w:b/>
          <w:i/>
          <w:sz w:val="22"/>
          <w:szCs w:val="22"/>
        </w:rPr>
        <w:t>no es viable proporcionar dicha información, y tomando en cuenta que aún los expedientes de mérito se encuentran en trámite</w:t>
      </w:r>
      <w:r w:rsidRPr="00A87AFB">
        <w:rPr>
          <w:rFonts w:ascii="Palatino Linotype" w:eastAsia="Palatino Linotype" w:hAnsi="Palatino Linotype" w:cs="Palatino Linotype"/>
          <w:i/>
          <w:sz w:val="22"/>
          <w:szCs w:val="22"/>
        </w:rPr>
        <w:t xml:space="preserve">; se considera que se crearía un riesgo de perjuicio directo a las líneas de investigación, a través de la información con la que se integran dichos expedientes; aunado a lo anterior, se estarían afectando a los servidores públicos denunciados, quienes tienen el derecho a que se presuma su inocencia; lo que obliga a esta Autoridad a observar las formalidades del procedimiento de investigación; es decir, cumplir con una serie de garantías mínimas con la finalidad de reunir los elementos suficientes para </w:t>
      </w:r>
      <w:r w:rsidRPr="00A87AFB">
        <w:rPr>
          <w:rFonts w:ascii="Palatino Linotype" w:eastAsia="Palatino Linotype" w:hAnsi="Palatino Linotype" w:cs="Palatino Linotype"/>
          <w:i/>
          <w:sz w:val="22"/>
          <w:szCs w:val="22"/>
        </w:rPr>
        <w:lastRenderedPageBreak/>
        <w:t>determinar el inicio o no de un procedimiento administrativo de responsabilidades en contra del servidor público</w:t>
      </w:r>
      <w:r w:rsidR="007E0578" w:rsidRPr="00A87AFB">
        <w:rPr>
          <w:rFonts w:ascii="Palatino Linotype" w:eastAsia="Palatino Linotype" w:hAnsi="Palatino Linotype" w:cs="Palatino Linotype"/>
          <w:i/>
          <w:sz w:val="22"/>
          <w:szCs w:val="22"/>
        </w:rPr>
        <w:t>…</w:t>
      </w:r>
    </w:p>
    <w:p w14:paraId="0E6246C9" w14:textId="77777777" w:rsidR="007E0578" w:rsidRPr="00A87AFB" w:rsidRDefault="007E0578"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6A53888" w14:textId="1518BA30" w:rsidR="007E0578" w:rsidRPr="00A87AFB" w:rsidRDefault="007E0578" w:rsidP="00F73FE3">
      <w:pPr>
        <w:pStyle w:val="Prrafodelista"/>
        <w:numPr>
          <w:ilvl w:val="0"/>
          <w:numId w:val="17"/>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u w:val="single"/>
        </w:rPr>
      </w:pPr>
      <w:r w:rsidRPr="00A87AFB">
        <w:rPr>
          <w:rFonts w:ascii="Palatino Linotype" w:eastAsia="Palatino Linotype" w:hAnsi="Palatino Linotype" w:cs="Palatino Linotype"/>
          <w:i/>
          <w:sz w:val="22"/>
          <w:szCs w:val="22"/>
          <w:u w:val="single"/>
        </w:rPr>
        <w:t>Acreditación del vínculo entre la difusión de la información y la afectación del interés público tutelado de que se trate:</w:t>
      </w:r>
    </w:p>
    <w:p w14:paraId="2F8BC978" w14:textId="22DB5B3B" w:rsidR="003473FF" w:rsidRPr="00A87AFB" w:rsidRDefault="007E0578"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La divulgación de la información puede transgredir la esfera jurídica y la fama pública de los servidores públicos presuntamente responsables, así como el resultado de las actuaciones, en el presente caso, de los expedientes PMT058/CM/AI/CP/001/2025 y PMT058/CM/AI/CP/002/2025, toda vez que los mismos se encuentran en trámite,</w:t>
      </w:r>
      <w:r w:rsidRPr="00A87AFB">
        <w:rPr>
          <w:rFonts w:ascii="Palatino Linotype" w:eastAsia="Palatino Linotype" w:hAnsi="Palatino Linotype" w:cs="Palatino Linotype"/>
          <w:i/>
          <w:sz w:val="22"/>
          <w:szCs w:val="22"/>
        </w:rPr>
        <w:t xml:space="preserve"> y a la fecha no se ha emitido determinación alguna; por lo que brindar la información solicitada, podría afectar la conducción de la investigación.</w:t>
      </w:r>
      <w:r w:rsidRPr="00A87AFB">
        <w:rPr>
          <w:rFonts w:ascii="Palatino Linotype" w:eastAsia="Palatino Linotype" w:hAnsi="Palatino Linotype" w:cs="Palatino Linotype"/>
          <w:i/>
          <w:sz w:val="22"/>
          <w:szCs w:val="22"/>
        </w:rPr>
        <w:cr/>
      </w:r>
      <w:r w:rsidR="003473FF" w:rsidRPr="00A87AFB">
        <w:rPr>
          <w:rFonts w:ascii="Palatino Linotype" w:eastAsia="Palatino Linotype" w:hAnsi="Palatino Linotype" w:cs="Palatino Linotype"/>
          <w:i/>
          <w:sz w:val="22"/>
          <w:szCs w:val="22"/>
        </w:rPr>
        <w:t xml:space="preserve">De manera que, a </w:t>
      </w:r>
      <w:r w:rsidR="003473FF" w:rsidRPr="00A87AFB">
        <w:rPr>
          <w:rFonts w:ascii="Palatino Linotype" w:eastAsia="Palatino Linotype" w:hAnsi="Palatino Linotype" w:cs="Palatino Linotype"/>
          <w:b/>
          <w:i/>
          <w:sz w:val="22"/>
          <w:szCs w:val="22"/>
        </w:rPr>
        <w:t>la fecha esta Autoridad Investigadora adscrita a la Contraloría Municipal de Tenancingo, Estado de México, se encuentra reuniendo los elementos necesarios y suficientes que permitan determinar si los servidores públicos denunciados incurrieron en conductas, actos u omisiones que pudieran ser constitutivas de alguna falta administrativa</w:t>
      </w:r>
      <w:r w:rsidR="003473FF" w:rsidRPr="00A87AFB">
        <w:rPr>
          <w:rFonts w:ascii="Palatino Linotype" w:eastAsia="Palatino Linotype" w:hAnsi="Palatino Linotype" w:cs="Palatino Linotype"/>
          <w:i/>
          <w:sz w:val="22"/>
          <w:szCs w:val="22"/>
        </w:rPr>
        <w:t xml:space="preserve">. Es así, en virtud de que como ya fue mencionado anteriormente, que el expediente referido </w:t>
      </w:r>
      <w:r w:rsidR="003473FF" w:rsidRPr="00A87AFB">
        <w:rPr>
          <w:rFonts w:ascii="Palatino Linotype" w:eastAsia="Palatino Linotype" w:hAnsi="Palatino Linotype" w:cs="Palatino Linotype"/>
          <w:i/>
          <w:sz w:val="22"/>
          <w:szCs w:val="22"/>
          <w:u w:val="single"/>
        </w:rPr>
        <w:t>aún se encuentra en etapa de investigación,</w:t>
      </w:r>
      <w:r w:rsidR="003473FF" w:rsidRPr="00A87AFB">
        <w:rPr>
          <w:rFonts w:ascii="Palatino Linotype" w:eastAsia="Palatino Linotype" w:hAnsi="Palatino Linotype" w:cs="Palatino Linotype"/>
          <w:i/>
          <w:sz w:val="22"/>
          <w:szCs w:val="22"/>
        </w:rPr>
        <w:t xml:space="preserve"> por lo cual se debe privilegiar la clasificación de la información como reservada.</w:t>
      </w:r>
    </w:p>
    <w:p w14:paraId="11D05371" w14:textId="77777777" w:rsidR="00CC3952" w:rsidRPr="00A87AFB" w:rsidRDefault="003473FF"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Considerando, además, que en toda investigación deben ser observadas las garantías del debido proceso que aplican a cualquier procedimiento, identificado como formalidades esenciales del mismo, cuyo conjunto integra la "garantía de audiencia"; y las cuales permiten que los servidores públicos ejerzan su defensa antes de que la autoridad modifique su esfera jurídica.</w:t>
      </w:r>
    </w:p>
    <w:p w14:paraId="673BF428"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732BF42"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c) Riesgo real:</w:t>
      </w:r>
    </w:p>
    <w:p w14:paraId="76A00753" w14:textId="5E8F0C93"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La divulgación de la información representa un riesgo real demostrable e identificable, en virtud de que las actuaciones que integran los expedientes PMT058/CM/AI/CP/001/2025 y PMT058/CM/AI/CP/002/2025, no han concluido y, esta Autoridad Investigadora adscrita al Órgano Interno de Control de Tenancingo, Estado de México, actualmente se encuentra reuniendo los elementos necesarios y suficientes para determinar la procedencia o no del procedimiento administrativo en cuestión.</w:t>
      </w:r>
    </w:p>
    <w:p w14:paraId="02128D9C"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445F489"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d) Acreditación de modo, tiempo y lugar del daño:</w:t>
      </w:r>
    </w:p>
    <w:p w14:paraId="6991FC4D" w14:textId="501C6A53"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lastRenderedPageBreak/>
        <w:t>Por cuanto hace al modo, se tiene que la solicitud realizada, se encuentra relacionada con los expedientes PMT058/CM/AI/CP/001/2025 y PMT058/CM/AI/CP/002/2025, mismos que contienen la información de las actuaciones realizadas referentes a lo solicitado.</w:t>
      </w:r>
    </w:p>
    <w:p w14:paraId="219F15C6" w14:textId="6CBC94EA"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En relación con el tiempo, este Órgano Interno de Control de Tenancingo, Estado de México, confirma que las diligencias realizadas dentro de los expedientes PMT058/CM/AI/CP/001/2025 y PMT058/CM/AI/CP/002/2025, corresponden a información que actualmente se encuentra en proceso de investigación.</w:t>
      </w:r>
    </w:p>
    <w:p w14:paraId="13B1BBBC" w14:textId="078728FC"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Por último, referente al lugar, se hace del conocimiento que los expedientes PMT058/CM/AI/CP/001/2025 y PMT058/CM/AI/CP/002/2025, se encuentran físicamente en las oficinas que ocupa el Órgano Interno de Control de Tenancingo, Estado de México.</w:t>
      </w:r>
    </w:p>
    <w:p w14:paraId="247BC449"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831FB9C"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e) La limitación de la publicación de la información:</w:t>
      </w:r>
    </w:p>
    <w:p w14:paraId="4D793460" w14:textId="63D1C9F5"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Se adecúa al principio de proporcionalidad, ya que la misma no puede ser procesada o resumida al existir disposición legal; por lo que, su clasificación representa el medio menos restrictivo para evitar dañar y obstruir la etapa de investigación en la que actualmente se encuentran los expedientes PMT058/CM/AI/CP/001/2025 y PMT058/CM/AI/CP/002/2025, lo que supera el interés público de dar a conocer la información, en virtud de que, como se ha venido refiriendo, la investigación se encuentra en trámite y llevando a cabo las actuaciones correspondientes.</w:t>
      </w:r>
    </w:p>
    <w:p w14:paraId="3B25F413" w14:textId="06526B36"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Con lo anterior, se considera que se cumple con lo establecido por los artículos 128 párrafo segundo, 129, 134 párrafo tercero, 140 fracción. VI y 141 de la Ley de Transparencia y Acceso a la Información Pública del Estado de México y Municipios, que señalan textualmente lo siguiente: …</w:t>
      </w:r>
      <w:r w:rsidRPr="00A87AFB">
        <w:rPr>
          <w:rFonts w:ascii="Palatino Linotype" w:eastAsia="Palatino Linotype" w:hAnsi="Palatino Linotype" w:cs="Palatino Linotype"/>
          <w:i/>
          <w:sz w:val="22"/>
          <w:szCs w:val="22"/>
        </w:rPr>
        <w:cr/>
      </w:r>
    </w:p>
    <w:p w14:paraId="3A115ADD" w14:textId="1CFF9DD4"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Bajo ese orden de ideas, no se pueden dar a conocer diligencias de investigación de expedientes que no se encuentran concluidos como lo son los números PMT058/CM/AI/CP/001/2025 y PMT058/CM/AI/CP/001/2025, se encuentran radicados con un inicio de investigación y se encuentran en trámite, la cual no ha concluido por ende no se puede divulgar la información del mismo por lo que todos los procedimientos por responsabilidades administrativas no concluidos deben de reservarse para no afectar el principio de presunción de inocencia, sirviendo como criterio la guía práctica para la Clasificación de la Información como Reservada, en su primera edición de junio de 2021, misma que puede ser consultada www.infoem.org.mx/doc/publicaciones/20210805</w:t>
      </w:r>
      <w:r w:rsidR="00E37281" w:rsidRPr="00A87AFB">
        <w:rPr>
          <w:rFonts w:ascii="Palatino Linotype" w:eastAsia="Palatino Linotype" w:hAnsi="Palatino Linotype" w:cs="Palatino Linotype"/>
          <w:i/>
          <w:sz w:val="22"/>
          <w:szCs w:val="22"/>
        </w:rPr>
        <w:t>_Guía_Clasificacion_</w:t>
      </w:r>
      <w:r w:rsidRPr="00A87AFB">
        <w:rPr>
          <w:rFonts w:ascii="Palatino Linotype" w:eastAsia="Palatino Linotype" w:hAnsi="Palatino Linotype" w:cs="Palatino Linotype"/>
          <w:i/>
          <w:sz w:val="22"/>
          <w:szCs w:val="22"/>
        </w:rPr>
        <w:t>Reservada.p</w:t>
      </w:r>
      <w:r w:rsidRPr="00A87AFB">
        <w:rPr>
          <w:rFonts w:ascii="Palatino Linotype" w:eastAsia="Palatino Linotype" w:hAnsi="Palatino Linotype" w:cs="Palatino Linotype"/>
          <w:i/>
          <w:sz w:val="22"/>
          <w:szCs w:val="22"/>
        </w:rPr>
        <w:lastRenderedPageBreak/>
        <w:t>df por lo tanto, no se puede brindar la información que solicita el ciudadano y debe de remitirse al COMITÉ DE TRANSPARENCIA DEL AYUNTAMIENTO DE TENANCINGO, ESTADO DE MÉXICO, a efecto de que en relación con los expedientes PMT058/CM/AI/CP/001/2025 y PMT058/CM/AI/CP/001/2025, sea clasificada como RESERVADA, en términos del dispositivo 140 fracción VI de la Ley de Transparencia y Acceso a la Información Pública del Estado de México y Municipios, pues de lo contrario, el riesgo identificable es que su divulgación pueda causar un serio perjuicio a las actividades de prevención o persecución de los delitos, la impartición de justicia, o cualquier otra acción</w:t>
      </w:r>
      <w:r w:rsidR="00E37281"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i/>
          <w:sz w:val="22"/>
          <w:szCs w:val="22"/>
        </w:rPr>
        <w:t>que tenga por objeto la aplicación de las leyes.</w:t>
      </w:r>
    </w:p>
    <w:p w14:paraId="46D7A195" w14:textId="77777777" w:rsidR="00CC3952" w:rsidRPr="00A87AFB" w:rsidRDefault="00CC3952"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452B084" w14:textId="45582820" w:rsidR="00F72791" w:rsidRPr="00A87AFB" w:rsidRDefault="00E37281"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Ahora bien, toda vez que los expedientes PMT058/CM/AI/CP/001/2025 y PMT058/CM/AI/CP/001/2025, se tratan de presuntas faltas administrativas que tienen que ver con la APLICACIÓN Y USO DE RECURSOS ECONÓMICOS Y/O FINANCIEROS por parte de Organismos Descentralizados, del Ayuntamiento de Tenancingo, Estado de México, las cuales podrían dar lugar a la COMISIÓN DE PRESUNTAS FALTAS ADMINISTRATIVAS GRAVES, mismas que las facultades para imponer las sanciones prescribirán SIETE AÑOS, tal y como lo señala el artículo 78 fracción II de la Ley de Responsabilidades Administrativas del Estado de México y Municipios, que a la letra señala:</w:t>
      </w:r>
    </w:p>
    <w:p w14:paraId="0638B54D" w14:textId="62BFAD67" w:rsidR="009744A7" w:rsidRPr="00A87AFB" w:rsidRDefault="009744A7" w:rsidP="00457B44">
      <w:pPr>
        <w:pBdr>
          <w:top w:val="nil"/>
          <w:left w:val="nil"/>
          <w:bottom w:val="nil"/>
          <w:right w:val="nil"/>
          <w:between w:val="nil"/>
        </w:pBdr>
        <w:spacing w:line="276" w:lineRule="auto"/>
        <w:ind w:left="1276"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Artículo 78. Las facultades de las autoridades competentes para imponer las sanciones que prevé esta Ley, prescribirán en:</w:t>
      </w:r>
    </w:p>
    <w:p w14:paraId="488FFF7F" w14:textId="77777777" w:rsidR="009744A7" w:rsidRPr="00A87AFB" w:rsidRDefault="009744A7" w:rsidP="00457B44">
      <w:pPr>
        <w:pBdr>
          <w:top w:val="nil"/>
          <w:left w:val="nil"/>
          <w:bottom w:val="nil"/>
          <w:right w:val="nil"/>
          <w:between w:val="nil"/>
        </w:pBdr>
        <w:spacing w:line="276" w:lineRule="auto"/>
        <w:ind w:left="1276"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I. Tres años: tratándose de faltas administrativas no graves.</w:t>
      </w:r>
    </w:p>
    <w:p w14:paraId="3C6506A3" w14:textId="487BCC58" w:rsidR="009744A7" w:rsidRPr="00A87AFB" w:rsidRDefault="009744A7" w:rsidP="00457B44">
      <w:pPr>
        <w:pBdr>
          <w:top w:val="nil"/>
          <w:left w:val="nil"/>
          <w:bottom w:val="nil"/>
          <w:right w:val="nil"/>
          <w:between w:val="nil"/>
        </w:pBdr>
        <w:spacing w:line="276" w:lineRule="auto"/>
        <w:ind w:left="1276"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II. Siete años: tratándose de faltas administrativas graves o faltas de particulares.</w:t>
      </w:r>
    </w:p>
    <w:p w14:paraId="0ABC6EB0" w14:textId="77777777" w:rsidR="009744A7" w:rsidRPr="00A87AFB" w:rsidRDefault="009744A7" w:rsidP="00457B44">
      <w:pPr>
        <w:pBdr>
          <w:top w:val="nil"/>
          <w:left w:val="nil"/>
          <w:bottom w:val="nil"/>
          <w:right w:val="nil"/>
          <w:between w:val="nil"/>
        </w:pBdr>
        <w:spacing w:line="276" w:lineRule="auto"/>
        <w:ind w:left="1276"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(Lo subrayado es propio)</w:t>
      </w:r>
    </w:p>
    <w:p w14:paraId="2CADAB0E" w14:textId="1AB42F12" w:rsidR="009744A7" w:rsidRPr="00A87AFB" w:rsidRDefault="009744A7"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Por lo anterior, AL TRATARSE DE LA PRESUNTA COMISIÓN DE FALTAS ADMINISTRATIVAS GRAVES, QUE PUEDE DURAR HASTA SIETE AÑOS, PARA QUE PRESCRIBA LA FACULTAD DE SANCIONAR DE LA AUTORIDAD, se solicita al Comité de Transparencia de Tenancingo, Estado de México, apruebe la clasificación de la información como RESERVADA consistente en los expedientes PMT058/CM/AI/CP/001/2025 y PMT058/CM/AI/CP/001/2025, por el PERÍODO DE CINCO AÑOS, mismo que es el estrictamente necesario para salvaguardar la información y el bien jurídico tutelado por las causales invocadas, sin perjuicio de que previo vencimiento de dicho </w:t>
      </w:r>
      <w:r w:rsidRPr="00A87AFB">
        <w:rPr>
          <w:rFonts w:ascii="Palatino Linotype" w:eastAsia="Palatino Linotype" w:hAnsi="Palatino Linotype" w:cs="Palatino Linotype"/>
          <w:i/>
          <w:sz w:val="22"/>
          <w:szCs w:val="22"/>
        </w:rPr>
        <w:lastRenderedPageBreak/>
        <w:t xml:space="preserve">plazo, pueda llevarse a cabo su desclasificación, en caso de que dejen de subsistir las causas que dieron origen a la clasificación. </w:t>
      </w:r>
    </w:p>
    <w:p w14:paraId="0D7E8DA0" w14:textId="77777777" w:rsidR="009744A7" w:rsidRPr="00A87AFB" w:rsidRDefault="009744A7"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2082B11" w14:textId="6176E070" w:rsidR="009744A7" w:rsidRPr="00A87AFB" w:rsidRDefault="009744A7"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Sin que resulte óbice mencionar, que pueda llevarse a cabo su desclasificación en caso de que dejen de subsistir las causas que dieron origen a su clasificación. </w:t>
      </w:r>
    </w:p>
    <w:p w14:paraId="6E69040A" w14:textId="2E00E7DC" w:rsidR="009744A7" w:rsidRPr="00A87AFB" w:rsidRDefault="009744A7"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Por lo anteriormente expuesto y fundado, se da respuesta a su requerimiento en tiempo y forma, de conformidad con los artículos 3, fracción II; 12, 18, 21, 23, fracción IV; 24 último párrafo; 25, 59, fracciones I, II, III y V, 150 y 173 de la Ley de Transparencia y Acceso a la Información Pública del Estado de México y Municipios; el numeral Trigésimo Tercero, Trigésimo Cuarto, Trigésimo Quinto, Trigésimo Sexto de los Lineamentos Generales en materia de clasificación y desclasificación de la información, así como para la elaboración de versiones públicas, asimismo solicito a usted se someta a Consideración del Comité de transparencia de este Sujeto Obligado, la clasificación de la información referida.</w:t>
      </w:r>
      <w:r w:rsidRPr="00A87AFB">
        <w:rPr>
          <w:rFonts w:ascii="Palatino Linotype" w:eastAsia="Palatino Linotype" w:hAnsi="Palatino Linotype" w:cs="Palatino Linotype"/>
          <w:i/>
          <w:sz w:val="22"/>
          <w:szCs w:val="22"/>
        </w:rPr>
        <w:cr/>
      </w:r>
    </w:p>
    <w:p w14:paraId="3EB2CBC3" w14:textId="066AC09F" w:rsidR="00377745" w:rsidRPr="00A87AFB" w:rsidRDefault="009744A7"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Ahora bien, en cuanto a los números de expedientes de investigación, </w:t>
      </w:r>
      <w:r w:rsidRPr="00A87AFB">
        <w:rPr>
          <w:rFonts w:ascii="Palatino Linotype" w:eastAsia="Palatino Linotype" w:hAnsi="Palatino Linotype" w:cs="Palatino Linotype"/>
          <w:b/>
          <w:i/>
          <w:sz w:val="22"/>
          <w:szCs w:val="22"/>
        </w:rPr>
        <w:t>PMT058/CM/AI/CP/233/2022, PMT058/CM/AI/CP/235/2022, У PMT058/CM/AI/CP/236/2022</w:t>
      </w:r>
      <w:r w:rsidRPr="00A87AFB">
        <w:rPr>
          <w:rFonts w:ascii="Palatino Linotype" w:eastAsia="Palatino Linotype" w:hAnsi="Palatino Linotype" w:cs="Palatino Linotype"/>
          <w:i/>
          <w:sz w:val="22"/>
          <w:szCs w:val="22"/>
        </w:rPr>
        <w:t>, después de una búsqueda minuciosa en el Libro de Gobierno de Registro de Expedientes, así como del archivo físico y electrónico de esta Autoridad Investigadora se observa que nunca se asignó números de expedientes con la referida nomenclatura.</w:t>
      </w:r>
      <w:r w:rsidR="00B76486" w:rsidRPr="00A87AFB">
        <w:rPr>
          <w:rFonts w:ascii="Palatino Linotype" w:eastAsia="Palatino Linotype" w:hAnsi="Palatino Linotype" w:cs="Palatino Linotype"/>
          <w:i/>
          <w:sz w:val="22"/>
          <w:szCs w:val="22"/>
        </w:rPr>
        <w:t>”</w:t>
      </w:r>
    </w:p>
    <w:p w14:paraId="31C17A17" w14:textId="77777777" w:rsidR="00F73FE3" w:rsidRPr="00A87AFB" w:rsidRDefault="00F73FE3" w:rsidP="00F73FE3">
      <w:pPr>
        <w:pBdr>
          <w:top w:val="nil"/>
          <w:left w:val="nil"/>
          <w:bottom w:val="nil"/>
          <w:right w:val="nil"/>
          <w:between w:val="nil"/>
        </w:pBdr>
        <w:spacing w:line="276" w:lineRule="auto"/>
        <w:ind w:left="851" w:right="616"/>
        <w:jc w:val="both"/>
        <w:rPr>
          <w:rFonts w:ascii="Palatino Linotype" w:eastAsia="Palatino Linotype" w:hAnsi="Palatino Linotype" w:cs="Palatino Linotype"/>
          <w:b/>
          <w:sz w:val="22"/>
          <w:szCs w:val="22"/>
        </w:rPr>
      </w:pPr>
    </w:p>
    <w:p w14:paraId="62773F78" w14:textId="062FA124" w:rsidR="00197609" w:rsidRPr="00A87AFB" w:rsidRDefault="00B76486" w:rsidP="00457B44">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i/>
          <w:sz w:val="22"/>
          <w:szCs w:val="22"/>
        </w:rPr>
        <w:t>Acta QUINTA SESIÓN EXTRAORDINARIA 31-marzo-2025.pdf</w:t>
      </w:r>
      <w:r w:rsidRPr="00A87AFB">
        <w:rPr>
          <w:rFonts w:ascii="Palatino Linotype" w:eastAsia="Palatino Linotype" w:hAnsi="Palatino Linotype" w:cs="Palatino Linotype"/>
          <w:sz w:val="22"/>
          <w:szCs w:val="22"/>
        </w:rPr>
        <w:t xml:space="preserve">: </w:t>
      </w:r>
      <w:r w:rsidR="00B75D2B" w:rsidRPr="00A87AFB">
        <w:rPr>
          <w:rFonts w:ascii="Palatino Linotype" w:eastAsia="Palatino Linotype" w:hAnsi="Palatino Linotype" w:cs="Palatino Linotype"/>
          <w:sz w:val="22"/>
          <w:szCs w:val="22"/>
        </w:rPr>
        <w:t xml:space="preserve">Acta de la Quinta Sesión Extraordinaria del Comité de Transparencia del Municipio de Tenancingo, de fecha treinta y uno de marzo de dos mil veinticinco, en el que se aprobó por unanimidad de votos como </w:t>
      </w:r>
      <w:r w:rsidR="00C84580" w:rsidRPr="00A87AFB">
        <w:rPr>
          <w:rFonts w:ascii="Palatino Linotype" w:eastAsia="Palatino Linotype" w:hAnsi="Palatino Linotype" w:cs="Palatino Linotype"/>
          <w:sz w:val="22"/>
          <w:szCs w:val="22"/>
        </w:rPr>
        <w:t xml:space="preserve">información reservada </w:t>
      </w:r>
      <w:r w:rsidR="00B75D2B" w:rsidRPr="00A87AFB">
        <w:rPr>
          <w:rFonts w:ascii="Palatino Linotype" w:eastAsia="Palatino Linotype" w:hAnsi="Palatino Linotype" w:cs="Palatino Linotype"/>
          <w:sz w:val="22"/>
          <w:szCs w:val="22"/>
        </w:rPr>
        <w:t xml:space="preserve">por un periodo de cinco años la documentación e información contenida en el los expedientes número PMT058/CM/AI/CP/001/2025 Y PMT058/CM/AI/CP/002/2025 emitido a consideración el Servidor Público Habilitado de la unidad administrativa de la Autoridad Investigadora, adscrita al Órgano Interno de Control del Ayuntamiento de Tenancingo toda vez que puede causar un serio perjuicio a las actividades de prevención o persecución de alguna responsabilidad administrativa у vulnere la conducción de los expedientes judiciales o de los procedimientos administrativos, </w:t>
      </w:r>
      <w:r w:rsidR="00B75D2B" w:rsidRPr="00A87AFB">
        <w:rPr>
          <w:rFonts w:ascii="Palatino Linotype" w:eastAsia="Palatino Linotype" w:hAnsi="Palatino Linotype" w:cs="Palatino Linotype"/>
          <w:sz w:val="22"/>
          <w:szCs w:val="22"/>
        </w:rPr>
        <w:lastRenderedPageBreak/>
        <w:t>en tanto no haya quedo firmes.</w:t>
      </w:r>
      <w:r w:rsidR="00B75D2B" w:rsidRPr="00A87AFB">
        <w:rPr>
          <w:rFonts w:ascii="Palatino Linotype" w:eastAsia="Palatino Linotype" w:hAnsi="Palatino Linotype" w:cs="Palatino Linotype"/>
          <w:sz w:val="22"/>
          <w:szCs w:val="22"/>
        </w:rPr>
        <w:cr/>
      </w:r>
    </w:p>
    <w:p w14:paraId="13CAC553" w14:textId="05F26FD5"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3. Interposición del recurso de revisión. </w:t>
      </w:r>
      <w:r w:rsidRPr="00A87AFB">
        <w:rPr>
          <w:rFonts w:ascii="Palatino Linotype" w:eastAsia="Palatino Linotype" w:hAnsi="Palatino Linotype" w:cs="Palatino Linotype"/>
          <w:sz w:val="22"/>
          <w:szCs w:val="22"/>
        </w:rPr>
        <w:t xml:space="preserve">Inconforme con los términos de la respuesta emitida por parte del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el </w:t>
      </w:r>
      <w:r w:rsidR="00C84580" w:rsidRPr="00A87AFB">
        <w:rPr>
          <w:rFonts w:ascii="Palatino Linotype" w:eastAsia="Palatino Linotype" w:hAnsi="Palatino Linotype" w:cs="Palatino Linotype"/>
          <w:b/>
          <w:sz w:val="22"/>
          <w:szCs w:val="22"/>
        </w:rPr>
        <w:t>tres de abril</w:t>
      </w:r>
      <w:r w:rsidR="00C84580"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b/>
          <w:sz w:val="22"/>
          <w:szCs w:val="22"/>
        </w:rPr>
        <w:t>del año dos mil veinticinco,</w:t>
      </w:r>
      <w:r w:rsidRPr="00A87AFB">
        <w:rPr>
          <w:rFonts w:ascii="Palatino Linotype" w:eastAsia="Palatino Linotype" w:hAnsi="Palatino Linotype" w:cs="Palatino Linotype"/>
          <w:sz w:val="22"/>
          <w:szCs w:val="22"/>
        </w:rPr>
        <w:t xml:space="preserve"> la parte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interpuso el recurso de revisión a través de </w:t>
      </w:r>
      <w:r w:rsidRPr="00A87AFB">
        <w:rPr>
          <w:rFonts w:ascii="Palatino Linotype" w:eastAsia="Palatino Linotype" w:hAnsi="Palatino Linotype" w:cs="Palatino Linotype"/>
          <w:b/>
          <w:sz w:val="22"/>
          <w:szCs w:val="22"/>
        </w:rPr>
        <w:t xml:space="preserve">SAIMEX, </w:t>
      </w:r>
      <w:r w:rsidRPr="00A87AFB">
        <w:rPr>
          <w:rFonts w:ascii="Palatino Linotype" w:eastAsia="Palatino Linotype" w:hAnsi="Palatino Linotype" w:cs="Palatino Linotype"/>
          <w:sz w:val="22"/>
          <w:szCs w:val="22"/>
        </w:rPr>
        <w:t>en donde se manifestó de la siguiente manera:</w:t>
      </w:r>
    </w:p>
    <w:p w14:paraId="6675A0BD" w14:textId="77777777" w:rsidR="00F73FE3" w:rsidRPr="00A87AFB" w:rsidRDefault="00F73FE3" w:rsidP="00457B44">
      <w:pPr>
        <w:spacing w:line="360" w:lineRule="auto"/>
        <w:ind w:right="49"/>
        <w:jc w:val="both"/>
        <w:rPr>
          <w:rFonts w:ascii="Palatino Linotype" w:eastAsia="Palatino Linotype" w:hAnsi="Palatino Linotype" w:cs="Palatino Linotype"/>
          <w:sz w:val="22"/>
          <w:szCs w:val="22"/>
        </w:rPr>
      </w:pPr>
    </w:p>
    <w:p w14:paraId="6500B5C0" w14:textId="77777777" w:rsidR="00197609" w:rsidRPr="00A87AFB" w:rsidRDefault="00247528" w:rsidP="00457B44">
      <w:pPr>
        <w:numPr>
          <w:ilvl w:val="0"/>
          <w:numId w:val="13"/>
        </w:numPr>
        <w:pBdr>
          <w:top w:val="nil"/>
          <w:left w:val="nil"/>
          <w:bottom w:val="nil"/>
          <w:right w:val="nil"/>
          <w:between w:val="nil"/>
        </w:pBdr>
        <w:tabs>
          <w:tab w:val="left" w:pos="2745"/>
        </w:tabs>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Acto impugnado: </w:t>
      </w:r>
    </w:p>
    <w:p w14:paraId="67497438" w14:textId="1F9925AB" w:rsidR="00197609" w:rsidRPr="00A87AFB" w:rsidRDefault="00247528" w:rsidP="00457B44">
      <w:pPr>
        <w:pBdr>
          <w:top w:val="nil"/>
          <w:left w:val="nil"/>
          <w:bottom w:val="nil"/>
          <w:right w:val="nil"/>
          <w:between w:val="nil"/>
        </w:pBdr>
        <w:ind w:left="720" w:right="902"/>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00C84580" w:rsidRPr="00A87AFB">
        <w:rPr>
          <w:rFonts w:ascii="Palatino Linotype" w:eastAsia="Palatino Linotype" w:hAnsi="Palatino Linotype" w:cs="Palatino Linotype"/>
          <w:i/>
          <w:sz w:val="22"/>
          <w:szCs w:val="22"/>
        </w:rPr>
        <w:t>La respuesta a la solicitud con número de folio 00318/TENANCIN/IP/2025</w:t>
      </w:r>
      <w:r w:rsidRPr="00A87AFB">
        <w:rPr>
          <w:rFonts w:ascii="Palatino Linotype" w:eastAsia="Palatino Linotype" w:hAnsi="Palatino Linotype" w:cs="Palatino Linotype"/>
          <w:i/>
          <w:sz w:val="22"/>
          <w:szCs w:val="22"/>
        </w:rPr>
        <w:t>” (Sic)</w:t>
      </w:r>
    </w:p>
    <w:p w14:paraId="07FC70A6" w14:textId="77777777" w:rsidR="00197609" w:rsidRPr="00A87AFB" w:rsidRDefault="00197609" w:rsidP="00457B44">
      <w:pPr>
        <w:ind w:left="851" w:right="902"/>
        <w:jc w:val="both"/>
        <w:rPr>
          <w:rFonts w:ascii="Palatino Linotype" w:eastAsia="Palatino Linotype" w:hAnsi="Palatino Linotype" w:cs="Palatino Linotype"/>
          <w:i/>
          <w:sz w:val="22"/>
          <w:szCs w:val="22"/>
        </w:rPr>
      </w:pPr>
    </w:p>
    <w:p w14:paraId="7A7A3DC8" w14:textId="77777777" w:rsidR="00197609" w:rsidRPr="00A87AFB" w:rsidRDefault="00247528" w:rsidP="00457B44">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Y Razones o motivos de inconformidad</w:t>
      </w:r>
      <w:r w:rsidRPr="00A87AFB">
        <w:rPr>
          <w:rFonts w:ascii="Palatino Linotype" w:eastAsia="Palatino Linotype" w:hAnsi="Palatino Linotype" w:cs="Palatino Linotype"/>
          <w:sz w:val="22"/>
          <w:szCs w:val="22"/>
        </w:rPr>
        <w:t>:</w:t>
      </w:r>
    </w:p>
    <w:p w14:paraId="3EA12BAD" w14:textId="2F48221C" w:rsidR="00197609" w:rsidRPr="00A87AFB" w:rsidRDefault="00247528" w:rsidP="00457B44">
      <w:pPr>
        <w:pBdr>
          <w:top w:val="nil"/>
          <w:left w:val="nil"/>
          <w:bottom w:val="nil"/>
          <w:right w:val="nil"/>
          <w:between w:val="nil"/>
        </w:pBdr>
        <w:ind w:left="720" w:right="902"/>
        <w:jc w:val="both"/>
        <w:rPr>
          <w:rFonts w:ascii="Palatino Linotype" w:eastAsia="Palatino Linotype" w:hAnsi="Palatino Linotype" w:cs="Palatino Linotype"/>
          <w:i/>
          <w:sz w:val="22"/>
          <w:szCs w:val="22"/>
        </w:rPr>
      </w:pPr>
      <w:bookmarkStart w:id="1" w:name="_heading=h.30j0zll" w:colFirst="0" w:colLast="0"/>
      <w:bookmarkEnd w:id="1"/>
      <w:r w:rsidRPr="00A87AFB">
        <w:rPr>
          <w:rFonts w:ascii="Palatino Linotype" w:eastAsia="Palatino Linotype" w:hAnsi="Palatino Linotype" w:cs="Palatino Linotype"/>
          <w:i/>
          <w:sz w:val="22"/>
          <w:szCs w:val="22"/>
        </w:rPr>
        <w:t>“</w:t>
      </w:r>
      <w:r w:rsidR="00C84580" w:rsidRPr="00A87AFB">
        <w:rPr>
          <w:rFonts w:ascii="Palatino Linotype" w:eastAsia="Palatino Linotype" w:hAnsi="Palatino Linotype" w:cs="Palatino Linotype"/>
          <w:i/>
          <w:sz w:val="22"/>
          <w:szCs w:val="22"/>
        </w:rPr>
        <w:t xml:space="preserve">EN PRIMERA INSTANCIA, ES DE REFERIRSE QUE EL SUJETO OBLIGADO, POR CONDUCTO DEL SERVIDOR PÚBLICO HABILITADO, LA AUTORIDAD INVESTIGADORA ADSCRITA AL ÓRGANO INTERNO DE CONTROL MUNICIPAL Y SUBSECUENTEMENTE POR EL COMITÉ DE TRANSPARENCIA DE ESE MUNICIPIO; </w:t>
      </w:r>
      <w:r w:rsidR="00C84580" w:rsidRPr="00A87AFB">
        <w:rPr>
          <w:rFonts w:ascii="Palatino Linotype" w:eastAsia="Palatino Linotype" w:hAnsi="Palatino Linotype" w:cs="Palatino Linotype"/>
          <w:b/>
          <w:i/>
          <w:sz w:val="22"/>
          <w:szCs w:val="22"/>
        </w:rPr>
        <w:t xml:space="preserve">NO OBSERVARON LAS NORMAS, DIRECTRICES Y PROCEDIMIENTO </w:t>
      </w:r>
      <w:r w:rsidR="00C84580" w:rsidRPr="00A87AFB">
        <w:rPr>
          <w:rFonts w:ascii="Palatino Linotype" w:eastAsia="Palatino Linotype" w:hAnsi="Palatino Linotype" w:cs="Palatino Linotype"/>
          <w:b/>
          <w:i/>
          <w:sz w:val="22"/>
          <w:szCs w:val="22"/>
          <w:u w:val="single"/>
        </w:rPr>
        <w:t>PARA LA CLASIFICACIÓN DE DICHA INFORMACIÓN COMO RESERVADA</w:t>
      </w:r>
      <w:r w:rsidR="00C84580" w:rsidRPr="00A87AFB">
        <w:rPr>
          <w:rFonts w:ascii="Palatino Linotype" w:eastAsia="Palatino Linotype" w:hAnsi="Palatino Linotype" w:cs="Palatino Linotype"/>
          <w:b/>
          <w:i/>
          <w:sz w:val="22"/>
          <w:szCs w:val="22"/>
        </w:rPr>
        <w:t>.</w:t>
      </w:r>
      <w:r w:rsidR="00C84580" w:rsidRPr="00A87AFB">
        <w:rPr>
          <w:rFonts w:ascii="Palatino Linotype" w:eastAsia="Palatino Linotype" w:hAnsi="Palatino Linotype" w:cs="Palatino Linotype"/>
          <w:i/>
          <w:sz w:val="22"/>
          <w:szCs w:val="22"/>
        </w:rPr>
        <w:t xml:space="preserve"> SE EXPONE TAL ASERTO PORQUE, SI BIEN EN LA RESPUESTA DE LA SOLICITUD DE MÉRITO, EL SERVIDOR PÚBLICO HABILITADO INTENTA APLICAR LA PRUEBA DE DAÑO CON AQUELLA FINALIDAD;</w:t>
      </w:r>
      <w:r w:rsidR="00C84580" w:rsidRPr="00A87AFB">
        <w:rPr>
          <w:rFonts w:ascii="Palatino Linotype" w:eastAsia="Palatino Linotype" w:hAnsi="Palatino Linotype" w:cs="Palatino Linotype"/>
          <w:b/>
          <w:i/>
          <w:sz w:val="22"/>
          <w:szCs w:val="22"/>
        </w:rPr>
        <w:t xml:space="preserve"> </w:t>
      </w:r>
      <w:r w:rsidR="00C84580" w:rsidRPr="00A87AFB">
        <w:rPr>
          <w:rFonts w:ascii="Palatino Linotype" w:eastAsia="Palatino Linotype" w:hAnsi="Palatino Linotype" w:cs="Palatino Linotype"/>
          <w:i/>
          <w:sz w:val="22"/>
          <w:szCs w:val="22"/>
        </w:rPr>
        <w:t>LO CIERTO ES QUE SOLO</w:t>
      </w:r>
      <w:r w:rsidR="00C84580" w:rsidRPr="00A87AFB">
        <w:rPr>
          <w:rFonts w:ascii="Palatino Linotype" w:eastAsia="Palatino Linotype" w:hAnsi="Palatino Linotype" w:cs="Palatino Linotype"/>
          <w:i/>
          <w:sz w:val="22"/>
          <w:szCs w:val="22"/>
          <w:u w:val="single"/>
        </w:rPr>
        <w:t xml:space="preserve"> </w:t>
      </w:r>
      <w:r w:rsidR="00C84580" w:rsidRPr="00A87AFB">
        <w:rPr>
          <w:rFonts w:ascii="Palatino Linotype" w:eastAsia="Palatino Linotype" w:hAnsi="Palatino Linotype" w:cs="Palatino Linotype"/>
          <w:i/>
          <w:sz w:val="22"/>
          <w:szCs w:val="22"/>
        </w:rPr>
        <w:t xml:space="preserve">SE LIMITÓ A REFERIR CUÁL ES EL “PROBABLE RIESGO QUE REPRESENTA LA ENTREGA DE LA INFORMACIÓN”, SIN EMBARGO, NO REFIERE LOS MOTIVOS, RAZONES Y/O CIRCUNSTANCIAS POR LOS QUE SE CONSIDERA QUE PUEDA SER REAL, DEMOSTRABLE E IDENTIFICABLE; ASIMISMO INTENTA REALIZAR LA “PONDERACIÓN” ENTRE DICHO RIESGO Y EL BENEFICIO QUE REPORTA DAR A CONOCER LA INFORMACIÓN; PUES NO REALIZA ESE PROCESO DE CONTRAPOSICIÓN, SOLO SE LIMITA A CITAS EL PRESUNTO RIESGO; DE AHÍ QUE AQUÉL SERVIDOR PÚBLICO HABILITADO NO REALIZÓ LA JUSTIFICACIÓN QUE EXIGE EL ARTÍCULO 129 DE LA LEY DE LA MATERIA; LO ANTERIOR ES ASÍ PUESTO QUE, DICHO DISPOSITIVO CONTEMPLA TRES REQUISITOS, SIENDO ESTOS LOS SIGUIENTES: • LA FRACCIÓN I, SE ORIENTA A VERIFICAR QUE EXISTA UN RIESGO PARA EL </w:t>
      </w:r>
      <w:r w:rsidR="00C84580" w:rsidRPr="00A87AFB">
        <w:rPr>
          <w:rFonts w:ascii="Palatino Linotype" w:eastAsia="Palatino Linotype" w:hAnsi="Palatino Linotype" w:cs="Palatino Linotype"/>
          <w:i/>
          <w:sz w:val="22"/>
          <w:szCs w:val="22"/>
        </w:rPr>
        <w:lastRenderedPageBreak/>
        <w:t xml:space="preserve">INTERÉS PÚBLICO O LA SEGURIDAD NACIONAL, DERIVADO DE LA PUBLICACIÓN DE DETERMINADA INFORMACIÓN; • LA FRACCIÓN II SE BASA EN QUE UNA VEZ QUE SE ACREDITÓ EL RIESGO, ÉSTE SE PONDERA CON EL INTERÉS PÚBLICO DE CONOCER LA INFORMACIÓN, DEMOSTRANDO QUE EL RIESGO QUE SE PUDIESE OCASIONAR SUPERA EL INTERÉS DE ACCEDER A INFORMACIÓN; Y • LA FRACCIÓN III HACE ALUSIÓN A DESGLOSAR LA PONDERACIÓN A TRAVÉS DEL PRINCIPIO DE PROPORCIONALIDAD, EL EXPLICAR POR QUÉ SE OPTÓ POR LA RESERVA DE LA INFORMACIÓN, PROCURANDO PROVOCAR EL MENOR DAÑO A LOS INTERESES DEL SOLICITANTE. DE LO ANTERIOR, PODEMOS DEDUCIR QUE EN LA RESPUESTA QUE EMITIERA EL SUJETO OBLIGADO, A TRAVÉS DEL SERVIDOR PÚBLICO HABILITADO, INTENTÓ JUSTIFICAR SOLO UNO DE LOS TRES REQUISITOS; SIN REALIZAR LA PONDERACIÓN CON EL INTERÉS PÚBLICO, PUES DE NINGUNA MANERA EL RIESGO SUPERA DICHO INTERÉS AL TRATARSE DE INFORMACIÓN RELACIONADA CON ACTOS DE CORRUPCIÓN Y CON EL MANEJO DE RECURSOS PÚBLICOS; MÁXIME QUE TAMPOCO DESGLOSÓ LA PONDERACIÓN A TRAVÉS DEL PRINCIPIO DE PROPORCIONALIDAD; PUES BIEN AQUÉL SUJETO OBLIGADO SE ENCONTRABA EN POSIBILIDAD DE RESERVAR PROPORCIONALMENTE DICHA INFORMACIÓN. </w:t>
      </w:r>
      <w:r w:rsidR="00C84580" w:rsidRPr="00A87AFB">
        <w:rPr>
          <w:rFonts w:ascii="Palatino Linotype" w:eastAsia="Palatino Linotype" w:hAnsi="Palatino Linotype" w:cs="Palatino Linotype"/>
          <w:b/>
          <w:i/>
          <w:sz w:val="22"/>
          <w:szCs w:val="22"/>
        </w:rPr>
        <w:t>LUEGO, EN SEGUNDA INSTANCIA, DEBE TOMARSE EN CONSIDERACIÓN QUE EL DIVERSO 142 DE LA LEY DE LA MATERIA SEÑALA LOS SUPUESTOS EN LOS QUE LA INFORMACIÓN NO SE PODRÁ CLASIFICAR COMO RESERVADA</w:t>
      </w:r>
      <w:r w:rsidR="00C84580" w:rsidRPr="00A87AFB">
        <w:rPr>
          <w:rFonts w:ascii="Palatino Linotype" w:eastAsia="Palatino Linotype" w:hAnsi="Palatino Linotype" w:cs="Palatino Linotype"/>
          <w:i/>
          <w:sz w:val="22"/>
          <w:szCs w:val="22"/>
        </w:rPr>
        <w:t xml:space="preserve">, </w:t>
      </w:r>
      <w:r w:rsidR="00C84580" w:rsidRPr="00A87AFB">
        <w:rPr>
          <w:rFonts w:ascii="Palatino Linotype" w:eastAsia="Palatino Linotype" w:hAnsi="Palatino Linotype" w:cs="Palatino Linotype"/>
          <w:b/>
          <w:i/>
          <w:sz w:val="22"/>
          <w:szCs w:val="22"/>
        </w:rPr>
        <w:t>SIENDO EL QUE NO OCUPA, LA FRACCIÓN IV DE DICHO ORDENAMIENTO, EL CUAL REFIERE “SE TRATE DE INFORMACIÓN RELACIONADA CON ACTOS DE CORRUPCIÓN DE CONFORMIDAD CON LAS DISPOSICIONES JURÍDICAS APLICABLE</w:t>
      </w:r>
      <w:r w:rsidR="00C84580" w:rsidRPr="00A87AFB">
        <w:rPr>
          <w:rFonts w:ascii="Palatino Linotype" w:eastAsia="Palatino Linotype" w:hAnsi="Palatino Linotype" w:cs="Palatino Linotype"/>
          <w:i/>
          <w:sz w:val="22"/>
          <w:szCs w:val="22"/>
        </w:rPr>
        <w:t xml:space="preserve">S”; POR LO QUE, COMO SE REFIRIÓ ANTERIORMENTE, </w:t>
      </w:r>
      <w:r w:rsidR="00C84580" w:rsidRPr="00A87AFB">
        <w:rPr>
          <w:rFonts w:ascii="Palatino Linotype" w:eastAsia="Palatino Linotype" w:hAnsi="Palatino Linotype" w:cs="Palatino Linotype"/>
          <w:b/>
          <w:i/>
          <w:sz w:val="22"/>
          <w:szCs w:val="22"/>
        </w:rPr>
        <w:t>AL SER LA INFORMACIÓN SOLICITADA, DE INTERÉS PÚBLICO AL ESTAR RELACIONADA CON EL EJERCICIO DE RECURSOS PÚBLICOS, Y DE LA QUE SE PRESUMEN ACTOS DE CORRUPCIÓN EN TÉRMINOS DE LAS LEY DE RESPONSABILIDADES ADMINISTRATIVAS DEL ESTADO DE M</w:t>
      </w:r>
      <w:r w:rsidR="00C84580" w:rsidRPr="00A87AFB">
        <w:rPr>
          <w:rFonts w:ascii="Palatino Linotype" w:eastAsia="Palatino Linotype" w:hAnsi="Palatino Linotype" w:cs="Palatino Linotype"/>
          <w:i/>
          <w:sz w:val="22"/>
          <w:szCs w:val="22"/>
        </w:rPr>
        <w:t xml:space="preserve">ÉXICO Y MUNICIPIOS; DERIVADOS DE RESULTADOS DE AUDITORÍAS E INFORMES EMITIDOS POR EL ÓRGANO SUPERIOR DE FISCALIZACIÓN ES QUE </w:t>
      </w:r>
      <w:r w:rsidR="00C84580" w:rsidRPr="00A87AFB">
        <w:rPr>
          <w:rFonts w:ascii="Palatino Linotype" w:eastAsia="Palatino Linotype" w:hAnsi="Palatino Linotype" w:cs="Palatino Linotype"/>
          <w:b/>
          <w:i/>
          <w:sz w:val="22"/>
          <w:szCs w:val="22"/>
          <w:u w:val="single"/>
        </w:rPr>
        <w:t>DICHA INFORMACIÓN NO PUEDE SER CALIFICADA COMO RESERVADA</w:t>
      </w:r>
      <w:r w:rsidR="00C84580"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i/>
          <w:sz w:val="22"/>
          <w:szCs w:val="22"/>
        </w:rPr>
        <w:t>” (Sic)</w:t>
      </w:r>
    </w:p>
    <w:p w14:paraId="481555CD" w14:textId="77777777" w:rsidR="00197609" w:rsidRPr="00A87AFB" w:rsidRDefault="00197609" w:rsidP="00457B44">
      <w:pPr>
        <w:pBdr>
          <w:top w:val="nil"/>
          <w:left w:val="nil"/>
          <w:bottom w:val="nil"/>
          <w:right w:val="nil"/>
          <w:between w:val="nil"/>
        </w:pBdr>
        <w:ind w:left="720" w:right="902"/>
        <w:jc w:val="both"/>
        <w:rPr>
          <w:rFonts w:ascii="Palatino Linotype" w:eastAsia="Palatino Linotype" w:hAnsi="Palatino Linotype" w:cs="Palatino Linotype"/>
          <w:i/>
          <w:sz w:val="22"/>
          <w:szCs w:val="22"/>
        </w:rPr>
      </w:pPr>
    </w:p>
    <w:p w14:paraId="75897E06" w14:textId="32FE4916" w:rsidR="00197609" w:rsidRPr="00A87AFB" w:rsidRDefault="00247528" w:rsidP="00457B4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El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adjuntó el documento electrónico denominado </w:t>
      </w:r>
      <w:r w:rsidR="00874388" w:rsidRPr="00A87AFB">
        <w:rPr>
          <w:rFonts w:ascii="Palatino Linotype" w:eastAsia="Palatino Linotype" w:hAnsi="Palatino Linotype" w:cs="Palatino Linotype"/>
          <w:sz w:val="22"/>
          <w:szCs w:val="22"/>
        </w:rPr>
        <w:t>“</w:t>
      </w:r>
      <w:r w:rsidR="00874388" w:rsidRPr="00A87AFB">
        <w:rPr>
          <w:rFonts w:ascii="Palatino Linotype" w:eastAsia="Palatino Linotype" w:hAnsi="Palatino Linotype" w:cs="Palatino Linotype"/>
          <w:b/>
          <w:i/>
          <w:sz w:val="22"/>
          <w:szCs w:val="22"/>
        </w:rPr>
        <w:t xml:space="preserve">Contestación 00318 </w:t>
      </w:r>
      <w:r w:rsidR="004E2EF3" w:rsidRPr="00A87AFB">
        <w:rPr>
          <w:rFonts w:ascii="Palatino Linotype" w:eastAsia="Palatino Linotype" w:hAnsi="Palatino Linotype" w:cs="Palatino Linotype"/>
          <w:b/>
          <w:i/>
          <w:sz w:val="22"/>
          <w:szCs w:val="22"/>
        </w:rPr>
        <w:t>Órgano</w:t>
      </w:r>
      <w:r w:rsidR="00874388" w:rsidRPr="00A87AFB">
        <w:rPr>
          <w:rFonts w:ascii="Palatino Linotype" w:eastAsia="Palatino Linotype" w:hAnsi="Palatino Linotype" w:cs="Palatino Linotype"/>
          <w:b/>
          <w:i/>
          <w:sz w:val="22"/>
          <w:szCs w:val="22"/>
        </w:rPr>
        <w:t xml:space="preserve"> Interno Municipal (2).</w:t>
      </w:r>
      <w:proofErr w:type="spellStart"/>
      <w:r w:rsidR="00874388" w:rsidRPr="00A87AFB">
        <w:rPr>
          <w:rFonts w:ascii="Palatino Linotype" w:eastAsia="Palatino Linotype" w:hAnsi="Palatino Linotype" w:cs="Palatino Linotype"/>
          <w:b/>
          <w:i/>
          <w:sz w:val="22"/>
          <w:szCs w:val="22"/>
        </w:rPr>
        <w:t>pdf</w:t>
      </w:r>
      <w:proofErr w:type="spellEnd"/>
      <w:r w:rsidR="00874388" w:rsidRPr="00A87AFB">
        <w:rPr>
          <w:rFonts w:ascii="Palatino Linotype" w:eastAsia="Palatino Linotype" w:hAnsi="Palatino Linotype" w:cs="Palatino Linotype"/>
          <w:b/>
          <w:i/>
          <w:sz w:val="22"/>
          <w:szCs w:val="22"/>
        </w:rPr>
        <w:t>”</w:t>
      </w:r>
      <w:r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el cual contiene la respuesta de</w:t>
      </w:r>
      <w:r w:rsidR="00874388" w:rsidRPr="00A87AFB">
        <w:rPr>
          <w:rFonts w:ascii="Palatino Linotype" w:eastAsia="Palatino Linotype" w:hAnsi="Palatino Linotype" w:cs="Palatino Linotype"/>
          <w:sz w:val="22"/>
          <w:szCs w:val="22"/>
        </w:rPr>
        <w:t xml:space="preserve"> la Autoridad Investigadora adscrita al Órgano Interno de Control </w:t>
      </w:r>
      <w:r w:rsidRPr="00A87AFB">
        <w:rPr>
          <w:rFonts w:ascii="Palatino Linotype" w:eastAsia="Palatino Linotype" w:hAnsi="Palatino Linotype" w:cs="Palatino Linotype"/>
          <w:sz w:val="22"/>
          <w:szCs w:val="22"/>
        </w:rPr>
        <w:t xml:space="preserve">a la solicitud </w:t>
      </w:r>
      <w:r w:rsidR="00874388" w:rsidRPr="00A87AFB">
        <w:rPr>
          <w:rFonts w:ascii="Palatino Linotype" w:eastAsia="Palatino Linotype" w:hAnsi="Palatino Linotype" w:cs="Palatino Linotype"/>
          <w:sz w:val="22"/>
          <w:szCs w:val="22"/>
        </w:rPr>
        <w:t xml:space="preserve">00318/TENANCIN/IP/2025 </w:t>
      </w:r>
      <w:r w:rsidRPr="00A87AFB">
        <w:rPr>
          <w:rFonts w:ascii="Palatino Linotype" w:eastAsia="Palatino Linotype" w:hAnsi="Palatino Linotype" w:cs="Palatino Linotype"/>
          <w:sz w:val="22"/>
          <w:szCs w:val="22"/>
        </w:rPr>
        <w:t xml:space="preserve">mediante el cual refiere </w:t>
      </w:r>
      <w:r w:rsidR="00874388" w:rsidRPr="00A87AFB">
        <w:rPr>
          <w:rFonts w:ascii="Palatino Linotype" w:eastAsia="Palatino Linotype" w:hAnsi="Palatino Linotype" w:cs="Palatino Linotype"/>
          <w:sz w:val="22"/>
          <w:szCs w:val="22"/>
        </w:rPr>
        <w:t xml:space="preserve">la reserva </w:t>
      </w:r>
      <w:r w:rsidR="00F42715" w:rsidRPr="00A87AFB">
        <w:rPr>
          <w:rFonts w:ascii="Palatino Linotype" w:eastAsia="Palatino Linotype" w:hAnsi="Palatino Linotype" w:cs="Palatino Linotype"/>
          <w:sz w:val="22"/>
          <w:szCs w:val="22"/>
        </w:rPr>
        <w:t xml:space="preserve">de </w:t>
      </w:r>
      <w:r w:rsidR="004E2EF3" w:rsidRPr="00A87AFB">
        <w:rPr>
          <w:rFonts w:ascii="Palatino Linotype" w:eastAsia="Palatino Linotype" w:hAnsi="Palatino Linotype" w:cs="Palatino Linotype"/>
          <w:sz w:val="22"/>
          <w:szCs w:val="22"/>
        </w:rPr>
        <w:t>los expedientes PMT058/CM/AI/CP/001/2025 y PMT058/CM/AI/CP/002/2025, por el período de cinco años, por aun encontrarse en trámite; y respecto a los expedientes de investigación PMT058/CM/AI/CP/233/2022, PMT058/CM/AI/CP/235/2022, У PMT058/CM/AI/CP/236/2022, después de una búsqueda minuciosa en el Libro de Gobierno de Registro de Expedientes, así como del archivo físico y electrónico de esta Autoridad Investigadora se observa que nunca se asignó números de expedientes con la referida nomenclatura.</w:t>
      </w:r>
    </w:p>
    <w:p w14:paraId="36B4A33E" w14:textId="77777777" w:rsidR="00197609" w:rsidRPr="00A87AFB" w:rsidRDefault="00197609" w:rsidP="00457B44">
      <w:pPr>
        <w:pBdr>
          <w:top w:val="nil"/>
          <w:left w:val="nil"/>
          <w:bottom w:val="nil"/>
          <w:right w:val="nil"/>
          <w:between w:val="nil"/>
        </w:pBdr>
        <w:spacing w:line="360" w:lineRule="auto"/>
        <w:ind w:left="720" w:right="902"/>
        <w:jc w:val="both"/>
        <w:rPr>
          <w:rFonts w:ascii="Palatino Linotype" w:eastAsia="Palatino Linotype" w:hAnsi="Palatino Linotype" w:cs="Palatino Linotype"/>
          <w:sz w:val="22"/>
          <w:szCs w:val="22"/>
        </w:rPr>
      </w:pPr>
    </w:p>
    <w:p w14:paraId="4AE74D20" w14:textId="77777777" w:rsidR="00197609" w:rsidRPr="00A87AFB" w:rsidRDefault="00247528" w:rsidP="00457B44">
      <w:pPr>
        <w:spacing w:line="360" w:lineRule="auto"/>
        <w:ind w:right="51"/>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4. Turno. </w:t>
      </w:r>
      <w:r w:rsidRPr="00A87AF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87AFB">
        <w:rPr>
          <w:rFonts w:ascii="Palatino Linotype" w:eastAsia="Palatino Linotype" w:hAnsi="Palatino Linotype" w:cs="Palatino Linotype"/>
          <w:b/>
          <w:sz w:val="22"/>
          <w:szCs w:val="22"/>
        </w:rPr>
        <w:t xml:space="preserve">Guadalupe Ramírez Peña, </w:t>
      </w:r>
      <w:r w:rsidRPr="00A87AFB">
        <w:rPr>
          <w:rFonts w:ascii="Palatino Linotype" w:eastAsia="Palatino Linotype" w:hAnsi="Palatino Linotype" w:cs="Palatino Linotype"/>
          <w:sz w:val="22"/>
          <w:szCs w:val="22"/>
        </w:rPr>
        <w:t xml:space="preserve">a efecto de que analizara sobre su admisión o su </w:t>
      </w:r>
      <w:proofErr w:type="spellStart"/>
      <w:r w:rsidRPr="00A87AFB">
        <w:rPr>
          <w:rFonts w:ascii="Palatino Linotype" w:eastAsia="Palatino Linotype" w:hAnsi="Palatino Linotype" w:cs="Palatino Linotype"/>
          <w:sz w:val="22"/>
          <w:szCs w:val="22"/>
        </w:rPr>
        <w:t>desechamiento</w:t>
      </w:r>
      <w:proofErr w:type="spellEnd"/>
      <w:r w:rsidRPr="00A87AFB">
        <w:rPr>
          <w:rFonts w:ascii="Palatino Linotype" w:eastAsia="Palatino Linotype" w:hAnsi="Palatino Linotype" w:cs="Palatino Linotype"/>
          <w:sz w:val="22"/>
          <w:szCs w:val="22"/>
        </w:rPr>
        <w:t>.</w:t>
      </w:r>
    </w:p>
    <w:p w14:paraId="2686A908" w14:textId="77777777" w:rsidR="00197609" w:rsidRPr="00A87AFB" w:rsidRDefault="00197609" w:rsidP="00457B44">
      <w:pPr>
        <w:spacing w:line="360" w:lineRule="auto"/>
        <w:ind w:right="51"/>
        <w:jc w:val="both"/>
        <w:rPr>
          <w:rFonts w:ascii="Palatino Linotype" w:eastAsia="Palatino Linotype" w:hAnsi="Palatino Linotype" w:cs="Palatino Linotype"/>
          <w:sz w:val="22"/>
          <w:szCs w:val="22"/>
        </w:rPr>
      </w:pPr>
    </w:p>
    <w:p w14:paraId="170F5AAC" w14:textId="1474EBA4"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5. Admisión del Recurso de revisión.</w:t>
      </w:r>
      <w:r w:rsidRPr="00A87AFB">
        <w:rPr>
          <w:rFonts w:ascii="Palatino Linotype" w:eastAsia="Palatino Linotype" w:hAnsi="Palatino Linotype" w:cs="Palatino Linotype"/>
          <w:sz w:val="22"/>
          <w:szCs w:val="22"/>
        </w:rPr>
        <w:t xml:space="preserve"> Con fecha</w:t>
      </w:r>
      <w:r w:rsidRPr="00A87AFB">
        <w:rPr>
          <w:rFonts w:ascii="Palatino Linotype" w:eastAsia="Palatino Linotype" w:hAnsi="Palatino Linotype" w:cs="Palatino Linotype"/>
          <w:b/>
          <w:sz w:val="22"/>
          <w:szCs w:val="22"/>
        </w:rPr>
        <w:t xml:space="preserve"> </w:t>
      </w:r>
      <w:r w:rsidR="004E2EF3" w:rsidRPr="00A87AFB">
        <w:rPr>
          <w:rFonts w:ascii="Palatino Linotype" w:eastAsia="Palatino Linotype" w:hAnsi="Palatino Linotype" w:cs="Palatino Linotype"/>
          <w:b/>
          <w:sz w:val="22"/>
          <w:szCs w:val="22"/>
        </w:rPr>
        <w:t>ocho de abril</w:t>
      </w:r>
      <w:r w:rsidRPr="00A87AFB">
        <w:rPr>
          <w:rFonts w:ascii="Palatino Linotype" w:eastAsia="Palatino Linotype" w:hAnsi="Palatino Linotype" w:cs="Palatino Linotype"/>
          <w:b/>
          <w:sz w:val="22"/>
          <w:szCs w:val="22"/>
        </w:rPr>
        <w:t xml:space="preserve"> de dos mil veinticinco, </w:t>
      </w:r>
      <w:r w:rsidRPr="00A87AF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sz w:val="22"/>
          <w:szCs w:val="22"/>
        </w:rPr>
        <w:t>presentara su informe justificado.</w:t>
      </w:r>
    </w:p>
    <w:p w14:paraId="6046B146"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431625E4" w14:textId="7BAC101A" w:rsidR="00197609" w:rsidRPr="00A87AFB" w:rsidRDefault="00247528" w:rsidP="00457B4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2" w:name="_heading=h.2s8eyo1" w:colFirst="0" w:colLast="0"/>
      <w:bookmarkEnd w:id="2"/>
      <w:r w:rsidRPr="00A87AFB">
        <w:rPr>
          <w:rFonts w:ascii="Palatino Linotype" w:eastAsia="Palatino Linotype" w:hAnsi="Palatino Linotype" w:cs="Palatino Linotype"/>
          <w:b/>
          <w:sz w:val="22"/>
          <w:szCs w:val="22"/>
        </w:rPr>
        <w:t>6. Manifestaciones</w:t>
      </w:r>
      <w:r w:rsidRPr="00A87AFB">
        <w:rPr>
          <w:rFonts w:ascii="Palatino Linotype" w:eastAsia="Palatino Linotype" w:hAnsi="Palatino Linotype" w:cs="Palatino Linotype"/>
          <w:sz w:val="22"/>
          <w:szCs w:val="22"/>
        </w:rPr>
        <w:t xml:space="preserve">. De las constancias que obran en el expediente electrónico del SAIMEX, se aprecia que el Sujeto Obligado rindió su informe justificado el </w:t>
      </w:r>
      <w:r w:rsidR="0060075E" w:rsidRPr="00A87AFB">
        <w:rPr>
          <w:rFonts w:ascii="Palatino Linotype" w:eastAsia="Palatino Linotype" w:hAnsi="Palatino Linotype" w:cs="Palatino Linotype"/>
          <w:b/>
          <w:sz w:val="22"/>
          <w:szCs w:val="22"/>
        </w:rPr>
        <w:t>veintidós de abril</w:t>
      </w:r>
      <w:r w:rsidRPr="00A87AFB">
        <w:rPr>
          <w:rFonts w:ascii="Palatino Linotype" w:eastAsia="Palatino Linotype" w:hAnsi="Palatino Linotype" w:cs="Palatino Linotype"/>
          <w:b/>
          <w:sz w:val="22"/>
          <w:szCs w:val="22"/>
        </w:rPr>
        <w:t xml:space="preserve"> de dos </w:t>
      </w:r>
      <w:r w:rsidRPr="00A87AFB">
        <w:rPr>
          <w:rFonts w:ascii="Palatino Linotype" w:eastAsia="Palatino Linotype" w:hAnsi="Palatino Linotype" w:cs="Palatino Linotype"/>
          <w:b/>
          <w:sz w:val="22"/>
          <w:szCs w:val="22"/>
        </w:rPr>
        <w:lastRenderedPageBreak/>
        <w:t>mil veinticinco</w:t>
      </w:r>
      <w:r w:rsidRPr="00A87AFB">
        <w:rPr>
          <w:rFonts w:ascii="Palatino Linotype" w:eastAsia="Palatino Linotype" w:hAnsi="Palatino Linotype" w:cs="Palatino Linotype"/>
          <w:sz w:val="22"/>
          <w:szCs w:val="22"/>
        </w:rPr>
        <w:t xml:space="preserve">, cuyo contenido se puso a la vista del particular el </w:t>
      </w:r>
      <w:r w:rsidR="00F42715" w:rsidRPr="00A87AFB">
        <w:rPr>
          <w:rFonts w:ascii="Palatino Linotype" w:eastAsia="Palatino Linotype" w:hAnsi="Palatino Linotype" w:cs="Palatino Linotype"/>
          <w:b/>
          <w:sz w:val="22"/>
          <w:szCs w:val="22"/>
        </w:rPr>
        <w:t>primero de julio</w:t>
      </w:r>
      <w:r w:rsidRPr="00A87AFB">
        <w:rPr>
          <w:rFonts w:ascii="Palatino Linotype" w:eastAsia="Palatino Linotype" w:hAnsi="Palatino Linotype" w:cs="Palatino Linotype"/>
          <w:b/>
          <w:sz w:val="22"/>
          <w:szCs w:val="22"/>
        </w:rPr>
        <w:t xml:space="preserve"> de la misma anualidad</w:t>
      </w:r>
      <w:r w:rsidRPr="00A87AFB">
        <w:rPr>
          <w:rFonts w:ascii="Palatino Linotype" w:eastAsia="Palatino Linotype" w:hAnsi="Palatino Linotype" w:cs="Palatino Linotype"/>
          <w:sz w:val="22"/>
          <w:szCs w:val="22"/>
        </w:rPr>
        <w:t>, cuyo contenido medular es el siguiente:</w:t>
      </w:r>
    </w:p>
    <w:p w14:paraId="130BB3EF" w14:textId="77777777" w:rsidR="00F42715" w:rsidRPr="00A87AFB" w:rsidRDefault="00F42715" w:rsidP="00457B44">
      <w:pPr>
        <w:pStyle w:val="Listaconvietas3"/>
        <w:numPr>
          <w:ilvl w:val="0"/>
          <w:numId w:val="0"/>
        </w:numPr>
        <w:spacing w:line="276" w:lineRule="auto"/>
        <w:ind w:left="851" w:right="616"/>
        <w:jc w:val="both"/>
        <w:rPr>
          <w:rFonts w:ascii="Palatino Linotype" w:eastAsia="Palatino Linotype" w:hAnsi="Palatino Linotype" w:cs="Palatino Linotype"/>
          <w:i/>
          <w:sz w:val="22"/>
          <w:szCs w:val="22"/>
        </w:rPr>
      </w:pPr>
    </w:p>
    <w:p w14:paraId="71DE03B7" w14:textId="010B7C47" w:rsidR="00397BCF" w:rsidRPr="00A87AFB" w:rsidRDefault="00476ACD"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cs="Palatino Linotype"/>
          <w:i/>
          <w:sz w:val="22"/>
          <w:szCs w:val="22"/>
        </w:rPr>
        <w:t>“</w:t>
      </w:r>
      <w:r w:rsidR="006E33FE" w:rsidRPr="00A87AFB">
        <w:rPr>
          <w:rFonts w:ascii="Palatino Linotype" w:eastAsia="Palatino Linotype" w:hAnsi="Palatino Linotype" w:cs="Palatino Linotype"/>
          <w:i/>
          <w:sz w:val="22"/>
          <w:szCs w:val="22"/>
        </w:rPr>
        <w:t>MANIFESTACIONES 3949.pdf</w:t>
      </w:r>
      <w:r w:rsidR="00247528" w:rsidRPr="00A87AFB">
        <w:rPr>
          <w:rFonts w:ascii="Palatino Linotype" w:eastAsia="Palatino Linotype" w:hAnsi="Palatino Linotype"/>
          <w:i/>
          <w:sz w:val="22"/>
          <w:szCs w:val="22"/>
        </w:rPr>
        <w:t xml:space="preserve">: </w:t>
      </w:r>
      <w:r w:rsidR="006E33FE" w:rsidRPr="00A87AFB">
        <w:rPr>
          <w:rFonts w:ascii="Palatino Linotype" w:eastAsia="Palatino Linotype" w:hAnsi="Palatino Linotype"/>
          <w:i/>
          <w:sz w:val="22"/>
          <w:szCs w:val="22"/>
        </w:rPr>
        <w:t>Oficio número PMT058/OIC/127</w:t>
      </w:r>
      <w:r w:rsidR="004E2EF3" w:rsidRPr="00A87AFB">
        <w:rPr>
          <w:rFonts w:ascii="Palatino Linotype" w:eastAsia="Palatino Linotype" w:hAnsi="Palatino Linotype"/>
          <w:i/>
          <w:sz w:val="22"/>
          <w:szCs w:val="22"/>
        </w:rPr>
        <w:t xml:space="preserve">/2025 de fecha </w:t>
      </w:r>
      <w:r w:rsidR="006E33FE" w:rsidRPr="00A87AFB">
        <w:rPr>
          <w:rFonts w:ascii="Palatino Linotype" w:eastAsia="Palatino Linotype" w:hAnsi="Palatino Linotype"/>
          <w:i/>
          <w:sz w:val="22"/>
          <w:szCs w:val="22"/>
        </w:rPr>
        <w:t>veintidós de abril</w:t>
      </w:r>
      <w:r w:rsidR="0060075E" w:rsidRPr="00A87AFB">
        <w:rPr>
          <w:rFonts w:ascii="Palatino Linotype" w:eastAsia="Palatino Linotype" w:hAnsi="Palatino Linotype"/>
          <w:i/>
          <w:sz w:val="22"/>
          <w:szCs w:val="22"/>
        </w:rPr>
        <w:t xml:space="preserve"> de dos mil veinticinco, signado por </w:t>
      </w:r>
      <w:r w:rsidR="006E33FE" w:rsidRPr="00A87AFB">
        <w:rPr>
          <w:rFonts w:ascii="Palatino Linotype" w:eastAsia="Palatino Linotype" w:hAnsi="Palatino Linotype"/>
          <w:i/>
          <w:sz w:val="22"/>
          <w:szCs w:val="22"/>
        </w:rPr>
        <w:t>la Autoridad Investigadora adscrita al</w:t>
      </w:r>
      <w:r w:rsidR="0060075E" w:rsidRPr="00A87AFB">
        <w:rPr>
          <w:rFonts w:ascii="Palatino Linotype" w:eastAsia="Palatino Linotype" w:hAnsi="Palatino Linotype"/>
          <w:i/>
          <w:sz w:val="22"/>
          <w:szCs w:val="22"/>
        </w:rPr>
        <w:t xml:space="preserve"> Órgano Interno de Control, mediante el cual </w:t>
      </w:r>
      <w:r w:rsidR="00397BCF" w:rsidRPr="00A87AFB">
        <w:rPr>
          <w:rFonts w:ascii="Palatino Linotype" w:eastAsia="Palatino Linotype" w:hAnsi="Palatino Linotype"/>
          <w:i/>
          <w:sz w:val="22"/>
          <w:szCs w:val="22"/>
        </w:rPr>
        <w:t xml:space="preserve">informó: </w:t>
      </w:r>
    </w:p>
    <w:p w14:paraId="5840C3F0" w14:textId="7A599DE5" w:rsidR="0060075E" w:rsidRPr="00A87AFB" w:rsidRDefault="0060075E"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p>
    <w:p w14:paraId="6D83C6B3" w14:textId="571285BC"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En otro orden de ideas, esta Autoridad Investigadora, adscrita al Órgano Interno de Control, no tiene la certeza jurídica de quien es la persona que realizó la solicitud de información con número de folio 00250/TENANCIN/IP/2025, ya que dicho sujeto no es identificable y por lo tanto, no se puede saber si es el denunciante el que realizó dicha solicitud, o en su caso, es el presunto responsable, o cualquier otro ciudadano de la localidad, con lo que se pudiera poner en riesgo información y la misma pudiera ser utilizada para su divulgación, y poner en peligro inminente la investigación.</w:t>
      </w:r>
    </w:p>
    <w:p w14:paraId="736AACC5" w14:textId="5B2F544E"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p>
    <w:p w14:paraId="41C20D93" w14:textId="77777777"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De igual forma, el solicitante en el medio de impugnación pretende hacer valer que esta Autoridad Investigadora, adscrita al Órgano Interno de Control en su carácter de sujeto obligado, no ponderó el interés público con el riesgo que existe de divulgación del mismo, por presuntamente tratarse de hechos de corrupción y con el manejo de recursos públicos, no obstante el solicitante en su solicitud no señaló que la misma se encuentre relacionada con hechos de corrupción, ya que no todos los expedientes radicados por la Autoridad Investigadora, adscrita a este Órgano de Control de Tenancingo, Estado de México, tienen que ver con hechos de corrupción, para ello debemos definir el concepto de corrupción mencionado por el Diccionario de la Lengua Española, realizado por la Real Academia Española, mismo que menciona:</w:t>
      </w:r>
    </w:p>
    <w:p w14:paraId="3E089815" w14:textId="77777777"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p>
    <w:p w14:paraId="5AE6A6B7" w14:textId="77777777"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"f. En las organizaciones, especialmente en las públicas, práctica consistente en la utilización indebida o ilícita de las funciones de aquellas en provecho de sus gestores"</w:t>
      </w:r>
    </w:p>
    <w:p w14:paraId="6ABF28DB" w14:textId="5D969B83"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Así como el diccionario prehispánico del español jurídico, que señala como corrupción lo siguiente:</w:t>
      </w:r>
    </w:p>
    <w:p w14:paraId="05C8DDEB" w14:textId="77777777"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p>
    <w:p w14:paraId="77940D2B" w14:textId="2C72772A"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 xml:space="preserve">"f. Comportamiento en el soborno, ofrecimiento o promesa a otra persona que ostenta cargos públicos, o a personas privadas, a los efectos de obtener </w:t>
      </w:r>
      <w:proofErr w:type="gramStart"/>
      <w:r w:rsidRPr="00A87AFB">
        <w:rPr>
          <w:rFonts w:ascii="Palatino Linotype" w:eastAsia="Palatino Linotype" w:hAnsi="Palatino Linotype"/>
          <w:i/>
          <w:sz w:val="22"/>
          <w:szCs w:val="22"/>
        </w:rPr>
        <w:t>ventajas contrarios</w:t>
      </w:r>
      <w:proofErr w:type="gramEnd"/>
      <w:r w:rsidRPr="00A87AFB">
        <w:rPr>
          <w:rFonts w:ascii="Palatino Linotype" w:eastAsia="Palatino Linotype" w:hAnsi="Palatino Linotype"/>
          <w:i/>
          <w:sz w:val="22"/>
          <w:szCs w:val="22"/>
        </w:rPr>
        <w:t xml:space="preserve"> a la legalidad o que sean de naturaleza defraudatoria”</w:t>
      </w:r>
    </w:p>
    <w:p w14:paraId="245E8580" w14:textId="77777777"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p>
    <w:p w14:paraId="5B198315" w14:textId="14ACCE7C"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En ese sentido, el acuerdo solicitado por el recurrente se trata de conductas de presuntas faltas administrativas de omisión, realizadas por servidores públicos las cuales no necesariamente implican el uso indebido de una posición de autoridad para obtener ventajas, como dinero, favores o privilegios para que puedan considerarse como hechos de corrupción, aunado al hecho de que en ningún momento la fracción IV del artículo 142 de la Ley antes mencionada, no señala "manejo de recursos públicos", como lo indica el recurrente.</w:t>
      </w:r>
    </w:p>
    <w:p w14:paraId="430281B6" w14:textId="77777777" w:rsidR="00F42715" w:rsidRPr="00A87AFB" w:rsidRDefault="00F42715"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p>
    <w:p w14:paraId="05F646B2" w14:textId="4042CC40"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En ese sentido, dicho numeral, establece una limitante que es que se debe acudir a las disposiciones jurídicas aplicables, para conocer cuáles son actos de corrupción; por lo tanto, se debe remitir al catálogo de delitos establecidos en el Titulo Sexto del Código Penal del Estado de México, donde se encuentran señalados cuales son los delitos por hechos de corrupción, sin que el Recurrente haya señalado que presunto delito de corrupción se pudiera tipificar dentro de las actuaciones de los expedientes "PMT058/CM/AI/CP/001/2025" "PMT058/CM/AI/CP/002/2025",</w:t>
      </w:r>
      <w:r w:rsidRPr="00A87AFB">
        <w:rPr>
          <w:rFonts w:ascii="Palatino Linotype" w:eastAsia="Palatino Linotype" w:hAnsi="Palatino Linotype"/>
          <w:bCs/>
          <w:i/>
          <w:sz w:val="22"/>
          <w:szCs w:val="22"/>
        </w:rPr>
        <w:t xml:space="preserve"> para que exista la certeza de que es un acto de corrupción, ya que</w:t>
      </w:r>
      <w:r w:rsidRPr="00A87AFB">
        <w:rPr>
          <w:rFonts w:ascii="Palatino Linotype" w:eastAsia="Palatino Linotype" w:hAnsi="Palatino Linotype"/>
          <w:b/>
          <w:i/>
          <w:sz w:val="22"/>
          <w:szCs w:val="22"/>
        </w:rPr>
        <w:t xml:space="preserve"> este Órgano Interno de Control, consideró que no se observa ningún delito relacionado con hechos de corrupción.</w:t>
      </w:r>
      <w:r w:rsidRPr="00A87AFB">
        <w:rPr>
          <w:rFonts w:ascii="Palatino Linotype" w:eastAsia="Palatino Linotype" w:hAnsi="Palatino Linotype"/>
          <w:b/>
          <w:i/>
          <w:sz w:val="22"/>
          <w:szCs w:val="22"/>
        </w:rPr>
        <w:cr/>
      </w:r>
    </w:p>
    <w:p w14:paraId="5402CCFA" w14:textId="74D1D8D6" w:rsidR="00397BCF"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 xml:space="preserve">Ahora bien, no existe impedimento legal para que la información haya sido clasificada como reservada ya que EL SOLICITANTE NUNCA ACREDITÓ que la investigación contenida en los expedientes "PMT058/CM/AI/CP/001/2025" y "PMT058/CM/AI/CP/002/2025", se encuentren relacionados con alguna violación a derechos humanos y </w:t>
      </w:r>
      <w:proofErr w:type="spellStart"/>
      <w:r w:rsidRPr="00A87AFB">
        <w:rPr>
          <w:rFonts w:ascii="Palatino Linotype" w:eastAsia="Palatino Linotype" w:hAnsi="Palatino Linotype"/>
          <w:i/>
          <w:sz w:val="22"/>
          <w:szCs w:val="22"/>
        </w:rPr>
        <w:t>tampoсо</w:t>
      </w:r>
      <w:proofErr w:type="spellEnd"/>
      <w:r w:rsidRPr="00A87AFB">
        <w:rPr>
          <w:rFonts w:ascii="Palatino Linotype" w:eastAsia="Palatino Linotype" w:hAnsi="Palatino Linotype"/>
          <w:i/>
          <w:sz w:val="22"/>
          <w:szCs w:val="22"/>
        </w:rPr>
        <w:t xml:space="preserve"> delitos de lesa humanidad, sirviendo como criterio orientador la Tesis Aislada de la Décima Época, con número 2021412, emitida por el Pleno del Tribunal, la cual a la letra señala:</w:t>
      </w:r>
      <w:r w:rsidRPr="00A87AFB">
        <w:rPr>
          <w:rFonts w:ascii="Palatino Linotype" w:eastAsia="Palatino Linotype" w:hAnsi="Palatino Linotype"/>
          <w:i/>
          <w:sz w:val="22"/>
          <w:szCs w:val="22"/>
        </w:rPr>
        <w:cr/>
        <w:t>…</w:t>
      </w:r>
    </w:p>
    <w:p w14:paraId="3F0EBE9D" w14:textId="7BA6502B" w:rsidR="00FA4799" w:rsidRPr="00A87AFB" w:rsidRDefault="00397BCF"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 xml:space="preserve">Asimismo, de acuerdo al análisis anterior, es obligación de esta Autoridad Investigadora, adscrita al Órgano Interno de Control, como sujeto obligado proteger y resguardar la misma, tal y como lo señala el artículo 24 fracción VI de la Ley de Transparencia y Acceso a la Información Pública del Estado de México y Municipios, es por ello que con fundamento en el dispositivo 140 fracción VI del ordenamiento legal antes mencionado, este Órgano Interno de Control, mediante oficio PMT058/OIC/AI/76/2025, solicitó al Comité de Transparencia del Municipio de Tenancingo correspondiente al ejercicio 2025-2027, que el contenido de las </w:t>
      </w:r>
      <w:r w:rsidRPr="00A87AFB">
        <w:rPr>
          <w:rFonts w:ascii="Palatino Linotype" w:eastAsia="Palatino Linotype" w:hAnsi="Palatino Linotype"/>
          <w:i/>
          <w:sz w:val="22"/>
          <w:szCs w:val="22"/>
        </w:rPr>
        <w:lastRenderedPageBreak/>
        <w:t>actuaciones de los expedientes"PMT058/CM/AI/CP/001/2025" y "PMT058/CM/AI/CP/002/2025", fuera clasificado como información reservada, pues de lo contrario, el riesgo identificable es que su divulgación pueda causar un serio perjuicio a las actividades de prevención o persecución de los delitos, la impartición de justicia, o cualquier otra acción que tenga por objeto la aplicación de las leyes, sin que resulte óbice mencionar, que pueda llevarse a cabo su desclasificación en caso de que dejen de subsistir las causas que dieron origen a su clasificación.</w:t>
      </w:r>
      <w:r w:rsidRPr="00A87AFB">
        <w:rPr>
          <w:rFonts w:ascii="Palatino Linotype" w:eastAsia="Palatino Linotype" w:hAnsi="Palatino Linotype"/>
          <w:i/>
          <w:sz w:val="22"/>
          <w:szCs w:val="22"/>
        </w:rPr>
        <w:cr/>
      </w:r>
      <w:r w:rsidR="00FA4799" w:rsidRPr="00A87AFB">
        <w:rPr>
          <w:rFonts w:ascii="Palatino Linotype" w:hAnsi="Palatino Linotype"/>
          <w:i/>
          <w:sz w:val="22"/>
          <w:szCs w:val="22"/>
        </w:rPr>
        <w:t xml:space="preserve"> </w:t>
      </w:r>
      <w:r w:rsidR="00FA4799" w:rsidRPr="00A87AFB">
        <w:rPr>
          <w:rFonts w:ascii="Palatino Linotype" w:eastAsia="Palatino Linotype" w:hAnsi="Palatino Linotype"/>
          <w:i/>
          <w:sz w:val="22"/>
          <w:szCs w:val="22"/>
        </w:rPr>
        <w:t>Una vez vertidas las manifestaciones realizadas por este Órgano Interno de Control, con fundamento en el artículo 185 fracción IV de la Ley de Transparencia y Acceso a la Información Pública del Estado de México y Municipios se ofrecen las siguientes:</w:t>
      </w:r>
    </w:p>
    <w:p w14:paraId="33B36D52" w14:textId="77777777" w:rsidR="00FA4799" w:rsidRPr="00A87AFB" w:rsidRDefault="00FA4799"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PRUEBAS:</w:t>
      </w:r>
    </w:p>
    <w:p w14:paraId="660C3DF9" w14:textId="13646184" w:rsidR="00FA4799" w:rsidRPr="00A87AFB" w:rsidRDefault="00FA4799"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1. LA DOCUMENTAL PÚBLICA: Consistente en el oficio PMT058/OIC/AI/76/2025, suscrito por esta Autoridad Investigadora, adscrita al Órgano Interno de Control de Tenancingo, Estado de México, presentado el veintisiete de marzo de dos mil veinticinco, ante la Coordinación de Transparencia del Ayuntamiento de Tenancingo, Estado de México, por medio del cual se solicitó que la información y documentación contenida en los expedientes números "PMT058/CM/AI/CP/001/2025" y "PMT058/CM/AI/CP/002/2025", se considerada como reservada por un período</w:t>
      </w:r>
      <w:r w:rsidR="00476ACD" w:rsidRPr="00A87AFB">
        <w:rPr>
          <w:rFonts w:ascii="Palatino Linotype" w:eastAsia="Palatino Linotype" w:hAnsi="Palatino Linotype"/>
          <w:i/>
          <w:sz w:val="22"/>
          <w:szCs w:val="22"/>
        </w:rPr>
        <w:t xml:space="preserve"> </w:t>
      </w:r>
      <w:r w:rsidRPr="00A87AFB">
        <w:rPr>
          <w:rFonts w:ascii="Palatino Linotype" w:eastAsia="Palatino Linotype" w:hAnsi="Palatino Linotype"/>
          <w:i/>
          <w:sz w:val="22"/>
          <w:szCs w:val="22"/>
        </w:rPr>
        <w:t>de siete años. al Comité de Transparencia del Municipio de Tenancingo, Estado de México.</w:t>
      </w:r>
    </w:p>
    <w:p w14:paraId="1C0AFC9F" w14:textId="078824D1" w:rsidR="00FA4799" w:rsidRPr="00A87AFB" w:rsidRDefault="00FA4799"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2. LA DOCUMENTAL PÚBLICA: Consistente en el Acta de la Quinta Sesión Extraordinaria del Comité de Transparencia del Municipio de Tenancingo, Estado de México, en la cual la información y documentación contenida en los expedientes números "PMT058/CM/AI/CP/001/2025" y "PMT058/CM/AI/CP/002/2025", se consideró como reservada por un período de siete años.</w:t>
      </w:r>
    </w:p>
    <w:p w14:paraId="6693401A" w14:textId="26AB333C" w:rsidR="00FA4799" w:rsidRPr="00A87AFB" w:rsidRDefault="00FA4799" w:rsidP="00457B44">
      <w:pPr>
        <w:pStyle w:val="Listaconvietas3"/>
        <w:numPr>
          <w:ilvl w:val="0"/>
          <w:numId w:val="0"/>
        </w:numPr>
        <w:spacing w:line="276" w:lineRule="auto"/>
        <w:ind w:left="851" w:right="616"/>
        <w:jc w:val="both"/>
        <w:rPr>
          <w:rFonts w:ascii="Palatino Linotype" w:eastAsia="Palatino Linotype" w:hAnsi="Palatino Linotype"/>
          <w:i/>
          <w:sz w:val="22"/>
          <w:szCs w:val="22"/>
        </w:rPr>
      </w:pPr>
      <w:r w:rsidRPr="00A87AFB">
        <w:rPr>
          <w:rFonts w:ascii="Palatino Linotype" w:eastAsia="Palatino Linotype" w:hAnsi="Palatino Linotype"/>
          <w:i/>
          <w:sz w:val="22"/>
          <w:szCs w:val="22"/>
        </w:rPr>
        <w:t>3. LA INSTRUMENTAL DE ACTUACIONES: Consistente en todo lo actuado dentro de la solicitud de información número 00318/TENANCIN/IP/2025 y el recurso de revisión con número de folio 03949/INFOEM/IP/RR/2025, y que beneficie a los intereses del suscrito.</w:t>
      </w:r>
    </w:p>
    <w:p w14:paraId="02036293" w14:textId="4D341E8D" w:rsidR="00397BCF" w:rsidRPr="00A87AFB" w:rsidRDefault="00FA4799" w:rsidP="00457B44">
      <w:pPr>
        <w:pStyle w:val="Listaconvietas3"/>
        <w:numPr>
          <w:ilvl w:val="0"/>
          <w:numId w:val="0"/>
        </w:numPr>
        <w:spacing w:line="276" w:lineRule="auto"/>
        <w:ind w:left="851" w:right="616"/>
        <w:jc w:val="both"/>
        <w:rPr>
          <w:rFonts w:ascii="Palatino Linotype" w:eastAsia="Palatino Linotype" w:hAnsi="Palatino Linotype"/>
          <w:sz w:val="22"/>
          <w:szCs w:val="22"/>
        </w:rPr>
      </w:pPr>
      <w:r w:rsidRPr="00A87AFB">
        <w:rPr>
          <w:rFonts w:ascii="Palatino Linotype" w:eastAsia="Palatino Linotype" w:hAnsi="Palatino Linotype"/>
          <w:i/>
          <w:sz w:val="22"/>
          <w:szCs w:val="22"/>
        </w:rPr>
        <w:t>4. LA PRESUNCIONAL LEGAL Y HUMANA: En todo lo que favorezca a los intereses del suscrito</w:t>
      </w:r>
      <w:r w:rsidR="00476ACD" w:rsidRPr="00A87AFB">
        <w:rPr>
          <w:rFonts w:ascii="Palatino Linotype" w:eastAsia="Palatino Linotype" w:hAnsi="Palatino Linotype"/>
          <w:i/>
          <w:sz w:val="22"/>
          <w:szCs w:val="22"/>
        </w:rPr>
        <w:t>…”</w:t>
      </w:r>
      <w:r w:rsidRPr="00A87AFB">
        <w:rPr>
          <w:rFonts w:ascii="Palatino Linotype" w:eastAsia="Palatino Linotype" w:hAnsi="Palatino Linotype"/>
          <w:sz w:val="22"/>
          <w:szCs w:val="22"/>
        </w:rPr>
        <w:cr/>
      </w:r>
    </w:p>
    <w:p w14:paraId="3090E6FB" w14:textId="1D99B407" w:rsidR="00197609" w:rsidRPr="00A87AFB" w:rsidRDefault="00247528" w:rsidP="00457B4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Por su parte, el </w:t>
      </w:r>
      <w:r w:rsidR="0060075E" w:rsidRPr="00A87AFB">
        <w:rPr>
          <w:rFonts w:ascii="Palatino Linotype" w:eastAsia="Palatino Linotype" w:hAnsi="Palatino Linotype" w:cs="Palatino Linotype"/>
          <w:b/>
          <w:sz w:val="22"/>
          <w:szCs w:val="22"/>
        </w:rPr>
        <w:t xml:space="preserve">veintidós de abril </w:t>
      </w:r>
      <w:r w:rsidRPr="00A87AFB">
        <w:rPr>
          <w:rFonts w:ascii="Palatino Linotype" w:eastAsia="Palatino Linotype" w:hAnsi="Palatino Linotype" w:cs="Palatino Linotype"/>
          <w:b/>
          <w:sz w:val="22"/>
          <w:szCs w:val="22"/>
        </w:rPr>
        <w:t>de dos mil veinticinco</w:t>
      </w:r>
      <w:r w:rsidR="006E33FE"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l</w:t>
      </w:r>
      <w:r w:rsidR="006E33FE" w:rsidRPr="00A87AFB">
        <w:rPr>
          <w:rFonts w:ascii="Palatino Linotype" w:eastAsia="Palatino Linotype" w:hAnsi="Palatino Linotype" w:cs="Palatino Linotype"/>
          <w:sz w:val="22"/>
          <w:szCs w:val="22"/>
        </w:rPr>
        <w:t xml:space="preserve">a parte </w:t>
      </w:r>
      <w:r w:rsidR="006E33FE" w:rsidRPr="00A87AFB">
        <w:rPr>
          <w:rFonts w:ascii="Palatino Linotype" w:eastAsia="Palatino Linotype" w:hAnsi="Palatino Linotype" w:cs="Palatino Linotype"/>
          <w:b/>
          <w:sz w:val="22"/>
          <w:szCs w:val="22"/>
        </w:rPr>
        <w:t>Recurrente</w:t>
      </w:r>
      <w:r w:rsidR="006E33FE"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adjuntó los siguientes documentos electrónicos:</w:t>
      </w:r>
    </w:p>
    <w:p w14:paraId="09BC44E7" w14:textId="77777777" w:rsidR="006E33FE" w:rsidRPr="00A87AFB" w:rsidRDefault="006E33FE" w:rsidP="00457B44">
      <w:pPr>
        <w:pStyle w:val="Listaconvietas3"/>
        <w:numPr>
          <w:ilvl w:val="0"/>
          <w:numId w:val="18"/>
        </w:numPr>
        <w:spacing w:line="276" w:lineRule="auto"/>
        <w:ind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lastRenderedPageBreak/>
        <w:t xml:space="preserve">Contestación 00107 Contraloría (2).pdf </w:t>
      </w:r>
      <w:r w:rsidRPr="00A87AFB">
        <w:rPr>
          <w:rFonts w:ascii="Palatino Linotype" w:eastAsia="Palatino Linotype" w:hAnsi="Palatino Linotype" w:cs="Palatino Linotype"/>
          <w:sz w:val="22"/>
          <w:szCs w:val="22"/>
        </w:rPr>
        <w:t xml:space="preserve">y </w:t>
      </w:r>
      <w:r w:rsidRPr="00A87AFB">
        <w:rPr>
          <w:rFonts w:ascii="Palatino Linotype" w:eastAsia="Palatino Linotype" w:hAnsi="Palatino Linotype" w:cs="Palatino Linotype"/>
          <w:b/>
          <w:sz w:val="22"/>
          <w:szCs w:val="22"/>
        </w:rPr>
        <w:t>Contestación 00107 Contraloría (2) (1).</w:t>
      </w:r>
      <w:proofErr w:type="spellStart"/>
      <w:r w:rsidRPr="00A87AFB">
        <w:rPr>
          <w:rFonts w:ascii="Palatino Linotype" w:eastAsia="Palatino Linotype" w:hAnsi="Palatino Linotype" w:cs="Palatino Linotype"/>
          <w:b/>
          <w:sz w:val="22"/>
          <w:szCs w:val="22"/>
        </w:rPr>
        <w:t>pdf</w:t>
      </w:r>
      <w:proofErr w:type="spellEnd"/>
      <w:r w:rsidRPr="00A87AFB">
        <w:rPr>
          <w:rFonts w:ascii="Palatino Linotype" w:eastAsia="Palatino Linotype" w:hAnsi="Palatino Linotype"/>
          <w:b/>
          <w:sz w:val="22"/>
          <w:szCs w:val="22"/>
        </w:rPr>
        <w:t xml:space="preserve">: </w:t>
      </w:r>
      <w:r w:rsidRPr="00A87AFB">
        <w:rPr>
          <w:rFonts w:ascii="Palatino Linotype" w:eastAsia="Palatino Linotype" w:hAnsi="Palatino Linotype"/>
          <w:sz w:val="22"/>
          <w:szCs w:val="22"/>
        </w:rPr>
        <w:t xml:space="preserve">Oficio número PMT058/OIC/189/2025 de fecha siete de febrero de dos mil veinticinco, signado por el Titular del Órgano Interno de Control, mediante el cual informó que corresponde a la Contraloría Municipal </w:t>
      </w:r>
      <w:r w:rsidRPr="00A87AFB">
        <w:rPr>
          <w:rFonts w:ascii="Palatino Linotype" w:eastAsia="Palatino Linotype" w:hAnsi="Palatino Linotype" w:cs="Palatino Linotype"/>
          <w:sz w:val="22"/>
          <w:szCs w:val="22"/>
        </w:rPr>
        <w:t xml:space="preserve">verificar, fiscalizar y coordinarse con el Órgano Superior de Fiscalización del Estado de México, la Contraloría del Poder Legislativo y con la Secretaría de la Contraloría del Estado para el cumplimiento de sus funciones. Es por ello que informó lo siguiente: </w:t>
      </w:r>
    </w:p>
    <w:p w14:paraId="16AC0AB7" w14:textId="77777777" w:rsidR="006E33FE" w:rsidRPr="00A87AFB" w:rsidRDefault="006E33FE" w:rsidP="00457B44">
      <w:pPr>
        <w:pStyle w:val="Listaconvietas3"/>
        <w:numPr>
          <w:ilvl w:val="0"/>
          <w:numId w:val="0"/>
        </w:numPr>
        <w:spacing w:line="276" w:lineRule="auto"/>
        <w:ind w:left="851" w:right="616"/>
        <w:jc w:val="both"/>
        <w:rPr>
          <w:rFonts w:ascii="Palatino Linotype" w:eastAsia="Palatino Linotype" w:hAnsi="Palatino Linotype" w:cs="Palatino Linotype"/>
          <w:sz w:val="22"/>
          <w:szCs w:val="22"/>
        </w:rPr>
      </w:pPr>
    </w:p>
    <w:p w14:paraId="6123DC2E" w14:textId="77777777" w:rsidR="006E33FE" w:rsidRPr="00A87AFB" w:rsidRDefault="006E33FE" w:rsidP="00457B44">
      <w:pPr>
        <w:pStyle w:val="Listaconvietas3"/>
        <w:numPr>
          <w:ilvl w:val="0"/>
          <w:numId w:val="0"/>
        </w:numPr>
        <w:spacing w:line="276" w:lineRule="auto"/>
        <w:ind w:left="851" w:right="616"/>
        <w:jc w:val="center"/>
        <w:rPr>
          <w:rFonts w:ascii="Palatino Linotype" w:eastAsia="Palatino Linotype" w:hAnsi="Palatino Linotype" w:cs="Palatino Linotype"/>
          <w:sz w:val="22"/>
          <w:szCs w:val="22"/>
        </w:rPr>
      </w:pPr>
      <w:r w:rsidRPr="00A87AFB">
        <w:rPr>
          <w:rFonts w:ascii="Palatino Linotype" w:eastAsia="Palatino Linotype" w:hAnsi="Palatino Linotype" w:cs="Palatino Linotype"/>
          <w:noProof/>
          <w:sz w:val="22"/>
          <w:szCs w:val="22"/>
          <w:lang w:val="es-MX"/>
        </w:rPr>
        <w:drawing>
          <wp:inline distT="0" distB="0" distL="0" distR="0" wp14:anchorId="7C8FBF3A" wp14:editId="31A81C97">
            <wp:extent cx="4511615" cy="1458439"/>
            <wp:effectExtent l="0" t="0" r="381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9005" cy="1476991"/>
                    </a:xfrm>
                    <a:prstGeom prst="rect">
                      <a:avLst/>
                    </a:prstGeom>
                  </pic:spPr>
                </pic:pic>
              </a:graphicData>
            </a:graphic>
          </wp:inline>
        </w:drawing>
      </w:r>
    </w:p>
    <w:p w14:paraId="37C2B86A" w14:textId="77777777" w:rsidR="006E33FE" w:rsidRPr="00A87AFB" w:rsidRDefault="006E33FE" w:rsidP="00457B44">
      <w:pPr>
        <w:pStyle w:val="Listaconvietas3"/>
        <w:numPr>
          <w:ilvl w:val="0"/>
          <w:numId w:val="0"/>
        </w:numPr>
        <w:spacing w:line="276" w:lineRule="auto"/>
        <w:ind w:left="851"/>
        <w:jc w:val="both"/>
        <w:rPr>
          <w:rFonts w:ascii="Palatino Linotype" w:eastAsia="Palatino Linotype" w:hAnsi="Palatino Linotype"/>
          <w:b/>
          <w:sz w:val="22"/>
          <w:szCs w:val="22"/>
        </w:rPr>
      </w:pPr>
    </w:p>
    <w:p w14:paraId="44297CF8" w14:textId="77777777" w:rsidR="006E33FE" w:rsidRPr="00A87AFB" w:rsidRDefault="006E33FE" w:rsidP="00457B44">
      <w:pPr>
        <w:pStyle w:val="Listaconvietas3"/>
        <w:numPr>
          <w:ilvl w:val="0"/>
          <w:numId w:val="18"/>
        </w:numPr>
        <w:spacing w:line="276"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Alegatos.docx</w:t>
      </w:r>
      <w:r w:rsidRPr="00A87AFB">
        <w:rPr>
          <w:rFonts w:ascii="Palatino Linotype" w:eastAsia="Palatino Linotype" w:hAnsi="Palatino Linotype"/>
          <w:b/>
          <w:sz w:val="22"/>
          <w:szCs w:val="22"/>
        </w:rPr>
        <w:t xml:space="preserve">: </w:t>
      </w:r>
      <w:r w:rsidRPr="00A87AFB">
        <w:rPr>
          <w:rFonts w:ascii="Palatino Linotype" w:eastAsia="Palatino Linotype" w:hAnsi="Palatino Linotype"/>
          <w:sz w:val="22"/>
          <w:szCs w:val="22"/>
        </w:rPr>
        <w:t xml:space="preserve">Documento en formato Word en el que refiere lo siguiente: </w:t>
      </w:r>
    </w:p>
    <w:p w14:paraId="5236EB33" w14:textId="77777777" w:rsidR="00F42715" w:rsidRPr="00A87AFB" w:rsidRDefault="00F42715" w:rsidP="00457B44">
      <w:pPr>
        <w:pStyle w:val="Listaconvietas3"/>
        <w:numPr>
          <w:ilvl w:val="0"/>
          <w:numId w:val="0"/>
        </w:numPr>
        <w:spacing w:line="276" w:lineRule="auto"/>
        <w:ind w:left="1134" w:right="616"/>
        <w:jc w:val="both"/>
        <w:rPr>
          <w:rFonts w:ascii="Palatino Linotype" w:eastAsia="Palatino Linotype" w:hAnsi="Palatino Linotype" w:cs="Palatino Linotype"/>
          <w:i/>
          <w:sz w:val="22"/>
          <w:szCs w:val="22"/>
        </w:rPr>
      </w:pPr>
    </w:p>
    <w:p w14:paraId="06AC145B" w14:textId="77777777" w:rsidR="006E33FE" w:rsidRPr="00A87AFB" w:rsidRDefault="006E33FE" w:rsidP="00457B44">
      <w:pPr>
        <w:pStyle w:val="Listaconvietas3"/>
        <w:numPr>
          <w:ilvl w:val="0"/>
          <w:numId w:val="0"/>
        </w:numPr>
        <w:spacing w:line="276" w:lineRule="auto"/>
        <w:ind w:left="1134"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 manera de alegatos, mismo que deberán ser tomas en consideración a la hora de resolver, es de referirse que, si bien el sujeto obligado en la contestación que diera origen al presente recurso refiere que no cuenta con información respecto de los expedientes números PMT058/CM/AI/233/2022, PMT058/CM/AI/235/2022 Y PMT058/CM/AI/236/2022; dicho sujeto, a través del servidor público habilitado que corresponda, deberá informar al solicitante los motivos razones y/o circunstancias por los que no cuenta con dicha información, puesto que, mediante diversa respuesta, informó que dichos expedientes, se encontraban radicados.</w:t>
      </w:r>
    </w:p>
    <w:p w14:paraId="1295ADDE" w14:textId="77777777" w:rsidR="006E33FE" w:rsidRPr="00A87AFB" w:rsidRDefault="006E33FE" w:rsidP="00457B44">
      <w:pPr>
        <w:pStyle w:val="Listaconvietas3"/>
        <w:numPr>
          <w:ilvl w:val="0"/>
          <w:numId w:val="0"/>
        </w:numPr>
        <w:spacing w:line="276" w:lineRule="auto"/>
        <w:ind w:left="1134"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Respuesta Anexa al presente documento.”</w:t>
      </w:r>
    </w:p>
    <w:p w14:paraId="133BEA14" w14:textId="77777777" w:rsidR="006E33FE" w:rsidRPr="00A87AFB" w:rsidRDefault="006E33FE" w:rsidP="00457B44">
      <w:pPr>
        <w:pStyle w:val="Listaconvietas3"/>
        <w:numPr>
          <w:ilvl w:val="0"/>
          <w:numId w:val="0"/>
        </w:numPr>
        <w:spacing w:line="276" w:lineRule="auto"/>
        <w:jc w:val="both"/>
        <w:rPr>
          <w:rFonts w:ascii="Palatino Linotype" w:eastAsia="Palatino Linotype" w:hAnsi="Palatino Linotype" w:cs="Palatino Linotype"/>
          <w:b/>
          <w:sz w:val="22"/>
          <w:szCs w:val="22"/>
        </w:rPr>
      </w:pPr>
    </w:p>
    <w:p w14:paraId="64551F79" w14:textId="63A44DA3"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7. Ampliaciones del plazo para emitir resolución.</w:t>
      </w:r>
      <w:r w:rsidRPr="00A87AFB">
        <w:rPr>
          <w:rFonts w:ascii="Palatino Linotype" w:eastAsia="Palatino Linotype" w:hAnsi="Palatino Linotype" w:cs="Palatino Linotype"/>
          <w:sz w:val="22"/>
          <w:szCs w:val="22"/>
        </w:rPr>
        <w:t xml:space="preserve"> El </w:t>
      </w:r>
      <w:r w:rsidR="00476ACD" w:rsidRPr="00A87AFB">
        <w:rPr>
          <w:rFonts w:ascii="Palatino Linotype" w:eastAsia="Palatino Linotype" w:hAnsi="Palatino Linotype" w:cs="Palatino Linotype"/>
          <w:b/>
          <w:sz w:val="22"/>
          <w:szCs w:val="22"/>
        </w:rPr>
        <w:t>primero de julio</w:t>
      </w:r>
      <w:r w:rsidRPr="00A87AFB">
        <w:rPr>
          <w:rFonts w:ascii="Palatino Linotype" w:eastAsia="Palatino Linotype" w:hAnsi="Palatino Linotype" w:cs="Palatino Linotype"/>
          <w:b/>
          <w:sz w:val="22"/>
          <w:szCs w:val="22"/>
        </w:rPr>
        <w:t xml:space="preserve"> de dos mil veinticinco</w:t>
      </w:r>
      <w:r w:rsidRPr="00A87AFB">
        <w:rPr>
          <w:rFonts w:ascii="Palatino Linotype" w:eastAsia="Palatino Linotype" w:hAnsi="Palatino Linotype" w:cs="Palatino Linotype"/>
          <w:sz w:val="22"/>
          <w:szCs w:val="22"/>
        </w:rPr>
        <w:t xml:space="preserve">, se notificó a las partes el Acuerdo de Ampliación de Plazo para resolver el medio de impugnación que nos ocupa, en términos de lo dispuesto por el artículo 181, </w:t>
      </w:r>
      <w:r w:rsidRPr="00A87AFB">
        <w:rPr>
          <w:rFonts w:ascii="Palatino Linotype" w:eastAsia="Palatino Linotype" w:hAnsi="Palatino Linotype" w:cs="Palatino Linotype"/>
          <w:sz w:val="22"/>
          <w:szCs w:val="22"/>
        </w:rPr>
        <w:lastRenderedPageBreak/>
        <w:t>párrafo tercero de la Ley de Transparencia y Acceso a la Información Pública del Estado de México y Municipios.</w:t>
      </w:r>
    </w:p>
    <w:p w14:paraId="12F2B068" w14:textId="77777777" w:rsidR="00F42715" w:rsidRPr="00A87AFB" w:rsidRDefault="00F42715" w:rsidP="00457B44">
      <w:pPr>
        <w:spacing w:line="360" w:lineRule="auto"/>
        <w:jc w:val="both"/>
        <w:rPr>
          <w:rFonts w:ascii="Palatino Linotype" w:eastAsia="Palatino Linotype" w:hAnsi="Palatino Linotype" w:cs="Palatino Linotype"/>
          <w:b/>
          <w:sz w:val="22"/>
          <w:szCs w:val="22"/>
        </w:rPr>
      </w:pPr>
    </w:p>
    <w:p w14:paraId="30A55833"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3663C1C"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52355DF0"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41CA5BD"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6461AFFB"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0EF38A"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12A90A53"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AA1D199"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79FDD955"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criterios: </w:t>
      </w:r>
    </w:p>
    <w:p w14:paraId="1A878126" w14:textId="77777777" w:rsidR="00803331" w:rsidRPr="00A87AFB" w:rsidRDefault="00803331" w:rsidP="00457B44">
      <w:pPr>
        <w:numPr>
          <w:ilvl w:val="0"/>
          <w:numId w:val="19"/>
        </w:numPr>
        <w:pBdr>
          <w:top w:val="nil"/>
          <w:left w:val="nil"/>
          <w:bottom w:val="nil"/>
          <w:right w:val="nil"/>
          <w:between w:val="nil"/>
        </w:pBdr>
        <w:spacing w:line="360" w:lineRule="auto"/>
        <w:ind w:left="426" w:right="900"/>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lastRenderedPageBreak/>
        <w:t>Complejidad del Asunto:</w:t>
      </w:r>
      <w:r w:rsidRPr="00A87AF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B725E9A" w14:textId="77777777" w:rsidR="00803331" w:rsidRPr="00A87AFB" w:rsidRDefault="00803331" w:rsidP="00457B44">
      <w:pPr>
        <w:numPr>
          <w:ilvl w:val="0"/>
          <w:numId w:val="19"/>
        </w:numPr>
        <w:spacing w:line="360" w:lineRule="auto"/>
        <w:ind w:left="567" w:right="1183" w:hanging="283"/>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Actividad Procesal del interesado.</w:t>
      </w:r>
      <w:r w:rsidRPr="00A87AFB">
        <w:rPr>
          <w:rFonts w:ascii="Palatino Linotype" w:eastAsia="Palatino Linotype" w:hAnsi="Palatino Linotype" w:cs="Palatino Linotype"/>
          <w:sz w:val="22"/>
          <w:szCs w:val="22"/>
        </w:rPr>
        <w:t xml:space="preserve"> Acciones u omisiones del interesado.</w:t>
      </w:r>
    </w:p>
    <w:p w14:paraId="4DA424F1" w14:textId="77777777" w:rsidR="00803331" w:rsidRPr="00A87AFB" w:rsidRDefault="00803331" w:rsidP="00457B44">
      <w:pPr>
        <w:numPr>
          <w:ilvl w:val="0"/>
          <w:numId w:val="19"/>
        </w:numPr>
        <w:spacing w:line="360" w:lineRule="auto"/>
        <w:ind w:left="567" w:right="1183" w:hanging="283"/>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Conducta de la Autoridad:</w:t>
      </w:r>
      <w:r w:rsidRPr="00A87AF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D2A1A14" w14:textId="77777777" w:rsidR="00803331" w:rsidRPr="00A87AFB" w:rsidRDefault="00803331" w:rsidP="00457B44">
      <w:pPr>
        <w:numPr>
          <w:ilvl w:val="0"/>
          <w:numId w:val="19"/>
        </w:numPr>
        <w:spacing w:line="360" w:lineRule="auto"/>
        <w:ind w:left="567" w:right="1183" w:hanging="283"/>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La afectación generada en la situación jurídica de la persona involucrada en el proceso:</w:t>
      </w:r>
      <w:r w:rsidRPr="00A87AFB">
        <w:rPr>
          <w:rFonts w:ascii="Palatino Linotype" w:eastAsia="Palatino Linotype" w:hAnsi="Palatino Linotype" w:cs="Palatino Linotype"/>
          <w:sz w:val="22"/>
          <w:szCs w:val="22"/>
        </w:rPr>
        <w:t xml:space="preserve"> Violación a sus derechos humanos.</w:t>
      </w:r>
    </w:p>
    <w:p w14:paraId="7CF29399"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433733A7"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155D8E"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37C564F6"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87AF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87AFB">
        <w:rPr>
          <w:rFonts w:ascii="Palatino Linotype" w:eastAsia="Palatino Linotype" w:hAnsi="Palatino Linotype" w:cs="Palatino Linotype"/>
          <w:sz w:val="22"/>
          <w:szCs w:val="22"/>
        </w:rPr>
        <w:t>, visible en la Gaceta del Seminario Judicial de la Federación con el registro digital 205635.</w:t>
      </w:r>
    </w:p>
    <w:p w14:paraId="2BB2C590"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2ABEFC4C"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w:t>
      </w:r>
      <w:r w:rsidRPr="00A87AFB">
        <w:rPr>
          <w:rFonts w:ascii="Palatino Linotype" w:eastAsia="Palatino Linotype" w:hAnsi="Palatino Linotype" w:cs="Palatino Linotype"/>
          <w:sz w:val="22"/>
          <w:szCs w:val="22"/>
        </w:rPr>
        <w:lastRenderedPageBreak/>
        <w:t>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51E8E7"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7BE1BBA9"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5609EC0"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1DE92A3F"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w:t>
      </w:r>
      <w:r w:rsidRPr="00A87AFB">
        <w:rPr>
          <w:rFonts w:ascii="Palatino Linotype" w:eastAsia="Palatino Linotype" w:hAnsi="Palatino Linotype" w:cs="Palatino Linotype"/>
          <w:i/>
          <w:sz w:val="22"/>
          <w:szCs w:val="22"/>
        </w:rPr>
        <w:t>“PLAZO RAZONABLE PARA RESOLVER. DIMENSIÓN Y EFECTOS DE ESTE CONCEPTO CUANDO SE ADUCE EXCESIVA CARGA DE TRABAJO.”</w:t>
      </w:r>
      <w:r w:rsidRPr="00A87AFB">
        <w:rPr>
          <w:rFonts w:ascii="Palatino Linotype" w:eastAsia="Palatino Linotype" w:hAnsi="Palatino Linotype" w:cs="Palatino Linotype"/>
          <w:sz w:val="22"/>
          <w:szCs w:val="22"/>
        </w:rPr>
        <w:t xml:space="preserve"> consultable en el Seminario Judicial de la Federación y su gaceta, con el registro digital 2002351.</w:t>
      </w:r>
    </w:p>
    <w:p w14:paraId="15068370" w14:textId="77777777"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A87AFB">
        <w:rPr>
          <w:rFonts w:ascii="Palatino Linotype" w:eastAsia="Palatino Linotype" w:hAnsi="Palatino Linotype" w:cs="Palatino Linotype"/>
          <w:sz w:val="22"/>
          <w:szCs w:val="22"/>
        </w:rPr>
        <w:t>, visible en el Seminario Judicial de la Federación y su gaceta, con el registro digital 2002350.</w:t>
      </w:r>
    </w:p>
    <w:p w14:paraId="76B7101D" w14:textId="77777777" w:rsidR="00F42715" w:rsidRPr="00A87AFB" w:rsidRDefault="00F42715" w:rsidP="00457B44">
      <w:pPr>
        <w:spacing w:line="360" w:lineRule="auto"/>
        <w:jc w:val="both"/>
        <w:rPr>
          <w:rFonts w:ascii="Palatino Linotype" w:eastAsia="Palatino Linotype" w:hAnsi="Palatino Linotype" w:cs="Palatino Linotype"/>
          <w:sz w:val="22"/>
          <w:szCs w:val="22"/>
        </w:rPr>
      </w:pPr>
    </w:p>
    <w:p w14:paraId="490F2040" w14:textId="343B7872" w:rsidR="00803331"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7F22151" w14:textId="77777777" w:rsidR="00F42715" w:rsidRPr="00A87AFB" w:rsidRDefault="00F42715" w:rsidP="00457B44">
      <w:pPr>
        <w:spacing w:line="360" w:lineRule="auto"/>
        <w:jc w:val="both"/>
        <w:rPr>
          <w:rFonts w:ascii="Palatino Linotype" w:eastAsia="Palatino Linotype" w:hAnsi="Palatino Linotype" w:cs="Palatino Linotype"/>
          <w:b/>
          <w:sz w:val="22"/>
          <w:szCs w:val="22"/>
        </w:rPr>
      </w:pPr>
    </w:p>
    <w:p w14:paraId="7946AB3C" w14:textId="13AFBB43" w:rsidR="00197609" w:rsidRPr="00A87AFB" w:rsidRDefault="00803331"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8</w:t>
      </w:r>
      <w:r w:rsidR="00247528" w:rsidRPr="00A87AFB">
        <w:rPr>
          <w:rFonts w:ascii="Palatino Linotype" w:eastAsia="Palatino Linotype" w:hAnsi="Palatino Linotype" w:cs="Palatino Linotype"/>
          <w:b/>
          <w:sz w:val="22"/>
          <w:szCs w:val="22"/>
        </w:rPr>
        <w:t xml:space="preserve">. Cierre de instrucción. </w:t>
      </w:r>
      <w:r w:rsidR="00247528" w:rsidRPr="00A87AF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00F42715" w:rsidRPr="00A87AFB">
        <w:rPr>
          <w:rFonts w:ascii="Palatino Linotype" w:eastAsia="Palatino Linotype" w:hAnsi="Palatino Linotype" w:cs="Palatino Linotype"/>
          <w:b/>
          <w:sz w:val="22"/>
          <w:szCs w:val="22"/>
        </w:rPr>
        <w:t>siete</w:t>
      </w:r>
      <w:r w:rsidR="00476ACD"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b/>
          <w:sz w:val="22"/>
          <w:szCs w:val="22"/>
        </w:rPr>
        <w:t>de julio</w:t>
      </w:r>
      <w:r w:rsidR="00247528" w:rsidRPr="00A87AFB">
        <w:rPr>
          <w:rFonts w:ascii="Palatino Linotype" w:eastAsia="Palatino Linotype" w:hAnsi="Palatino Linotype" w:cs="Palatino Linotype"/>
          <w:b/>
          <w:sz w:val="22"/>
          <w:szCs w:val="22"/>
        </w:rPr>
        <w:t xml:space="preserve"> de dos mil veinticinco, </w:t>
      </w:r>
      <w:r w:rsidR="00247528" w:rsidRPr="00A87AFB">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27241535"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2E4E6833" w14:textId="77777777" w:rsidR="00197609" w:rsidRPr="00A87AFB" w:rsidRDefault="00247528" w:rsidP="00457B44">
      <w:pPr>
        <w:widowControl w:val="0"/>
        <w:spacing w:line="360" w:lineRule="auto"/>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II. C O N S I D E R A N D O S</w:t>
      </w:r>
    </w:p>
    <w:p w14:paraId="11002D1E" w14:textId="77777777" w:rsidR="00197609" w:rsidRPr="00A87AFB" w:rsidRDefault="00197609" w:rsidP="00457B44">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4ECFA167" w14:textId="5FA6143C"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Primero. Competencia.</w:t>
      </w:r>
      <w:r w:rsidRPr="00A87AF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803331" w:rsidRPr="00A87AFB">
        <w:rPr>
          <w:rFonts w:ascii="Palatino Linotype" w:eastAsia="Palatino Linotype" w:hAnsi="Palatino Linotype" w:cs="Palatino Linotype"/>
          <w:sz w:val="22"/>
          <w:szCs w:val="22"/>
        </w:rPr>
        <w:t xml:space="preserve">noveno, cuadragésimo y cuadragésimo primero, </w:t>
      </w:r>
      <w:r w:rsidRPr="00A87AFB">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E6FCD87"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A87AFB">
        <w:rPr>
          <w:rFonts w:ascii="Palatino Linotype" w:eastAsia="Palatino Linotype" w:hAnsi="Palatino Linotype" w:cs="Palatino Linotype"/>
          <w:b/>
          <w:sz w:val="22"/>
          <w:szCs w:val="22"/>
        </w:rPr>
        <w:t xml:space="preserve">Segundo. Oportunidad y Procedibilidad del Recurso de Revisión. </w:t>
      </w:r>
      <w:r w:rsidRPr="00A87AF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22C771A"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7AFA9F8" w14:textId="77777777" w:rsidR="00F42715" w:rsidRPr="00A87AFB" w:rsidRDefault="00F42715" w:rsidP="00457B44">
      <w:pPr>
        <w:ind w:left="851" w:right="900"/>
        <w:jc w:val="both"/>
        <w:rPr>
          <w:rFonts w:ascii="Palatino Linotype" w:eastAsia="Palatino Linotype" w:hAnsi="Palatino Linotype" w:cs="Palatino Linotype"/>
          <w:b/>
          <w:i/>
          <w:sz w:val="22"/>
          <w:szCs w:val="22"/>
        </w:rPr>
      </w:pPr>
    </w:p>
    <w:p w14:paraId="2EE21017" w14:textId="0A8DFBFB" w:rsidR="00197609" w:rsidRPr="00A87AFB" w:rsidRDefault="00247528" w:rsidP="00457B44">
      <w:pPr>
        <w:ind w:left="851" w:right="900"/>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 xml:space="preserve">“Artículo 178. </w:t>
      </w:r>
      <w:r w:rsidRPr="00A87AF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408844F" w14:textId="77777777" w:rsidR="00F42715" w:rsidRPr="00A87AFB" w:rsidRDefault="00F42715" w:rsidP="00457B44">
      <w:pPr>
        <w:spacing w:line="360" w:lineRule="auto"/>
        <w:ind w:right="49"/>
        <w:jc w:val="both"/>
        <w:rPr>
          <w:rFonts w:ascii="Palatino Linotype" w:eastAsia="Palatino Linotype" w:hAnsi="Palatino Linotype" w:cs="Palatino Linotype"/>
          <w:sz w:val="22"/>
          <w:szCs w:val="22"/>
        </w:rPr>
      </w:pPr>
    </w:p>
    <w:p w14:paraId="31900EB5" w14:textId="3E4914B1"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F42715" w:rsidRPr="00A87AFB">
        <w:rPr>
          <w:rFonts w:ascii="Palatino Linotype" w:eastAsia="Palatino Linotype" w:hAnsi="Palatino Linotype" w:cs="Palatino Linotype"/>
          <w:b/>
          <w:sz w:val="22"/>
          <w:szCs w:val="22"/>
        </w:rPr>
        <w:t>Sujeto Obligado</w:t>
      </w:r>
      <w:r w:rsidR="00F42715"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 xml:space="preserve">remitió la respuesta a la solicitud de información el </w:t>
      </w:r>
      <w:r w:rsidR="00803331" w:rsidRPr="00A87AFB">
        <w:rPr>
          <w:rFonts w:ascii="Palatino Linotype" w:eastAsia="Palatino Linotype" w:hAnsi="Palatino Linotype" w:cs="Palatino Linotype"/>
          <w:b/>
          <w:sz w:val="22"/>
          <w:szCs w:val="22"/>
        </w:rPr>
        <w:t>dos de abril</w:t>
      </w:r>
      <w:r w:rsidRPr="00A87AFB">
        <w:rPr>
          <w:rFonts w:ascii="Palatino Linotype" w:eastAsia="Palatino Linotype" w:hAnsi="Palatino Linotype" w:cs="Palatino Linotype"/>
          <w:b/>
          <w:sz w:val="22"/>
          <w:szCs w:val="22"/>
        </w:rPr>
        <w:t xml:space="preserve"> de dos mil veinticinco, </w:t>
      </w:r>
      <w:r w:rsidRPr="00A87AFB">
        <w:rPr>
          <w:rFonts w:ascii="Palatino Linotype" w:eastAsia="Palatino Linotype" w:hAnsi="Palatino Linotype" w:cs="Palatino Linotype"/>
          <w:sz w:val="22"/>
          <w:szCs w:val="22"/>
        </w:rPr>
        <w:t xml:space="preserve">mientras que el recurso de revisión interpuesto por la parte </w:t>
      </w:r>
      <w:r w:rsidR="00F42715"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se tuvo por presentado el día </w:t>
      </w:r>
      <w:r w:rsidR="00803331" w:rsidRPr="00A87AFB">
        <w:rPr>
          <w:rFonts w:ascii="Palatino Linotype" w:eastAsia="Palatino Linotype" w:hAnsi="Palatino Linotype" w:cs="Palatino Linotype"/>
          <w:b/>
          <w:sz w:val="22"/>
          <w:szCs w:val="22"/>
        </w:rPr>
        <w:t>tres de abril</w:t>
      </w:r>
      <w:r w:rsidRPr="00A87AFB">
        <w:rPr>
          <w:rFonts w:ascii="Palatino Linotype" w:eastAsia="Palatino Linotype" w:hAnsi="Palatino Linotype" w:cs="Palatino Linotype"/>
          <w:b/>
          <w:sz w:val="22"/>
          <w:szCs w:val="22"/>
        </w:rPr>
        <w:t xml:space="preserve"> del año dos mil veinticinco</w:t>
      </w:r>
      <w:r w:rsidRPr="00A87AFB">
        <w:rPr>
          <w:rFonts w:ascii="Palatino Linotype" w:eastAsia="Palatino Linotype" w:hAnsi="Palatino Linotype" w:cs="Palatino Linotype"/>
          <w:sz w:val="22"/>
          <w:szCs w:val="22"/>
        </w:rPr>
        <w:t xml:space="preserve">; esto es, al </w:t>
      </w:r>
      <w:r w:rsidR="00803331" w:rsidRPr="00A87AFB">
        <w:rPr>
          <w:rFonts w:ascii="Palatino Linotype" w:eastAsia="Palatino Linotype" w:hAnsi="Palatino Linotype" w:cs="Palatino Linotype"/>
          <w:sz w:val="22"/>
          <w:szCs w:val="22"/>
        </w:rPr>
        <w:t>primer</w:t>
      </w:r>
      <w:r w:rsidRPr="00A87AFB">
        <w:rPr>
          <w:rFonts w:ascii="Palatino Linotype" w:eastAsia="Palatino Linotype" w:hAnsi="Palatino Linotype" w:cs="Palatino Linotype"/>
          <w:sz w:val="22"/>
          <w:szCs w:val="22"/>
        </w:rPr>
        <w:t xml:space="preserve"> día hábil siguiente en que tuvo conocimiento de la respuesta.</w:t>
      </w:r>
    </w:p>
    <w:p w14:paraId="55C8800C" w14:textId="77777777" w:rsidR="00F42715" w:rsidRPr="00A87AFB" w:rsidRDefault="00F42715" w:rsidP="00457B44">
      <w:pPr>
        <w:spacing w:line="360" w:lineRule="auto"/>
        <w:ind w:right="49"/>
        <w:jc w:val="both"/>
        <w:rPr>
          <w:rFonts w:ascii="Palatino Linotype" w:eastAsia="Palatino Linotype" w:hAnsi="Palatino Linotype" w:cs="Palatino Linotype"/>
          <w:sz w:val="22"/>
          <w:szCs w:val="22"/>
        </w:rPr>
      </w:pPr>
    </w:p>
    <w:p w14:paraId="7E91131C" w14:textId="4E97B832"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Por cuanto hace a la procedibilidad del recurso de revisión, es de suma importancia señalar que la parte </w:t>
      </w:r>
      <w:r w:rsidR="00F42715"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no proporcionó su nombre</w:t>
      </w:r>
      <w:r w:rsidR="00803331" w:rsidRPr="00A87AFB">
        <w:rPr>
          <w:rFonts w:ascii="Palatino Linotype" w:eastAsia="Palatino Linotype" w:hAnsi="Palatino Linotype" w:cs="Palatino Linotype"/>
          <w:sz w:val="22"/>
          <w:szCs w:val="22"/>
        </w:rPr>
        <w:t xml:space="preserve"> completo</w:t>
      </w:r>
      <w:r w:rsidRPr="00A87AFB">
        <w:rPr>
          <w:rFonts w:ascii="Palatino Linotype" w:eastAsia="Palatino Linotype" w:hAnsi="Palatino Linotype" w:cs="Palatino Linotype"/>
          <w:b/>
          <w:sz w:val="22"/>
          <w:szCs w:val="22"/>
        </w:rPr>
        <w:t>,</w:t>
      </w:r>
      <w:r w:rsidRPr="00A87AFB">
        <w:rPr>
          <w:rFonts w:ascii="Palatino Linotype" w:eastAsia="Palatino Linotype" w:hAnsi="Palatino Linotype" w:cs="Palatino Linotype"/>
          <w:sz w:val="22"/>
          <w:szCs w:val="22"/>
        </w:rPr>
        <w:t xml:space="preserve"> como se advierte en el detalle de seguimiento del SAIMEX, no obstante el no proporcionar nombre</w:t>
      </w:r>
      <w:r w:rsidR="00803331" w:rsidRPr="00A87AFB">
        <w:rPr>
          <w:rFonts w:ascii="Palatino Linotype" w:eastAsia="Palatino Linotype" w:hAnsi="Palatino Linotype" w:cs="Palatino Linotype"/>
          <w:sz w:val="22"/>
          <w:szCs w:val="22"/>
        </w:rPr>
        <w:t xml:space="preserve"> completo</w:t>
      </w:r>
      <w:r w:rsidRPr="00A87AFB">
        <w:rPr>
          <w:rFonts w:ascii="Palatino Linotype" w:eastAsia="Palatino Linotype" w:hAnsi="Palatino Linotype" w:cs="Palatino Linotype"/>
          <w:sz w:val="22"/>
          <w:szCs w:val="22"/>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D8227B0" w14:textId="77777777" w:rsidR="004B01B2" w:rsidRPr="00A87AFB" w:rsidRDefault="004B01B2" w:rsidP="00457B44">
      <w:pPr>
        <w:spacing w:line="360" w:lineRule="auto"/>
        <w:jc w:val="both"/>
        <w:rPr>
          <w:rFonts w:ascii="Palatino Linotype" w:eastAsia="Palatino Linotype" w:hAnsi="Palatino Linotype" w:cs="Palatino Linotype"/>
          <w:sz w:val="22"/>
          <w:szCs w:val="22"/>
        </w:rPr>
      </w:pPr>
    </w:p>
    <w:p w14:paraId="1E9725D1" w14:textId="77777777" w:rsidR="00197609" w:rsidRPr="00A87AFB" w:rsidRDefault="00247528" w:rsidP="00457B44">
      <w:pPr>
        <w:spacing w:line="276" w:lineRule="auto"/>
        <w:ind w:left="851" w:right="902"/>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 xml:space="preserve">Las solicitudes </w:t>
      </w:r>
      <w:r w:rsidRPr="00A87AFB">
        <w:rPr>
          <w:rFonts w:ascii="Palatino Linotype" w:eastAsia="Palatino Linotype" w:hAnsi="Palatino Linotype" w:cs="Palatino Linotype"/>
          <w:i/>
          <w:sz w:val="22"/>
          <w:szCs w:val="22"/>
        </w:rPr>
        <w:t xml:space="preserve">anónimas, con </w:t>
      </w:r>
      <w:r w:rsidRPr="00A87AFB">
        <w:rPr>
          <w:rFonts w:ascii="Palatino Linotype" w:eastAsia="Palatino Linotype" w:hAnsi="Palatino Linotype" w:cs="Palatino Linotype"/>
          <w:b/>
          <w:i/>
          <w:sz w:val="22"/>
          <w:szCs w:val="22"/>
        </w:rPr>
        <w:t>nombre incompleto o seudónimo</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serán procedentes para su trámite por parte del sujeto obligado ante quien se presente</w:t>
      </w:r>
      <w:r w:rsidRPr="00A87AFB">
        <w:rPr>
          <w:rFonts w:ascii="Palatino Linotype" w:eastAsia="Palatino Linotype" w:hAnsi="Palatino Linotype" w:cs="Palatino Linotype"/>
          <w:i/>
          <w:sz w:val="22"/>
          <w:szCs w:val="22"/>
        </w:rPr>
        <w:t>. No podrá requerirse información adicional con motivo del nombre proporcionado por el solicitante."(Sic)</w:t>
      </w:r>
    </w:p>
    <w:p w14:paraId="14ABA3B1" w14:textId="77777777" w:rsidR="00F42715" w:rsidRPr="00A87AFB" w:rsidRDefault="00F42715" w:rsidP="00457B44">
      <w:pPr>
        <w:spacing w:line="360" w:lineRule="auto"/>
        <w:ind w:right="49"/>
        <w:jc w:val="both"/>
        <w:rPr>
          <w:rFonts w:ascii="Palatino Linotype" w:eastAsia="Palatino Linotype" w:hAnsi="Palatino Linotype" w:cs="Palatino Linotype"/>
          <w:sz w:val="22"/>
          <w:szCs w:val="22"/>
        </w:rPr>
      </w:pPr>
    </w:p>
    <w:p w14:paraId="27927428" w14:textId="77777777"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87EE2F8" w14:textId="671524BC"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Asimismo, resulta procedente la interposición del recurso de revisión al rubro anotado, toda vez que se actualiza las hipótesis previstas en el artículo 179, fracción </w:t>
      </w:r>
      <w:r w:rsidR="00803331" w:rsidRPr="00A87AFB">
        <w:rPr>
          <w:rFonts w:ascii="Palatino Linotype" w:eastAsia="Palatino Linotype" w:hAnsi="Palatino Linotype" w:cs="Palatino Linotype"/>
          <w:sz w:val="22"/>
          <w:szCs w:val="22"/>
        </w:rPr>
        <w:t>I</w:t>
      </w:r>
      <w:r w:rsidRPr="00A87AFB">
        <w:rPr>
          <w:rFonts w:ascii="Palatino Linotype" w:eastAsia="Palatino Linotype" w:hAnsi="Palatino Linotype" w:cs="Palatino Linotype"/>
          <w:sz w:val="22"/>
          <w:szCs w:val="22"/>
        </w:rPr>
        <w:t>I de la ley de la materia, que a la letra dice:</w:t>
      </w:r>
    </w:p>
    <w:p w14:paraId="0EDFC8E6" w14:textId="77777777" w:rsidR="00F42715" w:rsidRPr="00A87AFB" w:rsidRDefault="00F42715" w:rsidP="00457B44">
      <w:pPr>
        <w:ind w:left="851" w:right="1041"/>
        <w:jc w:val="both"/>
        <w:rPr>
          <w:rFonts w:ascii="Palatino Linotype" w:eastAsia="Palatino Linotype" w:hAnsi="Palatino Linotype" w:cs="Palatino Linotype"/>
          <w:i/>
          <w:sz w:val="22"/>
          <w:szCs w:val="22"/>
        </w:rPr>
      </w:pPr>
    </w:p>
    <w:p w14:paraId="76D62606" w14:textId="77777777" w:rsidR="00197609" w:rsidRPr="00A87AFB" w:rsidRDefault="00247528" w:rsidP="00457B44">
      <w:pPr>
        <w:ind w:left="851"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 xml:space="preserve">Artículo 179. </w:t>
      </w:r>
      <w:r w:rsidRPr="00A87AF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53A3665" w14:textId="09CBB616" w:rsidR="00803331" w:rsidRPr="00A87AFB" w:rsidRDefault="00803331" w:rsidP="00457B44">
      <w:pPr>
        <w:ind w:left="851"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107D9D88" w14:textId="7F9FEC53" w:rsidR="00197609" w:rsidRPr="00A87AFB" w:rsidRDefault="00803331" w:rsidP="00457B44">
      <w:pPr>
        <w:ind w:left="851" w:right="104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II. La clasificación de la </w:t>
      </w:r>
      <w:proofErr w:type="gramStart"/>
      <w:r w:rsidRPr="00A87AFB">
        <w:rPr>
          <w:rFonts w:ascii="Palatino Linotype" w:eastAsia="Palatino Linotype" w:hAnsi="Palatino Linotype" w:cs="Palatino Linotype"/>
          <w:i/>
          <w:sz w:val="22"/>
          <w:szCs w:val="22"/>
        </w:rPr>
        <w:t>información;</w:t>
      </w:r>
      <w:r w:rsidR="00247528" w:rsidRPr="00A87AFB">
        <w:rPr>
          <w:rFonts w:ascii="Palatino Linotype" w:eastAsia="Palatino Linotype" w:hAnsi="Palatino Linotype" w:cs="Palatino Linotype"/>
          <w:i/>
          <w:sz w:val="22"/>
          <w:szCs w:val="22"/>
        </w:rPr>
        <w:t>…</w:t>
      </w:r>
      <w:proofErr w:type="gramEnd"/>
      <w:r w:rsidR="00247528" w:rsidRPr="00A87AFB">
        <w:rPr>
          <w:rFonts w:ascii="Palatino Linotype" w:eastAsia="Palatino Linotype" w:hAnsi="Palatino Linotype" w:cs="Palatino Linotype"/>
          <w:i/>
          <w:sz w:val="22"/>
          <w:szCs w:val="22"/>
        </w:rPr>
        <w:t>” (Sic)</w:t>
      </w:r>
    </w:p>
    <w:p w14:paraId="3A2ACED6" w14:textId="77777777" w:rsidR="00F42715" w:rsidRPr="00A87AFB" w:rsidRDefault="00F42715" w:rsidP="00457B44">
      <w:pPr>
        <w:spacing w:line="360" w:lineRule="auto"/>
        <w:jc w:val="both"/>
        <w:rPr>
          <w:rFonts w:ascii="Palatino Linotype" w:eastAsia="Palatino Linotype" w:hAnsi="Palatino Linotype" w:cs="Palatino Linotype"/>
          <w:b/>
          <w:sz w:val="22"/>
          <w:szCs w:val="22"/>
        </w:rPr>
      </w:pPr>
    </w:p>
    <w:p w14:paraId="3E112CDE" w14:textId="499764F5"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Tercero. Materia de Revisión</w:t>
      </w:r>
      <w:r w:rsidRPr="00A87AFB">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A87AFB">
        <w:rPr>
          <w:rFonts w:ascii="Palatino Linotype" w:eastAsia="Palatino Linotype" w:hAnsi="Palatino Linotype" w:cs="Palatino Linotype"/>
          <w:b/>
          <w:sz w:val="22"/>
          <w:szCs w:val="22"/>
        </w:rPr>
        <w:t xml:space="preserve">verificar si la respuesta otorgada por el </w:t>
      </w:r>
      <w:r w:rsidR="00F42715"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b/>
          <w:sz w:val="22"/>
          <w:szCs w:val="22"/>
        </w:rPr>
        <w:t xml:space="preserve">es adecuada y suficiente para satisfacer el derecho de acceso a la información pública </w:t>
      </w:r>
      <w:r w:rsidRPr="00A87AFB">
        <w:rPr>
          <w:rFonts w:ascii="Palatino Linotype" w:eastAsia="Palatino Linotype" w:hAnsi="Palatino Linotype" w:cs="Palatino Linotype"/>
          <w:sz w:val="22"/>
          <w:szCs w:val="22"/>
        </w:rPr>
        <w:t xml:space="preserve">del </w:t>
      </w:r>
      <w:r w:rsidR="00F42715"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o en su defecto, en caso de ser procedente, ordenar la entrega de información.</w:t>
      </w:r>
    </w:p>
    <w:p w14:paraId="174DB2D3" w14:textId="77777777" w:rsidR="00F42715" w:rsidRPr="00A87AFB" w:rsidRDefault="00F42715" w:rsidP="00457B44">
      <w:pPr>
        <w:spacing w:line="360" w:lineRule="auto"/>
        <w:jc w:val="both"/>
        <w:rPr>
          <w:rFonts w:ascii="Palatino Linotype" w:eastAsia="Palatino Linotype" w:hAnsi="Palatino Linotype" w:cs="Palatino Linotype"/>
          <w:b/>
          <w:sz w:val="22"/>
          <w:szCs w:val="22"/>
        </w:rPr>
      </w:pPr>
    </w:p>
    <w:p w14:paraId="33F31EE9" w14:textId="0475C9C3"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Cuarto. Estudio de fondo del asunto. </w:t>
      </w:r>
      <w:r w:rsidRPr="00A87AFB">
        <w:rPr>
          <w:rFonts w:ascii="Palatino Linotype" w:eastAsia="Palatino Linotype" w:hAnsi="Palatino Linotype" w:cs="Palatino Linotype"/>
          <w:sz w:val="22"/>
          <w:szCs w:val="22"/>
        </w:rPr>
        <w:t xml:space="preserve">Es conveniente analizar si la respuesta del </w:t>
      </w:r>
      <w:r w:rsidR="00F42715"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C9EA33" w14:textId="77777777" w:rsidR="00F42715" w:rsidRPr="00A87AFB" w:rsidRDefault="00F42715" w:rsidP="00457B44">
      <w:pPr>
        <w:ind w:left="709" w:right="760"/>
        <w:jc w:val="both"/>
        <w:rPr>
          <w:rFonts w:ascii="Palatino Linotype" w:eastAsia="Palatino Linotype" w:hAnsi="Palatino Linotype" w:cs="Palatino Linotype"/>
          <w:i/>
          <w:sz w:val="22"/>
          <w:szCs w:val="22"/>
        </w:rPr>
      </w:pPr>
    </w:p>
    <w:p w14:paraId="10F59774" w14:textId="77777777" w:rsidR="00197609" w:rsidRPr="00A87AFB" w:rsidRDefault="00247528" w:rsidP="00457B44">
      <w:pPr>
        <w:ind w:left="709" w:right="760"/>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Artículo 4</w:t>
      </w:r>
      <w:r w:rsidRPr="00A87AF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8C00991" w14:textId="77777777" w:rsidR="00197609" w:rsidRPr="00A87AFB" w:rsidRDefault="00247528" w:rsidP="00457B44">
      <w:pPr>
        <w:ind w:left="709" w:right="760"/>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87AFB">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w:t>
      </w:r>
      <w:r w:rsidRPr="00A87AFB">
        <w:rPr>
          <w:rFonts w:ascii="Palatino Linotype" w:eastAsia="Palatino Linotype" w:hAnsi="Palatino Linotype" w:cs="Palatino Linotype"/>
          <w:i/>
          <w:sz w:val="22"/>
          <w:szCs w:val="22"/>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3BE401" w14:textId="77777777" w:rsidR="00197609" w:rsidRPr="00A87AFB" w:rsidRDefault="00247528" w:rsidP="00457B44">
      <w:pPr>
        <w:ind w:left="709" w:right="760"/>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87AFB">
        <w:rPr>
          <w:rFonts w:ascii="Palatino Linotype" w:eastAsia="Palatino Linotype" w:hAnsi="Palatino Linotype" w:cs="Palatino Linotype"/>
          <w:i/>
          <w:sz w:val="22"/>
          <w:szCs w:val="22"/>
        </w:rPr>
        <w:t>.”</w:t>
      </w:r>
    </w:p>
    <w:p w14:paraId="26A6DC85" w14:textId="77777777" w:rsidR="00197609" w:rsidRPr="00A87AFB" w:rsidRDefault="00197609" w:rsidP="00457B44">
      <w:pPr>
        <w:spacing w:line="360" w:lineRule="auto"/>
        <w:jc w:val="both"/>
        <w:rPr>
          <w:rFonts w:ascii="Palatino Linotype" w:eastAsia="Palatino Linotype" w:hAnsi="Palatino Linotype" w:cs="Palatino Linotype"/>
          <w:sz w:val="22"/>
          <w:szCs w:val="22"/>
        </w:rPr>
      </w:pPr>
    </w:p>
    <w:p w14:paraId="6A66B234"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0CF7792" w14:textId="77777777" w:rsidR="00197609" w:rsidRPr="00A87AFB" w:rsidRDefault="00197609" w:rsidP="00457B44">
      <w:pPr>
        <w:spacing w:line="360" w:lineRule="auto"/>
        <w:jc w:val="both"/>
        <w:rPr>
          <w:rFonts w:ascii="Palatino Linotype" w:eastAsia="Palatino Linotype" w:hAnsi="Palatino Linotype" w:cs="Palatino Linotype"/>
          <w:sz w:val="22"/>
          <w:szCs w:val="22"/>
        </w:rPr>
      </w:pPr>
    </w:p>
    <w:p w14:paraId="322AC720" w14:textId="77777777" w:rsidR="00197609" w:rsidRPr="00A87AFB" w:rsidRDefault="00247528" w:rsidP="00457B44">
      <w:pPr>
        <w:ind w:left="567" w:right="758"/>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“Artículo 12.-</w:t>
      </w:r>
      <w:r w:rsidRPr="00A87AF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E25DB1D" w14:textId="77777777" w:rsidR="00197609" w:rsidRPr="00A87AFB" w:rsidRDefault="00197609" w:rsidP="00457B44">
      <w:pPr>
        <w:ind w:left="567" w:right="758"/>
        <w:jc w:val="both"/>
        <w:rPr>
          <w:rFonts w:ascii="Palatino Linotype" w:eastAsia="Palatino Linotype" w:hAnsi="Palatino Linotype" w:cs="Palatino Linotype"/>
          <w:i/>
          <w:sz w:val="22"/>
          <w:szCs w:val="22"/>
        </w:rPr>
      </w:pPr>
    </w:p>
    <w:p w14:paraId="7D53A742" w14:textId="77777777" w:rsidR="00197609" w:rsidRPr="00A87AFB" w:rsidRDefault="00247528" w:rsidP="00457B44">
      <w:pPr>
        <w:ind w:left="567" w:right="758"/>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D448E9F" w14:textId="77777777" w:rsidR="00197609" w:rsidRPr="00A87AFB" w:rsidRDefault="00197609" w:rsidP="00457B44">
      <w:pPr>
        <w:ind w:left="567" w:right="758"/>
        <w:jc w:val="both"/>
        <w:rPr>
          <w:rFonts w:ascii="Palatino Linotype" w:eastAsia="Palatino Linotype" w:hAnsi="Palatino Linotype" w:cs="Palatino Linotype"/>
          <w:i/>
          <w:sz w:val="22"/>
          <w:szCs w:val="22"/>
        </w:rPr>
      </w:pPr>
    </w:p>
    <w:p w14:paraId="1A201A65" w14:textId="77777777" w:rsidR="00197609" w:rsidRPr="00A87AFB" w:rsidRDefault="00247528" w:rsidP="00457B44">
      <w:pPr>
        <w:spacing w:line="360" w:lineRule="auto"/>
        <w:ind w:right="-93"/>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w:t>
      </w:r>
      <w:r w:rsidRPr="00A87AFB">
        <w:rPr>
          <w:rFonts w:ascii="Palatino Linotype" w:eastAsia="Palatino Linotype" w:hAnsi="Palatino Linotype" w:cs="Palatino Linotype"/>
          <w:sz w:val="22"/>
          <w:szCs w:val="22"/>
        </w:rPr>
        <w:lastRenderedPageBreak/>
        <w:t>estado que se encuentran, sin necesidad de concretarse al interés o términos específicos del solicitante.</w:t>
      </w:r>
    </w:p>
    <w:p w14:paraId="5CA143BF" w14:textId="77777777" w:rsidR="00197609" w:rsidRPr="00A87AFB" w:rsidRDefault="00197609" w:rsidP="00457B44">
      <w:pPr>
        <w:spacing w:line="360" w:lineRule="auto"/>
        <w:ind w:right="-93"/>
        <w:jc w:val="both"/>
        <w:rPr>
          <w:rFonts w:ascii="Palatino Linotype" w:eastAsia="Palatino Linotype" w:hAnsi="Palatino Linotype" w:cs="Palatino Linotype"/>
          <w:sz w:val="22"/>
          <w:szCs w:val="22"/>
        </w:rPr>
      </w:pPr>
    </w:p>
    <w:p w14:paraId="31B0D2ED" w14:textId="77777777" w:rsidR="00197609" w:rsidRPr="00A87AFB" w:rsidRDefault="00247528" w:rsidP="00457B44">
      <w:pP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A87AFB">
        <w:rPr>
          <w:rFonts w:ascii="Palatino Linotype" w:eastAsia="Palatino Linotype" w:hAnsi="Palatino Linotype" w:cs="Palatino Linotype"/>
          <w:b/>
          <w:sz w:val="22"/>
          <w:szCs w:val="22"/>
        </w:rPr>
        <w:t xml:space="preserve"> </w:t>
      </w:r>
    </w:p>
    <w:p w14:paraId="67988E16" w14:textId="77777777" w:rsidR="00197609" w:rsidRPr="00A87AFB" w:rsidRDefault="00197609" w:rsidP="00457B44">
      <w:pPr>
        <w:ind w:left="851" w:right="850"/>
        <w:jc w:val="both"/>
        <w:rPr>
          <w:rFonts w:ascii="Palatino Linotype" w:eastAsia="Palatino Linotype" w:hAnsi="Palatino Linotype" w:cs="Palatino Linotype"/>
          <w:sz w:val="22"/>
          <w:szCs w:val="22"/>
        </w:rPr>
      </w:pPr>
    </w:p>
    <w:p w14:paraId="628FC07A" w14:textId="77777777" w:rsidR="00197609" w:rsidRPr="00A87AFB" w:rsidRDefault="00247528" w:rsidP="00457B44">
      <w:pPr>
        <w:ind w:left="851" w:right="90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No existe obligación de elaborar documentos ad hoc para atender las solicitudes de acceso a la información.</w:t>
      </w:r>
      <w:r w:rsidRPr="00A87AF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130B71A" w14:textId="77777777" w:rsidR="00457B44" w:rsidRPr="00A87AFB" w:rsidRDefault="00457B44" w:rsidP="00457B44">
      <w:pPr>
        <w:ind w:left="851" w:right="901"/>
        <w:jc w:val="both"/>
        <w:rPr>
          <w:rFonts w:ascii="Palatino Linotype" w:eastAsia="Palatino Linotype" w:hAnsi="Palatino Linotype" w:cs="Palatino Linotype"/>
          <w:i/>
          <w:sz w:val="22"/>
          <w:szCs w:val="22"/>
        </w:rPr>
      </w:pPr>
    </w:p>
    <w:p w14:paraId="3FD7E408" w14:textId="77777777" w:rsidR="00197609" w:rsidRPr="00A87AFB" w:rsidRDefault="00247528" w:rsidP="00457B44">
      <w:pPr>
        <w:ind w:left="851" w:right="90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Resoluciones: </w:t>
      </w:r>
    </w:p>
    <w:p w14:paraId="5853ED55" w14:textId="77777777" w:rsidR="00197609" w:rsidRPr="00A87AFB" w:rsidRDefault="00247528" w:rsidP="00457B44">
      <w:pPr>
        <w:ind w:left="851" w:right="90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26C4BB55" w14:textId="77777777" w:rsidR="00197609" w:rsidRPr="00A87AFB" w:rsidRDefault="00247528" w:rsidP="00457B44">
      <w:pPr>
        <w:ind w:left="851" w:right="90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4538378" w14:textId="77777777" w:rsidR="00197609" w:rsidRPr="00A87AFB" w:rsidRDefault="00247528" w:rsidP="00457B44">
      <w:pPr>
        <w:ind w:left="851" w:right="901"/>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72E77965" w14:textId="77777777" w:rsidR="00197609" w:rsidRPr="00A87AFB" w:rsidRDefault="00197609" w:rsidP="00457B44">
      <w:pPr>
        <w:spacing w:line="360" w:lineRule="auto"/>
        <w:ind w:right="-93"/>
        <w:jc w:val="both"/>
        <w:rPr>
          <w:rFonts w:ascii="Palatino Linotype" w:eastAsia="Palatino Linotype" w:hAnsi="Palatino Linotype" w:cs="Palatino Linotype"/>
          <w:sz w:val="22"/>
          <w:szCs w:val="22"/>
        </w:rPr>
      </w:pPr>
    </w:p>
    <w:p w14:paraId="3528F9A0"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FD322F" w14:textId="77777777" w:rsidR="00197609" w:rsidRPr="00A87AFB" w:rsidRDefault="00197609" w:rsidP="00457B44">
      <w:pPr>
        <w:spacing w:line="360" w:lineRule="auto"/>
        <w:jc w:val="both"/>
        <w:rPr>
          <w:rFonts w:ascii="Palatino Linotype" w:eastAsia="Palatino Linotype" w:hAnsi="Palatino Linotype" w:cs="Palatino Linotype"/>
          <w:sz w:val="22"/>
          <w:szCs w:val="22"/>
        </w:rPr>
      </w:pPr>
    </w:p>
    <w:p w14:paraId="2F7B24B8" w14:textId="77777777"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3C7333" w14:textId="77777777" w:rsidR="00197609" w:rsidRPr="00A87AFB" w:rsidRDefault="00197609" w:rsidP="00457B44">
      <w:pPr>
        <w:spacing w:line="360" w:lineRule="auto"/>
        <w:ind w:right="49"/>
        <w:jc w:val="both"/>
        <w:rPr>
          <w:rFonts w:ascii="Palatino Linotype" w:eastAsia="Palatino Linotype" w:hAnsi="Palatino Linotype" w:cs="Palatino Linotype"/>
          <w:sz w:val="22"/>
          <w:szCs w:val="22"/>
        </w:rPr>
      </w:pPr>
    </w:p>
    <w:p w14:paraId="041C2287"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66554F5" w14:textId="77777777" w:rsidR="00197609" w:rsidRPr="00A87AFB" w:rsidRDefault="00197609" w:rsidP="00457B44">
      <w:pPr>
        <w:ind w:left="851" w:right="899"/>
        <w:jc w:val="both"/>
        <w:rPr>
          <w:rFonts w:ascii="Palatino Linotype" w:eastAsia="Palatino Linotype" w:hAnsi="Palatino Linotype" w:cs="Palatino Linotype"/>
          <w:i/>
          <w:sz w:val="22"/>
          <w:szCs w:val="22"/>
        </w:rPr>
      </w:pPr>
    </w:p>
    <w:p w14:paraId="38791285" w14:textId="77777777" w:rsidR="00197609" w:rsidRPr="00A87AFB" w:rsidRDefault="00247528" w:rsidP="00457B44">
      <w:pPr>
        <w:ind w:left="851" w:right="899"/>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 xml:space="preserve">Artículo 3. </w:t>
      </w:r>
      <w:r w:rsidRPr="00A87AFB">
        <w:rPr>
          <w:rFonts w:ascii="Palatino Linotype" w:eastAsia="Palatino Linotype" w:hAnsi="Palatino Linotype" w:cs="Palatino Linotype"/>
          <w:i/>
          <w:sz w:val="22"/>
          <w:szCs w:val="22"/>
        </w:rPr>
        <w:t>Para los efectos de la presente Ley se entenderá por:</w:t>
      </w:r>
    </w:p>
    <w:p w14:paraId="17C85827" w14:textId="77777777" w:rsidR="00197609" w:rsidRPr="00A87AFB" w:rsidRDefault="00247528" w:rsidP="00457B44">
      <w:pPr>
        <w:ind w:left="851" w:right="899"/>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7BEA8FDB" w14:textId="77777777" w:rsidR="00197609" w:rsidRPr="00A87AFB" w:rsidRDefault="00247528" w:rsidP="00457B44">
      <w:pPr>
        <w:ind w:left="851" w:right="899"/>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XI. Documento:</w:t>
      </w:r>
      <w:r w:rsidRPr="00A87AFB">
        <w:rPr>
          <w:rFonts w:ascii="Palatino Linotype" w:eastAsia="Palatino Linotype" w:hAnsi="Palatino Linotype" w:cs="Palatino Linotype"/>
          <w:i/>
          <w:sz w:val="22"/>
          <w:szCs w:val="22"/>
        </w:rPr>
        <w:t xml:space="preserve"> Los expedientes, reportes, estudios, actas</w:t>
      </w:r>
      <w:r w:rsidRPr="00A87AFB">
        <w:rPr>
          <w:rFonts w:ascii="Palatino Linotype" w:eastAsia="Palatino Linotype" w:hAnsi="Palatino Linotype" w:cs="Palatino Linotype"/>
          <w:b/>
          <w:i/>
          <w:sz w:val="22"/>
          <w:szCs w:val="22"/>
        </w:rPr>
        <w:t>,</w:t>
      </w:r>
      <w:r w:rsidRPr="00A87AF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09DAD88" w14:textId="77777777" w:rsidR="00197609" w:rsidRPr="00A87AFB" w:rsidRDefault="00197609" w:rsidP="00457B44">
      <w:pPr>
        <w:ind w:left="851" w:right="899"/>
        <w:jc w:val="both"/>
        <w:rPr>
          <w:rFonts w:ascii="Palatino Linotype" w:eastAsia="Palatino Linotype" w:hAnsi="Palatino Linotype" w:cs="Palatino Linotype"/>
          <w:sz w:val="22"/>
          <w:szCs w:val="22"/>
        </w:rPr>
      </w:pPr>
    </w:p>
    <w:p w14:paraId="6C1726AD" w14:textId="77777777"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33A6D2" w14:textId="77777777" w:rsidR="00197609" w:rsidRPr="00A87AFB" w:rsidRDefault="00197609" w:rsidP="00457B44">
      <w:pPr>
        <w:ind w:left="851" w:right="899"/>
        <w:jc w:val="both"/>
        <w:rPr>
          <w:rFonts w:ascii="Palatino Linotype" w:eastAsia="Palatino Linotype" w:hAnsi="Palatino Linotype" w:cs="Palatino Linotype"/>
          <w:sz w:val="22"/>
          <w:szCs w:val="22"/>
        </w:rPr>
      </w:pPr>
    </w:p>
    <w:p w14:paraId="0B939664" w14:textId="77777777" w:rsidR="00197609" w:rsidRPr="00A87AFB" w:rsidRDefault="00247528" w:rsidP="00457B44">
      <w:pPr>
        <w:ind w:left="851" w:right="899"/>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sz w:val="22"/>
          <w:szCs w:val="22"/>
        </w:rPr>
        <w:t>“</w:t>
      </w:r>
      <w:r w:rsidRPr="00A87AFB">
        <w:rPr>
          <w:rFonts w:ascii="Palatino Linotype" w:eastAsia="Palatino Linotype" w:hAnsi="Palatino Linotype" w:cs="Palatino Linotype"/>
          <w:b/>
          <w:i/>
          <w:sz w:val="22"/>
          <w:szCs w:val="22"/>
        </w:rPr>
        <w:t>CRITERIO 0002-11</w:t>
      </w:r>
    </w:p>
    <w:p w14:paraId="37FD3479" w14:textId="77777777" w:rsidR="00197609" w:rsidRPr="00A87AFB" w:rsidRDefault="00247528" w:rsidP="00457B44">
      <w:pPr>
        <w:ind w:left="851" w:right="899"/>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87AF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D2DE00" w14:textId="77777777" w:rsidR="00197609" w:rsidRPr="00A87AFB" w:rsidRDefault="00247528" w:rsidP="00457B44">
      <w:pPr>
        <w:ind w:left="851" w:right="899"/>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En </w:t>
      </w:r>
      <w:proofErr w:type="gramStart"/>
      <w:r w:rsidRPr="00A87AFB">
        <w:rPr>
          <w:rFonts w:ascii="Palatino Linotype" w:eastAsia="Palatino Linotype" w:hAnsi="Palatino Linotype" w:cs="Palatino Linotype"/>
          <w:i/>
          <w:sz w:val="22"/>
          <w:szCs w:val="22"/>
        </w:rPr>
        <w:t>consecuencia</w:t>
      </w:r>
      <w:proofErr w:type="gramEnd"/>
      <w:r w:rsidRPr="00A87AF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F9B69E3" w14:textId="77777777" w:rsidR="00197609" w:rsidRPr="00A87AFB" w:rsidRDefault="00247528" w:rsidP="00457B44">
      <w:pPr>
        <w:ind w:left="851" w:right="899"/>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87AFB">
        <w:rPr>
          <w:rFonts w:ascii="Palatino Linotype" w:eastAsia="Palatino Linotype" w:hAnsi="Palatino Linotype" w:cs="Palatino Linotype"/>
          <w:i/>
          <w:sz w:val="22"/>
          <w:szCs w:val="22"/>
        </w:rPr>
        <w:t>que</w:t>
      </w:r>
      <w:proofErr w:type="gramEnd"/>
      <w:r w:rsidRPr="00A87AFB">
        <w:rPr>
          <w:rFonts w:ascii="Palatino Linotype" w:eastAsia="Palatino Linotype" w:hAnsi="Palatino Linotype" w:cs="Palatino Linotype"/>
          <w:i/>
          <w:sz w:val="22"/>
          <w:szCs w:val="22"/>
        </w:rPr>
        <w:t xml:space="preserve"> en ejercicio de las atribuciones conferidas, sea generada por los Sujetos Obligados;</w:t>
      </w:r>
    </w:p>
    <w:p w14:paraId="4839F2AB" w14:textId="77777777" w:rsidR="00197609" w:rsidRPr="00A87AFB" w:rsidRDefault="00247528" w:rsidP="00457B44">
      <w:pPr>
        <w:ind w:left="851" w:right="899"/>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87AFB">
        <w:rPr>
          <w:rFonts w:ascii="Palatino Linotype" w:eastAsia="Palatino Linotype" w:hAnsi="Palatino Linotype" w:cs="Palatino Linotype"/>
          <w:b/>
          <w:i/>
          <w:sz w:val="22"/>
          <w:szCs w:val="22"/>
        </w:rPr>
        <w:t>que</w:t>
      </w:r>
      <w:proofErr w:type="gramEnd"/>
      <w:r w:rsidRPr="00A87AFB">
        <w:rPr>
          <w:rFonts w:ascii="Palatino Linotype" w:eastAsia="Palatino Linotype" w:hAnsi="Palatino Linotype" w:cs="Palatino Linotype"/>
          <w:b/>
          <w:i/>
          <w:sz w:val="22"/>
          <w:szCs w:val="22"/>
        </w:rPr>
        <w:t xml:space="preserve"> en ejercicio de las atribuciones conferidas, sea administrada por los Sujetos Obligados, y</w:t>
      </w:r>
    </w:p>
    <w:p w14:paraId="721F75B7" w14:textId="77777777" w:rsidR="00197609" w:rsidRPr="00A87AFB" w:rsidRDefault="00247528" w:rsidP="00457B44">
      <w:pPr>
        <w:ind w:left="851" w:right="899"/>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87AFB">
        <w:rPr>
          <w:rFonts w:ascii="Palatino Linotype" w:eastAsia="Palatino Linotype" w:hAnsi="Palatino Linotype" w:cs="Palatino Linotype"/>
          <w:b/>
          <w:i/>
          <w:sz w:val="22"/>
          <w:szCs w:val="22"/>
        </w:rPr>
        <w:t>que</w:t>
      </w:r>
      <w:proofErr w:type="gramEnd"/>
      <w:r w:rsidRPr="00A87AFB">
        <w:rPr>
          <w:rFonts w:ascii="Palatino Linotype" w:eastAsia="Palatino Linotype" w:hAnsi="Palatino Linotype" w:cs="Palatino Linotype"/>
          <w:b/>
          <w:i/>
          <w:sz w:val="22"/>
          <w:szCs w:val="22"/>
        </w:rPr>
        <w:t xml:space="preserve"> en ejercicio de las atribuciones conferidas, se encuentre en posesión de los Sujetos Obligados.”</w:t>
      </w:r>
    </w:p>
    <w:p w14:paraId="3BF3E764" w14:textId="77777777" w:rsidR="00197609" w:rsidRPr="00A87AFB" w:rsidRDefault="00197609" w:rsidP="00457B44">
      <w:pPr>
        <w:spacing w:line="360" w:lineRule="auto"/>
        <w:jc w:val="both"/>
        <w:rPr>
          <w:rFonts w:ascii="Palatino Linotype" w:eastAsia="Palatino Linotype" w:hAnsi="Palatino Linotype" w:cs="Palatino Linotype"/>
          <w:sz w:val="22"/>
          <w:szCs w:val="22"/>
        </w:rPr>
      </w:pPr>
    </w:p>
    <w:p w14:paraId="4750EAFA" w14:textId="77777777" w:rsidR="00803331"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el particular requirió al </w:t>
      </w:r>
      <w:r w:rsidRPr="00A87AFB">
        <w:rPr>
          <w:rFonts w:ascii="Palatino Linotype" w:eastAsia="Palatino Linotype" w:hAnsi="Palatino Linotype" w:cs="Palatino Linotype"/>
          <w:b/>
          <w:sz w:val="22"/>
          <w:szCs w:val="22"/>
        </w:rPr>
        <w:t xml:space="preserve">Ayuntamiento de </w:t>
      </w:r>
      <w:r w:rsidR="00803331" w:rsidRPr="00A87AFB">
        <w:rPr>
          <w:rFonts w:ascii="Palatino Linotype" w:eastAsia="Palatino Linotype" w:hAnsi="Palatino Linotype" w:cs="Palatino Linotype"/>
          <w:b/>
          <w:sz w:val="22"/>
          <w:szCs w:val="22"/>
        </w:rPr>
        <w:t>Tenancingo</w:t>
      </w:r>
      <w:r w:rsidRPr="00A87AFB">
        <w:rPr>
          <w:rFonts w:ascii="Palatino Linotype" w:eastAsia="Palatino Linotype" w:hAnsi="Palatino Linotype" w:cs="Palatino Linotype"/>
          <w:sz w:val="22"/>
          <w:szCs w:val="22"/>
        </w:rPr>
        <w:t xml:space="preserve">, lo siguiente: </w:t>
      </w:r>
    </w:p>
    <w:p w14:paraId="0DC154E4" w14:textId="6D6420C2" w:rsidR="00803331" w:rsidRPr="00A87AFB" w:rsidRDefault="00803331" w:rsidP="00457B44">
      <w:pPr>
        <w:pStyle w:val="Prrafodelista"/>
        <w:numPr>
          <w:ilvl w:val="0"/>
          <w:numId w:val="18"/>
        </w:numPr>
        <w:spacing w:line="276" w:lineRule="auto"/>
        <w:ind w:left="851"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i/>
          <w:sz w:val="22"/>
          <w:szCs w:val="22"/>
        </w:rPr>
        <w:t xml:space="preserve">Los acuerdos de radicación y las diligencias de investigación efectuadas por el órgano de control interno, que sustenten el procedimiento de investigación, de los expedientes números: </w:t>
      </w:r>
    </w:p>
    <w:p w14:paraId="3549AF4F" w14:textId="77777777" w:rsidR="000649A8" w:rsidRPr="00A87AFB" w:rsidRDefault="000649A8" w:rsidP="000649A8">
      <w:pPr>
        <w:pStyle w:val="Prrafodelista"/>
        <w:spacing w:line="276" w:lineRule="auto"/>
        <w:ind w:left="851" w:right="616"/>
        <w:jc w:val="both"/>
        <w:rPr>
          <w:rFonts w:ascii="Palatino Linotype" w:eastAsia="Palatino Linotype" w:hAnsi="Palatino Linotype" w:cs="Palatino Linotype"/>
          <w:sz w:val="22"/>
          <w:szCs w:val="22"/>
        </w:rPr>
      </w:pPr>
    </w:p>
    <w:p w14:paraId="268BEDA7" w14:textId="77777777" w:rsidR="00476ACD" w:rsidRPr="00A87AFB" w:rsidRDefault="00803331" w:rsidP="00457B44">
      <w:pPr>
        <w:pStyle w:val="Prrafodelista"/>
        <w:numPr>
          <w:ilvl w:val="0"/>
          <w:numId w:val="21"/>
        </w:numPr>
        <w:spacing w:line="276" w:lineRule="auto"/>
        <w:ind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PMT058/CM/AI/CP/001/2</w:t>
      </w:r>
      <w:r w:rsidR="00476ACD" w:rsidRPr="00A87AFB">
        <w:rPr>
          <w:rFonts w:ascii="Palatino Linotype" w:eastAsia="Palatino Linotype" w:hAnsi="Palatino Linotype" w:cs="Palatino Linotype"/>
          <w:b/>
          <w:i/>
          <w:sz w:val="22"/>
          <w:szCs w:val="22"/>
        </w:rPr>
        <w:t>025,</w:t>
      </w:r>
    </w:p>
    <w:p w14:paraId="7A6C13BE" w14:textId="77777777" w:rsidR="00476ACD" w:rsidRPr="00A87AFB" w:rsidRDefault="00803331" w:rsidP="00457B44">
      <w:pPr>
        <w:pStyle w:val="Prrafodelista"/>
        <w:numPr>
          <w:ilvl w:val="0"/>
          <w:numId w:val="21"/>
        </w:numPr>
        <w:spacing w:line="276" w:lineRule="auto"/>
        <w:ind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 xml:space="preserve">PMT058/CM/AI/CP/002/2025, </w:t>
      </w:r>
    </w:p>
    <w:p w14:paraId="35EA6F3C" w14:textId="77777777" w:rsidR="00476ACD" w:rsidRPr="00A87AFB" w:rsidRDefault="00803331" w:rsidP="00457B44">
      <w:pPr>
        <w:pStyle w:val="Prrafodelista"/>
        <w:numPr>
          <w:ilvl w:val="0"/>
          <w:numId w:val="21"/>
        </w:numPr>
        <w:spacing w:line="276" w:lineRule="auto"/>
        <w:ind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 xml:space="preserve">PMT058/CM/AI/233/2022, </w:t>
      </w:r>
    </w:p>
    <w:p w14:paraId="276BFC60" w14:textId="77777777" w:rsidR="00476ACD" w:rsidRPr="00A87AFB" w:rsidRDefault="00803331" w:rsidP="00457B44">
      <w:pPr>
        <w:pStyle w:val="Prrafodelista"/>
        <w:numPr>
          <w:ilvl w:val="0"/>
          <w:numId w:val="21"/>
        </w:numPr>
        <w:spacing w:line="276" w:lineRule="auto"/>
        <w:ind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PMT058/CM/AI/23</w:t>
      </w:r>
      <w:r w:rsidR="00476ACD" w:rsidRPr="00A87AFB">
        <w:rPr>
          <w:rFonts w:ascii="Palatino Linotype" w:eastAsia="Palatino Linotype" w:hAnsi="Palatino Linotype" w:cs="Palatino Linotype"/>
          <w:b/>
          <w:i/>
          <w:sz w:val="22"/>
          <w:szCs w:val="22"/>
        </w:rPr>
        <w:t xml:space="preserve">5/2022; y, </w:t>
      </w:r>
    </w:p>
    <w:p w14:paraId="030068C8" w14:textId="5633C0E7" w:rsidR="00197609" w:rsidRPr="00A87AFB" w:rsidRDefault="00803331" w:rsidP="00457B44">
      <w:pPr>
        <w:pStyle w:val="Prrafodelista"/>
        <w:numPr>
          <w:ilvl w:val="0"/>
          <w:numId w:val="21"/>
        </w:numPr>
        <w:spacing w:line="276" w:lineRule="auto"/>
        <w:ind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i/>
          <w:sz w:val="22"/>
          <w:szCs w:val="22"/>
        </w:rPr>
        <w:t xml:space="preserve">PMT058/CM/AI/236/2022. </w:t>
      </w:r>
    </w:p>
    <w:p w14:paraId="094E314A" w14:textId="77777777" w:rsidR="00476ACD" w:rsidRPr="00A87AFB" w:rsidRDefault="00476ACD" w:rsidP="00457B44">
      <w:pPr>
        <w:pStyle w:val="Prrafodelista"/>
        <w:spacing w:line="276" w:lineRule="auto"/>
        <w:ind w:left="1931" w:right="616"/>
        <w:jc w:val="both"/>
        <w:rPr>
          <w:rFonts w:ascii="Palatino Linotype" w:eastAsia="Palatino Linotype" w:hAnsi="Palatino Linotype" w:cs="Palatino Linotype"/>
          <w:sz w:val="22"/>
          <w:szCs w:val="22"/>
        </w:rPr>
      </w:pPr>
    </w:p>
    <w:p w14:paraId="3E463B0A" w14:textId="008D787C" w:rsidR="00476ACD"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respuesta 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refirió </w:t>
      </w:r>
      <w:r w:rsidR="00803331" w:rsidRPr="00A87AFB">
        <w:rPr>
          <w:rFonts w:ascii="Palatino Linotype" w:eastAsia="Palatino Linotype" w:hAnsi="Palatino Linotype" w:cs="Palatino Linotype"/>
          <w:sz w:val="22"/>
          <w:szCs w:val="22"/>
        </w:rPr>
        <w:t xml:space="preserve">a través de </w:t>
      </w:r>
      <w:r w:rsidRPr="00A87AFB">
        <w:rPr>
          <w:rFonts w:ascii="Palatino Linotype" w:eastAsia="Palatino Linotype" w:hAnsi="Palatino Linotype" w:cs="Palatino Linotype"/>
          <w:sz w:val="22"/>
          <w:szCs w:val="22"/>
        </w:rPr>
        <w:t>la</w:t>
      </w:r>
      <w:r w:rsidR="00476ACD" w:rsidRPr="00A87AFB">
        <w:rPr>
          <w:rFonts w:ascii="Palatino Linotype" w:eastAsia="Palatino Linotype" w:hAnsi="Palatino Linotype" w:cs="Palatino Linotype"/>
          <w:sz w:val="22"/>
          <w:szCs w:val="22"/>
        </w:rPr>
        <w:t xml:space="preserve"> Autoridad Investigadora adscrita al Órgano Interno de </w:t>
      </w:r>
      <w:r w:rsidRPr="00A87AFB">
        <w:rPr>
          <w:rFonts w:ascii="Palatino Linotype" w:eastAsia="Palatino Linotype" w:hAnsi="Palatino Linotype" w:cs="Palatino Linotype"/>
          <w:sz w:val="22"/>
          <w:szCs w:val="22"/>
        </w:rPr>
        <w:t>Contr</w:t>
      </w:r>
      <w:r w:rsidR="00476ACD" w:rsidRPr="00A87AFB">
        <w:rPr>
          <w:rFonts w:ascii="Palatino Linotype" w:eastAsia="Palatino Linotype" w:hAnsi="Palatino Linotype" w:cs="Palatino Linotype"/>
          <w:sz w:val="22"/>
          <w:szCs w:val="22"/>
        </w:rPr>
        <w:t xml:space="preserve">ol </w:t>
      </w:r>
      <w:r w:rsidRPr="00A87AFB">
        <w:rPr>
          <w:rFonts w:ascii="Palatino Linotype" w:eastAsia="Palatino Linotype" w:hAnsi="Palatino Linotype" w:cs="Palatino Linotype"/>
          <w:sz w:val="22"/>
          <w:szCs w:val="22"/>
        </w:rPr>
        <w:t xml:space="preserve">que </w:t>
      </w:r>
      <w:r w:rsidR="00DC0EB5" w:rsidRPr="00A87AFB">
        <w:rPr>
          <w:rFonts w:ascii="Palatino Linotype" w:eastAsia="Palatino Linotype" w:hAnsi="Palatino Linotype" w:cs="Palatino Linotype"/>
          <w:sz w:val="22"/>
          <w:szCs w:val="22"/>
        </w:rPr>
        <w:t>el proporcionar la información referente a los expedientes</w:t>
      </w:r>
      <w:r w:rsidR="00BB202A" w:rsidRPr="00A87AFB">
        <w:rPr>
          <w:rFonts w:ascii="Palatino Linotype" w:hAnsi="Palatino Linotype"/>
          <w:sz w:val="22"/>
          <w:szCs w:val="22"/>
        </w:rPr>
        <w:t xml:space="preserve"> </w:t>
      </w:r>
      <w:r w:rsidR="00BB202A" w:rsidRPr="00A87AFB">
        <w:rPr>
          <w:rFonts w:ascii="Palatino Linotype" w:eastAsia="Palatino Linotype" w:hAnsi="Palatino Linotype" w:cs="Palatino Linotype"/>
          <w:b/>
          <w:sz w:val="22"/>
          <w:szCs w:val="22"/>
        </w:rPr>
        <w:lastRenderedPageBreak/>
        <w:t>PMT058/CM/AI/CP/001/2025</w:t>
      </w:r>
      <w:r w:rsidR="00DC0EB5" w:rsidRPr="00A87AFB">
        <w:rPr>
          <w:rFonts w:ascii="Palatino Linotype" w:eastAsia="Palatino Linotype" w:hAnsi="Palatino Linotype" w:cs="Palatino Linotype"/>
          <w:b/>
          <w:sz w:val="22"/>
          <w:szCs w:val="22"/>
        </w:rPr>
        <w:t xml:space="preserve"> </w:t>
      </w:r>
      <w:r w:rsidR="00DC0EB5" w:rsidRPr="00A87AFB">
        <w:rPr>
          <w:rFonts w:ascii="Palatino Linotype" w:eastAsia="Palatino Linotype" w:hAnsi="Palatino Linotype" w:cs="Palatino Linotype"/>
          <w:sz w:val="22"/>
          <w:szCs w:val="22"/>
        </w:rPr>
        <w:t>y</w:t>
      </w:r>
      <w:r w:rsidR="00DC0EB5" w:rsidRPr="00A87AFB">
        <w:rPr>
          <w:rFonts w:ascii="Palatino Linotype" w:eastAsia="Palatino Linotype" w:hAnsi="Palatino Linotype" w:cs="Palatino Linotype"/>
          <w:b/>
          <w:sz w:val="22"/>
          <w:szCs w:val="22"/>
        </w:rPr>
        <w:t xml:space="preserve"> </w:t>
      </w:r>
      <w:r w:rsidR="00BB202A" w:rsidRPr="00A87AFB">
        <w:rPr>
          <w:rFonts w:ascii="Palatino Linotype" w:eastAsia="Palatino Linotype" w:hAnsi="Palatino Linotype" w:cs="Palatino Linotype"/>
          <w:b/>
          <w:sz w:val="22"/>
          <w:szCs w:val="22"/>
        </w:rPr>
        <w:t>PMT058/CM/AI/CP/002/2025</w:t>
      </w:r>
      <w:r w:rsidR="00BB202A" w:rsidRPr="00A87AFB">
        <w:rPr>
          <w:rFonts w:ascii="Palatino Linotype" w:eastAsia="Palatino Linotype" w:hAnsi="Palatino Linotype" w:cs="Palatino Linotype"/>
          <w:sz w:val="22"/>
          <w:szCs w:val="22"/>
        </w:rPr>
        <w:t>,</w:t>
      </w:r>
      <w:r w:rsidR="00DC0EB5" w:rsidRPr="00A87AFB">
        <w:rPr>
          <w:rFonts w:ascii="Palatino Linotype" w:eastAsia="Palatino Linotype" w:hAnsi="Palatino Linotype" w:cs="Palatino Linotype"/>
          <w:sz w:val="22"/>
          <w:szCs w:val="22"/>
        </w:rPr>
        <w:t xml:space="preserve"> puede causar un serio perjuicio a las actividades de prevención o persecución de alguna responsabilidad administrativa, ya que se constriñen a </w:t>
      </w:r>
      <w:r w:rsidR="00DC0EB5" w:rsidRPr="00A87AFB">
        <w:rPr>
          <w:rFonts w:ascii="Palatino Linotype" w:eastAsia="Palatino Linotype" w:hAnsi="Palatino Linotype" w:cs="Palatino Linotype"/>
          <w:b/>
          <w:sz w:val="22"/>
          <w:szCs w:val="22"/>
          <w:u w:val="single"/>
        </w:rPr>
        <w:t>expedientes en proceso de investigación</w:t>
      </w:r>
      <w:r w:rsidR="00DC0EB5" w:rsidRPr="00A87AFB">
        <w:rPr>
          <w:rFonts w:ascii="Palatino Linotype" w:eastAsia="Palatino Linotype" w:hAnsi="Palatino Linotype" w:cs="Palatino Linotype"/>
          <w:sz w:val="22"/>
          <w:szCs w:val="22"/>
        </w:rPr>
        <w:t>, a efecto de determinar la existencia y/o inexistencia de presuntas faltas administrativas en términos de la Ley de Responsabilidades Administrativas del Estado de México y Municipios; por lo que no han sido concluidos;</w:t>
      </w:r>
      <w:r w:rsidR="00B762C8" w:rsidRPr="00A87AFB">
        <w:rPr>
          <w:rFonts w:ascii="Palatino Linotype" w:eastAsia="Palatino Linotype" w:hAnsi="Palatino Linotype" w:cs="Palatino Linotype"/>
          <w:sz w:val="22"/>
          <w:szCs w:val="22"/>
        </w:rPr>
        <w:t xml:space="preserve"> clasific</w:t>
      </w:r>
      <w:r w:rsidR="00647362" w:rsidRPr="00A87AFB">
        <w:rPr>
          <w:rFonts w:ascii="Palatino Linotype" w:eastAsia="Palatino Linotype" w:hAnsi="Palatino Linotype" w:cs="Palatino Linotype"/>
          <w:sz w:val="22"/>
          <w:szCs w:val="22"/>
        </w:rPr>
        <w:t>and</w:t>
      </w:r>
      <w:r w:rsidR="00B762C8" w:rsidRPr="00A87AFB">
        <w:rPr>
          <w:rFonts w:ascii="Palatino Linotype" w:eastAsia="Palatino Linotype" w:hAnsi="Palatino Linotype" w:cs="Palatino Linotype"/>
          <w:sz w:val="22"/>
          <w:szCs w:val="22"/>
        </w:rPr>
        <w:t xml:space="preserve">o la información como reservada, </w:t>
      </w:r>
      <w:r w:rsidR="005D4E59" w:rsidRPr="00A87AFB">
        <w:rPr>
          <w:rFonts w:ascii="Palatino Linotype" w:eastAsia="Palatino Linotype" w:hAnsi="Palatino Linotype" w:cs="Palatino Linotype"/>
          <w:sz w:val="22"/>
          <w:szCs w:val="22"/>
        </w:rPr>
        <w:t xml:space="preserve">de conformidad con lo establecido en los artículos 3 fracción XXIV y 140 fracción IV de la Ley de Transparencia y Acceso a la Información del Estado de México y Municipios. </w:t>
      </w:r>
    </w:p>
    <w:p w14:paraId="603697DF" w14:textId="77777777" w:rsidR="009700C9" w:rsidRPr="00A87AFB" w:rsidRDefault="009700C9" w:rsidP="00457B44">
      <w:pPr>
        <w:spacing w:line="360" w:lineRule="auto"/>
        <w:ind w:right="49"/>
        <w:jc w:val="both"/>
        <w:rPr>
          <w:rFonts w:ascii="Palatino Linotype" w:eastAsia="Palatino Linotype" w:hAnsi="Palatino Linotype" w:cs="Palatino Linotype"/>
          <w:sz w:val="22"/>
          <w:szCs w:val="22"/>
        </w:rPr>
      </w:pPr>
    </w:p>
    <w:p w14:paraId="4634553C" w14:textId="77777777" w:rsidR="009F4A08" w:rsidRPr="00A87AFB" w:rsidRDefault="00647362"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Ahora bien, en cuanto a los números de expedientes de investigación, PMT058/CM/AI/CP/233/2022, PMT058/CM/AI/CP/235/2022, У PMT058/CM/AI/CP/236/2022, </w:t>
      </w:r>
      <w:r w:rsidR="009F4A08" w:rsidRPr="00A87AFB">
        <w:rPr>
          <w:rFonts w:ascii="Palatino Linotype" w:eastAsia="Palatino Linotype" w:hAnsi="Palatino Linotype" w:cs="Palatino Linotype"/>
          <w:sz w:val="22"/>
          <w:szCs w:val="22"/>
        </w:rPr>
        <w:t>informó que de</w:t>
      </w:r>
      <w:r w:rsidRPr="00A87AFB">
        <w:rPr>
          <w:rFonts w:ascii="Palatino Linotype" w:eastAsia="Palatino Linotype" w:hAnsi="Palatino Linotype" w:cs="Palatino Linotype"/>
          <w:sz w:val="22"/>
          <w:szCs w:val="22"/>
        </w:rPr>
        <w:t xml:space="preserve">spués de </w:t>
      </w:r>
      <w:r w:rsidR="009F4A08" w:rsidRPr="00A87AFB">
        <w:rPr>
          <w:rFonts w:ascii="Palatino Linotype" w:eastAsia="Palatino Linotype" w:hAnsi="Palatino Linotype" w:cs="Palatino Linotype"/>
          <w:sz w:val="22"/>
          <w:szCs w:val="22"/>
        </w:rPr>
        <w:t xml:space="preserve">realizar </w:t>
      </w:r>
      <w:r w:rsidRPr="00A87AFB">
        <w:rPr>
          <w:rFonts w:ascii="Palatino Linotype" w:eastAsia="Palatino Linotype" w:hAnsi="Palatino Linotype" w:cs="Palatino Linotype"/>
          <w:sz w:val="22"/>
          <w:szCs w:val="22"/>
        </w:rPr>
        <w:t xml:space="preserve">una búsqueda minuciosa en el Libro de Gobierno de Registro de Expedientes, así como del archivo físico y electrónico de esta </w:t>
      </w:r>
      <w:r w:rsidR="009F4A08" w:rsidRPr="00A87AFB">
        <w:rPr>
          <w:rFonts w:ascii="Palatino Linotype" w:eastAsia="Palatino Linotype" w:hAnsi="Palatino Linotype" w:cs="Palatino Linotype"/>
          <w:sz w:val="22"/>
          <w:szCs w:val="22"/>
        </w:rPr>
        <w:t xml:space="preserve">Autoridad Investigadora, </w:t>
      </w:r>
      <w:r w:rsidRPr="00A87AFB">
        <w:rPr>
          <w:rFonts w:ascii="Palatino Linotype" w:eastAsia="Palatino Linotype" w:hAnsi="Palatino Linotype" w:cs="Palatino Linotype"/>
          <w:sz w:val="22"/>
          <w:szCs w:val="22"/>
        </w:rPr>
        <w:t>nunca se asignó números de expedientes con la referida nomenclatura.</w:t>
      </w:r>
    </w:p>
    <w:p w14:paraId="296D3881" w14:textId="77777777" w:rsidR="009700C9" w:rsidRPr="00A87AFB" w:rsidRDefault="009700C9" w:rsidP="00457B44">
      <w:pPr>
        <w:spacing w:line="360" w:lineRule="auto"/>
        <w:ind w:right="49"/>
        <w:jc w:val="both"/>
        <w:rPr>
          <w:rFonts w:ascii="Palatino Linotype" w:eastAsia="Palatino Linotype" w:hAnsi="Palatino Linotype" w:cs="Palatino Linotype"/>
          <w:sz w:val="22"/>
          <w:szCs w:val="22"/>
        </w:rPr>
      </w:pPr>
    </w:p>
    <w:p w14:paraId="0485443D" w14:textId="2BBF9A1A" w:rsidR="0033440B" w:rsidRPr="00A87AFB" w:rsidRDefault="009F4A0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Conocida la respuesta por la parte </w:t>
      </w:r>
      <w:r w:rsidRPr="00A87AFB">
        <w:rPr>
          <w:rFonts w:ascii="Palatino Linotype" w:eastAsia="Palatino Linotype" w:hAnsi="Palatino Linotype" w:cs="Palatino Linotype"/>
          <w:b/>
          <w:sz w:val="22"/>
          <w:szCs w:val="22"/>
        </w:rPr>
        <w:t>Recurrente</w:t>
      </w:r>
      <w:r w:rsidR="00815E86" w:rsidRPr="00A87AFB">
        <w:rPr>
          <w:rFonts w:ascii="Palatino Linotype" w:eastAsia="Palatino Linotype" w:hAnsi="Palatino Linotype" w:cs="Palatino Linotype"/>
          <w:b/>
          <w:sz w:val="22"/>
          <w:szCs w:val="22"/>
        </w:rPr>
        <w:t xml:space="preserve"> </w:t>
      </w:r>
      <w:r w:rsidR="00815E86" w:rsidRPr="00A87AFB">
        <w:rPr>
          <w:rFonts w:ascii="Palatino Linotype" w:eastAsia="Palatino Linotype" w:hAnsi="Palatino Linotype" w:cs="Palatino Linotype"/>
          <w:sz w:val="22"/>
          <w:szCs w:val="22"/>
        </w:rPr>
        <w:t>y</w:t>
      </w:r>
      <w:r w:rsidR="00815E86"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al no estar conforme con los términos de la misma, presentó el recurso de revisión que nos ocupa, mediante el cual señaló como motivos de inconformidad en lo medular la clasificación de la información</w:t>
      </w:r>
      <w:r w:rsidR="009B2260" w:rsidRPr="00A87AFB">
        <w:rPr>
          <w:rFonts w:ascii="Palatino Linotype" w:eastAsia="Palatino Linotype" w:hAnsi="Palatino Linotype" w:cs="Palatino Linotype"/>
          <w:sz w:val="22"/>
          <w:szCs w:val="22"/>
        </w:rPr>
        <w:t xml:space="preserve">, ya que a su consideración </w:t>
      </w:r>
      <w:r w:rsidR="0033440B" w:rsidRPr="00A87AFB">
        <w:rPr>
          <w:rFonts w:ascii="Palatino Linotype" w:eastAsia="Palatino Linotype" w:hAnsi="Palatino Linotype" w:cs="Palatino Linotype"/>
          <w:sz w:val="22"/>
          <w:szCs w:val="22"/>
        </w:rPr>
        <w:t>no se observaron las normas, directrices y procedimiento para la clasificación de dicha información como reservada, aunado a ello señaló que la información solicitada es de interés público al estar relacionada con el ejercicio de recursos públicos, y de la que se presumen actos de corrupción en términos de las Ley de Responsabilidades Administrativas del Estado de México y Municipios; derivados de resultados de auditorías e informes emitidos por el órgano superior de fiscalización</w:t>
      </w:r>
      <w:r w:rsidR="0037569C" w:rsidRPr="00A87AFB">
        <w:rPr>
          <w:rFonts w:ascii="Palatino Linotype" w:eastAsia="Palatino Linotype" w:hAnsi="Palatino Linotype" w:cs="Palatino Linotype"/>
          <w:sz w:val="22"/>
          <w:szCs w:val="22"/>
        </w:rPr>
        <w:t>, por lo que d</w:t>
      </w:r>
      <w:r w:rsidR="0033440B" w:rsidRPr="00A87AFB">
        <w:rPr>
          <w:rFonts w:ascii="Palatino Linotype" w:eastAsia="Palatino Linotype" w:hAnsi="Palatino Linotype" w:cs="Palatino Linotype"/>
          <w:sz w:val="22"/>
          <w:szCs w:val="22"/>
        </w:rPr>
        <w:t>icha información no puede ser calificada como reservada.</w:t>
      </w:r>
    </w:p>
    <w:p w14:paraId="28A3D02E" w14:textId="77777777" w:rsidR="009F4A08" w:rsidRPr="00A87AFB" w:rsidRDefault="009F4A08" w:rsidP="00457B44">
      <w:pPr>
        <w:spacing w:line="360" w:lineRule="auto"/>
        <w:jc w:val="both"/>
        <w:rPr>
          <w:rFonts w:ascii="Palatino Linotype" w:eastAsia="Palatino Linotype" w:hAnsi="Palatino Linotype" w:cs="Palatino Linotype"/>
          <w:sz w:val="22"/>
          <w:szCs w:val="22"/>
        </w:rPr>
      </w:pPr>
    </w:p>
    <w:p w14:paraId="7E55BC33" w14:textId="77777777" w:rsidR="000649A8" w:rsidRPr="00A87AFB" w:rsidRDefault="000649A8" w:rsidP="00457B44">
      <w:pPr>
        <w:spacing w:line="360" w:lineRule="auto"/>
        <w:jc w:val="both"/>
        <w:rPr>
          <w:rFonts w:ascii="Palatino Linotype" w:eastAsia="Palatino Linotype" w:hAnsi="Palatino Linotype" w:cs="Palatino Linotype"/>
          <w:sz w:val="22"/>
          <w:szCs w:val="22"/>
        </w:rPr>
      </w:pPr>
    </w:p>
    <w:p w14:paraId="2D3D865C" w14:textId="7087A272" w:rsidR="00823BE2" w:rsidRPr="00A87AFB" w:rsidRDefault="00823BE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Expuesto lo anterior, conviene señalar que la parte de la respuesta que no fue impugnada, relativa a los expedientes con número PMT058/CM/AI/233/2022, PMT058/CM/AI/235/2022 Y PMT058/CM/AI/236/2022, deben declararse consentidos, toda vez que, al no haber realizado manifestaciones de inconformidad al respecto, no pueden producirse efectos jurídicos tendentes a revocar, confirmar o modificar el acto reclamado, ya que, en el caso concreto se infiere que la información proporcionada por 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satisface la solicitud presentada, respecto de los requerimientos que no fueron combatidos.</w:t>
      </w:r>
    </w:p>
    <w:p w14:paraId="5E1D80C8" w14:textId="77777777" w:rsidR="009700C9" w:rsidRPr="00A87AFB" w:rsidRDefault="009700C9" w:rsidP="00457B44">
      <w:pPr>
        <w:spacing w:line="360" w:lineRule="auto"/>
        <w:jc w:val="both"/>
        <w:rPr>
          <w:rFonts w:ascii="Palatino Linotype" w:eastAsia="Palatino Linotype" w:hAnsi="Palatino Linotype" w:cs="Palatino Linotype"/>
          <w:sz w:val="22"/>
          <w:szCs w:val="22"/>
        </w:rPr>
      </w:pPr>
    </w:p>
    <w:p w14:paraId="2C5845E0" w14:textId="77777777" w:rsidR="00823BE2" w:rsidRPr="00A87AFB" w:rsidRDefault="00823BE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Lo anterior es así, debido a que cuando la parte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impugna la respuesta del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la parte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CE26348" w14:textId="77777777" w:rsidR="009700C9" w:rsidRPr="00A87AFB" w:rsidRDefault="009700C9" w:rsidP="00457B44">
      <w:pPr>
        <w:ind w:left="851" w:right="616"/>
        <w:jc w:val="both"/>
        <w:rPr>
          <w:rFonts w:ascii="Palatino Linotype" w:eastAsia="Palatino Linotype" w:hAnsi="Palatino Linotype" w:cs="Palatino Linotype"/>
          <w:b/>
          <w:i/>
          <w:sz w:val="22"/>
          <w:szCs w:val="22"/>
        </w:rPr>
      </w:pPr>
    </w:p>
    <w:p w14:paraId="517D5CAB" w14:textId="77777777" w:rsidR="00823BE2" w:rsidRPr="00A87AFB" w:rsidRDefault="00823BE2" w:rsidP="00457B44">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 xml:space="preserve">“REVISIÓN EN AMPARO. LOS RESOLUTIVOS NO COMBATIDOS DEBEN DECLARARSE FIRMES. </w:t>
      </w:r>
      <w:r w:rsidRPr="00A87AF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40786D8" w14:textId="77777777" w:rsidR="009700C9" w:rsidRPr="00A87AFB" w:rsidRDefault="009700C9" w:rsidP="00457B44">
      <w:pPr>
        <w:spacing w:line="360" w:lineRule="auto"/>
        <w:jc w:val="both"/>
        <w:rPr>
          <w:rFonts w:ascii="Palatino Linotype" w:eastAsia="Palatino Linotype" w:hAnsi="Palatino Linotype" w:cs="Palatino Linotype"/>
          <w:sz w:val="22"/>
          <w:szCs w:val="22"/>
        </w:rPr>
      </w:pPr>
    </w:p>
    <w:p w14:paraId="5158F219" w14:textId="77777777" w:rsidR="00823BE2" w:rsidRPr="00A87AFB" w:rsidRDefault="00823BE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Consecuentemente, se insiste, ante la falta de impugnación eficaz, la respuesta entregada debe declararse consentida por la persona solicitante.</w:t>
      </w:r>
    </w:p>
    <w:p w14:paraId="2FCCBD19" w14:textId="77777777" w:rsidR="009700C9" w:rsidRPr="00A87AFB" w:rsidRDefault="009700C9" w:rsidP="00457B44">
      <w:pPr>
        <w:spacing w:line="360" w:lineRule="auto"/>
        <w:jc w:val="both"/>
        <w:rPr>
          <w:rFonts w:ascii="Palatino Linotype" w:eastAsia="Palatino Linotype" w:hAnsi="Palatino Linotype" w:cs="Palatino Linotype"/>
          <w:sz w:val="22"/>
          <w:szCs w:val="22"/>
        </w:rPr>
      </w:pPr>
    </w:p>
    <w:p w14:paraId="5C4C8B16" w14:textId="77777777" w:rsidR="00823BE2" w:rsidRPr="00A87AFB" w:rsidRDefault="00823BE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Sirve de sustento lo plasmado en el Criterio de interpretación con clave de control SO/001/2020, emitido por el Pleno del entonces Instituto Nacional de Transparencia, Acceso a la Información, y Protección de Datos Personales, INAI, que lleva por rubro y texto, lo siguiente: </w:t>
      </w:r>
    </w:p>
    <w:p w14:paraId="5C7F3D80" w14:textId="77777777" w:rsidR="009700C9" w:rsidRPr="00A87AFB" w:rsidRDefault="009700C9" w:rsidP="00457B44">
      <w:pPr>
        <w:pBdr>
          <w:top w:val="nil"/>
          <w:left w:val="nil"/>
          <w:bottom w:val="nil"/>
          <w:right w:val="nil"/>
          <w:between w:val="nil"/>
        </w:pBdr>
        <w:ind w:left="851" w:right="616"/>
        <w:jc w:val="both"/>
        <w:rPr>
          <w:rFonts w:ascii="Palatino Linotype" w:eastAsia="Palatino Linotype" w:hAnsi="Palatino Linotype" w:cs="Palatino Linotype"/>
          <w:i/>
          <w:sz w:val="22"/>
          <w:szCs w:val="22"/>
        </w:rPr>
      </w:pPr>
    </w:p>
    <w:p w14:paraId="7F80BB4E" w14:textId="77777777" w:rsidR="00823BE2" w:rsidRPr="00A87AFB" w:rsidRDefault="00823BE2" w:rsidP="00457B44">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 xml:space="preserve">Actos consentidos tácitamente. Improcedencia de su análisis. </w:t>
      </w:r>
      <w:r w:rsidRPr="00A87AFB">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867340A" w14:textId="77777777" w:rsidR="009700C9" w:rsidRPr="00A87AFB" w:rsidRDefault="009700C9" w:rsidP="00457B44">
      <w:pPr>
        <w:spacing w:line="360" w:lineRule="auto"/>
        <w:jc w:val="both"/>
        <w:rPr>
          <w:rFonts w:ascii="Palatino Linotype" w:eastAsia="Palatino Linotype" w:hAnsi="Palatino Linotype" w:cs="Palatino Linotype"/>
          <w:sz w:val="22"/>
          <w:szCs w:val="22"/>
        </w:rPr>
      </w:pPr>
    </w:p>
    <w:p w14:paraId="089EAA42" w14:textId="77777777" w:rsidR="00823BE2" w:rsidRPr="00A87AFB" w:rsidRDefault="00823BE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A44239F" w14:textId="77777777" w:rsidR="009700C9" w:rsidRPr="00A87AFB" w:rsidRDefault="009700C9" w:rsidP="00457B44">
      <w:pPr>
        <w:ind w:left="851" w:right="616"/>
        <w:jc w:val="both"/>
        <w:rPr>
          <w:rFonts w:ascii="Palatino Linotype" w:eastAsia="Palatino Linotype" w:hAnsi="Palatino Linotype" w:cs="Palatino Linotype"/>
          <w:i/>
          <w:smallCaps/>
          <w:sz w:val="22"/>
          <w:szCs w:val="22"/>
        </w:rPr>
      </w:pPr>
    </w:p>
    <w:p w14:paraId="49F65076" w14:textId="77777777" w:rsidR="00823BE2" w:rsidRPr="00A87AFB" w:rsidRDefault="00823BE2" w:rsidP="00457B44">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mallCaps/>
          <w:sz w:val="22"/>
          <w:szCs w:val="22"/>
        </w:rPr>
        <w:t>“</w:t>
      </w:r>
      <w:r w:rsidRPr="00A87AFB">
        <w:rPr>
          <w:rFonts w:ascii="Palatino Linotype" w:eastAsia="Palatino Linotype" w:hAnsi="Palatino Linotype" w:cs="Palatino Linotype"/>
          <w:b/>
          <w:i/>
          <w:smallCaps/>
          <w:sz w:val="22"/>
          <w:szCs w:val="22"/>
        </w:rPr>
        <w:t xml:space="preserve">ACTOS CONSENTIDOS. SON LOS QUE NO SE IMPUGNAN MEDIANTE EL RECURSO IDÓNEO. </w:t>
      </w:r>
      <w:r w:rsidRPr="00A87AFB">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87AFB">
        <w:rPr>
          <w:rFonts w:ascii="Palatino Linotype" w:eastAsia="Palatino Linotype" w:hAnsi="Palatino Linotype" w:cs="Palatino Linotype"/>
          <w:i/>
          <w:sz w:val="22"/>
          <w:szCs w:val="22"/>
        </w:rPr>
        <w:t>ya que</w:t>
      </w:r>
      <w:proofErr w:type="gramEnd"/>
      <w:r w:rsidRPr="00A87AFB">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55D7425" w14:textId="77777777" w:rsidR="00823BE2" w:rsidRPr="00A87AFB" w:rsidRDefault="00823BE2" w:rsidP="00457B44">
      <w:pPr>
        <w:spacing w:line="360" w:lineRule="auto"/>
        <w:jc w:val="both"/>
        <w:rPr>
          <w:rFonts w:ascii="Palatino Linotype" w:eastAsia="Palatino Linotype" w:hAnsi="Palatino Linotype" w:cs="Palatino Linotype"/>
          <w:sz w:val="22"/>
          <w:szCs w:val="22"/>
        </w:rPr>
      </w:pPr>
    </w:p>
    <w:p w14:paraId="1A9F5D53" w14:textId="3A21F5FA" w:rsidR="00815E86" w:rsidRPr="00A87AFB" w:rsidRDefault="009F4A0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Admitido el presente recurso de revisión, en términos del artículo 185 fracción II</w:t>
      </w:r>
      <w:r w:rsidRPr="00A87AFB">
        <w:rPr>
          <w:rFonts w:ascii="Palatino Linotype" w:eastAsia="Palatino Linotype" w:hAnsi="Palatino Linotype" w:cs="Palatino Linotype"/>
          <w:sz w:val="22"/>
          <w:szCs w:val="22"/>
          <w:vertAlign w:val="superscript"/>
        </w:rPr>
        <w:footnoteReference w:id="1"/>
      </w:r>
      <w:r w:rsidRPr="00A87AFB">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w:t>
      </w:r>
      <w:r w:rsidR="00823BE2" w:rsidRPr="00A87AFB">
        <w:rPr>
          <w:rFonts w:ascii="Palatino Linotype" w:eastAsia="Palatino Linotype" w:hAnsi="Palatino Linotype" w:cs="Palatino Linotype"/>
          <w:sz w:val="22"/>
          <w:szCs w:val="22"/>
        </w:rPr>
        <w:t xml:space="preserve"> derecho resultara conveniente; por su p</w:t>
      </w:r>
      <w:r w:rsidRPr="00A87AFB">
        <w:rPr>
          <w:rFonts w:ascii="Palatino Linotype" w:eastAsia="Palatino Linotype" w:hAnsi="Palatino Linotype" w:cs="Palatino Linotype"/>
          <w:sz w:val="22"/>
          <w:szCs w:val="22"/>
        </w:rPr>
        <w:t>arte</w:t>
      </w:r>
      <w:r w:rsidR="00823BE2" w:rsidRPr="00A87AFB">
        <w:rPr>
          <w:rFonts w:ascii="Palatino Linotype" w:eastAsia="Palatino Linotype" w:hAnsi="Palatino Linotype" w:cs="Palatino Linotype"/>
          <w:sz w:val="22"/>
          <w:szCs w:val="22"/>
        </w:rPr>
        <w:t xml:space="preserve"> el </w:t>
      </w:r>
      <w:r w:rsidRPr="00A87AFB">
        <w:rPr>
          <w:rFonts w:ascii="Palatino Linotype" w:eastAsia="Palatino Linotype" w:hAnsi="Palatino Linotype" w:cs="Palatino Linotype"/>
          <w:b/>
          <w:sz w:val="22"/>
          <w:szCs w:val="22"/>
        </w:rPr>
        <w:t xml:space="preserve">Recurrente </w:t>
      </w:r>
      <w:r w:rsidR="00815E86" w:rsidRPr="00A87AFB">
        <w:rPr>
          <w:rFonts w:ascii="Palatino Linotype" w:eastAsia="Palatino Linotype" w:hAnsi="Palatino Linotype" w:cs="Palatino Linotype"/>
          <w:sz w:val="22"/>
          <w:szCs w:val="22"/>
        </w:rPr>
        <w:t xml:space="preserve">rindió sus </w:t>
      </w:r>
      <w:r w:rsidRPr="00A87AFB">
        <w:rPr>
          <w:rFonts w:ascii="Palatino Linotype" w:eastAsia="Palatino Linotype" w:hAnsi="Palatino Linotype" w:cs="Palatino Linotype"/>
          <w:sz w:val="22"/>
          <w:szCs w:val="22"/>
        </w:rPr>
        <w:t>alegatos</w:t>
      </w:r>
      <w:r w:rsidR="00815E86" w:rsidRPr="00A87AFB">
        <w:rPr>
          <w:rFonts w:ascii="Palatino Linotype" w:eastAsia="Palatino Linotype" w:hAnsi="Palatino Linotype" w:cs="Palatino Linotype"/>
          <w:sz w:val="22"/>
          <w:szCs w:val="22"/>
        </w:rPr>
        <w:t xml:space="preserve">, en los que refirió </w:t>
      </w:r>
      <w:r w:rsidR="00815E86" w:rsidRPr="00A87AFB">
        <w:rPr>
          <w:rFonts w:ascii="Palatino Linotype" w:eastAsia="Palatino Linotype" w:hAnsi="Palatino Linotype" w:cs="Palatino Linotype"/>
          <w:i/>
          <w:sz w:val="22"/>
          <w:szCs w:val="22"/>
        </w:rPr>
        <w:t xml:space="preserve">“…si bien el sujeto obligado en la contestación que diera origen al presente recurso refiere que no cuenta con información respecto de los expedientes </w:t>
      </w:r>
      <w:r w:rsidR="00815E86" w:rsidRPr="00A87AFB">
        <w:rPr>
          <w:rFonts w:ascii="Palatino Linotype" w:eastAsia="Palatino Linotype" w:hAnsi="Palatino Linotype" w:cs="Palatino Linotype"/>
          <w:i/>
          <w:sz w:val="22"/>
          <w:szCs w:val="22"/>
        </w:rPr>
        <w:lastRenderedPageBreak/>
        <w:t>números PMT058/CM/AI/233/2022, PMT058/CM/AI/235/2022 Y PMT058/CM/AI/236/2022; dicho sujeto, a través del servidor público habilitado que corresponda, deberá informar al solicitante los motivos razones y/o circunstancias por los que no cuenta con dicha información, puesto que, mediante diversa respuesta, informó que dichos expedi</w:t>
      </w:r>
      <w:r w:rsidR="00134128" w:rsidRPr="00A87AFB">
        <w:rPr>
          <w:rFonts w:ascii="Palatino Linotype" w:eastAsia="Palatino Linotype" w:hAnsi="Palatino Linotype" w:cs="Palatino Linotype"/>
          <w:i/>
          <w:sz w:val="22"/>
          <w:szCs w:val="22"/>
        </w:rPr>
        <w:t>entes, se encontraban radicados</w:t>
      </w:r>
      <w:r w:rsidR="00815E86" w:rsidRPr="00A87AFB">
        <w:rPr>
          <w:rFonts w:ascii="Palatino Linotype" w:eastAsia="Palatino Linotype" w:hAnsi="Palatino Linotype" w:cs="Palatino Linotype"/>
          <w:sz w:val="22"/>
          <w:szCs w:val="22"/>
        </w:rPr>
        <w:t>.”</w:t>
      </w:r>
    </w:p>
    <w:p w14:paraId="43E63EA1" w14:textId="72FD72EA" w:rsidR="000649A8" w:rsidRPr="00A87AFB" w:rsidRDefault="000649A8" w:rsidP="00457B44">
      <w:pPr>
        <w:spacing w:line="360" w:lineRule="auto"/>
        <w:jc w:val="both"/>
        <w:rPr>
          <w:rFonts w:ascii="Palatino Linotype" w:eastAsia="Palatino Linotype" w:hAnsi="Palatino Linotype" w:cs="Palatino Linotype"/>
          <w:sz w:val="22"/>
          <w:szCs w:val="22"/>
        </w:rPr>
      </w:pPr>
    </w:p>
    <w:p w14:paraId="002E5F57" w14:textId="53739875" w:rsidR="000649A8" w:rsidRPr="00A87AFB" w:rsidRDefault="000649A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este sentido, se advierte que la manifestación del particular va encaminada a debatir </w:t>
      </w:r>
      <w:r w:rsidR="00061648" w:rsidRPr="00A87AFB">
        <w:rPr>
          <w:rFonts w:ascii="Palatino Linotype" w:eastAsia="Palatino Linotype" w:hAnsi="Palatino Linotype" w:cs="Palatino Linotype"/>
          <w:sz w:val="22"/>
          <w:szCs w:val="22"/>
        </w:rPr>
        <w:t xml:space="preserve">parte de la </w:t>
      </w:r>
      <w:r w:rsidRPr="00A87AFB">
        <w:rPr>
          <w:rFonts w:ascii="Palatino Linotype" w:eastAsia="Palatino Linotype" w:hAnsi="Palatino Linotype" w:cs="Palatino Linotype"/>
          <w:sz w:val="22"/>
          <w:szCs w:val="22"/>
        </w:rPr>
        <w:t>respuesta</w:t>
      </w:r>
      <w:r w:rsidR="00061648"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que</w:t>
      </w:r>
      <w:r w:rsidR="00061648" w:rsidRPr="00A87AFB">
        <w:rPr>
          <w:rFonts w:ascii="Palatino Linotype" w:eastAsia="Palatino Linotype" w:hAnsi="Palatino Linotype" w:cs="Palatino Linotype"/>
          <w:sz w:val="22"/>
          <w:szCs w:val="22"/>
        </w:rPr>
        <w:t>,</w:t>
      </w:r>
      <w:r w:rsidRPr="00A87AFB">
        <w:rPr>
          <w:rFonts w:ascii="Palatino Linotype" w:eastAsia="Palatino Linotype" w:hAnsi="Palatino Linotype" w:cs="Palatino Linotype"/>
          <w:sz w:val="22"/>
          <w:szCs w:val="22"/>
        </w:rPr>
        <w:t xml:space="preserve"> al momento de presentar su recurso de revisión</w:t>
      </w:r>
      <w:r w:rsidR="00061648" w:rsidRPr="00A87AFB">
        <w:rPr>
          <w:rFonts w:ascii="Palatino Linotype" w:eastAsia="Palatino Linotype" w:hAnsi="Palatino Linotype" w:cs="Palatino Linotype"/>
          <w:sz w:val="22"/>
          <w:szCs w:val="22"/>
        </w:rPr>
        <w:t>,</w:t>
      </w:r>
      <w:r w:rsidRPr="00A87AFB">
        <w:rPr>
          <w:rFonts w:ascii="Palatino Linotype" w:eastAsia="Palatino Linotype" w:hAnsi="Palatino Linotype" w:cs="Palatino Linotype"/>
          <w:sz w:val="22"/>
          <w:szCs w:val="22"/>
        </w:rPr>
        <w:t xml:space="preserve"> no fue impugnada, y que como ya se dijo debe considerarse como consentida</w:t>
      </w:r>
      <w:r w:rsidR="00E905EE" w:rsidRPr="00A87AFB">
        <w:rPr>
          <w:rFonts w:ascii="Palatino Linotype" w:eastAsia="Palatino Linotype" w:hAnsi="Palatino Linotype" w:cs="Palatino Linotype"/>
          <w:sz w:val="22"/>
          <w:szCs w:val="22"/>
        </w:rPr>
        <w:t>, dado que l</w:t>
      </w:r>
      <w:r w:rsidRPr="00A87AFB">
        <w:rPr>
          <w:rFonts w:ascii="Palatino Linotype" w:eastAsia="Palatino Linotype" w:hAnsi="Palatino Linotype" w:cs="Palatino Linotype"/>
          <w:sz w:val="22"/>
          <w:szCs w:val="22"/>
        </w:rPr>
        <w:t xml:space="preserve">os alegatos deben acotarse a las expresiones vertidas en su recurso de revisión, de acuerdo a la fijación de la controversia. </w:t>
      </w:r>
    </w:p>
    <w:p w14:paraId="11F65730" w14:textId="327B94F8" w:rsidR="000649A8" w:rsidRPr="00A87AFB" w:rsidRDefault="000649A8" w:rsidP="00457B44">
      <w:pPr>
        <w:spacing w:line="360" w:lineRule="auto"/>
        <w:jc w:val="both"/>
        <w:rPr>
          <w:rFonts w:ascii="Palatino Linotype" w:eastAsia="Palatino Linotype" w:hAnsi="Palatino Linotype" w:cs="Palatino Linotype"/>
          <w:sz w:val="22"/>
          <w:szCs w:val="22"/>
        </w:rPr>
      </w:pPr>
    </w:p>
    <w:p w14:paraId="5CC3A481" w14:textId="7CEDB525" w:rsidR="00841D6D" w:rsidRPr="00A87AFB" w:rsidRDefault="007625AB"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Ahora bien, l</w:t>
      </w:r>
      <w:r w:rsidR="00904145" w:rsidRPr="00A87AFB">
        <w:rPr>
          <w:rFonts w:ascii="Palatino Linotype" w:eastAsia="Palatino Linotype" w:hAnsi="Palatino Linotype" w:cs="Palatino Linotype"/>
          <w:sz w:val="22"/>
          <w:szCs w:val="22"/>
        </w:rPr>
        <w:t xml:space="preserve">a </w:t>
      </w:r>
      <w:r w:rsidR="00841D6D" w:rsidRPr="00A87AFB">
        <w:rPr>
          <w:rFonts w:ascii="Palatino Linotype" w:eastAsia="Palatino Linotype" w:hAnsi="Palatino Linotype" w:cs="Palatino Linotype"/>
          <w:sz w:val="22"/>
          <w:szCs w:val="22"/>
        </w:rPr>
        <w:t>litis</w:t>
      </w:r>
      <w:r w:rsidR="000649A8" w:rsidRPr="00A87AFB">
        <w:rPr>
          <w:rFonts w:ascii="Palatino Linotype" w:eastAsia="Palatino Linotype" w:hAnsi="Palatino Linotype" w:cs="Palatino Linotype"/>
          <w:sz w:val="22"/>
          <w:szCs w:val="22"/>
        </w:rPr>
        <w:t xml:space="preserve"> o controversia se integra con las manifestaciones contenidas en </w:t>
      </w:r>
      <w:r w:rsidR="00904145" w:rsidRPr="00A87AFB">
        <w:rPr>
          <w:rFonts w:ascii="Palatino Linotype" w:eastAsia="Palatino Linotype" w:hAnsi="Palatino Linotype" w:cs="Palatino Linotype"/>
          <w:sz w:val="22"/>
          <w:szCs w:val="22"/>
        </w:rPr>
        <w:t>el recurso de revisión, por ello este Órgano Garante no está obligado a resolver en el presente recurso de revisión sobre aquello que les haya sido planteado por escrito en vía de alegatos, pues los alegatos o manifestaciones no forman parte de la litis, sino que se reducen a la mera exposición de opiniones o apreciaciones que, por su sola naturaleza y, por regla general, no precisan ser atendidas de manera específica. Consecuentemente, la omisión de su análisis en la sentencia no transgr</w:t>
      </w:r>
      <w:r w:rsidR="00E905EE" w:rsidRPr="00A87AFB">
        <w:rPr>
          <w:rFonts w:ascii="Palatino Linotype" w:eastAsia="Palatino Linotype" w:hAnsi="Palatino Linotype" w:cs="Palatino Linotype"/>
          <w:sz w:val="22"/>
          <w:szCs w:val="22"/>
        </w:rPr>
        <w:t xml:space="preserve">ede el principio de congruencia. </w:t>
      </w:r>
    </w:p>
    <w:p w14:paraId="2AABF352" w14:textId="018D17E5" w:rsidR="00841D6D" w:rsidRPr="00A87AFB" w:rsidRDefault="00841D6D" w:rsidP="00841D6D">
      <w:pPr>
        <w:ind w:left="851" w:right="616"/>
        <w:jc w:val="both"/>
        <w:rPr>
          <w:rFonts w:ascii="Palatino Linotype" w:eastAsia="Palatino Linotype" w:hAnsi="Palatino Linotype" w:cs="Palatino Linotype"/>
          <w:i/>
          <w:sz w:val="22"/>
          <w:szCs w:val="22"/>
        </w:rPr>
      </w:pPr>
      <w:proofErr w:type="gramStart"/>
      <w:r w:rsidRPr="00A87AFB">
        <w:rPr>
          <w:rFonts w:ascii="Palatino Linotype" w:eastAsia="Palatino Linotype" w:hAnsi="Palatino Linotype" w:cs="Palatino Linotype"/>
          <w:i/>
          <w:sz w:val="22"/>
          <w:szCs w:val="22"/>
        </w:rPr>
        <w:t>”Tesis</w:t>
      </w:r>
      <w:proofErr w:type="gramEnd"/>
    </w:p>
    <w:p w14:paraId="21A2587F"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Registro digital: 162659</w:t>
      </w:r>
    </w:p>
    <w:p w14:paraId="6C29D374"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Instancia: Tribunales Colegiados de Circuito</w:t>
      </w:r>
    </w:p>
    <w:p w14:paraId="1BA208BF"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Novena Época</w:t>
      </w:r>
    </w:p>
    <w:p w14:paraId="323647C0"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Materia(s): Administrativa</w:t>
      </w:r>
    </w:p>
    <w:p w14:paraId="676B6BB6"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Tesis: III.2o.</w:t>
      </w:r>
      <w:proofErr w:type="gramStart"/>
      <w:r w:rsidRPr="00A87AFB">
        <w:rPr>
          <w:rFonts w:ascii="Palatino Linotype" w:eastAsia="Palatino Linotype" w:hAnsi="Palatino Linotype" w:cs="Palatino Linotype"/>
          <w:i/>
          <w:sz w:val="22"/>
          <w:szCs w:val="22"/>
        </w:rPr>
        <w:t>T.Aux</w:t>
      </w:r>
      <w:proofErr w:type="gramEnd"/>
      <w:r w:rsidRPr="00A87AFB">
        <w:rPr>
          <w:rFonts w:ascii="Palatino Linotype" w:eastAsia="Palatino Linotype" w:hAnsi="Palatino Linotype" w:cs="Palatino Linotype"/>
          <w:i/>
          <w:sz w:val="22"/>
          <w:szCs w:val="22"/>
        </w:rPr>
        <w:t>.25 A</w:t>
      </w:r>
    </w:p>
    <w:p w14:paraId="1F101297"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Fuente: Semanario Judicial de la Federación y su Gaceta.</w:t>
      </w:r>
    </w:p>
    <w:p w14:paraId="46A5ECCB"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Tomo XXXIII, </w:t>
      </w:r>
      <w:proofErr w:type="gramStart"/>
      <w:r w:rsidRPr="00A87AFB">
        <w:rPr>
          <w:rFonts w:ascii="Palatino Linotype" w:eastAsia="Palatino Linotype" w:hAnsi="Palatino Linotype" w:cs="Palatino Linotype"/>
          <w:i/>
          <w:sz w:val="22"/>
          <w:szCs w:val="22"/>
        </w:rPr>
        <w:t>Marzo</w:t>
      </w:r>
      <w:proofErr w:type="gramEnd"/>
      <w:r w:rsidRPr="00A87AFB">
        <w:rPr>
          <w:rFonts w:ascii="Palatino Linotype" w:eastAsia="Palatino Linotype" w:hAnsi="Palatino Linotype" w:cs="Palatino Linotype"/>
          <w:i/>
          <w:sz w:val="22"/>
          <w:szCs w:val="22"/>
        </w:rPr>
        <w:t xml:space="preserve"> de 2011, página 2273</w:t>
      </w:r>
    </w:p>
    <w:p w14:paraId="6679FB97"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Tipo: Aislada</w:t>
      </w:r>
    </w:p>
    <w:p w14:paraId="70B5B382" w14:textId="77777777" w:rsidR="00841D6D" w:rsidRPr="00A87AFB" w:rsidRDefault="00841D6D" w:rsidP="00841D6D">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ALEGATOS EN EL JUICIO CONTENCIOSO ADMINISTRATIVO. AL NO FORMAR PARTE DE LA LITIS, LA OMISIÓN DE SU ANÁLISIS EN LA SENTENCIA NO TRANSGREDE EL PRINCIPIO DE CONGRUENCIA (LEGISLACIÓN DEL ESTADO DE JALISCO).</w:t>
      </w:r>
    </w:p>
    <w:p w14:paraId="05B47266" w14:textId="77777777" w:rsidR="00841D6D" w:rsidRPr="00A87AFB" w:rsidRDefault="00841D6D" w:rsidP="00841D6D">
      <w:pPr>
        <w:spacing w:line="276" w:lineRule="auto"/>
        <w:ind w:left="851" w:right="616"/>
        <w:jc w:val="both"/>
        <w:rPr>
          <w:rFonts w:ascii="Palatino Linotype" w:eastAsia="Palatino Linotype" w:hAnsi="Palatino Linotype" w:cs="Palatino Linotype"/>
          <w:i/>
          <w:sz w:val="22"/>
          <w:szCs w:val="22"/>
        </w:rPr>
      </w:pPr>
    </w:p>
    <w:p w14:paraId="76956361" w14:textId="77777777" w:rsidR="00841D6D" w:rsidRPr="00A87AFB" w:rsidRDefault="00841D6D" w:rsidP="00841D6D">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De la interpretación sistemática de los artículos 35, 38, 42, 43, 47, 71, 72 y 73 de la Ley de Justicia Administrativa del Estado de Jalisco, se colige que en el juicio contencioso administrativo seguido conforme a dicha ley, la litis se integra con las manifestaciones contenidas en el escrito inicial de demanda y su contestación, así como con las que, de ser el caso, se plasmen en el posterior ocurso ampliatorio y su correspondiente refutación, sin que de su contenido se advierta obligación alguna a cargo de los diferentes órganos del Tribunal de lo Administrativo de la Entidad (Salas o Pleno), de resolver expresamente en sus respectivas sentencias sobre aquello que les haya sido planteado por escrito en vía de alegatos, pues el citado numeral 73 únicamente les impone el deber de fijar de manera clara y precisa los puntos controvertidos, así como de examinar y valorar las pruebas rendidas durante la tramitación del juicio, exponiendo los fundamentos legales en que se apoyen para emitir la resolución atinente, de tal suerte que, en términos de la precisada normativa estatal, los alegatos de las partes no forman parte de la litis, sino que se reducen a la mera exposición de opiniones o apreciaciones que, por su sola naturaleza y, por regla general, no precisan ser atendidas de manera específica. Consecuentemente, la omisión de su análisis en la sentencia no transgrede el principio de congruencia inmerso en el aludido precepto 73.</w:t>
      </w:r>
    </w:p>
    <w:p w14:paraId="36C553BE" w14:textId="77777777"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SEGUNDO TRIBUNAL COLEGIADO AUXILIAR, CON RESIDENCIA EN GUADALAJARA, JALISCO.</w:t>
      </w:r>
    </w:p>
    <w:p w14:paraId="6A432FCA" w14:textId="29AFC8BE" w:rsidR="00841D6D" w:rsidRPr="00A87AFB" w:rsidRDefault="00841D6D" w:rsidP="00841D6D">
      <w:pPr>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Amparo directo 881/2010. Margarita Martínez Villaseñor. 2 de diciembre de 2010. Unanimidad de votos. Ponente: José de Jesús López Arias. Secretario: Bolívar López Flores.</w:t>
      </w:r>
    </w:p>
    <w:p w14:paraId="588AE266" w14:textId="66A61DEC" w:rsidR="00841D6D" w:rsidRPr="00A87AFB" w:rsidRDefault="00841D6D" w:rsidP="00841D6D">
      <w:pPr>
        <w:ind w:left="851"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i/>
          <w:sz w:val="22"/>
          <w:szCs w:val="22"/>
        </w:rPr>
        <w:t>Amparo directo 967/2010. Ana Gabriela Gómez Padilla. 2 de diciembre de 2010. Unanimidad de votos. Ponente: Jorge Humberto Benítez Pimienta. Secretario: Abel Ascencio López.”</w:t>
      </w:r>
    </w:p>
    <w:p w14:paraId="436007BD" w14:textId="77777777" w:rsidR="00904145" w:rsidRPr="00A87AFB" w:rsidRDefault="00904145" w:rsidP="00457B44">
      <w:pPr>
        <w:spacing w:line="360" w:lineRule="auto"/>
        <w:jc w:val="both"/>
        <w:rPr>
          <w:rFonts w:ascii="Palatino Linotype" w:eastAsia="Palatino Linotype" w:hAnsi="Palatino Linotype" w:cs="Palatino Linotype"/>
          <w:sz w:val="22"/>
          <w:szCs w:val="22"/>
        </w:rPr>
      </w:pPr>
    </w:p>
    <w:p w14:paraId="7BAA7909" w14:textId="347DEA52" w:rsidR="00904145" w:rsidRPr="00A87AFB" w:rsidRDefault="00904145"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efecto, este Instituto debe resolver la controversia con lo planteado inicialmente en el recurso de revisión, a fin de delimitar los puntos que son objeto de análisis, ya que de considerar y resolver el presente recurso de revisión a la luz de los motivos de inconformidad que no fueron expresados en el momento oportuno, resultaría injustificado y desproporcional para el Sujeto Obligado, pues tales manifestaciones no formaron parte de la litis, y por ende </w:t>
      </w:r>
      <w:r w:rsidR="00061648" w:rsidRPr="00A87AFB">
        <w:rPr>
          <w:rFonts w:ascii="Palatino Linotype" w:eastAsia="Palatino Linotype" w:hAnsi="Palatino Linotype" w:cs="Palatino Linotype"/>
          <w:sz w:val="22"/>
          <w:szCs w:val="22"/>
        </w:rPr>
        <w:t>éste</w:t>
      </w:r>
      <w:r w:rsidRPr="00A87AFB">
        <w:rPr>
          <w:rFonts w:ascii="Palatino Linotype" w:eastAsia="Palatino Linotype" w:hAnsi="Palatino Linotype" w:cs="Palatino Linotype"/>
          <w:sz w:val="22"/>
          <w:szCs w:val="22"/>
        </w:rPr>
        <w:t xml:space="preserve"> estaba obligado a realizar un análisis o  pronunciamiento sobre ellas. </w:t>
      </w:r>
    </w:p>
    <w:p w14:paraId="3DA9FCD9" w14:textId="3D55EEB8" w:rsidR="00061648" w:rsidRPr="00A87AFB" w:rsidRDefault="00061648" w:rsidP="00457B44">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354A808F" w14:textId="5222BBAF" w:rsidR="00841D6D" w:rsidRPr="00A87AFB" w:rsidRDefault="00E905EE"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proofErr w:type="gramStart"/>
      <w:r w:rsidRPr="00A87AFB">
        <w:rPr>
          <w:rFonts w:ascii="Palatino Linotype" w:eastAsia="Palatino Linotype" w:hAnsi="Palatino Linotype" w:cs="Palatino Linotype"/>
          <w:i/>
          <w:iCs/>
          <w:sz w:val="22"/>
          <w:szCs w:val="22"/>
        </w:rPr>
        <w:t>”</w:t>
      </w:r>
      <w:r w:rsidR="00841D6D" w:rsidRPr="00A87AFB">
        <w:rPr>
          <w:rFonts w:ascii="Palatino Linotype" w:eastAsia="Palatino Linotype" w:hAnsi="Palatino Linotype" w:cs="Palatino Linotype"/>
          <w:i/>
          <w:iCs/>
          <w:sz w:val="22"/>
          <w:szCs w:val="22"/>
        </w:rPr>
        <w:t>Tesis</w:t>
      </w:r>
      <w:proofErr w:type="gramEnd"/>
    </w:p>
    <w:p w14:paraId="0632B5A9"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Registro digital: 203804</w:t>
      </w:r>
    </w:p>
    <w:p w14:paraId="626FC15A"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Instancia: Tribunales Colegiados de Circuito</w:t>
      </w:r>
    </w:p>
    <w:p w14:paraId="745972EF"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Novena Época</w:t>
      </w:r>
    </w:p>
    <w:p w14:paraId="269B217A"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Materia(s): Civil</w:t>
      </w:r>
    </w:p>
    <w:p w14:paraId="28601977"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Tesis: I.5o.C.28 C</w:t>
      </w:r>
    </w:p>
    <w:p w14:paraId="09BDC366"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Fuente: Semanario Judicial de la Federación y su Gaceta.</w:t>
      </w:r>
    </w:p>
    <w:p w14:paraId="4FFDD960"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 xml:space="preserve">Tomo II, </w:t>
      </w:r>
      <w:proofErr w:type="gramStart"/>
      <w:r w:rsidRPr="00A87AFB">
        <w:rPr>
          <w:rFonts w:ascii="Palatino Linotype" w:eastAsia="Palatino Linotype" w:hAnsi="Palatino Linotype" w:cs="Palatino Linotype"/>
          <w:i/>
          <w:iCs/>
          <w:sz w:val="22"/>
          <w:szCs w:val="22"/>
        </w:rPr>
        <w:t>Noviembre</w:t>
      </w:r>
      <w:proofErr w:type="gramEnd"/>
      <w:r w:rsidRPr="00A87AFB">
        <w:rPr>
          <w:rFonts w:ascii="Palatino Linotype" w:eastAsia="Palatino Linotype" w:hAnsi="Palatino Linotype" w:cs="Palatino Linotype"/>
          <w:i/>
          <w:iCs/>
          <w:sz w:val="22"/>
          <w:szCs w:val="22"/>
        </w:rPr>
        <w:t xml:space="preserve"> de 1995, página 559</w:t>
      </w:r>
    </w:p>
    <w:p w14:paraId="58890FFD"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Tipo: Aislada</w:t>
      </w:r>
    </w:p>
    <w:p w14:paraId="1D374E21"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LITIS. NO FORMA PARTE DE ELLA, LA CONTESTACION A LA VISTA DADA AL ACTOR CON LAS EXCEPCIONES Y DEFENSAS DEL DEMANDADO.</w:t>
      </w:r>
    </w:p>
    <w:p w14:paraId="6DBD0D12" w14:textId="77777777" w:rsidR="00841D6D" w:rsidRPr="00A87AFB" w:rsidRDefault="00841D6D" w:rsidP="00841D6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8AB5784" w14:textId="77777777" w:rsidR="00841D6D" w:rsidRPr="00A87AFB" w:rsidRDefault="00841D6D" w:rsidP="00841D6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Tanto el juez del conocimiento como el tribunal de segundo grado carecen de la obligación de tomar en cuenta en sus respectivos fallos las manifestaciones que hace el actor en el escrito mediante el cual contesta la vista que se le da respecto de las excepciones y defensas que opuso la parte demandada, toda vez que los argumentos en que se apoya tal contestación de la vista no pueden formar parte de la litis, en virtud de que ello implicaría una réplica a lo argumentado por el demandado en su escrito de contestación de la demanda, situación que no se encuentra permitida por el Código de Procedimientos Civiles para el Distrito Federal, ya que en su artículo 34, dispone que "Admitida la demanda, así como formulada la contestación, no podrán modificarse ni alterarse, salvo en los casos en que la ley lo permita."</w:t>
      </w:r>
    </w:p>
    <w:p w14:paraId="17169975" w14:textId="77777777"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QUINTO TRIBUNAL COLEGIADO EN MATERIA CIVIL DEL PRIMER CIRCUITO.</w:t>
      </w:r>
    </w:p>
    <w:p w14:paraId="36267377" w14:textId="5E8D4A49" w:rsidR="00841D6D" w:rsidRPr="00A87AFB" w:rsidRDefault="00841D6D" w:rsidP="00841D6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A87AFB">
        <w:rPr>
          <w:rFonts w:ascii="Palatino Linotype" w:eastAsia="Palatino Linotype" w:hAnsi="Palatino Linotype" w:cs="Palatino Linotype"/>
          <w:i/>
          <w:iCs/>
          <w:sz w:val="22"/>
          <w:szCs w:val="22"/>
        </w:rPr>
        <w:t xml:space="preserve">Amparo directo 5385/95. Gordon Graf </w:t>
      </w:r>
      <w:proofErr w:type="spellStart"/>
      <w:r w:rsidRPr="00A87AFB">
        <w:rPr>
          <w:rFonts w:ascii="Palatino Linotype" w:eastAsia="Palatino Linotype" w:hAnsi="Palatino Linotype" w:cs="Palatino Linotype"/>
          <w:i/>
          <w:iCs/>
          <w:sz w:val="22"/>
          <w:szCs w:val="22"/>
        </w:rPr>
        <w:t>Mordechai</w:t>
      </w:r>
      <w:proofErr w:type="spellEnd"/>
      <w:r w:rsidRPr="00A87AFB">
        <w:rPr>
          <w:rFonts w:ascii="Palatino Linotype" w:eastAsia="Palatino Linotype" w:hAnsi="Palatino Linotype" w:cs="Palatino Linotype"/>
          <w:i/>
          <w:iCs/>
          <w:sz w:val="22"/>
          <w:szCs w:val="22"/>
        </w:rPr>
        <w:t xml:space="preserve">. 26 de octubre de 1995. Unanimidad de votos. Ponente: Efraín Ochoa </w:t>
      </w:r>
      <w:proofErr w:type="spellStart"/>
      <w:r w:rsidRPr="00A87AFB">
        <w:rPr>
          <w:rFonts w:ascii="Palatino Linotype" w:eastAsia="Palatino Linotype" w:hAnsi="Palatino Linotype" w:cs="Palatino Linotype"/>
          <w:i/>
          <w:iCs/>
          <w:sz w:val="22"/>
          <w:szCs w:val="22"/>
        </w:rPr>
        <w:t>Ochoa</w:t>
      </w:r>
      <w:proofErr w:type="spellEnd"/>
      <w:r w:rsidRPr="00A87AFB">
        <w:rPr>
          <w:rFonts w:ascii="Palatino Linotype" w:eastAsia="Palatino Linotype" w:hAnsi="Palatino Linotype" w:cs="Palatino Linotype"/>
          <w:i/>
          <w:iCs/>
          <w:sz w:val="22"/>
          <w:szCs w:val="22"/>
        </w:rPr>
        <w:t>. Secretaria: María Guadalupe Gama Casas.”</w:t>
      </w:r>
    </w:p>
    <w:p w14:paraId="14867A0A" w14:textId="77777777" w:rsidR="00904145" w:rsidRPr="00A87AFB" w:rsidRDefault="00904145"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08BA24" w14:textId="18395A06" w:rsidR="009F4A08" w:rsidRPr="00A87AFB" w:rsidRDefault="00134128"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Por su parte, el </w:t>
      </w:r>
      <w:r w:rsidR="009F4A08"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w:t>
      </w:r>
      <w:r w:rsidR="009F4A08" w:rsidRPr="00A87AFB">
        <w:rPr>
          <w:rFonts w:ascii="Palatino Linotype" w:eastAsia="Palatino Linotype" w:hAnsi="Palatino Linotype" w:cs="Palatino Linotype"/>
          <w:sz w:val="22"/>
          <w:szCs w:val="22"/>
        </w:rPr>
        <w:t xml:space="preserve">rindió su informe justificado en el que </w:t>
      </w:r>
      <w:r w:rsidR="00061648" w:rsidRPr="00A87AFB">
        <w:rPr>
          <w:rFonts w:ascii="Palatino Linotype" w:eastAsia="Palatino Linotype" w:hAnsi="Palatino Linotype" w:cs="Palatino Linotype"/>
          <w:sz w:val="22"/>
          <w:szCs w:val="22"/>
        </w:rPr>
        <w:t xml:space="preserve">se pronunció específicamente de los puntos debatidos en el recurso de revisión, al señalar </w:t>
      </w:r>
      <w:r w:rsidRPr="00A87AFB">
        <w:rPr>
          <w:rFonts w:ascii="Palatino Linotype" w:eastAsia="Palatino Linotype" w:hAnsi="Palatino Linotype" w:cs="Palatino Linotype"/>
          <w:sz w:val="22"/>
          <w:szCs w:val="22"/>
        </w:rPr>
        <w:t xml:space="preserve">que el acuerdo solicitado por el recurrente se trata de conductas de presuntas faltas administrativas de omisión, realizadas por servidores públicos las cuales no necesariamente implican el uso indebido de una posición de autoridad para obtener ventajas que puedan considerarse como hechos de corrupción, aunado al hecho de que </w:t>
      </w:r>
      <w:r w:rsidR="001A0846" w:rsidRPr="00A87AFB">
        <w:rPr>
          <w:rFonts w:ascii="Palatino Linotype" w:eastAsia="Palatino Linotype" w:hAnsi="Palatino Linotype" w:cs="Palatino Linotype"/>
          <w:sz w:val="22"/>
          <w:szCs w:val="22"/>
        </w:rPr>
        <w:t>en ningún momento la fracción IV</w:t>
      </w:r>
      <w:r w:rsidRPr="00A87AFB">
        <w:rPr>
          <w:rFonts w:ascii="Palatino Linotype" w:eastAsia="Palatino Linotype" w:hAnsi="Palatino Linotype" w:cs="Palatino Linotype"/>
          <w:sz w:val="22"/>
          <w:szCs w:val="22"/>
        </w:rPr>
        <w:t xml:space="preserve"> del </w:t>
      </w:r>
      <w:r w:rsidRPr="00A87AFB">
        <w:rPr>
          <w:rFonts w:ascii="Palatino Linotype" w:eastAsia="Palatino Linotype" w:hAnsi="Palatino Linotype" w:cs="Palatino Linotype"/>
          <w:sz w:val="22"/>
          <w:szCs w:val="22"/>
        </w:rPr>
        <w:lastRenderedPageBreak/>
        <w:t>artículo 142 de la Ley</w:t>
      </w:r>
      <w:r w:rsidR="00CE47DB" w:rsidRPr="00A87AFB">
        <w:rPr>
          <w:rFonts w:ascii="Palatino Linotype" w:eastAsia="Palatino Linotype" w:hAnsi="Palatino Linotype" w:cs="Palatino Linotype"/>
          <w:sz w:val="22"/>
          <w:szCs w:val="22"/>
        </w:rPr>
        <w:t xml:space="preserve"> de la materia</w:t>
      </w:r>
      <w:r w:rsidRPr="00A87AFB">
        <w:rPr>
          <w:rFonts w:ascii="Palatino Linotype" w:eastAsia="Palatino Linotype" w:hAnsi="Palatino Linotype" w:cs="Palatino Linotype"/>
          <w:sz w:val="22"/>
          <w:szCs w:val="22"/>
        </w:rPr>
        <w:t>, no señala "manejo de recursos públicos", como lo indica el recurrente.</w:t>
      </w:r>
      <w:r w:rsidR="003A0886" w:rsidRPr="00A87AFB">
        <w:rPr>
          <w:rFonts w:ascii="Palatino Linotype" w:eastAsia="Palatino Linotype" w:hAnsi="Palatino Linotype" w:cs="Palatino Linotype"/>
          <w:sz w:val="22"/>
          <w:szCs w:val="22"/>
        </w:rPr>
        <w:t xml:space="preserve"> </w:t>
      </w:r>
      <w:r w:rsidR="002F3433" w:rsidRPr="00A87AFB">
        <w:rPr>
          <w:rFonts w:ascii="Palatino Linotype" w:eastAsia="Palatino Linotype" w:hAnsi="Palatino Linotype" w:cs="Palatino Linotype"/>
          <w:sz w:val="22"/>
          <w:szCs w:val="22"/>
        </w:rPr>
        <w:t>Aunado a ello</w:t>
      </w:r>
      <w:r w:rsidRPr="00A87AFB">
        <w:rPr>
          <w:rFonts w:ascii="Palatino Linotype" w:eastAsia="Palatino Linotype" w:hAnsi="Palatino Linotype" w:cs="Palatino Linotype"/>
          <w:sz w:val="22"/>
          <w:szCs w:val="22"/>
        </w:rPr>
        <w:t>,</w:t>
      </w:r>
      <w:r w:rsidR="003A0886" w:rsidRPr="00A87AFB">
        <w:rPr>
          <w:rFonts w:ascii="Palatino Linotype" w:eastAsia="Palatino Linotype" w:hAnsi="Palatino Linotype" w:cs="Palatino Linotype"/>
          <w:sz w:val="22"/>
          <w:szCs w:val="22"/>
        </w:rPr>
        <w:t xml:space="preserve"> refirió que</w:t>
      </w:r>
      <w:r w:rsidRPr="00A87AFB">
        <w:rPr>
          <w:rFonts w:ascii="Palatino Linotype" w:eastAsia="Palatino Linotype" w:hAnsi="Palatino Linotype" w:cs="Palatino Linotype"/>
          <w:sz w:val="22"/>
          <w:szCs w:val="22"/>
        </w:rPr>
        <w:t xml:space="preserve"> </w:t>
      </w:r>
      <w:r w:rsidR="002F3433" w:rsidRPr="00A87AFB">
        <w:rPr>
          <w:rFonts w:ascii="Palatino Linotype" w:eastAsia="Palatino Linotype" w:hAnsi="Palatino Linotype" w:cs="Palatino Linotype"/>
          <w:sz w:val="22"/>
          <w:szCs w:val="22"/>
        </w:rPr>
        <w:t xml:space="preserve">la parte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w:t>
      </w:r>
      <w:r w:rsidR="002F3433" w:rsidRPr="00A87AFB">
        <w:rPr>
          <w:rFonts w:ascii="Palatino Linotype" w:eastAsia="Palatino Linotype" w:hAnsi="Palatino Linotype" w:cs="Palatino Linotype"/>
          <w:sz w:val="22"/>
          <w:szCs w:val="22"/>
        </w:rPr>
        <w:t>no s</w:t>
      </w:r>
      <w:r w:rsidRPr="00A87AFB">
        <w:rPr>
          <w:rFonts w:ascii="Palatino Linotype" w:eastAsia="Palatino Linotype" w:hAnsi="Palatino Linotype" w:cs="Palatino Linotype"/>
          <w:sz w:val="22"/>
          <w:szCs w:val="22"/>
        </w:rPr>
        <w:t>eña</w:t>
      </w:r>
      <w:r w:rsidR="002F3433" w:rsidRPr="00A87AFB">
        <w:rPr>
          <w:rFonts w:ascii="Palatino Linotype" w:eastAsia="Palatino Linotype" w:hAnsi="Palatino Linotype" w:cs="Palatino Linotype"/>
          <w:sz w:val="22"/>
          <w:szCs w:val="22"/>
        </w:rPr>
        <w:t xml:space="preserve">ló </w:t>
      </w:r>
      <w:r w:rsidRPr="00A87AFB">
        <w:rPr>
          <w:rFonts w:ascii="Palatino Linotype" w:eastAsia="Palatino Linotype" w:hAnsi="Palatino Linotype" w:cs="Palatino Linotype"/>
          <w:sz w:val="22"/>
          <w:szCs w:val="22"/>
        </w:rPr>
        <w:t>que presunto delito de corrupción se pudiera tipificar dentro de las actuaciones de los expedientes "</w:t>
      </w:r>
      <w:r w:rsidRPr="00A87AFB">
        <w:rPr>
          <w:rFonts w:ascii="Palatino Linotype" w:eastAsia="Palatino Linotype" w:hAnsi="Palatino Linotype" w:cs="Palatino Linotype"/>
          <w:b/>
          <w:sz w:val="22"/>
          <w:szCs w:val="22"/>
        </w:rPr>
        <w:t>PMT058/CM/AI/CP/001/2025" "PMT058/CM/AI/CP/002/2025</w:t>
      </w:r>
      <w:r w:rsidRPr="00A87AFB">
        <w:rPr>
          <w:rFonts w:ascii="Palatino Linotype" w:eastAsia="Palatino Linotype" w:hAnsi="Palatino Linotype" w:cs="Palatino Linotype"/>
          <w:sz w:val="22"/>
          <w:szCs w:val="22"/>
        </w:rPr>
        <w:t>", para que exista la certeza de que es un acto de corrupción, ya que este Órgano Interno de Control, consideró que no se observa ningún delito relacionado con hechos de corrupción.</w:t>
      </w:r>
    </w:p>
    <w:p w14:paraId="48F09187" w14:textId="77777777" w:rsidR="00C36A45" w:rsidRPr="00A87AFB" w:rsidRDefault="00C36A45"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2FA1A0" w14:textId="4E2F1753" w:rsidR="003A0886" w:rsidRPr="00A87AFB" w:rsidRDefault="003A0886"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Acotado lo anterior, se procede al análisis de l</w:t>
      </w:r>
      <w:r w:rsidR="001A0846" w:rsidRPr="00A87AFB">
        <w:rPr>
          <w:rFonts w:ascii="Palatino Linotype" w:eastAsia="Palatino Linotype" w:hAnsi="Palatino Linotype" w:cs="Palatino Linotype"/>
          <w:sz w:val="22"/>
          <w:szCs w:val="22"/>
        </w:rPr>
        <w:t>a respuesta</w:t>
      </w:r>
      <w:r w:rsidRPr="00A87AFB">
        <w:rPr>
          <w:rFonts w:ascii="Palatino Linotype" w:eastAsia="Palatino Linotype" w:hAnsi="Palatino Linotype" w:cs="Palatino Linotype"/>
          <w:sz w:val="22"/>
          <w:szCs w:val="22"/>
        </w:rPr>
        <w:t xml:space="preserve"> proporcionada por el </w:t>
      </w:r>
      <w:r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sz w:val="22"/>
          <w:szCs w:val="22"/>
        </w:rPr>
        <w:t>con la finalidad de determinar si su derecho de acceso se satisfizo o en su defecto ordenar las documentales correspondientes, en caso de ser procedente.</w:t>
      </w:r>
    </w:p>
    <w:p w14:paraId="500BCD1F" w14:textId="77777777" w:rsidR="00C36A45" w:rsidRPr="00A87AFB" w:rsidRDefault="00C36A45"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B222CD" w14:textId="699856FD" w:rsidR="00FE1BF1" w:rsidRPr="00A87AFB" w:rsidRDefault="00CB4CE2"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Por lo tanto, debemos tomar en cuenta que quien se pronunció en respuesta sobre lo solicitado fue </w:t>
      </w:r>
      <w:r w:rsidRPr="00A87AFB">
        <w:rPr>
          <w:rFonts w:ascii="Palatino Linotype" w:eastAsia="Palatino Linotype" w:hAnsi="Palatino Linotype" w:cs="Palatino Linotype"/>
          <w:b/>
          <w:sz w:val="22"/>
          <w:szCs w:val="22"/>
        </w:rPr>
        <w:t>la</w:t>
      </w:r>
      <w:r w:rsidR="00FE1BF1" w:rsidRPr="00A87AFB">
        <w:rPr>
          <w:rFonts w:ascii="Palatino Linotype" w:eastAsia="Palatino Linotype" w:hAnsi="Palatino Linotype" w:cs="Palatino Linotype"/>
          <w:b/>
          <w:sz w:val="22"/>
          <w:szCs w:val="22"/>
        </w:rPr>
        <w:t xml:space="preserve"> Autoridad Investigadora del Órgano Interno de </w:t>
      </w:r>
      <w:r w:rsidRPr="00A87AFB">
        <w:rPr>
          <w:rFonts w:ascii="Palatino Linotype" w:eastAsia="Palatino Linotype" w:hAnsi="Palatino Linotype" w:cs="Palatino Linotype"/>
          <w:b/>
          <w:sz w:val="22"/>
          <w:szCs w:val="22"/>
        </w:rPr>
        <w:t>Contr</w:t>
      </w:r>
      <w:r w:rsidR="00FE1BF1" w:rsidRPr="00A87AFB">
        <w:rPr>
          <w:rFonts w:ascii="Palatino Linotype" w:eastAsia="Palatino Linotype" w:hAnsi="Palatino Linotype" w:cs="Palatino Linotype"/>
          <w:b/>
          <w:sz w:val="22"/>
          <w:szCs w:val="22"/>
        </w:rPr>
        <w:t>ol</w:t>
      </w:r>
      <w:r w:rsidRPr="00A87AFB">
        <w:rPr>
          <w:rFonts w:ascii="Palatino Linotype" w:eastAsia="Palatino Linotype" w:hAnsi="Palatino Linotype" w:cs="Palatino Linotype"/>
          <w:b/>
          <w:sz w:val="22"/>
          <w:szCs w:val="22"/>
        </w:rPr>
        <w:t xml:space="preserve">, </w:t>
      </w:r>
      <w:r w:rsidRPr="00A87AFB">
        <w:rPr>
          <w:rFonts w:ascii="Palatino Linotype" w:eastAsia="Palatino Linotype" w:hAnsi="Palatino Linotype" w:cs="Palatino Linotype"/>
          <w:sz w:val="22"/>
          <w:szCs w:val="22"/>
        </w:rPr>
        <w:t xml:space="preserve">quien conforme </w:t>
      </w:r>
      <w:r w:rsidR="00FE1BF1" w:rsidRPr="00A87AFB">
        <w:rPr>
          <w:rFonts w:ascii="Palatino Linotype" w:eastAsia="Palatino Linotype" w:hAnsi="Palatino Linotype" w:cs="Palatino Linotype"/>
          <w:sz w:val="22"/>
          <w:szCs w:val="22"/>
        </w:rPr>
        <w:t>al Manual General de Organización de la Administración Pública del Municipio de Tenancingo</w:t>
      </w:r>
      <w:r w:rsidRPr="00A87AFB">
        <w:rPr>
          <w:rFonts w:ascii="Palatino Linotype" w:eastAsia="Palatino Linotype" w:hAnsi="Palatino Linotype" w:cs="Palatino Linotype"/>
          <w:sz w:val="22"/>
          <w:szCs w:val="22"/>
        </w:rPr>
        <w:t>,</w:t>
      </w:r>
      <w:r w:rsidR="00FE1BF1" w:rsidRPr="00A87AFB">
        <w:rPr>
          <w:rFonts w:ascii="Palatino Linotype" w:eastAsia="Palatino Linotype" w:hAnsi="Palatino Linotype" w:cs="Palatino Linotype"/>
          <w:sz w:val="22"/>
          <w:szCs w:val="22"/>
        </w:rPr>
        <w:t xml:space="preserve"> tiene como objetivo investigar las faltas administrativas que presuntamente cometen los Servidores Públicos y determinar la calificación de la presunta falta administrativa, o bien, en su caso determinar la improcedencia y el archivo del mismo; aunado a ello contara con las siguientes funciones: </w:t>
      </w:r>
    </w:p>
    <w:p w14:paraId="6FC8F95F" w14:textId="77777777" w:rsidR="00C36A45" w:rsidRPr="00A87AFB" w:rsidRDefault="00C36A45" w:rsidP="00457B44">
      <w:pPr>
        <w:spacing w:line="276" w:lineRule="auto"/>
        <w:ind w:left="851" w:right="616"/>
        <w:jc w:val="center"/>
        <w:rPr>
          <w:rFonts w:ascii="Palatino Linotype" w:eastAsia="Palatino Linotype" w:hAnsi="Palatino Linotype" w:cs="Palatino Linotype"/>
          <w:i/>
          <w:sz w:val="22"/>
          <w:szCs w:val="22"/>
        </w:rPr>
      </w:pPr>
    </w:p>
    <w:p w14:paraId="25AAB3D6" w14:textId="0375966E" w:rsidR="00FE1BF1" w:rsidRPr="00A87AFB" w:rsidRDefault="00CB4CE2" w:rsidP="00457B44">
      <w:pPr>
        <w:spacing w:line="276" w:lineRule="auto"/>
        <w:ind w:left="851" w:right="616"/>
        <w:jc w:val="center"/>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00FE1BF1" w:rsidRPr="00A87AFB">
        <w:rPr>
          <w:rFonts w:ascii="Palatino Linotype" w:eastAsia="Palatino Linotype" w:hAnsi="Palatino Linotype" w:cs="Palatino Linotype"/>
          <w:b/>
          <w:i/>
          <w:sz w:val="22"/>
          <w:szCs w:val="22"/>
        </w:rPr>
        <w:t>Autoridad Investigadora</w:t>
      </w:r>
    </w:p>
    <w:p w14:paraId="439FA69C" w14:textId="20C1DB81"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Funciones:</w:t>
      </w:r>
    </w:p>
    <w:p w14:paraId="6A7A882C" w14:textId="5722DC12" w:rsidR="00FE1BF1" w:rsidRPr="00A87AFB" w:rsidRDefault="00FE1BF1" w:rsidP="00457B44">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1. Será el encargado de investigar la comisión de presuntas faltas administrativas respecto de la conducta de los servidores públicos</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 xml:space="preserve">y de particulares, </w:t>
      </w:r>
      <w:r w:rsidRPr="00A87AFB">
        <w:rPr>
          <w:rFonts w:ascii="Palatino Linotype" w:eastAsia="Palatino Linotype" w:hAnsi="Palatino Linotype" w:cs="Palatino Linotype"/>
          <w:i/>
          <w:sz w:val="22"/>
          <w:szCs w:val="22"/>
        </w:rPr>
        <w:t xml:space="preserve">que reciba de oficio, por denuncia o </w:t>
      </w:r>
      <w:r w:rsidRPr="00A87AFB">
        <w:rPr>
          <w:rFonts w:ascii="Palatino Linotype" w:eastAsia="Palatino Linotype" w:hAnsi="Palatino Linotype" w:cs="Palatino Linotype"/>
          <w:b/>
          <w:i/>
          <w:sz w:val="22"/>
          <w:szCs w:val="22"/>
        </w:rPr>
        <w:t>derivado de las auditorías practicadas por parte de las autoridades competentes o en su caso, de los auditores externos;</w:t>
      </w:r>
    </w:p>
    <w:p w14:paraId="2B3FE74F" w14:textId="5B2D03DF"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2. Recibir y valorar la procedencia de las denuncias que se formulen por la probable comisión de faltas administrativas derivadas de actos u omisiones de los servidores públicos municipales o de particulares por conductas sancionables;</w:t>
      </w:r>
    </w:p>
    <w:p w14:paraId="4C081AE1" w14:textId="557809BB" w:rsidR="00FE1BF1" w:rsidRPr="00A87AFB" w:rsidRDefault="00FE1BF1" w:rsidP="00457B44">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lastRenderedPageBreak/>
        <w:t xml:space="preserve">3. Emitir los acuerdos de inicio de la investigación, de glosa, de acumulación, de incompetencia y </w:t>
      </w:r>
      <w:r w:rsidRPr="00A87AFB">
        <w:rPr>
          <w:rFonts w:ascii="Palatino Linotype" w:eastAsia="Palatino Linotype" w:hAnsi="Palatino Linotype" w:cs="Palatino Linotype"/>
          <w:b/>
          <w:i/>
          <w:sz w:val="22"/>
          <w:szCs w:val="22"/>
          <w:u w:val="single"/>
        </w:rPr>
        <w:t>de calificación de las faltas administrativas</w:t>
      </w:r>
      <w:r w:rsidRPr="00A87AFB">
        <w:rPr>
          <w:rFonts w:ascii="Palatino Linotype" w:eastAsia="Palatino Linotype" w:hAnsi="Palatino Linotype" w:cs="Palatino Linotype"/>
          <w:b/>
          <w:i/>
          <w:sz w:val="22"/>
          <w:szCs w:val="22"/>
        </w:rPr>
        <w:t>, y en su caso, el archivo de la investigación; en todos los casos sus actos deberán estar debidamente fundados y motivados;</w:t>
      </w:r>
    </w:p>
    <w:p w14:paraId="6225E01C" w14:textId="2775B452"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4. Requerir la información y documentación a las dependencias municipales y a cualquier persona física o jurídica colectiva para el esclarecimiento de los hechos materia de su investigación;</w:t>
      </w:r>
    </w:p>
    <w:p w14:paraId="52D8B322" w14:textId="3A5F7FD6"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5. Citar a comparecer en el curso de la investigación, cuando lo considere conveniente, a los servidores públicos, ex servidores públicos o particulares relacionados con la investigación de las presuntas faltas administrativas, debiendo razonar, fundamentar y motivar el acuerdo que para dicho citatorio se emita, en caso de no presentarse con defensor, se designará uno de oficio;</w:t>
      </w:r>
    </w:p>
    <w:p w14:paraId="43CB2F46" w14:textId="783982AA" w:rsidR="00FE1BF1" w:rsidRPr="00A87AFB" w:rsidRDefault="00FE1BF1" w:rsidP="00457B44">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6. Emitir el acuerdo mediante el cual determine la existencia o inexistencia de los actos u omisiones de faltas administrativas, y en su caso, calificarlas como graves o no graves;</w:t>
      </w:r>
    </w:p>
    <w:p w14:paraId="377A21F2" w14:textId="046B4B54"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7. Instruir la notificación del denunciante siempre que fuere identificable, cuando se califique como no grave la falta administrativa;</w:t>
      </w:r>
    </w:p>
    <w:p w14:paraId="13B4E9F3" w14:textId="569BF80A"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8. Emitir el informe de Presunta Responsabilidad Administrativa y presentarlo a la Unidad Substanciadora;</w:t>
      </w:r>
    </w:p>
    <w:p w14:paraId="7F7A49BD" w14:textId="6FAF2D37"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9. Ordenar la práctica de visitas de verificación, acciones encubiertas y usuario simulado, siempre que resulte pertinente para el conocimiento de los hechos relacionados con la investigación. Emitir, de ser el caso, el acuerdo de reclasificación, cuando así lo determine el Tribunal de Justicia Administrativa del Estado de México;</w:t>
      </w:r>
    </w:p>
    <w:p w14:paraId="7073348C" w14:textId="2CFA037B"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10. Impugnar el acuerdo que determine la abstención de iniciar el procedimiento de responsabilidad administrativa o de imponer sanciones;</w:t>
      </w:r>
    </w:p>
    <w:p w14:paraId="20DE100C" w14:textId="391F26F8"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11. Hacer uso de los medios de apremio para hacer cumplir sus determinaciones como Autoridad Investigadora;</w:t>
      </w:r>
    </w:p>
    <w:p w14:paraId="021A6B57" w14:textId="7B26C21F"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12. Solicitar a la Autoridad Substanciadora y Resolutora, decretar medidas cautelares; </w:t>
      </w:r>
    </w:p>
    <w:p w14:paraId="7ED90C32" w14:textId="5E91C2DA"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13. Presentar denuncias si derivado del curso de las investigaciones existen hechos que pudieran configurar la posible comisión de delitos, ante la </w:t>
      </w:r>
      <w:proofErr w:type="gramStart"/>
      <w:r w:rsidRPr="00A87AFB">
        <w:rPr>
          <w:rFonts w:ascii="Palatino Linotype" w:eastAsia="Palatino Linotype" w:hAnsi="Palatino Linotype" w:cs="Palatino Linotype"/>
          <w:i/>
          <w:sz w:val="22"/>
          <w:szCs w:val="22"/>
        </w:rPr>
        <w:t>Fiscalía General</w:t>
      </w:r>
      <w:proofErr w:type="gramEnd"/>
      <w:r w:rsidRPr="00A87AFB">
        <w:rPr>
          <w:rFonts w:ascii="Palatino Linotype" w:eastAsia="Palatino Linotype" w:hAnsi="Palatino Linotype" w:cs="Palatino Linotype"/>
          <w:i/>
          <w:sz w:val="22"/>
          <w:szCs w:val="22"/>
        </w:rPr>
        <w:t xml:space="preserve"> de Justicia del Estado de México;</w:t>
      </w:r>
    </w:p>
    <w:p w14:paraId="44D7ED4B" w14:textId="56E12F5D"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14. Habilitar a servidores públicos, para que realicen las notificaciones que en el curso de las investigaciones se requieran;</w:t>
      </w:r>
    </w:p>
    <w:p w14:paraId="51ADC96E" w14:textId="5847ABBE"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15. Tramitar y concluir en estricta aplicación de la Ley de Responsabilidades Administrativas del Estado de México y Municipios, los asuntos que ya se </w:t>
      </w:r>
      <w:r w:rsidRPr="00A87AFB">
        <w:rPr>
          <w:rFonts w:ascii="Palatino Linotype" w:eastAsia="Palatino Linotype" w:hAnsi="Palatino Linotype" w:cs="Palatino Linotype"/>
          <w:i/>
          <w:sz w:val="22"/>
          <w:szCs w:val="22"/>
        </w:rPr>
        <w:lastRenderedPageBreak/>
        <w:t>encuentren en trámite y en etapa de información previa a la entrada en vigor de las presentes reformas y adiciones al Código Reglamentario Municipal de Tenancingo, México; y</w:t>
      </w:r>
    </w:p>
    <w:p w14:paraId="405DC503" w14:textId="64DF5F71" w:rsidR="00FE1BF1" w:rsidRPr="00A87AFB" w:rsidRDefault="00FE1BF1" w:rsidP="00457B44">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16. Las demás que deriven de la normatividad aplicable o le sean encomendadas en el área de su competencia por sus superiores jerárquicos.</w:t>
      </w:r>
      <w:r w:rsidR="002F6221"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i/>
          <w:sz w:val="22"/>
          <w:szCs w:val="22"/>
        </w:rPr>
        <w:cr/>
      </w:r>
    </w:p>
    <w:p w14:paraId="56205B56" w14:textId="308EDCA7" w:rsidR="004874D7" w:rsidRPr="00A87AFB" w:rsidRDefault="00CB4CE2"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De las porciones reglamentarias en cita, se desprende que la </w:t>
      </w:r>
      <w:r w:rsidR="002F6221" w:rsidRPr="00A87AFB">
        <w:rPr>
          <w:rFonts w:ascii="Palatino Linotype" w:eastAsia="Palatino Linotype" w:hAnsi="Palatino Linotype" w:cs="Palatino Linotype"/>
          <w:sz w:val="22"/>
          <w:szCs w:val="22"/>
        </w:rPr>
        <w:t xml:space="preserve">Autoridad Investigadora del Órgano Interno de Control </w:t>
      </w:r>
      <w:r w:rsidRPr="00A87AFB">
        <w:rPr>
          <w:rFonts w:ascii="Palatino Linotype" w:eastAsia="Palatino Linotype" w:hAnsi="Palatino Linotype" w:cs="Palatino Linotype"/>
          <w:sz w:val="22"/>
          <w:szCs w:val="22"/>
        </w:rPr>
        <w:t xml:space="preserve">tiene dentro de sus atribuciones </w:t>
      </w:r>
      <w:r w:rsidR="002F6221" w:rsidRPr="00A87AFB">
        <w:rPr>
          <w:rFonts w:ascii="Palatino Linotype" w:eastAsia="Palatino Linotype" w:hAnsi="Palatino Linotype" w:cs="Palatino Linotype"/>
          <w:sz w:val="22"/>
          <w:szCs w:val="22"/>
        </w:rPr>
        <w:t xml:space="preserve">investigar la </w:t>
      </w:r>
      <w:r w:rsidR="006D7E5E" w:rsidRPr="00A87AFB">
        <w:rPr>
          <w:rFonts w:ascii="Palatino Linotype" w:eastAsia="Palatino Linotype" w:hAnsi="Palatino Linotype" w:cs="Palatino Linotype"/>
          <w:sz w:val="22"/>
          <w:szCs w:val="22"/>
        </w:rPr>
        <w:t>c</w:t>
      </w:r>
      <w:r w:rsidR="002F6221" w:rsidRPr="00A87AFB">
        <w:rPr>
          <w:rFonts w:ascii="Palatino Linotype" w:eastAsia="Palatino Linotype" w:hAnsi="Palatino Linotype" w:cs="Palatino Linotype"/>
          <w:sz w:val="22"/>
          <w:szCs w:val="22"/>
        </w:rPr>
        <w:t xml:space="preserve">omisión de presuntas faltas administrativas respecto de la conducta de los servidores públicos y de particulares, que reciba de oficio, por denuncia o derivado de las auditorías practicadas por parte de las autoridades competentes o en su caso, de los auditores externos; por lo que se arriba a la </w:t>
      </w:r>
      <w:r w:rsidRPr="00A87AFB">
        <w:rPr>
          <w:rFonts w:ascii="Palatino Linotype" w:eastAsia="Palatino Linotype" w:hAnsi="Palatino Linotype" w:cs="Palatino Linotype"/>
          <w:sz w:val="22"/>
          <w:szCs w:val="22"/>
        </w:rPr>
        <w:t>conclusión de que</w:t>
      </w:r>
      <w:r w:rsidR="002F6221" w:rsidRPr="00A87AFB">
        <w:rPr>
          <w:rFonts w:ascii="Palatino Linotype" w:eastAsia="Palatino Linotype" w:hAnsi="Palatino Linotype" w:cs="Palatino Linotype"/>
          <w:sz w:val="22"/>
          <w:szCs w:val="22"/>
        </w:rPr>
        <w:t xml:space="preserve"> dicha unidad administrativa </w:t>
      </w:r>
      <w:r w:rsidR="004874D7" w:rsidRPr="00A87AFB">
        <w:rPr>
          <w:rFonts w:ascii="Palatino Linotype" w:eastAsia="Palatino Linotype" w:hAnsi="Palatino Linotype" w:cs="Palatino Linotype"/>
          <w:sz w:val="22"/>
          <w:szCs w:val="22"/>
        </w:rPr>
        <w:t>es quien</w:t>
      </w:r>
      <w:r w:rsidRPr="00A87AFB">
        <w:rPr>
          <w:rFonts w:ascii="Palatino Linotype" w:eastAsia="Palatino Linotype" w:hAnsi="Palatino Linotype" w:cs="Palatino Linotype"/>
          <w:sz w:val="22"/>
          <w:szCs w:val="22"/>
        </w:rPr>
        <w:t xml:space="preserve"> conoce de la</w:t>
      </w:r>
      <w:r w:rsidR="002F6221" w:rsidRPr="00A87AFB">
        <w:rPr>
          <w:rFonts w:ascii="Palatino Linotype" w:eastAsia="Palatino Linotype" w:hAnsi="Palatino Linotype" w:cs="Palatino Linotype"/>
          <w:sz w:val="22"/>
          <w:szCs w:val="22"/>
        </w:rPr>
        <w:t xml:space="preserve"> información referente a </w:t>
      </w:r>
      <w:r w:rsidR="004874D7" w:rsidRPr="00A87AFB">
        <w:rPr>
          <w:rFonts w:ascii="Palatino Linotype" w:eastAsia="Palatino Linotype" w:hAnsi="Palatino Linotype" w:cs="Palatino Linotype"/>
          <w:sz w:val="22"/>
          <w:szCs w:val="22"/>
        </w:rPr>
        <w:t xml:space="preserve">los acuerdos de radicación y las diligencias de investigación efectuadas por el órgano de control interno, que sustenten el procedimiento de investigación, de los expedientes en estudio. </w:t>
      </w:r>
    </w:p>
    <w:p w14:paraId="2FBD1465" w14:textId="77777777" w:rsidR="004874D7" w:rsidRPr="00A87AFB" w:rsidRDefault="004874D7" w:rsidP="00457B44">
      <w:pPr>
        <w:spacing w:line="360" w:lineRule="auto"/>
        <w:ind w:right="49"/>
        <w:jc w:val="both"/>
        <w:rPr>
          <w:rFonts w:ascii="Palatino Linotype" w:eastAsia="Palatino Linotype" w:hAnsi="Palatino Linotype" w:cs="Palatino Linotype"/>
          <w:sz w:val="22"/>
          <w:szCs w:val="22"/>
        </w:rPr>
      </w:pPr>
    </w:p>
    <w:p w14:paraId="76A84412" w14:textId="325CDDFD" w:rsidR="00CB4CE2" w:rsidRPr="00A87AFB" w:rsidRDefault="00CB4CE2"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Por lo tanto, en el presente asunto, se dio cabal cumplimiento con el requisito de turnar la solicitud de información al área competente que puede poseer, generar y/o administrar la información requerida. </w:t>
      </w:r>
    </w:p>
    <w:p w14:paraId="304870DC" w14:textId="77777777" w:rsidR="00CB4CE2" w:rsidRPr="00A87AFB" w:rsidRDefault="00CB4CE2" w:rsidP="00457B44">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661E6762" w14:textId="77777777" w:rsidR="00CB4CE2" w:rsidRPr="00A87AFB" w:rsidRDefault="00CB4CE2" w:rsidP="00457B44">
      <w:pPr>
        <w:pBdr>
          <w:top w:val="nil"/>
          <w:left w:val="nil"/>
          <w:bottom w:val="nil"/>
          <w:right w:val="nil"/>
          <w:between w:val="nil"/>
        </w:pBdr>
        <w:spacing w:line="360" w:lineRule="auto"/>
        <w:jc w:val="both"/>
        <w:rPr>
          <w:rFonts w:ascii="Palatino Linotype" w:hAnsi="Palatino Linotype"/>
          <w:sz w:val="22"/>
          <w:szCs w:val="22"/>
        </w:rPr>
      </w:pPr>
      <w:r w:rsidRPr="00A87AFB">
        <w:rPr>
          <w:rFonts w:ascii="Palatino Linotype" w:eastAsia="Palatino Linotype" w:hAnsi="Palatino Linotype" w:cs="Palatino Linotype"/>
          <w:sz w:val="22"/>
          <w:szCs w:val="22"/>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7711509" w14:textId="77777777" w:rsidR="00CB4CE2" w:rsidRPr="00A87AFB" w:rsidRDefault="00CB4CE2" w:rsidP="00457B44">
      <w:pPr>
        <w:spacing w:line="360" w:lineRule="auto"/>
        <w:rPr>
          <w:rFonts w:ascii="Palatino Linotype" w:hAnsi="Palatino Linotype"/>
          <w:sz w:val="22"/>
          <w:szCs w:val="22"/>
        </w:rPr>
      </w:pPr>
    </w:p>
    <w:p w14:paraId="0840CC78" w14:textId="77777777" w:rsidR="00CB4CE2" w:rsidRPr="00A87AFB" w:rsidRDefault="00CB4CE2" w:rsidP="00457B44">
      <w:pPr>
        <w:numPr>
          <w:ilvl w:val="0"/>
          <w:numId w:val="23"/>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8F0D509" w14:textId="77777777" w:rsidR="00CB4CE2" w:rsidRPr="00A87AFB" w:rsidRDefault="00CB4CE2" w:rsidP="00457B44">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0A299204" w14:textId="77777777" w:rsidR="00CB4CE2" w:rsidRPr="00A87AFB" w:rsidRDefault="00CB4CE2" w:rsidP="00457B44">
      <w:pPr>
        <w:numPr>
          <w:ilvl w:val="0"/>
          <w:numId w:val="23"/>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7D34B76" w14:textId="77777777" w:rsidR="00CB4CE2" w:rsidRPr="00A87AFB" w:rsidRDefault="00CB4CE2" w:rsidP="00457B44">
      <w:pPr>
        <w:pBdr>
          <w:top w:val="nil"/>
          <w:left w:val="nil"/>
          <w:bottom w:val="nil"/>
          <w:right w:val="nil"/>
          <w:between w:val="nil"/>
        </w:pBdr>
        <w:spacing w:line="276" w:lineRule="auto"/>
        <w:ind w:left="720"/>
        <w:rPr>
          <w:rFonts w:ascii="Palatino Linotype" w:eastAsia="Palatino Linotype" w:hAnsi="Palatino Linotype" w:cs="Palatino Linotype"/>
          <w:sz w:val="22"/>
          <w:szCs w:val="22"/>
        </w:rPr>
      </w:pPr>
    </w:p>
    <w:p w14:paraId="0002EDED" w14:textId="77777777" w:rsidR="00CB4CE2" w:rsidRPr="00A87AFB" w:rsidRDefault="00CB4CE2" w:rsidP="00457B44">
      <w:pPr>
        <w:numPr>
          <w:ilvl w:val="0"/>
          <w:numId w:val="23"/>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A87AFB">
        <w:rPr>
          <w:rFonts w:ascii="Palatino Linotype" w:eastAsia="Palatino Linotype" w:hAnsi="Palatino Linotype" w:cs="Palatino Linotype"/>
          <w:b/>
          <w:sz w:val="22"/>
          <w:szCs w:val="22"/>
        </w:rPr>
        <w:t>quince días, contados a partir del día siguiente a la presentación de ésta.</w:t>
      </w:r>
      <w:r w:rsidRPr="00A87AFB">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0B6E3A8C" w14:textId="77777777" w:rsidR="00CB4CE2" w:rsidRPr="00A87AFB" w:rsidRDefault="00CB4CE2" w:rsidP="00457B44">
      <w:pPr>
        <w:pBdr>
          <w:top w:val="nil"/>
          <w:left w:val="nil"/>
          <w:bottom w:val="nil"/>
          <w:right w:val="nil"/>
          <w:between w:val="nil"/>
        </w:pBdr>
        <w:spacing w:line="276" w:lineRule="auto"/>
        <w:ind w:left="720"/>
        <w:rPr>
          <w:rFonts w:ascii="Palatino Linotype" w:eastAsia="Palatino Linotype" w:hAnsi="Palatino Linotype" w:cs="Palatino Linotype"/>
          <w:sz w:val="22"/>
          <w:szCs w:val="22"/>
        </w:rPr>
      </w:pPr>
    </w:p>
    <w:p w14:paraId="1EC8CF1A" w14:textId="77777777" w:rsidR="00CB4CE2" w:rsidRPr="00A87AFB" w:rsidRDefault="00CB4CE2" w:rsidP="00457B44">
      <w:pPr>
        <w:numPr>
          <w:ilvl w:val="0"/>
          <w:numId w:val="23"/>
        </w:numPr>
        <w:pBdr>
          <w:top w:val="nil"/>
          <w:left w:val="nil"/>
          <w:bottom w:val="nil"/>
          <w:right w:val="nil"/>
          <w:between w:val="nil"/>
        </w:pBdr>
        <w:spacing w:line="276" w:lineRule="auto"/>
        <w:jc w:val="both"/>
        <w:rPr>
          <w:rFonts w:ascii="Palatino Linotype" w:eastAsia="Palatino Linotype" w:hAnsi="Palatino Linotype" w:cs="Palatino Linotype"/>
          <w:b/>
          <w:sz w:val="22"/>
          <w:szCs w:val="22"/>
          <w:u w:val="single"/>
        </w:rPr>
      </w:pPr>
      <w:r w:rsidRPr="00A87AFB">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8BDC946" w14:textId="77777777" w:rsidR="00CB4CE2" w:rsidRPr="00A87AFB" w:rsidRDefault="00CB4CE2" w:rsidP="00457B44">
      <w:pPr>
        <w:pBdr>
          <w:top w:val="nil"/>
          <w:left w:val="nil"/>
          <w:bottom w:val="nil"/>
          <w:right w:val="nil"/>
          <w:between w:val="nil"/>
        </w:pBdr>
        <w:spacing w:line="276" w:lineRule="auto"/>
        <w:ind w:left="720"/>
        <w:rPr>
          <w:rFonts w:ascii="Palatino Linotype" w:eastAsia="Palatino Linotype" w:hAnsi="Palatino Linotype" w:cs="Palatino Linotype"/>
          <w:b/>
          <w:sz w:val="22"/>
          <w:szCs w:val="22"/>
          <w:u w:val="single"/>
        </w:rPr>
      </w:pPr>
    </w:p>
    <w:p w14:paraId="43DF3EF9" w14:textId="77777777" w:rsidR="00CB4CE2" w:rsidRPr="00A87AFB" w:rsidRDefault="00CB4CE2" w:rsidP="00457B44">
      <w:pPr>
        <w:numPr>
          <w:ilvl w:val="0"/>
          <w:numId w:val="23"/>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67FA74D" w14:textId="77777777" w:rsidR="00CB4CE2" w:rsidRPr="00A87AFB" w:rsidRDefault="00CB4CE2" w:rsidP="00457B44">
      <w:pPr>
        <w:pBdr>
          <w:top w:val="nil"/>
          <w:left w:val="nil"/>
          <w:bottom w:val="nil"/>
          <w:right w:val="nil"/>
          <w:between w:val="nil"/>
        </w:pBdr>
        <w:spacing w:line="276" w:lineRule="auto"/>
        <w:ind w:left="360"/>
        <w:jc w:val="both"/>
        <w:rPr>
          <w:rFonts w:ascii="Palatino Linotype" w:eastAsia="Palatino Linotype" w:hAnsi="Palatino Linotype" w:cs="Palatino Linotype"/>
          <w:b/>
          <w:sz w:val="22"/>
          <w:szCs w:val="22"/>
        </w:rPr>
      </w:pPr>
    </w:p>
    <w:p w14:paraId="4A4234CD" w14:textId="77777777" w:rsidR="00CB4CE2" w:rsidRPr="00A87AFB" w:rsidRDefault="00CB4CE2" w:rsidP="00457B44">
      <w:pPr>
        <w:numPr>
          <w:ilvl w:val="0"/>
          <w:numId w:val="23"/>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8F071AA" w14:textId="77777777" w:rsidR="00CB4CE2" w:rsidRPr="00A87AFB" w:rsidRDefault="00CB4CE2" w:rsidP="00457B44">
      <w:pPr>
        <w:spacing w:line="360" w:lineRule="auto"/>
        <w:rPr>
          <w:rFonts w:ascii="Palatino Linotype" w:hAnsi="Palatino Linotype"/>
          <w:sz w:val="22"/>
          <w:szCs w:val="22"/>
        </w:rPr>
      </w:pPr>
    </w:p>
    <w:p w14:paraId="6B4574C0" w14:textId="77777777" w:rsidR="00CB4CE2" w:rsidRPr="00A87AFB" w:rsidRDefault="00CB4CE2" w:rsidP="00457B44">
      <w:pPr>
        <w:pBdr>
          <w:top w:val="nil"/>
          <w:left w:val="nil"/>
          <w:bottom w:val="nil"/>
          <w:right w:val="nil"/>
          <w:between w:val="nil"/>
        </w:pBdr>
        <w:spacing w:line="360" w:lineRule="auto"/>
        <w:ind w:right="49"/>
        <w:jc w:val="both"/>
        <w:rPr>
          <w:rFonts w:ascii="Palatino Linotype" w:hAnsi="Palatino Linotype"/>
          <w:sz w:val="22"/>
          <w:szCs w:val="22"/>
        </w:rPr>
      </w:pPr>
      <w:r w:rsidRPr="00A87AFB">
        <w:rPr>
          <w:rFonts w:ascii="Palatino Linotype" w:eastAsia="Palatino Linotype" w:hAnsi="Palatino Linotype" w:cs="Palatino Linotype"/>
          <w:sz w:val="22"/>
          <w:szCs w:val="22"/>
        </w:rPr>
        <w:t xml:space="preserve">En virtud de lo anterior, se tiene que, </w:t>
      </w:r>
      <w:r w:rsidRPr="00A87AFB">
        <w:rPr>
          <w:rFonts w:ascii="Palatino Linotype" w:eastAsia="Palatino Linotype" w:hAnsi="Palatino Linotype" w:cs="Palatino Linotype"/>
          <w:b/>
          <w:sz w:val="22"/>
          <w:szCs w:val="22"/>
          <w:u w:val="single"/>
        </w:rPr>
        <w:t>el procedimiento de búsqueda de la información se tiene por atendido. </w:t>
      </w:r>
    </w:p>
    <w:p w14:paraId="629CDC77" w14:textId="77777777" w:rsidR="00CB4CE2" w:rsidRPr="00A87AFB" w:rsidRDefault="00CB4CE2" w:rsidP="00457B44">
      <w:pPr>
        <w:spacing w:line="360" w:lineRule="auto"/>
        <w:ind w:right="49"/>
        <w:jc w:val="both"/>
        <w:rPr>
          <w:rFonts w:ascii="Palatino Linotype" w:eastAsia="Palatino Linotype" w:hAnsi="Palatino Linotype" w:cs="Palatino Linotype"/>
          <w:sz w:val="22"/>
          <w:szCs w:val="22"/>
        </w:rPr>
      </w:pPr>
    </w:p>
    <w:p w14:paraId="5F1D7E8F" w14:textId="1C70453D" w:rsidR="006226E6" w:rsidRPr="00A87AFB" w:rsidRDefault="0057481B"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Ahora bien, respecto a la naturaleza de la información, </w:t>
      </w:r>
      <w:r w:rsidR="006226E6" w:rsidRPr="00A87AFB">
        <w:rPr>
          <w:rFonts w:ascii="Palatino Linotype" w:eastAsia="Palatino Linotype" w:hAnsi="Palatino Linotype" w:cs="Palatino Linotype"/>
          <w:sz w:val="22"/>
          <w:szCs w:val="22"/>
        </w:rPr>
        <w:t>conviene señalar de manera general el procedimiento de investigación y de responsabilidades administrativas, en términos de los artículos 94, 95, 98, 99, 104, 105, 106, 116, 119, 129, 180, 184, 188 de la Ley de Responsabilidades Administrativas del Estado de México y Municipios, los cuales se tienen por reproducidos como si a la letra se insertaran.</w:t>
      </w:r>
    </w:p>
    <w:p w14:paraId="098D1FC6" w14:textId="77777777" w:rsidR="006226E6" w:rsidRPr="00A87AFB" w:rsidRDefault="006226E6" w:rsidP="00457B44">
      <w:pPr>
        <w:spacing w:line="360" w:lineRule="auto"/>
        <w:jc w:val="both"/>
        <w:rPr>
          <w:rFonts w:ascii="Palatino Linotype" w:eastAsia="Palatino Linotype" w:hAnsi="Palatino Linotype" w:cs="Palatino Linotype"/>
          <w:sz w:val="22"/>
          <w:szCs w:val="22"/>
        </w:rPr>
      </w:pPr>
    </w:p>
    <w:p w14:paraId="0608B105" w14:textId="77777777" w:rsidR="006226E6" w:rsidRPr="00A87AFB" w:rsidRDefault="006226E6"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 esta manera, se indica que previo al inicio de un procedimiento de responsabilidad se desarrolla el procedimiento de investigación, el cual consiste en lo siguiente:</w:t>
      </w:r>
    </w:p>
    <w:p w14:paraId="167BC83D" w14:textId="77777777" w:rsidR="006226E6" w:rsidRPr="00A87AFB" w:rsidRDefault="006226E6" w:rsidP="00457B44">
      <w:pPr>
        <w:spacing w:line="360" w:lineRule="auto"/>
        <w:jc w:val="both"/>
        <w:rPr>
          <w:rFonts w:ascii="Palatino Linotype" w:eastAsia="Palatino Linotype" w:hAnsi="Palatino Linotype" w:cs="Palatino Linotype"/>
          <w:sz w:val="22"/>
          <w:szCs w:val="22"/>
        </w:rPr>
      </w:pPr>
    </w:p>
    <w:p w14:paraId="25BD8136" w14:textId="77777777" w:rsidR="006226E6" w:rsidRPr="00A87AFB" w:rsidRDefault="006226E6" w:rsidP="00457B44">
      <w:pPr>
        <w:numPr>
          <w:ilvl w:val="0"/>
          <w:numId w:val="35"/>
        </w:numPr>
        <w:pBdr>
          <w:top w:val="nil"/>
          <w:left w:val="nil"/>
          <w:bottom w:val="nil"/>
          <w:right w:val="nil"/>
          <w:between w:val="nil"/>
        </w:pBdr>
        <w:spacing w:line="276" w:lineRule="auto"/>
        <w:ind w:left="70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Inicia: </w:t>
      </w:r>
    </w:p>
    <w:p w14:paraId="7212BF2B" w14:textId="77777777" w:rsidR="006226E6" w:rsidRPr="00A87AFB" w:rsidRDefault="006226E6" w:rsidP="00457B44">
      <w:pPr>
        <w:numPr>
          <w:ilvl w:val="0"/>
          <w:numId w:val="30"/>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De oficio </w:t>
      </w:r>
    </w:p>
    <w:p w14:paraId="543CCA8F" w14:textId="77777777" w:rsidR="006226E6" w:rsidRPr="00A87AFB" w:rsidRDefault="006226E6" w:rsidP="00457B44">
      <w:pPr>
        <w:numPr>
          <w:ilvl w:val="0"/>
          <w:numId w:val="30"/>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Por denuncia </w:t>
      </w:r>
    </w:p>
    <w:p w14:paraId="3B33A631" w14:textId="77777777" w:rsidR="006226E6" w:rsidRPr="00A87AFB" w:rsidRDefault="006226E6" w:rsidP="00457B44">
      <w:pPr>
        <w:numPr>
          <w:ilvl w:val="0"/>
          <w:numId w:val="30"/>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Derivado de auditorías </w:t>
      </w:r>
    </w:p>
    <w:p w14:paraId="477B8243" w14:textId="77777777" w:rsidR="006226E6" w:rsidRPr="00A87AFB" w:rsidRDefault="006226E6" w:rsidP="00457B4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14:paraId="684123B9" w14:textId="77777777" w:rsidR="006226E6" w:rsidRPr="00A87AFB" w:rsidRDefault="006226E6" w:rsidP="00457B44">
      <w:pPr>
        <w:numPr>
          <w:ilvl w:val="0"/>
          <w:numId w:val="35"/>
        </w:numPr>
        <w:pBdr>
          <w:top w:val="nil"/>
          <w:left w:val="nil"/>
          <w:bottom w:val="nil"/>
          <w:right w:val="nil"/>
          <w:between w:val="nil"/>
        </w:pBdr>
        <w:spacing w:line="276" w:lineRule="auto"/>
        <w:ind w:left="70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Las autoridades investigadoras una vez concluidas las diligencias de investigación, pueden proceder de la siguiente manera:</w:t>
      </w:r>
    </w:p>
    <w:p w14:paraId="260452D1" w14:textId="77777777" w:rsidR="006226E6" w:rsidRPr="00A87AFB" w:rsidRDefault="006226E6" w:rsidP="00457B44">
      <w:pPr>
        <w:pBdr>
          <w:top w:val="nil"/>
          <w:left w:val="nil"/>
          <w:bottom w:val="nil"/>
          <w:right w:val="nil"/>
          <w:between w:val="nil"/>
        </w:pBdr>
        <w:spacing w:line="276" w:lineRule="auto"/>
        <w:ind w:left="709"/>
        <w:jc w:val="both"/>
        <w:rPr>
          <w:rFonts w:ascii="Palatino Linotype" w:eastAsia="Palatino Linotype" w:hAnsi="Palatino Linotype" w:cs="Palatino Linotype"/>
          <w:b/>
          <w:sz w:val="22"/>
          <w:szCs w:val="22"/>
        </w:rPr>
      </w:pPr>
    </w:p>
    <w:p w14:paraId="0EE9D0E7" w14:textId="77777777" w:rsidR="006226E6" w:rsidRPr="00A87AFB" w:rsidRDefault="006226E6" w:rsidP="00457B44">
      <w:pPr>
        <w:numPr>
          <w:ilvl w:val="0"/>
          <w:numId w:val="3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3AFFF181" w14:textId="77777777" w:rsidR="006226E6" w:rsidRPr="00A87AFB" w:rsidRDefault="006226E6" w:rsidP="00457B44">
      <w:pPr>
        <w:numPr>
          <w:ilvl w:val="0"/>
          <w:numId w:val="3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 xml:space="preserve">En caso de no encontrarse elementos suficientes para demostrar la existencia de la infracción y acreditar la presunta responsabilidad del infractor, </w:t>
      </w:r>
      <w:r w:rsidRPr="00A87AFB">
        <w:rPr>
          <w:rFonts w:ascii="Palatino Linotype" w:eastAsia="Palatino Linotype" w:hAnsi="Palatino Linotype" w:cs="Palatino Linotype"/>
          <w:b/>
          <w:sz w:val="22"/>
          <w:szCs w:val="22"/>
        </w:rPr>
        <w:t>se procederá a emitir un acuerdo de conclusión y archivo del expediente debidamente fundado y motivado.</w:t>
      </w:r>
    </w:p>
    <w:p w14:paraId="07E0B590" w14:textId="77777777" w:rsidR="006226E6" w:rsidRPr="00A87AFB" w:rsidRDefault="006226E6" w:rsidP="00457B4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rPr>
      </w:pPr>
    </w:p>
    <w:p w14:paraId="52A204AB" w14:textId="77777777" w:rsidR="006226E6" w:rsidRPr="00A87AFB" w:rsidRDefault="006226E6" w:rsidP="00457B44">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A87AFB">
        <w:rPr>
          <w:rFonts w:ascii="Palatino Linotype" w:eastAsia="Palatino Linotype" w:hAnsi="Palatino Linotype" w:cs="Palatino Linotype"/>
          <w:sz w:val="22"/>
          <w:szCs w:val="22"/>
        </w:rPr>
        <w:t xml:space="preserve">De lo anterior se advierte que, si durante el procedimiento de investigación, no se encuentran elementos suficientes para demostrar la existencia de la infracción y acreditar la presunta responsabilidad del infractor, la autoridad investigadora procede a emitir </w:t>
      </w:r>
      <w:r w:rsidRPr="00A87AFB">
        <w:rPr>
          <w:rFonts w:ascii="Palatino Linotype" w:eastAsia="Palatino Linotype" w:hAnsi="Palatino Linotype" w:cs="Palatino Linotype"/>
          <w:b/>
          <w:sz w:val="22"/>
          <w:szCs w:val="22"/>
          <w:u w:val="single"/>
        </w:rPr>
        <w:t xml:space="preserve">un acuerdo de conclusión y archivo del expediente debidamente fundado y motivado; </w:t>
      </w:r>
      <w:r w:rsidRPr="00A87AFB">
        <w:rPr>
          <w:rFonts w:ascii="Palatino Linotype" w:eastAsia="Palatino Linotype" w:hAnsi="Palatino Linotype" w:cs="Palatino Linotype"/>
          <w:b/>
          <w:sz w:val="22"/>
          <w:szCs w:val="22"/>
          <w:u w:val="single"/>
        </w:rPr>
        <w:lastRenderedPageBreak/>
        <w:t>acuerdo que da por concluida la etapa de investigación y por lo tanto no se da inicio al procedimiento de responsabilidades administrativas.</w:t>
      </w:r>
    </w:p>
    <w:p w14:paraId="2C99E62B" w14:textId="77777777" w:rsidR="006226E6" w:rsidRPr="00A87AFB" w:rsidRDefault="006226E6"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1FD57E" w14:textId="77777777" w:rsidR="006226E6" w:rsidRPr="00A87AFB" w:rsidRDefault="006226E6"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O bien, de encontrar elementos suficientes la autoridad investigadora procede a la emisión del Informe de Presunta Responsabilidad Administrativa y este se presentará ante la autoridad substanciadora a efecto de iniciar el procedimiento de responsabilidad administrativa, que inicia y concluye de la siguiente manera:</w:t>
      </w:r>
    </w:p>
    <w:p w14:paraId="0B4DFC66" w14:textId="77777777" w:rsidR="006226E6" w:rsidRPr="00A87AFB" w:rsidRDefault="006226E6"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D87C51" w14:textId="77777777" w:rsidR="006226E6" w:rsidRPr="00A87AFB" w:rsidRDefault="006226E6" w:rsidP="00457B44">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Sustanciación: </w:t>
      </w:r>
      <w:r w:rsidRPr="00A87AFB">
        <w:rPr>
          <w:rFonts w:ascii="Palatino Linotype" w:eastAsia="Palatino Linotype" w:hAnsi="Palatino Linotype" w:cs="Palatino Linotype"/>
          <w:sz w:val="22"/>
          <w:szCs w:val="22"/>
        </w:rPr>
        <w:t>En este periodo se puede realizar lo siguiente:</w:t>
      </w:r>
    </w:p>
    <w:p w14:paraId="11261029" w14:textId="77777777" w:rsidR="006226E6" w:rsidRPr="00A87AFB" w:rsidRDefault="006226E6" w:rsidP="00457B44">
      <w:pPr>
        <w:numPr>
          <w:ilvl w:val="0"/>
          <w:numId w:val="33"/>
        </w:num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Se califican los hechos como faltas administrativas graves o no graves</w:t>
      </w:r>
    </w:p>
    <w:p w14:paraId="7C46BB79" w14:textId="77777777" w:rsidR="006226E6" w:rsidRPr="00A87AFB" w:rsidRDefault="006226E6" w:rsidP="00457B44">
      <w:pPr>
        <w:numPr>
          <w:ilvl w:val="0"/>
          <w:numId w:val="33"/>
        </w:num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La autoridad substanciadora podrá admitir el informe de presunta responsabilidad administrativa.</w:t>
      </w:r>
    </w:p>
    <w:p w14:paraId="40931535" w14:textId="77777777" w:rsidR="006226E6" w:rsidRPr="00A87AFB" w:rsidRDefault="006226E6" w:rsidP="00457B44">
      <w:pPr>
        <w:numPr>
          <w:ilvl w:val="0"/>
          <w:numId w:val="33"/>
        </w:num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Las partes, pueden presentar las pruebas o alegatos que consideren pertinentes,</w:t>
      </w:r>
    </w:p>
    <w:p w14:paraId="65A15CA8" w14:textId="77777777" w:rsidR="006226E6" w:rsidRPr="00A87AFB" w:rsidRDefault="006226E6" w:rsidP="00457B44">
      <w:pPr>
        <w:spacing w:line="360" w:lineRule="auto"/>
        <w:jc w:val="both"/>
        <w:rPr>
          <w:rFonts w:ascii="Palatino Linotype" w:eastAsia="Palatino Linotype" w:hAnsi="Palatino Linotype" w:cs="Palatino Linotype"/>
          <w:b/>
          <w:sz w:val="22"/>
          <w:szCs w:val="22"/>
        </w:rPr>
      </w:pPr>
    </w:p>
    <w:p w14:paraId="7A6C8107" w14:textId="77777777" w:rsidR="006226E6" w:rsidRPr="00A87AFB" w:rsidRDefault="006226E6" w:rsidP="00457B44">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Resolución:</w:t>
      </w:r>
    </w:p>
    <w:p w14:paraId="2F9EEE3E" w14:textId="77777777" w:rsidR="006226E6" w:rsidRPr="00A87AFB" w:rsidRDefault="006226E6" w:rsidP="00457B44">
      <w:pPr>
        <w:numPr>
          <w:ilvl w:val="0"/>
          <w:numId w:val="32"/>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La autoridad resolutora adscrita a la Contraloría Municipal (en caso de faltas administrativas no graves), o bien, el Tribunal de Justicia Administrativa del Estado de México (en caso de faltas administrativas graves), proceden a la emisión de la resolución; esta última que es susceptible de impugnación como se abordará más adelante.</w:t>
      </w:r>
    </w:p>
    <w:p w14:paraId="02D0A599" w14:textId="77777777" w:rsidR="001A0846" w:rsidRPr="00A87AFB" w:rsidRDefault="001A0846" w:rsidP="00457B44">
      <w:pPr>
        <w:spacing w:line="360" w:lineRule="auto"/>
        <w:jc w:val="both"/>
        <w:rPr>
          <w:rFonts w:ascii="Palatino Linotype" w:eastAsia="Palatino Linotype" w:hAnsi="Palatino Linotype" w:cs="Palatino Linotype"/>
          <w:sz w:val="22"/>
          <w:szCs w:val="22"/>
        </w:rPr>
      </w:pPr>
    </w:p>
    <w:p w14:paraId="7F268E5F" w14:textId="77777777" w:rsidR="006226E6" w:rsidRPr="00A87AFB" w:rsidRDefault="006226E6"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De lo anterior, se desprende que existen dos momentos en los que se puede considerar que un expediente </w:t>
      </w:r>
      <w:proofErr w:type="spellStart"/>
      <w:r w:rsidRPr="00A87AFB">
        <w:rPr>
          <w:rFonts w:ascii="Palatino Linotype" w:eastAsia="Palatino Linotype" w:hAnsi="Palatino Linotype" w:cs="Palatino Linotype"/>
          <w:sz w:val="22"/>
          <w:szCs w:val="22"/>
        </w:rPr>
        <w:t>aperturado</w:t>
      </w:r>
      <w:proofErr w:type="spellEnd"/>
      <w:r w:rsidRPr="00A87AFB">
        <w:rPr>
          <w:rFonts w:ascii="Palatino Linotype" w:eastAsia="Palatino Linotype" w:hAnsi="Palatino Linotype" w:cs="Palatino Linotype"/>
          <w:sz w:val="22"/>
          <w:szCs w:val="22"/>
        </w:rPr>
        <w:t xml:space="preserve"> con motivo de una denuncia presentada en contra de servidores públicos por probables responsabilidades administrativas causan firmeza y se puede considerar totalmente concluido para proceder a su entrega, a saber:</w:t>
      </w:r>
    </w:p>
    <w:p w14:paraId="0530C827" w14:textId="77777777" w:rsidR="006226E6" w:rsidRPr="00A87AFB" w:rsidRDefault="006226E6" w:rsidP="00457B44">
      <w:pPr>
        <w:spacing w:line="360" w:lineRule="auto"/>
        <w:jc w:val="both"/>
        <w:rPr>
          <w:rFonts w:ascii="Palatino Linotype" w:eastAsia="Palatino Linotype" w:hAnsi="Palatino Linotype" w:cs="Palatino Linotype"/>
          <w:sz w:val="22"/>
          <w:szCs w:val="22"/>
        </w:rPr>
      </w:pPr>
    </w:p>
    <w:p w14:paraId="3B7B3A8A" w14:textId="77777777" w:rsidR="006226E6" w:rsidRPr="00A87AFB" w:rsidRDefault="006226E6" w:rsidP="00457B44">
      <w:pPr>
        <w:pStyle w:val="Prrafodelista"/>
        <w:numPr>
          <w:ilvl w:val="0"/>
          <w:numId w:val="36"/>
        </w:numPr>
        <w:spacing w:line="360" w:lineRule="auto"/>
        <w:jc w:val="both"/>
        <w:rPr>
          <w:rFonts w:ascii="Palatino Linotype" w:eastAsia="Palatino Linotype" w:hAnsi="Palatino Linotype" w:cs="Palatino Linotype"/>
          <w:b/>
          <w:sz w:val="22"/>
          <w:szCs w:val="22"/>
          <w:u w:val="single"/>
        </w:rPr>
      </w:pPr>
      <w:r w:rsidRPr="00A87AFB">
        <w:rPr>
          <w:rFonts w:ascii="Palatino Linotype" w:eastAsia="Palatino Linotype" w:hAnsi="Palatino Linotype" w:cs="Palatino Linotype"/>
          <w:b/>
          <w:sz w:val="22"/>
          <w:szCs w:val="22"/>
          <w:u w:val="single"/>
        </w:rPr>
        <w:t>En la etapa de investigación:</w:t>
      </w:r>
    </w:p>
    <w:p w14:paraId="5842EFC9" w14:textId="77777777" w:rsidR="001A0846" w:rsidRPr="00A87AFB" w:rsidRDefault="001A0846" w:rsidP="001A0846">
      <w:pPr>
        <w:pStyle w:val="Prrafodelista"/>
        <w:spacing w:line="360" w:lineRule="auto"/>
        <w:jc w:val="both"/>
        <w:rPr>
          <w:rFonts w:ascii="Palatino Linotype" w:eastAsia="Palatino Linotype" w:hAnsi="Palatino Linotype" w:cs="Palatino Linotype"/>
          <w:b/>
          <w:sz w:val="22"/>
          <w:szCs w:val="22"/>
          <w:u w:val="single"/>
        </w:rPr>
      </w:pPr>
    </w:p>
    <w:p w14:paraId="018186B8" w14:textId="5A4064D0" w:rsidR="006226E6" w:rsidRPr="00A87AFB" w:rsidRDefault="006226E6"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Aquí, es de recordar </w:t>
      </w:r>
      <w:proofErr w:type="gramStart"/>
      <w:r w:rsidRPr="00A87AFB">
        <w:rPr>
          <w:rFonts w:ascii="Palatino Linotype" w:eastAsia="Palatino Linotype" w:hAnsi="Palatino Linotype" w:cs="Palatino Linotype"/>
          <w:sz w:val="22"/>
          <w:szCs w:val="22"/>
        </w:rPr>
        <w:t>que</w:t>
      </w:r>
      <w:proofErr w:type="gramEnd"/>
      <w:r w:rsidRPr="00A87AFB">
        <w:rPr>
          <w:rFonts w:ascii="Palatino Linotype" w:eastAsia="Palatino Linotype" w:hAnsi="Palatino Linotype" w:cs="Palatino Linotype"/>
          <w:sz w:val="22"/>
          <w:szCs w:val="22"/>
        </w:rPr>
        <w:t xml:space="preserve"> </w:t>
      </w:r>
      <w:r w:rsidR="00061648" w:rsidRPr="00A87AFB">
        <w:rPr>
          <w:rFonts w:ascii="Palatino Linotype" w:eastAsia="Palatino Linotype" w:hAnsi="Palatino Linotype" w:cs="Palatino Linotype"/>
          <w:sz w:val="22"/>
          <w:szCs w:val="22"/>
        </w:rPr>
        <w:t xml:space="preserve">en </w:t>
      </w:r>
      <w:r w:rsidRPr="00A87AFB">
        <w:rPr>
          <w:rFonts w:ascii="Palatino Linotype" w:eastAsia="Palatino Linotype" w:hAnsi="Palatino Linotype" w:cs="Palatino Linotype"/>
          <w:sz w:val="22"/>
          <w:szCs w:val="22"/>
        </w:rPr>
        <w:t>la etapa de investigación,</w:t>
      </w:r>
      <w:r w:rsidR="00061648"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el proceder de la autoridad investigadora se rige atendiendo los siguientes supuestos:</w:t>
      </w:r>
    </w:p>
    <w:p w14:paraId="6119F85D" w14:textId="77777777" w:rsidR="006226E6" w:rsidRPr="00A87AFB" w:rsidRDefault="006226E6" w:rsidP="00457B44">
      <w:pPr>
        <w:spacing w:line="360" w:lineRule="auto"/>
        <w:jc w:val="both"/>
        <w:rPr>
          <w:rFonts w:ascii="Palatino Linotype" w:eastAsia="Palatino Linotype" w:hAnsi="Palatino Linotype" w:cs="Palatino Linotype"/>
          <w:sz w:val="22"/>
          <w:szCs w:val="22"/>
        </w:rPr>
      </w:pPr>
    </w:p>
    <w:p w14:paraId="3C59F87B" w14:textId="77777777" w:rsidR="006226E6" w:rsidRPr="00A87AFB" w:rsidRDefault="006226E6" w:rsidP="00457B44">
      <w:pPr>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u w:val="single"/>
        </w:rPr>
        <w:t>Primer supuesto:</w:t>
      </w:r>
      <w:r w:rsidRPr="00A87AFB">
        <w:rPr>
          <w:rFonts w:ascii="Palatino Linotype" w:eastAsia="Palatino Linotype" w:hAnsi="Palatino Linotype" w:cs="Palatino Linotype"/>
          <w:sz w:val="22"/>
          <w:szCs w:val="22"/>
        </w:rPr>
        <w:t xml:space="preserve"> si durante el procedimiento de investigación, no se encuentran elementos suficientes para demostrar la existencia de la infracción y acreditar la presunta responsabilidad del infractor, la autoridad investigadora procede a emitir un acuerdo de conclusión y archivo del expediente debidamente fundado y motivado; acuerdo que da por concluida la etapa de investigación y por lo tanto no se da inicio al procedimiento de responsabilidades administrativas.</w:t>
      </w:r>
    </w:p>
    <w:p w14:paraId="629E4CD1" w14:textId="77777777" w:rsidR="006226E6" w:rsidRPr="00A87AFB" w:rsidRDefault="006226E6" w:rsidP="00457B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DF5C85D" w14:textId="77777777" w:rsidR="006226E6" w:rsidRPr="00A87AFB" w:rsidRDefault="006226E6" w:rsidP="00457B44">
      <w:pPr>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u w:val="single"/>
        </w:rPr>
        <w:t>Segundo supuesto:</w:t>
      </w:r>
      <w:r w:rsidRPr="00A87AFB">
        <w:rPr>
          <w:rFonts w:ascii="Palatino Linotype" w:eastAsia="Palatino Linotype" w:hAnsi="Palatino Linotype" w:cs="Palatino Linotype"/>
          <w:sz w:val="22"/>
          <w:szCs w:val="22"/>
        </w:rPr>
        <w:t xml:space="preserve"> de encontrar elementos suficientes la autoridad investigadora, esta procede a la emisión del Informe de Presunta Responsabilidad Administrativa el cual lo presenta ante la autoridad substanciadora a efecto de iniciar el procedimiento de responsabilidad administrativa correspondiente.</w:t>
      </w:r>
    </w:p>
    <w:p w14:paraId="09147AD8" w14:textId="77777777" w:rsidR="006226E6" w:rsidRPr="00A87AFB" w:rsidRDefault="006226E6" w:rsidP="00457B44">
      <w:pPr>
        <w:pBdr>
          <w:top w:val="nil"/>
          <w:left w:val="nil"/>
          <w:bottom w:val="nil"/>
          <w:right w:val="nil"/>
          <w:between w:val="nil"/>
        </w:pBdr>
        <w:spacing w:line="259" w:lineRule="auto"/>
        <w:ind w:left="720"/>
        <w:rPr>
          <w:rFonts w:ascii="Palatino Linotype" w:eastAsia="Palatino Linotype" w:hAnsi="Palatino Linotype" w:cs="Palatino Linotype"/>
          <w:sz w:val="22"/>
          <w:szCs w:val="22"/>
        </w:rPr>
      </w:pPr>
    </w:p>
    <w:p w14:paraId="67E7C638" w14:textId="7368622A"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atención a lo anterior, este Organismo Garante advierte que la información requerida por la parte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xml:space="preserve"> se encuentra en la etapa de investigación, a efecto de determinar la existencia y/o inexistencia de presuntas faltas administrativas.</w:t>
      </w:r>
    </w:p>
    <w:p w14:paraId="19CB2F08" w14:textId="77777777" w:rsidR="00061648" w:rsidRPr="00A87AFB" w:rsidRDefault="00061648" w:rsidP="00457B44">
      <w:pPr>
        <w:spacing w:line="360" w:lineRule="auto"/>
        <w:ind w:right="49"/>
        <w:jc w:val="both"/>
        <w:rPr>
          <w:rFonts w:ascii="Palatino Linotype" w:eastAsia="Palatino Linotype" w:hAnsi="Palatino Linotype" w:cs="Palatino Linotype"/>
          <w:bCs/>
          <w:sz w:val="22"/>
          <w:szCs w:val="22"/>
        </w:rPr>
      </w:pPr>
    </w:p>
    <w:p w14:paraId="03E5A5D5" w14:textId="53FF27B4" w:rsidR="00BC25F0" w:rsidRPr="00A87AFB" w:rsidRDefault="0006164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Al encontrarse en</w:t>
      </w:r>
      <w:r w:rsidR="00BC25F0" w:rsidRPr="00A87AFB">
        <w:rPr>
          <w:rFonts w:ascii="Palatino Linotype" w:eastAsia="Palatino Linotype" w:hAnsi="Palatino Linotype" w:cs="Palatino Linotype"/>
          <w:sz w:val="22"/>
          <w:szCs w:val="22"/>
        </w:rPr>
        <w:t xml:space="preserve"> trámite, </w:t>
      </w:r>
      <w:r w:rsidRPr="00A87AFB">
        <w:rPr>
          <w:rFonts w:ascii="Palatino Linotype" w:eastAsia="Palatino Linotype" w:hAnsi="Palatino Linotype" w:cs="Palatino Linotype"/>
          <w:sz w:val="22"/>
          <w:szCs w:val="22"/>
        </w:rPr>
        <w:t xml:space="preserve">se coincide con el planteamiento del Sujeto Obligado de que la información materia de la solicitud de información </w:t>
      </w:r>
      <w:r w:rsidR="00BC25F0" w:rsidRPr="00A87AFB">
        <w:rPr>
          <w:rFonts w:ascii="Palatino Linotype" w:eastAsia="Palatino Linotype" w:hAnsi="Palatino Linotype" w:cs="Palatino Linotype"/>
          <w:sz w:val="22"/>
          <w:szCs w:val="22"/>
        </w:rPr>
        <w:t>debe ser clasificada como reservada, porque de revelarse la información se atenta contra el principio de presunción de inocencia que debe seguirse en la administración de la justicia, conforme a lo que enseguida se razona.</w:t>
      </w:r>
    </w:p>
    <w:p w14:paraId="1C177D80"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4C3655EA"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La Suprema Corte de Justicia de la Nación resolvió en la contradicción de tesis 200/2013 que en los procedimientos de responsabilidad administrativa es aplicable el principio de </w:t>
      </w:r>
      <w:r w:rsidRPr="00A87AFB">
        <w:rPr>
          <w:rFonts w:ascii="Palatino Linotype" w:eastAsia="Palatino Linotype" w:hAnsi="Palatino Linotype" w:cs="Palatino Linotype"/>
          <w:sz w:val="22"/>
          <w:szCs w:val="22"/>
        </w:rPr>
        <w:lastRenderedPageBreak/>
        <w:t>presunción de inocencia con sus respectivos matices. En la resolución son de interés los siguientes argumentos</w:t>
      </w:r>
      <w:r w:rsidRPr="00A87AFB">
        <w:rPr>
          <w:rFonts w:ascii="Palatino Linotype" w:eastAsia="Palatino Linotype" w:hAnsi="Palatino Linotype" w:cs="Palatino Linotype"/>
          <w:sz w:val="22"/>
          <w:szCs w:val="22"/>
          <w:vertAlign w:val="superscript"/>
        </w:rPr>
        <w:footnoteReference w:id="2"/>
      </w:r>
      <w:r w:rsidRPr="00A87AFB">
        <w:rPr>
          <w:rFonts w:ascii="Palatino Linotype" w:eastAsia="Palatino Linotype" w:hAnsi="Palatino Linotype" w:cs="Palatino Linotype"/>
          <w:sz w:val="22"/>
          <w:szCs w:val="22"/>
        </w:rPr>
        <w:t>.</w:t>
      </w:r>
    </w:p>
    <w:p w14:paraId="5B8AD79C"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787E6132"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2363C017"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44CCEED3"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roofErr w:type="spellStart"/>
      <w:r w:rsidRPr="00A87AFB">
        <w:rPr>
          <w:rFonts w:ascii="Palatino Linotype" w:eastAsia="Palatino Linotype" w:hAnsi="Palatino Linotype" w:cs="Palatino Linotype"/>
          <w:i/>
          <w:sz w:val="22"/>
          <w:szCs w:val="22"/>
        </w:rPr>
        <w:t>ii</w:t>
      </w:r>
      <w:proofErr w:type="spellEnd"/>
      <w:r w:rsidRPr="00A87AFB">
        <w:rPr>
          <w:rFonts w:ascii="Palatino Linotype" w:eastAsia="Palatino Linotype" w:hAnsi="Palatino Linotype" w:cs="Palatino Linotype"/>
          <w:i/>
          <w:sz w:val="22"/>
          <w:szCs w:val="22"/>
        </w:rPr>
        <w:t>.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04F2DE89"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744FE4F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roofErr w:type="spellStart"/>
      <w:r w:rsidRPr="00A87AFB">
        <w:rPr>
          <w:rFonts w:ascii="Palatino Linotype" w:eastAsia="Palatino Linotype" w:hAnsi="Palatino Linotype" w:cs="Palatino Linotype"/>
          <w:i/>
          <w:sz w:val="22"/>
          <w:szCs w:val="22"/>
        </w:rPr>
        <w:t>iii</w:t>
      </w:r>
      <w:proofErr w:type="spellEnd"/>
      <w:r w:rsidRPr="00A87AFB">
        <w:rPr>
          <w:rFonts w:ascii="Palatino Linotype" w:eastAsia="Palatino Linotype" w:hAnsi="Palatino Linotype" w:cs="Palatino Linotype"/>
          <w:i/>
          <w:sz w:val="22"/>
          <w:szCs w:val="22"/>
        </w:rPr>
        <w:t>.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3810B918"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749998DE"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Se sigue que, el principio de presunción de inocencia tiene tres significados garantistas que en forma breve pueden enunciarse de la siguiente forma:</w:t>
      </w:r>
    </w:p>
    <w:p w14:paraId="438A83F8"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33F59CBB" w14:textId="77777777" w:rsidR="00BC25F0" w:rsidRPr="00A87AFB" w:rsidRDefault="00BC25F0" w:rsidP="006D7E5E">
      <w:pPr>
        <w:spacing w:line="360" w:lineRule="auto"/>
        <w:ind w:left="851"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Primero. Como una regla probatoria, que impone la carga de la prueba para quien acusa y, por ende, la absolución en caso de duda.</w:t>
      </w:r>
    </w:p>
    <w:p w14:paraId="708A9164" w14:textId="77777777" w:rsidR="00BC25F0" w:rsidRPr="00A87AFB" w:rsidRDefault="00BC25F0" w:rsidP="006D7E5E">
      <w:pPr>
        <w:spacing w:line="360" w:lineRule="auto"/>
        <w:ind w:left="851"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Segundo. Como una regla de tratamiento del acusado, que excluye o restringe al máximo la limitación de sus derechos fundamentales, sobre todo los que inciden en su libertad personal, con motivo del proceso que se instaura en su contra.</w:t>
      </w:r>
    </w:p>
    <w:p w14:paraId="0EF892E8" w14:textId="77777777" w:rsidR="00BC25F0" w:rsidRPr="00A87AFB" w:rsidRDefault="00BC25F0" w:rsidP="006D7E5E">
      <w:pPr>
        <w:spacing w:line="360" w:lineRule="auto"/>
        <w:ind w:left="851"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Tercero. Como una regla de juicio, que ordena a los jueces la absolución de los inculpados cuando durante el proceso no se aportaron pruebas de cargo suficientes.</w:t>
      </w:r>
    </w:p>
    <w:p w14:paraId="71287F35" w14:textId="77777777" w:rsidR="00BC25F0" w:rsidRPr="00A87AFB" w:rsidRDefault="00BC25F0" w:rsidP="006D7E5E">
      <w:pPr>
        <w:spacing w:line="360" w:lineRule="auto"/>
        <w:ind w:left="851"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En vista de lo anterior, este Instituto estima que en el derecho disciplinario que se sigue ante el órgano contralor del Municipio a los servidores públicos en los casos que se presenta una denuncia, es aplicable la regla garantista de presunción de inocencia.</w:t>
      </w:r>
    </w:p>
    <w:p w14:paraId="39A5058C" w14:textId="77777777" w:rsidR="00BC25F0" w:rsidRPr="00A87AFB" w:rsidRDefault="00BC25F0" w:rsidP="00457B44">
      <w:pPr>
        <w:spacing w:line="360" w:lineRule="auto"/>
        <w:ind w:left="567"/>
        <w:jc w:val="both"/>
        <w:rPr>
          <w:rFonts w:ascii="Palatino Linotype" w:eastAsia="Palatino Linotype" w:hAnsi="Palatino Linotype" w:cs="Palatino Linotype"/>
          <w:sz w:val="22"/>
          <w:szCs w:val="22"/>
        </w:rPr>
      </w:pPr>
    </w:p>
    <w:p w14:paraId="0AD297EA"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Así, todo servidor público en su carácter de -presunto infractor- tiene el derecho, como regla de tratamiento en el proceso, a que se le trate en carácter de inocente hasta que no se emita una resolución firme.</w:t>
      </w:r>
    </w:p>
    <w:p w14:paraId="4C1AAD7F"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367EB189"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La relación que guarda el principio de presunción de inocencia con el derecho de acceso a la información se da en dos variantes: (i) la conservación de información que no vicie las reglas y principios de administración de justicia y (</w:t>
      </w:r>
      <w:proofErr w:type="spellStart"/>
      <w:r w:rsidRPr="00A87AFB">
        <w:rPr>
          <w:rFonts w:ascii="Palatino Linotype" w:eastAsia="Palatino Linotype" w:hAnsi="Palatino Linotype" w:cs="Palatino Linotype"/>
          <w:sz w:val="22"/>
          <w:szCs w:val="22"/>
        </w:rPr>
        <w:t>ii</w:t>
      </w:r>
      <w:proofErr w:type="spellEnd"/>
      <w:r w:rsidRPr="00A87AFB">
        <w:rPr>
          <w:rFonts w:ascii="Palatino Linotype" w:eastAsia="Palatino Linotype" w:hAnsi="Palatino Linotype" w:cs="Palatino Linotype"/>
          <w:sz w:val="22"/>
          <w:szCs w:val="22"/>
        </w:rPr>
        <w:t>) conservar la reputación de las personas que aún no se les ha comprobado con plenitud haber realizado alguna infracción.</w:t>
      </w:r>
    </w:p>
    <w:p w14:paraId="356DAACA"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4B3DCEF0"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A87AFB">
        <w:rPr>
          <w:rFonts w:ascii="Palatino Linotype" w:eastAsia="Palatino Linotype" w:hAnsi="Palatino Linotype" w:cs="Palatino Linotype"/>
          <w:i/>
          <w:sz w:val="22"/>
          <w:szCs w:val="22"/>
          <w:vertAlign w:val="superscript"/>
        </w:rPr>
        <w:footnoteReference w:id="3"/>
      </w:r>
      <w:r w:rsidRPr="00A87AFB">
        <w:rPr>
          <w:rFonts w:ascii="Palatino Linotype" w:eastAsia="Palatino Linotype" w:hAnsi="Palatino Linotype" w:cs="Palatino Linotype"/>
          <w:sz w:val="22"/>
          <w:szCs w:val="22"/>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en la materia, debiendo llevar a cabo el procedimiento establecido en el Considerando siguiente, </w:t>
      </w:r>
      <w:r w:rsidRPr="00A87AFB">
        <w:rPr>
          <w:rFonts w:ascii="Palatino Linotype" w:eastAsia="Palatino Linotype" w:hAnsi="Palatino Linotype" w:cs="Palatino Linotype"/>
          <w:sz w:val="22"/>
          <w:szCs w:val="22"/>
        </w:rPr>
        <w:lastRenderedPageBreak/>
        <w:t xml:space="preserve">a fin poner a disposición de la parte recurrente el Acta del Comité de Transparencia que se elabore para tal efecto, debiendo elaborar la prueba de daño correspondiente. </w:t>
      </w:r>
    </w:p>
    <w:p w14:paraId="1D38B8F0"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241B8A4F"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“Artículo 140. El acceso a la información pública será restringido excepcionalmente, cuando por razones de interés público, ésta sea clasificada como reservada, conforme a los criterios siguientes:</w:t>
      </w:r>
    </w:p>
    <w:p w14:paraId="4F95B83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3DC9D733"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 xml:space="preserve">VI. </w:t>
      </w:r>
      <w:r w:rsidRPr="00A87AFB">
        <w:rPr>
          <w:rFonts w:ascii="Palatino Linotype" w:eastAsia="Palatino Linotype" w:hAnsi="Palatino Linotype" w:cs="Palatino Linotype"/>
          <w:i/>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 </w:t>
      </w:r>
    </w:p>
    <w:p w14:paraId="03518D9B" w14:textId="77777777" w:rsidR="00BC25F0" w:rsidRPr="00A87AFB" w:rsidRDefault="00BC25F0" w:rsidP="00457B44">
      <w:pPr>
        <w:spacing w:line="360" w:lineRule="auto"/>
        <w:ind w:left="567" w:right="900"/>
        <w:jc w:val="both"/>
        <w:rPr>
          <w:rFonts w:ascii="Palatino Linotype" w:eastAsia="Palatino Linotype" w:hAnsi="Palatino Linotype" w:cs="Palatino Linotype"/>
          <w:i/>
          <w:sz w:val="22"/>
          <w:szCs w:val="22"/>
        </w:rPr>
      </w:pPr>
    </w:p>
    <w:p w14:paraId="6AB2311F"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1136CD9" w14:textId="77777777" w:rsidR="00BC25F0" w:rsidRPr="00A87AFB" w:rsidRDefault="00BC25F0" w:rsidP="00457B44">
      <w:pPr>
        <w:spacing w:line="360" w:lineRule="auto"/>
        <w:ind w:right="49"/>
        <w:jc w:val="both"/>
        <w:rPr>
          <w:rFonts w:ascii="Palatino Linotype" w:eastAsia="Palatino Linotype" w:hAnsi="Palatino Linotype" w:cs="Palatino Linotype"/>
          <w:i/>
          <w:sz w:val="22"/>
          <w:szCs w:val="22"/>
        </w:rPr>
      </w:pPr>
    </w:p>
    <w:p w14:paraId="7143919A"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14:paraId="4835B9CE"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5025ED3A"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Dichos argumentos, que se formulan por este Organismo Garante se construyen a partir de la correlación que otros derechos tienen con el acceso a la información en tratándose de información sobre procesos y procedimientos que siguen en forma de juicio, los cuales de la </w:t>
      </w:r>
      <w:r w:rsidRPr="00A87AFB">
        <w:rPr>
          <w:rFonts w:ascii="Palatino Linotype" w:eastAsia="Palatino Linotype" w:hAnsi="Palatino Linotype" w:cs="Palatino Linotype"/>
          <w:sz w:val="22"/>
          <w:szCs w:val="22"/>
        </w:rPr>
        <w:lastRenderedPageBreak/>
        <w:t>óptica de interdependencia de los derechos humanos no pueden ser desconocidos, en el ámbito de la competencia de este Instituto.</w:t>
      </w:r>
    </w:p>
    <w:p w14:paraId="5A0A984B"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6381675C"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Resulta necesario tomar en cuenta el derecho al buen nombre y a la intimidad porque se considera que, hasta en tanto no exista una resolución firme, la publicación de la información solicitada afectaría la reputación de una persona.</w:t>
      </w:r>
    </w:p>
    <w:p w14:paraId="766726C2"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6E46E7B8"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313478CD"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450B2D29" w14:textId="6205E72B"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Así las cosas, es de importante relevancia hacer del conocimiento del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que la información con la que cuente respecto de expedientes que no han causado estado;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w:t>
      </w:r>
      <w:r w:rsidR="00253967" w:rsidRPr="00A87AFB">
        <w:rPr>
          <w:rFonts w:ascii="Palatino Linotype" w:eastAsia="Palatino Linotype" w:hAnsi="Palatino Linotype" w:cs="Palatino Linotype"/>
          <w:sz w:val="22"/>
          <w:szCs w:val="22"/>
        </w:rPr>
        <w:t>el expediente</w:t>
      </w:r>
      <w:r w:rsidRPr="00A87AFB">
        <w:rPr>
          <w:rFonts w:ascii="Palatino Linotype" w:eastAsia="Palatino Linotype" w:hAnsi="Palatino Linotype" w:cs="Palatino Linotype"/>
          <w:sz w:val="22"/>
          <w:szCs w:val="22"/>
        </w:rPr>
        <w:t>.</w:t>
      </w:r>
    </w:p>
    <w:p w14:paraId="58D04BD2"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49F98D88"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14:paraId="05B776DF"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6A580208"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“Artículo 3. Para los efectos de la presente Ley se entenderá por:</w:t>
      </w:r>
    </w:p>
    <w:p w14:paraId="4D52CF83"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7CEFAFE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lastRenderedPageBreak/>
        <w:t xml:space="preserve">XXIV. Información reservada: </w:t>
      </w:r>
      <w:r w:rsidRPr="00A87AFB">
        <w:rPr>
          <w:rFonts w:ascii="Palatino Linotype" w:eastAsia="Palatino Linotype" w:hAnsi="Palatino Linotype" w:cs="Palatino Linotype"/>
          <w:i/>
          <w:sz w:val="22"/>
          <w:szCs w:val="22"/>
        </w:rPr>
        <w:t>La clasificada con este carácter de manera temporal por las disposiciones de esta Ley, cuya divulgación puede causar daño en términos de lo establecido por esta Ley;</w:t>
      </w:r>
    </w:p>
    <w:p w14:paraId="123D010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Artículo 122. </w:t>
      </w:r>
      <w:r w:rsidRPr="00A87AFB">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sidRPr="00A87AFB">
        <w:rPr>
          <w:rFonts w:ascii="Palatino Linotype" w:eastAsia="Palatino Linotype" w:hAnsi="Palatino Linotype" w:cs="Palatino Linotype"/>
          <w:b/>
          <w:i/>
          <w:sz w:val="22"/>
          <w:szCs w:val="22"/>
        </w:rPr>
        <w:t>actualiza</w:t>
      </w:r>
      <w:proofErr w:type="spellEnd"/>
      <w:r w:rsidRPr="00A87AFB">
        <w:rPr>
          <w:rFonts w:ascii="Palatino Linotype" w:eastAsia="Palatino Linotype" w:hAnsi="Palatino Linotype" w:cs="Palatino Linotype"/>
          <w:b/>
          <w:i/>
          <w:sz w:val="22"/>
          <w:szCs w:val="22"/>
        </w:rPr>
        <w:t xml:space="preserve"> alguno de los supuestos de reserva</w:t>
      </w:r>
      <w:r w:rsidRPr="00A87AFB">
        <w:rPr>
          <w:rFonts w:ascii="Palatino Linotype" w:eastAsia="Palatino Linotype" w:hAnsi="Palatino Linotype" w:cs="Palatino Linotype"/>
          <w:i/>
          <w:sz w:val="22"/>
          <w:szCs w:val="22"/>
        </w:rPr>
        <w:t xml:space="preserve"> o confidencialidad, de conformidad con lo dispuesto en el presente título.</w:t>
      </w:r>
    </w:p>
    <w:p w14:paraId="495DFD34"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35C7978C"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50D9FAA"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36B31360"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0EFB22D1"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p>
    <w:p w14:paraId="537376B4"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 xml:space="preserve">Artículo 125. La información clasificada como reservada, de acuerdo a lo establecido en esta Ley podrá permanecer con tal carácter hasta por un periodo de cinco años, </w:t>
      </w:r>
      <w:r w:rsidRPr="00A87AFB">
        <w:rPr>
          <w:rFonts w:ascii="Palatino Linotype" w:eastAsia="Palatino Linotype" w:hAnsi="Palatino Linotype" w:cs="Palatino Linotype"/>
          <w:i/>
          <w:sz w:val="22"/>
          <w:szCs w:val="22"/>
        </w:rPr>
        <w:t>contados a partir de su clasificación, salvo que antes del cumplimiento del periodo de restricción, dejaran de existir los motivos de su reserva.</w:t>
      </w:r>
    </w:p>
    <w:p w14:paraId="0F9DBBDF"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313D23BE"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90FFA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02AD468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4C783343"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3A537958"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w:t>
      </w:r>
      <w:r w:rsidRPr="00A87AFB">
        <w:rPr>
          <w:rFonts w:ascii="Palatino Linotype" w:eastAsia="Palatino Linotype" w:hAnsi="Palatino Linotype" w:cs="Palatino Linotype"/>
          <w:i/>
          <w:sz w:val="22"/>
          <w:szCs w:val="22"/>
        </w:rPr>
        <w:lastRenderedPageBreak/>
        <w:t>el Comité de Transparencia respectivo deberá hacer la solicitud correspondiente al Instituto, debidamente fundada y motivada, aplicando la prueba de daño y</w:t>
      </w:r>
    </w:p>
    <w:p w14:paraId="2F62F3F2"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w:t>
      </w:r>
    </w:p>
    <w:p w14:paraId="02354FA1"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523C7641"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i/>
          <w:sz w:val="22"/>
          <w:szCs w:val="22"/>
        </w:rPr>
        <w:t xml:space="preserve">Para motivar la clasificación de la información y la ampliación del plazo de reserva, </w:t>
      </w:r>
      <w:r w:rsidRPr="00A87AFB">
        <w:rPr>
          <w:rFonts w:ascii="Palatino Linotype" w:eastAsia="Palatino Linotype" w:hAnsi="Palatino Linotype" w:cs="Palatino Linotype"/>
          <w:b/>
          <w:i/>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7491803E"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Tratándose de </w:t>
      </w:r>
      <w:proofErr w:type="gramStart"/>
      <w:r w:rsidRPr="00A87AFB">
        <w:rPr>
          <w:rFonts w:ascii="Palatino Linotype" w:eastAsia="Palatino Linotype" w:hAnsi="Palatino Linotype" w:cs="Palatino Linotype"/>
          <w:i/>
          <w:sz w:val="22"/>
          <w:szCs w:val="22"/>
        </w:rPr>
        <w:t>aquélla</w:t>
      </w:r>
      <w:proofErr w:type="gramEnd"/>
      <w:r w:rsidRPr="00A87AFB">
        <w:rPr>
          <w:rFonts w:ascii="Palatino Linotype" w:eastAsia="Palatino Linotype" w:hAnsi="Palatino Linotype" w:cs="Palatino Linotype"/>
          <w:i/>
          <w:sz w:val="22"/>
          <w:szCs w:val="22"/>
        </w:rPr>
        <w:t xml:space="preserve"> información que actualice los supuestos de clasificación, deberá señalarse el plazo al que estará sujeto la reserva.</w:t>
      </w:r>
    </w:p>
    <w:p w14:paraId="0CF1B932"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305A7195"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u w:val="single"/>
        </w:rPr>
      </w:pPr>
      <w:r w:rsidRPr="00A87AFB">
        <w:rPr>
          <w:rFonts w:ascii="Palatino Linotype" w:eastAsia="Palatino Linotype" w:hAnsi="Palatino Linotype" w:cs="Palatino Linotype"/>
          <w:i/>
          <w:sz w:val="22"/>
          <w:szCs w:val="22"/>
        </w:rPr>
        <w:t xml:space="preserve">Artículo 129. </w:t>
      </w:r>
      <w:r w:rsidRPr="00A87AFB">
        <w:rPr>
          <w:rFonts w:ascii="Palatino Linotype" w:eastAsia="Palatino Linotype" w:hAnsi="Palatino Linotype" w:cs="Palatino Linotype"/>
          <w:b/>
          <w:i/>
          <w:sz w:val="22"/>
          <w:szCs w:val="22"/>
        </w:rPr>
        <w:t>En la aplicación de la prueba de daño, el Sujeto Obligado deberá precisar las razones objetivas por las que la apertura de la información generaría una afectación, justificando que:</w:t>
      </w:r>
    </w:p>
    <w:p w14:paraId="18C4205F"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I. La divulgación de la información representa un riesgo real, demostrable e identificable del perjuicio significativo al interés público o a la seguridad pública;</w:t>
      </w:r>
    </w:p>
    <w:p w14:paraId="371A9BAD"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II. El riesgo de perjuicio que supondría la divulgación supera el interés público general de que se difunda; y</w:t>
      </w:r>
    </w:p>
    <w:p w14:paraId="12D31A69"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III. La limitación se adecua al principio de proporcionalidad y representa el medio menos restrictivo disponible representa el medio menos restrictivo disponible para evitar el perjuicio.</w:t>
      </w:r>
    </w:p>
    <w:p w14:paraId="47A8EA76"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u w:val="single"/>
        </w:rPr>
      </w:pPr>
    </w:p>
    <w:p w14:paraId="3637932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u w:val="single"/>
        </w:rPr>
        <w:t>Artículo 130. Los sujetos obligados deberán aplicar, de manera restrictiva y limitada, las excepciones al derecho de acceso a la información y sólo podrán invocarlas cuando acrediten su procedencia</w:t>
      </w:r>
      <w:r w:rsidRPr="00A87AFB">
        <w:rPr>
          <w:rFonts w:ascii="Palatino Linotype" w:eastAsia="Palatino Linotype" w:hAnsi="Palatino Linotype" w:cs="Palatino Linotype"/>
          <w:i/>
          <w:sz w:val="22"/>
          <w:szCs w:val="22"/>
        </w:rPr>
        <w:t>, sin ampliar las excepciones o supuestos de reserva o confidencialidad previstos en la Ley General y la presente Ley, aduciendo analogía o mayoría de razón.</w:t>
      </w:r>
    </w:p>
    <w:p w14:paraId="0D15E4D1"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p>
    <w:p w14:paraId="1BF7D3A2" w14:textId="77777777" w:rsidR="00BC25F0" w:rsidRPr="00A87AFB" w:rsidRDefault="00BC25F0" w:rsidP="006D7E5E">
      <w:pPr>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0D7EC00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529A702A"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lastRenderedPageBreak/>
        <w:t>VI.</w:t>
      </w:r>
      <w:r w:rsidRPr="00A87AFB">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14:paraId="09CDD301" w14:textId="77777777" w:rsidR="00BC25F0" w:rsidRPr="00A87AFB" w:rsidRDefault="00BC25F0" w:rsidP="00457B44">
      <w:pPr>
        <w:spacing w:line="360" w:lineRule="auto"/>
        <w:ind w:right="49"/>
        <w:jc w:val="both"/>
        <w:rPr>
          <w:rFonts w:ascii="Palatino Linotype" w:eastAsia="Palatino Linotype" w:hAnsi="Palatino Linotype" w:cs="Palatino Linotype"/>
          <w:i/>
          <w:sz w:val="22"/>
          <w:szCs w:val="22"/>
        </w:rPr>
      </w:pPr>
    </w:p>
    <w:p w14:paraId="38247560"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De la interpretación sistemática de los artículos citados, se advierte que el </w:t>
      </w:r>
      <w:r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sz w:val="22"/>
          <w:szCs w:val="22"/>
        </w:rPr>
        <w:t xml:space="preserve">debe realizar la debida reserva de la información por seguir en trámite el procedimiento aludido y de aquellas que no son graves, siguiendo los requisitos expuestos: </w:t>
      </w:r>
    </w:p>
    <w:p w14:paraId="69B7BD90"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48F02769" w14:textId="77777777" w:rsidR="00BC25F0" w:rsidRPr="00A87AFB" w:rsidRDefault="00BC25F0" w:rsidP="00457B44">
      <w:pPr>
        <w:spacing w:line="276" w:lineRule="auto"/>
        <w:ind w:left="851" w:right="822"/>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“La divulgación de la información representa un riesgo real, demostrable e identificable del perjuicio significativo al interés público o a la seguridad pública;</w:t>
      </w:r>
    </w:p>
    <w:p w14:paraId="4024C8C7" w14:textId="77777777" w:rsidR="00BC25F0" w:rsidRPr="00A87AFB" w:rsidRDefault="00BC25F0" w:rsidP="00457B44">
      <w:pPr>
        <w:spacing w:line="276" w:lineRule="auto"/>
        <w:ind w:left="851" w:right="822"/>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El riesgo de perjuicio que supondría la divulgación supera el interés público general de que se difunda; y</w:t>
      </w:r>
    </w:p>
    <w:p w14:paraId="5E3747C4" w14:textId="77777777" w:rsidR="00BC25F0" w:rsidRPr="00A87AFB" w:rsidRDefault="00BC25F0" w:rsidP="00457B44">
      <w:pPr>
        <w:spacing w:line="276" w:lineRule="auto"/>
        <w:ind w:left="851" w:right="822"/>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La limitación se adecua al principio de proporcionalidad y representa el medio menos restrictivo disponible representa el medio menos restrictivo disponible para evitar el perjuicio</w:t>
      </w:r>
      <w:proofErr w:type="gramStart"/>
      <w:r w:rsidRPr="00A87AFB">
        <w:rPr>
          <w:rFonts w:ascii="Palatino Linotype" w:eastAsia="Palatino Linotype" w:hAnsi="Palatino Linotype" w:cs="Palatino Linotype"/>
          <w:i/>
          <w:sz w:val="22"/>
          <w:szCs w:val="22"/>
        </w:rPr>
        <w:t>.”(</w:t>
      </w:r>
      <w:proofErr w:type="gramEnd"/>
      <w:r w:rsidRPr="00A87AFB">
        <w:rPr>
          <w:rFonts w:ascii="Palatino Linotype" w:eastAsia="Palatino Linotype" w:hAnsi="Palatino Linotype" w:cs="Palatino Linotype"/>
          <w:i/>
          <w:sz w:val="22"/>
          <w:szCs w:val="22"/>
        </w:rPr>
        <w:t>Sic)</w:t>
      </w:r>
    </w:p>
    <w:p w14:paraId="09C9235E" w14:textId="77777777" w:rsidR="00BC25F0" w:rsidRPr="00A87AFB" w:rsidRDefault="00BC25F0" w:rsidP="00457B44">
      <w:pPr>
        <w:spacing w:line="360" w:lineRule="auto"/>
        <w:ind w:left="851" w:right="822"/>
        <w:jc w:val="both"/>
        <w:rPr>
          <w:rFonts w:ascii="Palatino Linotype" w:eastAsia="Palatino Linotype" w:hAnsi="Palatino Linotype" w:cs="Palatino Linotype"/>
          <w:b/>
          <w:i/>
          <w:sz w:val="22"/>
          <w:szCs w:val="22"/>
        </w:rPr>
      </w:pPr>
    </w:p>
    <w:p w14:paraId="045E759D"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36D2BECF" w14:textId="77777777" w:rsidR="00BC25F0" w:rsidRPr="00A87AFB" w:rsidRDefault="00BC25F0" w:rsidP="00457B44">
      <w:pPr>
        <w:tabs>
          <w:tab w:val="left" w:pos="567"/>
        </w:tabs>
        <w:spacing w:line="360" w:lineRule="auto"/>
        <w:ind w:left="567" w:right="616"/>
        <w:jc w:val="both"/>
        <w:rPr>
          <w:rFonts w:ascii="Palatino Linotype" w:eastAsia="Palatino Linotype" w:hAnsi="Palatino Linotype" w:cs="Palatino Linotype"/>
          <w:sz w:val="22"/>
          <w:szCs w:val="22"/>
        </w:rPr>
      </w:pPr>
    </w:p>
    <w:p w14:paraId="4DEEDC92" w14:textId="77777777" w:rsidR="00BC25F0" w:rsidRPr="00A87AFB" w:rsidRDefault="00BC25F0" w:rsidP="006D7E5E">
      <w:pPr>
        <w:tabs>
          <w:tab w:val="left" w:pos="709"/>
          <w:tab w:val="left" w:pos="851"/>
        </w:tabs>
        <w:spacing w:line="276" w:lineRule="auto"/>
        <w:ind w:left="851" w:right="616"/>
        <w:jc w:val="both"/>
        <w:rPr>
          <w:rFonts w:ascii="Palatino Linotype" w:eastAsia="Palatino Linotype" w:hAnsi="Palatino Linotype" w:cs="Palatino Linotype"/>
          <w:b/>
          <w:i/>
          <w:sz w:val="22"/>
          <w:szCs w:val="22"/>
        </w:rPr>
      </w:pPr>
      <w:r w:rsidRPr="00A87AFB">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p>
    <w:p w14:paraId="5F90B0EB" w14:textId="77777777" w:rsidR="00BC25F0" w:rsidRPr="00A87AFB" w:rsidRDefault="00BC25F0" w:rsidP="006D7E5E">
      <w:pPr>
        <w:tabs>
          <w:tab w:val="left" w:pos="709"/>
          <w:tab w:val="left" w:pos="851"/>
        </w:tabs>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El contenido formal de la garantía de legalidad prevista en el artículo </w:t>
      </w:r>
      <w:hyperlink r:id="rId10">
        <w:r w:rsidRPr="00A87AFB">
          <w:rPr>
            <w:rFonts w:ascii="Palatino Linotype" w:eastAsia="Palatino Linotype" w:hAnsi="Palatino Linotype" w:cs="Palatino Linotype"/>
            <w:i/>
            <w:sz w:val="22"/>
            <w:szCs w:val="22"/>
            <w:u w:val="single"/>
          </w:rPr>
          <w:t>16 constitucional</w:t>
        </w:r>
      </w:hyperlink>
      <w:r w:rsidRPr="00A87AFB">
        <w:rPr>
          <w:rFonts w:ascii="Palatino Linotype" w:eastAsia="Palatino Linotype" w:hAnsi="Palatino Linotype" w:cs="Palatino Linotype"/>
          <w:i/>
          <w:sz w:val="22"/>
          <w:szCs w:val="22"/>
        </w:rPr>
        <w:t xml:space="preserve"> relativa a la fundamentación y motivación tiene como propósito </w:t>
      </w:r>
      <w:r w:rsidRPr="00A87AFB">
        <w:rPr>
          <w:rFonts w:ascii="Palatino Linotype" w:eastAsia="Palatino Linotype" w:hAnsi="Palatino Linotype" w:cs="Palatino Linotype"/>
          <w:i/>
          <w:sz w:val="22"/>
          <w:szCs w:val="22"/>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CE00614" w14:textId="77777777" w:rsidR="00BC25F0" w:rsidRPr="00A87AFB" w:rsidRDefault="00BC25F0" w:rsidP="00457B44">
      <w:pPr>
        <w:spacing w:line="360" w:lineRule="auto"/>
        <w:ind w:right="49"/>
        <w:jc w:val="both"/>
        <w:rPr>
          <w:rFonts w:ascii="Palatino Linotype" w:eastAsia="Palatino Linotype" w:hAnsi="Palatino Linotype" w:cs="Palatino Linotype"/>
          <w:i/>
          <w:sz w:val="22"/>
          <w:szCs w:val="22"/>
        </w:rPr>
      </w:pPr>
    </w:p>
    <w:p w14:paraId="49561DE2"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14:paraId="07C5412B"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3561CED6"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0448B4C6" w14:textId="77777777" w:rsidR="00BC25F0" w:rsidRPr="00A87AFB" w:rsidRDefault="00BC25F0" w:rsidP="00457B44">
      <w:pPr>
        <w:spacing w:line="360" w:lineRule="auto"/>
        <w:ind w:right="49"/>
        <w:jc w:val="both"/>
        <w:rPr>
          <w:rFonts w:ascii="Palatino Linotype" w:eastAsia="Palatino Linotype" w:hAnsi="Palatino Linotype" w:cs="Palatino Linotype"/>
          <w:sz w:val="22"/>
          <w:szCs w:val="22"/>
        </w:rPr>
      </w:pPr>
    </w:p>
    <w:p w14:paraId="744BB8EA" w14:textId="44FD18AB" w:rsidR="00BC25F0" w:rsidRPr="00A87AFB" w:rsidRDefault="00BC25F0"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Por su parte, en los Lineamientos Generales en Materia de Clasificación y Desclasificación de la Información, así como para la elaboración de versiones públicas,</w:t>
      </w:r>
      <w:r w:rsidR="00253967" w:rsidRPr="00A87AFB">
        <w:rPr>
          <w:rFonts w:ascii="Palatino Linotype" w:eastAsia="Palatino Linotype" w:hAnsi="Palatino Linotype" w:cs="Palatino Linotype"/>
          <w:sz w:val="22"/>
          <w:szCs w:val="22"/>
        </w:rPr>
        <w:t xml:space="preserve"> vigentes a la fecha de la solicitud,</w:t>
      </w:r>
      <w:r w:rsidRPr="00A87AFB">
        <w:rPr>
          <w:rFonts w:ascii="Palatino Linotype" w:eastAsia="Palatino Linotype" w:hAnsi="Palatino Linotype" w:cs="Palatino Linotype"/>
          <w:sz w:val="22"/>
          <w:szCs w:val="22"/>
        </w:rPr>
        <w:t xml:space="preserve"> se establece lo siguiente:</w:t>
      </w:r>
    </w:p>
    <w:p w14:paraId="603BE94F" w14:textId="77777777" w:rsidR="006D1B77" w:rsidRPr="00A87AFB" w:rsidRDefault="006D1B77" w:rsidP="00457B44">
      <w:pPr>
        <w:spacing w:line="360" w:lineRule="auto"/>
        <w:ind w:right="49"/>
        <w:jc w:val="both"/>
        <w:rPr>
          <w:rFonts w:ascii="Palatino Linotype" w:eastAsia="Palatino Linotype" w:hAnsi="Palatino Linotype" w:cs="Palatino Linotype"/>
          <w:sz w:val="22"/>
          <w:szCs w:val="22"/>
        </w:rPr>
      </w:pPr>
    </w:p>
    <w:p w14:paraId="18AAD8F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p>
    <w:p w14:paraId="6D532FFC"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Vigésimo octavo.</w:t>
      </w:r>
      <w:r w:rsidRPr="00A87AFB">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2B64BABA"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p>
    <w:p w14:paraId="525C45DD" w14:textId="77777777"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I. La existencia de un procedimiento de responsabilidad administrativa en trámite, y</w:t>
      </w:r>
    </w:p>
    <w:p w14:paraId="38F11663" w14:textId="0A2DE53B" w:rsidR="00BC25F0" w:rsidRPr="00A87AFB" w:rsidRDefault="00BC25F0" w:rsidP="006D7E5E">
      <w:pPr>
        <w:spacing w:line="276" w:lineRule="auto"/>
        <w:ind w:left="851"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II. Que la información se refiera a actuaciones, diligencias y constancias propias del procedim</w:t>
      </w:r>
      <w:r w:rsidR="006D1B77" w:rsidRPr="00A87AFB">
        <w:rPr>
          <w:rFonts w:ascii="Palatino Linotype" w:eastAsia="Palatino Linotype" w:hAnsi="Palatino Linotype" w:cs="Palatino Linotype"/>
          <w:i/>
          <w:sz w:val="22"/>
          <w:szCs w:val="22"/>
        </w:rPr>
        <w:t>iento de responsabilidad…”</w:t>
      </w:r>
    </w:p>
    <w:p w14:paraId="13F4AB69" w14:textId="77777777" w:rsidR="00BC25F0" w:rsidRPr="00A87AFB" w:rsidRDefault="00BC25F0" w:rsidP="00457B44">
      <w:pPr>
        <w:spacing w:line="360" w:lineRule="auto"/>
        <w:ind w:right="49"/>
        <w:jc w:val="both"/>
        <w:rPr>
          <w:rFonts w:ascii="Palatino Linotype" w:eastAsia="Palatino Linotype" w:hAnsi="Palatino Linotype" w:cs="Palatino Linotype"/>
          <w:i/>
          <w:sz w:val="22"/>
          <w:szCs w:val="22"/>
        </w:rPr>
      </w:pPr>
    </w:p>
    <w:p w14:paraId="2C608DA6"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De lo anterior, se advierte que para que se actualice la causal de reserva que se analiza se debe acreditar i) la existencia de un procedimiento de responsabilidad administrativa en trámite, y </w:t>
      </w:r>
      <w:proofErr w:type="spellStart"/>
      <w:r w:rsidRPr="00A87AFB">
        <w:rPr>
          <w:rFonts w:ascii="Palatino Linotype" w:eastAsia="Palatino Linotype" w:hAnsi="Palatino Linotype" w:cs="Palatino Linotype"/>
          <w:sz w:val="22"/>
          <w:szCs w:val="22"/>
        </w:rPr>
        <w:t>ii</w:t>
      </w:r>
      <w:proofErr w:type="spellEnd"/>
      <w:r w:rsidRPr="00A87AFB">
        <w:rPr>
          <w:rFonts w:ascii="Palatino Linotype" w:eastAsia="Palatino Linotype" w:hAnsi="Palatino Linotype" w:cs="Palatino Linotype"/>
          <w:sz w:val="22"/>
          <w:szCs w:val="22"/>
        </w:rPr>
        <w:t>) que la información se refiera a actuaciones, diligencias y constancias propias del procedimiento de responsabilidad.</w:t>
      </w:r>
    </w:p>
    <w:p w14:paraId="0F26DD1E"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60FD8A22" w14:textId="3CA82C91"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 ahí que, resulta procedente la reserva, en términos del artículo 140, fracción VI, de la Ley de Transparencia y Acceso a la Información Pública del Estado de México y Municipios, de los procedimientos por responsabilidades administrativas en trámite.</w:t>
      </w:r>
    </w:p>
    <w:p w14:paraId="79A92A11"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69BFC7B5"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7D5D5C91"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01B52383"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Por otra parte, se considera de suma importancia mencionar que la Ley de Transparencia vigente en el Estado de México establece:</w:t>
      </w:r>
    </w:p>
    <w:p w14:paraId="1D1FFD62" w14:textId="77777777" w:rsidR="00BC25F0" w:rsidRPr="00A87AFB" w:rsidRDefault="00BC25F0" w:rsidP="00457B44">
      <w:pPr>
        <w:spacing w:line="360" w:lineRule="auto"/>
        <w:jc w:val="both"/>
        <w:rPr>
          <w:rFonts w:ascii="Palatino Linotype" w:eastAsia="Palatino Linotype" w:hAnsi="Palatino Linotype" w:cs="Palatino Linotype"/>
          <w:sz w:val="22"/>
          <w:szCs w:val="22"/>
        </w:rPr>
      </w:pPr>
    </w:p>
    <w:p w14:paraId="6F485332" w14:textId="77777777" w:rsidR="00BC25F0" w:rsidRPr="00A87AFB" w:rsidRDefault="00BC25F0" w:rsidP="00457B44">
      <w:pPr>
        <w:spacing w:line="276" w:lineRule="auto"/>
        <w:ind w:left="567"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Artículo 142.</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u w:val="single"/>
        </w:rPr>
        <w:t>Bajo ninguna circunstancia podrá invocarse el carácter de reservado cuando</w:t>
      </w:r>
      <w:r w:rsidRPr="00A87AFB">
        <w:rPr>
          <w:rFonts w:ascii="Palatino Linotype" w:eastAsia="Palatino Linotype" w:hAnsi="Palatino Linotype" w:cs="Palatino Linotype"/>
          <w:i/>
          <w:sz w:val="22"/>
          <w:szCs w:val="22"/>
        </w:rPr>
        <w:t>:</w:t>
      </w:r>
    </w:p>
    <w:p w14:paraId="44AC97A8" w14:textId="77777777" w:rsidR="00BC25F0" w:rsidRPr="00A87AFB" w:rsidRDefault="00BC25F0" w:rsidP="00457B44">
      <w:pPr>
        <w:spacing w:line="276" w:lineRule="auto"/>
        <w:ind w:left="567"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I.</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Se trate de violaciones graves de derechos humanos</w:t>
      </w:r>
      <w:r w:rsidRPr="00A87AFB">
        <w:rPr>
          <w:rFonts w:ascii="Palatino Linotype" w:eastAsia="Palatino Linotype" w:hAnsi="Palatino Linotype" w:cs="Palatino Linotype"/>
          <w:i/>
          <w:sz w:val="22"/>
          <w:szCs w:val="22"/>
        </w:rPr>
        <w:t>, calificada así por autoridad competente;</w:t>
      </w:r>
    </w:p>
    <w:p w14:paraId="2C42D07D" w14:textId="77777777" w:rsidR="00BC25F0" w:rsidRPr="00A87AFB" w:rsidRDefault="00BC25F0" w:rsidP="00457B44">
      <w:pPr>
        <w:spacing w:line="276" w:lineRule="auto"/>
        <w:ind w:left="567"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II.</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Se trate de la investigación de posibles violaciones graves de derechos humanos</w:t>
      </w:r>
      <w:r w:rsidRPr="00A87AFB">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1A4517B1" w14:textId="77777777" w:rsidR="00BC25F0" w:rsidRPr="00A87AFB" w:rsidRDefault="00BC25F0" w:rsidP="00457B44">
      <w:pPr>
        <w:spacing w:line="276" w:lineRule="auto"/>
        <w:ind w:left="567"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III.</w:t>
      </w:r>
      <w:r w:rsidRPr="00A87AFB">
        <w:rPr>
          <w:rFonts w:ascii="Palatino Linotype" w:eastAsia="Palatino Linotype" w:hAnsi="Palatino Linotype" w:cs="Palatino Linotype"/>
          <w:i/>
          <w:sz w:val="22"/>
          <w:szCs w:val="22"/>
        </w:rPr>
        <w:t xml:space="preserve"> </w:t>
      </w:r>
      <w:r w:rsidRPr="00A87AFB">
        <w:rPr>
          <w:rFonts w:ascii="Palatino Linotype" w:eastAsia="Palatino Linotype" w:hAnsi="Palatino Linotype" w:cs="Palatino Linotype"/>
          <w:b/>
          <w:i/>
          <w:sz w:val="22"/>
          <w:szCs w:val="22"/>
        </w:rPr>
        <w:t>Se trate de delitos de lesa humanidad</w:t>
      </w:r>
      <w:r w:rsidRPr="00A87AFB">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67AA9154" w14:textId="77777777" w:rsidR="00BC25F0" w:rsidRPr="00A87AFB" w:rsidRDefault="00BC25F0" w:rsidP="00457B44">
      <w:pPr>
        <w:spacing w:line="276" w:lineRule="auto"/>
        <w:ind w:left="567"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b/>
          <w:i/>
          <w:sz w:val="22"/>
          <w:szCs w:val="22"/>
        </w:rPr>
        <w:t>IV</w:t>
      </w:r>
      <w:r w:rsidRPr="00A87AFB">
        <w:rPr>
          <w:rFonts w:ascii="Palatino Linotype" w:eastAsia="Palatino Linotype" w:hAnsi="Palatino Linotype" w:cs="Palatino Linotype"/>
          <w:b/>
          <w:i/>
          <w:sz w:val="22"/>
          <w:szCs w:val="22"/>
          <w:u w:val="single"/>
        </w:rPr>
        <w:t>. Se trate de información relacionada con actos de corrupción</w:t>
      </w:r>
      <w:r w:rsidRPr="00A87AFB">
        <w:rPr>
          <w:rFonts w:ascii="Palatino Linotype" w:eastAsia="Palatino Linotype" w:hAnsi="Palatino Linotype" w:cs="Palatino Linotype"/>
          <w:i/>
          <w:sz w:val="22"/>
          <w:szCs w:val="22"/>
        </w:rPr>
        <w:t xml:space="preserve"> de conformidad con las disposiciones jurídicas aplicables.</w:t>
      </w:r>
    </w:p>
    <w:p w14:paraId="3D6C4126" w14:textId="77777777" w:rsidR="00BC25F0" w:rsidRPr="00A87AFB" w:rsidRDefault="00BC25F0" w:rsidP="00457B44">
      <w:pPr>
        <w:spacing w:line="276" w:lineRule="auto"/>
        <w:ind w:left="567" w:right="616"/>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Énfasis añadido.</w:t>
      </w:r>
    </w:p>
    <w:p w14:paraId="7D0C3228" w14:textId="77777777" w:rsidR="00BC25F0" w:rsidRPr="00A87AFB" w:rsidRDefault="00BC25F0" w:rsidP="00457B44">
      <w:pPr>
        <w:spacing w:line="360" w:lineRule="auto"/>
        <w:ind w:left="851" w:right="851"/>
        <w:jc w:val="both"/>
        <w:rPr>
          <w:rFonts w:ascii="Palatino Linotype" w:eastAsia="Palatino Linotype" w:hAnsi="Palatino Linotype" w:cs="Palatino Linotype"/>
          <w:i/>
          <w:sz w:val="22"/>
          <w:szCs w:val="22"/>
        </w:rPr>
      </w:pPr>
    </w:p>
    <w:p w14:paraId="5D8E969E" w14:textId="480FB387" w:rsidR="00122EBC" w:rsidRPr="00A87AFB" w:rsidRDefault="00BC25F0"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Del artículo en estudio, se aprecia claramente en qué supuestos no se puede invocar el carácter de reservada, sin embargo en el presente asunto no se</w:t>
      </w:r>
      <w:r w:rsidR="00122EBC" w:rsidRPr="00A87AFB">
        <w:rPr>
          <w:rFonts w:ascii="Palatino Linotype" w:eastAsia="Palatino Linotype" w:hAnsi="Palatino Linotype" w:cs="Palatino Linotype"/>
          <w:sz w:val="22"/>
          <w:szCs w:val="22"/>
        </w:rPr>
        <w:t xml:space="preserve"> actualiza la causal invocada por la parte Recurrente en sus motivos de inconformidad, es decir, información relacionada con actos de corrupción, pues como lo refirió la unidad administrativa competente en informe justificado </w:t>
      </w:r>
      <w:r w:rsidR="00122EBC" w:rsidRPr="00A87AFB">
        <w:rPr>
          <w:rFonts w:ascii="Palatino Linotype" w:eastAsia="Palatino Linotype" w:hAnsi="Palatino Linotype" w:cs="Palatino Linotype"/>
          <w:b/>
          <w:i/>
          <w:sz w:val="22"/>
          <w:szCs w:val="22"/>
          <w:u w:val="single"/>
        </w:rPr>
        <w:t xml:space="preserve">“… este Órgano Interno de Control, consideró que no se observa ningún delito relacionado con hechos de corrupción.”, </w:t>
      </w:r>
      <w:r w:rsidR="00122EBC" w:rsidRPr="00A87AFB">
        <w:rPr>
          <w:rFonts w:ascii="Palatino Linotype" w:eastAsia="Palatino Linotype" w:hAnsi="Palatino Linotype" w:cs="Palatino Linotype"/>
          <w:sz w:val="22"/>
          <w:szCs w:val="22"/>
        </w:rPr>
        <w:t>por lo que al no actualizarse dicho supuesto, resulta procedente la clasificación.</w:t>
      </w:r>
      <w:r w:rsidR="00122EBC" w:rsidRPr="00A87AFB">
        <w:rPr>
          <w:rFonts w:ascii="Palatino Linotype" w:eastAsia="Palatino Linotype" w:hAnsi="Palatino Linotype" w:cs="Palatino Linotype"/>
          <w:b/>
          <w:i/>
          <w:sz w:val="22"/>
          <w:szCs w:val="22"/>
          <w:u w:val="single"/>
        </w:rPr>
        <w:t xml:space="preserve"> </w:t>
      </w:r>
    </w:p>
    <w:p w14:paraId="32CD2229" w14:textId="77777777" w:rsidR="00BC25F0" w:rsidRPr="00A87AFB" w:rsidRDefault="00BC25F0" w:rsidP="00457B44">
      <w:pPr>
        <w:pStyle w:val="Sinespaciado"/>
        <w:spacing w:line="360" w:lineRule="auto"/>
        <w:jc w:val="both"/>
        <w:rPr>
          <w:rFonts w:ascii="Palatino Linotype" w:eastAsia="Calibri" w:hAnsi="Palatino Linotype" w:cs="Tahoma"/>
          <w:iCs/>
          <w:sz w:val="22"/>
          <w:szCs w:val="22"/>
          <w:lang w:eastAsia="es-ES_tradnl"/>
        </w:rPr>
      </w:pPr>
    </w:p>
    <w:p w14:paraId="02A44315" w14:textId="1AC2855A" w:rsidR="00BC25F0" w:rsidRPr="00A87AFB" w:rsidRDefault="00BC25F0" w:rsidP="00457B44">
      <w:pPr>
        <w:pStyle w:val="Sinespaciado"/>
        <w:numPr>
          <w:ilvl w:val="0"/>
          <w:numId w:val="37"/>
        </w:numPr>
        <w:spacing w:line="360" w:lineRule="auto"/>
        <w:jc w:val="both"/>
        <w:rPr>
          <w:rFonts w:ascii="Palatino Linotype" w:eastAsia="Calibri" w:hAnsi="Palatino Linotype" w:cs="Tahoma"/>
          <w:b/>
          <w:iCs/>
          <w:sz w:val="22"/>
          <w:szCs w:val="22"/>
          <w:lang w:eastAsia="es-ES_tradnl"/>
        </w:rPr>
      </w:pPr>
      <w:r w:rsidRPr="00A87AFB">
        <w:rPr>
          <w:rFonts w:ascii="Palatino Linotype" w:eastAsia="Calibri" w:hAnsi="Palatino Linotype" w:cs="Tahoma"/>
          <w:b/>
          <w:iCs/>
          <w:sz w:val="22"/>
          <w:szCs w:val="22"/>
          <w:lang w:eastAsia="es-ES_tradnl"/>
        </w:rPr>
        <w:t xml:space="preserve">Del análisis del acuerdo remitido por el Sujeto Obligado que avala la reserva de la información. </w:t>
      </w:r>
    </w:p>
    <w:p w14:paraId="33829CE5" w14:textId="77777777" w:rsidR="00253967" w:rsidRPr="00A87AFB" w:rsidRDefault="00253967" w:rsidP="00253967">
      <w:pPr>
        <w:pStyle w:val="Sinespaciado"/>
        <w:spacing w:line="360" w:lineRule="auto"/>
        <w:ind w:left="780"/>
        <w:jc w:val="both"/>
        <w:rPr>
          <w:rFonts w:ascii="Palatino Linotype" w:eastAsia="Calibri" w:hAnsi="Palatino Linotype" w:cs="Tahoma"/>
          <w:b/>
          <w:iCs/>
          <w:sz w:val="22"/>
          <w:szCs w:val="22"/>
          <w:lang w:eastAsia="es-ES_tradnl"/>
        </w:rPr>
      </w:pPr>
    </w:p>
    <w:p w14:paraId="409D7703" w14:textId="77777777" w:rsidR="00A731B2" w:rsidRPr="00A87AFB" w:rsidRDefault="00A731B2"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lastRenderedPageBreak/>
        <w:t xml:space="preserve">Acotado lo anterior, en el presente asunto es de recordar que el </w:t>
      </w:r>
      <w:r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sz w:val="22"/>
          <w:szCs w:val="22"/>
        </w:rPr>
        <w:t xml:space="preserve">en respuesta procedió a reservar la documentación e información contenida en los expedientes con número PMT058/CM/AI/CP/001/2025 y PMT058/CM/AI/CP/002/2025; por lo que, resulta conveniente señalar que conforme el artículo 20 de la Ley de Transparencia y Acceso a la Información Pública del Estado de México y Municipios, </w:t>
      </w:r>
      <w:r w:rsidRPr="00A87AFB">
        <w:rPr>
          <w:rFonts w:ascii="Palatino Linotype" w:eastAsia="Palatino Linotype" w:hAnsi="Palatino Linotype" w:cs="Palatino Linotype"/>
          <w:b/>
          <w:sz w:val="22"/>
          <w:szCs w:val="22"/>
        </w:rPr>
        <w:t>ante la negativa de acceso a la información o su inexistencia, el sujeto obligado tiene el deber de demostrar que la misma se encuentra en alguna de las excepciones establecidas en la normatividad aplicable.</w:t>
      </w:r>
    </w:p>
    <w:p w14:paraId="73EB9783"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30206C3C"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ese sentido, según Trujillo, Humberto (2019), en el “Diccionario de Transparencia y Acceso a la Información Pública” (p. 201), </w:t>
      </w:r>
      <w:r w:rsidRPr="00A87AFB">
        <w:rPr>
          <w:rFonts w:ascii="Palatino Linotype" w:eastAsia="Palatino Linotype" w:hAnsi="Palatino Linotype" w:cs="Palatino Linotype"/>
          <w:b/>
          <w:sz w:val="22"/>
          <w:szCs w:val="22"/>
        </w:rPr>
        <w:t xml:space="preserve">la negativa de acceso a la información </w:t>
      </w:r>
      <w:r w:rsidRPr="00A87AFB">
        <w:rPr>
          <w:rFonts w:ascii="Palatino Linotype" w:eastAsia="Palatino Linotype" w:hAnsi="Palatino Linotype" w:cs="Palatino Linotype"/>
          <w:sz w:val="22"/>
          <w:szCs w:val="22"/>
        </w:rPr>
        <w:t xml:space="preserve">ocurre cuando de manera fundada y motivada, una autoridad la niega o la limita, por alguna de las siguientes razones: </w:t>
      </w:r>
    </w:p>
    <w:p w14:paraId="66E50626"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7B29BD29" w14:textId="77777777" w:rsidR="00A731B2" w:rsidRPr="00A87AFB" w:rsidRDefault="00A731B2" w:rsidP="00457B44">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La inexistencia de la información (p. 171): </w:t>
      </w:r>
      <w:r w:rsidRPr="00A87AFB">
        <w:rPr>
          <w:rFonts w:ascii="Palatino Linotype" w:eastAsia="Palatino Linotype" w:hAnsi="Palatino Linotype" w:cs="Palatino Linotype"/>
          <w:sz w:val="22"/>
          <w:szCs w:val="22"/>
        </w:rPr>
        <w:t>Sucede cuando la información solicitada no se encuentra en los archivos públicos o clasificados de los entes sujetos a las Leyes de Transparencia.</w:t>
      </w:r>
    </w:p>
    <w:p w14:paraId="0B4ADA8A" w14:textId="77777777" w:rsidR="00A731B2" w:rsidRPr="00A87AFB" w:rsidRDefault="00A731B2" w:rsidP="00457B44">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La incompetencia del Sujeto Obligado (p. 171): </w:t>
      </w:r>
      <w:r w:rsidRPr="00A87AFB">
        <w:rPr>
          <w:rFonts w:ascii="Palatino Linotype" w:eastAsia="Palatino Linotype" w:hAnsi="Palatino Linotype" w:cs="Palatino Linotype"/>
          <w:sz w:val="22"/>
          <w:szCs w:val="22"/>
        </w:rPr>
        <w:t>Ocurre cuando el Sujeto Obligado carece de atribuciones para poseer la información peticionada.</w:t>
      </w:r>
    </w:p>
    <w:p w14:paraId="51AE915C" w14:textId="77777777" w:rsidR="00A731B2" w:rsidRPr="00A87AFB" w:rsidRDefault="00A731B2" w:rsidP="00457B44">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La clasificación de la información (p. 70): </w:t>
      </w:r>
      <w:r w:rsidRPr="00A87AFB">
        <w:rPr>
          <w:rFonts w:ascii="Palatino Linotype" w:eastAsia="Palatino Linotype" w:hAnsi="Palatino Linotype" w:cs="Palatino Linotype"/>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310B5D3A"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1C0435A4" w14:textId="77777777" w:rsidR="00A731B2" w:rsidRPr="00A87AFB" w:rsidRDefault="00A731B2" w:rsidP="00457B44">
      <w:pP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 xml:space="preserve">En ese orden de ideas y en atención a lo anterior, es de señalar que las excepciones al derecho de acceso a la información, consisten en que la documentación sea inexistente, </w:t>
      </w:r>
      <w:r w:rsidRPr="00A87AFB">
        <w:rPr>
          <w:rFonts w:ascii="Palatino Linotype" w:eastAsia="Palatino Linotype" w:hAnsi="Palatino Linotype" w:cs="Palatino Linotype"/>
          <w:b/>
          <w:sz w:val="22"/>
          <w:szCs w:val="22"/>
        </w:rPr>
        <w:t>se encuentre clasificada</w:t>
      </w:r>
      <w:r w:rsidRPr="00A87AFB">
        <w:rPr>
          <w:rFonts w:ascii="Palatino Linotype" w:eastAsia="Palatino Linotype" w:hAnsi="Palatino Linotype" w:cs="Palatino Linotype"/>
          <w:sz w:val="22"/>
          <w:szCs w:val="22"/>
        </w:rPr>
        <w:t xml:space="preserve">, o bien, el Sujeto Obligado sea incompetente para contar con esta; esto es, la </w:t>
      </w:r>
      <w:r w:rsidRPr="00A87AFB">
        <w:rPr>
          <w:rFonts w:ascii="Palatino Linotype" w:eastAsia="Palatino Linotype" w:hAnsi="Palatino Linotype" w:cs="Palatino Linotype"/>
          <w:sz w:val="22"/>
          <w:szCs w:val="22"/>
        </w:rPr>
        <w:lastRenderedPageBreak/>
        <w:t xml:space="preserve">negativa de acceso a la información, recae cuando la documentación no se encuentre en los archivos del sujeto obligado, o bien exista, pero no pueda proporcionarse por contener datos </w:t>
      </w:r>
      <w:r w:rsidRPr="00A87AFB">
        <w:rPr>
          <w:rFonts w:ascii="Palatino Linotype" w:eastAsia="Palatino Linotype" w:hAnsi="Palatino Linotype" w:cs="Palatino Linotype"/>
          <w:b/>
          <w:sz w:val="22"/>
          <w:szCs w:val="22"/>
        </w:rPr>
        <w:t>confidenciales o reservados.</w:t>
      </w:r>
    </w:p>
    <w:p w14:paraId="688A9790" w14:textId="77777777" w:rsidR="00A731B2" w:rsidRPr="00A87AFB" w:rsidRDefault="00A731B2" w:rsidP="00457B44">
      <w:pPr>
        <w:spacing w:line="360" w:lineRule="auto"/>
        <w:jc w:val="both"/>
        <w:rPr>
          <w:rFonts w:ascii="Palatino Linotype" w:eastAsia="Palatino Linotype" w:hAnsi="Palatino Linotype" w:cs="Palatino Linotype"/>
          <w:b/>
          <w:sz w:val="22"/>
          <w:szCs w:val="22"/>
        </w:rPr>
      </w:pPr>
    </w:p>
    <w:p w14:paraId="27E557FD"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Así, en los artículos 122, 128 y 130 de la Ley Transparencia y Acceso a la Información Pública del Estado de México y Municipios, se prevé que </w:t>
      </w:r>
      <w:r w:rsidRPr="00A87AFB">
        <w:rPr>
          <w:rFonts w:ascii="Palatino Linotype" w:eastAsia="Palatino Linotype" w:hAnsi="Palatino Linotype" w:cs="Palatino Linotype"/>
          <w:b/>
          <w:sz w:val="22"/>
          <w:szCs w:val="22"/>
        </w:rPr>
        <w:t xml:space="preserve">la clasificación </w:t>
      </w:r>
      <w:r w:rsidRPr="00A87AFB">
        <w:rPr>
          <w:rFonts w:ascii="Palatino Linotype" w:eastAsia="Palatino Linotype" w:hAnsi="Palatino Linotype" w:cs="Palatino Linotype"/>
          <w:sz w:val="22"/>
          <w:szCs w:val="22"/>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46D553C"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116BADD9"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Por lo cual, en los casos en que se niegue el acceso a la información, por actualizarse alguno de los supuestos de clasificación, </w:t>
      </w:r>
      <w:r w:rsidRPr="00A87AFB">
        <w:rPr>
          <w:rFonts w:ascii="Palatino Linotype" w:eastAsia="Palatino Linotype" w:hAnsi="Palatino Linotype" w:cs="Palatino Linotype"/>
          <w:b/>
          <w:sz w:val="22"/>
          <w:szCs w:val="22"/>
        </w:rPr>
        <w:t xml:space="preserve">el Comité de Transparencia deberá confirmar, modificar o revocar la decisión; </w:t>
      </w:r>
      <w:r w:rsidRPr="00A87AFB">
        <w:rPr>
          <w:rFonts w:ascii="Palatino Linotype" w:eastAsia="Palatino Linotype" w:hAnsi="Palatino Linotype" w:cs="Palatino Linotype"/>
          <w:sz w:val="22"/>
          <w:szCs w:val="22"/>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AF92982"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73BA4B99" w14:textId="77777777" w:rsidR="00A731B2" w:rsidRPr="00A87AFB" w:rsidRDefault="00A731B2" w:rsidP="00457B44">
      <w:pPr>
        <w:spacing w:line="360" w:lineRule="auto"/>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 xml:space="preserve">Por su parte, según Bonifaz, Leticia (2016), en la “Ley General de Transparencia y Acceso a la Información Pública Comentada” (p. 342), la </w:t>
      </w:r>
      <w:r w:rsidRPr="00A87AFB">
        <w:rPr>
          <w:rFonts w:ascii="Palatino Linotype" w:eastAsia="Palatino Linotype" w:hAnsi="Palatino Linotype" w:cs="Palatino Linotype"/>
          <w:b/>
          <w:sz w:val="22"/>
          <w:szCs w:val="22"/>
        </w:rPr>
        <w:t>clasificación de la información</w:t>
      </w:r>
      <w:r w:rsidRPr="00A87AFB">
        <w:rPr>
          <w:rFonts w:ascii="Palatino Linotype" w:eastAsia="Palatino Linotype" w:hAnsi="Palatino Linotype" w:cs="Palatino Linotype"/>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A87AFB">
        <w:rPr>
          <w:rFonts w:ascii="Palatino Linotype" w:eastAsia="Palatino Linotype" w:hAnsi="Palatino Linotype" w:cs="Palatino Linotype"/>
          <w:b/>
          <w:sz w:val="22"/>
          <w:szCs w:val="22"/>
        </w:rPr>
        <w:t>de manera adecuada la negativa de información.</w:t>
      </w:r>
    </w:p>
    <w:p w14:paraId="4CF311A9" w14:textId="77777777" w:rsidR="00A731B2" w:rsidRPr="00A87AFB" w:rsidRDefault="00A731B2" w:rsidP="00457B44">
      <w:pPr>
        <w:spacing w:line="360" w:lineRule="auto"/>
        <w:jc w:val="both"/>
        <w:rPr>
          <w:rFonts w:ascii="Palatino Linotype" w:eastAsia="Palatino Linotype" w:hAnsi="Palatino Linotype" w:cs="Palatino Linotype"/>
          <w:b/>
          <w:sz w:val="22"/>
          <w:szCs w:val="22"/>
        </w:rPr>
      </w:pPr>
    </w:p>
    <w:p w14:paraId="23F95B96" w14:textId="5B5222A4" w:rsidR="00A731B2" w:rsidRPr="00A87AFB" w:rsidRDefault="00A731B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Conforme a lo anterior, en el presente caso, 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no señaló que era inexistente la información; al contrario, precisó que no podía proporcionarla al ser reservada; esto es, </w:t>
      </w:r>
      <w:r w:rsidRPr="00A87AFB">
        <w:rPr>
          <w:rFonts w:ascii="Palatino Linotype" w:eastAsia="Palatino Linotype" w:hAnsi="Palatino Linotype" w:cs="Palatino Linotype"/>
          <w:sz w:val="22"/>
          <w:szCs w:val="22"/>
        </w:rPr>
        <w:lastRenderedPageBreak/>
        <w:t xml:space="preserve">aludió a una clasificación; al respecto, el </w:t>
      </w:r>
      <w:r w:rsidRPr="00A87AFB">
        <w:rPr>
          <w:rFonts w:ascii="Palatino Linotype" w:eastAsia="Palatino Linotype" w:hAnsi="Palatino Linotype" w:cs="Palatino Linotype"/>
          <w:b/>
          <w:sz w:val="22"/>
          <w:szCs w:val="22"/>
        </w:rPr>
        <w:t>Criterio</w:t>
      </w:r>
      <w:r w:rsidR="006D1B77" w:rsidRPr="00A87AFB">
        <w:rPr>
          <w:rFonts w:ascii="Palatino Linotype" w:eastAsia="Palatino Linotype" w:hAnsi="Palatino Linotype" w:cs="Palatino Linotype"/>
          <w:b/>
          <w:sz w:val="22"/>
          <w:szCs w:val="22"/>
        </w:rPr>
        <w:t xml:space="preserve"> Orientador</w:t>
      </w:r>
      <w:r w:rsidRPr="00A87AFB">
        <w:rPr>
          <w:rFonts w:ascii="Palatino Linotype" w:eastAsia="Palatino Linotype" w:hAnsi="Palatino Linotype" w:cs="Palatino Linotype"/>
          <w:b/>
          <w:sz w:val="22"/>
          <w:szCs w:val="22"/>
        </w:rPr>
        <w:t xml:space="preserve"> 29/10</w:t>
      </w:r>
      <w:r w:rsidRPr="00A87AFB">
        <w:rPr>
          <w:rFonts w:ascii="Palatino Linotype" w:eastAsia="Palatino Linotype" w:hAnsi="Palatino Linotype" w:cs="Palatino Linotype"/>
          <w:sz w:val="22"/>
          <w:szCs w:val="22"/>
        </w:rPr>
        <w:t>, emitido por el Pleno del entonces Instituto Federal de Acceso a la Información y Protección de Datos, precisa lo siguiente:</w:t>
      </w:r>
    </w:p>
    <w:p w14:paraId="303B3F24"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6BF22403" w14:textId="77777777" w:rsidR="00A731B2" w:rsidRPr="00A87AFB" w:rsidRDefault="00A731B2" w:rsidP="006D7E5E">
      <w:pPr>
        <w:spacing w:line="276" w:lineRule="auto"/>
        <w:ind w:left="851" w:right="567"/>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w:t>
      </w:r>
      <w:r w:rsidRPr="00A87AFB">
        <w:rPr>
          <w:rFonts w:ascii="Palatino Linotype" w:eastAsia="Palatino Linotype" w:hAnsi="Palatino Linotype" w:cs="Palatino Linotype"/>
          <w:b/>
          <w:i/>
          <w:sz w:val="22"/>
          <w:szCs w:val="22"/>
        </w:rPr>
        <w:t>La clasificación y la inexistencia de información son conceptos que no pueden coexistir.</w:t>
      </w:r>
      <w:r w:rsidRPr="00A87AFB">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A87AFB">
        <w:rPr>
          <w:rFonts w:ascii="Palatino Linotype" w:eastAsia="Palatino Linotype" w:hAnsi="Palatino Linotype" w:cs="Palatino Linotype"/>
          <w:i/>
          <w:sz w:val="22"/>
          <w:szCs w:val="22"/>
        </w:rPr>
        <w:t>contenida  en</w:t>
      </w:r>
      <w:proofErr w:type="gramEnd"/>
      <w:r w:rsidRPr="00A87AFB">
        <w:rPr>
          <w:rFonts w:ascii="Palatino Linotype" w:eastAsia="Palatino Linotype" w:hAnsi="Palatino Linotype" w:cs="Palatino Linotype"/>
          <w:i/>
          <w:sz w:val="22"/>
          <w:szCs w:val="22"/>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435C826C" w14:textId="77777777" w:rsidR="00A731B2" w:rsidRPr="00A87AFB" w:rsidRDefault="00A731B2" w:rsidP="00457B44">
      <w:pPr>
        <w:spacing w:line="360" w:lineRule="auto"/>
        <w:rPr>
          <w:rFonts w:ascii="Palatino Linotype" w:eastAsia="Palatino Linotype" w:hAnsi="Palatino Linotype" w:cs="Palatino Linotype"/>
          <w:sz w:val="22"/>
          <w:szCs w:val="22"/>
        </w:rPr>
      </w:pPr>
    </w:p>
    <w:p w14:paraId="4F044279" w14:textId="77777777" w:rsidR="00A731B2" w:rsidRPr="00A87AFB" w:rsidRDefault="00A731B2" w:rsidP="00457B44">
      <w:pPr>
        <w:spacing w:line="360" w:lineRule="auto"/>
        <w:jc w:val="both"/>
        <w:rPr>
          <w:rFonts w:ascii="Palatino Linotype" w:eastAsia="Palatino Linotype" w:hAnsi="Palatino Linotype" w:cs="Palatino Linotype"/>
          <w:b/>
          <w:sz w:val="22"/>
          <w:szCs w:val="22"/>
          <w:u w:val="single"/>
        </w:rPr>
      </w:pPr>
      <w:r w:rsidRPr="00A87AFB">
        <w:rPr>
          <w:rFonts w:ascii="Palatino Linotype" w:eastAsia="Palatino Linotype" w:hAnsi="Palatino Linotype" w:cs="Palatino Linotype"/>
          <w:b/>
          <w:sz w:val="22"/>
          <w:szCs w:val="22"/>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7177029B" w14:textId="77777777" w:rsidR="00A731B2" w:rsidRPr="00A87AFB" w:rsidRDefault="00A731B2" w:rsidP="00457B44">
      <w:pPr>
        <w:spacing w:line="360" w:lineRule="auto"/>
        <w:jc w:val="both"/>
        <w:rPr>
          <w:rFonts w:ascii="Palatino Linotype" w:eastAsia="Palatino Linotype" w:hAnsi="Palatino Linotype" w:cs="Palatino Linotype"/>
          <w:sz w:val="22"/>
          <w:szCs w:val="22"/>
        </w:rPr>
      </w:pPr>
    </w:p>
    <w:p w14:paraId="4C2E1B0A" w14:textId="7907DA25" w:rsidR="00253967" w:rsidRPr="00A87AFB" w:rsidRDefault="00A731B2" w:rsidP="00457B44">
      <w:pPr>
        <w:spacing w:line="360" w:lineRule="auto"/>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 xml:space="preserve">Conforme a lo anterior, se negó el acceso a la información peticionada por la parte </w:t>
      </w:r>
      <w:r w:rsidRPr="00A87AFB">
        <w:rPr>
          <w:rFonts w:ascii="Palatino Linotype" w:eastAsia="Palatino Linotype" w:hAnsi="Palatino Linotype" w:cs="Palatino Linotype"/>
          <w:b/>
          <w:sz w:val="22"/>
          <w:szCs w:val="22"/>
        </w:rPr>
        <w:t>Recurrente</w:t>
      </w:r>
      <w:r w:rsidRPr="00A87AFB">
        <w:rPr>
          <w:rFonts w:ascii="Palatino Linotype" w:eastAsia="Palatino Linotype" w:hAnsi="Palatino Linotype" w:cs="Palatino Linotype"/>
          <w:sz w:val="22"/>
          <w:szCs w:val="22"/>
        </w:rPr>
        <w:t>, al considerar que estaba clasificada</w:t>
      </w:r>
      <w:r w:rsidR="009A512D" w:rsidRPr="00A87AFB">
        <w:rPr>
          <w:rFonts w:ascii="Palatino Linotype" w:eastAsia="Palatino Linotype" w:hAnsi="Palatino Linotype" w:cs="Palatino Linotype"/>
          <w:sz w:val="22"/>
          <w:szCs w:val="22"/>
        </w:rPr>
        <w:t xml:space="preserve"> como reservada</w:t>
      </w:r>
      <w:r w:rsidRPr="00A87AFB">
        <w:rPr>
          <w:rFonts w:ascii="Palatino Linotype" w:eastAsia="Palatino Linotype" w:hAnsi="Palatino Linotype" w:cs="Palatino Linotype"/>
          <w:sz w:val="22"/>
          <w:szCs w:val="22"/>
        </w:rPr>
        <w:t xml:space="preserve">, tan es así que proporcionó el </w:t>
      </w:r>
      <w:r w:rsidRPr="00A87AFB">
        <w:rPr>
          <w:rFonts w:ascii="Palatino Linotype" w:eastAsia="Palatino Linotype" w:hAnsi="Palatino Linotype" w:cs="Palatino Linotype"/>
          <w:b/>
          <w:sz w:val="22"/>
          <w:szCs w:val="22"/>
        </w:rPr>
        <w:t xml:space="preserve">Acta de la Quinta Sesión Extraordinaria del Comité de Transparencia del Municipio de Tenancingo, celebrada el treinta y uno de marzo de dos mil veinticinco, en la que mediante el Acuerdo ACT/TENANCINGO/EXT/05/2025/SEGUNDO se aprobó por unanimidad de votos la clasificación como información reservada en su totalidad de la documentación e información contenida en los expedientes número </w:t>
      </w:r>
      <w:r w:rsidRPr="00A87AFB">
        <w:rPr>
          <w:rFonts w:ascii="Palatino Linotype" w:eastAsia="Palatino Linotype" w:hAnsi="Palatino Linotype" w:cs="Palatino Linotype"/>
          <w:b/>
          <w:sz w:val="22"/>
          <w:szCs w:val="22"/>
        </w:rPr>
        <w:lastRenderedPageBreak/>
        <w:t>PMT058/CM/AI/CP/001/2025 y PMT058/CM/AI/CP/002/2025, por actualizarse a consideración del ente público los supuestos contenidos en artículos 3, fracción II; 12,18,21,23, fracción IV; 24 último párrafo; 25, 59, fracciones I, II, III y V, 150 y 173 de la Ley de Transparencia y Acceso a la Información Pública del Estado de México y Municipios, el numeral Trigésimo Tercero, Trigésimo Cuarto, Trigésimo Quinto, Trigésimo Sexto, de los Lineamientos Generales en materia de clasificación y desclasificación de la Información, así como para la elaboración de versiones públicas.</w:t>
      </w:r>
      <w:r w:rsidRPr="00A87AFB">
        <w:rPr>
          <w:rFonts w:ascii="Palatino Linotype" w:eastAsia="Palatino Linotype" w:hAnsi="Palatino Linotype" w:cs="Palatino Linotype"/>
          <w:b/>
          <w:sz w:val="22"/>
          <w:szCs w:val="22"/>
        </w:rPr>
        <w:cr/>
      </w:r>
    </w:p>
    <w:p w14:paraId="47EFE16D" w14:textId="35C6D4B0" w:rsidR="00A731B2" w:rsidRPr="00A87AFB" w:rsidRDefault="00A731B2"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En ese contexto, resulta necesario analizar el Acta del Comité de Transparencia remitida en respuesta por 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mediante la cual se aprobó la reserva del expediente requerido, a fin de establecer si se cumplieron cabalmente con las formalidades exigidas por la Ley General de Transparencia y Acceso a la Información Pública vigente a la fecha de la solicitud; los Lineamientos Generales en Materia de Clasificación y Desclasificación de la Información, así como para la Elaboración de Versiones Públicas</w:t>
      </w:r>
      <w:r w:rsidR="00253967" w:rsidRPr="00A87AFB">
        <w:rPr>
          <w:rFonts w:ascii="Palatino Linotype" w:eastAsia="Palatino Linotype" w:hAnsi="Palatino Linotype" w:cs="Palatino Linotype"/>
          <w:sz w:val="22"/>
          <w:szCs w:val="22"/>
        </w:rPr>
        <w:t xml:space="preserve"> vigentes a la fecha de la solicitud</w:t>
      </w:r>
      <w:r w:rsidRPr="00A87AFB">
        <w:rPr>
          <w:rFonts w:ascii="Palatino Linotype" w:eastAsia="Palatino Linotype" w:hAnsi="Palatino Linotype" w:cs="Palatino Linotype"/>
          <w:sz w:val="22"/>
          <w:szCs w:val="22"/>
        </w:rPr>
        <w:t>; y la Ley de Transparencia y Acceso a la Información Pública del Estado de México y Municipios:</w:t>
      </w:r>
    </w:p>
    <w:p w14:paraId="58A7DB34" w14:textId="77777777" w:rsidR="00A731B2" w:rsidRPr="00A87AFB" w:rsidRDefault="00A731B2" w:rsidP="00457B44">
      <w:pPr>
        <w:spacing w:line="360" w:lineRule="auto"/>
        <w:ind w:right="49"/>
        <w:jc w:val="both"/>
        <w:rPr>
          <w:rFonts w:ascii="Palatino Linotype" w:eastAsia="Palatino Linotype" w:hAnsi="Palatino Linotype" w:cs="Palatino Linotype"/>
          <w:b/>
          <w:sz w:val="22"/>
          <w:szCs w:val="22"/>
        </w:rPr>
      </w:pPr>
    </w:p>
    <w:tbl>
      <w:tblPr>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410"/>
        <w:gridCol w:w="5386"/>
      </w:tblGrid>
      <w:tr w:rsidR="00427F23" w:rsidRPr="00A87AFB" w14:paraId="630BE76A" w14:textId="77777777" w:rsidTr="00BC25F0">
        <w:tc>
          <w:tcPr>
            <w:tcW w:w="1378" w:type="dxa"/>
            <w:shd w:val="clear" w:color="auto" w:fill="A6A6A6" w:themeFill="background1" w:themeFillShade="A6"/>
          </w:tcPr>
          <w:p w14:paraId="3A91341B"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Requisito</w:t>
            </w:r>
          </w:p>
        </w:tc>
        <w:tc>
          <w:tcPr>
            <w:tcW w:w="2410" w:type="dxa"/>
            <w:shd w:val="clear" w:color="auto" w:fill="A6A6A6" w:themeFill="background1" w:themeFillShade="A6"/>
            <w:vAlign w:val="bottom"/>
          </w:tcPr>
          <w:p w14:paraId="6F88BDF5"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Cumplió:</w:t>
            </w:r>
          </w:p>
        </w:tc>
        <w:tc>
          <w:tcPr>
            <w:tcW w:w="5386" w:type="dxa"/>
            <w:shd w:val="clear" w:color="auto" w:fill="A6A6A6" w:themeFill="background1" w:themeFillShade="A6"/>
            <w:vAlign w:val="bottom"/>
          </w:tcPr>
          <w:p w14:paraId="6BEC4B26"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Contenido</w:t>
            </w:r>
          </w:p>
        </w:tc>
      </w:tr>
      <w:tr w:rsidR="00427F23" w:rsidRPr="00A87AFB" w14:paraId="7942EF33" w14:textId="77777777" w:rsidTr="00BC25F0">
        <w:tc>
          <w:tcPr>
            <w:tcW w:w="1378" w:type="dxa"/>
            <w:shd w:val="clear" w:color="auto" w:fill="A6A6A6" w:themeFill="background1" w:themeFillShade="A6"/>
            <w:vAlign w:val="center"/>
          </w:tcPr>
          <w:p w14:paraId="5AB9BC07"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Número de folio de la solicitud</w:t>
            </w:r>
          </w:p>
        </w:tc>
        <w:tc>
          <w:tcPr>
            <w:tcW w:w="2410" w:type="dxa"/>
            <w:vAlign w:val="center"/>
          </w:tcPr>
          <w:p w14:paraId="226F2F50"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SI</w:t>
            </w:r>
          </w:p>
        </w:tc>
        <w:tc>
          <w:tcPr>
            <w:tcW w:w="5386" w:type="dxa"/>
            <w:vAlign w:val="center"/>
          </w:tcPr>
          <w:p w14:paraId="1E76D094"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401D95A8" wp14:editId="4A032D0A">
                  <wp:extent cx="3171825" cy="476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1825" cy="476250"/>
                          </a:xfrm>
                          <a:prstGeom prst="rect">
                            <a:avLst/>
                          </a:prstGeom>
                        </pic:spPr>
                      </pic:pic>
                    </a:graphicData>
                  </a:graphic>
                </wp:inline>
              </w:drawing>
            </w:r>
          </w:p>
          <w:p w14:paraId="4F2C804D" w14:textId="77777777" w:rsidR="00A731B2" w:rsidRPr="00A87AFB" w:rsidRDefault="00A731B2" w:rsidP="00457B44">
            <w:pPr>
              <w:ind w:right="49"/>
              <w:jc w:val="both"/>
              <w:rPr>
                <w:rFonts w:ascii="Palatino Linotype" w:eastAsia="Palatino Linotype" w:hAnsi="Palatino Linotype" w:cs="Palatino Linotype"/>
                <w:b/>
                <w:sz w:val="22"/>
                <w:szCs w:val="22"/>
              </w:rPr>
            </w:pPr>
          </w:p>
        </w:tc>
      </w:tr>
      <w:tr w:rsidR="00427F23" w:rsidRPr="00A87AFB" w14:paraId="6A4BB691" w14:textId="77777777" w:rsidTr="00BC25F0">
        <w:trPr>
          <w:trHeight w:val="1825"/>
        </w:trPr>
        <w:tc>
          <w:tcPr>
            <w:tcW w:w="1378" w:type="dxa"/>
            <w:shd w:val="clear" w:color="auto" w:fill="A6A6A6" w:themeFill="background1" w:themeFillShade="A6"/>
            <w:vAlign w:val="center"/>
          </w:tcPr>
          <w:p w14:paraId="17DF6094"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Referencia de la información solicitada</w:t>
            </w:r>
          </w:p>
        </w:tc>
        <w:tc>
          <w:tcPr>
            <w:tcW w:w="2410" w:type="dxa"/>
            <w:vAlign w:val="center"/>
          </w:tcPr>
          <w:p w14:paraId="6F88DAB7"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SI</w:t>
            </w:r>
          </w:p>
          <w:p w14:paraId="703B8D39" w14:textId="77777777" w:rsidR="00A731B2" w:rsidRPr="00A87AFB" w:rsidRDefault="00A731B2" w:rsidP="00457B44">
            <w:pPr>
              <w:ind w:right="49"/>
              <w:jc w:val="center"/>
              <w:rPr>
                <w:rFonts w:ascii="Palatino Linotype" w:eastAsia="Palatino Linotype" w:hAnsi="Palatino Linotype" w:cs="Palatino Linotype"/>
                <w:sz w:val="22"/>
                <w:szCs w:val="22"/>
              </w:rPr>
            </w:pPr>
          </w:p>
        </w:tc>
        <w:tc>
          <w:tcPr>
            <w:tcW w:w="5386" w:type="dxa"/>
            <w:vAlign w:val="center"/>
          </w:tcPr>
          <w:p w14:paraId="37A5AF88"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76E3BEC2" wp14:editId="1A1A086C">
                  <wp:extent cx="3200400" cy="8223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822325"/>
                          </a:xfrm>
                          <a:prstGeom prst="rect">
                            <a:avLst/>
                          </a:prstGeom>
                        </pic:spPr>
                      </pic:pic>
                    </a:graphicData>
                  </a:graphic>
                </wp:inline>
              </w:drawing>
            </w:r>
          </w:p>
        </w:tc>
      </w:tr>
      <w:tr w:rsidR="00427F23" w:rsidRPr="00A87AFB" w14:paraId="07D4B5DD" w14:textId="77777777" w:rsidTr="00BC25F0">
        <w:tc>
          <w:tcPr>
            <w:tcW w:w="1378" w:type="dxa"/>
            <w:shd w:val="clear" w:color="auto" w:fill="A6A6A6" w:themeFill="background1" w:themeFillShade="A6"/>
            <w:vAlign w:val="center"/>
          </w:tcPr>
          <w:p w14:paraId="75A7C16C"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Causal aplicable del artículo </w:t>
            </w:r>
            <w:r w:rsidRPr="00A87AFB">
              <w:rPr>
                <w:rFonts w:ascii="Palatino Linotype" w:eastAsia="Palatino Linotype" w:hAnsi="Palatino Linotype" w:cs="Palatino Linotype"/>
                <w:b/>
                <w:sz w:val="22"/>
                <w:szCs w:val="22"/>
              </w:rPr>
              <w:lastRenderedPageBreak/>
              <w:t>113 de la Ley General, vinculándola con el Lineamiento específico del presente ordenamiento y, cuando corresponda, el supuesto normativo que expresamente le otorga el carácter de información reservada</w:t>
            </w:r>
          </w:p>
        </w:tc>
        <w:tc>
          <w:tcPr>
            <w:tcW w:w="2410" w:type="dxa"/>
            <w:vAlign w:val="center"/>
          </w:tcPr>
          <w:p w14:paraId="3FB449E4"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lastRenderedPageBreak/>
              <w:t xml:space="preserve">NO </w:t>
            </w:r>
          </w:p>
          <w:p w14:paraId="02837AD6" w14:textId="77777777" w:rsidR="00A731B2" w:rsidRPr="00A87AFB" w:rsidRDefault="00A731B2" w:rsidP="00457B44">
            <w:pPr>
              <w:ind w:right="49"/>
              <w:jc w:val="center"/>
              <w:rPr>
                <w:rFonts w:ascii="Palatino Linotype" w:eastAsia="Palatino Linotype" w:hAnsi="Palatino Linotype" w:cs="Palatino Linotype"/>
                <w:b/>
                <w:sz w:val="22"/>
                <w:szCs w:val="22"/>
              </w:rPr>
            </w:pPr>
          </w:p>
          <w:p w14:paraId="2EDDFCCA" w14:textId="7B3CE469" w:rsidR="00A731B2" w:rsidRPr="00A87AFB" w:rsidRDefault="00253967"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noProof/>
                <w:sz w:val="22"/>
                <w:szCs w:val="22"/>
                <w:lang w:val="es-MX"/>
              </w:rPr>
              <mc:AlternateContent>
                <mc:Choice Requires="wpi">
                  <w:drawing>
                    <wp:anchor distT="0" distB="0" distL="114300" distR="114300" simplePos="0" relativeHeight="251667456" behindDoc="0" locked="0" layoutInCell="1" allowOverlap="1" wp14:anchorId="7BC7880C" wp14:editId="6B0C42F0">
                      <wp:simplePos x="0" y="0"/>
                      <wp:positionH relativeFrom="column">
                        <wp:posOffset>1055795</wp:posOffset>
                      </wp:positionH>
                      <wp:positionV relativeFrom="paragraph">
                        <wp:posOffset>2088215</wp:posOffset>
                      </wp:positionV>
                      <wp:extent cx="360" cy="360"/>
                      <wp:effectExtent l="38100" t="38100" r="57150" b="57150"/>
                      <wp:wrapNone/>
                      <wp:docPr id="11" name="Entrada de lápiz 1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oel="http://schemas.microsoft.com/office/2019/extlst">
                  <w:pict>
                    <v:shapetype w14:anchorId="4EC488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1" o:spid="_x0000_s1026" type="#_x0000_t75" style="position:absolute;margin-left:82.45pt;margin-top:163.7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">
                      <v:imagedata r:id="rId15" o:title=""/>
                    </v:shape>
                  </w:pict>
                </mc:Fallback>
              </mc:AlternateContent>
            </w:r>
            <w:r w:rsidRPr="00A87AFB">
              <w:rPr>
                <w:rFonts w:ascii="Palatino Linotype" w:eastAsia="Palatino Linotype" w:hAnsi="Palatino Linotype" w:cs="Palatino Linotype"/>
                <w:noProof/>
                <w:sz w:val="22"/>
                <w:szCs w:val="22"/>
                <w:lang w:val="es-MX"/>
              </w:rPr>
              <mc:AlternateContent>
                <mc:Choice Requires="wpi">
                  <w:drawing>
                    <wp:anchor distT="0" distB="0" distL="114300" distR="114300" simplePos="0" relativeHeight="251666432" behindDoc="0" locked="0" layoutInCell="1" allowOverlap="1" wp14:anchorId="4871F32C" wp14:editId="7A3E4501">
                      <wp:simplePos x="0" y="0"/>
                      <wp:positionH relativeFrom="column">
                        <wp:posOffset>912495</wp:posOffset>
                      </wp:positionH>
                      <wp:positionV relativeFrom="paragraph">
                        <wp:posOffset>3137535</wp:posOffset>
                      </wp:positionV>
                      <wp:extent cx="38100" cy="95610"/>
                      <wp:effectExtent l="38100" t="38100" r="57150" b="57150"/>
                      <wp:wrapNone/>
                      <wp:docPr id="10" name="Entrada de lápiz 10"/>
                      <wp:cNvGraphicFramePr/>
                      <a:graphic xmlns:a="http://schemas.openxmlformats.org/drawingml/2006/main">
                        <a:graphicData uri="http://schemas.microsoft.com/office/word/2010/wordprocessingInk">
                          <w14:contentPart bwMode="auto" r:id="rId16">
                            <w14:nvContentPartPr>
                              <w14:cNvContentPartPr/>
                            </w14:nvContentPartPr>
                            <w14:xfrm>
                              <a:off x="0" y="0"/>
                              <a:ext cx="38100" cy="95610"/>
                            </w14:xfrm>
                          </w14:contentPart>
                        </a:graphicData>
                      </a:graphic>
                    </wp:anchor>
                  </w:drawing>
                </mc:Choice>
                <mc:Fallback xmlns:oel="http://schemas.microsoft.com/office/2019/extlst">
                  <w:pict>
                    <v:shape w14:anchorId="618941F2" id="Entrada de lápiz 10" o:spid="_x0000_s1026" type="#_x0000_t75" style="position:absolute;margin-left:71.15pt;margin-top:246.35pt;width:4.35pt;height:8.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">
                      <v:imagedata r:id="rId17" o:title=""/>
                    </v:shape>
                  </w:pict>
                </mc:Fallback>
              </mc:AlternateContent>
            </w:r>
            <w:r w:rsidRPr="00A87AFB">
              <w:rPr>
                <w:rFonts w:ascii="Palatino Linotype" w:eastAsia="Palatino Linotype" w:hAnsi="Palatino Linotype" w:cs="Palatino Linotype"/>
                <w:noProof/>
                <w:sz w:val="22"/>
                <w:szCs w:val="22"/>
                <w:lang w:val="es-MX"/>
              </w:rPr>
              <mc:AlternateContent>
                <mc:Choice Requires="wpi">
                  <w:drawing>
                    <wp:anchor distT="0" distB="0" distL="114300" distR="114300" simplePos="0" relativeHeight="251662336" behindDoc="0" locked="0" layoutInCell="1" allowOverlap="1" wp14:anchorId="03DC879B" wp14:editId="76D055C6">
                      <wp:simplePos x="0" y="0"/>
                      <wp:positionH relativeFrom="column">
                        <wp:posOffset>303395</wp:posOffset>
                      </wp:positionH>
                      <wp:positionV relativeFrom="paragraph">
                        <wp:posOffset>3116735</wp:posOffset>
                      </wp:positionV>
                      <wp:extent cx="360" cy="360"/>
                      <wp:effectExtent l="38100" t="38100" r="57150" b="57150"/>
                      <wp:wrapNone/>
                      <wp:docPr id="6" name="Entrada de lápiz 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oel="http://schemas.microsoft.com/office/2019/extlst">
                  <w:pict>
                    <v:shape w14:anchorId="44686696" id="Entrada de lápiz 6" o:spid="_x0000_s1026" type="#_x0000_t75" style="position:absolute;margin-left:23.2pt;margin-top:244.7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">
                      <v:imagedata r:id="rId15" o:title=""/>
                    </v:shape>
                  </w:pict>
                </mc:Fallback>
              </mc:AlternateContent>
            </w:r>
            <w:r w:rsidRPr="00A87AFB">
              <w:rPr>
                <w:rFonts w:ascii="Palatino Linotype" w:eastAsia="Palatino Linotype" w:hAnsi="Palatino Linotype" w:cs="Palatino Linotype"/>
                <w:noProof/>
                <w:sz w:val="22"/>
                <w:szCs w:val="22"/>
                <w:lang w:val="es-MX"/>
              </w:rPr>
              <mc:AlternateContent>
                <mc:Choice Requires="wpi">
                  <w:drawing>
                    <wp:anchor distT="0" distB="0" distL="114300" distR="114300" simplePos="0" relativeHeight="251659264" behindDoc="0" locked="0" layoutInCell="1" allowOverlap="1" wp14:anchorId="370EDBA7" wp14:editId="703921A7">
                      <wp:simplePos x="0" y="0"/>
                      <wp:positionH relativeFrom="column">
                        <wp:posOffset>1455395</wp:posOffset>
                      </wp:positionH>
                      <wp:positionV relativeFrom="paragraph">
                        <wp:posOffset>2143655</wp:posOffset>
                      </wp:positionV>
                      <wp:extent cx="1962000" cy="1021680"/>
                      <wp:effectExtent l="57150" t="38100" r="38735" b="45720"/>
                      <wp:wrapNone/>
                      <wp:docPr id="2" name="Entrada de lápiz 2"/>
                      <wp:cNvGraphicFramePr/>
                      <a:graphic xmlns:a="http://schemas.openxmlformats.org/drawingml/2006/main">
                        <a:graphicData uri="http://schemas.microsoft.com/office/word/2010/wordprocessingInk">
                          <w14:contentPart bwMode="auto" r:id="rId19">
                            <w14:nvContentPartPr>
                              <w14:cNvContentPartPr/>
                            </w14:nvContentPartPr>
                            <w14:xfrm>
                              <a:off x="0" y="0"/>
                              <a:ext cx="1962000" cy="1021680"/>
                            </w14:xfrm>
                          </w14:contentPart>
                        </a:graphicData>
                      </a:graphic>
                    </wp:anchor>
                  </w:drawing>
                </mc:Choice>
                <mc:Fallback xmlns:oel="http://schemas.microsoft.com/office/2019/extlst">
                  <w:pict>
                    <v:shape w14:anchorId="74CEEFBE" id="Entrada de lápiz 2" o:spid="_x0000_s1026" type="#_x0000_t75" style="position:absolute;margin-left:113.9pt;margin-top:168.1pt;width:155.95pt;height:81.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">
                      <v:imagedata r:id="rId20" o:title=""/>
                    </v:shape>
                  </w:pict>
                </mc:Fallback>
              </mc:AlternateContent>
            </w:r>
            <w:r w:rsidR="00A731B2" w:rsidRPr="00A87AFB">
              <w:rPr>
                <w:rFonts w:ascii="Palatino Linotype" w:eastAsia="Palatino Linotype" w:hAnsi="Palatino Linotype" w:cs="Palatino Linotype"/>
                <w:sz w:val="22"/>
                <w:szCs w:val="22"/>
              </w:rPr>
              <w:t xml:space="preserve">Dentro de la propuesta y del </w:t>
            </w:r>
            <w:r w:rsidR="00A731B2" w:rsidRPr="00A87AFB">
              <w:rPr>
                <w:rFonts w:ascii="Palatino Linotype" w:eastAsia="Palatino Linotype" w:hAnsi="Palatino Linotype" w:cs="Palatino Linotype"/>
                <w:sz w:val="22"/>
                <w:szCs w:val="22"/>
              </w:rPr>
              <w:lastRenderedPageBreak/>
              <w:t xml:space="preserve">acuerdo de clasificación de la información no se vinculan las causales aplicables con el artículo 140 de la ley de transparencia local, el artículo 113 de la Ley General, así como tampoco con los Lineamientos Generales aplicable al caso concreto; sin </w:t>
            </w:r>
            <w:proofErr w:type="gramStart"/>
            <w:r w:rsidR="00A731B2" w:rsidRPr="00A87AFB">
              <w:rPr>
                <w:rFonts w:ascii="Palatino Linotype" w:eastAsia="Palatino Linotype" w:hAnsi="Palatino Linotype" w:cs="Palatino Linotype"/>
                <w:sz w:val="22"/>
                <w:szCs w:val="22"/>
              </w:rPr>
              <w:t>embargo</w:t>
            </w:r>
            <w:proofErr w:type="gramEnd"/>
            <w:r w:rsidR="00A731B2" w:rsidRPr="00A87AFB">
              <w:rPr>
                <w:rFonts w:ascii="Palatino Linotype" w:eastAsia="Palatino Linotype" w:hAnsi="Palatino Linotype" w:cs="Palatino Linotype"/>
                <w:sz w:val="22"/>
                <w:szCs w:val="22"/>
              </w:rPr>
              <w:t xml:space="preserve"> dentro del desarrollo</w:t>
            </w:r>
            <w:r w:rsidR="0086690C" w:rsidRPr="00A87AFB">
              <w:rPr>
                <w:rFonts w:ascii="Palatino Linotype" w:eastAsia="Palatino Linotype" w:hAnsi="Palatino Linotype" w:cs="Palatino Linotype"/>
                <w:sz w:val="22"/>
                <w:szCs w:val="22"/>
              </w:rPr>
              <w:t xml:space="preserve"> del acuerdo se citan algunos. </w:t>
            </w:r>
          </w:p>
        </w:tc>
        <w:tc>
          <w:tcPr>
            <w:tcW w:w="5386" w:type="dxa"/>
            <w:vAlign w:val="center"/>
          </w:tcPr>
          <w:p w14:paraId="153792CA" w14:textId="77777777" w:rsidR="00A731B2" w:rsidRPr="00A87AFB" w:rsidRDefault="00A731B2" w:rsidP="00457B44">
            <w:pPr>
              <w:ind w:right="49"/>
              <w:jc w:val="both"/>
              <w:rPr>
                <w:rFonts w:ascii="Palatino Linotype" w:eastAsia="Palatino Linotype" w:hAnsi="Palatino Linotype" w:cs="Palatino Linotype"/>
                <w:sz w:val="22"/>
                <w:szCs w:val="22"/>
              </w:rPr>
            </w:pPr>
          </w:p>
          <w:p w14:paraId="10070991" w14:textId="77777777"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noProof/>
                <w:sz w:val="22"/>
                <w:szCs w:val="22"/>
                <w:lang w:val="es-MX"/>
              </w:rPr>
              <w:lastRenderedPageBreak/>
              <w:drawing>
                <wp:inline distT="0" distB="0" distL="0" distR="0" wp14:anchorId="73C1D918" wp14:editId="6EB260F5">
                  <wp:extent cx="3286125" cy="1409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6125" cy="1409700"/>
                          </a:xfrm>
                          <a:prstGeom prst="rect">
                            <a:avLst/>
                          </a:prstGeom>
                        </pic:spPr>
                      </pic:pic>
                    </a:graphicData>
                  </a:graphic>
                </wp:inline>
              </w:drawing>
            </w:r>
          </w:p>
          <w:p w14:paraId="7906C804" w14:textId="77777777" w:rsidR="00A731B2" w:rsidRPr="00A87AFB" w:rsidRDefault="00A731B2" w:rsidP="00457B44">
            <w:pPr>
              <w:ind w:right="49"/>
              <w:jc w:val="center"/>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w:t>
            </w:r>
          </w:p>
          <w:p w14:paraId="14343CD3" w14:textId="77777777"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noProof/>
                <w:sz w:val="22"/>
                <w:szCs w:val="22"/>
                <w:lang w:val="es-MX"/>
              </w:rPr>
              <w:drawing>
                <wp:inline distT="0" distB="0" distL="0" distR="0" wp14:anchorId="4C3E7EEE" wp14:editId="149847E8">
                  <wp:extent cx="3282950" cy="7105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2950" cy="710565"/>
                          </a:xfrm>
                          <a:prstGeom prst="rect">
                            <a:avLst/>
                          </a:prstGeom>
                        </pic:spPr>
                      </pic:pic>
                    </a:graphicData>
                  </a:graphic>
                </wp:inline>
              </w:drawing>
            </w:r>
          </w:p>
          <w:p w14:paraId="330E3428" w14:textId="06D1569C" w:rsidR="00A731B2" w:rsidRPr="00A87AFB" w:rsidRDefault="00253967"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noProof/>
                <w:sz w:val="22"/>
                <w:szCs w:val="22"/>
                <w:lang w:val="es-MX"/>
              </w:rPr>
              <mc:AlternateContent>
                <mc:Choice Requires="wpi">
                  <w:drawing>
                    <wp:anchor distT="0" distB="0" distL="114300" distR="114300" simplePos="0" relativeHeight="251661312" behindDoc="0" locked="0" layoutInCell="1" allowOverlap="1" wp14:anchorId="27F45406" wp14:editId="194DB1F3">
                      <wp:simplePos x="0" y="0"/>
                      <wp:positionH relativeFrom="column">
                        <wp:posOffset>3859485</wp:posOffset>
                      </wp:positionH>
                      <wp:positionV relativeFrom="paragraph">
                        <wp:posOffset>186830</wp:posOffset>
                      </wp:positionV>
                      <wp:extent cx="360" cy="360"/>
                      <wp:effectExtent l="38100" t="38100" r="57150" b="57150"/>
                      <wp:wrapNone/>
                      <wp:docPr id="5" name="Entrada de lápiz 5"/>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oel="http://schemas.microsoft.com/office/2019/extlst">
                  <w:pict>
                    <v:shape w14:anchorId="04E1506A" id="Entrada de lápiz 5" o:spid="_x0000_s1026" type="#_x0000_t75" style="position:absolute;margin-left:303.2pt;margin-top:14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">
                      <v:imagedata r:id="rId15" o:title=""/>
                    </v:shape>
                  </w:pict>
                </mc:Fallback>
              </mc:AlternateContent>
            </w:r>
          </w:p>
          <w:p w14:paraId="42F3C3A3" w14:textId="65B99CC1"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noProof/>
                <w:sz w:val="22"/>
                <w:szCs w:val="22"/>
                <w:lang w:val="es-MX"/>
              </w:rPr>
              <w:drawing>
                <wp:inline distT="0" distB="0" distL="0" distR="0" wp14:anchorId="310B41C9" wp14:editId="1CBF818A">
                  <wp:extent cx="3282950" cy="3581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6196"/>
                          <a:stretch/>
                        </pic:blipFill>
                        <pic:spPr bwMode="auto">
                          <a:xfrm>
                            <a:off x="0" y="0"/>
                            <a:ext cx="3282950" cy="3581400"/>
                          </a:xfrm>
                          <a:prstGeom prst="rect">
                            <a:avLst/>
                          </a:prstGeom>
                          <a:ln>
                            <a:noFill/>
                          </a:ln>
                          <a:extLst>
                            <a:ext uri="{53640926-AAD7-44D8-BBD7-CCE9431645EC}">
                              <a14:shadowObscured xmlns:a14="http://schemas.microsoft.com/office/drawing/2010/main"/>
                            </a:ext>
                          </a:extLst>
                        </pic:spPr>
                      </pic:pic>
                    </a:graphicData>
                  </a:graphic>
                </wp:inline>
              </w:drawing>
            </w:r>
          </w:p>
          <w:p w14:paraId="1CA52DA4" w14:textId="77777777" w:rsidR="00A731B2" w:rsidRPr="00A87AFB" w:rsidRDefault="00A731B2" w:rsidP="00457B44">
            <w:pPr>
              <w:ind w:right="49"/>
              <w:jc w:val="center"/>
              <w:rPr>
                <w:rFonts w:ascii="Palatino Linotype" w:eastAsia="Palatino Linotype" w:hAnsi="Palatino Linotype" w:cs="Palatino Linotype"/>
                <w:sz w:val="22"/>
                <w:szCs w:val="22"/>
              </w:rPr>
            </w:pPr>
            <w:r w:rsidRPr="00A87AFB">
              <w:rPr>
                <w:rFonts w:ascii="Palatino Linotype" w:eastAsia="Palatino Linotype" w:hAnsi="Palatino Linotype" w:cs="Palatino Linotype"/>
                <w:i/>
                <w:sz w:val="22"/>
                <w:szCs w:val="22"/>
              </w:rPr>
              <w:t>[…]”</w:t>
            </w:r>
          </w:p>
        </w:tc>
      </w:tr>
      <w:tr w:rsidR="00427F23" w:rsidRPr="00A87AFB" w14:paraId="45D277D7" w14:textId="77777777" w:rsidTr="00BC25F0">
        <w:tc>
          <w:tcPr>
            <w:tcW w:w="1378" w:type="dxa"/>
            <w:shd w:val="clear" w:color="auto" w:fill="A6A6A6" w:themeFill="background1" w:themeFillShade="A6"/>
            <w:vAlign w:val="center"/>
          </w:tcPr>
          <w:p w14:paraId="06518521"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lastRenderedPageBreak/>
              <w:t>Fundamento y Motivación Legal</w:t>
            </w:r>
          </w:p>
        </w:tc>
        <w:tc>
          <w:tcPr>
            <w:tcW w:w="2410" w:type="dxa"/>
            <w:vAlign w:val="center"/>
          </w:tcPr>
          <w:p w14:paraId="006CEC0E"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Parcialmente.</w:t>
            </w:r>
          </w:p>
          <w:p w14:paraId="6DA876E0" w14:textId="77777777" w:rsidR="00A731B2" w:rsidRPr="00A87AFB" w:rsidRDefault="00A731B2" w:rsidP="00457B44">
            <w:pPr>
              <w:ind w:right="49"/>
              <w:jc w:val="center"/>
              <w:rPr>
                <w:rFonts w:ascii="Palatino Linotype" w:eastAsia="Palatino Linotype" w:hAnsi="Palatino Linotype" w:cs="Palatino Linotype"/>
                <w:b/>
                <w:sz w:val="22"/>
                <w:szCs w:val="22"/>
              </w:rPr>
            </w:pPr>
          </w:p>
          <w:p w14:paraId="72E56C81" w14:textId="77777777" w:rsidR="00A731B2" w:rsidRPr="00A87AFB" w:rsidRDefault="00A731B2" w:rsidP="00457B44">
            <w:pPr>
              <w:ind w:right="49"/>
              <w:jc w:val="both"/>
              <w:rPr>
                <w:rFonts w:ascii="Palatino Linotype" w:eastAsia="Palatino Linotype" w:hAnsi="Palatino Linotype" w:cs="Palatino Linotype"/>
                <w:sz w:val="22"/>
                <w:szCs w:val="22"/>
              </w:rPr>
            </w:pPr>
          </w:p>
          <w:p w14:paraId="66808347" w14:textId="72DC3B2C"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No se citó las causales aplicables con el artículo 113 de la Ley General,</w:t>
            </w:r>
            <w:r w:rsidR="0086690C"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tampoco se citó correctamente el artículo de los Lineamientos Generales aplicables al caso concreto.</w:t>
            </w:r>
          </w:p>
          <w:p w14:paraId="6B3922B7" w14:textId="77777777" w:rsidR="00A731B2" w:rsidRPr="00A87AFB" w:rsidRDefault="00A731B2" w:rsidP="00457B44">
            <w:pPr>
              <w:ind w:right="49"/>
              <w:jc w:val="both"/>
              <w:rPr>
                <w:rFonts w:ascii="Palatino Linotype" w:eastAsia="Palatino Linotype" w:hAnsi="Palatino Linotype" w:cs="Palatino Linotype"/>
                <w:sz w:val="22"/>
                <w:szCs w:val="22"/>
              </w:rPr>
            </w:pPr>
          </w:p>
        </w:tc>
        <w:tc>
          <w:tcPr>
            <w:tcW w:w="5386" w:type="dxa"/>
            <w:vAlign w:val="center"/>
          </w:tcPr>
          <w:p w14:paraId="09F5C437"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271FD09E" wp14:editId="0A9306C2">
                  <wp:extent cx="3133583" cy="3143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7210"/>
                          <a:stretch/>
                        </pic:blipFill>
                        <pic:spPr bwMode="auto">
                          <a:xfrm>
                            <a:off x="0" y="0"/>
                            <a:ext cx="3140127" cy="3149814"/>
                          </a:xfrm>
                          <a:prstGeom prst="rect">
                            <a:avLst/>
                          </a:prstGeom>
                          <a:ln>
                            <a:noFill/>
                          </a:ln>
                          <a:extLst>
                            <a:ext uri="{53640926-AAD7-44D8-BBD7-CCE9431645EC}">
                              <a14:shadowObscured xmlns:a14="http://schemas.microsoft.com/office/drawing/2010/main"/>
                            </a:ext>
                          </a:extLst>
                        </pic:spPr>
                      </pic:pic>
                    </a:graphicData>
                  </a:graphic>
                </wp:inline>
              </w:drawing>
            </w:r>
          </w:p>
          <w:p w14:paraId="34751DAA" w14:textId="77777777" w:rsidR="00A731B2" w:rsidRPr="00A87AFB" w:rsidRDefault="00A731B2" w:rsidP="00457B44">
            <w:pPr>
              <w:ind w:right="49"/>
              <w:jc w:val="both"/>
              <w:rPr>
                <w:rFonts w:ascii="Palatino Linotype" w:eastAsia="Palatino Linotype" w:hAnsi="Palatino Linotype" w:cs="Palatino Linotype"/>
                <w:b/>
                <w:sz w:val="22"/>
                <w:szCs w:val="22"/>
              </w:rPr>
            </w:pPr>
          </w:p>
          <w:p w14:paraId="0BFFD8A1"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4576ED49" wp14:editId="7E79D4D2">
                  <wp:extent cx="3282950" cy="1228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2950" cy="1228725"/>
                          </a:xfrm>
                          <a:prstGeom prst="rect">
                            <a:avLst/>
                          </a:prstGeom>
                        </pic:spPr>
                      </pic:pic>
                    </a:graphicData>
                  </a:graphic>
                </wp:inline>
              </w:drawing>
            </w:r>
          </w:p>
          <w:p w14:paraId="7126521B"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22E66B2F" wp14:editId="7CAABD51">
                  <wp:extent cx="3282950" cy="111569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2950" cy="1115695"/>
                          </a:xfrm>
                          <a:prstGeom prst="rect">
                            <a:avLst/>
                          </a:prstGeom>
                        </pic:spPr>
                      </pic:pic>
                    </a:graphicData>
                  </a:graphic>
                </wp:inline>
              </w:drawing>
            </w:r>
          </w:p>
          <w:p w14:paraId="6628C9CC" w14:textId="77777777" w:rsidR="00A731B2" w:rsidRPr="00A87AFB" w:rsidRDefault="00A731B2" w:rsidP="00457B44">
            <w:pPr>
              <w:ind w:right="49"/>
              <w:jc w:val="both"/>
              <w:rPr>
                <w:rFonts w:ascii="Palatino Linotype" w:eastAsia="Palatino Linotype" w:hAnsi="Palatino Linotype" w:cs="Palatino Linotype"/>
                <w:b/>
                <w:sz w:val="22"/>
                <w:szCs w:val="22"/>
              </w:rPr>
            </w:pPr>
          </w:p>
        </w:tc>
      </w:tr>
      <w:tr w:rsidR="00427F23" w:rsidRPr="00A87AFB" w14:paraId="479E3F11" w14:textId="77777777" w:rsidTr="00BC25F0">
        <w:tc>
          <w:tcPr>
            <w:tcW w:w="1378" w:type="dxa"/>
            <w:shd w:val="clear" w:color="auto" w:fill="A6A6A6" w:themeFill="background1" w:themeFillShade="A6"/>
            <w:vAlign w:val="center"/>
          </w:tcPr>
          <w:p w14:paraId="364C600D"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 xml:space="preserve">Conexión entre los fundamentos y motivos que dieron origen a la Reserva de la </w:t>
            </w:r>
            <w:r w:rsidRPr="00A87AFB">
              <w:rPr>
                <w:rFonts w:ascii="Palatino Linotype" w:eastAsia="Palatino Linotype" w:hAnsi="Palatino Linotype" w:cs="Palatino Linotype"/>
                <w:b/>
                <w:sz w:val="22"/>
                <w:szCs w:val="22"/>
              </w:rPr>
              <w:lastRenderedPageBreak/>
              <w:t>información</w:t>
            </w:r>
          </w:p>
        </w:tc>
        <w:tc>
          <w:tcPr>
            <w:tcW w:w="2410" w:type="dxa"/>
            <w:vAlign w:val="center"/>
          </w:tcPr>
          <w:p w14:paraId="2B0DB09C"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lastRenderedPageBreak/>
              <w:t>NO</w:t>
            </w:r>
          </w:p>
          <w:p w14:paraId="473D1B00" w14:textId="77777777" w:rsidR="00A731B2" w:rsidRPr="00A87AFB" w:rsidRDefault="00A731B2" w:rsidP="00457B44">
            <w:pPr>
              <w:ind w:right="49"/>
              <w:jc w:val="center"/>
              <w:rPr>
                <w:rFonts w:ascii="Palatino Linotype" w:eastAsia="Palatino Linotype" w:hAnsi="Palatino Linotype" w:cs="Palatino Linotype"/>
                <w:b/>
                <w:sz w:val="22"/>
                <w:szCs w:val="22"/>
              </w:rPr>
            </w:pPr>
          </w:p>
          <w:p w14:paraId="0E41B009" w14:textId="77777777"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Del acta no se desprende una conexidad entre los fundamentos y motivos por los que se procedió a reservar la información.</w:t>
            </w:r>
          </w:p>
        </w:tc>
        <w:tc>
          <w:tcPr>
            <w:tcW w:w="5386" w:type="dxa"/>
            <w:vAlign w:val="center"/>
          </w:tcPr>
          <w:p w14:paraId="090B055E"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3D2DC510" wp14:editId="1FEDBB60">
                  <wp:extent cx="3282950" cy="50736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2950" cy="507365"/>
                          </a:xfrm>
                          <a:prstGeom prst="rect">
                            <a:avLst/>
                          </a:prstGeom>
                        </pic:spPr>
                      </pic:pic>
                    </a:graphicData>
                  </a:graphic>
                </wp:inline>
              </w:drawing>
            </w:r>
          </w:p>
          <w:p w14:paraId="06D98E31"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lastRenderedPageBreak/>
              <w:drawing>
                <wp:inline distT="0" distB="0" distL="0" distR="0" wp14:anchorId="7E3A0D11" wp14:editId="1414320D">
                  <wp:extent cx="3282950" cy="39865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2950" cy="3986530"/>
                          </a:xfrm>
                          <a:prstGeom prst="rect">
                            <a:avLst/>
                          </a:prstGeom>
                        </pic:spPr>
                      </pic:pic>
                    </a:graphicData>
                  </a:graphic>
                </wp:inline>
              </w:drawing>
            </w:r>
          </w:p>
          <w:p w14:paraId="63309343" w14:textId="77777777" w:rsidR="00A731B2" w:rsidRPr="00A87AFB" w:rsidRDefault="00A731B2" w:rsidP="00457B44">
            <w:pPr>
              <w:ind w:right="49"/>
              <w:jc w:val="both"/>
              <w:rPr>
                <w:rFonts w:ascii="Palatino Linotype" w:eastAsia="Palatino Linotype" w:hAnsi="Palatino Linotype" w:cs="Palatino Linotype"/>
                <w:b/>
                <w:sz w:val="22"/>
                <w:szCs w:val="22"/>
              </w:rPr>
            </w:pPr>
          </w:p>
          <w:p w14:paraId="598E6AA6" w14:textId="77777777" w:rsidR="00A731B2" w:rsidRPr="00A87AFB" w:rsidRDefault="00A731B2" w:rsidP="00457B44">
            <w:pPr>
              <w:ind w:right="49"/>
              <w:jc w:val="both"/>
              <w:rPr>
                <w:rFonts w:ascii="Palatino Linotype" w:eastAsia="Palatino Linotype" w:hAnsi="Palatino Linotype" w:cs="Palatino Linotype"/>
                <w:b/>
                <w:sz w:val="22"/>
                <w:szCs w:val="22"/>
              </w:rPr>
            </w:pPr>
          </w:p>
        </w:tc>
      </w:tr>
      <w:tr w:rsidR="00427F23" w:rsidRPr="00A87AFB" w14:paraId="48CE38A9" w14:textId="77777777" w:rsidTr="00BC25F0">
        <w:tc>
          <w:tcPr>
            <w:tcW w:w="9174" w:type="dxa"/>
            <w:gridSpan w:val="3"/>
            <w:shd w:val="clear" w:color="auto" w:fill="A6A6A6" w:themeFill="background1" w:themeFillShade="A6"/>
            <w:vAlign w:val="center"/>
          </w:tcPr>
          <w:p w14:paraId="1CE64412"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lastRenderedPageBreak/>
              <w:t>Prueba de Daño</w:t>
            </w:r>
          </w:p>
        </w:tc>
      </w:tr>
      <w:tr w:rsidR="00427F23" w:rsidRPr="00A87AFB" w14:paraId="4615EB01" w14:textId="77777777" w:rsidTr="00BC25F0">
        <w:tc>
          <w:tcPr>
            <w:tcW w:w="1378" w:type="dxa"/>
            <w:shd w:val="clear" w:color="auto" w:fill="A6A6A6" w:themeFill="background1" w:themeFillShade="A6"/>
            <w:vAlign w:val="center"/>
          </w:tcPr>
          <w:p w14:paraId="2A60883B"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Riesgo Real, Demostrable e Identificable</w:t>
            </w:r>
          </w:p>
          <w:p w14:paraId="54571B4B"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(Modo, Tiempo y Lugar)</w:t>
            </w:r>
          </w:p>
        </w:tc>
        <w:tc>
          <w:tcPr>
            <w:tcW w:w="2410" w:type="dxa"/>
            <w:vAlign w:val="center"/>
          </w:tcPr>
          <w:p w14:paraId="2CBF009C"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Parcialmente</w:t>
            </w:r>
          </w:p>
          <w:p w14:paraId="36873DE2" w14:textId="77777777" w:rsidR="00A731B2" w:rsidRPr="00A87AFB" w:rsidRDefault="00A731B2" w:rsidP="00457B44">
            <w:pPr>
              <w:ind w:right="49"/>
              <w:jc w:val="center"/>
              <w:rPr>
                <w:rFonts w:ascii="Palatino Linotype" w:eastAsia="Palatino Linotype" w:hAnsi="Palatino Linotype" w:cs="Palatino Linotype"/>
                <w:b/>
                <w:sz w:val="22"/>
                <w:szCs w:val="22"/>
              </w:rPr>
            </w:pPr>
          </w:p>
          <w:p w14:paraId="7D5DDF70" w14:textId="77777777"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Debido a que no se exponen los argumentos tendientes a demostrar el Riesgo Real, Demostrable e Identificable, que existe al hacer la entrega de la información.</w:t>
            </w:r>
          </w:p>
          <w:p w14:paraId="1551D1D0" w14:textId="77777777" w:rsidR="00A731B2" w:rsidRPr="00A87AFB" w:rsidRDefault="00A731B2" w:rsidP="00457B44">
            <w:pPr>
              <w:ind w:right="49"/>
              <w:jc w:val="both"/>
              <w:rPr>
                <w:rFonts w:ascii="Palatino Linotype" w:eastAsia="Palatino Linotype" w:hAnsi="Palatino Linotype" w:cs="Palatino Linotype"/>
                <w:sz w:val="22"/>
                <w:szCs w:val="22"/>
              </w:rPr>
            </w:pPr>
          </w:p>
        </w:tc>
        <w:tc>
          <w:tcPr>
            <w:tcW w:w="5386" w:type="dxa"/>
            <w:vAlign w:val="center"/>
          </w:tcPr>
          <w:p w14:paraId="7EEAD16E"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65D0CD59" wp14:editId="1662CB1E">
                  <wp:extent cx="3282950" cy="27044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2950" cy="2704465"/>
                          </a:xfrm>
                          <a:prstGeom prst="rect">
                            <a:avLst/>
                          </a:prstGeom>
                        </pic:spPr>
                      </pic:pic>
                    </a:graphicData>
                  </a:graphic>
                </wp:inline>
              </w:drawing>
            </w:r>
          </w:p>
          <w:p w14:paraId="117163FF" w14:textId="77777777" w:rsidR="00A731B2" w:rsidRPr="00A87AFB" w:rsidRDefault="00A731B2" w:rsidP="00457B44">
            <w:pPr>
              <w:ind w:right="49"/>
              <w:jc w:val="both"/>
              <w:rPr>
                <w:rFonts w:ascii="Palatino Linotype" w:eastAsia="Palatino Linotype" w:hAnsi="Palatino Linotype" w:cs="Palatino Linotype"/>
                <w:b/>
                <w:sz w:val="22"/>
                <w:szCs w:val="22"/>
              </w:rPr>
            </w:pPr>
          </w:p>
        </w:tc>
      </w:tr>
      <w:tr w:rsidR="00427F23" w:rsidRPr="00A87AFB" w14:paraId="7AD2CF14" w14:textId="77777777" w:rsidTr="00BC25F0">
        <w:tc>
          <w:tcPr>
            <w:tcW w:w="1378" w:type="dxa"/>
            <w:shd w:val="clear" w:color="auto" w:fill="A6A6A6" w:themeFill="background1" w:themeFillShade="A6"/>
            <w:vAlign w:val="center"/>
          </w:tcPr>
          <w:p w14:paraId="51E55623"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lastRenderedPageBreak/>
              <w:t>Temporalidad de la Reserva de la información</w:t>
            </w:r>
          </w:p>
        </w:tc>
        <w:tc>
          <w:tcPr>
            <w:tcW w:w="2410" w:type="dxa"/>
            <w:shd w:val="clear" w:color="auto" w:fill="auto"/>
            <w:vAlign w:val="center"/>
          </w:tcPr>
          <w:p w14:paraId="66264F35"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SI</w:t>
            </w:r>
          </w:p>
        </w:tc>
        <w:tc>
          <w:tcPr>
            <w:tcW w:w="5386" w:type="dxa"/>
            <w:vAlign w:val="center"/>
          </w:tcPr>
          <w:p w14:paraId="66B9A3EE" w14:textId="77777777" w:rsidR="00A731B2" w:rsidRPr="00A87AFB" w:rsidRDefault="00A731B2" w:rsidP="00457B44">
            <w:pPr>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w:t>
            </w:r>
            <w:r w:rsidRPr="00A87AFB">
              <w:rPr>
                <w:rFonts w:ascii="Palatino Linotype" w:eastAsia="Palatino Linotype" w:hAnsi="Palatino Linotype" w:cs="Palatino Linotype"/>
                <w:b/>
                <w:i/>
                <w:sz w:val="22"/>
                <w:szCs w:val="22"/>
              </w:rPr>
              <w:t>por un periodo de cinco años</w:t>
            </w:r>
            <w:r w:rsidRPr="00A87AFB">
              <w:rPr>
                <w:rFonts w:ascii="Palatino Linotype" w:eastAsia="Palatino Linotype" w:hAnsi="Palatino Linotype" w:cs="Palatino Linotype"/>
                <w:b/>
                <w:sz w:val="22"/>
                <w:szCs w:val="22"/>
              </w:rPr>
              <w:t>.”</w:t>
            </w:r>
          </w:p>
        </w:tc>
      </w:tr>
      <w:tr w:rsidR="00427F23" w:rsidRPr="00A87AFB" w14:paraId="697D273B" w14:textId="77777777" w:rsidTr="00BC25F0">
        <w:trPr>
          <w:trHeight w:val="3517"/>
        </w:trPr>
        <w:tc>
          <w:tcPr>
            <w:tcW w:w="1378" w:type="dxa"/>
            <w:shd w:val="clear" w:color="auto" w:fill="A6A6A6" w:themeFill="background1" w:themeFillShade="A6"/>
            <w:vAlign w:val="center"/>
          </w:tcPr>
          <w:p w14:paraId="045F2882"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Autoridades competentes.</w:t>
            </w:r>
          </w:p>
        </w:tc>
        <w:tc>
          <w:tcPr>
            <w:tcW w:w="2410" w:type="dxa"/>
            <w:vAlign w:val="center"/>
          </w:tcPr>
          <w:p w14:paraId="51A1A89D" w14:textId="77777777" w:rsidR="00A731B2" w:rsidRPr="00A87AFB" w:rsidRDefault="00A731B2" w:rsidP="00457B44">
            <w:pPr>
              <w:ind w:right="49"/>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SI</w:t>
            </w:r>
          </w:p>
        </w:tc>
        <w:tc>
          <w:tcPr>
            <w:tcW w:w="5386" w:type="dxa"/>
          </w:tcPr>
          <w:p w14:paraId="41CE8160" w14:textId="77777777" w:rsidR="00A731B2" w:rsidRPr="00A87AFB" w:rsidRDefault="00A731B2" w:rsidP="00457B44">
            <w:pPr>
              <w:ind w:right="49"/>
              <w:jc w:val="both"/>
              <w:rPr>
                <w:rFonts w:ascii="Palatino Linotype" w:eastAsia="Palatino Linotype" w:hAnsi="Palatino Linotype" w:cs="Palatino Linotype"/>
                <w:b/>
                <w:sz w:val="22"/>
                <w:szCs w:val="22"/>
              </w:rPr>
            </w:pPr>
          </w:p>
          <w:p w14:paraId="2A4620C2" w14:textId="77777777" w:rsidR="00A731B2" w:rsidRPr="00A87AFB" w:rsidRDefault="00A731B2" w:rsidP="00457B44">
            <w:pPr>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noProof/>
                <w:sz w:val="22"/>
                <w:szCs w:val="22"/>
                <w:lang w:val="es-MX"/>
              </w:rPr>
              <w:drawing>
                <wp:inline distT="0" distB="0" distL="0" distR="0" wp14:anchorId="6716F412" wp14:editId="769E3CE3">
                  <wp:extent cx="3282950" cy="22332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2950" cy="2233295"/>
                          </a:xfrm>
                          <a:prstGeom prst="rect">
                            <a:avLst/>
                          </a:prstGeom>
                        </pic:spPr>
                      </pic:pic>
                    </a:graphicData>
                  </a:graphic>
                </wp:inline>
              </w:drawing>
            </w:r>
          </w:p>
          <w:p w14:paraId="5F6386FE" w14:textId="77777777" w:rsidR="00A731B2" w:rsidRPr="00A87AFB" w:rsidRDefault="00A731B2" w:rsidP="00457B44">
            <w:pPr>
              <w:ind w:right="49"/>
              <w:jc w:val="both"/>
              <w:rPr>
                <w:rFonts w:ascii="Palatino Linotype" w:eastAsia="Palatino Linotype" w:hAnsi="Palatino Linotype" w:cs="Palatino Linotype"/>
                <w:b/>
                <w:sz w:val="22"/>
                <w:szCs w:val="22"/>
              </w:rPr>
            </w:pPr>
          </w:p>
          <w:p w14:paraId="083EBA49" w14:textId="77777777" w:rsidR="00A731B2" w:rsidRPr="00A87AFB" w:rsidRDefault="00A731B2" w:rsidP="00457B44">
            <w:pPr>
              <w:ind w:right="49"/>
              <w:jc w:val="both"/>
              <w:rPr>
                <w:rFonts w:ascii="Palatino Linotype" w:eastAsia="Palatino Linotype" w:hAnsi="Palatino Linotype" w:cs="Palatino Linotype"/>
                <w:b/>
                <w:sz w:val="22"/>
                <w:szCs w:val="22"/>
              </w:rPr>
            </w:pPr>
          </w:p>
        </w:tc>
      </w:tr>
    </w:tbl>
    <w:p w14:paraId="015702CA" w14:textId="77777777" w:rsidR="00A731B2" w:rsidRPr="00A87AFB" w:rsidRDefault="00A731B2" w:rsidP="00457B44">
      <w:pPr>
        <w:spacing w:line="360" w:lineRule="auto"/>
        <w:ind w:right="49"/>
        <w:jc w:val="both"/>
        <w:rPr>
          <w:rFonts w:ascii="Palatino Linotype" w:eastAsia="Palatino Linotype" w:hAnsi="Palatino Linotype" w:cs="Palatino Linotype"/>
          <w:b/>
          <w:sz w:val="22"/>
          <w:szCs w:val="22"/>
        </w:rPr>
      </w:pPr>
    </w:p>
    <w:p w14:paraId="46B3C5CE" w14:textId="6271B264" w:rsidR="001D6E25" w:rsidRPr="00A87AFB" w:rsidRDefault="001D6E25" w:rsidP="00457B44">
      <w:pPr>
        <w:spacing w:line="360" w:lineRule="auto"/>
        <w:jc w:val="both"/>
        <w:rPr>
          <w:rFonts w:ascii="Palatino Linotype" w:hAnsi="Palatino Linotype" w:cs="Tahoma"/>
          <w:bCs/>
          <w:i/>
          <w:sz w:val="22"/>
          <w:szCs w:val="22"/>
        </w:rPr>
      </w:pPr>
      <w:r w:rsidRPr="00A87AFB">
        <w:rPr>
          <w:rFonts w:ascii="Palatino Linotype" w:hAnsi="Palatino Linotype"/>
          <w:sz w:val="22"/>
          <w:szCs w:val="22"/>
        </w:rPr>
        <w:t>Es así que, del análisis al</w:t>
      </w:r>
      <w:r w:rsidRPr="00A87AFB">
        <w:rPr>
          <w:rFonts w:ascii="Palatino Linotype" w:hAnsi="Palatino Linotype" w:cs="Arial"/>
          <w:sz w:val="22"/>
          <w:szCs w:val="22"/>
        </w:rPr>
        <w:t xml:space="preserve"> </w:t>
      </w:r>
      <w:r w:rsidRPr="00A87AFB">
        <w:rPr>
          <w:rFonts w:ascii="Palatino Linotype" w:hAnsi="Palatino Linotype"/>
          <w:sz w:val="22"/>
          <w:szCs w:val="22"/>
        </w:rPr>
        <w:t xml:space="preserve">Acta </w:t>
      </w:r>
      <w:r w:rsidRPr="00A87AFB">
        <w:rPr>
          <w:rFonts w:ascii="Palatino Linotype" w:hAnsi="Palatino Linotype" w:cs="Arial"/>
          <w:sz w:val="22"/>
          <w:szCs w:val="22"/>
        </w:rPr>
        <w:t xml:space="preserve">emitida por el Comité de Transparencia, </w:t>
      </w:r>
      <w:r w:rsidRPr="00A87AFB">
        <w:rPr>
          <w:rFonts w:ascii="Palatino Linotype" w:hAnsi="Palatino Linotype" w:cs="Tahoma"/>
          <w:iCs/>
          <w:sz w:val="22"/>
          <w:szCs w:val="22"/>
        </w:rPr>
        <w:t xml:space="preserve">se tiene que </w:t>
      </w:r>
      <w:r w:rsidRPr="00A87AFB">
        <w:rPr>
          <w:rFonts w:ascii="Palatino Linotype" w:hAnsi="Palatino Linotype"/>
          <w:sz w:val="22"/>
          <w:szCs w:val="22"/>
          <w:lang w:val="es-MX"/>
        </w:rPr>
        <w:t xml:space="preserve">el </w:t>
      </w:r>
      <w:r w:rsidRPr="00A87AFB">
        <w:rPr>
          <w:rFonts w:ascii="Palatino Linotype" w:hAnsi="Palatino Linotype"/>
          <w:b/>
          <w:bCs/>
          <w:sz w:val="22"/>
          <w:szCs w:val="22"/>
          <w:lang w:val="es-MX"/>
        </w:rPr>
        <w:t>Sujeto Obligado</w:t>
      </w:r>
      <w:r w:rsidRPr="00A87AFB">
        <w:rPr>
          <w:rFonts w:ascii="Palatino Linotype" w:hAnsi="Palatino Linotype"/>
          <w:bCs/>
          <w:sz w:val="22"/>
          <w:szCs w:val="22"/>
          <w:lang w:val="es-MX"/>
        </w:rPr>
        <w:t xml:space="preserve"> </w:t>
      </w:r>
      <w:r w:rsidRPr="00A87AFB">
        <w:rPr>
          <w:rFonts w:ascii="Palatino Linotype" w:hAnsi="Palatino Linotype"/>
          <w:b/>
          <w:bCs/>
          <w:sz w:val="22"/>
          <w:szCs w:val="22"/>
          <w:u w:val="single"/>
          <w:lang w:val="es-MX"/>
        </w:rPr>
        <w:t>no fundó y</w:t>
      </w:r>
      <w:r w:rsidRPr="00A87AFB">
        <w:rPr>
          <w:rFonts w:ascii="Palatino Linotype" w:hAnsi="Palatino Linotype"/>
          <w:b/>
          <w:sz w:val="22"/>
          <w:szCs w:val="22"/>
          <w:u w:val="single"/>
          <w:lang w:val="es-MX"/>
        </w:rPr>
        <w:t xml:space="preserve"> motivó adecuadamente la clasificación de la información solicitada</w:t>
      </w:r>
      <w:r w:rsidRPr="00A87AFB">
        <w:rPr>
          <w:rFonts w:ascii="Palatino Linotype" w:hAnsi="Palatino Linotype"/>
          <w:sz w:val="22"/>
          <w:szCs w:val="22"/>
          <w:lang w:val="es-MX"/>
        </w:rPr>
        <w:t>, ya que no señal</w:t>
      </w:r>
      <w:r w:rsidR="00253967" w:rsidRPr="00A87AFB">
        <w:rPr>
          <w:rFonts w:ascii="Palatino Linotype" w:hAnsi="Palatino Linotype"/>
          <w:sz w:val="22"/>
          <w:szCs w:val="22"/>
          <w:lang w:val="es-MX"/>
        </w:rPr>
        <w:t>ó</w:t>
      </w:r>
      <w:r w:rsidRPr="00A87AFB">
        <w:rPr>
          <w:rFonts w:ascii="Palatino Linotype" w:hAnsi="Palatino Linotype"/>
          <w:sz w:val="22"/>
          <w:szCs w:val="22"/>
          <w:lang w:val="es-MX"/>
        </w:rPr>
        <w:t xml:space="preserve"> las razones, motivos o circunstancias especiales que lo llevaron a concluir que el caso concreto se ajusta a la hipótesis prevista por la norma legal que fundamenta el acto, </w:t>
      </w:r>
      <w:r w:rsidRPr="00A87AFB">
        <w:rPr>
          <w:rFonts w:ascii="Palatino Linotype" w:hAnsi="Palatino Linotype"/>
          <w:b/>
          <w:sz w:val="22"/>
          <w:szCs w:val="22"/>
          <w:u w:val="single"/>
          <w:lang w:val="es-MX"/>
        </w:rPr>
        <w:t>tampoco precisó correctamente los fundamentos legales aplicables al caso concreto</w:t>
      </w:r>
      <w:r w:rsidRPr="00A87AFB">
        <w:rPr>
          <w:rFonts w:ascii="Palatino Linotype" w:hAnsi="Palatino Linotype"/>
          <w:sz w:val="22"/>
          <w:szCs w:val="22"/>
          <w:lang w:val="es-MX"/>
        </w:rPr>
        <w:t xml:space="preserve">, así como, </w:t>
      </w:r>
      <w:r w:rsidRPr="00A87AFB">
        <w:rPr>
          <w:rFonts w:ascii="Palatino Linotype" w:hAnsi="Palatino Linotype"/>
          <w:b/>
          <w:sz w:val="22"/>
          <w:szCs w:val="22"/>
          <w:u w:val="single"/>
          <w:lang w:val="es-MX"/>
        </w:rPr>
        <w:t>no desarrolló la prueba de daño cabalmente</w:t>
      </w:r>
      <w:r w:rsidRPr="00A87AFB">
        <w:rPr>
          <w:rFonts w:ascii="Palatino Linotype" w:hAnsi="Palatino Linotype"/>
          <w:sz w:val="22"/>
          <w:szCs w:val="22"/>
          <w:lang w:val="es-MX"/>
        </w:rPr>
        <w:t xml:space="preserve">, es decir; </w:t>
      </w:r>
    </w:p>
    <w:p w14:paraId="79B85523" w14:textId="77777777" w:rsidR="001D6E25" w:rsidRPr="00A87AFB" w:rsidRDefault="001D6E25" w:rsidP="00457B44">
      <w:pPr>
        <w:spacing w:line="360" w:lineRule="auto"/>
        <w:jc w:val="both"/>
        <w:rPr>
          <w:rFonts w:ascii="Palatino Linotype" w:hAnsi="Palatino Linotype"/>
          <w:sz w:val="22"/>
          <w:szCs w:val="22"/>
          <w:lang w:val="es-MX"/>
        </w:rPr>
      </w:pPr>
    </w:p>
    <w:p w14:paraId="2FA70FBC" w14:textId="17A1613F" w:rsidR="001D6E25" w:rsidRPr="00A87AFB" w:rsidRDefault="001D6E25" w:rsidP="00457B44">
      <w:pPr>
        <w:pStyle w:val="Prrafodelista"/>
        <w:numPr>
          <w:ilvl w:val="0"/>
          <w:numId w:val="39"/>
        </w:numPr>
        <w:spacing w:line="360" w:lineRule="auto"/>
        <w:ind w:right="616"/>
        <w:contextualSpacing w:val="0"/>
        <w:jc w:val="both"/>
        <w:rPr>
          <w:rFonts w:ascii="Palatino Linotype" w:hAnsi="Palatino Linotype"/>
          <w:sz w:val="22"/>
          <w:szCs w:val="22"/>
          <w:lang w:val="es-MX"/>
        </w:rPr>
      </w:pPr>
      <w:r w:rsidRPr="00A87AFB">
        <w:rPr>
          <w:rFonts w:ascii="Palatino Linotype" w:hAnsi="Palatino Linotype"/>
          <w:sz w:val="22"/>
          <w:szCs w:val="22"/>
          <w:lang w:val="es-MX"/>
        </w:rPr>
        <w:t>No señaló los fundamentos legales que resultaban aplicables al caso concreto; así como tampoco, preciso las razones objetivas por las que la exhibición de la información generaría una afectación;</w:t>
      </w:r>
    </w:p>
    <w:p w14:paraId="3713680E" w14:textId="77777777" w:rsidR="001D6E25" w:rsidRPr="00A87AFB" w:rsidRDefault="001D6E25" w:rsidP="00457B44">
      <w:pPr>
        <w:pStyle w:val="Prrafodelista"/>
        <w:numPr>
          <w:ilvl w:val="0"/>
          <w:numId w:val="39"/>
        </w:numPr>
        <w:spacing w:line="360" w:lineRule="auto"/>
        <w:ind w:right="616"/>
        <w:contextualSpacing w:val="0"/>
        <w:jc w:val="both"/>
        <w:rPr>
          <w:rFonts w:ascii="Palatino Linotype" w:hAnsi="Palatino Linotype"/>
          <w:sz w:val="22"/>
          <w:szCs w:val="22"/>
          <w:lang w:val="es-MX"/>
        </w:rPr>
      </w:pPr>
      <w:r w:rsidRPr="00A87AFB">
        <w:rPr>
          <w:rFonts w:ascii="Palatino Linotype" w:hAnsi="Palatino Linotype"/>
          <w:sz w:val="22"/>
          <w:szCs w:val="22"/>
          <w:lang w:val="es-MX"/>
        </w:rPr>
        <w:t xml:space="preserve"> No justificó que la divulgación de la información representa un riesgo real, demostrable e identificable en perjuicio del interés público.</w:t>
      </w:r>
    </w:p>
    <w:p w14:paraId="4DF43148" w14:textId="5D562D4B" w:rsidR="001D6E25" w:rsidRPr="00A87AFB" w:rsidRDefault="001D6E25" w:rsidP="00457B44">
      <w:pPr>
        <w:pStyle w:val="Prrafodelista"/>
        <w:numPr>
          <w:ilvl w:val="0"/>
          <w:numId w:val="39"/>
        </w:numPr>
        <w:spacing w:line="360" w:lineRule="auto"/>
        <w:ind w:right="616"/>
        <w:contextualSpacing w:val="0"/>
        <w:jc w:val="both"/>
        <w:rPr>
          <w:rFonts w:ascii="Palatino Linotype" w:hAnsi="Palatino Linotype"/>
          <w:sz w:val="22"/>
          <w:szCs w:val="22"/>
          <w:lang w:val="es-MX"/>
        </w:rPr>
      </w:pPr>
      <w:r w:rsidRPr="00A87AFB">
        <w:rPr>
          <w:rFonts w:ascii="Palatino Linotype" w:hAnsi="Palatino Linotype"/>
          <w:sz w:val="22"/>
          <w:szCs w:val="22"/>
          <w:lang w:val="es-MX"/>
        </w:rPr>
        <w:lastRenderedPageBreak/>
        <w:t>No justificó que el riesgo del perjuicio que supondría dicha divulgación, supera el interés público general de que se difunda.</w:t>
      </w:r>
    </w:p>
    <w:p w14:paraId="2C138321" w14:textId="77777777" w:rsidR="001D6E25" w:rsidRPr="00A87AFB" w:rsidRDefault="001D6E25" w:rsidP="00457B44">
      <w:pPr>
        <w:pStyle w:val="Prrafodelista"/>
        <w:spacing w:line="360" w:lineRule="auto"/>
        <w:ind w:left="0"/>
        <w:jc w:val="both"/>
        <w:rPr>
          <w:rFonts w:ascii="Palatino Linotype" w:hAnsi="Palatino Linotype" w:cs="Arial"/>
          <w:sz w:val="22"/>
          <w:szCs w:val="22"/>
        </w:rPr>
      </w:pPr>
    </w:p>
    <w:p w14:paraId="039A5904" w14:textId="77777777" w:rsidR="001D6E25" w:rsidRPr="00A87AFB" w:rsidRDefault="001D6E25" w:rsidP="00457B44">
      <w:pPr>
        <w:spacing w:line="360" w:lineRule="auto"/>
        <w:jc w:val="both"/>
        <w:rPr>
          <w:rFonts w:ascii="Palatino Linotype" w:hAnsi="Palatino Linotype"/>
          <w:b/>
          <w:bCs/>
          <w:sz w:val="22"/>
          <w:szCs w:val="22"/>
          <w:u w:val="single"/>
        </w:rPr>
      </w:pPr>
      <w:r w:rsidRPr="00A87AFB">
        <w:rPr>
          <w:rFonts w:ascii="Palatino Linotype" w:hAnsi="Palatino Linotype"/>
          <w:b/>
          <w:bCs/>
          <w:sz w:val="22"/>
          <w:szCs w:val="22"/>
          <w:u w:val="single"/>
        </w:rPr>
        <w:t xml:space="preserve">Es así que, este Organismo Garante determina que el Comité de Transparencia no fundamentó ni motivo adecuadamente la clasificación de la información, ya que, no acreditó fehacientemente que la divulgación de la información lesiona el interés jurídicamente protegido por la normatividad aplicable y que el daño que puede producirse con la publicidad de la información es mayor que el interés de conocerla. </w:t>
      </w:r>
    </w:p>
    <w:p w14:paraId="5355A1A1" w14:textId="77777777" w:rsidR="001D6E25" w:rsidRPr="00A87AFB" w:rsidRDefault="001D6E25" w:rsidP="00457B44">
      <w:pPr>
        <w:spacing w:line="360" w:lineRule="auto"/>
        <w:jc w:val="both"/>
        <w:rPr>
          <w:rFonts w:ascii="Palatino Linotype" w:hAnsi="Palatino Linotype" w:cs="Arial"/>
          <w:sz w:val="22"/>
          <w:szCs w:val="22"/>
        </w:rPr>
      </w:pPr>
    </w:p>
    <w:p w14:paraId="6F54146F" w14:textId="435B2CD1" w:rsidR="001D6E25" w:rsidRPr="00A87AFB" w:rsidRDefault="001D6E25" w:rsidP="00457B44">
      <w:pPr>
        <w:spacing w:line="360" w:lineRule="auto"/>
        <w:jc w:val="both"/>
        <w:rPr>
          <w:rFonts w:ascii="Palatino Linotype" w:hAnsi="Palatino Linotype" w:cs="Arial"/>
          <w:b/>
          <w:sz w:val="22"/>
          <w:szCs w:val="22"/>
        </w:rPr>
      </w:pPr>
      <w:r w:rsidRPr="00A87AFB">
        <w:rPr>
          <w:rFonts w:ascii="Palatino Linotype" w:hAnsi="Palatino Linotype" w:cs="Arial"/>
          <w:sz w:val="22"/>
          <w:szCs w:val="22"/>
        </w:rPr>
        <w:t xml:space="preserve">Por tales consideraciones, si bien, resulta procedente la </w:t>
      </w:r>
      <w:r w:rsidRPr="00A87AFB">
        <w:rPr>
          <w:rFonts w:ascii="Palatino Linotype" w:hAnsi="Palatino Linotype" w:cs="Arial"/>
          <w:b/>
          <w:sz w:val="22"/>
          <w:szCs w:val="22"/>
        </w:rPr>
        <w:t>reserva de la información relacionada con los expedientes con número PMT058/CM/AI/CP/001/2025 y PMT058/CM/AI/CP/002/2025, en términos del artículo 140, fracción VI de la Ley de Transparencia y Acceso a la Información Pública del Estado de México y su correlativo 113, fracción IX de la Ley General</w:t>
      </w:r>
      <w:r w:rsidRPr="00A87AFB">
        <w:rPr>
          <w:rFonts w:ascii="Palatino Linotype" w:hAnsi="Palatino Linotype" w:cs="Arial"/>
          <w:bCs/>
          <w:sz w:val="22"/>
          <w:szCs w:val="22"/>
        </w:rPr>
        <w:t>, también</w:t>
      </w:r>
      <w:r w:rsidRPr="00A87AFB">
        <w:rPr>
          <w:rFonts w:ascii="Palatino Linotype" w:hAnsi="Palatino Linotype" w:cs="Arial"/>
          <w:sz w:val="22"/>
          <w:szCs w:val="22"/>
        </w:rPr>
        <w:t xml:space="preserve"> lo es que en el Acta emitida por el Comité de Transparencia del Sujeto Obligado no fundamentó, ni motivó adecuadamente la clasificación de dicha información. </w:t>
      </w:r>
    </w:p>
    <w:p w14:paraId="07A0E688" w14:textId="77777777" w:rsidR="001D6E25" w:rsidRPr="00A87AFB" w:rsidRDefault="001D6E25" w:rsidP="00457B44">
      <w:pPr>
        <w:spacing w:line="360" w:lineRule="auto"/>
        <w:jc w:val="both"/>
        <w:rPr>
          <w:rFonts w:ascii="Palatino Linotype" w:hAnsi="Palatino Linotype" w:cs="Arial"/>
          <w:sz w:val="22"/>
          <w:szCs w:val="22"/>
        </w:rPr>
      </w:pPr>
    </w:p>
    <w:p w14:paraId="42B89ACA" w14:textId="34DC7C4E" w:rsidR="001D6E25" w:rsidRPr="00A87AFB" w:rsidRDefault="001D6E25" w:rsidP="00457B44">
      <w:pPr>
        <w:spacing w:line="360" w:lineRule="auto"/>
        <w:jc w:val="both"/>
        <w:rPr>
          <w:rFonts w:ascii="Palatino Linotype" w:hAnsi="Palatino Linotype" w:cs="Tahoma"/>
          <w:sz w:val="22"/>
          <w:szCs w:val="22"/>
        </w:rPr>
      </w:pPr>
      <w:r w:rsidRPr="00A87AFB">
        <w:rPr>
          <w:rFonts w:ascii="Palatino Linotype" w:hAnsi="Palatino Linotype" w:cs="Arial"/>
          <w:sz w:val="22"/>
          <w:szCs w:val="22"/>
        </w:rPr>
        <w:t xml:space="preserve">Por lo que, se determina que los agravios del Particular son </w:t>
      </w:r>
      <w:r w:rsidR="004340F2" w:rsidRPr="00A87AFB">
        <w:rPr>
          <w:rFonts w:ascii="Palatino Linotype" w:hAnsi="Palatino Linotype" w:cs="Arial"/>
          <w:b/>
          <w:sz w:val="22"/>
          <w:szCs w:val="22"/>
        </w:rPr>
        <w:t xml:space="preserve">parcialmente fundados </w:t>
      </w:r>
      <w:r w:rsidRPr="00A87AFB">
        <w:rPr>
          <w:rFonts w:ascii="Palatino Linotype" w:hAnsi="Palatino Linotype" w:cs="Arial"/>
          <w:sz w:val="22"/>
          <w:szCs w:val="22"/>
        </w:rPr>
        <w:t xml:space="preserve">y, </w:t>
      </w:r>
      <w:r w:rsidRPr="00A87AFB">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4340F2" w:rsidRPr="00A87AFB">
        <w:rPr>
          <w:rFonts w:ascii="Palatino Linotype" w:hAnsi="Palatino Linotype" w:cs="Tahoma"/>
          <w:b/>
          <w:bCs/>
          <w:sz w:val="22"/>
          <w:szCs w:val="22"/>
        </w:rPr>
        <w:t>m</w:t>
      </w:r>
      <w:r w:rsidRPr="00A87AFB">
        <w:rPr>
          <w:rFonts w:ascii="Palatino Linotype" w:hAnsi="Palatino Linotype" w:cs="Tahoma"/>
          <w:b/>
          <w:bCs/>
          <w:sz w:val="22"/>
          <w:szCs w:val="22"/>
        </w:rPr>
        <w:t xml:space="preserve">odificar </w:t>
      </w:r>
      <w:r w:rsidRPr="00A87AFB">
        <w:rPr>
          <w:rFonts w:ascii="Palatino Linotype" w:hAnsi="Palatino Linotype" w:cs="Tahoma"/>
          <w:sz w:val="22"/>
          <w:szCs w:val="22"/>
        </w:rPr>
        <w:t>la respuesta del Ayuntamiento de Tenanc</w:t>
      </w:r>
      <w:r w:rsidR="006D1B77" w:rsidRPr="00A87AFB">
        <w:rPr>
          <w:rFonts w:ascii="Palatino Linotype" w:hAnsi="Palatino Linotype" w:cs="Tahoma"/>
          <w:sz w:val="22"/>
          <w:szCs w:val="22"/>
        </w:rPr>
        <w:t xml:space="preserve">ingo, a efecto de que entregue, </w:t>
      </w:r>
      <w:r w:rsidRPr="00A87AFB">
        <w:rPr>
          <w:rFonts w:ascii="Palatino Linotype" w:hAnsi="Palatino Linotype" w:cs="Tahoma"/>
          <w:sz w:val="22"/>
          <w:szCs w:val="22"/>
        </w:rPr>
        <w:t>a través del Sistema de Acceso a la Información Mexiquense (SAIMEX), lo siguiente:</w:t>
      </w:r>
    </w:p>
    <w:p w14:paraId="217A2E16" w14:textId="77777777" w:rsidR="00253967" w:rsidRPr="00A87AFB" w:rsidRDefault="00253967" w:rsidP="00457B44">
      <w:pPr>
        <w:spacing w:line="360" w:lineRule="auto"/>
        <w:jc w:val="both"/>
        <w:rPr>
          <w:rFonts w:ascii="Palatino Linotype" w:hAnsi="Palatino Linotype" w:cs="Tahoma"/>
          <w:sz w:val="22"/>
          <w:szCs w:val="22"/>
        </w:rPr>
      </w:pPr>
    </w:p>
    <w:p w14:paraId="6CAC0E78" w14:textId="47D68B4D" w:rsidR="00A03969" w:rsidRPr="00A87AFB" w:rsidRDefault="00A03969" w:rsidP="00457B44">
      <w:pPr>
        <w:pStyle w:val="Prrafodelista"/>
        <w:numPr>
          <w:ilvl w:val="0"/>
          <w:numId w:val="40"/>
        </w:numPr>
        <w:spacing w:line="360" w:lineRule="auto"/>
        <w:ind w:right="616"/>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 xml:space="preserve">Acuerdo del Comité de Transparencia en el que se clasifique como información reservada, los acuerdos de radicación y las diligencias de investigación efectuadas por el órgano de control interno, que sustentan el procedimiento de investigación de los expedientes con número </w:t>
      </w:r>
      <w:r w:rsidRPr="00A87AFB">
        <w:rPr>
          <w:rFonts w:ascii="Palatino Linotype" w:eastAsia="Palatino Linotype" w:hAnsi="Palatino Linotype" w:cs="Palatino Linotype"/>
          <w:sz w:val="22"/>
          <w:szCs w:val="22"/>
        </w:rPr>
        <w:lastRenderedPageBreak/>
        <w:t>PMT058/CM/AI/CP/001/2025 y PMT058/CM/AI/CP/002/2025, de conformidad con los artículos 128, 129, 135 y 140</w:t>
      </w:r>
      <w:r w:rsidR="0086690C" w:rsidRPr="00A87AFB">
        <w:rPr>
          <w:rFonts w:ascii="Palatino Linotype" w:eastAsia="Palatino Linotype" w:hAnsi="Palatino Linotype" w:cs="Palatino Linotype"/>
          <w:sz w:val="22"/>
          <w:szCs w:val="22"/>
        </w:rPr>
        <w:t xml:space="preserve"> fracción</w:t>
      </w:r>
      <w:r w:rsidR="00CF5226" w:rsidRPr="00A87AFB">
        <w:rPr>
          <w:rFonts w:ascii="Palatino Linotype" w:eastAsia="Palatino Linotype" w:hAnsi="Palatino Linotype" w:cs="Palatino Linotype"/>
          <w:sz w:val="22"/>
          <w:szCs w:val="22"/>
        </w:rPr>
        <w:t xml:space="preserve"> VI</w:t>
      </w:r>
      <w:r w:rsidR="0086690C"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 xml:space="preserve">de la Ley de Transparencia y Acceso a la Información Pública del Estado de México y Municipios. </w:t>
      </w:r>
    </w:p>
    <w:p w14:paraId="488B343A" w14:textId="77777777" w:rsidR="00C264AD" w:rsidRPr="00A87AFB" w:rsidRDefault="00C264AD" w:rsidP="00457B44">
      <w:pPr>
        <w:spacing w:line="360" w:lineRule="auto"/>
        <w:ind w:right="49"/>
        <w:jc w:val="both"/>
        <w:rPr>
          <w:rFonts w:ascii="Palatino Linotype" w:eastAsia="Palatino Linotype" w:hAnsi="Palatino Linotype" w:cs="Palatino Linotype"/>
          <w:sz w:val="22"/>
          <w:szCs w:val="22"/>
        </w:rPr>
      </w:pPr>
    </w:p>
    <w:p w14:paraId="4C3E6855" w14:textId="77777777" w:rsidR="004340F2" w:rsidRPr="00A87AFB" w:rsidRDefault="00247528" w:rsidP="00457B44">
      <w:pPr>
        <w:spacing w:line="360" w:lineRule="auto"/>
        <w:ind w:right="49"/>
        <w:jc w:val="both"/>
        <w:rPr>
          <w:rFonts w:ascii="Palatino Linotype" w:eastAsia="Palatino Linotype" w:hAnsi="Palatino Linotype" w:cs="Palatino Linotype"/>
          <w:b/>
          <w:sz w:val="22"/>
          <w:szCs w:val="22"/>
        </w:rPr>
      </w:pPr>
      <w:r w:rsidRPr="00A87AFB">
        <w:rPr>
          <w:rFonts w:ascii="Palatino Linotype" w:eastAsia="Palatino Linotype" w:hAnsi="Palatino Linotype" w:cs="Palatino Linotype"/>
          <w:sz w:val="22"/>
          <w:szCs w:val="22"/>
        </w:rPr>
        <w:t xml:space="preserve">Es así como, en mérito de lo expuesto en líneas anteriores, resultan </w:t>
      </w:r>
      <w:r w:rsidR="00A03969" w:rsidRPr="00A87AFB">
        <w:rPr>
          <w:rFonts w:ascii="Palatino Linotype" w:eastAsia="Palatino Linotype" w:hAnsi="Palatino Linotype" w:cs="Palatino Linotype"/>
          <w:sz w:val="22"/>
          <w:szCs w:val="22"/>
        </w:rPr>
        <w:t xml:space="preserve">parcialmente </w:t>
      </w:r>
      <w:r w:rsidRPr="00A87AFB">
        <w:rPr>
          <w:rFonts w:ascii="Palatino Linotype" w:eastAsia="Palatino Linotype" w:hAnsi="Palatino Linotype" w:cs="Palatino Linotype"/>
          <w:sz w:val="22"/>
          <w:szCs w:val="22"/>
        </w:rPr>
        <w:t xml:space="preserve">fundadas las razones o motivos de inconformidad hechos valer por la parte </w:t>
      </w:r>
      <w:r w:rsidR="004340F2" w:rsidRPr="00A87AFB">
        <w:rPr>
          <w:rFonts w:ascii="Palatino Linotype" w:eastAsia="Palatino Linotype" w:hAnsi="Palatino Linotype" w:cs="Palatino Linotype"/>
          <w:b/>
          <w:sz w:val="22"/>
          <w:szCs w:val="22"/>
        </w:rPr>
        <w:t>Recurrente</w:t>
      </w:r>
      <w:r w:rsidR="004340F2"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sz w:val="22"/>
          <w:szCs w:val="22"/>
        </w:rPr>
        <w:t xml:space="preserve">dentro del recurso de revisión </w:t>
      </w:r>
      <w:r w:rsidR="00A03969" w:rsidRPr="00A87AFB">
        <w:rPr>
          <w:rFonts w:ascii="Palatino Linotype" w:eastAsia="Palatino Linotype" w:hAnsi="Palatino Linotype" w:cs="Palatino Linotype"/>
          <w:b/>
          <w:sz w:val="22"/>
          <w:szCs w:val="22"/>
        </w:rPr>
        <w:t>03949</w:t>
      </w:r>
      <w:r w:rsidRPr="00A87AFB">
        <w:rPr>
          <w:rFonts w:ascii="Palatino Linotype" w:eastAsia="Palatino Linotype" w:hAnsi="Palatino Linotype" w:cs="Palatino Linotype"/>
          <w:b/>
          <w:sz w:val="22"/>
          <w:szCs w:val="22"/>
        </w:rPr>
        <w:t>/INFOEM/IP/RR/2025</w:t>
      </w:r>
      <w:r w:rsidRPr="00A87AFB">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004340F2" w:rsidRPr="00A87AFB">
        <w:rPr>
          <w:rFonts w:ascii="Palatino Linotype" w:eastAsia="Palatino Linotype" w:hAnsi="Palatino Linotype" w:cs="Palatino Linotype"/>
          <w:b/>
          <w:sz w:val="22"/>
          <w:szCs w:val="22"/>
        </w:rPr>
        <w:t>m</w:t>
      </w:r>
      <w:r w:rsidR="00A03969" w:rsidRPr="00A87AFB">
        <w:rPr>
          <w:rFonts w:ascii="Palatino Linotype" w:eastAsia="Palatino Linotype" w:hAnsi="Palatino Linotype" w:cs="Palatino Linotype"/>
          <w:b/>
          <w:sz w:val="22"/>
          <w:szCs w:val="22"/>
        </w:rPr>
        <w:t xml:space="preserve">odifica </w:t>
      </w:r>
      <w:r w:rsidRPr="00A87AFB">
        <w:rPr>
          <w:rFonts w:ascii="Palatino Linotype" w:eastAsia="Palatino Linotype" w:hAnsi="Palatino Linotype" w:cs="Palatino Linotype"/>
          <w:sz w:val="22"/>
          <w:szCs w:val="22"/>
        </w:rPr>
        <w:t xml:space="preserve">la respuesta del </w:t>
      </w:r>
      <w:r w:rsidR="004340F2" w:rsidRPr="00A87AFB">
        <w:rPr>
          <w:rFonts w:ascii="Palatino Linotype" w:eastAsia="Palatino Linotype" w:hAnsi="Palatino Linotype" w:cs="Palatino Linotype"/>
          <w:b/>
          <w:sz w:val="22"/>
          <w:szCs w:val="22"/>
        </w:rPr>
        <w:t xml:space="preserve">Sujeto Obligado </w:t>
      </w:r>
      <w:r w:rsidRPr="00A87AFB">
        <w:rPr>
          <w:rFonts w:ascii="Palatino Linotype" w:eastAsia="Palatino Linotype" w:hAnsi="Palatino Linotype" w:cs="Palatino Linotype"/>
          <w:sz w:val="22"/>
          <w:szCs w:val="22"/>
        </w:rPr>
        <w:t xml:space="preserve">a la solicitud de información </w:t>
      </w:r>
      <w:r w:rsidR="00A03969" w:rsidRPr="00A87AFB">
        <w:rPr>
          <w:rFonts w:ascii="Palatino Linotype" w:eastAsia="Palatino Linotype" w:hAnsi="Palatino Linotype" w:cs="Palatino Linotype"/>
          <w:b/>
          <w:sz w:val="22"/>
          <w:szCs w:val="22"/>
        </w:rPr>
        <w:t>00318/TENANCIN/IP/2025</w:t>
      </w:r>
      <w:r w:rsidRPr="00A87AFB">
        <w:rPr>
          <w:rFonts w:ascii="Palatino Linotype" w:eastAsia="Palatino Linotype" w:hAnsi="Palatino Linotype" w:cs="Palatino Linotype"/>
          <w:b/>
          <w:sz w:val="22"/>
          <w:szCs w:val="22"/>
        </w:rPr>
        <w:t>.</w:t>
      </w:r>
    </w:p>
    <w:p w14:paraId="59257443" w14:textId="5B91B1E3" w:rsidR="00197609" w:rsidRPr="00A87AFB" w:rsidRDefault="00197609" w:rsidP="00457B44">
      <w:pPr>
        <w:spacing w:line="360" w:lineRule="auto"/>
        <w:ind w:right="49"/>
        <w:jc w:val="both"/>
        <w:rPr>
          <w:rFonts w:ascii="Palatino Linotype" w:eastAsia="Palatino Linotype" w:hAnsi="Palatino Linotype" w:cs="Palatino Linotype"/>
          <w:sz w:val="22"/>
          <w:szCs w:val="22"/>
        </w:rPr>
      </w:pPr>
    </w:p>
    <w:p w14:paraId="09BE9016" w14:textId="77777777" w:rsidR="00197609" w:rsidRPr="00A87AFB" w:rsidRDefault="00247528" w:rsidP="00457B44">
      <w:pPr>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A87AFB">
        <w:rPr>
          <w:rFonts w:ascii="Palatino Linotype" w:eastAsia="Palatino Linotype" w:hAnsi="Palatino Linotype" w:cs="Palatino Linotype"/>
          <w:b/>
          <w:sz w:val="22"/>
          <w:szCs w:val="22"/>
        </w:rPr>
        <w:t>R E S U E L V E:</w:t>
      </w:r>
    </w:p>
    <w:p w14:paraId="798D2372" w14:textId="77777777" w:rsidR="004340F2" w:rsidRPr="00A87AFB" w:rsidRDefault="004340F2" w:rsidP="00457B44">
      <w:pPr>
        <w:spacing w:line="360" w:lineRule="auto"/>
        <w:jc w:val="both"/>
        <w:rPr>
          <w:rFonts w:ascii="Palatino Linotype" w:eastAsia="Palatino Linotype" w:hAnsi="Palatino Linotype" w:cs="Palatino Linotype"/>
          <w:b/>
          <w:sz w:val="22"/>
          <w:szCs w:val="22"/>
        </w:rPr>
      </w:pPr>
    </w:p>
    <w:p w14:paraId="6EAA5CCD" w14:textId="5357F4D6" w:rsidR="00197609" w:rsidRPr="00A87AFB"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Primero. </w:t>
      </w:r>
      <w:r w:rsidRPr="00A87AFB">
        <w:rPr>
          <w:rFonts w:ascii="Palatino Linotype" w:eastAsia="Palatino Linotype" w:hAnsi="Palatino Linotype" w:cs="Palatino Linotype"/>
          <w:sz w:val="22"/>
          <w:szCs w:val="22"/>
        </w:rPr>
        <w:t xml:space="preserve">Resultan </w:t>
      </w:r>
      <w:r w:rsidR="00A03969" w:rsidRPr="00A87AFB">
        <w:rPr>
          <w:rFonts w:ascii="Palatino Linotype" w:eastAsia="Palatino Linotype" w:hAnsi="Palatino Linotype" w:cs="Palatino Linotype"/>
          <w:b/>
          <w:sz w:val="22"/>
          <w:szCs w:val="22"/>
        </w:rPr>
        <w:t>parcialmente</w:t>
      </w:r>
      <w:r w:rsidR="00A03969"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b/>
          <w:sz w:val="22"/>
          <w:szCs w:val="22"/>
        </w:rPr>
        <w:t>fundadas</w:t>
      </w:r>
      <w:r w:rsidRPr="00A87AFB">
        <w:rPr>
          <w:rFonts w:ascii="Palatino Linotype" w:eastAsia="Palatino Linotype" w:hAnsi="Palatino Linotype" w:cs="Palatino Linotype"/>
          <w:sz w:val="22"/>
          <w:szCs w:val="22"/>
        </w:rPr>
        <w:t xml:space="preserve"> las razones o motivos de inconformidad hechos valer por </w:t>
      </w:r>
      <w:r w:rsidRPr="00A87AFB">
        <w:rPr>
          <w:rFonts w:ascii="Palatino Linotype" w:eastAsia="Palatino Linotype" w:hAnsi="Palatino Linotype" w:cs="Palatino Linotype"/>
          <w:b/>
          <w:sz w:val="22"/>
          <w:szCs w:val="22"/>
        </w:rPr>
        <w:t>la parte Recurrente</w:t>
      </w:r>
      <w:r w:rsidRPr="00A87AFB">
        <w:rPr>
          <w:rFonts w:ascii="Palatino Linotype" w:eastAsia="Palatino Linotype" w:hAnsi="Palatino Linotype" w:cs="Palatino Linotype"/>
          <w:sz w:val="22"/>
          <w:szCs w:val="22"/>
        </w:rPr>
        <w:t xml:space="preserve"> en el recurso de revisión </w:t>
      </w:r>
      <w:r w:rsidR="00313813" w:rsidRPr="00A87AFB">
        <w:rPr>
          <w:rFonts w:ascii="Palatino Linotype" w:eastAsia="Palatino Linotype" w:hAnsi="Palatino Linotype" w:cs="Palatino Linotype"/>
          <w:b/>
          <w:sz w:val="22"/>
          <w:szCs w:val="22"/>
        </w:rPr>
        <w:t>03949/INFOEM/IP/RR/2025</w:t>
      </w:r>
      <w:r w:rsidRPr="00A87AFB">
        <w:rPr>
          <w:rFonts w:ascii="Palatino Linotype" w:eastAsia="Palatino Linotype" w:hAnsi="Palatino Linotype" w:cs="Palatino Linotype"/>
          <w:sz w:val="22"/>
          <w:szCs w:val="22"/>
        </w:rPr>
        <w:t xml:space="preserve">; por lo que, en términos del </w:t>
      </w:r>
      <w:r w:rsidRPr="00A87AFB">
        <w:rPr>
          <w:rFonts w:ascii="Palatino Linotype" w:eastAsia="Palatino Linotype" w:hAnsi="Palatino Linotype" w:cs="Palatino Linotype"/>
          <w:b/>
          <w:sz w:val="22"/>
          <w:szCs w:val="22"/>
        </w:rPr>
        <w:t>Considerando</w:t>
      </w:r>
      <w:r w:rsidRPr="00A87AFB">
        <w:rPr>
          <w:rFonts w:ascii="Palatino Linotype" w:eastAsia="Palatino Linotype" w:hAnsi="Palatino Linotype" w:cs="Palatino Linotype"/>
          <w:sz w:val="22"/>
          <w:szCs w:val="22"/>
        </w:rPr>
        <w:t xml:space="preserve"> </w:t>
      </w:r>
      <w:r w:rsidRPr="00A87AFB">
        <w:rPr>
          <w:rFonts w:ascii="Palatino Linotype" w:eastAsia="Palatino Linotype" w:hAnsi="Palatino Linotype" w:cs="Palatino Linotype"/>
          <w:b/>
          <w:sz w:val="22"/>
          <w:szCs w:val="22"/>
        </w:rPr>
        <w:t xml:space="preserve">Cuarto </w:t>
      </w:r>
      <w:r w:rsidRPr="00A87AFB">
        <w:rPr>
          <w:rFonts w:ascii="Palatino Linotype" w:eastAsia="Palatino Linotype" w:hAnsi="Palatino Linotype" w:cs="Palatino Linotype"/>
          <w:sz w:val="22"/>
          <w:szCs w:val="22"/>
        </w:rPr>
        <w:t xml:space="preserve">de esta resolución, se </w:t>
      </w:r>
      <w:r w:rsidR="00A03969" w:rsidRPr="00A87AFB">
        <w:rPr>
          <w:rFonts w:ascii="Palatino Linotype" w:eastAsia="Palatino Linotype" w:hAnsi="Palatino Linotype" w:cs="Palatino Linotype"/>
          <w:b/>
          <w:sz w:val="22"/>
          <w:szCs w:val="22"/>
        </w:rPr>
        <w:t xml:space="preserve">Modifica </w:t>
      </w:r>
      <w:r w:rsidRPr="00A87AFB">
        <w:rPr>
          <w:rFonts w:ascii="Palatino Linotype" w:eastAsia="Palatino Linotype" w:hAnsi="Palatino Linotype" w:cs="Palatino Linotype"/>
          <w:sz w:val="22"/>
          <w:szCs w:val="22"/>
        </w:rPr>
        <w:t xml:space="preserve">la respuesta emitida por el </w:t>
      </w:r>
      <w:r w:rsidRPr="00A87AFB">
        <w:rPr>
          <w:rFonts w:ascii="Palatino Linotype" w:eastAsia="Palatino Linotype" w:hAnsi="Palatino Linotype" w:cs="Palatino Linotype"/>
          <w:b/>
          <w:sz w:val="22"/>
          <w:szCs w:val="22"/>
        </w:rPr>
        <w:t xml:space="preserve">Sujeto Obligado.  </w:t>
      </w:r>
    </w:p>
    <w:p w14:paraId="3695D529" w14:textId="77777777" w:rsidR="004340F2" w:rsidRPr="00A87AFB" w:rsidRDefault="004340F2" w:rsidP="00457B44">
      <w:pPr>
        <w:spacing w:line="360" w:lineRule="auto"/>
        <w:ind w:right="49"/>
        <w:jc w:val="both"/>
        <w:rPr>
          <w:rFonts w:ascii="Palatino Linotype" w:eastAsia="Palatino Linotype" w:hAnsi="Palatino Linotype" w:cs="Palatino Linotype"/>
          <w:b/>
          <w:sz w:val="22"/>
          <w:szCs w:val="22"/>
        </w:rPr>
      </w:pPr>
      <w:bookmarkStart w:id="4" w:name="_heading=h.lnxbz9" w:colFirst="0" w:colLast="0"/>
      <w:bookmarkEnd w:id="4"/>
    </w:p>
    <w:p w14:paraId="18B72940" w14:textId="60D207CC"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Segundo. </w:t>
      </w:r>
      <w:r w:rsidRPr="00A87AFB">
        <w:rPr>
          <w:rFonts w:ascii="Palatino Linotype" w:eastAsia="Palatino Linotype" w:hAnsi="Palatino Linotype" w:cs="Palatino Linotype"/>
          <w:sz w:val="22"/>
          <w:szCs w:val="22"/>
        </w:rPr>
        <w:t xml:space="preserve">Se </w:t>
      </w:r>
      <w:r w:rsidRPr="00A87AFB">
        <w:rPr>
          <w:rFonts w:ascii="Palatino Linotype" w:eastAsia="Palatino Linotype" w:hAnsi="Palatino Linotype" w:cs="Palatino Linotype"/>
          <w:b/>
          <w:sz w:val="22"/>
          <w:szCs w:val="22"/>
        </w:rPr>
        <w:t>Ordena</w:t>
      </w:r>
      <w:r w:rsidRPr="00A87AFB">
        <w:rPr>
          <w:rFonts w:ascii="Palatino Linotype" w:eastAsia="Palatino Linotype" w:hAnsi="Palatino Linotype" w:cs="Palatino Linotype"/>
          <w:sz w:val="22"/>
          <w:szCs w:val="22"/>
        </w:rPr>
        <w:t xml:space="preserve"> al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en términos de los Considerandos </w:t>
      </w:r>
      <w:r w:rsidRPr="00A87AFB">
        <w:rPr>
          <w:rFonts w:ascii="Palatino Linotype" w:eastAsia="Palatino Linotype" w:hAnsi="Palatino Linotype" w:cs="Palatino Linotype"/>
          <w:b/>
          <w:sz w:val="22"/>
          <w:szCs w:val="22"/>
        </w:rPr>
        <w:t xml:space="preserve">Cuarto </w:t>
      </w:r>
      <w:r w:rsidRPr="00A87AFB">
        <w:rPr>
          <w:rFonts w:ascii="Palatino Linotype" w:eastAsia="Palatino Linotype" w:hAnsi="Palatino Linotype" w:cs="Palatino Linotype"/>
          <w:sz w:val="22"/>
          <w:szCs w:val="22"/>
        </w:rPr>
        <w:t>de esta resoluc</w:t>
      </w:r>
      <w:r w:rsidR="00A03969" w:rsidRPr="00A87AFB">
        <w:rPr>
          <w:rFonts w:ascii="Palatino Linotype" w:eastAsia="Palatino Linotype" w:hAnsi="Palatino Linotype" w:cs="Palatino Linotype"/>
          <w:sz w:val="22"/>
          <w:szCs w:val="22"/>
        </w:rPr>
        <w:t>ión, haga entrega vía SAIMEX</w:t>
      </w:r>
      <w:r w:rsidRPr="00A87AFB">
        <w:rPr>
          <w:rFonts w:ascii="Palatino Linotype" w:eastAsia="Palatino Linotype" w:hAnsi="Palatino Linotype" w:cs="Palatino Linotype"/>
          <w:sz w:val="22"/>
          <w:szCs w:val="22"/>
        </w:rPr>
        <w:t>, de la siguiente información:</w:t>
      </w:r>
    </w:p>
    <w:p w14:paraId="2D1F4C67" w14:textId="77777777" w:rsidR="004340F2" w:rsidRPr="00A87AFB" w:rsidRDefault="004340F2" w:rsidP="00457B44">
      <w:pPr>
        <w:spacing w:line="360" w:lineRule="auto"/>
        <w:ind w:right="49"/>
        <w:jc w:val="both"/>
        <w:rPr>
          <w:rFonts w:ascii="Palatino Linotype" w:eastAsia="Palatino Linotype" w:hAnsi="Palatino Linotype" w:cs="Palatino Linotype"/>
          <w:sz w:val="22"/>
          <w:szCs w:val="22"/>
        </w:rPr>
      </w:pPr>
    </w:p>
    <w:p w14:paraId="08136644" w14:textId="67B9C91D" w:rsidR="00197609" w:rsidRPr="00A87AFB" w:rsidRDefault="00247528" w:rsidP="004340F2">
      <w:pPr>
        <w:numPr>
          <w:ilvl w:val="0"/>
          <w:numId w:val="11"/>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A87AFB">
        <w:rPr>
          <w:rFonts w:ascii="Palatino Linotype" w:eastAsia="Palatino Linotype" w:hAnsi="Palatino Linotype" w:cs="Palatino Linotype"/>
          <w:i/>
          <w:sz w:val="22"/>
          <w:szCs w:val="22"/>
        </w:rPr>
        <w:t xml:space="preserve">Acuerdo del Comité de Transparencia en el que se clasifique como información reservada, </w:t>
      </w:r>
      <w:r w:rsidR="00A03969" w:rsidRPr="00A87AFB">
        <w:rPr>
          <w:rFonts w:ascii="Palatino Linotype" w:eastAsia="Palatino Linotype" w:hAnsi="Palatino Linotype" w:cs="Palatino Linotype"/>
          <w:i/>
          <w:sz w:val="22"/>
          <w:szCs w:val="22"/>
        </w:rPr>
        <w:t>los acuerdos de radicación y las diligencias de investigación efectuadas por el órgano de control interno, que sustentan el procedimiento de investigación de los expedientes con número PMT058/CM/AI/CP/001/2025 y PMT058/CM/AI/CP/002/2025</w:t>
      </w:r>
      <w:r w:rsidRPr="00A87AFB">
        <w:rPr>
          <w:rFonts w:ascii="Palatino Linotype" w:eastAsia="Palatino Linotype" w:hAnsi="Palatino Linotype" w:cs="Palatino Linotype"/>
          <w:i/>
          <w:sz w:val="22"/>
          <w:szCs w:val="22"/>
        </w:rPr>
        <w:t xml:space="preserve">, de conformidad con los artículos 128, 129, 135 y 140 </w:t>
      </w:r>
      <w:r w:rsidR="00BE6E71" w:rsidRPr="00A87AFB">
        <w:rPr>
          <w:rFonts w:ascii="Palatino Linotype" w:eastAsia="Palatino Linotype" w:hAnsi="Palatino Linotype" w:cs="Palatino Linotype"/>
          <w:i/>
          <w:sz w:val="22"/>
          <w:szCs w:val="22"/>
        </w:rPr>
        <w:t xml:space="preserve">fracción VI </w:t>
      </w:r>
      <w:r w:rsidRPr="00A87AFB">
        <w:rPr>
          <w:rFonts w:ascii="Palatino Linotype" w:eastAsia="Palatino Linotype" w:hAnsi="Palatino Linotype" w:cs="Palatino Linotype"/>
          <w:i/>
          <w:sz w:val="22"/>
          <w:szCs w:val="22"/>
        </w:rPr>
        <w:t>de la Ley de Transparencia y Acceso a la Información Pública del Estado de México y Municipios.</w:t>
      </w:r>
    </w:p>
    <w:p w14:paraId="6B46F10D" w14:textId="77777777" w:rsidR="00197609" w:rsidRPr="00A87AFB" w:rsidRDefault="00197609" w:rsidP="00457B44">
      <w:pPr>
        <w:pBdr>
          <w:top w:val="nil"/>
          <w:left w:val="nil"/>
          <w:bottom w:val="nil"/>
          <w:right w:val="nil"/>
          <w:between w:val="nil"/>
        </w:pBdr>
        <w:tabs>
          <w:tab w:val="left" w:pos="7655"/>
        </w:tabs>
        <w:ind w:left="567" w:right="900"/>
        <w:jc w:val="both"/>
        <w:rPr>
          <w:rFonts w:ascii="Palatino Linotype" w:eastAsia="Palatino Linotype" w:hAnsi="Palatino Linotype" w:cs="Palatino Linotype"/>
          <w:i/>
          <w:sz w:val="22"/>
          <w:szCs w:val="22"/>
        </w:rPr>
      </w:pPr>
    </w:p>
    <w:p w14:paraId="118674B6" w14:textId="6ED3BE5D" w:rsidR="00197609" w:rsidRPr="00A87AFB" w:rsidRDefault="004340F2"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lastRenderedPageBreak/>
        <w:t>Tercero.</w:t>
      </w:r>
      <w:r w:rsidR="00247528" w:rsidRPr="00A87AFB">
        <w:rPr>
          <w:rFonts w:ascii="Palatino Linotype" w:eastAsia="Palatino Linotype" w:hAnsi="Palatino Linotype" w:cs="Palatino Linotype"/>
          <w:b/>
          <w:sz w:val="22"/>
          <w:szCs w:val="22"/>
        </w:rPr>
        <w:t xml:space="preserve"> Notifíquese vía SAIMEX, </w:t>
      </w:r>
      <w:r w:rsidR="00247528" w:rsidRPr="00A87AF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3AEDD2" w14:textId="77777777" w:rsidR="004340F2" w:rsidRPr="00A87AFB" w:rsidRDefault="004340F2" w:rsidP="00457B44">
      <w:pPr>
        <w:spacing w:line="360" w:lineRule="auto"/>
        <w:jc w:val="both"/>
        <w:rPr>
          <w:rFonts w:ascii="Palatino Linotype" w:eastAsia="Palatino Linotype" w:hAnsi="Palatino Linotype" w:cs="Palatino Linotype"/>
          <w:sz w:val="22"/>
          <w:szCs w:val="22"/>
        </w:rPr>
      </w:pPr>
    </w:p>
    <w:p w14:paraId="6E381353" w14:textId="18CE3A19" w:rsidR="00197609"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Cuarto. </w:t>
      </w:r>
      <w:r w:rsidR="008A75E9" w:rsidRPr="00A87AFB">
        <w:rPr>
          <w:rFonts w:ascii="Palatino Linotype" w:eastAsia="Palatino Linotype" w:hAnsi="Palatino Linotype" w:cs="Palatino Linotype"/>
          <w:b/>
          <w:sz w:val="22"/>
          <w:szCs w:val="22"/>
        </w:rPr>
        <w:t>Notifíquese vía SAIMEX</w:t>
      </w:r>
      <w:r w:rsidR="008A75E9" w:rsidRPr="00A87AFB">
        <w:rPr>
          <w:rFonts w:ascii="Palatino Linotype" w:eastAsia="Palatino Linotype" w:hAnsi="Palatino Linotype" w:cs="Palatino Linotype"/>
          <w:sz w:val="22"/>
          <w:szCs w:val="22"/>
        </w:rPr>
        <w:t>, que d</w:t>
      </w:r>
      <w:r w:rsidRPr="00A87AFB">
        <w:rPr>
          <w:rFonts w:ascii="Palatino Linotype" w:eastAsia="Palatino Linotype" w:hAnsi="Palatino Linotype" w:cs="Palatino Linotype"/>
          <w:sz w:val="22"/>
          <w:szCs w:val="22"/>
        </w:rPr>
        <w:t xml:space="preserve">e conformidad con el artículo 198 de la Ley de Transparencia y Acceso a la Información Pública del Estado de México y Municipios, de considerarlo procedente, el </w:t>
      </w:r>
      <w:r w:rsidRPr="00A87AFB">
        <w:rPr>
          <w:rFonts w:ascii="Palatino Linotype" w:eastAsia="Palatino Linotype" w:hAnsi="Palatino Linotype" w:cs="Palatino Linotype"/>
          <w:b/>
          <w:sz w:val="22"/>
          <w:szCs w:val="22"/>
        </w:rPr>
        <w:t>Sujeto Obligado</w:t>
      </w:r>
      <w:r w:rsidRPr="00A87AF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BC27911" w14:textId="77777777" w:rsidR="004340F2" w:rsidRPr="00A87AFB" w:rsidRDefault="004340F2" w:rsidP="00457B44">
      <w:pPr>
        <w:spacing w:line="360" w:lineRule="auto"/>
        <w:ind w:right="49"/>
        <w:jc w:val="both"/>
        <w:rPr>
          <w:rFonts w:ascii="Palatino Linotype" w:eastAsia="Palatino Linotype" w:hAnsi="Palatino Linotype" w:cs="Palatino Linotype"/>
          <w:sz w:val="22"/>
          <w:szCs w:val="22"/>
        </w:rPr>
      </w:pPr>
    </w:p>
    <w:p w14:paraId="2C2734A4" w14:textId="77777777" w:rsidR="00F5167D" w:rsidRPr="00A87AFB" w:rsidRDefault="00247528" w:rsidP="00457B44">
      <w:pPr>
        <w:spacing w:line="360" w:lineRule="auto"/>
        <w:ind w:right="49"/>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b/>
          <w:sz w:val="22"/>
          <w:szCs w:val="22"/>
        </w:rPr>
        <w:t xml:space="preserve">Quinto. Notifíquese vía SAIMEX, </w:t>
      </w:r>
      <w:r w:rsidRPr="00A87AFB">
        <w:rPr>
          <w:rFonts w:ascii="Palatino Linotype" w:eastAsia="Palatino Linotype" w:hAnsi="Palatino Linotype" w:cs="Palatino Linotype"/>
          <w:sz w:val="22"/>
          <w:szCs w:val="22"/>
        </w:rPr>
        <w:t>a</w:t>
      </w:r>
      <w:r w:rsidRPr="00A87AFB">
        <w:rPr>
          <w:rFonts w:ascii="Palatino Linotype" w:eastAsia="Palatino Linotype" w:hAnsi="Palatino Linotype" w:cs="Palatino Linotype"/>
          <w:b/>
          <w:sz w:val="22"/>
          <w:szCs w:val="22"/>
        </w:rPr>
        <w:t xml:space="preserve"> la parte Recurrente</w:t>
      </w:r>
      <w:r w:rsidRPr="00A87AFB">
        <w:rPr>
          <w:rFonts w:ascii="Palatino Linotype" w:eastAsia="Palatino Linotype" w:hAnsi="Palatino Linotype" w:cs="Palatino Linotype"/>
          <w:sz w:val="22"/>
          <w:szCs w:val="22"/>
        </w:rPr>
        <w:t xml:space="preserve"> </w:t>
      </w:r>
      <w:r w:rsidR="00F5167D" w:rsidRPr="00A87AFB">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EAB4A9B" w14:textId="77777777" w:rsidR="004340F2" w:rsidRPr="00A87AFB" w:rsidRDefault="004340F2" w:rsidP="00457B44">
      <w:pPr>
        <w:spacing w:line="360" w:lineRule="auto"/>
        <w:ind w:right="49"/>
        <w:jc w:val="both"/>
        <w:rPr>
          <w:rFonts w:ascii="Palatino Linotype" w:eastAsia="Palatino Linotype" w:hAnsi="Palatino Linotype" w:cs="Palatino Linotype"/>
          <w:sz w:val="22"/>
          <w:szCs w:val="22"/>
        </w:rPr>
      </w:pPr>
    </w:p>
    <w:p w14:paraId="56765645" w14:textId="2B047EAD" w:rsidR="00197609" w:rsidRPr="00427F23" w:rsidRDefault="00247528" w:rsidP="00457B44">
      <w:pPr>
        <w:spacing w:line="360" w:lineRule="auto"/>
        <w:jc w:val="both"/>
        <w:rPr>
          <w:rFonts w:ascii="Palatino Linotype" w:eastAsia="Palatino Linotype" w:hAnsi="Palatino Linotype" w:cs="Palatino Linotype"/>
          <w:sz w:val="22"/>
          <w:szCs w:val="22"/>
        </w:rPr>
      </w:pPr>
      <w:r w:rsidRPr="00A87AF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w:t>
      </w:r>
      <w:r w:rsidR="00680F45" w:rsidRPr="00A87AFB">
        <w:rPr>
          <w:rFonts w:ascii="Palatino Linotype" w:eastAsia="Palatino Linotype" w:hAnsi="Palatino Linotype" w:cs="Palatino Linotype"/>
          <w:sz w:val="22"/>
          <w:szCs w:val="22"/>
        </w:rPr>
        <w:t xml:space="preserve"> (AUSENCIA JUSTIFICADA), </w:t>
      </w:r>
      <w:r w:rsidRPr="00A87AFB">
        <w:rPr>
          <w:rFonts w:ascii="Palatino Linotype" w:eastAsia="Palatino Linotype" w:hAnsi="Palatino Linotype" w:cs="Palatino Linotype"/>
          <w:sz w:val="22"/>
          <w:szCs w:val="22"/>
        </w:rPr>
        <w:t xml:space="preserve"> AYALA, SHARON CRISTINA MORALES MARTÍNEZ, LUIS GUSTAVO PARRA NORIEGA</w:t>
      </w:r>
      <w:r w:rsidR="00680F45" w:rsidRPr="00A87AFB">
        <w:rPr>
          <w:rFonts w:ascii="Palatino Linotype" w:eastAsia="Palatino Linotype" w:hAnsi="Palatino Linotype" w:cs="Palatino Linotype"/>
          <w:sz w:val="22"/>
          <w:szCs w:val="22"/>
        </w:rPr>
        <w:t xml:space="preserve">, EMITIENDO VOTO PARTICULAR </w:t>
      </w:r>
      <w:r w:rsidRPr="00A87AFB">
        <w:rPr>
          <w:rFonts w:ascii="Palatino Linotype" w:eastAsia="Palatino Linotype" w:hAnsi="Palatino Linotype" w:cs="Palatino Linotype"/>
          <w:sz w:val="22"/>
          <w:szCs w:val="22"/>
        </w:rPr>
        <w:t>Y G</w:t>
      </w:r>
      <w:r w:rsidR="0043760B" w:rsidRPr="00A87AFB">
        <w:rPr>
          <w:rFonts w:ascii="Palatino Linotype" w:eastAsia="Palatino Linotype" w:hAnsi="Palatino Linotype" w:cs="Palatino Linotype"/>
          <w:sz w:val="22"/>
          <w:szCs w:val="22"/>
        </w:rPr>
        <w:t xml:space="preserve">UADALUPE </w:t>
      </w:r>
      <w:r w:rsidR="0043760B" w:rsidRPr="00A87AFB">
        <w:rPr>
          <w:rFonts w:ascii="Palatino Linotype" w:eastAsia="Palatino Linotype" w:hAnsi="Palatino Linotype" w:cs="Palatino Linotype"/>
          <w:sz w:val="22"/>
          <w:szCs w:val="22"/>
        </w:rPr>
        <w:lastRenderedPageBreak/>
        <w:t xml:space="preserve">RAMÍREZ PEÑA; EN LA VIGÉSIMA QUINTA </w:t>
      </w:r>
      <w:r w:rsidRPr="00A87AFB">
        <w:rPr>
          <w:rFonts w:ascii="Palatino Linotype" w:eastAsia="Palatino Linotype" w:hAnsi="Palatino Linotype" w:cs="Palatino Linotype"/>
          <w:sz w:val="22"/>
          <w:szCs w:val="22"/>
        </w:rPr>
        <w:t xml:space="preserve">SESIÓN ORDINARIA CELEBRADA EL </w:t>
      </w:r>
      <w:r w:rsidR="00E06607" w:rsidRPr="00A87AFB">
        <w:rPr>
          <w:rFonts w:ascii="Palatino Linotype" w:eastAsia="Palatino Linotype" w:hAnsi="Palatino Linotype" w:cs="Palatino Linotype"/>
          <w:sz w:val="22"/>
          <w:szCs w:val="22"/>
        </w:rPr>
        <w:t>NUEVE</w:t>
      </w:r>
      <w:r w:rsidR="0043760B" w:rsidRPr="00A87AFB">
        <w:rPr>
          <w:rFonts w:ascii="Palatino Linotype" w:eastAsia="Palatino Linotype" w:hAnsi="Palatino Linotype" w:cs="Palatino Linotype"/>
          <w:sz w:val="22"/>
          <w:szCs w:val="22"/>
        </w:rPr>
        <w:t xml:space="preserve"> DE JULIO DE </w:t>
      </w:r>
      <w:r w:rsidRPr="00A87AFB">
        <w:rPr>
          <w:rFonts w:ascii="Palatino Linotype" w:eastAsia="Palatino Linotype" w:hAnsi="Palatino Linotype" w:cs="Palatino Linotype"/>
          <w:sz w:val="22"/>
          <w:szCs w:val="22"/>
        </w:rPr>
        <w:t>DOS MIL VEINTICINCO, ANTE EL SECRETARIO TÉCNICO DEL PLENO ALEXIS TAPIA RAMÍREZ.</w:t>
      </w:r>
    </w:p>
    <w:p w14:paraId="14D883BD" w14:textId="77777777" w:rsidR="00197609" w:rsidRPr="00427F23" w:rsidRDefault="00197609" w:rsidP="00457B44">
      <w:pPr>
        <w:spacing w:line="360" w:lineRule="auto"/>
        <w:jc w:val="both"/>
        <w:rPr>
          <w:rFonts w:ascii="Palatino Linotype" w:eastAsia="Palatino Linotype" w:hAnsi="Palatino Linotype" w:cs="Palatino Linotype"/>
          <w:sz w:val="22"/>
          <w:szCs w:val="22"/>
        </w:rPr>
      </w:pPr>
    </w:p>
    <w:p w14:paraId="5142A800" w14:textId="77777777" w:rsidR="00197609" w:rsidRPr="00427F23" w:rsidRDefault="00197609" w:rsidP="00457B44">
      <w:pPr>
        <w:spacing w:line="360" w:lineRule="auto"/>
        <w:jc w:val="both"/>
        <w:rPr>
          <w:rFonts w:ascii="Palatino Linotype" w:eastAsia="Palatino Linotype" w:hAnsi="Palatino Linotype" w:cs="Palatino Linotype"/>
          <w:sz w:val="22"/>
          <w:szCs w:val="22"/>
        </w:rPr>
      </w:pPr>
    </w:p>
    <w:p w14:paraId="0533E6A3" w14:textId="77777777" w:rsidR="00197609" w:rsidRPr="00427F23" w:rsidRDefault="00197609" w:rsidP="00457B44">
      <w:pPr>
        <w:spacing w:line="360" w:lineRule="auto"/>
        <w:jc w:val="both"/>
        <w:rPr>
          <w:rFonts w:ascii="Palatino Linotype" w:eastAsia="Palatino Linotype" w:hAnsi="Palatino Linotype" w:cs="Palatino Linotype"/>
          <w:sz w:val="22"/>
          <w:szCs w:val="22"/>
        </w:rPr>
      </w:pPr>
    </w:p>
    <w:p w14:paraId="3323BE80" w14:textId="533DD2FE" w:rsidR="00197609" w:rsidRPr="00427F23" w:rsidRDefault="00197609" w:rsidP="00457B44">
      <w:pPr>
        <w:spacing w:line="360" w:lineRule="auto"/>
        <w:jc w:val="both"/>
        <w:rPr>
          <w:rFonts w:ascii="Palatino Linotype" w:eastAsia="Palatino Linotype" w:hAnsi="Palatino Linotype" w:cs="Palatino Linotype"/>
          <w:sz w:val="22"/>
          <w:szCs w:val="22"/>
        </w:rPr>
      </w:pPr>
    </w:p>
    <w:p w14:paraId="05D44919" w14:textId="3C04E9FF" w:rsidR="00427F23" w:rsidRPr="00427F23" w:rsidRDefault="00427F23" w:rsidP="00457B44">
      <w:pPr>
        <w:spacing w:line="360" w:lineRule="auto"/>
        <w:jc w:val="both"/>
        <w:rPr>
          <w:rFonts w:ascii="Palatino Linotype" w:eastAsia="Palatino Linotype" w:hAnsi="Palatino Linotype" w:cs="Palatino Linotype"/>
          <w:sz w:val="22"/>
          <w:szCs w:val="22"/>
        </w:rPr>
      </w:pPr>
    </w:p>
    <w:p w14:paraId="2391B208" w14:textId="2767A0F1" w:rsidR="00427F23" w:rsidRPr="00427F23" w:rsidRDefault="00427F23" w:rsidP="00457B44">
      <w:pPr>
        <w:spacing w:line="360" w:lineRule="auto"/>
        <w:jc w:val="both"/>
        <w:rPr>
          <w:rFonts w:ascii="Palatino Linotype" w:eastAsia="Palatino Linotype" w:hAnsi="Palatino Linotype" w:cs="Palatino Linotype"/>
          <w:sz w:val="22"/>
          <w:szCs w:val="22"/>
        </w:rPr>
      </w:pPr>
    </w:p>
    <w:p w14:paraId="4D9614B1" w14:textId="11A4ADA9" w:rsidR="00427F23" w:rsidRPr="00427F23" w:rsidRDefault="00427F23" w:rsidP="00457B44">
      <w:pPr>
        <w:spacing w:line="360" w:lineRule="auto"/>
        <w:jc w:val="both"/>
        <w:rPr>
          <w:rFonts w:ascii="Palatino Linotype" w:eastAsia="Palatino Linotype" w:hAnsi="Palatino Linotype" w:cs="Palatino Linotype"/>
          <w:sz w:val="22"/>
          <w:szCs w:val="22"/>
        </w:rPr>
      </w:pPr>
    </w:p>
    <w:p w14:paraId="75A6DA53" w14:textId="1D128942" w:rsidR="00427F23" w:rsidRPr="00427F23" w:rsidRDefault="00427F23" w:rsidP="00457B44">
      <w:pPr>
        <w:spacing w:line="360" w:lineRule="auto"/>
        <w:jc w:val="both"/>
        <w:rPr>
          <w:rFonts w:ascii="Palatino Linotype" w:eastAsia="Palatino Linotype" w:hAnsi="Palatino Linotype" w:cs="Palatino Linotype"/>
          <w:sz w:val="22"/>
          <w:szCs w:val="22"/>
        </w:rPr>
      </w:pPr>
    </w:p>
    <w:p w14:paraId="6B285A0D" w14:textId="0613A3F4" w:rsidR="00427F23" w:rsidRPr="00427F23" w:rsidRDefault="00427F23" w:rsidP="00457B44">
      <w:pPr>
        <w:spacing w:line="360" w:lineRule="auto"/>
        <w:jc w:val="both"/>
        <w:rPr>
          <w:rFonts w:ascii="Palatino Linotype" w:eastAsia="Palatino Linotype" w:hAnsi="Palatino Linotype" w:cs="Palatino Linotype"/>
          <w:sz w:val="22"/>
          <w:szCs w:val="22"/>
        </w:rPr>
      </w:pPr>
    </w:p>
    <w:p w14:paraId="3A858B9A" w14:textId="3049631F" w:rsidR="00427F23" w:rsidRPr="00427F23" w:rsidRDefault="00427F23" w:rsidP="00457B44">
      <w:pPr>
        <w:spacing w:line="360" w:lineRule="auto"/>
        <w:jc w:val="both"/>
        <w:rPr>
          <w:rFonts w:ascii="Palatino Linotype" w:eastAsia="Palatino Linotype" w:hAnsi="Palatino Linotype" w:cs="Palatino Linotype"/>
          <w:sz w:val="22"/>
          <w:szCs w:val="22"/>
        </w:rPr>
      </w:pPr>
    </w:p>
    <w:p w14:paraId="0A6C5D61" w14:textId="7A46FFCB" w:rsidR="00427F23" w:rsidRPr="00427F23" w:rsidRDefault="00427F23" w:rsidP="00457B44">
      <w:pPr>
        <w:spacing w:line="360" w:lineRule="auto"/>
        <w:jc w:val="both"/>
        <w:rPr>
          <w:rFonts w:ascii="Palatino Linotype" w:eastAsia="Palatino Linotype" w:hAnsi="Palatino Linotype" w:cs="Palatino Linotype"/>
          <w:sz w:val="22"/>
          <w:szCs w:val="22"/>
        </w:rPr>
      </w:pPr>
    </w:p>
    <w:p w14:paraId="10CFF95F" w14:textId="159E7746" w:rsidR="00427F23" w:rsidRPr="00427F23" w:rsidRDefault="00427F23" w:rsidP="00457B44">
      <w:pPr>
        <w:spacing w:line="360" w:lineRule="auto"/>
        <w:jc w:val="both"/>
        <w:rPr>
          <w:rFonts w:ascii="Palatino Linotype" w:eastAsia="Palatino Linotype" w:hAnsi="Palatino Linotype" w:cs="Palatino Linotype"/>
          <w:sz w:val="22"/>
          <w:szCs w:val="22"/>
        </w:rPr>
      </w:pPr>
    </w:p>
    <w:p w14:paraId="7B527006" w14:textId="24A08DD8" w:rsidR="00427F23" w:rsidRPr="00427F23" w:rsidRDefault="00427F23" w:rsidP="00457B44">
      <w:pPr>
        <w:spacing w:line="360" w:lineRule="auto"/>
        <w:jc w:val="both"/>
        <w:rPr>
          <w:rFonts w:ascii="Palatino Linotype" w:eastAsia="Palatino Linotype" w:hAnsi="Palatino Linotype" w:cs="Palatino Linotype"/>
          <w:sz w:val="22"/>
          <w:szCs w:val="22"/>
        </w:rPr>
      </w:pPr>
    </w:p>
    <w:p w14:paraId="3E6E4E18" w14:textId="28B6B228" w:rsidR="00427F23" w:rsidRPr="00427F23" w:rsidRDefault="00427F23" w:rsidP="00457B44">
      <w:pPr>
        <w:spacing w:line="360" w:lineRule="auto"/>
        <w:jc w:val="both"/>
        <w:rPr>
          <w:rFonts w:ascii="Palatino Linotype" w:eastAsia="Palatino Linotype" w:hAnsi="Palatino Linotype" w:cs="Palatino Linotype"/>
          <w:sz w:val="22"/>
          <w:szCs w:val="22"/>
        </w:rPr>
      </w:pPr>
    </w:p>
    <w:p w14:paraId="03DD6E4B" w14:textId="60DCEAD7" w:rsidR="00427F23" w:rsidRPr="00427F23" w:rsidRDefault="00427F23" w:rsidP="00457B44">
      <w:pPr>
        <w:spacing w:line="360" w:lineRule="auto"/>
        <w:jc w:val="both"/>
        <w:rPr>
          <w:rFonts w:ascii="Palatino Linotype" w:eastAsia="Palatino Linotype" w:hAnsi="Palatino Linotype" w:cs="Palatino Linotype"/>
          <w:sz w:val="22"/>
          <w:szCs w:val="22"/>
        </w:rPr>
      </w:pPr>
    </w:p>
    <w:p w14:paraId="162A31C5" w14:textId="6BC4091D" w:rsidR="00427F23" w:rsidRPr="00427F23" w:rsidRDefault="00427F23" w:rsidP="00457B44">
      <w:pPr>
        <w:spacing w:line="360" w:lineRule="auto"/>
        <w:jc w:val="both"/>
        <w:rPr>
          <w:rFonts w:ascii="Palatino Linotype" w:eastAsia="Palatino Linotype" w:hAnsi="Palatino Linotype" w:cs="Palatino Linotype"/>
          <w:sz w:val="22"/>
          <w:szCs w:val="22"/>
        </w:rPr>
      </w:pPr>
    </w:p>
    <w:p w14:paraId="5A9E805D" w14:textId="0DAF601B" w:rsidR="00427F23" w:rsidRPr="00427F23" w:rsidRDefault="00427F23" w:rsidP="00457B44">
      <w:pPr>
        <w:spacing w:line="360" w:lineRule="auto"/>
        <w:jc w:val="both"/>
        <w:rPr>
          <w:rFonts w:ascii="Palatino Linotype" w:eastAsia="Palatino Linotype" w:hAnsi="Palatino Linotype" w:cs="Palatino Linotype"/>
          <w:sz w:val="22"/>
          <w:szCs w:val="22"/>
        </w:rPr>
      </w:pPr>
    </w:p>
    <w:p w14:paraId="1C06AA00" w14:textId="46B492B3" w:rsidR="00427F23" w:rsidRPr="00427F23" w:rsidRDefault="00427F23" w:rsidP="00457B44">
      <w:pPr>
        <w:spacing w:line="360" w:lineRule="auto"/>
        <w:jc w:val="both"/>
        <w:rPr>
          <w:rFonts w:ascii="Palatino Linotype" w:eastAsia="Palatino Linotype" w:hAnsi="Palatino Linotype" w:cs="Palatino Linotype"/>
          <w:sz w:val="22"/>
          <w:szCs w:val="22"/>
        </w:rPr>
      </w:pPr>
    </w:p>
    <w:p w14:paraId="186CA88F" w14:textId="1B8B2D06" w:rsidR="00427F23" w:rsidRPr="00427F23" w:rsidRDefault="00427F23" w:rsidP="00457B44">
      <w:pPr>
        <w:spacing w:line="360" w:lineRule="auto"/>
        <w:jc w:val="both"/>
        <w:rPr>
          <w:rFonts w:ascii="Palatino Linotype" w:eastAsia="Palatino Linotype" w:hAnsi="Palatino Linotype" w:cs="Palatino Linotype"/>
          <w:sz w:val="22"/>
          <w:szCs w:val="22"/>
        </w:rPr>
      </w:pPr>
    </w:p>
    <w:p w14:paraId="454B0610" w14:textId="6A346735" w:rsidR="00427F23" w:rsidRPr="00427F23" w:rsidRDefault="00427F23" w:rsidP="00457B44">
      <w:pPr>
        <w:spacing w:line="360" w:lineRule="auto"/>
        <w:jc w:val="both"/>
        <w:rPr>
          <w:rFonts w:ascii="Palatino Linotype" w:eastAsia="Palatino Linotype" w:hAnsi="Palatino Linotype" w:cs="Palatino Linotype"/>
          <w:sz w:val="22"/>
          <w:szCs w:val="22"/>
        </w:rPr>
      </w:pPr>
    </w:p>
    <w:p w14:paraId="77683C75" w14:textId="74E45D65" w:rsidR="00427F23" w:rsidRPr="00427F23" w:rsidRDefault="00427F23" w:rsidP="00457B44">
      <w:pPr>
        <w:spacing w:line="360" w:lineRule="auto"/>
        <w:jc w:val="both"/>
        <w:rPr>
          <w:rFonts w:ascii="Palatino Linotype" w:eastAsia="Palatino Linotype" w:hAnsi="Palatino Linotype" w:cs="Palatino Linotype"/>
          <w:sz w:val="22"/>
          <w:szCs w:val="22"/>
        </w:rPr>
      </w:pPr>
    </w:p>
    <w:p w14:paraId="77DFE67F" w14:textId="639A8B3F" w:rsidR="00427F23" w:rsidRPr="00427F23" w:rsidRDefault="00427F23" w:rsidP="00457B44">
      <w:pPr>
        <w:spacing w:line="360" w:lineRule="auto"/>
        <w:jc w:val="both"/>
        <w:rPr>
          <w:rFonts w:ascii="Palatino Linotype" w:eastAsia="Palatino Linotype" w:hAnsi="Palatino Linotype" w:cs="Palatino Linotype"/>
          <w:sz w:val="22"/>
          <w:szCs w:val="22"/>
        </w:rPr>
      </w:pPr>
    </w:p>
    <w:p w14:paraId="3ADCEC7E" w14:textId="48697A3C" w:rsidR="00427F23" w:rsidRPr="00427F23" w:rsidRDefault="00427F23" w:rsidP="00457B44">
      <w:pPr>
        <w:spacing w:line="360" w:lineRule="auto"/>
        <w:jc w:val="both"/>
        <w:rPr>
          <w:rFonts w:ascii="Palatino Linotype" w:eastAsia="Palatino Linotype" w:hAnsi="Palatino Linotype" w:cs="Palatino Linotype"/>
          <w:sz w:val="22"/>
          <w:szCs w:val="22"/>
        </w:rPr>
      </w:pPr>
    </w:p>
    <w:p w14:paraId="11832F2F" w14:textId="70B5DA50" w:rsidR="00427F23" w:rsidRPr="00427F23" w:rsidRDefault="00427F23" w:rsidP="00457B44">
      <w:pPr>
        <w:spacing w:line="360" w:lineRule="auto"/>
        <w:jc w:val="both"/>
        <w:rPr>
          <w:rFonts w:ascii="Palatino Linotype" w:eastAsia="Palatino Linotype" w:hAnsi="Palatino Linotype" w:cs="Palatino Linotype"/>
          <w:sz w:val="22"/>
          <w:szCs w:val="22"/>
        </w:rPr>
      </w:pPr>
    </w:p>
    <w:p w14:paraId="0B8530C4" w14:textId="0FAC92DE" w:rsidR="00427F23" w:rsidRPr="00427F23" w:rsidRDefault="00427F23" w:rsidP="00457B44">
      <w:pPr>
        <w:spacing w:line="360" w:lineRule="auto"/>
        <w:jc w:val="both"/>
        <w:rPr>
          <w:rFonts w:ascii="Palatino Linotype" w:eastAsia="Palatino Linotype" w:hAnsi="Palatino Linotype" w:cs="Palatino Linotype"/>
          <w:sz w:val="22"/>
          <w:szCs w:val="22"/>
        </w:rPr>
      </w:pPr>
    </w:p>
    <w:p w14:paraId="6A8B02F2" w14:textId="77777777" w:rsidR="00427F23" w:rsidRPr="00427F23" w:rsidRDefault="00427F23" w:rsidP="00457B44">
      <w:pPr>
        <w:spacing w:line="360" w:lineRule="auto"/>
        <w:jc w:val="both"/>
        <w:rPr>
          <w:rFonts w:ascii="Palatino Linotype" w:eastAsia="Palatino Linotype" w:hAnsi="Palatino Linotype" w:cs="Palatino Linotype"/>
          <w:sz w:val="22"/>
          <w:szCs w:val="22"/>
        </w:rPr>
      </w:pPr>
    </w:p>
    <w:sectPr w:rsidR="00427F23" w:rsidRPr="00427F23">
      <w:headerReference w:type="default" r:id="rId32"/>
      <w:footerReference w:type="default" r:id="rId33"/>
      <w:headerReference w:type="first" r:id="rId34"/>
      <w:footerReference w:type="first" r:id="rId35"/>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AAC9" w14:textId="77777777" w:rsidR="001E4302" w:rsidRDefault="001E4302">
      <w:r>
        <w:separator/>
      </w:r>
    </w:p>
  </w:endnote>
  <w:endnote w:type="continuationSeparator" w:id="0">
    <w:p w14:paraId="72766919" w14:textId="77777777" w:rsidR="001E4302" w:rsidRDefault="001E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FE61" w14:textId="77777777" w:rsidR="00841D6D" w:rsidRDefault="00841D6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7AFB">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7AFB">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1FE4B392" w14:textId="77777777" w:rsidR="00841D6D" w:rsidRDefault="00841D6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761D" w14:textId="77777777" w:rsidR="00841D6D" w:rsidRDefault="00841D6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7AF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7AFB">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081C27C1" w14:textId="77777777" w:rsidR="00841D6D" w:rsidRDefault="00841D6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2B639" w14:textId="77777777" w:rsidR="001E4302" w:rsidRDefault="001E4302">
      <w:r>
        <w:separator/>
      </w:r>
    </w:p>
  </w:footnote>
  <w:footnote w:type="continuationSeparator" w:id="0">
    <w:p w14:paraId="2E139AC4" w14:textId="77777777" w:rsidR="001E4302" w:rsidRDefault="001E4302">
      <w:r>
        <w:continuationSeparator/>
      </w:r>
    </w:p>
  </w:footnote>
  <w:footnote w:id="1">
    <w:p w14:paraId="63092AAD" w14:textId="77777777" w:rsidR="00841D6D" w:rsidRDefault="00841D6D" w:rsidP="009F4A08">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1B70D68" w14:textId="77777777" w:rsidR="00841D6D" w:rsidRDefault="00841D6D" w:rsidP="009F4A08">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2AE3B57" w14:textId="77777777" w:rsidR="00841D6D" w:rsidRDefault="00841D6D" w:rsidP="00BC25F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3">
    <w:p w14:paraId="21277A16" w14:textId="77777777" w:rsidR="00841D6D" w:rsidRDefault="00841D6D" w:rsidP="00BC25F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27F2" w14:textId="77777777" w:rsidR="00841D6D" w:rsidRDefault="00841D6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FA64CBC" wp14:editId="59DAC833">
          <wp:simplePos x="0" y="0"/>
          <wp:positionH relativeFrom="column">
            <wp:posOffset>-1080128</wp:posOffset>
          </wp:positionH>
          <wp:positionV relativeFrom="paragraph">
            <wp:posOffset>-488308</wp:posOffset>
          </wp:positionV>
          <wp:extent cx="7809865" cy="10165715"/>
          <wp:effectExtent l="0" t="0" r="0" b="0"/>
          <wp:wrapNone/>
          <wp:docPr id="7702015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841D6D" w14:paraId="7944192D" w14:textId="77777777">
      <w:tc>
        <w:tcPr>
          <w:tcW w:w="2489" w:type="dxa"/>
          <w:shd w:val="clear" w:color="auto" w:fill="auto"/>
        </w:tcPr>
        <w:p w14:paraId="4E6E35B9" w14:textId="77777777" w:rsidR="00841D6D" w:rsidRDefault="00841D6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50FC6A2" w14:textId="2F49C6EA" w:rsidR="00841D6D" w:rsidRDefault="00841D6D" w:rsidP="009472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03949/INFOEM/IP/RR/2025</w:t>
          </w:r>
        </w:p>
      </w:tc>
    </w:tr>
    <w:tr w:rsidR="00841D6D" w14:paraId="03E3F336" w14:textId="77777777">
      <w:trPr>
        <w:trHeight w:val="228"/>
      </w:trPr>
      <w:tc>
        <w:tcPr>
          <w:tcW w:w="2489" w:type="dxa"/>
          <w:shd w:val="clear" w:color="auto" w:fill="auto"/>
          <w:vAlign w:val="center"/>
        </w:tcPr>
        <w:p w14:paraId="4486DBF1" w14:textId="77777777" w:rsidR="00841D6D" w:rsidRDefault="00841D6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4B08B7D" w14:textId="5BA552F4" w:rsidR="00841D6D" w:rsidRDefault="00841D6D">
          <w:pPr>
            <w:ind w:left="-45" w:right="176"/>
            <w:jc w:val="both"/>
            <w:rPr>
              <w:rFonts w:ascii="Palatino Linotype" w:eastAsia="Palatino Linotype" w:hAnsi="Palatino Linotype" w:cs="Palatino Linotype"/>
              <w:b/>
              <w:sz w:val="22"/>
              <w:szCs w:val="22"/>
            </w:rPr>
          </w:pPr>
          <w:r w:rsidRPr="0094720A">
            <w:rPr>
              <w:rFonts w:ascii="Palatino Linotype" w:eastAsia="Palatino Linotype" w:hAnsi="Palatino Linotype" w:cs="Palatino Linotype"/>
              <w:b/>
              <w:sz w:val="22"/>
              <w:szCs w:val="22"/>
            </w:rPr>
            <w:t>Ayuntamiento de Tenancingo</w:t>
          </w:r>
        </w:p>
      </w:tc>
    </w:tr>
    <w:tr w:rsidR="00841D6D" w14:paraId="1BBD776F" w14:textId="77777777">
      <w:tc>
        <w:tcPr>
          <w:tcW w:w="2489" w:type="dxa"/>
          <w:shd w:val="clear" w:color="auto" w:fill="auto"/>
          <w:vAlign w:val="center"/>
        </w:tcPr>
        <w:p w14:paraId="5AF605F4" w14:textId="77777777" w:rsidR="00841D6D" w:rsidRDefault="00841D6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B4F4958" w14:textId="77777777" w:rsidR="00841D6D" w:rsidRDefault="00841D6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E9B9538" w14:textId="77777777" w:rsidR="00841D6D" w:rsidRDefault="00841D6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FA46" w14:textId="77777777" w:rsidR="00841D6D" w:rsidRDefault="00841D6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c"/>
      <w:tblW w:w="5670" w:type="dxa"/>
      <w:tblInd w:w="3261" w:type="dxa"/>
      <w:tblLayout w:type="fixed"/>
      <w:tblLook w:val="0400" w:firstRow="0" w:lastRow="0" w:firstColumn="0" w:lastColumn="0" w:noHBand="0" w:noVBand="1"/>
    </w:tblPr>
    <w:tblGrid>
      <w:gridCol w:w="2551"/>
      <w:gridCol w:w="3119"/>
    </w:tblGrid>
    <w:tr w:rsidR="00841D6D" w14:paraId="67BBC36B" w14:textId="77777777">
      <w:tc>
        <w:tcPr>
          <w:tcW w:w="2551" w:type="dxa"/>
          <w:shd w:val="clear" w:color="auto" w:fill="auto"/>
          <w:vAlign w:val="center"/>
        </w:tcPr>
        <w:p w14:paraId="32F40561" w14:textId="77777777" w:rsidR="00841D6D" w:rsidRDefault="00841D6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67F2BAF" w14:textId="7D478BD6" w:rsidR="00841D6D" w:rsidRDefault="00841D6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03949/INFOEM/IP/RR/2025</w:t>
          </w:r>
        </w:p>
      </w:tc>
    </w:tr>
    <w:tr w:rsidR="00841D6D" w14:paraId="7243A5B2" w14:textId="77777777">
      <w:trPr>
        <w:trHeight w:val="130"/>
      </w:trPr>
      <w:tc>
        <w:tcPr>
          <w:tcW w:w="2551" w:type="dxa"/>
          <w:shd w:val="clear" w:color="auto" w:fill="auto"/>
          <w:vAlign w:val="center"/>
        </w:tcPr>
        <w:p w14:paraId="2944E0D3" w14:textId="77777777" w:rsidR="00841D6D" w:rsidRDefault="00841D6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271C948" w14:textId="7910FB08" w:rsidR="00841D6D" w:rsidRDefault="00841D6D">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393F28C4" wp14:editId="470BB1AF">
                <wp:simplePos x="0" y="0"/>
                <wp:positionH relativeFrom="column">
                  <wp:posOffset>-4425309</wp:posOffset>
                </wp:positionH>
                <wp:positionV relativeFrom="paragraph">
                  <wp:posOffset>-361943</wp:posOffset>
                </wp:positionV>
                <wp:extent cx="7809865" cy="10165715"/>
                <wp:effectExtent l="0" t="0" r="0" b="0"/>
                <wp:wrapNone/>
                <wp:docPr id="7702015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r w:rsidR="00C703E9">
            <w:rPr>
              <w:rFonts w:ascii="Palatino Linotype" w:eastAsia="Palatino Linotype" w:hAnsi="Palatino Linotype" w:cs="Palatino Linotype"/>
              <w:b/>
              <w:sz w:val="22"/>
              <w:szCs w:val="22"/>
            </w:rPr>
            <w:t>XXXX XXXXX</w:t>
          </w:r>
          <w:r>
            <w:rPr>
              <w:rFonts w:ascii="Palatino Linotype" w:eastAsia="Palatino Linotype" w:hAnsi="Palatino Linotype" w:cs="Palatino Linotype"/>
              <w:b/>
              <w:sz w:val="22"/>
              <w:szCs w:val="22"/>
            </w:rPr>
            <w:t xml:space="preserve"> </w:t>
          </w:r>
        </w:p>
      </w:tc>
    </w:tr>
    <w:tr w:rsidR="00841D6D" w14:paraId="1A9BB767" w14:textId="77777777">
      <w:trPr>
        <w:trHeight w:val="228"/>
      </w:trPr>
      <w:tc>
        <w:tcPr>
          <w:tcW w:w="2551" w:type="dxa"/>
          <w:shd w:val="clear" w:color="auto" w:fill="auto"/>
          <w:vAlign w:val="center"/>
        </w:tcPr>
        <w:p w14:paraId="28389600" w14:textId="77777777" w:rsidR="00841D6D" w:rsidRDefault="00841D6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DDF4D0D" w14:textId="0BA7A12F" w:rsidR="00841D6D" w:rsidRDefault="00841D6D">
          <w:pPr>
            <w:ind w:left="-45" w:right="27"/>
            <w:jc w:val="both"/>
            <w:rPr>
              <w:rFonts w:ascii="Palatino Linotype" w:eastAsia="Palatino Linotype" w:hAnsi="Palatino Linotype" w:cs="Palatino Linotype"/>
              <w:b/>
              <w:sz w:val="22"/>
              <w:szCs w:val="22"/>
            </w:rPr>
          </w:pPr>
          <w:r w:rsidRPr="0094720A">
            <w:rPr>
              <w:rFonts w:ascii="Palatino Linotype" w:eastAsia="Palatino Linotype" w:hAnsi="Palatino Linotype" w:cs="Palatino Linotype"/>
              <w:b/>
              <w:sz w:val="22"/>
              <w:szCs w:val="22"/>
            </w:rPr>
            <w:t>Ayuntamiento de Tenancingo</w:t>
          </w:r>
        </w:p>
      </w:tc>
    </w:tr>
    <w:tr w:rsidR="00841D6D" w14:paraId="33E96117" w14:textId="77777777">
      <w:tc>
        <w:tcPr>
          <w:tcW w:w="2551" w:type="dxa"/>
          <w:shd w:val="clear" w:color="auto" w:fill="auto"/>
          <w:vAlign w:val="center"/>
        </w:tcPr>
        <w:p w14:paraId="62D7AF6D" w14:textId="77777777" w:rsidR="00841D6D" w:rsidRDefault="00841D6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771CD9B" w14:textId="77777777" w:rsidR="00841D6D" w:rsidRDefault="00841D6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E8886" w14:textId="77777777" w:rsidR="00841D6D" w:rsidRDefault="00841D6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E94FF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392E14"/>
    <w:multiLevelType w:val="multilevel"/>
    <w:tmpl w:val="EFE4B71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188"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A478B9"/>
    <w:multiLevelType w:val="multilevel"/>
    <w:tmpl w:val="588EBC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01E4B03"/>
    <w:multiLevelType w:val="multilevel"/>
    <w:tmpl w:val="7E5C2582"/>
    <w:lvl w:ilvl="0">
      <w:start w:val="1"/>
      <w:numFmt w:val="bullet"/>
      <w:lvlText w:val="●"/>
      <w:lvlJc w:val="left"/>
      <w:pPr>
        <w:ind w:left="644" w:hanging="360"/>
      </w:pPr>
      <w:rPr>
        <w:rFonts w:ascii="Palatino Linotype" w:eastAsia="Noto Sans Symbols" w:hAnsi="Palatino Linotype" w:cs="Noto Sans Symbols" w:hint="default"/>
        <w:color w:val="000000"/>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7F33FA2"/>
    <w:multiLevelType w:val="multilevel"/>
    <w:tmpl w:val="DEFC08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4478C9"/>
    <w:multiLevelType w:val="hybridMultilevel"/>
    <w:tmpl w:val="8FF429D2"/>
    <w:lvl w:ilvl="0" w:tplc="9DBE0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083500"/>
    <w:multiLevelType w:val="multilevel"/>
    <w:tmpl w:val="1C26633C"/>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7" w15:restartNumberingAfterBreak="0">
    <w:nsid w:val="2D42773D"/>
    <w:multiLevelType w:val="multilevel"/>
    <w:tmpl w:val="609CC1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E9B2AD1"/>
    <w:multiLevelType w:val="multilevel"/>
    <w:tmpl w:val="AEA8EE0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FC836DC"/>
    <w:multiLevelType w:val="multilevel"/>
    <w:tmpl w:val="BD1EB0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06E1C5F"/>
    <w:multiLevelType w:val="multilevel"/>
    <w:tmpl w:val="25CC5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D21007"/>
    <w:multiLevelType w:val="multilevel"/>
    <w:tmpl w:val="312232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42F2701"/>
    <w:multiLevelType w:val="hybridMultilevel"/>
    <w:tmpl w:val="36B87C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3698218C"/>
    <w:multiLevelType w:val="hybridMultilevel"/>
    <w:tmpl w:val="588C8FF4"/>
    <w:lvl w:ilvl="0" w:tplc="080A000B">
      <w:start w:val="1"/>
      <w:numFmt w:val="bullet"/>
      <w:lvlText w:val=""/>
      <w:lvlJc w:val="left"/>
      <w:pPr>
        <w:ind w:left="1931" w:hanging="360"/>
      </w:pPr>
      <w:rPr>
        <w:rFonts w:ascii="Wingdings" w:hAnsi="Wingdings"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14" w15:restartNumberingAfterBreak="0">
    <w:nsid w:val="381653C3"/>
    <w:multiLevelType w:val="multilevel"/>
    <w:tmpl w:val="72D85E1A"/>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3A132D9C"/>
    <w:multiLevelType w:val="hybridMultilevel"/>
    <w:tmpl w:val="88C46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423A14"/>
    <w:multiLevelType w:val="hybridMultilevel"/>
    <w:tmpl w:val="C93A51D2"/>
    <w:lvl w:ilvl="0" w:tplc="C16E443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6643830"/>
    <w:multiLevelType w:val="multilevel"/>
    <w:tmpl w:val="95127D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AF09BC"/>
    <w:multiLevelType w:val="hybridMultilevel"/>
    <w:tmpl w:val="44480A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3FF363D"/>
    <w:multiLevelType w:val="multilevel"/>
    <w:tmpl w:val="24703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0C78A7"/>
    <w:multiLevelType w:val="multilevel"/>
    <w:tmpl w:val="F6DAB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C521BE"/>
    <w:multiLevelType w:val="hybridMultilevel"/>
    <w:tmpl w:val="63A2A03E"/>
    <w:lvl w:ilvl="0" w:tplc="994EE71A">
      <w:start w:val="2"/>
      <w:numFmt w:val="bullet"/>
      <w:lvlText w:val="-"/>
      <w:lvlJc w:val="left"/>
      <w:pPr>
        <w:ind w:left="1211" w:hanging="360"/>
      </w:pPr>
      <w:rPr>
        <w:rFonts w:ascii="Palatino Linotype" w:eastAsia="Palatino Linotype" w:hAnsi="Palatino Linotype" w:cs="Palatino Linotype" w:hint="default"/>
        <w:b/>
        <w:i/>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3" w15:restartNumberingAfterBreak="0">
    <w:nsid w:val="596B2D44"/>
    <w:multiLevelType w:val="multilevel"/>
    <w:tmpl w:val="A3A4606A"/>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599201B3"/>
    <w:multiLevelType w:val="multilevel"/>
    <w:tmpl w:val="9DB6FA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D277458"/>
    <w:multiLevelType w:val="multilevel"/>
    <w:tmpl w:val="318C41BE"/>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C8171F"/>
    <w:multiLevelType w:val="multilevel"/>
    <w:tmpl w:val="8E84D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3B41BF"/>
    <w:multiLevelType w:val="multilevel"/>
    <w:tmpl w:val="017E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77716B"/>
    <w:multiLevelType w:val="multilevel"/>
    <w:tmpl w:val="DBCEF250"/>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8C2431"/>
    <w:multiLevelType w:val="multilevel"/>
    <w:tmpl w:val="3EF8242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0" w15:restartNumberingAfterBreak="0">
    <w:nsid w:val="6D8B29A3"/>
    <w:multiLevelType w:val="multilevel"/>
    <w:tmpl w:val="0486E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F7201F"/>
    <w:multiLevelType w:val="multilevel"/>
    <w:tmpl w:val="E640A12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B550F2"/>
    <w:multiLevelType w:val="hybridMultilevel"/>
    <w:tmpl w:val="56EAD34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B628CF"/>
    <w:multiLevelType w:val="multilevel"/>
    <w:tmpl w:val="7D3AB0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52B3F4D"/>
    <w:multiLevelType w:val="hybridMultilevel"/>
    <w:tmpl w:val="7C2C4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D84C83"/>
    <w:multiLevelType w:val="multilevel"/>
    <w:tmpl w:val="E202FF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9FD3168"/>
    <w:multiLevelType w:val="multilevel"/>
    <w:tmpl w:val="3F2CE62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7" w15:restartNumberingAfterBreak="0">
    <w:nsid w:val="7B7A5578"/>
    <w:multiLevelType w:val="multilevel"/>
    <w:tmpl w:val="3F10B0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DA04318"/>
    <w:multiLevelType w:val="hybridMultilevel"/>
    <w:tmpl w:val="4614F402"/>
    <w:lvl w:ilvl="0" w:tplc="5C9AF4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0F49A1"/>
    <w:multiLevelType w:val="multilevel"/>
    <w:tmpl w:val="C2081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F0C314B"/>
    <w:multiLevelType w:val="multilevel"/>
    <w:tmpl w:val="9832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7"/>
  </w:num>
  <w:num w:numId="3">
    <w:abstractNumId w:val="11"/>
  </w:num>
  <w:num w:numId="4">
    <w:abstractNumId w:val="33"/>
  </w:num>
  <w:num w:numId="5">
    <w:abstractNumId w:val="26"/>
  </w:num>
  <w:num w:numId="6">
    <w:abstractNumId w:val="27"/>
  </w:num>
  <w:num w:numId="7">
    <w:abstractNumId w:val="6"/>
  </w:num>
  <w:num w:numId="8">
    <w:abstractNumId w:val="4"/>
  </w:num>
  <w:num w:numId="9">
    <w:abstractNumId w:val="31"/>
  </w:num>
  <w:num w:numId="10">
    <w:abstractNumId w:val="28"/>
  </w:num>
  <w:num w:numId="11">
    <w:abstractNumId w:val="21"/>
  </w:num>
  <w:num w:numId="12">
    <w:abstractNumId w:val="39"/>
  </w:num>
  <w:num w:numId="13">
    <w:abstractNumId w:val="30"/>
  </w:num>
  <w:num w:numId="14">
    <w:abstractNumId w:val="23"/>
  </w:num>
  <w:num w:numId="15">
    <w:abstractNumId w:val="7"/>
  </w:num>
  <w:num w:numId="16">
    <w:abstractNumId w:val="29"/>
  </w:num>
  <w:num w:numId="17">
    <w:abstractNumId w:val="16"/>
  </w:num>
  <w:num w:numId="18">
    <w:abstractNumId w:val="15"/>
  </w:num>
  <w:num w:numId="19">
    <w:abstractNumId w:val="8"/>
  </w:num>
  <w:num w:numId="20">
    <w:abstractNumId w:val="22"/>
  </w:num>
  <w:num w:numId="21">
    <w:abstractNumId w:val="13"/>
  </w:num>
  <w:num w:numId="22">
    <w:abstractNumId w:val="0"/>
  </w:num>
  <w:num w:numId="23">
    <w:abstractNumId w:val="36"/>
  </w:num>
  <w:num w:numId="24">
    <w:abstractNumId w:val="24"/>
  </w:num>
  <w:num w:numId="25">
    <w:abstractNumId w:val="19"/>
  </w:num>
  <w:num w:numId="26">
    <w:abstractNumId w:val="40"/>
  </w:num>
  <w:num w:numId="27">
    <w:abstractNumId w:val="32"/>
  </w:num>
  <w:num w:numId="28">
    <w:abstractNumId w:val="25"/>
  </w:num>
  <w:num w:numId="29">
    <w:abstractNumId w:val="2"/>
  </w:num>
  <w:num w:numId="30">
    <w:abstractNumId w:val="20"/>
  </w:num>
  <w:num w:numId="31">
    <w:abstractNumId w:val="10"/>
  </w:num>
  <w:num w:numId="32">
    <w:abstractNumId w:val="9"/>
  </w:num>
  <w:num w:numId="33">
    <w:abstractNumId w:val="35"/>
  </w:num>
  <w:num w:numId="34">
    <w:abstractNumId w:val="1"/>
  </w:num>
  <w:num w:numId="35">
    <w:abstractNumId w:val="37"/>
  </w:num>
  <w:num w:numId="36">
    <w:abstractNumId w:val="5"/>
  </w:num>
  <w:num w:numId="37">
    <w:abstractNumId w:val="12"/>
  </w:num>
  <w:num w:numId="38">
    <w:abstractNumId w:val="3"/>
  </w:num>
  <w:num w:numId="39">
    <w:abstractNumId w:val="18"/>
  </w:num>
  <w:num w:numId="40">
    <w:abstractNumId w:val="34"/>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09"/>
    <w:rsid w:val="000513FD"/>
    <w:rsid w:val="00061648"/>
    <w:rsid w:val="000622C7"/>
    <w:rsid w:val="000649A8"/>
    <w:rsid w:val="000C60B5"/>
    <w:rsid w:val="00117315"/>
    <w:rsid w:val="00122EBC"/>
    <w:rsid w:val="00134128"/>
    <w:rsid w:val="001525FF"/>
    <w:rsid w:val="00173AA2"/>
    <w:rsid w:val="00192EB1"/>
    <w:rsid w:val="001930DD"/>
    <w:rsid w:val="00197609"/>
    <w:rsid w:val="001A0846"/>
    <w:rsid w:val="001D6E25"/>
    <w:rsid w:val="001E4302"/>
    <w:rsid w:val="00230819"/>
    <w:rsid w:val="00247528"/>
    <w:rsid w:val="00253967"/>
    <w:rsid w:val="00256129"/>
    <w:rsid w:val="00273EAD"/>
    <w:rsid w:val="00282393"/>
    <w:rsid w:val="002E2F42"/>
    <w:rsid w:val="002F3433"/>
    <w:rsid w:val="002F6221"/>
    <w:rsid w:val="00313813"/>
    <w:rsid w:val="00322CE5"/>
    <w:rsid w:val="0033440B"/>
    <w:rsid w:val="003473FF"/>
    <w:rsid w:val="0037569C"/>
    <w:rsid w:val="00377745"/>
    <w:rsid w:val="00393FE4"/>
    <w:rsid w:val="00397BCF"/>
    <w:rsid w:val="003A0886"/>
    <w:rsid w:val="003D0A2D"/>
    <w:rsid w:val="003F49DE"/>
    <w:rsid w:val="00405054"/>
    <w:rsid w:val="00427F23"/>
    <w:rsid w:val="004340F2"/>
    <w:rsid w:val="0043760B"/>
    <w:rsid w:val="0044093F"/>
    <w:rsid w:val="00446903"/>
    <w:rsid w:val="00457B44"/>
    <w:rsid w:val="00476ACD"/>
    <w:rsid w:val="004874D7"/>
    <w:rsid w:val="004B01B2"/>
    <w:rsid w:val="004E2EF3"/>
    <w:rsid w:val="005002B2"/>
    <w:rsid w:val="00501047"/>
    <w:rsid w:val="00515E78"/>
    <w:rsid w:val="00566055"/>
    <w:rsid w:val="0057481B"/>
    <w:rsid w:val="005D4E59"/>
    <w:rsid w:val="005F3242"/>
    <w:rsid w:val="0060075E"/>
    <w:rsid w:val="006226E6"/>
    <w:rsid w:val="00647362"/>
    <w:rsid w:val="0065263E"/>
    <w:rsid w:val="00680F45"/>
    <w:rsid w:val="006D1B77"/>
    <w:rsid w:val="006D7E5E"/>
    <w:rsid w:val="006E33FE"/>
    <w:rsid w:val="006F7591"/>
    <w:rsid w:val="00705DD0"/>
    <w:rsid w:val="007109DF"/>
    <w:rsid w:val="0073351B"/>
    <w:rsid w:val="0073660D"/>
    <w:rsid w:val="00742375"/>
    <w:rsid w:val="007625AB"/>
    <w:rsid w:val="00763939"/>
    <w:rsid w:val="007961A2"/>
    <w:rsid w:val="0079738B"/>
    <w:rsid w:val="007E0578"/>
    <w:rsid w:val="00803331"/>
    <w:rsid w:val="00815E86"/>
    <w:rsid w:val="00823BE2"/>
    <w:rsid w:val="00841D6D"/>
    <w:rsid w:val="0086690C"/>
    <w:rsid w:val="00874388"/>
    <w:rsid w:val="008A75E9"/>
    <w:rsid w:val="008B2C22"/>
    <w:rsid w:val="008C16E2"/>
    <w:rsid w:val="008C5BE6"/>
    <w:rsid w:val="00904145"/>
    <w:rsid w:val="0094720A"/>
    <w:rsid w:val="009700C9"/>
    <w:rsid w:val="009744A7"/>
    <w:rsid w:val="00994426"/>
    <w:rsid w:val="009A512D"/>
    <w:rsid w:val="009B2260"/>
    <w:rsid w:val="009F4A08"/>
    <w:rsid w:val="00A03969"/>
    <w:rsid w:val="00A731B2"/>
    <w:rsid w:val="00A87AFB"/>
    <w:rsid w:val="00B04FF4"/>
    <w:rsid w:val="00B26C7E"/>
    <w:rsid w:val="00B700FD"/>
    <w:rsid w:val="00B75D2B"/>
    <w:rsid w:val="00B762C8"/>
    <w:rsid w:val="00B76486"/>
    <w:rsid w:val="00BB202A"/>
    <w:rsid w:val="00BC0D1E"/>
    <w:rsid w:val="00BC25F0"/>
    <w:rsid w:val="00BC7257"/>
    <w:rsid w:val="00BE6E71"/>
    <w:rsid w:val="00C264AD"/>
    <w:rsid w:val="00C36A45"/>
    <w:rsid w:val="00C703E9"/>
    <w:rsid w:val="00C84580"/>
    <w:rsid w:val="00C96D7A"/>
    <w:rsid w:val="00CB4CE2"/>
    <w:rsid w:val="00CC3952"/>
    <w:rsid w:val="00CE47DB"/>
    <w:rsid w:val="00CF5226"/>
    <w:rsid w:val="00D5320C"/>
    <w:rsid w:val="00D956CF"/>
    <w:rsid w:val="00DC0EB5"/>
    <w:rsid w:val="00E06607"/>
    <w:rsid w:val="00E37281"/>
    <w:rsid w:val="00E614E1"/>
    <w:rsid w:val="00E811B0"/>
    <w:rsid w:val="00E905EE"/>
    <w:rsid w:val="00EE6A1E"/>
    <w:rsid w:val="00F16365"/>
    <w:rsid w:val="00F42715"/>
    <w:rsid w:val="00F5167D"/>
    <w:rsid w:val="00F559C7"/>
    <w:rsid w:val="00F72791"/>
    <w:rsid w:val="00F73FE3"/>
    <w:rsid w:val="00FA4799"/>
    <w:rsid w:val="00FE1B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2C5E"/>
  <w15:docId w15:val="{68382E53-4704-4535-8F35-E2714E35A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paragraph" w:customStyle="1" w:styleId="temp">
    <w:name w:val="temp"/>
    <w:basedOn w:val="Normal"/>
    <w:rsid w:val="00904145"/>
    <w:pPr>
      <w:spacing w:before="100" w:beforeAutospacing="1" w:after="100" w:afterAutospacing="1"/>
    </w:pPr>
    <w:rPr>
      <w:lang w:val="es-MX"/>
    </w:rPr>
  </w:style>
  <w:style w:type="character" w:customStyle="1" w:styleId="bold">
    <w:name w:val="bold"/>
    <w:basedOn w:val="Fuentedeprrafopredeter"/>
    <w:rsid w:val="00904145"/>
  </w:style>
  <w:style w:type="character" w:customStyle="1" w:styleId="ng-star-inserted">
    <w:name w:val="ng-star-inserted"/>
    <w:basedOn w:val="Fuentedeprrafopredeter"/>
    <w:rsid w:val="0090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195704">
      <w:bodyDiv w:val="1"/>
      <w:marLeft w:val="0"/>
      <w:marRight w:val="0"/>
      <w:marTop w:val="0"/>
      <w:marBottom w:val="0"/>
      <w:divBdr>
        <w:top w:val="none" w:sz="0" w:space="0" w:color="auto"/>
        <w:left w:val="none" w:sz="0" w:space="0" w:color="auto"/>
        <w:bottom w:val="none" w:sz="0" w:space="0" w:color="auto"/>
        <w:right w:val="none" w:sz="0" w:space="0" w:color="auto"/>
      </w:divBdr>
      <w:divsChild>
        <w:div w:id="1151601781">
          <w:marLeft w:val="0"/>
          <w:marRight w:val="0"/>
          <w:marTop w:val="0"/>
          <w:marBottom w:val="150"/>
          <w:divBdr>
            <w:top w:val="none" w:sz="0" w:space="0" w:color="auto"/>
            <w:left w:val="none" w:sz="0" w:space="0" w:color="auto"/>
            <w:bottom w:val="single" w:sz="6" w:space="0" w:color="003A70"/>
            <w:right w:val="none" w:sz="0" w:space="0" w:color="auto"/>
          </w:divBdr>
        </w:div>
        <w:div w:id="1741514216">
          <w:marLeft w:val="0"/>
          <w:marRight w:val="0"/>
          <w:marTop w:val="0"/>
          <w:marBottom w:val="0"/>
          <w:divBdr>
            <w:top w:val="none" w:sz="0" w:space="0" w:color="auto"/>
            <w:left w:val="none" w:sz="0" w:space="0" w:color="auto"/>
            <w:bottom w:val="none" w:sz="0" w:space="0" w:color="auto"/>
            <w:right w:val="none" w:sz="0" w:space="0" w:color="auto"/>
          </w:divBdr>
          <w:divsChild>
            <w:div w:id="136340960">
              <w:marLeft w:val="0"/>
              <w:marRight w:val="0"/>
              <w:marTop w:val="0"/>
              <w:marBottom w:val="0"/>
              <w:divBdr>
                <w:top w:val="none" w:sz="0" w:space="0" w:color="auto"/>
                <w:left w:val="none" w:sz="0" w:space="0" w:color="auto"/>
                <w:bottom w:val="none" w:sz="0" w:space="0" w:color="auto"/>
                <w:right w:val="none" w:sz="0" w:space="0" w:color="auto"/>
              </w:divBdr>
              <w:divsChild>
                <w:div w:id="229466274">
                  <w:marLeft w:val="0"/>
                  <w:marRight w:val="0"/>
                  <w:marTop w:val="0"/>
                  <w:marBottom w:val="0"/>
                  <w:divBdr>
                    <w:top w:val="none" w:sz="0" w:space="0" w:color="auto"/>
                    <w:left w:val="none" w:sz="0" w:space="0" w:color="auto"/>
                    <w:bottom w:val="none" w:sz="0" w:space="0" w:color="auto"/>
                    <w:right w:val="none" w:sz="0" w:space="0" w:color="auto"/>
                  </w:divBdr>
                  <w:divsChild>
                    <w:div w:id="1915971618">
                      <w:marLeft w:val="0"/>
                      <w:marRight w:val="0"/>
                      <w:marTop w:val="0"/>
                      <w:marBottom w:val="0"/>
                      <w:divBdr>
                        <w:top w:val="none" w:sz="0" w:space="0" w:color="auto"/>
                        <w:left w:val="none" w:sz="0" w:space="0" w:color="auto"/>
                        <w:bottom w:val="none" w:sz="0" w:space="0" w:color="auto"/>
                        <w:right w:val="none" w:sz="0" w:space="0" w:color="auto"/>
                      </w:divBdr>
                    </w:div>
                  </w:divsChild>
                </w:div>
                <w:div w:id="1196311128">
                  <w:marLeft w:val="0"/>
                  <w:marRight w:val="0"/>
                  <w:marTop w:val="0"/>
                  <w:marBottom w:val="0"/>
                  <w:divBdr>
                    <w:top w:val="none" w:sz="0" w:space="0" w:color="auto"/>
                    <w:left w:val="none" w:sz="0" w:space="0" w:color="auto"/>
                    <w:bottom w:val="none" w:sz="0" w:space="0" w:color="auto"/>
                    <w:right w:val="none" w:sz="0" w:space="0" w:color="auto"/>
                  </w:divBdr>
                  <w:divsChild>
                    <w:div w:id="1092092464">
                      <w:marLeft w:val="0"/>
                      <w:marRight w:val="0"/>
                      <w:marTop w:val="0"/>
                      <w:marBottom w:val="0"/>
                      <w:divBdr>
                        <w:top w:val="none" w:sz="0" w:space="0" w:color="auto"/>
                        <w:left w:val="none" w:sz="0" w:space="0" w:color="auto"/>
                        <w:bottom w:val="none" w:sz="0" w:space="0" w:color="auto"/>
                        <w:right w:val="none" w:sz="0" w:space="0" w:color="auto"/>
                      </w:divBdr>
                    </w:div>
                    <w:div w:id="1883399563">
                      <w:marLeft w:val="0"/>
                      <w:marRight w:val="0"/>
                      <w:marTop w:val="0"/>
                      <w:marBottom w:val="0"/>
                      <w:divBdr>
                        <w:top w:val="none" w:sz="0" w:space="0" w:color="auto"/>
                        <w:left w:val="none" w:sz="0" w:space="0" w:color="auto"/>
                        <w:bottom w:val="none" w:sz="0" w:space="0" w:color="auto"/>
                        <w:right w:val="none" w:sz="0" w:space="0" w:color="auto"/>
                      </w:divBdr>
                    </w:div>
                    <w:div w:id="738753693">
                      <w:marLeft w:val="0"/>
                      <w:marRight w:val="0"/>
                      <w:marTop w:val="0"/>
                      <w:marBottom w:val="0"/>
                      <w:divBdr>
                        <w:top w:val="none" w:sz="0" w:space="0" w:color="auto"/>
                        <w:left w:val="none" w:sz="0" w:space="0" w:color="auto"/>
                        <w:bottom w:val="none" w:sz="0" w:space="0" w:color="auto"/>
                        <w:right w:val="none" w:sz="0" w:space="0" w:color="auto"/>
                      </w:divBdr>
                    </w:div>
                  </w:divsChild>
                </w:div>
                <w:div w:id="171067287">
                  <w:marLeft w:val="0"/>
                  <w:marRight w:val="0"/>
                  <w:marTop w:val="0"/>
                  <w:marBottom w:val="0"/>
                  <w:divBdr>
                    <w:top w:val="none" w:sz="0" w:space="0" w:color="auto"/>
                    <w:left w:val="none" w:sz="0" w:space="0" w:color="auto"/>
                    <w:bottom w:val="none" w:sz="0" w:space="0" w:color="auto"/>
                    <w:right w:val="none" w:sz="0" w:space="0" w:color="auto"/>
                  </w:divBdr>
                  <w:divsChild>
                    <w:div w:id="1228566462">
                      <w:marLeft w:val="0"/>
                      <w:marRight w:val="0"/>
                      <w:marTop w:val="0"/>
                      <w:marBottom w:val="0"/>
                      <w:divBdr>
                        <w:top w:val="none" w:sz="0" w:space="0" w:color="auto"/>
                        <w:left w:val="none" w:sz="0" w:space="0" w:color="auto"/>
                        <w:bottom w:val="none" w:sz="0" w:space="0" w:color="auto"/>
                        <w:right w:val="none" w:sz="0" w:space="0" w:color="auto"/>
                      </w:divBdr>
                    </w:div>
                    <w:div w:id="1705595698">
                      <w:marLeft w:val="0"/>
                      <w:marRight w:val="0"/>
                      <w:marTop w:val="0"/>
                      <w:marBottom w:val="0"/>
                      <w:divBdr>
                        <w:top w:val="none" w:sz="0" w:space="0" w:color="auto"/>
                        <w:left w:val="none" w:sz="0" w:space="0" w:color="auto"/>
                        <w:bottom w:val="none" w:sz="0" w:space="0" w:color="auto"/>
                        <w:right w:val="none" w:sz="0" w:space="0" w:color="auto"/>
                      </w:divBdr>
                    </w:div>
                    <w:div w:id="1379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5583">
              <w:marLeft w:val="0"/>
              <w:marRight w:val="0"/>
              <w:marTop w:val="0"/>
              <w:marBottom w:val="0"/>
              <w:divBdr>
                <w:top w:val="none" w:sz="0" w:space="0" w:color="auto"/>
                <w:left w:val="none" w:sz="0" w:space="0" w:color="auto"/>
                <w:bottom w:val="none" w:sz="0" w:space="0" w:color="auto"/>
                <w:right w:val="none" w:sz="0" w:space="0" w:color="auto"/>
              </w:divBdr>
            </w:div>
            <w:div w:id="454107240">
              <w:marLeft w:val="0"/>
              <w:marRight w:val="0"/>
              <w:marTop w:val="0"/>
              <w:marBottom w:val="0"/>
              <w:divBdr>
                <w:top w:val="none" w:sz="0" w:space="0" w:color="auto"/>
                <w:left w:val="none" w:sz="0" w:space="0" w:color="auto"/>
                <w:bottom w:val="none" w:sz="0" w:space="0" w:color="auto"/>
                <w:right w:val="none" w:sz="0" w:space="0" w:color="auto"/>
              </w:divBdr>
            </w:div>
            <w:div w:id="11968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9748">
      <w:bodyDiv w:val="1"/>
      <w:marLeft w:val="0"/>
      <w:marRight w:val="0"/>
      <w:marTop w:val="0"/>
      <w:marBottom w:val="0"/>
      <w:divBdr>
        <w:top w:val="none" w:sz="0" w:space="0" w:color="auto"/>
        <w:left w:val="none" w:sz="0" w:space="0" w:color="auto"/>
        <w:bottom w:val="none" w:sz="0" w:space="0" w:color="auto"/>
        <w:right w:val="none" w:sz="0" w:space="0" w:color="auto"/>
      </w:divBdr>
      <w:divsChild>
        <w:div w:id="1984966839">
          <w:marLeft w:val="0"/>
          <w:marRight w:val="0"/>
          <w:marTop w:val="0"/>
          <w:marBottom w:val="150"/>
          <w:divBdr>
            <w:top w:val="none" w:sz="0" w:space="0" w:color="auto"/>
            <w:left w:val="none" w:sz="0" w:space="0" w:color="auto"/>
            <w:bottom w:val="single" w:sz="6" w:space="0" w:color="003A70"/>
            <w:right w:val="none" w:sz="0" w:space="0" w:color="auto"/>
          </w:divBdr>
        </w:div>
        <w:div w:id="519272449">
          <w:marLeft w:val="0"/>
          <w:marRight w:val="0"/>
          <w:marTop w:val="0"/>
          <w:marBottom w:val="0"/>
          <w:divBdr>
            <w:top w:val="none" w:sz="0" w:space="0" w:color="auto"/>
            <w:left w:val="none" w:sz="0" w:space="0" w:color="auto"/>
            <w:bottom w:val="none" w:sz="0" w:space="0" w:color="auto"/>
            <w:right w:val="none" w:sz="0" w:space="0" w:color="auto"/>
          </w:divBdr>
          <w:divsChild>
            <w:div w:id="733043695">
              <w:marLeft w:val="0"/>
              <w:marRight w:val="0"/>
              <w:marTop w:val="0"/>
              <w:marBottom w:val="0"/>
              <w:divBdr>
                <w:top w:val="none" w:sz="0" w:space="0" w:color="auto"/>
                <w:left w:val="none" w:sz="0" w:space="0" w:color="auto"/>
                <w:bottom w:val="none" w:sz="0" w:space="0" w:color="auto"/>
                <w:right w:val="none" w:sz="0" w:space="0" w:color="auto"/>
              </w:divBdr>
              <w:divsChild>
                <w:div w:id="209196841">
                  <w:marLeft w:val="0"/>
                  <w:marRight w:val="0"/>
                  <w:marTop w:val="0"/>
                  <w:marBottom w:val="0"/>
                  <w:divBdr>
                    <w:top w:val="none" w:sz="0" w:space="0" w:color="auto"/>
                    <w:left w:val="none" w:sz="0" w:space="0" w:color="auto"/>
                    <w:bottom w:val="none" w:sz="0" w:space="0" w:color="auto"/>
                    <w:right w:val="none" w:sz="0" w:space="0" w:color="auto"/>
                  </w:divBdr>
                  <w:divsChild>
                    <w:div w:id="1771969718">
                      <w:marLeft w:val="0"/>
                      <w:marRight w:val="0"/>
                      <w:marTop w:val="0"/>
                      <w:marBottom w:val="0"/>
                      <w:divBdr>
                        <w:top w:val="none" w:sz="0" w:space="0" w:color="auto"/>
                        <w:left w:val="none" w:sz="0" w:space="0" w:color="auto"/>
                        <w:bottom w:val="none" w:sz="0" w:space="0" w:color="auto"/>
                        <w:right w:val="none" w:sz="0" w:space="0" w:color="auto"/>
                      </w:divBdr>
                    </w:div>
                  </w:divsChild>
                </w:div>
                <w:div w:id="1603412228">
                  <w:marLeft w:val="0"/>
                  <w:marRight w:val="0"/>
                  <w:marTop w:val="0"/>
                  <w:marBottom w:val="0"/>
                  <w:divBdr>
                    <w:top w:val="none" w:sz="0" w:space="0" w:color="auto"/>
                    <w:left w:val="none" w:sz="0" w:space="0" w:color="auto"/>
                    <w:bottom w:val="none" w:sz="0" w:space="0" w:color="auto"/>
                    <w:right w:val="none" w:sz="0" w:space="0" w:color="auto"/>
                  </w:divBdr>
                  <w:divsChild>
                    <w:div w:id="563489019">
                      <w:marLeft w:val="0"/>
                      <w:marRight w:val="0"/>
                      <w:marTop w:val="0"/>
                      <w:marBottom w:val="0"/>
                      <w:divBdr>
                        <w:top w:val="none" w:sz="0" w:space="0" w:color="auto"/>
                        <w:left w:val="none" w:sz="0" w:space="0" w:color="auto"/>
                        <w:bottom w:val="none" w:sz="0" w:space="0" w:color="auto"/>
                        <w:right w:val="none" w:sz="0" w:space="0" w:color="auto"/>
                      </w:divBdr>
                    </w:div>
                    <w:div w:id="698823250">
                      <w:marLeft w:val="0"/>
                      <w:marRight w:val="0"/>
                      <w:marTop w:val="0"/>
                      <w:marBottom w:val="0"/>
                      <w:divBdr>
                        <w:top w:val="none" w:sz="0" w:space="0" w:color="auto"/>
                        <w:left w:val="none" w:sz="0" w:space="0" w:color="auto"/>
                        <w:bottom w:val="none" w:sz="0" w:space="0" w:color="auto"/>
                        <w:right w:val="none" w:sz="0" w:space="0" w:color="auto"/>
                      </w:divBdr>
                    </w:div>
                    <w:div w:id="493570699">
                      <w:marLeft w:val="0"/>
                      <w:marRight w:val="0"/>
                      <w:marTop w:val="0"/>
                      <w:marBottom w:val="0"/>
                      <w:divBdr>
                        <w:top w:val="none" w:sz="0" w:space="0" w:color="auto"/>
                        <w:left w:val="none" w:sz="0" w:space="0" w:color="auto"/>
                        <w:bottom w:val="none" w:sz="0" w:space="0" w:color="auto"/>
                        <w:right w:val="none" w:sz="0" w:space="0" w:color="auto"/>
                      </w:divBdr>
                    </w:div>
                  </w:divsChild>
                </w:div>
                <w:div w:id="429857701">
                  <w:marLeft w:val="0"/>
                  <w:marRight w:val="0"/>
                  <w:marTop w:val="0"/>
                  <w:marBottom w:val="0"/>
                  <w:divBdr>
                    <w:top w:val="none" w:sz="0" w:space="0" w:color="auto"/>
                    <w:left w:val="none" w:sz="0" w:space="0" w:color="auto"/>
                    <w:bottom w:val="none" w:sz="0" w:space="0" w:color="auto"/>
                    <w:right w:val="none" w:sz="0" w:space="0" w:color="auto"/>
                  </w:divBdr>
                  <w:divsChild>
                    <w:div w:id="839083521">
                      <w:marLeft w:val="0"/>
                      <w:marRight w:val="0"/>
                      <w:marTop w:val="0"/>
                      <w:marBottom w:val="0"/>
                      <w:divBdr>
                        <w:top w:val="none" w:sz="0" w:space="0" w:color="auto"/>
                        <w:left w:val="none" w:sz="0" w:space="0" w:color="auto"/>
                        <w:bottom w:val="none" w:sz="0" w:space="0" w:color="auto"/>
                        <w:right w:val="none" w:sz="0" w:space="0" w:color="auto"/>
                      </w:divBdr>
                    </w:div>
                    <w:div w:id="1441756292">
                      <w:marLeft w:val="0"/>
                      <w:marRight w:val="0"/>
                      <w:marTop w:val="0"/>
                      <w:marBottom w:val="0"/>
                      <w:divBdr>
                        <w:top w:val="none" w:sz="0" w:space="0" w:color="auto"/>
                        <w:left w:val="none" w:sz="0" w:space="0" w:color="auto"/>
                        <w:bottom w:val="none" w:sz="0" w:space="0" w:color="auto"/>
                        <w:right w:val="none" w:sz="0" w:space="0" w:color="auto"/>
                      </w:divBdr>
                    </w:div>
                    <w:div w:id="6922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8183">
              <w:marLeft w:val="0"/>
              <w:marRight w:val="0"/>
              <w:marTop w:val="0"/>
              <w:marBottom w:val="0"/>
              <w:divBdr>
                <w:top w:val="none" w:sz="0" w:space="0" w:color="auto"/>
                <w:left w:val="none" w:sz="0" w:space="0" w:color="auto"/>
                <w:bottom w:val="none" w:sz="0" w:space="0" w:color="auto"/>
                <w:right w:val="none" w:sz="0" w:space="0" w:color="auto"/>
              </w:divBdr>
            </w:div>
            <w:div w:id="1402559426">
              <w:marLeft w:val="0"/>
              <w:marRight w:val="0"/>
              <w:marTop w:val="0"/>
              <w:marBottom w:val="0"/>
              <w:divBdr>
                <w:top w:val="none" w:sz="0" w:space="0" w:color="auto"/>
                <w:left w:val="none" w:sz="0" w:space="0" w:color="auto"/>
                <w:bottom w:val="none" w:sz="0" w:space="0" w:color="auto"/>
                <w:right w:val="none" w:sz="0" w:space="0" w:color="auto"/>
              </w:divBdr>
            </w:div>
            <w:div w:id="14559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ink/ink5.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customXml" Target="ink/ink4.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2T20:13:45.284"/>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2T20:13:38.602"/>
    </inkml:context>
    <inkml:brush xml:id="br0">
      <inkml:brushProperty name="width" value="0.05" units="cm"/>
      <inkml:brushProperty name="height" value="0.05" units="cm"/>
      <inkml:brushProperty name="color" value="#E71224"/>
    </inkml:brush>
  </inkml:definitions>
  <inkml:trace contextRef="#ctx0" brushRef="#br0">105 1 24575,'0'0'-8191</inkml:trace>
  <inkml:trace contextRef="#ctx0" brushRef="#br0" timeOffset="1661.94">0 265 24575</inkml:trace>
  <inkml:trace contextRef="#ctx0" brushRef="#br0" timeOffset="2060.14">0 265 24575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2T20:13:37.022"/>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2T20:13:29.409"/>
    </inkml:context>
    <inkml:brush xml:id="br0">
      <inkml:brushProperty name="width" value="0.05" units="cm"/>
      <inkml:brushProperty name="height" value="0.05" units="cm"/>
      <inkml:brushProperty name="color" value="#E71224"/>
    </inkml:brush>
  </inkml:definitions>
  <inkml:trace contextRef="#ctx0" brushRef="#br0">1351 376 24575,'0'-2'0,"-1"-1"0,1 1 0,-1 0 0,0 0 0,0 0 0,0-1 0,0 1 0,0 0 0,-1 0 0,1 1 0,-1-1 0,1 0 0,-1 0 0,0 1 0,1-1 0,-1 1 0,0-1 0,0 1 0,0 0 0,-4-2 0,-45-20 0,50 23 0,-33-10 0,-1 1 0,1 2 0,-2 1 0,1 2 0,0 1 0,-1 2 0,1 2 0,-1 1 0,-35 7 0,-51 13 0,-143 45 0,219-54 0,32-10 0,-26 8 0,0 1 0,-64 30 0,92-36 0,0 1 0,1 0 0,0 1 0,0 0 0,0 1 0,1 0 0,1 0 0,-1 1 0,1 1 0,1 0 0,0 0 0,-7 14 0,-3 9 0,2 1 0,2 1 0,1-1 0,2 2 0,-13 72 0,15-37 0,4 1 0,4 86 0,1-110 0,3 0 0,1-1 0,3 0 0,2 0 0,23 71 0,-4-46 0,4-1 0,3-1 0,3-2 0,63 87 0,-62-103 0,3-1 0,2-4 0,2 0 0,2-2 0,83 60 0,8-25 0,-93-57 0,56 40 0,-55-31 0,3-2 0,0-2 0,2-2 0,1-3 0,1-2 0,1-2 0,0-3 0,1-2 0,86 11 0,31-1 0,433 42 0,-580-67 0,0-2 0,1 0 0,-2-2 0,1-1 0,0-1 0,24-9 0,147-66 0,-137 53 0,112-35 0,132-28 0,-71 20 0,134-16 0,-203 27 0,-16 6 0,-51 27 0,0 4 0,2 5 0,0 3 0,145-1 0,-209 17 0,1-2 0,-1-1 0,0-2 0,41-10 0,-63 10 0,0 0 0,0-1 0,0-1 0,0 1 0,-1-2 0,0 0 0,0 0 0,-1-2 0,0 1 0,0-1 0,-1-1 0,0 0 0,12-17 0,10-22 0,-2-2 0,-3-1 0,-1-1 0,-4 0 0,22-75 0,-28 78 0,-1-1 0,-3 0 0,-3-1 0,-1 0 0,-3 0 0,-2-80 0,-4 110 0,-1 1 0,-1-1 0,-1 0 0,0 1 0,-2 0 0,-1 0 0,0 0 0,-1 1 0,-2 0 0,0 1 0,-1 0 0,0 1 0,-2 0 0,0 0 0,-1 2 0,-1-1 0,-1 2 0,-20-16 0,-13-4 0,-2 3 0,-1 1 0,-1 5 0,-85-34 0,-241-60 0,-1805-359 0,1710 441 0,1 40 0,184 1 0,249-3 0,1 2 0,-1 1 0,1 2 0,-44 12 0,70-14 0,1 1 0,-1 0 0,1 1 0,0 0 0,1 1 0,-1 0 0,1 1 0,0 0 0,1 1 0,-1 0 0,2 1 0,-1 0 0,1 0 0,1 1 0,-1 0 0,-7 13 0,7-6-273,1 0 0,0 0 0,2 1 0,-9 34 0,9-22-6553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2T20:13:33.478"/>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SqiwNspkZaFY3FEyUdwNkYPw==">CgMxLjAyCGguZ2pkZ3hzMgloLjMwajB6bGwyCWguMnM4ZXlvMTIIaC50eWpjd3QyCWguM3pueXNoNzIJaC4yZXQ5MnAwMgloLjFmb2I5dGUyCGgubG54Yno5OAByITE1azkyWGx5eDhEUVlnTmVNMHVBeGpUOEpzZGJwNmtGeg==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17353</Words>
  <Characters>95447</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2025-07-11T18:15:00Z</cp:lastPrinted>
  <dcterms:created xsi:type="dcterms:W3CDTF">2025-08-06T18:47:00Z</dcterms:created>
  <dcterms:modified xsi:type="dcterms:W3CDTF">2025-08-06T18:47:00Z</dcterms:modified>
</cp:coreProperties>
</file>