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Resolución del Pleno del Instituto de Transparencia, Acceso a la Información Pública y Protección de Datos Personales del Estado de México y Municipios, con domicilio en Metepec, Estado de México, a </w:t>
      </w:r>
      <w:r w:rsidR="008C1AB9">
        <w:rPr>
          <w:rFonts w:eastAsia="Palatino Linotype" w:cs="Palatino Linotype"/>
          <w:b/>
          <w:bCs/>
          <w:color w:val="000000"/>
          <w:szCs w:val="24"/>
        </w:rPr>
        <w:t xml:space="preserve">doce </w:t>
      </w:r>
      <w:r w:rsidR="00C54308">
        <w:rPr>
          <w:rFonts w:eastAsia="Palatino Linotype" w:cs="Palatino Linotype"/>
          <w:b/>
          <w:bCs/>
          <w:color w:val="000000"/>
          <w:szCs w:val="24"/>
        </w:rPr>
        <w:t>de noviembre</w:t>
      </w:r>
      <w:r w:rsidRPr="00480A36">
        <w:rPr>
          <w:rFonts w:eastAsia="Palatino Linotype" w:cs="Palatino Linotype"/>
          <w:b/>
          <w:bCs/>
          <w:color w:val="000000"/>
          <w:szCs w:val="24"/>
        </w:rPr>
        <w:t xml:space="preserve"> de dos mil veinticinco</w:t>
      </w:r>
      <w:r w:rsidRPr="00E2546F">
        <w:rPr>
          <w:rFonts w:eastAsia="Palatino Linotype" w:cs="Palatino Linotype"/>
          <w:color w:val="000000"/>
          <w:szCs w:val="24"/>
        </w:rPr>
        <w:t>.</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p>
    <w:p w:rsidR="00DC4AD7" w:rsidRDefault="00DC4AD7" w:rsidP="00DC4AD7">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b/>
          <w:color w:val="000000"/>
          <w:szCs w:val="24"/>
        </w:rPr>
        <w:t>VISTO</w:t>
      </w:r>
      <w:r w:rsidRPr="00E2546F">
        <w:rPr>
          <w:rFonts w:eastAsia="Palatino Linotype" w:cs="Palatino Linotype"/>
          <w:color w:val="000000"/>
          <w:szCs w:val="24"/>
        </w:rPr>
        <w:t xml:space="preserve"> el expediente electrónico formado con motivo del recurso de revisión número </w:t>
      </w:r>
      <w:r w:rsidRPr="00E2546F">
        <w:rPr>
          <w:rFonts w:eastAsia="Palatino Linotype" w:cs="Palatino Linotype"/>
          <w:b/>
          <w:color w:val="000000"/>
          <w:szCs w:val="24"/>
        </w:rPr>
        <w:t>0</w:t>
      </w:r>
      <w:r w:rsidR="00C54308">
        <w:rPr>
          <w:rFonts w:eastAsia="Palatino Linotype" w:cs="Palatino Linotype"/>
          <w:b/>
          <w:color w:val="000000"/>
          <w:szCs w:val="24"/>
        </w:rPr>
        <w:t>6005</w:t>
      </w:r>
      <w:r w:rsidRPr="00E2546F">
        <w:rPr>
          <w:rFonts w:eastAsia="Palatino Linotype" w:cs="Palatino Linotype"/>
          <w:b/>
          <w:color w:val="000000"/>
          <w:szCs w:val="24"/>
        </w:rPr>
        <w:t>/INFOEM/IP/RR/2025</w:t>
      </w:r>
      <w:r w:rsidRPr="00E2546F">
        <w:rPr>
          <w:rFonts w:eastAsia="Palatino Linotype" w:cs="Palatino Linotype"/>
          <w:color w:val="000000"/>
          <w:szCs w:val="24"/>
        </w:rPr>
        <w:t>, interpuesto por</w:t>
      </w:r>
      <w:r w:rsidRPr="00E2546F">
        <w:rPr>
          <w:rFonts w:cs="Arial"/>
          <w:b/>
          <w:szCs w:val="24"/>
        </w:rPr>
        <w:t xml:space="preserve"> </w:t>
      </w:r>
      <w:r w:rsidR="008200A2">
        <w:rPr>
          <w:rFonts w:cs="Arial"/>
          <w:b/>
          <w:bCs/>
          <w:szCs w:val="24"/>
        </w:rPr>
        <w:t>XXXXXXXXXXXXXXXXXX</w:t>
      </w:r>
      <w:bookmarkStart w:id="0" w:name="_GoBack"/>
      <w:bookmarkEnd w:id="0"/>
      <w:r w:rsidR="00C54308">
        <w:rPr>
          <w:rFonts w:cs="Arial"/>
          <w:b/>
          <w:bCs/>
          <w:szCs w:val="24"/>
        </w:rPr>
        <w:t xml:space="preserve"> </w:t>
      </w:r>
      <w:r w:rsidRPr="00E2546F">
        <w:rPr>
          <w:rFonts w:eastAsia="Palatino Linotype" w:cs="Palatino Linotype"/>
          <w:color w:val="000000"/>
          <w:szCs w:val="24"/>
        </w:rPr>
        <w:t xml:space="preserve">en lo sucesivo el </w:t>
      </w:r>
      <w:r w:rsidRPr="00E2546F">
        <w:rPr>
          <w:rFonts w:eastAsia="Palatino Linotype" w:cs="Palatino Linotype"/>
          <w:b/>
          <w:color w:val="000000"/>
          <w:szCs w:val="24"/>
        </w:rPr>
        <w:t>Recurrente</w:t>
      </w:r>
      <w:r w:rsidRPr="00E2546F">
        <w:rPr>
          <w:rFonts w:eastAsia="Palatino Linotype" w:cs="Palatino Linotype"/>
          <w:color w:val="000000"/>
          <w:szCs w:val="24"/>
        </w:rPr>
        <w:t>, en contra de la respuesta del</w:t>
      </w:r>
      <w:r w:rsidRPr="00E2546F">
        <w:rPr>
          <w:rFonts w:eastAsia="Palatino Linotype" w:cs="Palatino Linotype"/>
          <w:b/>
          <w:color w:val="000000"/>
          <w:szCs w:val="24"/>
        </w:rPr>
        <w:t xml:space="preserve"> </w:t>
      </w:r>
      <w:r w:rsidR="00C54308" w:rsidRPr="00C54308">
        <w:rPr>
          <w:b/>
          <w:bCs/>
          <w:color w:val="000000"/>
          <w:szCs w:val="24"/>
        </w:rPr>
        <w:t>Ayuntamiento de Zacualpan</w:t>
      </w:r>
      <w:r w:rsidRPr="001A6F06">
        <w:rPr>
          <w:rFonts w:eastAsia="Palatino Linotype" w:cs="Palatino Linotype"/>
          <w:color w:val="000000"/>
          <w:szCs w:val="24"/>
        </w:rPr>
        <w:t xml:space="preserve"> e</w:t>
      </w:r>
      <w:r w:rsidRPr="00E2546F">
        <w:rPr>
          <w:rFonts w:eastAsia="Palatino Linotype" w:cs="Palatino Linotype"/>
          <w:color w:val="000000"/>
          <w:szCs w:val="24"/>
        </w:rPr>
        <w:t>n lo subsecuente</w:t>
      </w:r>
      <w:r w:rsidRPr="00E2546F">
        <w:rPr>
          <w:rFonts w:eastAsia="Palatino Linotype" w:cs="Palatino Linotype"/>
          <w:b/>
          <w:color w:val="000000"/>
          <w:szCs w:val="24"/>
        </w:rPr>
        <w:t xml:space="preserve"> </w:t>
      </w:r>
      <w:r w:rsidRPr="00E2546F">
        <w:rPr>
          <w:rFonts w:eastAsia="Palatino Linotype" w:cs="Palatino Linotype"/>
          <w:color w:val="000000"/>
          <w:szCs w:val="24"/>
        </w:rPr>
        <w:t>el</w:t>
      </w:r>
      <w:r w:rsidRPr="00E2546F">
        <w:rPr>
          <w:rFonts w:eastAsia="Palatino Linotype" w:cs="Palatino Linotype"/>
          <w:b/>
          <w:color w:val="000000"/>
          <w:szCs w:val="24"/>
        </w:rPr>
        <w:t xml:space="preserve"> Sujeto Obligado, </w:t>
      </w:r>
      <w:r w:rsidRPr="00E2546F">
        <w:rPr>
          <w:rFonts w:eastAsia="Palatino Linotype" w:cs="Palatino Linotype"/>
          <w:color w:val="000000"/>
          <w:szCs w:val="24"/>
        </w:rPr>
        <w:t>se procede a dictar la presente resolución.</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p>
    <w:p w:rsidR="00DC4AD7" w:rsidRPr="00E2546F" w:rsidRDefault="00DC4AD7" w:rsidP="00DC4AD7">
      <w:pPr>
        <w:pStyle w:val="Ttulo1"/>
        <w:jc w:val="center"/>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A N T E C E D E N T E S</w:t>
      </w:r>
    </w:p>
    <w:p w:rsidR="00DC4AD7" w:rsidRPr="00E2546F" w:rsidRDefault="00DC4AD7" w:rsidP="00DC4AD7">
      <w:pPr>
        <w:pBdr>
          <w:top w:val="nil"/>
          <w:left w:val="nil"/>
          <w:bottom w:val="nil"/>
          <w:right w:val="nil"/>
          <w:between w:val="nil"/>
        </w:pBdr>
        <w:contextualSpacing/>
        <w:rPr>
          <w:rFonts w:eastAsia="Palatino Linotype" w:cs="Palatino Linotype"/>
          <w:b/>
          <w:bCs/>
          <w:szCs w:val="24"/>
        </w:rPr>
      </w:pPr>
    </w:p>
    <w:p w:rsidR="00DC4AD7" w:rsidRPr="00E2546F" w:rsidRDefault="00DC4AD7" w:rsidP="00DC4AD7">
      <w:pPr>
        <w:pStyle w:val="Ttulo2"/>
        <w:rPr>
          <w:rFonts w:eastAsia="Palatino Linotype"/>
          <w:b/>
          <w:bCs/>
        </w:rPr>
      </w:pPr>
      <w:r w:rsidRPr="00E2546F">
        <w:rPr>
          <w:rFonts w:ascii="Palatino Linotype" w:eastAsia="Palatino Linotype" w:hAnsi="Palatino Linotype"/>
          <w:b/>
          <w:bCs/>
          <w:color w:val="auto"/>
          <w:sz w:val="24"/>
          <w:szCs w:val="24"/>
        </w:rPr>
        <w:t>PRIMERO. De la Solicitud de Información</w:t>
      </w:r>
      <w:r w:rsidRPr="00E2546F">
        <w:rPr>
          <w:rFonts w:eastAsia="Palatino Linotype"/>
          <w:b/>
          <w:bCs/>
        </w:rPr>
        <w:t>.</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Con fecha </w:t>
      </w:r>
      <w:r w:rsidR="00C54308">
        <w:rPr>
          <w:rFonts w:eastAsia="Palatino Linotype" w:cs="Palatino Linotype"/>
          <w:color w:val="000000"/>
          <w:szCs w:val="24"/>
        </w:rPr>
        <w:t>veintitrés de abril</w:t>
      </w:r>
      <w:r w:rsidRPr="00E2546F">
        <w:rPr>
          <w:rFonts w:eastAsia="Palatino Linotype" w:cs="Palatino Linotype"/>
          <w:color w:val="000000"/>
          <w:szCs w:val="24"/>
        </w:rPr>
        <w:t xml:space="preserve"> de dos mil veinticinco, el Recurrente presentó mediante el Sistema de Acceso a la Información Mexiquense (</w:t>
      </w:r>
      <w:r w:rsidRPr="00C54308">
        <w:rPr>
          <w:rFonts w:eastAsia="Palatino Linotype" w:cs="Palatino Linotype"/>
          <w:b/>
          <w:color w:val="000000"/>
          <w:szCs w:val="24"/>
        </w:rPr>
        <w:t>SAIMEX</w:t>
      </w:r>
      <w:r w:rsidRPr="00E2546F">
        <w:rPr>
          <w:rFonts w:eastAsia="Palatino Linotype" w:cs="Palatino Linotype"/>
          <w:color w:val="000000"/>
          <w:szCs w:val="24"/>
        </w:rPr>
        <w:t xml:space="preserve">), solicitud de información registrada con el número de </w:t>
      </w:r>
      <w:r w:rsidRPr="00E2546F">
        <w:rPr>
          <w:rFonts w:eastAsia="Palatino Linotype" w:cs="Palatino Linotype"/>
          <w:szCs w:val="24"/>
        </w:rPr>
        <w:t>expediente</w:t>
      </w:r>
      <w:r>
        <w:rPr>
          <w:rFonts w:ascii="Verdana" w:hAnsi="Verdana"/>
          <w:b/>
          <w:bCs/>
          <w:color w:val="FF0000"/>
        </w:rPr>
        <w:t> </w:t>
      </w:r>
      <w:r w:rsidR="00C54308" w:rsidRPr="00C54308">
        <w:rPr>
          <w:b/>
          <w:bCs/>
        </w:rPr>
        <w:t>00060/ZACUALPA/IP/2025</w:t>
      </w:r>
      <w:r w:rsidRPr="00E2546F">
        <w:rPr>
          <w:rFonts w:eastAsia="Palatino Linotype" w:cs="Palatino Linotype"/>
          <w:szCs w:val="24"/>
        </w:rPr>
        <w:t>,</w:t>
      </w:r>
      <w:r w:rsidRPr="00E2546F">
        <w:rPr>
          <w:rFonts w:eastAsia="Palatino Linotype" w:cs="Palatino Linotype"/>
          <w:b/>
          <w:szCs w:val="24"/>
        </w:rPr>
        <w:t xml:space="preserve"> </w:t>
      </w:r>
      <w:r w:rsidRPr="00E2546F">
        <w:rPr>
          <w:rFonts w:eastAsia="Palatino Linotype" w:cs="Palatino Linotype"/>
          <w:color w:val="000000"/>
          <w:szCs w:val="24"/>
        </w:rPr>
        <w:t>mediante la cual solicitó información en el tenor siguiente:</w:t>
      </w:r>
    </w:p>
    <w:p w:rsidR="00DC4AD7" w:rsidRPr="00E2546F" w:rsidRDefault="00DC4AD7" w:rsidP="00DC4AD7">
      <w:pPr>
        <w:pStyle w:val="Fundamentos"/>
        <w:spacing w:line="360" w:lineRule="auto"/>
        <w:rPr>
          <w:sz w:val="24"/>
        </w:rPr>
      </w:pPr>
      <w:r w:rsidRPr="00E2546F">
        <w:rPr>
          <w:sz w:val="24"/>
        </w:rPr>
        <w:t>“</w:t>
      </w:r>
      <w:r w:rsidR="00C54308" w:rsidRPr="00C54308">
        <w:rPr>
          <w:sz w:val="24"/>
        </w:rPr>
        <w:t xml:space="preserve">POR FAVOR LA SIGUIENTE INFORMACION PUBLICA: AL DIA DE HOY QUE DEUDAS (PASIVOS) "DE TODO TIPO Y MONTOS EN DINERO" TIENE EL H. AYUNYAMIENTO DE ZACUALPAN ESTADO DE MÉXICO, EJEMPLO DE DEUDAS O PASIVOS: LAUDOS LABORALES ($$$$) ISSSEMYM ($$$$$) CFE ($$$$$) PROVEEDORES ($$$$$$), ESPECIFICAR NOMBRES DE LOS PROVEEDORES POR FAVOR TELMEX ($$$$$) RENTAS ($$$$$$$) </w:t>
      </w:r>
      <w:r w:rsidR="00C54308" w:rsidRPr="00C54308">
        <w:rPr>
          <w:sz w:val="24"/>
        </w:rPr>
        <w:lastRenderedPageBreak/>
        <w:t>ESPECIFICCAR QUE TIPO DE RENTAS POR FAVOR SUELDOS Y AGUINALDOS DE TRABAJADORES ACTIVOS Y DADOS DE BAJA (DIVIDI EN AMBOS CASOS) GRACIAS ¡¡¡¡¡</w:t>
      </w:r>
      <w:r w:rsidR="00C54308">
        <w:rPr>
          <w:sz w:val="24"/>
        </w:rPr>
        <w:t xml:space="preserve">” </w:t>
      </w:r>
      <w:r w:rsidRPr="00E2546F">
        <w:rPr>
          <w:sz w:val="24"/>
        </w:rPr>
        <w:t>(Sic)</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p>
    <w:p w:rsidR="00DC4AD7" w:rsidRDefault="00DC4AD7" w:rsidP="00DC4AD7">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Modalidad de entrega: </w:t>
      </w:r>
      <w:r w:rsidRPr="00E2546F">
        <w:rPr>
          <w:rFonts w:eastAsia="Palatino Linotype" w:cs="Palatino Linotype"/>
          <w:b/>
          <w:color w:val="000000"/>
          <w:szCs w:val="24"/>
        </w:rPr>
        <w:t>A través del SAIMEX</w:t>
      </w:r>
      <w:r w:rsidRPr="00E2546F">
        <w:rPr>
          <w:rFonts w:eastAsia="Palatino Linotype" w:cs="Palatino Linotype"/>
          <w:color w:val="000000"/>
          <w:szCs w:val="24"/>
        </w:rPr>
        <w:t>.</w:t>
      </w:r>
    </w:p>
    <w:p w:rsidR="00DC4AD7" w:rsidRPr="006040BE" w:rsidRDefault="00DC4AD7" w:rsidP="00DC4AD7">
      <w:pPr>
        <w:pBdr>
          <w:top w:val="nil"/>
          <w:left w:val="nil"/>
          <w:bottom w:val="nil"/>
          <w:right w:val="nil"/>
          <w:between w:val="nil"/>
        </w:pBdr>
        <w:contextualSpacing/>
        <w:rPr>
          <w:rFonts w:eastAsia="Palatino Linotype" w:cs="Palatino Linotype"/>
          <w:b/>
          <w:color w:val="000000"/>
          <w:szCs w:val="24"/>
        </w:rPr>
      </w:pPr>
    </w:p>
    <w:p w:rsidR="00DC4AD7" w:rsidRPr="00860B2C" w:rsidRDefault="00DC4AD7" w:rsidP="00DC4AD7">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SEGUNDO. De la</w:t>
      </w:r>
      <w:r>
        <w:rPr>
          <w:rFonts w:ascii="Palatino Linotype" w:eastAsia="Palatino Linotype" w:hAnsi="Palatino Linotype"/>
          <w:b/>
          <w:bCs/>
          <w:color w:val="auto"/>
          <w:sz w:val="28"/>
          <w:szCs w:val="28"/>
        </w:rPr>
        <w:t xml:space="preserve"> R</w:t>
      </w:r>
      <w:r w:rsidRPr="00E2546F">
        <w:rPr>
          <w:rFonts w:ascii="Palatino Linotype" w:eastAsia="Palatino Linotype" w:hAnsi="Palatino Linotype"/>
          <w:b/>
          <w:bCs/>
          <w:color w:val="auto"/>
          <w:sz w:val="28"/>
          <w:szCs w:val="28"/>
        </w:rPr>
        <w:t>espuesta del Sujeto Obligado.</w:t>
      </w:r>
    </w:p>
    <w:p w:rsidR="00DC4AD7" w:rsidRPr="00854D28" w:rsidRDefault="00DC4AD7" w:rsidP="00DC4AD7">
      <w:pPr>
        <w:pBdr>
          <w:top w:val="nil"/>
          <w:left w:val="nil"/>
          <w:bottom w:val="nil"/>
          <w:right w:val="nil"/>
          <w:between w:val="nil"/>
        </w:pBdr>
        <w:contextualSpacing/>
        <w:rPr>
          <w:rFonts w:cs="Arial"/>
          <w:b/>
          <w:bCs/>
          <w:i/>
          <w:szCs w:val="24"/>
        </w:rPr>
      </w:pPr>
      <w:r w:rsidRPr="00E2546F">
        <w:rPr>
          <w:rFonts w:eastAsia="Palatino Linotype" w:cs="Palatino Linotype"/>
          <w:color w:val="000000"/>
          <w:szCs w:val="24"/>
        </w:rPr>
        <w:t xml:space="preserve">De las constancias que obran en el expediente electrónico, se observa que el día </w:t>
      </w:r>
      <w:r w:rsidR="00C54308">
        <w:rPr>
          <w:rFonts w:eastAsia="Palatino Linotype" w:cs="Palatino Linotype"/>
          <w:color w:val="000000"/>
          <w:szCs w:val="24"/>
        </w:rPr>
        <w:t>veinte de mayo</w:t>
      </w:r>
      <w:r>
        <w:rPr>
          <w:rFonts w:eastAsia="Palatino Linotype" w:cs="Palatino Linotype"/>
          <w:color w:val="000000"/>
          <w:szCs w:val="24"/>
        </w:rPr>
        <w:t xml:space="preserve"> </w:t>
      </w:r>
      <w:r w:rsidRPr="00E2546F">
        <w:rPr>
          <w:rFonts w:eastAsia="Palatino Linotype" w:cs="Palatino Linotype"/>
          <w:color w:val="000000"/>
          <w:szCs w:val="24"/>
        </w:rPr>
        <w:t>de dos mil veinticinco, el Sujeto Obligado dio respuesta a la soli</w:t>
      </w:r>
      <w:r w:rsidR="00C54308">
        <w:rPr>
          <w:rFonts w:eastAsia="Palatino Linotype" w:cs="Palatino Linotype"/>
          <w:color w:val="000000"/>
          <w:szCs w:val="24"/>
        </w:rPr>
        <w:t>citud de información anexando los</w:t>
      </w:r>
      <w:r w:rsidRPr="00E2546F">
        <w:rPr>
          <w:rFonts w:eastAsia="Palatino Linotype" w:cs="Palatino Linotype"/>
          <w:color w:val="000000"/>
          <w:szCs w:val="24"/>
        </w:rPr>
        <w:t xml:space="preserve"> documento</w:t>
      </w:r>
      <w:r w:rsidR="00C54308">
        <w:rPr>
          <w:rFonts w:eastAsia="Palatino Linotype" w:cs="Palatino Linotype"/>
          <w:color w:val="000000"/>
          <w:szCs w:val="24"/>
        </w:rPr>
        <w:t>s</w:t>
      </w:r>
      <w:r w:rsidRPr="00E2546F">
        <w:rPr>
          <w:rFonts w:eastAsia="Palatino Linotype" w:cs="Palatino Linotype"/>
          <w:color w:val="000000"/>
          <w:szCs w:val="24"/>
        </w:rPr>
        <w:t xml:space="preserve"> electrónico</w:t>
      </w:r>
      <w:r w:rsidR="00C54308">
        <w:rPr>
          <w:rFonts w:eastAsia="Palatino Linotype" w:cs="Palatino Linotype"/>
          <w:color w:val="000000"/>
          <w:szCs w:val="24"/>
        </w:rPr>
        <w:t>s</w:t>
      </w:r>
      <w:r w:rsidRPr="00E2546F">
        <w:rPr>
          <w:rFonts w:eastAsia="Palatino Linotype" w:cs="Palatino Linotype"/>
          <w:color w:val="000000"/>
          <w:szCs w:val="24"/>
        </w:rPr>
        <w:t xml:space="preserve"> denominado</w:t>
      </w:r>
      <w:r w:rsidR="00C54308">
        <w:rPr>
          <w:rFonts w:eastAsia="Palatino Linotype" w:cs="Palatino Linotype"/>
          <w:color w:val="000000"/>
          <w:szCs w:val="24"/>
        </w:rPr>
        <w:t>s</w:t>
      </w:r>
      <w:r w:rsidRPr="00E2546F">
        <w:rPr>
          <w:rFonts w:eastAsia="Palatino Linotype" w:cs="Palatino Linotype"/>
          <w:color w:val="000000"/>
          <w:szCs w:val="24"/>
        </w:rPr>
        <w:t xml:space="preserve"> </w:t>
      </w:r>
      <w:r w:rsidRPr="001A6F06">
        <w:rPr>
          <w:rFonts w:eastAsia="Palatino Linotype" w:cs="Palatino Linotype"/>
          <w:i/>
          <w:color w:val="000000"/>
          <w:szCs w:val="24"/>
        </w:rPr>
        <w:t>“</w:t>
      </w:r>
      <w:r w:rsidR="00C54308" w:rsidRPr="00C54308">
        <w:rPr>
          <w:rFonts w:cs="Arial"/>
          <w:b/>
          <w:bCs/>
          <w:szCs w:val="24"/>
        </w:rPr>
        <w:t>00060ZACUALPAIP2025.pdf</w:t>
      </w:r>
      <w:r w:rsidR="00C54308">
        <w:rPr>
          <w:rFonts w:cs="Arial"/>
          <w:b/>
          <w:bCs/>
          <w:color w:val="333333"/>
          <w:szCs w:val="24"/>
        </w:rPr>
        <w:t>” y “</w:t>
      </w:r>
      <w:r w:rsidR="00C54308" w:rsidRPr="00C54308">
        <w:rPr>
          <w:rFonts w:cs="Arial"/>
          <w:b/>
          <w:bCs/>
          <w:szCs w:val="24"/>
        </w:rPr>
        <w:t>respuesta 60.pdf</w:t>
      </w:r>
      <w:r w:rsidRPr="00E2546F">
        <w:rPr>
          <w:rFonts w:cs="Arial"/>
          <w:b/>
          <w:bCs/>
          <w:szCs w:val="24"/>
        </w:rPr>
        <w:t xml:space="preserve">” </w:t>
      </w:r>
      <w:r w:rsidR="00C54308">
        <w:rPr>
          <w:rFonts w:cs="Arial"/>
          <w:szCs w:val="24"/>
        </w:rPr>
        <w:t xml:space="preserve">los </w:t>
      </w:r>
      <w:r w:rsidRPr="00E2546F">
        <w:rPr>
          <w:rFonts w:cs="Arial"/>
          <w:szCs w:val="24"/>
        </w:rPr>
        <w:t>cual</w:t>
      </w:r>
      <w:r w:rsidR="00C54308">
        <w:rPr>
          <w:rFonts w:cs="Arial"/>
          <w:szCs w:val="24"/>
        </w:rPr>
        <w:t>es</w:t>
      </w:r>
      <w:r w:rsidRPr="00E2546F">
        <w:rPr>
          <w:rFonts w:cs="Arial"/>
          <w:szCs w:val="24"/>
        </w:rPr>
        <w:t xml:space="preserve"> será</w:t>
      </w:r>
      <w:r w:rsidR="00C54308">
        <w:rPr>
          <w:rFonts w:cs="Arial"/>
          <w:szCs w:val="24"/>
        </w:rPr>
        <w:t>n</w:t>
      </w:r>
      <w:r w:rsidRPr="00E2546F">
        <w:rPr>
          <w:rFonts w:cs="Arial"/>
          <w:szCs w:val="24"/>
        </w:rPr>
        <w:t xml:space="preserve"> analizado</w:t>
      </w:r>
      <w:r w:rsidR="00C54308">
        <w:rPr>
          <w:rFonts w:cs="Arial"/>
          <w:szCs w:val="24"/>
        </w:rPr>
        <w:t>s</w:t>
      </w:r>
      <w:r w:rsidRPr="00E2546F">
        <w:rPr>
          <w:rFonts w:cs="Arial"/>
          <w:szCs w:val="24"/>
        </w:rPr>
        <w:t xml:space="preserve"> en el considerando respectivo. </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p>
    <w:p w:rsidR="00DC4AD7" w:rsidRPr="00E2546F" w:rsidRDefault="00DC4AD7" w:rsidP="00DC4AD7">
      <w:pPr>
        <w:pStyle w:val="Ttulo2"/>
        <w:rPr>
          <w:rFonts w:ascii="Palatino Linotype" w:eastAsia="Palatino Linotype" w:hAnsi="Palatino Linotype"/>
          <w:color w:val="auto"/>
          <w:sz w:val="28"/>
          <w:szCs w:val="28"/>
        </w:rPr>
      </w:pPr>
      <w:r w:rsidRPr="00E2546F">
        <w:rPr>
          <w:rFonts w:ascii="Palatino Linotype" w:eastAsia="Palatino Linotype" w:hAnsi="Palatino Linotype"/>
          <w:b/>
          <w:bCs/>
          <w:color w:val="auto"/>
          <w:sz w:val="28"/>
          <w:szCs w:val="28"/>
        </w:rPr>
        <w:t>TERCERO. Del recurso de revisión</w:t>
      </w:r>
      <w:r w:rsidRPr="00E2546F">
        <w:rPr>
          <w:rFonts w:ascii="Palatino Linotype" w:eastAsia="Palatino Linotype" w:hAnsi="Palatino Linotype"/>
          <w:color w:val="auto"/>
          <w:sz w:val="28"/>
          <w:szCs w:val="28"/>
        </w:rPr>
        <w:t>.</w:t>
      </w:r>
    </w:p>
    <w:p w:rsidR="00DC4AD7" w:rsidRDefault="00DC4AD7" w:rsidP="00DC4AD7">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Inconforme con la respuesta emitida por el Sujeto Obligado, el Recurrente interpuso el presente recurso de revisión el día </w:t>
      </w:r>
      <w:r>
        <w:rPr>
          <w:rFonts w:eastAsia="Palatino Linotype" w:cs="Palatino Linotype"/>
          <w:b/>
          <w:color w:val="000000"/>
          <w:szCs w:val="24"/>
        </w:rPr>
        <w:t xml:space="preserve">diez de junio </w:t>
      </w:r>
      <w:r w:rsidRPr="00E2546F">
        <w:rPr>
          <w:rFonts w:eastAsia="Palatino Linotype" w:cs="Palatino Linotype"/>
          <w:b/>
          <w:color w:val="000000"/>
          <w:szCs w:val="24"/>
        </w:rPr>
        <w:t>de dos mil veinticinco</w:t>
      </w:r>
      <w:r w:rsidRPr="00E2546F">
        <w:rPr>
          <w:rFonts w:eastAsia="Palatino Linotype" w:cs="Palatino Linotype"/>
          <w:color w:val="000000"/>
          <w:szCs w:val="24"/>
        </w:rPr>
        <w:t xml:space="preserve">, el cual se registró con el expediente número </w:t>
      </w:r>
      <w:r w:rsidRPr="00E2546F">
        <w:rPr>
          <w:rFonts w:eastAsia="Palatino Linotype" w:cs="Palatino Linotype"/>
          <w:b/>
          <w:color w:val="000000"/>
          <w:szCs w:val="24"/>
        </w:rPr>
        <w:t>0</w:t>
      </w:r>
      <w:r w:rsidR="00C54308">
        <w:rPr>
          <w:rFonts w:eastAsia="Palatino Linotype" w:cs="Palatino Linotype"/>
          <w:b/>
          <w:color w:val="000000"/>
          <w:szCs w:val="24"/>
        </w:rPr>
        <w:t>6005</w:t>
      </w:r>
      <w:r w:rsidRPr="00E2546F">
        <w:rPr>
          <w:rFonts w:eastAsia="Palatino Linotype" w:cs="Palatino Linotype"/>
          <w:b/>
          <w:color w:val="000000"/>
          <w:szCs w:val="24"/>
        </w:rPr>
        <w:t>/INFOEM/IP/RR/2025</w:t>
      </w:r>
      <w:r w:rsidRPr="00E2546F">
        <w:rPr>
          <w:rFonts w:eastAsia="Palatino Linotype" w:cs="Palatino Linotype"/>
          <w:color w:val="000000"/>
          <w:szCs w:val="24"/>
        </w:rPr>
        <w:t>, manifestando lo siguiente:</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p>
    <w:p w:rsidR="00DC4AD7" w:rsidRPr="00E2546F" w:rsidRDefault="00DC4AD7" w:rsidP="00DC4AD7">
      <w:pPr>
        <w:contextualSpacing/>
        <w:rPr>
          <w:rFonts w:eastAsia="Palatino Linotype" w:cs="Palatino Linotype"/>
          <w:b/>
        </w:rPr>
      </w:pPr>
      <w:r w:rsidRPr="00E2546F">
        <w:rPr>
          <w:rFonts w:eastAsia="Palatino Linotype" w:cs="Palatino Linotype"/>
          <w:b/>
        </w:rPr>
        <w:t xml:space="preserve">Acto Impugnado </w:t>
      </w:r>
      <w:r>
        <w:rPr>
          <w:rFonts w:eastAsia="Palatino Linotype" w:cs="Palatino Linotype"/>
          <w:b/>
        </w:rPr>
        <w:t xml:space="preserve">y </w:t>
      </w:r>
      <w:r w:rsidRPr="00E2546F">
        <w:rPr>
          <w:rFonts w:eastAsia="Palatino Linotype" w:cs="Palatino Linotype"/>
          <w:b/>
        </w:rPr>
        <w:t>Razones o Motivos de Inconformidad</w:t>
      </w:r>
    </w:p>
    <w:p w:rsidR="00DC4AD7" w:rsidRPr="001A6F06" w:rsidRDefault="00DC4AD7" w:rsidP="00DC4AD7">
      <w:pPr>
        <w:spacing w:line="240" w:lineRule="auto"/>
        <w:rPr>
          <w:rFonts w:ascii="Times New Roman" w:eastAsia="Times New Roman" w:hAnsi="Times New Roman" w:cs="Times New Roman"/>
          <w:szCs w:val="24"/>
          <w:lang w:val="es-MX"/>
        </w:rPr>
      </w:pPr>
      <w:r w:rsidRPr="00E50CCF">
        <w:t>“</w:t>
      </w:r>
      <w:r w:rsidR="00C54308" w:rsidRPr="00C54308">
        <w:rPr>
          <w:i/>
          <w:color w:val="000000"/>
          <w:szCs w:val="24"/>
        </w:rPr>
        <w:t xml:space="preserve">ES 100% INFORMACION PUBLICA Y LOS EMPLEADOS PUBLICOS RESPONSABLE DE DAR LA INFORMACION NO LA QUIEREN PROPORCIONAR </w:t>
      </w:r>
      <w:proofErr w:type="gramStart"/>
      <w:r w:rsidR="00C54308" w:rsidRPr="00C54308">
        <w:rPr>
          <w:i/>
          <w:color w:val="000000"/>
          <w:szCs w:val="24"/>
        </w:rPr>
        <w:t>¡¡¡¡¡¡¡¡¡¡¡¡¡¡¡¡¡¡¡¡¡</w:t>
      </w:r>
      <w:proofErr w:type="gramEnd"/>
      <w:r w:rsidRPr="00C54308">
        <w:rPr>
          <w:i/>
          <w:color w:val="000000"/>
          <w:szCs w:val="24"/>
        </w:rPr>
        <w:t>.</w:t>
      </w:r>
      <w:r w:rsidR="00C54308">
        <w:t xml:space="preserve">“ </w:t>
      </w:r>
      <w:r w:rsidRPr="00E2546F">
        <w:t>(Sic)</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p>
    <w:p w:rsidR="00DC4AD7" w:rsidRPr="00E2546F" w:rsidRDefault="00DC4AD7" w:rsidP="00DC4AD7">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lastRenderedPageBreak/>
        <w:t>CUARTO. Del turno y admisión del recurso de revisión.</w:t>
      </w:r>
    </w:p>
    <w:p w:rsidR="00DC4AD7" w:rsidRDefault="00DC4AD7" w:rsidP="00DC4AD7">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Medio de impugnación que le fue turnado al </w:t>
      </w:r>
      <w:r w:rsidRPr="00E2546F">
        <w:rPr>
          <w:rFonts w:eastAsia="Palatino Linotype" w:cs="Palatino Linotype"/>
          <w:b/>
          <w:color w:val="000000"/>
          <w:szCs w:val="24"/>
        </w:rPr>
        <w:t>Comisionado Presidente José Martínez Vilchis</w:t>
      </w:r>
      <w:r w:rsidRPr="00E2546F">
        <w:rPr>
          <w:rFonts w:eastAsia="Palatino Linotype" w:cs="Palatino Linotype"/>
          <w:color w:val="000000"/>
          <w:szCs w:val="24"/>
        </w:rPr>
        <w:t>, por medio del sistema electrónico en términos del numeral 185 fracción I de la Ley de Transparencia y Acceso a la información Pública del Estado de México y Municipios, al cual recayó acuerdo de admisión de fecha</w:t>
      </w:r>
      <w:r w:rsidRPr="00E2546F">
        <w:rPr>
          <w:rFonts w:eastAsia="Palatino Linotype" w:cs="Palatino Linotype"/>
          <w:b/>
          <w:bCs/>
          <w:color w:val="000000"/>
          <w:szCs w:val="24"/>
        </w:rPr>
        <w:t xml:space="preserve"> </w:t>
      </w:r>
      <w:r w:rsidR="00C54308">
        <w:rPr>
          <w:rFonts w:eastAsia="Palatino Linotype" w:cs="Palatino Linotype"/>
          <w:b/>
          <w:bCs/>
          <w:color w:val="000000"/>
          <w:szCs w:val="24"/>
        </w:rPr>
        <w:t>veintinueve de mayo</w:t>
      </w:r>
      <w:r>
        <w:rPr>
          <w:rFonts w:eastAsia="Palatino Linotype" w:cs="Palatino Linotype"/>
          <w:b/>
          <w:bCs/>
          <w:color w:val="000000"/>
          <w:szCs w:val="24"/>
        </w:rPr>
        <w:t xml:space="preserve"> </w:t>
      </w:r>
      <w:r w:rsidRPr="00E2546F">
        <w:rPr>
          <w:rFonts w:eastAsia="Palatino Linotype" w:cs="Palatino Linotype"/>
          <w:b/>
          <w:bCs/>
          <w:color w:val="000000"/>
          <w:szCs w:val="24"/>
        </w:rPr>
        <w:t>de dos mil veinticinco</w:t>
      </w:r>
      <w:r w:rsidRPr="00E2546F">
        <w:rPr>
          <w:rFonts w:eastAsia="Palatino Linotype" w:cs="Palatino Linotype"/>
          <w:color w:val="000000"/>
          <w:szCs w:val="24"/>
        </w:rPr>
        <w:t xml:space="preserve">, </w:t>
      </w:r>
      <w:r w:rsidRPr="00E2546F">
        <w:rPr>
          <w:rFonts w:eastAsia="Palatino Linotype" w:cs="Palatino Linotype"/>
          <w:szCs w:val="24"/>
        </w:rPr>
        <w:t>otorgándose</w:t>
      </w:r>
      <w:r w:rsidRPr="00E2546F">
        <w:rPr>
          <w:rFonts w:eastAsia="Palatino Linotype" w:cs="Palatino Linotype"/>
          <w:color w:val="000000"/>
          <w:szCs w:val="24"/>
        </w:rPr>
        <w:t xml:space="preserve"> en él un plazo de siete días para que las partes manifestaran lo que a su derecho corresponda en términos del numeral ya citado.</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p>
    <w:p w:rsidR="00DC4AD7" w:rsidRPr="00E2546F" w:rsidRDefault="00DC4AD7" w:rsidP="00DC4AD7">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QUINTO. De la etapa de instrucción.</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 xml:space="preserve">Una vez abierta la etapa de instrucción, el Sujeto Obligado </w:t>
      </w:r>
      <w:r>
        <w:rPr>
          <w:rFonts w:eastAsia="Palatino Linotype" w:cs="Palatino Linotype"/>
          <w:color w:val="000000"/>
          <w:szCs w:val="24"/>
        </w:rPr>
        <w:t>fue omiso para rendir su informe justificado</w:t>
      </w:r>
      <w:r w:rsidRPr="00E2546F">
        <w:rPr>
          <w:rFonts w:eastAsia="Palatino Linotype" w:cs="Palatino Linotype"/>
          <w:color w:val="000000"/>
          <w:szCs w:val="24"/>
        </w:rPr>
        <w:t xml:space="preserve">. Por su parte, el Recurrente no realizó manifestaciones, vertió alegatos ni presentó pruebas que a su derecho convinieran. </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p>
    <w:p w:rsidR="00DC4AD7" w:rsidRPr="00E2546F" w:rsidRDefault="00DC4AD7" w:rsidP="00DC4AD7">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SEXTO. Del cierre de instrucción.</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Así, una vez transcurrido el término legal, se decretó el cierre de instrucción en fecha</w:t>
      </w:r>
      <w:r w:rsidRPr="00E2546F">
        <w:rPr>
          <w:rFonts w:eastAsia="Palatino Linotype" w:cs="Palatino Linotype"/>
          <w:b/>
          <w:color w:val="000000"/>
          <w:szCs w:val="24"/>
        </w:rPr>
        <w:t xml:space="preserve"> </w:t>
      </w:r>
      <w:r w:rsidR="00C54308">
        <w:rPr>
          <w:rFonts w:eastAsia="Palatino Linotype" w:cs="Palatino Linotype"/>
          <w:b/>
          <w:color w:val="000000"/>
          <w:szCs w:val="24"/>
        </w:rPr>
        <w:t>diez de junio</w:t>
      </w:r>
      <w:r w:rsidRPr="00E2546F">
        <w:rPr>
          <w:rFonts w:eastAsia="Palatino Linotype" w:cs="Palatino Linotype"/>
          <w:b/>
          <w:color w:val="000000"/>
          <w:szCs w:val="24"/>
        </w:rPr>
        <w:t xml:space="preserve"> de dos mil veinticuatro</w:t>
      </w:r>
      <w:r w:rsidRPr="00E2546F">
        <w:rPr>
          <w:rFonts w:eastAsia="Palatino Linotype" w:cs="Palatino Linotype"/>
          <w:color w:val="000000"/>
          <w:szCs w:val="24"/>
        </w:rPr>
        <w:t>, en términos del artículo 185 fracción VI de la Ley de Transparencia y Acceso a la Información Pública del Estado de México y Municipios, iniciando el término legal para dictar resolución definitiva del asunto.</w:t>
      </w:r>
    </w:p>
    <w:p w:rsidR="00DC4AD7" w:rsidRDefault="00DC4AD7" w:rsidP="00DC4AD7">
      <w:pPr>
        <w:pBdr>
          <w:top w:val="nil"/>
          <w:left w:val="nil"/>
          <w:bottom w:val="nil"/>
          <w:right w:val="nil"/>
          <w:between w:val="nil"/>
        </w:pBdr>
        <w:contextualSpacing/>
        <w:rPr>
          <w:rFonts w:eastAsiaTheme="minorHAnsi" w:cstheme="minorBidi"/>
          <w:szCs w:val="24"/>
          <w:lang w:eastAsia="en-US"/>
        </w:rPr>
      </w:pPr>
    </w:p>
    <w:p w:rsidR="00DC4AD7" w:rsidRPr="00D24262" w:rsidRDefault="00DC4AD7" w:rsidP="00DC4AD7">
      <w:pPr>
        <w:keepNext/>
        <w:keepLines/>
        <w:outlineLvl w:val="1"/>
        <w:rPr>
          <w:rFonts w:cs="Palatino Linotype"/>
          <w:color w:val="000000"/>
        </w:rPr>
      </w:pPr>
      <w:r>
        <w:rPr>
          <w:b/>
          <w:color w:val="000000" w:themeColor="text1"/>
          <w:sz w:val="28"/>
          <w:szCs w:val="28"/>
        </w:rPr>
        <w:t>SÉPTIM</w:t>
      </w:r>
      <w:r w:rsidRPr="001F6642">
        <w:rPr>
          <w:b/>
          <w:color w:val="000000" w:themeColor="text1"/>
          <w:sz w:val="28"/>
          <w:szCs w:val="28"/>
        </w:rPr>
        <w:t>O.</w:t>
      </w:r>
      <w:r w:rsidRPr="00D24262">
        <w:rPr>
          <w:b/>
          <w:color w:val="000000" w:themeColor="text1"/>
          <w:sz w:val="28"/>
          <w:szCs w:val="28"/>
        </w:rPr>
        <w:t xml:space="preserve"> </w:t>
      </w:r>
      <w:r w:rsidRPr="0055610A">
        <w:rPr>
          <w:rFonts w:cs="Arial"/>
          <w:b/>
          <w:sz w:val="28"/>
        </w:rPr>
        <w:t>De la ampliación del término para resolver.</w:t>
      </w:r>
    </w:p>
    <w:p w:rsidR="00DC4AD7" w:rsidRDefault="00DC4AD7" w:rsidP="00DC4AD7">
      <w:pPr>
        <w:contextualSpacing/>
      </w:pPr>
      <w:r w:rsidRPr="002F041E">
        <w:t xml:space="preserve">De las constancias que integran el expediente electrónico, se advierte que han transcurrido los términos de Ley, para la emisión de la resolución en el presente recurso </w:t>
      </w:r>
      <w:r w:rsidRPr="002F041E">
        <w:lastRenderedPageBreak/>
        <w:t xml:space="preserve">de revisión, por lo que en </w:t>
      </w:r>
      <w:r w:rsidRPr="00DD5F10">
        <w:t>fecha</w:t>
      </w:r>
      <w:r w:rsidRPr="002F041E">
        <w:rPr>
          <w:b/>
        </w:rPr>
        <w:t xml:space="preserve"> </w:t>
      </w:r>
      <w:r w:rsidR="00215458">
        <w:rPr>
          <w:b/>
        </w:rPr>
        <w:t>tres de noviembre</w:t>
      </w:r>
      <w:r>
        <w:rPr>
          <w:b/>
        </w:rPr>
        <w:t xml:space="preserve"> de dos mil veinticinco</w:t>
      </w:r>
      <w:r w:rsidRPr="002F041E">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215458" w:rsidRPr="006A6AE2" w:rsidRDefault="00215458" w:rsidP="00DC4AD7">
      <w:pPr>
        <w:contextualSpacing/>
      </w:pPr>
    </w:p>
    <w:p w:rsidR="00DC4AD7" w:rsidRPr="00E2546F" w:rsidRDefault="00DC4AD7" w:rsidP="00DC4AD7">
      <w:pPr>
        <w:pStyle w:val="Ttulo1"/>
        <w:jc w:val="center"/>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C O N S I D E R A N D O</w:t>
      </w:r>
    </w:p>
    <w:p w:rsidR="00DC4AD7" w:rsidRDefault="00DC4AD7" w:rsidP="00DC4AD7"/>
    <w:p w:rsidR="00215458" w:rsidRPr="00E2546F" w:rsidRDefault="00215458" w:rsidP="00DC4AD7"/>
    <w:p w:rsidR="00DC4AD7" w:rsidRPr="00E2546F" w:rsidRDefault="00DC4AD7" w:rsidP="00DC4AD7">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PRIMERO. De la competencia.</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r w:rsidRPr="00640610">
        <w:rPr>
          <w:rFonts w:eastAsia="Palatino Linotype" w:cs="Palatino Linotype"/>
          <w:color w:val="000000"/>
          <w:szCs w:val="24"/>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w:t>
      </w:r>
      <w:r>
        <w:rPr>
          <w:rFonts w:eastAsia="Palatino Linotype" w:cs="Palatino Linotype"/>
          <w:color w:val="000000"/>
          <w:szCs w:val="24"/>
        </w:rPr>
        <w:t>éxico y Municipios</w:t>
      </w:r>
      <w:r w:rsidRPr="00E2546F">
        <w:rPr>
          <w:rFonts w:eastAsia="Palatino Linotype" w:cs="Palatino Linotype"/>
          <w:color w:val="000000"/>
          <w:szCs w:val="24"/>
        </w:rPr>
        <w:t>.</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p>
    <w:p w:rsidR="00DC4AD7" w:rsidRPr="00E2546F" w:rsidRDefault="00DC4AD7" w:rsidP="00DC4AD7">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lastRenderedPageBreak/>
        <w:t xml:space="preserve">SEGUNDO. Sobre los alcances del recurso de revisión. </w:t>
      </w:r>
    </w:p>
    <w:p w:rsidR="00DC4AD7" w:rsidRDefault="00DC4AD7" w:rsidP="00DC4AD7">
      <w:r w:rsidRPr="00E2546F">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F4130F" w:rsidRPr="00E2546F" w:rsidRDefault="00F4130F" w:rsidP="00DC4AD7"/>
    <w:p w:rsidR="00DC4AD7" w:rsidRPr="00E2546F" w:rsidRDefault="00DC4AD7" w:rsidP="00DC4AD7">
      <w:pPr>
        <w:autoSpaceDE w:val="0"/>
        <w:autoSpaceDN w:val="0"/>
        <w:adjustRightInd w:val="0"/>
        <w:spacing w:before="240" w:line="240" w:lineRule="auto"/>
        <w:rPr>
          <w:rFonts w:eastAsia="Times New Roman" w:cs="Arial"/>
          <w:b/>
          <w:szCs w:val="24"/>
          <w:lang w:val="es-ES" w:eastAsia="es-ES"/>
        </w:rPr>
      </w:pPr>
      <w:r w:rsidRPr="00E2546F">
        <w:rPr>
          <w:rFonts w:cs="Arial"/>
          <w:b/>
          <w:sz w:val="28"/>
        </w:rPr>
        <w:t xml:space="preserve">TERCERO. </w:t>
      </w:r>
      <w:r w:rsidRPr="00E2546F">
        <w:rPr>
          <w:rFonts w:eastAsia="Times New Roman" w:cs="Arial"/>
          <w:b/>
          <w:sz w:val="28"/>
          <w:szCs w:val="28"/>
          <w:lang w:val="es-ES" w:eastAsia="es-ES"/>
        </w:rPr>
        <w:t>Cuestiones de previo y especial pronunciamiento</w:t>
      </w:r>
    </w:p>
    <w:p w:rsidR="00DC4AD7" w:rsidRPr="00E2546F" w:rsidRDefault="00DC4AD7" w:rsidP="00DC4AD7">
      <w:pPr>
        <w:autoSpaceDE w:val="0"/>
        <w:autoSpaceDN w:val="0"/>
        <w:adjustRightInd w:val="0"/>
        <w:spacing w:before="240"/>
        <w:rPr>
          <w:rFonts w:eastAsia="Times New Roman" w:cs="Times New Roman"/>
          <w:szCs w:val="24"/>
        </w:rPr>
      </w:pPr>
      <w:r w:rsidRPr="00E2546F">
        <w:rPr>
          <w:rFonts w:eastAsia="Times New Roman" w:cs="Times New Roman"/>
          <w:szCs w:val="24"/>
        </w:rPr>
        <w:t>El Recurso de Revisión en estudio contiene los elementos normativos de validez exigidos en la Ley de Transparencia y Acceso a la Información Pública del Estado de México y Municipios, establecidos en el artículo 180 que enuncia:</w:t>
      </w:r>
    </w:p>
    <w:p w:rsidR="00DC4AD7" w:rsidRPr="00E2546F" w:rsidRDefault="00DC4AD7" w:rsidP="00DC4AD7">
      <w:pPr>
        <w:autoSpaceDE w:val="0"/>
        <w:autoSpaceDN w:val="0"/>
        <w:adjustRightInd w:val="0"/>
        <w:spacing w:before="240"/>
        <w:ind w:left="360" w:firstLine="348"/>
        <w:rPr>
          <w:rFonts w:eastAsia="Times New Roman" w:cs="Times New Roman"/>
          <w:i/>
          <w:sz w:val="22"/>
        </w:rPr>
      </w:pPr>
      <w:r w:rsidRPr="00E2546F">
        <w:rPr>
          <w:rFonts w:eastAsia="Times New Roman" w:cs="Times New Roman"/>
          <w:i/>
          <w:sz w:val="22"/>
        </w:rPr>
        <w:t>“Artículo 180. El recurso de revisión contendrá:</w:t>
      </w:r>
    </w:p>
    <w:p w:rsidR="00DC4AD7" w:rsidRPr="00E2546F" w:rsidRDefault="00DC4AD7" w:rsidP="00DC4AD7">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sujeto obligado ante la cual se presentó la solicitud;</w:t>
      </w:r>
    </w:p>
    <w:p w:rsidR="00DC4AD7" w:rsidRPr="00E2546F" w:rsidRDefault="00DC4AD7" w:rsidP="00DC4AD7">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nombre del solicitante que recurre o de su representante y, en su caso, del tercero interesado, así como la dirección o medio que señale para recibir notificaciones;</w:t>
      </w:r>
    </w:p>
    <w:p w:rsidR="00DC4AD7" w:rsidRPr="00E2546F" w:rsidRDefault="00DC4AD7" w:rsidP="00DC4AD7">
      <w:pPr>
        <w:numPr>
          <w:ilvl w:val="0"/>
          <w:numId w:val="1"/>
        </w:numPr>
        <w:autoSpaceDE w:val="0"/>
        <w:autoSpaceDN w:val="0"/>
        <w:adjustRightInd w:val="0"/>
        <w:spacing w:before="240"/>
        <w:rPr>
          <w:rFonts w:eastAsia="Times New Roman" w:cs="Times New Roman"/>
          <w:i/>
          <w:sz w:val="22"/>
          <w:lang w:val="es-ES" w:eastAsia="es-ES"/>
        </w:rPr>
      </w:pPr>
      <w:r w:rsidRPr="00E2546F">
        <w:rPr>
          <w:rFonts w:eastAsia="Times New Roman" w:cs="Times New Roman"/>
          <w:i/>
          <w:sz w:val="22"/>
          <w:lang w:val="es-ES" w:eastAsia="es-ES"/>
        </w:rPr>
        <w:t>El número de folio de respuesta de la solicitud de acceso;</w:t>
      </w:r>
    </w:p>
    <w:p w:rsidR="00DC4AD7" w:rsidRPr="00E2546F" w:rsidRDefault="00DC4AD7" w:rsidP="00DC4AD7">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IV. La fecha en que fue notificada la respuesta al solicitante o tuvo conocimiento del acto reclamado, o de presentación de la solicitud, en caso de falta de respuesta;</w:t>
      </w:r>
    </w:p>
    <w:p w:rsidR="00DC4AD7" w:rsidRPr="00E2546F" w:rsidRDefault="00DC4AD7" w:rsidP="00DC4AD7">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lastRenderedPageBreak/>
        <w:t>V. El acto que se recurre;</w:t>
      </w:r>
    </w:p>
    <w:p w:rsidR="00DC4AD7" w:rsidRPr="00E2546F" w:rsidRDefault="00DC4AD7" w:rsidP="00DC4AD7">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VI. Las razones o motivos de inconformidad;</w:t>
      </w:r>
    </w:p>
    <w:p w:rsidR="00DC4AD7" w:rsidRPr="00E2546F" w:rsidRDefault="00DC4AD7" w:rsidP="00DC4AD7">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VII. La copia de la respuesta que se impugna y, en su caso, de la notificación correspondiente, en el caso de respuesta de la solicitud; y</w:t>
      </w:r>
    </w:p>
    <w:p w:rsidR="00DC4AD7" w:rsidRPr="00E2546F" w:rsidRDefault="00DC4AD7" w:rsidP="00DC4AD7">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VIII. Firma del recurrente, en su caso, cuando se presente por escrito, requisito sin el cual se dará trámite al recurso.</w:t>
      </w:r>
    </w:p>
    <w:p w:rsidR="00DC4AD7" w:rsidRPr="00E2546F" w:rsidRDefault="00DC4AD7" w:rsidP="00DC4AD7">
      <w:pPr>
        <w:autoSpaceDE w:val="0"/>
        <w:autoSpaceDN w:val="0"/>
        <w:adjustRightInd w:val="0"/>
        <w:spacing w:before="240"/>
        <w:ind w:left="1080"/>
        <w:rPr>
          <w:rFonts w:eastAsia="Times New Roman" w:cs="Times New Roman"/>
          <w:i/>
          <w:sz w:val="22"/>
        </w:rPr>
      </w:pPr>
      <w:r w:rsidRPr="00E2546F">
        <w:rPr>
          <w:rFonts w:eastAsia="Times New Roman" w:cs="Times New Roman"/>
          <w:i/>
          <w:sz w:val="22"/>
        </w:rPr>
        <w:t>Adicionalmente, se podrán anexar las pruebas y demás elementos que considere procedentes someter a juicio del Instituto.</w:t>
      </w:r>
    </w:p>
    <w:p w:rsidR="00DC4AD7" w:rsidRPr="00E2546F" w:rsidRDefault="00DC4AD7" w:rsidP="00DC4AD7">
      <w:pPr>
        <w:autoSpaceDE w:val="0"/>
        <w:autoSpaceDN w:val="0"/>
        <w:adjustRightInd w:val="0"/>
        <w:spacing w:before="240"/>
        <w:ind w:left="732" w:firstLine="348"/>
        <w:rPr>
          <w:rFonts w:eastAsia="Times New Roman" w:cs="Times New Roman"/>
          <w:i/>
          <w:sz w:val="22"/>
        </w:rPr>
      </w:pPr>
      <w:r w:rsidRPr="00E2546F">
        <w:rPr>
          <w:rFonts w:eastAsia="Times New Roman" w:cs="Times New Roman"/>
          <w:i/>
          <w:sz w:val="22"/>
        </w:rPr>
        <w:t>En ningún caso será necesario que el particular ratifique el recurso de revisión interpuesto.</w:t>
      </w:r>
    </w:p>
    <w:p w:rsidR="00DC4AD7" w:rsidRPr="00E2546F" w:rsidRDefault="00DC4AD7" w:rsidP="00DC4AD7">
      <w:pPr>
        <w:autoSpaceDE w:val="0"/>
        <w:autoSpaceDN w:val="0"/>
        <w:adjustRightInd w:val="0"/>
        <w:spacing w:before="240"/>
        <w:ind w:left="1080"/>
        <w:rPr>
          <w:rFonts w:eastAsia="Times New Roman" w:cs="Times New Roman"/>
          <w:b/>
          <w:i/>
          <w:sz w:val="22"/>
          <w:u w:val="single"/>
        </w:rPr>
      </w:pPr>
      <w:r w:rsidRPr="00E2546F">
        <w:rPr>
          <w:rFonts w:eastAsia="Times New Roman" w:cs="Times New Roman"/>
          <w:b/>
          <w:i/>
          <w:sz w:val="22"/>
          <w:u w:val="single"/>
        </w:rPr>
        <w:t>En caso de que el recurso se interponga de manera electrónica no será indispensable que contengan los requisitos establecidos en las fracciones II, IV, VII y VIII.” [Sic]</w:t>
      </w:r>
    </w:p>
    <w:p w:rsidR="00DC4AD7" w:rsidRPr="00E2546F" w:rsidRDefault="00DC4AD7" w:rsidP="00DC4AD7">
      <w:pPr>
        <w:autoSpaceDE w:val="0"/>
        <w:autoSpaceDN w:val="0"/>
        <w:adjustRightInd w:val="0"/>
        <w:spacing w:before="240"/>
        <w:ind w:left="1080"/>
        <w:rPr>
          <w:rFonts w:eastAsia="Times New Roman" w:cs="Times New Roman"/>
          <w:b/>
          <w:i/>
          <w:sz w:val="22"/>
          <w:u w:val="single"/>
        </w:rPr>
      </w:pPr>
    </w:p>
    <w:p w:rsidR="00DC4AD7" w:rsidRPr="00E2546F" w:rsidRDefault="00DC4AD7" w:rsidP="00DC4AD7">
      <w:pPr>
        <w:rPr>
          <w:rFonts w:eastAsia="Times New Roman" w:cs="Arial"/>
          <w:szCs w:val="24"/>
          <w:lang w:val="es-ES" w:eastAsia="es-ES"/>
        </w:rPr>
      </w:pPr>
      <w:r w:rsidRPr="00E2546F">
        <w:rPr>
          <w:rFonts w:eastAsia="Times New Roman" w:cs="Segoe UI"/>
          <w:szCs w:val="24"/>
          <w:lang w:val="es-ES" w:eastAsia="es-ES"/>
        </w:rPr>
        <w:t xml:space="preserve">Cabe señalar que </w:t>
      </w:r>
      <w:r w:rsidRPr="00E2546F">
        <w:rPr>
          <w:rFonts w:eastAsia="Times New Roman" w:cs="Segoe UI"/>
          <w:b/>
          <w:szCs w:val="24"/>
          <w:lang w:val="es-ES" w:eastAsia="es-ES"/>
        </w:rPr>
        <w:t>El Recurrente</w:t>
      </w:r>
      <w:r>
        <w:rPr>
          <w:rFonts w:eastAsia="Times New Roman" w:cs="Segoe UI"/>
          <w:szCs w:val="24"/>
          <w:lang w:val="es-ES" w:eastAsia="es-ES"/>
        </w:rPr>
        <w:t xml:space="preserve"> ejerció de manera anónima su derecho al acceso a la información</w:t>
      </w:r>
      <w:r w:rsidRPr="00E2546F">
        <w:rPr>
          <w:rFonts w:eastAsia="Times New Roman" w:cs="Times New Roman"/>
          <w:szCs w:val="24"/>
          <w:lang w:val="es-ES" w:eastAsia="es-ES"/>
        </w:rPr>
        <w:t>, sin embargo</w:t>
      </w:r>
      <w:r>
        <w:rPr>
          <w:rFonts w:eastAsia="Times New Roman" w:cs="Times New Roman"/>
          <w:szCs w:val="24"/>
          <w:lang w:val="es-ES" w:eastAsia="es-ES"/>
        </w:rPr>
        <w:t xml:space="preserve"> no es </w:t>
      </w:r>
      <w:r w:rsidRPr="00E2546F">
        <w:rPr>
          <w:rFonts w:eastAsia="Times New Roman" w:cs="Times New Roman"/>
          <w:szCs w:val="24"/>
          <w:lang w:val="es-ES" w:eastAsia="es-ES"/>
        </w:rPr>
        <w:t xml:space="preserve">motivo para desechar las </w:t>
      </w:r>
      <w:r w:rsidRPr="00E2546F">
        <w:rPr>
          <w:rFonts w:eastAsia="Times New Roman" w:cs="Arial"/>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DC4AD7" w:rsidRPr="00E2546F" w:rsidRDefault="00DC4AD7" w:rsidP="00DC4AD7">
      <w:pPr>
        <w:spacing w:before="240"/>
        <w:ind w:left="851" w:right="851"/>
        <w:rPr>
          <w:rFonts w:eastAsia="Times New Roman" w:cs="Arial"/>
          <w:b/>
          <w:i/>
          <w:sz w:val="22"/>
          <w:lang w:val="es-ES" w:eastAsia="es-ES"/>
        </w:rPr>
      </w:pPr>
      <w:r w:rsidRPr="00E2546F">
        <w:rPr>
          <w:rFonts w:eastAsia="Times New Roman" w:cs="Arial"/>
          <w:i/>
          <w:sz w:val="22"/>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E2546F">
        <w:rPr>
          <w:rFonts w:eastAsia="Times New Roman" w:cs="Arial"/>
          <w:b/>
          <w:i/>
          <w:sz w:val="22"/>
          <w:lang w:val="es-ES" w:eastAsia="es-ES"/>
        </w:rPr>
        <w:t>[Sic]</w:t>
      </w:r>
    </w:p>
    <w:p w:rsidR="00DC4AD7" w:rsidRPr="00E2546F" w:rsidRDefault="00DC4AD7" w:rsidP="00DC4AD7">
      <w:pPr>
        <w:spacing w:before="240"/>
        <w:ind w:left="851" w:right="851"/>
        <w:rPr>
          <w:rFonts w:eastAsia="Times New Roman" w:cs="Arial"/>
          <w:b/>
          <w:i/>
          <w:sz w:val="22"/>
          <w:lang w:val="es-ES" w:eastAsia="es-ES"/>
        </w:rPr>
      </w:pPr>
    </w:p>
    <w:p w:rsidR="00DC4AD7" w:rsidRPr="007D7D86" w:rsidRDefault="00DC4AD7" w:rsidP="00DC4AD7">
      <w:pPr>
        <w:rPr>
          <w:rFonts w:eastAsia="Times New Roman" w:cs="Times New Roman"/>
          <w:szCs w:val="24"/>
          <w:lang w:val="es-ES" w:eastAsia="es-ES"/>
        </w:rPr>
      </w:pPr>
      <w:r w:rsidRPr="00E2546F">
        <w:rPr>
          <w:rFonts w:eastAsia="Times New Roman" w:cs="Times New Roman"/>
          <w:szCs w:val="24"/>
          <w:lang w:val="es-ES" w:eastAsia="es-ES"/>
        </w:rPr>
        <w:lastRenderedPageBreak/>
        <w:t xml:space="preserve">Robusteciendo lo anterior se encuentra lo dispuesto en </w:t>
      </w:r>
      <w:r>
        <w:rPr>
          <w:rFonts w:eastAsia="Times New Roman" w:cs="Times New Roman"/>
          <w:szCs w:val="24"/>
          <w:lang w:val="es-ES" w:eastAsia="es-ES"/>
        </w:rPr>
        <w:t xml:space="preserve">el artículo </w:t>
      </w:r>
      <w:r w:rsidRPr="00E2546F">
        <w:rPr>
          <w:rFonts w:eastAsia="Times New Roman" w:cs="Times New Roman"/>
          <w:szCs w:val="24"/>
          <w:lang w:val="es-ES" w:eastAsia="es-ES"/>
        </w:rPr>
        <w:t xml:space="preserve">5 párrafos </w:t>
      </w:r>
      <w:r w:rsidRPr="00E2546F">
        <w:rPr>
          <w:rFonts w:eastAsia="Times New Roman" w:cs="Arial"/>
          <w:szCs w:val="24"/>
          <w:lang w:val="es-ES" w:eastAsia="es-ES"/>
        </w:rPr>
        <w:t>vigésimo, vigésimo primero</w:t>
      </w:r>
      <w:r w:rsidRPr="00E2546F">
        <w:rPr>
          <w:rFonts w:eastAsia="Times New Roman" w:cs="Arial"/>
          <w:szCs w:val="24"/>
          <w:lang w:eastAsia="es-ES"/>
        </w:rPr>
        <w:t xml:space="preserve"> y vigésimo segundo</w:t>
      </w:r>
      <w:r w:rsidRPr="00E2546F">
        <w:rPr>
          <w:rFonts w:eastAsia="Times New Roman" w:cs="Times New Roman"/>
          <w:szCs w:val="24"/>
          <w:lang w:val="es-ES" w:eastAsia="es-ES"/>
        </w:rPr>
        <w:t>, de la Constitución Política del Estado Libre y Soberano de México, se establece lo siguiente:</w:t>
      </w:r>
    </w:p>
    <w:p w:rsidR="00DC4AD7" w:rsidRPr="00E2546F" w:rsidRDefault="00DC4AD7" w:rsidP="00DC4AD7">
      <w:pPr>
        <w:spacing w:before="240"/>
        <w:ind w:left="851" w:right="851"/>
        <w:rPr>
          <w:rFonts w:eastAsia="Times New Roman" w:cs="Times New Roman"/>
          <w:b/>
          <w:i/>
          <w:sz w:val="22"/>
          <w:u w:val="single"/>
          <w:lang w:val="es-ES" w:eastAsia="es-ES"/>
        </w:rPr>
      </w:pPr>
      <w:r w:rsidRPr="00E2546F">
        <w:rPr>
          <w:rFonts w:eastAsia="Times New Roman" w:cs="Times New Roman"/>
          <w:b/>
          <w:i/>
          <w:sz w:val="22"/>
          <w:u w:val="single"/>
          <w:lang w:val="es-ES" w:eastAsia="es-ES"/>
        </w:rPr>
        <w:t>Constitución Política del Estado Libre y Soberano de México</w:t>
      </w:r>
    </w:p>
    <w:p w:rsidR="00DC4AD7" w:rsidRPr="00E2546F" w:rsidRDefault="00DC4AD7" w:rsidP="00DC4AD7">
      <w:pPr>
        <w:spacing w:before="240"/>
        <w:ind w:left="851" w:right="851"/>
        <w:rPr>
          <w:rFonts w:eastAsia="Times New Roman" w:cs="Times New Roman"/>
          <w:i/>
          <w:sz w:val="22"/>
          <w:lang w:val="es-ES" w:eastAsia="es-ES"/>
        </w:rPr>
      </w:pPr>
      <w:r w:rsidRPr="00E2546F">
        <w:rPr>
          <w:rFonts w:eastAsia="Times New Roman" w:cs="Times New Roman"/>
          <w:i/>
          <w:sz w:val="22"/>
          <w:lang w:val="es-ES" w:eastAsia="es-ES"/>
        </w:rPr>
        <w:t>“</w:t>
      </w:r>
      <w:r w:rsidRPr="00E2546F">
        <w:rPr>
          <w:rFonts w:eastAsia="Times New Roman" w:cs="Times New Roman"/>
          <w:b/>
          <w:i/>
          <w:sz w:val="22"/>
          <w:lang w:val="es-ES" w:eastAsia="es-ES"/>
        </w:rPr>
        <w:t>Artículo 5</w:t>
      </w:r>
      <w:r w:rsidRPr="00E2546F">
        <w:rPr>
          <w:rFonts w:eastAsia="Times New Roman" w:cs="Times New Roman"/>
          <w:i/>
          <w:sz w:val="22"/>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C4AD7" w:rsidRPr="00E2546F" w:rsidRDefault="00DC4AD7" w:rsidP="00DC4AD7">
      <w:pPr>
        <w:spacing w:before="240"/>
        <w:ind w:left="851" w:right="851"/>
        <w:rPr>
          <w:rFonts w:eastAsia="Times New Roman" w:cs="Times New Roman"/>
          <w:i/>
          <w:sz w:val="22"/>
          <w:lang w:val="es-ES" w:eastAsia="es-ES"/>
        </w:rPr>
      </w:pPr>
      <w:r w:rsidRPr="00E2546F">
        <w:rPr>
          <w:rFonts w:eastAsia="Times New Roman" w:cs="Times New Roman"/>
          <w:i/>
          <w:sz w:val="22"/>
          <w:lang w:val="es-ES" w:eastAsia="es-ES"/>
        </w:rPr>
        <w:t>(…)</w:t>
      </w:r>
    </w:p>
    <w:p w:rsidR="00DC4AD7" w:rsidRPr="00E2546F" w:rsidRDefault="00DC4AD7" w:rsidP="00DC4AD7">
      <w:pPr>
        <w:spacing w:before="240"/>
        <w:ind w:left="851" w:right="851"/>
        <w:rPr>
          <w:rFonts w:eastAsia="Times New Roman" w:cs="Times New Roman"/>
          <w:b/>
          <w:i/>
          <w:sz w:val="22"/>
          <w:lang w:val="es-ES" w:eastAsia="es-ES"/>
        </w:rPr>
      </w:pPr>
      <w:proofErr w:type="gramStart"/>
      <w:r w:rsidRPr="00E2546F">
        <w:rPr>
          <w:rFonts w:eastAsia="Times New Roman" w:cs="Times New Roman"/>
          <w:i/>
          <w:sz w:val="22"/>
          <w:lang w:val="es-ES" w:eastAsia="es-ES"/>
        </w:rPr>
        <w:t>transparencia</w:t>
      </w:r>
      <w:proofErr w:type="gramEnd"/>
      <w:r w:rsidRPr="00E2546F">
        <w:rPr>
          <w:rFonts w:eastAsia="Times New Roman" w:cs="Times New Roman"/>
          <w:i/>
          <w:sz w:val="22"/>
          <w:lang w:val="es-ES" w:eastAsia="es-ES"/>
        </w:rPr>
        <w:t xml:space="preserve">, acceso a la información pública y a la protección de datos personales en posesión de los sujetos obligados en los términos que establezca la ley. (…)” </w:t>
      </w:r>
      <w:r w:rsidRPr="00E2546F">
        <w:rPr>
          <w:rFonts w:eastAsia="Times New Roman" w:cs="Times New Roman"/>
          <w:b/>
          <w:i/>
          <w:sz w:val="22"/>
          <w:lang w:val="es-ES" w:eastAsia="es-ES"/>
        </w:rPr>
        <w:t>[Sic]</w:t>
      </w:r>
    </w:p>
    <w:p w:rsidR="00DC4AD7" w:rsidRPr="00215458" w:rsidRDefault="00DC4AD7" w:rsidP="00DC4AD7">
      <w:pPr>
        <w:autoSpaceDE w:val="0"/>
        <w:autoSpaceDN w:val="0"/>
        <w:adjustRightInd w:val="0"/>
        <w:spacing w:before="240"/>
        <w:rPr>
          <w:rFonts w:eastAsia="Times New Roman" w:cs="Arial"/>
          <w:szCs w:val="24"/>
          <w:lang w:val="es-ES"/>
        </w:rPr>
      </w:pPr>
      <w:r w:rsidRPr="00E2546F">
        <w:rPr>
          <w:rFonts w:eastAsia="Times New Roman" w:cs="Times New Roman"/>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2546F">
        <w:rPr>
          <w:rFonts w:eastAsia="Times New Roman" w:cs="Times New Roman"/>
          <w:b/>
          <w:szCs w:val="24"/>
          <w:u w:val="single"/>
          <w:lang w:val="es-ES" w:eastAsia="es-ES"/>
        </w:rPr>
        <w:t>incluso, la solicitud de acceso a la información pueda ser anónima</w:t>
      </w:r>
      <w:r w:rsidRPr="00E2546F">
        <w:rPr>
          <w:rFonts w:eastAsia="Times New Roman" w:cs="Times New Roman"/>
          <w:szCs w:val="24"/>
          <w:lang w:val="es-ES" w:eastAsia="es-ES"/>
        </w:rPr>
        <w:t xml:space="preserve"> o no contener un nombre que identifique al solicitante o que permita tener certeza sobre su identidad. </w:t>
      </w:r>
      <w:r w:rsidRPr="00E2546F">
        <w:rPr>
          <w:rFonts w:eastAsia="Times New Roman" w:cs="Arial"/>
          <w:szCs w:val="24"/>
          <w:lang w:val="es-ES"/>
        </w:rPr>
        <w:t xml:space="preserve">En conclusión, se cubrieron los requisitos de procedencia y </w:t>
      </w:r>
      <w:proofErr w:type="spellStart"/>
      <w:r w:rsidRPr="00E2546F">
        <w:rPr>
          <w:rFonts w:eastAsia="Times New Roman" w:cs="Arial"/>
          <w:szCs w:val="24"/>
          <w:lang w:val="es-ES"/>
        </w:rPr>
        <w:t>procedibilidad</w:t>
      </w:r>
      <w:proofErr w:type="spellEnd"/>
      <w:r w:rsidRPr="00E2546F">
        <w:rPr>
          <w:rFonts w:eastAsia="Times New Roman" w:cs="Arial"/>
          <w:szCs w:val="24"/>
          <w:lang w:val="es-ES"/>
        </w:rPr>
        <w:t xml:space="preserve"> y conforme a las constancias que obran en el expediente.</w:t>
      </w:r>
    </w:p>
    <w:p w:rsidR="00DC4AD7" w:rsidRPr="00E2546F" w:rsidRDefault="00DC4AD7" w:rsidP="00DC4AD7">
      <w:pPr>
        <w:pStyle w:val="Prrafodelista"/>
        <w:autoSpaceDE w:val="0"/>
        <w:autoSpaceDN w:val="0"/>
        <w:adjustRightInd w:val="0"/>
        <w:spacing w:before="240" w:after="160"/>
        <w:ind w:left="0"/>
        <w:rPr>
          <w:rFonts w:cs="Arial"/>
          <w:b/>
          <w:sz w:val="28"/>
        </w:rPr>
      </w:pPr>
      <w:r w:rsidRPr="00E2546F">
        <w:rPr>
          <w:rFonts w:cs="Arial"/>
          <w:b/>
          <w:sz w:val="28"/>
        </w:rPr>
        <w:lastRenderedPageBreak/>
        <w:t>CUARTO. De las causas de improcedencia.</w:t>
      </w:r>
    </w:p>
    <w:p w:rsidR="00DC4AD7" w:rsidRDefault="00DC4AD7" w:rsidP="00DC4AD7">
      <w:pPr>
        <w:pStyle w:val="Prrafodelista"/>
        <w:autoSpaceDE w:val="0"/>
        <w:autoSpaceDN w:val="0"/>
        <w:adjustRightInd w:val="0"/>
        <w:ind w:left="0"/>
        <w:rPr>
          <w:rFonts w:cs="Arial"/>
        </w:rPr>
      </w:pPr>
      <w:r w:rsidRPr="00E2546F">
        <w:rPr>
          <w:rFonts w:cs="Arial"/>
        </w:rPr>
        <w:t xml:space="preserve">En el procedimiento de acceso a la información y de los medios de impugnación de la materia, se advierten diversos supuestos de </w:t>
      </w:r>
      <w:proofErr w:type="spellStart"/>
      <w:r w:rsidRPr="00E2546F">
        <w:rPr>
          <w:rFonts w:cs="Arial"/>
        </w:rPr>
        <w:t>procedibilidad</w:t>
      </w:r>
      <w:proofErr w:type="spellEnd"/>
      <w:r w:rsidRPr="00E2546F">
        <w:rPr>
          <w:rFonts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215458" w:rsidRPr="00E2546F" w:rsidRDefault="00215458" w:rsidP="00DC4AD7">
      <w:pPr>
        <w:pStyle w:val="Prrafodelista"/>
        <w:autoSpaceDE w:val="0"/>
        <w:autoSpaceDN w:val="0"/>
        <w:adjustRightInd w:val="0"/>
        <w:ind w:left="0"/>
        <w:rPr>
          <w:rFonts w:cs="Arial"/>
        </w:rPr>
      </w:pPr>
    </w:p>
    <w:p w:rsidR="00DC4AD7" w:rsidRPr="00E2546F" w:rsidRDefault="00DC4AD7" w:rsidP="00DC4AD7">
      <w:pPr>
        <w:pStyle w:val="Prrafodelista"/>
        <w:autoSpaceDE w:val="0"/>
        <w:autoSpaceDN w:val="0"/>
        <w:adjustRightInd w:val="0"/>
        <w:ind w:left="0"/>
        <w:rPr>
          <w:rFonts w:cs="Arial"/>
        </w:rPr>
      </w:pPr>
      <w:r w:rsidRPr="00E2546F">
        <w:rPr>
          <w:rFonts w:cs="Arial"/>
        </w:rPr>
        <w:t xml:space="preserve">De lo anterior, el estudio de las causas de improcedencia que se hagan valer por las partes o que se advierta de oficio por este </w:t>
      </w:r>
      <w:proofErr w:type="spellStart"/>
      <w:r w:rsidRPr="00E2546F">
        <w:rPr>
          <w:rFonts w:cs="Arial"/>
        </w:rPr>
        <w:t>Resolutor</w:t>
      </w:r>
      <w:proofErr w:type="spellEnd"/>
      <w:r w:rsidRPr="00E2546F">
        <w:rPr>
          <w:rFonts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2546F">
        <w:rPr>
          <w:rStyle w:val="Refdenotaalpie"/>
          <w:rFonts w:cs="Arial"/>
        </w:rPr>
        <w:footnoteReference w:id="1"/>
      </w:r>
      <w:r w:rsidRPr="00E2546F">
        <w:rPr>
          <w:rFonts w:cs="Arial"/>
        </w:rPr>
        <w:t>.</w:t>
      </w:r>
    </w:p>
    <w:p w:rsidR="00DC4AD7" w:rsidRPr="00E2546F" w:rsidRDefault="00DC4AD7" w:rsidP="00DC4AD7">
      <w:pPr>
        <w:pStyle w:val="Prrafodelista"/>
        <w:autoSpaceDE w:val="0"/>
        <w:autoSpaceDN w:val="0"/>
        <w:adjustRightInd w:val="0"/>
        <w:ind w:left="0"/>
        <w:rPr>
          <w:rFonts w:cs="Arial"/>
        </w:rPr>
      </w:pPr>
      <w:r w:rsidRPr="00E2546F">
        <w:rPr>
          <w:rFonts w:cs="Arial"/>
        </w:rPr>
        <w:lastRenderedPageBreak/>
        <w:t xml:space="preserve">Así las cosas, 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rsidR="00DC4AD7" w:rsidRPr="00E2546F" w:rsidRDefault="00DC4AD7" w:rsidP="00DC4AD7">
      <w:pPr>
        <w:pStyle w:val="Prrafodelista"/>
        <w:autoSpaceDE w:val="0"/>
        <w:autoSpaceDN w:val="0"/>
        <w:adjustRightInd w:val="0"/>
        <w:ind w:left="0"/>
        <w:rPr>
          <w:rFonts w:cs="Arial"/>
        </w:rPr>
      </w:pPr>
    </w:p>
    <w:p w:rsidR="00DC4AD7" w:rsidRPr="00E2546F" w:rsidRDefault="00DC4AD7" w:rsidP="00DC4AD7">
      <w:pPr>
        <w:pStyle w:val="Ttulo2"/>
        <w:rPr>
          <w:rFonts w:ascii="Palatino Linotype" w:eastAsia="Palatino Linotype" w:hAnsi="Palatino Linotype"/>
          <w:b/>
          <w:bCs/>
          <w:color w:val="auto"/>
          <w:sz w:val="28"/>
          <w:szCs w:val="28"/>
        </w:rPr>
      </w:pPr>
      <w:r w:rsidRPr="00E2546F">
        <w:rPr>
          <w:rFonts w:ascii="Palatino Linotype" w:eastAsia="Palatino Linotype" w:hAnsi="Palatino Linotype"/>
          <w:b/>
          <w:bCs/>
          <w:color w:val="auto"/>
          <w:sz w:val="28"/>
          <w:szCs w:val="28"/>
        </w:rPr>
        <w:t xml:space="preserve">QUINTO. </w:t>
      </w:r>
      <w:r>
        <w:rPr>
          <w:rFonts w:ascii="Palatino Linotype" w:eastAsia="Palatino Linotype" w:hAnsi="Palatino Linotype"/>
          <w:b/>
          <w:bCs/>
          <w:color w:val="auto"/>
          <w:sz w:val="28"/>
          <w:szCs w:val="28"/>
        </w:rPr>
        <w:t>Estudio y resolución del asunto.</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DC4AD7" w:rsidRPr="00E2546F" w:rsidRDefault="00DC4AD7" w:rsidP="00DC4AD7">
      <w:pPr>
        <w:pBdr>
          <w:top w:val="nil"/>
          <w:left w:val="nil"/>
          <w:bottom w:val="nil"/>
          <w:right w:val="nil"/>
          <w:between w:val="nil"/>
        </w:pBdr>
        <w:contextualSpacing/>
        <w:rPr>
          <w:rFonts w:eastAsia="Palatino Linotype" w:cs="Palatino Linotype"/>
          <w:color w:val="000000"/>
          <w:szCs w:val="24"/>
        </w:rPr>
      </w:pPr>
    </w:p>
    <w:p w:rsidR="00DC4AD7" w:rsidRDefault="00DC4AD7" w:rsidP="00DC4AD7">
      <w:pPr>
        <w:pBdr>
          <w:top w:val="nil"/>
          <w:left w:val="nil"/>
          <w:bottom w:val="nil"/>
          <w:right w:val="nil"/>
          <w:between w:val="nil"/>
        </w:pBdr>
        <w:contextualSpacing/>
        <w:rPr>
          <w:rFonts w:eastAsia="Palatino Linotype" w:cs="Palatino Linotype"/>
          <w:color w:val="000000"/>
          <w:szCs w:val="24"/>
        </w:rPr>
      </w:pPr>
      <w:r w:rsidRPr="00E2546F">
        <w:rPr>
          <w:rFonts w:eastAsia="Palatino Linotype" w:cs="Palatino Linotype"/>
          <w:color w:val="000000"/>
          <w:szCs w:val="24"/>
        </w:rPr>
        <w:t>Por tanto, es conveniente recordar que el hoy Recurrente requirió del Sujeto Obligado, de la actual administración, lo siguiente:</w:t>
      </w:r>
    </w:p>
    <w:p w:rsidR="00DC4AD7" w:rsidRDefault="00215458" w:rsidP="00215458">
      <w:pPr>
        <w:pStyle w:val="Prrafodelista"/>
        <w:numPr>
          <w:ilvl w:val="0"/>
          <w:numId w:val="2"/>
        </w:num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lastRenderedPageBreak/>
        <w:t>Deudas de todo tipo que tenga el ayuntamiento.</w:t>
      </w:r>
    </w:p>
    <w:p w:rsidR="00111F3A" w:rsidRDefault="00111F3A" w:rsidP="00215458">
      <w:pPr>
        <w:pStyle w:val="Prrafodelista"/>
        <w:numPr>
          <w:ilvl w:val="0"/>
          <w:numId w:val="2"/>
        </w:num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Nombre de proveedores</w:t>
      </w:r>
    </w:p>
    <w:p w:rsidR="00111F3A" w:rsidRDefault="00111F3A" w:rsidP="00215458">
      <w:pPr>
        <w:pStyle w:val="Prrafodelista"/>
        <w:numPr>
          <w:ilvl w:val="0"/>
          <w:numId w:val="2"/>
        </w:numPr>
        <w:pBdr>
          <w:top w:val="nil"/>
          <w:left w:val="nil"/>
          <w:bottom w:val="nil"/>
          <w:right w:val="nil"/>
          <w:between w:val="nil"/>
        </w:pBdr>
        <w:rPr>
          <w:rFonts w:eastAsia="Palatino Linotype" w:cs="Palatino Linotype"/>
          <w:color w:val="000000"/>
          <w:szCs w:val="24"/>
        </w:rPr>
      </w:pPr>
      <w:r>
        <w:rPr>
          <w:rFonts w:eastAsia="Palatino Linotype" w:cs="Palatino Linotype"/>
          <w:color w:val="000000"/>
          <w:szCs w:val="24"/>
        </w:rPr>
        <w:t xml:space="preserve">Sueldo y aguinaldo de los trabajadores </w:t>
      </w:r>
    </w:p>
    <w:p w:rsidR="00215458" w:rsidRPr="00215458" w:rsidRDefault="00215458" w:rsidP="00215458">
      <w:pPr>
        <w:pStyle w:val="Prrafodelista"/>
        <w:pBdr>
          <w:top w:val="nil"/>
          <w:left w:val="nil"/>
          <w:bottom w:val="nil"/>
          <w:right w:val="nil"/>
          <w:between w:val="nil"/>
        </w:pBdr>
        <w:rPr>
          <w:rFonts w:eastAsia="Palatino Linotype" w:cs="Palatino Linotype"/>
          <w:color w:val="000000"/>
          <w:szCs w:val="24"/>
        </w:rPr>
      </w:pPr>
    </w:p>
    <w:p w:rsidR="00DC4AD7" w:rsidRDefault="00DC4AD7" w:rsidP="00DC4AD7">
      <w:pPr>
        <w:pBdr>
          <w:top w:val="nil"/>
          <w:left w:val="nil"/>
          <w:bottom w:val="nil"/>
          <w:right w:val="nil"/>
          <w:between w:val="nil"/>
        </w:pBdr>
        <w:contextualSpacing/>
      </w:pPr>
      <w:r w:rsidRPr="00E2546F">
        <w:rPr>
          <w:rFonts w:eastAsia="Palatino Linotype" w:cs="Palatino Linotype"/>
          <w:color w:val="000000"/>
          <w:szCs w:val="24"/>
        </w:rPr>
        <w:t>Por lo que atento a la solicitud de información el Sujeto Obligado</w:t>
      </w:r>
      <w:r w:rsidRPr="00E2546F">
        <w:t xml:space="preserve"> emitió su respuesta por medio de</w:t>
      </w:r>
      <w:r>
        <w:t xml:space="preserve"> los archivos electrónicos denominados; </w:t>
      </w:r>
    </w:p>
    <w:p w:rsidR="00215458" w:rsidRPr="00215458" w:rsidRDefault="00215458" w:rsidP="00215458">
      <w:pPr>
        <w:pStyle w:val="Prrafodelista"/>
        <w:numPr>
          <w:ilvl w:val="0"/>
          <w:numId w:val="6"/>
        </w:numPr>
        <w:rPr>
          <w:rFonts w:cs="Arial"/>
          <w:b/>
          <w:bCs/>
          <w:color w:val="333333"/>
          <w:szCs w:val="24"/>
        </w:rPr>
      </w:pPr>
      <w:r w:rsidRPr="00215458">
        <w:rPr>
          <w:rFonts w:cs="Arial"/>
          <w:b/>
          <w:bCs/>
          <w:szCs w:val="24"/>
        </w:rPr>
        <w:t>00060ZACUALPAIP2025.pdf</w:t>
      </w:r>
      <w:r>
        <w:rPr>
          <w:rFonts w:cs="Arial"/>
          <w:b/>
          <w:bCs/>
          <w:szCs w:val="24"/>
        </w:rPr>
        <w:t xml:space="preserve">: </w:t>
      </w:r>
      <w:r>
        <w:rPr>
          <w:rFonts w:cs="Arial"/>
          <w:bCs/>
          <w:szCs w:val="24"/>
        </w:rPr>
        <w:t xml:space="preserve">Soporte documental que consta de una foja en formato PDF de fecha catorce de mayo de dos mil veinticinco por medio del cual la encargada del Despacho de la Consejería Jurídica manifiesta que la información debe ser clasificada como reservada o confidencial. </w:t>
      </w:r>
    </w:p>
    <w:p w:rsidR="00215458" w:rsidRPr="00215458" w:rsidRDefault="00215458" w:rsidP="00215458">
      <w:pPr>
        <w:pStyle w:val="Prrafodelista"/>
        <w:rPr>
          <w:rFonts w:cs="Arial"/>
          <w:b/>
          <w:bCs/>
          <w:color w:val="333333"/>
          <w:szCs w:val="24"/>
        </w:rPr>
      </w:pPr>
    </w:p>
    <w:p w:rsidR="00DC4AD7" w:rsidRPr="00215458" w:rsidRDefault="00215458" w:rsidP="00215458">
      <w:pPr>
        <w:pStyle w:val="Prrafodelista"/>
        <w:numPr>
          <w:ilvl w:val="0"/>
          <w:numId w:val="6"/>
        </w:numPr>
        <w:rPr>
          <w:rFonts w:cs="Arial"/>
          <w:b/>
          <w:bCs/>
          <w:szCs w:val="24"/>
        </w:rPr>
      </w:pPr>
      <w:r w:rsidRPr="00215458">
        <w:rPr>
          <w:rFonts w:cs="Arial"/>
          <w:b/>
          <w:bCs/>
          <w:szCs w:val="24"/>
        </w:rPr>
        <w:t>respuesta 60.pdf</w:t>
      </w:r>
      <w:r>
        <w:rPr>
          <w:rFonts w:cs="Arial"/>
          <w:b/>
          <w:bCs/>
          <w:szCs w:val="24"/>
        </w:rPr>
        <w:t xml:space="preserve">: </w:t>
      </w:r>
      <w:r>
        <w:rPr>
          <w:rFonts w:cs="Arial"/>
          <w:bCs/>
          <w:szCs w:val="24"/>
        </w:rPr>
        <w:t xml:space="preserve">Soporte documental que consta de una foja en formato PDF por medio del cual se manifiesta que la solicitud fue turnada a diferentes áreas en las cuales no se encontró registro de lo solicitado. </w:t>
      </w:r>
    </w:p>
    <w:p w:rsidR="00215458" w:rsidRPr="00E2546F" w:rsidRDefault="00215458" w:rsidP="00DC4AD7"/>
    <w:p w:rsidR="00DC4AD7" w:rsidRPr="00215458" w:rsidRDefault="00DC4AD7" w:rsidP="00DC4AD7">
      <w:pPr>
        <w:pBdr>
          <w:top w:val="nil"/>
          <w:left w:val="nil"/>
          <w:bottom w:val="nil"/>
          <w:right w:val="nil"/>
          <w:between w:val="nil"/>
        </w:pBdr>
        <w:contextualSpacing/>
        <w:rPr>
          <w:i/>
          <w:color w:val="000000"/>
          <w:szCs w:val="24"/>
        </w:rPr>
      </w:pPr>
      <w:r w:rsidRPr="00E2546F">
        <w:rPr>
          <w:rFonts w:eastAsia="Palatino Linotype" w:cs="Palatino Linotype"/>
          <w:color w:val="000000"/>
          <w:szCs w:val="24"/>
        </w:rPr>
        <w:t xml:space="preserve">Ante la respuesta emitida por el Sujeto Obligado, el Recurrente consideró que su derecho a la información pública había sido conculcado, por lo que interpuso el recurso de revisión al rubro citado, señalando como </w:t>
      </w:r>
      <w:r>
        <w:rPr>
          <w:rFonts w:eastAsia="Palatino Linotype" w:cs="Palatino Linotype"/>
          <w:color w:val="000000"/>
          <w:szCs w:val="24"/>
        </w:rPr>
        <w:t>acto impugnado</w:t>
      </w:r>
      <w:r w:rsidRPr="00E2546F">
        <w:rPr>
          <w:rFonts w:eastAsia="Palatino Linotype" w:cs="Palatino Linotype"/>
          <w:color w:val="000000"/>
          <w:szCs w:val="24"/>
        </w:rPr>
        <w:t xml:space="preserve"> </w:t>
      </w:r>
      <w:r w:rsidRPr="00E2546F">
        <w:rPr>
          <w:color w:val="000000"/>
          <w:szCs w:val="24"/>
        </w:rPr>
        <w:t>y como razo</w:t>
      </w:r>
      <w:r>
        <w:rPr>
          <w:color w:val="000000"/>
          <w:szCs w:val="24"/>
        </w:rPr>
        <w:t xml:space="preserve">nes o motivos de inconformidad </w:t>
      </w:r>
      <w:r w:rsidRPr="00215458">
        <w:rPr>
          <w:rFonts w:eastAsia="Palatino Linotype" w:cs="Palatino Linotype"/>
          <w:i/>
          <w:iCs/>
          <w:color w:val="000000"/>
          <w:szCs w:val="24"/>
        </w:rPr>
        <w:t>“</w:t>
      </w:r>
      <w:r w:rsidR="00215458" w:rsidRPr="00215458">
        <w:rPr>
          <w:i/>
          <w:color w:val="000000"/>
          <w:szCs w:val="24"/>
        </w:rPr>
        <w:t>ES 100% INFORMACION PUBLICA Y LOS EMPLEADOS PUBLICOS RESPONSABLE DE DAR LA INFORMACION NO LA QUIEREN PROPORCIONAR ¡¡¡¡¡¡¡¡¡¡¡¡¡¡¡¡¡¡¡¡¡</w:t>
      </w:r>
      <w:r>
        <w:rPr>
          <w:i/>
          <w:iCs/>
          <w:color w:val="000000"/>
          <w:szCs w:val="24"/>
        </w:rPr>
        <w:t>”</w:t>
      </w:r>
      <w:r w:rsidRPr="00E2546F">
        <w:rPr>
          <w:i/>
          <w:iCs/>
          <w:color w:val="000000"/>
          <w:szCs w:val="24"/>
        </w:rPr>
        <w:t xml:space="preserve"> </w:t>
      </w:r>
      <w:r w:rsidRPr="00E2546F">
        <w:rPr>
          <w:rFonts w:eastAsia="Palatino Linotype" w:cs="Palatino Linotype"/>
          <w:color w:val="000000"/>
          <w:szCs w:val="24"/>
        </w:rPr>
        <w:t xml:space="preserve">en este sentido el Recurrente considero que el Sujeto Obligado no le dio cuenta </w:t>
      </w:r>
      <w:r>
        <w:rPr>
          <w:rFonts w:eastAsia="Palatino Linotype" w:cs="Palatino Linotype"/>
          <w:color w:val="000000"/>
          <w:szCs w:val="24"/>
        </w:rPr>
        <w:t>d</w:t>
      </w:r>
      <w:r w:rsidR="00215458">
        <w:rPr>
          <w:rFonts w:eastAsia="Palatino Linotype" w:cs="Palatino Linotype"/>
          <w:color w:val="000000"/>
          <w:szCs w:val="24"/>
        </w:rPr>
        <w:t>eudas que tiene el Ayuntamiento</w:t>
      </w:r>
      <w:r w:rsidR="003D764B">
        <w:rPr>
          <w:rFonts w:eastAsia="Palatino Linotype" w:cs="Palatino Linotype"/>
          <w:color w:val="000000"/>
          <w:szCs w:val="24"/>
        </w:rPr>
        <w:t>, los proveedores y el aguinaldo de los trabajadores del ayuntamiento</w:t>
      </w:r>
      <w:r w:rsidR="00215458">
        <w:rPr>
          <w:rFonts w:eastAsia="Palatino Linotype" w:cs="Palatino Linotype"/>
          <w:color w:val="000000"/>
          <w:szCs w:val="24"/>
        </w:rPr>
        <w:t>.</w:t>
      </w:r>
    </w:p>
    <w:p w:rsidR="00DC4AD7" w:rsidRPr="00E2546F" w:rsidRDefault="00DC4AD7" w:rsidP="00DC4AD7">
      <w:pPr>
        <w:pStyle w:val="Prrafodelista"/>
        <w:pBdr>
          <w:top w:val="nil"/>
          <w:left w:val="nil"/>
          <w:bottom w:val="nil"/>
          <w:right w:val="nil"/>
          <w:between w:val="nil"/>
        </w:pBdr>
      </w:pPr>
    </w:p>
    <w:p w:rsidR="00DC4AD7" w:rsidRPr="0037314A" w:rsidRDefault="00DC4AD7" w:rsidP="00DC4AD7">
      <w:pPr>
        <w:rPr>
          <w:rFonts w:eastAsia="Times New Roman" w:cs="Times New Roman"/>
          <w:szCs w:val="24"/>
          <w:lang w:eastAsia="es-ES"/>
        </w:rPr>
      </w:pPr>
      <w:r w:rsidRPr="0037314A">
        <w:rPr>
          <w:rFonts w:cs="Arial"/>
          <w:szCs w:val="24"/>
        </w:rPr>
        <w:lastRenderedPageBreak/>
        <w:t xml:space="preserve">En este tenor, es necesario subrayar que </w:t>
      </w:r>
      <w:r w:rsidRPr="0037314A">
        <w:rPr>
          <w:rFonts w:eastAsia="Times New Roman" w:cs="Times New Roman"/>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DC4AD7" w:rsidRPr="00F50CB3" w:rsidRDefault="00DC4AD7" w:rsidP="00DC4AD7">
      <w:pPr>
        <w:spacing w:before="240"/>
        <w:ind w:left="851" w:right="851"/>
        <w:rPr>
          <w:rFonts w:eastAsia="Times New Roman" w:cs="Times New Roman"/>
          <w:i/>
          <w:sz w:val="22"/>
          <w:lang w:eastAsia="es-ES"/>
        </w:rPr>
      </w:pPr>
      <w:r w:rsidRPr="0037314A">
        <w:rPr>
          <w:rFonts w:eastAsia="Times New Roman" w:cs="Times New Roman"/>
          <w:b/>
          <w:i/>
          <w:lang w:eastAsia="es-ES"/>
        </w:rPr>
        <w:t>“</w:t>
      </w:r>
      <w:r w:rsidRPr="00F50CB3">
        <w:rPr>
          <w:rFonts w:eastAsia="Times New Roman" w:cs="Times New Roman"/>
          <w:b/>
          <w:i/>
          <w:sz w:val="22"/>
          <w:lang w:eastAsia="es-ES"/>
        </w:rPr>
        <w:t>Artículo 4.</w:t>
      </w:r>
      <w:r w:rsidRPr="00F50CB3">
        <w:rPr>
          <w:rFonts w:eastAsia="Times New Roman" w:cs="Times New Roman"/>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DC4AD7" w:rsidRPr="00F50CB3" w:rsidRDefault="00DC4AD7" w:rsidP="00DC4AD7">
      <w:pPr>
        <w:spacing w:before="240"/>
        <w:ind w:left="851" w:right="851"/>
        <w:rPr>
          <w:rFonts w:eastAsia="Times New Roman" w:cs="Times New Roman"/>
          <w:i/>
          <w:sz w:val="22"/>
          <w:lang w:eastAsia="es-ES"/>
        </w:rPr>
      </w:pPr>
      <w:r w:rsidRPr="00F50CB3">
        <w:rPr>
          <w:rFonts w:eastAsia="Times New Roman" w:cs="Times New Roman"/>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DC4AD7" w:rsidRPr="00F50CB3" w:rsidRDefault="00DC4AD7" w:rsidP="00DC4AD7">
      <w:pPr>
        <w:spacing w:before="240"/>
        <w:ind w:left="851" w:right="851"/>
        <w:rPr>
          <w:rFonts w:eastAsia="Times New Roman" w:cs="Times New Roman"/>
          <w:i/>
          <w:sz w:val="22"/>
          <w:lang w:eastAsia="es-ES"/>
        </w:rPr>
      </w:pPr>
      <w:r w:rsidRPr="00F50CB3">
        <w:rPr>
          <w:rFonts w:eastAsia="Times New Roman" w:cs="Times New Roman"/>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DC4AD7" w:rsidRPr="00F50CB3" w:rsidRDefault="00DC4AD7" w:rsidP="00DC4AD7">
      <w:pPr>
        <w:spacing w:before="240"/>
        <w:ind w:left="851" w:right="851"/>
        <w:rPr>
          <w:rFonts w:eastAsia="Times New Roman" w:cs="Times New Roman"/>
          <w:i/>
          <w:sz w:val="22"/>
          <w:lang w:eastAsia="es-ES"/>
        </w:rPr>
      </w:pPr>
      <w:r w:rsidRPr="00F50CB3">
        <w:rPr>
          <w:rFonts w:eastAsia="Times New Roman" w:cs="Times New Roman"/>
          <w:b/>
          <w:i/>
          <w:sz w:val="22"/>
          <w:lang w:eastAsia="es-ES"/>
        </w:rPr>
        <w:t>Artículo 12.</w:t>
      </w:r>
      <w:r w:rsidRPr="00F50CB3">
        <w:rPr>
          <w:rFonts w:eastAsia="Times New Roman" w:cs="Times New Roman"/>
          <w:i/>
          <w:sz w:val="22"/>
          <w:lang w:eastAsia="es-ES"/>
        </w:rPr>
        <w:t xml:space="preserve"> Quienes generen, recopilen, administren, manejen, procesen, archiven o conserven información pública serán responsables de la misma en los términos de las disposiciones jurídicas aplicables.</w:t>
      </w:r>
    </w:p>
    <w:p w:rsidR="00DC4AD7" w:rsidRPr="00F50CB3" w:rsidRDefault="00DC4AD7" w:rsidP="00DC4AD7">
      <w:pPr>
        <w:spacing w:before="240"/>
        <w:ind w:left="851" w:right="851"/>
        <w:rPr>
          <w:rFonts w:eastAsia="Times New Roman" w:cs="Times New Roman"/>
          <w:i/>
          <w:sz w:val="22"/>
          <w:lang w:eastAsia="es-ES"/>
        </w:rPr>
      </w:pPr>
      <w:r w:rsidRPr="00F50CB3">
        <w:rPr>
          <w:rFonts w:eastAsia="Times New Roman" w:cs="Times New Roman"/>
          <w:i/>
          <w:sz w:val="22"/>
          <w:lang w:eastAsia="es-ES"/>
        </w:rPr>
        <w:t xml:space="preserve">Los sujetos obligados sólo proporcionarán la información pública que se les requiera y que obre en sus archivos y en el estado en que ésta se encuentre. La obligación de </w:t>
      </w:r>
      <w:r w:rsidRPr="00F50CB3">
        <w:rPr>
          <w:rFonts w:eastAsia="Times New Roman" w:cs="Times New Roman"/>
          <w:i/>
          <w:sz w:val="22"/>
          <w:lang w:eastAsia="es-ES"/>
        </w:rPr>
        <w:lastRenderedPageBreak/>
        <w:t xml:space="preserve">proporcionar información no comprende el procesamiento de la misma, ni el presentarla conforme al interés del solicitante; no estarán obligados a generarla, resumirla, efectuar cálculos o practicar investigaciones. </w:t>
      </w:r>
    </w:p>
    <w:p w:rsidR="00DC4AD7" w:rsidRPr="00F50CB3" w:rsidRDefault="00DC4AD7" w:rsidP="00DC4AD7">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rsidR="00DC4AD7" w:rsidRPr="00F50CB3" w:rsidRDefault="00DC4AD7" w:rsidP="00DC4AD7">
      <w:pPr>
        <w:spacing w:before="240"/>
        <w:ind w:left="851" w:right="851"/>
        <w:rPr>
          <w:rFonts w:eastAsia="Times New Roman" w:cs="Times New Roman"/>
          <w:b/>
          <w:i/>
          <w:sz w:val="22"/>
          <w:lang w:eastAsia="es-ES"/>
        </w:rPr>
      </w:pPr>
      <w:r w:rsidRPr="00F50CB3">
        <w:rPr>
          <w:rFonts w:eastAsia="Times New Roman" w:cs="Times New Roman"/>
          <w:b/>
          <w:i/>
          <w:sz w:val="22"/>
          <w:lang w:eastAsia="es-ES"/>
        </w:rPr>
        <w:t xml:space="preserve">Artículo 24. </w:t>
      </w:r>
    </w:p>
    <w:p w:rsidR="00DC4AD7" w:rsidRPr="00F50CB3" w:rsidRDefault="00DC4AD7" w:rsidP="00DC4AD7">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rsidR="00DC4AD7" w:rsidRPr="00F50CB3" w:rsidRDefault="00DC4AD7" w:rsidP="00DC4AD7">
      <w:pPr>
        <w:spacing w:before="240"/>
        <w:ind w:left="851" w:right="851"/>
        <w:rPr>
          <w:rFonts w:eastAsia="Times New Roman" w:cs="Times New Roman"/>
          <w:i/>
          <w:sz w:val="22"/>
          <w:lang w:eastAsia="es-ES"/>
        </w:rPr>
      </w:pPr>
      <w:r w:rsidRPr="00F50CB3">
        <w:rPr>
          <w:rFonts w:eastAsia="Times New Roman" w:cs="Times New Roman"/>
          <w:i/>
          <w:sz w:val="22"/>
          <w:lang w:eastAsia="es-ES"/>
        </w:rPr>
        <w:t>Los sujetos obligados solo proporcionarán la información pública que generen, administren o posean en el ejercicio de sus atribuciones.”</w:t>
      </w:r>
    </w:p>
    <w:p w:rsidR="00DC4AD7" w:rsidRPr="00F50CB3" w:rsidRDefault="00DC4AD7" w:rsidP="00DC4AD7">
      <w:pPr>
        <w:spacing w:before="240"/>
        <w:ind w:left="851" w:right="851"/>
        <w:rPr>
          <w:rFonts w:eastAsia="Times New Roman" w:cs="Times New Roman"/>
          <w:i/>
          <w:sz w:val="22"/>
          <w:lang w:eastAsia="es-ES"/>
        </w:rPr>
      </w:pPr>
      <w:r w:rsidRPr="00F50CB3">
        <w:rPr>
          <w:rFonts w:eastAsia="Times New Roman" w:cs="Times New Roman"/>
          <w:i/>
          <w:sz w:val="22"/>
          <w:lang w:eastAsia="es-ES"/>
        </w:rPr>
        <w:t>(…)</w:t>
      </w:r>
    </w:p>
    <w:p w:rsidR="00DC4AD7" w:rsidRPr="00F50CB3" w:rsidRDefault="00DC4AD7" w:rsidP="00DC4AD7">
      <w:pPr>
        <w:spacing w:before="240"/>
        <w:ind w:left="851" w:right="851"/>
        <w:rPr>
          <w:rFonts w:eastAsia="Times New Roman" w:cs="Times New Roman"/>
          <w:i/>
          <w:sz w:val="22"/>
          <w:lang w:eastAsia="es-ES"/>
        </w:rPr>
      </w:pPr>
      <w:r w:rsidRPr="00F50CB3">
        <w:rPr>
          <w:rFonts w:eastAsia="Times New Roman" w:cs="Times New Roman"/>
          <w:b/>
          <w:i/>
          <w:sz w:val="22"/>
          <w:lang w:eastAsia="es-ES"/>
        </w:rPr>
        <w:t>Artículo 160.</w:t>
      </w:r>
      <w:r w:rsidRPr="00F50CB3">
        <w:rPr>
          <w:rFonts w:eastAsia="Times New Roman" w:cs="Times New Roman"/>
          <w:i/>
          <w:sz w:val="22"/>
          <w:lang w:eastAsia="es-ES"/>
        </w:rPr>
        <w:t xml:space="preserve"> Los sujetos obligados deberán otorgar acceso a los documentos que se </w:t>
      </w:r>
      <w:r w:rsidRPr="00F50CB3">
        <w:rPr>
          <w:rFonts w:eastAsia="Times New Roman" w:cs="Times New Roman"/>
          <w:b/>
          <w:i/>
          <w:sz w:val="22"/>
          <w:lang w:eastAsia="es-ES"/>
        </w:rPr>
        <w:t xml:space="preserve"> </w:t>
      </w:r>
      <w:r w:rsidRPr="00F50CB3">
        <w:rPr>
          <w:rFonts w:eastAsia="Times New Roman" w:cs="Times New Roman"/>
          <w:i/>
          <w:sz w:val="22"/>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DC4AD7" w:rsidRPr="00F50CB3" w:rsidRDefault="00DC4AD7" w:rsidP="00DC4AD7">
      <w:pPr>
        <w:spacing w:before="240"/>
        <w:ind w:left="851" w:right="851"/>
        <w:rPr>
          <w:rFonts w:eastAsia="Times New Roman" w:cs="Times New Roman"/>
          <w:b/>
          <w:i/>
          <w:sz w:val="22"/>
          <w:lang w:eastAsia="es-ES"/>
        </w:rPr>
      </w:pPr>
      <w:r w:rsidRPr="00F50CB3">
        <w:rPr>
          <w:rFonts w:eastAsia="Times New Roman" w:cs="Times New Roman"/>
          <w:i/>
          <w:sz w:val="22"/>
          <w:lang w:eastAsia="es-ES"/>
        </w:rPr>
        <w:t>En caso que la información solicitada consista en bases de datos se deberá privilegiar la entrega de la misma en formatos abiertos.”</w:t>
      </w:r>
      <w:r w:rsidRPr="00F50CB3">
        <w:rPr>
          <w:rFonts w:eastAsia="Times New Roman" w:cs="Times New Roman"/>
          <w:b/>
          <w:i/>
          <w:sz w:val="22"/>
          <w:lang w:eastAsia="es-ES"/>
        </w:rPr>
        <w:t>[Sic]</w:t>
      </w:r>
    </w:p>
    <w:p w:rsidR="00DC4AD7" w:rsidRDefault="00DC4AD7" w:rsidP="00DC4AD7">
      <w:pPr>
        <w:rPr>
          <w:rFonts w:eastAsia="Times New Roman" w:cs="Times New Roman"/>
          <w:szCs w:val="24"/>
          <w:lang w:eastAsia="es-ES"/>
        </w:rPr>
      </w:pPr>
    </w:p>
    <w:p w:rsidR="00DC4AD7" w:rsidRPr="0037314A" w:rsidRDefault="00DC4AD7" w:rsidP="00DC4AD7">
      <w:pPr>
        <w:rPr>
          <w:rFonts w:eastAsia="Times New Roman" w:cs="Times New Roman"/>
          <w:szCs w:val="24"/>
          <w:lang w:eastAsia="es-ES"/>
        </w:rPr>
      </w:pPr>
      <w:r w:rsidRPr="0037314A">
        <w:rPr>
          <w:rFonts w:eastAsia="Times New Roman" w:cs="Times New Roman"/>
          <w:szCs w:val="24"/>
          <w:lang w:eastAsia="es-ES"/>
        </w:rPr>
        <w:t xml:space="preserve">Así que la obligación de los </w:t>
      </w:r>
      <w:r w:rsidRPr="0037314A">
        <w:rPr>
          <w:rFonts w:eastAsia="Times New Roman" w:cs="Times New Roman"/>
          <w:b/>
          <w:szCs w:val="24"/>
          <w:lang w:eastAsia="es-ES"/>
        </w:rPr>
        <w:t>Sujetos Obligados</w:t>
      </w:r>
      <w:r w:rsidRPr="0037314A">
        <w:rPr>
          <w:rFonts w:eastAsia="Times New Roman" w:cs="Times New Roman"/>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37314A">
        <w:rPr>
          <w:rFonts w:eastAsia="Times New Roman" w:cs="Times New Roman"/>
          <w:bCs/>
          <w:szCs w:val="24"/>
          <w:lang w:eastAsia="es-ES"/>
        </w:rPr>
        <w:t>de la Ley local en la materia, que se reproduce de la siguiente forma</w:t>
      </w:r>
      <w:r w:rsidRPr="0037314A">
        <w:rPr>
          <w:rFonts w:eastAsia="Times New Roman" w:cs="Times New Roman"/>
          <w:szCs w:val="24"/>
          <w:lang w:eastAsia="es-ES"/>
        </w:rPr>
        <w:t>:</w:t>
      </w:r>
    </w:p>
    <w:p w:rsidR="00DC4AD7" w:rsidRPr="00F50CB3" w:rsidRDefault="00DC4AD7" w:rsidP="00DC4AD7">
      <w:pPr>
        <w:spacing w:before="240"/>
        <w:ind w:left="851" w:right="851"/>
        <w:rPr>
          <w:rFonts w:eastAsia="Times New Roman" w:cs="Arial"/>
          <w:b/>
          <w:i/>
          <w:sz w:val="22"/>
          <w:lang w:eastAsia="es-ES"/>
        </w:rPr>
      </w:pPr>
      <w:r w:rsidRPr="001C5910">
        <w:rPr>
          <w:rFonts w:eastAsia="Times New Roman" w:cs="Arial"/>
          <w:b/>
          <w:i/>
          <w:sz w:val="22"/>
          <w:lang w:eastAsia="es-ES"/>
        </w:rPr>
        <w:lastRenderedPageBreak/>
        <w:t>“Artículo 166</w:t>
      </w:r>
      <w:r w:rsidRPr="00F50CB3">
        <w:rPr>
          <w:rFonts w:eastAsia="Times New Roman" w:cs="Arial"/>
          <w:i/>
          <w:sz w:val="22"/>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F50CB3">
        <w:rPr>
          <w:rFonts w:eastAsia="Times New Roman" w:cs="Arial"/>
          <w:b/>
          <w:i/>
          <w:sz w:val="22"/>
          <w:lang w:eastAsia="es-ES"/>
        </w:rPr>
        <w:t>[Sic]</w:t>
      </w:r>
    </w:p>
    <w:p w:rsidR="00DC4AD7" w:rsidRDefault="00DC4AD7" w:rsidP="00DC4AD7">
      <w:pPr>
        <w:pBdr>
          <w:top w:val="nil"/>
          <w:left w:val="nil"/>
          <w:bottom w:val="nil"/>
          <w:right w:val="nil"/>
          <w:between w:val="nil"/>
        </w:pBdr>
        <w:contextualSpacing/>
      </w:pPr>
    </w:p>
    <w:p w:rsidR="00D470A7" w:rsidRPr="00D470A7" w:rsidRDefault="00DC4AD7" w:rsidP="00DC4AD7">
      <w:pPr>
        <w:pBdr>
          <w:top w:val="nil"/>
          <w:left w:val="nil"/>
          <w:bottom w:val="nil"/>
          <w:right w:val="nil"/>
          <w:between w:val="nil"/>
        </w:pBdr>
        <w:contextualSpacing/>
        <w:rPr>
          <w:szCs w:val="24"/>
        </w:rPr>
      </w:pPr>
      <w:r>
        <w:t xml:space="preserve">Por lo que, se debe traer a efecto de establecer si la respuesta brindada por el Sujeto Obligado colma el derecho al acceso a la información del Recurrente se debe de traer a colación </w:t>
      </w:r>
      <w:r w:rsidR="00D470A7">
        <w:t xml:space="preserve">los artículos 77 y 91 del Bando Municipal del Sujeto Obligado a efecto de </w:t>
      </w:r>
      <w:r w:rsidR="00D470A7" w:rsidRPr="00D470A7">
        <w:rPr>
          <w:szCs w:val="24"/>
        </w:rPr>
        <w:t>advertir que le corresponde al Titular de la Tesorería Municipal</w:t>
      </w:r>
      <w:r w:rsidR="00D470A7">
        <w:rPr>
          <w:szCs w:val="24"/>
        </w:rPr>
        <w:t xml:space="preserve"> a</w:t>
      </w:r>
      <w:r w:rsidR="00D470A7" w:rsidRPr="00D470A7">
        <w:rPr>
          <w:szCs w:val="24"/>
        </w:rPr>
        <w:t>dministrar la hacienda pública municipal, de conformidad con las disposiciones legales aplicables</w:t>
      </w:r>
      <w:r w:rsidR="00D470A7">
        <w:rPr>
          <w:szCs w:val="24"/>
        </w:rPr>
        <w:t>, i</w:t>
      </w:r>
      <w:r w:rsidR="00D470A7" w:rsidRPr="00D470A7">
        <w:rPr>
          <w:szCs w:val="24"/>
        </w:rPr>
        <w:t>ntervenir en la elaboración del programa financiero municipal</w:t>
      </w:r>
      <w:r w:rsidR="00D470A7">
        <w:rPr>
          <w:szCs w:val="24"/>
        </w:rPr>
        <w:t xml:space="preserve"> así como g</w:t>
      </w:r>
      <w:r w:rsidR="00D470A7" w:rsidRPr="00D470A7">
        <w:rPr>
          <w:szCs w:val="24"/>
        </w:rPr>
        <w:t>losar oportunamente las cuentas del Ayuntamiento</w:t>
      </w:r>
      <w:r w:rsidR="00D470A7">
        <w:rPr>
          <w:szCs w:val="24"/>
        </w:rPr>
        <w:t xml:space="preserve"> conforme lo siguiente; </w:t>
      </w:r>
    </w:p>
    <w:p w:rsidR="001C5910" w:rsidRPr="00D470A7" w:rsidRDefault="001C5910" w:rsidP="001C5910">
      <w:pPr>
        <w:pBdr>
          <w:top w:val="nil"/>
          <w:left w:val="nil"/>
          <w:bottom w:val="nil"/>
          <w:right w:val="nil"/>
          <w:between w:val="nil"/>
        </w:pBdr>
        <w:ind w:left="708"/>
        <w:contextualSpacing/>
        <w:rPr>
          <w:i/>
          <w:sz w:val="22"/>
        </w:rPr>
      </w:pPr>
      <w:r w:rsidRPr="00D470A7">
        <w:rPr>
          <w:b/>
          <w:i/>
          <w:sz w:val="22"/>
        </w:rPr>
        <w:t>Artículo 77.</w:t>
      </w:r>
      <w:r w:rsidRPr="00D470A7">
        <w:rPr>
          <w:i/>
          <w:sz w:val="22"/>
        </w:rPr>
        <w:t xml:space="preserve"> Son órganos de la Administración Pública Municipal de Zacualpan, los siguientes:</w:t>
      </w:r>
    </w:p>
    <w:p w:rsidR="00D470A7" w:rsidRPr="00D470A7" w:rsidRDefault="00D470A7" w:rsidP="001C5910">
      <w:pPr>
        <w:pBdr>
          <w:top w:val="nil"/>
          <w:left w:val="nil"/>
          <w:bottom w:val="nil"/>
          <w:right w:val="nil"/>
          <w:between w:val="nil"/>
        </w:pBdr>
        <w:ind w:left="708"/>
        <w:contextualSpacing/>
        <w:rPr>
          <w:i/>
          <w:sz w:val="22"/>
        </w:rPr>
      </w:pPr>
      <w:r w:rsidRPr="00D470A7">
        <w:rPr>
          <w:i/>
          <w:sz w:val="22"/>
        </w:rPr>
        <w:t>IV. Tesorería Municipal;</w:t>
      </w:r>
    </w:p>
    <w:p w:rsidR="00D470A7" w:rsidRPr="00D470A7" w:rsidRDefault="00D470A7" w:rsidP="00DC4AD7">
      <w:pPr>
        <w:rPr>
          <w:i/>
          <w:sz w:val="22"/>
        </w:rPr>
      </w:pPr>
    </w:p>
    <w:p w:rsidR="00D470A7" w:rsidRPr="00D470A7" w:rsidRDefault="00D470A7" w:rsidP="00D470A7">
      <w:pPr>
        <w:ind w:firstLine="708"/>
        <w:rPr>
          <w:i/>
          <w:sz w:val="22"/>
        </w:rPr>
      </w:pPr>
      <w:r w:rsidRPr="00D470A7">
        <w:rPr>
          <w:b/>
          <w:i/>
          <w:sz w:val="22"/>
        </w:rPr>
        <w:t>Artículo 91.</w:t>
      </w:r>
      <w:r w:rsidRPr="00D470A7">
        <w:rPr>
          <w:i/>
          <w:sz w:val="22"/>
        </w:rPr>
        <w:t xml:space="preserve"> El titular de la Tesorería Municipal tiene las siguientes atribuciones:</w:t>
      </w:r>
    </w:p>
    <w:p w:rsidR="00D470A7" w:rsidRPr="00D470A7" w:rsidRDefault="00D470A7" w:rsidP="00D470A7">
      <w:pPr>
        <w:ind w:left="708"/>
        <w:rPr>
          <w:i/>
          <w:sz w:val="22"/>
        </w:rPr>
      </w:pPr>
      <w:r w:rsidRPr="00D470A7">
        <w:rPr>
          <w:i/>
          <w:sz w:val="22"/>
        </w:rPr>
        <w:t>I. Administrar la hacienda pública municipal, de conformidad con las disposiciones legales aplicables;</w:t>
      </w:r>
    </w:p>
    <w:p w:rsidR="00D470A7" w:rsidRPr="00D470A7" w:rsidRDefault="00D470A7" w:rsidP="00D470A7">
      <w:pPr>
        <w:ind w:left="708"/>
        <w:rPr>
          <w:i/>
          <w:sz w:val="22"/>
        </w:rPr>
      </w:pPr>
      <w:r w:rsidRPr="00D470A7">
        <w:rPr>
          <w:i/>
          <w:sz w:val="22"/>
        </w:rP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rsidR="00D470A7" w:rsidRPr="00D470A7" w:rsidRDefault="00D470A7" w:rsidP="00D470A7">
      <w:pPr>
        <w:ind w:left="708"/>
        <w:rPr>
          <w:i/>
          <w:sz w:val="22"/>
        </w:rPr>
      </w:pPr>
      <w:r w:rsidRPr="00D470A7">
        <w:rPr>
          <w:i/>
          <w:sz w:val="22"/>
        </w:rPr>
        <w:t>…</w:t>
      </w:r>
    </w:p>
    <w:p w:rsidR="00D470A7" w:rsidRPr="00D470A7" w:rsidRDefault="00D470A7" w:rsidP="00D470A7">
      <w:pPr>
        <w:ind w:left="708"/>
        <w:rPr>
          <w:i/>
          <w:sz w:val="22"/>
        </w:rPr>
      </w:pPr>
      <w:r w:rsidRPr="00D470A7">
        <w:rPr>
          <w:i/>
          <w:sz w:val="22"/>
        </w:rPr>
        <w:t>IX. Participar en la formulación de convenios fiscales y ejercer las atribuciones que le correspondan en el ámbito de su competencia;</w:t>
      </w:r>
    </w:p>
    <w:p w:rsidR="00D470A7" w:rsidRPr="00D470A7" w:rsidRDefault="00D470A7" w:rsidP="00D470A7">
      <w:pPr>
        <w:ind w:left="708"/>
        <w:rPr>
          <w:i/>
          <w:sz w:val="22"/>
        </w:rPr>
      </w:pPr>
      <w:r w:rsidRPr="00D470A7">
        <w:rPr>
          <w:i/>
          <w:sz w:val="22"/>
        </w:rPr>
        <w:t>…</w:t>
      </w:r>
    </w:p>
    <w:p w:rsidR="00D470A7" w:rsidRPr="00D470A7" w:rsidRDefault="00D470A7" w:rsidP="00D470A7">
      <w:pPr>
        <w:ind w:left="708"/>
        <w:rPr>
          <w:i/>
          <w:sz w:val="22"/>
        </w:rPr>
      </w:pPr>
      <w:r w:rsidRPr="00D470A7">
        <w:rPr>
          <w:i/>
          <w:sz w:val="22"/>
        </w:rPr>
        <w:t>XIII. Intervenir en la elaboración del programa financiero municipal;</w:t>
      </w:r>
    </w:p>
    <w:p w:rsidR="00D470A7" w:rsidRPr="00D470A7" w:rsidRDefault="00D470A7" w:rsidP="00D470A7">
      <w:pPr>
        <w:ind w:left="708"/>
        <w:rPr>
          <w:i/>
          <w:sz w:val="22"/>
        </w:rPr>
      </w:pPr>
      <w:r w:rsidRPr="00D470A7">
        <w:rPr>
          <w:i/>
          <w:sz w:val="22"/>
        </w:rPr>
        <w:lastRenderedPageBreak/>
        <w:t>…</w:t>
      </w:r>
    </w:p>
    <w:p w:rsidR="00D470A7" w:rsidRPr="00D470A7" w:rsidRDefault="00D470A7" w:rsidP="00D470A7">
      <w:pPr>
        <w:ind w:left="708"/>
        <w:rPr>
          <w:i/>
          <w:sz w:val="22"/>
        </w:rPr>
      </w:pPr>
      <w:r w:rsidRPr="00D470A7">
        <w:rPr>
          <w:i/>
          <w:sz w:val="22"/>
        </w:rPr>
        <w:t>XV. Glosar oportunamente las cuentas del Ayuntamiento;</w:t>
      </w:r>
    </w:p>
    <w:p w:rsidR="00D470A7" w:rsidRPr="00D470A7" w:rsidRDefault="00D470A7" w:rsidP="00D470A7">
      <w:pPr>
        <w:ind w:left="708"/>
        <w:rPr>
          <w:i/>
          <w:sz w:val="22"/>
        </w:rPr>
      </w:pPr>
      <w:r w:rsidRPr="00D470A7">
        <w:rPr>
          <w:i/>
          <w:sz w:val="22"/>
        </w:rPr>
        <w:t>..</w:t>
      </w:r>
    </w:p>
    <w:p w:rsidR="00D470A7" w:rsidRPr="00D470A7" w:rsidRDefault="00D470A7" w:rsidP="00D470A7">
      <w:pPr>
        <w:ind w:left="708"/>
        <w:rPr>
          <w:i/>
          <w:sz w:val="22"/>
        </w:rPr>
      </w:pPr>
      <w:r w:rsidRPr="00D470A7">
        <w:rPr>
          <w:i/>
          <w:sz w:val="22"/>
        </w:rPr>
        <w:t xml:space="preserve">XX. Proporcionar la asesoría en materia de interpretación y aplicación de las leyes tributarias que le sea solicitada por el Ayuntamiento y las dependencias de la Administración Pública Municipal; </w:t>
      </w:r>
    </w:p>
    <w:p w:rsidR="00D470A7" w:rsidRPr="00D470A7" w:rsidRDefault="00D470A7" w:rsidP="00D470A7">
      <w:pPr>
        <w:ind w:left="708"/>
        <w:rPr>
          <w:i/>
          <w:sz w:val="22"/>
        </w:rPr>
      </w:pPr>
      <w:r w:rsidRPr="00D470A7">
        <w:rPr>
          <w:i/>
          <w:sz w:val="22"/>
        </w:rPr>
        <w:t>XXI. Proponer las disposiciones de racionalidad, austeridad y disciplina presupuestales; y</w:t>
      </w:r>
    </w:p>
    <w:p w:rsidR="000C26E4" w:rsidRPr="00D470A7" w:rsidRDefault="000C26E4" w:rsidP="00DC4AD7">
      <w:pPr>
        <w:rPr>
          <w:i/>
          <w:sz w:val="22"/>
        </w:rPr>
      </w:pPr>
    </w:p>
    <w:p w:rsidR="00D470A7" w:rsidRDefault="00D470A7" w:rsidP="000C26E4">
      <w:pPr>
        <w:rPr>
          <w:rFonts w:eastAsia="Palatino Linotype" w:cs="Palatino Linotype"/>
          <w:color w:val="000000"/>
          <w:szCs w:val="24"/>
        </w:rPr>
      </w:pPr>
      <w:r>
        <w:rPr>
          <w:rFonts w:eastAsia="Palatino Linotype" w:cs="Palatino Linotype"/>
          <w:color w:val="000000"/>
          <w:szCs w:val="24"/>
        </w:rPr>
        <w:t>En este sentido conforme lo establecido por el artículo</w:t>
      </w:r>
      <w:r w:rsidR="00C94240">
        <w:rPr>
          <w:rFonts w:eastAsia="Palatino Linotype" w:cs="Palatino Linotype"/>
          <w:color w:val="000000"/>
          <w:szCs w:val="24"/>
        </w:rPr>
        <w:t xml:space="preserve"> 77 Bis </w:t>
      </w:r>
      <w:r w:rsidR="00C94240">
        <w:t>del Bando Municipal del Sujeto Obligado le corresponde a</w:t>
      </w:r>
      <w:r w:rsidR="00F4130F">
        <w:t xml:space="preserve"> la Sub Tesorería proporcionar </w:t>
      </w:r>
      <w:r w:rsidR="00C94240">
        <w:t xml:space="preserve">la información al Tesorero Municipal a efecto que emita su opinión respecto la capacidad de endeudamiento de la administración municipal, conforme lo siguiente; </w:t>
      </w:r>
    </w:p>
    <w:p w:rsidR="00D470A7" w:rsidRPr="00D470A7" w:rsidRDefault="00D470A7" w:rsidP="00D470A7">
      <w:pPr>
        <w:ind w:left="708"/>
        <w:rPr>
          <w:i/>
          <w:sz w:val="22"/>
        </w:rPr>
      </w:pPr>
      <w:r w:rsidRPr="00D470A7">
        <w:rPr>
          <w:b/>
          <w:i/>
          <w:sz w:val="22"/>
        </w:rPr>
        <w:t>Artículo 91 BIS.</w:t>
      </w:r>
      <w:r w:rsidRPr="00D470A7">
        <w:rPr>
          <w:i/>
          <w:sz w:val="22"/>
        </w:rPr>
        <w:t xml:space="preserve"> La Sub-tesorería tendrá como función, controlar y supervisar las normas y procedimientos para la recaudación de los ingresos municipales y programar los gastos públicos de la Administración Pública Municipal Centralizada, encargándose de:</w:t>
      </w:r>
    </w:p>
    <w:p w:rsidR="00D470A7" w:rsidRPr="00D470A7" w:rsidRDefault="00D470A7" w:rsidP="00D470A7">
      <w:pPr>
        <w:ind w:left="708"/>
        <w:rPr>
          <w:i/>
          <w:sz w:val="22"/>
        </w:rPr>
      </w:pPr>
      <w:r w:rsidRPr="00D470A7">
        <w:rPr>
          <w:i/>
          <w:sz w:val="22"/>
        </w:rPr>
        <w:t>..</w:t>
      </w:r>
    </w:p>
    <w:p w:rsidR="00D470A7" w:rsidRPr="00D470A7" w:rsidRDefault="00D470A7" w:rsidP="00D470A7">
      <w:pPr>
        <w:ind w:left="708"/>
        <w:rPr>
          <w:i/>
          <w:sz w:val="22"/>
        </w:rPr>
      </w:pPr>
      <w:r w:rsidRPr="00D470A7">
        <w:rPr>
          <w:b/>
          <w:i/>
          <w:sz w:val="22"/>
        </w:rPr>
        <w:t>VIII</w:t>
      </w:r>
      <w:r w:rsidRPr="00D470A7">
        <w:rPr>
          <w:i/>
          <w:sz w:val="22"/>
        </w:rPr>
        <w:t xml:space="preserve">. </w:t>
      </w:r>
      <w:r w:rsidRPr="00D470A7">
        <w:rPr>
          <w:i/>
          <w:sz w:val="22"/>
          <w:u w:val="single"/>
        </w:rPr>
        <w:t>Proporcionar al Tesorero toda la información necesaria para que esté en posibilidad de emitir su opinión respecto a la capacidad de endeudamiento de gobierno municipal</w:t>
      </w:r>
    </w:p>
    <w:p w:rsidR="00D470A7" w:rsidRDefault="00D470A7" w:rsidP="000C26E4">
      <w:pPr>
        <w:rPr>
          <w:rFonts w:eastAsia="Palatino Linotype" w:cs="Palatino Linotype"/>
          <w:color w:val="000000"/>
          <w:szCs w:val="24"/>
        </w:rPr>
      </w:pPr>
    </w:p>
    <w:p w:rsidR="00C94240" w:rsidRDefault="000C26E4" w:rsidP="000C26E4">
      <w:pPr>
        <w:rPr>
          <w:rFonts w:eastAsia="Palatino Linotype" w:cs="Palatino Linotype"/>
          <w:color w:val="000000"/>
          <w:szCs w:val="24"/>
        </w:rPr>
      </w:pPr>
      <w:r>
        <w:rPr>
          <w:rFonts w:eastAsia="Palatino Linotype" w:cs="Palatino Linotype"/>
          <w:color w:val="000000"/>
          <w:szCs w:val="24"/>
        </w:rPr>
        <w:t xml:space="preserve">De lo anterior, </w:t>
      </w:r>
      <w:r>
        <w:rPr>
          <w:rFonts w:eastAsia="Palatino Linotype" w:cs="Palatino Linotype"/>
        </w:rPr>
        <w:t>e</w:t>
      </w:r>
      <w:r w:rsidR="00C94240">
        <w:rPr>
          <w:rFonts w:eastAsia="Palatino Linotype" w:cs="Palatino Linotype"/>
        </w:rPr>
        <w:t>s de recordarse que si bien el Sujeto Obligado refirió que había turnado la solicitud de información a diversas áreas de las constancias que integran el Sistema de Acceso a la Información Mexiquense (</w:t>
      </w:r>
      <w:r w:rsidR="00C94240" w:rsidRPr="004E453C">
        <w:rPr>
          <w:rFonts w:eastAsia="Palatino Linotype" w:cs="Palatino Linotype"/>
          <w:b/>
        </w:rPr>
        <w:t>SAIMEX</w:t>
      </w:r>
      <w:r w:rsidR="00C94240">
        <w:rPr>
          <w:rFonts w:eastAsia="Palatino Linotype" w:cs="Palatino Linotype"/>
        </w:rPr>
        <w:t xml:space="preserve">) no se encuentra el soporte documental que </w:t>
      </w:r>
      <w:proofErr w:type="spellStart"/>
      <w:r w:rsidR="00C94240">
        <w:rPr>
          <w:rFonts w:eastAsia="Palatino Linotype" w:cs="Palatino Linotype"/>
        </w:rPr>
        <w:t>de</w:t>
      </w:r>
      <w:proofErr w:type="spellEnd"/>
      <w:r w:rsidR="00C94240">
        <w:rPr>
          <w:rFonts w:eastAsia="Palatino Linotype" w:cs="Palatino Linotype"/>
        </w:rPr>
        <w:t xml:space="preserve"> cuenta de ello por lo que e</w:t>
      </w:r>
      <w:r>
        <w:rPr>
          <w:rFonts w:eastAsia="Palatino Linotype" w:cs="Palatino Linotype"/>
        </w:rPr>
        <w:t xml:space="preserve">ste Instituto puede advertir que el Sujeto Obligado fue omiso en turnar la solicitud de información a todas las unidades que en el ámbito de sus competencias podrían poseer, generar o administrar la información en comento pues de </w:t>
      </w:r>
      <w:r>
        <w:rPr>
          <w:rFonts w:eastAsia="Palatino Linotype" w:cs="Palatino Linotype"/>
        </w:rPr>
        <w:lastRenderedPageBreak/>
        <w:t>manera enunciativa mas no limitativa se advierte que la solicitud no fue turnada a la Tesorería</w:t>
      </w:r>
      <w:r>
        <w:rPr>
          <w:rFonts w:eastAsia="Palatino Linotype" w:cs="Palatino Linotype"/>
          <w:color w:val="000000"/>
          <w:szCs w:val="24"/>
        </w:rPr>
        <w:t>.</w:t>
      </w:r>
    </w:p>
    <w:p w:rsidR="00C94240" w:rsidRDefault="00C94240" w:rsidP="000C26E4">
      <w:pPr>
        <w:rPr>
          <w:rFonts w:eastAsia="Palatino Linotype" w:cs="Palatino Linotype"/>
          <w:color w:val="000000"/>
          <w:szCs w:val="24"/>
        </w:rPr>
      </w:pPr>
    </w:p>
    <w:p w:rsidR="000C26E4" w:rsidRPr="00AE4E9F" w:rsidRDefault="000C26E4" w:rsidP="000C26E4">
      <w:pPr>
        <w:rPr>
          <w:rFonts w:eastAsia="Palatino Linotype" w:cs="Palatino Linotype"/>
        </w:rPr>
      </w:pPr>
      <w:r>
        <w:t>Entonces este Instituto advierte que la solicitud de información no fue turnada a todas las unidades administrativas en términos del artículo 162 de la Ley de Transparencia Local que en el ámbito de sus atribuciones o funciones podrían generar, administrar o poseer la información requerida por el Recurrente.</w:t>
      </w:r>
    </w:p>
    <w:p w:rsidR="000C26E4" w:rsidRDefault="000C26E4" w:rsidP="000C26E4">
      <w:pPr>
        <w:rPr>
          <w:rFonts w:eastAsia="Palatino Linotype" w:cs="Palatino Linotype"/>
        </w:rPr>
      </w:pPr>
    </w:p>
    <w:p w:rsidR="000C26E4" w:rsidRPr="00DE4216" w:rsidRDefault="000C26E4" w:rsidP="000C26E4">
      <w:pPr>
        <w:tabs>
          <w:tab w:val="left" w:pos="3962"/>
        </w:tabs>
        <w:rPr>
          <w:rFonts w:eastAsia="Palatino Linotype" w:cs="Palatino Linotype"/>
          <w:color w:val="000000"/>
          <w:szCs w:val="24"/>
        </w:rPr>
      </w:pPr>
      <w:r>
        <w:rPr>
          <w:rFonts w:cs="Tahoma"/>
          <w:bCs/>
          <w:szCs w:val="24"/>
        </w:rPr>
        <w:t>Así este Insti</w:t>
      </w:r>
      <w:r w:rsidR="00C94240">
        <w:rPr>
          <w:rFonts w:cs="Tahoma"/>
          <w:bCs/>
          <w:szCs w:val="24"/>
        </w:rPr>
        <w:t>tuto no puede tener por colmado el requerimiento</w:t>
      </w:r>
      <w:r>
        <w:rPr>
          <w:rFonts w:cs="Tahoma"/>
          <w:bCs/>
          <w:szCs w:val="24"/>
        </w:rPr>
        <w:t xml:space="preserve"> de información </w:t>
      </w:r>
      <w:r>
        <w:rPr>
          <w:rFonts w:eastAsia="Palatino Linotype" w:cs="Palatino Linotype"/>
          <w:color w:val="000000"/>
          <w:szCs w:val="24"/>
        </w:rPr>
        <w:t xml:space="preserve"> pues el Sujeto Obligado fue omiso en turnar a todas las unidades administrativas la solicitud de información, en tal sentido no se acredita </w:t>
      </w:r>
      <w:r w:rsidRPr="00DE4216">
        <w:rPr>
          <w:rFonts w:eastAsia="Palatino Linotype" w:cs="Palatino Linotype"/>
          <w:color w:val="000000"/>
          <w:szCs w:val="24"/>
        </w:rPr>
        <w:t>el principio de búsqueda exhaustiva de la información, cuyo alcance se encuentra establecido en el Criterio Reiterado 02/19 emitido por el Pleno de este Organismo Garante</w:t>
      </w:r>
      <w:r>
        <w:rPr>
          <w:rFonts w:cs="Tahoma"/>
          <w:bCs/>
          <w:szCs w:val="24"/>
        </w:rPr>
        <w:t>, se trae a colación el criterio anteriormente referido</w:t>
      </w:r>
      <w:r w:rsidRPr="00DE4216">
        <w:rPr>
          <w:rFonts w:eastAsia="Palatino Linotype" w:cs="Palatino Linotype"/>
          <w:color w:val="000000"/>
          <w:szCs w:val="24"/>
        </w:rPr>
        <w:t xml:space="preserve"> a saber:</w:t>
      </w:r>
    </w:p>
    <w:p w:rsidR="000C26E4" w:rsidRPr="00D473B6" w:rsidRDefault="000C26E4" w:rsidP="000C26E4">
      <w:pPr>
        <w:spacing w:line="276" w:lineRule="auto"/>
        <w:ind w:left="567" w:right="706"/>
        <w:rPr>
          <w:rFonts w:eastAsia="Palatino Linotype" w:cs="Palatino Linotype"/>
          <w:i/>
          <w:color w:val="000000"/>
          <w:sz w:val="22"/>
        </w:rPr>
      </w:pPr>
      <w:r w:rsidRPr="00D473B6">
        <w:rPr>
          <w:rFonts w:eastAsia="Palatino Linotype" w:cs="Palatino Linotype"/>
          <w:b/>
          <w:i/>
          <w:color w:val="000000"/>
          <w:sz w:val="22"/>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D473B6">
        <w:rPr>
          <w:rFonts w:eastAsia="Palatino Linotype" w:cs="Palatino Linotype"/>
          <w:i/>
          <w:color w:val="000000"/>
          <w:sz w:val="22"/>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w:t>
      </w:r>
      <w:r w:rsidRPr="00D473B6">
        <w:rPr>
          <w:rFonts w:eastAsia="Palatino Linotype" w:cs="Palatino Linotype"/>
          <w:i/>
          <w:color w:val="000000"/>
          <w:sz w:val="22"/>
        </w:rPr>
        <w:lastRenderedPageBreak/>
        <w:t>la Ley de Transparencia Local; lo anterior es así, toda vez que de acuerdo al Diccionario de 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rsidR="000C26E4" w:rsidRDefault="000C26E4" w:rsidP="000C26E4">
      <w:pPr>
        <w:pBdr>
          <w:top w:val="nil"/>
          <w:left w:val="nil"/>
          <w:bottom w:val="nil"/>
          <w:right w:val="nil"/>
          <w:between w:val="nil"/>
        </w:pBdr>
        <w:rPr>
          <w:rFonts w:eastAsia="Palatino Linotype" w:cs="Palatino Linotype"/>
          <w:color w:val="000000"/>
          <w:szCs w:val="24"/>
        </w:rPr>
      </w:pPr>
    </w:p>
    <w:p w:rsidR="000C26E4" w:rsidRPr="00DE4216" w:rsidRDefault="000C26E4" w:rsidP="000C26E4">
      <w:pPr>
        <w:pBdr>
          <w:top w:val="nil"/>
          <w:left w:val="nil"/>
          <w:bottom w:val="nil"/>
          <w:right w:val="nil"/>
          <w:between w:val="nil"/>
        </w:pBdr>
        <w:rPr>
          <w:rFonts w:eastAsia="Palatino Linotype" w:cs="Palatino Linotype"/>
          <w:color w:val="000000"/>
          <w:szCs w:val="24"/>
        </w:rPr>
      </w:pPr>
      <w:r w:rsidRPr="00DE4216">
        <w:rPr>
          <w:rFonts w:eastAsia="Palatino Linotype" w:cs="Palatino Linotype"/>
          <w:color w:val="000000"/>
          <w:szCs w:val="24"/>
        </w:rPr>
        <w:t>En tal sentido, resulta aplicable el Criterio orientador 02/17 emitido por el Peno del Instituto Nacional de Transparencia y Acceso a la Información y Protección de Datos Personales, de título y texto siguientes:</w:t>
      </w:r>
    </w:p>
    <w:p w:rsidR="000C26E4" w:rsidRPr="00D473B6" w:rsidRDefault="000C26E4" w:rsidP="000C26E4">
      <w:pPr>
        <w:pBdr>
          <w:top w:val="nil"/>
          <w:left w:val="nil"/>
          <w:bottom w:val="nil"/>
          <w:right w:val="nil"/>
          <w:between w:val="nil"/>
        </w:pBdr>
        <w:ind w:left="851" w:right="851"/>
        <w:rPr>
          <w:rFonts w:eastAsia="Palatino Linotype" w:cs="Palatino Linotype"/>
          <w:i/>
          <w:color w:val="000000"/>
          <w:sz w:val="22"/>
        </w:rPr>
      </w:pPr>
      <w:r w:rsidRPr="00D473B6">
        <w:rPr>
          <w:rFonts w:eastAsia="Palatino Linotype" w:cs="Palatino Linotype"/>
          <w:b/>
          <w:i/>
          <w:color w:val="000000"/>
          <w:sz w:val="22"/>
        </w:rPr>
        <w:t xml:space="preserve">“Congruencia y exhaustividad. Sus alcances para garantizar el derecho de acceso a la información. </w:t>
      </w:r>
      <w:r w:rsidRPr="00D473B6">
        <w:rPr>
          <w:rFonts w:eastAsia="Palatino Linotype" w:cs="Palatino Linotype"/>
          <w:i/>
          <w:color w:val="000000"/>
          <w:sz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D473B6">
        <w:rPr>
          <w:rFonts w:eastAsia="Palatino Linotype" w:cs="Palatino Linotype"/>
          <w:b/>
          <w:i/>
          <w:color w:val="000000"/>
          <w:sz w:val="22"/>
        </w:rPr>
        <w:t>la congruencia implica que exista concordancia entre el requerimiento formulado por el particular y la respuesta proporcionada por el sujeto obligado</w:t>
      </w:r>
      <w:r w:rsidRPr="00D473B6">
        <w:rPr>
          <w:rFonts w:eastAsia="Palatino Linotype" w:cs="Palatino Linotype"/>
          <w:i/>
          <w:color w:val="000000"/>
          <w:sz w:val="22"/>
        </w:rPr>
        <w:t xml:space="preserve">; mientras que </w:t>
      </w:r>
      <w:r w:rsidRPr="00D473B6">
        <w:rPr>
          <w:rFonts w:eastAsia="Palatino Linotype" w:cs="Palatino Linotype"/>
          <w:b/>
          <w:i/>
          <w:color w:val="000000"/>
          <w:sz w:val="22"/>
        </w:rPr>
        <w:t>la exhaustividad significa que dicha respuesta se refiera expresamente a cada uno de los puntos solicitados</w:t>
      </w:r>
      <w:r w:rsidRPr="00D473B6">
        <w:rPr>
          <w:rFonts w:eastAsia="Palatino Linotype" w:cs="Palatino Linotype"/>
          <w:i/>
          <w:color w:val="000000"/>
          <w:sz w:val="22"/>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0C26E4" w:rsidRDefault="000C26E4" w:rsidP="00DC4AD7"/>
    <w:p w:rsidR="00215458" w:rsidRDefault="00215458" w:rsidP="00215458">
      <w:pPr>
        <w:rPr>
          <w:szCs w:val="24"/>
        </w:rPr>
      </w:pPr>
      <w:r w:rsidRPr="0077707A">
        <w:rPr>
          <w:szCs w:val="24"/>
        </w:rPr>
        <w:lastRenderedPageBreak/>
        <w:t xml:space="preserve">Debido a lo anterior, </w:t>
      </w:r>
      <w:r w:rsidR="008A4CA7">
        <w:rPr>
          <w:szCs w:val="24"/>
        </w:rPr>
        <w:t>este Instituto no pasa por desapercibido que la servidora pública habilitada del Despacho de la Consejería manifestó que la información debía ser clasificada como reservada o confidencial,</w:t>
      </w:r>
      <w:r w:rsidR="00EC7F0A">
        <w:rPr>
          <w:szCs w:val="24"/>
        </w:rPr>
        <w:t xml:space="preserve"> entonces es de </w:t>
      </w:r>
      <w:r w:rsidRPr="0077707A">
        <w:rPr>
          <w:szCs w:val="24"/>
        </w:rPr>
        <w:t>señalar</w:t>
      </w:r>
      <w:r w:rsidR="00EC7F0A">
        <w:rPr>
          <w:szCs w:val="24"/>
        </w:rPr>
        <w:t>se</w:t>
      </w:r>
      <w:r w:rsidRPr="0077707A">
        <w:rPr>
          <w:szCs w:val="24"/>
        </w:rPr>
        <w:t xml:space="preserve"> que </w:t>
      </w:r>
      <w:r w:rsidR="00EC7F0A">
        <w:rPr>
          <w:szCs w:val="24"/>
        </w:rPr>
        <w:t xml:space="preserve"> lo referido por la servidora pública hace referencia a que</w:t>
      </w:r>
      <w:r w:rsidR="00EC7F0A" w:rsidRPr="00EC7F0A">
        <w:rPr>
          <w:szCs w:val="24"/>
        </w:rPr>
        <w:t xml:space="preserve"> </w:t>
      </w:r>
      <w:r w:rsidRPr="00EC7F0A">
        <w:rPr>
          <w:szCs w:val="24"/>
          <w:u w:val="single"/>
        </w:rPr>
        <w:t>la información podría ser susceptible de clasificación, concebida como el acto administrativo mediante el cual los Sujetos Obligados determinan que la información requerida actualiza alguno de los supuestos de confidencialidad o reserva, de acuerdo con las bases y los principios inmersos en la normatividad aplicable.</w:t>
      </w:r>
    </w:p>
    <w:p w:rsidR="00215458" w:rsidRDefault="00215458" w:rsidP="00215458">
      <w:pPr>
        <w:rPr>
          <w:szCs w:val="24"/>
        </w:rPr>
      </w:pPr>
    </w:p>
    <w:p w:rsidR="00215458" w:rsidRDefault="00215458" w:rsidP="00215458">
      <w:pPr>
        <w:rPr>
          <w:szCs w:val="24"/>
        </w:rPr>
      </w:pPr>
      <w:r w:rsidRPr="0077707A">
        <w:rPr>
          <w:szCs w:val="24"/>
        </w:rPr>
        <w:t>Luego entonces, para realizar la reserva de la información</w:t>
      </w:r>
      <w:r w:rsidR="00EC7F0A">
        <w:rPr>
          <w:szCs w:val="24"/>
        </w:rPr>
        <w:t xml:space="preserve"> de ser el caso</w:t>
      </w:r>
      <w:r w:rsidRPr="0077707A">
        <w:rPr>
          <w:szCs w:val="24"/>
        </w:rPr>
        <w:t>, no basta con invocar alguna de las causales previs</w:t>
      </w:r>
      <w:r w:rsidR="00F4130F">
        <w:rPr>
          <w:szCs w:val="24"/>
        </w:rPr>
        <w:t xml:space="preserve">tas en la Ley de Transparencia Local. En sentido respecto la información considerada como reservada </w:t>
      </w:r>
      <w:r w:rsidRPr="0077707A">
        <w:rPr>
          <w:szCs w:val="24"/>
        </w:rPr>
        <w:t>debe realizarse a través de lo que se conoce como “prueba de daño”, que consiste en exponer los argumentos y razones, basados en elementos objetivos o verificables, a partir de los cuales se derive que la divulgación de información, en particular, puede afectar, poner en riesgo o dañar el interés protegido. Asimismo, ésta no debe basarse en meras especulaciones o suposiciones, sino en elementos objetivos que deban evaluar que existe un riego actual e inminente.</w:t>
      </w:r>
    </w:p>
    <w:p w:rsidR="00215458" w:rsidRPr="0077707A" w:rsidRDefault="00215458" w:rsidP="00215458">
      <w:pPr>
        <w:rPr>
          <w:szCs w:val="24"/>
        </w:rPr>
      </w:pPr>
    </w:p>
    <w:p w:rsidR="00215458" w:rsidRPr="0077707A" w:rsidRDefault="00215458" w:rsidP="00215458">
      <w:pPr>
        <w:rPr>
          <w:szCs w:val="24"/>
        </w:rPr>
      </w:pPr>
      <w:r w:rsidRPr="0077707A">
        <w:rPr>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w:t>
      </w:r>
      <w:r w:rsidRPr="0077707A">
        <w:rPr>
          <w:szCs w:val="24"/>
        </w:rPr>
        <w:lastRenderedPageBreak/>
        <w:t>corresponde a la prueba de daño, la que debe aplicarse caso por caso, esto es, no se puede hacer una prueba de daño de un expediente completo, sino de cada uno de los documentos que lo integran.</w:t>
      </w:r>
    </w:p>
    <w:p w:rsidR="00215458" w:rsidRPr="0077707A" w:rsidRDefault="00215458" w:rsidP="00215458">
      <w:pPr>
        <w:rPr>
          <w:szCs w:val="24"/>
        </w:rPr>
      </w:pPr>
    </w:p>
    <w:p w:rsidR="00215458" w:rsidRPr="0077707A" w:rsidRDefault="00215458" w:rsidP="00215458">
      <w:pPr>
        <w:rPr>
          <w:szCs w:val="24"/>
        </w:rPr>
      </w:pPr>
      <w:r w:rsidRPr="0077707A">
        <w:rPr>
          <w:szCs w:val="24"/>
        </w:rPr>
        <w:t xml:space="preserve">Para aplicar la prueba de daño, se deberán de precisar las razones objetivas por las que la apertura genera una afectación, acreditando que: </w:t>
      </w:r>
    </w:p>
    <w:p w:rsidR="00215458" w:rsidRPr="00EC7F0A" w:rsidRDefault="00215458" w:rsidP="00215458">
      <w:pPr>
        <w:pStyle w:val="Prrafodelista"/>
        <w:numPr>
          <w:ilvl w:val="0"/>
          <w:numId w:val="9"/>
        </w:numPr>
        <w:spacing w:after="160"/>
        <w:rPr>
          <w:i/>
          <w:sz w:val="20"/>
          <w:szCs w:val="20"/>
        </w:rPr>
      </w:pPr>
      <w:r w:rsidRPr="00EC7F0A">
        <w:rPr>
          <w:i/>
          <w:sz w:val="20"/>
          <w:szCs w:val="20"/>
        </w:rPr>
        <w:t xml:space="preserve">La divulgación de la información representa un riesgo real, demostrable e identificable del perjuicio significativo al interés público o a la seguridad pública </w:t>
      </w:r>
    </w:p>
    <w:p w:rsidR="00215458" w:rsidRPr="00EC7F0A" w:rsidRDefault="00215458" w:rsidP="00215458">
      <w:pPr>
        <w:pStyle w:val="Prrafodelista"/>
        <w:numPr>
          <w:ilvl w:val="0"/>
          <w:numId w:val="9"/>
        </w:numPr>
        <w:spacing w:after="160"/>
        <w:rPr>
          <w:i/>
          <w:sz w:val="20"/>
          <w:szCs w:val="20"/>
        </w:rPr>
      </w:pPr>
      <w:r w:rsidRPr="00EC7F0A">
        <w:rPr>
          <w:i/>
          <w:sz w:val="20"/>
          <w:szCs w:val="20"/>
        </w:rPr>
        <w:t xml:space="preserve">El riesgo de perjuicio que supondría la divulgación supera el interés público general de que se difunda; y </w:t>
      </w:r>
    </w:p>
    <w:p w:rsidR="00215458" w:rsidRPr="00EC7F0A" w:rsidRDefault="00215458" w:rsidP="00215458">
      <w:pPr>
        <w:pStyle w:val="Prrafodelista"/>
        <w:numPr>
          <w:ilvl w:val="0"/>
          <w:numId w:val="9"/>
        </w:numPr>
        <w:spacing w:after="160"/>
        <w:rPr>
          <w:i/>
          <w:sz w:val="20"/>
          <w:szCs w:val="20"/>
        </w:rPr>
      </w:pPr>
      <w:r w:rsidRPr="00EC7F0A">
        <w:rPr>
          <w:i/>
          <w:sz w:val="20"/>
          <w:szCs w:val="20"/>
        </w:rPr>
        <w:t>La limitación se adecua al principio de proporcionalidad y representa el medio menos restrictivo disponible para evitar el perjuicio.</w:t>
      </w:r>
    </w:p>
    <w:p w:rsidR="00215458" w:rsidRPr="0077707A" w:rsidRDefault="00215458" w:rsidP="00215458">
      <w:pPr>
        <w:rPr>
          <w:szCs w:val="24"/>
        </w:rPr>
      </w:pPr>
      <w:r w:rsidRPr="0077707A">
        <w:rPr>
          <w:szCs w:val="24"/>
        </w:rPr>
        <w:t>Por lo que entonces, el primer supuesto de la prueba de daño consiste en acreditar que la entrega de la información provoca aspectos concurrentes: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 Identificado ese riesgo, se debe demostrar que el mismo supera el interés público general porque se difunda dicha información.</w:t>
      </w:r>
    </w:p>
    <w:p w:rsidR="00215458" w:rsidRPr="0077707A" w:rsidRDefault="00215458" w:rsidP="00215458">
      <w:pPr>
        <w:rPr>
          <w:szCs w:val="24"/>
        </w:rPr>
      </w:pPr>
    </w:p>
    <w:p w:rsidR="00215458" w:rsidRPr="0077707A" w:rsidRDefault="00215458" w:rsidP="00215458">
      <w:pPr>
        <w:rPr>
          <w:szCs w:val="24"/>
        </w:rPr>
      </w:pPr>
      <w:r w:rsidRPr="0077707A">
        <w:rPr>
          <w:szCs w:val="24"/>
        </w:rPr>
        <w:t>Debido a lo anterior, se destaca que la pauta metodológica necesaria para clasificar la información como reservada se desprende inicialmente de identificar las causales aplicables, por ello, resulta oportuno realizar un análisis integral del numeral 140 de la Ley de Transparencia y Acceso a la Información Pública del Estado de México y Municipios, porción normativa que dispone a la literalidad lo siguiente:</w:t>
      </w:r>
    </w:p>
    <w:p w:rsidR="00215458" w:rsidRPr="00EC7F0A" w:rsidRDefault="00215458" w:rsidP="00215458">
      <w:pPr>
        <w:ind w:left="708"/>
        <w:rPr>
          <w:i/>
          <w:sz w:val="22"/>
        </w:rPr>
      </w:pPr>
      <w:r w:rsidRPr="00EC7F0A">
        <w:rPr>
          <w:b/>
          <w:i/>
          <w:sz w:val="22"/>
        </w:rPr>
        <w:lastRenderedPageBreak/>
        <w:t>Artículo 140</w:t>
      </w:r>
      <w:r w:rsidRPr="00EC7F0A">
        <w:rPr>
          <w:i/>
          <w:sz w:val="22"/>
        </w:rPr>
        <w:t xml:space="preserve">. El acceso a la información pública será restringido excepcionalmente, cuando por razones de interés público, ésta sea clasificada como reservada, conforme a los criterios siguientes: </w:t>
      </w:r>
    </w:p>
    <w:p w:rsidR="00215458" w:rsidRPr="00EC7F0A" w:rsidRDefault="00215458" w:rsidP="00215458">
      <w:pPr>
        <w:pStyle w:val="Prrafodelista"/>
        <w:numPr>
          <w:ilvl w:val="0"/>
          <w:numId w:val="10"/>
        </w:numPr>
        <w:spacing w:after="160"/>
        <w:rPr>
          <w:i/>
          <w:sz w:val="22"/>
        </w:rPr>
      </w:pPr>
      <w:r w:rsidRPr="00EC7F0A">
        <w:rPr>
          <w:bCs/>
          <w:i/>
          <w:sz w:val="22"/>
        </w:rPr>
        <w:t>Comprometa la seguridad pública</w:t>
      </w:r>
      <w:r w:rsidRPr="00EC7F0A">
        <w:rPr>
          <w:i/>
          <w:sz w:val="22"/>
        </w:rPr>
        <w:t xml:space="preserve"> y cuente con un propósito genuino y un efecto demostrable; </w:t>
      </w:r>
    </w:p>
    <w:p w:rsidR="00215458" w:rsidRPr="00EC7F0A" w:rsidRDefault="00215458" w:rsidP="00215458">
      <w:pPr>
        <w:pStyle w:val="Prrafodelista"/>
        <w:numPr>
          <w:ilvl w:val="0"/>
          <w:numId w:val="10"/>
        </w:numPr>
        <w:spacing w:after="160"/>
        <w:rPr>
          <w:i/>
          <w:sz w:val="22"/>
        </w:rPr>
      </w:pPr>
      <w:r w:rsidRPr="00EC7F0A">
        <w:rPr>
          <w:i/>
          <w:sz w:val="22"/>
        </w:rPr>
        <w:t xml:space="preserve">Pueda menoscabar la conducción de las negociaciones y relaciones internacionales; </w:t>
      </w:r>
    </w:p>
    <w:p w:rsidR="00215458" w:rsidRPr="00EC7F0A" w:rsidRDefault="00215458" w:rsidP="00215458">
      <w:pPr>
        <w:pStyle w:val="Prrafodelista"/>
        <w:numPr>
          <w:ilvl w:val="0"/>
          <w:numId w:val="10"/>
        </w:numPr>
        <w:spacing w:after="160"/>
        <w:rPr>
          <w:i/>
          <w:sz w:val="22"/>
        </w:rPr>
      </w:pPr>
      <w:r w:rsidRPr="00EC7F0A">
        <w:rPr>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rsidR="00215458" w:rsidRPr="00EC7F0A" w:rsidRDefault="00215458" w:rsidP="00215458">
      <w:pPr>
        <w:pStyle w:val="Prrafodelista"/>
        <w:numPr>
          <w:ilvl w:val="0"/>
          <w:numId w:val="10"/>
        </w:numPr>
        <w:spacing w:after="160"/>
        <w:rPr>
          <w:i/>
          <w:sz w:val="22"/>
        </w:rPr>
      </w:pPr>
      <w:r w:rsidRPr="00EC7F0A">
        <w:rPr>
          <w:i/>
          <w:sz w:val="22"/>
        </w:rPr>
        <w:t xml:space="preserve"> Ponga en riesgo la vida, la seguridad o la salud de una persona física; </w:t>
      </w:r>
    </w:p>
    <w:p w:rsidR="00215458" w:rsidRPr="00EC7F0A" w:rsidRDefault="00215458" w:rsidP="00215458">
      <w:pPr>
        <w:pStyle w:val="Prrafodelista"/>
        <w:numPr>
          <w:ilvl w:val="0"/>
          <w:numId w:val="10"/>
        </w:numPr>
        <w:spacing w:after="160"/>
        <w:rPr>
          <w:i/>
          <w:sz w:val="22"/>
        </w:rPr>
      </w:pPr>
      <w:r w:rsidRPr="00EC7F0A">
        <w:rPr>
          <w:bCs/>
          <w:i/>
          <w:sz w:val="22"/>
        </w:rPr>
        <w:t>Aquella cuya divulgación obstruya o pueda causar un serio perjuicio</w:t>
      </w:r>
      <w:r w:rsidRPr="00EC7F0A">
        <w:rPr>
          <w:i/>
          <w:sz w:val="22"/>
        </w:rPr>
        <w:t xml:space="preserve"> a: </w:t>
      </w:r>
    </w:p>
    <w:p w:rsidR="00215458" w:rsidRPr="00EC7F0A" w:rsidRDefault="00215458" w:rsidP="00215458">
      <w:pPr>
        <w:pStyle w:val="Prrafodelista"/>
        <w:ind w:left="2832"/>
        <w:rPr>
          <w:i/>
          <w:sz w:val="22"/>
        </w:rPr>
      </w:pPr>
      <w:r w:rsidRPr="00EC7F0A">
        <w:rPr>
          <w:i/>
          <w:sz w:val="22"/>
        </w:rPr>
        <w:t xml:space="preserve">1. Las actividades de fiscalización, verificación, inspección, comprobación y </w:t>
      </w:r>
      <w:r w:rsidRPr="00EC7F0A">
        <w:rPr>
          <w:bCs/>
          <w:i/>
          <w:sz w:val="22"/>
        </w:rPr>
        <w:t>auditoría</w:t>
      </w:r>
      <w:r w:rsidRPr="00EC7F0A">
        <w:rPr>
          <w:b/>
          <w:bCs/>
          <w:i/>
          <w:sz w:val="22"/>
          <w:u w:val="single"/>
        </w:rPr>
        <w:t xml:space="preserve"> </w:t>
      </w:r>
      <w:r w:rsidRPr="00EC7F0A">
        <w:rPr>
          <w:i/>
          <w:sz w:val="22"/>
        </w:rPr>
        <w:t xml:space="preserve">sobre el cumplimiento de las Leyes; o </w:t>
      </w:r>
    </w:p>
    <w:p w:rsidR="00215458" w:rsidRPr="00EC7F0A" w:rsidRDefault="00215458" w:rsidP="00215458">
      <w:pPr>
        <w:pStyle w:val="Prrafodelista"/>
        <w:ind w:left="2832"/>
        <w:rPr>
          <w:i/>
          <w:sz w:val="22"/>
        </w:rPr>
      </w:pPr>
      <w:r w:rsidRPr="00EC7F0A">
        <w:rPr>
          <w:i/>
          <w:sz w:val="22"/>
        </w:rPr>
        <w:t xml:space="preserve">2. La recaudación de las contribuciones. </w:t>
      </w:r>
    </w:p>
    <w:p w:rsidR="00215458" w:rsidRPr="00EC7F0A" w:rsidRDefault="00215458" w:rsidP="00215458">
      <w:pPr>
        <w:pStyle w:val="Prrafodelista"/>
        <w:numPr>
          <w:ilvl w:val="0"/>
          <w:numId w:val="10"/>
        </w:numPr>
        <w:spacing w:after="160"/>
        <w:rPr>
          <w:i/>
          <w:sz w:val="22"/>
        </w:rPr>
      </w:pPr>
      <w:r w:rsidRPr="00EC7F0A">
        <w:rPr>
          <w:i/>
          <w:sz w:val="22"/>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rsidR="00215458" w:rsidRPr="00EC7F0A" w:rsidRDefault="00215458" w:rsidP="00215458">
      <w:pPr>
        <w:pStyle w:val="Prrafodelista"/>
        <w:numPr>
          <w:ilvl w:val="0"/>
          <w:numId w:val="10"/>
        </w:numPr>
        <w:spacing w:after="160"/>
        <w:rPr>
          <w:i/>
          <w:sz w:val="22"/>
        </w:rPr>
      </w:pPr>
      <w:r w:rsidRPr="00EC7F0A">
        <w:rPr>
          <w:i/>
          <w:sz w:val="22"/>
        </w:rPr>
        <w:t xml:space="preserve">La que contengan las opiniones, recomendaciones o puntos de vista que formen parte del proceso deliberativo de los servidores públicos, hasta en tanto sea adoptada la decisión definitiva, la cual deberá estar documentada; </w:t>
      </w:r>
    </w:p>
    <w:p w:rsidR="00215458" w:rsidRPr="00EC7F0A" w:rsidRDefault="00215458" w:rsidP="00215458">
      <w:pPr>
        <w:pStyle w:val="Prrafodelista"/>
        <w:numPr>
          <w:ilvl w:val="0"/>
          <w:numId w:val="10"/>
        </w:numPr>
        <w:spacing w:after="160"/>
        <w:rPr>
          <w:i/>
          <w:sz w:val="22"/>
        </w:rPr>
      </w:pPr>
      <w:r w:rsidRPr="00EC7F0A">
        <w:rPr>
          <w:i/>
          <w:sz w:val="22"/>
        </w:rPr>
        <w:lastRenderedPageBreak/>
        <w:t xml:space="preserve">Vulnere la conducción de los expedientes judiciales o de los procedimientos administrativos seguidos en forma de juicio, en tanto no hayan quedado firmes;  </w:t>
      </w:r>
    </w:p>
    <w:p w:rsidR="00215458" w:rsidRPr="00EC7F0A" w:rsidRDefault="00215458" w:rsidP="00215458">
      <w:pPr>
        <w:pStyle w:val="Prrafodelista"/>
        <w:numPr>
          <w:ilvl w:val="0"/>
          <w:numId w:val="10"/>
        </w:numPr>
        <w:spacing w:after="160"/>
        <w:rPr>
          <w:i/>
          <w:sz w:val="22"/>
        </w:rPr>
      </w:pPr>
      <w:r w:rsidRPr="00EC7F0A">
        <w:rPr>
          <w:i/>
          <w:sz w:val="22"/>
        </w:rPr>
        <w:t>Se encuentre contenida dentro de las investigaciones de hechos que la Ley señale como delitos y se tramiten ante el Ministerio Público;</w:t>
      </w:r>
    </w:p>
    <w:p w:rsidR="00215458" w:rsidRPr="00EC7F0A" w:rsidRDefault="00215458" w:rsidP="00215458">
      <w:pPr>
        <w:pStyle w:val="Prrafodelista"/>
        <w:numPr>
          <w:ilvl w:val="0"/>
          <w:numId w:val="10"/>
        </w:numPr>
        <w:spacing w:after="160"/>
        <w:rPr>
          <w:i/>
          <w:sz w:val="22"/>
        </w:rPr>
      </w:pPr>
      <w:r w:rsidRPr="00EC7F0A">
        <w:rPr>
          <w:i/>
          <w:sz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rsidR="00215458" w:rsidRPr="009C12B1" w:rsidRDefault="00215458" w:rsidP="00215458">
      <w:pPr>
        <w:pStyle w:val="Prrafodelista"/>
        <w:numPr>
          <w:ilvl w:val="0"/>
          <w:numId w:val="10"/>
        </w:numPr>
        <w:spacing w:after="160"/>
        <w:rPr>
          <w:i/>
        </w:rPr>
      </w:pPr>
      <w:r w:rsidRPr="00EC7F0A">
        <w:rPr>
          <w:i/>
          <w:sz w:val="22"/>
        </w:rPr>
        <w:t>Las que por disposición expresa de una ley tengan tal carácter, siempre que sean acordes con las bases, principios y disposiciones establecidos en esta Ley y no la contravengan; así como las previstas en tratados internacionales</w:t>
      </w:r>
      <w:r w:rsidRPr="009C12B1">
        <w:rPr>
          <w:i/>
        </w:rPr>
        <w:t xml:space="preserve">. </w:t>
      </w:r>
    </w:p>
    <w:p w:rsidR="00EC7F0A" w:rsidRDefault="00EC7F0A" w:rsidP="00215458">
      <w:pPr>
        <w:rPr>
          <w:szCs w:val="24"/>
        </w:rPr>
      </w:pPr>
    </w:p>
    <w:p w:rsidR="00EC7F0A" w:rsidRDefault="00EC7F0A" w:rsidP="00215458">
      <w:r>
        <w:rPr>
          <w:szCs w:val="24"/>
        </w:rPr>
        <w:t xml:space="preserve">Así mismo de ser el caso que la información fuera considerada como confidencial  no basta con que el Servidor Público se pronuncie al respecto pues </w:t>
      </w:r>
      <w:r>
        <w:t xml:space="preserve">los supuestos de reserva o confidencialidad previstos en las leyes deberán ser acordes con las bases, principios y disposiciones establecidos en la Ley General en la materia. Por lo que conforme lo establecido por </w:t>
      </w:r>
      <w:r w:rsidR="00096B42">
        <w:t>los</w:t>
      </w:r>
      <w:r>
        <w:t xml:space="preserve"> artículo</w:t>
      </w:r>
      <w:r w:rsidR="00096B42">
        <w:t>s</w:t>
      </w:r>
      <w:r>
        <w:t xml:space="preserve"> 124</w:t>
      </w:r>
      <w:r w:rsidR="00096B42">
        <w:t xml:space="preserve"> y 128</w:t>
      </w:r>
      <w:r>
        <w:t xml:space="preserve"> de la Ley de Transparencia Local los documentos podrán desclasificarse, por:</w:t>
      </w:r>
    </w:p>
    <w:p w:rsidR="00096B42" w:rsidRPr="00096B42" w:rsidRDefault="00EC7F0A" w:rsidP="00096B42">
      <w:pPr>
        <w:pStyle w:val="Prrafodelista"/>
        <w:numPr>
          <w:ilvl w:val="0"/>
          <w:numId w:val="11"/>
        </w:numPr>
        <w:rPr>
          <w:i/>
          <w:sz w:val="22"/>
        </w:rPr>
      </w:pPr>
      <w:r w:rsidRPr="00096B42">
        <w:rPr>
          <w:i/>
          <w:sz w:val="22"/>
        </w:rPr>
        <w:t>El titular del área, cuando haya transcurrido el periodo de reserva, o bien, cuando no habiendo transcurrido éste, dejen de subsistir las causas que diero</w:t>
      </w:r>
      <w:r w:rsidR="00096B42" w:rsidRPr="00096B42">
        <w:rPr>
          <w:i/>
          <w:sz w:val="22"/>
        </w:rPr>
        <w:t xml:space="preserve">n origen a la clasificación; </w:t>
      </w:r>
    </w:p>
    <w:p w:rsidR="00096B42" w:rsidRPr="00096B42" w:rsidRDefault="00EC7F0A" w:rsidP="00096B42">
      <w:pPr>
        <w:pStyle w:val="Prrafodelista"/>
        <w:numPr>
          <w:ilvl w:val="0"/>
          <w:numId w:val="11"/>
        </w:numPr>
        <w:rPr>
          <w:i/>
          <w:sz w:val="22"/>
        </w:rPr>
      </w:pPr>
      <w:r w:rsidRPr="00096B42">
        <w:rPr>
          <w:i/>
          <w:sz w:val="22"/>
        </w:rPr>
        <w:lastRenderedPageBreak/>
        <w:t xml:space="preserve"> El Comité de Transparencia, cuando determine que no se actualizan las causales de reserva o confidencialidad invocada</w:t>
      </w:r>
      <w:r w:rsidR="00096B42" w:rsidRPr="00096B42">
        <w:rPr>
          <w:i/>
          <w:sz w:val="22"/>
        </w:rPr>
        <w:t xml:space="preserve">s por el área competente; o </w:t>
      </w:r>
    </w:p>
    <w:p w:rsidR="00EC7F0A" w:rsidRPr="00096B42" w:rsidRDefault="00EC7F0A" w:rsidP="00096B42">
      <w:pPr>
        <w:pStyle w:val="Prrafodelista"/>
        <w:numPr>
          <w:ilvl w:val="0"/>
          <w:numId w:val="11"/>
        </w:numPr>
        <w:rPr>
          <w:i/>
          <w:sz w:val="22"/>
        </w:rPr>
      </w:pPr>
      <w:r w:rsidRPr="00096B42">
        <w:rPr>
          <w:i/>
          <w:sz w:val="22"/>
        </w:rPr>
        <w:t xml:space="preserve"> El Instituto, cuando éste así lo determine mediante la resolución de un medio de impugnación.</w:t>
      </w:r>
    </w:p>
    <w:p w:rsidR="00096B42" w:rsidRPr="00096B42" w:rsidRDefault="00096B42" w:rsidP="00215458">
      <w:pPr>
        <w:rPr>
          <w:i/>
          <w:sz w:val="22"/>
        </w:rPr>
      </w:pPr>
    </w:p>
    <w:p w:rsidR="00096B42" w:rsidRPr="00096B42" w:rsidRDefault="00096B42" w:rsidP="00096B42">
      <w:pPr>
        <w:ind w:left="708"/>
        <w:rPr>
          <w:b/>
          <w:i/>
          <w:sz w:val="22"/>
        </w:rPr>
      </w:pPr>
      <w:r w:rsidRPr="00096B42">
        <w:rPr>
          <w:b/>
          <w:i/>
          <w:sz w:val="22"/>
        </w:rPr>
        <w:t>Artículo 128</w:t>
      </w:r>
      <w:r w:rsidRPr="00096B42">
        <w:rPr>
          <w:i/>
          <w:sz w:val="22"/>
        </w:rPr>
        <w:t xml:space="preserve">. En los casos en que se niegue el acceso a la información, por actualizarse alguno de los supuestos de clasificación, </w:t>
      </w:r>
      <w:r w:rsidRPr="00096B42">
        <w:rPr>
          <w:b/>
          <w:i/>
          <w:sz w:val="22"/>
        </w:rPr>
        <w:t xml:space="preserve">el Comité de Transparencia deberá confirmar, modificar o revocar la decisión. </w:t>
      </w:r>
    </w:p>
    <w:p w:rsidR="00096B42" w:rsidRPr="00096B42" w:rsidRDefault="00096B42" w:rsidP="00096B42">
      <w:pPr>
        <w:ind w:left="708"/>
        <w:rPr>
          <w:i/>
          <w:sz w:val="22"/>
        </w:rPr>
      </w:pPr>
    </w:p>
    <w:p w:rsidR="00096B42" w:rsidRPr="00096B42" w:rsidRDefault="00096B42" w:rsidP="00096B42">
      <w:pPr>
        <w:ind w:left="708"/>
        <w:rPr>
          <w:b/>
          <w:i/>
          <w:sz w:val="22"/>
        </w:rPr>
      </w:pPr>
      <w:r w:rsidRPr="00096B42">
        <w:rPr>
          <w:i/>
          <w:sz w:val="22"/>
        </w:rPr>
        <w:t xml:space="preserve">Para motivar la clasificación de la información y la ampliación del plazo de reserva, se deberán señalar las </w:t>
      </w:r>
      <w:r w:rsidRPr="00096B42">
        <w:rPr>
          <w:b/>
          <w:i/>
          <w:sz w:val="22"/>
        </w:rPr>
        <w:t xml:space="preserve">razones, motivos o circunstancias especiales que llevaron al sujeto obligado a concluir que el caso particular se ajusta al supuesto previsto por la norma legal invocada como fundamento. </w:t>
      </w:r>
    </w:p>
    <w:p w:rsidR="00096B42" w:rsidRPr="00096B42" w:rsidRDefault="00096B42" w:rsidP="00096B42">
      <w:pPr>
        <w:ind w:left="708"/>
        <w:rPr>
          <w:i/>
          <w:sz w:val="22"/>
        </w:rPr>
      </w:pPr>
    </w:p>
    <w:p w:rsidR="00096B42" w:rsidRPr="00096B42" w:rsidRDefault="00096B42" w:rsidP="00096B42">
      <w:pPr>
        <w:ind w:left="708"/>
        <w:rPr>
          <w:i/>
          <w:sz w:val="22"/>
        </w:rPr>
      </w:pPr>
      <w:r w:rsidRPr="00096B42">
        <w:rPr>
          <w:i/>
          <w:sz w:val="22"/>
        </w:rPr>
        <w:t>Además, el sujeto obligado deberá, en todo momento, aplicar una prueba de daño. Tratándose de aquélla información que actualice los supuestos de clasificación, deberá señalarse el plazo al que estará sujeto la reserva.</w:t>
      </w:r>
    </w:p>
    <w:p w:rsidR="00096B42" w:rsidRDefault="00096B42" w:rsidP="00215458"/>
    <w:p w:rsidR="001C2754" w:rsidRPr="001C2754" w:rsidRDefault="001C2754" w:rsidP="001C2754">
      <w:pPr>
        <w:ind w:right="49"/>
        <w:rPr>
          <w:color w:val="000000"/>
          <w:sz w:val="22"/>
          <w:highlight w:val="yellow"/>
        </w:rPr>
      </w:pPr>
      <w:r w:rsidRPr="008D4C84">
        <w:rPr>
          <w:color w:val="000000"/>
          <w:highlight w:val="yellow"/>
        </w:rPr>
        <w:t xml:space="preserve">Cabe destacar que, el </w:t>
      </w:r>
      <w:r>
        <w:rPr>
          <w:color w:val="000000"/>
          <w:highlight w:val="yellow"/>
        </w:rPr>
        <w:t xml:space="preserve">entonces </w:t>
      </w:r>
      <w:r w:rsidRPr="008D4C84">
        <w:rPr>
          <w:color w:val="000000"/>
          <w:highlight w:val="yellow"/>
        </w:rPr>
        <w:t>Instituto Nacional de Transparencia, Acceso a la Información y Protección de Datos Personales, ha emitido el siguiente criterio de interpretación del Pleno.</w:t>
      </w:r>
    </w:p>
    <w:p w:rsidR="001C2754" w:rsidRPr="001C2754" w:rsidRDefault="001C2754" w:rsidP="001C2754">
      <w:pPr>
        <w:ind w:left="851" w:right="1106"/>
        <w:jc w:val="center"/>
        <w:rPr>
          <w:b/>
          <w:i/>
          <w:sz w:val="22"/>
          <w:highlight w:val="yellow"/>
        </w:rPr>
      </w:pPr>
      <w:r w:rsidRPr="001C2754">
        <w:rPr>
          <w:b/>
          <w:i/>
          <w:sz w:val="22"/>
          <w:highlight w:val="yellow"/>
        </w:rPr>
        <w:t>29/10</w:t>
      </w:r>
    </w:p>
    <w:p w:rsidR="001C2754" w:rsidRPr="001C2754" w:rsidRDefault="001C2754" w:rsidP="001C2754">
      <w:pPr>
        <w:ind w:left="851" w:right="1106"/>
        <w:jc w:val="center"/>
        <w:rPr>
          <w:b/>
          <w:i/>
          <w:sz w:val="22"/>
          <w:highlight w:val="yellow"/>
        </w:rPr>
      </w:pPr>
    </w:p>
    <w:p w:rsidR="001C2754" w:rsidRPr="001C2754" w:rsidRDefault="001C2754" w:rsidP="001C2754">
      <w:pPr>
        <w:ind w:left="851" w:right="1106"/>
        <w:jc w:val="center"/>
        <w:rPr>
          <w:b/>
          <w:i/>
          <w:sz w:val="22"/>
          <w:highlight w:val="yellow"/>
        </w:rPr>
      </w:pPr>
      <w:r w:rsidRPr="001C2754">
        <w:rPr>
          <w:b/>
          <w:i/>
          <w:sz w:val="22"/>
          <w:highlight w:val="yellow"/>
        </w:rPr>
        <w:t>La clasificación y la inexistencia de información son conceptos que no pueden coexistir.</w:t>
      </w:r>
    </w:p>
    <w:p w:rsidR="001C2754" w:rsidRPr="001C2754" w:rsidRDefault="001C2754" w:rsidP="001C2754">
      <w:pPr>
        <w:ind w:left="851" w:right="1106"/>
        <w:jc w:val="center"/>
        <w:rPr>
          <w:i/>
          <w:sz w:val="22"/>
          <w:highlight w:val="yellow"/>
        </w:rPr>
      </w:pPr>
    </w:p>
    <w:p w:rsidR="001C2754" w:rsidRPr="001C2754" w:rsidRDefault="001C2754" w:rsidP="001C2754">
      <w:pPr>
        <w:ind w:left="851" w:right="1106"/>
        <w:rPr>
          <w:i/>
          <w:sz w:val="22"/>
          <w:highlight w:val="yellow"/>
        </w:rPr>
      </w:pPr>
      <w:r w:rsidRPr="001C2754">
        <w:rPr>
          <w:i/>
          <w:sz w:val="22"/>
          <w:highlight w:val="yellow"/>
        </w:rPr>
        <w:lastRenderedPageBreak/>
        <w:t xml:space="preserve">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 </w:t>
      </w:r>
      <w:hyperlink r:id="rId7" w:history="1">
        <w:r w:rsidRPr="001C2754">
          <w:rPr>
            <w:rStyle w:val="Hipervnculo"/>
            <w:rFonts w:eastAsiaTheme="majorEastAsia"/>
            <w:i/>
            <w:sz w:val="22"/>
            <w:highlight w:val="yellow"/>
          </w:rPr>
          <w:t>http://criteriosdeinterpretacion.inai.org.mx/Criterios/29-10.docx</w:t>
        </w:r>
      </w:hyperlink>
    </w:p>
    <w:p w:rsidR="001C2754" w:rsidRPr="008D4C84" w:rsidRDefault="001C2754" w:rsidP="001C2754">
      <w:pPr>
        <w:ind w:right="1106"/>
        <w:rPr>
          <w:i/>
          <w:highlight w:val="yellow"/>
        </w:rPr>
      </w:pPr>
    </w:p>
    <w:p w:rsidR="001C2754" w:rsidRPr="008D4C84" w:rsidRDefault="001C2754" w:rsidP="001C2754">
      <w:pPr>
        <w:ind w:right="49"/>
        <w:rPr>
          <w:color w:val="000000"/>
          <w:highlight w:val="yellow"/>
        </w:rPr>
      </w:pPr>
      <w:r w:rsidRPr="008D4C84">
        <w:rPr>
          <w:color w:val="000000"/>
          <w:highlight w:val="yellow"/>
        </w:rPr>
        <w:t>Por lo anterior es de señalar que el criterio establece, que la clasificación y la inexistencia no coexisten entre sí, ya que la clasificación de la información, implica la existencia de un documento y la inexistencia conlleva a la ausencia del mismo.</w:t>
      </w:r>
    </w:p>
    <w:p w:rsidR="001C2754" w:rsidRDefault="001C2754" w:rsidP="00215458"/>
    <w:p w:rsidR="00215458" w:rsidRPr="0077707A" w:rsidRDefault="00215458" w:rsidP="00215458">
      <w:pPr>
        <w:rPr>
          <w:szCs w:val="24"/>
        </w:rPr>
      </w:pPr>
      <w:r w:rsidRPr="0077707A">
        <w:rPr>
          <w:szCs w:val="24"/>
        </w:rPr>
        <w:t>Bajo este contexto, la fundamentación y motivación, cobra particular relevancia la corriente que emana del Tercer Tribunal Colegiado en Materia Civil del Primer Circuito, a través de la jurisprudencia con número de registro digital 170307 de la Novena Época, visible en el Semanario Judicial de la Federación y su Gaceta, Tomo XXVII, de febrero de 2008, tesis I.3o.C. J/47 en materia común, en la que establece lo siguiente;</w:t>
      </w:r>
    </w:p>
    <w:p w:rsidR="00215458" w:rsidRPr="00E50B6A" w:rsidRDefault="00215458" w:rsidP="00215458">
      <w:pPr>
        <w:ind w:left="708"/>
        <w:rPr>
          <w:i/>
          <w:iCs/>
          <w:sz w:val="22"/>
        </w:rPr>
      </w:pPr>
      <w:r w:rsidRPr="00E50B6A">
        <w:rPr>
          <w:sz w:val="22"/>
        </w:rPr>
        <w:lastRenderedPageBreak/>
        <w:t>“</w:t>
      </w:r>
      <w:r w:rsidRPr="00E50B6A">
        <w:rPr>
          <w:b/>
          <w:bCs/>
          <w:i/>
          <w:iCs/>
          <w:sz w:val="22"/>
        </w:rPr>
        <w:t>FUNDAMENTACIÓN Y MOTIVACIÓN. LA DIFERENCIA ENTRE LA FALTA Y LA INDEBIDA SATISFACCIÓN DE AMBOS REQUISITOS CONSTITUCIONALES TRASCIENDE AL ORDEN EN QUE DEBEN ESTUDIARSE LOS CONCEPTOS DE VIOLACIÓN Y A LOS EFECTOS DEL FALLO PROTECTOR.</w:t>
      </w:r>
      <w:r w:rsidRPr="00E50B6A">
        <w:rPr>
          <w:i/>
          <w:iCs/>
          <w:sz w:val="22"/>
        </w:rPr>
        <w:t xml:space="preserve"> </w:t>
      </w:r>
    </w:p>
    <w:p w:rsidR="00215458" w:rsidRPr="00E50B6A" w:rsidRDefault="00215458" w:rsidP="00215458">
      <w:pPr>
        <w:ind w:left="708"/>
        <w:rPr>
          <w:i/>
          <w:iCs/>
          <w:sz w:val="22"/>
        </w:rPr>
      </w:pPr>
      <w:r w:rsidRPr="00E50B6A">
        <w:rPr>
          <w:i/>
          <w:iCs/>
          <w:sz w:val="22"/>
        </w:rPr>
        <w:t xml:space="preserve">La falta de fundamentación y motivación es una violación formal diversa a la indebida o incorrecta fundamentación y motivación, que es una violación material o de fondo, siendo distintos los efectos que genera la existencia de una u otra, por lo que el estudio de aquella omisión debe hacerse de manera previa. En efecto, el artículo 16 constitucional establece, en su primer párrafo, el imperativo para las autoridades de fundar y motivar sus actos que incidan en la esfera de los gobernados, pero la contravención al mandato constitucional que exige la expresión de ambas en los actos de autoridad puede revestir dos formas distintas, a saber: la derivada de su falta, y la correspondiente a su incorrección. Se produce la falta de fundamentación y motivación, cuando se omite expresar el dispositivo legal aplicable al asunto y las razones que se hayan considerado para estimar que el caso puede subsumirse en la hipótesis prevista en esa norma jurídica. En cambio, hay una indebida fundamentación cuando en el acto de autoridad sí se invoca el precepto legal, sin embargo, resulta inaplicable al asunto por las características específicas de éste que impiden su adecuación o encuadre en la hipótesis normativa; y una incorrecta motivación, en el supuesto en que sí se indican las razones que tiene en consideración la autoridad para emitir el acto, pero aquéllas están en disonancia con el contenido de la norma legal que se aplica en el caso. De manera que la falta de fundamentación y motivación significa la carencia o ausencia de tales requisitos, mientras que la indebida o incorrecta fundamentación y motivación entraña la presencia de ambos requisitos constitucionales, pero con un desajuste entre la aplicación de normas y los razonamientos formulados por la autoridad con el caso concreto. La diferencia apuntada permite advertir que en el primer supuesto se trata de una violación formal dado que el acto de autoridad carece de elementos ínsitos, connaturales, al mismo por virtud de un imperativo constitucional, por lo que, advertida su ausencia mediante la simple lectura del acto reclamado, procederá conceder el amparo solicitado; </w:t>
      </w:r>
      <w:r w:rsidRPr="00E50B6A">
        <w:rPr>
          <w:i/>
          <w:iCs/>
          <w:sz w:val="22"/>
        </w:rPr>
        <w:lastRenderedPageBreak/>
        <w:t xml:space="preserve">y en el segundo caso consiste en una violación material o de fondo porque se ha cumplido con la forma mediante la expresión de fundamentos y motivos, pero unos y otros son incorrectos, lo cual, por regla general, también dará lugar a un fallo protector, sin embargo, será menester un previo análisis del contenido del asunto para llegar a concluir la mencionada incorrección. Por virtud de esa nota distintiva, los efectos de la concesión del amparo, tratándose de una resolución jurisdiccional, son igualmente diversos en uno y otro caso, pues aunque existe un elemento común, o sea, que la autoridad deje insubsistente el acto inconstitucional, en el primer supuesto será para que subsane la irregularidad expresando la fundamentación y motivación antes ausente, y en el segundo para que aporte fundamentos y motivos diferentes a los que formuló previamente. La apuntada diferencia trasciende, igualmente, al orden en que se deberán estudiar los argumentos que hagan valer los quejosos, ya que si en un caso se advierte la carencia de los requisitos constitucionales de que se trata, es decir, una violación formal, se concederá el amparo para los efectos indicados, con exclusión del análisis de los motivos de disenso que, concurriendo con los atinentes al defecto, versen sobre la incorrección de ambos elementos inherentes al acto de autoridad; empero, si han sido satisfechos aquéllos, será factible el estudio de la indebida fundamentación y motivación, esto es, de la violación material o de fondo. </w:t>
      </w:r>
    </w:p>
    <w:p w:rsidR="00215458" w:rsidRPr="00D53F89" w:rsidRDefault="00215458" w:rsidP="00215458">
      <w:pPr>
        <w:spacing w:line="240" w:lineRule="auto"/>
        <w:ind w:left="708"/>
        <w:rPr>
          <w:i/>
          <w:iCs/>
          <w:sz w:val="18"/>
          <w:szCs w:val="18"/>
        </w:rPr>
      </w:pPr>
      <w:r w:rsidRPr="00D53F89">
        <w:rPr>
          <w:i/>
          <w:iCs/>
          <w:sz w:val="18"/>
          <w:szCs w:val="18"/>
        </w:rPr>
        <w:t xml:space="preserve">TERCER TRIBUNAL COLEGIADO EN MATERIA CIVIL DEL PRIMER CIRCUITO. </w:t>
      </w:r>
    </w:p>
    <w:p w:rsidR="00215458" w:rsidRPr="00D53F89" w:rsidRDefault="00215458" w:rsidP="00215458">
      <w:pPr>
        <w:spacing w:line="240" w:lineRule="auto"/>
        <w:ind w:left="708"/>
        <w:rPr>
          <w:i/>
          <w:iCs/>
          <w:sz w:val="18"/>
          <w:szCs w:val="18"/>
        </w:rPr>
      </w:pPr>
      <w:r w:rsidRPr="00D53F89">
        <w:rPr>
          <w:i/>
          <w:iCs/>
          <w:sz w:val="18"/>
          <w:szCs w:val="18"/>
        </w:rPr>
        <w:t xml:space="preserve">Amparo directo 551/2005. Jorge Luis </w:t>
      </w:r>
      <w:proofErr w:type="spellStart"/>
      <w:r w:rsidRPr="00D53F89">
        <w:rPr>
          <w:i/>
          <w:iCs/>
          <w:sz w:val="18"/>
          <w:szCs w:val="18"/>
        </w:rPr>
        <w:t>Almaral</w:t>
      </w:r>
      <w:proofErr w:type="spellEnd"/>
      <w:r w:rsidRPr="00D53F89">
        <w:rPr>
          <w:i/>
          <w:iCs/>
          <w:sz w:val="18"/>
          <w:szCs w:val="18"/>
        </w:rPr>
        <w:t xml:space="preserve"> </w:t>
      </w:r>
      <w:proofErr w:type="spellStart"/>
      <w:r w:rsidRPr="00D53F89">
        <w:rPr>
          <w:i/>
          <w:iCs/>
          <w:sz w:val="18"/>
          <w:szCs w:val="18"/>
        </w:rPr>
        <w:t>Mendívil</w:t>
      </w:r>
      <w:proofErr w:type="spellEnd"/>
      <w:r w:rsidRPr="00D53F89">
        <w:rPr>
          <w:i/>
          <w:iCs/>
          <w:sz w:val="18"/>
          <w:szCs w:val="18"/>
        </w:rPr>
        <w:t xml:space="preserve">. 20 de octubre de 2005. Unanimidad de votos. </w:t>
      </w:r>
    </w:p>
    <w:p w:rsidR="00215458" w:rsidRPr="00D53F89" w:rsidRDefault="00215458" w:rsidP="00215458">
      <w:pPr>
        <w:spacing w:line="240" w:lineRule="auto"/>
        <w:ind w:left="708"/>
        <w:rPr>
          <w:i/>
          <w:iCs/>
          <w:sz w:val="18"/>
          <w:szCs w:val="18"/>
        </w:rPr>
      </w:pPr>
      <w:r w:rsidRPr="00D53F89">
        <w:rPr>
          <w:i/>
          <w:iCs/>
          <w:sz w:val="18"/>
          <w:szCs w:val="18"/>
        </w:rPr>
        <w:t xml:space="preserve">Amparo directo 66/2007. Juan Ramón Jaime Alcántara. 15 de febrero de 2007. Unanimidad de votos. </w:t>
      </w:r>
    </w:p>
    <w:p w:rsidR="00215458" w:rsidRPr="00D53F89" w:rsidRDefault="00215458" w:rsidP="00215458">
      <w:pPr>
        <w:spacing w:line="240" w:lineRule="auto"/>
        <w:ind w:left="708"/>
        <w:rPr>
          <w:i/>
          <w:iCs/>
          <w:sz w:val="18"/>
          <w:szCs w:val="18"/>
        </w:rPr>
      </w:pPr>
      <w:r w:rsidRPr="00D53F89">
        <w:rPr>
          <w:i/>
          <w:iCs/>
          <w:sz w:val="18"/>
          <w:szCs w:val="18"/>
        </w:rPr>
        <w:t xml:space="preserve">Amparo directo 364/2007. Guadalupe Rodríguez Daniel. 6 de julio de 2007. Unanimidad de votos. </w:t>
      </w:r>
    </w:p>
    <w:p w:rsidR="00215458" w:rsidRPr="00D53F89" w:rsidRDefault="00215458" w:rsidP="00215458">
      <w:pPr>
        <w:spacing w:line="240" w:lineRule="auto"/>
        <w:ind w:left="708"/>
        <w:rPr>
          <w:i/>
          <w:iCs/>
          <w:sz w:val="18"/>
          <w:szCs w:val="18"/>
        </w:rPr>
      </w:pPr>
      <w:r w:rsidRPr="00D53F89">
        <w:rPr>
          <w:i/>
          <w:iCs/>
          <w:sz w:val="18"/>
          <w:szCs w:val="18"/>
        </w:rPr>
        <w:t xml:space="preserve">Amparo directo 513/2007. Autofinanciamiento México, S.A. de C.V. 4 de octubre de 2007. Unanimidad de votos. </w:t>
      </w:r>
    </w:p>
    <w:p w:rsidR="00215458" w:rsidRPr="00A62EA2" w:rsidRDefault="00215458" w:rsidP="00215458">
      <w:pPr>
        <w:spacing w:line="240" w:lineRule="auto"/>
        <w:ind w:left="708"/>
        <w:rPr>
          <w:i/>
          <w:iCs/>
          <w:sz w:val="20"/>
          <w:szCs w:val="20"/>
        </w:rPr>
      </w:pPr>
      <w:r w:rsidRPr="00D53F89">
        <w:rPr>
          <w:i/>
          <w:iCs/>
          <w:sz w:val="18"/>
          <w:szCs w:val="18"/>
        </w:rPr>
        <w:t xml:space="preserve">Amparo directo 562/2007. Arenas y Gravas </w:t>
      </w:r>
      <w:proofErr w:type="spellStart"/>
      <w:r w:rsidRPr="00D53F89">
        <w:rPr>
          <w:i/>
          <w:iCs/>
          <w:sz w:val="18"/>
          <w:szCs w:val="18"/>
        </w:rPr>
        <w:t>Xaltepec</w:t>
      </w:r>
      <w:proofErr w:type="spellEnd"/>
      <w:r w:rsidRPr="00D53F89">
        <w:rPr>
          <w:i/>
          <w:iCs/>
          <w:sz w:val="18"/>
          <w:szCs w:val="18"/>
        </w:rPr>
        <w:t>, S.A. 11 de octubre de 2007. Unanimidad de votos</w:t>
      </w:r>
      <w:proofErr w:type="gramStart"/>
      <w:r w:rsidRPr="00A62EA2">
        <w:rPr>
          <w:i/>
          <w:iCs/>
          <w:sz w:val="20"/>
          <w:szCs w:val="20"/>
        </w:rPr>
        <w:t>..”</w:t>
      </w:r>
      <w:proofErr w:type="gramEnd"/>
      <w:r w:rsidRPr="00A62EA2">
        <w:rPr>
          <w:i/>
          <w:iCs/>
          <w:sz w:val="20"/>
          <w:szCs w:val="20"/>
        </w:rPr>
        <w:t xml:space="preserve"> (Sic)</w:t>
      </w:r>
    </w:p>
    <w:p w:rsidR="00215458" w:rsidRDefault="00215458" w:rsidP="00215458">
      <w:pPr>
        <w:rPr>
          <w:szCs w:val="24"/>
        </w:rPr>
      </w:pPr>
    </w:p>
    <w:p w:rsidR="00215458" w:rsidRPr="0077707A" w:rsidRDefault="00215458" w:rsidP="00215458">
      <w:pPr>
        <w:rPr>
          <w:szCs w:val="24"/>
        </w:rPr>
      </w:pPr>
      <w:r w:rsidRPr="0077707A">
        <w:rPr>
          <w:szCs w:val="24"/>
        </w:rPr>
        <w:t xml:space="preserve">En virtud de lo anterior, se desprende que </w:t>
      </w:r>
      <w:r w:rsidRPr="0077707A">
        <w:rPr>
          <w:b/>
          <w:szCs w:val="24"/>
        </w:rPr>
        <w:t>los Acuerdos de Reserva deberán de cumplir parámetros de forma y fondo</w:t>
      </w:r>
      <w:r w:rsidRPr="0077707A">
        <w:rPr>
          <w:szCs w:val="24"/>
        </w:rPr>
        <w:t xml:space="preserve">, sin pasar por desapercibido para este Instituto que los Lineamientos Generales de Clasificación y Desclasificación de la Información, así como para la Elaboración de Versiones Públicas en su apartado Quincuagésimo tercero establece que respecto la información reservada el formato para señalar la clasificación </w:t>
      </w:r>
      <w:r w:rsidRPr="0077707A">
        <w:rPr>
          <w:szCs w:val="24"/>
        </w:rPr>
        <w:lastRenderedPageBreak/>
        <w:t>de un documento o expediente que contenga información reservada es un cuadro de clasificación, como se muestra a continuación;</w:t>
      </w:r>
    </w:p>
    <w:p w:rsidR="00215458" w:rsidRDefault="00215458" w:rsidP="00215458">
      <w:pPr>
        <w:ind w:left="708" w:hanging="708"/>
        <w:jc w:val="center"/>
      </w:pPr>
      <w:r w:rsidRPr="00F41799">
        <w:rPr>
          <w:noProof/>
          <w:lang w:val="es-MX"/>
        </w:rPr>
        <w:drawing>
          <wp:inline distT="0" distB="0" distL="0" distR="0" wp14:anchorId="7918ED9E" wp14:editId="4C60B00C">
            <wp:extent cx="3709587" cy="2385392"/>
            <wp:effectExtent l="0" t="0" r="5715" b="0"/>
            <wp:docPr id="1264038752" name="Imagen 1"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038752" name="Imagen 1" descr="Tabla&#10;&#10;Descripción generada automáticamente con confianza media"/>
                    <pic:cNvPicPr/>
                  </pic:nvPicPr>
                  <pic:blipFill>
                    <a:blip r:embed="rId8"/>
                    <a:stretch>
                      <a:fillRect/>
                    </a:stretch>
                  </pic:blipFill>
                  <pic:spPr>
                    <a:xfrm>
                      <a:off x="0" y="0"/>
                      <a:ext cx="3753301" cy="2413501"/>
                    </a:xfrm>
                    <a:prstGeom prst="rect">
                      <a:avLst/>
                    </a:prstGeom>
                  </pic:spPr>
                </pic:pic>
              </a:graphicData>
            </a:graphic>
          </wp:inline>
        </w:drawing>
      </w:r>
    </w:p>
    <w:p w:rsidR="00E50B6A" w:rsidRDefault="00E50B6A" w:rsidP="00215458">
      <w:pPr>
        <w:rPr>
          <w:szCs w:val="24"/>
        </w:rPr>
      </w:pPr>
    </w:p>
    <w:p w:rsidR="00215458" w:rsidRDefault="00215458" w:rsidP="00215458">
      <w:r w:rsidRPr="0077707A">
        <w:rPr>
          <w:szCs w:val="24"/>
        </w:rPr>
        <w:t xml:space="preserve">Por lo que de la respuesta proporcionada </w:t>
      </w:r>
      <w:r w:rsidR="00E50B6A">
        <w:rPr>
          <w:szCs w:val="24"/>
        </w:rPr>
        <w:t>por el Sujeto Obligado refiere clasificar la información como reservada o confidencial sin que existan los requisitos indispensables establecidos por la Ley de Transparencia Local pues se reitera que el simple pronunciamiento del Sujeto Obligado no es razón suficiente para clasificar o en su caso reservar la información.</w:t>
      </w:r>
    </w:p>
    <w:p w:rsidR="00215458" w:rsidRDefault="00215458" w:rsidP="00DC4AD7"/>
    <w:p w:rsidR="00215458" w:rsidRPr="00A12A54" w:rsidRDefault="00215458" w:rsidP="00215458">
      <w:pPr>
        <w:autoSpaceDE w:val="0"/>
        <w:autoSpaceDN w:val="0"/>
        <w:adjustRightInd w:val="0"/>
        <w:rPr>
          <w:szCs w:val="24"/>
        </w:rPr>
      </w:pPr>
      <w:r w:rsidRPr="000C1CD5">
        <w:rPr>
          <w:szCs w:val="24"/>
        </w:rPr>
        <w:t>En virtud de lo anterior, resulta oportuno traer a c</w:t>
      </w:r>
      <w:r w:rsidR="00A12A54">
        <w:rPr>
          <w:szCs w:val="24"/>
        </w:rPr>
        <w:t>olación el artículo 87, 93, 94, 95, 101 y 102</w:t>
      </w:r>
      <w:r w:rsidRPr="000C1CD5">
        <w:rPr>
          <w:szCs w:val="24"/>
        </w:rPr>
        <w:t xml:space="preserve"> de la Ley Orgánica Municipal del Estado de México; porciones normativas que disponen a la literalidad lo siguiente:</w:t>
      </w:r>
    </w:p>
    <w:p w:rsidR="00215458" w:rsidRPr="00215458" w:rsidRDefault="00215458" w:rsidP="00215458">
      <w:pPr>
        <w:autoSpaceDE w:val="0"/>
        <w:autoSpaceDN w:val="0"/>
        <w:adjustRightInd w:val="0"/>
        <w:ind w:left="708"/>
        <w:rPr>
          <w:rFonts w:cs="Arial"/>
          <w:i/>
          <w:sz w:val="22"/>
        </w:rPr>
      </w:pPr>
      <w:r w:rsidRPr="00174B3E">
        <w:rPr>
          <w:b/>
          <w:i/>
          <w:sz w:val="22"/>
        </w:rPr>
        <w:t>Artículo 87</w:t>
      </w:r>
      <w:r w:rsidRPr="00215458">
        <w:rPr>
          <w:i/>
          <w:sz w:val="22"/>
        </w:rPr>
        <w:t>.- Para el despacho, estudio y planeación de los diversos asuntos de la administración municipal, el ayuntamiento contará por lo menos con las siguientes Dependencias:</w:t>
      </w:r>
    </w:p>
    <w:p w:rsidR="00215458" w:rsidRDefault="00215458" w:rsidP="00215458">
      <w:pPr>
        <w:autoSpaceDE w:val="0"/>
        <w:autoSpaceDN w:val="0"/>
        <w:adjustRightInd w:val="0"/>
        <w:ind w:firstLine="708"/>
        <w:rPr>
          <w:i/>
          <w:sz w:val="22"/>
        </w:rPr>
      </w:pPr>
      <w:r w:rsidRPr="00215458">
        <w:rPr>
          <w:i/>
          <w:sz w:val="22"/>
        </w:rPr>
        <w:t>II. La tesorería municipal.</w:t>
      </w:r>
    </w:p>
    <w:p w:rsidR="00174B3E" w:rsidRPr="00215458" w:rsidRDefault="00174B3E" w:rsidP="00215458">
      <w:pPr>
        <w:autoSpaceDE w:val="0"/>
        <w:autoSpaceDN w:val="0"/>
        <w:adjustRightInd w:val="0"/>
        <w:ind w:firstLine="708"/>
        <w:rPr>
          <w:rFonts w:cs="Arial"/>
          <w:i/>
          <w:sz w:val="22"/>
        </w:rPr>
      </w:pPr>
    </w:p>
    <w:p w:rsidR="007532AC" w:rsidRPr="00174B3E" w:rsidRDefault="00215458" w:rsidP="00174B3E">
      <w:pPr>
        <w:autoSpaceDE w:val="0"/>
        <w:autoSpaceDN w:val="0"/>
        <w:adjustRightInd w:val="0"/>
        <w:ind w:left="708"/>
        <w:rPr>
          <w:i/>
          <w:sz w:val="22"/>
        </w:rPr>
      </w:pPr>
      <w:r w:rsidRPr="007532AC">
        <w:rPr>
          <w:b/>
          <w:i/>
          <w:sz w:val="22"/>
        </w:rPr>
        <w:lastRenderedPageBreak/>
        <w:t>Artículo 93.-</w:t>
      </w:r>
      <w:r w:rsidRPr="00215458">
        <w:rPr>
          <w:i/>
          <w:sz w:val="22"/>
        </w:rPr>
        <w:t xml:space="preserve"> La tesorería municipal es el órgano encargado de la recaudación de los ingresos municipales y responsable de realizar las erogaciones que haga el ayuntamiento.</w:t>
      </w:r>
    </w:p>
    <w:p w:rsidR="00215458" w:rsidRDefault="00215458" w:rsidP="00215458">
      <w:pPr>
        <w:autoSpaceDE w:val="0"/>
        <w:autoSpaceDN w:val="0"/>
        <w:adjustRightInd w:val="0"/>
        <w:ind w:left="708"/>
        <w:rPr>
          <w:i/>
          <w:sz w:val="22"/>
        </w:rPr>
      </w:pPr>
      <w:r w:rsidRPr="007532AC">
        <w:rPr>
          <w:b/>
          <w:i/>
          <w:sz w:val="22"/>
        </w:rPr>
        <w:t>Artículo 94.-</w:t>
      </w:r>
      <w:r w:rsidRPr="00215458">
        <w:rPr>
          <w:i/>
          <w:sz w:val="22"/>
        </w:rPr>
        <w:t xml:space="preserve">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 </w:t>
      </w:r>
    </w:p>
    <w:p w:rsidR="007532AC" w:rsidRPr="00215458" w:rsidRDefault="007532AC" w:rsidP="00215458">
      <w:pPr>
        <w:autoSpaceDE w:val="0"/>
        <w:autoSpaceDN w:val="0"/>
        <w:adjustRightInd w:val="0"/>
        <w:ind w:left="708"/>
        <w:rPr>
          <w:i/>
          <w:sz w:val="22"/>
        </w:rPr>
      </w:pPr>
    </w:p>
    <w:p w:rsidR="00215458" w:rsidRPr="00215458" w:rsidRDefault="00215458" w:rsidP="00215458">
      <w:pPr>
        <w:autoSpaceDE w:val="0"/>
        <w:autoSpaceDN w:val="0"/>
        <w:adjustRightInd w:val="0"/>
        <w:ind w:left="708"/>
        <w:rPr>
          <w:i/>
          <w:sz w:val="22"/>
        </w:rPr>
      </w:pPr>
      <w:r w:rsidRPr="00215458">
        <w:rPr>
          <w:i/>
          <w:sz w:val="22"/>
        </w:rPr>
        <w:t>“</w:t>
      </w:r>
      <w:r w:rsidRPr="007532AC">
        <w:rPr>
          <w:b/>
          <w:i/>
          <w:sz w:val="22"/>
        </w:rPr>
        <w:t>Artículo 95.-</w:t>
      </w:r>
      <w:r w:rsidRPr="00215458">
        <w:rPr>
          <w:i/>
          <w:sz w:val="22"/>
        </w:rPr>
        <w:t xml:space="preserve"> Son atribuciones del tesorero municipal: </w:t>
      </w:r>
    </w:p>
    <w:p w:rsidR="00215458" w:rsidRPr="00215458" w:rsidRDefault="00215458" w:rsidP="00215458">
      <w:pPr>
        <w:pStyle w:val="Prrafodelista"/>
        <w:numPr>
          <w:ilvl w:val="0"/>
          <w:numId w:val="8"/>
        </w:numPr>
        <w:autoSpaceDE w:val="0"/>
        <w:autoSpaceDN w:val="0"/>
        <w:adjustRightInd w:val="0"/>
        <w:spacing w:after="160"/>
        <w:rPr>
          <w:i/>
          <w:sz w:val="22"/>
        </w:rPr>
      </w:pPr>
      <w:r w:rsidRPr="00215458">
        <w:rPr>
          <w:i/>
          <w:sz w:val="22"/>
        </w:rPr>
        <w:t xml:space="preserve">Administrar la hacienda pública municipal, de conformidad con las disposiciones legales aplicables; (…) </w:t>
      </w:r>
    </w:p>
    <w:p w:rsidR="00215458" w:rsidRPr="00215458" w:rsidRDefault="00215458" w:rsidP="00215458">
      <w:pPr>
        <w:autoSpaceDE w:val="0"/>
        <w:autoSpaceDN w:val="0"/>
        <w:adjustRightInd w:val="0"/>
        <w:ind w:left="1416"/>
        <w:rPr>
          <w:i/>
          <w:sz w:val="22"/>
        </w:rPr>
      </w:pPr>
      <w:r w:rsidRPr="00215458">
        <w:rPr>
          <w:i/>
          <w:sz w:val="22"/>
        </w:rPr>
        <w:t xml:space="preserve">IV. Llevar los registros contables, financieros y administrativos de los ingresos, egresos, e inventarios; </w:t>
      </w:r>
    </w:p>
    <w:p w:rsidR="00215458" w:rsidRPr="00215458" w:rsidRDefault="00215458" w:rsidP="00215458">
      <w:pPr>
        <w:autoSpaceDE w:val="0"/>
        <w:autoSpaceDN w:val="0"/>
        <w:adjustRightInd w:val="0"/>
        <w:ind w:left="1416"/>
        <w:rPr>
          <w:i/>
          <w:sz w:val="22"/>
        </w:rPr>
      </w:pPr>
      <w:r w:rsidRPr="00215458">
        <w:rPr>
          <w:i/>
          <w:sz w:val="22"/>
        </w:rPr>
        <w:t xml:space="preserve">V. Proporcionar oportunamente al ayuntamiento todos los datos o informes que sean necesarios para la formulación del Presupuesto de Egresos Municipales, vigilando que se ajuste a las disposiciones de esta Ley y otros ordenamientos aplicables; (…) </w:t>
      </w:r>
    </w:p>
    <w:p w:rsidR="00215458" w:rsidRPr="00215458" w:rsidRDefault="00215458" w:rsidP="00215458">
      <w:pPr>
        <w:autoSpaceDE w:val="0"/>
        <w:autoSpaceDN w:val="0"/>
        <w:adjustRightInd w:val="0"/>
        <w:ind w:left="1416"/>
        <w:rPr>
          <w:i/>
          <w:sz w:val="22"/>
        </w:rPr>
      </w:pPr>
      <w:r w:rsidRPr="00215458">
        <w:rPr>
          <w:i/>
          <w:sz w:val="22"/>
        </w:rPr>
        <w:t xml:space="preserve">XVI. Glosar oportunamente las cuentas del ayuntamiento; </w:t>
      </w:r>
    </w:p>
    <w:p w:rsidR="00215458" w:rsidRPr="00215458" w:rsidRDefault="00215458" w:rsidP="00215458">
      <w:pPr>
        <w:autoSpaceDE w:val="0"/>
        <w:autoSpaceDN w:val="0"/>
        <w:adjustRightInd w:val="0"/>
        <w:ind w:left="1416"/>
        <w:rPr>
          <w:rFonts w:cs="Arial"/>
          <w:i/>
          <w:sz w:val="22"/>
        </w:rPr>
      </w:pPr>
      <w:r w:rsidRPr="00215458">
        <w:rPr>
          <w:i/>
          <w:sz w:val="22"/>
        </w:rPr>
        <w:t>XVII. Contestar oportunamente los pliegos de observaciones y responsabilidad que haga el Órgano Superior de Fiscalización del Estado de México, así como atender en tiempo y forma las solicitudes de información que éste requiera, informando al Ayuntamiento; (…)” (Sic)</w:t>
      </w:r>
    </w:p>
    <w:p w:rsidR="00A12A54" w:rsidRDefault="00A12A54" w:rsidP="00A12A54">
      <w:pPr>
        <w:autoSpaceDE w:val="0"/>
        <w:autoSpaceDN w:val="0"/>
        <w:adjustRightInd w:val="0"/>
        <w:ind w:firstLine="708"/>
      </w:pPr>
    </w:p>
    <w:p w:rsidR="007532AC" w:rsidRPr="00A12A54" w:rsidRDefault="00A12A54" w:rsidP="00A12A54">
      <w:pPr>
        <w:autoSpaceDE w:val="0"/>
        <w:autoSpaceDN w:val="0"/>
        <w:adjustRightInd w:val="0"/>
        <w:ind w:left="708"/>
        <w:rPr>
          <w:i/>
          <w:sz w:val="22"/>
        </w:rPr>
      </w:pPr>
      <w:r w:rsidRPr="00A12A54">
        <w:rPr>
          <w:b/>
          <w:i/>
          <w:sz w:val="22"/>
        </w:rPr>
        <w:t>Artículo 101.-</w:t>
      </w:r>
      <w:r w:rsidRPr="00A12A54">
        <w:rPr>
          <w:i/>
          <w:sz w:val="22"/>
        </w:rPr>
        <w:t xml:space="preserve"> El proyecto del presupuesto de egresos se integrará básicamente con:</w:t>
      </w:r>
    </w:p>
    <w:p w:rsidR="00A12A54" w:rsidRPr="00A12A54" w:rsidRDefault="00A12A54" w:rsidP="00A12A54">
      <w:pPr>
        <w:autoSpaceDE w:val="0"/>
        <w:autoSpaceDN w:val="0"/>
        <w:adjustRightInd w:val="0"/>
        <w:ind w:left="708"/>
        <w:rPr>
          <w:i/>
          <w:sz w:val="22"/>
        </w:rPr>
      </w:pPr>
      <w:r w:rsidRPr="00A12A54">
        <w:rPr>
          <w:i/>
          <w:sz w:val="22"/>
        </w:rPr>
        <w:t>…</w:t>
      </w:r>
    </w:p>
    <w:p w:rsidR="00A12A54" w:rsidRPr="00A12A54" w:rsidRDefault="00A12A54" w:rsidP="00A12A54">
      <w:pPr>
        <w:autoSpaceDE w:val="0"/>
        <w:autoSpaceDN w:val="0"/>
        <w:adjustRightInd w:val="0"/>
        <w:ind w:left="708"/>
        <w:rPr>
          <w:i/>
          <w:sz w:val="22"/>
        </w:rPr>
      </w:pPr>
      <w:r w:rsidRPr="00A12A54">
        <w:rPr>
          <w:i/>
          <w:sz w:val="22"/>
        </w:rPr>
        <w:t xml:space="preserve">III. </w:t>
      </w:r>
      <w:r w:rsidRPr="00A12A54">
        <w:rPr>
          <w:i/>
          <w:sz w:val="22"/>
          <w:u w:val="single"/>
        </w:rPr>
        <w:t>Situación de la deuda pública, incluyendo el contingente económico de los litigios laborales en los que el ayuntamiento forme parte.</w:t>
      </w:r>
    </w:p>
    <w:p w:rsidR="00A12A54" w:rsidRDefault="00A12A54" w:rsidP="00215458">
      <w:pPr>
        <w:autoSpaceDE w:val="0"/>
        <w:autoSpaceDN w:val="0"/>
        <w:adjustRightInd w:val="0"/>
        <w:rPr>
          <w:szCs w:val="24"/>
        </w:rPr>
      </w:pPr>
    </w:p>
    <w:p w:rsidR="00A12A54" w:rsidRPr="00174B3E" w:rsidRDefault="00A12A54" w:rsidP="00174B3E">
      <w:pPr>
        <w:autoSpaceDE w:val="0"/>
        <w:autoSpaceDN w:val="0"/>
        <w:adjustRightInd w:val="0"/>
        <w:ind w:left="708"/>
        <w:rPr>
          <w:i/>
          <w:sz w:val="22"/>
        </w:rPr>
      </w:pPr>
      <w:r w:rsidRPr="00A12A54">
        <w:rPr>
          <w:b/>
          <w:i/>
          <w:sz w:val="22"/>
        </w:rPr>
        <w:lastRenderedPageBreak/>
        <w:t>Artículo 102.-</w:t>
      </w:r>
      <w:r w:rsidRPr="00A12A54">
        <w:rPr>
          <w:i/>
          <w:sz w:val="22"/>
        </w:rPr>
        <w:t xml:space="preserve"> Los municipios solo podrán contraer obligaciones directas y contingentes derivadas de créditos en los términos que establece la Ley de Deuda Pública Municipal del Estado</w:t>
      </w:r>
    </w:p>
    <w:p w:rsidR="00DD763F" w:rsidRDefault="00DD763F" w:rsidP="00215458">
      <w:pPr>
        <w:autoSpaceDE w:val="0"/>
        <w:autoSpaceDN w:val="0"/>
        <w:adjustRightInd w:val="0"/>
        <w:rPr>
          <w:szCs w:val="24"/>
        </w:rPr>
      </w:pPr>
    </w:p>
    <w:p w:rsidR="00215458" w:rsidRDefault="00215458" w:rsidP="00215458">
      <w:pPr>
        <w:autoSpaceDE w:val="0"/>
        <w:autoSpaceDN w:val="0"/>
        <w:adjustRightInd w:val="0"/>
        <w:rPr>
          <w:szCs w:val="24"/>
        </w:rPr>
      </w:pPr>
      <w:r w:rsidRPr="000C1CD5">
        <w:rPr>
          <w:szCs w:val="24"/>
        </w:rPr>
        <w:t>De lo anterior se advierte que los Ayuntamientos tienen la atribución de administrar libremente su hacienda y controlar la aplicación del presupuesto de egresos aprobado</w:t>
      </w:r>
      <w:r w:rsidR="00A12A54">
        <w:rPr>
          <w:szCs w:val="24"/>
        </w:rPr>
        <w:t xml:space="preserve"> en </w:t>
      </w:r>
      <w:r w:rsidR="00A12A54" w:rsidRPr="00A12A54">
        <w:rPr>
          <w:szCs w:val="24"/>
          <w:u w:val="single"/>
        </w:rPr>
        <w:t>el que se deberá integrar la situación de la deuda pública</w:t>
      </w:r>
      <w:r w:rsidRPr="000C1CD5">
        <w:rPr>
          <w:szCs w:val="24"/>
        </w:rPr>
        <w:t xml:space="preserve"> por dicho cuerpo colegiado, siendo atribución del Tesorero Municipal la de llevar los registros contables, financieros y administrativos de los ingresos, egresos e inventarios.</w:t>
      </w:r>
    </w:p>
    <w:p w:rsidR="00EC2F6A" w:rsidRDefault="00EC2F6A" w:rsidP="00215458">
      <w:pPr>
        <w:autoSpaceDE w:val="0"/>
        <w:autoSpaceDN w:val="0"/>
        <w:adjustRightInd w:val="0"/>
        <w:rPr>
          <w:szCs w:val="24"/>
        </w:rPr>
      </w:pPr>
    </w:p>
    <w:p w:rsidR="00EC2F6A" w:rsidRPr="00EC2F6A" w:rsidRDefault="00EC2F6A" w:rsidP="00215458">
      <w:pPr>
        <w:autoSpaceDE w:val="0"/>
        <w:autoSpaceDN w:val="0"/>
        <w:adjustRightInd w:val="0"/>
        <w:rPr>
          <w:szCs w:val="24"/>
          <w:highlight w:val="yellow"/>
        </w:rPr>
      </w:pPr>
      <w:r w:rsidRPr="00EC2F6A">
        <w:rPr>
          <w:szCs w:val="24"/>
          <w:highlight w:val="yellow"/>
        </w:rPr>
        <w:t xml:space="preserve">Sin que pase por desapercibido por este Instituto que el Sujeto Obligado esta constreñido a informar la deuda pública de manera trimestral </w:t>
      </w:r>
      <w:r w:rsidR="00C71B55">
        <w:rPr>
          <w:szCs w:val="24"/>
          <w:highlight w:val="yellow"/>
        </w:rPr>
        <w:t xml:space="preserve"> al Órgano Superior de Fiscalización </w:t>
      </w:r>
      <w:r w:rsidRPr="00EC2F6A">
        <w:rPr>
          <w:szCs w:val="24"/>
          <w:highlight w:val="yellow"/>
        </w:rPr>
        <w:t xml:space="preserve">en formatos PDF y XLSX considerando lo siguiente; </w:t>
      </w:r>
    </w:p>
    <w:p w:rsidR="00EC2F6A" w:rsidRPr="00EC2F6A" w:rsidRDefault="00EC2F6A" w:rsidP="00EC2F6A">
      <w:pPr>
        <w:autoSpaceDE w:val="0"/>
        <w:autoSpaceDN w:val="0"/>
        <w:adjustRightInd w:val="0"/>
        <w:ind w:left="708"/>
        <w:rPr>
          <w:i/>
          <w:highlight w:val="yellow"/>
        </w:rPr>
      </w:pPr>
      <w:r w:rsidRPr="00EC2F6A">
        <w:rPr>
          <w:i/>
          <w:highlight w:val="yellow"/>
        </w:rPr>
        <w:t xml:space="preserve">1. Conceptos: Se indican los rubros a considerar para integrar el Informe de la Deuda Pública. </w:t>
      </w:r>
    </w:p>
    <w:p w:rsidR="00EC2F6A" w:rsidRPr="00EC2F6A" w:rsidRDefault="00EC2F6A" w:rsidP="00EC2F6A">
      <w:pPr>
        <w:autoSpaceDE w:val="0"/>
        <w:autoSpaceDN w:val="0"/>
        <w:adjustRightInd w:val="0"/>
        <w:ind w:left="708"/>
        <w:rPr>
          <w:i/>
          <w:highlight w:val="yellow"/>
        </w:rPr>
      </w:pPr>
      <w:r w:rsidRPr="00EC2F6A">
        <w:rPr>
          <w:i/>
          <w:highlight w:val="yellow"/>
        </w:rPr>
        <w:t xml:space="preserve">1.1 Monto Contratado: Anotar la cantidad total pactada en el contrato de financiamiento que el acreditante pone a disposición del Ente Público. </w:t>
      </w:r>
    </w:p>
    <w:p w:rsidR="00EC2F6A" w:rsidRPr="00EC2F6A" w:rsidRDefault="00EC2F6A" w:rsidP="00EC2F6A">
      <w:pPr>
        <w:autoSpaceDE w:val="0"/>
        <w:autoSpaceDN w:val="0"/>
        <w:adjustRightInd w:val="0"/>
        <w:ind w:left="708"/>
        <w:rPr>
          <w:i/>
          <w:highlight w:val="yellow"/>
        </w:rPr>
      </w:pPr>
      <w:r w:rsidRPr="00EC2F6A">
        <w:rPr>
          <w:i/>
          <w:highlight w:val="yellow"/>
        </w:rPr>
        <w:t xml:space="preserve">1.2 Fecha de Inicio del Crédito: Anotar la fecha de suscripción de los contratos o convenios correspondientes a las obligaciones de financiamientos contraídas por el Ente Público. </w:t>
      </w:r>
    </w:p>
    <w:p w:rsidR="00EC2F6A" w:rsidRPr="00EC2F6A" w:rsidRDefault="00EC2F6A" w:rsidP="00EC2F6A">
      <w:pPr>
        <w:autoSpaceDE w:val="0"/>
        <w:autoSpaceDN w:val="0"/>
        <w:adjustRightInd w:val="0"/>
        <w:ind w:left="708"/>
        <w:rPr>
          <w:i/>
          <w:highlight w:val="yellow"/>
        </w:rPr>
      </w:pPr>
      <w:r w:rsidRPr="00EC2F6A">
        <w:rPr>
          <w:i/>
          <w:highlight w:val="yellow"/>
        </w:rPr>
        <w:t xml:space="preserve">1.3 Plazo: Anotar el periodo máximo pactado en meses para el pago y/o liquidación del financiamiento. </w:t>
      </w:r>
    </w:p>
    <w:p w:rsidR="00EC2F6A" w:rsidRPr="00EC2F6A" w:rsidRDefault="00EC2F6A" w:rsidP="00EC2F6A">
      <w:pPr>
        <w:autoSpaceDE w:val="0"/>
        <w:autoSpaceDN w:val="0"/>
        <w:adjustRightInd w:val="0"/>
        <w:ind w:left="708"/>
        <w:rPr>
          <w:i/>
          <w:highlight w:val="yellow"/>
        </w:rPr>
      </w:pPr>
      <w:r w:rsidRPr="00EC2F6A">
        <w:rPr>
          <w:i/>
          <w:highlight w:val="yellow"/>
        </w:rPr>
        <w:t xml:space="preserve">1.4 Tasa de Interés del Crédito: Anotar la tasa de interés ordinaria pactada en el contrato de financiamiento. </w:t>
      </w:r>
    </w:p>
    <w:p w:rsidR="00EC2F6A" w:rsidRPr="00EC2F6A" w:rsidRDefault="00EC2F6A" w:rsidP="00EC2F6A">
      <w:pPr>
        <w:autoSpaceDE w:val="0"/>
        <w:autoSpaceDN w:val="0"/>
        <w:adjustRightInd w:val="0"/>
        <w:ind w:left="708"/>
        <w:rPr>
          <w:i/>
          <w:szCs w:val="24"/>
          <w:highlight w:val="yellow"/>
        </w:rPr>
      </w:pPr>
      <w:r w:rsidRPr="00EC2F6A">
        <w:rPr>
          <w:i/>
          <w:highlight w:val="yellow"/>
        </w:rPr>
        <w:t xml:space="preserve">1.5 Tasa de Interés Efectiva: Anotar la tasa de interés real aplicable al financiamiento. En caso que la tasa pactada corresponda a una tasa de referencia más una sobretasa de interés, </w:t>
      </w:r>
      <w:r w:rsidRPr="00EC2F6A">
        <w:rPr>
          <w:i/>
          <w:highlight w:val="yellow"/>
        </w:rPr>
        <w:lastRenderedPageBreak/>
        <w:t>deberá indicarse la tasa de referencia y la sobretasa de interés por separado. Ejemplo (TIIE + %).</w:t>
      </w:r>
      <w:r w:rsidRPr="00EC2F6A">
        <w:rPr>
          <w:i/>
          <w:szCs w:val="24"/>
          <w:highlight w:val="yellow"/>
        </w:rPr>
        <w:t xml:space="preserve"> </w:t>
      </w:r>
    </w:p>
    <w:p w:rsidR="00EC2F6A" w:rsidRPr="00EC2F6A" w:rsidRDefault="00EC2F6A" w:rsidP="00EC2F6A">
      <w:pPr>
        <w:autoSpaceDE w:val="0"/>
        <w:autoSpaceDN w:val="0"/>
        <w:adjustRightInd w:val="0"/>
        <w:ind w:left="708"/>
        <w:rPr>
          <w:i/>
          <w:highlight w:val="yellow"/>
        </w:rPr>
      </w:pPr>
      <w:r w:rsidRPr="00EC2F6A">
        <w:rPr>
          <w:i/>
          <w:highlight w:val="yellow"/>
        </w:rPr>
        <w:t xml:space="preserve">1.6 Fecha de Vencimiento: Indicar la fecha en la que se tiene pactado cubrir en su totalidad el financiamiento. </w:t>
      </w:r>
    </w:p>
    <w:p w:rsidR="00EC2F6A" w:rsidRPr="00EC2F6A" w:rsidRDefault="00EC2F6A" w:rsidP="00EC2F6A">
      <w:pPr>
        <w:autoSpaceDE w:val="0"/>
        <w:autoSpaceDN w:val="0"/>
        <w:adjustRightInd w:val="0"/>
        <w:ind w:left="708"/>
        <w:rPr>
          <w:i/>
          <w:highlight w:val="yellow"/>
        </w:rPr>
      </w:pPr>
      <w:r w:rsidRPr="00EC2F6A">
        <w:rPr>
          <w:i/>
          <w:highlight w:val="yellow"/>
        </w:rPr>
        <w:t xml:space="preserve">1.7 Número de Cuenta del Crédito: Señalar el número completo que fue asignado por la institución bancaria para el control de los créditos. </w:t>
      </w:r>
    </w:p>
    <w:p w:rsidR="00EC2F6A" w:rsidRPr="00EC2F6A" w:rsidRDefault="00EC2F6A" w:rsidP="00EC2F6A">
      <w:pPr>
        <w:autoSpaceDE w:val="0"/>
        <w:autoSpaceDN w:val="0"/>
        <w:adjustRightInd w:val="0"/>
        <w:ind w:left="708"/>
        <w:rPr>
          <w:i/>
          <w:highlight w:val="yellow"/>
        </w:rPr>
      </w:pPr>
      <w:r w:rsidRPr="00EC2F6A">
        <w:rPr>
          <w:i/>
          <w:highlight w:val="yellow"/>
        </w:rPr>
        <w:t xml:space="preserve">1.8 Fuente o Garantía de Pago: Anotar el recurso que se empleó como medio de garantía para soportar el pago del financiamiento. </w:t>
      </w:r>
    </w:p>
    <w:p w:rsidR="00EC2F6A" w:rsidRPr="00EC2F6A" w:rsidRDefault="00EC2F6A" w:rsidP="00EC2F6A">
      <w:pPr>
        <w:autoSpaceDE w:val="0"/>
        <w:autoSpaceDN w:val="0"/>
        <w:adjustRightInd w:val="0"/>
        <w:ind w:left="708"/>
        <w:rPr>
          <w:i/>
          <w:highlight w:val="yellow"/>
        </w:rPr>
      </w:pPr>
      <w:r w:rsidRPr="00EC2F6A">
        <w:rPr>
          <w:i/>
          <w:highlight w:val="yellow"/>
        </w:rPr>
        <w:t xml:space="preserve">1.9 Saldo al Cierre del Trimestre Anterior: Indicar el adeudo de cada uno de los financiamientos que se tienen al cierre del trimestre, en caso de no realizar contrataciones se indicará S/M sin movimientos. </w:t>
      </w:r>
    </w:p>
    <w:p w:rsidR="00EC2F6A" w:rsidRPr="00EC2F6A" w:rsidRDefault="00EC2F6A" w:rsidP="00EC2F6A">
      <w:pPr>
        <w:autoSpaceDE w:val="0"/>
        <w:autoSpaceDN w:val="0"/>
        <w:adjustRightInd w:val="0"/>
        <w:ind w:left="708"/>
        <w:rPr>
          <w:i/>
          <w:highlight w:val="yellow"/>
        </w:rPr>
      </w:pPr>
      <w:r w:rsidRPr="00EC2F6A">
        <w:rPr>
          <w:i/>
          <w:highlight w:val="yellow"/>
        </w:rPr>
        <w:t xml:space="preserve">1.10 Disposiciones Durante el Trimestre: Anotar el importe de las contrataciones de financiamiento correspondientes al trimestre; ya sea nuevos financiamientos adquiridos y disposiciones de financiamientos del trimestre anterior. </w:t>
      </w:r>
    </w:p>
    <w:p w:rsidR="00EC2F6A" w:rsidRPr="00EC2F6A" w:rsidRDefault="00EC2F6A" w:rsidP="00EC2F6A">
      <w:pPr>
        <w:autoSpaceDE w:val="0"/>
        <w:autoSpaceDN w:val="0"/>
        <w:adjustRightInd w:val="0"/>
        <w:ind w:left="708"/>
        <w:rPr>
          <w:i/>
          <w:highlight w:val="yellow"/>
        </w:rPr>
      </w:pPr>
      <w:r w:rsidRPr="00EC2F6A">
        <w:rPr>
          <w:i/>
          <w:highlight w:val="yellow"/>
        </w:rPr>
        <w:t>1.11 Total de Financiamiento Alcanzado al Trimestre a Informar: Representa el resultado de la suma del saldo al cierre del trimestre anterior más las disposiciones durante el trimestre.</w:t>
      </w:r>
    </w:p>
    <w:p w:rsidR="00EC2F6A" w:rsidRPr="00EC2F6A" w:rsidRDefault="00EC2F6A" w:rsidP="00EC2F6A">
      <w:pPr>
        <w:autoSpaceDE w:val="0"/>
        <w:autoSpaceDN w:val="0"/>
        <w:adjustRightInd w:val="0"/>
        <w:ind w:left="708"/>
        <w:rPr>
          <w:i/>
          <w:highlight w:val="yellow"/>
        </w:rPr>
      </w:pPr>
      <w:r w:rsidRPr="00EC2F6A">
        <w:rPr>
          <w:i/>
          <w:highlight w:val="yellow"/>
        </w:rPr>
        <w:t xml:space="preserve"> 1.12 Pago de Intereses del Ejercicio 2025: Anotar el importe de los intereses derivados del financiamiento, convenidos a pagar durante el trimestre. </w:t>
      </w:r>
    </w:p>
    <w:p w:rsidR="00EC2F6A" w:rsidRPr="00EC2F6A" w:rsidRDefault="00EC2F6A" w:rsidP="00EC2F6A">
      <w:pPr>
        <w:autoSpaceDE w:val="0"/>
        <w:autoSpaceDN w:val="0"/>
        <w:adjustRightInd w:val="0"/>
        <w:ind w:left="708"/>
        <w:rPr>
          <w:i/>
          <w:highlight w:val="yellow"/>
        </w:rPr>
      </w:pPr>
      <w:r w:rsidRPr="00EC2F6A">
        <w:rPr>
          <w:i/>
          <w:highlight w:val="yellow"/>
        </w:rPr>
        <w:t>1.13 Pago de Comisiones y Demás Costos Asociados con el Crédito: Anotar el importe convenido a pagar durante el periodo que se informa por dichos conceptos.</w:t>
      </w:r>
    </w:p>
    <w:p w:rsidR="00EC2F6A" w:rsidRPr="00EC2F6A" w:rsidRDefault="00EC2F6A" w:rsidP="00EC2F6A">
      <w:pPr>
        <w:autoSpaceDE w:val="0"/>
        <w:autoSpaceDN w:val="0"/>
        <w:adjustRightInd w:val="0"/>
        <w:ind w:left="708"/>
        <w:rPr>
          <w:i/>
          <w:highlight w:val="yellow"/>
        </w:rPr>
      </w:pPr>
      <w:r w:rsidRPr="00EC2F6A">
        <w:rPr>
          <w:i/>
          <w:highlight w:val="yellow"/>
        </w:rPr>
        <w:t xml:space="preserve"> 1.14 Revaluaciones, Reclasificaciones y Otros Ajustes: Anotar el monto por el cual el saldo de deuda pública sufra cambios en su importe, cuyo aumento o disminución no derive de algún pago de principal, sino de algún cambio económico en su valuación.</w:t>
      </w:r>
    </w:p>
    <w:p w:rsidR="00EC2F6A" w:rsidRPr="00EC2F6A" w:rsidRDefault="00EC2F6A" w:rsidP="00EC2F6A">
      <w:pPr>
        <w:autoSpaceDE w:val="0"/>
        <w:autoSpaceDN w:val="0"/>
        <w:adjustRightInd w:val="0"/>
        <w:ind w:left="708"/>
        <w:rPr>
          <w:i/>
          <w:highlight w:val="yellow"/>
        </w:rPr>
      </w:pPr>
      <w:r w:rsidRPr="00EC2F6A">
        <w:rPr>
          <w:i/>
          <w:highlight w:val="yellow"/>
        </w:rPr>
        <w:lastRenderedPageBreak/>
        <w:t xml:space="preserve"> 1.15 Amortizaciones al Capital en el Trimestre: Anotar el importe de pago de las amortizaciones de capital correspondientes al trimestre. 1.16 Saldo al Cierre del Trimestre: Representa el resultado de la resta del total de financiamiento alcanzado al trimestre a informar menos amortizaciones al capital en el trimestre. 1.17 Cuenta Contable de Registro del Financiamiento: Indicar la cuenta contable a último nivel que permite identificar el registro del financiamiento.</w:t>
      </w:r>
    </w:p>
    <w:p w:rsidR="00EC2F6A" w:rsidRPr="00EC2F6A" w:rsidRDefault="00EC2F6A" w:rsidP="00EC2F6A">
      <w:pPr>
        <w:autoSpaceDE w:val="0"/>
        <w:autoSpaceDN w:val="0"/>
        <w:adjustRightInd w:val="0"/>
        <w:ind w:left="708"/>
        <w:rPr>
          <w:i/>
          <w:highlight w:val="yellow"/>
        </w:rPr>
      </w:pPr>
      <w:r w:rsidRPr="00EC2F6A">
        <w:rPr>
          <w:i/>
          <w:highlight w:val="yellow"/>
        </w:rPr>
        <w:t xml:space="preserve"> 1.18 Cuenta Presupuestal de los Intereses: Indicar la cuenta a último nivel que permite identificar el registro presupuestal del pago de intereses. </w:t>
      </w:r>
    </w:p>
    <w:p w:rsidR="00EC2F6A" w:rsidRPr="00EC2F6A" w:rsidRDefault="00EC2F6A" w:rsidP="00EC2F6A">
      <w:pPr>
        <w:autoSpaceDE w:val="0"/>
        <w:autoSpaceDN w:val="0"/>
        <w:adjustRightInd w:val="0"/>
        <w:ind w:left="708"/>
        <w:rPr>
          <w:i/>
          <w:highlight w:val="yellow"/>
        </w:rPr>
      </w:pPr>
      <w:r w:rsidRPr="00EC2F6A">
        <w:rPr>
          <w:i/>
          <w:highlight w:val="yellow"/>
        </w:rPr>
        <w:t xml:space="preserve">1.19 ¿Se Encuentran Registrados sus Financiamientos en el Registro de Deuda Pública del Gobierno del Estado de México?: Indicar si el financiamiento citado en el formato se encuentra inscrito o no en el Registro de Deuda Pública del Gobierno del Estado de México. </w:t>
      </w:r>
    </w:p>
    <w:p w:rsidR="00EC2F6A" w:rsidRPr="00EC2F6A" w:rsidRDefault="00EC2F6A" w:rsidP="00EC2F6A">
      <w:pPr>
        <w:autoSpaceDE w:val="0"/>
        <w:autoSpaceDN w:val="0"/>
        <w:adjustRightInd w:val="0"/>
        <w:ind w:left="708"/>
        <w:rPr>
          <w:rFonts w:cs="Arial"/>
          <w:i/>
          <w:szCs w:val="24"/>
        </w:rPr>
      </w:pPr>
      <w:r w:rsidRPr="00EC2F6A">
        <w:rPr>
          <w:i/>
          <w:highlight w:val="yellow"/>
        </w:rPr>
        <w:t>1.20 Importe Informado en el Registro Público Único: Indicar el importe al cierre del trimestre que refleja el Registro Público Único. 2. Financiamientos de Ejercicios Anteriores: Reflejar todos y cada uno de los financiamientos que se obtuvieron en ejercicios anteriores, anotando el nombre de la institución financiera con la que se contrató el crédito, ya sea a corto o largo plazo. 3. Financiamientos Adquiridos: En caso de que la entidad haya adquirido financiamientos nuevos estos deben detallarse en este apartado por separado, anotando el nombre de la institución financiera con la que se contrató el crédito, ya sea a corto o largo plazo.</w:t>
      </w:r>
    </w:p>
    <w:p w:rsidR="00215458" w:rsidRDefault="00215458" w:rsidP="00215458">
      <w:pPr>
        <w:autoSpaceDE w:val="0"/>
        <w:autoSpaceDN w:val="0"/>
        <w:adjustRightInd w:val="0"/>
        <w:rPr>
          <w:rFonts w:cs="Arial"/>
          <w:szCs w:val="24"/>
        </w:rPr>
      </w:pPr>
    </w:p>
    <w:p w:rsidR="00EC2F6A" w:rsidRDefault="00EC2F6A" w:rsidP="00215458">
      <w:pPr>
        <w:autoSpaceDE w:val="0"/>
        <w:autoSpaceDN w:val="0"/>
        <w:adjustRightInd w:val="0"/>
        <w:rPr>
          <w:rFonts w:cs="Arial"/>
          <w:szCs w:val="24"/>
        </w:rPr>
      </w:pPr>
    </w:p>
    <w:p w:rsidR="00EC2F6A" w:rsidRDefault="00EC2F6A" w:rsidP="00EC2F6A">
      <w:pPr>
        <w:autoSpaceDE w:val="0"/>
        <w:autoSpaceDN w:val="0"/>
        <w:adjustRightInd w:val="0"/>
        <w:jc w:val="center"/>
        <w:rPr>
          <w:rFonts w:cs="Arial"/>
          <w:szCs w:val="24"/>
        </w:rPr>
      </w:pPr>
      <w:r w:rsidRPr="00EC2F6A">
        <w:rPr>
          <w:rFonts w:cs="Arial"/>
          <w:noProof/>
          <w:szCs w:val="24"/>
          <w:lang w:val="es-MX"/>
        </w:rPr>
        <w:lastRenderedPageBreak/>
        <w:drawing>
          <wp:inline distT="0" distB="0" distL="0" distR="0" wp14:anchorId="20CA58D9" wp14:editId="0D4ACD00">
            <wp:extent cx="5939790" cy="2764790"/>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39790" cy="2764790"/>
                    </a:xfrm>
                    <a:prstGeom prst="rect">
                      <a:avLst/>
                    </a:prstGeom>
                  </pic:spPr>
                </pic:pic>
              </a:graphicData>
            </a:graphic>
          </wp:inline>
        </w:drawing>
      </w:r>
    </w:p>
    <w:p w:rsidR="00215458" w:rsidRDefault="00215458" w:rsidP="00215458">
      <w:pPr>
        <w:autoSpaceDE w:val="0"/>
        <w:autoSpaceDN w:val="0"/>
        <w:adjustRightInd w:val="0"/>
        <w:rPr>
          <w:rFonts w:cs="Arial"/>
          <w:szCs w:val="24"/>
        </w:rPr>
      </w:pPr>
      <w:r w:rsidRPr="00C82088">
        <w:rPr>
          <w:rFonts w:cs="Arial"/>
          <w:szCs w:val="24"/>
        </w:rPr>
        <w:t xml:space="preserve">Así las cosas, </w:t>
      </w:r>
      <w:r>
        <w:rPr>
          <w:rFonts w:cs="Arial"/>
          <w:szCs w:val="24"/>
        </w:rPr>
        <w:t xml:space="preserve">se debe </w:t>
      </w:r>
      <w:r w:rsidRPr="00C82088">
        <w:rPr>
          <w:rFonts w:cs="Arial"/>
          <w:szCs w:val="24"/>
        </w:rPr>
        <w:t>mencionar que la información requerida estriba en el interés general y el alcance público, lo anterior con fundamento en el artículo 24, fra</w:t>
      </w:r>
      <w:r w:rsidR="00DD763F">
        <w:rPr>
          <w:rFonts w:cs="Arial"/>
          <w:szCs w:val="24"/>
        </w:rPr>
        <w:t>cción XII, 92, fracciones XXV y</w:t>
      </w:r>
      <w:r w:rsidR="00174B3E">
        <w:rPr>
          <w:rFonts w:cs="Arial"/>
          <w:szCs w:val="24"/>
        </w:rPr>
        <w:t xml:space="preserve"> XXXV </w:t>
      </w:r>
      <w:r w:rsidRPr="00C82088">
        <w:rPr>
          <w:rFonts w:cs="Arial"/>
          <w:szCs w:val="24"/>
        </w:rPr>
        <w:t>de la Ley de Transparencia y Acceso a la Información Pública del Estado de México y Municipios,</w:t>
      </w:r>
      <w:r w:rsidR="00174B3E">
        <w:rPr>
          <w:rFonts w:cs="Arial"/>
          <w:szCs w:val="24"/>
        </w:rPr>
        <w:t xml:space="preserve"> en el que se advierte que los i</w:t>
      </w:r>
      <w:r w:rsidR="00174B3E" w:rsidRPr="00174B3E">
        <w:rPr>
          <w:rFonts w:cs="Arial"/>
          <w:iCs/>
          <w:szCs w:val="24"/>
        </w:rPr>
        <w:t>nformes de avances programáticos o presupuestales, balance</w:t>
      </w:r>
      <w:r w:rsidR="00174B3E">
        <w:rPr>
          <w:rFonts w:cs="Arial"/>
          <w:iCs/>
          <w:szCs w:val="24"/>
        </w:rPr>
        <w:t xml:space="preserve">s generales y estado financiero es información relativa a obligaciones de transparencia comunes, conforme lo siguiente; </w:t>
      </w:r>
      <w:r w:rsidRPr="00C82088">
        <w:rPr>
          <w:rFonts w:cs="Arial"/>
          <w:szCs w:val="24"/>
        </w:rPr>
        <w:t>:</w:t>
      </w:r>
    </w:p>
    <w:p w:rsidR="00215458" w:rsidRDefault="00215458" w:rsidP="00215458">
      <w:pPr>
        <w:autoSpaceDE w:val="0"/>
        <w:autoSpaceDN w:val="0"/>
        <w:adjustRightInd w:val="0"/>
        <w:ind w:left="708"/>
        <w:rPr>
          <w:rFonts w:cs="Arial"/>
          <w:i/>
          <w:iCs/>
          <w:sz w:val="22"/>
        </w:rPr>
      </w:pPr>
      <w:r w:rsidRPr="00215458">
        <w:rPr>
          <w:rFonts w:cs="Arial"/>
          <w:i/>
          <w:iCs/>
          <w:sz w:val="22"/>
        </w:rPr>
        <w:t>“</w:t>
      </w:r>
      <w:r w:rsidRPr="00A12A54">
        <w:rPr>
          <w:rFonts w:cs="Arial"/>
          <w:b/>
          <w:i/>
          <w:iCs/>
          <w:sz w:val="22"/>
        </w:rPr>
        <w:t>Artículo 24</w:t>
      </w:r>
      <w:r w:rsidRPr="00215458">
        <w:rPr>
          <w:rFonts w:cs="Arial"/>
          <w:i/>
          <w:iCs/>
          <w:sz w:val="22"/>
        </w:rPr>
        <w:t xml:space="preserve">. Para el cumplimiento de los objetivos de esta Ley, los sujetos obligados deberán cumplir con las siguientes obligaciones, según corresponda, de acuerdo a su naturaleza: </w:t>
      </w:r>
    </w:p>
    <w:p w:rsidR="00A12A54" w:rsidRPr="00215458" w:rsidRDefault="00A12A54" w:rsidP="00215458">
      <w:pPr>
        <w:autoSpaceDE w:val="0"/>
        <w:autoSpaceDN w:val="0"/>
        <w:adjustRightInd w:val="0"/>
        <w:ind w:left="708"/>
        <w:rPr>
          <w:rFonts w:cs="Arial"/>
          <w:i/>
          <w:iCs/>
          <w:sz w:val="22"/>
        </w:rPr>
      </w:pPr>
      <w:r>
        <w:rPr>
          <w:rFonts w:cs="Arial"/>
          <w:i/>
          <w:iCs/>
          <w:sz w:val="22"/>
        </w:rPr>
        <w:t>….</w:t>
      </w:r>
    </w:p>
    <w:p w:rsidR="00215458" w:rsidRDefault="00215458" w:rsidP="00215458">
      <w:pPr>
        <w:autoSpaceDE w:val="0"/>
        <w:autoSpaceDN w:val="0"/>
        <w:adjustRightInd w:val="0"/>
        <w:ind w:left="708"/>
        <w:rPr>
          <w:rFonts w:cs="Arial"/>
          <w:i/>
          <w:iCs/>
          <w:sz w:val="22"/>
        </w:rPr>
      </w:pPr>
      <w:r w:rsidRPr="00215458">
        <w:rPr>
          <w:rFonts w:cs="Arial"/>
          <w:i/>
          <w:iCs/>
          <w:sz w:val="22"/>
        </w:rPr>
        <w:t xml:space="preserve">XII. Publicar y mantener actualizada la información relativa a las obligaciones generales de transparencia previstas en la presente Ley o determinadas así por el Instituto, y en general aquella que sea de interés público; </w:t>
      </w:r>
    </w:p>
    <w:p w:rsidR="00A12A54" w:rsidRPr="00215458" w:rsidRDefault="00A12A54" w:rsidP="00215458">
      <w:pPr>
        <w:autoSpaceDE w:val="0"/>
        <w:autoSpaceDN w:val="0"/>
        <w:adjustRightInd w:val="0"/>
        <w:ind w:left="708"/>
        <w:rPr>
          <w:rFonts w:cs="Arial"/>
          <w:i/>
          <w:iCs/>
          <w:sz w:val="22"/>
        </w:rPr>
      </w:pPr>
    </w:p>
    <w:p w:rsidR="00215458" w:rsidRPr="00215458" w:rsidRDefault="00215458" w:rsidP="00215458">
      <w:pPr>
        <w:autoSpaceDE w:val="0"/>
        <w:autoSpaceDN w:val="0"/>
        <w:adjustRightInd w:val="0"/>
        <w:ind w:left="708"/>
        <w:rPr>
          <w:rFonts w:cs="Arial"/>
          <w:i/>
          <w:iCs/>
          <w:sz w:val="22"/>
        </w:rPr>
      </w:pPr>
      <w:r w:rsidRPr="00A12A54">
        <w:rPr>
          <w:rFonts w:cs="Arial"/>
          <w:b/>
          <w:i/>
          <w:iCs/>
          <w:sz w:val="22"/>
        </w:rPr>
        <w:t>Artículo 92.</w:t>
      </w:r>
      <w:r w:rsidRPr="00215458">
        <w:rPr>
          <w:rFonts w:cs="Arial"/>
          <w:i/>
          <w:iCs/>
          <w:sz w:val="22"/>
        </w:rPr>
        <w:t xml:space="preserve"> Los sujetos obligados deberán poner a disposición del público de manera permanente y actualizada de forma sencilla, precisa y entendible, en los respectivos medios electrónicos, de </w:t>
      </w:r>
      <w:r w:rsidRPr="00215458">
        <w:rPr>
          <w:rFonts w:cs="Arial"/>
          <w:i/>
          <w:iCs/>
          <w:sz w:val="22"/>
        </w:rPr>
        <w:lastRenderedPageBreak/>
        <w:t xml:space="preserve">acuerdo con sus facultades, atribuciones, funciones u objeto social, según corresponda, la información, por lo menos, de los temas, documentos y políticas que a continuación se señalan: </w:t>
      </w:r>
    </w:p>
    <w:p w:rsidR="00215458" w:rsidRPr="00215458" w:rsidRDefault="00215458" w:rsidP="00215458">
      <w:pPr>
        <w:autoSpaceDE w:val="0"/>
        <w:autoSpaceDN w:val="0"/>
        <w:adjustRightInd w:val="0"/>
        <w:ind w:left="708"/>
        <w:rPr>
          <w:rFonts w:cs="Arial"/>
          <w:i/>
          <w:iCs/>
          <w:sz w:val="22"/>
        </w:rPr>
      </w:pPr>
      <w:r w:rsidRPr="00215458">
        <w:rPr>
          <w:rFonts w:cs="Arial"/>
          <w:i/>
          <w:iCs/>
          <w:sz w:val="22"/>
        </w:rPr>
        <w:t xml:space="preserve">(…) </w:t>
      </w:r>
    </w:p>
    <w:p w:rsidR="00215458" w:rsidRDefault="00215458" w:rsidP="00215458">
      <w:pPr>
        <w:autoSpaceDE w:val="0"/>
        <w:autoSpaceDN w:val="0"/>
        <w:adjustRightInd w:val="0"/>
        <w:ind w:left="708"/>
        <w:rPr>
          <w:rFonts w:cs="Arial"/>
          <w:i/>
          <w:iCs/>
          <w:sz w:val="22"/>
        </w:rPr>
      </w:pPr>
      <w:r w:rsidRPr="00215458">
        <w:rPr>
          <w:rFonts w:cs="Arial"/>
          <w:i/>
          <w:iCs/>
          <w:sz w:val="22"/>
        </w:rPr>
        <w:t xml:space="preserve">XXV. La información financiera sobre el presupuesto asignado, así como los informes del ejercicio trimestral del gasto, en términos de la Ley General de Contabilidad Gubernamental y demás disposiciones jurídicas aplicables; </w:t>
      </w:r>
    </w:p>
    <w:p w:rsidR="00A12A54" w:rsidRPr="00215458" w:rsidRDefault="00A12A54" w:rsidP="00215458">
      <w:pPr>
        <w:autoSpaceDE w:val="0"/>
        <w:autoSpaceDN w:val="0"/>
        <w:adjustRightInd w:val="0"/>
        <w:ind w:left="708"/>
        <w:rPr>
          <w:rFonts w:cs="Arial"/>
          <w:i/>
          <w:iCs/>
          <w:sz w:val="22"/>
        </w:rPr>
      </w:pPr>
    </w:p>
    <w:p w:rsidR="00215458" w:rsidRDefault="00215458" w:rsidP="00215458">
      <w:pPr>
        <w:autoSpaceDE w:val="0"/>
        <w:autoSpaceDN w:val="0"/>
        <w:adjustRightInd w:val="0"/>
        <w:ind w:left="708"/>
        <w:rPr>
          <w:rFonts w:cs="Arial"/>
          <w:i/>
          <w:iCs/>
          <w:sz w:val="22"/>
        </w:rPr>
      </w:pPr>
      <w:r w:rsidRPr="00215458">
        <w:rPr>
          <w:rFonts w:cs="Arial"/>
          <w:i/>
          <w:iCs/>
          <w:sz w:val="22"/>
        </w:rPr>
        <w:t xml:space="preserve">XXXV. Informes de avances programáticos o presupuestales, balances generales y estado financiero; </w:t>
      </w:r>
    </w:p>
    <w:p w:rsidR="00215458" w:rsidRDefault="00215458" w:rsidP="00215458">
      <w:pPr>
        <w:autoSpaceDE w:val="0"/>
        <w:autoSpaceDN w:val="0"/>
        <w:adjustRightInd w:val="0"/>
        <w:rPr>
          <w:szCs w:val="24"/>
        </w:rPr>
      </w:pPr>
    </w:p>
    <w:p w:rsidR="0086486C" w:rsidRDefault="0086486C" w:rsidP="0086486C">
      <w:pPr>
        <w:autoSpaceDE w:val="0"/>
        <w:autoSpaceDN w:val="0"/>
        <w:adjustRightInd w:val="0"/>
        <w:rPr>
          <w:szCs w:val="24"/>
        </w:rPr>
      </w:pPr>
      <w:r>
        <w:rPr>
          <w:szCs w:val="24"/>
        </w:rPr>
        <w:t>De lo anterior conforme los artículos 2, 4, 22,</w:t>
      </w:r>
      <w:r w:rsidR="003305DB">
        <w:rPr>
          <w:szCs w:val="24"/>
        </w:rPr>
        <w:t xml:space="preserve"> 23</w:t>
      </w:r>
      <w:r>
        <w:rPr>
          <w:szCs w:val="24"/>
        </w:rPr>
        <w:t xml:space="preserve"> 24 y 26 de la Ley de Deuda Pública del Estado de México </w:t>
      </w:r>
      <w:r w:rsidR="003305DB">
        <w:rPr>
          <w:szCs w:val="24"/>
        </w:rPr>
        <w:t>los Municipios pueden contraer deuda pública la cual s</w:t>
      </w:r>
      <w:r w:rsidR="003305DB" w:rsidRPr="003305DB">
        <w:rPr>
          <w:szCs w:val="24"/>
        </w:rPr>
        <w:t>e forma por los empréstitos que contraten los Municipios y los créditos a cargo de los Organismos Descentralizados Municipales, las Empresas de Participación Municipal mayoritaria y sus respectivos fideicomisos</w:t>
      </w:r>
      <w:r w:rsidR="003305DB">
        <w:rPr>
          <w:szCs w:val="24"/>
        </w:rPr>
        <w:t>.</w:t>
      </w:r>
    </w:p>
    <w:p w:rsidR="003305DB" w:rsidRDefault="003305DB" w:rsidP="0086486C">
      <w:pPr>
        <w:autoSpaceDE w:val="0"/>
        <w:autoSpaceDN w:val="0"/>
        <w:adjustRightInd w:val="0"/>
        <w:rPr>
          <w:szCs w:val="24"/>
        </w:rPr>
      </w:pPr>
    </w:p>
    <w:p w:rsidR="001107D9" w:rsidRPr="003305DB" w:rsidRDefault="003305DB" w:rsidP="0086486C">
      <w:pPr>
        <w:autoSpaceDE w:val="0"/>
        <w:autoSpaceDN w:val="0"/>
        <w:adjustRightInd w:val="0"/>
        <w:rPr>
          <w:szCs w:val="24"/>
        </w:rPr>
      </w:pPr>
      <w:r>
        <w:rPr>
          <w:szCs w:val="24"/>
        </w:rPr>
        <w:t xml:space="preserve">Entonces </w:t>
      </w:r>
      <w:r w:rsidRPr="003305DB">
        <w:rPr>
          <w:szCs w:val="24"/>
        </w:rPr>
        <w:t>la contratación de empréstitos o créditos, se realizará con la autorización de la Legislatura, previa aprobación del Ejecutivo del Estado, a través de la Secretaría de Finanzas</w:t>
      </w:r>
      <w:r w:rsidR="001107D9">
        <w:rPr>
          <w:szCs w:val="24"/>
        </w:rPr>
        <w:t xml:space="preserve"> los cuales </w:t>
      </w:r>
      <w:r w:rsidR="001107D9" w:rsidRPr="001107D9">
        <w:rPr>
          <w:szCs w:val="24"/>
          <w:u w:val="single"/>
        </w:rPr>
        <w:t>estarán incluidos en el Programa financiero Municipal</w:t>
      </w:r>
      <w:r w:rsidR="001107D9">
        <w:rPr>
          <w:szCs w:val="24"/>
        </w:rPr>
        <w:t xml:space="preserve"> teniendo como obligación de informar en su caso a la Secretaria de </w:t>
      </w:r>
      <w:r w:rsidR="001107D9" w:rsidRPr="001107D9">
        <w:rPr>
          <w:szCs w:val="24"/>
        </w:rPr>
        <w:t>Finanzas</w:t>
      </w:r>
      <w:r w:rsidR="001107D9">
        <w:rPr>
          <w:szCs w:val="24"/>
        </w:rPr>
        <w:t xml:space="preserve"> </w:t>
      </w:r>
      <w:r w:rsidR="001107D9" w:rsidRPr="001107D9">
        <w:rPr>
          <w:szCs w:val="24"/>
        </w:rPr>
        <w:t>trimestralmente los datos de todos los empréstitos y créditos contratados, así como de los movimientos realizados</w:t>
      </w:r>
      <w:r w:rsidR="001107D9">
        <w:rPr>
          <w:szCs w:val="24"/>
        </w:rPr>
        <w:t xml:space="preserve">, conforme lo siguiente; </w:t>
      </w:r>
    </w:p>
    <w:p w:rsidR="0086486C" w:rsidRPr="0086486C" w:rsidRDefault="0086486C" w:rsidP="0086486C">
      <w:pPr>
        <w:autoSpaceDE w:val="0"/>
        <w:autoSpaceDN w:val="0"/>
        <w:adjustRightInd w:val="0"/>
        <w:ind w:left="708"/>
        <w:rPr>
          <w:i/>
          <w:sz w:val="22"/>
        </w:rPr>
      </w:pPr>
      <w:r w:rsidRPr="0086486C">
        <w:rPr>
          <w:b/>
          <w:i/>
          <w:sz w:val="22"/>
        </w:rPr>
        <w:t>Artículo 2.-</w:t>
      </w:r>
      <w:r w:rsidRPr="0086486C">
        <w:rPr>
          <w:i/>
          <w:sz w:val="22"/>
        </w:rPr>
        <w:t xml:space="preserve"> La Deuda Pública está constituida por las obligaciones directas y contingentes derivadas de empréstitos o créditos a cargo de las siguientes Entidades públicas:</w:t>
      </w:r>
    </w:p>
    <w:p w:rsidR="0086486C" w:rsidRPr="0086486C" w:rsidRDefault="0086486C" w:rsidP="0086486C">
      <w:pPr>
        <w:autoSpaceDE w:val="0"/>
        <w:autoSpaceDN w:val="0"/>
        <w:adjustRightInd w:val="0"/>
        <w:ind w:left="708"/>
        <w:rPr>
          <w:i/>
          <w:sz w:val="22"/>
        </w:rPr>
      </w:pPr>
      <w:r w:rsidRPr="0086486C">
        <w:rPr>
          <w:i/>
          <w:sz w:val="22"/>
        </w:rPr>
        <w:t>..</w:t>
      </w:r>
    </w:p>
    <w:p w:rsidR="0086486C" w:rsidRDefault="0086486C" w:rsidP="0086486C">
      <w:pPr>
        <w:autoSpaceDE w:val="0"/>
        <w:autoSpaceDN w:val="0"/>
        <w:adjustRightInd w:val="0"/>
        <w:ind w:left="708"/>
        <w:rPr>
          <w:i/>
          <w:sz w:val="22"/>
        </w:rPr>
      </w:pPr>
      <w:r w:rsidRPr="0086486C">
        <w:rPr>
          <w:i/>
          <w:sz w:val="22"/>
        </w:rPr>
        <w:lastRenderedPageBreak/>
        <w:t>II. Los Municipios</w:t>
      </w:r>
    </w:p>
    <w:p w:rsidR="0086486C" w:rsidRPr="0086486C" w:rsidRDefault="0086486C" w:rsidP="0086486C">
      <w:pPr>
        <w:autoSpaceDE w:val="0"/>
        <w:autoSpaceDN w:val="0"/>
        <w:adjustRightInd w:val="0"/>
        <w:ind w:left="708"/>
        <w:rPr>
          <w:i/>
          <w:sz w:val="22"/>
        </w:rPr>
      </w:pPr>
    </w:p>
    <w:p w:rsidR="0086486C" w:rsidRPr="0086486C" w:rsidRDefault="0086486C" w:rsidP="0086486C">
      <w:pPr>
        <w:autoSpaceDE w:val="0"/>
        <w:autoSpaceDN w:val="0"/>
        <w:adjustRightInd w:val="0"/>
        <w:ind w:left="708"/>
        <w:rPr>
          <w:i/>
          <w:sz w:val="22"/>
        </w:rPr>
      </w:pPr>
      <w:r w:rsidRPr="0086486C">
        <w:rPr>
          <w:b/>
          <w:i/>
          <w:sz w:val="22"/>
        </w:rPr>
        <w:t>Artículo 4</w:t>
      </w:r>
      <w:r w:rsidRPr="0086486C">
        <w:rPr>
          <w:i/>
          <w:sz w:val="22"/>
        </w:rPr>
        <w:t>.- La Deuda Pública Municipal, se forma por los empréstitos que contraten los Municipios y los créditos a cargo de los Organismos Descentralizados Municipales, las Empresas de Participación Municipal mayoritaria y sus respectivos fideicomisos.</w:t>
      </w:r>
    </w:p>
    <w:p w:rsidR="0086486C" w:rsidRDefault="0086486C" w:rsidP="0086486C">
      <w:pPr>
        <w:autoSpaceDE w:val="0"/>
        <w:autoSpaceDN w:val="0"/>
        <w:adjustRightInd w:val="0"/>
        <w:ind w:left="708"/>
      </w:pPr>
    </w:p>
    <w:p w:rsidR="0086486C" w:rsidRDefault="0086486C" w:rsidP="0086486C">
      <w:pPr>
        <w:autoSpaceDE w:val="0"/>
        <w:autoSpaceDN w:val="0"/>
        <w:adjustRightInd w:val="0"/>
        <w:ind w:left="708"/>
        <w:rPr>
          <w:i/>
          <w:sz w:val="22"/>
        </w:rPr>
      </w:pPr>
      <w:r w:rsidRPr="0086486C">
        <w:rPr>
          <w:b/>
          <w:i/>
          <w:sz w:val="22"/>
        </w:rPr>
        <w:t>Artículo 22.-</w:t>
      </w:r>
      <w:r w:rsidRPr="0086486C">
        <w:rPr>
          <w:i/>
          <w:sz w:val="22"/>
        </w:rPr>
        <w:t xml:space="preserve"> El Estado y los Municipios en cumplimiento de lo prevenido por la fracción VIII del artículo 117 de la Constitución Federal, sólo podrán emitir bonos y </w:t>
      </w:r>
      <w:r w:rsidRPr="0086486C">
        <w:rPr>
          <w:i/>
          <w:sz w:val="22"/>
          <w:u w:val="single"/>
        </w:rPr>
        <w:t>otros títulos de deuda, pagaderos en moneda nacional y dentro del territorio de la República, previa autorización de la Legislatura del Estado.</w:t>
      </w:r>
      <w:r w:rsidRPr="0086486C">
        <w:rPr>
          <w:i/>
          <w:sz w:val="22"/>
        </w:rPr>
        <w:t xml:space="preserve"> Tanto en el acta de emisión, como en los títulos, deberán citarse los datos fundamentales de la autorización, así como la prohibición de su venta a extranjeros sean estos Gobiernos, Entidades Gubernamentales, Sociedades particulares y a Organismos Internacionales. Los documentos no tendrán validez, si no se consignan dichos datos.</w:t>
      </w:r>
    </w:p>
    <w:p w:rsidR="003305DB" w:rsidRDefault="003305DB" w:rsidP="0086486C">
      <w:pPr>
        <w:autoSpaceDE w:val="0"/>
        <w:autoSpaceDN w:val="0"/>
        <w:adjustRightInd w:val="0"/>
        <w:ind w:left="708"/>
        <w:rPr>
          <w:i/>
          <w:sz w:val="22"/>
        </w:rPr>
      </w:pPr>
    </w:p>
    <w:p w:rsidR="0086486C" w:rsidRPr="003305DB" w:rsidRDefault="003305DB" w:rsidP="0086486C">
      <w:pPr>
        <w:autoSpaceDE w:val="0"/>
        <w:autoSpaceDN w:val="0"/>
        <w:adjustRightInd w:val="0"/>
        <w:ind w:left="708"/>
        <w:rPr>
          <w:i/>
          <w:sz w:val="22"/>
        </w:rPr>
      </w:pPr>
      <w:r w:rsidRPr="003305DB">
        <w:rPr>
          <w:b/>
          <w:i/>
          <w:sz w:val="22"/>
        </w:rPr>
        <w:t>Artículo 23</w:t>
      </w:r>
      <w:r w:rsidRPr="003305DB">
        <w:rPr>
          <w:i/>
          <w:sz w:val="22"/>
        </w:rPr>
        <w:t>.- Cuando los Municipios, sus Organismos Descentralizados, Empresas de Participación Mayoritaria y sus fideicomisos requieran la garantía del Estado, la contratación de empréstitos o créditos, se realizará con la autorización de la Legislatura, previa aprobación del Ejecutivo del Estado, a través de la Secretaría de Finanzas. En el caso de que el Estado otorgue el empréstito, la contratación se realizará con la propia dependencia indicada.</w:t>
      </w:r>
    </w:p>
    <w:p w:rsidR="003305DB" w:rsidRPr="0086486C" w:rsidRDefault="003305DB" w:rsidP="0086486C">
      <w:pPr>
        <w:autoSpaceDE w:val="0"/>
        <w:autoSpaceDN w:val="0"/>
        <w:adjustRightInd w:val="0"/>
        <w:ind w:left="708"/>
        <w:rPr>
          <w:i/>
          <w:sz w:val="22"/>
        </w:rPr>
      </w:pPr>
    </w:p>
    <w:p w:rsidR="0086486C" w:rsidRPr="004E453C" w:rsidRDefault="0086486C" w:rsidP="004E453C">
      <w:pPr>
        <w:autoSpaceDE w:val="0"/>
        <w:autoSpaceDN w:val="0"/>
        <w:adjustRightInd w:val="0"/>
        <w:ind w:left="708"/>
        <w:rPr>
          <w:i/>
          <w:sz w:val="22"/>
        </w:rPr>
      </w:pPr>
      <w:r w:rsidRPr="0086486C">
        <w:rPr>
          <w:b/>
          <w:i/>
          <w:sz w:val="22"/>
        </w:rPr>
        <w:t>Artículo 24.-</w:t>
      </w:r>
      <w:r w:rsidRPr="0086486C">
        <w:rPr>
          <w:i/>
          <w:sz w:val="22"/>
        </w:rPr>
        <w:t xml:space="preserve"> Los empréstitos o créditos que contraten los Municipios, sus Organismos Descentralizados, Empresas de participación Municipal mayoritaria, y sus respectivos fideicomisos para el caso del artículo anterior </w:t>
      </w:r>
      <w:r w:rsidRPr="001107D9">
        <w:rPr>
          <w:i/>
          <w:sz w:val="22"/>
          <w:u w:val="single"/>
        </w:rPr>
        <w:t>estarán incluidos en el Programa financiero Municipal</w:t>
      </w:r>
    </w:p>
    <w:p w:rsidR="0086486C" w:rsidRPr="0086486C" w:rsidRDefault="0086486C" w:rsidP="0086486C">
      <w:pPr>
        <w:autoSpaceDE w:val="0"/>
        <w:autoSpaceDN w:val="0"/>
        <w:adjustRightInd w:val="0"/>
        <w:ind w:left="708"/>
        <w:rPr>
          <w:i/>
          <w:sz w:val="22"/>
        </w:rPr>
      </w:pPr>
      <w:r w:rsidRPr="0086486C">
        <w:rPr>
          <w:b/>
          <w:i/>
          <w:sz w:val="22"/>
        </w:rPr>
        <w:t>Artículo 26</w:t>
      </w:r>
      <w:r w:rsidRPr="0086486C">
        <w:rPr>
          <w:i/>
          <w:sz w:val="22"/>
        </w:rPr>
        <w:t>.- Las Entidades a que se refiere esta Ley tendrán las siguientes obligaciones:</w:t>
      </w:r>
    </w:p>
    <w:p w:rsidR="0086486C" w:rsidRPr="0086486C" w:rsidRDefault="0086486C" w:rsidP="0086486C">
      <w:pPr>
        <w:pStyle w:val="Prrafodelista"/>
        <w:numPr>
          <w:ilvl w:val="0"/>
          <w:numId w:val="12"/>
        </w:numPr>
        <w:autoSpaceDE w:val="0"/>
        <w:autoSpaceDN w:val="0"/>
        <w:adjustRightInd w:val="0"/>
        <w:rPr>
          <w:i/>
          <w:sz w:val="22"/>
        </w:rPr>
      </w:pPr>
      <w:r w:rsidRPr="0086486C">
        <w:rPr>
          <w:i/>
          <w:sz w:val="22"/>
        </w:rPr>
        <w:t xml:space="preserve">Llevar registros de los empréstitos y créditos que contraten, conforme lo que disponga la Secretaría de Finanzas. </w:t>
      </w:r>
    </w:p>
    <w:p w:rsidR="0086486C" w:rsidRPr="0086486C" w:rsidRDefault="0086486C" w:rsidP="0086486C">
      <w:pPr>
        <w:pStyle w:val="Prrafodelista"/>
        <w:numPr>
          <w:ilvl w:val="0"/>
          <w:numId w:val="12"/>
        </w:numPr>
        <w:autoSpaceDE w:val="0"/>
        <w:autoSpaceDN w:val="0"/>
        <w:adjustRightInd w:val="0"/>
        <w:rPr>
          <w:i/>
          <w:sz w:val="22"/>
        </w:rPr>
      </w:pPr>
      <w:r w:rsidRPr="0086486C">
        <w:rPr>
          <w:i/>
          <w:sz w:val="22"/>
        </w:rPr>
        <w:lastRenderedPageBreak/>
        <w:t xml:space="preserve">Comunicar a la Dependencia señalada trimestralmente los datos de todos los empréstitos y créditos contratados, así como de los movimientos realizados. </w:t>
      </w:r>
    </w:p>
    <w:p w:rsidR="0086486C" w:rsidRPr="0086486C" w:rsidRDefault="0086486C" w:rsidP="0086486C">
      <w:pPr>
        <w:pStyle w:val="Prrafodelista"/>
        <w:numPr>
          <w:ilvl w:val="0"/>
          <w:numId w:val="12"/>
        </w:numPr>
        <w:autoSpaceDE w:val="0"/>
        <w:autoSpaceDN w:val="0"/>
        <w:adjustRightInd w:val="0"/>
        <w:rPr>
          <w:i/>
          <w:sz w:val="22"/>
        </w:rPr>
      </w:pPr>
      <w:r w:rsidRPr="0086486C">
        <w:rPr>
          <w:i/>
          <w:sz w:val="22"/>
        </w:rPr>
        <w:t>Proporciona a la Secretaría de Finanzas toda la información necesaria para llevar a cabo la vigilancia a que se refiere la Fracción IX del Artículo 12 de esta Ley.</w:t>
      </w:r>
    </w:p>
    <w:p w:rsidR="0086486C" w:rsidRPr="0086486C" w:rsidRDefault="0086486C" w:rsidP="0086486C">
      <w:pPr>
        <w:pStyle w:val="Prrafodelista"/>
        <w:autoSpaceDE w:val="0"/>
        <w:autoSpaceDN w:val="0"/>
        <w:adjustRightInd w:val="0"/>
        <w:ind w:left="2136"/>
        <w:rPr>
          <w:szCs w:val="24"/>
        </w:rPr>
      </w:pPr>
    </w:p>
    <w:p w:rsidR="0086486C" w:rsidRPr="001F785B" w:rsidRDefault="0086486C" w:rsidP="0086486C">
      <w:pPr>
        <w:autoSpaceDE w:val="0"/>
        <w:autoSpaceDN w:val="0"/>
        <w:adjustRightInd w:val="0"/>
        <w:rPr>
          <w:szCs w:val="24"/>
        </w:rPr>
      </w:pPr>
      <w:r>
        <w:rPr>
          <w:szCs w:val="24"/>
        </w:rPr>
        <w:t>Por lo vertido en líneas anteriores es de precisar que el Recurrente no brindo una temporalidad para la búsqueda y entrega de la información sin embargo debe tomarse en consideración la fecha en que esté ejerció su dere</w:t>
      </w:r>
      <w:r w:rsidR="001107D9">
        <w:rPr>
          <w:szCs w:val="24"/>
        </w:rPr>
        <w:t xml:space="preserve">cho al acceso a la información, por lo que el límite temporal corresponderá del veintitrés de abril de dos mil </w:t>
      </w:r>
      <w:r w:rsidR="00D85F96" w:rsidRPr="00D85F96">
        <w:rPr>
          <w:szCs w:val="24"/>
          <w:highlight w:val="yellow"/>
        </w:rPr>
        <w:t>veinticuatro</w:t>
      </w:r>
      <w:r w:rsidR="001107D9">
        <w:rPr>
          <w:szCs w:val="24"/>
        </w:rPr>
        <w:t xml:space="preserve"> al veintitrés de abril de dos mil veinticinco, r</w:t>
      </w:r>
      <w:r>
        <w:rPr>
          <w:szCs w:val="24"/>
        </w:rPr>
        <w:t xml:space="preserve">obustece lo anterior el Criterio 003/19 emitido por el Máximo Órgano Garante en los </w:t>
      </w:r>
      <w:r w:rsidRPr="001F785B">
        <w:rPr>
          <w:szCs w:val="24"/>
        </w:rPr>
        <w:t>términos siguientes</w:t>
      </w:r>
    </w:p>
    <w:p w:rsidR="0086486C" w:rsidRPr="00215458" w:rsidRDefault="0086486C" w:rsidP="0086486C">
      <w:pPr>
        <w:spacing w:line="240" w:lineRule="auto"/>
        <w:ind w:left="708"/>
        <w:rPr>
          <w:rFonts w:eastAsia="Arial" w:cs="Arial"/>
          <w:i/>
          <w:sz w:val="22"/>
        </w:rPr>
      </w:pPr>
      <w:r w:rsidRPr="00215458">
        <w:rPr>
          <w:rFonts w:eastAsia="Arial" w:cs="Arial"/>
          <w:b/>
          <w:i/>
          <w:sz w:val="22"/>
        </w:rPr>
        <w:t xml:space="preserve">Periodo de búsqueda de la información. </w:t>
      </w:r>
      <w:r w:rsidRPr="00215458">
        <w:rPr>
          <w:rFonts w:eastAsia="Arial" w:cs="Arial"/>
          <w:i/>
          <w:sz w:val="22"/>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86486C" w:rsidRPr="001F785B" w:rsidRDefault="0086486C" w:rsidP="0086486C">
      <w:pPr>
        <w:spacing w:line="240" w:lineRule="auto"/>
        <w:rPr>
          <w:rFonts w:cs="Arial"/>
          <w:i/>
          <w:color w:val="000000"/>
        </w:rPr>
      </w:pPr>
    </w:p>
    <w:p w:rsidR="0086486C" w:rsidRPr="00215458" w:rsidRDefault="0086486C" w:rsidP="005319AE">
      <w:pPr>
        <w:ind w:left="1134" w:firstLine="142"/>
        <w:rPr>
          <w:rFonts w:cs="Arial"/>
          <w:b/>
          <w:i/>
          <w:sz w:val="16"/>
          <w:szCs w:val="16"/>
        </w:rPr>
      </w:pPr>
      <w:r w:rsidRPr="00215458">
        <w:rPr>
          <w:rFonts w:cs="Arial"/>
          <w:b/>
          <w:i/>
          <w:sz w:val="16"/>
          <w:szCs w:val="16"/>
        </w:rPr>
        <w:t>Precedentes:</w:t>
      </w:r>
    </w:p>
    <w:p w:rsidR="0086486C" w:rsidRPr="00215458" w:rsidRDefault="0086486C" w:rsidP="005319AE">
      <w:pPr>
        <w:pStyle w:val="Prrafodelista"/>
        <w:numPr>
          <w:ilvl w:val="0"/>
          <w:numId w:val="7"/>
        </w:numPr>
        <w:spacing w:line="240" w:lineRule="auto"/>
        <w:ind w:left="1134" w:firstLine="142"/>
        <w:rPr>
          <w:rFonts w:eastAsia="Symbol" w:cs="Arial"/>
          <w:i/>
          <w:sz w:val="16"/>
          <w:szCs w:val="16"/>
        </w:rPr>
      </w:pPr>
      <w:r w:rsidRPr="00215458">
        <w:rPr>
          <w:rFonts w:eastAsia="Arial" w:cs="Arial"/>
          <w:i/>
          <w:spacing w:val="-1"/>
          <w:sz w:val="16"/>
          <w:szCs w:val="16"/>
        </w:rPr>
        <w:t>Acceso a la información pública. R</w:t>
      </w:r>
      <w:r w:rsidRPr="00215458">
        <w:rPr>
          <w:rFonts w:eastAsia="Arial" w:cs="Arial"/>
          <w:i/>
          <w:spacing w:val="3"/>
          <w:sz w:val="16"/>
          <w:szCs w:val="16"/>
        </w:rPr>
        <w:t>R</w:t>
      </w:r>
      <w:r w:rsidRPr="00215458">
        <w:rPr>
          <w:rFonts w:eastAsia="Arial" w:cs="Arial"/>
          <w:i/>
          <w:sz w:val="16"/>
          <w:szCs w:val="16"/>
        </w:rPr>
        <w:t>A</w:t>
      </w:r>
      <w:r w:rsidRPr="00215458">
        <w:rPr>
          <w:rFonts w:eastAsia="Arial" w:cs="Arial"/>
          <w:i/>
          <w:spacing w:val="5"/>
          <w:sz w:val="16"/>
          <w:szCs w:val="16"/>
        </w:rPr>
        <w:t xml:space="preserve"> 0022</w:t>
      </w:r>
      <w:r w:rsidRPr="00215458">
        <w:rPr>
          <w:rFonts w:eastAsia="Arial" w:cs="Arial"/>
          <w:i/>
          <w:spacing w:val="-1"/>
          <w:sz w:val="16"/>
          <w:szCs w:val="16"/>
        </w:rPr>
        <w:t>/17</w:t>
      </w:r>
      <w:r w:rsidRPr="00215458">
        <w:rPr>
          <w:rFonts w:eastAsia="Arial" w:cs="Arial"/>
          <w:i/>
          <w:sz w:val="16"/>
          <w:szCs w:val="16"/>
        </w:rPr>
        <w:t>.</w:t>
      </w:r>
      <w:r w:rsidRPr="00215458">
        <w:rPr>
          <w:rFonts w:eastAsia="Arial" w:cs="Arial"/>
          <w:i/>
          <w:spacing w:val="15"/>
          <w:sz w:val="16"/>
          <w:szCs w:val="16"/>
        </w:rPr>
        <w:t xml:space="preserve"> </w:t>
      </w:r>
      <w:r w:rsidRPr="00215458">
        <w:rPr>
          <w:rFonts w:eastAsia="Arial" w:cs="Arial"/>
          <w:i/>
          <w:spacing w:val="4"/>
          <w:sz w:val="16"/>
          <w:szCs w:val="16"/>
        </w:rPr>
        <w:t xml:space="preserve">Sesión del 16 de febrero de 2017. Votación por unanimidad. </w:t>
      </w:r>
      <w:r w:rsidRPr="00215458">
        <w:rPr>
          <w:rFonts w:eastAsia="Arial" w:cs="Arial"/>
          <w:i/>
          <w:sz w:val="16"/>
          <w:szCs w:val="16"/>
        </w:rPr>
        <w:t>Sin votos disidentes o particulares.</w:t>
      </w:r>
      <w:r w:rsidRPr="00215458">
        <w:rPr>
          <w:rFonts w:eastAsia="Arial" w:cs="Arial"/>
          <w:i/>
          <w:spacing w:val="4"/>
          <w:sz w:val="16"/>
          <w:szCs w:val="16"/>
        </w:rPr>
        <w:t xml:space="preserve"> </w:t>
      </w:r>
      <w:r w:rsidRPr="00215458">
        <w:rPr>
          <w:rFonts w:eastAsia="Arial" w:cs="Arial"/>
          <w:i/>
          <w:sz w:val="16"/>
          <w:szCs w:val="16"/>
        </w:rPr>
        <w:t xml:space="preserve">Instituto Mexicano de la Propiedad Industrial. </w:t>
      </w:r>
      <w:r w:rsidRPr="00215458">
        <w:rPr>
          <w:rFonts w:eastAsia="Arial" w:cs="Arial"/>
          <w:i/>
          <w:spacing w:val="-1"/>
          <w:sz w:val="16"/>
          <w:szCs w:val="16"/>
        </w:rPr>
        <w:t>C</w:t>
      </w:r>
      <w:r w:rsidRPr="00215458">
        <w:rPr>
          <w:rFonts w:eastAsia="Arial" w:cs="Arial"/>
          <w:i/>
          <w:sz w:val="16"/>
          <w:szCs w:val="16"/>
        </w:rPr>
        <w:t>omis</w:t>
      </w:r>
      <w:r w:rsidRPr="00215458">
        <w:rPr>
          <w:rFonts w:eastAsia="Arial" w:cs="Arial"/>
          <w:i/>
          <w:spacing w:val="-2"/>
          <w:sz w:val="16"/>
          <w:szCs w:val="16"/>
        </w:rPr>
        <w:t>i</w:t>
      </w:r>
      <w:r w:rsidRPr="00215458">
        <w:rPr>
          <w:rFonts w:eastAsia="Arial" w:cs="Arial"/>
          <w:i/>
          <w:sz w:val="16"/>
          <w:szCs w:val="16"/>
        </w:rPr>
        <w:t>o</w:t>
      </w:r>
      <w:r w:rsidRPr="00215458">
        <w:rPr>
          <w:rFonts w:eastAsia="Arial" w:cs="Arial"/>
          <w:i/>
          <w:spacing w:val="1"/>
          <w:sz w:val="16"/>
          <w:szCs w:val="16"/>
        </w:rPr>
        <w:t>n</w:t>
      </w:r>
      <w:r w:rsidRPr="00215458">
        <w:rPr>
          <w:rFonts w:eastAsia="Arial" w:cs="Arial"/>
          <w:i/>
          <w:sz w:val="16"/>
          <w:szCs w:val="16"/>
        </w:rPr>
        <w:t>a</w:t>
      </w:r>
      <w:r w:rsidRPr="00215458">
        <w:rPr>
          <w:rFonts w:eastAsia="Arial" w:cs="Arial"/>
          <w:i/>
          <w:spacing w:val="-1"/>
          <w:sz w:val="16"/>
          <w:szCs w:val="16"/>
        </w:rPr>
        <w:t>d</w:t>
      </w:r>
      <w:r w:rsidRPr="00215458">
        <w:rPr>
          <w:rFonts w:eastAsia="Arial" w:cs="Arial"/>
          <w:i/>
          <w:sz w:val="16"/>
          <w:szCs w:val="16"/>
        </w:rPr>
        <w:t>o</w:t>
      </w:r>
      <w:r w:rsidRPr="00215458">
        <w:rPr>
          <w:rFonts w:eastAsia="Arial" w:cs="Arial"/>
          <w:i/>
          <w:spacing w:val="3"/>
          <w:sz w:val="16"/>
          <w:szCs w:val="16"/>
        </w:rPr>
        <w:t xml:space="preserve"> </w:t>
      </w:r>
      <w:r w:rsidRPr="00215458">
        <w:rPr>
          <w:rFonts w:eastAsia="Arial" w:cs="Arial"/>
          <w:i/>
          <w:spacing w:val="-1"/>
          <w:sz w:val="16"/>
          <w:szCs w:val="16"/>
        </w:rPr>
        <w:t>P</w:t>
      </w:r>
      <w:r w:rsidRPr="00215458">
        <w:rPr>
          <w:rFonts w:eastAsia="Arial" w:cs="Arial"/>
          <w:i/>
          <w:sz w:val="16"/>
          <w:szCs w:val="16"/>
        </w:rPr>
        <w:t>o</w:t>
      </w:r>
      <w:r w:rsidRPr="00215458">
        <w:rPr>
          <w:rFonts w:eastAsia="Arial" w:cs="Arial"/>
          <w:i/>
          <w:spacing w:val="-1"/>
          <w:sz w:val="16"/>
          <w:szCs w:val="16"/>
        </w:rPr>
        <w:t>n</w:t>
      </w:r>
      <w:r w:rsidRPr="00215458">
        <w:rPr>
          <w:rFonts w:eastAsia="Arial" w:cs="Arial"/>
          <w:i/>
          <w:sz w:val="16"/>
          <w:szCs w:val="16"/>
        </w:rPr>
        <w:t>e</w:t>
      </w:r>
      <w:r w:rsidRPr="00215458">
        <w:rPr>
          <w:rFonts w:eastAsia="Arial" w:cs="Arial"/>
          <w:i/>
          <w:spacing w:val="-1"/>
          <w:sz w:val="16"/>
          <w:szCs w:val="16"/>
        </w:rPr>
        <w:t>n</w:t>
      </w:r>
      <w:r w:rsidRPr="00215458">
        <w:rPr>
          <w:rFonts w:eastAsia="Arial" w:cs="Arial"/>
          <w:i/>
          <w:spacing w:val="1"/>
          <w:sz w:val="16"/>
          <w:szCs w:val="16"/>
        </w:rPr>
        <w:t>t</w:t>
      </w:r>
      <w:r w:rsidRPr="00215458">
        <w:rPr>
          <w:rFonts w:eastAsia="Arial" w:cs="Arial"/>
          <w:i/>
          <w:sz w:val="16"/>
          <w:szCs w:val="16"/>
        </w:rPr>
        <w:t>e Francisco Javier Acuña Llamas.</w:t>
      </w:r>
    </w:p>
    <w:p w:rsidR="0086486C" w:rsidRPr="00215458" w:rsidRDefault="0086486C" w:rsidP="005319AE">
      <w:pPr>
        <w:pStyle w:val="Prrafodelista"/>
        <w:numPr>
          <w:ilvl w:val="0"/>
          <w:numId w:val="7"/>
        </w:numPr>
        <w:spacing w:line="240" w:lineRule="auto"/>
        <w:ind w:left="1134" w:right="120" w:firstLine="142"/>
        <w:rPr>
          <w:rFonts w:eastAsia="Arial" w:cs="Arial"/>
          <w:b/>
          <w:bCs/>
          <w:i/>
          <w:spacing w:val="-1"/>
          <w:sz w:val="16"/>
          <w:szCs w:val="16"/>
        </w:rPr>
      </w:pPr>
      <w:r w:rsidRPr="00215458">
        <w:rPr>
          <w:rFonts w:eastAsia="Arial" w:cs="Arial"/>
          <w:i/>
          <w:spacing w:val="-1"/>
          <w:sz w:val="16"/>
          <w:szCs w:val="16"/>
        </w:rPr>
        <w:t>Acceso a la información pública. R</w:t>
      </w:r>
      <w:r w:rsidRPr="00215458">
        <w:rPr>
          <w:rFonts w:eastAsia="Arial" w:cs="Arial"/>
          <w:i/>
          <w:spacing w:val="3"/>
          <w:sz w:val="16"/>
          <w:szCs w:val="16"/>
        </w:rPr>
        <w:t>R</w:t>
      </w:r>
      <w:r w:rsidRPr="00215458">
        <w:rPr>
          <w:rFonts w:eastAsia="Arial" w:cs="Arial"/>
          <w:i/>
          <w:sz w:val="16"/>
          <w:szCs w:val="16"/>
        </w:rPr>
        <w:t>A</w:t>
      </w:r>
      <w:r w:rsidRPr="00215458">
        <w:rPr>
          <w:rFonts w:eastAsia="Arial" w:cs="Arial"/>
          <w:i/>
          <w:spacing w:val="43"/>
          <w:sz w:val="16"/>
          <w:szCs w:val="16"/>
        </w:rPr>
        <w:t xml:space="preserve"> </w:t>
      </w:r>
      <w:r w:rsidRPr="00215458">
        <w:rPr>
          <w:rFonts w:eastAsia="Arial" w:cs="Arial"/>
          <w:i/>
          <w:spacing w:val="5"/>
          <w:sz w:val="16"/>
          <w:szCs w:val="16"/>
        </w:rPr>
        <w:t>2536</w:t>
      </w:r>
      <w:r w:rsidRPr="00215458">
        <w:rPr>
          <w:rFonts w:eastAsia="Arial" w:cs="Arial"/>
          <w:i/>
          <w:spacing w:val="1"/>
          <w:sz w:val="16"/>
          <w:szCs w:val="16"/>
        </w:rPr>
        <w:t>/</w:t>
      </w:r>
      <w:r w:rsidRPr="00215458">
        <w:rPr>
          <w:rFonts w:eastAsia="Arial" w:cs="Arial"/>
          <w:i/>
          <w:sz w:val="16"/>
          <w:szCs w:val="16"/>
        </w:rPr>
        <w:t>17.</w:t>
      </w:r>
      <w:r w:rsidRPr="00215458">
        <w:rPr>
          <w:rFonts w:eastAsia="Arial" w:cs="Arial"/>
          <w:b/>
          <w:bCs/>
          <w:i/>
          <w:sz w:val="16"/>
          <w:szCs w:val="16"/>
        </w:rPr>
        <w:t xml:space="preserve"> </w:t>
      </w:r>
      <w:r w:rsidRPr="00215458">
        <w:rPr>
          <w:rFonts w:eastAsia="Arial" w:cs="Arial"/>
          <w:i/>
          <w:sz w:val="16"/>
          <w:szCs w:val="16"/>
        </w:rPr>
        <w:t>Sesión del 07 de junio de 2017. Votación por unanimidad. Sin votos disidentes o particulares. Secretaría de Gobernación. Comisionada Ponente Areli Cano Guadiana.</w:t>
      </w:r>
      <w:r w:rsidRPr="00215458">
        <w:rPr>
          <w:rFonts w:eastAsia="Arial" w:cs="Arial"/>
          <w:i/>
          <w:spacing w:val="-1"/>
          <w:position w:val="5"/>
          <w:sz w:val="16"/>
          <w:szCs w:val="16"/>
        </w:rPr>
        <w:t xml:space="preserve"> </w:t>
      </w:r>
    </w:p>
    <w:p w:rsidR="005E3B84" w:rsidRPr="00E14D5A" w:rsidRDefault="0086486C" w:rsidP="00E14D5A">
      <w:pPr>
        <w:pStyle w:val="Prrafodelista"/>
        <w:numPr>
          <w:ilvl w:val="0"/>
          <w:numId w:val="7"/>
        </w:numPr>
        <w:tabs>
          <w:tab w:val="left" w:pos="7371"/>
        </w:tabs>
        <w:spacing w:line="240" w:lineRule="auto"/>
        <w:ind w:left="1134" w:firstLine="142"/>
        <w:rPr>
          <w:rFonts w:eastAsiaTheme="minorEastAsia" w:cs="Arial"/>
          <w:i/>
          <w:sz w:val="16"/>
          <w:szCs w:val="16"/>
        </w:rPr>
      </w:pPr>
      <w:r w:rsidRPr="00215458">
        <w:rPr>
          <w:rFonts w:eastAsia="Arial" w:cs="Arial"/>
          <w:i/>
          <w:spacing w:val="-1"/>
          <w:position w:val="-1"/>
          <w:sz w:val="16"/>
          <w:szCs w:val="16"/>
        </w:rPr>
        <w:t>Acceso a la información pública. R</w:t>
      </w:r>
      <w:r w:rsidRPr="00215458">
        <w:rPr>
          <w:rFonts w:eastAsia="Arial" w:cs="Arial"/>
          <w:i/>
          <w:spacing w:val="3"/>
          <w:position w:val="-1"/>
          <w:sz w:val="16"/>
          <w:szCs w:val="16"/>
        </w:rPr>
        <w:t>R</w:t>
      </w:r>
      <w:r w:rsidRPr="00215458">
        <w:rPr>
          <w:rFonts w:eastAsia="Arial" w:cs="Arial"/>
          <w:i/>
          <w:position w:val="-1"/>
          <w:sz w:val="16"/>
          <w:szCs w:val="16"/>
        </w:rPr>
        <w:t xml:space="preserve">A </w:t>
      </w:r>
      <w:r w:rsidRPr="00215458">
        <w:rPr>
          <w:rFonts w:eastAsia="Arial" w:cs="Arial"/>
          <w:i/>
          <w:spacing w:val="-1"/>
          <w:position w:val="-1"/>
          <w:sz w:val="16"/>
          <w:szCs w:val="16"/>
        </w:rPr>
        <w:t>3482/17</w:t>
      </w:r>
      <w:r w:rsidRPr="00215458">
        <w:rPr>
          <w:rFonts w:eastAsia="Arial" w:cs="Arial"/>
          <w:i/>
          <w:position w:val="-1"/>
          <w:sz w:val="16"/>
          <w:szCs w:val="16"/>
        </w:rPr>
        <w:t xml:space="preserve">. </w:t>
      </w:r>
      <w:r w:rsidRPr="00215458">
        <w:rPr>
          <w:rFonts w:eastAsia="Arial" w:cs="Arial"/>
          <w:i/>
          <w:sz w:val="16"/>
          <w:szCs w:val="16"/>
        </w:rPr>
        <w:t xml:space="preserve">Sesión del 02 de agosto de 2017. </w:t>
      </w:r>
      <w:r w:rsidRPr="00215458">
        <w:rPr>
          <w:rFonts w:eastAsia="Arial" w:cs="Arial"/>
          <w:i/>
          <w:spacing w:val="-1"/>
          <w:position w:val="-1"/>
          <w:sz w:val="16"/>
          <w:szCs w:val="16"/>
        </w:rPr>
        <w:t>Secretaría de Comunicaciones y Transportes</w:t>
      </w:r>
      <w:r w:rsidRPr="00215458">
        <w:rPr>
          <w:rFonts w:eastAsia="Arial" w:cs="Arial"/>
          <w:i/>
          <w:position w:val="-1"/>
          <w:sz w:val="16"/>
          <w:szCs w:val="16"/>
        </w:rPr>
        <w:t xml:space="preserve">. Votación por unanimidad. </w:t>
      </w:r>
      <w:r w:rsidRPr="00215458">
        <w:rPr>
          <w:rFonts w:eastAsia="Arial" w:cs="Arial"/>
          <w:i/>
          <w:sz w:val="16"/>
          <w:szCs w:val="16"/>
        </w:rPr>
        <w:t>Sin votos disidentes o particulares.</w:t>
      </w:r>
      <w:r w:rsidRPr="00215458">
        <w:rPr>
          <w:rFonts w:eastAsia="Arial" w:cs="Arial"/>
          <w:i/>
          <w:position w:val="-1"/>
          <w:sz w:val="16"/>
          <w:szCs w:val="16"/>
        </w:rPr>
        <w:t xml:space="preserve"> Comisionado Ponente Oscar Mauricio Guerra Ford</w:t>
      </w:r>
      <w:r w:rsidRPr="00215458">
        <w:rPr>
          <w:rFonts w:cs="Arial"/>
          <w:i/>
          <w:sz w:val="16"/>
          <w:szCs w:val="16"/>
        </w:rPr>
        <w:t>.</w:t>
      </w:r>
    </w:p>
    <w:p w:rsidR="007C2006" w:rsidRDefault="007C2006" w:rsidP="00215458">
      <w:pPr>
        <w:autoSpaceDE w:val="0"/>
        <w:autoSpaceDN w:val="0"/>
        <w:adjustRightInd w:val="0"/>
        <w:rPr>
          <w:szCs w:val="24"/>
        </w:rPr>
      </w:pPr>
    </w:p>
    <w:p w:rsidR="00215458" w:rsidRPr="000C1CD5" w:rsidRDefault="00215458" w:rsidP="00215458">
      <w:pPr>
        <w:autoSpaceDE w:val="0"/>
        <w:autoSpaceDN w:val="0"/>
        <w:adjustRightInd w:val="0"/>
        <w:rPr>
          <w:szCs w:val="24"/>
        </w:rPr>
      </w:pPr>
      <w:r w:rsidRPr="000C1CD5">
        <w:rPr>
          <w:szCs w:val="24"/>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rsidR="00215458" w:rsidRDefault="00215458" w:rsidP="00215458">
      <w:pPr>
        <w:autoSpaceDE w:val="0"/>
        <w:autoSpaceDN w:val="0"/>
        <w:adjustRightInd w:val="0"/>
        <w:ind w:left="708"/>
        <w:rPr>
          <w:i/>
          <w:sz w:val="22"/>
        </w:rPr>
      </w:pPr>
      <w:r w:rsidRPr="00215458">
        <w:rPr>
          <w:i/>
          <w:sz w:val="22"/>
        </w:rPr>
        <w:lastRenderedPageBreak/>
        <w:t>“</w:t>
      </w:r>
      <w:r w:rsidRPr="00215458">
        <w:rPr>
          <w:b/>
          <w:i/>
          <w:sz w:val="22"/>
        </w:rPr>
        <w:t xml:space="preserve">Artículo 342.- El registro contable del efecto patrimonial y presupuestal de las operaciones financieras, se realizará conforme al sistema y a las disposiciones que se aprueben en materia de planeación, programación, </w:t>
      </w:r>
      <w:proofErr w:type="spellStart"/>
      <w:r w:rsidRPr="00215458">
        <w:rPr>
          <w:b/>
          <w:i/>
          <w:sz w:val="22"/>
        </w:rPr>
        <w:t>presupuestación</w:t>
      </w:r>
      <w:proofErr w:type="spellEnd"/>
      <w:r w:rsidRPr="00215458">
        <w:rPr>
          <w:b/>
          <w:i/>
          <w:sz w:val="22"/>
        </w:rPr>
        <w:t>, evaluación y contabilidad gubernamental.</w:t>
      </w:r>
      <w:r w:rsidRPr="00215458">
        <w:rPr>
          <w:i/>
          <w:sz w:val="22"/>
        </w:rPr>
        <w:tab/>
      </w:r>
      <w:r w:rsidR="00A90587" w:rsidRPr="00A90587">
        <w:rPr>
          <w:i/>
          <w:highlight w:val="yellow"/>
        </w:rPr>
        <w:t xml:space="preserve">En el caso de los municipios, el registro a que se refiere el párrafo anterior, se realizará conforme al sistema y a las disposiciones en materia de planeación, programación, </w:t>
      </w:r>
      <w:proofErr w:type="spellStart"/>
      <w:r w:rsidR="00A90587" w:rsidRPr="00A90587">
        <w:rPr>
          <w:i/>
          <w:highlight w:val="yellow"/>
        </w:rPr>
        <w:t>presupuestación</w:t>
      </w:r>
      <w:proofErr w:type="spellEnd"/>
      <w:r w:rsidR="00A90587" w:rsidRPr="00A90587">
        <w:rPr>
          <w:i/>
          <w:highlight w:val="yellow"/>
        </w:rPr>
        <w:t>, evaluación y contabilidad gubernamental, que se aprueben en el marco del Sistema de Coordinación Hacendaria del Estado de México</w:t>
      </w:r>
    </w:p>
    <w:p w:rsidR="00A12A54" w:rsidRPr="00215458" w:rsidRDefault="00A12A54" w:rsidP="00215458">
      <w:pPr>
        <w:autoSpaceDE w:val="0"/>
        <w:autoSpaceDN w:val="0"/>
        <w:adjustRightInd w:val="0"/>
        <w:ind w:left="708"/>
        <w:rPr>
          <w:i/>
          <w:sz w:val="22"/>
        </w:rPr>
      </w:pPr>
    </w:p>
    <w:p w:rsidR="00215458" w:rsidRPr="00215458" w:rsidRDefault="00215458" w:rsidP="00215458">
      <w:pPr>
        <w:autoSpaceDE w:val="0"/>
        <w:autoSpaceDN w:val="0"/>
        <w:adjustRightInd w:val="0"/>
        <w:ind w:left="708"/>
        <w:rPr>
          <w:b/>
          <w:i/>
          <w:sz w:val="22"/>
        </w:rPr>
      </w:pPr>
      <w:r w:rsidRPr="00215458">
        <w:rPr>
          <w:b/>
          <w:i/>
          <w:sz w:val="22"/>
        </w:rPr>
        <w:t>Artículo 343.-</w:t>
      </w:r>
      <w:r w:rsidRPr="00215458">
        <w:rPr>
          <w:i/>
          <w:sz w:val="22"/>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r w:rsidR="00A90587" w:rsidRPr="00A90587">
        <w:rPr>
          <w:i/>
          <w:sz w:val="22"/>
          <w:highlight w:val="yellow"/>
        </w:rPr>
        <w:t>El sistema de contabilidad sobre base acumulativa total, se sustentará en las normas emitidas por el Consejo Nacional de Armonización Contable</w:t>
      </w:r>
    </w:p>
    <w:p w:rsidR="00215458" w:rsidRPr="00215458" w:rsidRDefault="00215458" w:rsidP="00215458">
      <w:pPr>
        <w:autoSpaceDE w:val="0"/>
        <w:autoSpaceDN w:val="0"/>
        <w:adjustRightInd w:val="0"/>
        <w:ind w:left="708"/>
        <w:rPr>
          <w:i/>
          <w:sz w:val="22"/>
        </w:rPr>
      </w:pPr>
    </w:p>
    <w:p w:rsidR="00A90587" w:rsidRPr="00A90587" w:rsidRDefault="00215458" w:rsidP="00A90587">
      <w:pPr>
        <w:autoSpaceDE w:val="0"/>
        <w:autoSpaceDN w:val="0"/>
        <w:adjustRightInd w:val="0"/>
        <w:ind w:left="708"/>
        <w:rPr>
          <w:i/>
          <w:sz w:val="22"/>
          <w:highlight w:val="yellow"/>
        </w:rPr>
      </w:pPr>
      <w:r w:rsidRPr="00215458">
        <w:rPr>
          <w:b/>
          <w:i/>
          <w:sz w:val="22"/>
        </w:rPr>
        <w:t>Artículo 344</w:t>
      </w:r>
      <w:r w:rsidRPr="00215458">
        <w:rPr>
          <w:i/>
          <w:sz w:val="22"/>
        </w:rPr>
        <w:t xml:space="preserve">.- </w:t>
      </w:r>
      <w:r w:rsidR="00A90587" w:rsidRPr="00A90587">
        <w:rPr>
          <w:i/>
          <w:sz w:val="22"/>
          <w:highlight w:val="yellow"/>
        </w:rPr>
        <w:t xml:space="preserve">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w:t>
      </w:r>
    </w:p>
    <w:p w:rsidR="00A12A54" w:rsidRPr="00A90587" w:rsidRDefault="00A90587" w:rsidP="00A90587">
      <w:pPr>
        <w:autoSpaceDE w:val="0"/>
        <w:autoSpaceDN w:val="0"/>
        <w:adjustRightInd w:val="0"/>
        <w:ind w:left="708"/>
        <w:rPr>
          <w:i/>
          <w:sz w:val="22"/>
        </w:rPr>
      </w:pPr>
      <w:r w:rsidRPr="00A90587">
        <w:rPr>
          <w:i/>
          <w:sz w:val="22"/>
          <w:highlight w:val="yellow"/>
        </w:rPr>
        <w:t xml:space="preserve">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w:t>
      </w:r>
      <w:r w:rsidRPr="00A90587">
        <w:rPr>
          <w:i/>
          <w:sz w:val="22"/>
          <w:highlight w:val="yellow"/>
        </w:rPr>
        <w:lastRenderedPageBreak/>
        <w:t>contados a partir del ejercicio presupuestal siguiente al que corresponda. En el caso de los Municipios, dicha obligación corresponderá a la Tesorería.</w:t>
      </w:r>
    </w:p>
    <w:p w:rsidR="00A90587" w:rsidRPr="00215458" w:rsidRDefault="00A90587" w:rsidP="00A90587">
      <w:pPr>
        <w:autoSpaceDE w:val="0"/>
        <w:autoSpaceDN w:val="0"/>
        <w:adjustRightInd w:val="0"/>
        <w:ind w:left="708"/>
        <w:rPr>
          <w:b/>
          <w:i/>
          <w:sz w:val="22"/>
        </w:rPr>
      </w:pPr>
    </w:p>
    <w:p w:rsidR="00215458" w:rsidRPr="00215458" w:rsidRDefault="00215458" w:rsidP="00215458">
      <w:pPr>
        <w:autoSpaceDE w:val="0"/>
        <w:autoSpaceDN w:val="0"/>
        <w:adjustRightInd w:val="0"/>
        <w:ind w:left="708"/>
        <w:rPr>
          <w:rFonts w:cs="Arial"/>
          <w:i/>
          <w:iCs/>
          <w:sz w:val="22"/>
        </w:rPr>
      </w:pPr>
      <w:r w:rsidRPr="00A12A54">
        <w:rPr>
          <w:b/>
          <w:i/>
          <w:sz w:val="22"/>
        </w:rPr>
        <w:t>Artículo 345</w:t>
      </w:r>
      <w:r w:rsidRPr="00215458">
        <w:rPr>
          <w:i/>
          <w:sz w:val="22"/>
        </w:rPr>
        <w:t xml:space="preserve">.- </w:t>
      </w:r>
      <w:r w:rsidR="00A90587" w:rsidRPr="00A90587">
        <w:rPr>
          <w:i/>
          <w:sz w:val="22"/>
          <w:highlight w:val="yellow"/>
        </w:rPr>
        <w:t>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w:t>
      </w:r>
      <w:r w:rsidRPr="00215458">
        <w:rPr>
          <w:i/>
          <w:sz w:val="22"/>
        </w:rPr>
        <w:t>. “(Sic)</w:t>
      </w:r>
    </w:p>
    <w:p w:rsidR="00215458" w:rsidRDefault="00215458" w:rsidP="00215458">
      <w:pPr>
        <w:autoSpaceDE w:val="0"/>
        <w:autoSpaceDN w:val="0"/>
        <w:adjustRightInd w:val="0"/>
        <w:rPr>
          <w:szCs w:val="24"/>
        </w:rPr>
      </w:pPr>
    </w:p>
    <w:p w:rsidR="00215458" w:rsidRDefault="00215458" w:rsidP="00215458">
      <w:pPr>
        <w:autoSpaceDE w:val="0"/>
        <w:autoSpaceDN w:val="0"/>
        <w:adjustRightInd w:val="0"/>
        <w:rPr>
          <w:szCs w:val="24"/>
        </w:rPr>
      </w:pPr>
      <w:r w:rsidRPr="000C1CD5">
        <w:rPr>
          <w:szCs w:val="24"/>
        </w:rPr>
        <w:t xml:space="preserve">De una interpretación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0C1CD5">
        <w:rPr>
          <w:szCs w:val="24"/>
        </w:rPr>
        <w:t>presupuestación</w:t>
      </w:r>
      <w:proofErr w:type="spellEnd"/>
      <w:r w:rsidRPr="000C1CD5">
        <w:rPr>
          <w:szCs w:val="24"/>
        </w:rPr>
        <w:t>, evaluación y contabilidad gubernamental.</w:t>
      </w:r>
    </w:p>
    <w:p w:rsidR="00215458" w:rsidRDefault="00215458" w:rsidP="00215458">
      <w:pPr>
        <w:autoSpaceDE w:val="0"/>
        <w:autoSpaceDN w:val="0"/>
        <w:adjustRightInd w:val="0"/>
        <w:rPr>
          <w:szCs w:val="24"/>
        </w:rPr>
      </w:pPr>
    </w:p>
    <w:p w:rsidR="00A12A54" w:rsidRPr="001B62AE" w:rsidRDefault="00215458" w:rsidP="00215458">
      <w:pPr>
        <w:autoSpaceDE w:val="0"/>
        <w:autoSpaceDN w:val="0"/>
        <w:adjustRightInd w:val="0"/>
        <w:rPr>
          <w:szCs w:val="24"/>
        </w:rPr>
      </w:pPr>
      <w:r w:rsidRPr="000C1CD5">
        <w:rPr>
          <w:szCs w:val="24"/>
        </w:rPr>
        <w:t xml:space="preserve"> 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0C1CD5">
        <w:rPr>
          <w:szCs w:val="24"/>
        </w:rPr>
        <w:t>Presupuestación</w:t>
      </w:r>
      <w:proofErr w:type="spellEnd"/>
      <w:r w:rsidRPr="000C1CD5">
        <w:rPr>
          <w:szCs w:val="24"/>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w:t>
      </w:r>
      <w:r>
        <w:rPr>
          <w:szCs w:val="24"/>
        </w:rPr>
        <w:t>o:</w:t>
      </w:r>
    </w:p>
    <w:p w:rsidR="00215458" w:rsidRPr="00A12A54" w:rsidRDefault="00215458" w:rsidP="00215458">
      <w:pPr>
        <w:autoSpaceDE w:val="0"/>
        <w:autoSpaceDN w:val="0"/>
        <w:adjustRightInd w:val="0"/>
        <w:ind w:left="708"/>
        <w:rPr>
          <w:i/>
          <w:sz w:val="22"/>
        </w:rPr>
      </w:pPr>
      <w:r w:rsidRPr="00A12A54">
        <w:rPr>
          <w:i/>
          <w:sz w:val="22"/>
        </w:rPr>
        <w:lastRenderedPageBreak/>
        <w:t>“</w:t>
      </w:r>
      <w:r w:rsidRPr="001B62AE">
        <w:rPr>
          <w:b/>
          <w:i/>
          <w:sz w:val="22"/>
        </w:rPr>
        <w:t>REGISTRO CONTABLE</w:t>
      </w:r>
      <w:r w:rsidRPr="00A12A54">
        <w:rPr>
          <w:i/>
          <w:sz w:val="22"/>
        </w:rPr>
        <w:t xml:space="preserve"> Asiento que se realiza en los libros de contabilidad de las actividades relacionadas con el ingreso y egresos de un ente económico.” (Sic) </w:t>
      </w:r>
    </w:p>
    <w:p w:rsidR="00A12A54" w:rsidRPr="00A12A54" w:rsidRDefault="00A12A54" w:rsidP="00215458">
      <w:pPr>
        <w:autoSpaceDE w:val="0"/>
        <w:autoSpaceDN w:val="0"/>
        <w:adjustRightInd w:val="0"/>
        <w:ind w:left="708"/>
        <w:rPr>
          <w:i/>
          <w:sz w:val="22"/>
        </w:rPr>
      </w:pPr>
    </w:p>
    <w:p w:rsidR="00215458" w:rsidRPr="00A12A54" w:rsidRDefault="00215458" w:rsidP="00215458">
      <w:pPr>
        <w:autoSpaceDE w:val="0"/>
        <w:autoSpaceDN w:val="0"/>
        <w:adjustRightInd w:val="0"/>
        <w:ind w:left="708"/>
        <w:rPr>
          <w:i/>
          <w:sz w:val="22"/>
        </w:rPr>
      </w:pPr>
      <w:r w:rsidRPr="00A12A54">
        <w:rPr>
          <w:i/>
          <w:sz w:val="22"/>
        </w:rPr>
        <w:t>“</w:t>
      </w:r>
      <w:r w:rsidRPr="001B62AE">
        <w:rPr>
          <w:b/>
          <w:i/>
          <w:sz w:val="22"/>
        </w:rPr>
        <w:t>REGISTRO PRESUPUESTARIO</w:t>
      </w:r>
      <w:r w:rsidRPr="00A12A54">
        <w:rPr>
          <w:i/>
          <w:sz w:val="22"/>
        </w:rPr>
        <w:t xml:space="preserve"> Asiento contable de las erogaciones realizadas por las dependencias y entidades con relación a la asignación, modificación y ejercicio de los recursos presupuestarios que se les hayan autorizado.” (Sic)</w:t>
      </w:r>
    </w:p>
    <w:p w:rsidR="00215458" w:rsidRDefault="00215458" w:rsidP="00215458">
      <w:pPr>
        <w:rPr>
          <w:szCs w:val="24"/>
        </w:rPr>
      </w:pPr>
    </w:p>
    <w:p w:rsidR="00215458" w:rsidRDefault="00215458" w:rsidP="00215458">
      <w:pPr>
        <w:rPr>
          <w:szCs w:val="24"/>
        </w:rPr>
      </w:pPr>
      <w:r>
        <w:rPr>
          <w:szCs w:val="24"/>
        </w:rPr>
        <w:t>De</w:t>
      </w:r>
      <w:r w:rsidRPr="000C1CD5">
        <w:rPr>
          <w:szCs w:val="24"/>
        </w:rPr>
        <w:t xml:space="preserve"> lo anterior, es preciso referir una definición de póliza contable, la cual, primeramente, no está definida en el Código Financiero del Estado de México y Municipios; no obstante, los ya mencionados Glosarios la definen como: </w:t>
      </w:r>
    </w:p>
    <w:p w:rsidR="00215458" w:rsidRPr="00A12A54" w:rsidRDefault="00215458" w:rsidP="00215458">
      <w:pPr>
        <w:ind w:left="708"/>
        <w:rPr>
          <w:i/>
          <w:sz w:val="22"/>
        </w:rPr>
      </w:pPr>
      <w:r w:rsidRPr="00A12A54">
        <w:rPr>
          <w:i/>
          <w:sz w:val="22"/>
        </w:rPr>
        <w:t>“</w:t>
      </w:r>
      <w:r w:rsidRPr="001B62AE">
        <w:rPr>
          <w:b/>
          <w:i/>
          <w:sz w:val="22"/>
        </w:rPr>
        <w:t>PÓLIZA CONTABLE</w:t>
      </w:r>
      <w:r w:rsidRPr="00A12A54">
        <w:rPr>
          <w:i/>
          <w:sz w:val="22"/>
        </w:rPr>
        <w:t xml:space="preserve"> Documento en el cual se asientan en forma individual todas y cada una de las operaciones desarrolladas por una institución, así como la información necesaria para la identificación de dichas operaciones.” (</w:t>
      </w:r>
      <w:proofErr w:type="gramStart"/>
      <w:r w:rsidRPr="00A12A54">
        <w:rPr>
          <w:i/>
          <w:sz w:val="22"/>
        </w:rPr>
        <w:t>sic</w:t>
      </w:r>
      <w:proofErr w:type="gramEnd"/>
      <w:r w:rsidRPr="00A12A54">
        <w:rPr>
          <w:i/>
          <w:sz w:val="22"/>
        </w:rPr>
        <w:t xml:space="preserve">) </w:t>
      </w:r>
    </w:p>
    <w:p w:rsidR="00215458" w:rsidRPr="00A12A54" w:rsidRDefault="00215458" w:rsidP="00215458">
      <w:pPr>
        <w:ind w:left="708"/>
        <w:rPr>
          <w:i/>
          <w:sz w:val="22"/>
        </w:rPr>
      </w:pPr>
    </w:p>
    <w:p w:rsidR="00215458" w:rsidRDefault="00215458" w:rsidP="00215458">
      <w:pPr>
        <w:rPr>
          <w:szCs w:val="24"/>
        </w:rPr>
      </w:pPr>
      <w:r w:rsidRPr="000C1CD5">
        <w:rPr>
          <w:szCs w:val="24"/>
        </w:rPr>
        <w:t>Así, 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rsidR="007C2006" w:rsidRPr="00E14D5A" w:rsidRDefault="007C2006" w:rsidP="00215458">
      <w:pPr>
        <w:rPr>
          <w:rFonts w:eastAsia="Times New Roman" w:cs="Palatino Linotype"/>
          <w:color w:val="000000"/>
          <w:szCs w:val="24"/>
        </w:rPr>
      </w:pPr>
    </w:p>
    <w:p w:rsidR="00FF0B11" w:rsidRPr="001B62AE" w:rsidRDefault="00215458" w:rsidP="00215458">
      <w:pPr>
        <w:rPr>
          <w:szCs w:val="24"/>
        </w:rPr>
      </w:pPr>
      <w:r w:rsidRPr="005960EF">
        <w:rPr>
          <w:szCs w:val="24"/>
        </w:rPr>
        <w:t xml:space="preserve">En este sentido, existen diversos tipos de pólizas contables de acuerdo con las operaciones realizadas, dentro de las cuales, encontramos las </w:t>
      </w:r>
      <w:r>
        <w:rPr>
          <w:szCs w:val="24"/>
        </w:rPr>
        <w:t>denominadas</w:t>
      </w:r>
      <w:r w:rsidRPr="005960EF">
        <w:rPr>
          <w:szCs w:val="24"/>
        </w:rPr>
        <w:t xml:space="preserve"> </w:t>
      </w:r>
      <w:r w:rsidRPr="005960EF">
        <w:rPr>
          <w:b/>
          <w:szCs w:val="24"/>
        </w:rPr>
        <w:t>pólizas de egresos</w:t>
      </w:r>
      <w:r w:rsidRPr="005960EF">
        <w:rPr>
          <w:szCs w:val="24"/>
        </w:rPr>
        <w:t>, en las cuales se anotan diariamente las operaciones que representan egresos, es decir, salidas de dinero para el sujeto obligado, la cual, además debe encontrarse acompañada de las documentales que sirven de soporte de dicho movimiento.</w:t>
      </w:r>
    </w:p>
    <w:p w:rsidR="00215458" w:rsidRDefault="00215458" w:rsidP="00215458">
      <w:pPr>
        <w:autoSpaceDE w:val="0"/>
        <w:autoSpaceDN w:val="0"/>
        <w:adjustRightInd w:val="0"/>
        <w:rPr>
          <w:szCs w:val="24"/>
        </w:rPr>
      </w:pPr>
      <w:r w:rsidRPr="005960EF">
        <w:rPr>
          <w:szCs w:val="24"/>
        </w:rPr>
        <w:lastRenderedPageBreak/>
        <w:t xml:space="preserve">En este sentido, los Lineamientos, Fechas de Capacitación y Calendarización para la Entrega de Informes Trimestrales de las Entidades Fiscalizables del Estado de </w:t>
      </w:r>
      <w:r>
        <w:rPr>
          <w:szCs w:val="24"/>
        </w:rPr>
        <w:t>México del Ejercicio Fiscal 2024</w:t>
      </w:r>
      <w:r w:rsidRPr="005960EF">
        <w:rPr>
          <w:szCs w:val="24"/>
        </w:rPr>
        <w:t xml:space="preserve">, emitidos por el Órgano Superior de Fiscalización del Estado de México, contienen los formatos e información que debe ser proporcionada para la integración de los informes mensuales, que se entregan a éste, siendo uno de ellos la información relativa a las </w:t>
      </w:r>
      <w:r w:rsidRPr="005E670C">
        <w:rPr>
          <w:b/>
          <w:szCs w:val="24"/>
        </w:rPr>
        <w:t>pólizas de ingresos</w:t>
      </w:r>
      <w:r w:rsidRPr="005E670C">
        <w:rPr>
          <w:szCs w:val="24"/>
        </w:rPr>
        <w:t xml:space="preserve"> en la</w:t>
      </w:r>
      <w:r>
        <w:rPr>
          <w:szCs w:val="24"/>
        </w:rPr>
        <w:t>s</w:t>
      </w:r>
      <w:r w:rsidRPr="005E670C">
        <w:rPr>
          <w:szCs w:val="24"/>
        </w:rPr>
        <w:t xml:space="preserve"> cual</w:t>
      </w:r>
      <w:r>
        <w:rPr>
          <w:szCs w:val="24"/>
        </w:rPr>
        <w:t>es</w:t>
      </w:r>
      <w:r w:rsidRPr="005E670C">
        <w:rPr>
          <w:szCs w:val="24"/>
        </w:rPr>
        <w:t xml:space="preserve"> se deben registrar aquellas operaciones del Ente Público por las cuales haya obtenido un ingreso, ya sea a través de una ficha de depósito, transferencia bancaria, efectivo o en especie</w:t>
      </w:r>
      <w:r>
        <w:rPr>
          <w:szCs w:val="24"/>
        </w:rPr>
        <w:t xml:space="preserve">, </w:t>
      </w:r>
      <w:r w:rsidRPr="005E670C">
        <w:rPr>
          <w:b/>
          <w:szCs w:val="24"/>
        </w:rPr>
        <w:t>la póliza de diario</w:t>
      </w:r>
      <w:r>
        <w:rPr>
          <w:szCs w:val="24"/>
        </w:rPr>
        <w:t xml:space="preserve">  que </w:t>
      </w:r>
      <w:r w:rsidRPr="005E670C">
        <w:rPr>
          <w:szCs w:val="24"/>
        </w:rPr>
        <w:t xml:space="preserve">refleja las operaciones </w:t>
      </w:r>
      <w:r>
        <w:rPr>
          <w:szCs w:val="24"/>
        </w:rPr>
        <w:t>que ha efectuado</w:t>
      </w:r>
      <w:r w:rsidRPr="005E670C">
        <w:rPr>
          <w:szCs w:val="24"/>
        </w:rPr>
        <w:t xml:space="preserve"> la entidad y su contabilidad,</w:t>
      </w:r>
      <w:r>
        <w:rPr>
          <w:szCs w:val="24"/>
        </w:rPr>
        <w:t xml:space="preserve"> mismas </w:t>
      </w:r>
      <w:r w:rsidRPr="005E670C">
        <w:rPr>
          <w:szCs w:val="24"/>
        </w:rPr>
        <w:t xml:space="preserve"> no suponen una salida de efectivo; hacen referencia a operaciones en las que no se muestran entradas, ni salidas de recursos de la entidad</w:t>
      </w:r>
      <w:r>
        <w:rPr>
          <w:szCs w:val="24"/>
        </w:rPr>
        <w:t xml:space="preserve"> por otro lado </w:t>
      </w:r>
      <w:r w:rsidRPr="005E670C">
        <w:rPr>
          <w:b/>
          <w:szCs w:val="24"/>
        </w:rPr>
        <w:t>la póliza de egresos</w:t>
      </w:r>
      <w:r>
        <w:rPr>
          <w:b/>
          <w:szCs w:val="24"/>
        </w:rPr>
        <w:t xml:space="preserve"> </w:t>
      </w:r>
      <w:r w:rsidRPr="005E670C">
        <w:rPr>
          <w:szCs w:val="24"/>
        </w:rPr>
        <w:t>refleja cualquier operación contable en la que se produzca una salida de efectivo o erogaciones, a través de transferencias bancarias electrónicas</w:t>
      </w:r>
      <w:r w:rsidRPr="005E670C">
        <w:rPr>
          <w:b/>
          <w:szCs w:val="24"/>
        </w:rPr>
        <w:t>, póliza cheque</w:t>
      </w:r>
      <w:r w:rsidRPr="005960EF">
        <w:rPr>
          <w:szCs w:val="24"/>
        </w:rPr>
        <w:t xml:space="preserve"> </w:t>
      </w:r>
      <w:r w:rsidRPr="005E670C">
        <w:rPr>
          <w:szCs w:val="24"/>
        </w:rPr>
        <w:t>se utiliza en caso de erogaciones realizadas a través de un cheque</w:t>
      </w:r>
      <w:r>
        <w:rPr>
          <w:szCs w:val="24"/>
        </w:rPr>
        <w:t xml:space="preserve">, </w:t>
      </w:r>
      <w:r w:rsidRPr="005960EF">
        <w:rPr>
          <w:szCs w:val="24"/>
        </w:rPr>
        <w:t>de tal manera que, dichos formatos constituyen un soporte documental de que la información solicitada por el hoy recurrente obra en los archivos del sujeto obligado</w:t>
      </w:r>
      <w:r>
        <w:rPr>
          <w:szCs w:val="24"/>
        </w:rPr>
        <w:t xml:space="preserve">. </w:t>
      </w:r>
    </w:p>
    <w:p w:rsidR="00215458" w:rsidRDefault="00215458" w:rsidP="00215458">
      <w:pPr>
        <w:autoSpaceDE w:val="0"/>
        <w:autoSpaceDN w:val="0"/>
        <w:adjustRightInd w:val="0"/>
        <w:rPr>
          <w:szCs w:val="24"/>
        </w:rPr>
      </w:pPr>
    </w:p>
    <w:p w:rsidR="00215458" w:rsidRPr="005E670C" w:rsidRDefault="004E27EA" w:rsidP="00215458">
      <w:pPr>
        <w:autoSpaceDE w:val="0"/>
        <w:autoSpaceDN w:val="0"/>
        <w:adjustRightInd w:val="0"/>
        <w:rPr>
          <w:szCs w:val="24"/>
        </w:rPr>
      </w:pPr>
      <w:r>
        <w:rPr>
          <w:szCs w:val="24"/>
        </w:rPr>
        <w:t>Por lo que si bien en el proyecto de presupuesto puede obrar la información correspondiente a la deuda pública que tiene el Ayuntamiento también lo que es pueden existir otros soporte documentales r</w:t>
      </w:r>
      <w:r w:rsidR="00215458">
        <w:rPr>
          <w:szCs w:val="24"/>
        </w:rPr>
        <w:t xml:space="preserve">obustece lo anterior el Criterio 016/17 emitido por el Máximo Órgano Garante en los términos siguientes; </w:t>
      </w:r>
    </w:p>
    <w:p w:rsidR="00215458" w:rsidRPr="004E27EA" w:rsidRDefault="00215458" w:rsidP="00215458">
      <w:pPr>
        <w:spacing w:line="240" w:lineRule="auto"/>
        <w:ind w:left="708"/>
        <w:rPr>
          <w:rFonts w:cs="Arial"/>
          <w:i/>
          <w:sz w:val="22"/>
        </w:rPr>
      </w:pPr>
      <w:r w:rsidRPr="004E27EA">
        <w:rPr>
          <w:rFonts w:cs="Arial"/>
          <w:b/>
          <w:bCs/>
          <w:i/>
          <w:sz w:val="22"/>
        </w:rPr>
        <w:t xml:space="preserve">Expresión documental. </w:t>
      </w:r>
      <w:r w:rsidRPr="004E27EA">
        <w:rPr>
          <w:rFonts w:cs="Arial"/>
          <w:bCs/>
          <w:i/>
          <w:sz w:val="22"/>
        </w:rPr>
        <w:t>Cuando</w:t>
      </w:r>
      <w:r w:rsidRPr="004E27EA">
        <w:rPr>
          <w:rFonts w:cs="Arial"/>
          <w:i/>
          <w:color w:val="000000" w:themeColor="text1"/>
          <w:sz w:val="22"/>
          <w:lang w:val="es-ES"/>
        </w:rPr>
        <w:t xml:space="preserve"> los particulares presenten solicitudes de acceso a la información sin identificar de forma precisa la documentación que pudiera contener la información de su interés, </w:t>
      </w:r>
      <w:r w:rsidRPr="004E27EA">
        <w:rPr>
          <w:rFonts w:cs="Arial"/>
          <w:i/>
          <w:sz w:val="22"/>
        </w:rPr>
        <w:t>o bien, la solicitud constituya una consulta,</w:t>
      </w:r>
      <w:r w:rsidRPr="004E27EA">
        <w:rPr>
          <w:rFonts w:cs="Arial"/>
          <w:i/>
          <w:color w:val="000000" w:themeColor="text1"/>
          <w:sz w:val="22"/>
          <w:lang w:val="es-ES"/>
        </w:rPr>
        <w:t xml:space="preserve"> pero la respuesta pudiera obrar en algún documento </w:t>
      </w:r>
      <w:r w:rsidRPr="004E27EA">
        <w:rPr>
          <w:rFonts w:cs="Arial"/>
          <w:i/>
          <w:color w:val="000000" w:themeColor="text1"/>
          <w:sz w:val="22"/>
          <w:lang w:val="es-ES"/>
        </w:rPr>
        <w:lastRenderedPageBreak/>
        <w:t xml:space="preserve">en poder de los sujetos obligados, éstos deben dar a dichas solicitudes una interpretación que les otorgue una expresión documental. </w:t>
      </w:r>
    </w:p>
    <w:p w:rsidR="00215458" w:rsidRPr="005E670C" w:rsidRDefault="00215458" w:rsidP="00215458">
      <w:pPr>
        <w:spacing w:line="240" w:lineRule="auto"/>
        <w:rPr>
          <w:rFonts w:cs="Arial"/>
          <w:i/>
          <w:color w:val="000000"/>
        </w:rPr>
      </w:pPr>
    </w:p>
    <w:p w:rsidR="00215458" w:rsidRPr="004E27EA" w:rsidRDefault="00215458" w:rsidP="004E27EA">
      <w:pPr>
        <w:ind w:left="1276" w:firstLine="360"/>
        <w:rPr>
          <w:rFonts w:cs="Arial"/>
          <w:b/>
          <w:i/>
          <w:sz w:val="16"/>
          <w:szCs w:val="16"/>
        </w:rPr>
      </w:pPr>
      <w:r w:rsidRPr="004E27EA">
        <w:rPr>
          <w:rFonts w:cs="Arial"/>
          <w:b/>
          <w:i/>
          <w:sz w:val="16"/>
          <w:szCs w:val="16"/>
        </w:rPr>
        <w:t>Precedentes:</w:t>
      </w:r>
    </w:p>
    <w:p w:rsidR="00215458" w:rsidRPr="004E27EA" w:rsidRDefault="00215458" w:rsidP="004E27EA">
      <w:pPr>
        <w:pStyle w:val="Prrafodelista"/>
        <w:numPr>
          <w:ilvl w:val="0"/>
          <w:numId w:val="7"/>
        </w:numPr>
        <w:spacing w:line="240" w:lineRule="auto"/>
        <w:ind w:left="1276"/>
        <w:rPr>
          <w:rFonts w:cs="Arial"/>
          <w:i/>
          <w:color w:val="000000"/>
          <w:sz w:val="16"/>
          <w:szCs w:val="16"/>
        </w:rPr>
      </w:pPr>
      <w:r w:rsidRPr="004E27EA">
        <w:rPr>
          <w:rFonts w:cs="Arial"/>
          <w:i/>
          <w:color w:val="000000" w:themeColor="text1"/>
          <w:sz w:val="16"/>
          <w:szCs w:val="16"/>
        </w:rPr>
        <w:t xml:space="preserve">Acceso a la información pública. RRA 0774/16. Sesión del 31 de agosto de 2016. Votación por unanimidad. </w:t>
      </w:r>
      <w:r w:rsidRPr="004E27EA">
        <w:rPr>
          <w:rFonts w:eastAsia="Arial" w:cs="Arial"/>
          <w:i/>
          <w:sz w:val="16"/>
          <w:szCs w:val="16"/>
        </w:rPr>
        <w:t>Sin votos disidentes o particulares.</w:t>
      </w:r>
      <w:r w:rsidRPr="004E27EA">
        <w:rPr>
          <w:rFonts w:cs="Arial"/>
          <w:i/>
          <w:color w:val="000000" w:themeColor="text1"/>
          <w:sz w:val="16"/>
          <w:szCs w:val="16"/>
        </w:rPr>
        <w:t xml:space="preserve"> Secretaría de Salud. Comisionada Ponente María Patricia </w:t>
      </w:r>
      <w:proofErr w:type="spellStart"/>
      <w:r w:rsidRPr="004E27EA">
        <w:rPr>
          <w:rFonts w:cs="Arial"/>
          <w:i/>
          <w:color w:val="000000" w:themeColor="text1"/>
          <w:sz w:val="16"/>
          <w:szCs w:val="16"/>
        </w:rPr>
        <w:t>Kurczyn</w:t>
      </w:r>
      <w:proofErr w:type="spellEnd"/>
      <w:r w:rsidRPr="004E27EA">
        <w:rPr>
          <w:rFonts w:cs="Arial"/>
          <w:i/>
          <w:color w:val="000000" w:themeColor="text1"/>
          <w:sz w:val="16"/>
          <w:szCs w:val="16"/>
        </w:rPr>
        <w:t xml:space="preserve"> Villalobos.</w:t>
      </w:r>
    </w:p>
    <w:p w:rsidR="00215458" w:rsidRPr="004E27EA" w:rsidRDefault="00215458" w:rsidP="004E27EA">
      <w:pPr>
        <w:pStyle w:val="Prrafodelista"/>
        <w:numPr>
          <w:ilvl w:val="0"/>
          <w:numId w:val="7"/>
        </w:numPr>
        <w:spacing w:line="240" w:lineRule="auto"/>
        <w:ind w:left="1276"/>
        <w:rPr>
          <w:rFonts w:cs="Arial"/>
          <w:i/>
          <w:color w:val="000000"/>
          <w:sz w:val="16"/>
          <w:szCs w:val="16"/>
        </w:rPr>
      </w:pPr>
      <w:r w:rsidRPr="004E27EA">
        <w:rPr>
          <w:rFonts w:cs="Arial"/>
          <w:i/>
          <w:color w:val="000000" w:themeColor="text1"/>
          <w:sz w:val="16"/>
          <w:szCs w:val="16"/>
        </w:rPr>
        <w:t xml:space="preserve">Acceso a la información pública. RRA 0143/17. Sesión del 22 de febrero de 2017. Votación por unanimidad. </w:t>
      </w:r>
      <w:r w:rsidRPr="004E27EA">
        <w:rPr>
          <w:rFonts w:eastAsia="Arial" w:cs="Arial"/>
          <w:i/>
          <w:sz w:val="16"/>
          <w:szCs w:val="16"/>
        </w:rPr>
        <w:t>Sin votos disidentes o particulares.</w:t>
      </w:r>
      <w:r w:rsidRPr="004E27EA">
        <w:rPr>
          <w:rFonts w:cs="Arial"/>
          <w:i/>
          <w:color w:val="000000" w:themeColor="text1"/>
          <w:sz w:val="16"/>
          <w:szCs w:val="16"/>
        </w:rPr>
        <w:t xml:space="preserve"> Universidad Autónoma Agraria Antonio Narro. Comisionado Ponente Oscar Mauricio Guerra Ford. </w:t>
      </w:r>
    </w:p>
    <w:p w:rsidR="00215458" w:rsidRPr="004E27EA" w:rsidRDefault="00215458" w:rsidP="004E27EA">
      <w:pPr>
        <w:pStyle w:val="Prrafodelista"/>
        <w:numPr>
          <w:ilvl w:val="0"/>
          <w:numId w:val="7"/>
        </w:numPr>
        <w:spacing w:line="240" w:lineRule="auto"/>
        <w:ind w:left="1276" w:hanging="357"/>
        <w:rPr>
          <w:rFonts w:cs="Arial"/>
          <w:i/>
          <w:color w:val="000000"/>
          <w:sz w:val="16"/>
          <w:szCs w:val="16"/>
        </w:rPr>
      </w:pPr>
      <w:r w:rsidRPr="004E27EA">
        <w:rPr>
          <w:rFonts w:cs="Arial"/>
          <w:i/>
          <w:color w:val="000000" w:themeColor="text1"/>
          <w:sz w:val="16"/>
          <w:szCs w:val="16"/>
        </w:rPr>
        <w:t xml:space="preserve">Acceso a la información pública. RRA 0540/17. Sesión del 08 de marzo del 2017. Votación por unanimidad. </w:t>
      </w:r>
      <w:r w:rsidRPr="004E27EA">
        <w:rPr>
          <w:rFonts w:eastAsia="Arial" w:cs="Arial"/>
          <w:i/>
          <w:sz w:val="16"/>
          <w:szCs w:val="16"/>
        </w:rPr>
        <w:t>Sin votos disidentes o particulares.</w:t>
      </w:r>
      <w:r w:rsidRPr="004E27EA">
        <w:rPr>
          <w:rFonts w:cs="Arial"/>
          <w:i/>
          <w:color w:val="000000" w:themeColor="text1"/>
          <w:sz w:val="16"/>
          <w:szCs w:val="16"/>
        </w:rPr>
        <w:t xml:space="preserve"> Secretaría de Economía. Comisionado Ponente Francisco Javier Acuña Llamas. </w:t>
      </w:r>
    </w:p>
    <w:p w:rsidR="00215458" w:rsidRPr="00E707E0" w:rsidRDefault="00215458" w:rsidP="00215458">
      <w:pPr>
        <w:autoSpaceDE w:val="0"/>
        <w:autoSpaceDN w:val="0"/>
        <w:adjustRightInd w:val="0"/>
        <w:rPr>
          <w:szCs w:val="24"/>
          <w:highlight w:val="yellow"/>
        </w:rPr>
      </w:pPr>
    </w:p>
    <w:p w:rsidR="00215458" w:rsidRDefault="00215458" w:rsidP="00215458">
      <w:pPr>
        <w:autoSpaceDE w:val="0"/>
        <w:autoSpaceDN w:val="0"/>
        <w:adjustRightInd w:val="0"/>
        <w:rPr>
          <w:szCs w:val="24"/>
        </w:rPr>
      </w:pPr>
      <w:r>
        <w:rPr>
          <w:szCs w:val="24"/>
        </w:rPr>
        <w:t>E</w:t>
      </w:r>
      <w:r w:rsidRPr="00E707E0">
        <w:rPr>
          <w:szCs w:val="24"/>
        </w:rPr>
        <w:t>s de señalar que la información que es entregada al Órgano Superior de Fiscalización del Estado de México, junto con el Informe Mensual, si bien se remite dentro de los veinte días posteriores al término del mes correspondiente, también lo es que, la documentación materia de estudio debe ser generada y entregada al momento de realizar los movimientos respectivos, por lo que, debe de obrar en sus archivos los recibos de pago que guardan relación con lo requerido por el ahora recurrente</w:t>
      </w:r>
      <w:r>
        <w:rPr>
          <w:szCs w:val="24"/>
        </w:rPr>
        <w:t xml:space="preserve">. </w:t>
      </w:r>
    </w:p>
    <w:p w:rsidR="00174B3E" w:rsidRDefault="00174B3E" w:rsidP="00215458">
      <w:pPr>
        <w:autoSpaceDE w:val="0"/>
        <w:autoSpaceDN w:val="0"/>
        <w:adjustRightInd w:val="0"/>
        <w:rPr>
          <w:szCs w:val="24"/>
        </w:rPr>
      </w:pPr>
    </w:p>
    <w:p w:rsidR="00174B3E" w:rsidRDefault="00174B3E" w:rsidP="00174B3E">
      <w:pPr>
        <w:rPr>
          <w:rFonts w:cs="Arial"/>
        </w:rPr>
      </w:pPr>
      <w:r>
        <w:rPr>
          <w:rFonts w:cs="Arial"/>
        </w:rPr>
        <w:t>Por lo que hace al requerimiento de información  “</w:t>
      </w:r>
      <w:r w:rsidRPr="00174B3E">
        <w:rPr>
          <w:i/>
          <w:color w:val="000000"/>
          <w:sz w:val="22"/>
        </w:rPr>
        <w:t>SUELDOS Y AGUINALDOS DE TRABAJADORES ACTIVOS Y DADOS DE BAJA”</w:t>
      </w:r>
      <w:r>
        <w:rPr>
          <w:rFonts w:cs="Arial"/>
        </w:rPr>
        <w:t xml:space="preserve"> al no haber requerido un documento en específico, se tiene que los documentos que dan cuenta de la información requerida, </w:t>
      </w:r>
      <w:r w:rsidR="007C2006" w:rsidRPr="007C2006">
        <w:rPr>
          <w:rFonts w:cs="Arial"/>
          <w:highlight w:val="yellow"/>
        </w:rPr>
        <w:t xml:space="preserve">este Instituto advierte que el soporte documental que puede dar cuenta de lo requerido corresponde a la </w:t>
      </w:r>
      <w:r w:rsidRPr="007C2006">
        <w:rPr>
          <w:rFonts w:cs="Arial"/>
          <w:highlight w:val="yellow"/>
        </w:rPr>
        <w:t>conciliación de nómina.</w:t>
      </w:r>
      <w:r>
        <w:rPr>
          <w:rFonts w:cs="Arial"/>
        </w:rPr>
        <w:t xml:space="preserve"> </w:t>
      </w:r>
    </w:p>
    <w:p w:rsidR="007C2006" w:rsidRPr="00E14D5A" w:rsidRDefault="007C2006" w:rsidP="00174B3E">
      <w:pPr>
        <w:rPr>
          <w:rFonts w:cs="Arial"/>
        </w:rPr>
      </w:pPr>
    </w:p>
    <w:p w:rsidR="00174B3E" w:rsidRPr="00130611" w:rsidRDefault="00174B3E" w:rsidP="00174B3E">
      <w:pPr>
        <w:rPr>
          <w:rFonts w:cs="Arial"/>
          <w:lang w:val="es-MX" w:eastAsia="en-US"/>
        </w:rPr>
      </w:pPr>
      <w:r w:rsidRPr="00130611">
        <w:rPr>
          <w:rFonts w:cs="Arial"/>
          <w:lang w:val="es-MX" w:eastAsia="en-US"/>
        </w:rPr>
        <w:t xml:space="preserve">Dicho lo anterior,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130611">
        <w:rPr>
          <w:rFonts w:cs="Arial"/>
          <w:lang w:val="es-MX" w:eastAsia="en-US"/>
        </w:rPr>
        <w:t>Presupuestación</w:t>
      </w:r>
      <w:proofErr w:type="spellEnd"/>
      <w:r w:rsidRPr="00130611">
        <w:rPr>
          <w:rFonts w:cs="Arial"/>
          <w:lang w:val="es-MX" w:eastAsia="en-US"/>
        </w:rPr>
        <w:t xml:space="preserve"> y Evaluación en la Administración Pública”, elaborado </w:t>
      </w:r>
      <w:r w:rsidRPr="00130611">
        <w:rPr>
          <w:rFonts w:cs="Arial"/>
          <w:lang w:val="es-MX" w:eastAsia="en-US"/>
        </w:rPr>
        <w:lastRenderedPageBreak/>
        <w:t>por el Grupo de Trabajo de Sistemas de Información Financiera, Contable y Presupuestal de la Comisión Permanente de Funcionarios Fiscales del Instituto para el Desarrollo Técnico de las Haciendas Públicas (INDETEC) señalan la sigu</w:t>
      </w:r>
      <w:r>
        <w:rPr>
          <w:rFonts w:cs="Arial"/>
          <w:lang w:val="es-MX" w:eastAsia="en-US"/>
        </w:rPr>
        <w:t>iente definición de la palabra:</w:t>
      </w:r>
    </w:p>
    <w:p w:rsidR="00174B3E" w:rsidRPr="000114C8" w:rsidRDefault="00174B3E" w:rsidP="00174B3E">
      <w:pPr>
        <w:ind w:left="567" w:right="567"/>
        <w:rPr>
          <w:rFonts w:cs="Arial"/>
          <w:i/>
          <w:sz w:val="22"/>
          <w:lang w:val="es-MX" w:eastAsia="en-US"/>
        </w:rPr>
      </w:pPr>
      <w:r w:rsidRPr="000114C8">
        <w:rPr>
          <w:rFonts w:cs="Arial"/>
          <w:i/>
          <w:sz w:val="22"/>
          <w:lang w:val="es-MX" w:eastAsia="en-US"/>
        </w:rPr>
        <w:t>“</w:t>
      </w:r>
      <w:r w:rsidRPr="000114C8">
        <w:rPr>
          <w:rFonts w:cs="Arial"/>
          <w:b/>
          <w:i/>
          <w:sz w:val="22"/>
          <w:lang w:val="es-MX" w:eastAsia="en-US"/>
        </w:rPr>
        <w:t>NÓMINA</w:t>
      </w:r>
      <w:r w:rsidRPr="000114C8">
        <w:rPr>
          <w:rFonts w:cs="Arial"/>
          <w:i/>
          <w:sz w:val="22"/>
          <w:lang w:val="es-MX" w:eastAsia="en-US"/>
        </w:rPr>
        <w:t>: Listado general de los trabajadores de una institución, en el cual se asientan las percepciones brutas, deducciones y alcance neto de las mismas; la nómina es utilizada para efectuar los pagos periódicos (semanales, quincenales o mensuales) a los trabajadores por concepto de sueldos y salarios.”</w:t>
      </w:r>
    </w:p>
    <w:p w:rsidR="00174B3E" w:rsidRPr="00130611" w:rsidRDefault="00174B3E" w:rsidP="00174B3E">
      <w:pPr>
        <w:rPr>
          <w:rFonts w:cs="Arial"/>
          <w:lang w:val="es-MX" w:eastAsia="en-US"/>
        </w:rPr>
      </w:pPr>
    </w:p>
    <w:p w:rsidR="00174B3E" w:rsidRPr="00130611" w:rsidRDefault="00174B3E" w:rsidP="00174B3E">
      <w:pPr>
        <w:rPr>
          <w:rFonts w:cs="Arial"/>
          <w:lang w:val="es-MX" w:eastAsia="en-US"/>
        </w:rPr>
      </w:pPr>
      <w:r w:rsidRPr="00130611">
        <w:rPr>
          <w:rFonts w:cs="Arial"/>
          <w:lang w:val="es-MX" w:eastAsia="en-US"/>
        </w:rPr>
        <w:t>Relativo al tema, debemos traer a colación que el artículo 147 de la Constitución Política del Estado Libre y Soberano de México, establece que los trabajadores al servicio del Estado y los miembros de los Ayuntamientos, recibirán una remuneración adecuada e irrenunciable por el desempeño de su empleo, cargo o comisión, que será determinada en el presupuesto de egresos que corresponda.</w:t>
      </w:r>
    </w:p>
    <w:p w:rsidR="00174B3E" w:rsidRPr="00130611" w:rsidRDefault="00174B3E" w:rsidP="00174B3E">
      <w:pPr>
        <w:rPr>
          <w:rFonts w:cs="Arial"/>
          <w:lang w:val="es-MX" w:eastAsia="en-US"/>
        </w:rPr>
      </w:pPr>
    </w:p>
    <w:p w:rsidR="00174B3E" w:rsidRPr="00130611" w:rsidRDefault="00174B3E" w:rsidP="00174B3E">
      <w:pPr>
        <w:rPr>
          <w:rFonts w:cs="Arial"/>
          <w:lang w:val="es-MX" w:eastAsia="en-US"/>
        </w:rPr>
      </w:pPr>
      <w:r w:rsidRPr="00130611">
        <w:rPr>
          <w:rFonts w:cs="Arial"/>
          <w:lang w:val="es-MX" w:eastAsia="en-US"/>
        </w:rPr>
        <w:t>En el mismo sentido, el Código Financiero del Estado de México y Municipios, en su artículo 3° fracción XXXXII estipula lo sigui</w:t>
      </w:r>
      <w:r>
        <w:rPr>
          <w:rFonts w:cs="Arial"/>
          <w:lang w:val="es-MX" w:eastAsia="en-US"/>
        </w:rPr>
        <w:t>ente:</w:t>
      </w:r>
    </w:p>
    <w:p w:rsidR="00174B3E" w:rsidRPr="00130611" w:rsidRDefault="00174B3E" w:rsidP="00174B3E">
      <w:pPr>
        <w:ind w:left="567" w:right="567"/>
        <w:rPr>
          <w:rFonts w:cs="Arial"/>
          <w:b/>
          <w:i/>
          <w:sz w:val="22"/>
          <w:lang w:val="es-MX" w:eastAsia="en-US"/>
        </w:rPr>
      </w:pPr>
      <w:r w:rsidRPr="00130611">
        <w:rPr>
          <w:rFonts w:cs="Arial"/>
          <w:i/>
          <w:sz w:val="22"/>
          <w:lang w:val="es-MX" w:eastAsia="en-US"/>
        </w:rPr>
        <w:t>“</w:t>
      </w:r>
      <w:r w:rsidRPr="00130611">
        <w:rPr>
          <w:rFonts w:cs="Arial"/>
          <w:b/>
          <w:i/>
          <w:sz w:val="22"/>
          <w:lang w:val="es-MX" w:eastAsia="en-US"/>
        </w:rPr>
        <w:t xml:space="preserve">Artículo 3. </w:t>
      </w:r>
    </w:p>
    <w:p w:rsidR="00174B3E" w:rsidRPr="00130611" w:rsidRDefault="00174B3E" w:rsidP="00174B3E">
      <w:pPr>
        <w:ind w:left="567" w:right="567"/>
        <w:rPr>
          <w:rFonts w:cs="Arial"/>
          <w:b/>
          <w:i/>
          <w:sz w:val="22"/>
          <w:lang w:val="es-MX" w:eastAsia="en-US"/>
        </w:rPr>
      </w:pPr>
      <w:r w:rsidRPr="00130611">
        <w:rPr>
          <w:rFonts w:cs="Arial"/>
          <w:b/>
          <w:i/>
          <w:sz w:val="22"/>
          <w:lang w:val="es-MX" w:eastAsia="en-US"/>
        </w:rPr>
        <w:t>(…)</w:t>
      </w:r>
    </w:p>
    <w:p w:rsidR="00174B3E" w:rsidRPr="00130611" w:rsidRDefault="00174B3E" w:rsidP="00174B3E">
      <w:pPr>
        <w:ind w:left="567" w:right="567"/>
        <w:rPr>
          <w:rFonts w:cs="Arial"/>
          <w:i/>
          <w:sz w:val="22"/>
          <w:lang w:val="es-MX" w:eastAsia="en-US"/>
        </w:rPr>
      </w:pPr>
      <w:r w:rsidRPr="00130611">
        <w:rPr>
          <w:rFonts w:cs="Arial"/>
          <w:b/>
          <w:i/>
          <w:sz w:val="22"/>
          <w:lang w:val="es-MX" w:eastAsia="en-US"/>
        </w:rPr>
        <w:t>XXXII. Remuneración:</w:t>
      </w:r>
      <w:r w:rsidRPr="00130611">
        <w:rPr>
          <w:rFonts w:cs="Arial"/>
          <w:i/>
          <w:sz w:val="22"/>
          <w:lang w:val="es-MX" w:eastAsia="en-US"/>
        </w:rPr>
        <w:t xml:space="preserve">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rsidR="00174B3E" w:rsidRPr="005E3B84" w:rsidRDefault="00174B3E" w:rsidP="005E3B84">
      <w:pPr>
        <w:ind w:left="567" w:right="567"/>
        <w:rPr>
          <w:rFonts w:cs="Arial"/>
          <w:i/>
          <w:sz w:val="22"/>
          <w:lang w:val="es-MX" w:eastAsia="en-US"/>
        </w:rPr>
      </w:pPr>
      <w:r w:rsidRPr="00130611">
        <w:rPr>
          <w:rFonts w:cs="Arial"/>
          <w:i/>
          <w:sz w:val="22"/>
          <w:lang w:val="es-MX" w:eastAsia="en-US"/>
        </w:rPr>
        <w:t>(…)”</w:t>
      </w:r>
    </w:p>
    <w:p w:rsidR="00174B3E" w:rsidRPr="00130611" w:rsidRDefault="00174B3E" w:rsidP="00174B3E">
      <w:pPr>
        <w:rPr>
          <w:rFonts w:cs="Arial"/>
          <w:lang w:val="es-MX" w:eastAsia="en-US"/>
        </w:rPr>
      </w:pPr>
      <w:r w:rsidRPr="00130611">
        <w:rPr>
          <w:rFonts w:cs="Arial"/>
          <w:lang w:val="es-MX" w:eastAsia="en-US"/>
        </w:rPr>
        <w:lastRenderedPageBreak/>
        <w:t xml:space="preserve">Además, la Ley Orgánica Municipal del Estado de México en el artículo 31 fracción XIX establece como atribución de los Ayuntamientos aprobar su </w:t>
      </w:r>
      <w:r w:rsidRPr="00130611">
        <w:rPr>
          <w:rFonts w:cs="Arial"/>
          <w:b/>
          <w:lang w:val="es-MX" w:eastAsia="en-US"/>
        </w:rPr>
        <w:t>Presupuesto de Egresos</w:t>
      </w:r>
      <w:r w:rsidRPr="00130611">
        <w:rPr>
          <w:rFonts w:cs="Arial"/>
          <w:lang w:val="es-MX" w:eastAsia="en-US"/>
        </w:rPr>
        <w:t xml:space="preserve">, y al hacerlo deberán señalar </w:t>
      </w:r>
      <w:r w:rsidRPr="00130611">
        <w:rPr>
          <w:rFonts w:cs="Arial"/>
          <w:i/>
          <w:lang w:val="es-MX" w:eastAsia="en-US"/>
        </w:rPr>
        <w:t>“</w:t>
      </w:r>
      <w:r w:rsidRPr="00130611">
        <w:rPr>
          <w:rFonts w:cs="Arial"/>
          <w:b/>
          <w:i/>
          <w:lang w:val="es-MX" w:eastAsia="en-US"/>
        </w:rPr>
        <w:t>la remuneración</w:t>
      </w:r>
      <w:r w:rsidRPr="00130611">
        <w:rPr>
          <w:rFonts w:cs="Arial"/>
          <w:i/>
          <w:lang w:val="es-MX" w:eastAsia="en-US"/>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 y además “las remuneraciones de todo tipo del Presidente Municipal, Síndicos, Regidores y servidores públicos en general, incluyendo mandos medios y superiores de la administración municipal, serán </w:t>
      </w:r>
      <w:r w:rsidRPr="00130611">
        <w:rPr>
          <w:rFonts w:cs="Arial"/>
          <w:b/>
          <w:i/>
          <w:lang w:val="es-MX" w:eastAsia="en-US"/>
        </w:rPr>
        <w:t>determinadas anualmente en el presupuesto de egresos</w:t>
      </w:r>
      <w:r w:rsidRPr="00130611">
        <w:rPr>
          <w:rFonts w:cs="Arial"/>
          <w:i/>
          <w:lang w:val="es-MX" w:eastAsia="en-US"/>
        </w:rPr>
        <w:t xml:space="preserve"> correspondiente y se sujetarán a los lineamientos legales establecidos para todos los servidores públicos municipales”.(…)</w:t>
      </w:r>
    </w:p>
    <w:p w:rsidR="00174B3E" w:rsidRPr="00130611" w:rsidRDefault="00174B3E" w:rsidP="00174B3E">
      <w:pPr>
        <w:rPr>
          <w:rFonts w:cs="Arial"/>
          <w:lang w:val="es-MX" w:eastAsia="en-US"/>
        </w:rPr>
      </w:pPr>
    </w:p>
    <w:p w:rsidR="00174B3E" w:rsidRPr="00130611" w:rsidRDefault="00174B3E" w:rsidP="00174B3E">
      <w:pPr>
        <w:rPr>
          <w:rFonts w:cs="Arial"/>
          <w:lang w:val="es-MX" w:eastAsia="en-US"/>
        </w:rPr>
      </w:pPr>
      <w:r w:rsidRPr="00130611">
        <w:rPr>
          <w:rFonts w:cs="Arial"/>
          <w:lang w:val="es-MX" w:eastAsia="en-US"/>
        </w:rPr>
        <w:t xml:space="preserve">Del ordenamiento legal citado se desprende que las remuneraciones se encuentran contenidas tanto en el presupuesto de egresos como en el informe mensual que se envía al Órgano Superior de Fiscalización, y que dichas facultades son conferidas a la </w:t>
      </w:r>
      <w:r w:rsidRPr="00130611">
        <w:rPr>
          <w:rFonts w:cs="Arial"/>
          <w:b/>
          <w:lang w:val="es-MX" w:eastAsia="en-US"/>
        </w:rPr>
        <w:t>Tesorería Municipal</w:t>
      </w:r>
      <w:r w:rsidRPr="00130611">
        <w:rPr>
          <w:rFonts w:cs="Arial"/>
          <w:lang w:val="es-MX" w:eastAsia="en-US"/>
        </w:rPr>
        <w:t>.</w:t>
      </w:r>
    </w:p>
    <w:p w:rsidR="00174B3E" w:rsidRPr="00130611" w:rsidRDefault="00174B3E" w:rsidP="00174B3E">
      <w:pPr>
        <w:rPr>
          <w:rFonts w:cs="Arial"/>
          <w:lang w:val="es-MX" w:eastAsia="en-US"/>
        </w:rPr>
      </w:pPr>
    </w:p>
    <w:p w:rsidR="00174B3E" w:rsidRPr="005E3B84" w:rsidRDefault="00174B3E" w:rsidP="00174B3E">
      <w:pPr>
        <w:rPr>
          <w:rFonts w:cs="Arial"/>
          <w:b/>
          <w:lang w:val="es-MX" w:eastAsia="en-US"/>
        </w:rPr>
      </w:pPr>
      <w:r w:rsidRPr="00130611">
        <w:rPr>
          <w:rFonts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Constitución Política de los Estados Unidos Mexicanos y 3, fracción XXXII del Código Financiero del Estado de México y Municipios, </w:t>
      </w:r>
      <w:r w:rsidRPr="00130611">
        <w:rPr>
          <w:rFonts w:cs="Arial"/>
          <w:b/>
          <w:lang w:val="es-MX" w:eastAsia="en-US"/>
        </w:rPr>
        <w:t>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174B3E" w:rsidRPr="00130611" w:rsidRDefault="00174B3E" w:rsidP="00174B3E">
      <w:pPr>
        <w:spacing w:before="240" w:after="240"/>
      </w:pPr>
      <w:r w:rsidRPr="00130611">
        <w:lastRenderedPageBreak/>
        <w:t xml:space="preserve">Aunado a lo anterior, </w:t>
      </w:r>
      <w:r w:rsidRPr="00130611">
        <w:rPr>
          <w:rFonts w:cs="Arial"/>
          <w:color w:val="000000"/>
        </w:rPr>
        <w:t>l</w:t>
      </w:r>
      <w:r w:rsidRPr="00130611">
        <w:rPr>
          <w:color w:val="000000"/>
        </w:rPr>
        <w:t xml:space="preserve">os Lineamientos para la Presentación del Informe Trimestral Municipal Ejercicio Fiscal 2024, visibles en la página oficial del Órgano Superior de Fiscalización del Estado de México (OSFEM), </w:t>
      </w:r>
      <w:r w:rsidRPr="00130611">
        <w:t xml:space="preserve">donde se destaca que dentro de los informes trimestrales que </w:t>
      </w:r>
      <w:r w:rsidRPr="00130611">
        <w:rPr>
          <w:b/>
        </w:rPr>
        <w:t xml:space="preserve">El Sujeto Obligado </w:t>
      </w:r>
      <w:r w:rsidRPr="00130611">
        <w:t>tiene la obligación de rendir, se contempla precisamente la presentación de la información referente a la Conciliación de Nómina, los cuales define como:</w:t>
      </w:r>
    </w:p>
    <w:p w:rsidR="00174B3E" w:rsidRPr="00130611" w:rsidRDefault="00174B3E" w:rsidP="00174B3E">
      <w:pPr>
        <w:numPr>
          <w:ilvl w:val="0"/>
          <w:numId w:val="14"/>
        </w:numPr>
        <w:spacing w:before="240" w:after="240"/>
      </w:pPr>
      <w:r w:rsidRPr="00130611">
        <w:rPr>
          <w:b/>
        </w:rPr>
        <w:t>Conciliación de Nómina:</w:t>
      </w:r>
      <w:r w:rsidRPr="00130611">
        <w:t xml:space="preserve"> es el concentrado mensual de las cifras derivadas de todas las erogaciones realizadas por concepto de remuneraciones al trabajo, registradas en la nómina; las cuales deben coincidir con las contenidas en los registros contables, por concepto de remuneraciones o trabajo personal.</w:t>
      </w:r>
    </w:p>
    <w:p w:rsidR="00174B3E" w:rsidRPr="00130611" w:rsidRDefault="00174B3E" w:rsidP="00174B3E">
      <w:pPr>
        <w:spacing w:before="240" w:after="240"/>
        <w:ind w:left="720"/>
      </w:pPr>
      <w:r w:rsidRPr="00130611">
        <w:rPr>
          <w:noProof/>
          <w:lang w:val="es-MX"/>
        </w:rPr>
        <w:drawing>
          <wp:inline distT="0" distB="0" distL="0" distR="0" wp14:anchorId="5D184837" wp14:editId="07974B36">
            <wp:extent cx="5229225" cy="400964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145C63.tmp"/>
                    <pic:cNvPicPr/>
                  </pic:nvPicPr>
                  <pic:blipFill>
                    <a:blip r:embed="rId10">
                      <a:extLst>
                        <a:ext uri="{28A0092B-C50C-407E-A947-70E740481C1C}">
                          <a14:useLocalDpi xmlns:a14="http://schemas.microsoft.com/office/drawing/2010/main" val="0"/>
                        </a:ext>
                      </a:extLst>
                    </a:blip>
                    <a:stretch>
                      <a:fillRect/>
                    </a:stretch>
                  </pic:blipFill>
                  <pic:spPr>
                    <a:xfrm>
                      <a:off x="0" y="0"/>
                      <a:ext cx="5240683" cy="4018429"/>
                    </a:xfrm>
                    <a:prstGeom prst="rect">
                      <a:avLst/>
                    </a:prstGeom>
                  </pic:spPr>
                </pic:pic>
              </a:graphicData>
            </a:graphic>
          </wp:inline>
        </w:drawing>
      </w:r>
    </w:p>
    <w:p w:rsidR="00174B3E" w:rsidRPr="00130611" w:rsidRDefault="00174B3E" w:rsidP="00174B3E">
      <w:pPr>
        <w:spacing w:before="240" w:after="240"/>
        <w:ind w:left="720"/>
      </w:pPr>
      <w:r w:rsidRPr="00130611">
        <w:rPr>
          <w:noProof/>
          <w:lang w:val="es-MX"/>
        </w:rPr>
        <w:lastRenderedPageBreak/>
        <w:drawing>
          <wp:inline distT="0" distB="0" distL="0" distR="0" wp14:anchorId="522D194D" wp14:editId="27309224">
            <wp:extent cx="5229225" cy="1652905"/>
            <wp:effectExtent l="0" t="0" r="952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14CAED.tmp"/>
                    <pic:cNvPicPr/>
                  </pic:nvPicPr>
                  <pic:blipFill>
                    <a:blip r:embed="rId11">
                      <a:extLst>
                        <a:ext uri="{28A0092B-C50C-407E-A947-70E740481C1C}">
                          <a14:useLocalDpi xmlns:a14="http://schemas.microsoft.com/office/drawing/2010/main" val="0"/>
                        </a:ext>
                      </a:extLst>
                    </a:blip>
                    <a:stretch>
                      <a:fillRect/>
                    </a:stretch>
                  </pic:blipFill>
                  <pic:spPr>
                    <a:xfrm>
                      <a:off x="0" y="0"/>
                      <a:ext cx="5229225" cy="1652905"/>
                    </a:xfrm>
                    <a:prstGeom prst="rect">
                      <a:avLst/>
                    </a:prstGeom>
                  </pic:spPr>
                </pic:pic>
              </a:graphicData>
            </a:graphic>
          </wp:inline>
        </w:drawing>
      </w:r>
    </w:p>
    <w:p w:rsidR="00174B3E" w:rsidRPr="00130611" w:rsidRDefault="00174B3E" w:rsidP="00174B3E">
      <w:pPr>
        <w:spacing w:before="240" w:after="240"/>
        <w:jc w:val="center"/>
      </w:pPr>
      <w:r w:rsidRPr="00130611">
        <w:rPr>
          <w:noProof/>
          <w:lang w:val="es-MX"/>
        </w:rPr>
        <w:drawing>
          <wp:inline distT="0" distB="0" distL="0" distR="0" wp14:anchorId="0D632987" wp14:editId="303CC73B">
            <wp:extent cx="4191000" cy="5366716"/>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149013.tmp"/>
                    <pic:cNvPicPr/>
                  </pic:nvPicPr>
                  <pic:blipFill>
                    <a:blip r:embed="rId12">
                      <a:extLst>
                        <a:ext uri="{28A0092B-C50C-407E-A947-70E740481C1C}">
                          <a14:useLocalDpi xmlns:a14="http://schemas.microsoft.com/office/drawing/2010/main" val="0"/>
                        </a:ext>
                      </a:extLst>
                    </a:blip>
                    <a:stretch>
                      <a:fillRect/>
                    </a:stretch>
                  </pic:blipFill>
                  <pic:spPr>
                    <a:xfrm>
                      <a:off x="0" y="0"/>
                      <a:ext cx="4196706" cy="5374022"/>
                    </a:xfrm>
                    <a:prstGeom prst="rect">
                      <a:avLst/>
                    </a:prstGeom>
                  </pic:spPr>
                </pic:pic>
              </a:graphicData>
            </a:graphic>
          </wp:inline>
        </w:drawing>
      </w:r>
    </w:p>
    <w:p w:rsidR="00174B3E" w:rsidRPr="00130611" w:rsidRDefault="00174B3E" w:rsidP="00174B3E">
      <w:pPr>
        <w:spacing w:before="240" w:after="240"/>
        <w:jc w:val="center"/>
      </w:pPr>
    </w:p>
    <w:p w:rsidR="00174B3E" w:rsidRPr="00130611" w:rsidRDefault="00174B3E" w:rsidP="00174B3E">
      <w:pPr>
        <w:spacing w:before="240" w:after="240"/>
        <w:jc w:val="center"/>
      </w:pPr>
      <w:r w:rsidRPr="00130611">
        <w:rPr>
          <w:noProof/>
          <w:lang w:val="es-MX"/>
        </w:rPr>
        <w:drawing>
          <wp:inline distT="0" distB="0" distL="0" distR="0" wp14:anchorId="26B3FC33" wp14:editId="61DEFB3B">
            <wp:extent cx="5267325" cy="1676812"/>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14F575.tmp"/>
                    <pic:cNvPicPr/>
                  </pic:nvPicPr>
                  <pic:blipFill>
                    <a:blip r:embed="rId13">
                      <a:extLst>
                        <a:ext uri="{28A0092B-C50C-407E-A947-70E740481C1C}">
                          <a14:useLocalDpi xmlns:a14="http://schemas.microsoft.com/office/drawing/2010/main" val="0"/>
                        </a:ext>
                      </a:extLst>
                    </a:blip>
                    <a:stretch>
                      <a:fillRect/>
                    </a:stretch>
                  </pic:blipFill>
                  <pic:spPr>
                    <a:xfrm>
                      <a:off x="0" y="0"/>
                      <a:ext cx="5283127" cy="1681843"/>
                    </a:xfrm>
                    <a:prstGeom prst="rect">
                      <a:avLst/>
                    </a:prstGeom>
                  </pic:spPr>
                </pic:pic>
              </a:graphicData>
            </a:graphic>
          </wp:inline>
        </w:drawing>
      </w:r>
    </w:p>
    <w:p w:rsidR="00174B3E" w:rsidRDefault="00174B3E" w:rsidP="00174B3E">
      <w:pPr>
        <w:autoSpaceDE w:val="0"/>
        <w:autoSpaceDN w:val="0"/>
        <w:adjustRightInd w:val="0"/>
        <w:ind w:right="49"/>
        <w:contextualSpacing/>
        <w:rPr>
          <w:rFonts w:cs="Arial"/>
          <w:lang w:val="es-MX" w:eastAsia="en-US"/>
        </w:rPr>
      </w:pPr>
      <w:r w:rsidRPr="00130611">
        <w:rPr>
          <w:rFonts w:cs="Arial"/>
          <w:lang w:val="es-MX" w:eastAsia="en-US"/>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130611">
        <w:rPr>
          <w:rFonts w:cs="Arial"/>
          <w:b/>
          <w:lang w:val="es-MX" w:eastAsia="en-US"/>
        </w:rPr>
        <w:t>Constitución Política de los Estados Unidos Mexicanos</w:t>
      </w:r>
      <w:r w:rsidRPr="00130611">
        <w:rPr>
          <w:rFonts w:cs="Arial"/>
          <w:lang w:val="es-MX" w:eastAsia="en-US"/>
        </w:rPr>
        <w:t xml:space="preserve"> y 3, fracción XXXII del </w:t>
      </w:r>
      <w:r w:rsidRPr="00130611">
        <w:rPr>
          <w:rFonts w:cs="Arial"/>
          <w:b/>
          <w:lang w:val="es-MX" w:eastAsia="en-US"/>
        </w:rPr>
        <w:t>Código Financiero del Estado de México y Municipios</w:t>
      </w:r>
      <w:r w:rsidRPr="00130611">
        <w:rPr>
          <w:rFonts w:cs="Arial"/>
          <w:lang w:val="es-MX" w:eastAsia="en-US"/>
        </w:rPr>
        <w:t>, constituyen toda percepción o pagos por concepto de sueldo, compensaciones, gratificaciones, habitación, primas, comisiones, prestaciones en especie, premios, recompensas, bonos, estímulos, dietas, aguinaldos, comisiones y cualquier otra prestación que se entregue a los servidores públicos por su trabajo.</w:t>
      </w:r>
    </w:p>
    <w:p w:rsidR="00F131A3" w:rsidRDefault="00F131A3" w:rsidP="00F131A3">
      <w:pPr>
        <w:pStyle w:val="Prrafodelista"/>
        <w:autoSpaceDE w:val="0"/>
        <w:autoSpaceDN w:val="0"/>
        <w:adjustRightInd w:val="0"/>
        <w:ind w:left="0" w:right="49"/>
        <w:rPr>
          <w:rFonts w:cs="Arial"/>
        </w:rPr>
      </w:pPr>
    </w:p>
    <w:p w:rsidR="00F131A3" w:rsidRDefault="00F131A3" w:rsidP="00F131A3">
      <w:pPr>
        <w:pStyle w:val="Prrafodelista"/>
        <w:autoSpaceDE w:val="0"/>
        <w:autoSpaceDN w:val="0"/>
        <w:adjustRightInd w:val="0"/>
        <w:ind w:left="0" w:right="49"/>
        <w:rPr>
          <w:rFonts w:eastAsia="Arial Unicode MS" w:cs="Arial"/>
          <w:lang w:val="es-419"/>
        </w:rPr>
      </w:pPr>
      <w:r w:rsidRPr="006A08E4">
        <w:rPr>
          <w:rFonts w:cs="Arial"/>
        </w:rPr>
        <w:t xml:space="preserve">No pasa desapercibido que </w:t>
      </w:r>
      <w:r w:rsidRPr="006A08E4">
        <w:rPr>
          <w:rFonts w:eastAsia="Arial Unicode MS" w:cs="Arial"/>
          <w:lang w:val="es-419"/>
        </w:rPr>
        <w:t>la Ley del Trabajo de los Servidores Públicos del Estado de México y Municipios</w:t>
      </w:r>
      <w:r>
        <w:rPr>
          <w:rFonts w:eastAsia="Arial Unicode MS" w:cs="Arial"/>
          <w:lang w:val="es-419"/>
        </w:rPr>
        <w:t xml:space="preserve"> en su artículo 78 el cual establece lo siguiente:</w:t>
      </w:r>
    </w:p>
    <w:p w:rsidR="00F131A3" w:rsidRPr="00F131A3" w:rsidRDefault="00F131A3" w:rsidP="00F131A3">
      <w:pPr>
        <w:pStyle w:val="Prrafodelista"/>
        <w:autoSpaceDE w:val="0"/>
        <w:autoSpaceDN w:val="0"/>
        <w:adjustRightInd w:val="0"/>
        <w:spacing w:line="240" w:lineRule="auto"/>
        <w:ind w:left="851" w:right="822"/>
        <w:rPr>
          <w:rFonts w:eastAsia="Arial Unicode MS" w:cs="Arial"/>
          <w:i/>
          <w:sz w:val="22"/>
          <w:lang w:val="es-419"/>
        </w:rPr>
      </w:pPr>
      <w:r w:rsidRPr="00F131A3">
        <w:rPr>
          <w:rFonts w:eastAsia="Arial Unicode MS" w:cs="Arial"/>
          <w:b/>
          <w:i/>
          <w:sz w:val="22"/>
          <w:lang w:val="es-419"/>
        </w:rPr>
        <w:t>ARTÍCULO 78.</w:t>
      </w:r>
      <w:r w:rsidRPr="00F131A3">
        <w:rPr>
          <w:rFonts w:eastAsia="Arial Unicode MS" w:cs="Arial"/>
          <w:i/>
          <w:sz w:val="22"/>
          <w:lang w:val="es-419"/>
        </w:rPr>
        <w:t xml:space="preserve"> Los servidores públicos tendrán derecho a un aguinaldo anual, equivalente a 40 días de sueldo base, cuando menos, sin deducción alguna, y estará comprendido en el presupuesto de egresos correspondiente.</w:t>
      </w:r>
    </w:p>
    <w:p w:rsidR="00F131A3" w:rsidRPr="00F131A3" w:rsidRDefault="00F131A3" w:rsidP="00F131A3">
      <w:pPr>
        <w:pStyle w:val="Prrafodelista"/>
        <w:autoSpaceDE w:val="0"/>
        <w:autoSpaceDN w:val="0"/>
        <w:adjustRightInd w:val="0"/>
        <w:spacing w:line="240" w:lineRule="auto"/>
        <w:ind w:left="851" w:right="822"/>
        <w:rPr>
          <w:rFonts w:eastAsia="Arial Unicode MS" w:cs="Arial"/>
          <w:i/>
          <w:sz w:val="22"/>
          <w:lang w:val="es-419"/>
        </w:rPr>
      </w:pPr>
    </w:p>
    <w:p w:rsidR="00F131A3" w:rsidRPr="00F131A3" w:rsidRDefault="00F131A3" w:rsidP="00F131A3">
      <w:pPr>
        <w:pStyle w:val="Prrafodelista"/>
        <w:autoSpaceDE w:val="0"/>
        <w:autoSpaceDN w:val="0"/>
        <w:adjustRightInd w:val="0"/>
        <w:spacing w:line="240" w:lineRule="auto"/>
        <w:ind w:left="851" w:right="822"/>
        <w:rPr>
          <w:rFonts w:eastAsia="Arial Unicode MS" w:cs="Arial"/>
          <w:i/>
          <w:sz w:val="22"/>
          <w:lang w:val="es-419"/>
        </w:rPr>
      </w:pPr>
      <w:r w:rsidRPr="00F131A3">
        <w:rPr>
          <w:rFonts w:eastAsia="Arial Unicode MS" w:cs="Arial"/>
          <w:i/>
          <w:sz w:val="22"/>
          <w:lang w:val="es-419"/>
        </w:rPr>
        <w:t>Dicho aguinaldo deberá pagarse en dos entregas, la primera de ellas previo al primer período vacacional y la segunda a más tardar el día 15 de diciembre.</w:t>
      </w:r>
    </w:p>
    <w:p w:rsidR="00F131A3" w:rsidRPr="00F131A3" w:rsidRDefault="00F131A3" w:rsidP="00F131A3">
      <w:pPr>
        <w:pStyle w:val="Prrafodelista"/>
        <w:autoSpaceDE w:val="0"/>
        <w:autoSpaceDN w:val="0"/>
        <w:adjustRightInd w:val="0"/>
        <w:spacing w:line="240" w:lineRule="auto"/>
        <w:ind w:left="851" w:right="822"/>
        <w:rPr>
          <w:rFonts w:eastAsia="Arial Unicode MS" w:cs="Arial"/>
          <w:i/>
          <w:sz w:val="22"/>
          <w:lang w:val="es-419"/>
        </w:rPr>
      </w:pPr>
    </w:p>
    <w:p w:rsidR="005E3B84" w:rsidRPr="001C2754" w:rsidRDefault="00F131A3" w:rsidP="001C2754">
      <w:pPr>
        <w:pStyle w:val="Prrafodelista"/>
        <w:autoSpaceDE w:val="0"/>
        <w:autoSpaceDN w:val="0"/>
        <w:adjustRightInd w:val="0"/>
        <w:spacing w:line="240" w:lineRule="auto"/>
        <w:ind w:left="851" w:right="822"/>
        <w:rPr>
          <w:rFonts w:eastAsia="Arial Unicode MS" w:cs="Arial"/>
          <w:i/>
          <w:sz w:val="22"/>
          <w:lang w:val="es-419"/>
        </w:rPr>
      </w:pPr>
      <w:r w:rsidRPr="00E14D5A">
        <w:rPr>
          <w:rFonts w:eastAsia="Arial Unicode MS" w:cs="Arial"/>
          <w:i/>
          <w:sz w:val="22"/>
          <w:u w:val="single"/>
          <w:lang w:val="es-419"/>
        </w:rPr>
        <w:lastRenderedPageBreak/>
        <w:t>Los servidores públicos que hayan prestado sus servicios por un lapso menor a un año, tendrán derecho a que se les pague la parte proporcional del aguinaldo de acuerdo a los días efectivamente trabajados</w:t>
      </w:r>
      <w:r w:rsidRPr="00F131A3">
        <w:rPr>
          <w:rFonts w:eastAsia="Arial Unicode MS" w:cs="Arial"/>
          <w:i/>
          <w:sz w:val="22"/>
          <w:lang w:val="es-419"/>
        </w:rPr>
        <w:t>.</w:t>
      </w:r>
    </w:p>
    <w:p w:rsidR="007E1C08" w:rsidRDefault="007E1C08" w:rsidP="00F131A3">
      <w:pPr>
        <w:pStyle w:val="Prrafodelista"/>
        <w:autoSpaceDE w:val="0"/>
        <w:autoSpaceDN w:val="0"/>
        <w:adjustRightInd w:val="0"/>
        <w:ind w:left="0" w:right="49"/>
        <w:rPr>
          <w:rFonts w:eastAsia="Arial Unicode MS" w:cs="Arial"/>
          <w:lang w:val="es-419"/>
        </w:rPr>
      </w:pPr>
    </w:p>
    <w:p w:rsidR="00174B3E" w:rsidRDefault="00F131A3" w:rsidP="00F131A3">
      <w:pPr>
        <w:pStyle w:val="Prrafodelista"/>
        <w:autoSpaceDE w:val="0"/>
        <w:autoSpaceDN w:val="0"/>
        <w:adjustRightInd w:val="0"/>
        <w:ind w:left="0" w:right="49"/>
        <w:rPr>
          <w:rFonts w:eastAsia="Arial Unicode MS" w:cs="Arial"/>
        </w:rPr>
      </w:pPr>
      <w:r>
        <w:rPr>
          <w:rFonts w:eastAsia="Arial Unicode MS" w:cs="Arial"/>
          <w:lang w:val="es-419"/>
        </w:rPr>
        <w:t xml:space="preserve">Deposición normativa que </w:t>
      </w:r>
      <w:r w:rsidRPr="006A08E4">
        <w:rPr>
          <w:rFonts w:eastAsia="Arial Unicode MS" w:cs="Arial"/>
          <w:lang w:val="es-419"/>
        </w:rPr>
        <w:t xml:space="preserve">refiere que </w:t>
      </w:r>
      <w:r w:rsidRPr="006A08E4">
        <w:rPr>
          <w:rFonts w:eastAsia="Arial Unicode MS" w:cs="Arial"/>
        </w:rPr>
        <w:t>el</w:t>
      </w:r>
      <w:r w:rsidRPr="006A08E4">
        <w:rPr>
          <w:rFonts w:eastAsia="Arial Unicode MS" w:cs="Arial"/>
          <w:lang w:val="es-419"/>
        </w:rPr>
        <w:t xml:space="preserve"> </w:t>
      </w:r>
      <w:r w:rsidRPr="006A08E4">
        <w:rPr>
          <w:rFonts w:eastAsia="Palatino Linotype" w:cs="Palatino Linotype"/>
        </w:rPr>
        <w:t>aguinaldo</w:t>
      </w:r>
      <w:r w:rsidRPr="006A08E4">
        <w:rPr>
          <w:rFonts w:eastAsia="Arial Unicode MS" w:cs="Arial"/>
        </w:rPr>
        <w:t xml:space="preserve"> es la prestación a la que</w:t>
      </w:r>
      <w:r w:rsidRPr="006A08E4">
        <w:rPr>
          <w:rFonts w:eastAsia="Arial Unicode MS" w:cs="Arial"/>
          <w:lang w:val="es-419"/>
        </w:rPr>
        <w:t xml:space="preserve"> </w:t>
      </w:r>
      <w:r w:rsidRPr="006A08E4">
        <w:rPr>
          <w:rFonts w:eastAsia="Arial Unicode MS" w:cs="Arial"/>
        </w:rPr>
        <w:t xml:space="preserve">tendrán derecho </w:t>
      </w:r>
      <w:r w:rsidRPr="006A08E4">
        <w:rPr>
          <w:rFonts w:eastAsia="Arial Unicode MS" w:cs="Arial"/>
          <w:lang w:val="es-419"/>
        </w:rPr>
        <w:t>los servidores públicos anual</w:t>
      </w:r>
      <w:r w:rsidRPr="006A08E4">
        <w:rPr>
          <w:rFonts w:eastAsia="Arial Unicode MS" w:cs="Arial"/>
        </w:rPr>
        <w:t>mente</w:t>
      </w:r>
      <w:r w:rsidRPr="006A08E4">
        <w:rPr>
          <w:rFonts w:eastAsia="Arial Unicode MS" w:cs="Arial"/>
          <w:lang w:val="es-419"/>
        </w:rPr>
        <w:t>, equivalente a 40 días de sueldo base, cuando menos,</w:t>
      </w:r>
      <w:r w:rsidRPr="006A08E4">
        <w:rPr>
          <w:rFonts w:eastAsia="Arial Unicode MS" w:cs="Arial"/>
        </w:rPr>
        <w:t xml:space="preserve"> también señala que para los Servidores Públicos que hayan prestado sus servicios por un lapso menor a un año, tendrán derecho a que se les pague la parte proporcional del aguinaldo de acuerdo a los días efectivamente trabajados</w:t>
      </w:r>
      <w:r w:rsidRPr="006A08E4">
        <w:rPr>
          <w:rFonts w:eastAsia="Arial Unicode MS" w:cs="Arial"/>
          <w:lang w:val="es-419"/>
        </w:rPr>
        <w:t xml:space="preserve"> y estará comprendido en el presupuesto de egresos correspondiente, misma que cabe </w:t>
      </w:r>
      <w:r w:rsidRPr="006A08E4">
        <w:rPr>
          <w:rFonts w:eastAsia="Arial Unicode MS" w:cs="Arial"/>
        </w:rPr>
        <w:t>precisar</w:t>
      </w:r>
      <w:r w:rsidRPr="006A08E4">
        <w:rPr>
          <w:rFonts w:eastAsia="Arial Unicode MS" w:cs="Arial"/>
          <w:lang w:val="es-419"/>
        </w:rPr>
        <w:t xml:space="preserve">, es una </w:t>
      </w:r>
      <w:r w:rsidRPr="006A08E4">
        <w:rPr>
          <w:rFonts w:eastAsia="Arial Unicode MS" w:cs="Arial"/>
        </w:rPr>
        <w:t>prestación enmarcada en la legislación antes referida ya que todos los servidores públicos gozan de la misma, sin excepción alguna.</w:t>
      </w:r>
    </w:p>
    <w:p w:rsidR="00F131A3" w:rsidRPr="00F131A3" w:rsidRDefault="00F131A3" w:rsidP="00F131A3">
      <w:pPr>
        <w:pStyle w:val="Prrafodelista"/>
        <w:autoSpaceDE w:val="0"/>
        <w:autoSpaceDN w:val="0"/>
        <w:adjustRightInd w:val="0"/>
        <w:ind w:left="0" w:right="49"/>
        <w:rPr>
          <w:rFonts w:cs="Arial"/>
        </w:rPr>
      </w:pPr>
    </w:p>
    <w:p w:rsidR="00E14D5A" w:rsidRDefault="00174B3E" w:rsidP="00F131A3">
      <w:pPr>
        <w:spacing w:before="240" w:after="240"/>
        <w:rPr>
          <w:rFonts w:cs="Arial"/>
        </w:rPr>
      </w:pPr>
      <w:r w:rsidRPr="00130611">
        <w:rPr>
          <w:rFonts w:cs="Arial"/>
        </w:rPr>
        <w:t xml:space="preserve">En este sentido, </w:t>
      </w:r>
      <w:r w:rsidRPr="00130611">
        <w:rPr>
          <w:rFonts w:cs="Arial"/>
          <w:b/>
        </w:rPr>
        <w:t>El Sujeto Obligado</w:t>
      </w:r>
      <w:r w:rsidRPr="00130611">
        <w:rPr>
          <w:rFonts w:cs="Arial"/>
        </w:rPr>
        <w:t xml:space="preserve"> se encuentra constreñido a entregar la información solicitada por </w:t>
      </w:r>
      <w:r w:rsidRPr="00130611">
        <w:rPr>
          <w:rFonts w:cs="Arial"/>
          <w:b/>
        </w:rPr>
        <w:t>El</w:t>
      </w:r>
      <w:r w:rsidRPr="00130611">
        <w:rPr>
          <w:rFonts w:cs="Arial"/>
          <w:b/>
          <w:color w:val="000000"/>
        </w:rPr>
        <w:t xml:space="preserve"> Recurrente</w:t>
      </w:r>
      <w:r w:rsidRPr="00130611">
        <w:rPr>
          <w:rFonts w:cs="Arial"/>
        </w:rPr>
        <w:t xml:space="preserve">, de acuerdo a lo dispuesto por los artículos 3, fracción XI y 12 </w:t>
      </w:r>
      <w:r w:rsidRPr="00130611">
        <w:rPr>
          <w:rFonts w:cs="Arial"/>
          <w:bCs/>
        </w:rPr>
        <w:t>de la Ley de Transparencia y Acceso a la Información Pública del Estado de México y Municipios</w:t>
      </w:r>
      <w:r w:rsidRPr="00130611">
        <w:rPr>
          <w:rFonts w:cs="Arial"/>
        </w:rPr>
        <w:t>, de los cuales se desprende que es información pública la contenida en los documentos que los Sujetos Obligados generen, administren o se encuentre en su posesión en ejercicio de sus atribuciones.</w:t>
      </w:r>
    </w:p>
    <w:p w:rsidR="007E1C08" w:rsidRDefault="007E1C08" w:rsidP="00174B3E">
      <w:pPr>
        <w:autoSpaceDE w:val="0"/>
        <w:autoSpaceDN w:val="0"/>
        <w:adjustRightInd w:val="0"/>
        <w:spacing w:before="240" w:after="160"/>
        <w:rPr>
          <w:rFonts w:cs="Arial"/>
        </w:rPr>
      </w:pPr>
    </w:p>
    <w:p w:rsidR="00174B3E" w:rsidRPr="00130611" w:rsidRDefault="00174B3E" w:rsidP="00174B3E">
      <w:pPr>
        <w:autoSpaceDE w:val="0"/>
        <w:autoSpaceDN w:val="0"/>
        <w:adjustRightInd w:val="0"/>
        <w:spacing w:before="240" w:after="160"/>
        <w:rPr>
          <w:rFonts w:cs="Arial"/>
          <w:lang w:val="es-MX" w:eastAsia="en-US"/>
        </w:rPr>
      </w:pPr>
      <w:r w:rsidRPr="00130611">
        <w:rPr>
          <w:rFonts w:cs="Arial"/>
          <w:lang w:val="es-MX" w:eastAsia="en-US"/>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rsidR="00174B3E" w:rsidRPr="00130611" w:rsidRDefault="00174B3E" w:rsidP="00174B3E">
      <w:pPr>
        <w:autoSpaceDE w:val="0"/>
        <w:autoSpaceDN w:val="0"/>
        <w:adjustRightInd w:val="0"/>
        <w:spacing w:before="240" w:after="160"/>
        <w:ind w:left="851" w:right="851"/>
        <w:rPr>
          <w:rFonts w:cs="Arial"/>
          <w:b/>
          <w:bCs/>
          <w:i/>
          <w:color w:val="000000"/>
          <w:sz w:val="22"/>
          <w:lang w:val="es-MX" w:eastAsia="en-US"/>
        </w:rPr>
      </w:pPr>
      <w:r w:rsidRPr="00130611">
        <w:rPr>
          <w:rFonts w:cs="Arial"/>
          <w:b/>
          <w:bCs/>
          <w:i/>
          <w:color w:val="000000"/>
          <w:sz w:val="22"/>
          <w:lang w:val="es-MX" w:eastAsia="en-US"/>
        </w:rPr>
        <w:lastRenderedPageBreak/>
        <w:t xml:space="preserve">“Artículo 24. </w:t>
      </w:r>
      <w:r w:rsidRPr="00130611">
        <w:rPr>
          <w:rFonts w:cs="Arial"/>
          <w:i/>
          <w:color w:val="000000"/>
          <w:sz w:val="22"/>
          <w:lang w:val="es-MX" w:eastAsia="en-US"/>
        </w:rPr>
        <w:t>Para el cumplimiento de los objetivos de esta Ley, los sujetos obligados deberán cumplir con las siguientes obligaciones, según corresponda, de acuerdo a su naturaleza:</w:t>
      </w:r>
    </w:p>
    <w:p w:rsidR="00174B3E" w:rsidRPr="00130611" w:rsidRDefault="00174B3E" w:rsidP="00174B3E">
      <w:pPr>
        <w:autoSpaceDE w:val="0"/>
        <w:autoSpaceDN w:val="0"/>
        <w:adjustRightInd w:val="0"/>
        <w:spacing w:before="240" w:after="160"/>
        <w:ind w:left="851" w:right="851"/>
        <w:rPr>
          <w:rFonts w:cs="Arial"/>
          <w:b/>
          <w:bCs/>
          <w:i/>
          <w:color w:val="000000"/>
          <w:sz w:val="22"/>
          <w:lang w:val="es-MX" w:eastAsia="en-US"/>
        </w:rPr>
      </w:pPr>
      <w:r w:rsidRPr="00130611">
        <w:rPr>
          <w:rFonts w:cs="Arial"/>
          <w:b/>
          <w:bCs/>
          <w:i/>
          <w:color w:val="000000"/>
          <w:sz w:val="22"/>
          <w:lang w:val="es-MX" w:eastAsia="en-US"/>
        </w:rPr>
        <w:t xml:space="preserve">XII. </w:t>
      </w:r>
      <w:r w:rsidRPr="00130611">
        <w:rPr>
          <w:rFonts w:cs="Arial"/>
          <w:b/>
          <w:i/>
          <w:color w:val="000000"/>
          <w:sz w:val="22"/>
          <w:u w:val="single"/>
          <w:lang w:val="es-MX" w:eastAsia="en-US"/>
        </w:rPr>
        <w:t>Publicar y mantener actualizada la información relativa a las obligaciones generales de transparencia</w:t>
      </w:r>
      <w:r w:rsidRPr="00130611">
        <w:rPr>
          <w:rFonts w:cs="Arial"/>
          <w:i/>
          <w:color w:val="000000"/>
          <w:sz w:val="22"/>
          <w:lang w:val="es-MX" w:eastAsia="en-US"/>
        </w:rPr>
        <w:t xml:space="preserve"> previstas en la presente Ley o determinadas así por el Instituto, y en general aquella que sea de interés público;</w:t>
      </w:r>
    </w:p>
    <w:p w:rsidR="00174B3E" w:rsidRPr="00130611" w:rsidRDefault="00174B3E" w:rsidP="00174B3E">
      <w:pPr>
        <w:autoSpaceDE w:val="0"/>
        <w:autoSpaceDN w:val="0"/>
        <w:adjustRightInd w:val="0"/>
        <w:spacing w:before="240" w:after="160"/>
        <w:ind w:left="851" w:right="851"/>
        <w:rPr>
          <w:rFonts w:cs="Arial"/>
          <w:i/>
          <w:color w:val="000000"/>
          <w:sz w:val="22"/>
          <w:lang w:val="es-MX" w:eastAsia="en-US"/>
        </w:rPr>
      </w:pPr>
      <w:r w:rsidRPr="00130611">
        <w:rPr>
          <w:rFonts w:cs="Arial"/>
          <w:b/>
          <w:bCs/>
          <w:i/>
          <w:color w:val="000000"/>
          <w:sz w:val="22"/>
          <w:lang w:val="es-MX" w:eastAsia="en-US"/>
        </w:rPr>
        <w:t xml:space="preserve">Artículo 92. </w:t>
      </w:r>
      <w:r w:rsidRPr="00130611">
        <w:rPr>
          <w:rFonts w:cs="Arial"/>
          <w:i/>
          <w:color w:val="000000"/>
          <w:sz w:val="22"/>
          <w:lang w:val="es-MX" w:eastAsia="en-US"/>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rsidR="00174B3E" w:rsidRPr="00130611" w:rsidRDefault="00174B3E" w:rsidP="00174B3E">
      <w:pPr>
        <w:autoSpaceDE w:val="0"/>
        <w:autoSpaceDN w:val="0"/>
        <w:adjustRightInd w:val="0"/>
        <w:spacing w:before="240" w:after="160"/>
        <w:ind w:left="851" w:right="851"/>
        <w:rPr>
          <w:rFonts w:cs="Arial"/>
          <w:i/>
          <w:color w:val="000000"/>
          <w:sz w:val="22"/>
          <w:lang w:val="es-MX" w:eastAsia="en-US"/>
        </w:rPr>
      </w:pPr>
      <w:r w:rsidRPr="00130611">
        <w:rPr>
          <w:rFonts w:cs="Arial"/>
          <w:b/>
          <w:bCs/>
          <w:i/>
          <w:color w:val="000000"/>
          <w:sz w:val="22"/>
          <w:lang w:val="es-MX" w:eastAsia="en-US"/>
        </w:rPr>
        <w:t>(…</w:t>
      </w:r>
      <w:r w:rsidRPr="00130611">
        <w:rPr>
          <w:rFonts w:cs="Arial"/>
          <w:i/>
          <w:color w:val="000000"/>
          <w:sz w:val="22"/>
          <w:lang w:val="es-MX" w:eastAsia="en-US"/>
        </w:rPr>
        <w:t>)</w:t>
      </w:r>
    </w:p>
    <w:p w:rsidR="00174B3E" w:rsidRPr="00130611" w:rsidRDefault="00174B3E" w:rsidP="00174B3E">
      <w:pPr>
        <w:autoSpaceDE w:val="0"/>
        <w:autoSpaceDN w:val="0"/>
        <w:adjustRightInd w:val="0"/>
        <w:spacing w:before="240" w:after="160"/>
        <w:ind w:left="851" w:right="851"/>
        <w:rPr>
          <w:b/>
          <w:i/>
          <w:sz w:val="22"/>
          <w:u w:val="single"/>
          <w:lang w:val="es-MX" w:eastAsia="en-US"/>
        </w:rPr>
      </w:pPr>
      <w:r w:rsidRPr="00130611">
        <w:rPr>
          <w:b/>
          <w:bCs/>
          <w:i/>
          <w:sz w:val="22"/>
          <w:u w:val="single"/>
          <w:lang w:val="es-MX" w:eastAsia="en-US"/>
        </w:rPr>
        <w:t xml:space="preserve">VIII. </w:t>
      </w:r>
      <w:r w:rsidRPr="00130611">
        <w:rPr>
          <w:b/>
          <w:i/>
          <w:sz w:val="22"/>
          <w:u w:val="single"/>
          <w:lang w:val="es-MX" w:eastAsia="en-US"/>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rsidR="00174B3E" w:rsidRDefault="00174B3E" w:rsidP="00174B3E">
      <w:pPr>
        <w:autoSpaceDE w:val="0"/>
        <w:autoSpaceDN w:val="0"/>
        <w:adjustRightInd w:val="0"/>
        <w:spacing w:before="240" w:after="160"/>
        <w:ind w:left="851" w:right="851"/>
        <w:rPr>
          <w:b/>
          <w:i/>
          <w:sz w:val="22"/>
          <w:u w:val="single"/>
          <w:lang w:val="es-MX" w:eastAsia="en-US"/>
        </w:rPr>
      </w:pPr>
      <w:r w:rsidRPr="00130611">
        <w:rPr>
          <w:b/>
          <w:i/>
          <w:sz w:val="22"/>
          <w:u w:val="single"/>
          <w:lang w:val="es-MX" w:eastAsia="en-US"/>
        </w:rPr>
        <w:t>(…)”</w:t>
      </w:r>
      <w:r w:rsidRPr="00130611">
        <w:rPr>
          <w:i/>
          <w:sz w:val="22"/>
          <w:u w:val="single"/>
          <w:lang w:val="es-MX" w:eastAsia="en-US"/>
        </w:rPr>
        <w:t xml:space="preserve"> </w:t>
      </w:r>
      <w:r w:rsidRPr="00130611">
        <w:rPr>
          <w:b/>
          <w:i/>
          <w:sz w:val="22"/>
          <w:u w:val="single"/>
          <w:lang w:val="es-MX" w:eastAsia="en-US"/>
        </w:rPr>
        <w:t>[Sic]</w:t>
      </w:r>
    </w:p>
    <w:p w:rsidR="00174B3E" w:rsidRDefault="00174B3E" w:rsidP="00215458">
      <w:pPr>
        <w:autoSpaceDE w:val="0"/>
        <w:autoSpaceDN w:val="0"/>
        <w:adjustRightInd w:val="0"/>
        <w:rPr>
          <w:szCs w:val="24"/>
        </w:rPr>
      </w:pPr>
    </w:p>
    <w:p w:rsidR="006F4148" w:rsidRPr="00E66CA2" w:rsidRDefault="00144C72" w:rsidP="006F4148">
      <w:pPr>
        <w:ind w:right="49"/>
        <w:contextualSpacing/>
        <w:rPr>
          <w:rFonts w:eastAsia="MS Mincho" w:cstheme="majorBidi"/>
        </w:rPr>
      </w:pPr>
      <w:r>
        <w:rPr>
          <w:rFonts w:eastAsia="MS Mincho" w:cstheme="majorBidi"/>
        </w:rPr>
        <w:t xml:space="preserve">Así mismo se debe de analizar los elementos de los soportes documentales enunciados como aquellos que pueden dar cuenta de lo requerido, en los términos siguientes; </w:t>
      </w:r>
    </w:p>
    <w:p w:rsidR="006F4148" w:rsidRPr="005D68A0" w:rsidRDefault="006F4148" w:rsidP="006F4148">
      <w:pPr>
        <w:ind w:right="49"/>
        <w:contextualSpacing/>
        <w:rPr>
          <w:rFonts w:eastAsia="MS Mincho" w:cstheme="majorBidi"/>
          <w:sz w:val="22"/>
        </w:rPr>
      </w:pPr>
    </w:p>
    <w:p w:rsidR="006F4148" w:rsidRPr="00144C72" w:rsidRDefault="006F4148" w:rsidP="006F4148">
      <w:pPr>
        <w:rPr>
          <w:b/>
          <w:i/>
        </w:rPr>
      </w:pPr>
      <w:bookmarkStart w:id="1" w:name="_Toc86917945"/>
      <w:r w:rsidRPr="00E66CA2">
        <w:rPr>
          <w:b/>
          <w:i/>
        </w:rPr>
        <w:t>I. Registro Federal de Contribuyentes (RFC)</w:t>
      </w:r>
      <w:bookmarkEnd w:id="1"/>
      <w:r w:rsidRPr="00E66CA2">
        <w:rPr>
          <w:b/>
          <w:i/>
        </w:rPr>
        <w:t xml:space="preserve"> </w:t>
      </w:r>
    </w:p>
    <w:p w:rsidR="006F4148" w:rsidRPr="005D68A0" w:rsidRDefault="006F4148" w:rsidP="006F4148">
      <w:pPr>
        <w:pStyle w:val="Prrafodelista"/>
        <w:ind w:left="0"/>
        <w:rPr>
          <w:rFonts w:cs="Tahoma"/>
        </w:rPr>
      </w:pPr>
      <w:r w:rsidRPr="005D68A0">
        <w:rPr>
          <w:rFonts w:cs="Tahoma"/>
        </w:rPr>
        <w:lastRenderedPageBreak/>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6F4148" w:rsidRPr="005D68A0" w:rsidRDefault="006F4148" w:rsidP="006F4148">
      <w:pPr>
        <w:pStyle w:val="Prrafodelista"/>
        <w:ind w:left="0"/>
        <w:rPr>
          <w:rFonts w:cs="Tahoma"/>
        </w:rPr>
      </w:pPr>
      <w:r w:rsidRPr="005D68A0">
        <w:rPr>
          <w:rFonts w:cs="Tahoma"/>
        </w:rPr>
        <w:t xml:space="preserve">De acuerdo a lo establecido en el artículo en comento, esta clave se compone de trece caracteres alfanuméricos, con datos obtenidos de los apellidos, nombre (s), fecha de nacimiento del titular, más una </w:t>
      </w:r>
      <w:proofErr w:type="spellStart"/>
      <w:r w:rsidRPr="005D68A0">
        <w:rPr>
          <w:rFonts w:cs="Tahoma"/>
        </w:rPr>
        <w:t>homoclave</w:t>
      </w:r>
      <w:proofErr w:type="spellEnd"/>
      <w:r w:rsidRPr="005D68A0">
        <w:rPr>
          <w:rFonts w:cs="Tahoma"/>
        </w:rPr>
        <w:t xml:space="preserve"> que establece el sistema automático del Servicio de Administración Tributaria.</w:t>
      </w:r>
    </w:p>
    <w:p w:rsidR="006F4148" w:rsidRPr="005D68A0" w:rsidRDefault="006F4148" w:rsidP="006F4148">
      <w:pPr>
        <w:pStyle w:val="Prrafodelista"/>
        <w:rPr>
          <w:rFonts w:cs="Tahoma"/>
        </w:rPr>
      </w:pPr>
    </w:p>
    <w:p w:rsidR="006F4148" w:rsidRPr="005D68A0" w:rsidRDefault="006F4148" w:rsidP="006F4148">
      <w:pPr>
        <w:pStyle w:val="Prrafodelista"/>
        <w:ind w:left="0"/>
        <w:rPr>
          <w:rFonts w:cs="Tahoma"/>
        </w:rPr>
      </w:pPr>
      <w:r w:rsidRPr="005D68A0">
        <w:rPr>
          <w:rFonts w:cs="Tahoma"/>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6F4148" w:rsidRPr="005D68A0" w:rsidRDefault="006F4148" w:rsidP="006F4148">
      <w:pPr>
        <w:pStyle w:val="Prrafodelista"/>
        <w:rPr>
          <w:rFonts w:cs="Tahoma"/>
        </w:rPr>
      </w:pPr>
    </w:p>
    <w:p w:rsidR="006F4148" w:rsidRPr="005D68A0" w:rsidRDefault="006F4148" w:rsidP="006F4148">
      <w:pPr>
        <w:pStyle w:val="Prrafodelista"/>
        <w:ind w:left="0"/>
        <w:rPr>
          <w:rFonts w:cs="Tahoma"/>
        </w:rPr>
      </w:pPr>
      <w:r w:rsidRPr="005D68A0">
        <w:rPr>
          <w:rFonts w:cs="Tahoma"/>
        </w:rPr>
        <w:t xml:space="preserve">Conforme a lo expuesto, el Registro Federal de Contribuyentes, </w:t>
      </w:r>
      <w:r w:rsidRPr="00E66CA2">
        <w:rPr>
          <w:rFonts w:cs="Tahoma"/>
          <w:b/>
        </w:rPr>
        <w:t>es un dato personal</w:t>
      </w:r>
      <w:r w:rsidRPr="005D68A0">
        <w:rPr>
          <w:rFonts w:cs="Tahoma"/>
        </w:rPr>
        <w:t xml:space="preserve">,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w:t>
      </w:r>
      <w:proofErr w:type="gramStart"/>
      <w:r w:rsidRPr="005D68A0">
        <w:rPr>
          <w:rFonts w:cs="Tahoma"/>
        </w:rPr>
        <w:t>involucradas</w:t>
      </w:r>
      <w:proofErr w:type="gramEnd"/>
      <w:r w:rsidRPr="005D68A0">
        <w:rPr>
          <w:rFonts w:cs="Tahoma"/>
        </w:rPr>
        <w:t>, en el pago de estos.</w:t>
      </w:r>
    </w:p>
    <w:p w:rsidR="006F4148" w:rsidRPr="005D68A0" w:rsidRDefault="006F4148" w:rsidP="006F4148">
      <w:pPr>
        <w:pStyle w:val="Prrafodelista"/>
        <w:rPr>
          <w:rFonts w:cs="Tahoma"/>
        </w:rPr>
      </w:pPr>
    </w:p>
    <w:p w:rsidR="006F4148" w:rsidRPr="00141813" w:rsidRDefault="006F4148" w:rsidP="006F4148">
      <w:pPr>
        <w:pStyle w:val="Prrafodelista"/>
        <w:ind w:left="0"/>
        <w:rPr>
          <w:rFonts w:cs="Tahoma"/>
        </w:rPr>
      </w:pPr>
      <w:r w:rsidRPr="005D68A0">
        <w:rPr>
          <w:rFonts w:eastAsiaTheme="minorHAnsi" w:cs="Tahoma"/>
          <w:bCs/>
        </w:rPr>
        <w:lastRenderedPageBreak/>
        <w:t>Lo anterior, resulta congruente con el Criterio 19/17 emitido por el Instituto Nacional de Transparencia, Acceso a la Información y Protección de Datos Personales, en el cual se señala lo siguiente:</w:t>
      </w:r>
    </w:p>
    <w:p w:rsidR="006F4148" w:rsidRPr="00144C72" w:rsidRDefault="006F4148" w:rsidP="006F4148">
      <w:pPr>
        <w:ind w:left="567"/>
        <w:rPr>
          <w:rFonts w:cs="Tahoma"/>
          <w:b/>
          <w:i/>
          <w:sz w:val="22"/>
        </w:rPr>
      </w:pPr>
      <w:r w:rsidRPr="00144C72">
        <w:rPr>
          <w:b/>
          <w:i/>
          <w:sz w:val="22"/>
        </w:rPr>
        <w:t xml:space="preserve">Registro Federal de Contribuyentes (RFC) de personas físicas. </w:t>
      </w:r>
    </w:p>
    <w:p w:rsidR="006F4148" w:rsidRPr="005D68A0" w:rsidRDefault="006F4148" w:rsidP="006F4148">
      <w:pPr>
        <w:pStyle w:val="Prrafodelista"/>
        <w:ind w:left="567" w:right="567"/>
        <w:rPr>
          <w:rFonts w:cs="Tahoma"/>
          <w:i/>
        </w:rPr>
      </w:pPr>
      <w:r w:rsidRPr="00144C72">
        <w:rPr>
          <w:rFonts w:cs="Tahoma"/>
          <w:i/>
          <w:sz w:val="22"/>
        </w:rPr>
        <w:t xml:space="preserve">El RFC es una clave de carácter fiscal, </w:t>
      </w:r>
      <w:proofErr w:type="gramStart"/>
      <w:r w:rsidRPr="00144C72">
        <w:rPr>
          <w:rFonts w:cs="Tahoma"/>
          <w:i/>
          <w:sz w:val="22"/>
        </w:rPr>
        <w:t>única</w:t>
      </w:r>
      <w:proofErr w:type="gramEnd"/>
      <w:r w:rsidRPr="00144C72">
        <w:rPr>
          <w:rFonts w:cs="Tahoma"/>
          <w:i/>
          <w:sz w:val="22"/>
        </w:rPr>
        <w:t xml:space="preserve"> e irrepetible, que permite identificar al titular, su edad y fecha de nacimiento, por lo que es un dato personal de carácter confidencial</w:t>
      </w:r>
      <w:r w:rsidRPr="005D68A0">
        <w:rPr>
          <w:rFonts w:cs="Tahoma"/>
          <w:i/>
        </w:rPr>
        <w:t>.</w:t>
      </w:r>
    </w:p>
    <w:p w:rsidR="006F4148" w:rsidRPr="005D68A0" w:rsidRDefault="006F4148" w:rsidP="006F4148">
      <w:pPr>
        <w:pStyle w:val="Prrafodelista"/>
        <w:ind w:left="567" w:right="567"/>
        <w:rPr>
          <w:rFonts w:cs="Tahoma"/>
        </w:rPr>
      </w:pPr>
    </w:p>
    <w:p w:rsidR="006F4148" w:rsidRDefault="006F4148" w:rsidP="006F4148">
      <w:pPr>
        <w:pStyle w:val="Prrafodelista"/>
        <w:ind w:left="0"/>
        <w:rPr>
          <w:rFonts w:cs="Tahoma"/>
        </w:rPr>
      </w:pPr>
      <w:r w:rsidRPr="005D68A0">
        <w:rPr>
          <w:rFonts w:cs="Tahoma"/>
          <w:b/>
        </w:rPr>
        <w:t>De tal suerte, el Registro Federal de Contribuyentes de las personas físicas no guarda relación con la transparencia de los recursos públicos</w:t>
      </w:r>
      <w:r w:rsidRPr="005D68A0">
        <w:rPr>
          <w:rFonts w:cs="Tahoma"/>
        </w:rPr>
        <w:t>, así como tampoco con el desempeño laboral que pueda tener una persona, por lo que debe ser clasificado como confidencial. En términos del artículo 143, fracción I de la Ley de Transparencia y Acceso a la Información Pública del Estado de México y Municipios.</w:t>
      </w:r>
    </w:p>
    <w:p w:rsidR="006F4148" w:rsidRPr="005D68A0" w:rsidRDefault="006F4148" w:rsidP="006F4148">
      <w:pPr>
        <w:pStyle w:val="Prrafodelista"/>
        <w:ind w:left="0"/>
        <w:rPr>
          <w:rFonts w:cs="Tahoma"/>
        </w:rPr>
      </w:pPr>
    </w:p>
    <w:p w:rsidR="006F4148" w:rsidRPr="00E66CA2" w:rsidRDefault="006F4148" w:rsidP="006F4148">
      <w:pPr>
        <w:rPr>
          <w:b/>
          <w:i/>
        </w:rPr>
      </w:pPr>
      <w:bookmarkStart w:id="2" w:name="_Toc86917946"/>
      <w:r w:rsidRPr="00E66CA2">
        <w:rPr>
          <w:b/>
          <w:i/>
        </w:rPr>
        <w:t>II. Deducciones</w:t>
      </w:r>
      <w:bookmarkEnd w:id="2"/>
      <w:r w:rsidRPr="00E66CA2">
        <w:rPr>
          <w:b/>
          <w:i/>
        </w:rPr>
        <w:t>.</w:t>
      </w:r>
    </w:p>
    <w:p w:rsidR="006F4148" w:rsidRPr="005D68A0" w:rsidRDefault="006F4148" w:rsidP="006F4148">
      <w:pPr>
        <w:pStyle w:val="Prrafodelista"/>
        <w:ind w:left="0"/>
        <w:rPr>
          <w:rFonts w:cs="Tahoma"/>
          <w:bCs/>
        </w:rPr>
      </w:pPr>
      <w:r w:rsidRPr="005D68A0">
        <w:rPr>
          <w:rFonts w:cs="Tahoma"/>
          <w:bCs/>
        </w:rPr>
        <w:t xml:space="preserve">Es necesario precisar que existen deducciones que se generan con motivo de una decisión libre y voluntaria de los servidores públicos, como son: </w:t>
      </w:r>
      <w:r w:rsidRPr="005D68A0">
        <w:rPr>
          <w:rFonts w:cs="Tahoma"/>
          <w:b/>
          <w:bCs/>
        </w:rPr>
        <w:t xml:space="preserve">créditos personales, pensiones alimenticias, </w:t>
      </w:r>
      <w:r w:rsidRPr="005D68A0">
        <w:rPr>
          <w:rFonts w:cs="Tahoma"/>
          <w:b/>
          <w:bCs/>
          <w:u w:val="single"/>
        </w:rPr>
        <w:t>cuotas sindicales y fondo de resistencia del Sindicato Único de Trabajadores de los Poderes, Municipios e Institución Descentralizadas del Estado de México, seguro de vida, accidentes y enfermedades.</w:t>
      </w:r>
    </w:p>
    <w:p w:rsidR="006F4148" w:rsidRPr="005D68A0" w:rsidRDefault="006F4148" w:rsidP="006F4148">
      <w:pPr>
        <w:pStyle w:val="Prrafodelista"/>
        <w:ind w:left="0"/>
        <w:rPr>
          <w:rFonts w:cs="Tahoma"/>
          <w:bCs/>
        </w:rPr>
      </w:pPr>
    </w:p>
    <w:p w:rsidR="006F4148" w:rsidRDefault="006F4148" w:rsidP="006F4148">
      <w:pPr>
        <w:pStyle w:val="Prrafodelista"/>
        <w:ind w:left="0"/>
        <w:rPr>
          <w:rFonts w:cs="Tahoma"/>
          <w:bCs/>
        </w:rPr>
      </w:pPr>
      <w:r w:rsidRPr="005D68A0">
        <w:rPr>
          <w:rFonts w:cs="Tahoma"/>
          <w:bCs/>
        </w:rPr>
        <w:t xml:space="preserve">Asimismo, hay otras que se generan con motivo de una sentencia judicial, como es la pensión alimenticia que periódicamente se retira de la cuenta de un empleado, a efecto de que sea entregado a un tercero.  </w:t>
      </w:r>
    </w:p>
    <w:p w:rsidR="00144C72" w:rsidRPr="00646DB7" w:rsidRDefault="00144C72" w:rsidP="006F4148">
      <w:pPr>
        <w:pStyle w:val="Prrafodelista"/>
        <w:ind w:left="0"/>
        <w:rPr>
          <w:rFonts w:cs="Tahoma"/>
          <w:bCs/>
        </w:rPr>
      </w:pPr>
    </w:p>
    <w:p w:rsidR="006F4148" w:rsidRPr="005D68A0" w:rsidRDefault="006F4148" w:rsidP="006F4148">
      <w:pPr>
        <w:pStyle w:val="Prrafodelista"/>
        <w:ind w:left="0"/>
        <w:rPr>
          <w:rFonts w:cs="Tahoma"/>
          <w:bCs/>
        </w:rPr>
      </w:pPr>
      <w:r w:rsidRPr="005D68A0">
        <w:rPr>
          <w:rFonts w:cs="Tahoma"/>
          <w:bCs/>
        </w:rPr>
        <w:lastRenderedPageBreak/>
        <w:t>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Así, dichas deducciones reflejan el destino que un servidor público da a su patrimonio, lo que se aleja de la transparencia y rendición de cuentas.</w:t>
      </w:r>
    </w:p>
    <w:p w:rsidR="006F4148" w:rsidRPr="005D68A0" w:rsidRDefault="006F4148" w:rsidP="006F4148">
      <w:pPr>
        <w:pStyle w:val="Prrafodelista"/>
        <w:ind w:left="0"/>
        <w:rPr>
          <w:rFonts w:cs="Tahoma"/>
          <w:bCs/>
        </w:rPr>
      </w:pPr>
    </w:p>
    <w:p w:rsidR="006F4148" w:rsidRPr="005D68A0" w:rsidRDefault="006F4148" w:rsidP="006F4148">
      <w:pPr>
        <w:pStyle w:val="Prrafodelista"/>
        <w:numPr>
          <w:ilvl w:val="4"/>
          <w:numId w:val="15"/>
        </w:numPr>
        <w:spacing w:line="240" w:lineRule="auto"/>
        <w:ind w:left="709"/>
        <w:contextualSpacing w:val="0"/>
        <w:jc w:val="left"/>
        <w:rPr>
          <w:rFonts w:cs="Tahoma"/>
          <w:b/>
          <w:bCs/>
        </w:rPr>
      </w:pPr>
      <w:r w:rsidRPr="005D68A0">
        <w:rPr>
          <w:rFonts w:cs="Tahoma"/>
          <w:b/>
          <w:bCs/>
        </w:rPr>
        <w:t>Del Sistema De Capitalización Individual (SCI)</w:t>
      </w:r>
    </w:p>
    <w:p w:rsidR="006F4148" w:rsidRPr="005D68A0" w:rsidRDefault="006F4148" w:rsidP="006F4148">
      <w:pPr>
        <w:rPr>
          <w:rFonts w:cs="Tahoma"/>
          <w:b/>
          <w:bCs/>
          <w:sz w:val="22"/>
        </w:rPr>
      </w:pPr>
    </w:p>
    <w:p w:rsidR="006F4148" w:rsidRPr="005D68A0" w:rsidRDefault="006F4148" w:rsidP="006F4148">
      <w:pPr>
        <w:rPr>
          <w:rFonts w:cs="Tahoma"/>
          <w:sz w:val="22"/>
        </w:rPr>
      </w:pPr>
      <w:r w:rsidRPr="005D68A0">
        <w:rPr>
          <w:rFonts w:cs="Tahoma"/>
          <w:sz w:val="22"/>
        </w:rPr>
        <w:t xml:space="preserve">Por principio, debemos precisar que la deducción denominada: </w:t>
      </w:r>
      <w:r w:rsidRPr="005D68A0">
        <w:rPr>
          <w:sz w:val="22"/>
        </w:rPr>
        <w:t>Sistema de Capitalización Individualizado (SCI)</w:t>
      </w:r>
      <w:r w:rsidRPr="005D68A0">
        <w:rPr>
          <w:rFonts w:cs="Tahoma"/>
          <w:sz w:val="22"/>
        </w:rPr>
        <w:t>, es contemplada en los artículos 84 y 115 de la Ley de Seguridad Social para los Servidores Públicos del Estado de México y Municipios, al formar parte de uno de los sistemas que conforma el sistema mixto de pensiones, al corresponder específicamente a una reserva de ahorro en favor de los servidores públicos para su retiro, la cual señala:</w:t>
      </w:r>
    </w:p>
    <w:p w:rsidR="006F4148" w:rsidRPr="005D68A0" w:rsidRDefault="006F4148" w:rsidP="006F4148">
      <w:pPr>
        <w:spacing w:line="276" w:lineRule="auto"/>
        <w:ind w:left="567" w:right="900"/>
        <w:rPr>
          <w:rFonts w:cs="Tahoma"/>
          <w:i/>
          <w:sz w:val="22"/>
        </w:rPr>
      </w:pPr>
      <w:r w:rsidRPr="005D68A0">
        <w:rPr>
          <w:rFonts w:cs="Tahoma"/>
          <w:b/>
          <w:i/>
          <w:sz w:val="22"/>
        </w:rPr>
        <w:t>“ARTICULO 84.-</w:t>
      </w:r>
      <w:r w:rsidRPr="005D68A0">
        <w:rPr>
          <w:rFonts w:cs="Tahoma"/>
          <w:i/>
          <w:sz w:val="22"/>
        </w:rPr>
        <w:t xml:space="preserve"> Las pensiones que otorga esta ley, se basan en un régimen mixto, siendo una parte de beneficios definidos denominado </w:t>
      </w:r>
      <w:r w:rsidRPr="005D68A0">
        <w:rPr>
          <w:rFonts w:cs="Tahoma"/>
          <w:b/>
          <w:i/>
          <w:sz w:val="22"/>
        </w:rPr>
        <w:t>sistema solidario de reparto y otra de contribuciones definidas denominado sistema de capitalización individual</w:t>
      </w:r>
      <w:r w:rsidRPr="005D68A0">
        <w:rPr>
          <w:rFonts w:cs="Tahoma"/>
          <w:i/>
          <w:sz w:val="22"/>
        </w:rPr>
        <w:t>.</w:t>
      </w:r>
    </w:p>
    <w:p w:rsidR="006F4148" w:rsidRPr="005D68A0" w:rsidRDefault="006F4148" w:rsidP="006F4148">
      <w:pPr>
        <w:spacing w:line="276" w:lineRule="auto"/>
        <w:ind w:left="567" w:right="900"/>
        <w:rPr>
          <w:rFonts w:cs="Tahoma"/>
          <w:i/>
          <w:sz w:val="22"/>
        </w:rPr>
      </w:pPr>
    </w:p>
    <w:p w:rsidR="006F4148" w:rsidRPr="005D68A0" w:rsidRDefault="006F4148" w:rsidP="006F4148">
      <w:pPr>
        <w:spacing w:line="276" w:lineRule="auto"/>
        <w:ind w:left="567" w:right="900"/>
        <w:rPr>
          <w:rFonts w:cs="Tahoma"/>
          <w:i/>
          <w:sz w:val="22"/>
        </w:rPr>
      </w:pPr>
      <w:r w:rsidRPr="005D68A0">
        <w:rPr>
          <w:rFonts w:cs="Tahoma"/>
          <w:i/>
          <w:sz w:val="22"/>
        </w:rPr>
        <w:t>El monto total para el financiamiento de pensiones de cada servidor público, es equivalente al 16.77% de su sueldo sujeto a cotización, del cual el 13.52% se aplicará al fondo del sistema solidario de reparto y el 3.25% al sistema de capitalización individual.</w:t>
      </w:r>
      <w:r w:rsidRPr="005D68A0">
        <w:rPr>
          <w:rFonts w:cs="Tahoma"/>
          <w:i/>
          <w:sz w:val="22"/>
        </w:rPr>
        <w:cr/>
      </w:r>
    </w:p>
    <w:p w:rsidR="006F4148" w:rsidRPr="005D68A0" w:rsidRDefault="006F4148" w:rsidP="006F4148">
      <w:pPr>
        <w:spacing w:line="276" w:lineRule="auto"/>
        <w:ind w:left="567" w:right="900"/>
        <w:rPr>
          <w:rFonts w:cs="Tahoma"/>
          <w:i/>
          <w:sz w:val="22"/>
        </w:rPr>
      </w:pPr>
      <w:r w:rsidRPr="005D68A0">
        <w:rPr>
          <w:i/>
          <w:sz w:val="22"/>
        </w:rPr>
        <w:t xml:space="preserve"> </w:t>
      </w:r>
      <w:r w:rsidRPr="005D68A0">
        <w:rPr>
          <w:rFonts w:cs="Tahoma"/>
          <w:b/>
          <w:i/>
          <w:sz w:val="22"/>
        </w:rPr>
        <w:t>ARTICULO 115.-</w:t>
      </w:r>
      <w:r w:rsidRPr="005D68A0">
        <w:rPr>
          <w:rFonts w:cs="Tahoma"/>
          <w:i/>
          <w:sz w:val="22"/>
        </w:rPr>
        <w:t xml:space="preserve"> Por sistema de capitalización individual se entiende aquel régimen cuyo financiamiento es determinado y su beneficio variable, por lo que sus fondos se constituirán en una reserva, cuyo saldo será siempre igual a la suma de las partes alícuotas reconocidas a cada uno de los servidores públicos participantes en el sistema.”</w:t>
      </w:r>
    </w:p>
    <w:p w:rsidR="006F4148" w:rsidRPr="005D68A0" w:rsidRDefault="006F4148" w:rsidP="006F4148">
      <w:pPr>
        <w:rPr>
          <w:rFonts w:cs="Tahoma"/>
          <w:sz w:val="22"/>
        </w:rPr>
      </w:pPr>
    </w:p>
    <w:p w:rsidR="006F4148" w:rsidRPr="005E3B84" w:rsidRDefault="006F4148" w:rsidP="006F4148">
      <w:pPr>
        <w:rPr>
          <w:rFonts w:cs="Tahoma"/>
          <w:szCs w:val="24"/>
        </w:rPr>
      </w:pPr>
      <w:r w:rsidRPr="005E3B84">
        <w:rPr>
          <w:rFonts w:cs="Tahoma"/>
          <w:szCs w:val="24"/>
        </w:rPr>
        <w:lastRenderedPageBreak/>
        <w:t>En  esta misma disposición normativa, en los artículos 5 fracciones II, VII y VIII; 32, 34 y 35, dispone lo siguiente:</w:t>
      </w:r>
    </w:p>
    <w:p w:rsidR="006F4148" w:rsidRPr="005D68A0" w:rsidRDefault="006F4148" w:rsidP="006F4148">
      <w:pPr>
        <w:spacing w:line="276" w:lineRule="auto"/>
        <w:ind w:left="567" w:right="616"/>
        <w:rPr>
          <w:rFonts w:cs="Tahoma"/>
          <w:i/>
          <w:iCs/>
          <w:sz w:val="22"/>
        </w:rPr>
      </w:pPr>
      <w:r w:rsidRPr="005D68A0">
        <w:rPr>
          <w:rFonts w:cs="Tahoma"/>
          <w:i/>
          <w:iCs/>
          <w:sz w:val="22"/>
        </w:rPr>
        <w:t>“ARTÍCULO 5.- Para los efectos de esta ley se entiende por:</w:t>
      </w:r>
    </w:p>
    <w:p w:rsidR="006F4148" w:rsidRPr="005D68A0" w:rsidRDefault="006F4148" w:rsidP="006F4148">
      <w:pPr>
        <w:spacing w:line="276" w:lineRule="auto"/>
        <w:ind w:left="567" w:right="616"/>
        <w:rPr>
          <w:rFonts w:cs="Tahoma"/>
          <w:i/>
          <w:iCs/>
          <w:sz w:val="22"/>
        </w:rPr>
      </w:pPr>
      <w:r w:rsidRPr="005D68A0">
        <w:rPr>
          <w:rFonts w:cs="Tahoma"/>
          <w:i/>
          <w:iCs/>
          <w:sz w:val="22"/>
        </w:rPr>
        <w:t>…</w:t>
      </w:r>
    </w:p>
    <w:p w:rsidR="006F4148" w:rsidRPr="005D68A0" w:rsidRDefault="006F4148" w:rsidP="006F4148">
      <w:pPr>
        <w:spacing w:line="276" w:lineRule="auto"/>
        <w:ind w:left="567" w:right="616"/>
        <w:rPr>
          <w:rFonts w:cs="Tahoma"/>
          <w:i/>
          <w:iCs/>
          <w:sz w:val="22"/>
        </w:rPr>
      </w:pPr>
      <w:r w:rsidRPr="005D68A0">
        <w:rPr>
          <w:rFonts w:cs="Tahoma"/>
          <w:i/>
          <w:iCs/>
          <w:sz w:val="22"/>
        </w:rPr>
        <w:t>II. Institución pública, a los poderes públicos del estado, los ayuntamientos de los municipios y los tribunales administrativos, así como los organismos auxiliares y fideicomisos públicos de carácter estatal y municipal;</w:t>
      </w:r>
    </w:p>
    <w:p w:rsidR="006F4148" w:rsidRPr="005D68A0" w:rsidRDefault="006F4148" w:rsidP="006F4148">
      <w:pPr>
        <w:spacing w:line="276" w:lineRule="auto"/>
        <w:ind w:left="567" w:right="616"/>
        <w:rPr>
          <w:rFonts w:cs="Tahoma"/>
          <w:i/>
          <w:iCs/>
          <w:sz w:val="22"/>
        </w:rPr>
      </w:pPr>
      <w:r w:rsidRPr="005D68A0">
        <w:rPr>
          <w:rFonts w:cs="Tahoma"/>
          <w:i/>
          <w:iCs/>
          <w:sz w:val="22"/>
        </w:rPr>
        <w:t>…</w:t>
      </w:r>
    </w:p>
    <w:p w:rsidR="006F4148" w:rsidRPr="005D68A0" w:rsidRDefault="006F4148" w:rsidP="006F4148">
      <w:pPr>
        <w:spacing w:line="276" w:lineRule="auto"/>
        <w:ind w:left="567" w:right="616"/>
        <w:rPr>
          <w:rFonts w:cs="Tahoma"/>
          <w:i/>
          <w:iCs/>
          <w:sz w:val="22"/>
        </w:rPr>
      </w:pPr>
      <w:r w:rsidRPr="005D68A0">
        <w:rPr>
          <w:rFonts w:cs="Tahoma"/>
          <w:i/>
          <w:iCs/>
          <w:sz w:val="22"/>
        </w:rPr>
        <w:t xml:space="preserve">VII. Cuota, al monto que le corresponde cubrir al servidor público, equivalente a un porcentaje determinado de sus sueldo sujeto a cotización, así como el que debe cubrir el pensionado o pensionista y que recibe el Instituto para otorgar las prestaciones establecidas en la presente ley; </w:t>
      </w:r>
    </w:p>
    <w:p w:rsidR="006F4148" w:rsidRPr="005D68A0" w:rsidRDefault="006F4148" w:rsidP="006F4148">
      <w:pPr>
        <w:spacing w:line="276" w:lineRule="auto"/>
        <w:ind w:left="567" w:right="616"/>
        <w:rPr>
          <w:rFonts w:cs="Tahoma"/>
          <w:b/>
          <w:bCs/>
          <w:i/>
          <w:iCs/>
          <w:sz w:val="22"/>
        </w:rPr>
      </w:pPr>
      <w:r w:rsidRPr="005D68A0">
        <w:rPr>
          <w:rFonts w:cs="Tahoma"/>
          <w:i/>
          <w:iCs/>
          <w:sz w:val="22"/>
        </w:rPr>
        <w:t xml:space="preserve">VIII. </w:t>
      </w:r>
      <w:r w:rsidRPr="005D68A0">
        <w:rPr>
          <w:rFonts w:cs="Tahoma"/>
          <w:b/>
          <w:bCs/>
          <w:i/>
          <w:iCs/>
          <w:sz w:val="22"/>
        </w:rPr>
        <w:t>Aportación, al monto que le corresponde cubrir a las instituciones públicas como porcentaje del sueldo sujeto a cotización de cada servidor público;</w:t>
      </w:r>
    </w:p>
    <w:p w:rsidR="006F4148" w:rsidRDefault="006F4148" w:rsidP="006F4148">
      <w:pPr>
        <w:spacing w:line="276" w:lineRule="auto"/>
        <w:ind w:left="567" w:right="616"/>
        <w:rPr>
          <w:rFonts w:cs="Tahoma"/>
          <w:i/>
          <w:iCs/>
          <w:sz w:val="22"/>
        </w:rPr>
      </w:pPr>
      <w:r w:rsidRPr="005D68A0">
        <w:rPr>
          <w:rFonts w:cs="Tahoma"/>
          <w:i/>
          <w:iCs/>
          <w:sz w:val="22"/>
        </w:rPr>
        <w:t>…</w:t>
      </w:r>
    </w:p>
    <w:p w:rsidR="006F4148" w:rsidRPr="005D68A0" w:rsidRDefault="006F4148" w:rsidP="006F4148">
      <w:pPr>
        <w:spacing w:line="276" w:lineRule="auto"/>
        <w:ind w:left="567" w:right="616"/>
        <w:rPr>
          <w:rFonts w:cs="Tahoma"/>
          <w:i/>
          <w:iCs/>
          <w:sz w:val="22"/>
        </w:rPr>
      </w:pPr>
    </w:p>
    <w:p w:rsidR="006F4148" w:rsidRPr="005D68A0" w:rsidRDefault="006F4148" w:rsidP="006F4148">
      <w:pPr>
        <w:spacing w:line="276" w:lineRule="auto"/>
        <w:ind w:left="567" w:right="616"/>
        <w:rPr>
          <w:rFonts w:cs="Tahoma"/>
          <w:b/>
          <w:bCs/>
          <w:i/>
          <w:iCs/>
          <w:sz w:val="22"/>
        </w:rPr>
      </w:pPr>
      <w:r w:rsidRPr="005D68A0">
        <w:rPr>
          <w:rFonts w:cs="Tahoma"/>
          <w:i/>
          <w:iCs/>
          <w:sz w:val="22"/>
        </w:rPr>
        <w:t xml:space="preserve">Artículo 32.- </w:t>
      </w:r>
      <w:r w:rsidRPr="005D68A0">
        <w:rPr>
          <w:rFonts w:cs="Tahoma"/>
          <w:b/>
          <w:bCs/>
          <w:i/>
          <w:iCs/>
          <w:sz w:val="22"/>
        </w:rPr>
        <w:t xml:space="preserve">Las cuotas obligatorias que deberán cubrir los servidores públicos al Instituto, serán las siguientes: </w:t>
      </w:r>
    </w:p>
    <w:p w:rsidR="006F4148" w:rsidRPr="005D68A0" w:rsidRDefault="006F4148" w:rsidP="006F4148">
      <w:pPr>
        <w:spacing w:line="276" w:lineRule="auto"/>
        <w:ind w:left="567" w:right="616"/>
        <w:rPr>
          <w:rFonts w:cs="Tahoma"/>
          <w:i/>
          <w:iCs/>
          <w:sz w:val="22"/>
        </w:rPr>
      </w:pPr>
      <w:r w:rsidRPr="005D68A0">
        <w:rPr>
          <w:rFonts w:cs="Tahoma"/>
          <w:i/>
          <w:iCs/>
          <w:sz w:val="22"/>
        </w:rPr>
        <w:t xml:space="preserve">I. El 4.625% del sueldo sujeto a cotización, para cubrir las prestaciones de servicios de salud; </w:t>
      </w:r>
    </w:p>
    <w:p w:rsidR="006F4148" w:rsidRPr="005D68A0" w:rsidRDefault="006F4148" w:rsidP="006F4148">
      <w:pPr>
        <w:spacing w:line="276" w:lineRule="auto"/>
        <w:ind w:left="567" w:right="616"/>
        <w:rPr>
          <w:rFonts w:cs="Tahoma"/>
          <w:i/>
          <w:iCs/>
          <w:sz w:val="22"/>
        </w:rPr>
      </w:pPr>
      <w:r w:rsidRPr="005D68A0">
        <w:rPr>
          <w:rFonts w:cs="Tahoma"/>
          <w:i/>
          <w:iCs/>
          <w:sz w:val="22"/>
        </w:rPr>
        <w:t xml:space="preserve">II. El 7.50% del sueldo sujeto a cotización, para cubrir el financiamiento de pensiones, de la siguiente manera: </w:t>
      </w:r>
    </w:p>
    <w:p w:rsidR="006F4148" w:rsidRPr="005D68A0" w:rsidRDefault="006F4148" w:rsidP="006F4148">
      <w:pPr>
        <w:spacing w:line="276" w:lineRule="auto"/>
        <w:ind w:left="567" w:right="616"/>
        <w:rPr>
          <w:rFonts w:cs="Tahoma"/>
          <w:i/>
          <w:iCs/>
          <w:sz w:val="22"/>
        </w:rPr>
      </w:pPr>
      <w:r w:rsidRPr="005D68A0">
        <w:rPr>
          <w:rFonts w:cs="Tahoma"/>
          <w:i/>
          <w:iCs/>
          <w:sz w:val="22"/>
        </w:rPr>
        <w:t xml:space="preserve">a. 6.10% para el fondo del sistema solidario de reparto. </w:t>
      </w:r>
    </w:p>
    <w:p w:rsidR="006F4148" w:rsidRPr="005D68A0" w:rsidRDefault="006F4148" w:rsidP="006F4148">
      <w:pPr>
        <w:spacing w:line="276" w:lineRule="auto"/>
        <w:ind w:left="567" w:right="616"/>
        <w:rPr>
          <w:rFonts w:cs="Tahoma"/>
          <w:b/>
          <w:bCs/>
          <w:i/>
          <w:iCs/>
          <w:sz w:val="22"/>
          <w:u w:val="single"/>
        </w:rPr>
      </w:pPr>
      <w:r w:rsidRPr="005D68A0">
        <w:rPr>
          <w:rFonts w:cs="Tahoma"/>
          <w:b/>
          <w:bCs/>
          <w:i/>
          <w:iCs/>
          <w:sz w:val="22"/>
          <w:u w:val="single"/>
        </w:rPr>
        <w:t xml:space="preserve">b. 1.40% para el sistema de capitalización individual. </w:t>
      </w:r>
    </w:p>
    <w:p w:rsidR="006F4148" w:rsidRPr="005D68A0" w:rsidRDefault="006F4148" w:rsidP="006F4148">
      <w:pPr>
        <w:spacing w:line="276" w:lineRule="auto"/>
        <w:ind w:left="567" w:right="616"/>
        <w:rPr>
          <w:rFonts w:cs="Tahoma"/>
          <w:i/>
          <w:iCs/>
          <w:sz w:val="22"/>
        </w:rPr>
      </w:pPr>
      <w:r w:rsidRPr="005D68A0">
        <w:rPr>
          <w:rFonts w:cs="Tahoma"/>
          <w:i/>
          <w:iCs/>
          <w:sz w:val="22"/>
        </w:rPr>
        <w:t>III. Las que determine anualmente el Consejo Directivo para otras prestaciones, señaladas en el Título IV.</w:t>
      </w:r>
    </w:p>
    <w:p w:rsidR="006F4148" w:rsidRDefault="006F4148" w:rsidP="006F4148">
      <w:pPr>
        <w:spacing w:line="276" w:lineRule="auto"/>
        <w:ind w:left="567" w:right="616"/>
        <w:rPr>
          <w:rFonts w:cs="Tahoma"/>
          <w:i/>
          <w:iCs/>
          <w:sz w:val="22"/>
        </w:rPr>
      </w:pPr>
      <w:r w:rsidRPr="005D68A0">
        <w:rPr>
          <w:rFonts w:cs="Tahoma"/>
          <w:i/>
          <w:iCs/>
          <w:sz w:val="22"/>
        </w:rPr>
        <w:t>…</w:t>
      </w:r>
    </w:p>
    <w:p w:rsidR="006F4148" w:rsidRPr="005D68A0" w:rsidRDefault="006F4148" w:rsidP="006F4148">
      <w:pPr>
        <w:spacing w:line="276" w:lineRule="auto"/>
        <w:ind w:left="567" w:right="616"/>
        <w:rPr>
          <w:rFonts w:cs="Tahoma"/>
          <w:i/>
          <w:iCs/>
          <w:sz w:val="22"/>
        </w:rPr>
      </w:pPr>
    </w:p>
    <w:p w:rsidR="006F4148" w:rsidRPr="005D68A0" w:rsidRDefault="006F4148" w:rsidP="006F4148">
      <w:pPr>
        <w:spacing w:line="276" w:lineRule="auto"/>
        <w:ind w:left="567" w:right="616"/>
        <w:rPr>
          <w:rFonts w:cs="Tahoma"/>
          <w:i/>
          <w:iCs/>
          <w:sz w:val="22"/>
        </w:rPr>
      </w:pPr>
      <w:r w:rsidRPr="005D68A0">
        <w:rPr>
          <w:rFonts w:cs="Tahoma"/>
          <w:i/>
          <w:iCs/>
          <w:sz w:val="22"/>
        </w:rPr>
        <w:t xml:space="preserve">Artículo 34.- </w:t>
      </w:r>
      <w:r w:rsidRPr="005D68A0">
        <w:rPr>
          <w:rFonts w:cs="Tahoma"/>
          <w:b/>
          <w:bCs/>
          <w:i/>
          <w:iCs/>
          <w:sz w:val="22"/>
        </w:rPr>
        <w:t>Las aportaciones que deberán cubrir obligatoriamente las instituciones públicas serán las siguientes</w:t>
      </w:r>
      <w:r w:rsidRPr="005D68A0">
        <w:rPr>
          <w:rFonts w:cs="Tahoma"/>
          <w:i/>
          <w:iCs/>
          <w:sz w:val="22"/>
        </w:rPr>
        <w:t xml:space="preserve">: </w:t>
      </w:r>
    </w:p>
    <w:p w:rsidR="006F4148" w:rsidRPr="005D68A0" w:rsidRDefault="006F4148" w:rsidP="006F4148">
      <w:pPr>
        <w:spacing w:line="276" w:lineRule="auto"/>
        <w:ind w:left="567" w:right="616"/>
        <w:rPr>
          <w:rFonts w:cs="Tahoma"/>
          <w:i/>
          <w:iCs/>
          <w:sz w:val="22"/>
        </w:rPr>
      </w:pPr>
      <w:r w:rsidRPr="005D68A0">
        <w:rPr>
          <w:rFonts w:cs="Tahoma"/>
          <w:i/>
          <w:iCs/>
          <w:sz w:val="22"/>
        </w:rPr>
        <w:t xml:space="preserve">I. El 10% del sueldo sujeto a cotización, para cubrir las prestaciones de servicios de salud; </w:t>
      </w:r>
    </w:p>
    <w:p w:rsidR="006F4148" w:rsidRPr="005D68A0" w:rsidRDefault="006F4148" w:rsidP="006F4148">
      <w:pPr>
        <w:spacing w:line="276" w:lineRule="auto"/>
        <w:ind w:left="567" w:right="616"/>
        <w:rPr>
          <w:rFonts w:cs="Tahoma"/>
          <w:i/>
          <w:iCs/>
          <w:sz w:val="22"/>
        </w:rPr>
      </w:pPr>
      <w:r w:rsidRPr="005D68A0">
        <w:rPr>
          <w:rFonts w:cs="Tahoma"/>
          <w:i/>
          <w:iCs/>
          <w:sz w:val="22"/>
        </w:rPr>
        <w:t xml:space="preserve">II. El 9.27% del sueldo sujeto a cotización, para cubrir el financiamiento de pensiones, de la siguiente manera: </w:t>
      </w:r>
    </w:p>
    <w:p w:rsidR="006F4148" w:rsidRPr="005D68A0" w:rsidRDefault="006F4148" w:rsidP="006F4148">
      <w:pPr>
        <w:spacing w:line="276" w:lineRule="auto"/>
        <w:ind w:left="567" w:right="616"/>
        <w:rPr>
          <w:rFonts w:cs="Tahoma"/>
          <w:i/>
          <w:iCs/>
          <w:sz w:val="22"/>
        </w:rPr>
      </w:pPr>
      <w:r w:rsidRPr="005D68A0">
        <w:rPr>
          <w:rFonts w:cs="Tahoma"/>
          <w:i/>
          <w:iCs/>
          <w:sz w:val="22"/>
        </w:rPr>
        <w:t xml:space="preserve">a. 7.42% para el fondo del sistema solidario de reparto. </w:t>
      </w:r>
    </w:p>
    <w:p w:rsidR="006F4148" w:rsidRPr="005D68A0" w:rsidRDefault="006F4148" w:rsidP="006F4148">
      <w:pPr>
        <w:spacing w:line="276" w:lineRule="auto"/>
        <w:ind w:left="567" w:right="616"/>
        <w:rPr>
          <w:rFonts w:cs="Tahoma"/>
          <w:b/>
          <w:bCs/>
          <w:i/>
          <w:iCs/>
          <w:sz w:val="22"/>
          <w:u w:val="single"/>
        </w:rPr>
      </w:pPr>
      <w:r w:rsidRPr="005D68A0">
        <w:rPr>
          <w:rFonts w:cs="Tahoma"/>
          <w:i/>
          <w:iCs/>
          <w:sz w:val="22"/>
          <w:u w:val="single"/>
        </w:rPr>
        <w:lastRenderedPageBreak/>
        <w:t xml:space="preserve">b. </w:t>
      </w:r>
      <w:r w:rsidRPr="005D68A0">
        <w:rPr>
          <w:rFonts w:cs="Tahoma"/>
          <w:b/>
          <w:bCs/>
          <w:i/>
          <w:iCs/>
          <w:sz w:val="22"/>
          <w:u w:val="single"/>
        </w:rPr>
        <w:t xml:space="preserve">1.85% para el sistema de capitalización individual. </w:t>
      </w:r>
    </w:p>
    <w:p w:rsidR="006F4148" w:rsidRPr="005D68A0" w:rsidRDefault="006F4148" w:rsidP="006F4148">
      <w:pPr>
        <w:spacing w:line="276" w:lineRule="auto"/>
        <w:ind w:left="567" w:right="616"/>
        <w:rPr>
          <w:rFonts w:cs="Tahoma"/>
          <w:i/>
          <w:iCs/>
          <w:sz w:val="22"/>
        </w:rPr>
      </w:pPr>
      <w:r w:rsidRPr="005D68A0">
        <w:rPr>
          <w:rFonts w:cs="Tahoma"/>
          <w:i/>
          <w:iCs/>
          <w:sz w:val="22"/>
        </w:rPr>
        <w:t xml:space="preserve">III. Las que determine anualmente el Consejo Directivo para otras prestaciones, señaladas en el Título IV; </w:t>
      </w:r>
    </w:p>
    <w:p w:rsidR="006F4148" w:rsidRPr="005D68A0" w:rsidRDefault="006F4148" w:rsidP="006F4148">
      <w:pPr>
        <w:spacing w:line="276" w:lineRule="auto"/>
        <w:ind w:left="567" w:right="616"/>
        <w:rPr>
          <w:rFonts w:cs="Tahoma"/>
          <w:i/>
          <w:iCs/>
          <w:sz w:val="22"/>
        </w:rPr>
      </w:pPr>
      <w:r w:rsidRPr="005D68A0">
        <w:rPr>
          <w:rFonts w:cs="Tahoma"/>
          <w:i/>
          <w:iCs/>
          <w:sz w:val="22"/>
        </w:rPr>
        <w:t xml:space="preserve">IV. El 0.875% para gastos de administración; </w:t>
      </w:r>
    </w:p>
    <w:p w:rsidR="005E3B84" w:rsidRPr="001C2754" w:rsidRDefault="006F4148" w:rsidP="001C2754">
      <w:pPr>
        <w:spacing w:line="276" w:lineRule="auto"/>
        <w:ind w:left="567" w:right="616"/>
        <w:rPr>
          <w:rFonts w:cs="Tahoma"/>
          <w:i/>
          <w:iCs/>
          <w:sz w:val="22"/>
        </w:rPr>
      </w:pPr>
      <w:r w:rsidRPr="005D68A0">
        <w:rPr>
          <w:rFonts w:cs="Tahoma"/>
          <w:i/>
          <w:iCs/>
          <w:sz w:val="22"/>
        </w:rPr>
        <w:t>V. Las que se generen a cargo de las Instituciones públicas por concepto de riesgos de trabajo.</w:t>
      </w:r>
    </w:p>
    <w:p w:rsidR="007E1C08" w:rsidRDefault="007E1C08" w:rsidP="006F4148">
      <w:pPr>
        <w:rPr>
          <w:rFonts w:cs="Tahoma"/>
          <w:szCs w:val="24"/>
        </w:rPr>
      </w:pPr>
    </w:p>
    <w:p w:rsidR="006F4148" w:rsidRPr="00C129EE" w:rsidRDefault="006F4148" w:rsidP="006F4148">
      <w:pPr>
        <w:rPr>
          <w:rFonts w:cs="Tahoma"/>
          <w:szCs w:val="24"/>
        </w:rPr>
      </w:pPr>
      <w:r w:rsidRPr="00C129EE">
        <w:rPr>
          <w:rFonts w:cs="Tahoma"/>
          <w:szCs w:val="24"/>
        </w:rPr>
        <w:t>Por lo antes señalado, las aportaciones ya están determinadas por un porcentaje en relación al sueldo del servidor público, las cuales son cubiertas obligatoriamente, tanto por los servidores públicos, como por las instituciones públicas, por lo que al considerar los porcentajes correspondientes al Sistema de Capitalización Individual (%1,40 de servidor público y %1.85 de la Institución pública), es fácilmente identificable al conocer el sueldo del servidor público, por tanto dichos conceptos deberán de ser públicos, aún y cuando se tratan de deducciones al sueldo del trabajador.</w:t>
      </w:r>
    </w:p>
    <w:p w:rsidR="006F4148" w:rsidRPr="00C129EE" w:rsidRDefault="006F4148" w:rsidP="006F4148">
      <w:pPr>
        <w:rPr>
          <w:rFonts w:cs="Tahoma"/>
          <w:szCs w:val="24"/>
        </w:rPr>
      </w:pPr>
    </w:p>
    <w:p w:rsidR="006F4148" w:rsidRDefault="006F4148" w:rsidP="00144C72">
      <w:pPr>
        <w:pBdr>
          <w:top w:val="nil"/>
          <w:left w:val="nil"/>
          <w:bottom w:val="nil"/>
          <w:right w:val="nil"/>
          <w:between w:val="nil"/>
        </w:pBdr>
        <w:rPr>
          <w:rFonts w:eastAsia="Palatino Linotype" w:cs="Palatino Linotype"/>
          <w:color w:val="000000"/>
        </w:rPr>
      </w:pPr>
      <w:r w:rsidRPr="00144C72">
        <w:rPr>
          <w:rFonts w:eastAsia="Palatino Linotype" w:cs="Palatino Linotype"/>
          <w:color w:val="000000"/>
        </w:rPr>
        <w:t xml:space="preserve">Es necesario precisar que existen deducciones que se generan con motivo de una decisión libre y voluntaria de los servidores públicos, como son: </w:t>
      </w:r>
      <w:r w:rsidRPr="00144C72">
        <w:rPr>
          <w:rFonts w:eastAsia="Palatino Linotype" w:cs="Palatino Linotype"/>
          <w:color w:val="000000"/>
          <w:u w:val="single"/>
        </w:rPr>
        <w:t>créditos personales,</w:t>
      </w:r>
      <w:r w:rsidRPr="00144C72">
        <w:rPr>
          <w:rFonts w:eastAsia="Palatino Linotype" w:cs="Palatino Linotype"/>
          <w:color w:val="000000"/>
        </w:rPr>
        <w:t xml:space="preserve"> </w:t>
      </w:r>
      <w:r w:rsidRPr="00144C72">
        <w:rPr>
          <w:rFonts w:eastAsia="Palatino Linotype" w:cs="Palatino Linotype"/>
          <w:color w:val="000000"/>
          <w:u w:val="single"/>
        </w:rPr>
        <w:t xml:space="preserve">cuotas sindicales y fondo de resistencia del Sindicato Único de Trabajadores de los Poderes, Municipios e Institución Descentralizadas del Estado de México, seguro de vida, accidentes y enfermedades. </w:t>
      </w:r>
      <w:r w:rsidRPr="00144C72">
        <w:rPr>
          <w:rFonts w:eastAsia="Palatino Linotype" w:cs="Palatino Linotype"/>
          <w:color w:val="000000"/>
        </w:rPr>
        <w:t xml:space="preserve">Asimismo, hay otras que se generan con motivo de una sentencia judicial, como es la pensión alimenticia que periódicamente se retira de la cuenta de un empleado, a efecto de que sea entregado a un tercero.  </w:t>
      </w:r>
    </w:p>
    <w:p w:rsidR="00C129EE" w:rsidRPr="00144C72" w:rsidRDefault="00C129EE" w:rsidP="00144C72">
      <w:pPr>
        <w:pBdr>
          <w:top w:val="nil"/>
          <w:left w:val="nil"/>
          <w:bottom w:val="nil"/>
          <w:right w:val="nil"/>
          <w:between w:val="nil"/>
        </w:pBdr>
        <w:rPr>
          <w:rFonts w:eastAsia="Palatino Linotype" w:cs="Palatino Linotype"/>
          <w:color w:val="000000"/>
          <w:u w:val="single"/>
        </w:rPr>
      </w:pPr>
    </w:p>
    <w:p w:rsidR="005E3B84" w:rsidRDefault="006F4148" w:rsidP="006F4148">
      <w:pPr>
        <w:pBdr>
          <w:top w:val="nil"/>
          <w:left w:val="nil"/>
          <w:bottom w:val="nil"/>
          <w:right w:val="nil"/>
          <w:between w:val="nil"/>
        </w:pBdr>
        <w:rPr>
          <w:rFonts w:eastAsia="Palatino Linotype" w:cs="Palatino Linotype"/>
          <w:color w:val="000000"/>
        </w:rPr>
      </w:pPr>
      <w:r w:rsidRPr="00144C72">
        <w:rPr>
          <w:rFonts w:eastAsia="Palatino Linotype" w:cs="Palatino Linotype"/>
          <w:color w:val="000000"/>
        </w:rPr>
        <w:t xml:space="preserve">En consecuencia, este tipo de deducciones son fruto de decisiones que impactan en el patrimonio de un servidor público con la finalidad de obtener un beneficio conforme a la decisión de un trabajador, </w:t>
      </w:r>
      <w:r w:rsidRPr="00144C72">
        <w:rPr>
          <w:rFonts w:eastAsia="Palatino Linotype" w:cs="Palatino Linotype"/>
          <w:b/>
          <w:color w:val="000000"/>
        </w:rPr>
        <w:t xml:space="preserve">mismas que no implican la entrega de recursos con cargo al </w:t>
      </w:r>
      <w:r w:rsidRPr="00144C72">
        <w:rPr>
          <w:rFonts w:eastAsia="Palatino Linotype" w:cs="Palatino Linotype"/>
          <w:b/>
          <w:color w:val="000000"/>
        </w:rPr>
        <w:lastRenderedPageBreak/>
        <w:t xml:space="preserve">erario, y tampoco reflejan el ejercicio de una prestación; por el contrario, en dichos casos se trata del libre ejercicio del servidor público para disponer de un ingreso que forma parte de su patrimonio. </w:t>
      </w:r>
      <w:r w:rsidRPr="00144C72">
        <w:rPr>
          <w:rFonts w:eastAsia="Palatino Linotype" w:cs="Palatino Linotype"/>
          <w:color w:val="000000"/>
        </w:rPr>
        <w:t xml:space="preserve"> Así, dichas deducciones reflejan el destino que un servidor público da a su patrimonio, lo que se aleja de la transparencia y rendición de cuentas.</w:t>
      </w:r>
    </w:p>
    <w:p w:rsidR="007E1C08" w:rsidRPr="00C129EE" w:rsidRDefault="007E1C08" w:rsidP="006F4148">
      <w:pPr>
        <w:pBdr>
          <w:top w:val="nil"/>
          <w:left w:val="nil"/>
          <w:bottom w:val="nil"/>
          <w:right w:val="nil"/>
          <w:between w:val="nil"/>
        </w:pBdr>
        <w:rPr>
          <w:rFonts w:eastAsia="Palatino Linotype" w:cs="Palatino Linotype"/>
          <w:color w:val="000000"/>
        </w:rPr>
      </w:pPr>
    </w:p>
    <w:p w:rsidR="006F4148" w:rsidRPr="00144C72" w:rsidRDefault="006F4148" w:rsidP="00144C72">
      <w:pPr>
        <w:pBdr>
          <w:top w:val="nil"/>
          <w:left w:val="nil"/>
          <w:bottom w:val="nil"/>
          <w:right w:val="nil"/>
          <w:between w:val="nil"/>
        </w:pBdr>
        <w:rPr>
          <w:rFonts w:eastAsia="Palatino Linotype" w:cs="Palatino Linotype"/>
          <w:color w:val="000000"/>
        </w:rPr>
      </w:pPr>
      <w:r w:rsidRPr="00144C72">
        <w:rPr>
          <w:rFonts w:eastAsia="Palatino Linotype" w:cs="Palatino Linotype"/>
          <w:color w:val="000000"/>
        </w:rPr>
        <w:t>Hasta este punto, se considera que la información relacionada con los siguientes puntos actualiza una causal de confidencialidad, toda vez que identifica o hace identificable a su titular.</w:t>
      </w:r>
    </w:p>
    <w:p w:rsidR="006F4148" w:rsidRPr="00144C72" w:rsidRDefault="006F4148" w:rsidP="006F4148">
      <w:pPr>
        <w:numPr>
          <w:ilvl w:val="0"/>
          <w:numId w:val="16"/>
        </w:numPr>
        <w:pBdr>
          <w:top w:val="nil"/>
          <w:left w:val="nil"/>
          <w:bottom w:val="nil"/>
          <w:right w:val="nil"/>
          <w:between w:val="nil"/>
        </w:pBdr>
        <w:rPr>
          <w:rFonts w:eastAsia="Palatino Linotype" w:cs="Palatino Linotype"/>
          <w:color w:val="000000"/>
        </w:rPr>
      </w:pPr>
      <w:r w:rsidRPr="00144C72">
        <w:rPr>
          <w:rFonts w:eastAsia="Palatino Linotype" w:cs="Palatino Linotype"/>
          <w:color w:val="000000"/>
        </w:rPr>
        <w:t>Clave Única de Registro de Población (CURP)</w:t>
      </w:r>
    </w:p>
    <w:p w:rsidR="006F4148" w:rsidRPr="00144C72" w:rsidRDefault="006F4148" w:rsidP="006F4148">
      <w:pPr>
        <w:numPr>
          <w:ilvl w:val="0"/>
          <w:numId w:val="16"/>
        </w:numPr>
        <w:pBdr>
          <w:top w:val="nil"/>
          <w:left w:val="nil"/>
          <w:bottom w:val="nil"/>
          <w:right w:val="nil"/>
          <w:between w:val="nil"/>
        </w:pBdr>
        <w:rPr>
          <w:rFonts w:eastAsia="Palatino Linotype" w:cs="Palatino Linotype"/>
          <w:color w:val="000000"/>
        </w:rPr>
      </w:pPr>
      <w:r w:rsidRPr="00144C72">
        <w:rPr>
          <w:rFonts w:eastAsia="Palatino Linotype" w:cs="Palatino Linotype"/>
          <w:color w:val="000000"/>
        </w:rPr>
        <w:t xml:space="preserve">Clave </w:t>
      </w:r>
      <w:proofErr w:type="spellStart"/>
      <w:r w:rsidRPr="00144C72">
        <w:rPr>
          <w:rFonts w:eastAsia="Palatino Linotype" w:cs="Palatino Linotype"/>
          <w:color w:val="000000"/>
        </w:rPr>
        <w:t>ISSEMyM</w:t>
      </w:r>
      <w:proofErr w:type="spellEnd"/>
    </w:p>
    <w:p w:rsidR="006F4148" w:rsidRPr="00144C72" w:rsidRDefault="006F4148" w:rsidP="006F4148">
      <w:pPr>
        <w:numPr>
          <w:ilvl w:val="0"/>
          <w:numId w:val="16"/>
        </w:numPr>
        <w:pBdr>
          <w:top w:val="nil"/>
          <w:left w:val="nil"/>
          <w:bottom w:val="nil"/>
          <w:right w:val="nil"/>
          <w:between w:val="nil"/>
        </w:pBdr>
        <w:rPr>
          <w:rFonts w:eastAsia="Palatino Linotype" w:cs="Palatino Linotype"/>
          <w:color w:val="000000"/>
        </w:rPr>
      </w:pPr>
      <w:r w:rsidRPr="00144C72">
        <w:rPr>
          <w:rFonts w:eastAsia="Palatino Linotype" w:cs="Palatino Linotype"/>
          <w:color w:val="000000"/>
        </w:rPr>
        <w:t>Registro Federal de Contribuyentes (RFC)</w:t>
      </w:r>
    </w:p>
    <w:p w:rsidR="006F4148" w:rsidRPr="00144C72" w:rsidRDefault="006F4148" w:rsidP="006F4148">
      <w:pPr>
        <w:numPr>
          <w:ilvl w:val="0"/>
          <w:numId w:val="16"/>
        </w:numPr>
        <w:pBdr>
          <w:top w:val="nil"/>
          <w:left w:val="nil"/>
          <w:bottom w:val="nil"/>
          <w:right w:val="nil"/>
          <w:between w:val="nil"/>
        </w:pBdr>
        <w:rPr>
          <w:rFonts w:eastAsia="Palatino Linotype" w:cs="Palatino Linotype"/>
          <w:color w:val="000000"/>
        </w:rPr>
      </w:pPr>
      <w:r w:rsidRPr="00144C72">
        <w:rPr>
          <w:rFonts w:eastAsia="Palatino Linotype" w:cs="Palatino Linotype"/>
          <w:color w:val="000000"/>
        </w:rPr>
        <w:t xml:space="preserve">Deducciones personales </w:t>
      </w:r>
    </w:p>
    <w:p w:rsidR="006F4148" w:rsidRPr="00144C72" w:rsidRDefault="006F4148" w:rsidP="006F4148">
      <w:pPr>
        <w:numPr>
          <w:ilvl w:val="0"/>
          <w:numId w:val="16"/>
        </w:numPr>
        <w:pBdr>
          <w:top w:val="nil"/>
          <w:left w:val="nil"/>
          <w:bottom w:val="nil"/>
          <w:right w:val="nil"/>
          <w:between w:val="nil"/>
        </w:pBdr>
        <w:rPr>
          <w:rFonts w:eastAsia="Palatino Linotype" w:cs="Palatino Linotype"/>
          <w:color w:val="000000"/>
        </w:rPr>
      </w:pPr>
      <w:r w:rsidRPr="00144C72">
        <w:rPr>
          <w:rFonts w:eastAsia="Palatino Linotype" w:cs="Palatino Linotype"/>
          <w:color w:val="000000"/>
        </w:rPr>
        <w:t xml:space="preserve">Número de empleado </w:t>
      </w:r>
      <w:r w:rsidRPr="00144C72">
        <w:rPr>
          <w:rFonts w:eastAsia="Palatino Linotype" w:cs="Palatino Linotype"/>
          <w:b/>
          <w:color w:val="000000"/>
        </w:rPr>
        <w:t>(sólo en el caso de que contenga datos personales o se relacione con los mismos, de lo contrario es información pública)</w:t>
      </w:r>
    </w:p>
    <w:p w:rsidR="006F4148" w:rsidRPr="00144C72" w:rsidRDefault="006F4148" w:rsidP="006F4148">
      <w:pPr>
        <w:pBdr>
          <w:top w:val="nil"/>
          <w:left w:val="nil"/>
          <w:bottom w:val="nil"/>
          <w:right w:val="nil"/>
          <w:between w:val="nil"/>
        </w:pBdr>
        <w:rPr>
          <w:rFonts w:eastAsia="Palatino Linotype" w:cs="Palatino Linotype"/>
          <w:color w:val="000000"/>
        </w:rPr>
      </w:pPr>
    </w:p>
    <w:p w:rsidR="006F4148" w:rsidRPr="007E1C08" w:rsidRDefault="006F4148" w:rsidP="007E1C08">
      <w:pPr>
        <w:pBdr>
          <w:top w:val="nil"/>
          <w:left w:val="nil"/>
          <w:bottom w:val="nil"/>
          <w:right w:val="nil"/>
          <w:between w:val="nil"/>
        </w:pBdr>
        <w:rPr>
          <w:rFonts w:eastAsia="Palatino Linotype" w:cs="Palatino Linotype"/>
          <w:color w:val="000000"/>
        </w:rPr>
      </w:pPr>
      <w:r w:rsidRPr="00144C72">
        <w:rPr>
          <w:rFonts w:eastAsia="Palatino Linotype" w:cs="Palatino Linotype"/>
          <w:color w:val="000000"/>
        </w:rPr>
        <w:t>Es decir, los datos personales enlistados constituyen datos personales confidenciales al actualizar el supuesto normativo del artículo 143, fracción I de la Ley de Transparencia y Acceso a la Información Pública del Estado de México y Municipios.</w:t>
      </w:r>
    </w:p>
    <w:p w:rsidR="006F4148" w:rsidRPr="005D68A0" w:rsidRDefault="006F4148" w:rsidP="006F4148">
      <w:pPr>
        <w:pStyle w:val="Prrafodelista"/>
        <w:ind w:left="0"/>
        <w:rPr>
          <w:rFonts w:cs="Arial"/>
        </w:rPr>
      </w:pPr>
    </w:p>
    <w:p w:rsidR="006F4148" w:rsidRPr="00C129EE" w:rsidRDefault="006F4148" w:rsidP="006F4148">
      <w:pPr>
        <w:pBdr>
          <w:top w:val="nil"/>
          <w:left w:val="nil"/>
          <w:bottom w:val="nil"/>
          <w:right w:val="nil"/>
          <w:between w:val="nil"/>
        </w:pBdr>
        <w:rPr>
          <w:rFonts w:eastAsia="Palatino Linotype" w:cs="Palatino Linotype"/>
          <w:color w:val="000000"/>
          <w:szCs w:val="24"/>
          <w:u w:val="single"/>
        </w:rPr>
      </w:pPr>
      <w:r w:rsidRPr="00C129EE">
        <w:rPr>
          <w:rFonts w:eastAsia="Palatino Linotype" w:cs="Palatino Linotype"/>
          <w:color w:val="000000"/>
          <w:szCs w:val="24"/>
        </w:rPr>
        <w:t xml:space="preserve">La </w:t>
      </w:r>
      <w:r w:rsidRPr="00C129EE">
        <w:rPr>
          <w:rFonts w:eastAsia="Palatino Linotype" w:cs="Palatino Linotype"/>
          <w:b/>
          <w:color w:val="000000"/>
          <w:szCs w:val="24"/>
        </w:rPr>
        <w:t xml:space="preserve">firma </w:t>
      </w:r>
      <w:r w:rsidRPr="00C129EE">
        <w:rPr>
          <w:rFonts w:eastAsia="Palatino Linotype" w:cs="Palatino Linotype"/>
          <w:color w:val="000000"/>
          <w:szCs w:val="24"/>
        </w:rPr>
        <w:t xml:space="preserve">constituye un dato personal confidencial y únicamente será público dicho dato cuando sirva para la emisión de un acto de autoridad, en ejercicio de sus funciones, en el caso se considera que al tratarse de recibos de nómina por la prestación de servicios como servidores públicos y realizar actividades laborales en una institución pública se </w:t>
      </w:r>
      <w:r w:rsidRPr="00C129EE">
        <w:rPr>
          <w:rFonts w:eastAsia="Palatino Linotype" w:cs="Palatino Linotype"/>
          <w:color w:val="000000"/>
          <w:szCs w:val="24"/>
        </w:rPr>
        <w:lastRenderedPageBreak/>
        <w:t xml:space="preserve">considera que </w:t>
      </w:r>
      <w:r w:rsidRPr="00C129EE">
        <w:rPr>
          <w:rFonts w:eastAsia="Palatino Linotype" w:cs="Palatino Linotype"/>
          <w:color w:val="000000"/>
          <w:szCs w:val="24"/>
          <w:u w:val="single"/>
        </w:rPr>
        <w:t>su firma es pública, ya que acepta la conformidad del pago por la prestación de sus servicios.</w:t>
      </w:r>
    </w:p>
    <w:p w:rsidR="006F4148" w:rsidRPr="00C129EE" w:rsidRDefault="006F4148" w:rsidP="006F4148">
      <w:pPr>
        <w:pBdr>
          <w:top w:val="nil"/>
          <w:left w:val="nil"/>
          <w:bottom w:val="nil"/>
          <w:right w:val="nil"/>
          <w:between w:val="nil"/>
        </w:pBdr>
        <w:rPr>
          <w:rFonts w:eastAsia="Palatino Linotype" w:cs="Palatino Linotype"/>
          <w:color w:val="000000"/>
          <w:szCs w:val="24"/>
        </w:rPr>
      </w:pPr>
    </w:p>
    <w:p w:rsidR="006F4148" w:rsidRPr="00C129EE" w:rsidRDefault="006F4148" w:rsidP="006F4148">
      <w:pPr>
        <w:pBdr>
          <w:top w:val="nil"/>
          <w:left w:val="nil"/>
          <w:bottom w:val="nil"/>
          <w:right w:val="nil"/>
          <w:between w:val="nil"/>
        </w:pBdr>
        <w:rPr>
          <w:rFonts w:eastAsia="Palatino Linotype" w:cs="Palatino Linotype"/>
          <w:color w:val="000000"/>
          <w:szCs w:val="24"/>
        </w:rPr>
      </w:pPr>
      <w:r w:rsidRPr="00C129EE">
        <w:rPr>
          <w:rFonts w:eastAsia="Palatino Linotype" w:cs="Palatino Linotype"/>
          <w:color w:val="000000"/>
          <w:szCs w:val="24"/>
        </w:rPr>
        <w:t>De esta manera, se colige que la firma de servidores públicos, vinculada al ejercicio de la función pública es información de naturaleza pública, pues documenta y rinde cuentas sobre el debido ejercicio de los recursos públicos en contraprestación a sus servicios prestados.</w:t>
      </w:r>
    </w:p>
    <w:p w:rsidR="006F4148" w:rsidRPr="00C129EE" w:rsidRDefault="006F4148" w:rsidP="006F4148">
      <w:pPr>
        <w:pBdr>
          <w:top w:val="nil"/>
          <w:left w:val="nil"/>
          <w:bottom w:val="nil"/>
          <w:right w:val="nil"/>
          <w:between w:val="nil"/>
        </w:pBdr>
        <w:rPr>
          <w:rFonts w:eastAsia="Palatino Linotype" w:cs="Palatino Linotype"/>
          <w:color w:val="000000"/>
          <w:szCs w:val="24"/>
        </w:rPr>
      </w:pPr>
    </w:p>
    <w:p w:rsidR="006F4148" w:rsidRPr="00C129EE" w:rsidRDefault="006F4148" w:rsidP="006F4148">
      <w:pPr>
        <w:pBdr>
          <w:top w:val="nil"/>
          <w:left w:val="nil"/>
          <w:bottom w:val="nil"/>
          <w:right w:val="nil"/>
          <w:between w:val="nil"/>
        </w:pBdr>
        <w:rPr>
          <w:rFonts w:eastAsia="Palatino Linotype" w:cs="Palatino Linotype"/>
          <w:color w:val="000000"/>
          <w:szCs w:val="24"/>
        </w:rPr>
      </w:pPr>
      <w:r w:rsidRPr="00C129EE">
        <w:rPr>
          <w:rFonts w:eastAsia="Palatino Linotype" w:cs="Palatino Linotype"/>
          <w:color w:val="000000"/>
          <w:szCs w:val="24"/>
        </w:rPr>
        <w:t>La publicidad de dicho dato, se robustece, con el Criterio de Interpretación, de la Segunda Época, con clave de control SO/002/2019, emitido por el Instituto Nacional de Transparencia, Acceso a la Información y Protección de Datos Personales, que establece lo siguiente:</w:t>
      </w:r>
    </w:p>
    <w:p w:rsidR="006F4148" w:rsidRPr="00AB1E17" w:rsidRDefault="006F4148" w:rsidP="00AB1E17">
      <w:pPr>
        <w:shd w:val="clear" w:color="auto" w:fill="FFFFFF"/>
        <w:spacing w:line="276" w:lineRule="auto"/>
        <w:ind w:left="851" w:right="902"/>
        <w:rPr>
          <w:rFonts w:eastAsia="Palatino Linotype" w:cs="Palatino Linotype"/>
          <w:i/>
          <w:sz w:val="22"/>
        </w:rPr>
      </w:pPr>
      <w:r w:rsidRPr="005D68A0">
        <w:rPr>
          <w:rFonts w:eastAsia="Palatino Linotype" w:cs="Palatino Linotype"/>
          <w:sz w:val="22"/>
        </w:rPr>
        <w:t> </w:t>
      </w:r>
      <w:r w:rsidRPr="005D68A0">
        <w:rPr>
          <w:rFonts w:eastAsia="Palatino Linotype" w:cs="Palatino Linotype"/>
          <w:b/>
          <w:i/>
          <w:sz w:val="22"/>
        </w:rPr>
        <w:t>“Firma y rúbrica de servidores públicos.</w:t>
      </w:r>
      <w:r w:rsidRPr="005D68A0">
        <w:rPr>
          <w:rFonts w:eastAsia="Palatino Linotype" w:cs="Palatino Linotype"/>
          <w:i/>
          <w:sz w:val="22"/>
        </w:rPr>
        <w:t> Si bien la firma y la rúbrica son datos personales confidenciales, cuando un servidor público emite un acto como autoridad, en ejercicio de las funciones que tiene conferidas, la firma o rúbrica mediante la cual se valida dicho acto es pública.”</w:t>
      </w:r>
    </w:p>
    <w:p w:rsidR="00C129EE" w:rsidRDefault="00C129EE" w:rsidP="006F4148">
      <w:pPr>
        <w:pBdr>
          <w:top w:val="nil"/>
          <w:left w:val="nil"/>
          <w:bottom w:val="nil"/>
          <w:right w:val="nil"/>
          <w:between w:val="nil"/>
        </w:pBdr>
        <w:rPr>
          <w:rFonts w:eastAsia="Palatino Linotype" w:cs="Palatino Linotype"/>
        </w:rPr>
      </w:pPr>
    </w:p>
    <w:p w:rsidR="006F4148" w:rsidRPr="00DD5AEC" w:rsidRDefault="006F4148" w:rsidP="006F4148">
      <w:pPr>
        <w:pBdr>
          <w:top w:val="nil"/>
          <w:left w:val="nil"/>
          <w:bottom w:val="nil"/>
          <w:right w:val="nil"/>
          <w:between w:val="nil"/>
        </w:pBdr>
        <w:rPr>
          <w:rFonts w:eastAsia="Palatino Linotype" w:cs="Palatino Linotype"/>
        </w:rPr>
      </w:pPr>
      <w:r w:rsidRPr="00DD5AEC">
        <w:rPr>
          <w:rFonts w:eastAsia="Palatino Linotype" w:cs="Palatino Linotype"/>
        </w:rPr>
        <w:t xml:space="preserve">Por otro lado, derivado de la información </w:t>
      </w:r>
      <w:r w:rsidR="00AB1E17">
        <w:rPr>
          <w:rFonts w:eastAsia="Palatino Linotype" w:cs="Palatino Linotype"/>
        </w:rPr>
        <w:t>en comento</w:t>
      </w:r>
      <w:r w:rsidRPr="00DD5AEC">
        <w:rPr>
          <w:rFonts w:eastAsia="Palatino Linotype" w:cs="Palatino Linotype"/>
        </w:rPr>
        <w:t xml:space="preserve"> pudiera existir información de la </w:t>
      </w:r>
      <w:r w:rsidRPr="00DD5AEC">
        <w:rPr>
          <w:rFonts w:eastAsia="Palatino Linotype" w:cs="Palatino Linotype"/>
          <w:b/>
        </w:rPr>
        <w:t>Dirección de Seguridad Pública del Ayuntamiento o su equivalente,</w:t>
      </w:r>
      <w:r w:rsidRPr="00DD5AEC">
        <w:rPr>
          <w:rFonts w:eastAsia="Palatino Linotype" w:cs="Palatino Linotype"/>
        </w:rPr>
        <w:t xml:space="preserve"> la cual ponga en riesgo los integrantes de las corporaciones policiacas, esto es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w:t>
      </w:r>
      <w:r w:rsidRPr="00DD5AEC">
        <w:rPr>
          <w:rFonts w:eastAsia="Palatino Linotype" w:cs="Palatino Linotype"/>
          <w:b/>
        </w:rPr>
        <w:t>sólo por cuanto hace al nombre</w:t>
      </w:r>
      <w:r w:rsidRPr="00DD5AEC">
        <w:rPr>
          <w:rFonts w:eastAsia="Palatino Linotype" w:cs="Palatino Linotype"/>
        </w:rPr>
        <w:t xml:space="preserve"> </w:t>
      </w:r>
      <w:r w:rsidRPr="00DD5AEC">
        <w:rPr>
          <w:rFonts w:eastAsia="Palatino Linotype" w:cs="Palatino Linotype"/>
          <w:b/>
        </w:rPr>
        <w:t>dejando intocable el rubro del cargo</w:t>
      </w:r>
      <w:r w:rsidRPr="00DD5AEC">
        <w:rPr>
          <w:rFonts w:eastAsia="Palatino Linotype" w:cs="Palatino Linotype"/>
        </w:rPr>
        <w:t xml:space="preserve">; circunstancia que en nada </w:t>
      </w:r>
      <w:r w:rsidRPr="00DD5AEC">
        <w:rPr>
          <w:rFonts w:eastAsia="Palatino Linotype" w:cs="Palatino Linotype"/>
        </w:rPr>
        <w:lastRenderedPageBreak/>
        <w:t xml:space="preserve">afecta al derecho tutelado por este Organismo Garante sino por el contrario también reafirma su compromiso con la rendición de cuentas del Estado y la protección a grupos vulnerables de acuerdo al cargo de seguridad Municipal, por lo que deberá testarse de igual manera sólo el nombre de los servidores públicos de la Policía Municipal </w:t>
      </w:r>
      <w:r w:rsidRPr="00DD5AEC">
        <w:rPr>
          <w:rFonts w:eastAsia="Palatino Linotype" w:cs="Palatino Linotype"/>
          <w:b/>
        </w:rPr>
        <w:t>que desempeñen funciones operativas</w:t>
      </w:r>
      <w:r w:rsidRPr="00DD5AEC">
        <w:rPr>
          <w:rFonts w:eastAsia="Palatino Linotype" w:cs="Palatino Linotype"/>
        </w:rPr>
        <w:t>.</w:t>
      </w:r>
    </w:p>
    <w:p w:rsidR="006F4148" w:rsidRPr="00DD5AEC" w:rsidRDefault="006F4148" w:rsidP="006F4148">
      <w:pPr>
        <w:pBdr>
          <w:top w:val="nil"/>
          <w:left w:val="nil"/>
          <w:bottom w:val="nil"/>
          <w:right w:val="nil"/>
          <w:between w:val="nil"/>
        </w:pBdr>
        <w:rPr>
          <w:rFonts w:eastAsia="Palatino Linotype" w:cs="Palatino Linotype"/>
        </w:rPr>
      </w:pPr>
    </w:p>
    <w:p w:rsidR="006F4148" w:rsidRDefault="006F4148" w:rsidP="006F4148">
      <w:pPr>
        <w:rPr>
          <w:rFonts w:eastAsia="Palatino Linotype" w:cs="Palatino Linotype"/>
        </w:rPr>
      </w:pPr>
      <w:r w:rsidRPr="00DD5AEC">
        <w:rPr>
          <w:rFonts w:eastAsia="Palatino Linotype" w:cs="Palatino Linotype"/>
        </w:rPr>
        <w:t xml:space="preserve">Al respecto, la información </w:t>
      </w:r>
      <w:r w:rsidRPr="00DD5AEC">
        <w:rPr>
          <w:rFonts w:eastAsia="Palatino Linotype" w:cs="Palatino Linotype"/>
          <w:b/>
        </w:rPr>
        <w:t>de los elementos que realizan funciones operativas, entre ellos su nombre debe ser protegido</w:t>
      </w:r>
      <w:r w:rsidRPr="00DD5AEC">
        <w:rPr>
          <w:rFonts w:eastAsia="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rsidR="00C129EE" w:rsidRPr="00DD5AEC" w:rsidRDefault="00C129EE" w:rsidP="006F4148">
      <w:pPr>
        <w:rPr>
          <w:rFonts w:eastAsia="Palatino Linotype" w:cs="Palatino Linotype"/>
        </w:rPr>
      </w:pPr>
    </w:p>
    <w:p w:rsidR="006F4148" w:rsidRPr="00DD5AEC" w:rsidRDefault="006F4148" w:rsidP="006F4148">
      <w:pPr>
        <w:rPr>
          <w:rFonts w:eastAsia="Palatino Linotype" w:cs="Palatino Linotype"/>
        </w:rPr>
      </w:pPr>
      <w:r w:rsidRPr="00DD5AEC">
        <w:rPr>
          <w:rFonts w:eastAsia="Palatino Linotype" w:cs="Palatino Linotype"/>
        </w:rPr>
        <w:t xml:space="preserve">Robustece lo anterior el Criterio Reiterado 09/2024 emitido por este órgano Garante, el cual establece la clasificación del nombre del personal operativo de seguridad como información reservada; </w:t>
      </w:r>
    </w:p>
    <w:p w:rsidR="006F4148" w:rsidRPr="00DD5AEC" w:rsidRDefault="006F4148" w:rsidP="006F4148">
      <w:pPr>
        <w:ind w:left="708"/>
        <w:rPr>
          <w:rFonts w:eastAsia="Palatino Linotype" w:cs="Palatino Linotype"/>
          <w:i/>
          <w:sz w:val="22"/>
        </w:rPr>
      </w:pPr>
      <w:r w:rsidRPr="00DD5AEC">
        <w:rPr>
          <w:rFonts w:eastAsia="Palatino Linotype" w:cs="Palatino Linotype"/>
          <w:b/>
          <w:i/>
          <w:sz w:val="22"/>
        </w:rPr>
        <w:t xml:space="preserve">NOMBRE DE PERSONAL OPERATIVO DE  SEGURIDAD PÚBLICA. PROCEDE SU CLASIFICACIÓN COMO INFORMACIÓN RESERVADA. </w:t>
      </w:r>
      <w:r w:rsidRPr="00DD5AEC">
        <w:rPr>
          <w:rFonts w:eastAsia="Palatino Linotype" w:cs="Palatino Linotype"/>
          <w:i/>
          <w:sz w:val="22"/>
        </w:rPr>
        <w:t xml:space="preserve">El nombre del personal operativo de seguridad pública debe clasificarse como información reservada previa acreditación de la prueba de daño, ya que su publicidad podría entorpecer las tareas de seguridad pública y poner en riesgo </w:t>
      </w:r>
      <w:r w:rsidRPr="00DD5AEC">
        <w:rPr>
          <w:rFonts w:eastAsia="Palatino Linotype" w:cs="Palatino Linotype"/>
          <w:i/>
          <w:sz w:val="22"/>
        </w:rPr>
        <w:lastRenderedPageBreak/>
        <w:t>la vida, la seguridad o la salud del servidor público, ya que los vuelve plenamente identificables ante grupos delictivos. Sin embargo, esta causal de reserva por regla general no puede aplicar al personal administrativo y de mando medio y superior, al no realizar funciones operativas de seguridad pública.</w:t>
      </w:r>
    </w:p>
    <w:p w:rsidR="006F4148" w:rsidRPr="00AB1E17" w:rsidRDefault="006F4148" w:rsidP="00AB1E17">
      <w:pPr>
        <w:spacing w:line="276" w:lineRule="auto"/>
        <w:ind w:left="993"/>
        <w:rPr>
          <w:rFonts w:eastAsia="Palatino Linotype" w:cs="Palatino Linotype"/>
          <w:i/>
          <w:sz w:val="16"/>
          <w:szCs w:val="16"/>
        </w:rPr>
      </w:pPr>
    </w:p>
    <w:p w:rsidR="006F4148" w:rsidRPr="00AB1E17" w:rsidRDefault="006F4148" w:rsidP="00AB1E17">
      <w:pPr>
        <w:spacing w:line="276" w:lineRule="auto"/>
        <w:ind w:left="993" w:firstLine="708"/>
        <w:rPr>
          <w:rFonts w:eastAsia="Palatino Linotype" w:cs="Palatino Linotype"/>
          <w:b/>
          <w:i/>
          <w:sz w:val="16"/>
          <w:szCs w:val="16"/>
        </w:rPr>
      </w:pPr>
      <w:r w:rsidRPr="00AB1E17">
        <w:rPr>
          <w:rFonts w:eastAsia="Palatino Linotype" w:cs="Palatino Linotype"/>
          <w:b/>
          <w:i/>
          <w:sz w:val="16"/>
          <w:szCs w:val="16"/>
        </w:rPr>
        <w:t>Precedentes:</w:t>
      </w:r>
    </w:p>
    <w:p w:rsidR="006F4148" w:rsidRPr="00AB1E17" w:rsidRDefault="006F4148" w:rsidP="00AB1E17">
      <w:pPr>
        <w:numPr>
          <w:ilvl w:val="0"/>
          <w:numId w:val="17"/>
        </w:numPr>
        <w:pBdr>
          <w:top w:val="nil"/>
          <w:left w:val="nil"/>
          <w:bottom w:val="nil"/>
          <w:right w:val="nil"/>
          <w:between w:val="nil"/>
        </w:pBdr>
        <w:spacing w:line="240" w:lineRule="auto"/>
        <w:ind w:left="993"/>
        <w:rPr>
          <w:i/>
          <w:color w:val="000000"/>
          <w:sz w:val="16"/>
          <w:szCs w:val="16"/>
        </w:rPr>
      </w:pPr>
      <w:r w:rsidRPr="00AB1E17">
        <w:rPr>
          <w:rFonts w:eastAsia="Palatino Linotype" w:cs="Palatino Linotype"/>
          <w:i/>
          <w:color w:val="000000"/>
          <w:sz w:val="16"/>
          <w:szCs w:val="16"/>
        </w:rPr>
        <w:t xml:space="preserve">En materia de acceso a la información pública. 03148/INFOEM/IP/RR/2023 y Acumulados. Aprobada por unanimidad de votos emitiendo voto particular los Comisionados Luis Gustavo Parra Noriega y Guadalupe Ramírez Peña. Ayuntamiento de </w:t>
      </w:r>
      <w:proofErr w:type="spellStart"/>
      <w:r w:rsidRPr="00AB1E17">
        <w:rPr>
          <w:rFonts w:eastAsia="Palatino Linotype" w:cs="Palatino Linotype"/>
          <w:i/>
          <w:color w:val="000000"/>
          <w:sz w:val="16"/>
          <w:szCs w:val="16"/>
        </w:rPr>
        <w:t>Tlalmanalco</w:t>
      </w:r>
      <w:proofErr w:type="spellEnd"/>
      <w:r w:rsidRPr="00AB1E17">
        <w:rPr>
          <w:rFonts w:eastAsia="Palatino Linotype" w:cs="Palatino Linotype"/>
          <w:i/>
          <w:color w:val="000000"/>
          <w:sz w:val="16"/>
          <w:szCs w:val="16"/>
        </w:rPr>
        <w:t>. Comisionada ponente María del Rosario Mejía Ayala. Sesión 04-2024.</w:t>
      </w:r>
    </w:p>
    <w:p w:rsidR="006F4148" w:rsidRPr="00AB1E17" w:rsidRDefault="006F4148" w:rsidP="00AB1E17">
      <w:pPr>
        <w:numPr>
          <w:ilvl w:val="0"/>
          <w:numId w:val="17"/>
        </w:numPr>
        <w:pBdr>
          <w:top w:val="nil"/>
          <w:left w:val="nil"/>
          <w:bottom w:val="nil"/>
          <w:right w:val="nil"/>
          <w:between w:val="nil"/>
        </w:pBdr>
        <w:spacing w:line="240" w:lineRule="auto"/>
        <w:ind w:left="993"/>
        <w:rPr>
          <w:i/>
          <w:color w:val="000000"/>
          <w:sz w:val="16"/>
          <w:szCs w:val="16"/>
        </w:rPr>
      </w:pPr>
      <w:r w:rsidRPr="00AB1E17">
        <w:rPr>
          <w:rFonts w:eastAsia="Palatino Linotype" w:cs="Palatino Linotype"/>
          <w:i/>
          <w:color w:val="000000"/>
          <w:sz w:val="16"/>
          <w:szCs w:val="16"/>
        </w:rPr>
        <w:t>En materia de acceso a la información pública. 06111/INFOEM/IP/RR/2023. Aprobada por unanimidad de votos emitiendo voto particular los Comisionados José Martínez Vilchis, María del Rosario Mejía Ayala, Sharon Cristina Morales Martínez, Luis Gustavo Parra Noriega y Guadalupe Ramírez Peña. Ayuntamiento de Nicolás Romero. Comisionada ponente Sharon Cristina Morales Martínez. Sesión 07-2024.</w:t>
      </w:r>
    </w:p>
    <w:p w:rsidR="006F4148" w:rsidRPr="00AB1E17" w:rsidRDefault="006F4148" w:rsidP="00AB1E17">
      <w:pPr>
        <w:numPr>
          <w:ilvl w:val="0"/>
          <w:numId w:val="17"/>
        </w:numPr>
        <w:pBdr>
          <w:top w:val="nil"/>
          <w:left w:val="nil"/>
          <w:bottom w:val="nil"/>
          <w:right w:val="nil"/>
          <w:between w:val="nil"/>
        </w:pBdr>
        <w:spacing w:line="240" w:lineRule="auto"/>
        <w:ind w:left="993"/>
        <w:rPr>
          <w:i/>
          <w:color w:val="000000"/>
          <w:sz w:val="16"/>
          <w:szCs w:val="16"/>
        </w:rPr>
      </w:pPr>
      <w:r w:rsidRPr="00AB1E17">
        <w:rPr>
          <w:rFonts w:eastAsia="Palatino Linotype" w:cs="Palatino Linotype"/>
          <w:i/>
          <w:color w:val="000000"/>
          <w:sz w:val="16"/>
          <w:szCs w:val="16"/>
        </w:rPr>
        <w:t xml:space="preserve">En materia de acceso a la información pública. 04497/INFOEM/IP/RR/2023. Aprobada por unanimidad de votos emitiendo voto particular los Comisionados Luis Gustavo Parra Noriega y Guadalupe Ramírez Peña. Ayuntamiento de </w:t>
      </w:r>
      <w:proofErr w:type="spellStart"/>
      <w:r w:rsidRPr="00AB1E17">
        <w:rPr>
          <w:rFonts w:eastAsia="Palatino Linotype" w:cs="Palatino Linotype"/>
          <w:i/>
          <w:color w:val="000000"/>
          <w:sz w:val="16"/>
          <w:szCs w:val="16"/>
        </w:rPr>
        <w:t>Tezoyuca</w:t>
      </w:r>
      <w:proofErr w:type="spellEnd"/>
      <w:r w:rsidRPr="00AB1E17">
        <w:rPr>
          <w:rFonts w:eastAsia="Palatino Linotype" w:cs="Palatino Linotype"/>
          <w:i/>
          <w:color w:val="000000"/>
          <w:sz w:val="16"/>
          <w:szCs w:val="16"/>
        </w:rPr>
        <w:t>. Comisionada ponente Sharon Cristina Morales Martínez. Sesión 07-2024.</w:t>
      </w:r>
    </w:p>
    <w:p w:rsidR="006F4148" w:rsidRPr="00AB1E17" w:rsidRDefault="006F4148" w:rsidP="00AB1E17">
      <w:pPr>
        <w:ind w:left="993"/>
        <w:rPr>
          <w:rFonts w:eastAsia="Palatino Linotype" w:cs="Palatino Linotype"/>
          <w:i/>
          <w:sz w:val="16"/>
          <w:szCs w:val="16"/>
        </w:rPr>
      </w:pPr>
    </w:p>
    <w:p w:rsidR="006F4148" w:rsidRPr="00DD5AEC" w:rsidRDefault="006F4148" w:rsidP="006F4148">
      <w:pPr>
        <w:rPr>
          <w:rFonts w:eastAsia="Palatino Linotype" w:cs="Palatino Linotype"/>
        </w:rPr>
      </w:pPr>
    </w:p>
    <w:p w:rsidR="006F4148" w:rsidRPr="00DD5AEC" w:rsidRDefault="006F4148" w:rsidP="006F4148">
      <w:pPr>
        <w:pBdr>
          <w:top w:val="nil"/>
          <w:left w:val="nil"/>
          <w:bottom w:val="nil"/>
          <w:right w:val="nil"/>
          <w:between w:val="nil"/>
        </w:pBdr>
      </w:pPr>
      <w:r w:rsidRPr="00DD5AEC">
        <w:rPr>
          <w:rFonts w:eastAsia="Palatino Linotype" w:cs="Palatino Linotype"/>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rsidR="006F4148" w:rsidRPr="00DD5AEC" w:rsidRDefault="006F4148" w:rsidP="006F4148"/>
    <w:p w:rsidR="006F4148" w:rsidRPr="00DD5AEC" w:rsidRDefault="006F4148" w:rsidP="006F4148">
      <w:pPr>
        <w:pBdr>
          <w:top w:val="nil"/>
          <w:left w:val="nil"/>
          <w:bottom w:val="nil"/>
          <w:right w:val="nil"/>
          <w:between w:val="nil"/>
        </w:pBdr>
      </w:pPr>
      <w:r w:rsidRPr="00DD5AEC">
        <w:rPr>
          <w:rFonts w:eastAsia="Palatino Linotype" w:cs="Palatino Linotype"/>
        </w:rPr>
        <w:t xml:space="preserve">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delictivos y/o faltas </w:t>
      </w:r>
      <w:r w:rsidRPr="00DD5AEC">
        <w:rPr>
          <w:rFonts w:eastAsia="Palatino Linotype" w:cs="Palatino Linotype"/>
        </w:rPr>
        <w:lastRenderedPageBreak/>
        <w:t>administrativas; así como evitar que células delictivas neutralizar las acciones en materia de seguridad pública para la preservación del orden y la paz pública, por lo que, no se trata de una medida desproporcional, ni excesiva.</w:t>
      </w:r>
    </w:p>
    <w:p w:rsidR="006F4148" w:rsidRPr="00DD5AEC" w:rsidRDefault="006F4148" w:rsidP="006F4148"/>
    <w:p w:rsidR="006F4148" w:rsidRPr="00DD5AEC" w:rsidRDefault="006F4148" w:rsidP="006F4148">
      <w:pPr>
        <w:pBdr>
          <w:top w:val="nil"/>
          <w:left w:val="nil"/>
          <w:bottom w:val="nil"/>
          <w:right w:val="nil"/>
          <w:between w:val="nil"/>
        </w:pBdr>
      </w:pPr>
      <w:r w:rsidRPr="00DD5AEC">
        <w:rPr>
          <w:rFonts w:eastAsia="Palatino Linotype" w:cs="Palatino Linotype"/>
        </w:rPr>
        <w:t>En ese entendido, la leyenda de clasificación que se genere, deberá establecer ambos supuestos de clasificación: reserva y confidencialidad, en congruencia con los requisitos establecidos en los lineamientos citados.</w:t>
      </w:r>
    </w:p>
    <w:p w:rsidR="006F4148" w:rsidRPr="00DD5AEC" w:rsidRDefault="006F4148" w:rsidP="006F4148"/>
    <w:p w:rsidR="006F4148" w:rsidRPr="00DD5AEC" w:rsidRDefault="006F4148" w:rsidP="006F4148">
      <w:pPr>
        <w:pBdr>
          <w:top w:val="nil"/>
          <w:left w:val="nil"/>
          <w:bottom w:val="nil"/>
          <w:right w:val="nil"/>
          <w:between w:val="nil"/>
        </w:pBdr>
      </w:pPr>
      <w:r w:rsidRPr="00DD5AEC">
        <w:rPr>
          <w:rFonts w:eastAsia="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rsidR="006F4148" w:rsidRPr="00AB1E17" w:rsidRDefault="006F4148" w:rsidP="006F4148">
      <w:pPr>
        <w:pBdr>
          <w:top w:val="nil"/>
          <w:left w:val="nil"/>
          <w:bottom w:val="nil"/>
          <w:right w:val="nil"/>
          <w:between w:val="nil"/>
        </w:pBdr>
        <w:ind w:left="864" w:right="864"/>
        <w:rPr>
          <w:sz w:val="22"/>
        </w:rPr>
      </w:pPr>
      <w:r w:rsidRPr="00AB1E17">
        <w:rPr>
          <w:rFonts w:eastAsia="Palatino Linotype" w:cs="Palatino Linotype"/>
          <w:b/>
          <w:i/>
          <w:sz w:val="22"/>
        </w:rPr>
        <w:t>Nombres de servidores públicos dedicados a actividades en materia de seguridad, por excepción pueden considerarse información reservada.</w:t>
      </w:r>
      <w:r w:rsidRPr="00AB1E17">
        <w:rPr>
          <w:rFonts w:eastAsia="Palatino Linotype" w:cs="Palatino Linotype"/>
          <w:i/>
          <w:sz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w:t>
      </w:r>
      <w:r w:rsidRPr="00AB1E17">
        <w:rPr>
          <w:rFonts w:eastAsia="Palatino Linotype" w:cs="Palatino Linotype"/>
          <w:i/>
          <w:sz w:val="22"/>
        </w:rPr>
        <w:lastRenderedPageBreak/>
        <w:t>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6F4148" w:rsidRPr="00AB1E17" w:rsidRDefault="006F4148" w:rsidP="006F4148">
      <w:pPr>
        <w:rPr>
          <w:sz w:val="22"/>
        </w:rPr>
      </w:pPr>
    </w:p>
    <w:p w:rsidR="006F4148" w:rsidRPr="00DD5AEC" w:rsidRDefault="006F4148" w:rsidP="00C129EE">
      <w:pPr>
        <w:pBdr>
          <w:top w:val="nil"/>
          <w:left w:val="nil"/>
          <w:bottom w:val="nil"/>
          <w:right w:val="nil"/>
          <w:between w:val="nil"/>
        </w:pBdr>
      </w:pPr>
      <w:r w:rsidRPr="00DD5AEC">
        <w:rPr>
          <w:rFonts w:eastAsia="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sidRPr="00DD5AEC">
        <w:rPr>
          <w:rFonts w:eastAsia="Palatino Linotype" w:cs="Palatino Linotype"/>
          <w:b/>
        </w:rPr>
        <w:t>funciones de carácter operativo.</w:t>
      </w:r>
    </w:p>
    <w:p w:rsidR="006F4148" w:rsidRPr="00DD5AEC" w:rsidRDefault="006F4148" w:rsidP="006F4148">
      <w:pPr>
        <w:pBdr>
          <w:top w:val="nil"/>
          <w:left w:val="nil"/>
          <w:bottom w:val="nil"/>
          <w:right w:val="nil"/>
          <w:between w:val="nil"/>
        </w:pBdr>
      </w:pPr>
      <w:r w:rsidRPr="00DD5AEC">
        <w:rPr>
          <w:rFonts w:eastAsia="Palatino Linotype" w:cs="Palatino Linotype"/>
        </w:rPr>
        <w:t>Sirven de sustento a lo anterior las tesis jurisprudenciales emitidas por la Suprema corte de Justicia de la Nación, que son del literal siguiente:</w:t>
      </w:r>
    </w:p>
    <w:p w:rsidR="006F4148" w:rsidRPr="00AB1E17" w:rsidRDefault="006F4148" w:rsidP="006F4148">
      <w:pPr>
        <w:pBdr>
          <w:top w:val="nil"/>
          <w:left w:val="nil"/>
          <w:bottom w:val="nil"/>
          <w:right w:val="nil"/>
          <w:between w:val="nil"/>
        </w:pBdr>
        <w:ind w:left="864" w:right="864"/>
        <w:rPr>
          <w:sz w:val="22"/>
        </w:rPr>
      </w:pPr>
      <w:r w:rsidRPr="00AB1E17">
        <w:rPr>
          <w:rFonts w:eastAsia="Palatino Linotype" w:cs="Palatino Linotype"/>
          <w:b/>
          <w:i/>
          <w:sz w:val="22"/>
        </w:rPr>
        <w:t xml:space="preserve">DERECHO A LA INFORMACIÓN. SU EJERCICIO SE ENCUENTRA LIMITADO TANTO POR LOS INTERESES NACIONALES Y DE LA SOCIEDAD, COMO POR LOS DERECHOS DE TERCEROS. </w:t>
      </w:r>
      <w:r w:rsidRPr="00AB1E17">
        <w:rPr>
          <w:rFonts w:eastAsia="Palatino Linotype" w:cs="Palatino Linotype"/>
          <w:i/>
          <w:sz w:val="22"/>
        </w:rPr>
        <w:t xml:space="preserve">El derecho a la </w:t>
      </w:r>
      <w:r w:rsidRPr="00AB1E17">
        <w:rPr>
          <w:rFonts w:eastAsia="Palatino Linotype" w:cs="Palatino Linotype"/>
          <w:i/>
          <w:sz w:val="22"/>
        </w:rPr>
        <w:lastRenderedPageBreak/>
        <w:t xml:space="preserve">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sidRPr="00AB1E17">
        <w:rPr>
          <w:rFonts w:eastAsia="Palatino Linotype" w:cs="Palatino Linotype"/>
          <w:b/>
          <w:i/>
          <w:sz w:val="22"/>
        </w:rPr>
        <w:t>restringen el acceso a la información en esta materia, en razón de que su conocimiento público puede generar daños a los intereses nacionales y, por el otro, sancionan la inobservancia de esa reserva;</w:t>
      </w:r>
      <w:r w:rsidRPr="00AB1E17">
        <w:rPr>
          <w:rFonts w:eastAsia="Palatino Linotype" w:cs="Palatino Linotype"/>
          <w:i/>
          <w:sz w:val="22"/>
        </w:rPr>
        <w:t xml:space="preserve"> por lo que hace al interés social, se cuenta con normas que tienden a proteger la averiguación de los delitos, la salud y la moral públicas, </w:t>
      </w:r>
      <w:r w:rsidRPr="00AB1E17">
        <w:rPr>
          <w:rFonts w:eastAsia="Palatino Linotype" w:cs="Palatino Linotype"/>
          <w:b/>
          <w:i/>
          <w:sz w:val="22"/>
        </w:rPr>
        <w:t>mientras que por lo que respecta a la protección de la persona existen normas que protegen el derecho a la vida o a la privacidad de los gobernados.</w:t>
      </w:r>
    </w:p>
    <w:p w:rsidR="006F4148" w:rsidRPr="00AB1E17" w:rsidRDefault="006F4148" w:rsidP="006F4148">
      <w:pPr>
        <w:rPr>
          <w:sz w:val="22"/>
        </w:rPr>
      </w:pPr>
    </w:p>
    <w:p w:rsidR="00AB1E17" w:rsidRDefault="006F4148" w:rsidP="00AB1E17">
      <w:pPr>
        <w:pBdr>
          <w:top w:val="nil"/>
          <w:left w:val="nil"/>
          <w:bottom w:val="nil"/>
          <w:right w:val="nil"/>
          <w:between w:val="nil"/>
        </w:pBdr>
        <w:ind w:left="864" w:right="864"/>
        <w:rPr>
          <w:sz w:val="22"/>
        </w:rPr>
      </w:pPr>
      <w:r w:rsidRPr="00AB1E17">
        <w:rPr>
          <w:rFonts w:eastAsia="Palatino Linotype" w:cs="Palatino Linotype"/>
          <w:b/>
          <w:i/>
          <w:sz w:val="22"/>
        </w:rPr>
        <w:t>TRANSPARENCIA Y ACCESO A LA INFORMACIÓN PÚBLICA GUBERNAMENTAL. EL ARTÍCULO 14, FRACCIÓN I, DE LA LEY FEDERAL RELATIVA, NO VIOLA LA GARANTÍA DE ACCESO A LA INFORMACIÓN.</w:t>
      </w:r>
      <w:r w:rsidRPr="00AB1E17">
        <w:rPr>
          <w:rFonts w:eastAsia="Palatino Linotype" w:cs="Palatino Linotype"/>
          <w:i/>
          <w:sz w:val="22"/>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w:t>
      </w:r>
      <w:r w:rsidRPr="00AB1E17">
        <w:rPr>
          <w:rFonts w:eastAsia="Palatino Linotype" w:cs="Palatino Linotype"/>
          <w:i/>
          <w:sz w:val="22"/>
        </w:rPr>
        <w:lastRenderedPageBreak/>
        <w:t xml:space="preserve">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AB1E17">
        <w:rPr>
          <w:rFonts w:eastAsia="Palatino Linotype" w:cs="Palatino Linotype"/>
          <w:b/>
          <w:i/>
          <w:sz w:val="22"/>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AB1E17">
        <w:rPr>
          <w:rFonts w:eastAsia="Palatino Linotype" w:cs="Palatino Linotype"/>
          <w:i/>
          <w:sz w:val="22"/>
        </w:rPr>
        <w:t>, la cual debe ser adecuada y necesaria para alcanzar el fin perseguido, de manera que las ventajas obtenidas con la reserva compensen el sacrificio que ésta implique para los titulares de la garantía individual mencionada o para la sociedad en general.</w:t>
      </w:r>
    </w:p>
    <w:p w:rsidR="00C129EE" w:rsidRDefault="00C129EE" w:rsidP="00AB1E17">
      <w:pPr>
        <w:pBdr>
          <w:top w:val="nil"/>
          <w:left w:val="nil"/>
          <w:bottom w:val="nil"/>
          <w:right w:val="nil"/>
          <w:between w:val="nil"/>
        </w:pBdr>
        <w:ind w:right="864"/>
        <w:rPr>
          <w:rFonts w:eastAsia="Palatino Linotype" w:cs="Palatino Linotype"/>
        </w:rPr>
      </w:pPr>
    </w:p>
    <w:p w:rsidR="00174B3E" w:rsidRDefault="006F4148" w:rsidP="00AB1E17">
      <w:pPr>
        <w:pBdr>
          <w:top w:val="nil"/>
          <w:left w:val="nil"/>
          <w:bottom w:val="nil"/>
          <w:right w:val="nil"/>
          <w:between w:val="nil"/>
        </w:pBdr>
        <w:ind w:right="864"/>
        <w:rPr>
          <w:sz w:val="22"/>
        </w:rPr>
      </w:pPr>
      <w:r w:rsidRPr="00DD5AEC">
        <w:rPr>
          <w:rFonts w:eastAsia="Palatino Linotype" w:cs="Palatino Linotype"/>
        </w:rPr>
        <w:t xml:space="preserve">El Acuerdo de Clasificación de Información, se emitirá en términos de lo dispuesto tanto como en los en los artículos 128 y 129 de la Ley de Transparencia y Acceso a la Información Pública del Estado de México y Municipios, como en los Lineamientos Generales en Materia de Clasificación y Desclasificación de la Información, así como para la elaboración de Versiones Públicas, publicados en el Diario Oficial de la Federación en fecha quince de abril de la presente </w:t>
      </w:r>
      <w:r w:rsidRPr="00DD5AEC">
        <w:rPr>
          <w:rFonts w:eastAsia="Palatino Linotype" w:cs="Palatino Linotype"/>
        </w:rPr>
        <w:lastRenderedPageBreak/>
        <w:t xml:space="preserve">anualidad, mediante ACUERDO del Consejo Nacional del Sistema Nacional de Transparencia, Acceso a la Información Pública y Protección de Datos Personales, motivando la referida clasificación al señalar las </w:t>
      </w:r>
      <w:r w:rsidRPr="00DD5AEC">
        <w:rPr>
          <w:rFonts w:eastAsia="Palatino Linotype" w:cs="Palatino Linotype"/>
          <w:b/>
          <w:u w:val="single"/>
        </w:rPr>
        <w:t>razones, motivos o circunstancias especiales</w:t>
      </w:r>
      <w:r w:rsidRPr="00DD5AEC">
        <w:rPr>
          <w:rFonts w:eastAsia="Palatino Linotype" w:cs="Palatino Linotype"/>
        </w:rPr>
        <w:t xml:space="preserve"> que lo llevaron a concluir que el caso concreto, se ajustó a los supuestos previstos en la normatividad legal invocada como fundamento, para dichos efectos, debe proceder a su vez a realizar una prueba de daño, en la que se justificaran las razones, motivos y circunstancias que avalen que la divulgación de la información representa un riesgo real, demostrable e identificable de perjuicio significativo al interés público o a la seguridad nacional; que el riesgo de perjuicio que supondría la divulgación supera el interés público general de que se difunda, y que la limitación sea adecuada al principio de proporcionalidad y representa el medio menos r</w:t>
      </w:r>
      <w:r w:rsidR="00AB1E17">
        <w:rPr>
          <w:rFonts w:eastAsia="Palatino Linotype" w:cs="Palatino Linotype"/>
        </w:rPr>
        <w:t>estrictivo disponible para evit</w:t>
      </w:r>
      <w:r w:rsidR="00AB1E17" w:rsidRPr="00DD5AEC">
        <w:rPr>
          <w:rFonts w:eastAsia="Palatino Linotype" w:cs="Palatino Linotype"/>
        </w:rPr>
        <w:t>ar</w:t>
      </w:r>
      <w:r w:rsidRPr="00DD5AEC">
        <w:rPr>
          <w:rFonts w:eastAsia="Palatino Linotype" w:cs="Palatino Linotype"/>
        </w:rPr>
        <w:t xml:space="preserve"> el perjuicio.</w:t>
      </w:r>
    </w:p>
    <w:p w:rsidR="00AB1E17" w:rsidRPr="00AB1E17" w:rsidRDefault="00AB1E17" w:rsidP="00AB1E17">
      <w:pPr>
        <w:pBdr>
          <w:top w:val="nil"/>
          <w:left w:val="nil"/>
          <w:bottom w:val="nil"/>
          <w:right w:val="nil"/>
          <w:between w:val="nil"/>
        </w:pBdr>
        <w:ind w:right="864"/>
        <w:rPr>
          <w:sz w:val="22"/>
        </w:rPr>
      </w:pPr>
    </w:p>
    <w:p w:rsidR="005E3B84" w:rsidRDefault="00215458" w:rsidP="00AB1E17">
      <w:pPr>
        <w:autoSpaceDE w:val="0"/>
        <w:autoSpaceDN w:val="0"/>
        <w:adjustRightInd w:val="0"/>
        <w:rPr>
          <w:szCs w:val="24"/>
        </w:rPr>
      </w:pPr>
      <w:r w:rsidRPr="00215458">
        <w:rPr>
          <w:szCs w:val="24"/>
        </w:rPr>
        <w:t xml:space="preserve">En este sentido resulta dable ordenar el o los documentos donde conste </w:t>
      </w:r>
      <w:r w:rsidR="001B62AE">
        <w:rPr>
          <w:szCs w:val="24"/>
        </w:rPr>
        <w:t>la deuda pública adquirida por el municipio</w:t>
      </w:r>
      <w:r w:rsidR="005E3B84">
        <w:rPr>
          <w:szCs w:val="24"/>
        </w:rPr>
        <w:t xml:space="preserve">, </w:t>
      </w:r>
      <w:r w:rsidR="008D02A4" w:rsidRPr="008D02A4">
        <w:rPr>
          <w:szCs w:val="24"/>
          <w:highlight w:val="yellow"/>
        </w:rPr>
        <w:t xml:space="preserve">la conciliación de nómina </w:t>
      </w:r>
      <w:r w:rsidR="00174B3E" w:rsidRPr="008D02A4">
        <w:rPr>
          <w:szCs w:val="24"/>
          <w:highlight w:val="yellow"/>
        </w:rPr>
        <w:t>de los trabajadores adscritos al Sujeto Obligado</w:t>
      </w:r>
      <w:r w:rsidR="001B62AE" w:rsidRPr="008D02A4">
        <w:rPr>
          <w:szCs w:val="24"/>
          <w:highlight w:val="yellow"/>
        </w:rPr>
        <w:t xml:space="preserve"> del veintitrés de abril de dos mil </w:t>
      </w:r>
      <w:r w:rsidR="008D02A4" w:rsidRPr="008D02A4">
        <w:rPr>
          <w:szCs w:val="24"/>
          <w:highlight w:val="yellow"/>
        </w:rPr>
        <w:t>veinticuatro</w:t>
      </w:r>
      <w:r w:rsidR="001B62AE" w:rsidRPr="008D02A4">
        <w:rPr>
          <w:szCs w:val="24"/>
          <w:highlight w:val="yellow"/>
        </w:rPr>
        <w:t xml:space="preserve"> al veintitrés de abril de dos mil veinticinco</w:t>
      </w:r>
      <w:r w:rsidR="000158EA" w:rsidRPr="008D02A4">
        <w:rPr>
          <w:szCs w:val="24"/>
          <w:highlight w:val="yellow"/>
        </w:rPr>
        <w:t xml:space="preserve"> así como el aguinaldo otorgado a los trabajadores adscritos al Sujeto Obligado en el ejercicio fiscal 2024</w:t>
      </w:r>
      <w:r w:rsidR="00E14D5A">
        <w:rPr>
          <w:szCs w:val="24"/>
        </w:rPr>
        <w:t xml:space="preserve"> </w:t>
      </w:r>
      <w:r w:rsidR="00E14D5A" w:rsidRPr="00E14D5A">
        <w:rPr>
          <w:szCs w:val="24"/>
          <w:highlight w:val="yellow"/>
        </w:rPr>
        <w:t>y el aguinaldo otorgado a los trabajadores que causaron baja del primero de enero al veintitrés de abril de dos mil veinticinco</w:t>
      </w:r>
      <w:r w:rsidR="00E14D5A">
        <w:rPr>
          <w:szCs w:val="24"/>
        </w:rPr>
        <w:t>.</w:t>
      </w:r>
    </w:p>
    <w:p w:rsidR="00E14D5A" w:rsidRDefault="00E14D5A" w:rsidP="00AB1E17">
      <w:pPr>
        <w:autoSpaceDE w:val="0"/>
        <w:autoSpaceDN w:val="0"/>
        <w:adjustRightInd w:val="0"/>
        <w:rPr>
          <w:szCs w:val="24"/>
        </w:rPr>
      </w:pPr>
    </w:p>
    <w:p w:rsidR="00E14D5A" w:rsidRDefault="00E14D5A" w:rsidP="00AB1E17">
      <w:pPr>
        <w:autoSpaceDE w:val="0"/>
        <w:autoSpaceDN w:val="0"/>
        <w:adjustRightInd w:val="0"/>
        <w:rPr>
          <w:szCs w:val="24"/>
        </w:rPr>
      </w:pPr>
      <w:r w:rsidRPr="00E14D5A">
        <w:rPr>
          <w:szCs w:val="24"/>
          <w:highlight w:val="yellow"/>
        </w:rPr>
        <w:t xml:space="preserve">De ser el caso que del primero de enero al veintitrés de abril de dos mil veinticinco no se le haya brindado aguinaldo a algún trabajador por no haber causado baja bastara con que </w:t>
      </w:r>
      <w:r w:rsidRPr="00E14D5A">
        <w:rPr>
          <w:szCs w:val="24"/>
          <w:highlight w:val="yellow"/>
        </w:rPr>
        <w:lastRenderedPageBreak/>
        <w:t>así lo manifieste en términos de lo establecido por el artículo 19 de la Ley de Transparencia Local.</w:t>
      </w:r>
      <w:r>
        <w:rPr>
          <w:szCs w:val="24"/>
        </w:rPr>
        <w:t xml:space="preserve"> </w:t>
      </w:r>
    </w:p>
    <w:p w:rsidR="00E14D5A" w:rsidRDefault="00E14D5A" w:rsidP="00AB1E17">
      <w:pPr>
        <w:autoSpaceDE w:val="0"/>
        <w:autoSpaceDN w:val="0"/>
        <w:adjustRightInd w:val="0"/>
        <w:rPr>
          <w:szCs w:val="24"/>
        </w:rPr>
      </w:pPr>
    </w:p>
    <w:p w:rsidR="00215458" w:rsidRPr="00B77582" w:rsidRDefault="00215458" w:rsidP="00B77582">
      <w:pPr>
        <w:pStyle w:val="Prrafodelista"/>
        <w:numPr>
          <w:ilvl w:val="0"/>
          <w:numId w:val="7"/>
        </w:numPr>
        <w:rPr>
          <w:rFonts w:eastAsia="Times New Roman" w:cs="Times New Roman"/>
          <w:b/>
          <w:bCs/>
          <w:i/>
          <w:iCs/>
          <w:szCs w:val="24"/>
          <w:u w:val="single"/>
        </w:rPr>
      </w:pPr>
      <w:r w:rsidRPr="00B77582">
        <w:rPr>
          <w:rFonts w:eastAsia="Times New Roman" w:cs="Times New Roman"/>
          <w:b/>
          <w:bCs/>
          <w:i/>
          <w:iCs/>
          <w:szCs w:val="24"/>
          <w:u w:val="single"/>
        </w:rPr>
        <w:t>DE LA VERSIÓN PÚBLICA</w:t>
      </w:r>
    </w:p>
    <w:p w:rsidR="00215458" w:rsidRDefault="00215458" w:rsidP="00215458">
      <w:pPr>
        <w:rPr>
          <w:rFonts w:eastAsia="Arial Unicode MS"/>
          <w:szCs w:val="24"/>
        </w:rPr>
      </w:pPr>
      <w:r w:rsidRPr="008B5304">
        <w:rPr>
          <w:rFonts w:eastAsia="Arial Unicode MS"/>
          <w:szCs w:val="24"/>
        </w:rPr>
        <w:t>Tomando en consideración la naturaleza de los documentos que se está ordenado entregar al particular, este Órgano Garante determina ordenar que la entrega de la información al Recurrente se haga en versión pública, esto es, omitiendo, eliminando o suprimiendo la información personal de cada funcionario público, susceptibles de ser clasificadas como confidencial o cualquier otro dato que ponga en riesgo la vida, seguridad o salud de dicha persona.</w:t>
      </w:r>
    </w:p>
    <w:p w:rsidR="00C129EE" w:rsidRPr="00B77582" w:rsidRDefault="00C129EE" w:rsidP="00215458">
      <w:pPr>
        <w:rPr>
          <w:rFonts w:eastAsia="Arial Unicode MS"/>
          <w:szCs w:val="24"/>
        </w:rPr>
      </w:pPr>
    </w:p>
    <w:p w:rsidR="00215458" w:rsidRPr="008B5304" w:rsidRDefault="00215458" w:rsidP="00215458">
      <w:pPr>
        <w:rPr>
          <w:szCs w:val="24"/>
        </w:rPr>
      </w:pPr>
      <w:r w:rsidRPr="008B5304">
        <w:rPr>
          <w:bCs/>
          <w:szCs w:val="24"/>
        </w:rPr>
        <w:t>A este respecto, los</w:t>
      </w:r>
      <w:r w:rsidRPr="008B5304">
        <w:rPr>
          <w:szCs w:val="24"/>
        </w:rPr>
        <w:t xml:space="preserve"> artículos 3, fracciones IX, XX, XXI y XLV; 51 y 52de la Ley de Transparencia y Acceso a la Información Pública del Estado de México y Municipios establecen:</w:t>
      </w:r>
    </w:p>
    <w:p w:rsidR="00215458" w:rsidRPr="00215458" w:rsidRDefault="00215458" w:rsidP="00215458">
      <w:pPr>
        <w:ind w:left="567" w:right="616"/>
        <w:rPr>
          <w:i/>
          <w:sz w:val="22"/>
        </w:rPr>
      </w:pPr>
      <w:r w:rsidRPr="00215458">
        <w:rPr>
          <w:rFonts w:cs="Arial"/>
          <w:b/>
          <w:bCs/>
          <w:i/>
          <w:sz w:val="22"/>
        </w:rPr>
        <w:t xml:space="preserve">Artículo 3. </w:t>
      </w:r>
      <w:r w:rsidRPr="00215458">
        <w:rPr>
          <w:i/>
          <w:sz w:val="22"/>
        </w:rPr>
        <w:t xml:space="preserve">Para los efectos de la presente Ley se entenderá por: </w:t>
      </w:r>
    </w:p>
    <w:p w:rsidR="00215458" w:rsidRPr="00215458" w:rsidRDefault="00215458" w:rsidP="00215458">
      <w:pPr>
        <w:ind w:left="567" w:right="616"/>
        <w:rPr>
          <w:i/>
          <w:sz w:val="22"/>
        </w:rPr>
      </w:pPr>
      <w:r w:rsidRPr="00215458">
        <w:rPr>
          <w:rFonts w:cs="Arial"/>
          <w:i/>
          <w:sz w:val="22"/>
        </w:rPr>
        <w:t>(…</w:t>
      </w:r>
      <w:r w:rsidRPr="00215458">
        <w:rPr>
          <w:i/>
          <w:sz w:val="22"/>
        </w:rPr>
        <w:t>)</w:t>
      </w:r>
    </w:p>
    <w:p w:rsidR="00215458" w:rsidRPr="00215458" w:rsidRDefault="00215458" w:rsidP="00215458">
      <w:pPr>
        <w:ind w:left="567" w:right="616"/>
        <w:rPr>
          <w:rFonts w:cs="Arial"/>
          <w:i/>
          <w:sz w:val="22"/>
        </w:rPr>
      </w:pPr>
      <w:r w:rsidRPr="00215458">
        <w:rPr>
          <w:rFonts w:cs="Arial"/>
          <w:b/>
          <w:i/>
          <w:sz w:val="22"/>
        </w:rPr>
        <w:t>IX.</w:t>
      </w:r>
      <w:r w:rsidRPr="00215458">
        <w:rPr>
          <w:rFonts w:cs="Arial"/>
          <w:i/>
          <w:sz w:val="22"/>
        </w:rPr>
        <w:t xml:space="preserve"> </w:t>
      </w:r>
      <w:r w:rsidRPr="00215458">
        <w:rPr>
          <w:rFonts w:cs="Arial"/>
          <w:b/>
          <w:i/>
          <w:sz w:val="22"/>
        </w:rPr>
        <w:t xml:space="preserve">Datos personales: </w:t>
      </w:r>
      <w:r w:rsidRPr="00215458">
        <w:rPr>
          <w:rFonts w:cs="Arial"/>
          <w:i/>
          <w:sz w:val="22"/>
        </w:rPr>
        <w:t xml:space="preserve">La información concerniente a una persona, identificada o identificable según lo dispuesto por la Ley de Protección de Datos Personales del Estado de México; </w:t>
      </w:r>
    </w:p>
    <w:p w:rsidR="00215458" w:rsidRPr="00215458" w:rsidRDefault="00215458" w:rsidP="00215458">
      <w:pPr>
        <w:ind w:left="567" w:right="616"/>
        <w:rPr>
          <w:rFonts w:cs="Arial"/>
          <w:i/>
          <w:sz w:val="22"/>
        </w:rPr>
      </w:pPr>
      <w:r w:rsidRPr="00215458">
        <w:rPr>
          <w:rFonts w:cs="Arial"/>
          <w:i/>
          <w:sz w:val="22"/>
        </w:rPr>
        <w:t>(…)</w:t>
      </w:r>
    </w:p>
    <w:p w:rsidR="00215458" w:rsidRPr="00215458" w:rsidRDefault="00215458" w:rsidP="00215458">
      <w:pPr>
        <w:ind w:left="567" w:right="616"/>
        <w:rPr>
          <w:rFonts w:cs="Arial"/>
          <w:i/>
          <w:sz w:val="22"/>
        </w:rPr>
      </w:pPr>
      <w:r w:rsidRPr="00215458">
        <w:rPr>
          <w:rFonts w:cs="Arial"/>
          <w:b/>
          <w:i/>
          <w:sz w:val="22"/>
        </w:rPr>
        <w:t>XX.</w:t>
      </w:r>
      <w:r w:rsidRPr="00215458">
        <w:rPr>
          <w:rFonts w:cs="Arial"/>
          <w:i/>
          <w:sz w:val="22"/>
        </w:rPr>
        <w:t xml:space="preserve"> </w:t>
      </w:r>
      <w:r w:rsidRPr="00215458">
        <w:rPr>
          <w:rFonts w:cs="Arial"/>
          <w:b/>
          <w:i/>
          <w:sz w:val="22"/>
        </w:rPr>
        <w:t>Información clasificada:</w:t>
      </w:r>
      <w:r w:rsidRPr="00215458">
        <w:rPr>
          <w:rFonts w:cs="Arial"/>
          <w:i/>
          <w:sz w:val="22"/>
        </w:rPr>
        <w:t xml:space="preserve"> Aquella considerada por la presente Ley como reservada o confidencial; </w:t>
      </w:r>
    </w:p>
    <w:p w:rsidR="00215458" w:rsidRPr="00215458" w:rsidRDefault="00215458" w:rsidP="00215458">
      <w:pPr>
        <w:ind w:left="567" w:right="616"/>
        <w:rPr>
          <w:rFonts w:cs="Arial"/>
          <w:i/>
          <w:sz w:val="22"/>
        </w:rPr>
      </w:pPr>
      <w:r w:rsidRPr="00215458">
        <w:rPr>
          <w:rFonts w:cs="Arial"/>
          <w:b/>
          <w:i/>
          <w:sz w:val="22"/>
        </w:rPr>
        <w:t>XXI.</w:t>
      </w:r>
      <w:r w:rsidRPr="00215458">
        <w:rPr>
          <w:rFonts w:cs="Arial"/>
          <w:i/>
          <w:sz w:val="22"/>
        </w:rPr>
        <w:t xml:space="preserve"> </w:t>
      </w:r>
      <w:r w:rsidRPr="00215458">
        <w:rPr>
          <w:rFonts w:cs="Arial"/>
          <w:b/>
          <w:i/>
          <w:sz w:val="22"/>
        </w:rPr>
        <w:t>Información confidencial</w:t>
      </w:r>
      <w:r w:rsidRPr="00215458">
        <w:rPr>
          <w:rFonts w:cs="Arial"/>
          <w:i/>
          <w:sz w:val="22"/>
        </w:rPr>
        <w:t xml:space="preserve">: Se considera como información confidencial los secretos bancario, fiduciario, industrial, comercial, fiscal, bursátil y postal, cuya titularidad </w:t>
      </w:r>
      <w:r w:rsidRPr="00215458">
        <w:rPr>
          <w:rFonts w:cs="Arial"/>
          <w:i/>
          <w:sz w:val="22"/>
        </w:rPr>
        <w:lastRenderedPageBreak/>
        <w:t xml:space="preserve">corresponda a particulares, sujetos de derecho internacional o a sujetos obligados cuando no involucren el ejercicio de recursos públicos; </w:t>
      </w:r>
    </w:p>
    <w:p w:rsidR="00215458" w:rsidRPr="00215458" w:rsidRDefault="00215458" w:rsidP="00215458">
      <w:pPr>
        <w:ind w:left="567" w:right="616"/>
        <w:rPr>
          <w:rFonts w:cs="Arial"/>
          <w:i/>
          <w:sz w:val="22"/>
        </w:rPr>
      </w:pPr>
      <w:r w:rsidRPr="00215458">
        <w:rPr>
          <w:rFonts w:cs="Arial"/>
          <w:i/>
          <w:sz w:val="22"/>
        </w:rPr>
        <w:t>(…)</w:t>
      </w:r>
    </w:p>
    <w:p w:rsidR="00215458" w:rsidRPr="00215458" w:rsidRDefault="00215458" w:rsidP="00215458">
      <w:pPr>
        <w:ind w:left="567" w:right="616"/>
        <w:rPr>
          <w:rFonts w:cs="Arial"/>
          <w:i/>
          <w:sz w:val="22"/>
        </w:rPr>
      </w:pPr>
      <w:r w:rsidRPr="00215458">
        <w:rPr>
          <w:rFonts w:cs="Arial"/>
          <w:b/>
          <w:i/>
          <w:sz w:val="22"/>
        </w:rPr>
        <w:t>XLV. Versión pública:</w:t>
      </w:r>
      <w:r w:rsidRPr="00215458">
        <w:rPr>
          <w:rFonts w:cs="Arial"/>
          <w:i/>
          <w:sz w:val="22"/>
        </w:rPr>
        <w:t xml:space="preserve"> Documento en el que se elimine, suprime o borra la información clasificada como reservada o confidencial para permitir su acceso. </w:t>
      </w:r>
    </w:p>
    <w:p w:rsidR="00215458" w:rsidRPr="00215458" w:rsidRDefault="00215458" w:rsidP="00215458">
      <w:pPr>
        <w:ind w:left="567" w:right="616"/>
        <w:rPr>
          <w:rFonts w:cs="Arial"/>
          <w:i/>
          <w:sz w:val="22"/>
        </w:rPr>
      </w:pPr>
    </w:p>
    <w:p w:rsidR="00215458" w:rsidRPr="00215458" w:rsidRDefault="00215458" w:rsidP="00215458">
      <w:pPr>
        <w:ind w:left="567" w:right="616"/>
        <w:rPr>
          <w:rFonts w:cs="Arial"/>
          <w:i/>
          <w:sz w:val="22"/>
        </w:rPr>
      </w:pPr>
      <w:r w:rsidRPr="00215458">
        <w:rPr>
          <w:rFonts w:cs="Arial"/>
          <w:b/>
          <w:i/>
          <w:sz w:val="22"/>
        </w:rPr>
        <w:t>Artículo 51.</w:t>
      </w:r>
      <w:r w:rsidRPr="00215458">
        <w:rPr>
          <w:rFonts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215458">
        <w:rPr>
          <w:rFonts w:cs="Arial"/>
          <w:b/>
          <w:i/>
          <w:sz w:val="22"/>
        </w:rPr>
        <w:t xml:space="preserve">y tendrá la responsabilidad de verificar en cada caso que la misma no sea confidencial o reservada. </w:t>
      </w:r>
      <w:r w:rsidRPr="00215458">
        <w:rPr>
          <w:rFonts w:cs="Arial"/>
          <w:i/>
          <w:sz w:val="22"/>
        </w:rPr>
        <w:t xml:space="preserve">Dicha Unidad contará con las facultades internas necesarias para gestionar la atención a las solicitudes de información en los términos de la Ley General y la presente Ley. </w:t>
      </w:r>
    </w:p>
    <w:p w:rsidR="00215458" w:rsidRPr="00215458" w:rsidRDefault="00215458" w:rsidP="00215458">
      <w:pPr>
        <w:ind w:left="567" w:right="616"/>
        <w:rPr>
          <w:rFonts w:cs="Arial"/>
          <w:i/>
          <w:sz w:val="22"/>
        </w:rPr>
      </w:pPr>
    </w:p>
    <w:p w:rsidR="00215458" w:rsidRPr="00215458" w:rsidRDefault="00215458" w:rsidP="00215458">
      <w:pPr>
        <w:ind w:left="567" w:right="616"/>
        <w:rPr>
          <w:rFonts w:cs="Arial"/>
          <w:bCs/>
          <w:i/>
          <w:noProof/>
          <w:sz w:val="22"/>
        </w:rPr>
      </w:pPr>
      <w:r w:rsidRPr="00215458">
        <w:rPr>
          <w:rFonts w:cs="Arial"/>
          <w:b/>
          <w:i/>
          <w:sz w:val="22"/>
        </w:rPr>
        <w:t>Artículo 52.</w:t>
      </w:r>
      <w:r w:rsidRPr="00215458">
        <w:rPr>
          <w:rFonts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p>
    <w:p w:rsidR="00215458" w:rsidRDefault="00215458" w:rsidP="00215458">
      <w:pPr>
        <w:rPr>
          <w:szCs w:val="24"/>
        </w:rPr>
      </w:pPr>
    </w:p>
    <w:p w:rsidR="00215458" w:rsidRPr="008B5304" w:rsidRDefault="00215458" w:rsidP="00215458">
      <w:pPr>
        <w:rPr>
          <w:szCs w:val="24"/>
        </w:rPr>
      </w:pPr>
      <w:r w:rsidRPr="008B5304">
        <w:rPr>
          <w:szCs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w:t>
      </w:r>
      <w:r w:rsidRPr="008B5304">
        <w:rPr>
          <w:szCs w:val="24"/>
        </w:rPr>
        <w:lastRenderedPageBreak/>
        <w:t xml:space="preserve">anterior, en términos de lo dispuesto por el artículo 22, con relación con el 38, de la Ley de Protección de Datos Personales en Posesión de Sujetos Obligados del Estado de México y Municipios, los cuales se transcriben para mayor referencia: </w:t>
      </w:r>
    </w:p>
    <w:p w:rsidR="00215458" w:rsidRPr="00215458" w:rsidRDefault="00215458" w:rsidP="00215458">
      <w:pPr>
        <w:ind w:left="567" w:right="616"/>
        <w:rPr>
          <w:rFonts w:eastAsia="Arial Unicode MS" w:cs="Arial"/>
          <w:i/>
          <w:sz w:val="22"/>
        </w:rPr>
      </w:pPr>
      <w:r w:rsidRPr="00215458">
        <w:rPr>
          <w:rFonts w:eastAsia="Arial Unicode MS" w:cs="Arial"/>
          <w:b/>
          <w:i/>
          <w:sz w:val="22"/>
        </w:rPr>
        <w:t>Artículo</w:t>
      </w:r>
      <w:r w:rsidRPr="00215458">
        <w:rPr>
          <w:rFonts w:eastAsia="Arial Unicode MS" w:cs="Arial"/>
          <w:i/>
          <w:sz w:val="22"/>
        </w:rPr>
        <w:t xml:space="preserve"> </w:t>
      </w:r>
      <w:r w:rsidRPr="00215458">
        <w:rPr>
          <w:rFonts w:eastAsia="Arial Unicode MS" w:cs="Arial"/>
          <w:b/>
          <w:i/>
          <w:sz w:val="22"/>
        </w:rPr>
        <w:t>22</w:t>
      </w:r>
      <w:r w:rsidRPr="00215458">
        <w:rPr>
          <w:rFonts w:eastAsia="Arial Unicode MS" w:cs="Arial"/>
          <w:i/>
          <w:sz w:val="22"/>
        </w:rPr>
        <w:t>. Todo tratamiento de datos personales que efectúe el responsable deberá estar justificado por finalidades concretas, lícitas, explícitas y legítimas, relacionadas con las atribuciones que la normatividad aplicable les confiera.</w:t>
      </w:r>
    </w:p>
    <w:p w:rsidR="00215458" w:rsidRPr="00215458" w:rsidRDefault="00215458" w:rsidP="00215458">
      <w:pPr>
        <w:ind w:left="567" w:right="616"/>
        <w:rPr>
          <w:rFonts w:eastAsia="Arial Unicode MS" w:cs="Arial"/>
          <w:i/>
          <w:sz w:val="22"/>
        </w:rPr>
      </w:pPr>
      <w:r w:rsidRPr="00215458">
        <w:rPr>
          <w:rFonts w:eastAsia="Arial Unicode MS" w:cs="Arial"/>
          <w:i/>
          <w:sz w:val="22"/>
        </w:rPr>
        <w:t>El responsable podrá tratar datos personales para finalidades distintas a aquéllas establecidas en el aviso de privacidad, en los casos siguientes:</w:t>
      </w:r>
    </w:p>
    <w:p w:rsidR="00215458" w:rsidRPr="00215458" w:rsidRDefault="00215458" w:rsidP="00215458">
      <w:pPr>
        <w:ind w:left="567" w:right="616"/>
        <w:rPr>
          <w:rFonts w:eastAsia="Arial Unicode MS" w:cs="Arial"/>
          <w:i/>
          <w:sz w:val="22"/>
        </w:rPr>
      </w:pPr>
    </w:p>
    <w:p w:rsidR="00215458" w:rsidRPr="00215458" w:rsidRDefault="00215458" w:rsidP="00215458">
      <w:pPr>
        <w:ind w:left="567" w:right="616"/>
        <w:rPr>
          <w:rFonts w:eastAsia="Arial Unicode MS" w:cs="Arial"/>
          <w:i/>
          <w:sz w:val="22"/>
        </w:rPr>
      </w:pPr>
      <w:r w:rsidRPr="00215458">
        <w:rPr>
          <w:rFonts w:eastAsia="Arial Unicode MS" w:cs="Arial"/>
          <w:i/>
          <w:sz w:val="22"/>
        </w:rPr>
        <w:t>I. Cuente con atribuciones conferidas en ley y medie el consentimiento del titular.</w:t>
      </w:r>
    </w:p>
    <w:p w:rsidR="00215458" w:rsidRPr="00215458" w:rsidRDefault="00215458" w:rsidP="00215458">
      <w:pPr>
        <w:ind w:left="567" w:right="616"/>
        <w:rPr>
          <w:rFonts w:eastAsia="Arial Unicode MS" w:cs="Arial"/>
          <w:i/>
          <w:sz w:val="22"/>
        </w:rPr>
      </w:pPr>
      <w:r w:rsidRPr="00215458">
        <w:rPr>
          <w:rFonts w:eastAsia="Arial Unicode MS" w:cs="Arial"/>
          <w:i/>
          <w:sz w:val="22"/>
        </w:rPr>
        <w:t>II. Se trate de una persona reportada como desaparecida, en los términos previstos en la presente Ley y demás disposiciones legales aplicables...</w:t>
      </w:r>
    </w:p>
    <w:p w:rsidR="00215458" w:rsidRPr="00215458" w:rsidRDefault="00215458" w:rsidP="00215458">
      <w:pPr>
        <w:ind w:left="567" w:right="616"/>
        <w:rPr>
          <w:rFonts w:eastAsia="Arial Unicode MS" w:cs="Arial"/>
          <w:i/>
          <w:sz w:val="22"/>
        </w:rPr>
      </w:pPr>
      <w:r w:rsidRPr="00215458">
        <w:rPr>
          <w:rFonts w:eastAsia="Arial Unicode MS" w:cs="Arial"/>
          <w:b/>
          <w:i/>
          <w:sz w:val="22"/>
        </w:rPr>
        <w:t>Artículo</w:t>
      </w:r>
      <w:r w:rsidRPr="00215458">
        <w:rPr>
          <w:rFonts w:eastAsia="Arial Unicode MS" w:cs="Arial"/>
          <w:i/>
          <w:sz w:val="22"/>
        </w:rPr>
        <w:t xml:space="preserve"> </w:t>
      </w:r>
      <w:r w:rsidRPr="00215458">
        <w:rPr>
          <w:rFonts w:eastAsia="Arial Unicode MS" w:cs="Arial"/>
          <w:b/>
          <w:i/>
          <w:sz w:val="22"/>
        </w:rPr>
        <w:t>38</w:t>
      </w:r>
      <w:r w:rsidRPr="00215458">
        <w:rPr>
          <w:rFonts w:eastAsia="Arial Unicode MS" w:cs="Arial"/>
          <w:i/>
          <w:sz w:val="22"/>
        </w:rPr>
        <w:t>.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p>
    <w:p w:rsidR="00215458" w:rsidRPr="008B5304" w:rsidRDefault="00215458" w:rsidP="00215458">
      <w:pPr>
        <w:ind w:left="567" w:right="616"/>
        <w:rPr>
          <w:rFonts w:eastAsia="Arial Unicode MS" w:cs="Arial"/>
          <w:i/>
        </w:rPr>
      </w:pPr>
    </w:p>
    <w:p w:rsidR="00215458" w:rsidRDefault="00215458" w:rsidP="00215458">
      <w:pPr>
        <w:rPr>
          <w:szCs w:val="24"/>
        </w:rPr>
      </w:pPr>
      <w:r w:rsidRPr="008B5304">
        <w:rPr>
          <w:szCs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rsidR="00215458" w:rsidRPr="008B5304" w:rsidRDefault="00215458" w:rsidP="00215458">
      <w:pPr>
        <w:rPr>
          <w:szCs w:val="24"/>
        </w:rPr>
      </w:pPr>
    </w:p>
    <w:p w:rsidR="00215458" w:rsidRDefault="00215458" w:rsidP="00215458">
      <w:pPr>
        <w:rPr>
          <w:rFonts w:eastAsia="Arial Unicode MS"/>
          <w:szCs w:val="24"/>
        </w:rPr>
      </w:pPr>
      <w:r w:rsidRPr="008B5304">
        <w:rPr>
          <w:rFonts w:eastAsia="Arial Unicode MS"/>
          <w:szCs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8B5304">
        <w:rPr>
          <w:rFonts w:eastAsia="Arial Unicode MS"/>
          <w:color w:val="000000"/>
          <w:szCs w:val="24"/>
        </w:rPr>
        <w:t>el Sujeto Obligado</w:t>
      </w:r>
      <w:r w:rsidRPr="008B5304">
        <w:rPr>
          <w:rFonts w:eastAsia="Arial Unicode MS"/>
          <w:szCs w:val="24"/>
        </w:rPr>
        <w:t>, en ese contexto, todo dato personal susceptible de cla</w:t>
      </w:r>
      <w:r>
        <w:rPr>
          <w:rFonts w:eastAsia="Arial Unicode MS"/>
          <w:szCs w:val="24"/>
        </w:rPr>
        <w:t xml:space="preserve">sificación debe ser protegido. </w:t>
      </w:r>
    </w:p>
    <w:p w:rsidR="00215458" w:rsidRPr="008B5304" w:rsidRDefault="00215458" w:rsidP="00215458">
      <w:pPr>
        <w:rPr>
          <w:rFonts w:eastAsia="Arial Unicode MS"/>
          <w:szCs w:val="24"/>
        </w:rPr>
      </w:pPr>
    </w:p>
    <w:p w:rsidR="00215458" w:rsidRDefault="00215458" w:rsidP="00215458">
      <w:pPr>
        <w:rPr>
          <w:szCs w:val="24"/>
        </w:rPr>
      </w:pPr>
      <w:r w:rsidRPr="008B5304">
        <w:rPr>
          <w:szCs w:val="24"/>
        </w:rPr>
        <w:t xml:space="preserve">Por ende, en el presente caso el Sujeto Obligado sólo podrá testar los datos referidos con antelación, clasificación que tiene que efectuar mediante las formalidades que la Ley impone,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8B5304">
        <w:rPr>
          <w:b/>
          <w:szCs w:val="24"/>
        </w:rPr>
        <w:t>Lineamientos Generales en Materia de Clasificación y Desclasificación de la Información, así como para la Elaboración de Versiones Públicas</w:t>
      </w:r>
      <w:r w:rsidRPr="008B5304">
        <w:rPr>
          <w:szCs w:val="24"/>
        </w:rPr>
        <w:t xml:space="preserve">, publicados en el Diario Oficial de la Federación en fecha quince de abril del año dos mil dieciséis, mediante Acuerdo del Consejo Nacional del Sistema Nacional de Transparencia, Acceso a la Información Pública y </w:t>
      </w:r>
      <w:r>
        <w:rPr>
          <w:szCs w:val="24"/>
        </w:rPr>
        <w:t>Protección de Datos Personales.</w:t>
      </w:r>
    </w:p>
    <w:p w:rsidR="00215458" w:rsidRPr="008B5304" w:rsidRDefault="00215458" w:rsidP="00215458">
      <w:pPr>
        <w:rPr>
          <w:szCs w:val="24"/>
        </w:rPr>
      </w:pPr>
    </w:p>
    <w:p w:rsidR="00215458" w:rsidRDefault="00215458" w:rsidP="00215458">
      <w:pPr>
        <w:rPr>
          <w:rFonts w:cs="Arial"/>
          <w:szCs w:val="24"/>
        </w:rPr>
      </w:pPr>
      <w:r w:rsidRPr="008B5304">
        <w:rPr>
          <w:szCs w:val="24"/>
        </w:rPr>
        <w:t xml:space="preserve">Cabe señalar que también deberá considerarse lo dispuesto por </w:t>
      </w:r>
      <w:r w:rsidRPr="008B5304">
        <w:rPr>
          <w:rFonts w:cs="Arial"/>
          <w:szCs w:val="24"/>
        </w:rPr>
        <w:t xml:space="preserve">el artículo 91 de la Ley de la Materia, en el que se dispone que el acceso a la información pública será restringido excepcionalmente, cuando ésta sea clasificada como reservada o confidencial. </w:t>
      </w:r>
    </w:p>
    <w:p w:rsidR="00215458" w:rsidRDefault="00215458" w:rsidP="00215458">
      <w:pPr>
        <w:rPr>
          <w:rFonts w:cs="Arial"/>
          <w:szCs w:val="24"/>
        </w:rPr>
      </w:pPr>
    </w:p>
    <w:p w:rsidR="00215458" w:rsidRDefault="00215458" w:rsidP="00215458">
      <w:pPr>
        <w:rPr>
          <w:szCs w:val="24"/>
        </w:rPr>
      </w:pPr>
      <w:r w:rsidRPr="008B5304">
        <w:rPr>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215458" w:rsidRPr="008B5304" w:rsidRDefault="00215458" w:rsidP="00215458">
      <w:pPr>
        <w:rPr>
          <w:szCs w:val="24"/>
        </w:rPr>
      </w:pPr>
    </w:p>
    <w:p w:rsidR="00215458" w:rsidRPr="008B5304" w:rsidRDefault="00215458" w:rsidP="00215458">
      <w:pPr>
        <w:rPr>
          <w:szCs w:val="24"/>
        </w:rPr>
      </w:pPr>
      <w:r w:rsidRPr="008B5304">
        <w:rPr>
          <w:szCs w:val="24"/>
        </w:rPr>
        <w:t>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215458" w:rsidRPr="008B5304" w:rsidRDefault="00215458" w:rsidP="00215458">
      <w:pPr>
        <w:rPr>
          <w:szCs w:val="24"/>
        </w:rPr>
      </w:pPr>
    </w:p>
    <w:p w:rsidR="00215458" w:rsidRPr="008B5304" w:rsidRDefault="00215458" w:rsidP="00215458">
      <w:pPr>
        <w:rPr>
          <w:szCs w:val="24"/>
        </w:rPr>
      </w:pPr>
      <w:r w:rsidRPr="008B5304">
        <w:rPr>
          <w:szCs w:val="24"/>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rsidR="00215458" w:rsidRPr="00215458" w:rsidRDefault="00215458" w:rsidP="00215458">
      <w:pPr>
        <w:ind w:left="567" w:right="616"/>
        <w:rPr>
          <w:i/>
          <w:sz w:val="22"/>
        </w:rPr>
      </w:pPr>
      <w:r w:rsidRPr="00215458">
        <w:rPr>
          <w:b/>
          <w:i/>
          <w:sz w:val="22"/>
        </w:rPr>
        <w:t xml:space="preserve">Artículo 49. </w:t>
      </w:r>
      <w:r w:rsidRPr="00215458">
        <w:rPr>
          <w:i/>
          <w:sz w:val="22"/>
        </w:rPr>
        <w:t>Los Comités de Transparencia tendrán las siguientes atribuciones:</w:t>
      </w:r>
    </w:p>
    <w:p w:rsidR="00215458" w:rsidRPr="00215458" w:rsidRDefault="00215458" w:rsidP="00215458">
      <w:pPr>
        <w:ind w:left="567" w:right="616"/>
        <w:rPr>
          <w:bCs/>
          <w:i/>
          <w:sz w:val="22"/>
        </w:rPr>
      </w:pPr>
      <w:r w:rsidRPr="00215458">
        <w:rPr>
          <w:bCs/>
          <w:i/>
          <w:sz w:val="22"/>
        </w:rPr>
        <w:t>(…)</w:t>
      </w:r>
    </w:p>
    <w:p w:rsidR="00215458" w:rsidRPr="00215458" w:rsidRDefault="00215458" w:rsidP="00215458">
      <w:pPr>
        <w:ind w:left="567" w:right="616"/>
        <w:rPr>
          <w:i/>
          <w:sz w:val="22"/>
        </w:rPr>
      </w:pPr>
      <w:r w:rsidRPr="00215458">
        <w:rPr>
          <w:b/>
          <w:i/>
          <w:sz w:val="22"/>
        </w:rPr>
        <w:t>VIII.</w:t>
      </w:r>
      <w:r w:rsidRPr="00215458">
        <w:rPr>
          <w:i/>
          <w:sz w:val="22"/>
        </w:rPr>
        <w:t xml:space="preserve"> Aprobar, modificar o revocar la clasificación de la información;</w:t>
      </w:r>
    </w:p>
    <w:p w:rsidR="00215458" w:rsidRPr="00215458" w:rsidRDefault="00215458" w:rsidP="00215458">
      <w:pPr>
        <w:ind w:left="567" w:right="616"/>
        <w:rPr>
          <w:bCs/>
          <w:i/>
          <w:sz w:val="22"/>
        </w:rPr>
      </w:pPr>
      <w:r w:rsidRPr="00215458">
        <w:rPr>
          <w:bCs/>
          <w:i/>
          <w:sz w:val="22"/>
        </w:rPr>
        <w:t>(…)</w:t>
      </w:r>
    </w:p>
    <w:p w:rsidR="00215458" w:rsidRPr="00215458" w:rsidRDefault="00215458" w:rsidP="00215458">
      <w:pPr>
        <w:ind w:left="567" w:right="616"/>
        <w:rPr>
          <w:i/>
          <w:sz w:val="22"/>
        </w:rPr>
      </w:pPr>
      <w:r w:rsidRPr="00215458">
        <w:rPr>
          <w:b/>
          <w:i/>
          <w:sz w:val="22"/>
        </w:rPr>
        <w:t>Artículo 132.</w:t>
      </w:r>
      <w:r w:rsidRPr="00215458">
        <w:rPr>
          <w:i/>
          <w:sz w:val="22"/>
        </w:rPr>
        <w:t xml:space="preserve"> La clasificación de la información se llevará a cabo en el momento en que:</w:t>
      </w:r>
    </w:p>
    <w:p w:rsidR="00215458" w:rsidRPr="00215458" w:rsidRDefault="00215458" w:rsidP="00215458">
      <w:pPr>
        <w:ind w:left="567" w:right="616"/>
        <w:rPr>
          <w:i/>
          <w:sz w:val="22"/>
        </w:rPr>
      </w:pPr>
      <w:r w:rsidRPr="00215458">
        <w:rPr>
          <w:b/>
          <w:i/>
          <w:sz w:val="22"/>
        </w:rPr>
        <w:t>I.</w:t>
      </w:r>
      <w:r w:rsidRPr="00215458">
        <w:rPr>
          <w:i/>
          <w:sz w:val="22"/>
        </w:rPr>
        <w:t xml:space="preserve"> Se reciba una solicitud de acceso a la información;</w:t>
      </w:r>
    </w:p>
    <w:p w:rsidR="00215458" w:rsidRPr="00215458" w:rsidRDefault="00215458" w:rsidP="00215458">
      <w:pPr>
        <w:ind w:left="567" w:right="616"/>
        <w:rPr>
          <w:i/>
          <w:sz w:val="22"/>
        </w:rPr>
      </w:pPr>
      <w:r w:rsidRPr="00215458">
        <w:rPr>
          <w:b/>
          <w:i/>
          <w:sz w:val="22"/>
        </w:rPr>
        <w:t>II.</w:t>
      </w:r>
      <w:r w:rsidRPr="00215458">
        <w:rPr>
          <w:i/>
          <w:sz w:val="22"/>
        </w:rPr>
        <w:t xml:space="preserve"> Se determine mediante resolución de autoridad competente; o</w:t>
      </w:r>
    </w:p>
    <w:p w:rsidR="00215458" w:rsidRDefault="00215458" w:rsidP="00215458">
      <w:pPr>
        <w:ind w:left="567" w:right="616"/>
        <w:rPr>
          <w:b/>
          <w:i/>
          <w:sz w:val="22"/>
        </w:rPr>
      </w:pPr>
      <w:r w:rsidRPr="00215458">
        <w:rPr>
          <w:b/>
          <w:bCs/>
          <w:i/>
          <w:sz w:val="22"/>
        </w:rPr>
        <w:t>III.</w:t>
      </w:r>
      <w:r w:rsidRPr="00215458">
        <w:rPr>
          <w:i/>
          <w:sz w:val="22"/>
        </w:rPr>
        <w:t xml:space="preserve"> Se generen versiones públicas para dar cumplimiento a las obligaciones de transparencia previstas en esta Ley.</w:t>
      </w:r>
      <w:r w:rsidRPr="00215458">
        <w:rPr>
          <w:b/>
          <w:i/>
          <w:sz w:val="22"/>
        </w:rPr>
        <w:t>”</w:t>
      </w:r>
    </w:p>
    <w:p w:rsidR="00B77582" w:rsidRPr="00215458" w:rsidRDefault="00B77582" w:rsidP="00215458">
      <w:pPr>
        <w:ind w:left="567" w:right="616"/>
        <w:rPr>
          <w:b/>
          <w:i/>
          <w:sz w:val="22"/>
        </w:rPr>
      </w:pPr>
    </w:p>
    <w:p w:rsidR="00215458" w:rsidRPr="00215458" w:rsidRDefault="00215458" w:rsidP="00215458">
      <w:pPr>
        <w:ind w:left="567" w:right="616"/>
        <w:rPr>
          <w:i/>
          <w:sz w:val="22"/>
        </w:rPr>
      </w:pPr>
      <w:r w:rsidRPr="00215458">
        <w:rPr>
          <w:b/>
          <w:i/>
          <w:sz w:val="22"/>
        </w:rPr>
        <w:t>Segundo.-</w:t>
      </w:r>
      <w:r w:rsidRPr="00215458">
        <w:rPr>
          <w:i/>
          <w:sz w:val="22"/>
        </w:rPr>
        <w:t xml:space="preserve"> Para efectos de los presentes Lineamientos Generales, se entenderá por:</w:t>
      </w:r>
    </w:p>
    <w:p w:rsidR="00215458" w:rsidRPr="00215458" w:rsidRDefault="00215458" w:rsidP="00215458">
      <w:pPr>
        <w:ind w:left="567" w:right="616"/>
        <w:rPr>
          <w:i/>
          <w:sz w:val="22"/>
        </w:rPr>
      </w:pPr>
      <w:r w:rsidRPr="00215458">
        <w:rPr>
          <w:b/>
          <w:i/>
          <w:sz w:val="22"/>
        </w:rPr>
        <w:t>XVIII.</w:t>
      </w:r>
      <w:r w:rsidRPr="00215458">
        <w:rPr>
          <w:i/>
          <w:sz w:val="22"/>
        </w:rPr>
        <w:t xml:space="preserve"> </w:t>
      </w:r>
      <w:r w:rsidRPr="00215458">
        <w:rPr>
          <w:b/>
          <w:i/>
          <w:sz w:val="22"/>
        </w:rPr>
        <w:t>Versión pública:</w:t>
      </w:r>
      <w:r w:rsidRPr="00215458">
        <w:rPr>
          <w:i/>
          <w:sz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215458" w:rsidRPr="00215458" w:rsidRDefault="00215458" w:rsidP="00215458">
      <w:pPr>
        <w:ind w:left="567" w:right="616"/>
        <w:rPr>
          <w:i/>
          <w:sz w:val="22"/>
        </w:rPr>
      </w:pPr>
      <w:r w:rsidRPr="00215458">
        <w:rPr>
          <w:b/>
          <w:i/>
          <w:sz w:val="22"/>
        </w:rPr>
        <w:t>Cuarto.</w:t>
      </w:r>
      <w:r w:rsidRPr="00215458">
        <w:rPr>
          <w:i/>
          <w:sz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w:t>
      </w:r>
      <w:r w:rsidRPr="00215458">
        <w:rPr>
          <w:i/>
          <w:sz w:val="22"/>
        </w:rPr>
        <w:lastRenderedPageBreak/>
        <w:t>así como en aquellas disposiciones legales aplicables a la materia en el ámbito de sus respectivas competencias, en tanto estas últimas no contravengan lo dispuesto en la Ley General.</w:t>
      </w:r>
    </w:p>
    <w:p w:rsidR="00215458" w:rsidRPr="00215458" w:rsidRDefault="00215458" w:rsidP="00215458">
      <w:pPr>
        <w:ind w:left="567" w:right="616"/>
        <w:rPr>
          <w:i/>
          <w:sz w:val="22"/>
        </w:rPr>
      </w:pPr>
      <w:r w:rsidRPr="00215458">
        <w:rPr>
          <w:i/>
          <w:sz w:val="22"/>
        </w:rPr>
        <w:t>Los Sujetos Obligados deberán aplicar, de manera estricta, las excepciones al derecho de acceso a la información y sólo podrán invocarlas cuando acrediten su procedencia.</w:t>
      </w:r>
    </w:p>
    <w:p w:rsidR="00215458" w:rsidRPr="00215458" w:rsidRDefault="00215458" w:rsidP="00215458">
      <w:pPr>
        <w:ind w:left="567" w:right="616"/>
        <w:rPr>
          <w:b/>
          <w:i/>
          <w:sz w:val="22"/>
        </w:rPr>
      </w:pPr>
    </w:p>
    <w:p w:rsidR="00215458" w:rsidRDefault="00215458" w:rsidP="00215458">
      <w:pPr>
        <w:ind w:left="567" w:right="616"/>
        <w:rPr>
          <w:i/>
          <w:sz w:val="22"/>
        </w:rPr>
      </w:pPr>
      <w:r w:rsidRPr="00215458">
        <w:rPr>
          <w:b/>
          <w:i/>
          <w:sz w:val="22"/>
        </w:rPr>
        <w:t>Quinto.</w:t>
      </w:r>
      <w:r w:rsidRPr="00215458">
        <w:rPr>
          <w:i/>
          <w:sz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B77582" w:rsidRPr="00215458" w:rsidRDefault="00B77582" w:rsidP="00215458">
      <w:pPr>
        <w:ind w:left="567" w:right="616"/>
        <w:rPr>
          <w:i/>
          <w:sz w:val="22"/>
        </w:rPr>
      </w:pPr>
    </w:p>
    <w:p w:rsidR="00215458" w:rsidRPr="00215458" w:rsidRDefault="00215458" w:rsidP="00215458">
      <w:pPr>
        <w:ind w:left="567" w:right="616"/>
        <w:rPr>
          <w:i/>
          <w:sz w:val="22"/>
        </w:rPr>
      </w:pPr>
      <w:r w:rsidRPr="00215458">
        <w:rPr>
          <w:b/>
          <w:i/>
          <w:sz w:val="22"/>
        </w:rPr>
        <w:t>Sexto.</w:t>
      </w:r>
      <w:r w:rsidRPr="00215458">
        <w:rPr>
          <w:i/>
          <w:sz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215458" w:rsidRDefault="00215458" w:rsidP="00215458">
      <w:pPr>
        <w:ind w:left="567" w:right="616"/>
        <w:rPr>
          <w:i/>
          <w:sz w:val="22"/>
        </w:rPr>
      </w:pPr>
      <w:r w:rsidRPr="00215458">
        <w:rPr>
          <w:i/>
          <w:sz w:val="22"/>
        </w:rPr>
        <w:t>La clasificación de información se realizará conforme a un análisis caso por caso, mediante la aplicación de la prueba de daño y de interés público.</w:t>
      </w:r>
    </w:p>
    <w:p w:rsidR="00B77582" w:rsidRPr="00215458" w:rsidRDefault="00B77582" w:rsidP="00215458">
      <w:pPr>
        <w:ind w:left="567" w:right="616"/>
        <w:rPr>
          <w:i/>
          <w:sz w:val="22"/>
        </w:rPr>
      </w:pPr>
    </w:p>
    <w:p w:rsidR="00215458" w:rsidRPr="00215458" w:rsidRDefault="00215458" w:rsidP="00215458">
      <w:pPr>
        <w:ind w:left="567" w:right="616"/>
        <w:rPr>
          <w:i/>
          <w:sz w:val="22"/>
        </w:rPr>
      </w:pPr>
      <w:r w:rsidRPr="00215458">
        <w:rPr>
          <w:b/>
          <w:i/>
          <w:sz w:val="22"/>
        </w:rPr>
        <w:t>Séptimo.</w:t>
      </w:r>
      <w:r w:rsidRPr="00215458">
        <w:rPr>
          <w:i/>
          <w:sz w:val="22"/>
        </w:rPr>
        <w:t xml:space="preserve"> La clasificación de la información se llevará a cabo en el momento en que:</w:t>
      </w:r>
    </w:p>
    <w:p w:rsidR="00215458" w:rsidRPr="00215458" w:rsidRDefault="00215458" w:rsidP="00215458">
      <w:pPr>
        <w:ind w:left="567" w:right="616"/>
        <w:rPr>
          <w:i/>
          <w:sz w:val="22"/>
        </w:rPr>
      </w:pPr>
      <w:r w:rsidRPr="00215458">
        <w:rPr>
          <w:b/>
          <w:i/>
          <w:sz w:val="22"/>
        </w:rPr>
        <w:t>I.</w:t>
      </w:r>
      <w:r w:rsidRPr="00215458">
        <w:rPr>
          <w:i/>
          <w:sz w:val="22"/>
        </w:rPr>
        <w:t xml:space="preserve"> Se reciba una solicitud de acceso a la información;</w:t>
      </w:r>
    </w:p>
    <w:p w:rsidR="00215458" w:rsidRPr="00215458" w:rsidRDefault="00215458" w:rsidP="00215458">
      <w:pPr>
        <w:ind w:left="567" w:right="616"/>
        <w:rPr>
          <w:i/>
          <w:sz w:val="22"/>
        </w:rPr>
      </w:pPr>
      <w:r w:rsidRPr="00215458">
        <w:rPr>
          <w:b/>
          <w:i/>
          <w:sz w:val="22"/>
        </w:rPr>
        <w:t>II.</w:t>
      </w:r>
      <w:r w:rsidRPr="00215458">
        <w:rPr>
          <w:i/>
          <w:sz w:val="22"/>
        </w:rPr>
        <w:t xml:space="preserve"> Se determine mediante resolución de autoridad competente, o</w:t>
      </w:r>
    </w:p>
    <w:p w:rsidR="00215458" w:rsidRPr="00215458" w:rsidRDefault="00215458" w:rsidP="00215458">
      <w:pPr>
        <w:ind w:left="567" w:right="616"/>
        <w:rPr>
          <w:i/>
          <w:sz w:val="22"/>
        </w:rPr>
      </w:pPr>
      <w:r w:rsidRPr="00215458">
        <w:rPr>
          <w:b/>
          <w:i/>
          <w:sz w:val="22"/>
        </w:rPr>
        <w:t>III.</w:t>
      </w:r>
      <w:r w:rsidRPr="00215458">
        <w:rPr>
          <w:i/>
          <w:sz w:val="22"/>
        </w:rPr>
        <w:t xml:space="preserve"> Se generen versiones públicas para dar cumplimiento a las obligaciones de transparencia previstas en la Ley General, la Ley Federal y las correspondientes de las entidades federativas.</w:t>
      </w:r>
    </w:p>
    <w:p w:rsidR="00215458" w:rsidRDefault="00215458" w:rsidP="00215458">
      <w:pPr>
        <w:ind w:left="567" w:right="616"/>
        <w:rPr>
          <w:i/>
          <w:sz w:val="22"/>
        </w:rPr>
      </w:pPr>
      <w:r w:rsidRPr="00215458">
        <w:rPr>
          <w:i/>
          <w:sz w:val="22"/>
        </w:rPr>
        <w:lastRenderedPageBreak/>
        <w:t>Los titulares de las áreas deberán revisar la clasificación al momento de la recepción de una solicitud de acceso a la información, para verificar si encuadra en una causal de reserva o de confidencialidad.</w:t>
      </w:r>
    </w:p>
    <w:p w:rsidR="00B77582" w:rsidRPr="00215458" w:rsidRDefault="00B77582" w:rsidP="00215458">
      <w:pPr>
        <w:ind w:left="567" w:right="616"/>
        <w:rPr>
          <w:i/>
          <w:sz w:val="22"/>
        </w:rPr>
      </w:pPr>
    </w:p>
    <w:p w:rsidR="00215458" w:rsidRPr="00215458" w:rsidRDefault="00215458" w:rsidP="00215458">
      <w:pPr>
        <w:ind w:left="567" w:right="616"/>
        <w:rPr>
          <w:i/>
          <w:sz w:val="22"/>
        </w:rPr>
      </w:pPr>
      <w:r w:rsidRPr="00215458">
        <w:rPr>
          <w:b/>
          <w:i/>
          <w:sz w:val="22"/>
        </w:rPr>
        <w:t>Octavo.</w:t>
      </w:r>
      <w:r w:rsidRPr="00215458">
        <w:rPr>
          <w:i/>
          <w:sz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215458" w:rsidRPr="00215458" w:rsidRDefault="00215458" w:rsidP="00215458">
      <w:pPr>
        <w:ind w:left="567" w:right="616"/>
        <w:rPr>
          <w:i/>
          <w:sz w:val="22"/>
        </w:rPr>
      </w:pPr>
      <w:r w:rsidRPr="00215458">
        <w:rPr>
          <w:i/>
          <w:sz w:val="22"/>
        </w:rPr>
        <w:t>Para motivar la clasificación se deberán señalar las razones o circunstancias especiales que lo llevaron a concluir que el caso particular se ajusta al supuesto previsto por la norma legal invocada como fundamento.</w:t>
      </w:r>
    </w:p>
    <w:p w:rsidR="00215458" w:rsidRPr="00215458" w:rsidRDefault="00215458" w:rsidP="00215458">
      <w:pPr>
        <w:ind w:left="567" w:right="616"/>
        <w:rPr>
          <w:i/>
          <w:sz w:val="22"/>
        </w:rPr>
      </w:pPr>
      <w:r w:rsidRPr="00215458">
        <w:rPr>
          <w:i/>
          <w:sz w:val="22"/>
        </w:rPr>
        <w:t>En caso de referirse a información reservada, la motivación de la clasificación también deberá comprender las circunstancias que justifican el establecimiento de determinado plazo de reserva.</w:t>
      </w:r>
    </w:p>
    <w:p w:rsidR="00215458" w:rsidRPr="00215458" w:rsidRDefault="00215458" w:rsidP="00215458">
      <w:pPr>
        <w:ind w:left="567" w:right="616"/>
        <w:rPr>
          <w:i/>
          <w:sz w:val="22"/>
        </w:rPr>
      </w:pPr>
      <w:r w:rsidRPr="00215458">
        <w:rPr>
          <w:i/>
          <w:sz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215458" w:rsidRDefault="00215458" w:rsidP="00215458">
      <w:pPr>
        <w:ind w:left="567" w:right="616"/>
        <w:rPr>
          <w:i/>
          <w:sz w:val="22"/>
        </w:rPr>
      </w:pPr>
      <w:r w:rsidRPr="00215458">
        <w:rPr>
          <w:i/>
          <w:sz w:val="22"/>
        </w:rPr>
        <w:t>Los documentos contenidos en los archivos históricos y los identificados como históricos confidenciales no serán susceptibles de clasificación como reservados.</w:t>
      </w:r>
    </w:p>
    <w:p w:rsidR="00B77582" w:rsidRPr="00215458" w:rsidRDefault="00B77582" w:rsidP="00215458">
      <w:pPr>
        <w:ind w:left="567" w:right="616"/>
        <w:rPr>
          <w:i/>
          <w:sz w:val="22"/>
        </w:rPr>
      </w:pPr>
    </w:p>
    <w:p w:rsidR="00215458" w:rsidRDefault="00215458" w:rsidP="00215458">
      <w:pPr>
        <w:ind w:left="567" w:right="616"/>
        <w:rPr>
          <w:i/>
          <w:sz w:val="22"/>
        </w:rPr>
      </w:pPr>
      <w:r w:rsidRPr="00215458">
        <w:rPr>
          <w:b/>
          <w:i/>
          <w:sz w:val="22"/>
        </w:rPr>
        <w:t>Noveno.</w:t>
      </w:r>
      <w:r w:rsidRPr="00215458">
        <w:rPr>
          <w:i/>
          <w:sz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B77582" w:rsidRPr="00215458" w:rsidRDefault="00B77582" w:rsidP="00215458">
      <w:pPr>
        <w:ind w:left="567" w:right="616"/>
        <w:rPr>
          <w:i/>
          <w:sz w:val="22"/>
        </w:rPr>
      </w:pPr>
    </w:p>
    <w:p w:rsidR="00215458" w:rsidRPr="00215458" w:rsidRDefault="00215458" w:rsidP="00215458">
      <w:pPr>
        <w:ind w:left="567" w:right="616"/>
        <w:rPr>
          <w:i/>
          <w:sz w:val="22"/>
        </w:rPr>
      </w:pPr>
      <w:r w:rsidRPr="00215458">
        <w:rPr>
          <w:b/>
          <w:i/>
          <w:sz w:val="22"/>
        </w:rPr>
        <w:t>Décimo.</w:t>
      </w:r>
      <w:r w:rsidRPr="00215458">
        <w:rPr>
          <w:i/>
          <w:sz w:val="22"/>
        </w:rPr>
        <w:t xml:space="preserve"> Los titulares de las áreas, deberán tener conocimiento y llevar un registro del personal que, por la naturaleza de sus atribuciones, tenga acceso a los documentos clasificados. </w:t>
      </w:r>
      <w:r w:rsidRPr="00215458">
        <w:rPr>
          <w:i/>
          <w:sz w:val="22"/>
        </w:rPr>
        <w:lastRenderedPageBreak/>
        <w:t>Asimismo, deberán asegurarse de que dicho personal cuente con los conocimientos técnicos y legales que le permitan manejar adecuadamente la información clasificada, en los términos de los Lineamientos para la Organización y Conservación de Archivos.</w:t>
      </w:r>
    </w:p>
    <w:p w:rsidR="00215458" w:rsidRDefault="00215458" w:rsidP="00215458">
      <w:pPr>
        <w:ind w:left="567" w:right="616"/>
        <w:rPr>
          <w:i/>
          <w:sz w:val="22"/>
        </w:rPr>
      </w:pPr>
      <w:r w:rsidRPr="00215458">
        <w:rPr>
          <w:i/>
          <w:sz w:val="22"/>
        </w:rPr>
        <w:t>En ausencia de los titulares de las áreas, la información será clasificada o desclasificada por la persona que lo supla, en términos de la normativa que rija la actuación del sujeto obligado.</w:t>
      </w:r>
    </w:p>
    <w:p w:rsidR="00B77582" w:rsidRPr="00215458" w:rsidRDefault="00B77582" w:rsidP="00215458">
      <w:pPr>
        <w:ind w:left="567" w:right="616"/>
        <w:rPr>
          <w:i/>
          <w:sz w:val="22"/>
        </w:rPr>
      </w:pPr>
    </w:p>
    <w:p w:rsidR="00215458" w:rsidRPr="00B77582" w:rsidRDefault="00215458" w:rsidP="00B77582">
      <w:pPr>
        <w:ind w:left="567" w:right="616"/>
        <w:rPr>
          <w:b/>
          <w:sz w:val="22"/>
        </w:rPr>
      </w:pPr>
      <w:r w:rsidRPr="00215458">
        <w:rPr>
          <w:b/>
          <w:i/>
          <w:sz w:val="22"/>
        </w:rPr>
        <w:t>Décimo primero.</w:t>
      </w:r>
      <w:r w:rsidRPr="00215458">
        <w:rPr>
          <w:i/>
          <w:sz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215458" w:rsidRDefault="00215458" w:rsidP="00215458">
      <w:pPr>
        <w:rPr>
          <w:szCs w:val="24"/>
        </w:rPr>
      </w:pPr>
      <w:r w:rsidRPr="008B5304">
        <w:rPr>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w:t>
      </w:r>
      <w:r>
        <w:rPr>
          <w:szCs w:val="24"/>
        </w:rPr>
        <w:t xml:space="preserve">tegorización de la información. </w:t>
      </w:r>
      <w:r w:rsidRPr="008B5304">
        <w:rPr>
          <w:szCs w:val="24"/>
        </w:rPr>
        <w:t>Por tanto, la fundamentación y motivación consiste en la obligación que tiene todo ente público de expresar los preceptos jurídicos aplicables al asunto motivo del acto y las raz</w:t>
      </w:r>
      <w:r>
        <w:rPr>
          <w:szCs w:val="24"/>
        </w:rPr>
        <w:t>ones o argumentos de su actuar.</w:t>
      </w:r>
    </w:p>
    <w:p w:rsidR="00215458" w:rsidRPr="008B5304" w:rsidRDefault="00215458" w:rsidP="00215458">
      <w:pPr>
        <w:rPr>
          <w:szCs w:val="24"/>
        </w:rPr>
      </w:pPr>
    </w:p>
    <w:p w:rsidR="00215458" w:rsidRPr="008B5304" w:rsidRDefault="00215458" w:rsidP="00215458">
      <w:pPr>
        <w:rPr>
          <w:szCs w:val="24"/>
        </w:rPr>
      </w:pPr>
      <w:r w:rsidRPr="008B5304">
        <w:rPr>
          <w:szCs w:val="24"/>
        </w:rPr>
        <w:lastRenderedPageBreak/>
        <w:t>Al respecto, el máximo tribunal del país ha establecido jurisprudencia respecto a qué debe entenderse por fundamentación y motivación, en los siguientes términos:</w:t>
      </w:r>
    </w:p>
    <w:p w:rsidR="00215458" w:rsidRPr="00215458" w:rsidRDefault="00215458" w:rsidP="00215458">
      <w:pPr>
        <w:ind w:left="567" w:right="616"/>
        <w:rPr>
          <w:b/>
          <w:i/>
          <w:sz w:val="22"/>
        </w:rPr>
      </w:pPr>
      <w:r w:rsidRPr="00215458">
        <w:rPr>
          <w:b/>
          <w:i/>
          <w:sz w:val="22"/>
        </w:rPr>
        <w:t xml:space="preserve">FUNDAMENTACIÓN Y MOTIVACIÓN. </w:t>
      </w:r>
    </w:p>
    <w:p w:rsidR="00215458" w:rsidRPr="00215458" w:rsidRDefault="00215458" w:rsidP="00215458">
      <w:pPr>
        <w:ind w:left="567" w:right="616"/>
        <w:rPr>
          <w:i/>
          <w:sz w:val="22"/>
        </w:rPr>
      </w:pPr>
      <w:r w:rsidRPr="00215458">
        <w:rPr>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215458" w:rsidRDefault="00215458" w:rsidP="00215458">
      <w:pPr>
        <w:rPr>
          <w:szCs w:val="24"/>
        </w:rPr>
      </w:pPr>
    </w:p>
    <w:p w:rsidR="00215458" w:rsidRDefault="00215458" w:rsidP="00215458">
      <w:pPr>
        <w:rPr>
          <w:szCs w:val="24"/>
        </w:rPr>
      </w:pPr>
      <w:r w:rsidRPr="008B5304">
        <w:rPr>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15458" w:rsidRPr="008B5304" w:rsidRDefault="00215458" w:rsidP="00215458">
      <w:pPr>
        <w:rPr>
          <w:szCs w:val="24"/>
        </w:rPr>
      </w:pPr>
    </w:p>
    <w:p w:rsidR="00215458" w:rsidRPr="008B5304" w:rsidRDefault="00215458" w:rsidP="00215458">
      <w:pPr>
        <w:rPr>
          <w:szCs w:val="24"/>
        </w:rPr>
      </w:pPr>
      <w:r w:rsidRPr="008B5304">
        <w:rPr>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rsidR="00215458" w:rsidRPr="00215458" w:rsidRDefault="00215458" w:rsidP="00215458">
      <w:pPr>
        <w:ind w:left="567" w:right="616"/>
        <w:rPr>
          <w:i/>
          <w:sz w:val="22"/>
        </w:rPr>
      </w:pPr>
      <w:r w:rsidRPr="00215458">
        <w:rPr>
          <w:b/>
          <w:i/>
          <w:sz w:val="22"/>
        </w:rPr>
        <w:t>FUNDAMENTACIÓN Y MOTIVACIÓN. EL ASPECTO FORMAL DE LA GARANTÍA Y SU FINALIDAD SE TRADUCEN EN EXPLICAR, JUSTIFICAR, POSIBILITAR LA DEFENSA Y COMUNICAR LA DECISIÓN</w:t>
      </w:r>
      <w:r w:rsidRPr="00215458">
        <w:rPr>
          <w:i/>
          <w:sz w:val="22"/>
        </w:rPr>
        <w:t xml:space="preserve">. </w:t>
      </w:r>
    </w:p>
    <w:p w:rsidR="00215458" w:rsidRPr="00215458" w:rsidRDefault="00215458" w:rsidP="00215458">
      <w:pPr>
        <w:ind w:left="567" w:right="616"/>
        <w:rPr>
          <w:i/>
          <w:sz w:val="22"/>
        </w:rPr>
      </w:pPr>
      <w:r w:rsidRPr="00215458">
        <w:rPr>
          <w:i/>
          <w:sz w:val="22"/>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w:t>
      </w:r>
      <w:r w:rsidRPr="00215458">
        <w:rPr>
          <w:i/>
          <w:sz w:val="22"/>
        </w:rPr>
        <w:lastRenderedPageBreak/>
        <w:t>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8D02A4" w:rsidRDefault="008D02A4" w:rsidP="00215458">
      <w:pPr>
        <w:rPr>
          <w:szCs w:val="24"/>
        </w:rPr>
      </w:pPr>
    </w:p>
    <w:p w:rsidR="00215458" w:rsidRDefault="00215458" w:rsidP="00215458">
      <w:pPr>
        <w:rPr>
          <w:szCs w:val="24"/>
        </w:rPr>
      </w:pPr>
      <w:r w:rsidRPr="008B5304">
        <w:rPr>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215458" w:rsidRPr="008B5304" w:rsidRDefault="00215458" w:rsidP="00215458">
      <w:pPr>
        <w:rPr>
          <w:szCs w:val="24"/>
        </w:rPr>
      </w:pPr>
    </w:p>
    <w:p w:rsidR="00215458" w:rsidRPr="008B5304" w:rsidRDefault="00215458" w:rsidP="00215458">
      <w:pPr>
        <w:rPr>
          <w:szCs w:val="24"/>
        </w:rPr>
      </w:pPr>
      <w:r w:rsidRPr="008B5304">
        <w:rPr>
          <w:szCs w:val="24"/>
        </w:rPr>
        <w:t>Por lo tanto, la entrega de documentos en su versión pública debe acompañarse necesariamente del Acuerdo del Comité de Transparencia del Sujeto Obligado</w:t>
      </w:r>
      <w:r w:rsidRPr="008B5304">
        <w:rPr>
          <w:b/>
          <w:szCs w:val="24"/>
        </w:rPr>
        <w:t xml:space="preserve"> </w:t>
      </w:r>
      <w:r w:rsidRPr="008B5304">
        <w:rPr>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w:t>
      </w:r>
      <w:r w:rsidRPr="008B5304">
        <w:rPr>
          <w:szCs w:val="24"/>
        </w:rPr>
        <w:lastRenderedPageBreak/>
        <w:t>de ello se estaría violentando desde un inicio el derecho de acceso a la información de la solicitante.</w:t>
      </w:r>
    </w:p>
    <w:p w:rsidR="00215458" w:rsidRDefault="00215458" w:rsidP="00DC4AD7">
      <w:pPr>
        <w:rPr>
          <w:rFonts w:eastAsia="Times New Roman" w:cs="Times New Roman"/>
          <w:szCs w:val="24"/>
          <w:lang w:eastAsia="es-ES"/>
        </w:rPr>
      </w:pPr>
    </w:p>
    <w:p w:rsidR="00DC4AD7" w:rsidRPr="00C07F04" w:rsidRDefault="00DC4AD7" w:rsidP="00DC4AD7">
      <w:pPr>
        <w:rPr>
          <w:rFonts w:cs="Arial"/>
          <w:szCs w:val="24"/>
        </w:rPr>
      </w:pPr>
      <w:r w:rsidRPr="00C07F04">
        <w:rPr>
          <w:rFonts w:eastAsia="Times New Roman" w:cs="Times New Roman"/>
          <w:szCs w:val="24"/>
          <w:lang w:eastAsia="es-ES"/>
        </w:rPr>
        <w:t xml:space="preserve">En mérito de lo expuesto en líneas anteriores, </w:t>
      </w:r>
      <w:r w:rsidRPr="00C07F04">
        <w:rPr>
          <w:rFonts w:eastAsia="Times New Roman" w:cs="Arial"/>
          <w:szCs w:val="24"/>
          <w:lang w:eastAsia="es-ES"/>
        </w:rPr>
        <w:t>con fundamento en la fracción</w:t>
      </w:r>
      <w:r w:rsidRPr="00C07F04">
        <w:rPr>
          <w:rFonts w:eastAsia="Times New Roman" w:cs="Arial"/>
          <w:b/>
          <w:szCs w:val="24"/>
          <w:lang w:eastAsia="es-ES"/>
        </w:rPr>
        <w:t xml:space="preserve"> </w:t>
      </w:r>
      <w:r w:rsidRPr="00C07F04">
        <w:rPr>
          <w:rFonts w:eastAsia="Times New Roman" w:cs="Arial"/>
          <w:szCs w:val="24"/>
          <w:lang w:eastAsia="es-ES"/>
        </w:rPr>
        <w:t>III, del artículo 186,</w:t>
      </w:r>
      <w:r w:rsidRPr="00C07F04">
        <w:rPr>
          <w:rFonts w:eastAsia="Times New Roman" w:cs="Arial"/>
          <w:b/>
          <w:szCs w:val="24"/>
          <w:lang w:eastAsia="es-ES"/>
        </w:rPr>
        <w:t xml:space="preserve"> </w:t>
      </w:r>
      <w:r w:rsidRPr="00C07F04">
        <w:rPr>
          <w:rFonts w:eastAsia="Times New Roman" w:cs="Arial"/>
          <w:szCs w:val="24"/>
          <w:lang w:eastAsia="es-ES"/>
        </w:rPr>
        <w:t xml:space="preserve">de la Ley de Transparencia y Acceso a la Información Pública del Estado de México y Municipios, se </w:t>
      </w:r>
      <w:r w:rsidRPr="00B77582">
        <w:rPr>
          <w:rFonts w:eastAsia="Times New Roman" w:cs="Arial"/>
          <w:b/>
          <w:szCs w:val="24"/>
          <w:lang w:eastAsia="es-ES"/>
        </w:rPr>
        <w:t>REVOCA</w:t>
      </w:r>
      <w:r w:rsidRPr="004F412F">
        <w:rPr>
          <w:rFonts w:eastAsia="Times New Roman" w:cs="Arial"/>
          <w:b/>
          <w:szCs w:val="24"/>
          <w:lang w:eastAsia="es-ES"/>
        </w:rPr>
        <w:t xml:space="preserve"> </w:t>
      </w:r>
      <w:r w:rsidRPr="004F412F">
        <w:rPr>
          <w:rFonts w:eastAsia="Times New Roman" w:cs="Arial"/>
          <w:szCs w:val="24"/>
          <w:lang w:eastAsia="es-ES"/>
        </w:rPr>
        <w:t xml:space="preserve">la </w:t>
      </w:r>
      <w:r w:rsidRPr="00C07F04">
        <w:rPr>
          <w:rFonts w:eastAsia="Times New Roman" w:cs="Arial"/>
          <w:szCs w:val="24"/>
          <w:lang w:eastAsia="es-ES"/>
        </w:rPr>
        <w:t>respuesta a la solicitud de información número</w:t>
      </w:r>
      <w:r w:rsidRPr="00C07F04">
        <w:rPr>
          <w:rFonts w:eastAsia="Times New Roman" w:cs="Times New Roman"/>
          <w:b/>
          <w:szCs w:val="24"/>
          <w:lang w:eastAsia="es-ES"/>
        </w:rPr>
        <w:t xml:space="preserve"> </w:t>
      </w:r>
      <w:r>
        <w:rPr>
          <w:rFonts w:ascii="Verdana" w:hAnsi="Verdana"/>
          <w:b/>
          <w:bCs/>
          <w:color w:val="FF0000"/>
        </w:rPr>
        <w:t>  </w:t>
      </w:r>
      <w:r w:rsidR="00B77582" w:rsidRPr="00B77582">
        <w:rPr>
          <w:b/>
          <w:bCs/>
        </w:rPr>
        <w:t>00060/ZACUALPA/IP/2025</w:t>
      </w:r>
      <w:r w:rsidR="00B77582">
        <w:rPr>
          <w:b/>
          <w:bCs/>
        </w:rPr>
        <w:t xml:space="preserve"> </w:t>
      </w:r>
      <w:r w:rsidRPr="00B77582">
        <w:rPr>
          <w:rFonts w:cs="Arial"/>
          <w:szCs w:val="24"/>
        </w:rPr>
        <w:t xml:space="preserve">que  </w:t>
      </w:r>
      <w:r w:rsidRPr="00C07F04">
        <w:rPr>
          <w:rFonts w:cs="Arial"/>
          <w:szCs w:val="24"/>
        </w:rPr>
        <w:t xml:space="preserve">ha sido materia del presente fallo. </w:t>
      </w:r>
    </w:p>
    <w:p w:rsidR="00DC4AD7" w:rsidRPr="00C07F04" w:rsidRDefault="00DC4AD7" w:rsidP="00DC4AD7">
      <w:pPr>
        <w:rPr>
          <w:rFonts w:eastAsia="Times New Roman" w:cs="Times New Roman"/>
          <w:szCs w:val="24"/>
          <w:lang w:eastAsia="es-ES"/>
        </w:rPr>
      </w:pPr>
      <w:r w:rsidRPr="00C07F04">
        <w:rPr>
          <w:rFonts w:eastAsia="Times New Roman" w:cs="Times New Roman"/>
          <w:szCs w:val="24"/>
          <w:lang w:eastAsia="es-ES"/>
        </w:rPr>
        <w:t>Por lo antes expuesto y fundado es de resolverse y,</w:t>
      </w:r>
    </w:p>
    <w:p w:rsidR="00DC4AD7" w:rsidRPr="002D14D2" w:rsidRDefault="00DC4AD7" w:rsidP="00DC4AD7">
      <w:pPr>
        <w:rPr>
          <w:rFonts w:eastAsia="Times New Roman" w:cs="Times New Roman"/>
          <w:szCs w:val="24"/>
          <w:lang w:eastAsia="es-ES"/>
        </w:rPr>
      </w:pPr>
    </w:p>
    <w:p w:rsidR="00DC4AD7" w:rsidRDefault="00DC4AD7" w:rsidP="00DC4AD7">
      <w:pPr>
        <w:spacing w:before="240" w:after="240"/>
        <w:jc w:val="center"/>
        <w:rPr>
          <w:b/>
          <w:spacing w:val="60"/>
          <w:sz w:val="28"/>
          <w:szCs w:val="24"/>
        </w:rPr>
      </w:pPr>
      <w:r w:rsidRPr="00C07F04">
        <w:rPr>
          <w:b/>
          <w:spacing w:val="60"/>
          <w:sz w:val="28"/>
          <w:szCs w:val="24"/>
        </w:rPr>
        <w:t>S E RESUELVE</w:t>
      </w:r>
    </w:p>
    <w:p w:rsidR="00DC4AD7" w:rsidRPr="00C07F04" w:rsidRDefault="00DC4AD7" w:rsidP="00DC4AD7">
      <w:pPr>
        <w:spacing w:before="240" w:after="240"/>
        <w:rPr>
          <w:b/>
          <w:spacing w:val="60"/>
          <w:sz w:val="28"/>
          <w:szCs w:val="24"/>
        </w:rPr>
      </w:pPr>
    </w:p>
    <w:p w:rsidR="00DC4AD7" w:rsidRPr="00C07F04" w:rsidRDefault="00DC4AD7" w:rsidP="00DC4AD7">
      <w:pPr>
        <w:rPr>
          <w:rFonts w:cs="Arial"/>
          <w:szCs w:val="24"/>
        </w:rPr>
      </w:pPr>
      <w:r w:rsidRPr="00C07F04">
        <w:rPr>
          <w:rFonts w:cs="Arial"/>
          <w:b/>
          <w:szCs w:val="24"/>
        </w:rPr>
        <w:t>PRIMERO</w:t>
      </w:r>
      <w:r w:rsidRPr="00C07F04">
        <w:rPr>
          <w:rFonts w:cs="Arial"/>
          <w:szCs w:val="24"/>
        </w:rPr>
        <w:t xml:space="preserve">. </w:t>
      </w:r>
      <w:r w:rsidRPr="00F510D7">
        <w:rPr>
          <w:rFonts w:cs="Arial"/>
          <w:b/>
          <w:szCs w:val="24"/>
        </w:rPr>
        <w:t xml:space="preserve">Se </w:t>
      </w:r>
      <w:r w:rsidRPr="00B77582">
        <w:rPr>
          <w:rFonts w:eastAsia="Times New Roman" w:cs="Arial"/>
          <w:b/>
          <w:szCs w:val="24"/>
          <w:lang w:eastAsia="es-ES"/>
        </w:rPr>
        <w:t>REVOCA</w:t>
      </w:r>
      <w:r w:rsidRPr="00F510D7">
        <w:rPr>
          <w:rFonts w:cs="Arial"/>
          <w:szCs w:val="24"/>
        </w:rPr>
        <w:t xml:space="preserve"> la respuesta entregada por</w:t>
      </w:r>
      <w:r w:rsidRPr="00F510D7">
        <w:rPr>
          <w:rFonts w:cs="Arial"/>
          <w:b/>
          <w:szCs w:val="24"/>
        </w:rPr>
        <w:t xml:space="preserve"> EL</w:t>
      </w:r>
      <w:r w:rsidRPr="00413327">
        <w:rPr>
          <w:rFonts w:cs="Arial"/>
          <w:b/>
          <w:szCs w:val="24"/>
        </w:rPr>
        <w:t xml:space="preserve"> SUJETO OBLIGADO, </w:t>
      </w:r>
      <w:r>
        <w:rPr>
          <w:rFonts w:cs="Arial"/>
          <w:szCs w:val="24"/>
        </w:rPr>
        <w:t xml:space="preserve">a la solicitud de información número </w:t>
      </w:r>
      <w:r w:rsidR="00B77582" w:rsidRPr="00B77582">
        <w:rPr>
          <w:b/>
          <w:bCs/>
        </w:rPr>
        <w:t>00060/ZACUALPA/IP/2025</w:t>
      </w:r>
      <w:r>
        <w:rPr>
          <w:rFonts w:cs="Arial"/>
          <w:b/>
          <w:szCs w:val="24"/>
        </w:rPr>
        <w:t xml:space="preserve">, </w:t>
      </w:r>
      <w:r>
        <w:rPr>
          <w:rFonts w:cs="Arial"/>
          <w:szCs w:val="24"/>
        </w:rPr>
        <w:t xml:space="preserve">en términos del considerando </w:t>
      </w:r>
      <w:r>
        <w:rPr>
          <w:rFonts w:cs="Arial"/>
          <w:b/>
          <w:szCs w:val="24"/>
        </w:rPr>
        <w:t xml:space="preserve">QUINTO </w:t>
      </w:r>
      <w:r>
        <w:rPr>
          <w:rFonts w:cs="Arial"/>
          <w:szCs w:val="24"/>
        </w:rPr>
        <w:t>de la presente resolución.</w:t>
      </w:r>
    </w:p>
    <w:p w:rsidR="00DC4AD7" w:rsidRPr="00C07F04" w:rsidRDefault="00DC4AD7" w:rsidP="00DC4AD7">
      <w:pPr>
        <w:rPr>
          <w:rFonts w:cs="Arial"/>
          <w:b/>
          <w:szCs w:val="24"/>
          <w:lang w:val="es-ES"/>
        </w:rPr>
      </w:pPr>
    </w:p>
    <w:p w:rsidR="00DC4AD7" w:rsidRDefault="00DC4AD7" w:rsidP="00DC4AD7">
      <w:pPr>
        <w:ind w:right="49"/>
        <w:rPr>
          <w:bCs/>
          <w:szCs w:val="24"/>
        </w:rPr>
      </w:pPr>
      <w:r w:rsidRPr="00C07F04">
        <w:rPr>
          <w:rFonts w:cs="Arial"/>
          <w:b/>
          <w:szCs w:val="24"/>
          <w:lang w:val="es-ES"/>
        </w:rPr>
        <w:t>SEGUNDO</w:t>
      </w:r>
      <w:r w:rsidRPr="00C07F04">
        <w:rPr>
          <w:rFonts w:cs="Arial"/>
          <w:szCs w:val="24"/>
          <w:lang w:val="es-ES"/>
        </w:rPr>
        <w:t xml:space="preserve">. </w:t>
      </w:r>
      <w:r w:rsidRPr="00C07F04">
        <w:rPr>
          <w:rFonts w:cs="Arial"/>
          <w:szCs w:val="24"/>
        </w:rPr>
        <w:t xml:space="preserve">Se </w:t>
      </w:r>
      <w:r w:rsidRPr="00C07F04">
        <w:rPr>
          <w:rFonts w:cs="Arial"/>
          <w:b/>
          <w:szCs w:val="24"/>
        </w:rPr>
        <w:t xml:space="preserve">ORDENA </w:t>
      </w:r>
      <w:r w:rsidRPr="00C07F04">
        <w:rPr>
          <w:rFonts w:cs="Arial"/>
          <w:szCs w:val="24"/>
        </w:rPr>
        <w:t xml:space="preserve">al </w:t>
      </w:r>
      <w:r w:rsidRPr="00C07F04">
        <w:rPr>
          <w:rFonts w:cs="Arial"/>
          <w:b/>
          <w:szCs w:val="24"/>
        </w:rPr>
        <w:t>Sujeto Obligado</w:t>
      </w:r>
      <w:r w:rsidRPr="00C07F04">
        <w:rPr>
          <w:rFonts w:cs="Arial"/>
          <w:szCs w:val="24"/>
        </w:rPr>
        <w:t>, a través del Sistema de Acceso a la Información Mexiquense (</w:t>
      </w:r>
      <w:r w:rsidRPr="00F012BB">
        <w:rPr>
          <w:rFonts w:cs="Arial"/>
          <w:b/>
          <w:szCs w:val="24"/>
        </w:rPr>
        <w:t>SAIMEX</w:t>
      </w:r>
      <w:r w:rsidRPr="00C07F04">
        <w:rPr>
          <w:rFonts w:cs="Arial"/>
          <w:szCs w:val="24"/>
        </w:rPr>
        <w:t xml:space="preserve">) en términos del considerando </w:t>
      </w:r>
      <w:r>
        <w:rPr>
          <w:rFonts w:cs="Arial"/>
          <w:b/>
          <w:szCs w:val="24"/>
        </w:rPr>
        <w:t>QUIN</w:t>
      </w:r>
      <w:r w:rsidRPr="00C07F04">
        <w:rPr>
          <w:rFonts w:cs="Arial"/>
          <w:b/>
          <w:szCs w:val="24"/>
        </w:rPr>
        <w:t xml:space="preserve">TO </w:t>
      </w:r>
      <w:r w:rsidRPr="00C07F04">
        <w:rPr>
          <w:rFonts w:cs="Arial"/>
          <w:szCs w:val="24"/>
        </w:rPr>
        <w:t xml:space="preserve">de esta resolución, </w:t>
      </w:r>
      <w:r w:rsidR="00174B3E" w:rsidRPr="007D59A5">
        <w:rPr>
          <w:szCs w:val="24"/>
          <w:highlight w:val="yellow"/>
        </w:rPr>
        <w:t>del veintitré</w:t>
      </w:r>
      <w:r w:rsidR="008D02A4" w:rsidRPr="007D59A5">
        <w:rPr>
          <w:szCs w:val="24"/>
          <w:highlight w:val="yellow"/>
        </w:rPr>
        <w:t>s de abril de dos mil veinticuatro</w:t>
      </w:r>
      <w:r w:rsidR="00174B3E" w:rsidRPr="007D59A5">
        <w:rPr>
          <w:szCs w:val="24"/>
          <w:highlight w:val="yellow"/>
        </w:rPr>
        <w:t xml:space="preserve"> al veintitrés de abril de dos mil veinticinco</w:t>
      </w:r>
      <w:r w:rsidR="00174B3E">
        <w:rPr>
          <w:szCs w:val="24"/>
        </w:rPr>
        <w:t xml:space="preserve"> </w:t>
      </w:r>
      <w:r w:rsidRPr="00C07F04">
        <w:rPr>
          <w:rFonts w:cs="Arial"/>
          <w:szCs w:val="24"/>
        </w:rPr>
        <w:t>haga entrega de</w:t>
      </w:r>
      <w:r w:rsidR="00C129EE">
        <w:rPr>
          <w:rFonts w:cs="Arial"/>
          <w:szCs w:val="24"/>
        </w:rPr>
        <w:t xml:space="preserve"> ser procedente en versión pública de</w:t>
      </w:r>
      <w:r w:rsidRPr="00C07F04">
        <w:rPr>
          <w:rFonts w:cs="Arial"/>
          <w:szCs w:val="24"/>
        </w:rPr>
        <w:t xml:space="preserve"> lo siguiente</w:t>
      </w:r>
      <w:r w:rsidRPr="00C07F04">
        <w:rPr>
          <w:bCs/>
          <w:szCs w:val="24"/>
        </w:rPr>
        <w:t>:</w:t>
      </w:r>
    </w:p>
    <w:p w:rsidR="00DC4AD7" w:rsidRPr="00C63E35" w:rsidRDefault="00DC4AD7" w:rsidP="00DC4AD7">
      <w:pPr>
        <w:ind w:right="49"/>
        <w:rPr>
          <w:rFonts w:cs="Arial"/>
          <w:szCs w:val="24"/>
        </w:rPr>
      </w:pPr>
    </w:p>
    <w:p w:rsidR="00C129EE" w:rsidRPr="00C129EE" w:rsidRDefault="00DC4AD7" w:rsidP="00C129EE">
      <w:pPr>
        <w:pStyle w:val="Prrafodelista"/>
        <w:numPr>
          <w:ilvl w:val="0"/>
          <w:numId w:val="4"/>
        </w:numPr>
        <w:ind w:left="708"/>
        <w:rPr>
          <w:szCs w:val="24"/>
        </w:rPr>
      </w:pPr>
      <w:r w:rsidRPr="006E1749">
        <w:rPr>
          <w:rFonts w:cs="Arial"/>
          <w:bCs/>
          <w:szCs w:val="24"/>
        </w:rPr>
        <w:t xml:space="preserve">Soporte documental que dé </w:t>
      </w:r>
      <w:r w:rsidR="00B77582">
        <w:rPr>
          <w:rFonts w:cs="Arial"/>
          <w:bCs/>
          <w:szCs w:val="24"/>
        </w:rPr>
        <w:t>cuenta de</w:t>
      </w:r>
      <w:r w:rsidR="00B77582" w:rsidRPr="00B77582">
        <w:rPr>
          <w:szCs w:val="24"/>
        </w:rPr>
        <w:t xml:space="preserve"> </w:t>
      </w:r>
      <w:r w:rsidR="00B77582">
        <w:rPr>
          <w:szCs w:val="24"/>
        </w:rPr>
        <w:t>la deuda pública adquirida por el municipio</w:t>
      </w:r>
      <w:r w:rsidR="005B7029">
        <w:rPr>
          <w:szCs w:val="24"/>
        </w:rPr>
        <w:t>.</w:t>
      </w:r>
    </w:p>
    <w:p w:rsidR="008D02A4" w:rsidRDefault="008D02A4" w:rsidP="008D02A4">
      <w:pPr>
        <w:pStyle w:val="Prrafodelista"/>
        <w:numPr>
          <w:ilvl w:val="0"/>
          <w:numId w:val="4"/>
        </w:numPr>
        <w:ind w:left="708"/>
        <w:rPr>
          <w:szCs w:val="24"/>
          <w:highlight w:val="yellow"/>
        </w:rPr>
      </w:pPr>
      <w:r w:rsidRPr="008D02A4">
        <w:rPr>
          <w:szCs w:val="24"/>
          <w:highlight w:val="yellow"/>
        </w:rPr>
        <w:t xml:space="preserve">Conciliación de nómina de los </w:t>
      </w:r>
      <w:r w:rsidR="00174B3E" w:rsidRPr="008D02A4">
        <w:rPr>
          <w:szCs w:val="24"/>
          <w:highlight w:val="yellow"/>
        </w:rPr>
        <w:t>trabajadores adscritos al Sujeto Obligado</w:t>
      </w:r>
      <w:r>
        <w:rPr>
          <w:szCs w:val="24"/>
          <w:highlight w:val="yellow"/>
        </w:rPr>
        <w:t xml:space="preserve">. </w:t>
      </w:r>
    </w:p>
    <w:p w:rsidR="008D02A4" w:rsidRPr="008D02A4" w:rsidRDefault="008D02A4" w:rsidP="008D02A4">
      <w:pPr>
        <w:pStyle w:val="Prrafodelista"/>
        <w:numPr>
          <w:ilvl w:val="0"/>
          <w:numId w:val="4"/>
        </w:numPr>
        <w:ind w:left="708"/>
        <w:rPr>
          <w:szCs w:val="24"/>
          <w:highlight w:val="yellow"/>
        </w:rPr>
      </w:pPr>
      <w:r>
        <w:rPr>
          <w:szCs w:val="24"/>
          <w:highlight w:val="yellow"/>
        </w:rPr>
        <w:lastRenderedPageBreak/>
        <w:t>A</w:t>
      </w:r>
      <w:r w:rsidRPr="008D02A4">
        <w:rPr>
          <w:szCs w:val="24"/>
          <w:highlight w:val="yellow"/>
        </w:rPr>
        <w:t>guinaldo otorgado a los trabajadores adscritos al Sujeto Obligado en el ejercicio fiscal 2024</w:t>
      </w:r>
      <w:r>
        <w:rPr>
          <w:szCs w:val="24"/>
          <w:highlight w:val="yellow"/>
        </w:rPr>
        <w:t>.</w:t>
      </w:r>
    </w:p>
    <w:p w:rsidR="005B7029" w:rsidRPr="005B7029" w:rsidRDefault="00F67435" w:rsidP="005B7029">
      <w:pPr>
        <w:pStyle w:val="Prrafodelista"/>
        <w:numPr>
          <w:ilvl w:val="0"/>
          <w:numId w:val="4"/>
        </w:numPr>
        <w:ind w:left="708"/>
        <w:rPr>
          <w:szCs w:val="24"/>
        </w:rPr>
      </w:pPr>
      <w:r>
        <w:rPr>
          <w:szCs w:val="24"/>
          <w:highlight w:val="yellow"/>
        </w:rPr>
        <w:t>Soporte documental que dé cuenta del a</w:t>
      </w:r>
      <w:r w:rsidRPr="00E14D5A">
        <w:rPr>
          <w:szCs w:val="24"/>
          <w:highlight w:val="yellow"/>
        </w:rPr>
        <w:t>guinaldo otorgado a los trabajadores que causaron baja del primero de enero al veintitrés de abril de dos mil veinticinco</w:t>
      </w:r>
      <w:r>
        <w:rPr>
          <w:szCs w:val="24"/>
        </w:rPr>
        <w:t>.</w:t>
      </w:r>
    </w:p>
    <w:p w:rsidR="00DC4AD7" w:rsidRDefault="00DC4AD7" w:rsidP="00DC4AD7">
      <w:pPr>
        <w:pStyle w:val="Prrafodelista"/>
        <w:ind w:left="708"/>
        <w:rPr>
          <w:rFonts w:cs="Arial"/>
          <w:bCs/>
          <w:szCs w:val="24"/>
        </w:rPr>
      </w:pPr>
    </w:p>
    <w:p w:rsidR="00DC4AD7" w:rsidRDefault="00DC4AD7" w:rsidP="00B77582">
      <w:pPr>
        <w:pStyle w:val="Prrafodelista"/>
        <w:ind w:left="708"/>
        <w:rPr>
          <w:i/>
          <w:sz w:val="22"/>
        </w:rPr>
      </w:pPr>
      <w:r w:rsidRPr="006E1749">
        <w:rPr>
          <w:i/>
          <w:sz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w:t>
      </w:r>
      <w:r w:rsidR="00B77582">
        <w:rPr>
          <w:i/>
          <w:sz w:val="22"/>
        </w:rPr>
        <w:t>a a disposición del Recurrente.</w:t>
      </w:r>
    </w:p>
    <w:p w:rsidR="00B77582" w:rsidRDefault="00B77582" w:rsidP="00B77582">
      <w:pPr>
        <w:pStyle w:val="Prrafodelista"/>
        <w:ind w:left="708"/>
        <w:rPr>
          <w:i/>
          <w:sz w:val="22"/>
        </w:rPr>
      </w:pPr>
    </w:p>
    <w:p w:rsidR="00F67435" w:rsidRPr="00F67435" w:rsidRDefault="005B7029" w:rsidP="00F67435">
      <w:pPr>
        <w:pStyle w:val="Prrafodelista"/>
        <w:ind w:left="708"/>
        <w:rPr>
          <w:i/>
          <w:sz w:val="22"/>
        </w:rPr>
      </w:pPr>
      <w:r>
        <w:rPr>
          <w:i/>
          <w:sz w:val="22"/>
        </w:rPr>
        <w:t xml:space="preserve">De ser el caso que de lo que se ordena en </w:t>
      </w:r>
      <w:r w:rsidRPr="005B7029">
        <w:rPr>
          <w:b/>
          <w:i/>
          <w:sz w:val="22"/>
        </w:rPr>
        <w:t>el numeral 1 el</w:t>
      </w:r>
      <w:r>
        <w:rPr>
          <w:i/>
          <w:sz w:val="22"/>
        </w:rPr>
        <w:t xml:space="preserve"> Sujeto Obligado </w:t>
      </w:r>
      <w:r w:rsidRPr="005B7029">
        <w:rPr>
          <w:b/>
          <w:i/>
          <w:sz w:val="22"/>
        </w:rPr>
        <w:t>no haya adquirido deuda</w:t>
      </w:r>
      <w:r>
        <w:rPr>
          <w:i/>
          <w:sz w:val="22"/>
        </w:rPr>
        <w:t xml:space="preserve"> pública bastara con que así lo manifieste en términos del segundo párrafo de la Ley de Transparencia Local. </w:t>
      </w:r>
    </w:p>
    <w:p w:rsidR="00F67435" w:rsidRDefault="007D59A5" w:rsidP="00F67435">
      <w:pPr>
        <w:autoSpaceDE w:val="0"/>
        <w:autoSpaceDN w:val="0"/>
        <w:adjustRightInd w:val="0"/>
        <w:rPr>
          <w:szCs w:val="24"/>
        </w:rPr>
      </w:pPr>
      <w:r>
        <w:rPr>
          <w:szCs w:val="24"/>
        </w:rPr>
        <w:t xml:space="preserve"> </w:t>
      </w:r>
    </w:p>
    <w:p w:rsidR="00F67435" w:rsidRPr="00F67435" w:rsidRDefault="00F67435" w:rsidP="00F67435">
      <w:pPr>
        <w:autoSpaceDE w:val="0"/>
        <w:autoSpaceDN w:val="0"/>
        <w:adjustRightInd w:val="0"/>
        <w:ind w:left="708"/>
        <w:rPr>
          <w:i/>
          <w:sz w:val="22"/>
        </w:rPr>
      </w:pPr>
      <w:r w:rsidRPr="00F67435">
        <w:rPr>
          <w:i/>
          <w:sz w:val="22"/>
          <w:highlight w:val="yellow"/>
        </w:rPr>
        <w:t>De ser el caso que del primero de enero al veintitrés de abril de dos mil veinticinco no se le haya brindado aguinaldo a algún trabajador por no haber causado baja bastara con que así lo manifieste en términos de lo establecido por el artículo 19 de la Ley de Transparencia Local.</w:t>
      </w:r>
      <w:r w:rsidRPr="00F67435">
        <w:rPr>
          <w:i/>
          <w:sz w:val="22"/>
        </w:rPr>
        <w:t xml:space="preserve"> </w:t>
      </w:r>
    </w:p>
    <w:p w:rsidR="00F67435" w:rsidRPr="00B77582" w:rsidRDefault="00F67435" w:rsidP="00B77582">
      <w:pPr>
        <w:pStyle w:val="Prrafodelista"/>
        <w:ind w:left="708"/>
        <w:rPr>
          <w:i/>
          <w:sz w:val="22"/>
        </w:rPr>
      </w:pPr>
    </w:p>
    <w:p w:rsidR="00DC4AD7" w:rsidRDefault="00DC4AD7" w:rsidP="00DC4AD7">
      <w:pPr>
        <w:autoSpaceDE w:val="0"/>
        <w:autoSpaceDN w:val="0"/>
        <w:adjustRightInd w:val="0"/>
        <w:ind w:right="49"/>
        <w:rPr>
          <w:rFonts w:eastAsia="Palatino Linotype" w:cs="Palatino Linotype"/>
          <w:b/>
          <w:color w:val="000000"/>
          <w:szCs w:val="24"/>
        </w:rPr>
      </w:pPr>
      <w:r w:rsidRPr="00C07F04">
        <w:rPr>
          <w:rFonts w:cs="Arial"/>
          <w:b/>
          <w:szCs w:val="24"/>
        </w:rPr>
        <w:t>TERCERO. NOTIFÍQUESE</w:t>
      </w:r>
      <w:r w:rsidRPr="00C07F04">
        <w:rPr>
          <w:rFonts w:cs="Arial"/>
          <w:i/>
          <w:szCs w:val="24"/>
        </w:rPr>
        <w:t xml:space="preserve"> </w:t>
      </w:r>
      <w:r w:rsidRPr="00C07F04">
        <w:rPr>
          <w:rFonts w:cs="Arial"/>
          <w:szCs w:val="24"/>
        </w:rPr>
        <w:t>la presente resolución al Titular de la Unidad de Transparencia del</w:t>
      </w:r>
      <w:r w:rsidRPr="00C07F04">
        <w:rPr>
          <w:rFonts w:cs="Arial"/>
          <w:b/>
          <w:szCs w:val="24"/>
        </w:rPr>
        <w:t xml:space="preserve"> Sujeto Obligado</w:t>
      </w:r>
      <w:r w:rsidRPr="00C07F04">
        <w:rPr>
          <w:rFonts w:cs="Arial"/>
          <w:szCs w:val="24"/>
        </w:rPr>
        <w:t>, a través del Sistema de Acceso a la Información Mexiquense (</w:t>
      </w:r>
      <w:r w:rsidRPr="00C07F04">
        <w:rPr>
          <w:rFonts w:cs="Arial"/>
          <w:b/>
          <w:szCs w:val="24"/>
        </w:rPr>
        <w:t>SAIMEX</w:t>
      </w:r>
      <w:r w:rsidRPr="00C07F04">
        <w:rPr>
          <w:rFonts w:cs="Arial"/>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C07F04">
        <w:rPr>
          <w:rFonts w:cs="Arial"/>
          <w:b/>
          <w:szCs w:val="24"/>
        </w:rPr>
        <w:t>y</w:t>
      </w:r>
      <w:r w:rsidRPr="00C07F04">
        <w:rPr>
          <w:rFonts w:cs="Arial"/>
          <w:szCs w:val="24"/>
        </w:rPr>
        <w:t xml:space="preserve"> </w:t>
      </w:r>
      <w:r w:rsidRPr="00C07F04">
        <w:rPr>
          <w:rFonts w:eastAsia="Palatino Linotype" w:cs="Palatino Linotype"/>
          <w:b/>
          <w:color w:val="000000"/>
          <w:szCs w:val="24"/>
        </w:rPr>
        <w:t xml:space="preserve">se le apercibe que en caso de negarse a </w:t>
      </w:r>
      <w:r w:rsidRPr="00C07F04">
        <w:rPr>
          <w:rFonts w:eastAsia="Palatino Linotype" w:cs="Palatino Linotype"/>
          <w:b/>
          <w:color w:val="000000"/>
          <w:szCs w:val="24"/>
        </w:rPr>
        <w:lastRenderedPageBreak/>
        <w:t>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C4AD7" w:rsidRPr="00C07F04" w:rsidRDefault="00DC4AD7" w:rsidP="00DC4AD7">
      <w:pPr>
        <w:autoSpaceDE w:val="0"/>
        <w:autoSpaceDN w:val="0"/>
        <w:adjustRightInd w:val="0"/>
        <w:ind w:right="49"/>
        <w:rPr>
          <w:rFonts w:cs="Arial"/>
          <w:szCs w:val="24"/>
        </w:rPr>
      </w:pPr>
    </w:p>
    <w:p w:rsidR="00DC4AD7" w:rsidRDefault="00DC4AD7" w:rsidP="00DC4AD7">
      <w:pPr>
        <w:autoSpaceDE w:val="0"/>
        <w:autoSpaceDN w:val="0"/>
        <w:adjustRightInd w:val="0"/>
        <w:rPr>
          <w:rFonts w:cs="Arial"/>
          <w:szCs w:val="24"/>
        </w:rPr>
      </w:pPr>
      <w:r w:rsidRPr="00C07F04">
        <w:rPr>
          <w:rFonts w:cs="Arial"/>
          <w:b/>
          <w:szCs w:val="24"/>
        </w:rPr>
        <w:t xml:space="preserve">CUARTO. </w:t>
      </w:r>
      <w:r w:rsidRPr="00C07F04">
        <w:rPr>
          <w:rFonts w:cs="Arial"/>
          <w:szCs w:val="24"/>
        </w:rPr>
        <w:t xml:space="preserve">De conformidad con el artículo 198 de la Ley de Transparencia y Acceso a la Información Pública del Estado de México y Municipios, de considerarlo procedente, el </w:t>
      </w:r>
      <w:r w:rsidRPr="00C07F04">
        <w:rPr>
          <w:rFonts w:cs="Arial"/>
          <w:b/>
          <w:szCs w:val="24"/>
        </w:rPr>
        <w:t>Sujeto Obligado</w:t>
      </w:r>
      <w:r w:rsidRPr="00C07F04">
        <w:rPr>
          <w:rFonts w:cs="Arial"/>
          <w:szCs w:val="24"/>
        </w:rPr>
        <w:t xml:space="preserve"> de manera fundada y motivada, podrá solicitar una ampliación de plazo para el cumplimiento de la presente resolución.</w:t>
      </w:r>
    </w:p>
    <w:p w:rsidR="00B77582" w:rsidRPr="00C07F04" w:rsidRDefault="00B77582" w:rsidP="00DC4AD7">
      <w:pPr>
        <w:autoSpaceDE w:val="0"/>
        <w:autoSpaceDN w:val="0"/>
        <w:adjustRightInd w:val="0"/>
        <w:rPr>
          <w:rFonts w:cs="Arial"/>
          <w:szCs w:val="24"/>
        </w:rPr>
      </w:pPr>
    </w:p>
    <w:p w:rsidR="00DC4AD7" w:rsidRDefault="00DC4AD7" w:rsidP="00DC4AD7">
      <w:pPr>
        <w:autoSpaceDE w:val="0"/>
        <w:autoSpaceDN w:val="0"/>
        <w:adjustRightInd w:val="0"/>
        <w:rPr>
          <w:rFonts w:cs="Arial"/>
          <w:szCs w:val="24"/>
        </w:rPr>
      </w:pPr>
      <w:r w:rsidRPr="00C07F04">
        <w:rPr>
          <w:b/>
          <w:szCs w:val="24"/>
        </w:rPr>
        <w:t xml:space="preserve">QUINTO. </w:t>
      </w:r>
      <w:r w:rsidRPr="00C07F04">
        <w:rPr>
          <w:rFonts w:cs="Arial"/>
          <w:b/>
          <w:szCs w:val="24"/>
        </w:rPr>
        <w:t>NOTIFÍQUESE</w:t>
      </w:r>
      <w:r w:rsidRPr="00C07F04">
        <w:rPr>
          <w:rFonts w:cs="Arial"/>
          <w:szCs w:val="24"/>
        </w:rPr>
        <w:t xml:space="preserve"> a través del Sistema de Acceso a la Información Mexiquense (</w:t>
      </w:r>
      <w:r w:rsidRPr="00C07F04">
        <w:rPr>
          <w:rFonts w:cs="Arial"/>
          <w:b/>
          <w:szCs w:val="24"/>
        </w:rPr>
        <w:t>SAIMEX</w:t>
      </w:r>
      <w:r w:rsidRPr="00C07F04">
        <w:rPr>
          <w:rFonts w:cs="Arial"/>
          <w:szCs w:val="24"/>
        </w:rPr>
        <w:t xml:space="preserve">), al </w:t>
      </w:r>
      <w:r w:rsidRPr="00C07F04">
        <w:rPr>
          <w:rFonts w:cs="Arial"/>
          <w:b/>
          <w:szCs w:val="24"/>
        </w:rPr>
        <w:t>Recurrente</w:t>
      </w:r>
      <w:r w:rsidRPr="00C07F04">
        <w:rPr>
          <w:rFonts w:cs="Arial"/>
          <w:szCs w:val="24"/>
        </w:rPr>
        <w:t xml:space="preserve"> y hágasele del conocimiento que en caso de considerar que le causa algún perjuicio, podrá promover el Juicio de Amparo en los términos de las leyes aplicables, de acuerdo con lo estipulado por el artículo 196 de la Ley de Transparencia y Acceso a la Información Pública de</w:t>
      </w:r>
      <w:r>
        <w:rPr>
          <w:rFonts w:cs="Arial"/>
          <w:szCs w:val="24"/>
        </w:rPr>
        <w:t>l Estado de México y Municipios.</w:t>
      </w:r>
    </w:p>
    <w:p w:rsidR="00DC4AD7" w:rsidRDefault="00DC4AD7" w:rsidP="00DC4AD7">
      <w:pPr>
        <w:pBdr>
          <w:top w:val="nil"/>
          <w:left w:val="nil"/>
          <w:bottom w:val="nil"/>
          <w:right w:val="nil"/>
          <w:between w:val="nil"/>
        </w:pBdr>
        <w:contextualSpacing/>
        <w:rPr>
          <w:color w:val="000000"/>
          <w:szCs w:val="24"/>
        </w:rPr>
      </w:pPr>
    </w:p>
    <w:p w:rsidR="00DC4AD7" w:rsidRPr="00E2546F" w:rsidRDefault="00DC4AD7" w:rsidP="00DC4AD7">
      <w:pPr>
        <w:rPr>
          <w:rFonts w:cs="Arial"/>
          <w:szCs w:val="24"/>
          <w:lang w:val="es-MX"/>
        </w:rPr>
      </w:pPr>
      <w:r w:rsidRPr="00E2546F">
        <w:rPr>
          <w:rFonts w:cs="Arial"/>
          <w:szCs w:val="24"/>
        </w:rPr>
        <w:t xml:space="preserve">ASÍ LO RESUELVE, POR </w:t>
      </w:r>
      <w:r w:rsidRPr="00480A36">
        <w:rPr>
          <w:rFonts w:cs="Arial"/>
          <w:b/>
          <w:bCs/>
          <w:szCs w:val="24"/>
        </w:rPr>
        <w:t>UNANIMIDAD DE VOTOS</w:t>
      </w:r>
      <w:r w:rsidRPr="00E2546F">
        <w:rPr>
          <w:rFonts w:cs="Arial"/>
          <w:szCs w:val="24"/>
        </w:rPr>
        <w:t xml:space="preserve"> EL PLENO DEL</w:t>
      </w:r>
      <w:r w:rsidRPr="00E2546F">
        <w:rPr>
          <w:rFonts w:eastAsia="Arial Unicode MS" w:cs="Arial"/>
          <w:szCs w:val="24"/>
        </w:rPr>
        <w:t xml:space="preserve"> INSTITUTO DE TRANSPARENCIA, ACCESO A LA INFORMACIÓN PÚBLICA Y PROTECCIÓN DE DATOS PERSONALES DEL ESTADO DE MÉXICO Y MUNICIPIOS</w:t>
      </w:r>
      <w:r w:rsidRPr="00E2546F">
        <w:rPr>
          <w:rFonts w:cs="Arial"/>
          <w:szCs w:val="24"/>
        </w:rPr>
        <w:t xml:space="preserve">, CONFORMADO POR LOS COMISIONADOS JOSÉ MARTÍNEZ VILCHIS, MARÍA DEL ROSARIO MEJÍA AYALA, SHARON CRISTINA MORALES MARTÍNEZ, LUIS GUSTAVO PARRA NORIEGA </w:t>
      </w:r>
      <w:r w:rsidR="008C1AB9">
        <w:rPr>
          <w:rFonts w:cs="Arial"/>
          <w:szCs w:val="24"/>
        </w:rPr>
        <w:t>(</w:t>
      </w:r>
      <w:r w:rsidR="00F45D3C">
        <w:rPr>
          <w:rFonts w:cs="Arial"/>
          <w:szCs w:val="24"/>
        </w:rPr>
        <w:t xml:space="preserve">EMITIENDO </w:t>
      </w:r>
      <w:r w:rsidR="008C1AB9" w:rsidRPr="008C1AB9">
        <w:rPr>
          <w:rFonts w:cs="Arial"/>
          <w:szCs w:val="24"/>
          <w:u w:val="single"/>
        </w:rPr>
        <w:t>VOTO PARTICULAR</w:t>
      </w:r>
      <w:r w:rsidR="008C1AB9">
        <w:rPr>
          <w:rFonts w:cs="Arial"/>
          <w:szCs w:val="24"/>
        </w:rPr>
        <w:t xml:space="preserve">) </w:t>
      </w:r>
      <w:r w:rsidRPr="00E2546F">
        <w:rPr>
          <w:rFonts w:cs="Arial"/>
          <w:szCs w:val="24"/>
        </w:rPr>
        <w:t>Y GUADALUPE RAMÍREZ PEÑA</w:t>
      </w:r>
      <w:r w:rsidR="008C1AB9">
        <w:rPr>
          <w:rFonts w:cs="Arial"/>
          <w:szCs w:val="24"/>
        </w:rPr>
        <w:t xml:space="preserve"> (</w:t>
      </w:r>
      <w:r w:rsidR="00F45D3C">
        <w:rPr>
          <w:rFonts w:cs="Arial"/>
          <w:szCs w:val="24"/>
        </w:rPr>
        <w:t xml:space="preserve">EMITIENDO </w:t>
      </w:r>
      <w:r w:rsidR="008C1AB9" w:rsidRPr="008C1AB9">
        <w:rPr>
          <w:rFonts w:cs="Arial"/>
          <w:szCs w:val="24"/>
          <w:u w:val="single"/>
        </w:rPr>
        <w:t>VOTO PARTICULAR</w:t>
      </w:r>
      <w:r w:rsidR="008C1AB9">
        <w:rPr>
          <w:rFonts w:cs="Arial"/>
          <w:szCs w:val="24"/>
        </w:rPr>
        <w:t>)</w:t>
      </w:r>
      <w:r w:rsidRPr="00480A36">
        <w:rPr>
          <w:rFonts w:cs="Arial"/>
          <w:szCs w:val="24"/>
          <w:u w:val="single"/>
        </w:rPr>
        <w:t>,</w:t>
      </w:r>
      <w:r w:rsidRPr="00E2546F">
        <w:rPr>
          <w:rFonts w:cs="Arial"/>
          <w:szCs w:val="24"/>
        </w:rPr>
        <w:t xml:space="preserve"> EN LA </w:t>
      </w:r>
      <w:r w:rsidR="008C1AB9">
        <w:rPr>
          <w:rFonts w:cs="Arial"/>
          <w:b/>
          <w:bCs/>
          <w:szCs w:val="24"/>
          <w:lang w:val="es-419"/>
        </w:rPr>
        <w:t>CUADRAGÉSIMA</w:t>
      </w:r>
      <w:r w:rsidRPr="00480A36">
        <w:rPr>
          <w:rFonts w:cs="Arial"/>
          <w:b/>
          <w:bCs/>
          <w:szCs w:val="24"/>
          <w:lang w:val="es-419"/>
        </w:rPr>
        <w:t xml:space="preserve"> </w:t>
      </w:r>
      <w:r w:rsidRPr="00480A36">
        <w:rPr>
          <w:rFonts w:cs="Arial"/>
          <w:b/>
          <w:bCs/>
          <w:szCs w:val="24"/>
        </w:rPr>
        <w:t xml:space="preserve">SESIÓN ORDINARIA CELEBRADA EL  </w:t>
      </w:r>
      <w:r w:rsidR="008C1AB9">
        <w:rPr>
          <w:rFonts w:cs="Arial"/>
          <w:b/>
          <w:bCs/>
          <w:szCs w:val="24"/>
        </w:rPr>
        <w:t>DOCE DE NOVIEMBRE</w:t>
      </w:r>
      <w:r w:rsidRPr="00480A36">
        <w:rPr>
          <w:rFonts w:cs="Arial"/>
          <w:b/>
          <w:bCs/>
          <w:szCs w:val="24"/>
        </w:rPr>
        <w:t xml:space="preserve"> DE DOS MIL </w:t>
      </w:r>
      <w:r w:rsidRPr="00480A36">
        <w:rPr>
          <w:rFonts w:cs="Arial"/>
          <w:b/>
          <w:bCs/>
          <w:szCs w:val="24"/>
          <w:lang w:val="es-419"/>
        </w:rPr>
        <w:lastRenderedPageBreak/>
        <w:t>VE</w:t>
      </w:r>
      <w:r>
        <w:rPr>
          <w:rFonts w:cs="Arial"/>
          <w:b/>
          <w:bCs/>
          <w:szCs w:val="24"/>
          <w:lang w:val="es-419"/>
        </w:rPr>
        <w:t>INTICINCO</w:t>
      </w:r>
      <w:r w:rsidRPr="00E2546F">
        <w:rPr>
          <w:rFonts w:cs="Arial"/>
          <w:szCs w:val="24"/>
        </w:rPr>
        <w:t>, ANTE EL SECRETARIO TÉCNICO DEL PLENO, ALEXIS TAPIA RAMÍREZ. -----------------------------------------------------------------------------------------------------------------------------------------------------------------------------------------------------------------------------------------------------------------------------------------------------------------------------------------------------------------------------------------------------------------------------------------------------------------------------------------------------------------------------------------------------------------------------------------</w:t>
      </w:r>
      <w:r w:rsidR="00F45D3C" w:rsidRPr="00582A9A">
        <w:rPr>
          <w:rFonts w:eastAsiaTheme="minorHAnsi" w:cs="Arial"/>
          <w:lang w:val="es-MX" w:eastAsia="en-US"/>
        </w:rPr>
        <w:t>-------------------------------------------------------------------------------------------------------------------------------------------------------------------------------------------------------------------------------------------------------------------------------------------------------------------------------------------------------------------------------------------------------------------------------------------------------------------------------------------------------------------------------------------------------------------------------------------------------------------------------------------------------------------------------------------------------------------------------------------------------------------------------------------------------------------------------------------------------------------------------------------------------------------------------------------------------------------------------------------------------------------------------------------------------------------------------------------------------------------------------------------------------------------------------------------------------------------------------------------------------------------------------------------------------------------------------------------------------------------------------------------------------------------------------------------------------------------------------------------------------------------------------------------------------------------------------------------------------------------------------------------------------------------------------------------------------------------------------------------------------------------------------------------------------------------------------------------------------------------------------------------------------------------------------------------------------------------------------------------------------------------------------------------------</w:t>
      </w:r>
      <w:r w:rsidR="00F45D3C">
        <w:rPr>
          <w:rFonts w:eastAsiaTheme="minorHAnsi" w:cs="Arial"/>
          <w:lang w:val="es-MX" w:eastAsia="en-US"/>
        </w:rPr>
        <w:t>--------------------</w:t>
      </w:r>
    </w:p>
    <w:p w:rsidR="00DC4AD7" w:rsidRDefault="00DC4AD7" w:rsidP="00DC4AD7">
      <w:pPr>
        <w:rPr>
          <w:rFonts w:cs="Arial"/>
          <w:sz w:val="20"/>
        </w:rPr>
      </w:pPr>
      <w:r w:rsidRPr="00E2546F">
        <w:rPr>
          <w:rFonts w:cs="Arial"/>
          <w:sz w:val="20"/>
        </w:rPr>
        <w:t>JMV/CCR/NJMB</w:t>
      </w:r>
    </w:p>
    <w:p w:rsidR="00DC4AD7" w:rsidRPr="004B7011" w:rsidRDefault="00DC4AD7" w:rsidP="00DC4AD7">
      <w:pPr>
        <w:pBdr>
          <w:top w:val="nil"/>
          <w:left w:val="nil"/>
          <w:bottom w:val="nil"/>
          <w:right w:val="nil"/>
          <w:between w:val="nil"/>
        </w:pBdr>
        <w:contextualSpacing/>
        <w:rPr>
          <w:rFonts w:eastAsia="Palatino Linotype" w:cs="Palatino Linotype"/>
          <w:color w:val="000000"/>
          <w:sz w:val="20"/>
          <w:szCs w:val="20"/>
        </w:rPr>
      </w:pPr>
    </w:p>
    <w:p w:rsidR="00DC4AD7" w:rsidRPr="004B7011" w:rsidRDefault="00DC4AD7" w:rsidP="00DC4AD7">
      <w:pPr>
        <w:pBdr>
          <w:top w:val="nil"/>
          <w:left w:val="nil"/>
          <w:bottom w:val="nil"/>
          <w:right w:val="nil"/>
          <w:between w:val="nil"/>
        </w:pBdr>
        <w:contextualSpacing/>
        <w:rPr>
          <w:rFonts w:eastAsia="Palatino Linotype" w:cs="Palatino Linotype"/>
          <w:color w:val="000000"/>
          <w:sz w:val="20"/>
          <w:szCs w:val="20"/>
        </w:rPr>
      </w:pPr>
    </w:p>
    <w:p w:rsidR="00DC4AD7" w:rsidRPr="004B7011" w:rsidRDefault="00DC4AD7" w:rsidP="00DC4AD7">
      <w:pPr>
        <w:pBdr>
          <w:top w:val="nil"/>
          <w:left w:val="nil"/>
          <w:bottom w:val="nil"/>
          <w:right w:val="nil"/>
          <w:between w:val="nil"/>
        </w:pBdr>
        <w:contextualSpacing/>
        <w:rPr>
          <w:rFonts w:eastAsia="Palatino Linotype" w:cs="Palatino Linotype"/>
          <w:color w:val="000000"/>
          <w:sz w:val="20"/>
          <w:szCs w:val="20"/>
        </w:rPr>
      </w:pPr>
    </w:p>
    <w:p w:rsidR="00DC4AD7" w:rsidRPr="004B7011" w:rsidRDefault="00DC4AD7" w:rsidP="00DC4AD7">
      <w:pPr>
        <w:pBdr>
          <w:top w:val="nil"/>
          <w:left w:val="nil"/>
          <w:bottom w:val="nil"/>
          <w:right w:val="nil"/>
          <w:between w:val="nil"/>
        </w:pBdr>
        <w:contextualSpacing/>
        <w:rPr>
          <w:rFonts w:eastAsia="Palatino Linotype" w:cs="Palatino Linotype"/>
          <w:color w:val="000000"/>
          <w:sz w:val="20"/>
          <w:szCs w:val="20"/>
        </w:rPr>
      </w:pPr>
    </w:p>
    <w:p w:rsidR="00DC4AD7" w:rsidRPr="004B7011" w:rsidRDefault="00DC4AD7" w:rsidP="00DC4AD7">
      <w:pPr>
        <w:pBdr>
          <w:top w:val="nil"/>
          <w:left w:val="nil"/>
          <w:bottom w:val="nil"/>
          <w:right w:val="nil"/>
          <w:between w:val="nil"/>
        </w:pBdr>
        <w:contextualSpacing/>
        <w:rPr>
          <w:rFonts w:eastAsia="Palatino Linotype" w:cs="Palatino Linotype"/>
          <w:color w:val="000000"/>
          <w:sz w:val="20"/>
          <w:szCs w:val="20"/>
        </w:rPr>
      </w:pPr>
    </w:p>
    <w:p w:rsidR="00DC4AD7" w:rsidRPr="004B7011" w:rsidRDefault="00DC4AD7" w:rsidP="00DC4AD7">
      <w:pPr>
        <w:pBdr>
          <w:top w:val="nil"/>
          <w:left w:val="nil"/>
          <w:bottom w:val="nil"/>
          <w:right w:val="nil"/>
          <w:between w:val="nil"/>
        </w:pBdr>
        <w:contextualSpacing/>
        <w:rPr>
          <w:rFonts w:eastAsia="Palatino Linotype" w:cs="Palatino Linotype"/>
          <w:color w:val="000000"/>
          <w:sz w:val="20"/>
          <w:szCs w:val="20"/>
        </w:rPr>
      </w:pPr>
    </w:p>
    <w:p w:rsidR="00DC4AD7" w:rsidRPr="004B7011" w:rsidRDefault="00DC4AD7" w:rsidP="00DC4AD7">
      <w:pPr>
        <w:pBdr>
          <w:top w:val="nil"/>
          <w:left w:val="nil"/>
          <w:bottom w:val="nil"/>
          <w:right w:val="nil"/>
          <w:between w:val="nil"/>
        </w:pBdr>
        <w:contextualSpacing/>
        <w:rPr>
          <w:rFonts w:eastAsia="Palatino Linotype" w:cs="Palatino Linotype"/>
          <w:color w:val="000000"/>
          <w:sz w:val="20"/>
          <w:szCs w:val="20"/>
        </w:rPr>
      </w:pPr>
    </w:p>
    <w:p w:rsidR="00DC4AD7" w:rsidRPr="004B7011" w:rsidRDefault="00DC4AD7" w:rsidP="00DC4AD7">
      <w:pPr>
        <w:pBdr>
          <w:top w:val="nil"/>
          <w:left w:val="nil"/>
          <w:bottom w:val="nil"/>
          <w:right w:val="nil"/>
          <w:between w:val="nil"/>
        </w:pBdr>
        <w:contextualSpacing/>
        <w:rPr>
          <w:rFonts w:eastAsia="Palatino Linotype" w:cs="Palatino Linotype"/>
          <w:color w:val="000000"/>
          <w:sz w:val="20"/>
          <w:szCs w:val="20"/>
        </w:rPr>
      </w:pPr>
    </w:p>
    <w:p w:rsidR="00DC4AD7" w:rsidRPr="004B7011" w:rsidRDefault="00DC4AD7" w:rsidP="00DC4AD7">
      <w:pPr>
        <w:pBdr>
          <w:top w:val="nil"/>
          <w:left w:val="nil"/>
          <w:bottom w:val="nil"/>
          <w:right w:val="nil"/>
          <w:between w:val="nil"/>
        </w:pBdr>
        <w:contextualSpacing/>
        <w:rPr>
          <w:rFonts w:eastAsia="Palatino Linotype" w:cs="Palatino Linotype"/>
          <w:color w:val="000000"/>
          <w:sz w:val="20"/>
          <w:szCs w:val="20"/>
        </w:rPr>
      </w:pPr>
    </w:p>
    <w:p w:rsidR="00DC4AD7" w:rsidRPr="004B7011" w:rsidRDefault="00DC4AD7" w:rsidP="00DC4AD7"/>
    <w:p w:rsidR="00DC4AD7" w:rsidRDefault="00DC4AD7" w:rsidP="00DC4AD7"/>
    <w:p w:rsidR="00DC4AD7" w:rsidRDefault="00DC4AD7" w:rsidP="00DC4AD7"/>
    <w:p w:rsidR="00DC4AD7" w:rsidRDefault="00DC4AD7" w:rsidP="00DC4AD7"/>
    <w:p w:rsidR="00DC4AD7" w:rsidRDefault="00DC4AD7" w:rsidP="00DC4AD7"/>
    <w:p w:rsidR="00DC4AD7" w:rsidRDefault="00DC4AD7" w:rsidP="00DC4AD7"/>
    <w:p w:rsidR="00DC4AD7" w:rsidRPr="005350DB" w:rsidRDefault="00DC4AD7" w:rsidP="00DC4AD7"/>
    <w:p w:rsidR="00DC4AD7" w:rsidRDefault="00DC4AD7" w:rsidP="00DC4AD7"/>
    <w:p w:rsidR="00DC4AD7" w:rsidRPr="001C5572" w:rsidRDefault="00DC4AD7" w:rsidP="00DC4AD7"/>
    <w:p w:rsidR="00DC4AD7" w:rsidRDefault="00DC4AD7" w:rsidP="00DC4AD7"/>
    <w:p w:rsidR="00DC4AD7" w:rsidRDefault="00DC4AD7" w:rsidP="00DC4AD7"/>
    <w:p w:rsidR="001A6153" w:rsidRDefault="001A6153"/>
    <w:sectPr w:rsidR="001A6153" w:rsidSect="00215458">
      <w:headerReference w:type="even" r:id="rId14"/>
      <w:headerReference w:type="default" r:id="rId15"/>
      <w:footerReference w:type="default" r:id="rId16"/>
      <w:headerReference w:type="first" r:id="rId17"/>
      <w:footerReference w:type="first" r:id="rId18"/>
      <w:pgSz w:w="12240" w:h="15840"/>
      <w:pgMar w:top="2977" w:right="1134" w:bottom="1191" w:left="175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3C1" w:rsidRDefault="002543C1" w:rsidP="00DC4AD7">
      <w:pPr>
        <w:spacing w:line="240" w:lineRule="auto"/>
      </w:pPr>
      <w:r>
        <w:separator/>
      </w:r>
    </w:p>
  </w:endnote>
  <w:endnote w:type="continuationSeparator" w:id="0">
    <w:p w:rsidR="002543C1" w:rsidRDefault="002543C1" w:rsidP="00DC4A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2AC" w:rsidRPr="00871A91" w:rsidRDefault="007532AC" w:rsidP="0021545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00A2">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00A2">
      <w:rPr>
        <w:rFonts w:ascii="Palatino Linotype" w:hAnsi="Palatino Linotype"/>
        <w:b/>
        <w:bCs/>
        <w:noProof/>
        <w:sz w:val="20"/>
      </w:rPr>
      <w:t>75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2AC" w:rsidRPr="00871A91" w:rsidRDefault="007532AC" w:rsidP="0021545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00A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00A2">
      <w:rPr>
        <w:rFonts w:ascii="Palatino Linotype" w:hAnsi="Palatino Linotype"/>
        <w:b/>
        <w:bCs/>
        <w:noProof/>
        <w:sz w:val="20"/>
      </w:rPr>
      <w:t>75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3C1" w:rsidRDefault="002543C1" w:rsidP="00DC4AD7">
      <w:pPr>
        <w:spacing w:line="240" w:lineRule="auto"/>
      </w:pPr>
      <w:r>
        <w:separator/>
      </w:r>
    </w:p>
  </w:footnote>
  <w:footnote w:type="continuationSeparator" w:id="0">
    <w:p w:rsidR="002543C1" w:rsidRDefault="002543C1" w:rsidP="00DC4AD7">
      <w:pPr>
        <w:spacing w:line="240" w:lineRule="auto"/>
      </w:pPr>
      <w:r>
        <w:continuationSeparator/>
      </w:r>
    </w:p>
  </w:footnote>
  <w:footnote w:id="1">
    <w:p w:rsidR="007532AC" w:rsidRPr="00481AAF" w:rsidRDefault="007532AC" w:rsidP="00DC4AD7">
      <w:pPr>
        <w:spacing w:line="240" w:lineRule="auto"/>
        <w:rPr>
          <w:rFonts w:eastAsia="Times New Roman"/>
          <w:b/>
          <w:bCs/>
          <w:i/>
          <w:sz w:val="20"/>
          <w:szCs w:val="20"/>
        </w:rPr>
      </w:pPr>
      <w:r>
        <w:rPr>
          <w:rStyle w:val="Refdenotaalpie"/>
        </w:rPr>
        <w:footnoteRef/>
      </w:r>
      <w:r>
        <w:t xml:space="preserve"> </w:t>
      </w:r>
      <w:r w:rsidRPr="00946E1F">
        <w:rPr>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b/>
          <w:bCs/>
          <w:i/>
          <w:sz w:val="20"/>
          <w:szCs w:val="20"/>
        </w:rPr>
        <w:t>DERECHOS HUMANOS.</w:t>
      </w:r>
    </w:p>
    <w:p w:rsidR="007532AC" w:rsidRPr="00946E1F" w:rsidRDefault="007532AC" w:rsidP="00DC4AD7">
      <w:pPr>
        <w:spacing w:line="240" w:lineRule="auto"/>
        <w:rPr>
          <w:i/>
          <w:sz w:val="20"/>
          <w:szCs w:val="20"/>
        </w:rPr>
      </w:pPr>
      <w:r w:rsidRPr="00481AAF">
        <w:rPr>
          <w:i/>
          <w:sz w:val="20"/>
          <w:szCs w:val="20"/>
        </w:rPr>
        <w:t>Del examen de compatibilidad de los artículos</w:t>
      </w:r>
      <w:r w:rsidRPr="00481AAF">
        <w:rPr>
          <w:rStyle w:val="apple-converted-space"/>
          <w:i/>
          <w:sz w:val="20"/>
          <w:szCs w:val="20"/>
        </w:rPr>
        <w:t> </w:t>
      </w:r>
      <w:hyperlink r:id="rId1" w:history="1">
        <w:r w:rsidRPr="00481AAF">
          <w:rPr>
            <w:rStyle w:val="Hipervnculo"/>
            <w:i/>
          </w:rPr>
          <w:t>73 y 74 de la Ley de Amparo</w:t>
        </w:r>
      </w:hyperlink>
      <w:r w:rsidRPr="00481AAF">
        <w:rPr>
          <w:rStyle w:val="apple-converted-space"/>
          <w:i/>
          <w:sz w:val="20"/>
          <w:szCs w:val="20"/>
        </w:rPr>
        <w:t> </w:t>
      </w:r>
      <w:r w:rsidRPr="00481AAF">
        <w:rPr>
          <w:i/>
          <w:sz w:val="20"/>
          <w:szCs w:val="20"/>
        </w:rPr>
        <w:t>con el artículo</w:t>
      </w:r>
      <w:r w:rsidRPr="00481AAF">
        <w:rPr>
          <w:rStyle w:val="apple-converted-space"/>
          <w:i/>
          <w:sz w:val="20"/>
          <w:szCs w:val="20"/>
        </w:rPr>
        <w:t> </w:t>
      </w:r>
      <w:hyperlink r:id="rId2" w:history="1">
        <w:r w:rsidRPr="00481AAF">
          <w:rPr>
            <w:rStyle w:val="Hipervnculo"/>
            <w:i/>
          </w:rPr>
          <w:t>25.1 de la Convención Americana sobre Derechos Humanos</w:t>
        </w:r>
      </w:hyperlink>
      <w:r w:rsidRPr="00481AAF">
        <w:rPr>
          <w:rStyle w:val="apple-converted-space"/>
          <w:i/>
          <w:sz w:val="20"/>
          <w:szCs w:val="20"/>
        </w:rPr>
        <w:t> </w:t>
      </w:r>
      <w:r w:rsidRPr="00481AAF">
        <w:rPr>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b/>
          <w:i/>
          <w:sz w:val="20"/>
          <w:szCs w:val="20"/>
          <w:u w:val="single"/>
        </w:rPr>
        <w:t>de amparo,</w:t>
      </w:r>
      <w:r w:rsidRPr="00946E1F">
        <w:rPr>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i/>
          <w:sz w:val="20"/>
          <w:szCs w:val="20"/>
        </w:rPr>
        <w:t>concesoria</w:t>
      </w:r>
      <w:proofErr w:type="spellEnd"/>
      <w:r w:rsidRPr="00946E1F">
        <w:rPr>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2AC" w:rsidRDefault="002543C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52352"/>
      <w:temporary/>
      <w:showingPlcHdr/>
      <w15:appearance w15:val="hidden"/>
    </w:sdtPr>
    <w:sdtEndPr/>
    <w:sdtContent>
      <w:p w:rsidR="007532AC" w:rsidRDefault="007532AC">
        <w:pPr>
          <w:pStyle w:val="Encabezado"/>
        </w:pPr>
        <w:r>
          <w:t>[Escriba aquí]</w:t>
        </w:r>
      </w:p>
    </w:sdtContent>
  </w:sdt>
  <w:tbl>
    <w:tblPr>
      <w:tblW w:w="9498" w:type="dxa"/>
      <w:tblLayout w:type="fixed"/>
      <w:tblCellMar>
        <w:left w:w="70" w:type="dxa"/>
        <w:right w:w="70" w:type="dxa"/>
      </w:tblCellMar>
      <w:tblLook w:val="04A0" w:firstRow="1" w:lastRow="0" w:firstColumn="1" w:lastColumn="0" w:noHBand="0" w:noVBand="1"/>
    </w:tblPr>
    <w:tblGrid>
      <w:gridCol w:w="5103"/>
      <w:gridCol w:w="4395"/>
    </w:tblGrid>
    <w:tr w:rsidR="007532AC" w:rsidRPr="00B17577" w:rsidTr="00215458">
      <w:trPr>
        <w:trHeight w:val="227"/>
      </w:trPr>
      <w:tc>
        <w:tcPr>
          <w:tcW w:w="5103" w:type="dxa"/>
          <w:hideMark/>
        </w:tcPr>
        <w:p w:rsidR="007532AC" w:rsidRPr="00096248" w:rsidRDefault="007532AC" w:rsidP="00215458">
          <w:pPr>
            <w:spacing w:after="120" w:line="240" w:lineRule="auto"/>
            <w:ind w:right="69"/>
            <w:jc w:val="right"/>
            <w:rPr>
              <w:rFonts w:cs="Arial"/>
              <w:b/>
              <w:szCs w:val="24"/>
            </w:rPr>
          </w:pPr>
          <w:r w:rsidRPr="00096248">
            <w:rPr>
              <w:rFonts w:cs="Arial"/>
              <w:b/>
              <w:szCs w:val="24"/>
            </w:rPr>
            <w:t>Recurso de Revisión:</w:t>
          </w:r>
        </w:p>
      </w:tc>
      <w:tc>
        <w:tcPr>
          <w:tcW w:w="4395" w:type="dxa"/>
          <w:hideMark/>
        </w:tcPr>
        <w:p w:rsidR="007532AC" w:rsidRPr="00096248" w:rsidRDefault="007532AC" w:rsidP="00215458">
          <w:pPr>
            <w:spacing w:after="120" w:line="240" w:lineRule="auto"/>
            <w:ind w:right="71"/>
            <w:jc w:val="right"/>
            <w:rPr>
              <w:rFonts w:cs="Arial"/>
              <w:b/>
              <w:szCs w:val="24"/>
            </w:rPr>
          </w:pPr>
          <w:r>
            <w:rPr>
              <w:rFonts w:cs="Arial"/>
              <w:b/>
              <w:bCs/>
              <w:szCs w:val="24"/>
            </w:rPr>
            <w:t>06005</w:t>
          </w:r>
          <w:r w:rsidRPr="00096248">
            <w:rPr>
              <w:rFonts w:cs="Arial"/>
              <w:b/>
              <w:bCs/>
              <w:szCs w:val="24"/>
            </w:rPr>
            <w:t>/INFOEM/IP/RR/202</w:t>
          </w:r>
          <w:r>
            <w:rPr>
              <w:rFonts w:cs="Arial"/>
              <w:b/>
              <w:bCs/>
              <w:szCs w:val="24"/>
            </w:rPr>
            <w:t>5</w:t>
          </w:r>
        </w:p>
      </w:tc>
    </w:tr>
    <w:tr w:rsidR="007532AC" w:rsidTr="00215458">
      <w:trPr>
        <w:trHeight w:val="242"/>
      </w:trPr>
      <w:tc>
        <w:tcPr>
          <w:tcW w:w="5103" w:type="dxa"/>
          <w:hideMark/>
        </w:tcPr>
        <w:p w:rsidR="007532AC" w:rsidRPr="00096248" w:rsidRDefault="007532AC" w:rsidP="00215458">
          <w:pPr>
            <w:spacing w:after="120" w:line="240" w:lineRule="auto"/>
            <w:ind w:right="69"/>
            <w:jc w:val="right"/>
            <w:rPr>
              <w:rFonts w:cs="Arial"/>
              <w:b/>
              <w:szCs w:val="24"/>
            </w:rPr>
          </w:pPr>
          <w:r w:rsidRPr="00096248">
            <w:rPr>
              <w:rFonts w:cs="Arial"/>
              <w:b/>
              <w:szCs w:val="24"/>
            </w:rPr>
            <w:t>Sujeto Obligado:</w:t>
          </w:r>
        </w:p>
      </w:tc>
      <w:tc>
        <w:tcPr>
          <w:tcW w:w="4395" w:type="dxa"/>
          <w:hideMark/>
        </w:tcPr>
        <w:p w:rsidR="007532AC" w:rsidRPr="00C54308" w:rsidRDefault="007532AC" w:rsidP="00215458">
          <w:pPr>
            <w:spacing w:after="120" w:line="240" w:lineRule="auto"/>
            <w:ind w:left="-81" w:right="71"/>
            <w:jc w:val="right"/>
            <w:rPr>
              <w:rFonts w:cs="Arial"/>
              <w:szCs w:val="24"/>
            </w:rPr>
          </w:pPr>
          <w:r w:rsidRPr="00C54308">
            <w:rPr>
              <w:b/>
              <w:bCs/>
              <w:color w:val="000000"/>
              <w:szCs w:val="24"/>
            </w:rPr>
            <w:t>Ayuntamiento de Zacualpan</w:t>
          </w:r>
        </w:p>
      </w:tc>
    </w:tr>
    <w:tr w:rsidR="007532AC" w:rsidRPr="00F63239" w:rsidTr="00215458">
      <w:trPr>
        <w:trHeight w:val="342"/>
      </w:trPr>
      <w:tc>
        <w:tcPr>
          <w:tcW w:w="5103" w:type="dxa"/>
          <w:hideMark/>
        </w:tcPr>
        <w:p w:rsidR="007532AC" w:rsidRPr="00096248" w:rsidRDefault="007532AC" w:rsidP="00215458">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rsidR="007532AC" w:rsidRDefault="007532AC" w:rsidP="00215458">
          <w:pPr>
            <w:spacing w:after="120" w:line="240" w:lineRule="auto"/>
            <w:ind w:left="-486" w:right="71" w:firstLine="567"/>
            <w:jc w:val="right"/>
            <w:rPr>
              <w:rFonts w:cs="Arial"/>
              <w:szCs w:val="24"/>
            </w:rPr>
          </w:pPr>
          <w:r w:rsidRPr="00096248">
            <w:rPr>
              <w:rFonts w:cs="Arial"/>
              <w:szCs w:val="24"/>
            </w:rPr>
            <w:t>José Martínez Vilchis</w:t>
          </w:r>
        </w:p>
        <w:p w:rsidR="007532AC" w:rsidRPr="00711916" w:rsidRDefault="007532AC" w:rsidP="00215458">
          <w:pPr>
            <w:spacing w:after="120" w:line="240" w:lineRule="auto"/>
            <w:ind w:left="-486" w:right="71" w:firstLine="567"/>
            <w:jc w:val="right"/>
            <w:rPr>
              <w:rFonts w:cs="Arial"/>
              <w:sz w:val="2"/>
              <w:szCs w:val="2"/>
            </w:rPr>
          </w:pPr>
        </w:p>
      </w:tc>
    </w:tr>
  </w:tbl>
  <w:p w:rsidR="007532AC" w:rsidRPr="00871A91" w:rsidRDefault="002543C1">
    <w:pPr>
      <w:pStyle w:val="Encabezado"/>
      <w:rPr>
        <w:sz w:val="2"/>
      </w:rPr>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4pt;margin-top:-141.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2AC" w:rsidRDefault="007532AC">
    <w:pPr>
      <w:pStyle w:val="Encabezado"/>
    </w:pPr>
  </w:p>
  <w:tbl>
    <w:tblPr>
      <w:tblW w:w="9356" w:type="dxa"/>
      <w:tblLayout w:type="fixed"/>
      <w:tblCellMar>
        <w:left w:w="70" w:type="dxa"/>
        <w:right w:w="70" w:type="dxa"/>
      </w:tblCellMar>
      <w:tblLook w:val="04A0" w:firstRow="1" w:lastRow="0" w:firstColumn="1" w:lastColumn="0" w:noHBand="0" w:noVBand="1"/>
    </w:tblPr>
    <w:tblGrid>
      <w:gridCol w:w="5103"/>
      <w:gridCol w:w="4253"/>
    </w:tblGrid>
    <w:tr w:rsidR="007532AC" w:rsidTr="00215458">
      <w:trPr>
        <w:trHeight w:val="227"/>
      </w:trPr>
      <w:tc>
        <w:tcPr>
          <w:tcW w:w="5103" w:type="dxa"/>
          <w:hideMark/>
        </w:tcPr>
        <w:p w:rsidR="007532AC" w:rsidRPr="00663A37" w:rsidRDefault="007532AC" w:rsidP="00215458">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253" w:type="dxa"/>
          <w:hideMark/>
        </w:tcPr>
        <w:p w:rsidR="007532AC" w:rsidRPr="00C81ECD" w:rsidRDefault="007532AC" w:rsidP="00215458">
          <w:pPr>
            <w:spacing w:after="120" w:line="240" w:lineRule="auto"/>
            <w:ind w:left="-486" w:right="68" w:firstLine="558"/>
            <w:jc w:val="right"/>
            <w:rPr>
              <w:rFonts w:cs="Arial"/>
              <w:b/>
              <w:szCs w:val="24"/>
            </w:rPr>
          </w:pPr>
          <w:r>
            <w:rPr>
              <w:rFonts w:cs="Arial"/>
              <w:b/>
              <w:bCs/>
              <w:szCs w:val="24"/>
            </w:rPr>
            <w:t>06005/INFOEM/IP/RR/2025</w:t>
          </w:r>
        </w:p>
      </w:tc>
    </w:tr>
    <w:tr w:rsidR="007532AC" w:rsidRPr="001F57CD" w:rsidTr="00215458">
      <w:trPr>
        <w:trHeight w:val="196"/>
      </w:trPr>
      <w:tc>
        <w:tcPr>
          <w:tcW w:w="5103" w:type="dxa"/>
          <w:hideMark/>
        </w:tcPr>
        <w:p w:rsidR="007532AC" w:rsidRPr="00663A37" w:rsidRDefault="007532AC" w:rsidP="00215458">
          <w:pPr>
            <w:spacing w:after="120" w:line="240" w:lineRule="auto"/>
            <w:ind w:right="68"/>
            <w:jc w:val="right"/>
            <w:rPr>
              <w:rFonts w:cs="Arial"/>
              <w:b/>
              <w:szCs w:val="24"/>
            </w:rPr>
          </w:pPr>
          <w:r w:rsidRPr="00663A37">
            <w:rPr>
              <w:rFonts w:cs="Arial"/>
              <w:b/>
              <w:szCs w:val="24"/>
            </w:rPr>
            <w:t>Recurrente:</w:t>
          </w:r>
          <w:r>
            <w:rPr>
              <w:rFonts w:cs="Arial"/>
              <w:b/>
              <w:szCs w:val="24"/>
            </w:rPr>
            <w:t xml:space="preserve">     </w:t>
          </w:r>
        </w:p>
      </w:tc>
      <w:tc>
        <w:tcPr>
          <w:tcW w:w="4253" w:type="dxa"/>
          <w:hideMark/>
        </w:tcPr>
        <w:p w:rsidR="007532AC" w:rsidRPr="00663A37" w:rsidRDefault="008200A2" w:rsidP="00215458">
          <w:pPr>
            <w:spacing w:after="120" w:line="240" w:lineRule="auto"/>
            <w:ind w:right="68"/>
            <w:jc w:val="right"/>
            <w:rPr>
              <w:rFonts w:cs="Arial"/>
              <w:szCs w:val="24"/>
            </w:rPr>
          </w:pPr>
          <w:r>
            <w:rPr>
              <w:rFonts w:cs="Arial"/>
              <w:szCs w:val="24"/>
            </w:rPr>
            <w:t>XXXXXXXXXXXXXXXXXXXX</w:t>
          </w:r>
        </w:p>
      </w:tc>
    </w:tr>
    <w:tr w:rsidR="007532AC" w:rsidTr="00215458">
      <w:trPr>
        <w:trHeight w:val="242"/>
      </w:trPr>
      <w:tc>
        <w:tcPr>
          <w:tcW w:w="5103" w:type="dxa"/>
          <w:hideMark/>
        </w:tcPr>
        <w:p w:rsidR="007532AC" w:rsidRPr="00663A37" w:rsidRDefault="007532AC" w:rsidP="00215458">
          <w:pPr>
            <w:spacing w:after="120" w:line="240" w:lineRule="auto"/>
            <w:ind w:right="68"/>
            <w:jc w:val="right"/>
            <w:rPr>
              <w:rFonts w:cs="Arial"/>
              <w:b/>
              <w:szCs w:val="24"/>
            </w:rPr>
          </w:pPr>
          <w:r w:rsidRPr="00663A37">
            <w:rPr>
              <w:rFonts w:cs="Arial"/>
              <w:b/>
              <w:szCs w:val="24"/>
            </w:rPr>
            <w:t>Sujeto Obligado:</w:t>
          </w:r>
        </w:p>
      </w:tc>
      <w:tc>
        <w:tcPr>
          <w:tcW w:w="4253" w:type="dxa"/>
          <w:hideMark/>
        </w:tcPr>
        <w:p w:rsidR="007532AC" w:rsidRPr="00C54308" w:rsidRDefault="007532AC" w:rsidP="00215458">
          <w:pPr>
            <w:spacing w:after="120" w:line="240" w:lineRule="auto"/>
            <w:ind w:left="-70" w:right="68"/>
            <w:jc w:val="right"/>
            <w:rPr>
              <w:rFonts w:cs="Arial"/>
              <w:b/>
              <w:bCs/>
              <w:szCs w:val="24"/>
            </w:rPr>
          </w:pPr>
          <w:r>
            <w:rPr>
              <w:bCs/>
              <w:color w:val="000000"/>
              <w:szCs w:val="24"/>
            </w:rPr>
            <w:t xml:space="preserve">          </w:t>
          </w:r>
          <w:r w:rsidRPr="00C54308">
            <w:rPr>
              <w:b/>
              <w:bCs/>
              <w:color w:val="000000"/>
              <w:szCs w:val="24"/>
            </w:rPr>
            <w:t>Ayuntamiento de Zacualpan</w:t>
          </w:r>
        </w:p>
      </w:tc>
    </w:tr>
    <w:tr w:rsidR="007532AC" w:rsidTr="00215458">
      <w:trPr>
        <w:trHeight w:val="342"/>
      </w:trPr>
      <w:tc>
        <w:tcPr>
          <w:tcW w:w="5103" w:type="dxa"/>
          <w:hideMark/>
        </w:tcPr>
        <w:p w:rsidR="007532AC" w:rsidRPr="00663A37" w:rsidRDefault="007532AC" w:rsidP="00215458">
          <w:pPr>
            <w:tabs>
              <w:tab w:val="left" w:pos="4892"/>
            </w:tabs>
            <w:spacing w:after="120" w:line="240" w:lineRule="auto"/>
            <w:ind w:right="68"/>
            <w:jc w:val="right"/>
            <w:rPr>
              <w:rFonts w:cs="Arial"/>
              <w:b/>
              <w:szCs w:val="24"/>
            </w:rPr>
          </w:pPr>
          <w:r w:rsidRPr="00663A37">
            <w:rPr>
              <w:rFonts w:cs="Arial"/>
              <w:b/>
              <w:szCs w:val="24"/>
            </w:rPr>
            <w:t>Comisionado Ponente:</w:t>
          </w:r>
        </w:p>
      </w:tc>
      <w:tc>
        <w:tcPr>
          <w:tcW w:w="4253" w:type="dxa"/>
          <w:hideMark/>
        </w:tcPr>
        <w:p w:rsidR="007532AC" w:rsidRPr="00663A37" w:rsidRDefault="007532AC" w:rsidP="00215458">
          <w:pPr>
            <w:spacing w:after="120" w:line="240" w:lineRule="auto"/>
            <w:ind w:left="-486" w:right="68" w:firstLine="567"/>
            <w:jc w:val="right"/>
            <w:rPr>
              <w:rFonts w:cs="Arial"/>
              <w:szCs w:val="24"/>
            </w:rPr>
          </w:pPr>
          <w:r w:rsidRPr="00663A37">
            <w:rPr>
              <w:rFonts w:cs="Arial"/>
              <w:szCs w:val="24"/>
            </w:rPr>
            <w:t>José Martínez Vilchis</w:t>
          </w:r>
        </w:p>
      </w:tc>
    </w:tr>
  </w:tbl>
  <w:p w:rsidR="007532AC" w:rsidRPr="00871A91" w:rsidRDefault="007532AC">
    <w:pPr>
      <w:pStyle w:val="Encabezado"/>
      <w:rPr>
        <w:sz w:val="2"/>
      </w:rPr>
    </w:pPr>
    <w:r>
      <w:rPr>
        <w:noProof/>
        <w:sz w:val="2"/>
        <w:lang w:val="es-MX" w:eastAsia="es-MX"/>
        <w14:ligatures w14:val="standardContextual"/>
      </w:rPr>
      <w:drawing>
        <wp:anchor distT="0" distB="0" distL="114300" distR="114300" simplePos="0" relativeHeight="251656704" behindDoc="1" locked="0" layoutInCell="0" allowOverlap="1" wp14:anchorId="29703C41" wp14:editId="51C46181">
          <wp:simplePos x="0" y="0"/>
          <wp:positionH relativeFrom="margin">
            <wp:posOffset>-883285</wp:posOffset>
          </wp:positionH>
          <wp:positionV relativeFrom="margin">
            <wp:posOffset>-1663065</wp:posOffset>
          </wp:positionV>
          <wp:extent cx="5690235" cy="7411720"/>
          <wp:effectExtent l="0" t="0" r="5715" b="0"/>
          <wp:wrapNone/>
          <wp:docPr id="89725458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0235" cy="74117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17852"/>
    <w:multiLevelType w:val="hybridMultilevel"/>
    <w:tmpl w:val="F2AEB276"/>
    <w:lvl w:ilvl="0" w:tplc="B23EA03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3C013B9"/>
    <w:multiLevelType w:val="hybridMultilevel"/>
    <w:tmpl w:val="16EA51EE"/>
    <w:lvl w:ilvl="0" w:tplc="22EC17DE">
      <w:numFmt w:val="bullet"/>
      <w:lvlText w:val=""/>
      <w:lvlJc w:val="left"/>
      <w:pPr>
        <w:ind w:left="720" w:hanging="360"/>
      </w:pPr>
      <w:rPr>
        <w:rFonts w:ascii="Symbol" w:eastAsia="Calibri" w:hAnsi="Symbol" w:cs="Arial" w:hint="default"/>
        <w:color w:val="333333"/>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A857B4"/>
    <w:multiLevelType w:val="hybridMultilevel"/>
    <w:tmpl w:val="EB90AD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9876AF"/>
    <w:multiLevelType w:val="hybridMultilevel"/>
    <w:tmpl w:val="D7E273CC"/>
    <w:lvl w:ilvl="0" w:tplc="083071EC">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1AC94936"/>
    <w:multiLevelType w:val="hybridMultilevel"/>
    <w:tmpl w:val="28F6CED8"/>
    <w:lvl w:ilvl="0" w:tplc="E690DB8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6"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2FD7D1C"/>
    <w:multiLevelType w:val="hybridMultilevel"/>
    <w:tmpl w:val="AAC83A0A"/>
    <w:lvl w:ilvl="0" w:tplc="55F40D9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25696A02"/>
    <w:multiLevelType w:val="hybridMultilevel"/>
    <w:tmpl w:val="771E2F12"/>
    <w:lvl w:ilvl="0" w:tplc="8BE8A50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9"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10" w15:restartNumberingAfterBreak="0">
    <w:nsid w:val="37DB1117"/>
    <w:multiLevelType w:val="hybridMultilevel"/>
    <w:tmpl w:val="B2E82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5DF4E68"/>
    <w:multiLevelType w:val="hybridMultilevel"/>
    <w:tmpl w:val="1B7E0E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8A104AB"/>
    <w:multiLevelType w:val="multilevel"/>
    <w:tmpl w:val="AB52F280"/>
    <w:lvl w:ilvl="0">
      <w:start w:val="1"/>
      <w:numFmt w:val="bullet"/>
      <w:lvlText w:val="●"/>
      <w:lvlJc w:val="left"/>
      <w:pPr>
        <w:ind w:left="3228" w:hanging="360"/>
      </w:pPr>
      <w:rPr>
        <w:rFonts w:ascii="Noto Sans Symbols" w:eastAsia="Noto Sans Symbols" w:hAnsi="Noto Sans Symbols" w:cs="Noto Sans Symbols"/>
      </w:rPr>
    </w:lvl>
    <w:lvl w:ilvl="1">
      <w:start w:val="1"/>
      <w:numFmt w:val="bullet"/>
      <w:lvlText w:val="o"/>
      <w:lvlJc w:val="left"/>
      <w:pPr>
        <w:ind w:left="3948" w:hanging="360"/>
      </w:pPr>
      <w:rPr>
        <w:rFonts w:ascii="Courier New" w:eastAsia="Courier New" w:hAnsi="Courier New" w:cs="Courier New"/>
      </w:rPr>
    </w:lvl>
    <w:lvl w:ilvl="2">
      <w:start w:val="1"/>
      <w:numFmt w:val="bullet"/>
      <w:lvlText w:val="▪"/>
      <w:lvlJc w:val="left"/>
      <w:pPr>
        <w:ind w:left="4668" w:hanging="360"/>
      </w:pPr>
      <w:rPr>
        <w:rFonts w:ascii="Noto Sans Symbols" w:eastAsia="Noto Sans Symbols" w:hAnsi="Noto Sans Symbols" w:cs="Noto Sans Symbols"/>
      </w:rPr>
    </w:lvl>
    <w:lvl w:ilvl="3">
      <w:start w:val="1"/>
      <w:numFmt w:val="bullet"/>
      <w:lvlText w:val="●"/>
      <w:lvlJc w:val="left"/>
      <w:pPr>
        <w:ind w:left="5388" w:hanging="360"/>
      </w:pPr>
      <w:rPr>
        <w:rFonts w:ascii="Noto Sans Symbols" w:eastAsia="Noto Sans Symbols" w:hAnsi="Noto Sans Symbols" w:cs="Noto Sans Symbols"/>
      </w:rPr>
    </w:lvl>
    <w:lvl w:ilvl="4">
      <w:start w:val="1"/>
      <w:numFmt w:val="bullet"/>
      <w:lvlText w:val="o"/>
      <w:lvlJc w:val="left"/>
      <w:pPr>
        <w:ind w:left="6108" w:hanging="360"/>
      </w:pPr>
      <w:rPr>
        <w:rFonts w:ascii="Courier New" w:eastAsia="Courier New" w:hAnsi="Courier New" w:cs="Courier New"/>
      </w:rPr>
    </w:lvl>
    <w:lvl w:ilvl="5">
      <w:start w:val="1"/>
      <w:numFmt w:val="bullet"/>
      <w:lvlText w:val="▪"/>
      <w:lvlJc w:val="left"/>
      <w:pPr>
        <w:ind w:left="6828" w:hanging="360"/>
      </w:pPr>
      <w:rPr>
        <w:rFonts w:ascii="Noto Sans Symbols" w:eastAsia="Noto Sans Symbols" w:hAnsi="Noto Sans Symbols" w:cs="Noto Sans Symbols"/>
      </w:rPr>
    </w:lvl>
    <w:lvl w:ilvl="6">
      <w:start w:val="1"/>
      <w:numFmt w:val="bullet"/>
      <w:lvlText w:val="●"/>
      <w:lvlJc w:val="left"/>
      <w:pPr>
        <w:ind w:left="7548" w:hanging="360"/>
      </w:pPr>
      <w:rPr>
        <w:rFonts w:ascii="Noto Sans Symbols" w:eastAsia="Noto Sans Symbols" w:hAnsi="Noto Sans Symbols" w:cs="Noto Sans Symbols"/>
      </w:rPr>
    </w:lvl>
    <w:lvl w:ilvl="7">
      <w:start w:val="1"/>
      <w:numFmt w:val="bullet"/>
      <w:lvlText w:val="o"/>
      <w:lvlJc w:val="left"/>
      <w:pPr>
        <w:ind w:left="8268" w:hanging="360"/>
      </w:pPr>
      <w:rPr>
        <w:rFonts w:ascii="Courier New" w:eastAsia="Courier New" w:hAnsi="Courier New" w:cs="Courier New"/>
      </w:rPr>
    </w:lvl>
    <w:lvl w:ilvl="8">
      <w:start w:val="1"/>
      <w:numFmt w:val="bullet"/>
      <w:lvlText w:val="▪"/>
      <w:lvlJc w:val="left"/>
      <w:pPr>
        <w:ind w:left="8988" w:hanging="360"/>
      </w:pPr>
      <w:rPr>
        <w:rFonts w:ascii="Noto Sans Symbols" w:eastAsia="Noto Sans Symbols" w:hAnsi="Noto Sans Symbols" w:cs="Noto Sans Symbols"/>
      </w:rPr>
    </w:lvl>
  </w:abstractNum>
  <w:abstractNum w:abstractNumId="14" w15:restartNumberingAfterBreak="0">
    <w:nsid w:val="57A81DDC"/>
    <w:multiLevelType w:val="hybridMultilevel"/>
    <w:tmpl w:val="9F949BDA"/>
    <w:lvl w:ilvl="0" w:tplc="208E5E86">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6267B50"/>
    <w:multiLevelType w:val="multilevel"/>
    <w:tmpl w:val="17F688E2"/>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6" w15:restartNumberingAfterBreak="0">
    <w:nsid w:val="70BF3267"/>
    <w:multiLevelType w:val="hybridMultilevel"/>
    <w:tmpl w:val="DABAA8CA"/>
    <w:lvl w:ilvl="0" w:tplc="F0C6744A">
      <w:numFmt w:val="bullet"/>
      <w:lvlText w:val=""/>
      <w:lvlJc w:val="left"/>
      <w:pPr>
        <w:ind w:left="720" w:hanging="360"/>
      </w:pPr>
      <w:rPr>
        <w:rFonts w:ascii="Symbol" w:eastAsia="Calibr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6"/>
  </w:num>
  <w:num w:numId="4">
    <w:abstractNumId w:val="3"/>
  </w:num>
  <w:num w:numId="5">
    <w:abstractNumId w:val="4"/>
  </w:num>
  <w:num w:numId="6">
    <w:abstractNumId w:val="1"/>
  </w:num>
  <w:num w:numId="7">
    <w:abstractNumId w:val="2"/>
  </w:num>
  <w:num w:numId="8">
    <w:abstractNumId w:val="7"/>
  </w:num>
  <w:num w:numId="9">
    <w:abstractNumId w:val="14"/>
  </w:num>
  <w:num w:numId="10">
    <w:abstractNumId w:val="5"/>
  </w:num>
  <w:num w:numId="11">
    <w:abstractNumId w:val="0"/>
  </w:num>
  <w:num w:numId="12">
    <w:abstractNumId w:val="8"/>
  </w:num>
  <w:num w:numId="13">
    <w:abstractNumId w:val="6"/>
  </w:num>
  <w:num w:numId="14">
    <w:abstractNumId w:val="10"/>
  </w:num>
  <w:num w:numId="15">
    <w:abstractNumId w:val="15"/>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D7"/>
    <w:rsid w:val="000158EA"/>
    <w:rsid w:val="00096B42"/>
    <w:rsid w:val="000C26E4"/>
    <w:rsid w:val="001107D9"/>
    <w:rsid w:val="00111F3A"/>
    <w:rsid w:val="00144C72"/>
    <w:rsid w:val="00174B3E"/>
    <w:rsid w:val="001A6153"/>
    <w:rsid w:val="001B62AE"/>
    <w:rsid w:val="001C2754"/>
    <w:rsid w:val="001C5910"/>
    <w:rsid w:val="00215458"/>
    <w:rsid w:val="002543C1"/>
    <w:rsid w:val="003305DB"/>
    <w:rsid w:val="003C098B"/>
    <w:rsid w:val="003D764B"/>
    <w:rsid w:val="004E27EA"/>
    <w:rsid w:val="004E453C"/>
    <w:rsid w:val="005319AE"/>
    <w:rsid w:val="005B7029"/>
    <w:rsid w:val="005E3B84"/>
    <w:rsid w:val="005F608C"/>
    <w:rsid w:val="006074E4"/>
    <w:rsid w:val="006F4148"/>
    <w:rsid w:val="007532AC"/>
    <w:rsid w:val="00760A3D"/>
    <w:rsid w:val="007C2006"/>
    <w:rsid w:val="007D59A5"/>
    <w:rsid w:val="007E1C08"/>
    <w:rsid w:val="008200A2"/>
    <w:rsid w:val="0086486C"/>
    <w:rsid w:val="008A4CA7"/>
    <w:rsid w:val="008C1AB9"/>
    <w:rsid w:val="008D02A4"/>
    <w:rsid w:val="009053F9"/>
    <w:rsid w:val="00916310"/>
    <w:rsid w:val="009C5571"/>
    <w:rsid w:val="009E3981"/>
    <w:rsid w:val="00A12A54"/>
    <w:rsid w:val="00A90587"/>
    <w:rsid w:val="00AB1E17"/>
    <w:rsid w:val="00B77582"/>
    <w:rsid w:val="00C129EE"/>
    <w:rsid w:val="00C24E04"/>
    <w:rsid w:val="00C43FC6"/>
    <w:rsid w:val="00C54308"/>
    <w:rsid w:val="00C71B55"/>
    <w:rsid w:val="00C94240"/>
    <w:rsid w:val="00D470A7"/>
    <w:rsid w:val="00D85F96"/>
    <w:rsid w:val="00DA7FB3"/>
    <w:rsid w:val="00DC4AD7"/>
    <w:rsid w:val="00DD763F"/>
    <w:rsid w:val="00E14D5A"/>
    <w:rsid w:val="00E17466"/>
    <w:rsid w:val="00E50B6A"/>
    <w:rsid w:val="00E60036"/>
    <w:rsid w:val="00EC2F6A"/>
    <w:rsid w:val="00EC7F0A"/>
    <w:rsid w:val="00F131A3"/>
    <w:rsid w:val="00F4130F"/>
    <w:rsid w:val="00F45D3C"/>
    <w:rsid w:val="00F67435"/>
    <w:rsid w:val="00FC3179"/>
    <w:rsid w:val="00FD5C75"/>
    <w:rsid w:val="00FF0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D0DCB345-D42D-463E-B49C-70065217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AD7"/>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DC4AD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aliases w:val="Subtítulos"/>
    <w:basedOn w:val="Normal"/>
    <w:next w:val="Normal"/>
    <w:link w:val="Ttulo2Car"/>
    <w:uiPriority w:val="9"/>
    <w:unhideWhenUsed/>
    <w:qFormat/>
    <w:rsid w:val="00DC4AD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Res Car"/>
    <w:basedOn w:val="Fuentedeprrafopredeter"/>
    <w:link w:val="Ttulo1"/>
    <w:uiPriority w:val="9"/>
    <w:rsid w:val="00DC4AD7"/>
    <w:rPr>
      <w:rFonts w:asciiTheme="majorHAnsi" w:eastAsiaTheme="majorEastAsia" w:hAnsiTheme="majorHAnsi" w:cstheme="majorBidi"/>
      <w:color w:val="2E74B5" w:themeColor="accent1" w:themeShade="BF"/>
      <w:sz w:val="40"/>
      <w:szCs w:val="40"/>
      <w:lang w:val="es-ES_tradnl" w:eastAsia="es-MX"/>
    </w:rPr>
  </w:style>
  <w:style w:type="character" w:customStyle="1" w:styleId="Ttulo2Car">
    <w:name w:val="Título 2 Car"/>
    <w:aliases w:val="Subtítulos Car"/>
    <w:basedOn w:val="Fuentedeprrafopredeter"/>
    <w:link w:val="Ttulo2"/>
    <w:uiPriority w:val="9"/>
    <w:rsid w:val="00DC4AD7"/>
    <w:rPr>
      <w:rFonts w:asciiTheme="majorHAnsi" w:eastAsiaTheme="majorEastAsia" w:hAnsiTheme="majorHAnsi" w:cstheme="majorBidi"/>
      <w:color w:val="2E74B5" w:themeColor="accent1" w:themeShade="BF"/>
      <w:sz w:val="32"/>
      <w:szCs w:val="32"/>
      <w:lang w:val="es-ES_tradnl"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C4AD7"/>
    <w:pPr>
      <w:ind w:left="720"/>
      <w:contextualSpacing/>
    </w:pPr>
  </w:style>
  <w:style w:type="paragraph" w:styleId="Encabezado">
    <w:name w:val="header"/>
    <w:basedOn w:val="Normal"/>
    <w:link w:val="EncabezadoCar"/>
    <w:uiPriority w:val="99"/>
    <w:unhideWhenUsed/>
    <w:rsid w:val="00DC4AD7"/>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DC4AD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C4AD7"/>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DC4AD7"/>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C4AD7"/>
    <w:rPr>
      <w:rFonts w:ascii="Palatino Linotype" w:eastAsia="Calibri" w:hAnsi="Palatino Linotype" w:cs="Calibri"/>
      <w:sz w:val="24"/>
      <w:lang w:val="es-ES_tradnl" w:eastAsia="es-MX"/>
    </w:rPr>
  </w:style>
  <w:style w:type="character" w:customStyle="1" w:styleId="apple-converted-space">
    <w:name w:val="apple-converted-space"/>
    <w:basedOn w:val="Fuentedeprrafopredeter"/>
    <w:rsid w:val="00DC4AD7"/>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C4AD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DC4AD7"/>
    <w:rPr>
      <w:color w:val="0563C1" w:themeColor="hyperlink"/>
      <w:u w:val="single"/>
    </w:rPr>
  </w:style>
  <w:style w:type="paragraph" w:customStyle="1" w:styleId="Fundamentos">
    <w:name w:val="Fundamentos"/>
    <w:basedOn w:val="Normal"/>
    <w:qFormat/>
    <w:rsid w:val="00DC4AD7"/>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styleId="Sinespaciado">
    <w:name w:val="No Spacing"/>
    <w:aliases w:val="Francesa,INAI"/>
    <w:link w:val="SinespaciadoCar"/>
    <w:uiPriority w:val="1"/>
    <w:qFormat/>
    <w:rsid w:val="00DC4AD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C4AD7"/>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DC4AD7"/>
    <w:rPr>
      <w:b/>
      <w:bCs/>
    </w:rPr>
  </w:style>
  <w:style w:type="paragraph" w:customStyle="1" w:styleId="INFOEM">
    <w:name w:val="INFOEM"/>
    <w:basedOn w:val="Normal"/>
    <w:qFormat/>
    <w:rsid w:val="00DC4AD7"/>
    <w:pPr>
      <w:spacing w:before="240" w:after="160"/>
      <w:ind w:left="851" w:right="851"/>
    </w:pPr>
    <w:rPr>
      <w:rFonts w:eastAsiaTheme="minorHAnsi" w:cstheme="minorBidi"/>
      <w:i/>
      <w:sz w:val="22"/>
      <w:szCs w:val="14"/>
      <w:lang w:val="es-MX" w:eastAsia="en-US"/>
    </w:rPr>
  </w:style>
  <w:style w:type="paragraph" w:customStyle="1" w:styleId="infoemcitas">
    <w:name w:val="infoem citas"/>
    <w:basedOn w:val="Normal"/>
    <w:qFormat/>
    <w:rsid w:val="00174B3E"/>
    <w:pPr>
      <w:spacing w:before="240" w:after="160"/>
      <w:ind w:left="851" w:right="851"/>
    </w:pPr>
    <w:rPr>
      <w:rFonts w:eastAsiaTheme="minorHAnsi" w:cstheme="minorBidi"/>
      <w:i/>
      <w:sz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tmp"/><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criteriosdeinterpretacion.inai.org.mx/Criterios/29-10.docx" TargetMode="External"/><Relationship Id="rId12" Type="http://schemas.openxmlformats.org/officeDocument/2006/relationships/image" Target="media/image5.tmp"/><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mp"/><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tmp"/><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75</Pages>
  <Words>18714</Words>
  <Characters>102930</Characters>
  <Application>Microsoft Office Word</Application>
  <DocSecurity>0</DocSecurity>
  <Lines>857</Lines>
  <Paragraphs>242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51</cp:revision>
  <dcterms:created xsi:type="dcterms:W3CDTF">2025-10-30T18:55:00Z</dcterms:created>
  <dcterms:modified xsi:type="dcterms:W3CDTF">2026-01-14T16:25:00Z</dcterms:modified>
</cp:coreProperties>
</file>