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BA" w:rsidRPr="0024200F" w:rsidRDefault="000C6ABA" w:rsidP="000C6ABA">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ocho de mayo de dos mil veinticinco.</w:t>
      </w:r>
    </w:p>
    <w:p w:rsidR="000C6ABA" w:rsidRPr="0024200F" w:rsidRDefault="000C6ABA" w:rsidP="000C6ABA">
      <w:pPr>
        <w:spacing w:line="360" w:lineRule="auto"/>
        <w:jc w:val="both"/>
        <w:rPr>
          <w:rFonts w:ascii="Palatino Linotype" w:hAnsi="Palatino Linotype"/>
        </w:rPr>
      </w:pPr>
    </w:p>
    <w:p w:rsidR="000C6ABA" w:rsidRPr="002C3EC8" w:rsidRDefault="000C6ABA" w:rsidP="000C6ABA">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02710/INFOEM/IP/RR/2025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0C6ABA">
        <w:rPr>
          <w:rFonts w:ascii="Palatino Linotype" w:hAnsi="Palatino Linotype"/>
          <w:b/>
        </w:rPr>
        <w:t>Ayuntamiento de Ecatepec de Morelos</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0C6ABA" w:rsidRDefault="000C6ABA" w:rsidP="000C6ABA">
      <w:pPr>
        <w:pStyle w:val="infoemcitas"/>
        <w:jc w:val="center"/>
        <w:rPr>
          <w:b/>
          <w:bCs/>
          <w:i w:val="0"/>
          <w:iCs/>
          <w:sz w:val="28"/>
          <w:szCs w:val="28"/>
        </w:rPr>
      </w:pPr>
      <w:bookmarkStart w:id="0" w:name="_GoBack"/>
      <w:bookmarkEnd w:id="0"/>
    </w:p>
    <w:p w:rsidR="000C6ABA" w:rsidRDefault="000C6ABA" w:rsidP="000C6ABA">
      <w:pPr>
        <w:pStyle w:val="infoemcitas"/>
        <w:jc w:val="center"/>
        <w:rPr>
          <w:b/>
          <w:bCs/>
          <w:i w:val="0"/>
          <w:iCs/>
          <w:sz w:val="28"/>
          <w:szCs w:val="28"/>
        </w:rPr>
      </w:pPr>
      <w:r w:rsidRPr="002C3EC8">
        <w:rPr>
          <w:b/>
          <w:bCs/>
          <w:i w:val="0"/>
          <w:iCs/>
          <w:sz w:val="28"/>
          <w:szCs w:val="28"/>
        </w:rPr>
        <w:t>A N T E C E D E N T E S   D E L   A S U N T O</w:t>
      </w:r>
    </w:p>
    <w:p w:rsidR="000C6ABA" w:rsidRPr="002C3EC8" w:rsidRDefault="000C6ABA" w:rsidP="000C6ABA">
      <w:pPr>
        <w:pStyle w:val="infoemcitas"/>
        <w:jc w:val="center"/>
        <w:rPr>
          <w:b/>
          <w:bCs/>
          <w:i w:val="0"/>
          <w:iCs/>
          <w:sz w:val="28"/>
          <w:szCs w:val="28"/>
        </w:rPr>
      </w:pPr>
    </w:p>
    <w:p w:rsidR="000C6ABA" w:rsidRPr="002C3EC8" w:rsidRDefault="000C6ABA" w:rsidP="000C6ABA">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0C6ABA" w:rsidRPr="00D705FF" w:rsidRDefault="000C6ABA" w:rsidP="000C6ABA">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seis de febrero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00108/ECATEPEC/IP/2025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0C6ABA" w:rsidRPr="001C7F6F" w:rsidRDefault="000C6ABA" w:rsidP="000C6ABA">
      <w:pPr>
        <w:pStyle w:val="INFOEM"/>
        <w:rPr>
          <w:lang w:val="es-ES_tradnl" w:eastAsia="es-ES"/>
        </w:rPr>
      </w:pPr>
      <w:r w:rsidRPr="00D705FF">
        <w:rPr>
          <w:lang w:val="es-ES_tradnl" w:eastAsia="es-ES"/>
        </w:rPr>
        <w:t>“</w:t>
      </w:r>
      <w:r w:rsidRPr="000C6ABA">
        <w:rPr>
          <w:lang w:val="es-ES" w:eastAsia="es-ES"/>
        </w:rPr>
        <w:t xml:space="preserve">en versión PDF o en cualquier otra versión digital (sin costo) requiero toda la información documental generada, recopilada, girada o almacenada por cualquiera de </w:t>
      </w:r>
      <w:r w:rsidRPr="000C6ABA">
        <w:rPr>
          <w:lang w:val="es-ES" w:eastAsia="es-ES"/>
        </w:rPr>
        <w:lastRenderedPageBreak/>
        <w:t>las oficinas del Ayuntamiento de Ecatepec 2025-2027 relativo a los 57 millones que existe de deuda por motivo de renta de pipas que menciona la presidenta municipal Azucena Cisneros Coss, a fin de conocer los nombres de los proveedores, en su caso los convenios, los periodos, bitácoras de servicios suministrados a la ciudadanía y cantidad específica que se les adeuda a cada proveedor, así como su registro ante la autoridad competente del Ayuntamiento de mención.</w:t>
      </w:r>
      <w:r w:rsidRPr="00D705FF">
        <w:rPr>
          <w:lang w:val="es-ES_tradnl" w:eastAsia="es-ES"/>
        </w:rPr>
        <w:t>” (Sic)</w:t>
      </w:r>
    </w:p>
    <w:p w:rsidR="000C6ABA" w:rsidRPr="002C3EC8" w:rsidRDefault="000C6ABA" w:rsidP="000C6ABA">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0C6ABA" w:rsidRDefault="000C6ABA" w:rsidP="000C6ABA">
      <w:pPr>
        <w:spacing w:before="240" w:line="360" w:lineRule="auto"/>
        <w:jc w:val="both"/>
        <w:rPr>
          <w:rFonts w:ascii="Palatino Linotype" w:hAnsi="Palatino Linotype" w:cs="Arial"/>
          <w:b/>
          <w:sz w:val="28"/>
        </w:rPr>
      </w:pPr>
    </w:p>
    <w:p w:rsidR="000C6ABA" w:rsidRDefault="000C6ABA" w:rsidP="000C6ABA">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0C6ABA" w:rsidRPr="00C0731C" w:rsidRDefault="000C6ABA" w:rsidP="000C6ABA">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veintiocho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0C6ABA" w:rsidRPr="00E818A5" w:rsidRDefault="000C6ABA" w:rsidP="000C6ABA">
      <w:pPr>
        <w:spacing w:line="360" w:lineRule="auto"/>
        <w:jc w:val="both"/>
        <w:rPr>
          <w:rFonts w:ascii="Palatino Linotype" w:hAnsi="Palatino Linotype" w:cs="Arial"/>
        </w:rPr>
      </w:pPr>
    </w:p>
    <w:p w:rsidR="004013B1" w:rsidRPr="004013B1" w:rsidRDefault="000C6ABA" w:rsidP="004013B1">
      <w:pPr>
        <w:ind w:left="567" w:right="567"/>
        <w:jc w:val="both"/>
        <w:rPr>
          <w:rFonts w:ascii="Palatino Linotype" w:hAnsi="Palatino Linotype" w:cs="Arial"/>
          <w:i/>
        </w:rPr>
      </w:pPr>
      <w:r>
        <w:rPr>
          <w:rFonts w:ascii="Palatino Linotype" w:hAnsi="Palatino Linotype" w:cs="Arial"/>
          <w:i/>
        </w:rPr>
        <w:t>“</w:t>
      </w:r>
      <w:r w:rsidR="004013B1" w:rsidRPr="004013B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C6ABA" w:rsidRDefault="004013B1" w:rsidP="004013B1">
      <w:pPr>
        <w:ind w:left="567" w:right="567"/>
        <w:jc w:val="both"/>
        <w:rPr>
          <w:rFonts w:ascii="Palatino Linotype" w:hAnsi="Palatino Linotype" w:cs="Arial"/>
          <w:i/>
        </w:rPr>
      </w:pPr>
      <w:r w:rsidRPr="004013B1">
        <w:rPr>
          <w:rFonts w:ascii="Palatino Linotype" w:hAnsi="Palatino Linotype" w:cs="Arial"/>
          <w:i/>
        </w:rPr>
        <w:t xml:space="preserve">FOLIO: 00108 En versión PDF o en cualquier otra versión digital (sin costo) requiero toda la información documental generada, recopilada, girada o almacenada por cualquiera de las oficinas del Ayuntamiento de Ecatepec 2025-2027 relativo a los 57 millones que existe de deuda por motivo de renta de pipas que menciona la presidenta municipal Azucena Cisneros Coss, a fin de conocer los nombres de los proveedores, en su caso los convenios, los periodos, bitácoras de servicios suministrados a la ciudadanía y cantidad específica que se les adeuda a cada proveedor, así como su registro ante la autoridad competente del Ayuntamiento de mención. </w:t>
      </w:r>
      <w:r w:rsidRPr="00D73315">
        <w:rPr>
          <w:rFonts w:ascii="Palatino Linotype" w:hAnsi="Palatino Linotype" w:cs="Arial"/>
          <w:b/>
          <w:i/>
        </w:rPr>
        <w:t xml:space="preserve">Al respecto, le informo que todo lo relacionado con las Pipas están a cargo del Sistema de Agua Potable, Alcantarillado y Saneamiento del Municipio </w:t>
      </w:r>
      <w:proofErr w:type="spellStart"/>
      <w:r w:rsidRPr="00D73315">
        <w:rPr>
          <w:rFonts w:ascii="Palatino Linotype" w:hAnsi="Palatino Linotype" w:cs="Arial"/>
          <w:b/>
          <w:i/>
        </w:rPr>
        <w:t>del</w:t>
      </w:r>
      <w:proofErr w:type="spellEnd"/>
      <w:r w:rsidRPr="00D73315">
        <w:rPr>
          <w:rFonts w:ascii="Palatino Linotype" w:hAnsi="Palatino Linotype" w:cs="Arial"/>
          <w:b/>
          <w:i/>
        </w:rPr>
        <w:t xml:space="preserve"> Ecatepec (SAPASE), y debido a que es un Órgano </w:t>
      </w:r>
      <w:r w:rsidRPr="00D73315">
        <w:rPr>
          <w:rFonts w:ascii="Palatino Linotype" w:hAnsi="Palatino Linotype" w:cs="Arial"/>
          <w:b/>
          <w:i/>
        </w:rPr>
        <w:lastRenderedPageBreak/>
        <w:t>descentralizado, muy atentamente le solicitamos dirigir su solicitud a esa instancia</w:t>
      </w:r>
      <w:r w:rsidRPr="004013B1">
        <w:rPr>
          <w:rFonts w:ascii="Palatino Linotype" w:hAnsi="Palatino Linotype" w:cs="Arial"/>
          <w:i/>
        </w:rPr>
        <w:t>.</w:t>
      </w:r>
      <w:r w:rsidR="000C6ABA" w:rsidRPr="00667998">
        <w:rPr>
          <w:rFonts w:ascii="Palatino Linotype" w:hAnsi="Palatino Linotype" w:cs="Arial"/>
          <w:i/>
        </w:rPr>
        <w:t>“(Sic).</w:t>
      </w:r>
    </w:p>
    <w:p w:rsidR="000C6ABA" w:rsidRDefault="000C6ABA" w:rsidP="000C6ABA">
      <w:pPr>
        <w:spacing w:line="360" w:lineRule="auto"/>
        <w:jc w:val="both"/>
        <w:rPr>
          <w:rFonts w:ascii="Palatino Linotype" w:hAnsi="Palatino Linotype" w:cs="Arial"/>
        </w:rPr>
      </w:pPr>
    </w:p>
    <w:p w:rsidR="000C6ABA" w:rsidRPr="002C3EC8" w:rsidRDefault="000C6ABA" w:rsidP="000C6ABA">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0C6ABA" w:rsidRDefault="000C6ABA" w:rsidP="000C6ABA">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4013B1">
        <w:rPr>
          <w:rFonts w:ascii="Palatino Linotype" w:hAnsi="Palatino Linotype" w:cs="Arial"/>
          <w:b/>
        </w:rPr>
        <w:t>diez de marzo</w:t>
      </w:r>
      <w:r>
        <w:rPr>
          <w:rFonts w:ascii="Palatino Linotype" w:hAnsi="Palatino Linotype" w:cs="Arial"/>
          <w:b/>
        </w:rPr>
        <w:t xml:space="preserve">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02710/INFOEM/IP/RR/2025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0C6ABA" w:rsidRDefault="000C6ABA" w:rsidP="000C6ABA">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0C6ABA" w:rsidRPr="007E4713" w:rsidRDefault="000C6ABA" w:rsidP="000C6ABA">
      <w:pPr>
        <w:pStyle w:val="INFOEM"/>
        <w:ind w:left="720"/>
      </w:pPr>
      <w:r w:rsidRPr="007E4713">
        <w:t>“</w:t>
      </w:r>
      <w:r w:rsidR="004013B1" w:rsidRPr="004013B1">
        <w:t xml:space="preserve">Requiero exclusivamente en formato </w:t>
      </w:r>
      <w:proofErr w:type="spellStart"/>
      <w:r w:rsidR="004013B1" w:rsidRPr="004013B1">
        <w:t>PDFo</w:t>
      </w:r>
      <w:proofErr w:type="spellEnd"/>
      <w:r w:rsidR="004013B1" w:rsidRPr="004013B1">
        <w:t xml:space="preserve"> cualquier otra versión digital (sin costo) toda la documentación generada, recopilada, girada o almacenada por cualquiera de las oficinas del Ayuntamiento de Ecatepec y del SAPASE administración 2025-2027, de los 8 pozos recuperados que manifestó en sus redes sociales la alcaldesa AZUCENA CISNEROS COSS, donde se observe su ubicación y se detallen los trabajos que se realizaron en </w:t>
      </w:r>
      <w:proofErr w:type="spellStart"/>
      <w:r w:rsidR="004013B1" w:rsidRPr="004013B1">
        <w:t>en</w:t>
      </w:r>
      <w:proofErr w:type="spellEnd"/>
      <w:r w:rsidR="004013B1" w:rsidRPr="004013B1">
        <w:t xml:space="preserve"> cada pozo, así como el costo total de cada uno de ellos.</w:t>
      </w:r>
      <w:r>
        <w:t>” (</w:t>
      </w:r>
      <w:proofErr w:type="gramStart"/>
      <w:r>
        <w:t>sic</w:t>
      </w:r>
      <w:proofErr w:type="gramEnd"/>
      <w:r>
        <w:t>)</w:t>
      </w:r>
    </w:p>
    <w:p w:rsidR="000C6ABA" w:rsidRPr="0033050B" w:rsidRDefault="000C6ABA" w:rsidP="000C6ABA">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0C6ABA" w:rsidRPr="007E4713" w:rsidRDefault="000C6ABA" w:rsidP="000C6ABA">
      <w:pPr>
        <w:pStyle w:val="INFOEM"/>
        <w:ind w:left="709"/>
      </w:pPr>
      <w:r w:rsidRPr="007E4713">
        <w:t>“</w:t>
      </w:r>
      <w:r w:rsidR="004013B1" w:rsidRPr="004013B1">
        <w:t>Es información pública y debe proporcionarla</w:t>
      </w:r>
      <w:r w:rsidRPr="00DD2EDF">
        <w:t>”</w:t>
      </w:r>
      <w:r>
        <w:t xml:space="preserve"> (sic)</w:t>
      </w:r>
    </w:p>
    <w:p w:rsidR="000C6ABA" w:rsidRDefault="000C6ABA" w:rsidP="000C6ABA">
      <w:pPr>
        <w:spacing w:line="360" w:lineRule="auto"/>
        <w:jc w:val="both"/>
        <w:rPr>
          <w:rFonts w:ascii="Palatino Linotype" w:hAnsi="Palatino Linotype" w:cs="Arial"/>
        </w:rPr>
      </w:pPr>
    </w:p>
    <w:p w:rsidR="000C6ABA" w:rsidRPr="002C3EC8" w:rsidRDefault="000C6ABA" w:rsidP="000C6ABA">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0C6ABA" w:rsidRDefault="000C6ABA" w:rsidP="000C6ABA">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w:t>
      </w:r>
      <w:r w:rsidRPr="002C3EC8">
        <w:rPr>
          <w:rFonts w:ascii="Palatino Linotype" w:hAnsi="Palatino Linotype"/>
        </w:rPr>
        <w:lastRenderedPageBreak/>
        <w:t>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4013B1">
        <w:rPr>
          <w:rFonts w:ascii="Palatino Linotype" w:hAnsi="Palatino Linotype"/>
          <w:b/>
        </w:rPr>
        <w:t>doce de marzo</w:t>
      </w:r>
      <w:r>
        <w:rPr>
          <w:rFonts w:ascii="Palatino Linotype" w:hAnsi="Palatino Linotype"/>
          <w:b/>
        </w:rPr>
        <w:t xml:space="preserve">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0C6ABA" w:rsidRPr="004C20B7" w:rsidRDefault="000C6ABA" w:rsidP="000C6ABA">
      <w:pPr>
        <w:spacing w:before="240" w:line="360" w:lineRule="auto"/>
        <w:jc w:val="both"/>
        <w:rPr>
          <w:rFonts w:ascii="Palatino Linotype" w:hAnsi="Palatino Linotype" w:cs="Arial"/>
          <w:sz w:val="28"/>
        </w:rPr>
      </w:pPr>
    </w:p>
    <w:p w:rsidR="000C6ABA" w:rsidRPr="00E52C83" w:rsidRDefault="000C6ABA" w:rsidP="000C6ABA">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D73315" w:rsidRPr="00D73315" w:rsidRDefault="000C6ABA" w:rsidP="000C6ABA">
      <w:pPr>
        <w:spacing w:line="360" w:lineRule="auto"/>
        <w:jc w:val="both"/>
        <w:rPr>
          <w:rFonts w:ascii="Palatino Linotype" w:hAnsi="Palatino Linotype" w:cs="Arial"/>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E37E88">
        <w:rPr>
          <w:rFonts w:ascii="Palatino Linotype" w:hAnsi="Palatino Linotype" w:cs="Arial"/>
        </w:rPr>
        <w:t>catorce</w:t>
      </w:r>
      <w:r>
        <w:rPr>
          <w:rFonts w:ascii="Palatino Linotype" w:hAnsi="Palatino Linotype" w:cs="Arial"/>
        </w:rPr>
        <w:t xml:space="preserve"> de marzo de dos mil veinticinco, por medio del</w:t>
      </w:r>
      <w:r w:rsidRPr="00D32665">
        <w:rPr>
          <w:rFonts w:ascii="Palatino Linotype" w:hAnsi="Palatino Linotype" w:cs="Arial"/>
        </w:rPr>
        <w:t xml:space="preserve"> archivo</w:t>
      </w:r>
      <w:r>
        <w:rPr>
          <w:rFonts w:ascii="Palatino Linotype" w:hAnsi="Palatino Linotype" w:cs="Arial"/>
        </w:rPr>
        <w:t xml:space="preserve"> electrónico</w:t>
      </w:r>
      <w:r w:rsidRPr="00D32665">
        <w:rPr>
          <w:rFonts w:ascii="Palatino Linotype" w:hAnsi="Palatino Linotype" w:cs="Arial"/>
        </w:rPr>
        <w:t xml:space="preserve"> “</w:t>
      </w:r>
      <w:r w:rsidR="004013B1" w:rsidRPr="004013B1">
        <w:rPr>
          <w:rFonts w:ascii="Palatino Linotype" w:hAnsi="Palatino Linotype" w:cs="Arial"/>
          <w:b/>
          <w:i/>
        </w:rPr>
        <w:t>Sol.00108.pdf</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 que fue</w:t>
      </w:r>
      <w:r w:rsidRPr="00D32665">
        <w:rPr>
          <w:rFonts w:ascii="Palatino Linotype" w:hAnsi="Palatino Linotype" w:cs="Arial"/>
        </w:rPr>
        <w:t xml:space="preserve"> puesto a la vista </w:t>
      </w:r>
      <w:r>
        <w:rPr>
          <w:rFonts w:ascii="Palatino Linotype" w:hAnsi="Palatino Linotype" w:cs="Arial"/>
        </w:rPr>
        <w:t xml:space="preserve">del Recurrente </w:t>
      </w:r>
      <w:r w:rsidRPr="00D32665">
        <w:rPr>
          <w:rFonts w:ascii="Palatino Linotype" w:hAnsi="Palatino Linotype" w:cs="Arial"/>
        </w:rPr>
        <w:t xml:space="preserve">en fecha </w:t>
      </w:r>
      <w:r w:rsidR="00E37E88">
        <w:rPr>
          <w:rFonts w:ascii="Palatino Linotype" w:hAnsi="Palatino Linotype" w:cs="Arial"/>
        </w:rPr>
        <w:t>veintitrés</w:t>
      </w:r>
      <w:r>
        <w:rPr>
          <w:rFonts w:ascii="Palatino Linotype" w:hAnsi="Palatino Linotype" w:cs="Arial"/>
        </w:rPr>
        <w:t xml:space="preserve"> de </w:t>
      </w:r>
      <w:r w:rsidR="00E37E88">
        <w:rPr>
          <w:rFonts w:ascii="Palatino Linotype" w:hAnsi="Palatino Linotype" w:cs="Arial"/>
        </w:rPr>
        <w:t>abril</w:t>
      </w:r>
      <w:r>
        <w:rPr>
          <w:rFonts w:ascii="Palatino Linotype" w:hAnsi="Palatino Linotype" w:cs="Arial"/>
        </w:rPr>
        <w:t xml:space="preserve"> de dos mil veinticinco</w:t>
      </w:r>
      <w:r w:rsidR="00D73315">
        <w:rPr>
          <w:rFonts w:ascii="Palatino Linotype" w:hAnsi="Palatino Linotype" w:cs="Arial"/>
        </w:rPr>
        <w:t>, en el que declina competencia al SAPASE.</w:t>
      </w:r>
    </w:p>
    <w:p w:rsidR="000C6ABA" w:rsidRPr="00D32665" w:rsidRDefault="000C6ABA" w:rsidP="000C6ABA">
      <w:pPr>
        <w:spacing w:line="360" w:lineRule="auto"/>
        <w:jc w:val="both"/>
        <w:rPr>
          <w:rFonts w:ascii="Palatino Linotype" w:hAnsi="Palatino Linotype"/>
        </w:rPr>
      </w:pPr>
    </w:p>
    <w:p w:rsidR="000C6ABA" w:rsidRPr="00D32665" w:rsidRDefault="000C6ABA" w:rsidP="000C6ABA">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0C6ABA" w:rsidRDefault="000C6ABA" w:rsidP="000C6ABA">
      <w:pPr>
        <w:spacing w:line="360" w:lineRule="auto"/>
        <w:jc w:val="both"/>
        <w:rPr>
          <w:rFonts w:ascii="Palatino Linotype" w:hAnsi="Palatino Linotype" w:cs="Arial"/>
          <w:b/>
          <w:sz w:val="28"/>
          <w:szCs w:val="28"/>
        </w:rPr>
      </w:pPr>
    </w:p>
    <w:p w:rsidR="000C6ABA" w:rsidRPr="002C3EC8" w:rsidRDefault="000C6ABA" w:rsidP="000C6ABA">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0C6ABA" w:rsidRDefault="000C6ABA" w:rsidP="000C6ABA">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Pr>
          <w:rFonts w:ascii="Palatino Linotype" w:hAnsi="Palatino Linotype" w:cs="Arial"/>
          <w:b/>
        </w:rPr>
        <w:t>veinti</w:t>
      </w:r>
      <w:r w:rsidR="00E37E88">
        <w:rPr>
          <w:rFonts w:ascii="Palatino Linotype" w:hAnsi="Palatino Linotype" w:cs="Arial"/>
          <w:b/>
        </w:rPr>
        <w:t>nueve</w:t>
      </w:r>
      <w:r>
        <w:rPr>
          <w:rFonts w:ascii="Palatino Linotype" w:hAnsi="Palatino Linotype" w:cs="Arial"/>
          <w:b/>
        </w:rPr>
        <w:t xml:space="preserve"> de marzo de dos mil veinticinco</w:t>
      </w:r>
      <w:r w:rsidRPr="002C3EC8">
        <w:rPr>
          <w:rFonts w:ascii="Palatino Linotype" w:hAnsi="Palatino Linotype" w:cs="Arial"/>
        </w:rPr>
        <w:t xml:space="preserve">, en términos del artículo 185 fracción VI de la Ley de Transparencia y Acceso a la </w:t>
      </w:r>
      <w:r w:rsidRPr="002C3EC8">
        <w:rPr>
          <w:rFonts w:ascii="Palatino Linotype" w:hAnsi="Palatino Linotype" w:cs="Arial"/>
        </w:rPr>
        <w:lastRenderedPageBreak/>
        <w:t>Información Pública del Estado de México y Municipios, ordenándose turnar el expediente a la resolución que en derecho proceda.</w:t>
      </w:r>
    </w:p>
    <w:p w:rsidR="000C6ABA" w:rsidRDefault="000C6ABA" w:rsidP="000C6ABA">
      <w:pPr>
        <w:spacing w:line="360" w:lineRule="auto"/>
        <w:jc w:val="both"/>
        <w:rPr>
          <w:rFonts w:ascii="Palatino Linotype" w:hAnsi="Palatino Linotype" w:cs="Arial"/>
          <w:b/>
          <w:sz w:val="28"/>
          <w:szCs w:val="28"/>
        </w:rPr>
      </w:pPr>
    </w:p>
    <w:p w:rsidR="00E37E88" w:rsidRPr="00821CCD" w:rsidRDefault="00E37E88" w:rsidP="00E37E88">
      <w:pPr>
        <w:spacing w:line="360" w:lineRule="auto"/>
        <w:jc w:val="both"/>
        <w:rPr>
          <w:rFonts w:ascii="Palatino Linotype" w:eastAsia="Calibri" w:hAnsi="Palatino Linotype" w:cs="Arial"/>
          <w:b/>
          <w:sz w:val="28"/>
          <w:lang w:val="es-ES_tradnl"/>
        </w:rPr>
      </w:pPr>
      <w:r w:rsidRPr="00821CCD">
        <w:rPr>
          <w:rFonts w:ascii="Palatino Linotype" w:eastAsia="Calibri" w:hAnsi="Palatino Linotype" w:cs="Arial"/>
          <w:b/>
          <w:sz w:val="28"/>
          <w:lang w:val="es-ES_tradnl"/>
        </w:rPr>
        <w:t>SÉPTIMO. De la ampliación del término para resolver.</w:t>
      </w:r>
    </w:p>
    <w:p w:rsidR="00E37E88" w:rsidRPr="001C7FB0" w:rsidRDefault="00E37E88" w:rsidP="00E37E88">
      <w:pPr>
        <w:spacing w:line="360" w:lineRule="auto"/>
        <w:jc w:val="both"/>
        <w:rPr>
          <w:rFonts w:ascii="Palatino Linotype" w:hAnsi="Palatino Linotype" w:cs="Arial"/>
        </w:rPr>
      </w:pPr>
      <w:r w:rsidRPr="001C7FB0">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treinta de abril de dos mil veinticinco</w:t>
      </w:r>
      <w:r w:rsidRPr="001C7FB0">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E37E88" w:rsidRDefault="00E37E88" w:rsidP="000C6ABA">
      <w:pPr>
        <w:spacing w:line="360" w:lineRule="auto"/>
        <w:jc w:val="both"/>
        <w:rPr>
          <w:rFonts w:ascii="Palatino Linotype" w:hAnsi="Palatino Linotype" w:cs="Arial"/>
          <w:b/>
          <w:sz w:val="28"/>
          <w:szCs w:val="28"/>
        </w:rPr>
      </w:pPr>
    </w:p>
    <w:p w:rsidR="000C6ABA" w:rsidRPr="0024200F" w:rsidRDefault="000C6ABA" w:rsidP="000C6AB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0C6ABA" w:rsidRPr="00825F67" w:rsidRDefault="000C6ABA" w:rsidP="000C6ABA">
      <w:pPr>
        <w:spacing w:line="360" w:lineRule="auto"/>
        <w:ind w:right="49"/>
        <w:jc w:val="both"/>
        <w:rPr>
          <w:rFonts w:ascii="Palatino Linotype" w:hAnsi="Palatino Linotype"/>
          <w:szCs w:val="28"/>
        </w:rPr>
      </w:pPr>
    </w:p>
    <w:p w:rsidR="000C6ABA" w:rsidRPr="002C3EC8" w:rsidRDefault="000C6ABA" w:rsidP="000C6ABA">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0C6ABA" w:rsidRPr="007C6AB6" w:rsidRDefault="000C6ABA" w:rsidP="000C6ABA">
      <w:pPr>
        <w:tabs>
          <w:tab w:val="left" w:pos="3402"/>
        </w:tabs>
        <w:spacing w:line="360" w:lineRule="auto"/>
        <w:jc w:val="both"/>
        <w:rPr>
          <w:rFonts w:ascii="Palatino Linotype" w:hAnsi="Palatino Linotype"/>
        </w:rPr>
      </w:pPr>
      <w:r w:rsidRPr="00BB608D">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BB608D">
        <w:rPr>
          <w:rFonts w:ascii="Palatino Linotype" w:hAnsi="Palatino Linotype"/>
        </w:rPr>
        <w:lastRenderedPageBreak/>
        <w:t>Acceso a la Información Pública y Protección de Datos Personales del Estado de México y Municipios</w:t>
      </w:r>
      <w:r w:rsidRPr="007C6AB6">
        <w:rPr>
          <w:rFonts w:ascii="Palatino Linotype" w:hAnsi="Palatino Linotype"/>
        </w:rPr>
        <w:t>.</w:t>
      </w:r>
    </w:p>
    <w:p w:rsidR="000C6ABA" w:rsidRPr="002C3EC8" w:rsidRDefault="000C6ABA" w:rsidP="000C6ABA">
      <w:pPr>
        <w:spacing w:before="240" w:line="360" w:lineRule="auto"/>
        <w:jc w:val="both"/>
        <w:rPr>
          <w:rFonts w:ascii="Palatino Linotype" w:eastAsia="Calibri" w:hAnsi="Palatino Linotype"/>
          <w:b/>
          <w:color w:val="000000" w:themeColor="text1"/>
        </w:rPr>
      </w:pPr>
    </w:p>
    <w:p w:rsidR="000C6ABA" w:rsidRPr="002C3EC8" w:rsidRDefault="000C6ABA" w:rsidP="000C6ABA">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0C6ABA" w:rsidRDefault="000C6ABA" w:rsidP="000C6AB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0C6ABA" w:rsidRDefault="000C6ABA" w:rsidP="000C6ABA">
      <w:p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0C6ABA" w:rsidRDefault="000C6ABA" w:rsidP="000C6ABA">
      <w:pPr>
        <w:autoSpaceDE w:val="0"/>
        <w:autoSpaceDN w:val="0"/>
        <w:adjustRightInd w:val="0"/>
        <w:spacing w:before="240" w:line="360" w:lineRule="auto"/>
        <w:ind w:left="1134"/>
        <w:jc w:val="both"/>
        <w:rPr>
          <w:rFonts w:ascii="Palatino Linotype" w:hAnsi="Palatino Linotype" w:cs="Arial"/>
          <w:i/>
        </w:rPr>
      </w:pPr>
      <w:r>
        <w:rPr>
          <w:rFonts w:ascii="Palatino Linotype" w:hAnsi="Palatino Linotype" w:cs="Arial"/>
          <w:i/>
        </w:rPr>
        <w:t xml:space="preserve">“Artículo 180. El recurso de revisión contendrá: </w:t>
      </w:r>
    </w:p>
    <w:p w:rsidR="000C6ABA" w:rsidRDefault="000C6ABA" w:rsidP="000C6ABA">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 xml:space="preserve">I. El sujeto obligado ante la cual se presentó la solicitud; </w:t>
      </w:r>
    </w:p>
    <w:p w:rsidR="000C6ABA" w:rsidRDefault="000C6ABA" w:rsidP="000C6ABA">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b/>
          <w:i/>
          <w:lang w:val="es-ES_tradnl"/>
        </w:rPr>
        <w:t>II. El nombre del solicitante que recurre</w:t>
      </w:r>
      <w:r>
        <w:rPr>
          <w:rFonts w:ascii="Palatino Linotype" w:hAnsi="Palatino Linotype" w:cs="Arial"/>
          <w:i/>
          <w:lang w:val="es-ES_tradnl"/>
        </w:rPr>
        <w:t xml:space="preserve"> o de su representante y, en su caso, del tercero interesado, así como la dirección o medio que señale para recibir notificaciones;</w:t>
      </w:r>
    </w:p>
    <w:p w:rsidR="000C6ABA" w:rsidRDefault="000C6ABA" w:rsidP="000C6ABA">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III. El número de folio de respuesta de la solicitud de acceso;</w:t>
      </w:r>
    </w:p>
    <w:p w:rsidR="000C6ABA" w:rsidRDefault="000C6ABA" w:rsidP="000C6ABA">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0C6ABA" w:rsidRDefault="000C6ABA" w:rsidP="000C6ABA">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V. El acto que se recurre;</w:t>
      </w:r>
    </w:p>
    <w:p w:rsidR="000C6ABA" w:rsidRDefault="000C6ABA" w:rsidP="000C6ABA">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lastRenderedPageBreak/>
        <w:t>VI. Las razones o motivos de inconformidad;</w:t>
      </w:r>
    </w:p>
    <w:p w:rsidR="000C6ABA" w:rsidRDefault="000C6ABA" w:rsidP="000C6ABA">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 La copia de la respuesta que se impugna y, en su caso, de la notificación correspondiente, en el caso de respuesta de la solicitud; y </w:t>
      </w:r>
    </w:p>
    <w:p w:rsidR="000C6ABA" w:rsidRDefault="000C6ABA" w:rsidP="000C6ABA">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VIII. Firma del recurrente, en su caso, cuando se presente por escrito, requisito sin el cual se dará trámite al recurso. </w:t>
      </w:r>
    </w:p>
    <w:p w:rsidR="000C6ABA" w:rsidRDefault="000C6ABA" w:rsidP="000C6ABA">
      <w:pPr>
        <w:autoSpaceDE w:val="0"/>
        <w:autoSpaceDN w:val="0"/>
        <w:adjustRightInd w:val="0"/>
        <w:spacing w:before="240"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Adicionalmente, se podrán anexar las pruebas y demás elementos que considere procedentes someter a juicio del Instituto. </w:t>
      </w:r>
    </w:p>
    <w:p w:rsidR="000C6ABA" w:rsidRDefault="000C6ABA" w:rsidP="000C6ABA">
      <w:pPr>
        <w:autoSpaceDE w:val="0"/>
        <w:autoSpaceDN w:val="0"/>
        <w:adjustRightInd w:val="0"/>
        <w:spacing w:before="240"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En ningún caso será necesario que el particular ratifique el recurso de revisión interpuesto. </w:t>
      </w:r>
    </w:p>
    <w:p w:rsidR="000C6ABA" w:rsidRDefault="000C6ABA" w:rsidP="000C6ABA">
      <w:pPr>
        <w:autoSpaceDE w:val="0"/>
        <w:autoSpaceDN w:val="0"/>
        <w:adjustRightInd w:val="0"/>
        <w:spacing w:before="240" w:line="360" w:lineRule="auto"/>
        <w:ind w:left="1134" w:right="567"/>
        <w:jc w:val="both"/>
        <w:rPr>
          <w:rFonts w:ascii="Palatino Linotype" w:hAnsi="Palatino Linotype" w:cs="Arial"/>
        </w:rPr>
      </w:pPr>
      <w:r>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0C6ABA" w:rsidRDefault="000C6ABA" w:rsidP="000C6ABA">
      <w:pPr>
        <w:autoSpaceDE w:val="0"/>
        <w:autoSpaceDN w:val="0"/>
        <w:adjustRightInd w:val="0"/>
        <w:spacing w:before="240" w:line="360" w:lineRule="auto"/>
        <w:jc w:val="both"/>
        <w:rPr>
          <w:rFonts w:ascii="Palatino Linotype" w:hAnsi="Palatino Linotype"/>
        </w:rPr>
      </w:pPr>
    </w:p>
    <w:p w:rsidR="000C6ABA" w:rsidRDefault="000C6ABA" w:rsidP="000C6ABA">
      <w:pPr>
        <w:autoSpaceDE w:val="0"/>
        <w:autoSpaceDN w:val="0"/>
        <w:adjustRightInd w:val="0"/>
        <w:spacing w:before="240" w:line="360" w:lineRule="auto"/>
        <w:jc w:val="both"/>
        <w:rPr>
          <w:rFonts w:ascii="Palatino Linotype" w:hAnsi="Palatino Linotype"/>
        </w:rPr>
      </w:pPr>
      <w:r>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0C6ABA" w:rsidTr="00ED2CF0">
        <w:trPr>
          <w:trHeight w:val="1360"/>
        </w:trPr>
        <w:tc>
          <w:tcPr>
            <w:tcW w:w="7982" w:type="dxa"/>
            <w:hideMark/>
          </w:tcPr>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0C6ABA" w:rsidRDefault="000C6ABA" w:rsidP="000C6ABA">
      <w:pPr>
        <w:autoSpaceDE w:val="0"/>
        <w:autoSpaceDN w:val="0"/>
        <w:adjustRightInd w:val="0"/>
        <w:spacing w:before="240" w:line="360" w:lineRule="auto"/>
        <w:jc w:val="both"/>
        <w:rPr>
          <w:rFonts w:ascii="Palatino Linotype" w:hAnsi="Palatino Linotype"/>
        </w:rPr>
      </w:pPr>
      <w:r>
        <w:rPr>
          <w:rFonts w:ascii="Palatino Linotype" w:hAnsi="Palatino Linotype"/>
        </w:rPr>
        <w:t xml:space="preserve">Robusteciendo lo anterior se encuentra lo dispuesto en los artículos 6, Apartado A, fracciones III y IV, de la Constitución Política de los Estados Unidos Mexicanos y 5 </w:t>
      </w:r>
      <w:r>
        <w:rPr>
          <w:rFonts w:ascii="Palatino Linotype" w:hAnsi="Palatino Linotype"/>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0C6ABA" w:rsidTr="00ED2CF0">
        <w:trPr>
          <w:jc w:val="center"/>
        </w:trPr>
        <w:tc>
          <w:tcPr>
            <w:tcW w:w="8075" w:type="dxa"/>
            <w:hideMark/>
          </w:tcPr>
          <w:p w:rsidR="000C6ABA" w:rsidRDefault="000C6ABA" w:rsidP="00ED2CF0">
            <w:pPr>
              <w:autoSpaceDE w:val="0"/>
              <w:autoSpaceDN w:val="0"/>
              <w:adjustRightInd w:val="0"/>
              <w:spacing w:before="240" w:line="360" w:lineRule="auto"/>
              <w:jc w:val="center"/>
              <w:rPr>
                <w:rFonts w:ascii="Palatino Linotype" w:hAnsi="Palatino Linotype"/>
                <w:b/>
                <w:i/>
              </w:rPr>
            </w:pPr>
            <w:r>
              <w:rPr>
                <w:rFonts w:ascii="Palatino Linotype" w:hAnsi="Palatino Linotype"/>
                <w:b/>
                <w:i/>
              </w:rPr>
              <w:t xml:space="preserve">Constitución Política de los Estados Unidos Mexicanos </w:t>
            </w:r>
          </w:p>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 </w:t>
            </w:r>
          </w:p>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 (…) </w:t>
            </w:r>
          </w:p>
          <w:p w:rsidR="000C6ABA" w:rsidRDefault="000C6ABA" w:rsidP="00ED2CF0">
            <w:pPr>
              <w:autoSpaceDE w:val="0"/>
              <w:autoSpaceDN w:val="0"/>
              <w:adjustRightInd w:val="0"/>
              <w:spacing w:before="240" w:line="360" w:lineRule="auto"/>
              <w:jc w:val="both"/>
              <w:rPr>
                <w:rFonts w:ascii="Palatino Linotype" w:hAnsi="Palatino Linotype"/>
                <w:i/>
              </w:rPr>
            </w:pPr>
            <w:r>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0C6ABA" w:rsidRDefault="000C6ABA" w:rsidP="00ED2CF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IV. Se establecerán mecanismos de acceso a la información pública y procedimientos de revisión expeditos que se sustanciarán ante las instancias competentes en los términos que fija esta Constitución y las leyes.”</w:t>
            </w:r>
          </w:p>
          <w:p w:rsidR="000C6ABA" w:rsidRDefault="000C6ABA" w:rsidP="00ED2CF0">
            <w:pPr>
              <w:autoSpaceDE w:val="0"/>
              <w:autoSpaceDN w:val="0"/>
              <w:adjustRightInd w:val="0"/>
              <w:spacing w:before="240" w:line="360" w:lineRule="auto"/>
              <w:jc w:val="both"/>
              <w:rPr>
                <w:rFonts w:ascii="Palatino Linotype" w:hAnsi="Palatino Linotype" w:cs="Arial"/>
                <w:b/>
                <w:i/>
              </w:rPr>
            </w:pPr>
            <w:r>
              <w:rPr>
                <w:rFonts w:ascii="Palatino Linotype" w:hAnsi="Palatino Linotype" w:cs="Arial"/>
                <w:b/>
                <w:i/>
              </w:rPr>
              <w:t>Constitución Política del Estado Libre y Soberano de México</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lastRenderedPageBreak/>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0C6ABA" w:rsidRDefault="000C6ABA" w:rsidP="00ED2CF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0C6ABA" w:rsidRDefault="000C6ABA" w:rsidP="00ED2CF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w:t>
            </w:r>
          </w:p>
          <w:p w:rsidR="000C6ABA" w:rsidRDefault="000C6ABA" w:rsidP="00ED2CF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0C6ABA" w:rsidRDefault="000C6ABA" w:rsidP="000C6ABA">
      <w:pPr>
        <w:autoSpaceDE w:val="0"/>
        <w:autoSpaceDN w:val="0"/>
        <w:adjustRightInd w:val="0"/>
        <w:spacing w:before="240" w:line="360" w:lineRule="auto"/>
        <w:jc w:val="both"/>
        <w:rPr>
          <w:rFonts w:ascii="Palatino Linotype" w:hAnsi="Palatino Linotype"/>
        </w:rPr>
      </w:pPr>
      <w:r>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hAnsi="Palatino Linotype"/>
          <w:b/>
          <w:u w:val="single"/>
        </w:rPr>
        <w:t>incluso, la solicitud de acceso a la información pueda ser anónima o no contener un nombre que identifique al solicitante o que permita tener certeza sobre su identidad</w:t>
      </w:r>
      <w:r>
        <w:rPr>
          <w:rFonts w:ascii="Palatino Linotype" w:hAnsi="Palatino Linotype"/>
        </w:rPr>
        <w:t xml:space="preserve">. </w:t>
      </w:r>
    </w:p>
    <w:p w:rsidR="000C6ABA" w:rsidRDefault="000C6ABA" w:rsidP="000C6ABA">
      <w:pPr>
        <w:autoSpaceDE w:val="0"/>
        <w:autoSpaceDN w:val="0"/>
        <w:adjustRightInd w:val="0"/>
        <w:spacing w:before="240" w:line="360" w:lineRule="auto"/>
        <w:jc w:val="both"/>
        <w:rPr>
          <w:rFonts w:ascii="Palatino Linotype" w:hAnsi="Palatino Linotype"/>
        </w:rPr>
      </w:pPr>
      <w:r>
        <w:rPr>
          <w:rFonts w:ascii="Palatino Linotype" w:hAnsi="Palatino Linotype"/>
        </w:rPr>
        <w:lastRenderedPageBreak/>
        <w:t xml:space="preserve">En conclusión, se cubrieron los requisitos de procedencia y </w:t>
      </w:r>
      <w:proofErr w:type="spellStart"/>
      <w:r>
        <w:rPr>
          <w:rFonts w:ascii="Palatino Linotype" w:hAnsi="Palatino Linotype"/>
        </w:rPr>
        <w:t>procedibilidad</w:t>
      </w:r>
      <w:proofErr w:type="spellEnd"/>
      <w:r>
        <w:rPr>
          <w:rFonts w:ascii="Palatino Linotype" w:hAnsi="Palatino Linotype"/>
        </w:rPr>
        <w:t xml:space="preserve"> y conforme a las constancias que obran en el expediente.</w:t>
      </w:r>
    </w:p>
    <w:p w:rsidR="000C6ABA" w:rsidRPr="00FF46DA" w:rsidRDefault="000C6ABA" w:rsidP="000C6ABA">
      <w:pPr>
        <w:pStyle w:val="Prrafodelista"/>
        <w:autoSpaceDE w:val="0"/>
        <w:autoSpaceDN w:val="0"/>
        <w:adjustRightInd w:val="0"/>
        <w:spacing w:before="240" w:after="160" w:line="360" w:lineRule="auto"/>
        <w:ind w:left="0"/>
        <w:jc w:val="both"/>
        <w:rPr>
          <w:rFonts w:ascii="Palatino Linotype" w:hAnsi="Palatino Linotype" w:cs="Arial"/>
        </w:rPr>
      </w:pPr>
    </w:p>
    <w:p w:rsidR="00D73315" w:rsidRPr="002C3EC8" w:rsidRDefault="00D73315" w:rsidP="00D7331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D73315" w:rsidRDefault="00D73315" w:rsidP="00D73315">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Pr>
          <w:rFonts w:ascii="Palatino Linotype" w:hAnsi="Palatino Linotype" w:cs="Arial"/>
        </w:rPr>
        <w:t>procedibilidad</w:t>
      </w:r>
      <w:proofErr w:type="spellEnd"/>
      <w:r>
        <w:rPr>
          <w:rFonts w:ascii="Palatino Linotype" w:hAnsi="Palatino Linotype" w:cs="Arial"/>
        </w:rPr>
        <w:t xml:space="preserve">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rsidR="00D73315" w:rsidRDefault="00D73315" w:rsidP="00D73315">
      <w:pPr>
        <w:pStyle w:val="Prrafodelista"/>
        <w:autoSpaceDE w:val="0"/>
        <w:autoSpaceDN w:val="0"/>
        <w:adjustRightInd w:val="0"/>
        <w:spacing w:line="360" w:lineRule="auto"/>
        <w:ind w:left="0"/>
        <w:jc w:val="both"/>
        <w:rPr>
          <w:rFonts w:ascii="Palatino Linotype" w:hAnsi="Palatino Linotype" w:cs="Arial"/>
        </w:rPr>
      </w:pPr>
    </w:p>
    <w:p w:rsidR="00D73315" w:rsidRDefault="00D73315" w:rsidP="00D73315">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w:t>
      </w:r>
      <w:proofErr w:type="spellStart"/>
      <w:r>
        <w:rPr>
          <w:rFonts w:ascii="Palatino Linotype" w:hAnsi="Palatino Linotype" w:cs="Arial"/>
        </w:rPr>
        <w:t>Resolutor</w:t>
      </w:r>
      <w:proofErr w:type="spellEnd"/>
      <w:r>
        <w:rPr>
          <w:rFonts w:ascii="Palatino Linotype" w:hAnsi="Palatino Linotype" w:cs="Arial"/>
        </w:rPr>
        <w:t xml:space="preserve">;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rsidR="00D73315" w:rsidRDefault="00D73315" w:rsidP="00D73315">
      <w:pPr>
        <w:autoSpaceDE w:val="0"/>
        <w:autoSpaceDN w:val="0"/>
        <w:adjustRightInd w:val="0"/>
        <w:spacing w:line="360" w:lineRule="auto"/>
        <w:jc w:val="both"/>
        <w:rPr>
          <w:rFonts w:ascii="Palatino Linotype" w:hAnsi="Palatino Linotype" w:cs="Arial"/>
        </w:rPr>
      </w:pPr>
      <w:r w:rsidRPr="00552846">
        <w:rPr>
          <w:rFonts w:ascii="Palatino Linotype" w:hAnsi="Palatino Linotype" w:cs="Arial"/>
        </w:rPr>
        <w:lastRenderedPageBreak/>
        <w:t>En primer término es necesario hacer alusión a la solicitud de información ya q</w:t>
      </w:r>
      <w:r>
        <w:rPr>
          <w:rFonts w:ascii="Palatino Linotype" w:hAnsi="Palatino Linotype" w:cs="Arial"/>
        </w:rPr>
        <w:t>ue de ella deriva por un lado e</w:t>
      </w:r>
      <w:r w:rsidRPr="00552846">
        <w:rPr>
          <w:rFonts w:ascii="Palatino Linotype" w:hAnsi="Palatino Linotype" w:cs="Arial"/>
        </w:rPr>
        <w:t xml:space="preserve">l procedimiento de acceso a la información ante </w:t>
      </w:r>
      <w:r w:rsidRPr="00FE69D7">
        <w:rPr>
          <w:rFonts w:ascii="Palatino Linotype" w:hAnsi="Palatino Linotype" w:cs="Arial"/>
          <w:b/>
        </w:rPr>
        <w:t>El Sujeto Obligado</w:t>
      </w:r>
      <w:r w:rsidRPr="00552846">
        <w:rPr>
          <w:rFonts w:ascii="Palatino Linotype" w:hAnsi="Palatino Linotype" w:cs="Arial"/>
        </w:rPr>
        <w:t>, y por otro lado la materia sobre la que versara el recurso de</w:t>
      </w:r>
      <w:r>
        <w:rPr>
          <w:rFonts w:ascii="Palatino Linotype" w:hAnsi="Palatino Linotype" w:cs="Arial"/>
        </w:rPr>
        <w:t xml:space="preserve"> </w:t>
      </w:r>
      <w:r w:rsidRPr="00552846">
        <w:rPr>
          <w:rFonts w:ascii="Palatino Linotype" w:hAnsi="Palatino Linotype" w:cs="Arial"/>
        </w:rPr>
        <w:t>revisión ante este Órgano Garante; se resalta la innegable necesidad de</w:t>
      </w:r>
      <w:r>
        <w:rPr>
          <w:rFonts w:ascii="Palatino Linotype" w:hAnsi="Palatino Linotype" w:cs="Arial"/>
        </w:rPr>
        <w:t xml:space="preserve"> </w:t>
      </w:r>
      <w:r w:rsidRPr="00552846">
        <w:rPr>
          <w:rFonts w:ascii="Palatino Linotype" w:hAnsi="Palatino Linotype" w:cs="Arial"/>
        </w:rPr>
        <w:t>interpretar el texto de las solicitud, porque no se podría entender el derecho de</w:t>
      </w:r>
      <w:r>
        <w:rPr>
          <w:rFonts w:ascii="Palatino Linotype" w:hAnsi="Palatino Linotype" w:cs="Arial"/>
        </w:rPr>
        <w:t xml:space="preserve"> </w:t>
      </w:r>
      <w:r w:rsidRPr="00552846">
        <w:rPr>
          <w:rFonts w:ascii="Palatino Linotype" w:hAnsi="Palatino Linotype" w:cs="Arial"/>
        </w:rPr>
        <w:t>acceso a la información sin la existencia de solicitudes de información a la luz de</w:t>
      </w:r>
      <w:r>
        <w:rPr>
          <w:rFonts w:ascii="Palatino Linotype" w:hAnsi="Palatino Linotype" w:cs="Arial"/>
        </w:rPr>
        <w:t xml:space="preserve"> </w:t>
      </w:r>
      <w:r w:rsidRPr="00552846">
        <w:rPr>
          <w:rFonts w:ascii="Palatino Linotype" w:hAnsi="Palatino Linotype" w:cs="Arial"/>
        </w:rPr>
        <w:t>su interpretación ya que ésta es la fuente de la materia objeto de la transparencia</w:t>
      </w:r>
      <w:r>
        <w:rPr>
          <w:rFonts w:ascii="Palatino Linotype" w:hAnsi="Palatino Linotype" w:cs="Arial"/>
        </w:rPr>
        <w:t xml:space="preserve"> </w:t>
      </w:r>
      <w:r w:rsidRPr="00552846">
        <w:rPr>
          <w:rFonts w:ascii="Palatino Linotype" w:hAnsi="Palatino Linotype" w:cs="Arial"/>
        </w:rPr>
        <w:t>específica en cada recurso de revisión; es decir, no podemos establecer una</w:t>
      </w:r>
      <w:r>
        <w:rPr>
          <w:rFonts w:ascii="Palatino Linotype" w:hAnsi="Palatino Linotype" w:cs="Arial"/>
        </w:rPr>
        <w:t xml:space="preserve"> </w:t>
      </w:r>
      <w:r w:rsidRPr="00552846">
        <w:rPr>
          <w:rFonts w:ascii="Palatino Linotype" w:hAnsi="Palatino Linotype" w:cs="Arial"/>
        </w:rPr>
        <w:t>materia o un tema como objeto de derecho de acceso a la información, si de la</w:t>
      </w:r>
      <w:r>
        <w:rPr>
          <w:rFonts w:ascii="Palatino Linotype" w:hAnsi="Palatino Linotype" w:cs="Arial"/>
        </w:rPr>
        <w:t xml:space="preserve"> </w:t>
      </w:r>
      <w:r w:rsidRPr="00552846">
        <w:rPr>
          <w:rFonts w:ascii="Palatino Linotype" w:hAnsi="Palatino Linotype" w:cs="Arial"/>
        </w:rPr>
        <w:t>solicitud no se entiende o no se precisan temas o materias objetivas; por ello es</w:t>
      </w:r>
      <w:r>
        <w:rPr>
          <w:rFonts w:ascii="Palatino Linotype" w:hAnsi="Palatino Linotype" w:cs="Arial"/>
        </w:rPr>
        <w:t xml:space="preserve"> </w:t>
      </w:r>
      <w:r w:rsidRPr="00552846">
        <w:rPr>
          <w:rFonts w:ascii="Palatino Linotype" w:hAnsi="Palatino Linotype" w:cs="Arial"/>
        </w:rPr>
        <w:t>de notoria importancia el trabajo de interpretación que se le dé a las solicitudes de</w:t>
      </w:r>
      <w:r>
        <w:rPr>
          <w:rFonts w:ascii="Palatino Linotype" w:hAnsi="Palatino Linotype" w:cs="Arial"/>
        </w:rPr>
        <w:t xml:space="preserve"> </w:t>
      </w:r>
      <w:r w:rsidRPr="00552846">
        <w:rPr>
          <w:rFonts w:ascii="Palatino Linotype" w:hAnsi="Palatino Linotype" w:cs="Arial"/>
        </w:rPr>
        <w:t>información, ya que el sujeto obligado puede considerar una circunstancia en</w:t>
      </w:r>
      <w:r>
        <w:rPr>
          <w:rFonts w:ascii="Palatino Linotype" w:hAnsi="Palatino Linotype" w:cs="Arial"/>
        </w:rPr>
        <w:t xml:space="preserve"> </w:t>
      </w:r>
      <w:r w:rsidRPr="00552846">
        <w:rPr>
          <w:rFonts w:ascii="Palatino Linotype" w:hAnsi="Palatino Linotype" w:cs="Arial"/>
        </w:rPr>
        <w:t>particular diversa a la que el particular objetivamente requiere.</w:t>
      </w:r>
    </w:p>
    <w:p w:rsidR="00D73315" w:rsidRPr="001C0DDF" w:rsidRDefault="00D73315" w:rsidP="00D73315">
      <w:pPr>
        <w:autoSpaceDE w:val="0"/>
        <w:autoSpaceDN w:val="0"/>
        <w:adjustRightInd w:val="0"/>
        <w:spacing w:line="360" w:lineRule="auto"/>
        <w:jc w:val="both"/>
        <w:rPr>
          <w:rFonts w:ascii="Palatino Linotype" w:hAnsi="Palatino Linotype" w:cs="Arial"/>
        </w:rPr>
      </w:pPr>
      <w:r w:rsidRPr="004B3753">
        <w:rPr>
          <w:rFonts w:ascii="Palatino Linotype" w:hAnsi="Palatino Linotype" w:cs="Arial"/>
        </w:rPr>
        <w:t>Ya que el planteamiento del problema es de toral importancia, a efecto de determinar la intención o voluntad de</w:t>
      </w:r>
      <w:r>
        <w:rPr>
          <w:rFonts w:ascii="Palatino Linotype" w:hAnsi="Palatino Linotype" w:cs="Arial"/>
        </w:rPr>
        <w:t>l</w:t>
      </w:r>
      <w:r>
        <w:rPr>
          <w:rFonts w:ascii="Palatino Linotype" w:hAnsi="Palatino Linotype" w:cs="Arial"/>
          <w:b/>
        </w:rPr>
        <w:t xml:space="preserve"> </w:t>
      </w:r>
      <w:r w:rsidRPr="004B3753">
        <w:rPr>
          <w:rFonts w:ascii="Palatino Linotype" w:hAnsi="Palatino Linotype" w:cs="Arial"/>
          <w:b/>
        </w:rPr>
        <w:t>Recurrente</w:t>
      </w:r>
      <w:r w:rsidRPr="004B3753">
        <w:rPr>
          <w:rFonts w:ascii="Palatino Linotype" w:hAnsi="Palatino Linotype" w:cs="Arial"/>
        </w:rPr>
        <w:t xml:space="preserve"> a la</w:t>
      </w:r>
      <w:r>
        <w:rPr>
          <w:rFonts w:ascii="Palatino Linotype" w:hAnsi="Palatino Linotype" w:cs="Arial"/>
        </w:rPr>
        <w:t xml:space="preserve"> luz de la interpretación de la solicitud</w:t>
      </w:r>
      <w:r w:rsidRPr="004B3753">
        <w:rPr>
          <w:rFonts w:ascii="Palatino Linotype" w:hAnsi="Palatino Linotype" w:cs="Arial"/>
        </w:rPr>
        <w:t xml:space="preserve"> de información, y que puede genera</w:t>
      </w:r>
      <w:r>
        <w:rPr>
          <w:rFonts w:ascii="Palatino Linotype" w:hAnsi="Palatino Linotype" w:cs="Arial"/>
        </w:rPr>
        <w:t xml:space="preserve">r de forma objetiva y material </w:t>
      </w:r>
      <w:r w:rsidRPr="009A18AC">
        <w:rPr>
          <w:rFonts w:ascii="Palatino Linotype" w:hAnsi="Palatino Linotype" w:cs="Arial"/>
          <w:b/>
        </w:rPr>
        <w:t>El Sujeto Obligado</w:t>
      </w:r>
      <w:r w:rsidRPr="004B3753">
        <w:rPr>
          <w:rFonts w:ascii="Palatino Linotype" w:hAnsi="Palatino Linotype" w:cs="Arial"/>
        </w:rPr>
        <w:t xml:space="preserve"> que se relacione con esa intención, respecto del presente asunto se realiza a continuación.</w:t>
      </w:r>
    </w:p>
    <w:p w:rsidR="00D73315" w:rsidRDefault="00D73315" w:rsidP="00D73315">
      <w:pPr>
        <w:pStyle w:val="Sinespaciado"/>
        <w:spacing w:line="360" w:lineRule="auto"/>
        <w:jc w:val="both"/>
        <w:rPr>
          <w:rFonts w:ascii="Palatino Linotype" w:hAnsi="Palatino Linotype" w:cs="Arial"/>
        </w:rPr>
      </w:pPr>
    </w:p>
    <w:p w:rsidR="00D73315" w:rsidRPr="00D73315" w:rsidRDefault="00D73315" w:rsidP="00D73315">
      <w:pPr>
        <w:pStyle w:val="Sinespaciado"/>
        <w:spacing w:line="360" w:lineRule="auto"/>
        <w:jc w:val="both"/>
        <w:rPr>
          <w:rFonts w:ascii="Palatino Linotype" w:hAnsi="Palatino Linotype"/>
          <w:sz w:val="24"/>
        </w:rPr>
      </w:pPr>
      <w:r w:rsidRPr="00D73315">
        <w:rPr>
          <w:rFonts w:ascii="Palatino Linotype" w:hAnsi="Palatino Linotype" w:cs="Arial"/>
          <w:sz w:val="24"/>
        </w:rPr>
        <w:t xml:space="preserve">Ahora bien, no pasa inadvertido para este Órgano Garante que en su acto impugnado </w:t>
      </w:r>
      <w:r w:rsidRPr="00D73315">
        <w:rPr>
          <w:rFonts w:ascii="Palatino Linotype" w:hAnsi="Palatino Linotype" w:cs="Arial"/>
          <w:b/>
          <w:sz w:val="24"/>
        </w:rPr>
        <w:t xml:space="preserve">El Recurrente </w:t>
      </w:r>
      <w:r w:rsidRPr="00D73315">
        <w:rPr>
          <w:rFonts w:ascii="Palatino Linotype" w:hAnsi="Palatino Linotype" w:cs="Arial"/>
          <w:sz w:val="24"/>
        </w:rPr>
        <w:t>manifestó: “</w:t>
      </w:r>
      <w:r w:rsidR="0003538F" w:rsidRPr="0003538F">
        <w:rPr>
          <w:rFonts w:ascii="Palatino Linotype" w:hAnsi="Palatino Linotype" w:cs="Arial"/>
          <w:i/>
          <w:sz w:val="24"/>
        </w:rPr>
        <w:t xml:space="preserve">Requiero exclusivamente en formato </w:t>
      </w:r>
      <w:proofErr w:type="spellStart"/>
      <w:r w:rsidR="0003538F" w:rsidRPr="0003538F">
        <w:rPr>
          <w:rFonts w:ascii="Palatino Linotype" w:hAnsi="Palatino Linotype" w:cs="Arial"/>
          <w:i/>
          <w:sz w:val="24"/>
        </w:rPr>
        <w:t>PDFo</w:t>
      </w:r>
      <w:proofErr w:type="spellEnd"/>
      <w:r w:rsidR="0003538F" w:rsidRPr="0003538F">
        <w:rPr>
          <w:rFonts w:ascii="Palatino Linotype" w:hAnsi="Palatino Linotype" w:cs="Arial"/>
          <w:i/>
          <w:sz w:val="24"/>
        </w:rPr>
        <w:t xml:space="preserve"> cualquier otra versión </w:t>
      </w:r>
      <w:r w:rsidR="0003538F" w:rsidRPr="0003538F">
        <w:rPr>
          <w:rFonts w:ascii="Palatino Linotype" w:hAnsi="Palatino Linotype" w:cs="Arial"/>
          <w:i/>
          <w:sz w:val="24"/>
        </w:rPr>
        <w:lastRenderedPageBreak/>
        <w:t xml:space="preserve">digital (sin costo) </w:t>
      </w:r>
      <w:r w:rsidR="0003538F" w:rsidRPr="0003538F">
        <w:rPr>
          <w:rFonts w:ascii="Palatino Linotype" w:hAnsi="Palatino Linotype" w:cs="Arial"/>
          <w:b/>
          <w:i/>
          <w:sz w:val="24"/>
        </w:rPr>
        <w:t>toda la documentación generada, recopilada, girada o almacenada por cualquiera de las oficinas del Ayuntamiento de Ecatepec y del SAPASE administración 2025-2027, de los 8 pozos recuperados</w:t>
      </w:r>
      <w:r w:rsidR="0003538F" w:rsidRPr="0003538F">
        <w:rPr>
          <w:rFonts w:ascii="Palatino Linotype" w:hAnsi="Palatino Linotype" w:cs="Arial"/>
          <w:i/>
          <w:sz w:val="24"/>
        </w:rPr>
        <w:t xml:space="preserve"> que manifestó en sus redes sociales la alcaldesa AZUCENA CISNEROS COSS, </w:t>
      </w:r>
      <w:r w:rsidR="0003538F" w:rsidRPr="0003538F">
        <w:rPr>
          <w:rFonts w:ascii="Palatino Linotype" w:hAnsi="Palatino Linotype" w:cs="Arial"/>
          <w:b/>
          <w:i/>
          <w:sz w:val="24"/>
        </w:rPr>
        <w:t xml:space="preserve">donde se observe su ubicación y se detallen los trabajos que se realizaron en </w:t>
      </w:r>
      <w:proofErr w:type="spellStart"/>
      <w:r w:rsidR="0003538F" w:rsidRPr="0003538F">
        <w:rPr>
          <w:rFonts w:ascii="Palatino Linotype" w:hAnsi="Palatino Linotype" w:cs="Arial"/>
          <w:b/>
          <w:i/>
          <w:sz w:val="24"/>
        </w:rPr>
        <w:t>en</w:t>
      </w:r>
      <w:proofErr w:type="spellEnd"/>
      <w:r w:rsidR="0003538F" w:rsidRPr="0003538F">
        <w:rPr>
          <w:rFonts w:ascii="Palatino Linotype" w:hAnsi="Palatino Linotype" w:cs="Arial"/>
          <w:b/>
          <w:i/>
          <w:sz w:val="24"/>
        </w:rPr>
        <w:t xml:space="preserve"> cada pozo, así como el costo total de cada uno de ellos</w:t>
      </w:r>
      <w:r w:rsidR="0003538F" w:rsidRPr="0003538F">
        <w:rPr>
          <w:rFonts w:ascii="Palatino Linotype" w:hAnsi="Palatino Linotype" w:cs="Arial"/>
          <w:i/>
          <w:sz w:val="24"/>
        </w:rPr>
        <w:t>.</w:t>
      </w:r>
      <w:r w:rsidRPr="00D73315">
        <w:rPr>
          <w:rFonts w:ascii="Palatino Linotype" w:hAnsi="Palatino Linotype" w:cs="Arial"/>
          <w:sz w:val="24"/>
        </w:rPr>
        <w:t>”, por lo que</w:t>
      </w:r>
      <w:r w:rsidRPr="00D73315">
        <w:rPr>
          <w:rFonts w:ascii="Palatino Linotype" w:hAnsi="Palatino Linotype"/>
          <w:sz w:val="24"/>
        </w:rPr>
        <w:t xml:space="preserve"> resulta improcedente ampliar las solicitudes de información vía recurso de revisión. Lo anterior al tomar en consideración las siguientes premisas:</w:t>
      </w:r>
    </w:p>
    <w:p w:rsidR="00D73315" w:rsidRPr="00D73315" w:rsidRDefault="00D73315" w:rsidP="00D73315">
      <w:pPr>
        <w:pStyle w:val="Sinespaciado"/>
        <w:spacing w:line="360" w:lineRule="auto"/>
        <w:jc w:val="both"/>
        <w:rPr>
          <w:rFonts w:ascii="Palatino Linotype" w:hAnsi="Palatino Linotype"/>
          <w:sz w:val="24"/>
        </w:rPr>
      </w:pPr>
    </w:p>
    <w:p w:rsidR="00D73315" w:rsidRPr="00D73315" w:rsidRDefault="00D73315" w:rsidP="00D73315">
      <w:pPr>
        <w:pStyle w:val="Sinespaciado"/>
        <w:numPr>
          <w:ilvl w:val="0"/>
          <w:numId w:val="13"/>
        </w:numPr>
        <w:spacing w:line="360" w:lineRule="auto"/>
        <w:jc w:val="both"/>
        <w:rPr>
          <w:rFonts w:ascii="Palatino Linotype" w:hAnsi="Palatino Linotype"/>
          <w:sz w:val="24"/>
        </w:rPr>
      </w:pPr>
      <w:r w:rsidRPr="00D73315">
        <w:rPr>
          <w:rFonts w:ascii="Palatino Linotype" w:hAnsi="Palatino Linotype"/>
          <w:sz w:val="24"/>
        </w:rPr>
        <w:t xml:space="preserve">La parte recurrente solicitó </w:t>
      </w:r>
      <w:r w:rsidR="0003538F">
        <w:rPr>
          <w:rFonts w:ascii="Palatino Linotype" w:hAnsi="Palatino Linotype"/>
          <w:sz w:val="24"/>
        </w:rPr>
        <w:t>la información relacionada con los 57 millones de deuda con motivo de renta de pipas de agua</w:t>
      </w:r>
      <w:r w:rsidRPr="00D73315">
        <w:rPr>
          <w:rFonts w:ascii="Palatino Linotype" w:hAnsi="Palatino Linotype"/>
          <w:sz w:val="24"/>
        </w:rPr>
        <w:t xml:space="preserve">. </w:t>
      </w:r>
    </w:p>
    <w:p w:rsidR="00D73315" w:rsidRPr="00D73315" w:rsidRDefault="00D73315" w:rsidP="00D73315">
      <w:pPr>
        <w:pStyle w:val="Sinespaciado"/>
        <w:numPr>
          <w:ilvl w:val="0"/>
          <w:numId w:val="13"/>
        </w:numPr>
        <w:spacing w:line="360" w:lineRule="auto"/>
        <w:jc w:val="both"/>
        <w:rPr>
          <w:rFonts w:ascii="Palatino Linotype" w:hAnsi="Palatino Linotype"/>
          <w:sz w:val="24"/>
          <w:szCs w:val="24"/>
        </w:rPr>
      </w:pPr>
      <w:r w:rsidRPr="00D73315">
        <w:rPr>
          <w:rFonts w:ascii="Palatino Linotype" w:hAnsi="Palatino Linotype"/>
          <w:sz w:val="24"/>
          <w:szCs w:val="24"/>
        </w:rPr>
        <w:t xml:space="preserve">El Sujeto Obligado mediante respuesta </w:t>
      </w:r>
      <w:r w:rsidR="0003538F">
        <w:rPr>
          <w:rFonts w:ascii="Palatino Linotype" w:hAnsi="Palatino Linotype"/>
          <w:sz w:val="24"/>
          <w:szCs w:val="24"/>
        </w:rPr>
        <w:t xml:space="preserve">se declara incompetente para conocer de la solicitud. </w:t>
      </w:r>
    </w:p>
    <w:p w:rsidR="00D73315" w:rsidRPr="00D73315" w:rsidRDefault="00D73315" w:rsidP="00D73315">
      <w:pPr>
        <w:pStyle w:val="Sinespaciado"/>
        <w:numPr>
          <w:ilvl w:val="0"/>
          <w:numId w:val="13"/>
        </w:numPr>
        <w:spacing w:line="360" w:lineRule="auto"/>
        <w:jc w:val="both"/>
        <w:rPr>
          <w:rFonts w:ascii="Palatino Linotype" w:hAnsi="Palatino Linotype"/>
          <w:sz w:val="24"/>
          <w:szCs w:val="24"/>
        </w:rPr>
      </w:pPr>
      <w:r w:rsidRPr="00D73315">
        <w:rPr>
          <w:rFonts w:ascii="Palatino Linotype" w:hAnsi="Palatino Linotype"/>
          <w:sz w:val="24"/>
          <w:szCs w:val="24"/>
        </w:rPr>
        <w:t>En contraste, se inconforma y refiere en sus mo</w:t>
      </w:r>
      <w:r w:rsidR="0003538F">
        <w:rPr>
          <w:rFonts w:ascii="Palatino Linotype" w:hAnsi="Palatino Linotype"/>
          <w:sz w:val="24"/>
          <w:szCs w:val="24"/>
        </w:rPr>
        <w:t xml:space="preserve">tivos de inconformidad que requiere la ubicación de 8 pozos, así como, los trabajos realizados en ellos. </w:t>
      </w:r>
    </w:p>
    <w:p w:rsidR="00D73315" w:rsidRPr="00D73315" w:rsidRDefault="00D73315" w:rsidP="00D73315">
      <w:pPr>
        <w:tabs>
          <w:tab w:val="left" w:pos="7088"/>
        </w:tabs>
        <w:spacing w:line="360" w:lineRule="auto"/>
        <w:jc w:val="both"/>
        <w:rPr>
          <w:rFonts w:ascii="Palatino Linotype" w:hAnsi="Palatino Linotype" w:cs="Arial"/>
        </w:rPr>
      </w:pPr>
    </w:p>
    <w:p w:rsidR="00D73315" w:rsidRPr="00D73315" w:rsidRDefault="00D73315" w:rsidP="00D73315">
      <w:pPr>
        <w:tabs>
          <w:tab w:val="left" w:pos="7088"/>
        </w:tabs>
        <w:spacing w:line="360" w:lineRule="auto"/>
        <w:jc w:val="both"/>
        <w:rPr>
          <w:rFonts w:ascii="Palatino Linotype" w:hAnsi="Palatino Linotype" w:cs="Arial"/>
        </w:rPr>
      </w:pPr>
      <w:r w:rsidRPr="00D73315">
        <w:rPr>
          <w:rFonts w:ascii="Palatino Linotype" w:hAnsi="Palatino Linotype" w:cs="Arial"/>
        </w:rPr>
        <w:t xml:space="preserve">A mayor abundamiento, los nuevos puntos de solicitud son considerados </w:t>
      </w:r>
      <w:r w:rsidRPr="00D73315">
        <w:rPr>
          <w:rFonts w:ascii="Palatino Linotype" w:hAnsi="Palatino Linotype" w:cs="Arial"/>
          <w:b/>
          <w:i/>
        </w:rPr>
        <w:t xml:space="preserve">plus </w:t>
      </w:r>
      <w:proofErr w:type="spellStart"/>
      <w:r w:rsidRPr="00D73315">
        <w:rPr>
          <w:rFonts w:ascii="Palatino Linotype" w:hAnsi="Palatino Linotype" w:cs="Arial"/>
          <w:b/>
          <w:i/>
        </w:rPr>
        <w:t>petitio</w:t>
      </w:r>
      <w:proofErr w:type="spellEnd"/>
      <w:r w:rsidRPr="00D73315">
        <w:rPr>
          <w:rFonts w:ascii="Palatino Linotype" w:hAnsi="Palatino Linotype" w:cs="Arial"/>
          <w:i/>
        </w:rPr>
        <w:t xml:space="preserve"> </w:t>
      </w:r>
      <w:r w:rsidRPr="00D73315">
        <w:rPr>
          <w:rFonts w:ascii="Palatino Linotype" w:hAnsi="Palatino Linotype" w:cs="Arial"/>
        </w:rPr>
        <w:t xml:space="preserve">y no son susceptibles de ser valorados. </w:t>
      </w:r>
    </w:p>
    <w:p w:rsidR="00D73315" w:rsidRDefault="00D73315" w:rsidP="00D73315">
      <w:pPr>
        <w:pStyle w:val="Prrafodelista"/>
        <w:tabs>
          <w:tab w:val="left" w:pos="7088"/>
        </w:tabs>
        <w:autoSpaceDE w:val="0"/>
        <w:autoSpaceDN w:val="0"/>
        <w:adjustRightInd w:val="0"/>
        <w:spacing w:line="360" w:lineRule="auto"/>
        <w:ind w:left="0"/>
        <w:jc w:val="both"/>
        <w:rPr>
          <w:rFonts w:ascii="Palatino Linotype" w:hAnsi="Palatino Linotype" w:cs="Arial"/>
        </w:rPr>
      </w:pPr>
    </w:p>
    <w:p w:rsidR="00D73315" w:rsidRDefault="00D73315" w:rsidP="00D73315">
      <w:pPr>
        <w:pStyle w:val="Prrafodelista"/>
        <w:tabs>
          <w:tab w:val="left" w:pos="7088"/>
        </w:tabs>
        <w:autoSpaceDE w:val="0"/>
        <w:autoSpaceDN w:val="0"/>
        <w:adjustRightInd w:val="0"/>
        <w:spacing w:line="360" w:lineRule="auto"/>
        <w:ind w:left="0"/>
        <w:jc w:val="both"/>
        <w:rPr>
          <w:rFonts w:ascii="Palatino Linotype" w:hAnsi="Palatino Linotype" w:cs="Arial"/>
        </w:rPr>
      </w:pPr>
      <w:r w:rsidRPr="00D24648">
        <w:rPr>
          <w:rFonts w:ascii="Palatino Linotype" w:hAnsi="Palatino Linotype" w:cs="Arial"/>
        </w:rPr>
        <w:t>Viene a colación, el artículo 36 fracción II de</w:t>
      </w:r>
      <w:r>
        <w:rPr>
          <w:rFonts w:ascii="Palatino Linotype" w:hAnsi="Palatino Linotype" w:cs="Arial"/>
        </w:rPr>
        <w:t xml:space="preserve"> la Ley de Transparencia y Acceso a la Información Pública del Estado de México y Municipios, </w:t>
      </w:r>
      <w:r w:rsidRPr="00D24648">
        <w:rPr>
          <w:rFonts w:ascii="Palatino Linotype" w:hAnsi="Palatino Linotype" w:cs="Arial"/>
        </w:rPr>
        <w:t xml:space="preserve">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D73315" w:rsidRPr="00D24648" w:rsidRDefault="00D73315" w:rsidP="00D73315">
      <w:pPr>
        <w:pStyle w:val="Prrafodelista"/>
        <w:tabs>
          <w:tab w:val="left" w:pos="7088"/>
        </w:tabs>
        <w:autoSpaceDE w:val="0"/>
        <w:autoSpaceDN w:val="0"/>
        <w:adjustRightInd w:val="0"/>
        <w:spacing w:line="360" w:lineRule="auto"/>
        <w:ind w:left="0"/>
        <w:jc w:val="both"/>
        <w:rPr>
          <w:rFonts w:ascii="Palatino Linotype" w:hAnsi="Palatino Linotype" w:cs="Arial"/>
        </w:rPr>
      </w:pPr>
    </w:p>
    <w:p w:rsidR="00D73315" w:rsidRPr="00D24648" w:rsidRDefault="00D73315" w:rsidP="00D73315">
      <w:pPr>
        <w:tabs>
          <w:tab w:val="left" w:pos="7088"/>
        </w:tabs>
        <w:spacing w:before="240" w:line="360" w:lineRule="auto"/>
        <w:jc w:val="both"/>
        <w:rPr>
          <w:rFonts w:ascii="Palatino Linotype" w:hAnsi="Palatino Linotype" w:cs="Arial"/>
          <w:bCs/>
          <w:lang w:eastAsia="es-MX"/>
        </w:rPr>
      </w:pPr>
      <w:r w:rsidRPr="00D24648">
        <w:rPr>
          <w:rFonts w:ascii="Palatino Linotype" w:hAnsi="Palatino Linotype" w:cs="Arial"/>
          <w:bCs/>
          <w:lang w:eastAsia="es-MX"/>
        </w:rPr>
        <w:lastRenderedPageBreak/>
        <w:t>Sirve de apoyo a lo anterior por analogía, la Jurisprudencia No. 29 visible a foja 19 del Apéndice al Semanario Judicial de la Federación 1917-1995, Tomo IV, Materia Común, Primera Parte, Tesis de la Suprema Corte de Justicia, que señala:</w:t>
      </w:r>
    </w:p>
    <w:p w:rsidR="00D73315" w:rsidRPr="00D24648" w:rsidRDefault="00D73315" w:rsidP="00D73315">
      <w:pPr>
        <w:spacing w:before="240" w:line="360" w:lineRule="auto"/>
        <w:ind w:left="851" w:right="851"/>
        <w:jc w:val="both"/>
        <w:rPr>
          <w:rFonts w:ascii="Palatino Linotype" w:hAnsi="Palatino Linotype" w:cs="Arial"/>
          <w:b/>
          <w:bCs/>
          <w:i/>
          <w:lang w:eastAsia="es-MX"/>
        </w:rPr>
      </w:pPr>
      <w:r w:rsidRPr="00D24648">
        <w:rPr>
          <w:rFonts w:ascii="Palatino Linotype" w:hAnsi="Palatino Linotype" w:cs="Arial"/>
          <w:b/>
          <w:bCs/>
          <w:i/>
          <w:lang w:eastAsia="es-MX"/>
        </w:rPr>
        <w:t>“AGRAVIOS EN LA REVISIÓN. DEBEN ESTAR EN RELACIÓN DIRECTA CON LOS FUNDAMENTOS Y CONSIDERACIONES DE LA SENTENCIA</w:t>
      </w:r>
    </w:p>
    <w:p w:rsidR="00D73315" w:rsidRPr="00461FF0" w:rsidRDefault="00D73315" w:rsidP="00D73315">
      <w:pPr>
        <w:tabs>
          <w:tab w:val="left" w:pos="7797"/>
        </w:tabs>
        <w:spacing w:before="240" w:line="360" w:lineRule="auto"/>
        <w:ind w:left="851" w:right="851"/>
        <w:jc w:val="both"/>
        <w:rPr>
          <w:rFonts w:ascii="Palatino Linotype" w:hAnsi="Palatino Linotype" w:cs="Arial"/>
          <w:bCs/>
          <w:i/>
          <w:lang w:eastAsia="es-MX"/>
        </w:rPr>
      </w:pPr>
      <w:r w:rsidRPr="0012591D">
        <w:rPr>
          <w:rFonts w:ascii="Palatino Linotype" w:hAnsi="Palatino Linotype" w:cs="Arial"/>
          <w:b/>
          <w:bCs/>
          <w:i/>
          <w:u w:val="single"/>
          <w:lang w:eastAsia="es-MX"/>
        </w:rPr>
        <w:t>Los agravios deben estar en relación directa e inmediata con los fundamentos contenidos en la sentencia que se recurre</w:t>
      </w:r>
      <w:r w:rsidRPr="00D24648">
        <w:rPr>
          <w:rFonts w:ascii="Palatino Linotype" w:hAnsi="Palatino Linotype" w:cs="Arial"/>
          <w:bCs/>
          <w:i/>
          <w:lang w:eastAsia="es-MX"/>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Pr>
          <w:rFonts w:ascii="Palatino Linotype" w:hAnsi="Palatino Linotype" w:cs="Arial"/>
          <w:bCs/>
          <w:i/>
          <w:lang w:eastAsia="es-MX"/>
        </w:rPr>
        <w:t xml:space="preserve"> </w:t>
      </w:r>
      <w:r w:rsidRPr="002D7F26">
        <w:rPr>
          <w:rFonts w:ascii="Palatino Linotype" w:hAnsi="Palatino Linotype"/>
          <w:b/>
          <w:i/>
          <w:lang w:val="es-ES_tradnl"/>
        </w:rPr>
        <w:t>[Sic]</w:t>
      </w:r>
    </w:p>
    <w:p w:rsidR="00D73315" w:rsidRPr="00D24648" w:rsidRDefault="00D73315" w:rsidP="00D73315">
      <w:pPr>
        <w:tabs>
          <w:tab w:val="left" w:pos="7088"/>
          <w:tab w:val="left" w:pos="7230"/>
        </w:tabs>
        <w:spacing w:before="240" w:line="360" w:lineRule="auto"/>
        <w:jc w:val="both"/>
        <w:rPr>
          <w:rFonts w:ascii="Palatino Linotype" w:hAnsi="Palatino Linotype" w:cs="Arial"/>
          <w:bCs/>
          <w:lang w:eastAsia="es-MX"/>
        </w:rPr>
      </w:pPr>
      <w:r w:rsidRPr="00D24648">
        <w:rPr>
          <w:rFonts w:ascii="Palatino Linotype" w:hAnsi="Palatino Linotype" w:cs="Arial"/>
          <w:bCs/>
          <w:lang w:eastAsia="es-MX"/>
        </w:rPr>
        <w:t xml:space="preserve">Por lo anterior, se establece que dentro del recurso de revisión presentado por </w:t>
      </w:r>
      <w:r>
        <w:rPr>
          <w:rFonts w:ascii="Palatino Linotype" w:hAnsi="Palatino Linotype" w:cs="Arial"/>
          <w:b/>
          <w:bCs/>
          <w:lang w:eastAsia="es-MX"/>
        </w:rPr>
        <w:t>El</w:t>
      </w:r>
      <w:r w:rsidRPr="00D24648">
        <w:rPr>
          <w:rFonts w:ascii="Palatino Linotype" w:hAnsi="Palatino Linotype" w:cs="Arial"/>
          <w:b/>
          <w:bCs/>
          <w:lang w:eastAsia="es-MX"/>
        </w:rPr>
        <w:t xml:space="preserve"> Recurrente </w:t>
      </w:r>
      <w:r w:rsidRPr="00D24648">
        <w:rPr>
          <w:rFonts w:ascii="Palatino Linotype" w:hAnsi="Palatino Linotype" w:cs="Arial"/>
          <w:bCs/>
          <w:lang w:eastAsia="es-MX"/>
        </w:rPr>
        <w:t xml:space="preserve">no debe variar el fondo de </w:t>
      </w:r>
      <w:r w:rsidRPr="00D24648">
        <w:rPr>
          <w:rFonts w:ascii="Palatino Linotype" w:hAnsi="Palatino Linotype" w:cs="Arial"/>
          <w:bCs/>
          <w:i/>
          <w:lang w:eastAsia="es-MX"/>
        </w:rPr>
        <w:t xml:space="preserve">la </w:t>
      </w:r>
      <w:proofErr w:type="spellStart"/>
      <w:r w:rsidRPr="00D24648">
        <w:rPr>
          <w:rFonts w:ascii="Palatino Linotype" w:hAnsi="Palatino Linotype" w:cs="Arial"/>
          <w:bCs/>
          <w:i/>
          <w:lang w:eastAsia="es-MX"/>
        </w:rPr>
        <w:t>litis</w:t>
      </w:r>
      <w:proofErr w:type="spellEnd"/>
      <w:r w:rsidRPr="00D24648">
        <w:rPr>
          <w:rFonts w:ascii="Palatino Linotype" w:hAnsi="Palatino Linotype" w:cs="Arial"/>
          <w:bCs/>
          <w:i/>
          <w:lang w:eastAsia="es-MX"/>
        </w:rPr>
        <w:t>,</w:t>
      </w:r>
      <w:r w:rsidRPr="00D24648">
        <w:rPr>
          <w:rFonts w:ascii="Palatino Linotype" w:hAnsi="Palatino Linotype" w:cs="Arial"/>
          <w:bCs/>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D73315" w:rsidRDefault="00D73315" w:rsidP="00D73315">
      <w:pPr>
        <w:tabs>
          <w:tab w:val="left" w:pos="7088"/>
          <w:tab w:val="left" w:pos="7230"/>
        </w:tabs>
        <w:spacing w:before="240" w:line="360" w:lineRule="auto"/>
        <w:jc w:val="both"/>
        <w:rPr>
          <w:rFonts w:ascii="Palatino Linotype" w:hAnsi="Palatino Linotype" w:cs="Arial"/>
          <w:bCs/>
          <w:lang w:eastAsia="es-MX"/>
        </w:rPr>
      </w:pPr>
      <w:r w:rsidRPr="00D24648">
        <w:rPr>
          <w:rFonts w:ascii="Palatino Linotype" w:hAnsi="Palatino Linotype" w:cs="Arial"/>
          <w:bCs/>
          <w:lang w:eastAsia="es-MX"/>
        </w:rPr>
        <w:t xml:space="preserve">De igual manera, tiene aplicación al respecto por analogía, la tesis aislada número I.8o.A.136 A, de la Novena Época, publicada en el Seminario Oficial de la Federación y </w:t>
      </w:r>
      <w:r w:rsidRPr="00D24648">
        <w:rPr>
          <w:rFonts w:ascii="Palatino Linotype" w:hAnsi="Palatino Linotype" w:cs="Arial"/>
          <w:bCs/>
          <w:lang w:eastAsia="es-MX"/>
        </w:rPr>
        <w:lastRenderedPageBreak/>
        <w:t>su Gaceta Tomo XXIX, Marzo de 2009, página 2887, con número de registro 167607, que lleva por rubro y texto los siguientes:</w:t>
      </w:r>
    </w:p>
    <w:p w:rsidR="00D73315" w:rsidRPr="00706DE6" w:rsidRDefault="00D73315" w:rsidP="00D73315">
      <w:pPr>
        <w:tabs>
          <w:tab w:val="left" w:pos="6237"/>
        </w:tabs>
        <w:spacing w:before="240" w:line="360" w:lineRule="auto"/>
        <w:ind w:left="851" w:right="851"/>
        <w:jc w:val="both"/>
        <w:rPr>
          <w:rFonts w:ascii="Palatino Linotype" w:hAnsi="Palatino Linotype" w:cs="Arial"/>
          <w:b/>
          <w:bCs/>
          <w:i/>
          <w:u w:val="single"/>
          <w:lang w:eastAsia="es-MX"/>
        </w:rPr>
      </w:pPr>
      <w:r w:rsidRPr="00D24648">
        <w:rPr>
          <w:rFonts w:ascii="Palatino Linotype" w:hAnsi="Palatino Linotype" w:cs="Arial"/>
          <w:b/>
          <w:bCs/>
          <w:i/>
          <w:lang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706DE6">
        <w:rPr>
          <w:rFonts w:ascii="Palatino Linotype" w:hAnsi="Palatino Linotype" w:cs="Arial"/>
          <w:b/>
          <w:bCs/>
          <w:i/>
          <w:u w:val="single"/>
          <w:lang w:eastAsia="es-MX"/>
        </w:rPr>
        <w:t xml:space="preserve">O SEAN DISTINTOS A LOS DE SU PETICIÓN INICIAL. </w:t>
      </w:r>
    </w:p>
    <w:p w:rsidR="00D73315" w:rsidRPr="00706DE6" w:rsidRDefault="00D73315" w:rsidP="00D73315">
      <w:pPr>
        <w:tabs>
          <w:tab w:val="left" w:pos="6237"/>
        </w:tabs>
        <w:spacing w:before="240" w:line="360" w:lineRule="auto"/>
        <w:ind w:left="851" w:right="851"/>
        <w:jc w:val="both"/>
        <w:rPr>
          <w:rFonts w:ascii="Palatino Linotype" w:hAnsi="Palatino Linotype" w:cs="Arial"/>
          <w:b/>
          <w:bCs/>
          <w:i/>
          <w:lang w:eastAsia="es-MX"/>
        </w:rPr>
      </w:pPr>
      <w:r w:rsidRPr="00D24648">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706DE6">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D24648">
        <w:rPr>
          <w:rFonts w:ascii="Palatino Linotype" w:hAnsi="Palatino Linotype" w:cs="Arial"/>
          <w:bCs/>
          <w:i/>
          <w:lang w:eastAsia="es-MX"/>
        </w:rPr>
        <w:t xml:space="preserve"> </w:t>
      </w:r>
      <w:r w:rsidRPr="00706DE6">
        <w:rPr>
          <w:rFonts w:ascii="Palatino Linotype" w:hAnsi="Palatino Linotype" w:cs="Arial"/>
          <w:bCs/>
          <w:i/>
          <w:lang w:eastAsia="es-MX"/>
        </w:rPr>
        <w:t>también lo es que ello no implica que tales numerales deban interpretarse en el sentido</w:t>
      </w:r>
      <w:r w:rsidRPr="00D24648">
        <w:rPr>
          <w:rFonts w:ascii="Palatino Linotype" w:hAnsi="Palatino Linotype" w:cs="Arial"/>
          <w:bCs/>
          <w:i/>
          <w:lang w:eastAsia="es-MX"/>
        </w:rPr>
        <w:t xml:space="preserve"> de permitir al gobernado que a su arbitrio solicite copia de documentos que no obren en los expedientes de los sujetos obligados</w:t>
      </w:r>
      <w:r w:rsidRPr="00706DE6">
        <w:rPr>
          <w:rFonts w:ascii="Palatino Linotype" w:hAnsi="Palatino Linotype" w:cs="Arial"/>
          <w:b/>
          <w:bCs/>
          <w:i/>
          <w:lang w:eastAsia="es-MX"/>
        </w:rPr>
        <w:t xml:space="preserve">, </w:t>
      </w:r>
      <w:r w:rsidRPr="00706DE6">
        <w:rPr>
          <w:rFonts w:ascii="Palatino Linotype" w:hAnsi="Palatino Linotype" w:cs="Arial"/>
          <w:b/>
          <w:bCs/>
          <w:i/>
          <w:u w:val="single"/>
          <w:lang w:eastAsia="es-MX"/>
        </w:rPr>
        <w:t xml:space="preserve">o sean distintos a los de su petición inicial, pues ello contravendría el artículo 42 de la citada ley, que señala que las </w:t>
      </w:r>
      <w:r w:rsidRPr="00706DE6">
        <w:rPr>
          <w:rFonts w:ascii="Palatino Linotype" w:hAnsi="Palatino Linotype" w:cs="Arial"/>
          <w:b/>
          <w:bCs/>
          <w:i/>
          <w:u w:val="single"/>
          <w:lang w:eastAsia="es-MX"/>
        </w:rPr>
        <w:lastRenderedPageBreak/>
        <w:t>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rsidR="00D73315" w:rsidRPr="00461FF0" w:rsidRDefault="00D73315" w:rsidP="00D73315">
      <w:pPr>
        <w:tabs>
          <w:tab w:val="left" w:pos="6237"/>
        </w:tabs>
        <w:spacing w:before="240" w:line="360" w:lineRule="auto"/>
        <w:ind w:left="851" w:right="851"/>
        <w:jc w:val="both"/>
        <w:rPr>
          <w:rFonts w:ascii="Palatino Linotype" w:hAnsi="Palatino Linotype" w:cs="Arial"/>
          <w:bCs/>
          <w:i/>
          <w:lang w:eastAsia="es-MX"/>
        </w:rPr>
      </w:pPr>
      <w:r w:rsidRPr="00D24648">
        <w:rPr>
          <w:rFonts w:ascii="Palatino Linotype" w:hAnsi="Palatino Linotype" w:cs="Arial"/>
          <w:bCs/>
          <w:i/>
          <w:lang w:eastAsia="es-MX"/>
        </w:rPr>
        <w:t>OCTAVO TRIBUNAL COLEGIADO EN MATERIA ADMINISTRATIVA DEL PRIMER CIRCUITO.”</w:t>
      </w:r>
      <w:r>
        <w:rPr>
          <w:rFonts w:ascii="Palatino Linotype" w:hAnsi="Palatino Linotype" w:cs="Arial"/>
          <w:bCs/>
          <w:i/>
          <w:lang w:eastAsia="es-MX"/>
        </w:rPr>
        <w:t xml:space="preserve"> </w:t>
      </w:r>
      <w:r w:rsidRPr="002D7F26">
        <w:rPr>
          <w:rFonts w:ascii="Palatino Linotype" w:hAnsi="Palatino Linotype"/>
          <w:b/>
          <w:i/>
          <w:lang w:val="es-ES_tradnl"/>
        </w:rPr>
        <w:t>[Sic]</w:t>
      </w:r>
    </w:p>
    <w:p w:rsidR="00D73315" w:rsidRPr="00D24648" w:rsidRDefault="00D73315" w:rsidP="00D73315">
      <w:pPr>
        <w:spacing w:before="240" w:line="360" w:lineRule="auto"/>
        <w:jc w:val="both"/>
        <w:rPr>
          <w:rFonts w:ascii="Palatino Linotype" w:hAnsi="Palatino Linotype" w:cs="Arial"/>
          <w:bCs/>
          <w:lang w:eastAsia="es-MX"/>
        </w:rPr>
      </w:pPr>
      <w:r w:rsidRPr="00D24648">
        <w:rPr>
          <w:rFonts w:ascii="Palatino Linotype" w:hAnsi="Palatino Linotype" w:cs="Arial"/>
          <w:bCs/>
          <w:lang w:eastAsia="es-MX"/>
        </w:rPr>
        <w:t xml:space="preserve">De manera complementaria, el </w:t>
      </w:r>
      <w:r w:rsidR="0003538F">
        <w:rPr>
          <w:rFonts w:ascii="Palatino Linotype" w:hAnsi="Palatino Linotype" w:cs="Arial"/>
          <w:bCs/>
          <w:lang w:eastAsia="es-MX"/>
        </w:rPr>
        <w:t xml:space="preserve">entonces </w:t>
      </w:r>
      <w:r w:rsidRPr="00D24648">
        <w:rPr>
          <w:rFonts w:ascii="Palatino Linotype" w:hAnsi="Palatino Linotype" w:cs="Arial"/>
          <w:bCs/>
          <w:lang w:eastAsia="es-MX"/>
        </w:rPr>
        <w:t xml:space="preserve">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w:t>
      </w:r>
      <w:r w:rsidR="0003538F">
        <w:rPr>
          <w:rFonts w:ascii="Palatino Linotype" w:hAnsi="Palatino Linotype" w:cs="Arial"/>
          <w:bCs/>
          <w:lang w:eastAsia="es-MX"/>
        </w:rPr>
        <w:t xml:space="preserve">orientador </w:t>
      </w:r>
      <w:r>
        <w:rPr>
          <w:rFonts w:ascii="Palatino Linotype" w:hAnsi="Palatino Linotype" w:cs="Arial"/>
          <w:bCs/>
          <w:lang w:eastAsia="es-MX"/>
        </w:rPr>
        <w:t>01/17</w:t>
      </w:r>
      <w:r w:rsidRPr="00D24648">
        <w:rPr>
          <w:rFonts w:ascii="Palatino Linotype" w:hAnsi="Palatino Linotype" w:cs="Arial"/>
          <w:bCs/>
          <w:lang w:eastAsia="es-MX"/>
        </w:rPr>
        <w:t xml:space="preserve">; por lo que este Órgano Garante insiste en la imposibilidad de entrar al estudio de información novedosa. Criterio que es de la literalidad siguiente: </w:t>
      </w:r>
    </w:p>
    <w:p w:rsidR="00D73315" w:rsidRPr="00603716" w:rsidRDefault="00D73315" w:rsidP="00D73315">
      <w:pPr>
        <w:pStyle w:val="Citas"/>
        <w:rPr>
          <w:b/>
          <w:lang w:eastAsia="es-MX"/>
        </w:rPr>
      </w:pPr>
      <w:r w:rsidRPr="00603716">
        <w:rPr>
          <w:b/>
          <w:lang w:eastAsia="es-MX"/>
        </w:rPr>
        <w:t>“</w:t>
      </w:r>
      <w:bookmarkStart w:id="1" w:name="_Toc103270304"/>
      <w:r w:rsidRPr="00603716">
        <w:rPr>
          <w:b/>
          <w:lang w:eastAsia="es-MX"/>
        </w:rPr>
        <w:t>CRITERIO: 01/17.- Es improcedente ampliar las solicitudes de acceso a información, a través de la interposición del recurso de revisión.</w:t>
      </w:r>
      <w:bookmarkEnd w:id="1"/>
    </w:p>
    <w:p w:rsidR="00D73315" w:rsidRPr="00603716" w:rsidRDefault="00D73315" w:rsidP="00D73315">
      <w:pPr>
        <w:pStyle w:val="Citas"/>
        <w:rPr>
          <w:lang w:eastAsia="es-MX"/>
        </w:rPr>
      </w:pPr>
      <w:r w:rsidRPr="00603716">
        <w:rPr>
          <w:lang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D73315" w:rsidRPr="00603716" w:rsidRDefault="00D73315" w:rsidP="00D73315">
      <w:pPr>
        <w:pStyle w:val="Citas"/>
        <w:rPr>
          <w:lang w:eastAsia="es-MX"/>
        </w:rPr>
      </w:pPr>
      <w:r w:rsidRPr="00603716">
        <w:rPr>
          <w:lang w:eastAsia="es-MX"/>
        </w:rPr>
        <w:lastRenderedPageBreak/>
        <w:t>Resoluciones:</w:t>
      </w:r>
    </w:p>
    <w:p w:rsidR="00D73315" w:rsidRPr="00603716" w:rsidRDefault="00D73315" w:rsidP="00D73315">
      <w:pPr>
        <w:pStyle w:val="Citas"/>
        <w:rPr>
          <w:lang w:eastAsia="es-MX"/>
        </w:rPr>
      </w:pPr>
      <w:r w:rsidRPr="00603716">
        <w:rPr>
          <w:lang w:eastAsia="es-MX"/>
        </w:rPr>
        <w:t>RRA 0196/16. Secretaría de Agricultura, Ganadería, Desarrollo Rural, Pesca y Alimentación. 13 de julio de 2016. Por unanimidad. Comisionado Ponente Joel Salas Suárez.</w:t>
      </w:r>
    </w:p>
    <w:p w:rsidR="00D73315" w:rsidRPr="00603716" w:rsidRDefault="00D73315" w:rsidP="00D73315">
      <w:pPr>
        <w:pStyle w:val="Citas"/>
        <w:rPr>
          <w:lang w:eastAsia="es-MX"/>
        </w:rPr>
      </w:pPr>
      <w:r w:rsidRPr="00603716">
        <w:rPr>
          <w:lang w:eastAsia="es-MX"/>
        </w:rPr>
        <w:t xml:space="preserve">RRA 0130/16. Comisión Nacional del Agua. 09 de agosto de 2016. Por unanimidad. Comisionado Ponente María Patricia </w:t>
      </w:r>
      <w:proofErr w:type="spellStart"/>
      <w:r w:rsidRPr="00603716">
        <w:rPr>
          <w:lang w:eastAsia="es-MX"/>
        </w:rPr>
        <w:t>Kurczyn</w:t>
      </w:r>
      <w:proofErr w:type="spellEnd"/>
      <w:r w:rsidRPr="00603716">
        <w:rPr>
          <w:lang w:eastAsia="es-MX"/>
        </w:rPr>
        <w:t xml:space="preserve"> Villalobos.</w:t>
      </w:r>
    </w:p>
    <w:p w:rsidR="00D73315" w:rsidRPr="00603716" w:rsidRDefault="00D73315" w:rsidP="00D73315">
      <w:pPr>
        <w:pStyle w:val="Citas"/>
        <w:rPr>
          <w:lang w:eastAsia="es-MX"/>
        </w:rPr>
      </w:pPr>
      <w:r w:rsidRPr="00603716">
        <w:rPr>
          <w:lang w:eastAsia="es-MX"/>
        </w:rPr>
        <w:t xml:space="preserve">RRA 0342/16. Colegio de Bachilleres. 24 de agosto de 2016. Por unanimidad. Comisionada Ponente Ximena Puente de la Mora” </w:t>
      </w:r>
      <w:r w:rsidRPr="00603716">
        <w:rPr>
          <w:rFonts w:eastAsia="Times New Roman" w:cs="Times New Roman"/>
          <w:sz w:val="24"/>
          <w:szCs w:val="24"/>
          <w:lang w:val="es-ES_tradnl" w:eastAsia="es-ES"/>
        </w:rPr>
        <w:t>[Sic]</w:t>
      </w:r>
    </w:p>
    <w:p w:rsidR="00D73315" w:rsidRDefault="00D73315" w:rsidP="00D73315">
      <w:pPr>
        <w:tabs>
          <w:tab w:val="left" w:pos="1284"/>
        </w:tabs>
        <w:spacing w:line="360" w:lineRule="auto"/>
        <w:jc w:val="both"/>
        <w:rPr>
          <w:rFonts w:ascii="Palatino Linotype" w:hAnsi="Palatino Linotype" w:cs="Arial"/>
        </w:rPr>
      </w:pPr>
    </w:p>
    <w:p w:rsidR="00D73315" w:rsidRPr="00D873A8" w:rsidRDefault="00D73315" w:rsidP="00D73315">
      <w:pPr>
        <w:pStyle w:val="Sinespaciado"/>
        <w:spacing w:line="360" w:lineRule="auto"/>
        <w:ind w:right="141"/>
        <w:jc w:val="both"/>
        <w:rPr>
          <w:rFonts w:ascii="Palatino Linotype" w:hAnsi="Palatino Linotype"/>
          <w:bCs/>
          <w:sz w:val="24"/>
        </w:rPr>
      </w:pPr>
      <w:r w:rsidRPr="00D873A8">
        <w:rPr>
          <w:rFonts w:ascii="Palatino Linotype" w:hAnsi="Palatino Linotype"/>
          <w:bCs/>
          <w:sz w:val="24"/>
        </w:rPr>
        <w:t xml:space="preserve">En consecuencia, </w:t>
      </w:r>
      <w:r w:rsidRPr="00D873A8">
        <w:rPr>
          <w:rFonts w:ascii="Palatino Linotype" w:hAnsi="Palatino Linotype"/>
          <w:b/>
          <w:bCs/>
          <w:sz w:val="24"/>
        </w:rPr>
        <w:t>El Sujeto Obligado</w:t>
      </w:r>
      <w:r w:rsidRPr="00D873A8">
        <w:rPr>
          <w:rFonts w:ascii="Palatino Linotype" w:hAnsi="Palatino Linotype"/>
          <w:bCs/>
          <w:sz w:val="24"/>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D873A8">
        <w:rPr>
          <w:rFonts w:ascii="Palatino Linotype" w:hAnsi="Palatino Linotype"/>
          <w:b/>
          <w:bCs/>
          <w:sz w:val="24"/>
        </w:rPr>
        <w:t>Sujeto Obligado</w:t>
      </w:r>
      <w:r w:rsidRPr="00D873A8">
        <w:rPr>
          <w:rFonts w:ascii="Palatino Linotype" w:hAnsi="Palatino Linotype"/>
          <w:bCs/>
          <w:sz w:val="24"/>
        </w:rPr>
        <w:t xml:space="preserve"> inicialmente, por lo que este no tuvo la oportunidad legal de analizarla ni de pronunciarse sobre la misma.</w:t>
      </w:r>
    </w:p>
    <w:p w:rsidR="00D73315" w:rsidRDefault="00D73315" w:rsidP="00D73315">
      <w:pPr>
        <w:autoSpaceDE w:val="0"/>
        <w:autoSpaceDN w:val="0"/>
        <w:adjustRightInd w:val="0"/>
        <w:spacing w:line="360" w:lineRule="auto"/>
        <w:jc w:val="both"/>
        <w:rPr>
          <w:rFonts w:ascii="Palatino Linotype" w:hAnsi="Palatino Linotype" w:cs="Arial"/>
        </w:rPr>
      </w:pPr>
    </w:p>
    <w:p w:rsidR="00D73315" w:rsidRPr="00D435BA" w:rsidRDefault="00D73315" w:rsidP="00D73315">
      <w:pPr>
        <w:autoSpaceDE w:val="0"/>
        <w:autoSpaceDN w:val="0"/>
        <w:adjustRightInd w:val="0"/>
        <w:spacing w:line="360" w:lineRule="auto"/>
        <w:jc w:val="both"/>
        <w:rPr>
          <w:rFonts w:ascii="Palatino Linotype" w:hAnsi="Palatino Linotype" w:cs="Arial"/>
        </w:rPr>
      </w:pPr>
    </w:p>
    <w:p w:rsidR="00D73315" w:rsidRPr="00D34BE0" w:rsidRDefault="0003538F" w:rsidP="00D73315">
      <w:pPr>
        <w:autoSpaceDE w:val="0"/>
        <w:autoSpaceDN w:val="0"/>
        <w:adjustRightInd w:val="0"/>
        <w:spacing w:line="360" w:lineRule="auto"/>
        <w:jc w:val="both"/>
        <w:rPr>
          <w:rFonts w:ascii="Palatino Linotype" w:hAnsi="Palatino Linotype" w:cs="Arial"/>
        </w:rPr>
      </w:pPr>
      <w:r>
        <w:rPr>
          <w:rFonts w:ascii="Palatino Linotype" w:hAnsi="Palatino Linotype" w:cs="Arial"/>
        </w:rPr>
        <w:t>E</w:t>
      </w:r>
      <w:r w:rsidR="00D73315" w:rsidRPr="00D34BE0">
        <w:rPr>
          <w:rFonts w:ascii="Palatino Linotype" w:hAnsi="Palatino Linotype" w:cs="Arial"/>
        </w:rPr>
        <w:t>l artículo 191 de la Ley, que prevé siete supuestos de improcedencia, algunas de las cuales pueden aparecer antes de admitir el recurso, o bien, después, de conformidad con lo siguiente:</w:t>
      </w:r>
    </w:p>
    <w:p w:rsidR="00D73315" w:rsidRPr="00D435BA" w:rsidRDefault="00D73315" w:rsidP="00D73315">
      <w:pPr>
        <w:pStyle w:val="Citas"/>
      </w:pPr>
      <w:r>
        <w:rPr>
          <w:b/>
        </w:rPr>
        <w:t>“</w:t>
      </w:r>
      <w:r w:rsidRPr="00D435BA">
        <w:rPr>
          <w:b/>
        </w:rPr>
        <w:t>Artículo 191.</w:t>
      </w:r>
      <w:r w:rsidRPr="00D435BA">
        <w:t xml:space="preserve"> El recurso será desechado por improcedente cuando:</w:t>
      </w:r>
    </w:p>
    <w:p w:rsidR="00D73315" w:rsidRPr="00D435BA" w:rsidRDefault="00D73315" w:rsidP="00D73315">
      <w:pPr>
        <w:pStyle w:val="Citas"/>
        <w:numPr>
          <w:ilvl w:val="0"/>
          <w:numId w:val="11"/>
        </w:numPr>
        <w:ind w:left="1418"/>
      </w:pPr>
      <w:r w:rsidRPr="00D435BA">
        <w:t>Sea extemporáneo por haber transcurrido el plazo establecido en la presente Ley, a partir de la respuesta;</w:t>
      </w:r>
    </w:p>
    <w:p w:rsidR="00D73315" w:rsidRPr="00D435BA" w:rsidRDefault="00D73315" w:rsidP="00D73315">
      <w:pPr>
        <w:pStyle w:val="Citas"/>
        <w:numPr>
          <w:ilvl w:val="0"/>
          <w:numId w:val="11"/>
        </w:numPr>
        <w:ind w:left="1418"/>
      </w:pPr>
      <w:r w:rsidRPr="00D435BA">
        <w:lastRenderedPageBreak/>
        <w:t>Se esté tramitando ante el Poder Judicial de la Federación algún recurso o medio de defensa interpuesto por el recurrente;</w:t>
      </w:r>
    </w:p>
    <w:p w:rsidR="00D73315" w:rsidRPr="00D435BA" w:rsidRDefault="00D73315" w:rsidP="00D73315">
      <w:pPr>
        <w:pStyle w:val="Citas"/>
        <w:numPr>
          <w:ilvl w:val="0"/>
          <w:numId w:val="11"/>
        </w:numPr>
        <w:ind w:left="1418"/>
      </w:pPr>
      <w:r w:rsidRPr="00D435BA">
        <w:t>No actualice alguno de los supuestos previstos en la presente Ley;</w:t>
      </w:r>
    </w:p>
    <w:p w:rsidR="00D73315" w:rsidRPr="00D435BA" w:rsidRDefault="00D73315" w:rsidP="00D73315">
      <w:pPr>
        <w:pStyle w:val="Citas"/>
        <w:numPr>
          <w:ilvl w:val="0"/>
          <w:numId w:val="11"/>
        </w:numPr>
        <w:ind w:left="1418"/>
      </w:pPr>
      <w:r w:rsidRPr="00D435BA">
        <w:t>No se haya desahogado la prevención en los términos establecidos en la presente Ley;</w:t>
      </w:r>
    </w:p>
    <w:p w:rsidR="00D73315" w:rsidRPr="00D435BA" w:rsidRDefault="00D73315" w:rsidP="00D73315">
      <w:pPr>
        <w:pStyle w:val="Citas"/>
        <w:numPr>
          <w:ilvl w:val="0"/>
          <w:numId w:val="11"/>
        </w:numPr>
        <w:ind w:left="1418"/>
      </w:pPr>
      <w:r w:rsidRPr="00D435BA">
        <w:t>Se impugne la veracidad de la información proporcionada;</w:t>
      </w:r>
    </w:p>
    <w:p w:rsidR="00D73315" w:rsidRPr="00D435BA" w:rsidRDefault="00D73315" w:rsidP="00D73315">
      <w:pPr>
        <w:pStyle w:val="Citas"/>
        <w:numPr>
          <w:ilvl w:val="0"/>
          <w:numId w:val="11"/>
        </w:numPr>
        <w:ind w:left="1418"/>
      </w:pPr>
      <w:r w:rsidRPr="00D435BA">
        <w:t>Se trate de una consulta, o trámite en específico; y</w:t>
      </w:r>
    </w:p>
    <w:p w:rsidR="00D73315" w:rsidRPr="00D435BA" w:rsidRDefault="00D73315" w:rsidP="00D73315">
      <w:pPr>
        <w:pStyle w:val="Citas"/>
        <w:numPr>
          <w:ilvl w:val="0"/>
          <w:numId w:val="11"/>
        </w:numPr>
        <w:ind w:left="1418"/>
      </w:pPr>
      <w:r w:rsidRPr="00D34BE0">
        <w:rPr>
          <w:b/>
          <w:u w:val="single"/>
        </w:rPr>
        <w:t>El recurrente amplíe su solicitud en el recurso de revisión, únicamente respecto de los nuevos contenidos</w:t>
      </w:r>
      <w:r w:rsidRPr="00D34BE0">
        <w:rPr>
          <w:u w:val="single"/>
        </w:rPr>
        <w:t>.”</w:t>
      </w:r>
      <w:r>
        <w:t xml:space="preserve"> </w:t>
      </w:r>
      <w:r>
        <w:rPr>
          <w:b/>
        </w:rPr>
        <w:t>(Sic)</w:t>
      </w:r>
    </w:p>
    <w:p w:rsidR="00D73315" w:rsidRPr="00D435BA" w:rsidRDefault="00D73315" w:rsidP="00D73315">
      <w:pPr>
        <w:spacing w:line="360" w:lineRule="auto"/>
        <w:jc w:val="both"/>
        <w:rPr>
          <w:rFonts w:ascii="Palatino Linotype" w:hAnsi="Palatino Linotype"/>
        </w:rPr>
      </w:pPr>
    </w:p>
    <w:p w:rsidR="00D73315" w:rsidRPr="00F45102" w:rsidRDefault="00D73315" w:rsidP="00D73315">
      <w:pPr>
        <w:autoSpaceDE w:val="0"/>
        <w:autoSpaceDN w:val="0"/>
        <w:adjustRightInd w:val="0"/>
        <w:spacing w:line="360" w:lineRule="auto"/>
        <w:jc w:val="both"/>
        <w:rPr>
          <w:rFonts w:ascii="Palatino Linotype" w:hAnsi="Palatino Linotype" w:cs="Arial"/>
        </w:rPr>
      </w:pPr>
      <w:r w:rsidRPr="00F45102">
        <w:rPr>
          <w:rFonts w:ascii="Palatino Linotype" w:hAnsi="Palatino Linotype" w:cs="Arial"/>
        </w:rPr>
        <w:t>En conclusión, la ley de la materia establece en la fracción IV, del artículo 192, de la Ley de Transparencia vigente en la entidad, que a la letra establecen:</w:t>
      </w:r>
    </w:p>
    <w:p w:rsidR="00D73315" w:rsidRPr="00D435BA" w:rsidRDefault="00D73315" w:rsidP="00D73315">
      <w:pPr>
        <w:pStyle w:val="Citas"/>
      </w:pPr>
      <w:r w:rsidRPr="00D435BA">
        <w:t>“Artículo 192. El recurso será sobreseído, en todo o en parte, cuando una vez admitido, se actualicen alguno de los siguientes supuestos:</w:t>
      </w:r>
    </w:p>
    <w:p w:rsidR="00D73315" w:rsidRPr="00D435BA" w:rsidRDefault="00D73315" w:rsidP="00D73315">
      <w:pPr>
        <w:pStyle w:val="Citas"/>
        <w:numPr>
          <w:ilvl w:val="0"/>
          <w:numId w:val="12"/>
        </w:numPr>
      </w:pPr>
      <w:r w:rsidRPr="00D435BA">
        <w:t xml:space="preserve">El recurrente se desista expresamente del recurso; </w:t>
      </w:r>
    </w:p>
    <w:p w:rsidR="00D73315" w:rsidRPr="00D435BA" w:rsidRDefault="00D73315" w:rsidP="00D73315">
      <w:pPr>
        <w:pStyle w:val="Citas"/>
        <w:numPr>
          <w:ilvl w:val="0"/>
          <w:numId w:val="12"/>
        </w:numPr>
      </w:pPr>
      <w:r w:rsidRPr="00D435BA">
        <w:t xml:space="preserve">El recurrente fallezca o, tratándose de personas jurídicas colectivas, se disuelva; </w:t>
      </w:r>
    </w:p>
    <w:p w:rsidR="00D73315" w:rsidRPr="00D435BA" w:rsidRDefault="00D73315" w:rsidP="00D73315">
      <w:pPr>
        <w:pStyle w:val="Citas"/>
        <w:numPr>
          <w:ilvl w:val="0"/>
          <w:numId w:val="12"/>
        </w:numPr>
      </w:pPr>
      <w:r w:rsidRPr="00D435BA">
        <w:t xml:space="preserve">El sujeto obligado responsable del acto lo modifique o revoque de tal manera que el recurso de revisión quede sin materia; </w:t>
      </w:r>
    </w:p>
    <w:p w:rsidR="00D73315" w:rsidRPr="00F45102" w:rsidRDefault="00D73315" w:rsidP="00D73315">
      <w:pPr>
        <w:pStyle w:val="Citas"/>
        <w:numPr>
          <w:ilvl w:val="0"/>
          <w:numId w:val="12"/>
        </w:numPr>
        <w:rPr>
          <w:b/>
          <w:u w:val="single"/>
        </w:rPr>
      </w:pPr>
      <w:r w:rsidRPr="00F45102">
        <w:rPr>
          <w:b/>
          <w:u w:val="single"/>
        </w:rPr>
        <w:t xml:space="preserve">Admitido el recurso de revisión, aparezca alguna causal de improcedencia en los términos de la presente Ley; y </w:t>
      </w:r>
    </w:p>
    <w:p w:rsidR="00D73315" w:rsidRPr="00D34BE0" w:rsidRDefault="00D73315" w:rsidP="00D73315">
      <w:pPr>
        <w:pStyle w:val="Citas"/>
        <w:numPr>
          <w:ilvl w:val="0"/>
          <w:numId w:val="12"/>
        </w:numPr>
        <w:rPr>
          <w:b/>
        </w:rPr>
      </w:pPr>
      <w:r w:rsidRPr="00F45102">
        <w:lastRenderedPageBreak/>
        <w:t>Cuando por cualquier motivo quede sin materia el recurso.”</w:t>
      </w:r>
      <w:r>
        <w:rPr>
          <w:b/>
        </w:rPr>
        <w:t xml:space="preserve"> (Sic)</w:t>
      </w:r>
    </w:p>
    <w:p w:rsidR="00D73315" w:rsidRPr="00D435BA" w:rsidRDefault="00D73315" w:rsidP="00D73315">
      <w:pPr>
        <w:rPr>
          <w:rFonts w:ascii="Palatino Linotype" w:hAnsi="Palatino Linotype"/>
        </w:rPr>
      </w:pPr>
    </w:p>
    <w:p w:rsidR="00D73315" w:rsidRPr="00F45102" w:rsidRDefault="00D73315" w:rsidP="00D73315">
      <w:pPr>
        <w:autoSpaceDE w:val="0"/>
        <w:autoSpaceDN w:val="0"/>
        <w:adjustRightInd w:val="0"/>
        <w:spacing w:line="360" w:lineRule="auto"/>
        <w:jc w:val="both"/>
        <w:rPr>
          <w:rFonts w:ascii="Palatino Linotype" w:hAnsi="Palatino Linotype" w:cs="Arial"/>
        </w:rPr>
      </w:pPr>
      <w:r w:rsidRPr="00F45102">
        <w:rPr>
          <w:rFonts w:ascii="Palatino Linotype" w:hAnsi="Palatino Linotype" w:cs="Arial"/>
        </w:rPr>
        <w:t>Por lo que hace a los requisitos de procedencia del sobreseimiento en términos del artículo 192, de la Ley de Transparencia estatal se establece lo siguiente:</w:t>
      </w:r>
    </w:p>
    <w:p w:rsidR="00D73315" w:rsidRPr="00F45102" w:rsidRDefault="00D73315" w:rsidP="00D73315">
      <w:pPr>
        <w:numPr>
          <w:ilvl w:val="0"/>
          <w:numId w:val="10"/>
        </w:numPr>
        <w:autoSpaceDE w:val="0"/>
        <w:autoSpaceDN w:val="0"/>
        <w:adjustRightInd w:val="0"/>
        <w:spacing w:after="160" w:line="360" w:lineRule="auto"/>
        <w:ind w:left="851" w:right="850" w:firstLine="10"/>
        <w:jc w:val="both"/>
        <w:rPr>
          <w:rFonts w:ascii="Palatino Linotype" w:hAnsi="Palatino Linotype" w:cs="Arial"/>
        </w:rPr>
      </w:pPr>
      <w:r w:rsidRPr="00F45102">
        <w:rPr>
          <w:rFonts w:ascii="Palatino Linotype" w:hAnsi="Palatino Linotype" w:cs="Arial"/>
        </w:rPr>
        <w:t xml:space="preserve">Mediante acuerdo de fecha </w:t>
      </w:r>
      <w:r w:rsidR="0003538F">
        <w:rPr>
          <w:rFonts w:ascii="Palatino Linotype" w:hAnsi="Palatino Linotype" w:cs="Arial"/>
          <w:b/>
        </w:rPr>
        <w:t>doce de marzo de dos mil veinticinco</w:t>
      </w:r>
      <w:r w:rsidRPr="00F45102">
        <w:rPr>
          <w:rFonts w:ascii="Palatino Linotype" w:hAnsi="Palatino Linotype" w:cs="Arial"/>
        </w:rPr>
        <w:t xml:space="preserve">, el Comisionado </w:t>
      </w:r>
      <w:r>
        <w:rPr>
          <w:rFonts w:ascii="Palatino Linotype" w:hAnsi="Palatino Linotype" w:cs="Arial"/>
        </w:rPr>
        <w:t>Presidente José Martínez Vilchis</w:t>
      </w:r>
      <w:r w:rsidRPr="00F45102">
        <w:rPr>
          <w:rFonts w:ascii="Palatino Linotype" w:hAnsi="Palatino Linotype" w:cs="Arial"/>
        </w:rPr>
        <w:t>, admitió a trámite el recurso de revisión que nos ocupa.</w:t>
      </w:r>
    </w:p>
    <w:p w:rsidR="00D73315" w:rsidRPr="00F45102" w:rsidRDefault="00D73315" w:rsidP="00D73315">
      <w:pPr>
        <w:numPr>
          <w:ilvl w:val="0"/>
          <w:numId w:val="10"/>
        </w:numPr>
        <w:autoSpaceDE w:val="0"/>
        <w:autoSpaceDN w:val="0"/>
        <w:adjustRightInd w:val="0"/>
        <w:spacing w:after="160" w:line="360" w:lineRule="auto"/>
        <w:ind w:left="851" w:right="850" w:firstLine="10"/>
        <w:jc w:val="both"/>
      </w:pPr>
      <w:r w:rsidRPr="00F45102">
        <w:rPr>
          <w:rFonts w:ascii="Palatino Linotype" w:hAnsi="Palatino Linotype" w:cs="Arial"/>
        </w:rPr>
        <w:t xml:space="preserve">Lo esgrimido por el particular dentro del recurso de revisión impugnado queda sin materia, toda vez que la parte </w:t>
      </w:r>
      <w:r w:rsidRPr="00F45102">
        <w:rPr>
          <w:rFonts w:ascii="Palatino Linotype" w:hAnsi="Palatino Linotype" w:cs="Arial"/>
          <w:b/>
        </w:rPr>
        <w:t xml:space="preserve">Recurrente </w:t>
      </w:r>
      <w:r w:rsidRPr="00F45102">
        <w:rPr>
          <w:rFonts w:ascii="Palatino Linotype" w:hAnsi="Palatino Linotype" w:cs="Arial"/>
        </w:rPr>
        <w:t>amplío su solicitud en el recurso de revisión.</w:t>
      </w:r>
    </w:p>
    <w:p w:rsidR="00D73315" w:rsidRPr="00F45102" w:rsidRDefault="00D73315" w:rsidP="00D73315">
      <w:pPr>
        <w:numPr>
          <w:ilvl w:val="0"/>
          <w:numId w:val="10"/>
        </w:numPr>
        <w:autoSpaceDE w:val="0"/>
        <w:autoSpaceDN w:val="0"/>
        <w:adjustRightInd w:val="0"/>
        <w:spacing w:after="160" w:line="360" w:lineRule="auto"/>
        <w:ind w:left="851" w:right="850" w:firstLine="10"/>
        <w:jc w:val="both"/>
        <w:rPr>
          <w:rFonts w:ascii="Palatino Linotype" w:hAnsi="Palatino Linotype" w:cs="Arial"/>
        </w:rPr>
      </w:pPr>
      <w:r w:rsidRPr="00F45102">
        <w:rPr>
          <w:rFonts w:ascii="Palatino Linotype" w:hAnsi="Palatino Linotype" w:cs="Arial"/>
        </w:rPr>
        <w:t xml:space="preserve">El recurso </w:t>
      </w:r>
      <w:r>
        <w:rPr>
          <w:rFonts w:ascii="Palatino Linotype" w:hAnsi="Palatino Linotype" w:cs="Arial"/>
          <w:b/>
          <w:bCs/>
          <w:lang w:eastAsia="es-MX"/>
        </w:rPr>
        <w:t>02710/INFOEM/IP/RR/2025</w:t>
      </w:r>
      <w:r w:rsidRPr="00F45102">
        <w:rPr>
          <w:rFonts w:ascii="Palatino Linotype" w:hAnsi="Palatino Linotype" w:cs="Arial"/>
          <w:bCs/>
          <w:lang w:eastAsia="es-MX"/>
        </w:rPr>
        <w:t>,</w:t>
      </w:r>
      <w:r w:rsidRPr="00F45102">
        <w:rPr>
          <w:rFonts w:ascii="Palatino Linotype" w:hAnsi="Palatino Linotype" w:cs="Arial"/>
        </w:rPr>
        <w:t xml:space="preserve"> no actualiza ninguna hipótesis de las inmersas en el numeral 179, de la Ley en materia vigente en la entidad.</w:t>
      </w:r>
    </w:p>
    <w:p w:rsidR="00D73315" w:rsidRPr="00D435BA" w:rsidRDefault="00D73315" w:rsidP="00D73315">
      <w:pPr>
        <w:autoSpaceDE w:val="0"/>
        <w:autoSpaceDN w:val="0"/>
        <w:adjustRightInd w:val="0"/>
        <w:spacing w:line="360" w:lineRule="auto"/>
        <w:jc w:val="both"/>
        <w:rPr>
          <w:rFonts w:ascii="Palatino Linotype" w:hAnsi="Palatino Linotype"/>
          <w:sz w:val="16"/>
        </w:rPr>
      </w:pPr>
    </w:p>
    <w:p w:rsidR="00D73315" w:rsidRPr="00F45102" w:rsidRDefault="00D73315" w:rsidP="00D73315">
      <w:pPr>
        <w:autoSpaceDE w:val="0"/>
        <w:autoSpaceDN w:val="0"/>
        <w:adjustRightInd w:val="0"/>
        <w:spacing w:line="360" w:lineRule="auto"/>
        <w:jc w:val="both"/>
        <w:rPr>
          <w:rFonts w:ascii="Palatino Linotype" w:hAnsi="Palatino Linotype"/>
          <w:b/>
          <w:u w:val="single"/>
        </w:rPr>
      </w:pPr>
      <w:r w:rsidRPr="00F45102">
        <w:rPr>
          <w:rFonts w:ascii="Palatino Linotype" w:hAnsi="Palatino Linotype"/>
        </w:rPr>
        <w:t xml:space="preserve">Es importante resaltar a manera de analogía que la Suprema Corte de Justicia de la Nación mediante el número 2 de la Serie </w:t>
      </w:r>
      <w:r w:rsidRPr="00F45102">
        <w:rPr>
          <w:rFonts w:ascii="Palatino Linotype" w:hAnsi="Palatino Linotype"/>
          <w:i/>
        </w:rPr>
        <w:t xml:space="preserve">Estudios Introductorios sobre el Juicio de Amparo </w:t>
      </w:r>
      <w:r w:rsidRPr="00F45102">
        <w:rPr>
          <w:rFonts w:ascii="Palatino Linotype" w:hAnsi="Palatino Linotype"/>
        </w:rPr>
        <w:t xml:space="preserve">relativo a </w:t>
      </w:r>
      <w:r w:rsidRPr="00F45102">
        <w:rPr>
          <w:rFonts w:ascii="Palatino Linotype" w:hAnsi="Palatino Linotype"/>
          <w:i/>
        </w:rPr>
        <w:t xml:space="preserve">LA IMPROCEDENCIA DE LA ACCIÓN DE AMPARO </w:t>
      </w:r>
      <w:r w:rsidRPr="00F45102">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F45102">
        <w:rPr>
          <w:rFonts w:ascii="Palatino Linotype" w:hAnsi="Palatino Linotype"/>
          <w:b/>
          <w:u w:val="single"/>
        </w:rPr>
        <w:t>lo que generará que la demanda sea desechada; o bien, después de admitida la demanda, lo que tendrá como consecuencia que se sobresea en el juicio.</w:t>
      </w:r>
    </w:p>
    <w:p w:rsidR="00D73315" w:rsidRPr="00BB5A76" w:rsidRDefault="00D73315" w:rsidP="00D73315">
      <w:pPr>
        <w:spacing w:line="360" w:lineRule="auto"/>
        <w:jc w:val="both"/>
        <w:rPr>
          <w:rFonts w:ascii="Palatino Linotype" w:hAnsi="Palatino Linotype" w:cs="Arial"/>
        </w:rPr>
      </w:pPr>
    </w:p>
    <w:p w:rsidR="00D73315" w:rsidRPr="00C91633" w:rsidRDefault="00D73315" w:rsidP="00D73315">
      <w:pPr>
        <w:spacing w:line="360" w:lineRule="auto"/>
        <w:ind w:right="51"/>
        <w:jc w:val="both"/>
        <w:rPr>
          <w:rFonts w:ascii="Palatino Linotype" w:hAnsi="Palatino Linotype" w:cs="Arial"/>
          <w:bCs/>
          <w:lang w:eastAsia="es-MX"/>
        </w:rPr>
      </w:pPr>
      <w:r w:rsidRPr="00BB5A76">
        <w:rPr>
          <w:rFonts w:ascii="Palatino Linotype" w:hAnsi="Palatino Linotype" w:cs="Arial"/>
        </w:rPr>
        <w:t xml:space="preserve">Así, en mérito de lo expuesto en líneas anteriores </w:t>
      </w:r>
      <w:r w:rsidRPr="00BB5A76">
        <w:rPr>
          <w:rFonts w:ascii="Palatino Linotype" w:hAnsi="Palatino Linotype"/>
          <w:noProof/>
          <w:lang w:eastAsia="es-MX"/>
        </w:rPr>
        <w:t xml:space="preserve">resultan </w:t>
      </w:r>
      <w:r>
        <w:rPr>
          <w:rFonts w:ascii="Palatino Linotype" w:hAnsi="Palatino Linotype"/>
          <w:noProof/>
          <w:lang w:eastAsia="es-MX"/>
        </w:rPr>
        <w:t>in</w:t>
      </w:r>
      <w:r w:rsidRPr="0047376C">
        <w:rPr>
          <w:rFonts w:ascii="Palatino Linotype" w:hAnsi="Palatino Linotype"/>
          <w:noProof/>
          <w:lang w:eastAsia="es-MX"/>
        </w:rPr>
        <w:t>fundadas</w:t>
      </w:r>
      <w:r>
        <w:rPr>
          <w:rFonts w:ascii="Palatino Linotype" w:hAnsi="Palatino Linotype"/>
          <w:noProof/>
          <w:lang w:eastAsia="es-MX"/>
        </w:rPr>
        <w:t xml:space="preserve"> </w:t>
      </w:r>
      <w:r w:rsidRPr="00BB5A76">
        <w:rPr>
          <w:rFonts w:ascii="Palatino Linotype" w:hAnsi="Palatino Linotype"/>
          <w:noProof/>
          <w:lang w:eastAsia="es-MX"/>
        </w:rPr>
        <w:t>las razones o motivos de inconformidad que arguye el</w:t>
      </w:r>
      <w:r w:rsidRPr="00BB5A76">
        <w:rPr>
          <w:rFonts w:ascii="Palatino Linotype" w:hAnsi="Palatino Linotype"/>
          <w:b/>
          <w:noProof/>
          <w:lang w:eastAsia="es-MX"/>
        </w:rPr>
        <w:t xml:space="preserve"> Recurrente</w:t>
      </w:r>
      <w:r w:rsidRPr="00BB5A76">
        <w:rPr>
          <w:rFonts w:ascii="Palatino Linotype" w:hAnsi="Palatino Linotype"/>
          <w:noProof/>
          <w:lang w:eastAsia="es-MX"/>
        </w:rPr>
        <w:t xml:space="preserve">, </w:t>
      </w:r>
      <w:r w:rsidRPr="00BB5A76">
        <w:rPr>
          <w:rFonts w:ascii="Palatino Linotype" w:hAnsi="Palatino Linotype" w:cs="Arial"/>
        </w:rPr>
        <w:t>por ello co</w:t>
      </w:r>
      <w:r>
        <w:rPr>
          <w:rFonts w:ascii="Palatino Linotype" w:hAnsi="Palatino Linotype" w:cs="Arial"/>
        </w:rPr>
        <w:t>n fundamento en el artículo 186,</w:t>
      </w:r>
      <w:r w:rsidRPr="00BB5A76">
        <w:rPr>
          <w:rFonts w:ascii="Palatino Linotype" w:hAnsi="Palatino Linotype" w:cs="Arial"/>
        </w:rPr>
        <w:t xml:space="preserve"> fraccion</w:t>
      </w:r>
      <w:r>
        <w:rPr>
          <w:rFonts w:ascii="Palatino Linotype" w:hAnsi="Palatino Linotype" w:cs="Arial"/>
        </w:rPr>
        <w:t>es I y</w:t>
      </w:r>
      <w:r w:rsidRPr="00BB5A76">
        <w:rPr>
          <w:rFonts w:ascii="Palatino Linotype" w:hAnsi="Palatino Linotype" w:cs="Arial"/>
        </w:rPr>
        <w:t xml:space="preserve"> II, de la Ley de Transparencia y Acceso a la Información Pública del Estado de México y Municipios, </w:t>
      </w:r>
      <w:r w:rsidRPr="00F45102">
        <w:rPr>
          <w:rFonts w:ascii="Palatino Linotype" w:hAnsi="Palatino Linotype" w:cs="Arial"/>
        </w:rPr>
        <w:t xml:space="preserve">se </w:t>
      </w:r>
      <w:r w:rsidRPr="00F45102">
        <w:rPr>
          <w:rFonts w:ascii="Palatino Linotype" w:hAnsi="Palatino Linotype" w:cs="Arial"/>
          <w:b/>
        </w:rPr>
        <w:t>SOBRESEE</w:t>
      </w:r>
      <w:r w:rsidRPr="00F45102">
        <w:rPr>
          <w:rFonts w:ascii="Palatino Linotype" w:hAnsi="Palatino Linotype" w:cs="Arial"/>
        </w:rPr>
        <w:t xml:space="preserve"> el recurso de revisión </w:t>
      </w:r>
      <w:r>
        <w:rPr>
          <w:rFonts w:ascii="Palatino Linotype" w:eastAsiaTheme="minorEastAsia" w:hAnsi="Palatino Linotype"/>
          <w:b/>
          <w:lang w:val="es-ES_tradnl"/>
        </w:rPr>
        <w:t>02710/INFOEM/IP/RR/2025</w:t>
      </w:r>
      <w:r w:rsidRPr="00BB5A76">
        <w:rPr>
          <w:rFonts w:ascii="Palatino Linotype" w:hAnsi="Palatino Linotype" w:cs="Arial"/>
          <w:b/>
        </w:rPr>
        <w:t xml:space="preserve"> </w:t>
      </w:r>
      <w:r>
        <w:rPr>
          <w:rFonts w:ascii="Palatino Linotype" w:hAnsi="Palatino Linotype" w:cs="Arial"/>
        </w:rPr>
        <w:t>e</w:t>
      </w:r>
      <w:r w:rsidRPr="00F45102">
        <w:rPr>
          <w:rFonts w:ascii="Palatino Linotype" w:hAnsi="Palatino Linotype" w:cs="Arial"/>
        </w:rPr>
        <w:t xml:space="preserve">n concordancia con el artículo 192, fracción IV, de la Ley de Transparencia y Acceso a la Información Pública del Estado de México y Municipios, </w:t>
      </w:r>
      <w:r>
        <w:rPr>
          <w:rFonts w:ascii="Palatino Linotype" w:hAnsi="Palatino Linotype" w:cs="Arial"/>
          <w:bCs/>
        </w:rPr>
        <w:t>que han</w:t>
      </w:r>
      <w:r w:rsidRPr="00BB5A76">
        <w:rPr>
          <w:rFonts w:ascii="Palatino Linotype" w:hAnsi="Palatino Linotype" w:cs="Arial"/>
          <w:bCs/>
        </w:rPr>
        <w:t xml:space="preserve"> sido materia del presente fallo</w:t>
      </w:r>
      <w:r w:rsidRPr="00BB5A76">
        <w:rPr>
          <w:rFonts w:ascii="Palatino Linotype" w:hAnsi="Palatino Linotype" w:cs="Arial"/>
        </w:rPr>
        <w:t>.</w:t>
      </w:r>
      <w:r w:rsidRPr="00DD561E">
        <w:rPr>
          <w:rFonts w:ascii="Palatino Linotype" w:hAnsi="Palatino Linotype" w:cs="Arial"/>
        </w:rPr>
        <w:t xml:space="preserve"> </w:t>
      </w:r>
    </w:p>
    <w:p w:rsidR="00D73315" w:rsidRDefault="00D73315" w:rsidP="00D73315">
      <w:pPr>
        <w:spacing w:line="360" w:lineRule="auto"/>
        <w:jc w:val="both"/>
        <w:rPr>
          <w:rFonts w:ascii="Palatino Linotype" w:hAnsi="Palatino Linotype"/>
        </w:rPr>
      </w:pPr>
    </w:p>
    <w:p w:rsidR="00D73315" w:rsidRPr="002C3EC8" w:rsidRDefault="00D73315" w:rsidP="00D73315">
      <w:pPr>
        <w:spacing w:line="360" w:lineRule="auto"/>
        <w:jc w:val="both"/>
        <w:rPr>
          <w:rFonts w:ascii="Palatino Linotype" w:hAnsi="Palatino Linotype"/>
        </w:rPr>
      </w:pPr>
      <w:r w:rsidRPr="002C3EC8">
        <w:rPr>
          <w:rFonts w:ascii="Palatino Linotype" w:hAnsi="Palatino Linotype"/>
        </w:rPr>
        <w:t>Por lo antes expuesto y fundado es de resolverse y,</w:t>
      </w:r>
    </w:p>
    <w:p w:rsidR="00D73315" w:rsidRPr="00C960DD" w:rsidRDefault="00D73315" w:rsidP="00D73315">
      <w:pPr>
        <w:autoSpaceDE w:val="0"/>
        <w:autoSpaceDN w:val="0"/>
        <w:adjustRightInd w:val="0"/>
        <w:spacing w:line="360" w:lineRule="auto"/>
        <w:jc w:val="both"/>
        <w:rPr>
          <w:rFonts w:ascii="Palatino Linotype" w:hAnsi="Palatino Linotype" w:cs="Arial"/>
        </w:rPr>
      </w:pPr>
    </w:p>
    <w:p w:rsidR="00D73315" w:rsidRPr="00C960DD" w:rsidRDefault="00D73315" w:rsidP="00D73315">
      <w:pPr>
        <w:spacing w:line="360" w:lineRule="auto"/>
        <w:ind w:left="426"/>
        <w:jc w:val="center"/>
        <w:rPr>
          <w:rFonts w:ascii="Palatino Linotype" w:hAnsi="Palatino Linotype"/>
          <w:b/>
          <w:color w:val="000000"/>
          <w:sz w:val="28"/>
        </w:rPr>
      </w:pPr>
      <w:r w:rsidRPr="00C960DD">
        <w:rPr>
          <w:rFonts w:ascii="Palatino Linotype" w:hAnsi="Palatino Linotype"/>
          <w:b/>
          <w:color w:val="000000"/>
          <w:sz w:val="28"/>
        </w:rPr>
        <w:t>SE    RESUELVE</w:t>
      </w:r>
    </w:p>
    <w:p w:rsidR="00D73315" w:rsidRPr="00C960DD" w:rsidRDefault="00D73315" w:rsidP="00D73315">
      <w:pPr>
        <w:tabs>
          <w:tab w:val="left" w:pos="8647"/>
        </w:tabs>
        <w:spacing w:line="360" w:lineRule="auto"/>
        <w:ind w:right="51"/>
        <w:jc w:val="both"/>
        <w:rPr>
          <w:rFonts w:ascii="Palatino Linotype" w:hAnsi="Palatino Linotype" w:cs="Arial"/>
        </w:rPr>
      </w:pPr>
    </w:p>
    <w:p w:rsidR="00D73315" w:rsidRPr="00F45102" w:rsidRDefault="00D73315" w:rsidP="00D73315">
      <w:pPr>
        <w:spacing w:line="360" w:lineRule="auto"/>
        <w:jc w:val="both"/>
        <w:rPr>
          <w:rFonts w:ascii="Palatino Linotype" w:eastAsiaTheme="minorEastAsia" w:hAnsi="Palatino Linotype"/>
          <w:lang w:val="es-ES_tradnl"/>
        </w:rPr>
      </w:pPr>
      <w:r>
        <w:rPr>
          <w:rFonts w:ascii="Palatino Linotype" w:hAnsi="Palatino Linotype" w:cs="Arial"/>
          <w:b/>
          <w:sz w:val="28"/>
          <w:szCs w:val="28"/>
        </w:rPr>
        <w:t>PRIMERO</w:t>
      </w:r>
      <w:r w:rsidRPr="00D62F3F">
        <w:rPr>
          <w:rFonts w:ascii="Palatino Linotype" w:hAnsi="Palatino Linotype" w:cs="Arial"/>
          <w:b/>
          <w:sz w:val="28"/>
          <w:szCs w:val="28"/>
        </w:rPr>
        <w:t>.</w:t>
      </w:r>
      <w:r>
        <w:rPr>
          <w:rFonts w:ascii="Palatino Linotype" w:hAnsi="Palatino Linotype" w:cs="Arial"/>
          <w:b/>
        </w:rPr>
        <w:t xml:space="preserve"> </w:t>
      </w:r>
      <w:r w:rsidRPr="00F45102">
        <w:rPr>
          <w:rFonts w:ascii="Palatino Linotype" w:hAnsi="Palatino Linotype" w:cs="Arial"/>
          <w:lang w:val="es-ES_tradnl"/>
        </w:rPr>
        <w:t xml:space="preserve">Se </w:t>
      </w:r>
      <w:r w:rsidRPr="00F45102">
        <w:rPr>
          <w:rFonts w:ascii="Palatino Linotype" w:hAnsi="Palatino Linotype" w:cs="Arial"/>
          <w:b/>
          <w:lang w:val="es-ES_tradnl"/>
        </w:rPr>
        <w:t>SOBRESEE</w:t>
      </w:r>
      <w:r w:rsidRPr="00F45102">
        <w:rPr>
          <w:rFonts w:ascii="Palatino Linotype" w:hAnsi="Palatino Linotype" w:cs="Arial"/>
          <w:lang w:val="es-ES_tradnl"/>
        </w:rPr>
        <w:t xml:space="preserve"> el recurso de revisión número </w:t>
      </w:r>
      <w:r>
        <w:rPr>
          <w:rFonts w:ascii="Palatino Linotype" w:hAnsi="Palatino Linotype" w:cs="Arial"/>
          <w:b/>
          <w:lang w:val="es-ES_tradnl"/>
        </w:rPr>
        <w:t>02710/INFOEM/IP/RR/2025</w:t>
      </w:r>
      <w:r w:rsidRPr="00F45102">
        <w:rPr>
          <w:rFonts w:ascii="Palatino Linotype" w:hAnsi="Palatino Linotype" w:cs="Arial"/>
          <w:lang w:val="es-ES_tradnl"/>
        </w:rPr>
        <w:t xml:space="preserve">, </w:t>
      </w:r>
      <w:r w:rsidRPr="009C2F04">
        <w:rPr>
          <w:rFonts w:ascii="Palatino Linotype" w:eastAsia="Palatino Linotype" w:hAnsi="Palatino Linotype" w:cs="Palatino Linotype"/>
          <w:color w:val="000000"/>
        </w:rPr>
        <w:t xml:space="preserve">por improcedente al actualizarse lo dispuesto en el artículo 192 fracción IV, con relación a la fracción </w:t>
      </w:r>
      <w:r>
        <w:rPr>
          <w:rFonts w:ascii="Palatino Linotype" w:eastAsia="Palatino Linotype" w:hAnsi="Palatino Linotype" w:cs="Palatino Linotype"/>
          <w:color w:val="000000"/>
        </w:rPr>
        <w:t>VII</w:t>
      </w:r>
      <w:r w:rsidRPr="009C2F04">
        <w:rPr>
          <w:rFonts w:ascii="Palatino Linotype" w:eastAsia="Palatino Linotype" w:hAnsi="Palatino Linotype" w:cs="Palatino Linotype"/>
          <w:color w:val="000000"/>
        </w:rPr>
        <w:t xml:space="preserve"> del artículo 191 de la Ley de Transparencia y Acceso a la Información Pública del Estado de México y Municipios</w:t>
      </w:r>
      <w:r>
        <w:rPr>
          <w:rFonts w:ascii="Palatino Linotype" w:eastAsia="Palatino Linotype" w:hAnsi="Palatino Linotype" w:cs="Palatino Linotype"/>
          <w:color w:val="000000"/>
        </w:rPr>
        <w:t xml:space="preserve">, </w:t>
      </w:r>
      <w:r w:rsidRPr="00F45102">
        <w:rPr>
          <w:rFonts w:ascii="Palatino Linotype" w:hAnsi="Palatino Linotype" w:cs="Arial"/>
          <w:lang w:val="es-ES_tradnl"/>
        </w:rPr>
        <w:t xml:space="preserve">en términos del Considerando </w:t>
      </w:r>
      <w:r>
        <w:rPr>
          <w:rFonts w:ascii="Palatino Linotype" w:hAnsi="Palatino Linotype" w:cs="Arial"/>
          <w:b/>
          <w:lang w:val="es-ES_tradnl"/>
        </w:rPr>
        <w:t>TERCERO</w:t>
      </w:r>
      <w:r w:rsidRPr="00F45102">
        <w:rPr>
          <w:rFonts w:ascii="Palatino Linotype" w:hAnsi="Palatino Linotype" w:cs="Arial"/>
          <w:lang w:val="es-ES_tradnl"/>
        </w:rPr>
        <w:t xml:space="preserve"> de la presente resolución.</w:t>
      </w:r>
    </w:p>
    <w:p w:rsidR="00D73315" w:rsidRPr="00F45102" w:rsidRDefault="00D73315" w:rsidP="00D73315">
      <w:pPr>
        <w:spacing w:line="360" w:lineRule="auto"/>
        <w:jc w:val="both"/>
        <w:rPr>
          <w:rFonts w:ascii="Palatino Linotype" w:eastAsiaTheme="minorEastAsia" w:hAnsi="Palatino Linotype"/>
          <w:lang w:val="es-ES_tradnl"/>
        </w:rPr>
      </w:pPr>
    </w:p>
    <w:p w:rsidR="00D73315" w:rsidRPr="00F45102" w:rsidRDefault="00D73315" w:rsidP="00D73315">
      <w:pPr>
        <w:spacing w:line="360" w:lineRule="auto"/>
        <w:jc w:val="both"/>
        <w:rPr>
          <w:rFonts w:ascii="Palatino Linotype" w:hAnsi="Palatino Linotype"/>
        </w:rPr>
      </w:pPr>
      <w:r w:rsidRPr="00F566E3">
        <w:rPr>
          <w:rFonts w:ascii="Palatino Linotype" w:hAnsi="Palatino Linotype"/>
          <w:b/>
          <w:sz w:val="28"/>
        </w:rPr>
        <w:t>SEGUNDO</w:t>
      </w:r>
      <w:r w:rsidRPr="00F45102">
        <w:rPr>
          <w:rFonts w:ascii="Palatino Linotype" w:hAnsi="Palatino Linotype"/>
          <w:b/>
        </w:rPr>
        <w:t>.</w:t>
      </w:r>
      <w:r w:rsidRPr="00F45102">
        <w:rPr>
          <w:rFonts w:ascii="Palatino Linotype" w:hAnsi="Palatino Linotype" w:cs="Arial"/>
        </w:rPr>
        <w:t xml:space="preserve"> </w:t>
      </w:r>
      <w:r w:rsidRPr="00F45102">
        <w:rPr>
          <w:rFonts w:ascii="Palatino Linotype" w:hAnsi="Palatino Linotype"/>
          <w:b/>
        </w:rPr>
        <w:t>NOTIFÍQUESE</w:t>
      </w:r>
      <w:r w:rsidRPr="00F45102">
        <w:rPr>
          <w:rFonts w:ascii="Palatino Linotype" w:hAnsi="Palatino Linotype"/>
        </w:rPr>
        <w:t xml:space="preserve"> vía </w:t>
      </w:r>
      <w:r w:rsidRPr="002B7AFD">
        <w:rPr>
          <w:rFonts w:ascii="Palatino Linotype" w:hAnsi="Palatino Linotype"/>
          <w:b/>
        </w:rPr>
        <w:t xml:space="preserve">Sistema de Acceso a la Información Mexiquense </w:t>
      </w:r>
      <w:r w:rsidRPr="00F45102">
        <w:rPr>
          <w:rFonts w:ascii="Palatino Linotype" w:hAnsi="Palatino Linotype"/>
          <w:b/>
        </w:rPr>
        <w:t>(SAIMEX)</w:t>
      </w:r>
      <w:r w:rsidRPr="00F45102">
        <w:rPr>
          <w:rFonts w:ascii="Palatino Linotype" w:hAnsi="Palatino Linotype"/>
        </w:rPr>
        <w:t xml:space="preserve">, la presente resolución al Titular de la Unidad de Transparencia del </w:t>
      </w:r>
      <w:r w:rsidRPr="00F45102">
        <w:rPr>
          <w:rFonts w:ascii="Palatino Linotype" w:hAnsi="Palatino Linotype"/>
          <w:b/>
        </w:rPr>
        <w:t>Sujeto Obligado</w:t>
      </w:r>
      <w:r w:rsidRPr="00F45102">
        <w:rPr>
          <w:rFonts w:ascii="Palatino Linotype" w:hAnsi="Palatino Linotype"/>
        </w:rPr>
        <w:t>.</w:t>
      </w:r>
    </w:p>
    <w:p w:rsidR="00D73315" w:rsidRPr="00F45102" w:rsidRDefault="00D73315" w:rsidP="00D73315">
      <w:pPr>
        <w:spacing w:line="360" w:lineRule="auto"/>
        <w:jc w:val="both"/>
        <w:rPr>
          <w:rFonts w:ascii="Palatino Linotype" w:hAnsi="Palatino Linotype"/>
        </w:rPr>
      </w:pPr>
    </w:p>
    <w:p w:rsidR="000C6ABA" w:rsidRPr="0003538F" w:rsidRDefault="00D73315" w:rsidP="0003538F">
      <w:pPr>
        <w:spacing w:line="360" w:lineRule="auto"/>
        <w:jc w:val="both"/>
        <w:rPr>
          <w:rFonts w:ascii="Palatino Linotype" w:hAnsi="Palatino Linotype"/>
        </w:rPr>
      </w:pPr>
      <w:r w:rsidRPr="00F566E3">
        <w:rPr>
          <w:rFonts w:ascii="Palatino Linotype" w:hAnsi="Palatino Linotype" w:cs="Arial"/>
          <w:b/>
          <w:sz w:val="28"/>
        </w:rPr>
        <w:lastRenderedPageBreak/>
        <w:t>TERCERO.</w:t>
      </w:r>
      <w:r w:rsidRPr="00F45102">
        <w:rPr>
          <w:rFonts w:ascii="Palatino Linotype" w:hAnsi="Palatino Linotype" w:cs="Arial"/>
          <w:b/>
        </w:rPr>
        <w:t xml:space="preserve"> </w:t>
      </w:r>
      <w:r w:rsidRPr="00F45102">
        <w:rPr>
          <w:rFonts w:ascii="Palatino Linotype" w:hAnsi="Palatino Linotype"/>
          <w:b/>
        </w:rPr>
        <w:t>NOTIFÍQUESE</w:t>
      </w:r>
      <w:r w:rsidRPr="00F45102">
        <w:rPr>
          <w:rFonts w:ascii="Palatino Linotype" w:hAnsi="Palatino Linotype"/>
        </w:rPr>
        <w:t xml:space="preserve"> al </w:t>
      </w:r>
      <w:r w:rsidRPr="00F45102">
        <w:rPr>
          <w:rFonts w:ascii="Palatino Linotype" w:hAnsi="Palatino Linotype"/>
          <w:b/>
        </w:rPr>
        <w:t xml:space="preserve">Recurrente </w:t>
      </w:r>
      <w:r w:rsidRPr="00F45102">
        <w:rPr>
          <w:rFonts w:ascii="Palatino Linotype" w:hAnsi="Palatino Linotype"/>
        </w:rPr>
        <w:t xml:space="preserve">la presente resolución vía Sistema de Acceso a la Información Mexiquense </w:t>
      </w:r>
      <w:r w:rsidRPr="00F45102">
        <w:rPr>
          <w:rFonts w:ascii="Palatino Linotype" w:hAnsi="Palatino Linotype"/>
          <w:b/>
        </w:rPr>
        <w:t>(SAIMEX)</w:t>
      </w:r>
      <w:r w:rsidRPr="00F45102">
        <w:rPr>
          <w:rFonts w:ascii="Palatino Linotype" w:hAnsi="Palatino Linotype"/>
        </w:rPr>
        <w:t xml:space="preserve">, y </w:t>
      </w:r>
      <w:r w:rsidRPr="00F45102">
        <w:rPr>
          <w:rFonts w:ascii="Palatino Linotype" w:hAnsi="Palatino Linotype" w:cs="Arial"/>
        </w:rPr>
        <w:t>hágase</w:t>
      </w:r>
      <w:r w:rsidRPr="00F45102">
        <w:rPr>
          <w:rFonts w:ascii="Palatino Linotype" w:hAnsi="Palatino Linotype"/>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r>
        <w:rPr>
          <w:rFonts w:ascii="Palatino Linotype" w:hAnsi="Palatino Linotype" w:cs="Arial"/>
        </w:rPr>
        <w:t xml:space="preserve"> </w:t>
      </w:r>
    </w:p>
    <w:p w:rsidR="000C6ABA" w:rsidRDefault="000C6ABA" w:rsidP="000C6ABA">
      <w:pPr>
        <w:spacing w:line="360" w:lineRule="auto"/>
        <w:jc w:val="both"/>
        <w:rPr>
          <w:rFonts w:ascii="Palatino Linotype" w:hAnsi="Palatino Linotype" w:cs="Arial"/>
        </w:rPr>
      </w:pPr>
    </w:p>
    <w:p w:rsidR="000C6ABA" w:rsidRPr="007C3942" w:rsidRDefault="000C6ABA" w:rsidP="000C6ABA">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w:t>
      </w:r>
      <w:r w:rsidR="004A0FC0">
        <w:rPr>
          <w:rFonts w:ascii="Palatino Linotype" w:hAnsi="Palatino Linotype" w:cs="Arial"/>
        </w:rPr>
        <w:t xml:space="preserve"> </w:t>
      </w:r>
      <w:r w:rsidR="004A0FC0" w:rsidRPr="004A0FC0">
        <w:rPr>
          <w:rFonts w:ascii="Palatino Linotype" w:hAnsi="Palatino Linotype" w:cs="Arial"/>
        </w:rPr>
        <w:t>(AUSENCIA JUSTIFICADA)</w:t>
      </w:r>
      <w:r w:rsidRPr="007C3942">
        <w:rPr>
          <w:rFonts w:ascii="Palatino Linotype" w:hAnsi="Palatino Linotype" w:cs="Arial"/>
        </w:rPr>
        <w:t>, LUIS GUSTAVO PARRA NORIEGA</w:t>
      </w:r>
      <w:r>
        <w:rPr>
          <w:rFonts w:ascii="Palatino Linotype" w:hAnsi="Palatino Linotype" w:cs="Arial"/>
        </w:rPr>
        <w:t xml:space="preserve"> </w:t>
      </w:r>
      <w:r w:rsidRPr="007C3942">
        <w:rPr>
          <w:rFonts w:ascii="Palatino Linotype" w:hAnsi="Palatino Linotype" w:cs="Arial"/>
        </w:rPr>
        <w:t>Y GUADALUPE RAMÍREZ PEÑA</w:t>
      </w:r>
      <w:r w:rsidR="004A0FC0">
        <w:rPr>
          <w:rFonts w:ascii="Palatino Linotype" w:hAnsi="Palatino Linotype" w:cs="Arial"/>
        </w:rPr>
        <w:t xml:space="preserve"> </w:t>
      </w:r>
      <w:r w:rsidR="004A0FC0" w:rsidRPr="004A0FC0">
        <w:rPr>
          <w:rFonts w:ascii="Palatino Linotype" w:hAnsi="Palatino Linotype" w:cs="Arial"/>
        </w:rPr>
        <w:t>(AUSENCIA JUSTIFICADA)</w:t>
      </w:r>
      <w:r w:rsidRPr="007C3942">
        <w:rPr>
          <w:rFonts w:ascii="Palatino Linotype" w:hAnsi="Palatino Linotype" w:cs="Arial"/>
        </w:rPr>
        <w:t xml:space="preserve">, EN LA </w:t>
      </w:r>
      <w:r>
        <w:rPr>
          <w:rFonts w:ascii="Palatino Linotype" w:hAnsi="Palatino Linotype" w:cs="Arial"/>
        </w:rPr>
        <w:t xml:space="preserve">DÉCIMA </w:t>
      </w:r>
      <w:r w:rsidR="0003538F">
        <w:rPr>
          <w:rFonts w:ascii="Palatino Linotype" w:hAnsi="Palatino Linotype" w:cs="Arial"/>
        </w:rPr>
        <w:t>SEXTA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03538F">
        <w:rPr>
          <w:rFonts w:ascii="Palatino Linotype" w:hAnsi="Palatino Linotype" w:cs="Arial"/>
        </w:rPr>
        <w:t>OCHO DE MAYO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4A0FC0">
        <w:rPr>
          <w:rFonts w:ascii="Palatino Linotype" w:hAnsi="Palatino Linotype" w:cs="Arial"/>
        </w:rPr>
        <w:t>------------------------------------</w:t>
      </w:r>
    </w:p>
    <w:p w:rsidR="000C6ABA" w:rsidRDefault="000C6ABA" w:rsidP="000C6ABA">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Pr>
          <w:rFonts w:ascii="Palatino Linotype" w:hAnsi="Palatino Linotype" w:cs="Arial"/>
          <w:sz w:val="16"/>
        </w:rPr>
        <w:t>JMV/CCR/LMST</w:t>
      </w:r>
    </w:p>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0C6ABA" w:rsidRDefault="000C6ABA" w:rsidP="000C6ABA"/>
    <w:p w:rsidR="008536EB" w:rsidRDefault="008536EB"/>
    <w:sectPr w:rsidR="008536EB" w:rsidSect="00464A79">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BA" w:rsidRDefault="000C6ABA" w:rsidP="000C6ABA">
      <w:r>
        <w:separator/>
      </w:r>
    </w:p>
  </w:endnote>
  <w:endnote w:type="continuationSeparator" w:id="0">
    <w:p w:rsidR="000C6ABA" w:rsidRDefault="000C6ABA" w:rsidP="000C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79" w:rsidRPr="00A2780F" w:rsidRDefault="0003538F" w:rsidP="00464A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51C46">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51C46">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79" w:rsidRPr="00070856" w:rsidRDefault="0003538F" w:rsidP="00464A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51C46">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51C46">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BA" w:rsidRDefault="000C6ABA" w:rsidP="000C6ABA">
      <w:r>
        <w:separator/>
      </w:r>
    </w:p>
  </w:footnote>
  <w:footnote w:type="continuationSeparator" w:id="0">
    <w:p w:rsidR="000C6ABA" w:rsidRDefault="000C6ABA" w:rsidP="000C6ABA">
      <w:r>
        <w:continuationSeparator/>
      </w:r>
    </w:p>
  </w:footnote>
  <w:footnote w:id="1">
    <w:p w:rsidR="00D73315" w:rsidRPr="00911081" w:rsidRDefault="00D73315" w:rsidP="00D73315">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D73315" w:rsidRPr="00911081" w:rsidRDefault="00D73315" w:rsidP="00D73315">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64A79" w:rsidRPr="008F2CCC" w:rsidTr="00464A79">
      <w:tc>
        <w:tcPr>
          <w:tcW w:w="3620" w:type="dxa"/>
          <w:shd w:val="clear" w:color="auto" w:fill="auto"/>
        </w:tcPr>
        <w:p w:rsidR="00464A79" w:rsidRPr="007E5FC4" w:rsidRDefault="0003538F"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464A79" w:rsidRPr="00664658" w:rsidRDefault="0003538F" w:rsidP="000C6A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w:t>
          </w:r>
          <w:r w:rsidR="000C6ABA">
            <w:rPr>
              <w:rFonts w:ascii="Palatino Linotype" w:hAnsi="Palatino Linotype"/>
              <w:b/>
              <w:sz w:val="22"/>
              <w:szCs w:val="22"/>
              <w:lang w:val="es-ES_tradnl"/>
            </w:rPr>
            <w:t>710</w:t>
          </w:r>
          <w:r>
            <w:rPr>
              <w:rFonts w:ascii="Palatino Linotype" w:hAnsi="Palatino Linotype"/>
              <w:b/>
              <w:sz w:val="22"/>
              <w:szCs w:val="22"/>
              <w:lang w:val="es-ES_tradnl"/>
            </w:rPr>
            <w:t>/INFOEM/IP/RR/2025</w:t>
          </w:r>
        </w:p>
      </w:tc>
    </w:tr>
    <w:tr w:rsidR="00464A79" w:rsidRPr="008F2CCC" w:rsidTr="00464A79">
      <w:tc>
        <w:tcPr>
          <w:tcW w:w="3620" w:type="dxa"/>
          <w:shd w:val="clear" w:color="auto" w:fill="auto"/>
        </w:tcPr>
        <w:p w:rsidR="00464A79" w:rsidRPr="007E5FC4" w:rsidRDefault="0003538F"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464A79" w:rsidRPr="00664658" w:rsidRDefault="000C6ABA" w:rsidP="00464A79">
          <w:pPr>
            <w:spacing w:line="276" w:lineRule="auto"/>
            <w:jc w:val="right"/>
            <w:rPr>
              <w:rFonts w:ascii="Palatino Linotype" w:hAnsi="Palatino Linotype"/>
              <w:b/>
              <w:sz w:val="22"/>
              <w:szCs w:val="22"/>
              <w:lang w:val="es-ES_tradnl"/>
            </w:rPr>
          </w:pPr>
          <w:r w:rsidRPr="000C6ABA">
            <w:rPr>
              <w:rFonts w:ascii="Palatino Linotype" w:hAnsi="Palatino Linotype"/>
              <w:b/>
              <w:sz w:val="22"/>
              <w:szCs w:val="22"/>
            </w:rPr>
            <w:t>Ayuntamiento de Ecatepec de Morelos</w:t>
          </w:r>
        </w:p>
      </w:tc>
    </w:tr>
    <w:tr w:rsidR="00464A79" w:rsidRPr="008F2CCC" w:rsidTr="00464A79">
      <w:trPr>
        <w:trHeight w:val="228"/>
      </w:trPr>
      <w:tc>
        <w:tcPr>
          <w:tcW w:w="3620" w:type="dxa"/>
          <w:shd w:val="clear" w:color="auto" w:fill="auto"/>
        </w:tcPr>
        <w:p w:rsidR="00464A79" w:rsidRPr="007E5FC4" w:rsidRDefault="0003538F"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464A79" w:rsidRPr="00664658" w:rsidRDefault="0003538F" w:rsidP="00464A7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64A79" w:rsidRDefault="00151C46" w:rsidP="00464A79">
    <w:pPr>
      <w:pStyle w:val="Encabezado"/>
      <w:tabs>
        <w:tab w:val="clear" w:pos="4252"/>
        <w:tab w:val="clear" w:pos="8504"/>
        <w:tab w:val="left" w:pos="2326"/>
      </w:tabs>
      <w:rPr>
        <w:rFonts w:ascii="Palatino Linotype" w:hAnsi="Palatino Linotype"/>
        <w:sz w:val="20"/>
      </w:rPr>
    </w:pPr>
  </w:p>
  <w:p w:rsidR="00464A79" w:rsidRPr="001779E0" w:rsidRDefault="0003538F" w:rsidP="00464A7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82400AB" wp14:editId="083A765E">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64A79" w:rsidRPr="008F2CCC" w:rsidTr="00464A79">
      <w:tc>
        <w:tcPr>
          <w:tcW w:w="2977" w:type="dxa"/>
          <w:shd w:val="clear" w:color="auto" w:fill="auto"/>
        </w:tcPr>
        <w:p w:rsidR="00464A79" w:rsidRPr="007E5FC4" w:rsidRDefault="0003538F"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464A79" w:rsidRPr="008F2CCC" w:rsidRDefault="0003538F" w:rsidP="000C6A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w:t>
          </w:r>
          <w:r w:rsidR="000C6ABA">
            <w:rPr>
              <w:rFonts w:ascii="Palatino Linotype" w:hAnsi="Palatino Linotype"/>
              <w:b/>
              <w:sz w:val="22"/>
              <w:szCs w:val="22"/>
              <w:lang w:val="es-ES_tradnl"/>
            </w:rPr>
            <w:t>710</w:t>
          </w:r>
          <w:r>
            <w:rPr>
              <w:rFonts w:ascii="Palatino Linotype" w:hAnsi="Palatino Linotype"/>
              <w:b/>
              <w:sz w:val="22"/>
              <w:szCs w:val="22"/>
              <w:lang w:val="es-ES_tradnl"/>
            </w:rPr>
            <w:t>/INFOEM/IP/RR/2025</w:t>
          </w:r>
        </w:p>
      </w:tc>
    </w:tr>
    <w:tr w:rsidR="00464A79" w:rsidRPr="008F2CCC" w:rsidTr="00464A79">
      <w:tc>
        <w:tcPr>
          <w:tcW w:w="2977" w:type="dxa"/>
          <w:shd w:val="clear" w:color="auto" w:fill="auto"/>
          <w:vAlign w:val="center"/>
        </w:tcPr>
        <w:p w:rsidR="00464A79" w:rsidRPr="007E5FC4" w:rsidRDefault="0003538F"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464A79" w:rsidRPr="008F2CCC" w:rsidRDefault="00151C46" w:rsidP="00464A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64A79" w:rsidRPr="008F2CCC" w:rsidTr="00464A79">
      <w:trPr>
        <w:trHeight w:val="228"/>
      </w:trPr>
      <w:tc>
        <w:tcPr>
          <w:tcW w:w="2977" w:type="dxa"/>
          <w:shd w:val="clear" w:color="auto" w:fill="auto"/>
        </w:tcPr>
        <w:p w:rsidR="00464A79" w:rsidRPr="007E5FC4" w:rsidRDefault="0003538F"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464A79" w:rsidRPr="00DC41C8" w:rsidRDefault="000C6ABA" w:rsidP="00464A79">
          <w:pPr>
            <w:spacing w:line="360" w:lineRule="auto"/>
            <w:jc w:val="right"/>
            <w:rPr>
              <w:rFonts w:ascii="Palatino Linotype" w:hAnsi="Palatino Linotype"/>
              <w:b/>
              <w:sz w:val="22"/>
              <w:szCs w:val="22"/>
            </w:rPr>
          </w:pPr>
          <w:r w:rsidRPr="000C6ABA">
            <w:rPr>
              <w:rFonts w:ascii="Palatino Linotype" w:hAnsi="Palatino Linotype"/>
              <w:b/>
              <w:sz w:val="22"/>
              <w:szCs w:val="22"/>
            </w:rPr>
            <w:t>Ayuntamiento de Ecatepec de Morelos</w:t>
          </w:r>
        </w:p>
      </w:tc>
    </w:tr>
    <w:tr w:rsidR="00464A79" w:rsidRPr="008F2CCC" w:rsidTr="00464A79">
      <w:tc>
        <w:tcPr>
          <w:tcW w:w="2977" w:type="dxa"/>
          <w:shd w:val="clear" w:color="auto" w:fill="auto"/>
        </w:tcPr>
        <w:p w:rsidR="00464A79" w:rsidRPr="007E5FC4" w:rsidRDefault="0003538F"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464A79" w:rsidRPr="008F2CCC" w:rsidRDefault="0003538F" w:rsidP="00464A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64A79" w:rsidRPr="009F1AB6" w:rsidRDefault="0003538F">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AA3F" wp14:editId="171F1246">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202D9"/>
    <w:multiLevelType w:val="hybridMultilevel"/>
    <w:tmpl w:val="D584D634"/>
    <w:lvl w:ilvl="0" w:tplc="666A4D7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BF83587"/>
    <w:multiLevelType w:val="hybridMultilevel"/>
    <w:tmpl w:val="6B225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B77E41"/>
    <w:multiLevelType w:val="hybridMultilevel"/>
    <w:tmpl w:val="BD84FE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4"/>
  </w:num>
  <w:num w:numId="6">
    <w:abstractNumId w:val="1"/>
  </w:num>
  <w:num w:numId="7">
    <w:abstractNumId w:val="12"/>
  </w:num>
  <w:num w:numId="8">
    <w:abstractNumId w:val="6"/>
  </w:num>
  <w:num w:numId="9">
    <w:abstractNumId w:val="11"/>
  </w:num>
  <w:num w:numId="10">
    <w:abstractNumId w:val="7"/>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BA"/>
    <w:rsid w:val="0003538F"/>
    <w:rsid w:val="000C6ABA"/>
    <w:rsid w:val="00151C46"/>
    <w:rsid w:val="004013B1"/>
    <w:rsid w:val="004A0FC0"/>
    <w:rsid w:val="008536EB"/>
    <w:rsid w:val="008D01A8"/>
    <w:rsid w:val="00D73315"/>
    <w:rsid w:val="00E37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4AD7-20B3-4F74-AD76-24B9AF3F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AB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C6ABA"/>
    <w:rPr>
      <w:rFonts w:eastAsiaTheme="minorEastAsia"/>
      <w:sz w:val="24"/>
      <w:szCs w:val="24"/>
      <w:lang w:val="es-ES_tradnl" w:eastAsia="es-ES"/>
    </w:rPr>
  </w:style>
  <w:style w:type="paragraph" w:styleId="Piedepgina">
    <w:name w:val="footer"/>
    <w:basedOn w:val="Normal"/>
    <w:link w:val="PiedepginaCar"/>
    <w:uiPriority w:val="99"/>
    <w:unhideWhenUsed/>
    <w:rsid w:val="000C6AB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C6AB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6AB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6AB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C6ABA"/>
    <w:pPr>
      <w:spacing w:after="0" w:line="240" w:lineRule="auto"/>
    </w:pPr>
  </w:style>
  <w:style w:type="character" w:customStyle="1" w:styleId="SinespaciadoCar">
    <w:name w:val="Sin espaciado Car"/>
    <w:aliases w:val="Francesa Car,INAI Car"/>
    <w:link w:val="Sinespaciado"/>
    <w:uiPriority w:val="1"/>
    <w:locked/>
    <w:rsid w:val="000C6ABA"/>
  </w:style>
  <w:style w:type="character" w:styleId="Hipervnculo">
    <w:name w:val="Hyperlink"/>
    <w:aliases w:val="Hipervínculo1,Hipervínculo11,Hipervínculo12,Hipervínculo13,Hipervínculo14,Hipervínculo15"/>
    <w:basedOn w:val="Fuentedeprrafopredeter"/>
    <w:uiPriority w:val="99"/>
    <w:unhideWhenUsed/>
    <w:rsid w:val="000C6ABA"/>
    <w:rPr>
      <w:color w:val="0563C1" w:themeColor="hyperlink"/>
      <w:u w:val="single"/>
    </w:rPr>
  </w:style>
  <w:style w:type="paragraph" w:customStyle="1" w:styleId="INFOEM">
    <w:name w:val="INFOEM"/>
    <w:basedOn w:val="Normal"/>
    <w:qFormat/>
    <w:rsid w:val="000C6AB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C6AB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C6ABA"/>
    <w:rPr>
      <w:vertAlign w:val="superscript"/>
    </w:rPr>
  </w:style>
  <w:style w:type="paragraph" w:customStyle="1" w:styleId="infoemcitas">
    <w:name w:val="infoem citas"/>
    <w:basedOn w:val="Normal"/>
    <w:qFormat/>
    <w:rsid w:val="000C6ABA"/>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0C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C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0C6ABA"/>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22</Pages>
  <Words>4779</Words>
  <Characters>26287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6</cp:revision>
  <dcterms:created xsi:type="dcterms:W3CDTF">2025-04-23T17:32:00Z</dcterms:created>
  <dcterms:modified xsi:type="dcterms:W3CDTF">2025-05-23T19:19:00Z</dcterms:modified>
</cp:coreProperties>
</file>